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32" w:rsidRPr="00CD4532" w:rsidRDefault="00CD4532" w:rsidP="00CD4532">
      <w:pPr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PROCEDIMENTO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CONTROLE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ADMINISTRATIVO</w:t>
      </w:r>
      <w:proofErr w:type="gramStart"/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 </w:t>
      </w:r>
      <w:proofErr w:type="gramEnd"/>
      <w:r w:rsidRPr="00CD4532">
        <w:rPr>
          <w:rStyle w:val="Strong"/>
          <w:rFonts w:ascii="Arial" w:hAnsi="Arial" w:cs="Arial"/>
          <w:sz w:val="28"/>
          <w:szCs w:val="28"/>
          <w:lang w:val="pt-BR"/>
        </w:rPr>
        <w:t>0000547-84.2011.2.00.0000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Requerente: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Ordem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Brasil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-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Janeiro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br/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Requerido: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Corregedoria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Geral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br/>
      </w:r>
      <w:r>
        <w:rPr>
          <w:rFonts w:ascii="Arial" w:hAnsi="Arial" w:cs="Arial"/>
          <w:sz w:val="28"/>
          <w:szCs w:val="28"/>
          <w:lang w:val="pt-BR"/>
        </w:rPr>
        <w:t xml:space="preserve">                       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Janeiro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Advogado(s):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RJ147553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-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Guilherme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Peres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Oliveira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(REQUERENTE)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EMENTA.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PROCEDIMENTO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CONTROLE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ADMINISTRATIVO.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§1º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art.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3º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CNJ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121/2010.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Acesso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automático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processo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eletrônico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por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advogado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vinculado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processo.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Direito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assegurado,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independente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comprovação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interesse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perante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ou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cadastramento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respectiva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secretaria.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1.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121,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dispõe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sobre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divulgação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mundial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computadores,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expedição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certidões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judiciais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outras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providências,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acompanhando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mudança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paradigma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trazida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criou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diferentes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níveis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acordo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sujeitos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envolvidos.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2.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estejam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credenciados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acessarem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11.419/06)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permitida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livre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automática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quaisquer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salvo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sigilo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3.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‘demonstração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interesse’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feita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autorização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prévia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criação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procedimentos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burocráticos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respectiva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secretaria.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4.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permitir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acessem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livremente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protegido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sigilo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também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assegurar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forma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eventual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posteriormente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recuperada,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efeitos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responsabilização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civil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e/ou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criminal,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vedando-se,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forma,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pesquisa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anônima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5.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interpretação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dispositivo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feita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modo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preservar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garantias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advocacia.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PROCEDIMENTO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CONTROLE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ADMINISTRATIVO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QUE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CONHECE,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QUE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JULGA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PROCEDENTE.</w:t>
      </w:r>
    </w:p>
    <w:p w:rsid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RELATÓRIO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lastRenderedPageBreak/>
        <w:t>ORDEM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ADVOGADOS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BRASIL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–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ESTADO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RIO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JANEIRO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vem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PROCEDIMENTO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CONTROLE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ADMINISTRATIVO,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pedido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liminar,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face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CORREGEDORIA-REGIONAL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TRIBUNAL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REGIONAL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FEDERAL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2ª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REGIÃO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TRIBUNAL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JUSTIÇA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ESTADO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RIO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JANEIRO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motivos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seguir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aduzidos.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Relata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Provimento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89/2010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Corregedoria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Regional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2ª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Região,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assim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TJ/OE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16/2009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Órgão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Janeiro,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violaram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CNJ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121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divulgação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Internet,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Estatuto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Advocacia.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CNJ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121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garante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automático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fins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apenas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demonstre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mesmo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sentido,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incisos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XIII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XV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7º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8.906/1994,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franqueiam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exceção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daqueles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protegidos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Apesar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orientação,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provimentos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acima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referidos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determinam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queira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peticionar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juiz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competente.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Transcrevo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dispositivos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impugnados: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Provimento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89/2010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Corregedoria-Geral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TRF-2:</w:t>
      </w:r>
    </w:p>
    <w:p w:rsid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7º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procuradores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cadastrados,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identificado,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respectivos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demonstrem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fins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simples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Emphasis"/>
          <w:rFonts w:ascii="Arial" w:hAnsi="Arial" w:cs="Arial"/>
          <w:sz w:val="28"/>
          <w:szCs w:val="28"/>
          <w:lang w:val="pt-BR"/>
        </w:rPr>
        <w:t>caput</w:t>
      </w:r>
      <w:r>
        <w:rPr>
          <w:rStyle w:val="Emphasis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artigo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aplica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corre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manifestação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determinado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será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apresentada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competente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mediante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petição,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liberação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acesso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será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realizada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pela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Secretaria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respectivo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TJ/OE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16/2009: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lastRenderedPageBreak/>
        <w:t>...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19.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atuantes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acessar,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além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andamentos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peças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digitalizadas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respectivo,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tenham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certificado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digital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ICP-Brasil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garantir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autenticidade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postulante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completa.</w:t>
      </w:r>
      <w:proofErr w:type="gramEnd"/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...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2º.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proofErr w:type="gramEnd"/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após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autorização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prévia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receberá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serventia,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tramitando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senha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temporária,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expirará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dias,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pesquisa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peças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respeitado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situações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sigilo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Defende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exigências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previstas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CNJ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121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faculta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constituído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o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acesso</w:t>
      </w:r>
      <w:proofErr w:type="spellEnd"/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automático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todos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atos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processuais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eletrônicos</w:t>
      </w:r>
      <w:r w:rsidRPr="00CD4532">
        <w:rPr>
          <w:rFonts w:ascii="Arial" w:hAnsi="Arial" w:cs="Arial"/>
          <w:sz w:val="28"/>
          <w:szCs w:val="28"/>
          <w:lang w:val="pt-BR"/>
        </w:rPr>
        <w:t>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Relembra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muitas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vezes,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precisam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automático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eventualmente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assumem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causa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andamento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necessitam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resposta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urgente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cliente,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vezes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mesmo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dia.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Exigir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pedido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escrito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vista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inviabilizaria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atuação.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Esclarece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Janeiro,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mesmo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tenha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necessário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servidor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insira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seus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depois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petições.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burocracia,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argumenta,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prejudicado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cumprimento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prazos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fluindo.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Janeiro,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réus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tramitem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Juizados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Especiais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Cíveis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tenham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precisam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dirigir-se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cartório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munidos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requerer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mesma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informatizado.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Requer,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forma,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concessão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medida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liminar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para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suspender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dispositivos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impugnados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atos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normativos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já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referidos,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sua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definitiva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revogação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julgamento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mérito.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Indeferi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pedido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liminar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solicitei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requeridos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(DEC10).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lastRenderedPageBreak/>
        <w:t>Instado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manifestar-se,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Corregedor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Tribunal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Regional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Federal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2ª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Região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(INF15)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esclareceu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que: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provimento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nº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89/210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Tribunal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foi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editado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base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observância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seguintes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dispositivos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normativos: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Lei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11.419/2006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–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dispõe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sobre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informatização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judicial;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Lei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8.159/91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–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dispõe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sobre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gestão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guarda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documentos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públicos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particulares;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Decreto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4.553/2002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–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regulamenta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Lei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8.159/91,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estabelecendo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documentos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considerados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originalmente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sigilosos;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Conselho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Nacional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Justiça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nº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121/2010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–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regula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divulgação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processuais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eletrônicos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mundial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computadores;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Conselho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Justiça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Federal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nº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23/2008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–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dispõe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sobre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gestão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guarda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documentos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âmbito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Justiça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Federal;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Entende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razão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necessidade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demonstração,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decorre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lhe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posteriormente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concedido,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através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automática,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internet.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Esclarece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121/2010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exige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haja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demonstração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Provimento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Corregedoria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simplesmente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identificou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autoridade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apreciar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pedido,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autoridade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judiciária.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Ainda,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Provimento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permite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situações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comuns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conhecidas,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próprios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servidores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secretaria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“promover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crivo,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sob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orientação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do(</w:t>
      </w:r>
      <w:proofErr w:type="gramEnd"/>
      <w:r w:rsidRPr="00CD4532">
        <w:rPr>
          <w:rFonts w:ascii="Arial" w:hAnsi="Arial" w:cs="Arial"/>
          <w:sz w:val="28"/>
          <w:szCs w:val="28"/>
          <w:lang w:val="pt-BR"/>
        </w:rPr>
        <w:t>a)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Juiz(a)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Vara,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compete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aferir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sobre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questões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inclusive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sigilo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peças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matéria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processual,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jurisdicional.”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Alega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preservação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sigilo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processual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restringe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situações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segredo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justiça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previstas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Constituição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englobando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também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contém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documentos,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dados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ou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informações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protegidos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por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sigilo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por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disposição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constitucional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ou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legal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(como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documentos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bancários,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fiscais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financeiros),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“cujos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entanto,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praticados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restrição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publicidade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lhes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inerente”,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maioria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Federal.</w:t>
      </w:r>
      <w:proofErr w:type="gramEnd"/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Neste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apesar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permitir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seus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restrito.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lastRenderedPageBreak/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razão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pedidos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terceiros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passar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crivo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responsável.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Já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Tribunal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Justiça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Rio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Janeiro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prestou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(INF14),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alegando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que: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>—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todas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informações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existentes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eletrônicos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podem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disponibilizadas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3ºs;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Há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limitações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própria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ordem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constitucional,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contidas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inciso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IX,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93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Constituição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Federal;</w:t>
      </w:r>
    </w:p>
    <w:p w:rsid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Há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diferença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entre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publicação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eastAsia="Times New Roman" w:hAnsi="Arial" w:cs="Arial"/>
          <w:sz w:val="28"/>
          <w:szCs w:val="28"/>
          <w:lang w:val="pt-BR"/>
        </w:rPr>
        <w:t>divulgação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informação,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publicidade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excessiva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viola</w:t>
      </w:r>
      <w:proofErr w:type="gramEnd"/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princípios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constitucionais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intimidade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personalidade;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nº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16/2009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Tribunal,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impugnada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nestes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autos,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atende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disposto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CNJ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n.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121.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>—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Requer,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por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fim,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manutenção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local.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Relatados,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decido.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2.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FUNDAMENTAÇÃO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2.1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CONHECIMENTO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pleito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encaixa-se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rol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competências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constitucionais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definidas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103-B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Constituição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proofErr w:type="gramStart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portanto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dele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conheço.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2.2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MÉRITO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discussão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axial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refere-se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questão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específica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prática: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possuem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precisam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autorização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cadastramento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secretaria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obterem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amplo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autos?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parece,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novidade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ainda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gera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alguns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equívocos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interpretação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novidade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transforme-se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prática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tribunais,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precisarão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elucidados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sabedor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dilemas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avoca,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editou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121/2010,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nascida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amplo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pública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autoridades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âmbito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jurídico,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realizado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âmbito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0001776-16.2010.2.00.0000,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relatoria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Walter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Nunes.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lastRenderedPageBreak/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acórdão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levou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Plenário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minuta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Walter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Nunes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ofereceu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interessante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discussão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sobre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dilemas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impacto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virtualização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trazer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sujeitos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direta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indiretamente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envolvidos,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assim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divulgação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informações.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bem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fundamentado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voto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inicia-se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importante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debate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trazido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decorrência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abertura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democrática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direitos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garantias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assegurados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Constituição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88,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especial: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princípio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publicidade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processuais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(art.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5º,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LX);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direito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à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(art.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5º,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XXXIII);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princípio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publicidade,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orientador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Administração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Pública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(art.37,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caput);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dever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Poder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Judiciário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motivar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fundamentar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suas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decisões,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além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tornar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seus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julgamentos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públicos,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salvo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exceções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(art.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93,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IX);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conseqüências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institucionais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garantias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são: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 regra do processo judicial é a sua publicidade.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dados,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registros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informações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posse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agente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público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ou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serviço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estatal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ou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judicante,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pertencem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juiz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ou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às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partes,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à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sociedade.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 fornecimento da informação processual é um dever do Estado.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D4532">
        <w:rPr>
          <w:rFonts w:ascii="Arial" w:hAnsi="Arial" w:cs="Arial"/>
          <w:sz w:val="28"/>
          <w:szCs w:val="28"/>
          <w:lang w:val="pt-BR"/>
        </w:rPr>
        <w:t>Relembra,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entretanto,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‘a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excessiva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publicidade,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porém,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acarretar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efeitos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negativos’,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daí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própria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norma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estabelece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limites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publicidade,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restringida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defesa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intimidade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social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exigirem.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</w:rPr>
        <w:t>Portanto</w:t>
      </w:r>
      <w:proofErr w:type="spellEnd"/>
      <w:r w:rsidRPr="00CD4532">
        <w:rPr>
          <w:rFonts w:ascii="Arial" w:hAnsi="Arial" w:cs="Arial"/>
          <w:sz w:val="28"/>
          <w:szCs w:val="28"/>
        </w:rPr>
        <w:t>,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É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preciso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distinguir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entre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publicidade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como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forma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acesso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ao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inteiro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teor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processo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pelos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interessados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(dimensão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subjetiva,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reveladora,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sujeitos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principais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secundários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seu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conteúdo,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gradações)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x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publicidade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como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dever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geral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informação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serviço</w:t>
      </w:r>
      <w:r>
        <w:rPr>
          <w:rStyle w:val="Strong"/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eastAsia="Times New Roman" w:hAnsi="Arial" w:cs="Arial"/>
          <w:sz w:val="28"/>
          <w:szCs w:val="28"/>
          <w:lang w:val="pt-BR"/>
        </w:rPr>
        <w:t>jurisdicional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(dimensão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objetiva,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reveladora,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público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geral,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básicos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estatísticos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outras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informações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relativas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à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eficiência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desempenho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atividade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jurisdicional).</w:t>
      </w:r>
      <w:proofErr w:type="gramEnd"/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Tais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dimensões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princípio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publicidade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geram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níveis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perfis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específicos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diferentes,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conforme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usuário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sistema.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Foram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estabelecidos,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CNJ.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N.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121,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3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níveis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às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informações: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lastRenderedPageBreak/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público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geral,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básicos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(número,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classe,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assunto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nome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partes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seus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advogados,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eastAsia="Times New Roman" w:hAnsi="Arial" w:cs="Arial"/>
          <w:sz w:val="28"/>
          <w:szCs w:val="28"/>
          <w:lang w:val="pt-BR"/>
        </w:rPr>
        <w:t>etc</w:t>
      </w:r>
      <w:proofErr w:type="spellEnd"/>
      <w:r w:rsidRPr="00CD4532">
        <w:rPr>
          <w:rFonts w:ascii="Arial" w:eastAsia="Times New Roman" w:hAnsi="Arial" w:cs="Arial"/>
          <w:sz w:val="28"/>
          <w:szCs w:val="28"/>
          <w:lang w:val="pt-BR"/>
        </w:rPr>
        <w:t>),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excetuados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casos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sigilo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ou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segredo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justiça;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advogados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cadastrados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habilitados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às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partes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cadastradas,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inteiro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teor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andamento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processual,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excetuadas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minutas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decisões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despachos;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situação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advogados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cadastrados,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mas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vinculados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determinado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-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questão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discutida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nestes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autos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-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foi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amplamente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discutida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pela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Comissão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criada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para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elaboração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resolução,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sendo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adotada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“posição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intermediária”,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estabeleceu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que: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É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vedada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pesquisa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anônima,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mesmo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advogados,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processos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estejam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vinculados;</w:t>
      </w:r>
    </w:p>
    <w:p w:rsidR="00CD4532" w:rsidRPr="00CD4532" w:rsidRDefault="00CD4532" w:rsidP="00CD4532">
      <w:pPr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—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há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necessidade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prévia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manifestação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interesse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nem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tampouco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decisão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judicial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para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que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acesso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ocorra,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harmonizando-se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tal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dispositivo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com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Estatuto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da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eastAsia="Times New Roman" w:hAnsi="Arial" w:cs="Arial"/>
          <w:sz w:val="28"/>
          <w:szCs w:val="28"/>
          <w:lang w:val="pt-BR"/>
        </w:rPr>
        <w:t>Advocacia;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mesma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questão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surgiu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debates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sessão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julgamento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aprovou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n.121,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cuja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síntese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apresento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abaixo.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Após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exposição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trabalho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culminou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Walter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Nunes,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houve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intervenção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Presidente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Federal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OAB,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chamou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atenção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situação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deveriam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irrestrito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independente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(Áudio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12’55’’).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Conselheiro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Walter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ressaltou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cadastrados,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precisam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exclusivamente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‘registrar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acesso’,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espécie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petição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SUBMETIDA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JUIZO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ADMISSIBILIDADE.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idéia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automático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irrestrito,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nunca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anônimo.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gera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guardado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precisa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realizar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âmbito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exclusivamente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eletrônico),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documento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copiado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forma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definir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responsabilidades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eventuais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danos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divulgação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devidamente.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(Áudio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15’20’’)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Milton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Nobre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reforçou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idéia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simples,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sujeito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condição.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fins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lastRenderedPageBreak/>
        <w:t>exclusivamente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estatísticos,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havendo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controle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(Áudio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18’50’’).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Sugeriu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então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nova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redação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dispositivo,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aprovada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Plenário: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0"/>
        <w:gridCol w:w="4320"/>
      </w:tblGrid>
      <w:tr w:rsidR="00CD4532" w:rsidRPr="00CD4532" w:rsidTr="00CD4532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D4532">
              <w:rPr>
                <w:rFonts w:ascii="Arial" w:hAnsi="Arial" w:cs="Arial"/>
                <w:sz w:val="28"/>
                <w:szCs w:val="28"/>
              </w:rPr>
              <w:t>Antiga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D4532">
              <w:rPr>
                <w:rFonts w:ascii="Arial" w:hAnsi="Arial" w:cs="Arial"/>
                <w:sz w:val="28"/>
                <w:szCs w:val="28"/>
              </w:rPr>
              <w:t>redação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Nova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redação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sugerida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sessão</w:t>
            </w:r>
          </w:p>
        </w:tc>
      </w:tr>
      <w:tr w:rsidR="00CD4532" w:rsidRPr="00CD4532" w:rsidTr="00CD4532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Art.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3º.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§1º.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sistemas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devem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possibilitar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que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advogados,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procuradores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membros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Ministério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gramStart"/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Público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cadastrados</w:t>
            </w:r>
            <w:proofErr w:type="gramEnd"/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mas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não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vinculados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processo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previamente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identificado,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acessem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automaticamente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todos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atos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documentos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processuais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armazenados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meio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eletrônico,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salvo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nos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casos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processos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sigilo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ou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segredo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justiça,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desde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que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demonstrado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interesse.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§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2º.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Deverá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haver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mecanismo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que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registre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cada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acesso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previsto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no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parágrafo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anterior.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Art.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3º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§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1º.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sistemas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devem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possibilitar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que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advogados,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procuradores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membros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Ministério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gramStart"/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Público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cadastrados</w:t>
            </w:r>
            <w:proofErr w:type="gramEnd"/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mas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não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vinculados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processo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previamente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identificado,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acessem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automaticamente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todos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atos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documentos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processuais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armazenados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em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meio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eletrônico,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desde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que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demonstrado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interesse,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para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fins,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apenas,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registro,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salvo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nos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casos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processos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em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sigilo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ou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segredo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de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justiça.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§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2º.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Deverá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haver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mecanismo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que</w:t>
            </w:r>
            <w:r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Style w:val="Strong"/>
                <w:rFonts w:ascii="Arial" w:hAnsi="Arial" w:cs="Arial"/>
                <w:sz w:val="28"/>
                <w:szCs w:val="28"/>
                <w:lang w:val="pt-BR"/>
              </w:rPr>
              <w:t>registre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cada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acesso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previsto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no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parágrafo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CD4532">
              <w:rPr>
                <w:rFonts w:ascii="Arial" w:hAnsi="Arial" w:cs="Arial"/>
                <w:sz w:val="28"/>
                <w:szCs w:val="28"/>
                <w:lang w:val="pt-BR"/>
              </w:rPr>
              <w:t>anterior.</w:t>
            </w:r>
          </w:p>
          <w:p w:rsidR="00CD4532" w:rsidRPr="00CD4532" w:rsidRDefault="00CD4532" w:rsidP="00CD45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Assim,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conclui-se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interpretação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dispositivo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oferecida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requeridos,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pois: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1.</w:t>
      </w:r>
      <w:r>
        <w:rPr>
          <w:rFonts w:ascii="Arial" w:hAnsi="Arial" w:cs="Arial"/>
          <w:sz w:val="28"/>
          <w:szCs w:val="28"/>
          <w:lang w:val="pt-BR"/>
        </w:rPr>
        <w:t xml:space="preserve"> 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automático;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2.</w:t>
      </w:r>
      <w:r>
        <w:rPr>
          <w:rFonts w:ascii="Arial" w:hAnsi="Arial" w:cs="Arial"/>
          <w:sz w:val="28"/>
          <w:szCs w:val="28"/>
          <w:lang w:val="pt-BR"/>
        </w:rPr>
        <w:t xml:space="preserve"> 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modo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informação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recuperada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posteriormente;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3.</w:t>
      </w:r>
      <w:r>
        <w:rPr>
          <w:rFonts w:ascii="Arial" w:hAnsi="Arial" w:cs="Arial"/>
          <w:sz w:val="28"/>
          <w:szCs w:val="28"/>
          <w:lang w:val="pt-BR"/>
        </w:rPr>
        <w:t xml:space="preserve"> 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deve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haver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admissibilidade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prévia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ocorra,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secretaria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juízo;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lastRenderedPageBreak/>
        <w:t>Ressalte-se,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entretanto,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efeito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melhor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compreensão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procedimento,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(lei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11.419/06),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determina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deve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necessariamente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cadastrar-se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forma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prévia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peticione,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modo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possibilitar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‘inserção’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mundo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Transcrevo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referida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lei: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</w:t>
      </w:r>
      <w:r w:rsidRPr="00CD4532">
        <w:rPr>
          <w:rFonts w:ascii="Arial" w:hAnsi="Arial" w:cs="Arial"/>
          <w:sz w:val="28"/>
          <w:szCs w:val="28"/>
          <w:u w:val="single"/>
          <w:vertAlign w:val="superscript"/>
          <w:lang w:val="pt-BR"/>
        </w:rPr>
        <w:t>o</w:t>
      </w:r>
      <w:proofErr w:type="gramStart"/>
      <w:r>
        <w:rPr>
          <w:rFonts w:ascii="Arial" w:hAnsi="Arial" w:cs="Arial"/>
          <w:sz w:val="28"/>
          <w:szCs w:val="28"/>
          <w:lang w:val="pt-BR"/>
        </w:rPr>
        <w:t xml:space="preserve">  </w:t>
      </w:r>
      <w:proofErr w:type="gramEnd"/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envio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petições,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recursos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prática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geral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serão</w:t>
      </w:r>
      <w:r>
        <w:rPr>
          <w:rFonts w:ascii="Arial" w:hAnsi="Arial" w:cs="Arial"/>
          <w:sz w:val="28"/>
          <w:szCs w:val="28"/>
          <w:lang w:val="pt-BR"/>
        </w:rPr>
        <w:t xml:space="preserve">  </w:t>
      </w:r>
      <w:r w:rsidRPr="00CD4532">
        <w:rPr>
          <w:rFonts w:ascii="Arial" w:hAnsi="Arial" w:cs="Arial"/>
          <w:sz w:val="28"/>
          <w:szCs w:val="28"/>
          <w:lang w:val="pt-BR"/>
        </w:rPr>
        <w:t>admitidos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mediante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assinatura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forma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</w:t>
      </w:r>
      <w:r w:rsidRPr="00CD4532">
        <w:rPr>
          <w:rFonts w:ascii="Arial" w:hAnsi="Arial" w:cs="Arial"/>
          <w:sz w:val="28"/>
          <w:szCs w:val="28"/>
          <w:u w:val="single"/>
          <w:vertAlign w:val="superscript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obrigatório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credenciamento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prévio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Poder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Judiciário,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conforme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disciplinado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pelos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órgãos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respectivos.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</w:t>
      </w:r>
      <w:r w:rsidRPr="00CD4532">
        <w:rPr>
          <w:rStyle w:val="Strong"/>
          <w:rFonts w:ascii="Arial" w:hAnsi="Arial" w:cs="Arial"/>
          <w:sz w:val="28"/>
          <w:szCs w:val="28"/>
          <w:u w:val="single"/>
          <w:vertAlign w:val="superscript"/>
          <w:lang w:val="pt-BR"/>
        </w:rPr>
        <w:t>o</w:t>
      </w:r>
      <w:proofErr w:type="gramStart"/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 </w:t>
      </w:r>
      <w:proofErr w:type="gramEnd"/>
      <w:r w:rsidRPr="00CD4532">
        <w:rPr>
          <w:rStyle w:val="Strong"/>
          <w:rFonts w:ascii="Arial" w:hAnsi="Arial" w:cs="Arial"/>
          <w:sz w:val="28"/>
          <w:szCs w:val="28"/>
          <w:lang w:val="pt-BR"/>
        </w:rPr>
        <w:t>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credenciamento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Poder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Judiciário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será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realizado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mediante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procedimento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qual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esteja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assegurada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adequada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identificação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presencial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interessado.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</w:t>
      </w:r>
      <w:r w:rsidRPr="00CD4532">
        <w:rPr>
          <w:rFonts w:ascii="Arial" w:hAnsi="Arial" w:cs="Arial"/>
          <w:sz w:val="28"/>
          <w:szCs w:val="28"/>
          <w:u w:val="single"/>
          <w:vertAlign w:val="superscript"/>
          <w:lang w:val="pt-BR"/>
        </w:rPr>
        <w:t>o</w:t>
      </w:r>
      <w:proofErr w:type="gramStart"/>
      <w:r>
        <w:rPr>
          <w:rFonts w:ascii="Arial" w:hAnsi="Arial" w:cs="Arial"/>
          <w:sz w:val="28"/>
          <w:szCs w:val="28"/>
          <w:lang w:val="pt-BR"/>
        </w:rPr>
        <w:t xml:space="preserve">  </w:t>
      </w:r>
      <w:proofErr w:type="gramEnd"/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credenciado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atribuído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modo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preservar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sigilo,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identificação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autenticidade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comunicações.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3</w:t>
      </w:r>
      <w:r w:rsidRPr="00CD4532">
        <w:rPr>
          <w:rFonts w:ascii="Arial" w:hAnsi="Arial" w:cs="Arial"/>
          <w:sz w:val="28"/>
          <w:szCs w:val="28"/>
          <w:u w:val="single"/>
          <w:vertAlign w:val="superscript"/>
          <w:lang w:val="pt-BR"/>
        </w:rPr>
        <w:t>o</w:t>
      </w:r>
      <w:proofErr w:type="gramStart"/>
      <w:r>
        <w:rPr>
          <w:rFonts w:ascii="Arial" w:hAnsi="Arial" w:cs="Arial"/>
          <w:sz w:val="28"/>
          <w:szCs w:val="28"/>
          <w:lang w:val="pt-BR"/>
        </w:rPr>
        <w:t xml:space="preserve">  </w:t>
      </w:r>
      <w:proofErr w:type="gramEnd"/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órgãos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Judiciário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criar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único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credenciamento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previsto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artigo.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Neste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credenciamento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inicial,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presença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física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é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indispensável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sua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correta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identificação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feita.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Após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credenciamento,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(frise-se,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exclusivamente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sistema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físicos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ainda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exigem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presença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advogado).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Ressalte-se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julgamento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aprovou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121,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Conselheiros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Milton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Nobre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Walter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Nunes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reiteraram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diversas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vezes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impossibilidade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juiz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realizasse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qualquer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tipo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juízo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admissibilidade,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prática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iria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gerar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uma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burocratização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excessiva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desnecessária.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Assim,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conclui-se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dispositivos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impugnados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(art.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7º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Provimento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89/2010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Corregedoria-Geral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TRF-2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19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TJ/OE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16/2009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)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possuem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redação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compatível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121,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merecendo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imediata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retificação.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lastRenderedPageBreak/>
        <w:t>Provimento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89/2010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7º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procuradores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cadastrados,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previamente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identificado,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inteiro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respectivos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demonstrem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fins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simples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registro.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previsão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Emphasis"/>
          <w:rFonts w:ascii="Arial" w:hAnsi="Arial" w:cs="Arial"/>
          <w:sz w:val="28"/>
          <w:szCs w:val="28"/>
          <w:lang w:val="pt-BR"/>
        </w:rPr>
        <w:t>caput</w:t>
      </w:r>
      <w:r>
        <w:rPr>
          <w:rStyle w:val="Emphasis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artigo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aplica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corre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2º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manifestação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determinado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será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apresentada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competente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mediante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petição,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liberação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acesso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será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realizada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pela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Secretaria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respectivo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</w:t>
      </w:r>
      <w:r w:rsidRPr="00CD4532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meio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vinculação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especial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Resolução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TJ/OE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nº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16/2009: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...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Art.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19.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atuantes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poderão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acessar,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além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andamentos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processuais,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peças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digitalizadas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feito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respectivo,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tenham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certificado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digital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  <w:lang w:val="pt-BR"/>
        </w:rPr>
        <w:t>ICP-Brasil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garantir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autenticidade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postulante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à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completa.</w:t>
      </w:r>
      <w:proofErr w:type="gramEnd"/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...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§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2º.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interessado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consultar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ou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advogado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deste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proofErr w:type="gramStart"/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proofErr w:type="gramEnd"/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após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autorização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prévia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do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juízo,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receberá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serventia,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qual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tramitando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eletrônico,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senha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temporária,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expirará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dias,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pesquisa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todas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peças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processo,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respeitado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lei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situações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sigilo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segredo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justiça.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3.</w:t>
      </w:r>
      <w:r>
        <w:rPr>
          <w:rStyle w:val="Strong"/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Style w:val="Strong"/>
          <w:rFonts w:ascii="Arial" w:hAnsi="Arial" w:cs="Arial"/>
          <w:sz w:val="28"/>
          <w:szCs w:val="28"/>
          <w:lang w:val="pt-BR"/>
        </w:rPr>
        <w:t>CONCLUSÃO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 w:rsidRPr="00CD4532">
        <w:rPr>
          <w:rFonts w:ascii="Arial" w:hAnsi="Arial" w:cs="Arial"/>
          <w:sz w:val="28"/>
          <w:szCs w:val="28"/>
          <w:lang w:val="pt-BR"/>
        </w:rPr>
        <w:t>Pelo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exposto,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julgo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procedente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presente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PROCEDIMENTO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CONTROLE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ADMINISTRATIVO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sejam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anulados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dispositivos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impugnados,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determinando-se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Tribunais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requeridos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que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estabeleçam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novas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redações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compatíveis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com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Resolução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CNJ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n.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121,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partir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da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interpretação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aqui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CD4532">
        <w:rPr>
          <w:rFonts w:ascii="Arial" w:hAnsi="Arial" w:cs="Arial"/>
          <w:sz w:val="28"/>
          <w:szCs w:val="28"/>
          <w:lang w:val="pt-BR"/>
        </w:rPr>
        <w:t>explicitada.</w:t>
      </w:r>
    </w:p>
    <w:p w:rsidR="00CD4532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5C5287" w:rsidRPr="00CD4532" w:rsidRDefault="00CD4532" w:rsidP="00CD453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 w:rsidRPr="00CD4532">
        <w:rPr>
          <w:rFonts w:ascii="Arial" w:hAnsi="Arial" w:cs="Arial"/>
          <w:sz w:val="28"/>
          <w:szCs w:val="28"/>
        </w:rPr>
        <w:t>Brasília,</w:t>
      </w:r>
      <w:r>
        <w:rPr>
          <w:rFonts w:ascii="Arial" w:hAnsi="Arial" w:cs="Arial"/>
          <w:sz w:val="28"/>
          <w:szCs w:val="28"/>
        </w:rPr>
        <w:t xml:space="preserve"> </w:t>
      </w:r>
      <w:r w:rsidRPr="00CD4532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</w:t>
      </w:r>
      <w:r w:rsidRPr="00CD4532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4532">
        <w:rPr>
          <w:rFonts w:ascii="Arial" w:hAnsi="Arial" w:cs="Arial"/>
          <w:sz w:val="28"/>
          <w:szCs w:val="28"/>
        </w:rPr>
        <w:t>maio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D4532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Pr="00CD4532">
        <w:rPr>
          <w:rFonts w:ascii="Arial" w:hAnsi="Arial" w:cs="Arial"/>
          <w:sz w:val="28"/>
          <w:szCs w:val="28"/>
        </w:rPr>
        <w:t>2011.</w:t>
      </w:r>
      <w:proofErr w:type="gramEnd"/>
    </w:p>
    <w:sectPr w:rsidR="005C5287" w:rsidRPr="00CD4532" w:rsidSect="005C5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20"/>
    <w:multiLevelType w:val="multilevel"/>
    <w:tmpl w:val="31E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C3DA2"/>
    <w:multiLevelType w:val="multilevel"/>
    <w:tmpl w:val="5BE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51FE1"/>
    <w:multiLevelType w:val="multilevel"/>
    <w:tmpl w:val="663C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95DCD"/>
    <w:multiLevelType w:val="multilevel"/>
    <w:tmpl w:val="87A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5193A"/>
    <w:multiLevelType w:val="hybridMultilevel"/>
    <w:tmpl w:val="46A4858E"/>
    <w:lvl w:ilvl="0" w:tplc="301299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C18FF"/>
    <w:multiLevelType w:val="multilevel"/>
    <w:tmpl w:val="26B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B362C"/>
    <w:multiLevelType w:val="hybridMultilevel"/>
    <w:tmpl w:val="9E0CB744"/>
    <w:lvl w:ilvl="0" w:tplc="D3305A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532"/>
    <w:rsid w:val="005C5287"/>
    <w:rsid w:val="00CD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53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4532"/>
    <w:rPr>
      <w:b/>
      <w:bCs/>
    </w:rPr>
  </w:style>
  <w:style w:type="character" w:styleId="Emphasis">
    <w:name w:val="Emphasis"/>
    <w:basedOn w:val="DefaultParagraphFont"/>
    <w:uiPriority w:val="20"/>
    <w:qFormat/>
    <w:rsid w:val="00CD4532"/>
    <w:rPr>
      <w:i/>
      <w:iCs/>
    </w:rPr>
  </w:style>
  <w:style w:type="paragraph" w:styleId="ListParagraph">
    <w:name w:val="List Paragraph"/>
    <w:basedOn w:val="Normal"/>
    <w:uiPriority w:val="34"/>
    <w:qFormat/>
    <w:rsid w:val="00CD4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2909</Words>
  <Characters>16585</Characters>
  <Application>Microsoft Office Word</Application>
  <DocSecurity>0</DocSecurity>
  <Lines>138</Lines>
  <Paragraphs>38</Paragraphs>
  <ScaleCrop>false</ScaleCrop>
  <Company>Consultor Jurídico</Company>
  <LinksUpToDate>false</LinksUpToDate>
  <CharactersWithSpaces>19456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Matsuura</dc:creator>
  <cp:keywords/>
  <dc:description/>
  <cp:lastModifiedBy>Lilian Matsuura</cp:lastModifiedBy>
  <cp:revision>1</cp:revision>
  <dcterms:created xsi:type="dcterms:W3CDTF">2011-05-25T16:23:00Z</dcterms:created>
  <dcterms:modified xsi:type="dcterms:W3CDTF">2011-05-25T16:26:00Z</dcterms:modified>
</cp:coreProperties>
</file>