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0"/>
      </w:tblGrid>
      <w:tr w:rsidR="00957737" w:rsidRPr="006C29A5" w:rsidTr="002201C0">
        <w:tc>
          <w:tcPr>
            <w:tcW w:w="9639" w:type="dxa"/>
            <w:tcBorders>
              <w:top w:val="nil"/>
              <w:left w:val="nil"/>
              <w:bottom w:val="nil"/>
              <w:right w:val="nil"/>
            </w:tcBorders>
            <w:shd w:val="clear" w:color="auto" w:fill="auto"/>
          </w:tcPr>
          <w:p w:rsidR="00957737" w:rsidRPr="006C29A5" w:rsidRDefault="00957737" w:rsidP="00957737">
            <w:pPr>
              <w:jc w:val="both"/>
              <w:rPr>
                <w:rFonts w:ascii="Garamond" w:hAnsi="Garamond" w:cs="Courier New"/>
                <w:sz w:val="28"/>
                <w:szCs w:val="28"/>
              </w:rPr>
            </w:pPr>
            <w:r w:rsidRPr="006C29A5">
              <w:rPr>
                <w:rFonts w:ascii="Garamond" w:hAnsi="Garamond" w:cs="Courier New"/>
                <w:b/>
                <w:sz w:val="28"/>
                <w:szCs w:val="28"/>
                <w:u w:val="single"/>
              </w:rPr>
              <w:t>AÇÃO DIRETA DE INCONSTITUCIONALIDADE 3.330-1 DISTRITO FEDERAL</w:t>
            </w:r>
          </w:p>
        </w:tc>
      </w:tr>
    </w:tbl>
    <w:p w:rsidR="00957737" w:rsidRPr="006C29A5" w:rsidRDefault="00957737" w:rsidP="00957737">
      <w:pPr>
        <w:rPr>
          <w:rFonts w:ascii="Garamond" w:hAnsi="Garamond" w:cs="Courier New"/>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2"/>
        <w:gridCol w:w="282"/>
        <w:gridCol w:w="5426"/>
      </w:tblGrid>
      <w:tr w:rsidR="00957737" w:rsidRPr="006C29A5" w:rsidTr="00957737">
        <w:tc>
          <w:tcPr>
            <w:tcW w:w="3012" w:type="dxa"/>
            <w:tcBorders>
              <w:top w:val="nil"/>
              <w:left w:val="nil"/>
              <w:bottom w:val="nil"/>
              <w:right w:val="nil"/>
            </w:tcBorders>
            <w:shd w:val="clear" w:color="auto" w:fill="auto"/>
          </w:tcPr>
          <w:p w:rsidR="00957737" w:rsidRPr="006C29A5" w:rsidRDefault="00957737" w:rsidP="002201C0">
            <w:pPr>
              <w:rPr>
                <w:rFonts w:ascii="Garamond" w:hAnsi="Garamond" w:cs="Courier New"/>
                <w:sz w:val="28"/>
                <w:szCs w:val="28"/>
              </w:rPr>
            </w:pPr>
            <w:r w:rsidRPr="006C29A5">
              <w:rPr>
                <w:rFonts w:ascii="Garamond" w:hAnsi="Garamond" w:cs="Courier New"/>
                <w:sz w:val="28"/>
                <w:szCs w:val="28"/>
              </w:rPr>
              <w:t>REQUERENTE(S)</w:t>
            </w:r>
          </w:p>
        </w:tc>
        <w:tc>
          <w:tcPr>
            <w:tcW w:w="282" w:type="dxa"/>
            <w:tcBorders>
              <w:top w:val="nil"/>
              <w:left w:val="nil"/>
              <w:bottom w:val="nil"/>
              <w:right w:val="nil"/>
            </w:tcBorders>
            <w:shd w:val="clear" w:color="auto" w:fill="auto"/>
          </w:tcPr>
          <w:p w:rsidR="00957737" w:rsidRPr="006C29A5" w:rsidRDefault="00957737" w:rsidP="002201C0">
            <w:pPr>
              <w:jc w:val="center"/>
              <w:rPr>
                <w:rFonts w:ascii="Garamond" w:hAnsi="Garamond" w:cs="Courier New"/>
                <w:b/>
                <w:sz w:val="28"/>
                <w:szCs w:val="28"/>
              </w:rPr>
            </w:pPr>
            <w:r w:rsidRPr="006C29A5">
              <w:rPr>
                <w:rFonts w:ascii="Garamond" w:hAnsi="Garamond" w:cs="Courier New"/>
                <w:sz w:val="28"/>
                <w:szCs w:val="28"/>
              </w:rPr>
              <w:t>:</w:t>
            </w:r>
          </w:p>
        </w:tc>
        <w:tc>
          <w:tcPr>
            <w:tcW w:w="5426" w:type="dxa"/>
            <w:tcBorders>
              <w:top w:val="nil"/>
              <w:left w:val="nil"/>
              <w:bottom w:val="nil"/>
              <w:right w:val="nil"/>
            </w:tcBorders>
            <w:shd w:val="clear" w:color="auto" w:fill="auto"/>
          </w:tcPr>
          <w:p w:rsidR="00957737" w:rsidRPr="006C29A5" w:rsidRDefault="00957737" w:rsidP="00957737">
            <w:pPr>
              <w:rPr>
                <w:rFonts w:ascii="Garamond" w:hAnsi="Garamond" w:cs="Courier New"/>
                <w:sz w:val="28"/>
                <w:szCs w:val="28"/>
              </w:rPr>
            </w:pPr>
            <w:r w:rsidRPr="006C29A5">
              <w:rPr>
                <w:rFonts w:ascii="Garamond" w:hAnsi="Garamond" w:cs="Courier New"/>
                <w:sz w:val="28"/>
                <w:szCs w:val="28"/>
              </w:rPr>
              <w:t>CONFEDERAÇÃO NACIONAL DOS ESTABELECIMENTOS DE ENSINO - CONFENEN</w:t>
            </w:r>
          </w:p>
        </w:tc>
      </w:tr>
      <w:tr w:rsidR="00957737" w:rsidRPr="006C29A5" w:rsidTr="00957737">
        <w:tc>
          <w:tcPr>
            <w:tcW w:w="3012" w:type="dxa"/>
            <w:tcBorders>
              <w:top w:val="nil"/>
              <w:left w:val="nil"/>
              <w:bottom w:val="nil"/>
              <w:right w:val="nil"/>
            </w:tcBorders>
            <w:shd w:val="clear" w:color="auto" w:fill="auto"/>
          </w:tcPr>
          <w:p w:rsidR="00957737" w:rsidRPr="006C29A5" w:rsidRDefault="00957737" w:rsidP="002201C0">
            <w:pPr>
              <w:rPr>
                <w:rFonts w:ascii="Garamond" w:hAnsi="Garamond" w:cs="Courier New"/>
                <w:sz w:val="28"/>
                <w:szCs w:val="28"/>
              </w:rPr>
            </w:pPr>
            <w:r w:rsidRPr="006C29A5">
              <w:rPr>
                <w:rFonts w:ascii="Garamond" w:hAnsi="Garamond" w:cs="Courier New"/>
                <w:sz w:val="28"/>
                <w:szCs w:val="28"/>
              </w:rPr>
              <w:t>ADVOGADO (A/S)</w:t>
            </w:r>
          </w:p>
        </w:tc>
        <w:tc>
          <w:tcPr>
            <w:tcW w:w="282" w:type="dxa"/>
            <w:tcBorders>
              <w:top w:val="nil"/>
              <w:left w:val="nil"/>
              <w:bottom w:val="nil"/>
              <w:right w:val="nil"/>
            </w:tcBorders>
            <w:shd w:val="clear" w:color="auto" w:fill="auto"/>
          </w:tcPr>
          <w:p w:rsidR="00957737" w:rsidRPr="006C29A5" w:rsidRDefault="00957737" w:rsidP="002201C0">
            <w:pPr>
              <w:jc w:val="center"/>
              <w:rPr>
                <w:rFonts w:ascii="Garamond" w:hAnsi="Garamond" w:cs="Courier New"/>
                <w:b/>
                <w:sz w:val="28"/>
                <w:szCs w:val="28"/>
              </w:rPr>
            </w:pPr>
            <w:r w:rsidRPr="006C29A5">
              <w:rPr>
                <w:rFonts w:ascii="Garamond" w:hAnsi="Garamond" w:cs="Courier New"/>
                <w:sz w:val="28"/>
                <w:szCs w:val="28"/>
              </w:rPr>
              <w:t>:</w:t>
            </w:r>
          </w:p>
        </w:tc>
        <w:tc>
          <w:tcPr>
            <w:tcW w:w="5426" w:type="dxa"/>
            <w:tcBorders>
              <w:top w:val="nil"/>
              <w:left w:val="nil"/>
              <w:bottom w:val="nil"/>
              <w:right w:val="nil"/>
            </w:tcBorders>
            <w:shd w:val="clear" w:color="auto" w:fill="auto"/>
          </w:tcPr>
          <w:p w:rsidR="00957737" w:rsidRPr="006C29A5" w:rsidRDefault="00957737" w:rsidP="00957737">
            <w:pPr>
              <w:rPr>
                <w:rFonts w:ascii="Garamond" w:hAnsi="Garamond" w:cs="Courier New"/>
                <w:sz w:val="28"/>
                <w:szCs w:val="28"/>
              </w:rPr>
            </w:pPr>
            <w:r w:rsidRPr="006C29A5">
              <w:rPr>
                <w:rFonts w:ascii="Garamond" w:hAnsi="Garamond" w:cs="Courier New"/>
                <w:sz w:val="28"/>
                <w:szCs w:val="28"/>
              </w:rPr>
              <w:t>IVES GANDRA DA SILVA MARTINS E OUTRO (A/S)</w:t>
            </w:r>
          </w:p>
        </w:tc>
      </w:tr>
      <w:tr w:rsidR="00957737" w:rsidRPr="006C29A5" w:rsidTr="00957737">
        <w:tc>
          <w:tcPr>
            <w:tcW w:w="3012" w:type="dxa"/>
            <w:tcBorders>
              <w:top w:val="nil"/>
              <w:left w:val="nil"/>
              <w:bottom w:val="nil"/>
              <w:right w:val="nil"/>
            </w:tcBorders>
            <w:shd w:val="clear" w:color="auto" w:fill="auto"/>
          </w:tcPr>
          <w:p w:rsidR="00957737" w:rsidRPr="006C29A5" w:rsidRDefault="00957737" w:rsidP="00957737">
            <w:pPr>
              <w:rPr>
                <w:rFonts w:ascii="Garamond" w:hAnsi="Garamond" w:cs="Courier New"/>
                <w:sz w:val="28"/>
                <w:szCs w:val="28"/>
              </w:rPr>
            </w:pPr>
            <w:r w:rsidRPr="006C29A5">
              <w:rPr>
                <w:rFonts w:ascii="Garamond" w:hAnsi="Garamond" w:cs="Courier New"/>
                <w:sz w:val="28"/>
                <w:szCs w:val="28"/>
              </w:rPr>
              <w:t>REQUERENTE (S)</w:t>
            </w:r>
          </w:p>
        </w:tc>
        <w:tc>
          <w:tcPr>
            <w:tcW w:w="282" w:type="dxa"/>
            <w:tcBorders>
              <w:top w:val="nil"/>
              <w:left w:val="nil"/>
              <w:bottom w:val="nil"/>
              <w:right w:val="nil"/>
            </w:tcBorders>
            <w:shd w:val="clear" w:color="auto" w:fill="auto"/>
          </w:tcPr>
          <w:p w:rsidR="00957737" w:rsidRPr="006C29A5" w:rsidRDefault="00957737" w:rsidP="002201C0">
            <w:pPr>
              <w:jc w:val="center"/>
              <w:rPr>
                <w:rFonts w:ascii="Garamond" w:hAnsi="Garamond" w:cs="Courier New"/>
                <w:b/>
                <w:sz w:val="28"/>
                <w:szCs w:val="28"/>
              </w:rPr>
            </w:pPr>
            <w:r w:rsidRPr="006C29A5">
              <w:rPr>
                <w:rFonts w:ascii="Garamond" w:hAnsi="Garamond" w:cs="Courier New"/>
                <w:sz w:val="28"/>
                <w:szCs w:val="28"/>
              </w:rPr>
              <w:t>:</w:t>
            </w:r>
          </w:p>
        </w:tc>
        <w:tc>
          <w:tcPr>
            <w:tcW w:w="5426" w:type="dxa"/>
            <w:tcBorders>
              <w:top w:val="nil"/>
              <w:left w:val="nil"/>
              <w:bottom w:val="nil"/>
              <w:right w:val="nil"/>
            </w:tcBorders>
            <w:shd w:val="clear" w:color="auto" w:fill="auto"/>
          </w:tcPr>
          <w:p w:rsidR="00957737" w:rsidRPr="006C29A5" w:rsidRDefault="00957737" w:rsidP="002201C0">
            <w:pPr>
              <w:rPr>
                <w:rFonts w:ascii="Garamond" w:hAnsi="Garamond" w:cs="Courier New"/>
                <w:sz w:val="28"/>
                <w:szCs w:val="28"/>
              </w:rPr>
            </w:pPr>
            <w:r w:rsidRPr="006C29A5">
              <w:rPr>
                <w:rFonts w:ascii="Garamond" w:hAnsi="Garamond" w:cs="Courier New"/>
                <w:sz w:val="28"/>
                <w:szCs w:val="28"/>
              </w:rPr>
              <w:t xml:space="preserve">DEMOCRATAS - DEM </w:t>
            </w:r>
          </w:p>
        </w:tc>
      </w:tr>
      <w:tr w:rsidR="00957737" w:rsidRPr="006C29A5" w:rsidTr="00957737">
        <w:tc>
          <w:tcPr>
            <w:tcW w:w="3012" w:type="dxa"/>
            <w:tcBorders>
              <w:top w:val="nil"/>
              <w:left w:val="nil"/>
              <w:bottom w:val="nil"/>
              <w:right w:val="nil"/>
            </w:tcBorders>
            <w:shd w:val="clear" w:color="auto" w:fill="auto"/>
          </w:tcPr>
          <w:p w:rsidR="00957737" w:rsidRPr="006C29A5" w:rsidRDefault="00957737" w:rsidP="002201C0">
            <w:pPr>
              <w:rPr>
                <w:rFonts w:ascii="Garamond" w:hAnsi="Garamond" w:cs="Courier New"/>
                <w:sz w:val="28"/>
                <w:szCs w:val="28"/>
              </w:rPr>
            </w:pPr>
            <w:r w:rsidRPr="006C29A5">
              <w:rPr>
                <w:rFonts w:ascii="Garamond" w:hAnsi="Garamond" w:cs="Courier New"/>
                <w:sz w:val="28"/>
                <w:szCs w:val="28"/>
              </w:rPr>
              <w:t>ADVOGADO (A/S)</w:t>
            </w:r>
          </w:p>
        </w:tc>
        <w:tc>
          <w:tcPr>
            <w:tcW w:w="282" w:type="dxa"/>
            <w:tcBorders>
              <w:top w:val="nil"/>
              <w:left w:val="nil"/>
              <w:bottom w:val="nil"/>
              <w:right w:val="nil"/>
            </w:tcBorders>
            <w:shd w:val="clear" w:color="auto" w:fill="auto"/>
          </w:tcPr>
          <w:p w:rsidR="00957737" w:rsidRPr="006C29A5" w:rsidRDefault="00957737" w:rsidP="002201C0">
            <w:pPr>
              <w:jc w:val="center"/>
              <w:rPr>
                <w:rFonts w:ascii="Garamond" w:hAnsi="Garamond" w:cs="Courier New"/>
                <w:b/>
                <w:sz w:val="28"/>
                <w:szCs w:val="28"/>
              </w:rPr>
            </w:pPr>
            <w:r w:rsidRPr="006C29A5">
              <w:rPr>
                <w:rFonts w:ascii="Garamond" w:hAnsi="Garamond" w:cs="Courier New"/>
                <w:sz w:val="28"/>
                <w:szCs w:val="28"/>
              </w:rPr>
              <w:t>:</w:t>
            </w:r>
          </w:p>
        </w:tc>
        <w:tc>
          <w:tcPr>
            <w:tcW w:w="5426" w:type="dxa"/>
            <w:tcBorders>
              <w:top w:val="nil"/>
              <w:left w:val="nil"/>
              <w:bottom w:val="nil"/>
              <w:right w:val="nil"/>
            </w:tcBorders>
            <w:shd w:val="clear" w:color="auto" w:fill="auto"/>
          </w:tcPr>
          <w:p w:rsidR="00957737" w:rsidRPr="006C29A5" w:rsidRDefault="00957737" w:rsidP="002201C0">
            <w:pPr>
              <w:rPr>
                <w:rFonts w:ascii="Garamond" w:hAnsi="Garamond" w:cs="Courier New"/>
                <w:sz w:val="28"/>
                <w:szCs w:val="28"/>
              </w:rPr>
            </w:pPr>
            <w:r w:rsidRPr="006C29A5">
              <w:rPr>
                <w:rFonts w:ascii="Garamond" w:hAnsi="Garamond" w:cs="Courier New"/>
                <w:sz w:val="28"/>
                <w:szCs w:val="28"/>
              </w:rPr>
              <w:t>ADMAR GONZAGA E OUTRO</w:t>
            </w:r>
          </w:p>
        </w:tc>
      </w:tr>
      <w:tr w:rsidR="00957737" w:rsidRPr="006C29A5" w:rsidTr="00957737">
        <w:tc>
          <w:tcPr>
            <w:tcW w:w="3012" w:type="dxa"/>
            <w:tcBorders>
              <w:top w:val="nil"/>
              <w:left w:val="nil"/>
              <w:bottom w:val="nil"/>
              <w:right w:val="nil"/>
            </w:tcBorders>
            <w:shd w:val="clear" w:color="auto" w:fill="auto"/>
          </w:tcPr>
          <w:p w:rsidR="00957737" w:rsidRPr="006C29A5" w:rsidRDefault="00957737" w:rsidP="002201C0">
            <w:pPr>
              <w:rPr>
                <w:rFonts w:ascii="Garamond" w:hAnsi="Garamond" w:cs="Courier New"/>
                <w:sz w:val="28"/>
                <w:szCs w:val="28"/>
              </w:rPr>
            </w:pPr>
            <w:r w:rsidRPr="006C29A5">
              <w:rPr>
                <w:rFonts w:ascii="Garamond" w:hAnsi="Garamond" w:cs="Courier New"/>
                <w:sz w:val="28"/>
                <w:szCs w:val="28"/>
              </w:rPr>
              <w:t>REQUERENTE (S)</w:t>
            </w:r>
          </w:p>
        </w:tc>
        <w:tc>
          <w:tcPr>
            <w:tcW w:w="282" w:type="dxa"/>
            <w:tcBorders>
              <w:top w:val="nil"/>
              <w:left w:val="nil"/>
              <w:bottom w:val="nil"/>
              <w:right w:val="nil"/>
            </w:tcBorders>
            <w:shd w:val="clear" w:color="auto" w:fill="auto"/>
          </w:tcPr>
          <w:p w:rsidR="00957737" w:rsidRPr="006C29A5" w:rsidRDefault="00957737" w:rsidP="002201C0">
            <w:pPr>
              <w:jc w:val="center"/>
              <w:rPr>
                <w:rFonts w:ascii="Garamond" w:hAnsi="Garamond" w:cs="Courier New"/>
                <w:b/>
                <w:sz w:val="28"/>
                <w:szCs w:val="28"/>
              </w:rPr>
            </w:pPr>
            <w:r w:rsidRPr="006C29A5">
              <w:rPr>
                <w:rFonts w:ascii="Garamond" w:hAnsi="Garamond" w:cs="Courier New"/>
                <w:sz w:val="28"/>
                <w:szCs w:val="28"/>
              </w:rPr>
              <w:t>:</w:t>
            </w:r>
          </w:p>
        </w:tc>
        <w:tc>
          <w:tcPr>
            <w:tcW w:w="5426" w:type="dxa"/>
            <w:tcBorders>
              <w:top w:val="nil"/>
              <w:left w:val="nil"/>
              <w:bottom w:val="nil"/>
              <w:right w:val="nil"/>
            </w:tcBorders>
            <w:shd w:val="clear" w:color="auto" w:fill="auto"/>
          </w:tcPr>
          <w:p w:rsidR="00957737" w:rsidRPr="006C29A5" w:rsidRDefault="00957737" w:rsidP="00957737">
            <w:pPr>
              <w:rPr>
                <w:rFonts w:ascii="Garamond" w:hAnsi="Garamond" w:cs="Courier New"/>
                <w:sz w:val="28"/>
                <w:szCs w:val="28"/>
              </w:rPr>
            </w:pPr>
            <w:r w:rsidRPr="006C29A5">
              <w:rPr>
                <w:rFonts w:ascii="Garamond" w:hAnsi="Garamond" w:cs="Courier New"/>
                <w:sz w:val="28"/>
                <w:szCs w:val="28"/>
              </w:rPr>
              <w:t>FEDERAÇÃO NACIONAL DOS AUDITORES FISCAIS DA PREVIDÊNCIA SOCIAL - FENAFISP</w:t>
            </w:r>
          </w:p>
        </w:tc>
      </w:tr>
      <w:tr w:rsidR="00957737" w:rsidRPr="006C29A5" w:rsidTr="00957737">
        <w:tc>
          <w:tcPr>
            <w:tcW w:w="3012" w:type="dxa"/>
            <w:tcBorders>
              <w:top w:val="nil"/>
              <w:left w:val="nil"/>
              <w:bottom w:val="nil"/>
              <w:right w:val="nil"/>
            </w:tcBorders>
            <w:shd w:val="clear" w:color="auto" w:fill="auto"/>
          </w:tcPr>
          <w:p w:rsidR="00957737" w:rsidRPr="006C29A5" w:rsidRDefault="00957737" w:rsidP="002201C0">
            <w:pPr>
              <w:rPr>
                <w:rFonts w:ascii="Garamond" w:hAnsi="Garamond" w:cs="Courier New"/>
                <w:sz w:val="28"/>
                <w:szCs w:val="28"/>
              </w:rPr>
            </w:pPr>
            <w:r w:rsidRPr="006C29A5">
              <w:rPr>
                <w:rFonts w:ascii="Garamond" w:hAnsi="Garamond" w:cs="Courier New"/>
                <w:sz w:val="28"/>
                <w:szCs w:val="28"/>
              </w:rPr>
              <w:t>ADVOGADO (A/S)</w:t>
            </w:r>
          </w:p>
        </w:tc>
        <w:tc>
          <w:tcPr>
            <w:tcW w:w="282" w:type="dxa"/>
            <w:tcBorders>
              <w:top w:val="nil"/>
              <w:left w:val="nil"/>
              <w:bottom w:val="nil"/>
              <w:right w:val="nil"/>
            </w:tcBorders>
            <w:shd w:val="clear" w:color="auto" w:fill="auto"/>
          </w:tcPr>
          <w:p w:rsidR="00957737" w:rsidRPr="006C29A5" w:rsidRDefault="00957737" w:rsidP="002201C0">
            <w:pPr>
              <w:jc w:val="center"/>
              <w:rPr>
                <w:rFonts w:ascii="Garamond" w:hAnsi="Garamond" w:cs="Courier New"/>
                <w:sz w:val="28"/>
                <w:szCs w:val="28"/>
              </w:rPr>
            </w:pPr>
            <w:r w:rsidRPr="006C29A5">
              <w:rPr>
                <w:rFonts w:ascii="Garamond" w:hAnsi="Garamond" w:cs="Courier New"/>
                <w:sz w:val="28"/>
                <w:szCs w:val="28"/>
              </w:rPr>
              <w:t>:</w:t>
            </w:r>
          </w:p>
        </w:tc>
        <w:tc>
          <w:tcPr>
            <w:tcW w:w="5426" w:type="dxa"/>
            <w:tcBorders>
              <w:top w:val="nil"/>
              <w:left w:val="nil"/>
              <w:bottom w:val="nil"/>
              <w:right w:val="nil"/>
            </w:tcBorders>
            <w:shd w:val="clear" w:color="auto" w:fill="auto"/>
          </w:tcPr>
          <w:p w:rsidR="00957737" w:rsidRPr="006C29A5" w:rsidRDefault="00957737" w:rsidP="002201C0">
            <w:pPr>
              <w:rPr>
                <w:rFonts w:ascii="Garamond" w:hAnsi="Garamond" w:cs="Courier New"/>
                <w:sz w:val="28"/>
                <w:szCs w:val="28"/>
              </w:rPr>
            </w:pPr>
            <w:r w:rsidRPr="006C29A5">
              <w:rPr>
                <w:rFonts w:ascii="Garamond" w:hAnsi="Garamond" w:cs="Courier New"/>
                <w:sz w:val="28"/>
                <w:szCs w:val="28"/>
              </w:rPr>
              <w:t>PAULO ROBERTO LEMGRUBER EBERT</w:t>
            </w:r>
          </w:p>
          <w:p w:rsidR="00957737" w:rsidRPr="006C29A5" w:rsidRDefault="00957737" w:rsidP="002201C0">
            <w:pPr>
              <w:rPr>
                <w:rFonts w:ascii="Garamond" w:hAnsi="Garamond" w:cs="Courier New"/>
                <w:sz w:val="28"/>
                <w:szCs w:val="28"/>
              </w:rPr>
            </w:pPr>
          </w:p>
        </w:tc>
      </w:tr>
      <w:tr w:rsidR="00957737" w:rsidRPr="006C29A5" w:rsidTr="00957737">
        <w:tc>
          <w:tcPr>
            <w:tcW w:w="3012" w:type="dxa"/>
            <w:tcBorders>
              <w:top w:val="nil"/>
              <w:left w:val="nil"/>
              <w:bottom w:val="nil"/>
              <w:right w:val="nil"/>
            </w:tcBorders>
            <w:shd w:val="clear" w:color="auto" w:fill="auto"/>
          </w:tcPr>
          <w:p w:rsidR="00957737" w:rsidRPr="006C29A5" w:rsidRDefault="00957737" w:rsidP="00957737">
            <w:pPr>
              <w:rPr>
                <w:rFonts w:ascii="Garamond" w:hAnsi="Garamond" w:cs="Courier New"/>
                <w:sz w:val="28"/>
                <w:szCs w:val="28"/>
              </w:rPr>
            </w:pPr>
            <w:r w:rsidRPr="006C29A5">
              <w:rPr>
                <w:rFonts w:ascii="Garamond" w:hAnsi="Garamond" w:cs="Courier New"/>
                <w:sz w:val="28"/>
                <w:szCs w:val="28"/>
              </w:rPr>
              <w:t>REQUERIDO (A/S)</w:t>
            </w:r>
          </w:p>
        </w:tc>
        <w:tc>
          <w:tcPr>
            <w:tcW w:w="282" w:type="dxa"/>
            <w:tcBorders>
              <w:top w:val="nil"/>
              <w:left w:val="nil"/>
              <w:bottom w:val="nil"/>
              <w:right w:val="nil"/>
            </w:tcBorders>
            <w:shd w:val="clear" w:color="auto" w:fill="auto"/>
          </w:tcPr>
          <w:p w:rsidR="00957737" w:rsidRPr="006C29A5" w:rsidRDefault="00957737" w:rsidP="002201C0">
            <w:pPr>
              <w:jc w:val="center"/>
              <w:rPr>
                <w:rFonts w:ascii="Garamond" w:hAnsi="Garamond" w:cs="Courier New"/>
                <w:sz w:val="28"/>
                <w:szCs w:val="28"/>
              </w:rPr>
            </w:pPr>
            <w:r w:rsidRPr="006C29A5">
              <w:rPr>
                <w:rFonts w:ascii="Garamond" w:hAnsi="Garamond" w:cs="Courier New"/>
                <w:sz w:val="28"/>
                <w:szCs w:val="28"/>
              </w:rPr>
              <w:t>:</w:t>
            </w:r>
          </w:p>
        </w:tc>
        <w:tc>
          <w:tcPr>
            <w:tcW w:w="5426" w:type="dxa"/>
            <w:tcBorders>
              <w:top w:val="nil"/>
              <w:left w:val="nil"/>
              <w:bottom w:val="nil"/>
              <w:right w:val="nil"/>
            </w:tcBorders>
            <w:shd w:val="clear" w:color="auto" w:fill="auto"/>
          </w:tcPr>
          <w:p w:rsidR="00957737" w:rsidRPr="006C29A5" w:rsidRDefault="00957737" w:rsidP="002201C0">
            <w:pPr>
              <w:rPr>
                <w:rFonts w:ascii="Garamond" w:hAnsi="Garamond" w:cs="Courier New"/>
                <w:sz w:val="28"/>
                <w:szCs w:val="28"/>
              </w:rPr>
            </w:pPr>
            <w:r w:rsidRPr="006C29A5">
              <w:rPr>
                <w:rFonts w:ascii="Garamond" w:hAnsi="Garamond" w:cs="Courier New"/>
                <w:sz w:val="28"/>
                <w:szCs w:val="28"/>
              </w:rPr>
              <w:t>PRESIDENTE DA REPÚBLICA</w:t>
            </w:r>
          </w:p>
        </w:tc>
      </w:tr>
      <w:tr w:rsidR="00957737" w:rsidRPr="006C29A5" w:rsidTr="00957737">
        <w:tc>
          <w:tcPr>
            <w:tcW w:w="3012" w:type="dxa"/>
            <w:tcBorders>
              <w:top w:val="nil"/>
              <w:left w:val="nil"/>
              <w:bottom w:val="nil"/>
              <w:right w:val="nil"/>
            </w:tcBorders>
            <w:shd w:val="clear" w:color="auto" w:fill="auto"/>
          </w:tcPr>
          <w:p w:rsidR="00957737" w:rsidRPr="006C29A5" w:rsidRDefault="00957737" w:rsidP="002201C0">
            <w:pPr>
              <w:rPr>
                <w:rFonts w:ascii="Garamond" w:hAnsi="Garamond" w:cs="Courier New"/>
                <w:sz w:val="28"/>
                <w:szCs w:val="28"/>
              </w:rPr>
            </w:pPr>
            <w:r w:rsidRPr="006C29A5">
              <w:rPr>
                <w:rFonts w:ascii="Garamond" w:hAnsi="Garamond" w:cs="Courier New"/>
                <w:sz w:val="28"/>
                <w:szCs w:val="28"/>
              </w:rPr>
              <w:t>ADVOGADO (A/S)</w:t>
            </w:r>
          </w:p>
        </w:tc>
        <w:tc>
          <w:tcPr>
            <w:tcW w:w="282" w:type="dxa"/>
            <w:tcBorders>
              <w:top w:val="nil"/>
              <w:left w:val="nil"/>
              <w:bottom w:val="nil"/>
              <w:right w:val="nil"/>
            </w:tcBorders>
            <w:shd w:val="clear" w:color="auto" w:fill="auto"/>
          </w:tcPr>
          <w:p w:rsidR="00957737" w:rsidRPr="006C29A5" w:rsidRDefault="00957737" w:rsidP="002201C0">
            <w:pPr>
              <w:jc w:val="center"/>
              <w:rPr>
                <w:rFonts w:ascii="Garamond" w:hAnsi="Garamond" w:cs="Courier New"/>
                <w:sz w:val="28"/>
                <w:szCs w:val="28"/>
              </w:rPr>
            </w:pPr>
            <w:r w:rsidRPr="006C29A5">
              <w:rPr>
                <w:rFonts w:ascii="Garamond" w:hAnsi="Garamond" w:cs="Courier New"/>
                <w:sz w:val="28"/>
                <w:szCs w:val="28"/>
              </w:rPr>
              <w:t>:</w:t>
            </w:r>
          </w:p>
        </w:tc>
        <w:tc>
          <w:tcPr>
            <w:tcW w:w="5426" w:type="dxa"/>
            <w:tcBorders>
              <w:top w:val="nil"/>
              <w:left w:val="nil"/>
              <w:bottom w:val="nil"/>
              <w:right w:val="nil"/>
            </w:tcBorders>
            <w:shd w:val="clear" w:color="auto" w:fill="auto"/>
          </w:tcPr>
          <w:p w:rsidR="00957737" w:rsidRPr="006C29A5" w:rsidRDefault="00957737" w:rsidP="002201C0">
            <w:pPr>
              <w:rPr>
                <w:rFonts w:ascii="Garamond" w:hAnsi="Garamond" w:cs="Courier New"/>
                <w:sz w:val="28"/>
                <w:szCs w:val="28"/>
              </w:rPr>
            </w:pPr>
            <w:r w:rsidRPr="006C29A5">
              <w:rPr>
                <w:rFonts w:ascii="Garamond" w:hAnsi="Garamond" w:cs="Courier New"/>
                <w:sz w:val="28"/>
                <w:szCs w:val="28"/>
              </w:rPr>
              <w:t>ADVOGADO-GERAL DA UNIÃO</w:t>
            </w:r>
          </w:p>
          <w:p w:rsidR="00957737" w:rsidRPr="006C29A5" w:rsidRDefault="00957737" w:rsidP="002201C0">
            <w:pPr>
              <w:rPr>
                <w:rFonts w:ascii="Garamond" w:hAnsi="Garamond" w:cs="Courier New"/>
                <w:sz w:val="28"/>
                <w:szCs w:val="28"/>
              </w:rPr>
            </w:pPr>
          </w:p>
        </w:tc>
      </w:tr>
    </w:tbl>
    <w:p w:rsidR="00DC145D" w:rsidRPr="006C29A5" w:rsidRDefault="00DC145D">
      <w:pPr>
        <w:rPr>
          <w:rFonts w:ascii="Garamond" w:hAnsi="Garamond"/>
          <w:sz w:val="28"/>
          <w:szCs w:val="28"/>
        </w:rPr>
      </w:pPr>
    </w:p>
    <w:p w:rsidR="00957737" w:rsidRPr="006C29A5" w:rsidRDefault="00957737" w:rsidP="00957737">
      <w:pPr>
        <w:spacing w:before="240" w:line="360" w:lineRule="auto"/>
        <w:ind w:firstLine="1418"/>
        <w:jc w:val="both"/>
        <w:rPr>
          <w:rFonts w:ascii="Garamond" w:hAnsi="Garamond" w:cs="Courier New"/>
          <w:sz w:val="28"/>
          <w:szCs w:val="28"/>
        </w:rPr>
      </w:pPr>
      <w:proofErr w:type="gramStart"/>
      <w:r w:rsidRPr="006C29A5">
        <w:rPr>
          <w:rFonts w:ascii="Garamond" w:hAnsi="Garamond" w:cs="Courier New"/>
          <w:b/>
          <w:sz w:val="28"/>
          <w:szCs w:val="28"/>
        </w:rPr>
        <w:t>O SENHOR MINISTRO</w:t>
      </w:r>
      <w:proofErr w:type="gramEnd"/>
      <w:r w:rsidRPr="006C29A5">
        <w:rPr>
          <w:rFonts w:ascii="Garamond" w:hAnsi="Garamond" w:cs="Courier New"/>
          <w:b/>
          <w:sz w:val="28"/>
          <w:szCs w:val="28"/>
        </w:rPr>
        <w:t xml:space="preserve"> GILMAR MENDES:</w:t>
      </w:r>
      <w:r w:rsidRPr="006C29A5">
        <w:rPr>
          <w:rFonts w:ascii="Garamond" w:hAnsi="Garamond" w:cs="Courier New"/>
          <w:sz w:val="28"/>
          <w:szCs w:val="28"/>
        </w:rPr>
        <w:t xml:space="preserve"> </w:t>
      </w:r>
    </w:p>
    <w:p w:rsidR="00957737" w:rsidRPr="006C29A5" w:rsidRDefault="00957737">
      <w:pPr>
        <w:rPr>
          <w:rFonts w:ascii="Garamond" w:hAnsi="Garamond"/>
          <w:sz w:val="28"/>
          <w:szCs w:val="28"/>
        </w:rPr>
      </w:pPr>
    </w:p>
    <w:p w:rsidR="00B31F96" w:rsidRPr="006C29A5" w:rsidRDefault="00B31F96" w:rsidP="00B31F96">
      <w:pPr>
        <w:spacing w:before="240" w:line="360" w:lineRule="auto"/>
        <w:jc w:val="both"/>
        <w:rPr>
          <w:rFonts w:ascii="Garamond" w:hAnsi="Garamond" w:cs="Courier New"/>
          <w:b/>
          <w:sz w:val="28"/>
          <w:szCs w:val="28"/>
        </w:rPr>
      </w:pPr>
      <w:r w:rsidRPr="006C29A5">
        <w:rPr>
          <w:rFonts w:ascii="Garamond" w:hAnsi="Garamond" w:cs="Courier New"/>
          <w:b/>
          <w:sz w:val="28"/>
          <w:szCs w:val="28"/>
        </w:rPr>
        <w:t>1. BREVE RELATO DA AÇÃO</w:t>
      </w:r>
    </w:p>
    <w:p w:rsidR="00957737" w:rsidRDefault="006C29A5" w:rsidP="006C29A5">
      <w:pPr>
        <w:spacing w:line="360" w:lineRule="auto"/>
        <w:jc w:val="both"/>
        <w:rPr>
          <w:rFonts w:ascii="Garamond" w:hAnsi="Garamond"/>
          <w:sz w:val="28"/>
          <w:szCs w:val="28"/>
        </w:rPr>
      </w:pPr>
      <w:r w:rsidRPr="006C29A5">
        <w:rPr>
          <w:rFonts w:ascii="Garamond" w:hAnsi="Garamond"/>
          <w:sz w:val="28"/>
          <w:szCs w:val="28"/>
        </w:rPr>
        <w:tab/>
      </w:r>
      <w:r w:rsidRPr="006C29A5">
        <w:rPr>
          <w:rFonts w:ascii="Garamond" w:hAnsi="Garamond"/>
          <w:sz w:val="28"/>
          <w:szCs w:val="28"/>
        </w:rPr>
        <w:tab/>
        <w:t>Trata-se de ação direta de inconstitucionalidade</w:t>
      </w:r>
      <w:r>
        <w:rPr>
          <w:rFonts w:ascii="Garamond" w:hAnsi="Garamond"/>
          <w:sz w:val="28"/>
          <w:szCs w:val="28"/>
        </w:rPr>
        <w:t xml:space="preserve">, proposta pela </w:t>
      </w:r>
      <w:r w:rsidRPr="006C29A5">
        <w:rPr>
          <w:rFonts w:ascii="Garamond" w:hAnsi="Garamond" w:cs="Courier New"/>
          <w:sz w:val="28"/>
          <w:szCs w:val="28"/>
        </w:rPr>
        <w:t xml:space="preserve">CONFEDERAÇÃO NACIONAL DOS ESTABELECIMENTOS DE ENSINO </w:t>
      </w:r>
      <w:r w:rsidR="00C86AAB">
        <w:rPr>
          <w:rFonts w:ascii="Garamond" w:hAnsi="Garamond" w:cs="Courier New"/>
          <w:sz w:val="28"/>
          <w:szCs w:val="28"/>
        </w:rPr>
        <w:t>(</w:t>
      </w:r>
      <w:r w:rsidRPr="006C29A5">
        <w:rPr>
          <w:rFonts w:ascii="Garamond" w:hAnsi="Garamond" w:cs="Courier New"/>
          <w:sz w:val="28"/>
          <w:szCs w:val="28"/>
        </w:rPr>
        <w:t>CONFENEN</w:t>
      </w:r>
      <w:r w:rsidR="00C86AAB">
        <w:rPr>
          <w:rFonts w:ascii="Garamond" w:hAnsi="Garamond" w:cs="Courier New"/>
          <w:sz w:val="28"/>
          <w:szCs w:val="28"/>
        </w:rPr>
        <w:t>)</w:t>
      </w:r>
      <w:r>
        <w:rPr>
          <w:rFonts w:ascii="Garamond" w:hAnsi="Garamond" w:cs="Courier New"/>
          <w:sz w:val="28"/>
          <w:szCs w:val="28"/>
        </w:rPr>
        <w:t xml:space="preserve">, pelo partido </w:t>
      </w:r>
      <w:proofErr w:type="gramStart"/>
      <w:r>
        <w:rPr>
          <w:rFonts w:ascii="Garamond" w:hAnsi="Garamond" w:cs="Courier New"/>
          <w:sz w:val="28"/>
          <w:szCs w:val="28"/>
        </w:rPr>
        <w:t xml:space="preserve">político </w:t>
      </w:r>
      <w:r w:rsidRPr="006C29A5">
        <w:rPr>
          <w:rFonts w:ascii="Garamond" w:hAnsi="Garamond" w:cs="Courier New"/>
          <w:sz w:val="28"/>
          <w:szCs w:val="28"/>
        </w:rPr>
        <w:t>DEMOCRATAS</w:t>
      </w:r>
      <w:proofErr w:type="gramEnd"/>
      <w:r w:rsidRPr="006C29A5">
        <w:rPr>
          <w:rFonts w:ascii="Garamond" w:hAnsi="Garamond" w:cs="Courier New"/>
          <w:sz w:val="28"/>
          <w:szCs w:val="28"/>
        </w:rPr>
        <w:t xml:space="preserve"> </w:t>
      </w:r>
      <w:r w:rsidR="00C86AAB">
        <w:rPr>
          <w:rFonts w:ascii="Garamond" w:hAnsi="Garamond" w:cs="Courier New"/>
          <w:sz w:val="28"/>
          <w:szCs w:val="28"/>
        </w:rPr>
        <w:t>(</w:t>
      </w:r>
      <w:r w:rsidRPr="006C29A5">
        <w:rPr>
          <w:rFonts w:ascii="Garamond" w:hAnsi="Garamond" w:cs="Courier New"/>
          <w:sz w:val="28"/>
          <w:szCs w:val="28"/>
        </w:rPr>
        <w:t>DEM</w:t>
      </w:r>
      <w:r w:rsidR="00C86AAB">
        <w:rPr>
          <w:rFonts w:ascii="Garamond" w:hAnsi="Garamond" w:cs="Courier New"/>
          <w:sz w:val="28"/>
          <w:szCs w:val="28"/>
        </w:rPr>
        <w:t>)</w:t>
      </w:r>
      <w:r>
        <w:rPr>
          <w:rFonts w:ascii="Garamond" w:hAnsi="Garamond" w:cs="Courier New"/>
          <w:sz w:val="28"/>
          <w:szCs w:val="28"/>
        </w:rPr>
        <w:t xml:space="preserve">, </w:t>
      </w:r>
      <w:r>
        <w:rPr>
          <w:rFonts w:ascii="Garamond" w:hAnsi="Garamond"/>
          <w:sz w:val="28"/>
          <w:szCs w:val="28"/>
        </w:rPr>
        <w:t xml:space="preserve">bem como pela </w:t>
      </w:r>
      <w:r w:rsidRPr="006C29A5">
        <w:rPr>
          <w:rFonts w:ascii="Garamond" w:hAnsi="Garamond" w:cs="Courier New"/>
          <w:sz w:val="28"/>
          <w:szCs w:val="28"/>
        </w:rPr>
        <w:t xml:space="preserve">FEDERAÇÃO NACIONAL DOS AUDITORES FISCAIS DA PREVIDÊNCIA SOCIAL </w:t>
      </w:r>
      <w:r w:rsidR="00C86AAB">
        <w:rPr>
          <w:rFonts w:ascii="Garamond" w:hAnsi="Garamond" w:cs="Courier New"/>
          <w:sz w:val="28"/>
          <w:szCs w:val="28"/>
        </w:rPr>
        <w:t>(</w:t>
      </w:r>
      <w:r w:rsidRPr="006C29A5">
        <w:rPr>
          <w:rFonts w:ascii="Garamond" w:hAnsi="Garamond" w:cs="Courier New"/>
          <w:sz w:val="28"/>
          <w:szCs w:val="28"/>
        </w:rPr>
        <w:t>FENAFISP</w:t>
      </w:r>
      <w:r w:rsidR="00C86AAB">
        <w:rPr>
          <w:rFonts w:ascii="Garamond" w:hAnsi="Garamond" w:cs="Courier New"/>
          <w:sz w:val="28"/>
          <w:szCs w:val="28"/>
        </w:rPr>
        <w:t>)</w:t>
      </w:r>
      <w:r>
        <w:rPr>
          <w:rFonts w:ascii="Garamond" w:hAnsi="Garamond" w:cs="Courier New"/>
          <w:sz w:val="28"/>
          <w:szCs w:val="28"/>
        </w:rPr>
        <w:t>, contra alguns dispositivos da Medida Provisória</w:t>
      </w:r>
      <w:r w:rsidR="00182E2A">
        <w:rPr>
          <w:rFonts w:ascii="Garamond" w:hAnsi="Garamond" w:cs="Courier New"/>
          <w:sz w:val="28"/>
          <w:szCs w:val="28"/>
        </w:rPr>
        <w:t xml:space="preserve"> n</w:t>
      </w:r>
      <w:r w:rsidR="00C86AAB">
        <w:rPr>
          <w:rFonts w:ascii="Garamond" w:hAnsi="Garamond" w:cs="Courier New"/>
          <w:sz w:val="28"/>
          <w:szCs w:val="28"/>
        </w:rPr>
        <w:t>.</w:t>
      </w:r>
      <w:r w:rsidR="00182E2A">
        <w:rPr>
          <w:rFonts w:ascii="Garamond" w:hAnsi="Garamond" w:cs="Courier New"/>
          <w:sz w:val="28"/>
          <w:szCs w:val="28"/>
        </w:rPr>
        <w:t>º 213/2004, convertida na Lei 11.096</w:t>
      </w:r>
      <w:r w:rsidR="00182E2A">
        <w:rPr>
          <w:rFonts w:ascii="Garamond" w:hAnsi="Garamond"/>
          <w:sz w:val="28"/>
          <w:szCs w:val="28"/>
        </w:rPr>
        <w:t>, de 13 de janeiro de 2005.</w:t>
      </w:r>
    </w:p>
    <w:p w:rsidR="00607351" w:rsidRDefault="00607351" w:rsidP="006C29A5">
      <w:pPr>
        <w:spacing w:line="360" w:lineRule="auto"/>
        <w:jc w:val="both"/>
        <w:rPr>
          <w:rFonts w:ascii="Garamond" w:hAnsi="Garamond"/>
          <w:sz w:val="28"/>
          <w:szCs w:val="28"/>
        </w:rPr>
      </w:pPr>
      <w:r>
        <w:rPr>
          <w:rFonts w:ascii="Garamond" w:hAnsi="Garamond"/>
          <w:sz w:val="28"/>
          <w:szCs w:val="28"/>
        </w:rPr>
        <w:tab/>
      </w:r>
      <w:r>
        <w:rPr>
          <w:rFonts w:ascii="Garamond" w:hAnsi="Garamond"/>
          <w:sz w:val="28"/>
          <w:szCs w:val="28"/>
        </w:rPr>
        <w:tab/>
        <w:t>A Medida Provisória atacada “institui o Programa Universidade para Todos – PROUNI</w:t>
      </w:r>
      <w:proofErr w:type="gramStart"/>
      <w:r>
        <w:rPr>
          <w:rFonts w:ascii="Garamond" w:hAnsi="Garamond"/>
          <w:sz w:val="28"/>
          <w:szCs w:val="28"/>
        </w:rPr>
        <w:t>, regula</w:t>
      </w:r>
      <w:proofErr w:type="gramEnd"/>
      <w:r>
        <w:rPr>
          <w:rFonts w:ascii="Garamond" w:hAnsi="Garamond"/>
          <w:sz w:val="28"/>
          <w:szCs w:val="28"/>
        </w:rPr>
        <w:t xml:space="preserve"> a atuação de entidades de assistência social no </w:t>
      </w:r>
      <w:r w:rsidR="00C86AAB">
        <w:rPr>
          <w:rFonts w:ascii="Garamond" w:hAnsi="Garamond"/>
          <w:sz w:val="28"/>
          <w:szCs w:val="28"/>
        </w:rPr>
        <w:t>Ensino Superior</w:t>
      </w:r>
      <w:r>
        <w:rPr>
          <w:rFonts w:ascii="Garamond" w:hAnsi="Garamond"/>
          <w:sz w:val="28"/>
          <w:szCs w:val="28"/>
        </w:rPr>
        <w:t>, e dá outras providências”. Após a conversão da referida MP na Lei 11.096/2005, foi requerido o aditamento da inicial.</w:t>
      </w:r>
    </w:p>
    <w:p w:rsidR="009B3117" w:rsidRDefault="00607351" w:rsidP="006C29A5">
      <w:pPr>
        <w:spacing w:line="360" w:lineRule="auto"/>
        <w:jc w:val="both"/>
        <w:rPr>
          <w:rFonts w:ascii="Garamond" w:hAnsi="Garamond"/>
          <w:sz w:val="28"/>
          <w:szCs w:val="28"/>
        </w:rPr>
      </w:pPr>
      <w:r>
        <w:rPr>
          <w:rFonts w:ascii="Garamond" w:hAnsi="Garamond"/>
          <w:sz w:val="28"/>
          <w:szCs w:val="28"/>
        </w:rPr>
        <w:tab/>
      </w:r>
      <w:r>
        <w:rPr>
          <w:rFonts w:ascii="Garamond" w:hAnsi="Garamond"/>
          <w:sz w:val="28"/>
          <w:szCs w:val="28"/>
        </w:rPr>
        <w:tab/>
      </w:r>
      <w:proofErr w:type="gramStart"/>
      <w:r w:rsidR="00C02820">
        <w:rPr>
          <w:rFonts w:ascii="Garamond" w:hAnsi="Garamond"/>
          <w:sz w:val="28"/>
          <w:szCs w:val="28"/>
        </w:rPr>
        <w:t>À</w:t>
      </w:r>
      <w:proofErr w:type="gramEnd"/>
      <w:r w:rsidR="008F0D73">
        <w:rPr>
          <w:rFonts w:ascii="Garamond" w:hAnsi="Garamond"/>
          <w:sz w:val="28"/>
          <w:szCs w:val="28"/>
        </w:rPr>
        <w:t xml:space="preserve"> presente ação</w:t>
      </w:r>
      <w:r w:rsidR="00C02820">
        <w:rPr>
          <w:rFonts w:ascii="Garamond" w:hAnsi="Garamond"/>
          <w:sz w:val="28"/>
          <w:szCs w:val="28"/>
        </w:rPr>
        <w:t xml:space="preserve"> foram</w:t>
      </w:r>
      <w:r w:rsidR="008F0D73">
        <w:rPr>
          <w:rFonts w:ascii="Garamond" w:hAnsi="Garamond"/>
          <w:sz w:val="28"/>
          <w:szCs w:val="28"/>
        </w:rPr>
        <w:t xml:space="preserve"> apensadas as </w:t>
      </w:r>
      <w:proofErr w:type="spellStart"/>
      <w:r w:rsidR="008F0D73">
        <w:rPr>
          <w:rFonts w:ascii="Garamond" w:hAnsi="Garamond"/>
          <w:sz w:val="28"/>
          <w:szCs w:val="28"/>
        </w:rPr>
        <w:t>ADIs</w:t>
      </w:r>
      <w:proofErr w:type="spellEnd"/>
      <w:r w:rsidR="008F0D73">
        <w:rPr>
          <w:rFonts w:ascii="Garamond" w:hAnsi="Garamond"/>
          <w:sz w:val="28"/>
          <w:szCs w:val="28"/>
        </w:rPr>
        <w:t xml:space="preserve"> 3.314 e 3.379, de mesmo objeto. </w:t>
      </w:r>
      <w:r w:rsidR="00C86AAB">
        <w:rPr>
          <w:rFonts w:ascii="Garamond" w:hAnsi="Garamond"/>
          <w:sz w:val="28"/>
          <w:szCs w:val="28"/>
        </w:rPr>
        <w:t>O</w:t>
      </w:r>
      <w:r w:rsidR="008F0D73">
        <w:rPr>
          <w:rFonts w:ascii="Garamond" w:hAnsi="Garamond"/>
          <w:sz w:val="28"/>
          <w:szCs w:val="28"/>
        </w:rPr>
        <w:t xml:space="preserve">s requerentes </w:t>
      </w:r>
      <w:r w:rsidR="009B3117">
        <w:rPr>
          <w:rFonts w:ascii="Garamond" w:hAnsi="Garamond"/>
          <w:sz w:val="28"/>
          <w:szCs w:val="28"/>
        </w:rPr>
        <w:t xml:space="preserve">alegam que a edição da MP impugnada não </w:t>
      </w:r>
      <w:r w:rsidR="009B3117">
        <w:rPr>
          <w:rFonts w:ascii="Garamond" w:hAnsi="Garamond"/>
          <w:sz w:val="28"/>
          <w:szCs w:val="28"/>
        </w:rPr>
        <w:lastRenderedPageBreak/>
        <w:t>observou a existência dos pressupostos constitucionais de relevância e urgência (art. 62), que a União não poderia ter editado normas especiais em matéria de educação</w:t>
      </w:r>
      <w:r w:rsidR="00C86AAB">
        <w:rPr>
          <w:rFonts w:ascii="Garamond" w:hAnsi="Garamond"/>
          <w:sz w:val="28"/>
          <w:szCs w:val="28"/>
        </w:rPr>
        <w:t xml:space="preserve"> –</w:t>
      </w:r>
      <w:r w:rsidR="009B3117">
        <w:rPr>
          <w:rFonts w:ascii="Garamond" w:hAnsi="Garamond"/>
          <w:sz w:val="28"/>
          <w:szCs w:val="28"/>
        </w:rPr>
        <w:t xml:space="preserve"> visto carecer de competência legislativa para tanto</w:t>
      </w:r>
      <w:r w:rsidR="00C86AAB">
        <w:rPr>
          <w:rFonts w:ascii="Garamond" w:hAnsi="Garamond"/>
          <w:sz w:val="28"/>
          <w:szCs w:val="28"/>
        </w:rPr>
        <w:t xml:space="preserve"> –</w:t>
      </w:r>
      <w:r w:rsidR="009B3117">
        <w:rPr>
          <w:rFonts w:ascii="Garamond" w:hAnsi="Garamond"/>
          <w:sz w:val="28"/>
          <w:szCs w:val="28"/>
        </w:rPr>
        <w:t xml:space="preserve"> </w:t>
      </w:r>
      <w:r w:rsidR="00C86AAB">
        <w:rPr>
          <w:rFonts w:ascii="Garamond" w:hAnsi="Garamond"/>
          <w:sz w:val="28"/>
          <w:szCs w:val="28"/>
        </w:rPr>
        <w:t xml:space="preserve">e </w:t>
      </w:r>
      <w:r w:rsidR="009B3117">
        <w:rPr>
          <w:rFonts w:ascii="Garamond" w:hAnsi="Garamond"/>
          <w:sz w:val="28"/>
          <w:szCs w:val="28"/>
        </w:rPr>
        <w:t>que alguns dispositivos do ato normativo impugnado dispõem sobre matéria reservada pela Constituição à lei complementar</w:t>
      </w:r>
      <w:r w:rsidR="00C86AAB">
        <w:rPr>
          <w:rFonts w:ascii="Garamond" w:hAnsi="Garamond"/>
          <w:sz w:val="28"/>
          <w:szCs w:val="28"/>
        </w:rPr>
        <w:t>.</w:t>
      </w:r>
      <w:r w:rsidR="009B3117">
        <w:rPr>
          <w:rFonts w:ascii="Garamond" w:hAnsi="Garamond"/>
          <w:sz w:val="28"/>
          <w:szCs w:val="28"/>
        </w:rPr>
        <w:t xml:space="preserve"> </w:t>
      </w:r>
      <w:r w:rsidR="00C86AAB">
        <w:rPr>
          <w:rFonts w:ascii="Garamond" w:hAnsi="Garamond"/>
          <w:sz w:val="28"/>
          <w:szCs w:val="28"/>
        </w:rPr>
        <w:t>P</w:t>
      </w:r>
      <w:r w:rsidR="009B3117">
        <w:rPr>
          <w:rFonts w:ascii="Garamond" w:hAnsi="Garamond"/>
          <w:sz w:val="28"/>
          <w:szCs w:val="28"/>
        </w:rPr>
        <w:t>or fim, aduzem que a MP atacada desrespeita os princípios da legalidade, da isonomia, da autonomia universitária e do pluralismo de ideias e concepções pedagógicas.</w:t>
      </w:r>
    </w:p>
    <w:p w:rsidR="00D065C0" w:rsidRDefault="009B3117" w:rsidP="006C29A5">
      <w:pPr>
        <w:spacing w:line="360" w:lineRule="auto"/>
        <w:jc w:val="both"/>
        <w:rPr>
          <w:rFonts w:ascii="Garamond" w:hAnsi="Garamond"/>
          <w:sz w:val="28"/>
          <w:szCs w:val="28"/>
        </w:rPr>
      </w:pPr>
      <w:r>
        <w:rPr>
          <w:rFonts w:ascii="Garamond" w:hAnsi="Garamond"/>
          <w:sz w:val="28"/>
          <w:szCs w:val="28"/>
        </w:rPr>
        <w:tab/>
      </w:r>
      <w:r>
        <w:rPr>
          <w:rFonts w:ascii="Garamond" w:hAnsi="Garamond"/>
          <w:sz w:val="28"/>
          <w:szCs w:val="28"/>
        </w:rPr>
        <w:tab/>
        <w:t xml:space="preserve">Em </w:t>
      </w:r>
      <w:r w:rsidRPr="00892300">
        <w:rPr>
          <w:rFonts w:ascii="Garamond" w:hAnsi="Garamond"/>
          <w:sz w:val="28"/>
          <w:szCs w:val="28"/>
        </w:rPr>
        <w:t>informações, o Presidente da República</w:t>
      </w:r>
      <w:r>
        <w:rPr>
          <w:rFonts w:ascii="Garamond" w:hAnsi="Garamond"/>
          <w:sz w:val="28"/>
          <w:szCs w:val="28"/>
        </w:rPr>
        <w:t xml:space="preserve"> afirmou que a MP atacada atende os pressupostos de relevância e urgência</w:t>
      </w:r>
      <w:r w:rsidR="00D065C0">
        <w:rPr>
          <w:rFonts w:ascii="Garamond" w:hAnsi="Garamond"/>
          <w:sz w:val="28"/>
          <w:szCs w:val="28"/>
        </w:rPr>
        <w:t xml:space="preserve">, ante </w:t>
      </w:r>
      <w:r w:rsidR="00C02820">
        <w:rPr>
          <w:rFonts w:ascii="Garamond" w:hAnsi="Garamond"/>
          <w:sz w:val="28"/>
          <w:szCs w:val="28"/>
        </w:rPr>
        <w:t>a</w:t>
      </w:r>
      <w:r w:rsidR="00D065C0">
        <w:rPr>
          <w:rFonts w:ascii="Garamond" w:hAnsi="Garamond"/>
          <w:sz w:val="28"/>
          <w:szCs w:val="28"/>
        </w:rPr>
        <w:t xml:space="preserve"> necessidade de se proporcionar aos estudantes des</w:t>
      </w:r>
      <w:r w:rsidR="00C86AAB">
        <w:rPr>
          <w:rFonts w:ascii="Garamond" w:hAnsi="Garamond"/>
          <w:sz w:val="28"/>
          <w:szCs w:val="28"/>
        </w:rPr>
        <w:t>t</w:t>
      </w:r>
      <w:r w:rsidR="00D065C0">
        <w:rPr>
          <w:rFonts w:ascii="Garamond" w:hAnsi="Garamond"/>
          <w:sz w:val="28"/>
          <w:szCs w:val="28"/>
        </w:rPr>
        <w:t xml:space="preserve">e país acesso ao </w:t>
      </w:r>
      <w:r w:rsidR="00C86AAB">
        <w:rPr>
          <w:rFonts w:ascii="Garamond" w:hAnsi="Garamond"/>
          <w:sz w:val="28"/>
          <w:szCs w:val="28"/>
        </w:rPr>
        <w:t>E</w:t>
      </w:r>
      <w:r w:rsidR="00D065C0">
        <w:rPr>
          <w:rFonts w:ascii="Garamond" w:hAnsi="Garamond"/>
          <w:sz w:val="28"/>
          <w:szCs w:val="28"/>
        </w:rPr>
        <w:t xml:space="preserve">nsino </w:t>
      </w:r>
      <w:r w:rsidR="00C86AAB">
        <w:rPr>
          <w:rFonts w:ascii="Garamond" w:hAnsi="Garamond"/>
          <w:sz w:val="28"/>
          <w:szCs w:val="28"/>
        </w:rPr>
        <w:t>S</w:t>
      </w:r>
      <w:r w:rsidR="00D065C0">
        <w:rPr>
          <w:rFonts w:ascii="Garamond" w:hAnsi="Garamond"/>
          <w:sz w:val="28"/>
          <w:szCs w:val="28"/>
        </w:rPr>
        <w:t>uperior. Além disso, afirma que o ato normativo em exame não cuida de “educação, cultura e desporto”, mas de outorga de isenção às universidades privadas não contempladas com a imunidade constitucional, bem como que não há reserva constitucional de lei complementar para o tratamento do tema, uma vez que a jurisprudência desta Corte é firme</w:t>
      </w:r>
      <w:r w:rsidR="00C86AAB">
        <w:rPr>
          <w:rFonts w:ascii="Garamond" w:hAnsi="Garamond"/>
          <w:sz w:val="28"/>
          <w:szCs w:val="28"/>
        </w:rPr>
        <w:t>,</w:t>
      </w:r>
      <w:r w:rsidR="00D065C0">
        <w:rPr>
          <w:rFonts w:ascii="Garamond" w:hAnsi="Garamond"/>
          <w:sz w:val="28"/>
          <w:szCs w:val="28"/>
        </w:rPr>
        <w:t xml:space="preserve"> ao afirmar que somente nas hipóteses em que a Constituição expressamente requer esse tipo de diploma ele deverá ser exigido.</w:t>
      </w:r>
    </w:p>
    <w:p w:rsidR="00D065C0" w:rsidRDefault="00D065C0" w:rsidP="006C29A5">
      <w:pPr>
        <w:spacing w:line="360" w:lineRule="auto"/>
        <w:jc w:val="both"/>
        <w:rPr>
          <w:rFonts w:ascii="Garamond" w:hAnsi="Garamond"/>
          <w:sz w:val="28"/>
          <w:szCs w:val="28"/>
        </w:rPr>
      </w:pPr>
      <w:r>
        <w:rPr>
          <w:rFonts w:ascii="Garamond" w:hAnsi="Garamond"/>
          <w:sz w:val="28"/>
          <w:szCs w:val="28"/>
        </w:rPr>
        <w:tab/>
      </w:r>
      <w:r>
        <w:rPr>
          <w:rFonts w:ascii="Garamond" w:hAnsi="Garamond"/>
          <w:sz w:val="28"/>
          <w:szCs w:val="28"/>
        </w:rPr>
        <w:tab/>
        <w:t>O Advogado-Geral da União e o Procurador-Geral da República manifestaram-se pela improcedência da presente ação.</w:t>
      </w:r>
    </w:p>
    <w:p w:rsidR="00607351" w:rsidRPr="008F0D73" w:rsidRDefault="00EE34FF" w:rsidP="006C29A5">
      <w:pPr>
        <w:spacing w:line="360" w:lineRule="auto"/>
        <w:jc w:val="both"/>
        <w:rPr>
          <w:rFonts w:ascii="Garamond" w:hAnsi="Garamond"/>
          <w:sz w:val="28"/>
          <w:szCs w:val="28"/>
        </w:rPr>
      </w:pPr>
      <w:r>
        <w:rPr>
          <w:rFonts w:ascii="Garamond" w:hAnsi="Garamond"/>
          <w:sz w:val="28"/>
          <w:szCs w:val="28"/>
        </w:rPr>
        <w:tab/>
      </w:r>
      <w:r>
        <w:rPr>
          <w:rFonts w:ascii="Garamond" w:hAnsi="Garamond"/>
          <w:sz w:val="28"/>
          <w:szCs w:val="28"/>
        </w:rPr>
        <w:tab/>
      </w:r>
      <w:r w:rsidR="008F0D73">
        <w:rPr>
          <w:rFonts w:ascii="Garamond" w:hAnsi="Garamond"/>
          <w:sz w:val="28"/>
          <w:szCs w:val="28"/>
        </w:rPr>
        <w:t>O relator, Min. Ayres Britto</w:t>
      </w:r>
      <w:r w:rsidR="00C86AAB">
        <w:rPr>
          <w:rFonts w:ascii="Garamond" w:hAnsi="Garamond"/>
          <w:sz w:val="28"/>
          <w:szCs w:val="28"/>
        </w:rPr>
        <w:t xml:space="preserve"> </w:t>
      </w:r>
      <w:r w:rsidR="008F0D73">
        <w:rPr>
          <w:rFonts w:ascii="Garamond" w:hAnsi="Garamond"/>
          <w:sz w:val="28"/>
          <w:szCs w:val="28"/>
        </w:rPr>
        <w:t>não conheceu da ADI 3.379</w:t>
      </w:r>
      <w:r w:rsidR="00C86AAB">
        <w:rPr>
          <w:rFonts w:ascii="Garamond" w:hAnsi="Garamond"/>
          <w:sz w:val="28"/>
          <w:szCs w:val="28"/>
        </w:rPr>
        <w:t xml:space="preserve"> – no que foi acompanhado pela Corte –</w:t>
      </w:r>
      <w:r w:rsidR="008F0D73">
        <w:rPr>
          <w:rFonts w:ascii="Garamond" w:hAnsi="Garamond"/>
          <w:sz w:val="28"/>
          <w:szCs w:val="28"/>
        </w:rPr>
        <w:t>, em razão da ilegitimidade ativa da requerente FENAFISCO</w:t>
      </w:r>
      <w:r w:rsidR="00C86AAB">
        <w:rPr>
          <w:rFonts w:ascii="Garamond" w:hAnsi="Garamond"/>
          <w:sz w:val="28"/>
          <w:szCs w:val="28"/>
        </w:rPr>
        <w:t>. T</w:t>
      </w:r>
      <w:r w:rsidR="008F0D73">
        <w:rPr>
          <w:rFonts w:ascii="Garamond" w:hAnsi="Garamond"/>
          <w:sz w:val="28"/>
          <w:szCs w:val="28"/>
        </w:rPr>
        <w:t>odavia</w:t>
      </w:r>
      <w:r w:rsidR="00C86AAB">
        <w:rPr>
          <w:rFonts w:ascii="Garamond" w:hAnsi="Garamond"/>
          <w:sz w:val="28"/>
          <w:szCs w:val="28"/>
        </w:rPr>
        <w:t xml:space="preserve"> </w:t>
      </w:r>
      <w:r w:rsidR="008F0D73">
        <w:rPr>
          <w:rFonts w:ascii="Garamond" w:hAnsi="Garamond"/>
          <w:sz w:val="28"/>
          <w:szCs w:val="28"/>
        </w:rPr>
        <w:t xml:space="preserve">admitiu-a no presente feito na condição de </w:t>
      </w:r>
      <w:proofErr w:type="spellStart"/>
      <w:r w:rsidR="008F0D73" w:rsidRPr="008F0D73">
        <w:rPr>
          <w:rFonts w:ascii="Garamond" w:hAnsi="Garamond"/>
          <w:i/>
          <w:sz w:val="28"/>
          <w:szCs w:val="28"/>
        </w:rPr>
        <w:t>amicus</w:t>
      </w:r>
      <w:proofErr w:type="spellEnd"/>
      <w:r w:rsidR="008F0D73" w:rsidRPr="008F0D73">
        <w:rPr>
          <w:rFonts w:ascii="Garamond" w:hAnsi="Garamond"/>
          <w:i/>
          <w:sz w:val="28"/>
          <w:szCs w:val="28"/>
        </w:rPr>
        <w:t xml:space="preserve"> </w:t>
      </w:r>
      <w:proofErr w:type="spellStart"/>
      <w:r w:rsidR="008F0D73" w:rsidRPr="008F0D73">
        <w:rPr>
          <w:rFonts w:ascii="Garamond" w:hAnsi="Garamond"/>
          <w:i/>
          <w:sz w:val="28"/>
          <w:szCs w:val="28"/>
        </w:rPr>
        <w:t>curiae</w:t>
      </w:r>
      <w:proofErr w:type="spellEnd"/>
      <w:r w:rsidR="000324D8">
        <w:rPr>
          <w:rFonts w:ascii="Garamond" w:hAnsi="Garamond"/>
          <w:sz w:val="28"/>
          <w:szCs w:val="28"/>
        </w:rPr>
        <w:t xml:space="preserve">. </w:t>
      </w:r>
      <w:proofErr w:type="gramStart"/>
      <w:r w:rsidR="000324D8">
        <w:rPr>
          <w:rFonts w:ascii="Garamond" w:hAnsi="Garamond"/>
          <w:sz w:val="28"/>
          <w:szCs w:val="28"/>
        </w:rPr>
        <w:t>Foram</w:t>
      </w:r>
      <w:proofErr w:type="gramEnd"/>
      <w:r w:rsidR="000324D8">
        <w:rPr>
          <w:rFonts w:ascii="Garamond" w:hAnsi="Garamond"/>
          <w:sz w:val="28"/>
          <w:szCs w:val="28"/>
        </w:rPr>
        <w:t xml:space="preserve"> admitidos, nessa mesma condição, o Centro </w:t>
      </w:r>
      <w:r w:rsidR="00C02820">
        <w:rPr>
          <w:rFonts w:ascii="Garamond" w:hAnsi="Garamond"/>
          <w:sz w:val="28"/>
          <w:szCs w:val="28"/>
        </w:rPr>
        <w:t>d</w:t>
      </w:r>
      <w:r w:rsidR="000324D8">
        <w:rPr>
          <w:rFonts w:ascii="Garamond" w:hAnsi="Garamond"/>
          <w:sz w:val="28"/>
          <w:szCs w:val="28"/>
        </w:rPr>
        <w:t xml:space="preserve">e Direitos Humanos </w:t>
      </w:r>
      <w:r w:rsidR="00C86AAB">
        <w:rPr>
          <w:rFonts w:ascii="Garamond" w:hAnsi="Garamond"/>
          <w:sz w:val="28"/>
          <w:szCs w:val="28"/>
        </w:rPr>
        <w:t>(</w:t>
      </w:r>
      <w:r w:rsidR="000324D8">
        <w:rPr>
          <w:rFonts w:ascii="Garamond" w:hAnsi="Garamond"/>
          <w:sz w:val="28"/>
          <w:szCs w:val="28"/>
        </w:rPr>
        <w:t>CDH</w:t>
      </w:r>
      <w:r w:rsidR="00C86AAB">
        <w:rPr>
          <w:rFonts w:ascii="Garamond" w:hAnsi="Garamond"/>
          <w:sz w:val="28"/>
          <w:szCs w:val="28"/>
        </w:rPr>
        <w:t>)</w:t>
      </w:r>
      <w:r w:rsidR="000324D8">
        <w:rPr>
          <w:rFonts w:ascii="Garamond" w:hAnsi="Garamond"/>
          <w:sz w:val="28"/>
          <w:szCs w:val="28"/>
        </w:rPr>
        <w:t xml:space="preserve"> e a Conectas Direitos Humanos.</w:t>
      </w:r>
    </w:p>
    <w:p w:rsidR="00C02820" w:rsidRDefault="00C02820" w:rsidP="00EE34FF">
      <w:pPr>
        <w:spacing w:before="240" w:line="360" w:lineRule="auto"/>
        <w:jc w:val="both"/>
        <w:rPr>
          <w:rFonts w:ascii="Garamond" w:hAnsi="Garamond" w:cs="Courier New"/>
          <w:b/>
          <w:sz w:val="28"/>
          <w:szCs w:val="28"/>
        </w:rPr>
      </w:pPr>
    </w:p>
    <w:p w:rsidR="00C02820" w:rsidRDefault="00C02820" w:rsidP="00EE34FF">
      <w:pPr>
        <w:spacing w:before="240" w:line="360" w:lineRule="auto"/>
        <w:jc w:val="both"/>
        <w:rPr>
          <w:rFonts w:ascii="Garamond" w:hAnsi="Garamond" w:cs="Courier New"/>
          <w:b/>
          <w:sz w:val="28"/>
          <w:szCs w:val="28"/>
        </w:rPr>
      </w:pPr>
    </w:p>
    <w:p w:rsidR="00EE34FF" w:rsidRDefault="00EE34FF" w:rsidP="00EE34FF">
      <w:pPr>
        <w:spacing w:before="240" w:line="360" w:lineRule="auto"/>
        <w:jc w:val="both"/>
        <w:rPr>
          <w:rFonts w:ascii="Garamond" w:hAnsi="Garamond" w:cs="Courier New"/>
          <w:b/>
          <w:sz w:val="28"/>
          <w:szCs w:val="28"/>
        </w:rPr>
      </w:pPr>
      <w:r>
        <w:rPr>
          <w:rFonts w:ascii="Garamond" w:hAnsi="Garamond" w:cs="Courier New"/>
          <w:b/>
          <w:sz w:val="28"/>
          <w:szCs w:val="28"/>
        </w:rPr>
        <w:lastRenderedPageBreak/>
        <w:t>2</w:t>
      </w:r>
      <w:r w:rsidRPr="006C29A5">
        <w:rPr>
          <w:rFonts w:ascii="Garamond" w:hAnsi="Garamond" w:cs="Courier New"/>
          <w:b/>
          <w:sz w:val="28"/>
          <w:szCs w:val="28"/>
        </w:rPr>
        <w:t xml:space="preserve">. </w:t>
      </w:r>
      <w:r>
        <w:rPr>
          <w:rFonts w:ascii="Garamond" w:hAnsi="Garamond" w:cs="Courier New"/>
          <w:b/>
          <w:sz w:val="28"/>
          <w:szCs w:val="28"/>
        </w:rPr>
        <w:t>O ATENDIMENTO DOS PRESSUPOSTOS DE RELEVÂNCIA E URGÊNCIA PELA MP 213/2004 E SUA CONVERSÃO NA LEI 11.096/2005</w:t>
      </w:r>
    </w:p>
    <w:p w:rsidR="00EE34FF" w:rsidRDefault="00EE34FF" w:rsidP="00EE34FF">
      <w:pPr>
        <w:spacing w:before="240" w:line="360" w:lineRule="auto"/>
        <w:jc w:val="both"/>
        <w:rPr>
          <w:rFonts w:ascii="Garamond" w:hAnsi="Garamond" w:cs="Courier New"/>
          <w:sz w:val="28"/>
          <w:szCs w:val="28"/>
        </w:rPr>
      </w:pPr>
      <w:r>
        <w:rPr>
          <w:rFonts w:ascii="Garamond" w:hAnsi="Garamond" w:cs="Courier New"/>
          <w:b/>
          <w:sz w:val="28"/>
          <w:szCs w:val="28"/>
        </w:rPr>
        <w:tab/>
      </w:r>
      <w:r>
        <w:rPr>
          <w:rFonts w:ascii="Garamond" w:hAnsi="Garamond" w:cs="Courier New"/>
          <w:b/>
          <w:sz w:val="28"/>
          <w:szCs w:val="28"/>
        </w:rPr>
        <w:tab/>
      </w:r>
      <w:r w:rsidR="000C50C0" w:rsidRPr="000C50C0">
        <w:rPr>
          <w:rFonts w:ascii="Garamond" w:hAnsi="Garamond" w:cs="Courier New"/>
          <w:sz w:val="28"/>
          <w:szCs w:val="28"/>
        </w:rPr>
        <w:t>O voto do relator, preliminarmente</w:t>
      </w:r>
      <w:r w:rsidR="001C1711">
        <w:rPr>
          <w:rFonts w:ascii="Garamond" w:hAnsi="Garamond" w:cs="Courier New"/>
          <w:sz w:val="28"/>
          <w:szCs w:val="28"/>
        </w:rPr>
        <w:t>,</w:t>
      </w:r>
      <w:r w:rsidR="000C50C0" w:rsidRPr="000C50C0">
        <w:rPr>
          <w:rFonts w:ascii="Garamond" w:hAnsi="Garamond" w:cs="Courier New"/>
          <w:sz w:val="28"/>
          <w:szCs w:val="28"/>
        </w:rPr>
        <w:t xml:space="preserve"> afastou a necessidade de exame do atendimento dos pressupostos de relevância e urgência no caso em apreço, tendo em vista que a MP impugnada foi convertida em lei. O Min. Britto afirmou em seu voto</w:t>
      </w:r>
      <w:r w:rsidR="00963217">
        <w:rPr>
          <w:rFonts w:ascii="Garamond" w:hAnsi="Garamond" w:cs="Courier New"/>
          <w:sz w:val="28"/>
          <w:szCs w:val="28"/>
        </w:rPr>
        <w:t xml:space="preserve"> o seguinte:</w:t>
      </w:r>
      <w:r w:rsidR="000C50C0" w:rsidRPr="000C50C0">
        <w:rPr>
          <w:rFonts w:ascii="Garamond" w:hAnsi="Garamond" w:cs="Courier New"/>
          <w:sz w:val="28"/>
          <w:szCs w:val="28"/>
        </w:rPr>
        <w:t xml:space="preserve"> </w:t>
      </w:r>
      <w:r w:rsidR="000C50C0" w:rsidRPr="000C50C0">
        <w:rPr>
          <w:rFonts w:ascii="Garamond" w:hAnsi="Garamond" w:cs="Courier New"/>
          <w:i/>
          <w:sz w:val="28"/>
          <w:szCs w:val="28"/>
        </w:rPr>
        <w:t>“</w:t>
      </w:r>
      <w:r w:rsidR="00963217">
        <w:rPr>
          <w:rFonts w:ascii="Garamond" w:hAnsi="Garamond" w:cs="Courier New"/>
          <w:i/>
          <w:sz w:val="28"/>
          <w:szCs w:val="28"/>
        </w:rPr>
        <w:t xml:space="preserve">adiro à decisão proferida na ADI 3.289, no sentido de que </w:t>
      </w:r>
      <w:r w:rsidR="000C50C0" w:rsidRPr="000C50C0">
        <w:rPr>
          <w:rFonts w:ascii="Garamond" w:hAnsi="Garamond" w:cs="Courier New"/>
          <w:i/>
          <w:sz w:val="28"/>
          <w:szCs w:val="28"/>
        </w:rPr>
        <w:t>a conversão de medida provisória em lei prejudica o debate jurisdicional sobre o atendimento dos pressupostos de admissibilidade desse espécime de ato da ordem legislativa”.</w:t>
      </w:r>
    </w:p>
    <w:p w:rsidR="000068B8" w:rsidRDefault="000068B8" w:rsidP="00EE34FF">
      <w:pPr>
        <w:spacing w:before="240" w:line="360" w:lineRule="auto"/>
        <w:jc w:val="both"/>
        <w:rPr>
          <w:rFonts w:ascii="Garamond" w:hAnsi="Garamond" w:cs="Courier New"/>
          <w:sz w:val="28"/>
          <w:szCs w:val="28"/>
        </w:rPr>
      </w:pPr>
      <w:r>
        <w:rPr>
          <w:rFonts w:ascii="Garamond" w:hAnsi="Garamond" w:cs="Courier New"/>
          <w:sz w:val="28"/>
          <w:szCs w:val="28"/>
        </w:rPr>
        <w:tab/>
      </w:r>
      <w:r>
        <w:rPr>
          <w:rFonts w:ascii="Garamond" w:hAnsi="Garamond" w:cs="Courier New"/>
          <w:sz w:val="28"/>
          <w:szCs w:val="28"/>
        </w:rPr>
        <w:tab/>
      </w:r>
      <w:r w:rsidR="00963217">
        <w:rPr>
          <w:rFonts w:ascii="Garamond" w:hAnsi="Garamond" w:cs="Courier New"/>
          <w:sz w:val="28"/>
          <w:szCs w:val="28"/>
        </w:rPr>
        <w:t xml:space="preserve">Com todo o respeito, fui relator da referida ADI 3.289, DJ 3.2.2006, e meu voto, acompanhado pela maioria da Corte, não concluiu pela </w:t>
      </w:r>
      <w:proofErr w:type="spellStart"/>
      <w:r w:rsidR="00963217">
        <w:rPr>
          <w:rFonts w:ascii="Garamond" w:hAnsi="Garamond" w:cs="Courier New"/>
          <w:sz w:val="28"/>
          <w:szCs w:val="28"/>
        </w:rPr>
        <w:t>prejudicialidade</w:t>
      </w:r>
      <w:proofErr w:type="spellEnd"/>
      <w:r w:rsidR="00963217">
        <w:rPr>
          <w:rFonts w:ascii="Garamond" w:hAnsi="Garamond" w:cs="Courier New"/>
          <w:sz w:val="28"/>
          <w:szCs w:val="28"/>
        </w:rPr>
        <w:t xml:space="preserve"> do exame jurisdicional dos pressupostos de relevância e urgência para a edição de medidas provisórias quando estas haj</w:t>
      </w:r>
      <w:r w:rsidR="007978CE">
        <w:rPr>
          <w:rFonts w:ascii="Garamond" w:hAnsi="Garamond" w:cs="Courier New"/>
          <w:sz w:val="28"/>
          <w:szCs w:val="28"/>
        </w:rPr>
        <w:t>a</w:t>
      </w:r>
      <w:r w:rsidR="00963217">
        <w:rPr>
          <w:rFonts w:ascii="Garamond" w:hAnsi="Garamond" w:cs="Courier New"/>
          <w:sz w:val="28"/>
          <w:szCs w:val="28"/>
        </w:rPr>
        <w:t>m sido convertidas em lei. Antes, adentrei a análise do atendimento desses pressupostos no caso que e</w:t>
      </w:r>
      <w:r w:rsidR="00FF04E4">
        <w:rPr>
          <w:rFonts w:ascii="Garamond" w:hAnsi="Garamond" w:cs="Courier New"/>
          <w:sz w:val="28"/>
          <w:szCs w:val="28"/>
        </w:rPr>
        <w:t>stávamos a analisar. Reproduzo trecho do voto que proferi naquela assentada:</w:t>
      </w:r>
    </w:p>
    <w:p w:rsidR="007978CE" w:rsidRPr="007978CE" w:rsidRDefault="001C1711" w:rsidP="000F42CB">
      <w:pPr>
        <w:pStyle w:val="western"/>
        <w:spacing w:before="119" w:beforeAutospacing="0" w:after="0" w:line="363" w:lineRule="atLeast"/>
        <w:ind w:left="2832"/>
        <w:jc w:val="both"/>
        <w:rPr>
          <w:rFonts w:ascii="Garamond" w:hAnsi="Garamond"/>
        </w:rPr>
      </w:pPr>
      <w:proofErr w:type="gramStart"/>
      <w:r>
        <w:rPr>
          <w:rFonts w:ascii="Garamond" w:hAnsi="Garamond"/>
        </w:rPr>
        <w:t>“</w:t>
      </w:r>
      <w:r w:rsidR="007978CE" w:rsidRPr="007978CE">
        <w:rPr>
          <w:rFonts w:ascii="Garamond" w:hAnsi="Garamond"/>
        </w:rPr>
        <w:t>Passo agora a apreciar as impugnações relacionadas ao requisito constitucional da relevância e da urgência.</w:t>
      </w:r>
      <w:proofErr w:type="gramEnd"/>
      <w:r w:rsidR="007978CE" w:rsidRPr="007978CE">
        <w:rPr>
          <w:rFonts w:ascii="Garamond" w:hAnsi="Garamond"/>
        </w:rPr>
        <w:t xml:space="preserve"> </w:t>
      </w:r>
    </w:p>
    <w:p w:rsidR="007978CE" w:rsidRPr="007978CE" w:rsidRDefault="007978CE" w:rsidP="000F42CB">
      <w:pPr>
        <w:pStyle w:val="western"/>
        <w:spacing w:before="119" w:beforeAutospacing="0" w:after="0" w:line="363" w:lineRule="atLeast"/>
        <w:ind w:left="2832"/>
        <w:jc w:val="both"/>
        <w:rPr>
          <w:rFonts w:ascii="Garamond" w:hAnsi="Garamond"/>
        </w:rPr>
      </w:pPr>
      <w:r w:rsidRPr="007978CE">
        <w:rPr>
          <w:rFonts w:ascii="Garamond" w:hAnsi="Garamond"/>
        </w:rPr>
        <w:t xml:space="preserve">Certamente há situações em que o Presidente da República tem a necessidade imediata de promover ajustes no plano institucional e, especialmente, na organização dos órgãos superiores da Administração Pública. Estão justamente na chamada administração superior </w:t>
      </w:r>
      <w:proofErr w:type="gramStart"/>
      <w:r w:rsidRPr="007978CE">
        <w:rPr>
          <w:rFonts w:ascii="Garamond" w:hAnsi="Garamond"/>
        </w:rPr>
        <w:t>as</w:t>
      </w:r>
      <w:proofErr w:type="gramEnd"/>
      <w:r w:rsidRPr="007978CE">
        <w:rPr>
          <w:rFonts w:ascii="Garamond" w:hAnsi="Garamond"/>
        </w:rPr>
        <w:t xml:space="preserve"> peças básicas para o exercício do poder conferido ao Presidente. </w:t>
      </w:r>
    </w:p>
    <w:p w:rsidR="007978CE" w:rsidRPr="007978CE" w:rsidRDefault="007978CE" w:rsidP="000F42CB">
      <w:pPr>
        <w:pStyle w:val="western"/>
        <w:spacing w:before="119" w:beforeAutospacing="0" w:after="0" w:line="363" w:lineRule="atLeast"/>
        <w:ind w:left="2832" w:firstLine="2"/>
        <w:jc w:val="both"/>
        <w:rPr>
          <w:rFonts w:ascii="Garamond" w:hAnsi="Garamond"/>
        </w:rPr>
      </w:pPr>
      <w:r w:rsidRPr="007978CE">
        <w:rPr>
          <w:rFonts w:ascii="Garamond" w:hAnsi="Garamond"/>
        </w:rPr>
        <w:t xml:space="preserve">Tais ajustes, que atendem especialmente a critérios de índole política, por óbvio podem demandar a edição de medidas urgentes. </w:t>
      </w:r>
    </w:p>
    <w:p w:rsidR="007978CE" w:rsidRPr="007978CE" w:rsidRDefault="007978CE" w:rsidP="000F42CB">
      <w:pPr>
        <w:pStyle w:val="western"/>
        <w:spacing w:before="119" w:beforeAutospacing="0" w:after="0" w:line="363" w:lineRule="atLeast"/>
        <w:ind w:left="2832" w:firstLine="2"/>
        <w:jc w:val="both"/>
        <w:rPr>
          <w:rFonts w:ascii="Garamond" w:hAnsi="Garamond"/>
        </w:rPr>
      </w:pPr>
      <w:r w:rsidRPr="007978CE">
        <w:rPr>
          <w:rFonts w:ascii="Garamond" w:hAnsi="Garamond"/>
        </w:rPr>
        <w:t xml:space="preserve">No caso, é difícil considerar ilegítimas as razões explicitadas na Exposição de Motivos correspondente à MP 207, no </w:t>
      </w:r>
      <w:r w:rsidRPr="007978CE">
        <w:rPr>
          <w:rFonts w:ascii="Garamond" w:hAnsi="Garamond"/>
        </w:rPr>
        <w:lastRenderedPageBreak/>
        <w:t>sentido do papel absolutamente diferenciado do Presidente do Banco Central, tanto no plano interno quanto internacional.</w:t>
      </w:r>
    </w:p>
    <w:p w:rsidR="007978CE" w:rsidRPr="007978CE" w:rsidRDefault="007978CE" w:rsidP="000F42CB">
      <w:pPr>
        <w:pStyle w:val="western"/>
        <w:spacing w:before="119" w:beforeAutospacing="0" w:after="0" w:line="363" w:lineRule="atLeast"/>
        <w:ind w:left="2832" w:firstLine="2"/>
        <w:jc w:val="both"/>
        <w:rPr>
          <w:rFonts w:ascii="Garamond" w:hAnsi="Garamond"/>
        </w:rPr>
      </w:pPr>
      <w:r w:rsidRPr="007978CE">
        <w:rPr>
          <w:rFonts w:ascii="Garamond" w:hAnsi="Garamond"/>
        </w:rPr>
        <w:t>Indaga-se, nos autos, porque semelhante medida não teria sido editada em outro momento, haja vista que o Presidente do Banco Central já teria a referida preeminência há muito tempo. Esse argumento é colocado na inicial da ADI 3289 e é incorporado no parecer do Ministério Público.</w:t>
      </w:r>
    </w:p>
    <w:p w:rsidR="007978CE" w:rsidRPr="007978CE" w:rsidRDefault="007978CE" w:rsidP="000F42CB">
      <w:pPr>
        <w:pStyle w:val="western"/>
        <w:spacing w:before="119" w:beforeAutospacing="0" w:after="0" w:line="363" w:lineRule="atLeast"/>
        <w:ind w:left="2832" w:firstLine="2"/>
        <w:jc w:val="both"/>
        <w:rPr>
          <w:rFonts w:ascii="Garamond" w:hAnsi="Garamond"/>
        </w:rPr>
      </w:pPr>
      <w:r w:rsidRPr="007978CE">
        <w:rPr>
          <w:rFonts w:ascii="Garamond" w:hAnsi="Garamond"/>
        </w:rPr>
        <w:t xml:space="preserve">Fosse correta tal impugnação, em muitas ocasiões se </w:t>
      </w:r>
      <w:proofErr w:type="gramStart"/>
      <w:r w:rsidRPr="007978CE">
        <w:rPr>
          <w:rFonts w:ascii="Garamond" w:hAnsi="Garamond"/>
        </w:rPr>
        <w:t>poderia</w:t>
      </w:r>
      <w:proofErr w:type="gramEnd"/>
      <w:r w:rsidRPr="007978CE">
        <w:rPr>
          <w:rFonts w:ascii="Garamond" w:hAnsi="Garamond"/>
        </w:rPr>
        <w:t xml:space="preserve"> impugnar uma Medida Provisória indagando porque ela não teria sido editada no primeiro dia de Governo.</w:t>
      </w:r>
    </w:p>
    <w:p w:rsidR="007978CE" w:rsidRPr="007978CE" w:rsidRDefault="007978CE" w:rsidP="000F42CB">
      <w:pPr>
        <w:pStyle w:val="western"/>
        <w:spacing w:before="119" w:beforeAutospacing="0" w:after="0" w:line="363" w:lineRule="atLeast"/>
        <w:ind w:left="2832" w:firstLine="2"/>
        <w:jc w:val="both"/>
        <w:rPr>
          <w:rFonts w:ascii="Garamond" w:hAnsi="Garamond"/>
        </w:rPr>
      </w:pPr>
      <w:r w:rsidRPr="007978CE">
        <w:rPr>
          <w:rFonts w:ascii="Garamond" w:hAnsi="Garamond"/>
        </w:rPr>
        <w:t xml:space="preserve">Esse não me parece um argumento consistente, pois desconsidera um aspecto básico, qual seja a dimensão política e historicamente condicionada da atuação do Poder Executivo. </w:t>
      </w:r>
    </w:p>
    <w:p w:rsidR="007978CE" w:rsidRPr="007978CE" w:rsidRDefault="007978CE" w:rsidP="000F42CB">
      <w:pPr>
        <w:pStyle w:val="western"/>
        <w:spacing w:before="119" w:beforeAutospacing="0" w:after="0" w:line="363" w:lineRule="atLeast"/>
        <w:ind w:left="2832" w:firstLine="2"/>
        <w:jc w:val="both"/>
        <w:rPr>
          <w:rFonts w:ascii="Garamond" w:hAnsi="Garamond"/>
        </w:rPr>
      </w:pPr>
      <w:r w:rsidRPr="007978CE">
        <w:rPr>
          <w:rFonts w:ascii="Garamond" w:hAnsi="Garamond"/>
        </w:rPr>
        <w:t xml:space="preserve">A incompreensão desta dimensão política é que tem gerado, tanto na opinião pública quanto na jurisprudência e na doutrina, uma série de equívocos na avaliação dos requisitos de relevância e urgência das medidas provisórias. Por vezes há manifestações que parecem partir do pressuposto de que certas medidas provisórias foram editadas em razão de uma atitude pessoal, isolada e voluntarista do Presidente da República. Essa perspectiva desconsidera os inúmeros fatores que condicionam a prática dos atos de governo e o exercício do poder político. Há limitações de toda ordem. Por vezes o fator é interno à Administração. Exemplo disso seria a ineficiência do Governo em identificar problemas e propor soluções. E também há condições que são externas à estrutura do Executivo, como, por exemplo, a composição parlamentar que dá sustentação ao Presidente em determinado momento. Há inúmeros outros fatores, e alguns desbordam as fronteiras nacionais. Não há, diante de tais condicionamentos, um “momento ideal” para a edição de atos de governo. </w:t>
      </w:r>
    </w:p>
    <w:p w:rsidR="007978CE" w:rsidRPr="007978CE" w:rsidRDefault="007978CE" w:rsidP="000F42CB">
      <w:pPr>
        <w:pStyle w:val="western"/>
        <w:spacing w:before="119" w:beforeAutospacing="0" w:after="0" w:line="363" w:lineRule="atLeast"/>
        <w:ind w:left="2832" w:firstLine="2"/>
        <w:jc w:val="both"/>
        <w:rPr>
          <w:rFonts w:ascii="Garamond" w:hAnsi="Garamond"/>
        </w:rPr>
      </w:pPr>
      <w:r w:rsidRPr="007978CE">
        <w:rPr>
          <w:rFonts w:ascii="Garamond" w:hAnsi="Garamond"/>
        </w:rPr>
        <w:lastRenderedPageBreak/>
        <w:t xml:space="preserve">Não estou aqui, obviamente, estabelecendo uma justificativa para qualquer ato de governo, o que acabaria indevidamente por endossar as hipóteses de abuso do poder de legislar. </w:t>
      </w:r>
    </w:p>
    <w:p w:rsidR="007978CE" w:rsidRPr="007978CE" w:rsidRDefault="007978CE" w:rsidP="000F42CB">
      <w:pPr>
        <w:pStyle w:val="western"/>
        <w:spacing w:before="119" w:beforeAutospacing="0" w:after="0" w:line="363" w:lineRule="atLeast"/>
        <w:ind w:left="2832" w:firstLine="2"/>
        <w:jc w:val="both"/>
        <w:rPr>
          <w:rFonts w:ascii="Garamond" w:hAnsi="Garamond"/>
        </w:rPr>
      </w:pPr>
      <w:r w:rsidRPr="007978CE">
        <w:rPr>
          <w:rFonts w:ascii="Garamond" w:hAnsi="Garamond"/>
        </w:rPr>
        <w:t xml:space="preserve">O que pretendo enfatizar é essa dimensão política e histórica, ínsita ao próprio Direito Constitucional, que explica uma permanente mudança de cenário ao longo de um mandato presidencial. </w:t>
      </w:r>
      <w:proofErr w:type="gramStart"/>
      <w:r w:rsidRPr="007978CE">
        <w:rPr>
          <w:rFonts w:ascii="Garamond" w:hAnsi="Garamond"/>
        </w:rPr>
        <w:t>É</w:t>
      </w:r>
      <w:proofErr w:type="gramEnd"/>
      <w:r w:rsidRPr="007978CE">
        <w:rPr>
          <w:rFonts w:ascii="Garamond" w:hAnsi="Garamond"/>
        </w:rPr>
        <w:t xml:space="preserve"> nesse contexto dinâmico que são tomadas decisões pelo Presidente da República. As condições políticas existentes no primeiro dia de mandato não são as mesmas de hoje ou do dia em que foi editada a MP 207. </w:t>
      </w:r>
    </w:p>
    <w:p w:rsidR="007978CE" w:rsidRPr="007978CE" w:rsidRDefault="007978CE" w:rsidP="000F42CB">
      <w:pPr>
        <w:pStyle w:val="western"/>
        <w:spacing w:before="119" w:beforeAutospacing="0" w:after="0" w:line="363" w:lineRule="atLeast"/>
        <w:ind w:left="2832" w:firstLine="2"/>
        <w:jc w:val="both"/>
        <w:rPr>
          <w:rFonts w:ascii="Garamond" w:hAnsi="Garamond"/>
        </w:rPr>
      </w:pPr>
      <w:r w:rsidRPr="007978CE">
        <w:rPr>
          <w:rFonts w:ascii="Garamond" w:hAnsi="Garamond"/>
        </w:rPr>
        <w:t xml:space="preserve">Lembro aqui, ademais, um registro de </w:t>
      </w:r>
      <w:proofErr w:type="spellStart"/>
      <w:r w:rsidRPr="007978CE">
        <w:rPr>
          <w:rFonts w:ascii="Garamond" w:hAnsi="Garamond"/>
        </w:rPr>
        <w:t>Canotilho</w:t>
      </w:r>
      <w:proofErr w:type="spellEnd"/>
      <w:r w:rsidRPr="007978CE">
        <w:rPr>
          <w:rFonts w:ascii="Garamond" w:hAnsi="Garamond"/>
        </w:rPr>
        <w:t xml:space="preserve">, que evidencia um aspecto essencial na realização da Constituição. Não se pode ver, na concretização do Texto Constitucional, um espaço vazio ou, em outras palavras, a ausência de um </w:t>
      </w:r>
      <w:proofErr w:type="spellStart"/>
      <w:r w:rsidRPr="007978CE">
        <w:rPr>
          <w:rFonts w:ascii="Garamond" w:hAnsi="Garamond"/>
          <w:i/>
          <w:iCs/>
        </w:rPr>
        <w:t>locus</w:t>
      </w:r>
      <w:proofErr w:type="spellEnd"/>
      <w:r w:rsidRPr="007978CE">
        <w:rPr>
          <w:rFonts w:ascii="Garamond" w:hAnsi="Garamond"/>
          <w:i/>
          <w:iCs/>
        </w:rPr>
        <w:t xml:space="preserve"> </w:t>
      </w:r>
      <w:r w:rsidRPr="007978CE">
        <w:rPr>
          <w:rFonts w:ascii="Garamond" w:hAnsi="Garamond"/>
        </w:rPr>
        <w:t xml:space="preserve">para o que poderíamos denominar de “jogo do direito”. Isso por evidente importaria em um nefasto </w:t>
      </w:r>
      <w:proofErr w:type="spellStart"/>
      <w:r w:rsidRPr="007978CE">
        <w:rPr>
          <w:rFonts w:ascii="Garamond" w:hAnsi="Garamond"/>
        </w:rPr>
        <w:t>estragulamento</w:t>
      </w:r>
      <w:proofErr w:type="spellEnd"/>
      <w:r w:rsidRPr="007978CE">
        <w:rPr>
          <w:rFonts w:ascii="Garamond" w:hAnsi="Garamond"/>
        </w:rPr>
        <w:t xml:space="preserve"> da política e da democracia. </w:t>
      </w:r>
      <w:proofErr w:type="gramStart"/>
      <w:r w:rsidRPr="007978CE">
        <w:rPr>
          <w:rFonts w:ascii="Garamond" w:hAnsi="Garamond"/>
        </w:rPr>
        <w:t>Penso,</w:t>
      </w:r>
      <w:proofErr w:type="gramEnd"/>
      <w:r w:rsidRPr="007978CE">
        <w:rPr>
          <w:rFonts w:ascii="Garamond" w:hAnsi="Garamond"/>
        </w:rPr>
        <w:t xml:space="preserve"> de modo diverso, que a partir do plano constitucional, há um amplo espaço para as mais diversas estratégias constitucionais. E como sabemos no âmbito do jogo da política e do direito, não obstante a existência daquilo que </w:t>
      </w:r>
      <w:proofErr w:type="spellStart"/>
      <w:r w:rsidRPr="007978CE">
        <w:rPr>
          <w:rFonts w:ascii="Garamond" w:hAnsi="Garamond"/>
        </w:rPr>
        <w:t>Canotilho</w:t>
      </w:r>
      <w:proofErr w:type="spellEnd"/>
      <w:r w:rsidRPr="007978CE">
        <w:rPr>
          <w:rFonts w:ascii="Garamond" w:hAnsi="Garamond"/>
        </w:rPr>
        <w:t xml:space="preserve"> designa como um “espaço de indeterminação que permite a inventividade”, não há escolhas absolutamente livres. Registro, por oportuno, a lição de </w:t>
      </w:r>
      <w:proofErr w:type="spellStart"/>
      <w:r w:rsidRPr="007978CE">
        <w:rPr>
          <w:rFonts w:ascii="Garamond" w:hAnsi="Garamond"/>
        </w:rPr>
        <w:t>Canotilho</w:t>
      </w:r>
      <w:proofErr w:type="spellEnd"/>
      <w:r w:rsidRPr="007978CE">
        <w:rPr>
          <w:rFonts w:ascii="Garamond" w:hAnsi="Garamond"/>
        </w:rPr>
        <w:t>:</w:t>
      </w:r>
    </w:p>
    <w:p w:rsidR="007978CE" w:rsidRPr="007978CE" w:rsidRDefault="001C1711" w:rsidP="000F42CB">
      <w:pPr>
        <w:pStyle w:val="western"/>
        <w:spacing w:before="119" w:beforeAutospacing="0" w:after="0" w:line="363" w:lineRule="atLeast"/>
        <w:ind w:left="3540" w:firstLine="712"/>
        <w:jc w:val="both"/>
        <w:rPr>
          <w:rFonts w:ascii="Garamond" w:hAnsi="Garamond"/>
        </w:rPr>
      </w:pPr>
      <w:r>
        <w:rPr>
          <w:rFonts w:ascii="Garamond" w:hAnsi="Garamond"/>
        </w:rPr>
        <w:t>‘</w:t>
      </w:r>
      <w:r w:rsidR="007978CE" w:rsidRPr="007978CE">
        <w:rPr>
          <w:rFonts w:ascii="Garamond" w:hAnsi="Garamond"/>
        </w:rPr>
        <w:t xml:space="preserve">Alguns autores assinalam às normas e princípios constitucionais um ‘sentido de colocação’, um ‘sentido de estratégia’, para vincar a </w:t>
      </w:r>
      <w:proofErr w:type="spellStart"/>
      <w:r w:rsidR="007978CE" w:rsidRPr="007978CE">
        <w:rPr>
          <w:rFonts w:ascii="Garamond" w:hAnsi="Garamond"/>
        </w:rPr>
        <w:t>idéia</w:t>
      </w:r>
      <w:proofErr w:type="spellEnd"/>
      <w:r w:rsidR="007978CE" w:rsidRPr="007978CE">
        <w:rPr>
          <w:rFonts w:ascii="Garamond" w:hAnsi="Garamond"/>
        </w:rPr>
        <w:t xml:space="preserve"> de que, para além das regras constitucionais, não há um espaço vazio, mas um </w:t>
      </w:r>
      <w:r w:rsidR="007978CE" w:rsidRPr="007978CE">
        <w:rPr>
          <w:rFonts w:ascii="Garamond" w:hAnsi="Garamond"/>
          <w:i/>
          <w:iCs/>
        </w:rPr>
        <w:t>espaço de jogo</w:t>
      </w:r>
      <w:r w:rsidR="007978CE" w:rsidRPr="007978CE">
        <w:rPr>
          <w:rFonts w:ascii="Garamond" w:hAnsi="Garamond"/>
        </w:rPr>
        <w:t xml:space="preserve"> aberto à criatividade prática e estratégica dos jogadores. Para se compreender este ‘jogo do direito’ deveremos reter dois elementos essenciais do conceito de jogo:</w:t>
      </w:r>
    </w:p>
    <w:p w:rsidR="007978CE" w:rsidRPr="007978CE" w:rsidRDefault="007978CE" w:rsidP="000F42CB">
      <w:pPr>
        <w:pStyle w:val="western"/>
        <w:spacing w:before="119" w:beforeAutospacing="0" w:after="0" w:line="363" w:lineRule="atLeast"/>
        <w:ind w:left="3540" w:firstLine="710"/>
        <w:jc w:val="both"/>
        <w:rPr>
          <w:rFonts w:ascii="Garamond" w:hAnsi="Garamond"/>
        </w:rPr>
      </w:pPr>
      <w:r w:rsidRPr="007978CE">
        <w:rPr>
          <w:rFonts w:ascii="Garamond" w:hAnsi="Garamond"/>
        </w:rPr>
        <w:t xml:space="preserve">(1) – as </w:t>
      </w:r>
      <w:r w:rsidRPr="007978CE">
        <w:rPr>
          <w:rFonts w:ascii="Garamond" w:hAnsi="Garamond"/>
          <w:i/>
          <w:iCs/>
        </w:rPr>
        <w:t>regras convencionais</w:t>
      </w:r>
      <w:r w:rsidRPr="007978CE">
        <w:rPr>
          <w:rFonts w:ascii="Garamond" w:hAnsi="Garamond"/>
        </w:rPr>
        <w:t xml:space="preserve">, reguladoras e </w:t>
      </w:r>
      <w:proofErr w:type="spellStart"/>
      <w:r w:rsidRPr="007978CE">
        <w:rPr>
          <w:rFonts w:ascii="Garamond" w:hAnsi="Garamond"/>
        </w:rPr>
        <w:t>institucionalizadoras</w:t>
      </w:r>
      <w:proofErr w:type="spellEnd"/>
      <w:r w:rsidRPr="007978CE">
        <w:rPr>
          <w:rFonts w:ascii="Garamond" w:hAnsi="Garamond"/>
        </w:rPr>
        <w:t>, que devem ser observadas pelos ‘</w:t>
      </w:r>
      <w:proofErr w:type="spellStart"/>
      <w:r w:rsidRPr="007978CE">
        <w:rPr>
          <w:rFonts w:ascii="Garamond" w:hAnsi="Garamond"/>
        </w:rPr>
        <w:t>actores</w:t>
      </w:r>
      <w:proofErr w:type="spellEnd"/>
      <w:r w:rsidRPr="007978CE">
        <w:rPr>
          <w:rFonts w:ascii="Garamond" w:hAnsi="Garamond"/>
        </w:rPr>
        <w:t>’ ou ‘jogadores’ políticos (as ‘regras do jogo’);</w:t>
      </w:r>
    </w:p>
    <w:p w:rsidR="007978CE" w:rsidRPr="007978CE" w:rsidRDefault="007978CE" w:rsidP="000F42CB">
      <w:pPr>
        <w:pStyle w:val="western"/>
        <w:spacing w:before="119" w:beforeAutospacing="0" w:after="0" w:line="363" w:lineRule="atLeast"/>
        <w:ind w:left="3544" w:firstLine="706"/>
        <w:jc w:val="both"/>
        <w:rPr>
          <w:rFonts w:ascii="Garamond" w:hAnsi="Garamond"/>
        </w:rPr>
      </w:pPr>
      <w:r w:rsidRPr="007978CE">
        <w:rPr>
          <w:rFonts w:ascii="Garamond" w:hAnsi="Garamond"/>
        </w:rPr>
        <w:lastRenderedPageBreak/>
        <w:t xml:space="preserve">(2) – </w:t>
      </w:r>
      <w:r w:rsidRPr="007978CE">
        <w:rPr>
          <w:rFonts w:ascii="Garamond" w:hAnsi="Garamond"/>
          <w:i/>
          <w:iCs/>
        </w:rPr>
        <w:t>espaço de indeterminação</w:t>
      </w:r>
      <w:r w:rsidRPr="007978CE">
        <w:rPr>
          <w:rFonts w:ascii="Garamond" w:hAnsi="Garamond"/>
        </w:rPr>
        <w:t xml:space="preserve"> que permite a inventividade, a criatividade das ‘</w:t>
      </w:r>
      <w:proofErr w:type="spellStart"/>
      <w:r w:rsidRPr="007978CE">
        <w:rPr>
          <w:rFonts w:ascii="Garamond" w:hAnsi="Garamond"/>
        </w:rPr>
        <w:t>personae</w:t>
      </w:r>
      <w:proofErr w:type="spellEnd"/>
      <w:r w:rsidRPr="007978CE">
        <w:rPr>
          <w:rFonts w:ascii="Garamond" w:hAnsi="Garamond"/>
        </w:rPr>
        <w:t xml:space="preserve">’ que </w:t>
      </w:r>
      <w:proofErr w:type="spellStart"/>
      <w:r w:rsidRPr="007978CE">
        <w:rPr>
          <w:rFonts w:ascii="Garamond" w:hAnsi="Garamond"/>
        </w:rPr>
        <w:t>actuam</w:t>
      </w:r>
      <w:proofErr w:type="spellEnd"/>
      <w:r w:rsidRPr="007978CE">
        <w:rPr>
          <w:rFonts w:ascii="Garamond" w:hAnsi="Garamond"/>
        </w:rPr>
        <w:t xml:space="preserve"> na cena </w:t>
      </w:r>
      <w:proofErr w:type="spellStart"/>
      <w:r w:rsidRPr="007978CE">
        <w:rPr>
          <w:rFonts w:ascii="Garamond" w:hAnsi="Garamond"/>
        </w:rPr>
        <w:t>jurídico-política</w:t>
      </w:r>
      <w:proofErr w:type="spellEnd"/>
      <w:r w:rsidRPr="007978CE">
        <w:rPr>
          <w:rFonts w:ascii="Garamond" w:hAnsi="Garamond"/>
        </w:rPr>
        <w:t>.</w:t>
      </w:r>
    </w:p>
    <w:p w:rsidR="007978CE" w:rsidRPr="007978CE" w:rsidRDefault="007978CE" w:rsidP="000F42CB">
      <w:pPr>
        <w:pStyle w:val="western"/>
        <w:spacing w:before="119" w:beforeAutospacing="0" w:after="0" w:line="363" w:lineRule="atLeast"/>
        <w:ind w:left="3540" w:firstLine="710"/>
        <w:jc w:val="both"/>
        <w:rPr>
          <w:rFonts w:ascii="Garamond" w:hAnsi="Garamond"/>
        </w:rPr>
      </w:pPr>
      <w:r w:rsidRPr="007978CE">
        <w:rPr>
          <w:rFonts w:ascii="Garamond" w:hAnsi="Garamond"/>
        </w:rPr>
        <w:t xml:space="preserve">No plano constitucional, dir-se-ia que o </w:t>
      </w:r>
      <w:r w:rsidRPr="007978CE">
        <w:rPr>
          <w:rFonts w:ascii="Garamond" w:hAnsi="Garamond"/>
          <w:i/>
          <w:iCs/>
        </w:rPr>
        <w:t>corpus</w:t>
      </w:r>
      <w:r w:rsidRPr="007978CE">
        <w:rPr>
          <w:rFonts w:ascii="Garamond" w:hAnsi="Garamond"/>
        </w:rPr>
        <w:t xml:space="preserve"> constitucional estabeleceria um conjunto de regras convencionais (=regras do jogo) sobre as quais podem assentar as mais diversas estratégias constitucionais.” (Direito Constitucional, </w:t>
      </w:r>
      <w:proofErr w:type="gramStart"/>
      <w:r w:rsidRPr="007978CE">
        <w:rPr>
          <w:rFonts w:ascii="Garamond" w:hAnsi="Garamond"/>
        </w:rPr>
        <w:t>5</w:t>
      </w:r>
      <w:r w:rsidRPr="007978CE">
        <w:rPr>
          <w:rFonts w:ascii="Garamond" w:hAnsi="Garamond"/>
          <w:vertAlign w:val="superscript"/>
        </w:rPr>
        <w:t>a</w:t>
      </w:r>
      <w:r w:rsidRPr="007978CE">
        <w:rPr>
          <w:rFonts w:ascii="Garamond" w:hAnsi="Garamond"/>
        </w:rPr>
        <w:t>.</w:t>
      </w:r>
      <w:proofErr w:type="gramEnd"/>
      <w:r w:rsidRPr="007978CE">
        <w:rPr>
          <w:rFonts w:ascii="Garamond" w:hAnsi="Garamond"/>
        </w:rPr>
        <w:t xml:space="preserve"> ed., Coimbra, Almedina, 1991, p. 51)</w:t>
      </w:r>
      <w:r w:rsidR="001C1711">
        <w:rPr>
          <w:rFonts w:ascii="Garamond" w:hAnsi="Garamond"/>
        </w:rPr>
        <w:t>’</w:t>
      </w:r>
      <w:r w:rsidRPr="007978CE">
        <w:rPr>
          <w:rFonts w:ascii="Garamond" w:hAnsi="Garamond"/>
        </w:rPr>
        <w:t>.</w:t>
      </w:r>
    </w:p>
    <w:p w:rsidR="007978CE" w:rsidRPr="007978CE" w:rsidRDefault="007978CE" w:rsidP="000F42CB">
      <w:pPr>
        <w:pStyle w:val="western"/>
        <w:spacing w:before="119" w:beforeAutospacing="0" w:after="0" w:line="363" w:lineRule="atLeast"/>
        <w:jc w:val="both"/>
        <w:rPr>
          <w:rFonts w:ascii="Garamond" w:hAnsi="Garamond"/>
        </w:rPr>
      </w:pPr>
    </w:p>
    <w:p w:rsidR="007978CE" w:rsidRPr="007978CE" w:rsidRDefault="007978CE" w:rsidP="000F42CB">
      <w:pPr>
        <w:pStyle w:val="western"/>
        <w:spacing w:before="119" w:beforeAutospacing="0" w:after="0" w:line="363" w:lineRule="atLeast"/>
        <w:ind w:left="2832"/>
        <w:jc w:val="both"/>
        <w:rPr>
          <w:rFonts w:ascii="Garamond" w:hAnsi="Garamond"/>
        </w:rPr>
      </w:pPr>
      <w:r w:rsidRPr="007978CE">
        <w:rPr>
          <w:rFonts w:ascii="Garamond" w:hAnsi="Garamond"/>
        </w:rPr>
        <w:t xml:space="preserve">Obviamente, nessa perspectiva de </w:t>
      </w:r>
      <w:proofErr w:type="spellStart"/>
      <w:r w:rsidRPr="007978CE">
        <w:rPr>
          <w:rFonts w:ascii="Garamond" w:hAnsi="Garamond"/>
        </w:rPr>
        <w:t>Canotilho</w:t>
      </w:r>
      <w:proofErr w:type="spellEnd"/>
      <w:r w:rsidRPr="007978CE">
        <w:rPr>
          <w:rFonts w:ascii="Garamond" w:hAnsi="Garamond"/>
        </w:rPr>
        <w:t xml:space="preserve">, os “jogadores do direito” estão vinculados às referidas regras convencionais, ou regras do jogo, que aqui são as normas constitucionais. O que pretendo enfatizar é que não é promissora uma perspectiva que </w:t>
      </w:r>
      <w:proofErr w:type="gramStart"/>
      <w:r w:rsidRPr="007978CE">
        <w:rPr>
          <w:rFonts w:ascii="Garamond" w:hAnsi="Garamond"/>
        </w:rPr>
        <w:t>quer,</w:t>
      </w:r>
      <w:proofErr w:type="gramEnd"/>
      <w:r w:rsidRPr="007978CE">
        <w:rPr>
          <w:rFonts w:ascii="Garamond" w:hAnsi="Garamond"/>
        </w:rPr>
        <w:t xml:space="preserve"> de plano, inviabilizar sumariamente a própria ação política e o próprio jogo do direito.</w:t>
      </w:r>
    </w:p>
    <w:p w:rsidR="007978CE" w:rsidRPr="007978CE" w:rsidRDefault="007978CE" w:rsidP="000F42CB">
      <w:pPr>
        <w:pStyle w:val="western"/>
        <w:spacing w:before="119" w:beforeAutospacing="0" w:after="0" w:line="363" w:lineRule="atLeast"/>
        <w:ind w:left="2832" w:firstLine="2"/>
        <w:jc w:val="both"/>
        <w:rPr>
          <w:rFonts w:ascii="Garamond" w:hAnsi="Garamond"/>
        </w:rPr>
      </w:pPr>
      <w:r w:rsidRPr="007978CE">
        <w:rPr>
          <w:rFonts w:ascii="Garamond" w:hAnsi="Garamond"/>
        </w:rPr>
        <w:t>Também não considero válidas as alegações no sentido de que haveria um casuísmo na edição da Medida Provisória 207. Nesse ponto, compartilho do pensamento de Garcia Amado, no sentido de que a atividade jurídica, enquanto realização do Direito histórico</w:t>
      </w:r>
      <w:proofErr w:type="gramStart"/>
      <w:r w:rsidRPr="007978CE">
        <w:rPr>
          <w:rFonts w:ascii="Garamond" w:hAnsi="Garamond"/>
        </w:rPr>
        <w:t>, remete-se</w:t>
      </w:r>
      <w:proofErr w:type="gramEnd"/>
      <w:r w:rsidRPr="007978CE">
        <w:rPr>
          <w:rFonts w:ascii="Garamond" w:hAnsi="Garamond"/>
        </w:rPr>
        <w:t xml:space="preserve"> ao pensamento tópico, e não ao pensamento sistemático. Isto porque a produção legislativa não está comprometida com uma perspectiva essencialista do Direito, ou seja, não se parte de uma pauta prévia de soluções jurídicas para os problemas do mundo. Ao contrário, o Direito, produto histórico que é, traduz-se mais como um conjunto de respostas contingentes às questões que se colocam para a sociedade em cada momento. Vale aqui o registro do pensamento de Garcia Amado, </w:t>
      </w:r>
      <w:proofErr w:type="spellStart"/>
      <w:r w:rsidRPr="007978CE">
        <w:rPr>
          <w:rFonts w:ascii="Garamond" w:hAnsi="Garamond"/>
          <w:i/>
          <w:iCs/>
        </w:rPr>
        <w:t>verbis</w:t>
      </w:r>
      <w:proofErr w:type="spellEnd"/>
      <w:r w:rsidRPr="007978CE">
        <w:rPr>
          <w:rFonts w:ascii="Garamond" w:hAnsi="Garamond"/>
        </w:rPr>
        <w:t>:</w:t>
      </w:r>
    </w:p>
    <w:p w:rsidR="007978CE" w:rsidRPr="007978CE" w:rsidRDefault="007978CE" w:rsidP="000F42CB">
      <w:pPr>
        <w:pStyle w:val="western"/>
        <w:spacing w:before="119" w:beforeAutospacing="0" w:after="0" w:line="363" w:lineRule="atLeast"/>
        <w:ind w:left="1418" w:firstLine="1418"/>
        <w:jc w:val="both"/>
        <w:rPr>
          <w:rFonts w:ascii="Garamond" w:hAnsi="Garamond"/>
        </w:rPr>
      </w:pPr>
    </w:p>
    <w:p w:rsidR="007978CE" w:rsidRPr="007978CE" w:rsidRDefault="001C1711" w:rsidP="000F42CB">
      <w:pPr>
        <w:pStyle w:val="western"/>
        <w:spacing w:before="119" w:beforeAutospacing="0" w:after="0" w:line="363" w:lineRule="atLeast"/>
        <w:ind w:left="3540" w:firstLine="710"/>
        <w:jc w:val="both"/>
        <w:rPr>
          <w:rFonts w:ascii="Garamond" w:hAnsi="Garamond"/>
          <w:lang w:val="es-ES"/>
        </w:rPr>
      </w:pPr>
      <w:r>
        <w:rPr>
          <w:rFonts w:ascii="Garamond" w:hAnsi="Garamond"/>
          <w:lang w:val="es-ES"/>
        </w:rPr>
        <w:t>‘</w:t>
      </w:r>
      <w:r w:rsidR="007978CE" w:rsidRPr="007978CE">
        <w:rPr>
          <w:rFonts w:ascii="Garamond" w:hAnsi="Garamond"/>
          <w:lang w:val="es-ES"/>
        </w:rPr>
        <w:t xml:space="preserve">A la tópica jurídica se </w:t>
      </w:r>
      <w:proofErr w:type="spellStart"/>
      <w:r w:rsidR="007978CE" w:rsidRPr="007978CE">
        <w:rPr>
          <w:rFonts w:ascii="Garamond" w:hAnsi="Garamond"/>
          <w:lang w:val="es-ES"/>
        </w:rPr>
        <w:t>podem</w:t>
      </w:r>
      <w:proofErr w:type="spellEnd"/>
      <w:r w:rsidR="007978CE" w:rsidRPr="007978CE">
        <w:rPr>
          <w:rFonts w:ascii="Garamond" w:hAnsi="Garamond"/>
          <w:lang w:val="es-ES"/>
        </w:rPr>
        <w:t xml:space="preserve"> ligar tres tipos diferenciables de desarrollo de la idea de Derecho, que han sido llevados a cabo por la doctrina.</w:t>
      </w:r>
    </w:p>
    <w:p w:rsidR="007978CE" w:rsidRPr="007978CE" w:rsidRDefault="007978CE" w:rsidP="000F42CB">
      <w:pPr>
        <w:pStyle w:val="western"/>
        <w:spacing w:before="119" w:beforeAutospacing="0" w:after="0" w:line="363" w:lineRule="atLeast"/>
        <w:ind w:left="2122" w:firstLine="1418"/>
        <w:jc w:val="both"/>
        <w:rPr>
          <w:rFonts w:ascii="Garamond" w:hAnsi="Garamond"/>
          <w:lang w:val="es-ES"/>
        </w:rPr>
      </w:pPr>
      <w:r w:rsidRPr="007978CE">
        <w:rPr>
          <w:rFonts w:ascii="Garamond" w:hAnsi="Garamond"/>
          <w:lang w:val="es-ES"/>
        </w:rPr>
        <w:t>(...)</w:t>
      </w:r>
    </w:p>
    <w:p w:rsidR="007978CE" w:rsidRPr="007978CE" w:rsidRDefault="007978CE" w:rsidP="000F42CB">
      <w:pPr>
        <w:pStyle w:val="western"/>
        <w:spacing w:before="142" w:beforeAutospacing="0" w:after="397" w:line="363" w:lineRule="atLeast"/>
        <w:ind w:left="3540" w:right="289" w:firstLine="708"/>
        <w:jc w:val="both"/>
        <w:rPr>
          <w:rFonts w:ascii="Garamond" w:hAnsi="Garamond"/>
        </w:rPr>
      </w:pPr>
      <w:r w:rsidRPr="007978CE">
        <w:rPr>
          <w:rFonts w:ascii="Garamond" w:hAnsi="Garamond"/>
          <w:lang w:val="es-ES"/>
        </w:rPr>
        <w:lastRenderedPageBreak/>
        <w:t>El primer tipo de teorías parten de rechazar toda concepción esencialista del Derecho, conforme a la cual éste sea «imperativo puro» o «deber incondicionado» y la ley simple «depósito de soluciones acabadas para casos meramente subsumibles».</w:t>
      </w:r>
      <w:r w:rsidRPr="007978CE">
        <w:rPr>
          <w:rFonts w:ascii="Garamond" w:hAnsi="Garamond"/>
          <w:vertAlign w:val="superscript"/>
          <w:lang w:val="es-ES"/>
        </w:rPr>
        <w:t xml:space="preserve"> </w:t>
      </w:r>
      <w:r w:rsidRPr="007978CE">
        <w:rPr>
          <w:rFonts w:ascii="Garamond" w:hAnsi="Garamond"/>
          <w:lang w:val="es-ES"/>
        </w:rPr>
        <w:t>Como dice BÄUMLIN, el Derecho es un producto eminentemente histó</w:t>
      </w:r>
      <w:r w:rsidRPr="007978CE">
        <w:rPr>
          <w:rFonts w:ascii="Garamond" w:hAnsi="Garamond"/>
          <w:lang w:val="es-ES"/>
        </w:rPr>
        <w:softHyphen/>
        <w:t xml:space="preserve">rico, sólo comprensible a partir de su propia realización. La actividad jurídica, en </w:t>
      </w:r>
      <w:proofErr w:type="gramStart"/>
      <w:r w:rsidRPr="007978CE">
        <w:rPr>
          <w:rFonts w:ascii="Garamond" w:hAnsi="Garamond"/>
          <w:lang w:val="es-ES"/>
        </w:rPr>
        <w:t>cuanto</w:t>
      </w:r>
      <w:proofErr w:type="gramEnd"/>
      <w:r w:rsidRPr="007978CE">
        <w:rPr>
          <w:rFonts w:ascii="Garamond" w:hAnsi="Garamond"/>
          <w:lang w:val="es-ES"/>
        </w:rPr>
        <w:t xml:space="preserve"> realización del Derecho histórico, remitiría a la tópica, no al pensamiento sistemático. El Derecho histórico es, para BÄUMLIN, el conjunto de respuestas contingentes, parciales y susceptibles de ser desarrolladas. Carece de sen</w:t>
      </w:r>
      <w:r w:rsidRPr="007978CE">
        <w:rPr>
          <w:rFonts w:ascii="Garamond" w:hAnsi="Garamond"/>
          <w:lang w:val="es-ES"/>
        </w:rPr>
        <w:softHyphen/>
        <w:t>tido, en opinión de este autor, contraponer una regulación ge</w:t>
      </w:r>
      <w:r w:rsidRPr="007978CE">
        <w:rPr>
          <w:rFonts w:ascii="Garamond" w:hAnsi="Garamond"/>
          <w:lang w:val="es-ES"/>
        </w:rPr>
        <w:softHyphen/>
        <w:t>neral y abstracta, por un lado, y las decisiones, por otro, pues el proceso de concreción es un elemento conformador de impor</w:t>
      </w:r>
      <w:r w:rsidRPr="007978CE">
        <w:rPr>
          <w:rFonts w:ascii="Garamond" w:hAnsi="Garamond"/>
          <w:lang w:val="es-ES"/>
        </w:rPr>
        <w:softHyphen/>
        <w:t>tancia fundamental en el Derecho. Este se ha de comprender a partir de su nota esencial de «estar orientado a constante realiza</w:t>
      </w:r>
      <w:r w:rsidRPr="007978CE">
        <w:rPr>
          <w:rFonts w:ascii="Garamond" w:hAnsi="Garamond"/>
          <w:lang w:val="es-ES"/>
        </w:rPr>
        <w:softHyphen/>
        <w:t xml:space="preserve">ción». Esta realización del Derecho </w:t>
      </w:r>
      <w:r w:rsidRPr="007978CE">
        <w:rPr>
          <w:rFonts w:ascii="Garamond" w:hAnsi="Garamond"/>
          <w:i/>
          <w:iCs/>
          <w:lang w:val="es-ES"/>
        </w:rPr>
        <w:t>(</w:t>
      </w:r>
      <w:proofErr w:type="spellStart"/>
      <w:r w:rsidRPr="007978CE">
        <w:rPr>
          <w:rFonts w:ascii="Garamond" w:hAnsi="Garamond"/>
          <w:i/>
          <w:iCs/>
          <w:lang w:val="es-ES"/>
        </w:rPr>
        <w:t>Rechtsverwirklichung</w:t>
      </w:r>
      <w:proofErr w:type="spellEnd"/>
      <w:r w:rsidRPr="007978CE">
        <w:rPr>
          <w:rFonts w:ascii="Garamond" w:hAnsi="Garamond"/>
          <w:i/>
          <w:iCs/>
          <w:lang w:val="es-ES"/>
        </w:rPr>
        <w:t xml:space="preserve">) </w:t>
      </w:r>
      <w:r w:rsidRPr="007978CE">
        <w:rPr>
          <w:rFonts w:ascii="Garamond" w:hAnsi="Garamond"/>
          <w:lang w:val="es-ES"/>
        </w:rPr>
        <w:t xml:space="preserve">no puede significar ejecución de la ley </w:t>
      </w:r>
      <w:r w:rsidRPr="007978CE">
        <w:rPr>
          <w:rFonts w:ascii="Garamond" w:hAnsi="Garamond"/>
          <w:i/>
          <w:iCs/>
          <w:lang w:val="es-ES"/>
        </w:rPr>
        <w:t>(</w:t>
      </w:r>
      <w:proofErr w:type="spellStart"/>
      <w:r w:rsidRPr="007978CE">
        <w:rPr>
          <w:rFonts w:ascii="Garamond" w:hAnsi="Garamond"/>
          <w:i/>
          <w:iCs/>
          <w:lang w:val="es-ES"/>
        </w:rPr>
        <w:t>Gesetzesvollziehung</w:t>
      </w:r>
      <w:proofErr w:type="spellEnd"/>
      <w:r w:rsidRPr="007978CE">
        <w:rPr>
          <w:rFonts w:ascii="Garamond" w:hAnsi="Garamond"/>
          <w:i/>
          <w:iCs/>
          <w:lang w:val="es-ES"/>
        </w:rPr>
        <w:t xml:space="preserve">), </w:t>
      </w:r>
      <w:r w:rsidRPr="007978CE">
        <w:rPr>
          <w:rFonts w:ascii="Garamond" w:hAnsi="Garamond"/>
          <w:lang w:val="es-ES"/>
        </w:rPr>
        <w:t xml:space="preserve">sino un nunca acabado tratamiento y una constante conformación del Derecho histórico en todos los niveles de la actividad jurídica.” </w:t>
      </w:r>
      <w:r w:rsidRPr="007978CE">
        <w:rPr>
          <w:rFonts w:ascii="Garamond" w:hAnsi="Garamond"/>
        </w:rPr>
        <w:t xml:space="preserve">(Juan Antonio Garcia Amado, </w:t>
      </w:r>
      <w:r w:rsidRPr="007978CE">
        <w:rPr>
          <w:rFonts w:ascii="Garamond" w:hAnsi="Garamond"/>
          <w:i/>
          <w:iCs/>
        </w:rPr>
        <w:t xml:space="preserve">Teorias de La </w:t>
      </w:r>
      <w:proofErr w:type="spellStart"/>
      <w:r w:rsidRPr="007978CE">
        <w:rPr>
          <w:rFonts w:ascii="Garamond" w:hAnsi="Garamond"/>
          <w:i/>
          <w:iCs/>
        </w:rPr>
        <w:t>Topica</w:t>
      </w:r>
      <w:proofErr w:type="spellEnd"/>
      <w:r w:rsidRPr="007978CE">
        <w:rPr>
          <w:rFonts w:ascii="Garamond" w:hAnsi="Garamond"/>
          <w:i/>
          <w:iCs/>
        </w:rPr>
        <w:t xml:space="preserve"> </w:t>
      </w:r>
      <w:proofErr w:type="spellStart"/>
      <w:r w:rsidRPr="007978CE">
        <w:rPr>
          <w:rFonts w:ascii="Garamond" w:hAnsi="Garamond"/>
          <w:i/>
          <w:iCs/>
        </w:rPr>
        <w:t>Juridica</w:t>
      </w:r>
      <w:proofErr w:type="spellEnd"/>
      <w:r w:rsidRPr="007978CE">
        <w:rPr>
          <w:rFonts w:ascii="Garamond" w:hAnsi="Garamond"/>
        </w:rPr>
        <w:t xml:space="preserve">, Madri, Editorial </w:t>
      </w:r>
      <w:proofErr w:type="spellStart"/>
      <w:r w:rsidRPr="007978CE">
        <w:rPr>
          <w:rFonts w:ascii="Garamond" w:hAnsi="Garamond"/>
        </w:rPr>
        <w:t>Civitas</w:t>
      </w:r>
      <w:proofErr w:type="spellEnd"/>
      <w:r w:rsidRPr="007978CE">
        <w:rPr>
          <w:rFonts w:ascii="Garamond" w:hAnsi="Garamond"/>
        </w:rPr>
        <w:t>, Primeira edição, pp. 264/265)</w:t>
      </w:r>
      <w:proofErr w:type="gramStart"/>
      <w:r w:rsidR="001C1711">
        <w:rPr>
          <w:rFonts w:ascii="Garamond" w:hAnsi="Garamond"/>
        </w:rPr>
        <w:t>’</w:t>
      </w:r>
      <w:proofErr w:type="gramEnd"/>
      <w:r w:rsidRPr="007978CE">
        <w:rPr>
          <w:rFonts w:ascii="Garamond" w:hAnsi="Garamond"/>
        </w:rPr>
        <w:t xml:space="preserve"> </w:t>
      </w:r>
    </w:p>
    <w:p w:rsidR="007978CE" w:rsidRPr="007978CE" w:rsidRDefault="007978CE" w:rsidP="000F42CB">
      <w:pPr>
        <w:pStyle w:val="western"/>
        <w:spacing w:before="119" w:beforeAutospacing="0" w:after="0" w:line="363" w:lineRule="atLeast"/>
        <w:ind w:left="2832" w:firstLine="2"/>
        <w:jc w:val="both"/>
        <w:rPr>
          <w:rFonts w:ascii="Garamond" w:hAnsi="Garamond"/>
        </w:rPr>
      </w:pPr>
      <w:r w:rsidRPr="007978CE">
        <w:rPr>
          <w:rFonts w:ascii="Garamond" w:hAnsi="Garamond"/>
        </w:rPr>
        <w:t xml:space="preserve">Conforme registra Garcia Amado, também é reconhecida na doutrina clássica de </w:t>
      </w:r>
      <w:proofErr w:type="spellStart"/>
      <w:r w:rsidRPr="007978CE">
        <w:rPr>
          <w:rFonts w:ascii="Garamond" w:hAnsi="Garamond"/>
        </w:rPr>
        <w:t>Viehweg</w:t>
      </w:r>
      <w:proofErr w:type="spellEnd"/>
      <w:r w:rsidRPr="007978CE">
        <w:rPr>
          <w:rFonts w:ascii="Garamond" w:hAnsi="Garamond"/>
        </w:rPr>
        <w:t xml:space="preserve"> a natureza tópica da lei (cit., p. 255 e ss.</w:t>
      </w:r>
      <w:proofErr w:type="gramStart"/>
      <w:r w:rsidRPr="007978CE">
        <w:rPr>
          <w:rFonts w:ascii="Garamond" w:hAnsi="Garamond"/>
        </w:rPr>
        <w:t>) .</w:t>
      </w:r>
      <w:proofErr w:type="gramEnd"/>
    </w:p>
    <w:p w:rsidR="007978CE" w:rsidRPr="007978CE" w:rsidRDefault="007978CE" w:rsidP="000F42CB">
      <w:pPr>
        <w:pStyle w:val="western"/>
        <w:spacing w:before="119" w:beforeAutospacing="0" w:after="0" w:line="363" w:lineRule="atLeast"/>
        <w:ind w:left="2832" w:firstLine="2"/>
        <w:jc w:val="both"/>
        <w:rPr>
          <w:rFonts w:ascii="Garamond" w:hAnsi="Garamond"/>
        </w:rPr>
      </w:pPr>
      <w:r w:rsidRPr="007978CE">
        <w:rPr>
          <w:rFonts w:ascii="Garamond" w:hAnsi="Garamond"/>
        </w:rPr>
        <w:t xml:space="preserve">Por tais razões, com a </w:t>
      </w:r>
      <w:proofErr w:type="gramStart"/>
      <w:r w:rsidRPr="007978CE">
        <w:rPr>
          <w:rFonts w:ascii="Garamond" w:hAnsi="Garamond"/>
        </w:rPr>
        <w:t>devida vênia, não aceito</w:t>
      </w:r>
      <w:proofErr w:type="gramEnd"/>
      <w:r w:rsidRPr="007978CE">
        <w:rPr>
          <w:rFonts w:ascii="Garamond" w:hAnsi="Garamond"/>
        </w:rPr>
        <w:t xml:space="preserve"> as afirmações peremptórias no sentido da ausência dos requisitos de relevância e urgência, ou ainda, as eventuais alegações de que o ato impugnado seria fruto de um casuísmo.</w:t>
      </w:r>
    </w:p>
    <w:p w:rsidR="007978CE" w:rsidRPr="007978CE" w:rsidRDefault="007978CE" w:rsidP="000F42CB">
      <w:pPr>
        <w:pStyle w:val="western"/>
        <w:spacing w:after="0" w:line="363" w:lineRule="atLeast"/>
        <w:ind w:left="2832"/>
        <w:jc w:val="both"/>
        <w:rPr>
          <w:rFonts w:ascii="Garamond" w:hAnsi="Garamond"/>
        </w:rPr>
      </w:pPr>
      <w:r w:rsidRPr="007978CE">
        <w:rPr>
          <w:rFonts w:ascii="Garamond" w:hAnsi="Garamond"/>
        </w:rPr>
        <w:lastRenderedPageBreak/>
        <w:t xml:space="preserve">Em verdade, no caso em exame, considerada </w:t>
      </w:r>
      <w:proofErr w:type="gramStart"/>
      <w:r w:rsidRPr="007978CE">
        <w:rPr>
          <w:rFonts w:ascii="Garamond" w:hAnsi="Garamond"/>
        </w:rPr>
        <w:t>essa dimensão política e a situação singular do Banco Central, não me pareceria</w:t>
      </w:r>
      <w:proofErr w:type="gramEnd"/>
      <w:r w:rsidRPr="007978CE">
        <w:rPr>
          <w:rFonts w:ascii="Garamond" w:hAnsi="Garamond"/>
        </w:rPr>
        <w:t xml:space="preserve"> absurda uma justificativa explícita, pelo Presidente da República, no sentido de que a Medida ora impugnada teria sido editada tão-somente para conferir prerrogativa de foro ao Presidente do Banco Central. Também não seria disparatado se a exposição de motivos da MP 207 dissesse claramente que estaria sendo editada para o fim de afastar o Presidente do Banco Central de uma avalanche de ações ajuizadas na primeira instância do Poder Judiciário. </w:t>
      </w:r>
    </w:p>
    <w:p w:rsidR="007978CE" w:rsidRPr="007978CE" w:rsidRDefault="007978CE" w:rsidP="000F42CB">
      <w:pPr>
        <w:pStyle w:val="western"/>
        <w:spacing w:before="119" w:beforeAutospacing="0" w:after="0" w:line="363" w:lineRule="atLeast"/>
        <w:ind w:left="2832"/>
        <w:jc w:val="both"/>
        <w:rPr>
          <w:rFonts w:ascii="Garamond" w:hAnsi="Garamond"/>
        </w:rPr>
      </w:pPr>
      <w:r w:rsidRPr="007978CE">
        <w:rPr>
          <w:rFonts w:ascii="Garamond" w:hAnsi="Garamond"/>
        </w:rPr>
        <w:t xml:space="preserve">Tal justificativa não traria, em si, um indício de abuso no poder de legislar. </w:t>
      </w:r>
    </w:p>
    <w:p w:rsidR="007978CE" w:rsidRPr="007978CE" w:rsidRDefault="007978CE" w:rsidP="000F42CB">
      <w:pPr>
        <w:pStyle w:val="western"/>
        <w:spacing w:before="119" w:beforeAutospacing="0" w:after="0" w:line="363" w:lineRule="atLeast"/>
        <w:ind w:left="2832"/>
        <w:jc w:val="both"/>
        <w:rPr>
          <w:rFonts w:ascii="Garamond" w:hAnsi="Garamond"/>
        </w:rPr>
      </w:pPr>
      <w:r w:rsidRPr="007978CE">
        <w:rPr>
          <w:rFonts w:ascii="Garamond" w:hAnsi="Garamond"/>
        </w:rPr>
        <w:t xml:space="preserve">Ora, estamos falando do Presidente do Banco Central! </w:t>
      </w:r>
      <w:proofErr w:type="gramStart"/>
      <w:r w:rsidRPr="007978CE">
        <w:rPr>
          <w:rFonts w:ascii="Garamond" w:hAnsi="Garamond"/>
        </w:rPr>
        <w:t>Todos sabemos</w:t>
      </w:r>
      <w:proofErr w:type="gramEnd"/>
      <w:r w:rsidRPr="007978CE">
        <w:rPr>
          <w:rFonts w:ascii="Garamond" w:hAnsi="Garamond"/>
        </w:rPr>
        <w:t xml:space="preserve"> o papel e a importância dessa autoridade na vida nacional. </w:t>
      </w:r>
      <w:proofErr w:type="gramStart"/>
      <w:r w:rsidRPr="007978CE">
        <w:rPr>
          <w:rFonts w:ascii="Garamond" w:hAnsi="Garamond"/>
        </w:rPr>
        <w:t>Todos sabemos</w:t>
      </w:r>
      <w:proofErr w:type="gramEnd"/>
      <w:r w:rsidRPr="007978CE">
        <w:rPr>
          <w:rFonts w:ascii="Garamond" w:hAnsi="Garamond"/>
        </w:rPr>
        <w:t xml:space="preserve"> que a escolha ou a destituição de um Presidente do Banco Central possui, via de regra, uma repercussão maior que uma mudança na chefia de vários ministérios. Obviamente estou aqui apenas a tratar de um aspecto que demonstra a relevância e urgência da MP. A observância dos outros requisitos constitucionais eu terei oportunidade para analisar.</w:t>
      </w:r>
    </w:p>
    <w:p w:rsidR="007978CE" w:rsidRDefault="007978CE" w:rsidP="000F42CB">
      <w:pPr>
        <w:pStyle w:val="western"/>
        <w:spacing w:before="119" w:beforeAutospacing="0" w:after="0" w:line="363" w:lineRule="atLeast"/>
        <w:ind w:left="2832"/>
        <w:jc w:val="both"/>
        <w:rPr>
          <w:rFonts w:ascii="Garamond" w:hAnsi="Garamond"/>
        </w:rPr>
      </w:pPr>
      <w:r w:rsidRPr="007978CE">
        <w:rPr>
          <w:rFonts w:ascii="Garamond" w:hAnsi="Garamond"/>
        </w:rPr>
        <w:t xml:space="preserve">Mas nesse ponto - restringindo-me a uma análise que, penso, é necessária nessa aferição quanto à relevância e urgência - não posso me furtar a umas breves considerações acerca do significado da prerrogativa de foro em nosso sistema constitucional. Cuida-se de uma garantia voltada não para os titulares de cargos relevantes, mas para as próprias instituições. </w:t>
      </w:r>
    </w:p>
    <w:p w:rsidR="000F42CB" w:rsidRDefault="000F42CB" w:rsidP="000F42CB">
      <w:pPr>
        <w:pStyle w:val="western"/>
        <w:spacing w:before="119" w:beforeAutospacing="0" w:after="0" w:line="363" w:lineRule="atLeast"/>
        <w:ind w:left="2832"/>
        <w:jc w:val="both"/>
        <w:rPr>
          <w:rFonts w:ascii="Garamond" w:hAnsi="Garamond"/>
        </w:rPr>
      </w:pPr>
      <w:r>
        <w:rPr>
          <w:rFonts w:ascii="Garamond" w:hAnsi="Garamond"/>
        </w:rPr>
        <w:t>(...)</w:t>
      </w:r>
    </w:p>
    <w:p w:rsidR="000F42CB" w:rsidRPr="004169D2" w:rsidRDefault="000F42CB" w:rsidP="000F42CB">
      <w:pPr>
        <w:pStyle w:val="western"/>
        <w:spacing w:before="119" w:beforeAutospacing="0" w:after="0" w:line="363" w:lineRule="atLeast"/>
        <w:ind w:left="2832" w:firstLine="12"/>
        <w:jc w:val="both"/>
        <w:rPr>
          <w:rFonts w:ascii="Garamond" w:hAnsi="Garamond"/>
        </w:rPr>
      </w:pPr>
      <w:r w:rsidRPr="004169D2">
        <w:rPr>
          <w:rFonts w:ascii="Garamond" w:hAnsi="Garamond"/>
        </w:rPr>
        <w:t>Não me parece difícil justificar a relevância e urgência de uma medida provisória que resulta na garantia de prerrogativa de foro para o Presidente do Banco Central quando a mesma prerrogativa é conferida para qualquer Ministro de Estado.</w:t>
      </w:r>
    </w:p>
    <w:p w:rsidR="000F42CB" w:rsidRPr="004169D2" w:rsidRDefault="000F42CB" w:rsidP="000F42CB">
      <w:pPr>
        <w:pStyle w:val="western"/>
        <w:spacing w:before="119" w:beforeAutospacing="0" w:after="0" w:line="363" w:lineRule="atLeast"/>
        <w:ind w:left="2832"/>
        <w:jc w:val="both"/>
        <w:rPr>
          <w:rFonts w:ascii="Garamond" w:hAnsi="Garamond"/>
        </w:rPr>
      </w:pPr>
      <w:r w:rsidRPr="004169D2">
        <w:rPr>
          <w:rFonts w:ascii="Garamond" w:hAnsi="Garamond"/>
        </w:rPr>
        <w:t>(...)</w:t>
      </w:r>
    </w:p>
    <w:p w:rsidR="000F42CB" w:rsidRPr="004169D2" w:rsidRDefault="000F42CB" w:rsidP="000F42CB">
      <w:pPr>
        <w:pStyle w:val="western"/>
        <w:spacing w:before="119" w:beforeAutospacing="0" w:after="0" w:line="363" w:lineRule="atLeast"/>
        <w:ind w:left="2832"/>
        <w:jc w:val="both"/>
        <w:rPr>
          <w:rFonts w:ascii="Garamond" w:hAnsi="Garamond"/>
        </w:rPr>
      </w:pPr>
      <w:proofErr w:type="gramStart"/>
      <w:r w:rsidRPr="004169D2">
        <w:rPr>
          <w:rFonts w:ascii="Garamond" w:hAnsi="Garamond"/>
        </w:rPr>
        <w:lastRenderedPageBreak/>
        <w:t>Assim, concluo esta parte do meu voto no sentido de afastar a alegação de ausência de relevância e urgência”</w:t>
      </w:r>
      <w:proofErr w:type="gramEnd"/>
      <w:r w:rsidRPr="004169D2">
        <w:rPr>
          <w:rFonts w:ascii="Garamond" w:hAnsi="Garamond"/>
        </w:rPr>
        <w:t>.</w:t>
      </w:r>
    </w:p>
    <w:p w:rsidR="000F42CB" w:rsidRDefault="000F42CB" w:rsidP="000F42CB">
      <w:pPr>
        <w:pStyle w:val="western"/>
        <w:spacing w:before="119" w:beforeAutospacing="0" w:after="0" w:line="363" w:lineRule="atLeast"/>
        <w:jc w:val="both"/>
        <w:rPr>
          <w:rFonts w:ascii="Garamond" w:hAnsi="Garamond"/>
        </w:rPr>
      </w:pPr>
    </w:p>
    <w:p w:rsidR="000F42CB" w:rsidRDefault="00CB3972" w:rsidP="004D7F02">
      <w:pPr>
        <w:pStyle w:val="western"/>
        <w:spacing w:before="119" w:beforeAutospacing="0" w:after="0" w:line="360" w:lineRule="auto"/>
        <w:jc w:val="both"/>
        <w:rPr>
          <w:rFonts w:ascii="Garamond" w:hAnsi="Garamond"/>
          <w:sz w:val="28"/>
          <w:szCs w:val="28"/>
        </w:rPr>
      </w:pPr>
      <w:r w:rsidRPr="00CB3972">
        <w:rPr>
          <w:rFonts w:ascii="Garamond" w:hAnsi="Garamond"/>
          <w:sz w:val="28"/>
          <w:szCs w:val="28"/>
        </w:rPr>
        <w:tab/>
      </w:r>
      <w:r w:rsidRPr="00CB3972">
        <w:rPr>
          <w:rFonts w:ascii="Garamond" w:hAnsi="Garamond"/>
          <w:sz w:val="28"/>
          <w:szCs w:val="28"/>
        </w:rPr>
        <w:tab/>
        <w:t>Sem excluir a possibilidade de divergência</w:t>
      </w:r>
      <w:r>
        <w:rPr>
          <w:rFonts w:ascii="Garamond" w:hAnsi="Garamond"/>
          <w:sz w:val="28"/>
          <w:szCs w:val="28"/>
        </w:rPr>
        <w:t xml:space="preserve"> nesta Corte, </w:t>
      </w:r>
      <w:proofErr w:type="gramStart"/>
      <w:r>
        <w:rPr>
          <w:rFonts w:ascii="Garamond" w:hAnsi="Garamond"/>
          <w:sz w:val="28"/>
          <w:szCs w:val="28"/>
        </w:rPr>
        <w:t xml:space="preserve">relativa à </w:t>
      </w:r>
      <w:proofErr w:type="spellStart"/>
      <w:r>
        <w:rPr>
          <w:rFonts w:ascii="Garamond" w:hAnsi="Garamond"/>
          <w:sz w:val="28"/>
          <w:szCs w:val="28"/>
        </w:rPr>
        <w:t>prejudicialidade</w:t>
      </w:r>
      <w:proofErr w:type="spellEnd"/>
      <w:r>
        <w:rPr>
          <w:rFonts w:ascii="Garamond" w:hAnsi="Garamond"/>
          <w:sz w:val="28"/>
          <w:szCs w:val="28"/>
        </w:rPr>
        <w:t xml:space="preserve"> do exame dos pressupostos de admissibilidade de medida provisória convertida em lei, entendo</w:t>
      </w:r>
      <w:proofErr w:type="gramEnd"/>
      <w:r>
        <w:rPr>
          <w:rFonts w:ascii="Garamond" w:hAnsi="Garamond"/>
          <w:sz w:val="28"/>
          <w:szCs w:val="28"/>
        </w:rPr>
        <w:t>, na linha do precedente transcrito acima, que o vício inicial da MP não pode ser convalidado por eventual conversão em lei, uma vez que os pressupostos de relevância e urgência devem se fazer presentes na oportunidade da edição do ato normativo pelo Presidente da República.</w:t>
      </w:r>
      <w:r w:rsidR="00BD6C9E">
        <w:rPr>
          <w:rFonts w:ascii="Garamond" w:hAnsi="Garamond"/>
          <w:sz w:val="28"/>
          <w:szCs w:val="28"/>
        </w:rPr>
        <w:t xml:space="preserve"> </w:t>
      </w:r>
    </w:p>
    <w:p w:rsidR="00BD6C9E" w:rsidRDefault="00BD6C9E" w:rsidP="00BD6C9E">
      <w:pPr>
        <w:pStyle w:val="western"/>
        <w:spacing w:before="240" w:beforeAutospacing="0" w:after="0" w:line="360" w:lineRule="auto"/>
        <w:ind w:firstLine="1440"/>
        <w:jc w:val="both"/>
        <w:rPr>
          <w:rFonts w:ascii="Garamond" w:hAnsi="Garamond"/>
          <w:sz w:val="28"/>
          <w:szCs w:val="28"/>
        </w:rPr>
      </w:pPr>
      <w:r w:rsidRPr="00BD6C9E">
        <w:rPr>
          <w:rFonts w:ascii="Garamond" w:hAnsi="Garamond"/>
          <w:sz w:val="28"/>
          <w:szCs w:val="28"/>
        </w:rPr>
        <w:t xml:space="preserve">O Supremo Tribunal Federal tem firme posicionamento no sentido de que os vícios formais contidos na Medida Provisória não são convalidados pela sua conversão em lei. Eis o teor do </w:t>
      </w:r>
      <w:proofErr w:type="spellStart"/>
      <w:r w:rsidRPr="00BD6C9E">
        <w:rPr>
          <w:rFonts w:ascii="Garamond" w:hAnsi="Garamond"/>
          <w:i/>
          <w:iCs/>
          <w:sz w:val="28"/>
          <w:szCs w:val="28"/>
        </w:rPr>
        <w:t>leading</w:t>
      </w:r>
      <w:proofErr w:type="spellEnd"/>
      <w:r w:rsidRPr="00BD6C9E">
        <w:rPr>
          <w:rFonts w:ascii="Garamond" w:hAnsi="Garamond"/>
          <w:i/>
          <w:iCs/>
          <w:sz w:val="28"/>
          <w:szCs w:val="28"/>
        </w:rPr>
        <w:t xml:space="preserve"> case</w:t>
      </w:r>
      <w:r w:rsidRPr="00BD6C9E">
        <w:rPr>
          <w:rFonts w:ascii="Garamond" w:hAnsi="Garamond"/>
          <w:sz w:val="28"/>
          <w:szCs w:val="28"/>
        </w:rPr>
        <w:t xml:space="preserve"> na matéria:</w:t>
      </w:r>
    </w:p>
    <w:p w:rsidR="001C1711" w:rsidRPr="00BD6C9E" w:rsidRDefault="001C1711" w:rsidP="00BD6C9E">
      <w:pPr>
        <w:pStyle w:val="western"/>
        <w:spacing w:before="240" w:beforeAutospacing="0" w:after="0" w:line="360" w:lineRule="auto"/>
        <w:ind w:firstLine="1440"/>
        <w:jc w:val="both"/>
        <w:rPr>
          <w:rFonts w:ascii="Garamond" w:hAnsi="Garamond"/>
          <w:sz w:val="28"/>
          <w:szCs w:val="28"/>
        </w:rPr>
      </w:pPr>
    </w:p>
    <w:p w:rsidR="00BD6C9E" w:rsidRPr="00BD6C9E" w:rsidRDefault="00BD6C9E" w:rsidP="00BD6C9E">
      <w:pPr>
        <w:ind w:left="1440"/>
        <w:jc w:val="both"/>
        <w:rPr>
          <w:rFonts w:ascii="Garamond" w:hAnsi="Garamond"/>
        </w:rPr>
      </w:pPr>
      <w:r w:rsidRPr="00BD6C9E">
        <w:rPr>
          <w:rFonts w:ascii="Garamond" w:hAnsi="Garamond"/>
        </w:rPr>
        <w:t xml:space="preserve">“EMENTA: Medida cautelar em ação direta de inconstitucionalidade. Medida Provisória </w:t>
      </w:r>
      <w:r w:rsidR="00C86AAB">
        <w:rPr>
          <w:rFonts w:ascii="Garamond" w:hAnsi="Garamond"/>
        </w:rPr>
        <w:t>n.º</w:t>
      </w:r>
      <w:r w:rsidRPr="00BD6C9E">
        <w:rPr>
          <w:rFonts w:ascii="Garamond" w:hAnsi="Garamond"/>
        </w:rPr>
        <w:t xml:space="preserve"> 144, de 10 de dezembro de 2003, que dispõe sobre a comercialização de energia elétrica, altera as Leis </w:t>
      </w:r>
      <w:r w:rsidR="00C86AAB">
        <w:rPr>
          <w:rFonts w:ascii="Garamond" w:hAnsi="Garamond"/>
        </w:rPr>
        <w:t>n.º</w:t>
      </w:r>
      <w:r w:rsidRPr="00BD6C9E">
        <w:rPr>
          <w:rFonts w:ascii="Garamond" w:hAnsi="Garamond"/>
        </w:rPr>
        <w:t xml:space="preserve">s 5.655, de 1971, 8.631, de 1993, 9.074, de 1995, 9.427, de 1996, 9.478, de 1997, 9.648, de 1998, 9.991, de 2000, 10.438, de 2002, e dá outras providências. 2. Medida Provisória convertida na Lei n° 10.848, de 2004. Questão de ordem quanto à possibilidade de se analisar o alegado vício formal da medida provisória após a sua conversão em lei. </w:t>
      </w:r>
      <w:r w:rsidRPr="00BD6C9E">
        <w:rPr>
          <w:rFonts w:ascii="Garamond" w:hAnsi="Garamond"/>
          <w:b/>
          <w:bCs/>
        </w:rPr>
        <w:t>A lei de conversão não convalida os vícios formais porventura existentes na medida provisória, que poderão ser objeto de análise do Tribunal, no âmbito do controle de constitucionalidade.</w:t>
      </w:r>
      <w:r w:rsidRPr="00BD6C9E">
        <w:rPr>
          <w:rFonts w:ascii="Garamond" w:hAnsi="Garamond"/>
        </w:rPr>
        <w:t xml:space="preserve"> </w:t>
      </w:r>
      <w:r w:rsidRPr="00BD6C9E">
        <w:rPr>
          <w:rFonts w:ascii="Garamond" w:hAnsi="Garamond"/>
          <w:b/>
          <w:bCs/>
        </w:rPr>
        <w:t>Questão de ordem rejeitada, por maioria de votos. Vencida a tese de que a promulgação da lei de conversão</w:t>
      </w:r>
      <w:r w:rsidRPr="00BD6C9E">
        <w:rPr>
          <w:rFonts w:ascii="Garamond" w:hAnsi="Garamond"/>
        </w:rPr>
        <w:t xml:space="preserve"> prejudica a análise dos eventuais vícios formais da medida provisória. 3. Prosseguimento do julgamento quanto à análise das alegações de vícios formais presentes na Medida Provisória n° 144/2003, por violação ao art. 246 da Constituição: </w:t>
      </w:r>
      <w:r w:rsidRPr="00BD6C9E">
        <w:rPr>
          <w:rFonts w:ascii="Garamond" w:hAnsi="Garamond"/>
          <w:i/>
          <w:iCs/>
        </w:rPr>
        <w:t>“É vedada a adoção de medida provisória na regulamentação de artigo da Constituição cuja redação tenha sido alterada por meio de emenda promulgada entre 1º de janeiro de 1995 até a promulgação desta emenda, inclusive”</w:t>
      </w:r>
      <w:r w:rsidRPr="00BD6C9E">
        <w:rPr>
          <w:rFonts w:ascii="Garamond" w:hAnsi="Garamond"/>
        </w:rPr>
        <w:t xml:space="preserve">. Em princípio, a medida provisória impugnada não viola o art. 246 da Constituição, tendo em vista que a Emenda Constitucional n° 6/95 não promoveu alteração substancial na disciplina constitucional do setor elétrico, mas </w:t>
      </w:r>
      <w:proofErr w:type="gramStart"/>
      <w:r w:rsidRPr="00BD6C9E">
        <w:rPr>
          <w:rFonts w:ascii="Garamond" w:hAnsi="Garamond"/>
        </w:rPr>
        <w:t>restringiu-se</w:t>
      </w:r>
      <w:proofErr w:type="gramEnd"/>
      <w:r w:rsidRPr="00BD6C9E">
        <w:rPr>
          <w:rFonts w:ascii="Garamond" w:hAnsi="Garamond"/>
        </w:rPr>
        <w:t xml:space="preserve">, em razão da revogação do art. 171 da Constituição, a substituir a expressão </w:t>
      </w:r>
      <w:r w:rsidRPr="00BD6C9E">
        <w:rPr>
          <w:rFonts w:ascii="Garamond" w:hAnsi="Garamond"/>
          <w:i/>
          <w:iCs/>
        </w:rPr>
        <w:t>“empresa brasileira de capital nacional”</w:t>
      </w:r>
      <w:r w:rsidRPr="00BD6C9E">
        <w:rPr>
          <w:rFonts w:ascii="Garamond" w:hAnsi="Garamond"/>
        </w:rPr>
        <w:t xml:space="preserve"> pela expressão </w:t>
      </w:r>
      <w:r w:rsidRPr="00BD6C9E">
        <w:rPr>
          <w:rFonts w:ascii="Garamond" w:hAnsi="Garamond"/>
          <w:i/>
          <w:iCs/>
        </w:rPr>
        <w:t>“empresa constituída sob as leis brasileiras e que tenha sua sede e administração no país”</w:t>
      </w:r>
      <w:r w:rsidRPr="00BD6C9E">
        <w:rPr>
          <w:rFonts w:ascii="Garamond" w:hAnsi="Garamond"/>
        </w:rPr>
        <w:t xml:space="preserve">, incluída no § 1º do art. 176 da Constituição. Em verdade, a Medida Provisória n° 144/2003 não </w:t>
      </w:r>
      <w:r w:rsidRPr="00BD6C9E">
        <w:rPr>
          <w:rFonts w:ascii="Garamond" w:hAnsi="Garamond"/>
        </w:rPr>
        <w:lastRenderedPageBreak/>
        <w:t xml:space="preserve">está destinada a dar eficácia às modificações introduzidas pela EC n° 6/95, eis que versa sobre a matéria tratada no art. 175 da Constituição, ou seja, sobre </w:t>
      </w:r>
      <w:proofErr w:type="gramStart"/>
      <w:r w:rsidRPr="00BD6C9E">
        <w:rPr>
          <w:rFonts w:ascii="Garamond" w:hAnsi="Garamond"/>
        </w:rPr>
        <w:t>o</w:t>
      </w:r>
      <w:proofErr w:type="gramEnd"/>
      <w:r w:rsidRPr="00BD6C9E">
        <w:rPr>
          <w:rFonts w:ascii="Garamond" w:hAnsi="Garamond"/>
        </w:rPr>
        <w:t xml:space="preserve"> regime de prestação de serviços públicos no setor elétrico. Vencida a tese que vislumbrava a afronta ao art. 246 da Constituição, propugnando pela interpretação conforme a Constituição para afastar a aplicação da medida provisória, assim como da lei de conversão, a qualquer atividade relacionada à exploração do potencial hidráulico para fins de produção de energia. 4. </w:t>
      </w:r>
      <w:proofErr w:type="gramStart"/>
      <w:r w:rsidRPr="00BD6C9E">
        <w:rPr>
          <w:rFonts w:ascii="Garamond" w:hAnsi="Garamond"/>
        </w:rPr>
        <w:t>Medida cautelar indeferida, por maioria de votos</w:t>
      </w:r>
      <w:r w:rsidR="001C1711">
        <w:rPr>
          <w:rFonts w:ascii="Garamond" w:hAnsi="Garamond"/>
        </w:rPr>
        <w:t>”</w:t>
      </w:r>
      <w:proofErr w:type="gramEnd"/>
      <w:r w:rsidRPr="00BD6C9E">
        <w:rPr>
          <w:rFonts w:ascii="Garamond" w:hAnsi="Garamond"/>
        </w:rPr>
        <w:t xml:space="preserve">. (ADI 3.090 e 3.100, Rel. Min. Gilmar Mendes). </w:t>
      </w:r>
    </w:p>
    <w:p w:rsidR="00BD6C9E" w:rsidRDefault="00BD6C9E" w:rsidP="004D7F02">
      <w:pPr>
        <w:pStyle w:val="western"/>
        <w:spacing w:before="119" w:beforeAutospacing="0" w:after="0" w:line="360" w:lineRule="auto"/>
        <w:jc w:val="both"/>
        <w:rPr>
          <w:rFonts w:ascii="Garamond" w:hAnsi="Garamond"/>
          <w:sz w:val="28"/>
          <w:szCs w:val="28"/>
        </w:rPr>
      </w:pPr>
    </w:p>
    <w:p w:rsidR="00CB3972" w:rsidRDefault="00CB3972" w:rsidP="004D7F02">
      <w:pPr>
        <w:pStyle w:val="western"/>
        <w:spacing w:before="119" w:beforeAutospacing="0" w:after="0" w:line="360" w:lineRule="auto"/>
        <w:jc w:val="both"/>
        <w:rPr>
          <w:rFonts w:ascii="Garamond" w:hAnsi="Garamond"/>
          <w:sz w:val="28"/>
          <w:szCs w:val="28"/>
        </w:rPr>
      </w:pPr>
      <w:r>
        <w:rPr>
          <w:rFonts w:ascii="Garamond" w:hAnsi="Garamond"/>
          <w:sz w:val="28"/>
          <w:szCs w:val="28"/>
        </w:rPr>
        <w:tab/>
      </w:r>
      <w:r>
        <w:rPr>
          <w:rFonts w:ascii="Garamond" w:hAnsi="Garamond"/>
          <w:sz w:val="28"/>
          <w:szCs w:val="28"/>
        </w:rPr>
        <w:tab/>
        <w:t>No caso em apreço, o Governo Federal encaminhou ao Congresso Nacional o Projeto de Lei</w:t>
      </w:r>
      <w:r w:rsidR="00C00F93">
        <w:rPr>
          <w:rFonts w:ascii="Garamond" w:hAnsi="Garamond"/>
          <w:sz w:val="28"/>
          <w:szCs w:val="28"/>
        </w:rPr>
        <w:t xml:space="preserve"> </w:t>
      </w:r>
      <w:r w:rsidR="00C86AAB">
        <w:rPr>
          <w:rFonts w:ascii="Garamond" w:hAnsi="Garamond"/>
          <w:sz w:val="28"/>
          <w:szCs w:val="28"/>
        </w:rPr>
        <w:t>n.º</w:t>
      </w:r>
      <w:r w:rsidR="00C00F93">
        <w:rPr>
          <w:rFonts w:ascii="Garamond" w:hAnsi="Garamond"/>
          <w:sz w:val="28"/>
          <w:szCs w:val="28"/>
        </w:rPr>
        <w:t xml:space="preserve"> 3.</w:t>
      </w:r>
      <w:r>
        <w:rPr>
          <w:rFonts w:ascii="Garamond" w:hAnsi="Garamond"/>
          <w:sz w:val="28"/>
          <w:szCs w:val="28"/>
        </w:rPr>
        <w:t>5</w:t>
      </w:r>
      <w:r w:rsidR="00C00F93">
        <w:rPr>
          <w:rFonts w:ascii="Garamond" w:hAnsi="Garamond"/>
          <w:sz w:val="28"/>
          <w:szCs w:val="28"/>
        </w:rPr>
        <w:t>8</w:t>
      </w:r>
      <w:r>
        <w:rPr>
          <w:rFonts w:ascii="Garamond" w:hAnsi="Garamond"/>
          <w:sz w:val="28"/>
          <w:szCs w:val="28"/>
        </w:rPr>
        <w:t>2</w:t>
      </w:r>
      <w:r w:rsidR="00C00F93">
        <w:rPr>
          <w:rFonts w:ascii="Garamond" w:hAnsi="Garamond"/>
          <w:sz w:val="28"/>
          <w:szCs w:val="28"/>
        </w:rPr>
        <w:t>/2004</w:t>
      </w:r>
      <w:proofErr w:type="gramStart"/>
      <w:r w:rsidR="00C00F93">
        <w:rPr>
          <w:rFonts w:ascii="Garamond" w:hAnsi="Garamond"/>
          <w:sz w:val="28"/>
          <w:szCs w:val="28"/>
        </w:rPr>
        <w:t xml:space="preserve"> </w:t>
      </w:r>
      <w:r w:rsidR="001C1711">
        <w:rPr>
          <w:rFonts w:ascii="Garamond" w:hAnsi="Garamond"/>
          <w:sz w:val="28"/>
          <w:szCs w:val="28"/>
        </w:rPr>
        <w:t xml:space="preserve"> </w:t>
      </w:r>
      <w:proofErr w:type="gramEnd"/>
      <w:r w:rsidR="00C00F93">
        <w:rPr>
          <w:rFonts w:ascii="Garamond" w:hAnsi="Garamond"/>
          <w:sz w:val="28"/>
          <w:szCs w:val="28"/>
        </w:rPr>
        <w:t xml:space="preserve">para regular a criação do PROUNI. Ante a demora na tramitação, foi requerida urgência constitucional para a tramitação do projeto. Ocorre que, paralelamente ao PL 3.582/2004, tramitava o projeto de lei de diretrizes orçamentárias referente ao ano de 2005, o que teve o condão de retardar ainda mais a votação do projeto que visava </w:t>
      </w:r>
      <w:r w:rsidR="001C1711">
        <w:rPr>
          <w:rFonts w:ascii="Garamond" w:hAnsi="Garamond"/>
          <w:sz w:val="28"/>
          <w:szCs w:val="28"/>
        </w:rPr>
        <w:t>à</w:t>
      </w:r>
      <w:r w:rsidR="00C00F93">
        <w:rPr>
          <w:rFonts w:ascii="Garamond" w:hAnsi="Garamond"/>
          <w:sz w:val="28"/>
          <w:szCs w:val="28"/>
        </w:rPr>
        <w:t xml:space="preserve"> criação do PROUNI.</w:t>
      </w:r>
    </w:p>
    <w:p w:rsidR="00C00F93" w:rsidRDefault="004D7F02" w:rsidP="004D7F02">
      <w:pPr>
        <w:pStyle w:val="western"/>
        <w:spacing w:before="119" w:beforeAutospacing="0" w:after="0" w:line="360" w:lineRule="auto"/>
        <w:jc w:val="both"/>
        <w:rPr>
          <w:rFonts w:ascii="Garamond" w:hAnsi="Garamond"/>
          <w:sz w:val="28"/>
          <w:szCs w:val="28"/>
        </w:rPr>
      </w:pPr>
      <w:r>
        <w:rPr>
          <w:rFonts w:ascii="Garamond" w:hAnsi="Garamond"/>
          <w:sz w:val="28"/>
          <w:szCs w:val="28"/>
        </w:rPr>
        <w:tab/>
      </w:r>
      <w:r>
        <w:rPr>
          <w:rFonts w:ascii="Garamond" w:hAnsi="Garamond"/>
          <w:sz w:val="28"/>
          <w:szCs w:val="28"/>
        </w:rPr>
        <w:tab/>
        <w:t xml:space="preserve">Diante desse estado de coisas, e reputando emergencial a necessidade de aumento do número de vagas de </w:t>
      </w:r>
      <w:r w:rsidR="00C86AAB">
        <w:rPr>
          <w:rFonts w:ascii="Garamond" w:hAnsi="Garamond"/>
          <w:sz w:val="28"/>
          <w:szCs w:val="28"/>
        </w:rPr>
        <w:t>Ensino Superior</w:t>
      </w:r>
      <w:r>
        <w:rPr>
          <w:rFonts w:ascii="Garamond" w:hAnsi="Garamond"/>
          <w:sz w:val="28"/>
          <w:szCs w:val="28"/>
        </w:rPr>
        <w:t xml:space="preserve"> para atenuar os baixos índices de acesso à universidade no Brasil, foi solicitada a retirada do PL 3582/2004 e, posteriormente, editada a MP 213/2004, convertida na Lei 11.096/2005.</w:t>
      </w:r>
    </w:p>
    <w:p w:rsidR="004D7F02" w:rsidRPr="00CB3972" w:rsidRDefault="004D7F02" w:rsidP="004D7F02">
      <w:pPr>
        <w:pStyle w:val="western"/>
        <w:spacing w:before="119" w:beforeAutospacing="0" w:after="0" w:line="360" w:lineRule="auto"/>
        <w:jc w:val="both"/>
        <w:rPr>
          <w:rFonts w:ascii="Garamond" w:hAnsi="Garamond"/>
          <w:sz w:val="28"/>
          <w:szCs w:val="28"/>
        </w:rPr>
      </w:pPr>
      <w:r>
        <w:rPr>
          <w:rFonts w:ascii="Garamond" w:hAnsi="Garamond"/>
          <w:sz w:val="28"/>
          <w:szCs w:val="28"/>
        </w:rPr>
        <w:tab/>
      </w:r>
      <w:r>
        <w:rPr>
          <w:rFonts w:ascii="Garamond" w:hAnsi="Garamond"/>
          <w:sz w:val="28"/>
          <w:szCs w:val="28"/>
        </w:rPr>
        <w:tab/>
        <w:t xml:space="preserve">Tendo em vista a prioridade da questão tratada por meio da MP impugnada e o caráter especial e de exceção que assume a análise do atendimento dos pressupostos de relevância e urgência por esta Corte (ADI-MC 4.048, de minha relatoria, </w:t>
      </w:r>
      <w:proofErr w:type="spellStart"/>
      <w:proofErr w:type="gramStart"/>
      <w:r>
        <w:rPr>
          <w:rFonts w:ascii="Garamond" w:hAnsi="Garamond"/>
          <w:sz w:val="28"/>
          <w:szCs w:val="28"/>
        </w:rPr>
        <w:t>DJe</w:t>
      </w:r>
      <w:proofErr w:type="spellEnd"/>
      <w:proofErr w:type="gramEnd"/>
      <w:r>
        <w:rPr>
          <w:rFonts w:ascii="Garamond" w:hAnsi="Garamond"/>
          <w:sz w:val="28"/>
          <w:szCs w:val="28"/>
        </w:rPr>
        <w:t xml:space="preserve"> 22.8.2008), tenho por configurados os referidos pressupostos e, portanto, supero a preliminar arguida relativa ao não conhecimento da ação, divergindo</w:t>
      </w:r>
      <w:r w:rsidR="001C1711">
        <w:rPr>
          <w:rFonts w:ascii="Garamond" w:hAnsi="Garamond"/>
          <w:sz w:val="28"/>
          <w:szCs w:val="28"/>
        </w:rPr>
        <w:t>,</w:t>
      </w:r>
      <w:r w:rsidR="001C1711" w:rsidRPr="001C1711">
        <w:rPr>
          <w:rFonts w:ascii="Garamond" w:hAnsi="Garamond"/>
          <w:sz w:val="28"/>
          <w:szCs w:val="28"/>
        </w:rPr>
        <w:t xml:space="preserve"> </w:t>
      </w:r>
      <w:r w:rsidR="001C1711">
        <w:rPr>
          <w:rFonts w:ascii="Garamond" w:hAnsi="Garamond"/>
          <w:sz w:val="28"/>
          <w:szCs w:val="28"/>
        </w:rPr>
        <w:t>porém,</w:t>
      </w:r>
      <w:r>
        <w:rPr>
          <w:rFonts w:ascii="Garamond" w:hAnsi="Garamond"/>
          <w:sz w:val="28"/>
          <w:szCs w:val="28"/>
        </w:rPr>
        <w:t xml:space="preserve"> do relator quanto à fundamentação.</w:t>
      </w:r>
    </w:p>
    <w:p w:rsidR="004D7F02" w:rsidRPr="00607A97" w:rsidRDefault="004D7F02" w:rsidP="004D7F02">
      <w:pPr>
        <w:widowControl w:val="0"/>
        <w:suppressAutoHyphens/>
        <w:spacing w:before="240" w:line="360" w:lineRule="auto"/>
        <w:jc w:val="both"/>
        <w:rPr>
          <w:rFonts w:ascii="Garamond" w:hAnsi="Garamond" w:cs="Courier New"/>
          <w:b/>
          <w:sz w:val="28"/>
          <w:szCs w:val="28"/>
        </w:rPr>
      </w:pPr>
      <w:r>
        <w:rPr>
          <w:rFonts w:ascii="Garamond" w:hAnsi="Garamond" w:cs="Courier New"/>
          <w:b/>
          <w:sz w:val="28"/>
          <w:szCs w:val="28"/>
        </w:rPr>
        <w:t>3</w:t>
      </w:r>
      <w:r w:rsidRPr="00607A97">
        <w:rPr>
          <w:rFonts w:ascii="Garamond" w:hAnsi="Garamond" w:cs="Courier New"/>
          <w:b/>
          <w:sz w:val="28"/>
          <w:szCs w:val="28"/>
        </w:rPr>
        <w:t xml:space="preserve">. </w:t>
      </w:r>
      <w:r>
        <w:rPr>
          <w:rFonts w:ascii="Garamond" w:hAnsi="Garamond" w:cs="Courier New"/>
          <w:b/>
          <w:sz w:val="28"/>
          <w:szCs w:val="28"/>
        </w:rPr>
        <w:t>SOBRE A EXIGÊNCIA DE LEI COMPLEMENTAR PARA INSTITUIÇÃO DA ISENÇÃO TRIBUTÁRIA EM EXAME</w:t>
      </w:r>
    </w:p>
    <w:p w:rsidR="004D7F02" w:rsidRPr="004D7F02" w:rsidRDefault="004D7F02" w:rsidP="004D7F02">
      <w:pPr>
        <w:spacing w:before="240" w:line="360" w:lineRule="auto"/>
        <w:jc w:val="both"/>
        <w:rPr>
          <w:rFonts w:ascii="Garamond" w:hAnsi="Garamond" w:cs="Courier New"/>
          <w:sz w:val="28"/>
          <w:szCs w:val="28"/>
        </w:rPr>
      </w:pPr>
      <w:r>
        <w:rPr>
          <w:rFonts w:ascii="Garamond" w:hAnsi="Garamond" w:cs="Courier New"/>
          <w:sz w:val="28"/>
          <w:szCs w:val="28"/>
        </w:rPr>
        <w:lastRenderedPageBreak/>
        <w:tab/>
      </w:r>
      <w:r>
        <w:rPr>
          <w:rFonts w:ascii="Garamond" w:hAnsi="Garamond" w:cs="Courier New"/>
          <w:sz w:val="28"/>
          <w:szCs w:val="28"/>
        </w:rPr>
        <w:tab/>
      </w:r>
      <w:r w:rsidRPr="004D7F02">
        <w:rPr>
          <w:rFonts w:ascii="Garamond" w:hAnsi="Garamond" w:cs="Courier New"/>
          <w:sz w:val="28"/>
          <w:szCs w:val="28"/>
        </w:rPr>
        <w:t xml:space="preserve">A CF/1988 estabeleceu em seu art. 146, II, que cabe à lei complementar “regular as limitações constitucionais ao poder de tributar”. Assim, o constituinte teve a preocupação de exigir </w:t>
      </w:r>
      <w:r w:rsidR="00847554">
        <w:rPr>
          <w:rFonts w:ascii="Garamond" w:hAnsi="Garamond" w:cs="Courier New"/>
          <w:sz w:val="28"/>
          <w:szCs w:val="28"/>
        </w:rPr>
        <w:t>quórum qualificado para a aprovação dessa</w:t>
      </w:r>
      <w:r w:rsidRPr="004D7F02">
        <w:rPr>
          <w:rFonts w:ascii="Garamond" w:hAnsi="Garamond" w:cs="Courier New"/>
          <w:sz w:val="28"/>
          <w:szCs w:val="28"/>
        </w:rPr>
        <w:t xml:space="preserve"> importante regulamentação, com o propósito de dar estabilidade à </w:t>
      </w:r>
      <w:r w:rsidR="00847554">
        <w:rPr>
          <w:rFonts w:ascii="Garamond" w:hAnsi="Garamond" w:cs="Courier New"/>
          <w:sz w:val="28"/>
          <w:szCs w:val="28"/>
        </w:rPr>
        <w:t>disciplina do tema</w:t>
      </w:r>
      <w:r w:rsidRPr="004D7F02">
        <w:rPr>
          <w:rFonts w:ascii="Garamond" w:hAnsi="Garamond" w:cs="Courier New"/>
          <w:sz w:val="28"/>
          <w:szCs w:val="28"/>
        </w:rPr>
        <w:t xml:space="preserve"> e dificultar sua modificação, estabelecendo regras</w:t>
      </w:r>
      <w:r w:rsidR="00847554">
        <w:rPr>
          <w:rFonts w:ascii="Garamond" w:hAnsi="Garamond" w:cs="Courier New"/>
          <w:sz w:val="28"/>
          <w:szCs w:val="28"/>
        </w:rPr>
        <w:t xml:space="preserve"> nacionalmente</w:t>
      </w:r>
      <w:r w:rsidRPr="004D7F02">
        <w:rPr>
          <w:rFonts w:ascii="Garamond" w:hAnsi="Garamond" w:cs="Courier New"/>
          <w:sz w:val="28"/>
          <w:szCs w:val="28"/>
        </w:rPr>
        <w:t xml:space="preserve"> uniformes e rígidas.</w:t>
      </w:r>
    </w:p>
    <w:p w:rsidR="004D7F02" w:rsidRPr="004D7F02" w:rsidRDefault="00540DD5" w:rsidP="00540DD5">
      <w:pPr>
        <w:spacing w:before="240" w:line="360" w:lineRule="auto"/>
        <w:jc w:val="both"/>
        <w:rPr>
          <w:rFonts w:ascii="Garamond" w:hAnsi="Garamond" w:cs="Courier New"/>
          <w:sz w:val="28"/>
          <w:szCs w:val="28"/>
        </w:rPr>
      </w:pPr>
      <w:r>
        <w:rPr>
          <w:rFonts w:ascii="Garamond" w:hAnsi="Garamond" w:cs="Courier New"/>
          <w:sz w:val="28"/>
          <w:szCs w:val="28"/>
        </w:rPr>
        <w:tab/>
      </w:r>
      <w:r>
        <w:rPr>
          <w:rFonts w:ascii="Garamond" w:hAnsi="Garamond" w:cs="Courier New"/>
          <w:sz w:val="28"/>
          <w:szCs w:val="28"/>
        </w:rPr>
        <w:tab/>
      </w:r>
      <w:r w:rsidR="004D7F02" w:rsidRPr="004D7F02">
        <w:rPr>
          <w:rFonts w:ascii="Garamond" w:hAnsi="Garamond" w:cs="Courier New"/>
          <w:sz w:val="28"/>
          <w:szCs w:val="28"/>
        </w:rPr>
        <w:t>Destaque-se que a exigência constitucional de aprovação da lei complementar por maioria absoluta não demanda apenas a consideração</w:t>
      </w:r>
      <w:r w:rsidR="00847554">
        <w:rPr>
          <w:rFonts w:ascii="Garamond" w:hAnsi="Garamond" w:cs="Courier New"/>
          <w:sz w:val="28"/>
          <w:szCs w:val="28"/>
        </w:rPr>
        <w:t xml:space="preserve"> de quó</w:t>
      </w:r>
      <w:r w:rsidR="004D7F02" w:rsidRPr="004D7F02">
        <w:rPr>
          <w:rFonts w:ascii="Garamond" w:hAnsi="Garamond" w:cs="Courier New"/>
          <w:sz w:val="28"/>
          <w:szCs w:val="28"/>
        </w:rPr>
        <w:t xml:space="preserve">rum especial na votação, mas a própria existência de processo legislativo diverso. Por exemplo, ao contrário de leis ordinárias, a lei complementar não pode ter tramitação terminativa nas comissões do Senado ou da Câmara. </w:t>
      </w:r>
    </w:p>
    <w:p w:rsidR="004D7F02" w:rsidRPr="004D7F02" w:rsidRDefault="00540DD5" w:rsidP="004D7F02">
      <w:pPr>
        <w:spacing w:before="240" w:line="360" w:lineRule="auto"/>
        <w:jc w:val="both"/>
        <w:rPr>
          <w:rFonts w:ascii="Garamond" w:hAnsi="Garamond" w:cs="Courier New"/>
          <w:sz w:val="28"/>
          <w:szCs w:val="28"/>
        </w:rPr>
      </w:pPr>
      <w:r>
        <w:rPr>
          <w:rFonts w:ascii="Garamond" w:hAnsi="Garamond" w:cs="Courier New"/>
          <w:sz w:val="28"/>
          <w:szCs w:val="28"/>
        </w:rPr>
        <w:tab/>
      </w:r>
      <w:r>
        <w:rPr>
          <w:rFonts w:ascii="Garamond" w:hAnsi="Garamond" w:cs="Courier New"/>
          <w:sz w:val="28"/>
          <w:szCs w:val="28"/>
        </w:rPr>
        <w:tab/>
      </w:r>
      <w:r w:rsidR="004D7F02" w:rsidRPr="004D7F02">
        <w:rPr>
          <w:rFonts w:ascii="Garamond" w:hAnsi="Garamond" w:cs="Courier New"/>
          <w:sz w:val="28"/>
          <w:szCs w:val="28"/>
        </w:rPr>
        <w:t>Por essa razão, os professores Aires Barreto e Paulo Ayres Barreto defendem que o art. 195, §</w:t>
      </w:r>
      <w:r w:rsidR="00847554">
        <w:rPr>
          <w:rFonts w:ascii="Garamond" w:hAnsi="Garamond" w:cs="Courier New"/>
          <w:sz w:val="28"/>
          <w:szCs w:val="28"/>
        </w:rPr>
        <w:t xml:space="preserve"> </w:t>
      </w:r>
      <w:r w:rsidR="004D7F02" w:rsidRPr="004D7F02">
        <w:rPr>
          <w:rFonts w:ascii="Garamond" w:hAnsi="Garamond" w:cs="Courier New"/>
          <w:sz w:val="28"/>
          <w:szCs w:val="28"/>
        </w:rPr>
        <w:t xml:space="preserve">7º, deve ser interpretado em conformidade com o art. 146, II, do </w:t>
      </w:r>
      <w:r w:rsidR="001C1711">
        <w:rPr>
          <w:rFonts w:ascii="Garamond" w:hAnsi="Garamond" w:cs="Courier New"/>
          <w:sz w:val="28"/>
          <w:szCs w:val="28"/>
        </w:rPr>
        <w:t>t</w:t>
      </w:r>
      <w:r w:rsidR="004D7F02" w:rsidRPr="004D7F02">
        <w:rPr>
          <w:rFonts w:ascii="Garamond" w:hAnsi="Garamond" w:cs="Courier New"/>
          <w:sz w:val="28"/>
          <w:szCs w:val="28"/>
        </w:rPr>
        <w:t xml:space="preserve">exto </w:t>
      </w:r>
      <w:r w:rsidR="001C1711">
        <w:rPr>
          <w:rFonts w:ascii="Garamond" w:hAnsi="Garamond" w:cs="Courier New"/>
          <w:sz w:val="28"/>
          <w:szCs w:val="28"/>
        </w:rPr>
        <w:t>c</w:t>
      </w:r>
      <w:r w:rsidR="004D7F02" w:rsidRPr="004D7F02">
        <w:rPr>
          <w:rFonts w:ascii="Garamond" w:hAnsi="Garamond" w:cs="Courier New"/>
          <w:sz w:val="28"/>
          <w:szCs w:val="28"/>
        </w:rPr>
        <w:t xml:space="preserve">onstitucional, com amplo respaldo na doutrina tributária (BARRETO, Aires F. &amp; BARRETO, Paulo Ayres. </w:t>
      </w:r>
      <w:r w:rsidR="004D7F02" w:rsidRPr="004D7F02">
        <w:rPr>
          <w:rFonts w:ascii="Garamond" w:hAnsi="Garamond" w:cs="Courier New"/>
          <w:i/>
          <w:sz w:val="28"/>
          <w:szCs w:val="28"/>
        </w:rPr>
        <w:t>Imunidades Tributárias: Limitações Constitucionais ao Poder de Tributar</w:t>
      </w:r>
      <w:r w:rsidR="004D7F02" w:rsidRPr="004D7F02">
        <w:rPr>
          <w:rFonts w:ascii="Garamond" w:hAnsi="Garamond" w:cs="Courier New"/>
          <w:sz w:val="28"/>
          <w:szCs w:val="28"/>
        </w:rPr>
        <w:t>. 2ª Ed. São Paulo: Dialética, 2001 p. 23).</w:t>
      </w:r>
    </w:p>
    <w:p w:rsidR="004D7F02" w:rsidRPr="004D7F02" w:rsidRDefault="00540DD5" w:rsidP="004D7F02">
      <w:pPr>
        <w:spacing w:before="240" w:line="360" w:lineRule="auto"/>
        <w:jc w:val="both"/>
        <w:rPr>
          <w:rFonts w:ascii="Garamond" w:hAnsi="Garamond" w:cs="Courier New"/>
          <w:sz w:val="28"/>
          <w:szCs w:val="28"/>
        </w:rPr>
      </w:pPr>
      <w:r>
        <w:rPr>
          <w:rFonts w:ascii="Garamond" w:hAnsi="Garamond" w:cs="Courier New"/>
          <w:sz w:val="28"/>
          <w:szCs w:val="28"/>
        </w:rPr>
        <w:tab/>
      </w:r>
      <w:r>
        <w:rPr>
          <w:rFonts w:ascii="Garamond" w:hAnsi="Garamond" w:cs="Courier New"/>
          <w:sz w:val="28"/>
          <w:szCs w:val="28"/>
        </w:rPr>
        <w:tab/>
      </w:r>
      <w:r w:rsidR="004D7F02" w:rsidRPr="004D7F02">
        <w:rPr>
          <w:rFonts w:ascii="Garamond" w:hAnsi="Garamond" w:cs="Courier New"/>
          <w:sz w:val="28"/>
          <w:szCs w:val="28"/>
        </w:rPr>
        <w:t>Por outro lado, a jurisprudência do STF tem se inclinado no sentido de que o art. 195, §</w:t>
      </w:r>
      <w:r w:rsidR="00443F03">
        <w:rPr>
          <w:rFonts w:ascii="Garamond" w:hAnsi="Garamond" w:cs="Courier New"/>
          <w:sz w:val="28"/>
          <w:szCs w:val="28"/>
        </w:rPr>
        <w:t xml:space="preserve"> </w:t>
      </w:r>
      <w:r w:rsidR="004D7F02" w:rsidRPr="004D7F02">
        <w:rPr>
          <w:rFonts w:ascii="Garamond" w:hAnsi="Garamond" w:cs="Courier New"/>
          <w:sz w:val="28"/>
          <w:szCs w:val="28"/>
        </w:rPr>
        <w:t>7º, da Constituição Federal tem natureza de regra específica e excepcional em relação à regra geral prevista no art. 146, II, CF/1988 (cf. ADI-MC 2036/DF, Rel. Min. Moreira Alves, Pleno, DJ 16.6.2000).</w:t>
      </w:r>
    </w:p>
    <w:p w:rsidR="004D7F02" w:rsidRPr="004D7F02" w:rsidRDefault="00540DD5" w:rsidP="004D7F02">
      <w:pPr>
        <w:spacing w:before="240" w:line="360" w:lineRule="auto"/>
        <w:jc w:val="both"/>
        <w:rPr>
          <w:rFonts w:ascii="Garamond" w:hAnsi="Garamond" w:cs="Courier New"/>
          <w:sz w:val="28"/>
          <w:szCs w:val="28"/>
        </w:rPr>
      </w:pPr>
      <w:r>
        <w:rPr>
          <w:rFonts w:ascii="Garamond" w:hAnsi="Garamond" w:cs="Courier New"/>
          <w:sz w:val="28"/>
          <w:szCs w:val="28"/>
        </w:rPr>
        <w:tab/>
      </w:r>
      <w:r>
        <w:rPr>
          <w:rFonts w:ascii="Garamond" w:hAnsi="Garamond" w:cs="Courier New"/>
          <w:sz w:val="28"/>
          <w:szCs w:val="28"/>
        </w:rPr>
        <w:tab/>
      </w:r>
      <w:r w:rsidR="004D7F02" w:rsidRPr="004D7F02">
        <w:rPr>
          <w:rFonts w:ascii="Garamond" w:hAnsi="Garamond" w:cs="Courier New"/>
          <w:sz w:val="28"/>
          <w:szCs w:val="28"/>
        </w:rPr>
        <w:t>Naquela oportunidade, o voto condutor consignou a plausibilidade das duas interpretações, tanto a que privilegia a intepretação em consonância com o art. 146, II, como aquela que pontifica a regra prevista no art. 195, §</w:t>
      </w:r>
      <w:r w:rsidR="00443F03">
        <w:rPr>
          <w:rFonts w:ascii="Garamond" w:hAnsi="Garamond" w:cs="Courier New"/>
          <w:sz w:val="28"/>
          <w:szCs w:val="28"/>
        </w:rPr>
        <w:t xml:space="preserve"> </w:t>
      </w:r>
      <w:r w:rsidR="004D7F02" w:rsidRPr="004D7F02">
        <w:rPr>
          <w:rFonts w:ascii="Garamond" w:hAnsi="Garamond" w:cs="Courier New"/>
          <w:sz w:val="28"/>
          <w:szCs w:val="28"/>
        </w:rPr>
        <w:t xml:space="preserve">7º, como exceção à mencionada regra geral. </w:t>
      </w:r>
    </w:p>
    <w:p w:rsidR="004D7F02" w:rsidRPr="004D7F02" w:rsidRDefault="00540DD5" w:rsidP="004D7F02">
      <w:pPr>
        <w:spacing w:before="240" w:line="360" w:lineRule="auto"/>
        <w:jc w:val="both"/>
        <w:rPr>
          <w:rFonts w:ascii="Garamond" w:hAnsi="Garamond" w:cs="Courier New"/>
          <w:sz w:val="28"/>
          <w:szCs w:val="28"/>
        </w:rPr>
      </w:pPr>
      <w:r>
        <w:rPr>
          <w:rFonts w:ascii="Garamond" w:hAnsi="Garamond" w:cs="Courier New"/>
          <w:sz w:val="28"/>
          <w:szCs w:val="28"/>
        </w:rPr>
        <w:lastRenderedPageBreak/>
        <w:tab/>
      </w:r>
      <w:r>
        <w:rPr>
          <w:rFonts w:ascii="Garamond" w:hAnsi="Garamond" w:cs="Courier New"/>
          <w:sz w:val="28"/>
          <w:szCs w:val="28"/>
        </w:rPr>
        <w:tab/>
      </w:r>
      <w:r w:rsidR="004D7F02" w:rsidRPr="004D7F02">
        <w:rPr>
          <w:rFonts w:ascii="Garamond" w:hAnsi="Garamond" w:cs="Courier New"/>
          <w:sz w:val="28"/>
          <w:szCs w:val="28"/>
        </w:rPr>
        <w:t>No entanto, é importante destacar que a CF/1988, por outro lado, selecionou as matérias que necessitam de processo legislativo próprio de leis complementares de forma taxativa e exaustiva. Ao intérprete não cabe presumir maior rigidez do texto constitucional.</w:t>
      </w:r>
    </w:p>
    <w:p w:rsidR="004D7F02" w:rsidRPr="004D7F02" w:rsidRDefault="00540DD5" w:rsidP="004D7F02">
      <w:pPr>
        <w:spacing w:before="240" w:line="360" w:lineRule="auto"/>
        <w:jc w:val="both"/>
        <w:rPr>
          <w:rFonts w:ascii="Garamond" w:hAnsi="Garamond" w:cs="Courier New"/>
          <w:sz w:val="28"/>
          <w:szCs w:val="28"/>
        </w:rPr>
      </w:pPr>
      <w:r>
        <w:rPr>
          <w:rFonts w:ascii="Garamond" w:hAnsi="Garamond" w:cs="Courier New"/>
          <w:sz w:val="28"/>
          <w:szCs w:val="28"/>
        </w:rPr>
        <w:tab/>
      </w:r>
      <w:r>
        <w:rPr>
          <w:rFonts w:ascii="Garamond" w:hAnsi="Garamond" w:cs="Courier New"/>
          <w:sz w:val="28"/>
          <w:szCs w:val="28"/>
        </w:rPr>
        <w:tab/>
      </w:r>
      <w:r w:rsidR="004D7F02" w:rsidRPr="004D7F02">
        <w:rPr>
          <w:rFonts w:ascii="Garamond" w:hAnsi="Garamond" w:cs="Courier New"/>
          <w:sz w:val="28"/>
          <w:szCs w:val="28"/>
        </w:rPr>
        <w:t>Com efeito, sempre que a CF/1988 exige a edição de “lei”</w:t>
      </w:r>
      <w:r w:rsidR="00C02820">
        <w:rPr>
          <w:rFonts w:ascii="Garamond" w:hAnsi="Garamond" w:cs="Courier New"/>
          <w:sz w:val="28"/>
          <w:szCs w:val="28"/>
        </w:rPr>
        <w:t>,</w:t>
      </w:r>
      <w:r w:rsidR="004D7F02" w:rsidRPr="004D7F02">
        <w:rPr>
          <w:rFonts w:ascii="Garamond" w:hAnsi="Garamond" w:cs="Courier New"/>
          <w:sz w:val="28"/>
          <w:szCs w:val="28"/>
        </w:rPr>
        <w:t xml:space="preserve"> cuida de lei ordinária, diferentemente da exigência mais solene de “lei complementar”. Ressalte-se que a previsão de exceções específicas ao art. 146, II, CF/1988 não torna o dispositivo despiciendo, afinal ele continua aplicável a todas as demais regras. </w:t>
      </w:r>
    </w:p>
    <w:p w:rsidR="004D7F02" w:rsidRDefault="00540DD5" w:rsidP="004D7F02">
      <w:pPr>
        <w:spacing w:before="240" w:line="360" w:lineRule="auto"/>
        <w:jc w:val="both"/>
        <w:rPr>
          <w:rFonts w:ascii="Garamond" w:hAnsi="Garamond" w:cs="Courier New"/>
          <w:sz w:val="28"/>
          <w:szCs w:val="28"/>
        </w:rPr>
      </w:pPr>
      <w:r>
        <w:rPr>
          <w:rFonts w:ascii="Garamond" w:hAnsi="Garamond" w:cs="Courier New"/>
          <w:sz w:val="28"/>
          <w:szCs w:val="28"/>
        </w:rPr>
        <w:tab/>
      </w:r>
      <w:r>
        <w:rPr>
          <w:rFonts w:ascii="Garamond" w:hAnsi="Garamond" w:cs="Courier New"/>
          <w:sz w:val="28"/>
          <w:szCs w:val="28"/>
        </w:rPr>
        <w:tab/>
      </w:r>
      <w:r w:rsidR="004D7F02" w:rsidRPr="00132250">
        <w:rPr>
          <w:rFonts w:ascii="Garamond" w:hAnsi="Garamond" w:cs="Courier New"/>
          <w:sz w:val="28"/>
          <w:szCs w:val="28"/>
        </w:rPr>
        <w:t>Pode o constituinte</w:t>
      </w:r>
      <w:r w:rsidR="004D7F02" w:rsidRPr="004D7F02">
        <w:rPr>
          <w:rFonts w:ascii="Garamond" w:hAnsi="Garamond" w:cs="Courier New"/>
          <w:sz w:val="28"/>
          <w:szCs w:val="28"/>
        </w:rPr>
        <w:t xml:space="preserve">, inclusive o </w:t>
      </w:r>
      <w:r w:rsidR="00443F03">
        <w:rPr>
          <w:rFonts w:ascii="Garamond" w:hAnsi="Garamond" w:cs="Courier New"/>
          <w:sz w:val="28"/>
          <w:szCs w:val="28"/>
        </w:rPr>
        <w:t>derivado</w:t>
      </w:r>
      <w:r w:rsidR="004D7F02" w:rsidRPr="004D7F02">
        <w:rPr>
          <w:rFonts w:ascii="Garamond" w:hAnsi="Garamond" w:cs="Courier New"/>
          <w:sz w:val="28"/>
          <w:szCs w:val="28"/>
        </w:rPr>
        <w:t xml:space="preserve">, selecionar as matérias </w:t>
      </w:r>
      <w:r w:rsidR="00132250">
        <w:rPr>
          <w:rFonts w:ascii="Garamond" w:hAnsi="Garamond" w:cs="Courier New"/>
          <w:sz w:val="28"/>
          <w:szCs w:val="28"/>
        </w:rPr>
        <w:t>passíveis de alteração</w:t>
      </w:r>
      <w:r w:rsidR="004D7F02" w:rsidRPr="004D7F02">
        <w:rPr>
          <w:rFonts w:ascii="Garamond" w:hAnsi="Garamond" w:cs="Courier New"/>
          <w:sz w:val="28"/>
          <w:szCs w:val="28"/>
        </w:rPr>
        <w:t xml:space="preserve"> </w:t>
      </w:r>
      <w:r w:rsidR="00132250">
        <w:rPr>
          <w:rFonts w:ascii="Garamond" w:hAnsi="Garamond" w:cs="Courier New"/>
          <w:sz w:val="28"/>
          <w:szCs w:val="28"/>
        </w:rPr>
        <w:t>de</w:t>
      </w:r>
      <w:r w:rsidR="004D7F02" w:rsidRPr="004D7F02">
        <w:rPr>
          <w:rFonts w:ascii="Garamond" w:hAnsi="Garamond" w:cs="Courier New"/>
          <w:sz w:val="28"/>
          <w:szCs w:val="28"/>
        </w:rPr>
        <w:t xml:space="preserve"> forma menos rígida e solene pelo Poder Legislativo. Por óbvio, esta flexibilidade permite a adaptação mais fácil do sistema às modificações fáticas e contextuais</w:t>
      </w:r>
      <w:r w:rsidR="00443F03">
        <w:rPr>
          <w:rFonts w:ascii="Garamond" w:hAnsi="Garamond" w:cs="Courier New"/>
          <w:sz w:val="28"/>
          <w:szCs w:val="28"/>
        </w:rPr>
        <w:t>,</w:t>
      </w:r>
      <w:r w:rsidR="004D7F02" w:rsidRPr="004D7F02">
        <w:rPr>
          <w:rFonts w:ascii="Garamond" w:hAnsi="Garamond" w:cs="Courier New"/>
          <w:sz w:val="28"/>
          <w:szCs w:val="28"/>
        </w:rPr>
        <w:t xml:space="preserve"> com o propósito de velar melhor pelas finalidades constitucionais.</w:t>
      </w:r>
    </w:p>
    <w:p w:rsidR="00156339" w:rsidRDefault="006210AA" w:rsidP="004D7F02">
      <w:pPr>
        <w:spacing w:before="240" w:line="360" w:lineRule="auto"/>
        <w:jc w:val="both"/>
        <w:rPr>
          <w:rFonts w:ascii="Garamond" w:hAnsi="Garamond" w:cs="Courier New"/>
          <w:sz w:val="28"/>
          <w:szCs w:val="28"/>
        </w:rPr>
      </w:pPr>
      <w:r>
        <w:rPr>
          <w:rFonts w:ascii="Garamond" w:hAnsi="Garamond" w:cs="Courier New"/>
          <w:sz w:val="28"/>
          <w:szCs w:val="28"/>
        </w:rPr>
        <w:tab/>
      </w:r>
      <w:r>
        <w:rPr>
          <w:rFonts w:ascii="Garamond" w:hAnsi="Garamond" w:cs="Courier New"/>
          <w:sz w:val="28"/>
          <w:szCs w:val="28"/>
        </w:rPr>
        <w:tab/>
        <w:t>Esse debate, sobre a exigência, ou não, da edição de lei complementar para a regulamentação de imunidade</w:t>
      </w:r>
      <w:r w:rsidR="00207A0E">
        <w:rPr>
          <w:rFonts w:ascii="Garamond" w:hAnsi="Garamond" w:cs="Courier New"/>
          <w:sz w:val="28"/>
          <w:szCs w:val="28"/>
        </w:rPr>
        <w:t xml:space="preserve"> tributária, ainda que a norma impugnada a denomine isenção</w:t>
      </w:r>
      <w:proofErr w:type="gramStart"/>
      <w:r w:rsidR="00207A0E">
        <w:rPr>
          <w:rFonts w:ascii="Garamond" w:hAnsi="Garamond" w:cs="Courier New"/>
          <w:sz w:val="28"/>
          <w:szCs w:val="28"/>
        </w:rPr>
        <w:t>, foi</w:t>
      </w:r>
      <w:proofErr w:type="gramEnd"/>
      <w:r w:rsidR="00207A0E">
        <w:rPr>
          <w:rFonts w:ascii="Garamond" w:hAnsi="Garamond" w:cs="Courier New"/>
          <w:sz w:val="28"/>
          <w:szCs w:val="28"/>
        </w:rPr>
        <w:t xml:space="preserve"> travado por esta Corte também no julgamento da </w:t>
      </w:r>
      <w:r w:rsidR="00FE6B66">
        <w:rPr>
          <w:rFonts w:ascii="Garamond" w:hAnsi="Garamond" w:cs="Courier New"/>
          <w:sz w:val="28"/>
          <w:szCs w:val="28"/>
        </w:rPr>
        <w:t>ADI-MC 1.80</w:t>
      </w:r>
      <w:r w:rsidR="00156339">
        <w:rPr>
          <w:rFonts w:ascii="Garamond" w:hAnsi="Garamond" w:cs="Courier New"/>
          <w:sz w:val="28"/>
          <w:szCs w:val="28"/>
        </w:rPr>
        <w:t>2</w:t>
      </w:r>
      <w:r w:rsidR="00FE6B66">
        <w:rPr>
          <w:rFonts w:ascii="Garamond" w:hAnsi="Garamond" w:cs="Courier New"/>
          <w:sz w:val="28"/>
          <w:szCs w:val="28"/>
        </w:rPr>
        <w:t>, Rel. Min. Sepúlveda Pertence, Plenário, DJ 13.2.2004. Na oportunidade, bem salientou o eminente relator:</w:t>
      </w:r>
    </w:p>
    <w:p w:rsidR="00FE6B66" w:rsidRPr="00FE6B66" w:rsidRDefault="00FE6B66" w:rsidP="004169D2">
      <w:pPr>
        <w:pStyle w:val="western"/>
        <w:spacing w:before="0" w:beforeAutospacing="0" w:after="0"/>
        <w:ind w:left="2126" w:firstLine="709"/>
        <w:jc w:val="both"/>
        <w:rPr>
          <w:rFonts w:ascii="Garamond" w:hAnsi="Garamond"/>
        </w:rPr>
      </w:pPr>
      <w:r w:rsidRPr="00FE6B66">
        <w:rPr>
          <w:rFonts w:ascii="Garamond" w:hAnsi="Garamond" w:cs="Courier New"/>
        </w:rPr>
        <w:t>“</w:t>
      </w:r>
      <w:r w:rsidRPr="00FE6B66">
        <w:rPr>
          <w:rFonts w:ascii="Garamond" w:hAnsi="Garamond"/>
        </w:rPr>
        <w:t xml:space="preserve">No mérito, o ponto nuclear da questão de inconstitucionalidade proposta está em estabelecer a inteligência devida à cláusula final do art. 150, </w:t>
      </w:r>
      <w:proofErr w:type="gramStart"/>
      <w:r w:rsidRPr="00FE6B66">
        <w:rPr>
          <w:rFonts w:ascii="Garamond" w:hAnsi="Garamond"/>
        </w:rPr>
        <w:t>VI,</w:t>
      </w:r>
      <w:proofErr w:type="gramEnd"/>
      <w:r w:rsidRPr="00FE6B66">
        <w:rPr>
          <w:rFonts w:ascii="Garamond" w:hAnsi="Garamond"/>
        </w:rPr>
        <w:t xml:space="preserve"> </w:t>
      </w:r>
      <w:r w:rsidRPr="00FE6B66">
        <w:rPr>
          <w:rFonts w:ascii="Garamond" w:hAnsi="Garamond"/>
          <w:b/>
          <w:bCs/>
        </w:rPr>
        <w:t>c</w:t>
      </w:r>
      <w:r w:rsidRPr="00FE6B66">
        <w:rPr>
          <w:rFonts w:ascii="Garamond" w:hAnsi="Garamond"/>
        </w:rPr>
        <w:t>, da Lei Fundamental, que veda instituir impostos sobre “</w:t>
      </w:r>
      <w:r w:rsidRPr="00FE6B66">
        <w:rPr>
          <w:rFonts w:ascii="Garamond" w:hAnsi="Garamond"/>
          <w:b/>
          <w:bCs/>
        </w:rPr>
        <w:t>patrimônio, renda ou serviços dos partidos políticos, inclusive suas fundações, das entidades sindicais dos trabalhadores, das instituições de educação e de assistência social, sem fins lucrativos, atendidos os requisitos da lei</w:t>
      </w:r>
      <w:r w:rsidRPr="00FE6B66">
        <w:rPr>
          <w:rFonts w:ascii="Garamond" w:hAnsi="Garamond"/>
        </w:rPr>
        <w:t>.</w:t>
      </w:r>
    </w:p>
    <w:p w:rsidR="00FE6B66" w:rsidRPr="00FE6B66" w:rsidRDefault="00FE6B66" w:rsidP="004169D2">
      <w:pPr>
        <w:pStyle w:val="western"/>
        <w:spacing w:before="0" w:beforeAutospacing="0" w:after="0"/>
        <w:ind w:left="2126" w:firstLine="709"/>
        <w:jc w:val="both"/>
        <w:rPr>
          <w:rFonts w:ascii="Garamond" w:hAnsi="Garamond"/>
        </w:rPr>
      </w:pPr>
      <w:r w:rsidRPr="00FE6B66">
        <w:rPr>
          <w:rFonts w:ascii="Garamond" w:hAnsi="Garamond"/>
        </w:rPr>
        <w:t>Conjugando essa cláusula final da regra de imunidade — “</w:t>
      </w:r>
      <w:r w:rsidRPr="00FE6B66">
        <w:rPr>
          <w:rFonts w:ascii="Garamond" w:hAnsi="Garamond"/>
          <w:b/>
          <w:bCs/>
        </w:rPr>
        <w:t>atendidos os requisitos da lei</w:t>
      </w:r>
      <w:r w:rsidRPr="00FE6B66">
        <w:rPr>
          <w:rFonts w:ascii="Garamond" w:hAnsi="Garamond"/>
        </w:rPr>
        <w:t>” — com o art. 146, II — “</w:t>
      </w:r>
      <w:r w:rsidRPr="00FE6B66">
        <w:rPr>
          <w:rFonts w:ascii="Garamond" w:hAnsi="Garamond"/>
          <w:b/>
          <w:bCs/>
        </w:rPr>
        <w:t>Cabe à lei complementar (...) regular as limitações constitucionais ao poder de tributar</w:t>
      </w:r>
      <w:r w:rsidRPr="00FE6B66">
        <w:rPr>
          <w:rFonts w:ascii="Garamond" w:hAnsi="Garamond"/>
        </w:rPr>
        <w:t xml:space="preserve">” — sustenta a </w:t>
      </w:r>
      <w:proofErr w:type="spellStart"/>
      <w:r w:rsidRPr="00FE6B66">
        <w:rPr>
          <w:rFonts w:ascii="Garamond" w:hAnsi="Garamond"/>
        </w:rPr>
        <w:t>argüição</w:t>
      </w:r>
      <w:proofErr w:type="spellEnd"/>
      <w:r w:rsidRPr="00FE6B66">
        <w:rPr>
          <w:rFonts w:ascii="Garamond" w:hAnsi="Garamond"/>
        </w:rPr>
        <w:t xml:space="preserve"> que só à lei complementar — ainda aí em termos — jamais à lei ordinária, caberia versar os temas de todas as normas questionadas.</w:t>
      </w:r>
    </w:p>
    <w:p w:rsidR="00FE6B66" w:rsidRPr="00FE6B66" w:rsidRDefault="00FE6B66" w:rsidP="004169D2">
      <w:pPr>
        <w:pStyle w:val="western"/>
        <w:spacing w:before="0" w:beforeAutospacing="0" w:after="0"/>
        <w:ind w:left="2126" w:firstLine="709"/>
        <w:jc w:val="both"/>
        <w:rPr>
          <w:rFonts w:ascii="Garamond" w:hAnsi="Garamond"/>
        </w:rPr>
      </w:pPr>
      <w:r w:rsidRPr="00FE6B66">
        <w:rPr>
          <w:rFonts w:ascii="Garamond" w:hAnsi="Garamond"/>
        </w:rPr>
        <w:lastRenderedPageBreak/>
        <w:t xml:space="preserve">Pretendem as informações, de sua vez, que a menção constitucional à lei, quando não qualificada, refere-se à lei ordinária. Desse modo — sustentam as inteligentes razões da A.G.U. </w:t>
      </w:r>
      <w:proofErr w:type="gramStart"/>
      <w:r w:rsidRPr="00FE6B66">
        <w:rPr>
          <w:rFonts w:ascii="Garamond" w:hAnsi="Garamond"/>
        </w:rPr>
        <w:t>que</w:t>
      </w:r>
      <w:proofErr w:type="gramEnd"/>
      <w:r w:rsidRPr="00FE6B66">
        <w:rPr>
          <w:rFonts w:ascii="Garamond" w:hAnsi="Garamond"/>
        </w:rPr>
        <w:t xml:space="preserve">, no art. 150, VI, </w:t>
      </w:r>
      <w:r w:rsidRPr="00FE6B66">
        <w:rPr>
          <w:rFonts w:ascii="Garamond" w:hAnsi="Garamond"/>
          <w:b/>
          <w:bCs/>
        </w:rPr>
        <w:t>c</w:t>
      </w:r>
      <w:r w:rsidRPr="00FE6B66">
        <w:rPr>
          <w:rFonts w:ascii="Garamond" w:hAnsi="Garamond"/>
        </w:rPr>
        <w:t>, a submissão da imunidade aos “</w:t>
      </w:r>
      <w:r w:rsidRPr="00FE6B66">
        <w:rPr>
          <w:rFonts w:ascii="Garamond" w:hAnsi="Garamond"/>
          <w:b/>
          <w:bCs/>
        </w:rPr>
        <w:t>requisitos da lei</w:t>
      </w:r>
      <w:r w:rsidRPr="00FE6B66">
        <w:rPr>
          <w:rFonts w:ascii="Garamond" w:hAnsi="Garamond"/>
        </w:rPr>
        <w:t>” (ordinária) significaria exceção à exigência geral de lei complementar para a espécie, pois, argumentam, “</w:t>
      </w:r>
      <w:r w:rsidRPr="00FE6B66">
        <w:rPr>
          <w:rFonts w:ascii="Garamond" w:hAnsi="Garamond"/>
          <w:b/>
          <w:bCs/>
        </w:rPr>
        <w:t>se isto não fosse verdade, este final da norma constitucional teria sido perfunctório (sic), tendo em vista o mandamento constitucional genérico do art. 146, II</w:t>
      </w:r>
      <w:r w:rsidRPr="00FE6B66">
        <w:rPr>
          <w:rFonts w:ascii="Garamond" w:hAnsi="Garamond"/>
        </w:rPr>
        <w:t>”.</w:t>
      </w:r>
    </w:p>
    <w:p w:rsidR="00FE6B66" w:rsidRPr="00FE6B66" w:rsidRDefault="00FE6B66" w:rsidP="004169D2">
      <w:pPr>
        <w:pStyle w:val="western"/>
        <w:spacing w:before="0" w:beforeAutospacing="0" w:after="0"/>
        <w:ind w:left="2126" w:firstLine="709"/>
        <w:jc w:val="both"/>
        <w:rPr>
          <w:rFonts w:ascii="Garamond" w:hAnsi="Garamond"/>
        </w:rPr>
      </w:pPr>
      <w:r w:rsidRPr="00FE6B66">
        <w:rPr>
          <w:rFonts w:ascii="Garamond" w:hAnsi="Garamond"/>
        </w:rPr>
        <w:t>À delibação, sabe-me que ambas as posturas contrapostas pecam por excesso.</w:t>
      </w:r>
    </w:p>
    <w:p w:rsidR="00FE6B66" w:rsidRPr="00FE6B66" w:rsidRDefault="00FE6B66" w:rsidP="004169D2">
      <w:pPr>
        <w:pStyle w:val="western"/>
        <w:spacing w:before="0" w:beforeAutospacing="0" w:after="0"/>
        <w:ind w:left="2126" w:firstLine="709"/>
        <w:jc w:val="both"/>
        <w:rPr>
          <w:rFonts w:ascii="Garamond" w:hAnsi="Garamond"/>
        </w:rPr>
      </w:pPr>
      <w:r w:rsidRPr="00FE6B66">
        <w:rPr>
          <w:rFonts w:ascii="Garamond" w:hAnsi="Garamond"/>
        </w:rPr>
        <w:t xml:space="preserve">Concedo que a regra de imunidade discutida efetivamente se refira à lei ordinária, como é de entender, na linguagem da Constituição, sempre que não haja menção explícita à lei </w:t>
      </w:r>
      <w:r w:rsidRPr="00FE6B66">
        <w:rPr>
          <w:rFonts w:ascii="Garamond" w:hAnsi="Garamond"/>
          <w:b/>
          <w:bCs/>
        </w:rPr>
        <w:t>complementar</w:t>
      </w:r>
      <w:r w:rsidRPr="00FE6B66">
        <w:rPr>
          <w:rFonts w:ascii="Garamond" w:hAnsi="Garamond"/>
        </w:rPr>
        <w:t>.</w:t>
      </w:r>
    </w:p>
    <w:p w:rsidR="00FE6B66" w:rsidRPr="00FE6B66" w:rsidRDefault="00FE6B66" w:rsidP="004169D2">
      <w:pPr>
        <w:pStyle w:val="western"/>
        <w:spacing w:before="0" w:beforeAutospacing="0" w:after="0"/>
        <w:ind w:left="2126" w:firstLine="709"/>
        <w:jc w:val="both"/>
        <w:rPr>
          <w:rFonts w:ascii="Garamond" w:hAnsi="Garamond"/>
        </w:rPr>
      </w:pPr>
      <w:r w:rsidRPr="00FE6B66">
        <w:rPr>
          <w:rFonts w:ascii="Garamond" w:hAnsi="Garamond"/>
        </w:rPr>
        <w:t xml:space="preserve">Essa foi, sob a regra idêntica do art. 19, III, </w:t>
      </w:r>
      <w:r w:rsidRPr="00FE6B66">
        <w:rPr>
          <w:rFonts w:ascii="Garamond" w:hAnsi="Garamond"/>
          <w:b/>
          <w:bCs/>
        </w:rPr>
        <w:t>c</w:t>
      </w:r>
      <w:r w:rsidRPr="00FE6B66">
        <w:rPr>
          <w:rFonts w:ascii="Garamond" w:hAnsi="Garamond"/>
        </w:rPr>
        <w:t>, da Carta de 69, a autorizada conclusão de Baleeiro (</w:t>
      </w:r>
      <w:r w:rsidRPr="00FE6B66">
        <w:rPr>
          <w:rFonts w:ascii="Garamond" w:hAnsi="Garamond"/>
          <w:b/>
          <w:bCs/>
        </w:rPr>
        <w:t>Limitações Constitucionais ao Poder de Tributar</w:t>
      </w:r>
      <w:r w:rsidRPr="00FE6B66">
        <w:rPr>
          <w:rFonts w:ascii="Garamond" w:hAnsi="Garamond"/>
        </w:rPr>
        <w:t>, 7ª ed., 1997, p. 313). E note-se que já então regular as limitações constitucionais ao poder de tributar era matéria reservada à lei complementar (</w:t>
      </w:r>
      <w:proofErr w:type="spellStart"/>
      <w:r w:rsidRPr="00FE6B66">
        <w:rPr>
          <w:rFonts w:ascii="Garamond" w:hAnsi="Garamond"/>
        </w:rPr>
        <w:t>art</w:t>
      </w:r>
      <w:proofErr w:type="spellEnd"/>
      <w:r w:rsidRPr="00FE6B66">
        <w:rPr>
          <w:rFonts w:ascii="Garamond" w:hAnsi="Garamond"/>
        </w:rPr>
        <w:t xml:space="preserve"> 18, § 1º).</w:t>
      </w:r>
    </w:p>
    <w:p w:rsidR="00FE6B66" w:rsidRPr="00FE6B66" w:rsidRDefault="00FE6B66" w:rsidP="004169D2">
      <w:pPr>
        <w:pStyle w:val="western"/>
        <w:spacing w:before="0" w:beforeAutospacing="0" w:after="0"/>
        <w:ind w:left="2126" w:firstLine="709"/>
        <w:jc w:val="both"/>
        <w:rPr>
          <w:rFonts w:ascii="Garamond" w:hAnsi="Garamond"/>
        </w:rPr>
      </w:pPr>
      <w:r w:rsidRPr="00FE6B66">
        <w:rPr>
          <w:rFonts w:ascii="Garamond" w:hAnsi="Garamond"/>
        </w:rPr>
        <w:t>Estou, a um primeiro exame, em que a conciliação entre os dois preceitos constitucionais —, aparentemente antinômicos, já fora estabelecida na jurisprudência do Tribunal, e prestigiada na melhor doutrina.</w:t>
      </w:r>
    </w:p>
    <w:p w:rsidR="00FE6B66" w:rsidRPr="00FE6B66" w:rsidRDefault="00FE6B66" w:rsidP="004169D2">
      <w:pPr>
        <w:pStyle w:val="western"/>
        <w:spacing w:before="0" w:beforeAutospacing="0" w:after="0"/>
        <w:ind w:left="2126" w:firstLine="709"/>
        <w:jc w:val="both"/>
        <w:rPr>
          <w:rFonts w:ascii="Garamond" w:hAnsi="Garamond"/>
        </w:rPr>
      </w:pPr>
      <w:r w:rsidRPr="00FE6B66">
        <w:rPr>
          <w:rFonts w:ascii="Garamond" w:hAnsi="Garamond"/>
        </w:rPr>
        <w:t xml:space="preserve">Está, no RE 93770, de 17.3.81, da lavra do notável e saudoso Ministro Soares </w:t>
      </w:r>
      <w:proofErr w:type="spellStart"/>
      <w:r w:rsidRPr="00FE6B66">
        <w:rPr>
          <w:rFonts w:ascii="Garamond" w:hAnsi="Garamond"/>
        </w:rPr>
        <w:t>Muñoz</w:t>
      </w:r>
      <w:proofErr w:type="spellEnd"/>
      <w:r w:rsidRPr="00FE6B66">
        <w:rPr>
          <w:rFonts w:ascii="Garamond" w:hAnsi="Garamond"/>
        </w:rPr>
        <w:t xml:space="preserve"> — RTJ 102/304, 307:</w:t>
      </w:r>
    </w:p>
    <w:p w:rsidR="00FE6B66" w:rsidRPr="00FE6B66" w:rsidRDefault="001C1711" w:rsidP="00FE6B66">
      <w:pPr>
        <w:pStyle w:val="western"/>
        <w:spacing w:after="0"/>
        <w:ind w:left="2832" w:firstLine="3"/>
        <w:jc w:val="both"/>
        <w:rPr>
          <w:rFonts w:ascii="Garamond" w:hAnsi="Garamond"/>
        </w:rPr>
      </w:pPr>
      <w:r>
        <w:rPr>
          <w:rFonts w:ascii="Garamond" w:hAnsi="Garamond"/>
        </w:rPr>
        <w:t>‘</w:t>
      </w:r>
      <w:r w:rsidR="00FE6B66" w:rsidRPr="00FE6B66">
        <w:rPr>
          <w:rFonts w:ascii="Garamond" w:hAnsi="Garamond"/>
        </w:rPr>
        <w:t xml:space="preserve">Nenhuma dúvida foi suscitada quanto a ser </w:t>
      </w:r>
      <w:proofErr w:type="gramStart"/>
      <w:r w:rsidR="00FE6B66" w:rsidRPr="00FE6B66">
        <w:rPr>
          <w:rFonts w:ascii="Garamond" w:hAnsi="Garamond"/>
        </w:rPr>
        <w:t>o recorrente instituição</w:t>
      </w:r>
      <w:proofErr w:type="gramEnd"/>
      <w:r w:rsidR="00FE6B66" w:rsidRPr="00FE6B66">
        <w:rPr>
          <w:rFonts w:ascii="Garamond" w:hAnsi="Garamond"/>
        </w:rPr>
        <w:t xml:space="preserve"> de assistência social e fazer jus, nessa qualidade e em princípio, à imunidade prevista no art. 19, III, </w:t>
      </w:r>
      <w:r w:rsidR="00FE6B66" w:rsidRPr="00FE6B66">
        <w:rPr>
          <w:rFonts w:ascii="Garamond" w:hAnsi="Garamond"/>
          <w:u w:val="single"/>
        </w:rPr>
        <w:t>c</w:t>
      </w:r>
      <w:r w:rsidR="00FE6B66" w:rsidRPr="00FE6B66">
        <w:rPr>
          <w:rFonts w:ascii="Garamond" w:hAnsi="Garamond"/>
        </w:rPr>
        <w:t xml:space="preserve">, da Constituição Federal. O mandado de segurança foi indeferido pelo acórdão recorrido em razão de o art. 17 do Decreto-Lei </w:t>
      </w:r>
      <w:r w:rsidR="00C86AAB">
        <w:rPr>
          <w:rFonts w:ascii="Garamond" w:hAnsi="Garamond"/>
        </w:rPr>
        <w:t>n.º</w:t>
      </w:r>
      <w:r w:rsidR="00FE6B66" w:rsidRPr="00FE6B66">
        <w:rPr>
          <w:rFonts w:ascii="Garamond" w:hAnsi="Garamond"/>
        </w:rPr>
        <w:t xml:space="preserve"> 37/66 só autorizar a isenção do imposto de importação se a mercadoria tiver sido considerada, pelo Conselho de Política Aduaneira, sem similar nacional, prova que o impetrante não produziu.</w:t>
      </w:r>
    </w:p>
    <w:p w:rsidR="00FE6B66" w:rsidRPr="00FE6B66" w:rsidRDefault="00FE6B66" w:rsidP="00FE6B66">
      <w:pPr>
        <w:pStyle w:val="western"/>
        <w:spacing w:after="0"/>
        <w:ind w:left="2832"/>
        <w:jc w:val="both"/>
        <w:rPr>
          <w:rFonts w:ascii="Garamond" w:hAnsi="Garamond"/>
        </w:rPr>
      </w:pPr>
      <w:r w:rsidRPr="00FE6B66">
        <w:rPr>
          <w:rFonts w:ascii="Garamond" w:hAnsi="Garamond"/>
        </w:rPr>
        <w:t xml:space="preserve">Esse Decreto-Lei, anterior à Constituição Federal em vigor, não pode, no particular, ser aplicado, porque ele impõe à imunidade, a qual não se confunde com isenção, uma restrição que não está no texto constitucional. Os requisitos da lei que o art. 19, III, </w:t>
      </w:r>
      <w:r w:rsidRPr="00FE6B66">
        <w:rPr>
          <w:rFonts w:ascii="Garamond" w:hAnsi="Garamond"/>
          <w:u w:val="single"/>
        </w:rPr>
        <w:t>c</w:t>
      </w:r>
      <w:r w:rsidRPr="00FE6B66">
        <w:rPr>
          <w:rFonts w:ascii="Garamond" w:hAnsi="Garamond"/>
        </w:rPr>
        <w:t>, da Constituição manda observar não dizem respeito à configuração da imunidade, mas àquelas normas reguladoras da constituição e funcionamento da entidade imune, tal como salientou a sentença de primeiro grau.</w:t>
      </w:r>
    </w:p>
    <w:p w:rsidR="00FE6B66" w:rsidRPr="00FE6B66" w:rsidRDefault="00FE6B66" w:rsidP="00FE6B66">
      <w:pPr>
        <w:pStyle w:val="western"/>
        <w:spacing w:after="0"/>
        <w:ind w:left="2832"/>
        <w:jc w:val="both"/>
        <w:rPr>
          <w:rFonts w:ascii="Garamond" w:hAnsi="Garamond"/>
        </w:rPr>
      </w:pPr>
      <w:r w:rsidRPr="00FE6B66">
        <w:rPr>
          <w:rFonts w:ascii="Garamond" w:hAnsi="Garamond"/>
        </w:rPr>
        <w:t>Cumpre evitar-se que falsas instituições de assistência e educação sejam favorecidas pela imunidade. É para evitar fraude que a Constituição determina sejam observados os requisitos da lei.</w:t>
      </w:r>
    </w:p>
    <w:p w:rsidR="00FE6B66" w:rsidRPr="00FE6B66" w:rsidRDefault="00FE6B66" w:rsidP="00FE6B66">
      <w:pPr>
        <w:pStyle w:val="western"/>
        <w:spacing w:after="0"/>
        <w:ind w:left="2832"/>
        <w:jc w:val="both"/>
        <w:rPr>
          <w:rFonts w:ascii="Garamond" w:hAnsi="Garamond"/>
        </w:rPr>
      </w:pPr>
      <w:r w:rsidRPr="00FE6B66">
        <w:rPr>
          <w:rFonts w:ascii="Garamond" w:hAnsi="Garamond"/>
        </w:rPr>
        <w:lastRenderedPageBreak/>
        <w:t>Condiz com esse entendimento a interpretação dada por Manoel Gonçalves Ferreira Filho ao preceito constitucional. Escreve ele: “As instituições educativas e assistenciais são meras pessoas de direito privado, criadas pela iniciativa particular e ao sabor desta. Seria plausível, por isso, que servissem de capa, cobrindo interesses egoísticos que, assim, se beneficiariam da imunidade no tocante a impostos” (</w:t>
      </w:r>
      <w:r w:rsidRPr="00FE6B66">
        <w:rPr>
          <w:rFonts w:ascii="Garamond" w:hAnsi="Garamond"/>
          <w:b/>
          <w:bCs/>
        </w:rPr>
        <w:t>in Comentários à Constituição Brasileira</w:t>
      </w:r>
      <w:r w:rsidRPr="00FE6B66">
        <w:rPr>
          <w:rFonts w:ascii="Garamond" w:hAnsi="Garamond"/>
        </w:rPr>
        <w:t>, vol. 1º, pág. 150)</w:t>
      </w:r>
      <w:r w:rsidR="001C1711">
        <w:rPr>
          <w:rFonts w:ascii="Garamond" w:hAnsi="Garamond"/>
        </w:rPr>
        <w:t>’</w:t>
      </w:r>
      <w:r w:rsidRPr="00FE6B66">
        <w:rPr>
          <w:rFonts w:ascii="Garamond" w:hAnsi="Garamond"/>
        </w:rPr>
        <w:t xml:space="preserve">. </w:t>
      </w:r>
    </w:p>
    <w:p w:rsidR="00FE6B66" w:rsidRPr="00FE6B66" w:rsidRDefault="00FE6B66" w:rsidP="00FE6B66">
      <w:pPr>
        <w:pStyle w:val="western"/>
        <w:spacing w:after="0"/>
        <w:jc w:val="both"/>
        <w:rPr>
          <w:rFonts w:ascii="Garamond" w:hAnsi="Garamond"/>
        </w:rPr>
      </w:pPr>
    </w:p>
    <w:p w:rsidR="00FE6B66" w:rsidRPr="00FE6B66" w:rsidRDefault="00FE6B66" w:rsidP="004169D2">
      <w:pPr>
        <w:pStyle w:val="western"/>
        <w:spacing w:before="0" w:beforeAutospacing="0" w:after="0"/>
        <w:ind w:left="2126" w:firstLine="709"/>
        <w:jc w:val="both"/>
        <w:rPr>
          <w:rFonts w:ascii="Garamond" w:hAnsi="Garamond"/>
        </w:rPr>
      </w:pPr>
      <w:r w:rsidRPr="00FE6B66">
        <w:rPr>
          <w:rFonts w:ascii="Garamond" w:hAnsi="Garamond"/>
        </w:rPr>
        <w:t xml:space="preserve">Ao acórdão e ao comentário de Ferreira Filho, nele referido, prestou seu aval o lúcido e saudoso </w:t>
      </w:r>
      <w:proofErr w:type="spellStart"/>
      <w:r w:rsidRPr="00FE6B66">
        <w:rPr>
          <w:rFonts w:ascii="Garamond" w:hAnsi="Garamond"/>
        </w:rPr>
        <w:t>Ulhoa</w:t>
      </w:r>
      <w:proofErr w:type="spellEnd"/>
      <w:r w:rsidRPr="00FE6B66">
        <w:rPr>
          <w:rFonts w:ascii="Garamond" w:hAnsi="Garamond"/>
        </w:rPr>
        <w:t xml:space="preserve"> Canto (</w:t>
      </w:r>
      <w:r w:rsidRPr="00FE6B66">
        <w:rPr>
          <w:rFonts w:ascii="Garamond" w:hAnsi="Garamond"/>
          <w:b/>
          <w:bCs/>
        </w:rPr>
        <w:t>apud</w:t>
      </w:r>
      <w:r w:rsidRPr="00FE6B66">
        <w:rPr>
          <w:rFonts w:ascii="Garamond" w:hAnsi="Garamond"/>
        </w:rPr>
        <w:t xml:space="preserve"> </w:t>
      </w:r>
      <w:proofErr w:type="spellStart"/>
      <w:r w:rsidRPr="00FE6B66">
        <w:rPr>
          <w:rFonts w:ascii="Garamond" w:hAnsi="Garamond"/>
        </w:rPr>
        <w:t>Mizabel</w:t>
      </w:r>
      <w:proofErr w:type="spellEnd"/>
      <w:r w:rsidRPr="00FE6B66">
        <w:rPr>
          <w:rFonts w:ascii="Garamond" w:hAnsi="Garamond"/>
        </w:rPr>
        <w:t xml:space="preserve"> </w:t>
      </w:r>
      <w:proofErr w:type="spellStart"/>
      <w:r w:rsidRPr="00FE6B66">
        <w:rPr>
          <w:rFonts w:ascii="Garamond" w:hAnsi="Garamond"/>
        </w:rPr>
        <w:t>Derzi</w:t>
      </w:r>
      <w:proofErr w:type="spellEnd"/>
      <w:r w:rsidRPr="00FE6B66">
        <w:rPr>
          <w:rFonts w:ascii="Garamond" w:hAnsi="Garamond"/>
        </w:rPr>
        <w:t xml:space="preserve">, nota a Baleeiro, ob. ed., </w:t>
      </w:r>
      <w:proofErr w:type="spellStart"/>
      <w:r w:rsidRPr="00FE6B66">
        <w:rPr>
          <w:rFonts w:ascii="Garamond" w:hAnsi="Garamond"/>
        </w:rPr>
        <w:t>cits</w:t>
      </w:r>
      <w:proofErr w:type="spellEnd"/>
      <w:proofErr w:type="gramStart"/>
      <w:r w:rsidRPr="00FE6B66">
        <w:rPr>
          <w:rFonts w:ascii="Garamond" w:hAnsi="Garamond"/>
        </w:rPr>
        <w:t>.,</w:t>
      </w:r>
      <w:proofErr w:type="gramEnd"/>
      <w:r w:rsidRPr="00FE6B66">
        <w:rPr>
          <w:rFonts w:ascii="Garamond" w:hAnsi="Garamond"/>
        </w:rPr>
        <w:t xml:space="preserve"> p. 318).</w:t>
      </w:r>
    </w:p>
    <w:p w:rsidR="00FE6B66" w:rsidRPr="00FE6B66" w:rsidRDefault="00FE6B66" w:rsidP="004169D2">
      <w:pPr>
        <w:pStyle w:val="western"/>
        <w:spacing w:before="0" w:beforeAutospacing="0" w:after="0"/>
        <w:ind w:left="2126" w:firstLine="709"/>
        <w:jc w:val="both"/>
        <w:rPr>
          <w:rFonts w:ascii="Garamond" w:hAnsi="Garamond"/>
        </w:rPr>
      </w:pPr>
      <w:r w:rsidRPr="00FE6B66">
        <w:rPr>
          <w:rFonts w:ascii="Garamond" w:hAnsi="Garamond"/>
        </w:rPr>
        <w:t>Em síntese, o precedente reduz a reserva de lei complementar da regra constitucional ao que diga respeito “</w:t>
      </w:r>
      <w:r w:rsidRPr="00FE6B66">
        <w:rPr>
          <w:rFonts w:ascii="Garamond" w:hAnsi="Garamond"/>
          <w:b/>
          <w:bCs/>
        </w:rPr>
        <w:t>aos lindes da imunidade</w:t>
      </w:r>
      <w:r w:rsidRPr="00FE6B66">
        <w:rPr>
          <w:rFonts w:ascii="Garamond" w:hAnsi="Garamond"/>
        </w:rPr>
        <w:t>”, à demarcação do objeto material da vedação constitucional de tributar — o patrimônio, a renda e os serviços das instituições por ela beneficiados, o que inclui, por força do § 3º, do mesmo art. 150, CF, a sua relação “</w:t>
      </w:r>
      <w:r w:rsidRPr="00FE6B66">
        <w:rPr>
          <w:rFonts w:ascii="Garamond" w:hAnsi="Garamond"/>
          <w:b/>
          <w:bCs/>
        </w:rPr>
        <w:t>com as finalidades essenciais das entidades nele mencionadas</w:t>
      </w:r>
      <w:r w:rsidRPr="00FE6B66">
        <w:rPr>
          <w:rFonts w:ascii="Garamond" w:hAnsi="Garamond"/>
        </w:rPr>
        <w:t xml:space="preserve">”; mas remete à lei </w:t>
      </w:r>
      <w:proofErr w:type="gramStart"/>
      <w:r w:rsidRPr="00FE6B66">
        <w:rPr>
          <w:rFonts w:ascii="Garamond" w:hAnsi="Garamond"/>
        </w:rPr>
        <w:t>ordinária “</w:t>
      </w:r>
      <w:r w:rsidRPr="00FE6B66">
        <w:rPr>
          <w:rFonts w:ascii="Garamond" w:hAnsi="Garamond"/>
          <w:b/>
          <w:bCs/>
        </w:rPr>
        <w:t>as normas reguladoras da constituição e funcionamento da entidade imune</w:t>
      </w:r>
      <w:r w:rsidRPr="00FE6B66">
        <w:rPr>
          <w:rFonts w:ascii="Garamond" w:hAnsi="Garamond"/>
        </w:rPr>
        <w:t>”, votadas</w:t>
      </w:r>
      <w:proofErr w:type="gramEnd"/>
      <w:r w:rsidRPr="00FE6B66">
        <w:rPr>
          <w:rFonts w:ascii="Garamond" w:hAnsi="Garamond"/>
        </w:rPr>
        <w:t xml:space="preserve"> a obviar que “</w:t>
      </w:r>
      <w:r w:rsidRPr="00FE6B66">
        <w:rPr>
          <w:rFonts w:ascii="Garamond" w:hAnsi="Garamond"/>
          <w:b/>
          <w:bCs/>
        </w:rPr>
        <w:t>falsas instituições de assistência e educação sejam favorecidas pela imunidade</w:t>
      </w:r>
      <w:r w:rsidRPr="00FE6B66">
        <w:rPr>
          <w:rFonts w:ascii="Garamond" w:hAnsi="Garamond"/>
        </w:rPr>
        <w:t>”, em fraude à Constituição.</w:t>
      </w:r>
    </w:p>
    <w:p w:rsidR="00FE6B66" w:rsidRPr="00FE6B66" w:rsidRDefault="00FE6B66" w:rsidP="004169D2">
      <w:pPr>
        <w:pStyle w:val="western"/>
        <w:spacing w:before="0" w:beforeAutospacing="0" w:after="0"/>
        <w:ind w:left="2126" w:firstLine="709"/>
        <w:jc w:val="both"/>
        <w:rPr>
          <w:rFonts w:ascii="Garamond" w:hAnsi="Garamond"/>
        </w:rPr>
      </w:pPr>
      <w:r w:rsidRPr="00FE6B66">
        <w:rPr>
          <w:rFonts w:ascii="Garamond" w:hAnsi="Garamond"/>
        </w:rPr>
        <w:t xml:space="preserve">Segundo esse critério distintivo, estou em que, à primeira vista, </w:t>
      </w:r>
      <w:proofErr w:type="gramStart"/>
      <w:r w:rsidRPr="00FE6B66">
        <w:rPr>
          <w:rFonts w:ascii="Garamond" w:hAnsi="Garamond"/>
        </w:rPr>
        <w:t>ficam</w:t>
      </w:r>
      <w:proofErr w:type="gramEnd"/>
      <w:r w:rsidRPr="00FE6B66">
        <w:rPr>
          <w:rFonts w:ascii="Garamond" w:hAnsi="Garamond"/>
        </w:rPr>
        <w:t xml:space="preserve"> incólumes à eiva de inconstitucionalidade formal, o </w:t>
      </w:r>
      <w:r w:rsidRPr="00FE6B66">
        <w:rPr>
          <w:rFonts w:ascii="Garamond" w:hAnsi="Garamond"/>
          <w:b/>
          <w:bCs/>
        </w:rPr>
        <w:t>caput</w:t>
      </w:r>
      <w:r w:rsidRPr="00FE6B66">
        <w:rPr>
          <w:rFonts w:ascii="Garamond" w:hAnsi="Garamond"/>
        </w:rPr>
        <w:t xml:space="preserve"> do art. 12 e seus §§ 2º e 3º, da lei referida.</w:t>
      </w:r>
    </w:p>
    <w:p w:rsidR="00FE6B66" w:rsidRPr="00FE6B66" w:rsidRDefault="00AC1A86" w:rsidP="00FE6B66">
      <w:pPr>
        <w:pStyle w:val="western"/>
        <w:spacing w:after="0" w:line="480" w:lineRule="auto"/>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sidR="00FE6B66" w:rsidRPr="00FE6B66">
        <w:rPr>
          <w:rFonts w:ascii="Garamond" w:hAnsi="Garamond"/>
        </w:rPr>
        <w:t xml:space="preserve">Dispõem o </w:t>
      </w:r>
      <w:r w:rsidR="00FE6B66" w:rsidRPr="00FE6B66">
        <w:rPr>
          <w:rFonts w:ascii="Garamond" w:hAnsi="Garamond"/>
          <w:b/>
          <w:bCs/>
        </w:rPr>
        <w:t>caput</w:t>
      </w:r>
      <w:r w:rsidR="00FE6B66" w:rsidRPr="00FE6B66">
        <w:rPr>
          <w:rFonts w:ascii="Garamond" w:hAnsi="Garamond"/>
        </w:rPr>
        <w:t xml:space="preserve"> e o § 3º - f. 3 e 5:</w:t>
      </w:r>
    </w:p>
    <w:p w:rsidR="00FE6B66" w:rsidRPr="00FE6B66" w:rsidRDefault="001C1711" w:rsidP="00AC1A86">
      <w:pPr>
        <w:pStyle w:val="western"/>
        <w:spacing w:after="0"/>
        <w:ind w:left="2832" w:firstLine="2"/>
        <w:jc w:val="both"/>
        <w:rPr>
          <w:rFonts w:ascii="Garamond" w:hAnsi="Garamond"/>
        </w:rPr>
      </w:pPr>
      <w:r>
        <w:rPr>
          <w:rFonts w:ascii="Garamond" w:hAnsi="Garamond"/>
        </w:rPr>
        <w:t>‘</w:t>
      </w:r>
      <w:r w:rsidR="00FE6B66" w:rsidRPr="00FE6B66">
        <w:rPr>
          <w:rFonts w:ascii="Garamond" w:hAnsi="Garamond"/>
        </w:rPr>
        <w:t xml:space="preserve">Art. 12 - Para os efeitos do disposto no Art. 150, </w:t>
      </w:r>
      <w:proofErr w:type="gramStart"/>
      <w:r w:rsidR="00FE6B66" w:rsidRPr="00FE6B66">
        <w:rPr>
          <w:rFonts w:ascii="Garamond" w:hAnsi="Garamond"/>
        </w:rPr>
        <w:t>VI,</w:t>
      </w:r>
      <w:proofErr w:type="gramEnd"/>
      <w:r w:rsidR="00FE6B66" w:rsidRPr="00FE6B66">
        <w:rPr>
          <w:rFonts w:ascii="Garamond" w:hAnsi="Garamond"/>
        </w:rPr>
        <w:t xml:space="preserve"> alínea “c”, da Constituição, considera-se imune a instituição de educação ou de assistência social que preste os serviços para os quais houver sido instituída e os coloque à disposição da população em geral, em caráter complementar às atividades do Estado, sem fins lucrativos.</w:t>
      </w:r>
    </w:p>
    <w:p w:rsidR="00FE6B66" w:rsidRPr="00FE6B66" w:rsidRDefault="00AC1A86" w:rsidP="00FE6B66">
      <w:pPr>
        <w:pStyle w:val="western"/>
        <w:spacing w:after="0"/>
        <w:ind w:left="1559"/>
        <w:jc w:val="both"/>
        <w:rPr>
          <w:rFonts w:ascii="Garamond" w:hAnsi="Garamond"/>
        </w:rPr>
      </w:pPr>
      <w:r>
        <w:rPr>
          <w:rFonts w:ascii="Garamond" w:hAnsi="Garamond"/>
        </w:rPr>
        <w:tab/>
      </w:r>
      <w:r>
        <w:rPr>
          <w:rFonts w:ascii="Garamond" w:hAnsi="Garamond"/>
        </w:rPr>
        <w:tab/>
      </w:r>
      <w:r w:rsidR="00FE6B66" w:rsidRPr="00FE6B66">
        <w:rPr>
          <w:rFonts w:ascii="Garamond" w:hAnsi="Garamond"/>
        </w:rPr>
        <w:t>(...)</w:t>
      </w:r>
    </w:p>
    <w:p w:rsidR="00FE6B66" w:rsidRPr="00FE6B66" w:rsidRDefault="00FE6B66" w:rsidP="00AC1A86">
      <w:pPr>
        <w:pStyle w:val="western"/>
        <w:spacing w:after="0"/>
        <w:ind w:left="2832"/>
        <w:jc w:val="both"/>
        <w:rPr>
          <w:rFonts w:ascii="Garamond" w:hAnsi="Garamond"/>
        </w:rPr>
      </w:pPr>
      <w:r w:rsidRPr="00FE6B66">
        <w:rPr>
          <w:rFonts w:ascii="Garamond" w:hAnsi="Garamond"/>
        </w:rPr>
        <w:t xml:space="preserve">§ 3º - Considera-se entidade sem fins lucrativos a que não apresente superávit em suas contas, ou caso os apresente em determinado exercício, destine referido resultado integralmente ao incremento de seu ativo </w:t>
      </w:r>
      <w:proofErr w:type="gramStart"/>
      <w:r w:rsidRPr="00FE6B66">
        <w:rPr>
          <w:rFonts w:ascii="Garamond" w:hAnsi="Garamond"/>
        </w:rPr>
        <w:t>imobilizado.</w:t>
      </w:r>
      <w:proofErr w:type="gramEnd"/>
      <w:r w:rsidR="001C1711">
        <w:rPr>
          <w:rFonts w:ascii="Garamond" w:hAnsi="Garamond"/>
        </w:rPr>
        <w:t>’</w:t>
      </w:r>
    </w:p>
    <w:p w:rsidR="00FE6B66" w:rsidRPr="00FE6B66" w:rsidRDefault="00FE6B66" w:rsidP="00AC1A86">
      <w:pPr>
        <w:pStyle w:val="western"/>
        <w:spacing w:after="0"/>
        <w:ind w:left="2124" w:firstLine="710"/>
        <w:jc w:val="both"/>
        <w:rPr>
          <w:rFonts w:ascii="Garamond" w:hAnsi="Garamond"/>
        </w:rPr>
      </w:pPr>
      <w:proofErr w:type="gramStart"/>
      <w:r w:rsidRPr="00FE6B66">
        <w:rPr>
          <w:rFonts w:ascii="Garamond" w:hAnsi="Garamond"/>
        </w:rPr>
        <w:t>Tratou-se de definir os caracteres específicos da instituição de educação ou de assistência social sem fins lucrativos, requisito subjetivo da imunidade, matéria de lei ordinária, conforme a linha de demarcação em princípio ditada</w:t>
      </w:r>
      <w:r>
        <w:rPr>
          <w:rFonts w:ascii="Garamond" w:hAnsi="Garamond"/>
        </w:rPr>
        <w:t>”</w:t>
      </w:r>
      <w:proofErr w:type="gramEnd"/>
      <w:r w:rsidRPr="00FE6B66">
        <w:rPr>
          <w:rFonts w:ascii="Garamond" w:hAnsi="Garamond"/>
        </w:rPr>
        <w:t>.</w:t>
      </w:r>
    </w:p>
    <w:p w:rsidR="00FE6B66" w:rsidRDefault="00FE6B66" w:rsidP="004D7F02">
      <w:pPr>
        <w:spacing w:before="240" w:line="360" w:lineRule="auto"/>
        <w:jc w:val="both"/>
        <w:rPr>
          <w:rFonts w:ascii="Garamond" w:hAnsi="Garamond" w:cs="Courier New"/>
          <w:sz w:val="28"/>
          <w:szCs w:val="28"/>
        </w:rPr>
      </w:pPr>
    </w:p>
    <w:p w:rsidR="00156339" w:rsidRDefault="00AC1A86" w:rsidP="004D7F02">
      <w:pPr>
        <w:spacing w:before="240" w:line="360" w:lineRule="auto"/>
        <w:jc w:val="both"/>
        <w:rPr>
          <w:rFonts w:ascii="Garamond" w:hAnsi="Garamond" w:cs="Courier New"/>
          <w:sz w:val="28"/>
          <w:szCs w:val="28"/>
        </w:rPr>
      </w:pPr>
      <w:r>
        <w:rPr>
          <w:rFonts w:ascii="Garamond" w:hAnsi="Garamond" w:cs="Courier New"/>
          <w:sz w:val="28"/>
          <w:szCs w:val="28"/>
        </w:rPr>
        <w:lastRenderedPageBreak/>
        <w:tab/>
      </w:r>
      <w:r>
        <w:rPr>
          <w:rFonts w:ascii="Garamond" w:hAnsi="Garamond" w:cs="Courier New"/>
          <w:sz w:val="28"/>
          <w:szCs w:val="28"/>
        </w:rPr>
        <w:tab/>
        <w:t xml:space="preserve">Esse entendimento esposado pelo Min. Sepúlveda Pertence parece bem compatibilizar a utilização das leis complementar e ordinária no tocante </w:t>
      </w:r>
      <w:r w:rsidR="001C1711">
        <w:rPr>
          <w:rFonts w:ascii="Garamond" w:hAnsi="Garamond" w:cs="Courier New"/>
          <w:sz w:val="28"/>
          <w:szCs w:val="28"/>
        </w:rPr>
        <w:t>à</w:t>
      </w:r>
      <w:r>
        <w:rPr>
          <w:rFonts w:ascii="Garamond" w:hAnsi="Garamond" w:cs="Courier New"/>
          <w:sz w:val="28"/>
          <w:szCs w:val="28"/>
        </w:rPr>
        <w:t xml:space="preserve"> regulamentação</w:t>
      </w:r>
      <w:r w:rsidR="00C02820">
        <w:rPr>
          <w:rFonts w:ascii="Garamond" w:hAnsi="Garamond" w:cs="Courier New"/>
          <w:sz w:val="28"/>
          <w:szCs w:val="28"/>
        </w:rPr>
        <w:t>, respectivamente,</w:t>
      </w:r>
      <w:r>
        <w:rPr>
          <w:rFonts w:ascii="Garamond" w:hAnsi="Garamond" w:cs="Courier New"/>
          <w:sz w:val="28"/>
          <w:szCs w:val="28"/>
        </w:rPr>
        <w:t xml:space="preserve"> das imunidades tributárias e das entidades que dela devem fruir</w:t>
      </w:r>
      <w:r w:rsidR="00C02820">
        <w:rPr>
          <w:rFonts w:ascii="Garamond" w:hAnsi="Garamond" w:cs="Courier New"/>
          <w:sz w:val="28"/>
          <w:szCs w:val="28"/>
        </w:rPr>
        <w:t>.</w:t>
      </w:r>
    </w:p>
    <w:p w:rsidR="006210AA" w:rsidRDefault="00AC1A86" w:rsidP="004D7F02">
      <w:pPr>
        <w:spacing w:before="240" w:line="360" w:lineRule="auto"/>
        <w:jc w:val="both"/>
        <w:rPr>
          <w:rFonts w:ascii="Garamond" w:hAnsi="Garamond" w:cs="Courier New"/>
          <w:sz w:val="28"/>
          <w:szCs w:val="28"/>
        </w:rPr>
      </w:pPr>
      <w:r>
        <w:rPr>
          <w:rFonts w:ascii="Garamond" w:hAnsi="Garamond" w:cs="Courier New"/>
          <w:sz w:val="28"/>
          <w:szCs w:val="28"/>
        </w:rPr>
        <w:tab/>
      </w:r>
      <w:r>
        <w:rPr>
          <w:rFonts w:ascii="Garamond" w:hAnsi="Garamond" w:cs="Courier New"/>
          <w:sz w:val="28"/>
          <w:szCs w:val="28"/>
        </w:rPr>
        <w:tab/>
        <w:t xml:space="preserve">Ademais, no julgamento da </w:t>
      </w:r>
      <w:r w:rsidR="00207A0E">
        <w:rPr>
          <w:rFonts w:ascii="Garamond" w:hAnsi="Garamond" w:cs="Courier New"/>
          <w:sz w:val="28"/>
          <w:szCs w:val="28"/>
        </w:rPr>
        <w:t>ADI-MC 2.545, Rel. Min. Ellen Gracie, Plenário, DJ 7.2.2003</w:t>
      </w:r>
      <w:r>
        <w:rPr>
          <w:rFonts w:ascii="Garamond" w:hAnsi="Garamond" w:cs="Courier New"/>
          <w:sz w:val="28"/>
          <w:szCs w:val="28"/>
        </w:rPr>
        <w:t>, o Supremo Tribunal Federal adotou entendimento em tudo compatível com o relatado. Na ocasião, o Min. Nelson Jobim esclareceu</w:t>
      </w:r>
      <w:r w:rsidR="003F70F2">
        <w:rPr>
          <w:rFonts w:ascii="Garamond" w:hAnsi="Garamond" w:cs="Courier New"/>
          <w:sz w:val="28"/>
          <w:szCs w:val="28"/>
        </w:rPr>
        <w:t xml:space="preserve"> e simplificou o</w:t>
      </w:r>
      <w:r>
        <w:rPr>
          <w:rFonts w:ascii="Garamond" w:hAnsi="Garamond" w:cs="Courier New"/>
          <w:sz w:val="28"/>
          <w:szCs w:val="28"/>
        </w:rPr>
        <w:t xml:space="preserve"> tema</w:t>
      </w:r>
      <w:r w:rsidR="003F70F2">
        <w:rPr>
          <w:rFonts w:ascii="Garamond" w:hAnsi="Garamond" w:cs="Courier New"/>
          <w:sz w:val="28"/>
          <w:szCs w:val="28"/>
        </w:rPr>
        <w:t>, na parte que interessa ao julgamento de que ora nos ocupamos,</w:t>
      </w:r>
      <w:r>
        <w:rPr>
          <w:rFonts w:ascii="Garamond" w:hAnsi="Garamond" w:cs="Courier New"/>
          <w:sz w:val="28"/>
          <w:szCs w:val="28"/>
        </w:rPr>
        <w:t xml:space="preserve"> ao afirmar</w:t>
      </w:r>
      <w:r w:rsidR="001C1711">
        <w:rPr>
          <w:rFonts w:ascii="Garamond" w:hAnsi="Garamond" w:cs="Courier New"/>
          <w:sz w:val="28"/>
          <w:szCs w:val="28"/>
        </w:rPr>
        <w:t xml:space="preserve"> o seguinte</w:t>
      </w:r>
      <w:r>
        <w:rPr>
          <w:rFonts w:ascii="Garamond" w:hAnsi="Garamond" w:cs="Courier New"/>
          <w:sz w:val="28"/>
          <w:szCs w:val="28"/>
        </w:rPr>
        <w:t>:</w:t>
      </w:r>
    </w:p>
    <w:p w:rsidR="00AC1A86" w:rsidRPr="00AC1A86" w:rsidRDefault="001C1711" w:rsidP="00AC1A86">
      <w:pPr>
        <w:pStyle w:val="western"/>
        <w:spacing w:after="0"/>
        <w:ind w:left="2124" w:firstLine="711"/>
        <w:jc w:val="both"/>
        <w:rPr>
          <w:rFonts w:ascii="Garamond" w:hAnsi="Garamond"/>
        </w:rPr>
      </w:pPr>
      <w:r>
        <w:rPr>
          <w:rFonts w:ascii="Garamond" w:hAnsi="Garamond"/>
        </w:rPr>
        <w:t>“</w:t>
      </w:r>
      <w:proofErr w:type="gramStart"/>
      <w:r w:rsidR="00AC1A86" w:rsidRPr="00AC1A86">
        <w:rPr>
          <w:rFonts w:ascii="Garamond" w:hAnsi="Garamond"/>
        </w:rPr>
        <w:t>Sr.</w:t>
      </w:r>
      <w:proofErr w:type="gramEnd"/>
      <w:r w:rsidR="00AC1A86" w:rsidRPr="00AC1A86">
        <w:rPr>
          <w:rFonts w:ascii="Garamond" w:hAnsi="Garamond"/>
        </w:rPr>
        <w:t xml:space="preserve"> Presidente, não tenho dúvida em acompanhar a eminente Ministra-Relatora, apenas faço a seguinte observação: no art. 55 da Lei </w:t>
      </w:r>
      <w:r w:rsidR="00C86AAB">
        <w:rPr>
          <w:rFonts w:ascii="Garamond" w:hAnsi="Garamond"/>
        </w:rPr>
        <w:t>n.º</w:t>
      </w:r>
      <w:r w:rsidR="00AC1A86" w:rsidRPr="00AC1A86">
        <w:rPr>
          <w:rFonts w:ascii="Garamond" w:hAnsi="Garamond"/>
        </w:rPr>
        <w:t xml:space="preserve"> 8.212/91, que estabelece as regras para a isenção - que devem ser cumpridas -, há um dispositivo importante que, além de estabelecer que seja reconhecida como de utilidade pública federal; portadora do Registro; promova, gratuitamente, no caso, mais para assistência e não para a educação; de os diretores não perceberem a remuneração, também aduz:</w:t>
      </w:r>
    </w:p>
    <w:p w:rsidR="00AC1A86" w:rsidRPr="00AC1A86" w:rsidRDefault="00AC1A86" w:rsidP="00AC1A86">
      <w:pPr>
        <w:pStyle w:val="western"/>
        <w:spacing w:after="0"/>
        <w:ind w:left="2126" w:firstLine="1134"/>
        <w:jc w:val="both"/>
        <w:rPr>
          <w:rFonts w:ascii="Garamond" w:hAnsi="Garamond"/>
        </w:rPr>
      </w:pPr>
    </w:p>
    <w:p w:rsidR="00AC1A86" w:rsidRPr="00AC1A86" w:rsidRDefault="001C1711" w:rsidP="00AC1A86">
      <w:pPr>
        <w:pStyle w:val="western"/>
        <w:spacing w:after="0"/>
        <w:ind w:left="2126" w:firstLine="142"/>
        <w:jc w:val="both"/>
        <w:rPr>
          <w:rFonts w:ascii="Garamond" w:hAnsi="Garamond"/>
        </w:rPr>
      </w:pPr>
      <w:r>
        <w:rPr>
          <w:rFonts w:ascii="Garamond" w:hAnsi="Garamond"/>
          <w:i/>
          <w:iCs/>
        </w:rPr>
        <w:t>‘</w:t>
      </w:r>
      <w:r w:rsidR="00AC1A86" w:rsidRPr="00AC1A86">
        <w:rPr>
          <w:rFonts w:ascii="Garamond" w:hAnsi="Garamond"/>
          <w:i/>
          <w:iCs/>
        </w:rPr>
        <w:t>Art. 55.</w:t>
      </w:r>
    </w:p>
    <w:p w:rsidR="00AC1A86" w:rsidRPr="00AC1A86" w:rsidRDefault="00AC1A86" w:rsidP="00AC1A86">
      <w:pPr>
        <w:pStyle w:val="western"/>
        <w:spacing w:after="0"/>
        <w:ind w:left="2126" w:firstLine="142"/>
        <w:jc w:val="both"/>
        <w:rPr>
          <w:rFonts w:ascii="Garamond" w:hAnsi="Garamond"/>
        </w:rPr>
      </w:pPr>
      <w:r w:rsidRPr="00AC1A86">
        <w:rPr>
          <w:rFonts w:ascii="Garamond" w:hAnsi="Garamond"/>
          <w:i/>
          <w:iCs/>
        </w:rPr>
        <w:t>..............................................</w:t>
      </w:r>
    </w:p>
    <w:p w:rsidR="00AC1A86" w:rsidRPr="00AC1A86" w:rsidRDefault="00AC1A86" w:rsidP="004169D2">
      <w:pPr>
        <w:pStyle w:val="western"/>
        <w:spacing w:after="0"/>
        <w:ind w:left="2124" w:firstLine="145"/>
        <w:jc w:val="both"/>
        <w:rPr>
          <w:rFonts w:ascii="Garamond" w:hAnsi="Garamond"/>
        </w:rPr>
      </w:pPr>
      <w:r w:rsidRPr="00AC1A86">
        <w:rPr>
          <w:rFonts w:ascii="Garamond" w:hAnsi="Garamond"/>
          <w:i/>
          <w:iCs/>
        </w:rPr>
        <w:t xml:space="preserve">V - aplique integralmente o eventual resultado operacional na manutenção e desenvolvimento de seus objetivos institucionais apresentando, anualmente ao órgão do INSS competente, relatório circunstanciado de suas </w:t>
      </w:r>
      <w:proofErr w:type="gramStart"/>
      <w:r w:rsidRPr="00AC1A86">
        <w:rPr>
          <w:rFonts w:ascii="Garamond" w:hAnsi="Garamond"/>
          <w:i/>
          <w:iCs/>
        </w:rPr>
        <w:t>atividades.</w:t>
      </w:r>
      <w:proofErr w:type="gramEnd"/>
      <w:r w:rsidR="001C1711">
        <w:rPr>
          <w:rFonts w:ascii="Garamond" w:hAnsi="Garamond"/>
          <w:i/>
          <w:iCs/>
        </w:rPr>
        <w:t>’</w:t>
      </w:r>
    </w:p>
    <w:p w:rsidR="00AC1A86" w:rsidRPr="00AC1A86" w:rsidRDefault="00AC1A86" w:rsidP="00AC1A86">
      <w:pPr>
        <w:pStyle w:val="western"/>
        <w:spacing w:after="0"/>
        <w:ind w:left="2126" w:firstLine="1134"/>
        <w:jc w:val="both"/>
        <w:rPr>
          <w:rFonts w:ascii="Garamond" w:hAnsi="Garamond"/>
        </w:rPr>
      </w:pPr>
    </w:p>
    <w:p w:rsidR="00AC1A86" w:rsidRPr="00AC1A86" w:rsidRDefault="00AC1A86" w:rsidP="004169D2">
      <w:pPr>
        <w:pStyle w:val="western"/>
        <w:spacing w:before="0" w:beforeAutospacing="0" w:after="0"/>
        <w:ind w:left="2126" w:firstLine="708"/>
        <w:jc w:val="both"/>
        <w:rPr>
          <w:rFonts w:ascii="Garamond" w:hAnsi="Garamond"/>
        </w:rPr>
      </w:pPr>
      <w:r w:rsidRPr="00AC1A86">
        <w:rPr>
          <w:rFonts w:ascii="Garamond" w:hAnsi="Garamond"/>
        </w:rPr>
        <w:t>A entidade, para gozar da isenção da contribuição patronal para o INSS, além de ter aqueles requisitos formais, precisa aplicar o resultado operacional do ano na manutenção e desenvolvimento de seus objetivos institucionais. Não vejo dificuldade em se exigir, na aplicação integral dos resultados operacionais, que seja aplicado um percentual na concessão de bolsas de estudo, porque aí seria o percentual operacional.</w:t>
      </w:r>
    </w:p>
    <w:p w:rsidR="00AC1A86" w:rsidRPr="00AC1A86" w:rsidRDefault="00AC1A86" w:rsidP="004169D2">
      <w:pPr>
        <w:pStyle w:val="western"/>
        <w:spacing w:before="0" w:beforeAutospacing="0" w:after="0"/>
        <w:ind w:left="2124" w:firstLine="710"/>
        <w:jc w:val="both"/>
        <w:rPr>
          <w:rFonts w:ascii="Garamond" w:hAnsi="Garamond"/>
        </w:rPr>
      </w:pPr>
      <w:r w:rsidRPr="00AC1A86">
        <w:rPr>
          <w:rFonts w:ascii="Garamond" w:hAnsi="Garamond"/>
        </w:rPr>
        <w:t xml:space="preserve">O que vem acontecendo é que essas entidades – conhecemos muito bem, houve visita a várias universidades em que há uma imensidão de obras realizadas - têm um resultado operacional e, em vez de investirem esses resultados em alunos, investem no patrimônio imobilizado, ou seja, criam enormes universidades e investem nisso. </w:t>
      </w:r>
    </w:p>
    <w:p w:rsidR="00AC1A86" w:rsidRPr="00AC1A86" w:rsidRDefault="00AC1A86" w:rsidP="004169D2">
      <w:pPr>
        <w:pStyle w:val="western"/>
        <w:spacing w:before="0" w:beforeAutospacing="0" w:after="0"/>
        <w:ind w:left="2124" w:firstLine="710"/>
        <w:jc w:val="both"/>
        <w:rPr>
          <w:rFonts w:ascii="Garamond" w:hAnsi="Garamond"/>
        </w:rPr>
      </w:pPr>
      <w:r w:rsidRPr="00AC1A86">
        <w:rPr>
          <w:rFonts w:ascii="Garamond" w:hAnsi="Garamond"/>
        </w:rPr>
        <w:lastRenderedPageBreak/>
        <w:t xml:space="preserve">Equivocadamente, V.Exa. </w:t>
      </w:r>
      <w:proofErr w:type="gramStart"/>
      <w:r w:rsidRPr="00AC1A86">
        <w:rPr>
          <w:rFonts w:ascii="Garamond" w:hAnsi="Garamond"/>
        </w:rPr>
        <w:t>tem</w:t>
      </w:r>
      <w:proofErr w:type="gramEnd"/>
      <w:r w:rsidRPr="00AC1A86">
        <w:rPr>
          <w:rFonts w:ascii="Garamond" w:hAnsi="Garamond"/>
        </w:rPr>
        <w:t xml:space="preserve"> razão, pela fórmula, essa foi a emenda, ao que me recordo, do Deputado Oswaldo </w:t>
      </w:r>
      <w:proofErr w:type="spellStart"/>
      <w:r w:rsidRPr="00AC1A86">
        <w:rPr>
          <w:rFonts w:ascii="Garamond" w:hAnsi="Garamond"/>
        </w:rPr>
        <w:t>Biolchi</w:t>
      </w:r>
      <w:proofErr w:type="spellEnd"/>
      <w:r w:rsidRPr="00AC1A86">
        <w:rPr>
          <w:rFonts w:ascii="Garamond" w:hAnsi="Garamond"/>
        </w:rPr>
        <w:t xml:space="preserve">, Relator do Projeto de Lei de Conversão, essa lei tentou fazer com que se deslocasse a aplicação desses resultados para as bolsas de estudo. A solução encontrada por ele foi, em vez de se recolher para o INSS, que se aplicasse diretamente às bolsas de estudo. Isso foi o que a lei visou. </w:t>
      </w:r>
    </w:p>
    <w:p w:rsidR="00EC0D3A" w:rsidRDefault="00AC1A86" w:rsidP="004169D2">
      <w:pPr>
        <w:pStyle w:val="western"/>
        <w:spacing w:before="0" w:beforeAutospacing="0" w:after="0"/>
        <w:ind w:left="2124" w:firstLine="707"/>
        <w:jc w:val="both"/>
        <w:rPr>
          <w:rFonts w:ascii="Garamond" w:hAnsi="Garamond"/>
        </w:rPr>
      </w:pPr>
      <w:r w:rsidRPr="00AC1A86">
        <w:rPr>
          <w:rFonts w:ascii="Garamond" w:hAnsi="Garamond"/>
        </w:rPr>
        <w:t>De acordo com o voto da Ministra-Relatora, essa solução é problemática, porque retira, desaparece a isenção existente; não há isenção, há um redirecionamento do resultado que deveria ser recolhido ao Tesouro. Isso está certo.</w:t>
      </w:r>
    </w:p>
    <w:p w:rsidR="00EC0D3A" w:rsidRDefault="00EC0D3A" w:rsidP="004169D2">
      <w:pPr>
        <w:pStyle w:val="western"/>
        <w:spacing w:before="0" w:beforeAutospacing="0" w:after="0"/>
        <w:ind w:left="2124" w:firstLine="710"/>
        <w:jc w:val="both"/>
      </w:pPr>
      <w:r>
        <w:t>Deixo claro, em meu voto, que a posição: “</w:t>
      </w:r>
      <w:r>
        <w:rPr>
          <w:i/>
          <w:iCs/>
        </w:rPr>
        <w:t>declarando a inconstitucionalidade da lei</w:t>
      </w:r>
      <w:r>
        <w:t xml:space="preserve">” </w:t>
      </w:r>
      <w:r w:rsidRPr="00EC0D3A">
        <w:rPr>
          <w:b/>
        </w:rPr>
        <w:t xml:space="preserve">não veda nem impede que seja feita uma alteração no art. 55, para se estabelecer que o resultado operacional tenha um percentual aplicado em bolsa. Podem dizer que, do resultado operacional, parte dele corresponde à isenção. Então, ter-se-ia o discurso de que </w:t>
      </w:r>
      <w:proofErr w:type="spellStart"/>
      <w:r w:rsidRPr="00EC0D3A">
        <w:rPr>
          <w:b/>
        </w:rPr>
        <w:t>cinqüenta</w:t>
      </w:r>
      <w:proofErr w:type="spellEnd"/>
      <w:r w:rsidRPr="00EC0D3A">
        <w:rPr>
          <w:b/>
        </w:rPr>
        <w:t xml:space="preserve"> por cento do resultado operacional corresponderia </w:t>
      </w:r>
      <w:proofErr w:type="gramStart"/>
      <w:r w:rsidRPr="00EC0D3A">
        <w:rPr>
          <w:b/>
        </w:rPr>
        <w:t>à</w:t>
      </w:r>
      <w:proofErr w:type="gramEnd"/>
      <w:r w:rsidRPr="00EC0D3A">
        <w:rPr>
          <w:b/>
        </w:rPr>
        <w:t xml:space="preserve"> não-contribuição ao INSS, à isenção, ou se diria: não, não se pode investi-lo</w:t>
      </w:r>
      <w:r>
        <w:t>.</w:t>
      </w:r>
    </w:p>
    <w:p w:rsidR="00EC0D3A" w:rsidRDefault="00EC0D3A" w:rsidP="004169D2">
      <w:pPr>
        <w:pStyle w:val="western"/>
        <w:spacing w:before="0" w:beforeAutospacing="0" w:after="0"/>
        <w:ind w:left="2124" w:firstLine="707"/>
        <w:jc w:val="both"/>
      </w:pPr>
      <w:r w:rsidRPr="00EC0D3A">
        <w:rPr>
          <w:b/>
        </w:rPr>
        <w:t xml:space="preserve">Quero mostrar que não há impedimento para que a lei estabeleça que o resultado operacional seja investido em bolsas, porque, do resultado operacional que hoje é investido em proveito próprio da entidade para crescer o número de resultados </w:t>
      </w:r>
      <w:proofErr w:type="gramStart"/>
      <w:r w:rsidRPr="00EC0D3A">
        <w:rPr>
          <w:b/>
        </w:rPr>
        <w:t>não-gratuitos</w:t>
      </w:r>
      <w:proofErr w:type="gramEnd"/>
      <w:r w:rsidRPr="00EC0D3A">
        <w:rPr>
          <w:b/>
        </w:rPr>
        <w:t>, ou seja, de cobrança de matrícula e de mensalidade, pode-se investir em bolsas de estudos a carentes</w:t>
      </w:r>
      <w:r>
        <w:t>”. (grifei)</w:t>
      </w:r>
    </w:p>
    <w:p w:rsidR="00AC1A86" w:rsidRDefault="00AC1A86" w:rsidP="00AC1A86">
      <w:pPr>
        <w:pStyle w:val="western"/>
        <w:spacing w:after="0" w:line="480" w:lineRule="auto"/>
        <w:ind w:left="2124" w:firstLine="707"/>
        <w:jc w:val="both"/>
        <w:rPr>
          <w:rFonts w:ascii="Garamond" w:hAnsi="Garamond"/>
        </w:rPr>
      </w:pPr>
      <w:r w:rsidRPr="00AC1A86">
        <w:rPr>
          <w:rFonts w:ascii="Garamond" w:hAnsi="Garamond"/>
        </w:rPr>
        <w:t xml:space="preserve"> </w:t>
      </w:r>
    </w:p>
    <w:p w:rsidR="00D165F9" w:rsidRDefault="00AC1A86" w:rsidP="004169D2">
      <w:pPr>
        <w:pStyle w:val="western"/>
        <w:spacing w:before="0" w:beforeAutospacing="0" w:after="0" w:line="360" w:lineRule="auto"/>
        <w:jc w:val="both"/>
        <w:rPr>
          <w:rFonts w:ascii="Garamond" w:hAnsi="Garamond"/>
          <w:sz w:val="28"/>
          <w:szCs w:val="28"/>
        </w:rPr>
      </w:pPr>
      <w:r>
        <w:rPr>
          <w:rFonts w:ascii="Garamond" w:hAnsi="Garamond"/>
        </w:rPr>
        <w:tab/>
      </w:r>
      <w:r w:rsidRPr="00AC1A86">
        <w:rPr>
          <w:rFonts w:ascii="Garamond" w:hAnsi="Garamond"/>
          <w:sz w:val="28"/>
          <w:szCs w:val="28"/>
        </w:rPr>
        <w:tab/>
        <w:t>As colocações do Min. Jobim efetivamente inspiraram o legislador que criou o PROUNI</w:t>
      </w:r>
      <w:r>
        <w:rPr>
          <w:rFonts w:ascii="Garamond" w:hAnsi="Garamond"/>
          <w:sz w:val="28"/>
          <w:szCs w:val="28"/>
        </w:rPr>
        <w:t>, pois os dispositivos atacados, de fato, fazem remissões constantes ao art. 55, da Lei 8.212</w:t>
      </w:r>
      <w:r w:rsidR="00CE079D">
        <w:rPr>
          <w:rFonts w:ascii="Garamond" w:hAnsi="Garamond"/>
          <w:sz w:val="28"/>
          <w:szCs w:val="28"/>
        </w:rPr>
        <w:t>/91 e, bem examinados, demonstram que o propósito da referida norma foi justamente fazer com que as entidades beneficentes de assistência social</w:t>
      </w:r>
      <w:r w:rsidR="003F70F2">
        <w:rPr>
          <w:rFonts w:ascii="Garamond" w:hAnsi="Garamond"/>
          <w:sz w:val="28"/>
          <w:szCs w:val="28"/>
        </w:rPr>
        <w:t>,</w:t>
      </w:r>
      <w:r w:rsidR="00CE079D">
        <w:rPr>
          <w:rFonts w:ascii="Garamond" w:hAnsi="Garamond"/>
          <w:sz w:val="28"/>
          <w:szCs w:val="28"/>
        </w:rPr>
        <w:t xml:space="preserve"> agraciadas pela “isenção” legal</w:t>
      </w:r>
      <w:r w:rsidR="003F70F2">
        <w:rPr>
          <w:rFonts w:ascii="Garamond" w:hAnsi="Garamond"/>
          <w:sz w:val="28"/>
          <w:szCs w:val="28"/>
        </w:rPr>
        <w:t>,</w:t>
      </w:r>
      <w:r w:rsidR="00CE079D">
        <w:rPr>
          <w:rFonts w:ascii="Garamond" w:hAnsi="Garamond"/>
          <w:sz w:val="28"/>
          <w:szCs w:val="28"/>
        </w:rPr>
        <w:t xml:space="preserve"> sejam obrigadas a aplicar o resultado operacional na manutenção e </w:t>
      </w:r>
      <w:r w:rsidR="00132250">
        <w:rPr>
          <w:rFonts w:ascii="Garamond" w:hAnsi="Garamond"/>
          <w:sz w:val="28"/>
          <w:szCs w:val="28"/>
        </w:rPr>
        <w:t xml:space="preserve">no </w:t>
      </w:r>
      <w:r w:rsidR="00CE079D">
        <w:rPr>
          <w:rFonts w:ascii="Garamond" w:hAnsi="Garamond"/>
          <w:sz w:val="28"/>
          <w:szCs w:val="28"/>
        </w:rPr>
        <w:t>desenvolvimento de seus objetivos institucionais</w:t>
      </w:r>
      <w:r w:rsidR="003F70F2">
        <w:rPr>
          <w:rFonts w:ascii="Garamond" w:hAnsi="Garamond"/>
          <w:sz w:val="28"/>
          <w:szCs w:val="28"/>
        </w:rPr>
        <w:t xml:space="preserve">, o que, no caso em apreço, tomado em conjunto com a </w:t>
      </w:r>
      <w:r w:rsidR="00CE079D">
        <w:rPr>
          <w:rFonts w:ascii="Garamond" w:hAnsi="Garamond"/>
          <w:sz w:val="28"/>
          <w:szCs w:val="28"/>
        </w:rPr>
        <w:t xml:space="preserve">intenção governamental de ampliar o acesso ao </w:t>
      </w:r>
      <w:r w:rsidR="00C86AAB">
        <w:rPr>
          <w:rFonts w:ascii="Garamond" w:hAnsi="Garamond"/>
          <w:sz w:val="28"/>
          <w:szCs w:val="28"/>
        </w:rPr>
        <w:t>Ensino Superior</w:t>
      </w:r>
      <w:r w:rsidR="00CE079D">
        <w:rPr>
          <w:rFonts w:ascii="Garamond" w:hAnsi="Garamond"/>
          <w:sz w:val="28"/>
          <w:szCs w:val="28"/>
        </w:rPr>
        <w:t xml:space="preserve">, </w:t>
      </w:r>
      <w:r w:rsidR="003F70F2">
        <w:rPr>
          <w:rFonts w:ascii="Garamond" w:hAnsi="Garamond"/>
          <w:sz w:val="28"/>
          <w:szCs w:val="28"/>
        </w:rPr>
        <w:t>significa que este</w:t>
      </w:r>
      <w:r w:rsidR="00CE079D">
        <w:rPr>
          <w:rFonts w:ascii="Garamond" w:hAnsi="Garamond"/>
          <w:sz w:val="28"/>
          <w:szCs w:val="28"/>
        </w:rPr>
        <w:t xml:space="preserve"> resultado operacional deverá ser aplicado na concessão de bolsas de estudos.</w:t>
      </w:r>
    </w:p>
    <w:p w:rsidR="00AC1A86" w:rsidRDefault="00D165F9" w:rsidP="004169D2">
      <w:pPr>
        <w:pStyle w:val="western"/>
        <w:spacing w:before="0" w:beforeAutospacing="0" w:after="0" w:line="360" w:lineRule="auto"/>
        <w:jc w:val="both"/>
        <w:rPr>
          <w:rFonts w:ascii="Garamond" w:hAnsi="Garamond"/>
          <w:sz w:val="28"/>
          <w:szCs w:val="28"/>
        </w:rPr>
      </w:pPr>
      <w:r>
        <w:rPr>
          <w:rFonts w:ascii="Garamond" w:hAnsi="Garamond"/>
          <w:sz w:val="28"/>
          <w:szCs w:val="28"/>
        </w:rPr>
        <w:tab/>
      </w:r>
      <w:r>
        <w:rPr>
          <w:rFonts w:ascii="Garamond" w:hAnsi="Garamond"/>
          <w:sz w:val="28"/>
          <w:szCs w:val="28"/>
        </w:rPr>
        <w:tab/>
        <w:t>Ess</w:t>
      </w:r>
      <w:r w:rsidR="00132250">
        <w:rPr>
          <w:rFonts w:ascii="Garamond" w:hAnsi="Garamond"/>
          <w:sz w:val="28"/>
          <w:szCs w:val="28"/>
        </w:rPr>
        <w:t>a</w:t>
      </w:r>
      <w:r>
        <w:rPr>
          <w:rFonts w:ascii="Garamond" w:hAnsi="Garamond"/>
          <w:sz w:val="28"/>
          <w:szCs w:val="28"/>
        </w:rPr>
        <w:t xml:space="preserve">, ao meu entender, foi </w:t>
      </w:r>
      <w:proofErr w:type="gramStart"/>
      <w:r w:rsidR="00E43F05">
        <w:rPr>
          <w:rFonts w:ascii="Garamond" w:hAnsi="Garamond"/>
          <w:sz w:val="28"/>
          <w:szCs w:val="28"/>
        </w:rPr>
        <w:t>a</w:t>
      </w:r>
      <w:proofErr w:type="gramEnd"/>
      <w:r w:rsidR="00E43F05">
        <w:rPr>
          <w:rFonts w:ascii="Garamond" w:hAnsi="Garamond"/>
          <w:sz w:val="28"/>
          <w:szCs w:val="28"/>
        </w:rPr>
        <w:t xml:space="preserve"> orientação adotada</w:t>
      </w:r>
      <w:r>
        <w:rPr>
          <w:rFonts w:ascii="Garamond" w:hAnsi="Garamond"/>
          <w:sz w:val="28"/>
          <w:szCs w:val="28"/>
        </w:rPr>
        <w:t xml:space="preserve"> pelo relator da ADI em exame, ao afirmar em seu voto que </w:t>
      </w:r>
      <w:r w:rsidRPr="00D165F9">
        <w:rPr>
          <w:rFonts w:ascii="Garamond" w:hAnsi="Garamond"/>
          <w:i/>
          <w:sz w:val="28"/>
          <w:szCs w:val="28"/>
        </w:rPr>
        <w:t xml:space="preserve">“o modelo normativo aqui impugnado </w:t>
      </w:r>
      <w:r w:rsidRPr="00D165F9">
        <w:rPr>
          <w:rFonts w:ascii="Garamond" w:hAnsi="Garamond"/>
          <w:i/>
          <w:sz w:val="28"/>
          <w:szCs w:val="28"/>
        </w:rPr>
        <w:lastRenderedPageBreak/>
        <w:t>não laborou no campo material reservado à lei complementar. Isto porque, a meu ver, ele tratou, tão-somente, de erigir um critério objetivo de contabilidade compensatória da aplicação financeira em gratuidade por parte das instituições educacionais. Critério, esse, que, se atendido, possibilita o gozo integral da isenção quanto aos impostos e contribuições mencionados no art. 8º do texto impugnado”</w:t>
      </w:r>
      <w:r>
        <w:rPr>
          <w:rFonts w:ascii="Garamond" w:hAnsi="Garamond"/>
          <w:sz w:val="28"/>
          <w:szCs w:val="28"/>
        </w:rPr>
        <w:t>.</w:t>
      </w:r>
      <w:r w:rsidR="00CE079D">
        <w:rPr>
          <w:rFonts w:ascii="Garamond" w:hAnsi="Garamond"/>
          <w:sz w:val="28"/>
          <w:szCs w:val="28"/>
        </w:rPr>
        <w:t xml:space="preserve"> </w:t>
      </w:r>
    </w:p>
    <w:p w:rsidR="00CE079D" w:rsidRPr="00AC1A86" w:rsidRDefault="00CE079D" w:rsidP="004169D2">
      <w:pPr>
        <w:pStyle w:val="western"/>
        <w:spacing w:before="0" w:beforeAutospacing="0" w:after="0" w:line="360" w:lineRule="auto"/>
        <w:jc w:val="both"/>
        <w:rPr>
          <w:rFonts w:ascii="Garamond" w:hAnsi="Garamond"/>
          <w:sz w:val="28"/>
          <w:szCs w:val="28"/>
        </w:rPr>
      </w:pPr>
      <w:r>
        <w:rPr>
          <w:rFonts w:ascii="Garamond" w:hAnsi="Garamond"/>
          <w:sz w:val="28"/>
          <w:szCs w:val="28"/>
        </w:rPr>
        <w:tab/>
      </w:r>
      <w:r>
        <w:rPr>
          <w:rFonts w:ascii="Garamond" w:hAnsi="Garamond"/>
          <w:sz w:val="28"/>
          <w:szCs w:val="28"/>
        </w:rPr>
        <w:tab/>
        <w:t>Desse modo,</w:t>
      </w:r>
      <w:r w:rsidR="002B1239">
        <w:rPr>
          <w:rFonts w:ascii="Garamond" w:hAnsi="Garamond"/>
          <w:sz w:val="28"/>
          <w:szCs w:val="28"/>
        </w:rPr>
        <w:t xml:space="preserve"> entendo, com base na jurisprudência do Supremo Tribunal Federal</w:t>
      </w:r>
      <w:r w:rsidR="00D165F9">
        <w:rPr>
          <w:rFonts w:ascii="Garamond" w:hAnsi="Garamond"/>
          <w:sz w:val="28"/>
          <w:szCs w:val="28"/>
        </w:rPr>
        <w:t>,</w:t>
      </w:r>
      <w:r w:rsidR="002B1239">
        <w:rPr>
          <w:rFonts w:ascii="Garamond" w:hAnsi="Garamond"/>
          <w:sz w:val="28"/>
          <w:szCs w:val="28"/>
        </w:rPr>
        <w:t xml:space="preserve"> que a MP 213/2004, convertida na Lei 11.096/2005, apenas regulou a forma pela qual se deve investir o resultado operacional obtido também</w:t>
      </w:r>
      <w:r w:rsidR="00132250">
        <w:rPr>
          <w:rFonts w:ascii="Garamond" w:hAnsi="Garamond"/>
          <w:sz w:val="28"/>
          <w:szCs w:val="28"/>
        </w:rPr>
        <w:t xml:space="preserve"> </w:t>
      </w:r>
      <w:r w:rsidR="002B1239">
        <w:rPr>
          <w:rFonts w:ascii="Garamond" w:hAnsi="Garamond"/>
          <w:sz w:val="28"/>
          <w:szCs w:val="28"/>
        </w:rPr>
        <w:t xml:space="preserve">por meio da imunidade tributária, objetivando a ampliação </w:t>
      </w:r>
      <w:r w:rsidR="00D165F9">
        <w:rPr>
          <w:rFonts w:ascii="Garamond" w:hAnsi="Garamond"/>
          <w:sz w:val="28"/>
          <w:szCs w:val="28"/>
        </w:rPr>
        <w:t>d</w:t>
      </w:r>
      <w:r w:rsidR="002B1239">
        <w:rPr>
          <w:rFonts w:ascii="Garamond" w:hAnsi="Garamond"/>
          <w:sz w:val="28"/>
          <w:szCs w:val="28"/>
        </w:rPr>
        <w:t xml:space="preserve">o acesso ao </w:t>
      </w:r>
      <w:r w:rsidR="00C86AAB">
        <w:rPr>
          <w:rFonts w:ascii="Garamond" w:hAnsi="Garamond"/>
          <w:sz w:val="28"/>
          <w:szCs w:val="28"/>
        </w:rPr>
        <w:t>Ensino Superior</w:t>
      </w:r>
      <w:r w:rsidR="002B1239">
        <w:rPr>
          <w:rFonts w:ascii="Garamond" w:hAnsi="Garamond"/>
          <w:sz w:val="28"/>
          <w:szCs w:val="28"/>
        </w:rPr>
        <w:t xml:space="preserve">, </w:t>
      </w:r>
      <w:r w:rsidR="00132250">
        <w:rPr>
          <w:rFonts w:ascii="Garamond" w:hAnsi="Garamond"/>
          <w:sz w:val="28"/>
          <w:szCs w:val="28"/>
        </w:rPr>
        <w:t>mediante</w:t>
      </w:r>
      <w:r w:rsidR="002B1239">
        <w:rPr>
          <w:rFonts w:ascii="Garamond" w:hAnsi="Garamond"/>
          <w:sz w:val="28"/>
          <w:szCs w:val="28"/>
        </w:rPr>
        <w:t xml:space="preserve"> concessão de bolsas de estudos.</w:t>
      </w:r>
      <w:r w:rsidR="00D165F9">
        <w:rPr>
          <w:rFonts w:ascii="Garamond" w:hAnsi="Garamond"/>
          <w:sz w:val="28"/>
          <w:szCs w:val="28"/>
        </w:rPr>
        <w:t xml:space="preserve"> Significa dizer que </w:t>
      </w:r>
      <w:r w:rsidR="00132250">
        <w:rPr>
          <w:rFonts w:ascii="Garamond" w:hAnsi="Garamond"/>
          <w:sz w:val="28"/>
          <w:szCs w:val="28"/>
        </w:rPr>
        <w:t>em vez</w:t>
      </w:r>
      <w:r w:rsidR="00D165F9">
        <w:rPr>
          <w:rFonts w:ascii="Garamond" w:hAnsi="Garamond"/>
          <w:sz w:val="28"/>
          <w:szCs w:val="28"/>
        </w:rPr>
        <w:t xml:space="preserve"> de arcar diretamente com os custos das bolsas de estudo concedidas aos estudantes, o Poder Público concede a “isenção” às entidades educacionais para que estas apliquem o resultado daí obtido no financiamento dessas bolsas.</w:t>
      </w:r>
    </w:p>
    <w:p w:rsidR="004169D2" w:rsidRDefault="004169D2" w:rsidP="004169D2">
      <w:pPr>
        <w:pStyle w:val="western"/>
        <w:spacing w:after="0" w:line="480" w:lineRule="auto"/>
        <w:jc w:val="both"/>
        <w:rPr>
          <w:rFonts w:ascii="Garamond" w:hAnsi="Garamond" w:cs="Courier New"/>
          <w:b/>
          <w:sz w:val="28"/>
          <w:szCs w:val="28"/>
        </w:rPr>
      </w:pPr>
      <w:r>
        <w:rPr>
          <w:rFonts w:ascii="Garamond" w:hAnsi="Garamond" w:cs="Courier New"/>
          <w:b/>
          <w:sz w:val="28"/>
          <w:szCs w:val="28"/>
        </w:rPr>
        <w:t>4. ALEGAÇÃO DE OFENSA À COMPETÊNCIA LEGISLATIVA DOS ESTADOS E À AUTONOMIA UNIVERSITÁRIA</w:t>
      </w:r>
    </w:p>
    <w:p w:rsidR="004169D2" w:rsidRDefault="004169D2" w:rsidP="004169D2">
      <w:pPr>
        <w:pStyle w:val="western"/>
        <w:spacing w:before="240" w:beforeAutospacing="0" w:after="0" w:line="360" w:lineRule="auto"/>
        <w:jc w:val="both"/>
        <w:rPr>
          <w:rFonts w:ascii="Garamond" w:hAnsi="Garamond"/>
          <w:sz w:val="28"/>
          <w:szCs w:val="28"/>
        </w:rPr>
      </w:pPr>
      <w:r>
        <w:rPr>
          <w:rFonts w:ascii="Garamond" w:hAnsi="Garamond"/>
          <w:sz w:val="28"/>
          <w:szCs w:val="28"/>
        </w:rPr>
        <w:tab/>
      </w:r>
      <w:r>
        <w:rPr>
          <w:rFonts w:ascii="Garamond" w:hAnsi="Garamond"/>
          <w:sz w:val="28"/>
          <w:szCs w:val="28"/>
        </w:rPr>
        <w:tab/>
        <w:t>A conclusão do tópico acima permite afastar de plano a alegação de que o diploma federal em exame teria usurpado a competência legislativa dos Estados e do Distrito Federal para editar normas específicas sobre ensino. Isso porque, conforme visto, a norma federal cuida, em verdade, de concessão de bolsas por meio da adesão voluntária de faculdades privadas ao PROUNI, as quais, em contrapartida</w:t>
      </w:r>
      <w:r w:rsidR="00132250">
        <w:rPr>
          <w:rFonts w:ascii="Garamond" w:hAnsi="Garamond"/>
          <w:sz w:val="28"/>
          <w:szCs w:val="28"/>
        </w:rPr>
        <w:t>,</w:t>
      </w:r>
      <w:r>
        <w:rPr>
          <w:rFonts w:ascii="Garamond" w:hAnsi="Garamond"/>
          <w:sz w:val="28"/>
          <w:szCs w:val="28"/>
        </w:rPr>
        <w:t xml:space="preserve"> são contempladas com a imunidade tributária analisada.</w:t>
      </w:r>
    </w:p>
    <w:p w:rsidR="004169D2" w:rsidRDefault="004169D2" w:rsidP="004169D2">
      <w:pPr>
        <w:pStyle w:val="western"/>
        <w:spacing w:before="240" w:beforeAutospacing="0" w:after="0" w:line="360" w:lineRule="auto"/>
        <w:jc w:val="both"/>
        <w:rPr>
          <w:rFonts w:ascii="Garamond" w:hAnsi="Garamond"/>
          <w:sz w:val="28"/>
          <w:szCs w:val="28"/>
        </w:rPr>
      </w:pPr>
      <w:r>
        <w:rPr>
          <w:rFonts w:ascii="Garamond" w:hAnsi="Garamond"/>
          <w:sz w:val="28"/>
          <w:szCs w:val="28"/>
        </w:rPr>
        <w:tab/>
      </w:r>
      <w:r>
        <w:rPr>
          <w:rFonts w:ascii="Garamond" w:hAnsi="Garamond"/>
          <w:sz w:val="28"/>
          <w:szCs w:val="28"/>
        </w:rPr>
        <w:tab/>
        <w:t xml:space="preserve">Resta evidente, portanto, que a lei federal examinada não trata de ensino em si, mas de uma política pública para aumentar o acesso ao </w:t>
      </w:r>
      <w:r w:rsidR="00C86AAB">
        <w:rPr>
          <w:rFonts w:ascii="Garamond" w:hAnsi="Garamond"/>
          <w:sz w:val="28"/>
          <w:szCs w:val="28"/>
        </w:rPr>
        <w:t>Ensino Superior</w:t>
      </w:r>
      <w:r>
        <w:rPr>
          <w:rFonts w:ascii="Garamond" w:hAnsi="Garamond"/>
          <w:sz w:val="28"/>
          <w:szCs w:val="28"/>
        </w:rPr>
        <w:t>, sem, contudo, nada interferir no modo como a atividade educacional se desenvolve.</w:t>
      </w:r>
    </w:p>
    <w:p w:rsidR="004169D2" w:rsidRDefault="004169D2" w:rsidP="004169D2">
      <w:pPr>
        <w:pStyle w:val="peso3"/>
        <w:spacing w:before="240" w:after="0" w:line="360" w:lineRule="auto"/>
        <w:ind w:firstLine="1418"/>
        <w:rPr>
          <w:rFonts w:ascii="Garamond" w:hAnsi="Garamond"/>
          <w:sz w:val="28"/>
          <w:szCs w:val="28"/>
        </w:rPr>
      </w:pPr>
      <w:r>
        <w:rPr>
          <w:rFonts w:ascii="Garamond" w:hAnsi="Garamond"/>
          <w:sz w:val="28"/>
          <w:szCs w:val="28"/>
        </w:rPr>
        <w:lastRenderedPageBreak/>
        <w:t xml:space="preserve">De igual maneira, não há que se falar em ofensa à autonomia universitária. A autonomia universitária protegida constitucionalmente (art. 207) assegura às instituições de </w:t>
      </w:r>
      <w:r w:rsidR="00C86AAB">
        <w:rPr>
          <w:rFonts w:ascii="Garamond" w:hAnsi="Garamond"/>
          <w:sz w:val="28"/>
          <w:szCs w:val="28"/>
        </w:rPr>
        <w:t>Ensino Superior</w:t>
      </w:r>
      <w:r>
        <w:rPr>
          <w:rFonts w:ascii="Garamond" w:hAnsi="Garamond"/>
          <w:sz w:val="28"/>
          <w:szCs w:val="28"/>
        </w:rPr>
        <w:t xml:space="preserve"> uma esfera de autogoverno e de autogestão administrativa, financeira, patrimonial e didático-científica, livre da interferência do Estado. Essa autonomia certamente abrange o poder de estabelecer os critérios e normas de seleção e admissão dos corpos docente e discente, a criação, </w:t>
      </w:r>
      <w:r w:rsidR="00132250">
        <w:rPr>
          <w:rFonts w:ascii="Garamond" w:hAnsi="Garamond"/>
          <w:sz w:val="28"/>
          <w:szCs w:val="28"/>
        </w:rPr>
        <w:t xml:space="preserve">a </w:t>
      </w:r>
      <w:r>
        <w:rPr>
          <w:rFonts w:ascii="Garamond" w:hAnsi="Garamond"/>
          <w:sz w:val="28"/>
          <w:szCs w:val="28"/>
        </w:rPr>
        <w:t xml:space="preserve">modificação e </w:t>
      </w:r>
      <w:r w:rsidR="00132250">
        <w:rPr>
          <w:rFonts w:ascii="Garamond" w:hAnsi="Garamond"/>
          <w:sz w:val="28"/>
          <w:szCs w:val="28"/>
        </w:rPr>
        <w:t xml:space="preserve">a </w:t>
      </w:r>
      <w:r>
        <w:rPr>
          <w:rFonts w:ascii="Garamond" w:hAnsi="Garamond"/>
          <w:sz w:val="28"/>
          <w:szCs w:val="28"/>
        </w:rPr>
        <w:t>extinção de cursos, assim como a determinação da oferta de vagas nesses cursos (graduação, pós-graduação e extensão universitária). Não obstante, como este Tribunal já teve oportunidade de deixar consignado em sua jurisprudência, esses poderes inerentes à autonomia universitária podem sofrer limitações advindas da própria Constituição ou da legislação federal, desde que a lei restritiva observe o requisito de proporcionalidade (ADI 3.324, Rel. Min. Marco Aurélio, DJ 5.8.2005; ADI-MC 1.599, Rel. Min. Maurício Corrêa, DJ 18.05.2001; ADI 2.643, Rel. Min. Carlos Velloso, DJ 26.9.2003; RE 362.074-</w:t>
      </w:r>
      <w:proofErr w:type="gramStart"/>
      <w:r>
        <w:rPr>
          <w:rFonts w:ascii="Garamond" w:hAnsi="Garamond"/>
          <w:sz w:val="28"/>
          <w:szCs w:val="28"/>
        </w:rPr>
        <w:t>AgR</w:t>
      </w:r>
      <w:proofErr w:type="gramEnd"/>
      <w:r>
        <w:rPr>
          <w:rFonts w:ascii="Garamond" w:hAnsi="Garamond"/>
          <w:sz w:val="28"/>
          <w:szCs w:val="28"/>
        </w:rPr>
        <w:t xml:space="preserve">, Rel. Min. Eros Grau, DJ 22.4.2005; RE 331.285, Rel. Min. Ilmar Galvão, DJ 2.5.2003). </w:t>
      </w:r>
    </w:p>
    <w:p w:rsidR="004169D2" w:rsidRDefault="004169D2" w:rsidP="004169D2">
      <w:pPr>
        <w:pStyle w:val="western"/>
        <w:spacing w:before="240" w:beforeAutospacing="0" w:after="0" w:line="360" w:lineRule="auto"/>
        <w:jc w:val="both"/>
        <w:rPr>
          <w:rFonts w:ascii="Garamond" w:hAnsi="Garamond"/>
          <w:sz w:val="28"/>
          <w:szCs w:val="28"/>
        </w:rPr>
      </w:pPr>
      <w:r>
        <w:rPr>
          <w:rFonts w:ascii="Garamond" w:hAnsi="Garamond"/>
          <w:sz w:val="28"/>
          <w:szCs w:val="28"/>
        </w:rPr>
        <w:tab/>
      </w:r>
      <w:r>
        <w:rPr>
          <w:rFonts w:ascii="Garamond" w:hAnsi="Garamond"/>
          <w:sz w:val="28"/>
          <w:szCs w:val="28"/>
        </w:rPr>
        <w:tab/>
        <w:t xml:space="preserve">No caso em análise, contudo, a solução é ainda mais fácil, visto que o PROUNI não cria qualquer obrigação às universidades. Em verdade, o PROUNI traz uma nova opção a elas, que podem aderir ao programa voluntariamente, após análise de seus termos, ou permanecerem </w:t>
      </w:r>
      <w:r w:rsidR="00132250">
        <w:rPr>
          <w:rFonts w:ascii="Garamond" w:hAnsi="Garamond"/>
          <w:sz w:val="28"/>
          <w:szCs w:val="28"/>
        </w:rPr>
        <w:t xml:space="preserve">como </w:t>
      </w:r>
      <w:r>
        <w:rPr>
          <w:rFonts w:ascii="Garamond" w:hAnsi="Garamond"/>
          <w:sz w:val="28"/>
          <w:szCs w:val="28"/>
        </w:rPr>
        <w:t xml:space="preserve">não participantes do programa, caso concluam pela inviabilidade de </w:t>
      </w:r>
      <w:r w:rsidR="00132250">
        <w:rPr>
          <w:rFonts w:ascii="Garamond" w:hAnsi="Garamond"/>
          <w:sz w:val="28"/>
          <w:szCs w:val="28"/>
        </w:rPr>
        <w:t>adesão</w:t>
      </w:r>
      <w:r>
        <w:rPr>
          <w:rFonts w:ascii="Garamond" w:hAnsi="Garamond"/>
          <w:sz w:val="28"/>
          <w:szCs w:val="28"/>
        </w:rPr>
        <w:t>.</w:t>
      </w:r>
    </w:p>
    <w:p w:rsidR="004169D2" w:rsidRPr="004169D2" w:rsidRDefault="004169D2" w:rsidP="004169D2">
      <w:pPr>
        <w:pStyle w:val="western"/>
        <w:spacing w:before="240" w:beforeAutospacing="0" w:after="0" w:line="360" w:lineRule="auto"/>
        <w:jc w:val="both"/>
        <w:rPr>
          <w:rFonts w:ascii="Garamond" w:hAnsi="Garamond"/>
          <w:sz w:val="28"/>
          <w:szCs w:val="28"/>
        </w:rPr>
      </w:pPr>
      <w:r>
        <w:rPr>
          <w:rFonts w:ascii="Garamond" w:hAnsi="Garamond"/>
          <w:sz w:val="28"/>
          <w:szCs w:val="28"/>
        </w:rPr>
        <w:tab/>
      </w:r>
      <w:r>
        <w:rPr>
          <w:rFonts w:ascii="Garamond" w:hAnsi="Garamond"/>
          <w:sz w:val="28"/>
          <w:szCs w:val="28"/>
        </w:rPr>
        <w:tab/>
        <w:t>Resta claro, portanto, que o diploma normativo atacado não viola a competência legislativa dos Estados</w:t>
      </w:r>
      <w:r w:rsidR="00132250">
        <w:rPr>
          <w:rFonts w:ascii="Garamond" w:hAnsi="Garamond"/>
          <w:sz w:val="28"/>
          <w:szCs w:val="28"/>
        </w:rPr>
        <w:t>,</w:t>
      </w:r>
      <w:r>
        <w:rPr>
          <w:rFonts w:ascii="Garamond" w:hAnsi="Garamond"/>
          <w:sz w:val="28"/>
          <w:szCs w:val="28"/>
        </w:rPr>
        <w:t xml:space="preserve"> tampouco a autonomia universitária, de modo que acompanho, também nesse ponto, o voto do relator. </w:t>
      </w:r>
    </w:p>
    <w:p w:rsidR="005D48FB" w:rsidRPr="00EA50F2" w:rsidRDefault="004169D2" w:rsidP="005D48FB">
      <w:pPr>
        <w:spacing w:before="240" w:line="360" w:lineRule="auto"/>
        <w:jc w:val="both"/>
        <w:rPr>
          <w:rFonts w:ascii="Garamond" w:hAnsi="Garamond" w:cs="Courier New"/>
          <w:b/>
          <w:sz w:val="28"/>
          <w:szCs w:val="28"/>
        </w:rPr>
      </w:pPr>
      <w:r>
        <w:rPr>
          <w:rFonts w:ascii="Garamond" w:hAnsi="Garamond" w:cs="Courier New"/>
          <w:b/>
          <w:sz w:val="28"/>
          <w:szCs w:val="28"/>
        </w:rPr>
        <w:t>5</w:t>
      </w:r>
      <w:r w:rsidR="005D48FB" w:rsidRPr="00344C35">
        <w:rPr>
          <w:rFonts w:ascii="Garamond" w:hAnsi="Garamond" w:cs="Courier New"/>
          <w:b/>
          <w:sz w:val="28"/>
          <w:szCs w:val="28"/>
        </w:rPr>
        <w:t xml:space="preserve">. </w:t>
      </w:r>
      <w:r w:rsidR="005D48FB">
        <w:rPr>
          <w:rFonts w:ascii="Garamond" w:hAnsi="Garamond" w:cs="Courier New"/>
          <w:b/>
          <w:sz w:val="28"/>
          <w:szCs w:val="28"/>
        </w:rPr>
        <w:t>O MODELO DE AÇÃO AFIRMATIVA INSTITUÍDO PELO PROUNI</w:t>
      </w:r>
    </w:p>
    <w:p w:rsidR="005D48FB" w:rsidRDefault="005D48FB" w:rsidP="005D48FB">
      <w:pPr>
        <w:pStyle w:val="Corpodeparecer"/>
        <w:numPr>
          <w:ilvl w:val="0"/>
          <w:numId w:val="0"/>
        </w:numPr>
        <w:ind w:firstLine="1418"/>
        <w:rPr>
          <w:rFonts w:ascii="Garamond" w:hAnsi="Garamond"/>
          <w:sz w:val="28"/>
          <w:szCs w:val="28"/>
        </w:rPr>
      </w:pPr>
      <w:r>
        <w:rPr>
          <w:rFonts w:ascii="Garamond" w:hAnsi="Garamond"/>
          <w:sz w:val="28"/>
          <w:szCs w:val="28"/>
        </w:rPr>
        <w:lastRenderedPageBreak/>
        <w:t xml:space="preserve">A requerente também argumenta que </w:t>
      </w:r>
      <w:r w:rsidRPr="000828FD">
        <w:rPr>
          <w:rFonts w:ascii="Garamond" w:hAnsi="Garamond"/>
          <w:sz w:val="28"/>
          <w:szCs w:val="28"/>
        </w:rPr>
        <w:t>o art. 7</w:t>
      </w:r>
      <w:r w:rsidRPr="000828FD">
        <w:rPr>
          <w:rFonts w:ascii="Garamond" w:hAnsi="Garamond"/>
          <w:sz w:val="28"/>
          <w:szCs w:val="28"/>
          <w:vertAlign w:val="superscript"/>
        </w:rPr>
        <w:t>o</w:t>
      </w:r>
      <w:r>
        <w:rPr>
          <w:rFonts w:ascii="Garamond" w:hAnsi="Garamond"/>
          <w:sz w:val="28"/>
          <w:szCs w:val="28"/>
        </w:rPr>
        <w:t xml:space="preserve"> da lei atacada, a</w:t>
      </w:r>
      <w:r w:rsidRPr="000828FD">
        <w:rPr>
          <w:rFonts w:ascii="Garamond" w:hAnsi="Garamond"/>
          <w:sz w:val="28"/>
          <w:szCs w:val="28"/>
        </w:rPr>
        <w:t>o</w:t>
      </w:r>
      <w:r>
        <w:rPr>
          <w:rFonts w:ascii="Garamond" w:hAnsi="Garamond"/>
          <w:sz w:val="28"/>
          <w:szCs w:val="28"/>
        </w:rPr>
        <w:t xml:space="preserve"> utilizar</w:t>
      </w:r>
      <w:r w:rsidRPr="000828FD">
        <w:rPr>
          <w:rFonts w:ascii="Garamond" w:hAnsi="Garamond"/>
          <w:sz w:val="28"/>
          <w:szCs w:val="28"/>
        </w:rPr>
        <w:t xml:space="preserve"> critério racial para preenchimento de vagas no </w:t>
      </w:r>
      <w:r w:rsidR="00C86AAB">
        <w:rPr>
          <w:rFonts w:ascii="Garamond" w:hAnsi="Garamond"/>
          <w:sz w:val="28"/>
          <w:szCs w:val="28"/>
        </w:rPr>
        <w:t>Ensino Superior</w:t>
      </w:r>
      <w:r>
        <w:rPr>
          <w:rFonts w:ascii="Garamond" w:hAnsi="Garamond"/>
          <w:sz w:val="28"/>
          <w:szCs w:val="28"/>
        </w:rPr>
        <w:t>, viola o princípio da isonomia</w:t>
      </w:r>
      <w:r w:rsidRPr="000828FD">
        <w:rPr>
          <w:rFonts w:ascii="Garamond" w:hAnsi="Garamond"/>
          <w:sz w:val="28"/>
          <w:szCs w:val="28"/>
        </w:rPr>
        <w:t>. A</w:t>
      </w:r>
      <w:r>
        <w:rPr>
          <w:rFonts w:ascii="Garamond" w:hAnsi="Garamond"/>
          <w:sz w:val="28"/>
          <w:szCs w:val="28"/>
        </w:rPr>
        <w:t>ssim, a</w:t>
      </w:r>
      <w:r w:rsidRPr="000828FD">
        <w:rPr>
          <w:rFonts w:ascii="Garamond" w:hAnsi="Garamond"/>
          <w:sz w:val="28"/>
          <w:szCs w:val="28"/>
        </w:rPr>
        <w:t xml:space="preserve">firma que “o único critério que o Estado está obrigado a observar, no tocante ao </w:t>
      </w:r>
      <w:r w:rsidR="00C86AAB">
        <w:rPr>
          <w:rFonts w:ascii="Garamond" w:hAnsi="Garamond"/>
          <w:sz w:val="28"/>
          <w:szCs w:val="28"/>
        </w:rPr>
        <w:t>Ensino Superior</w:t>
      </w:r>
      <w:r w:rsidRPr="000828FD">
        <w:rPr>
          <w:rFonts w:ascii="Garamond" w:hAnsi="Garamond"/>
          <w:sz w:val="28"/>
          <w:szCs w:val="28"/>
        </w:rPr>
        <w:t xml:space="preserve">, está previsto no art. 208, V, ‘segundo a capacidade de cada um’, razão pela qual as ações afirmativas nesse campo deveriam levar o poder público a capacitar a todos para tal acesso, dando ensino básico de igual qualidade, outorgando bolsas de estudos aos de menor possibilidade econômica, e não pretender que, no ensino universitário, se outorguem privilégios a quem não esteja capacitado a acompanhá-lo, ainda que isso tenha derivado do fato de o Estado ter falhado em dar, no ensino básico e médio, a qualificação necessária” (fls. 834). </w:t>
      </w:r>
    </w:p>
    <w:p w:rsidR="005D48FB" w:rsidRDefault="005D48FB" w:rsidP="005D48FB">
      <w:pPr>
        <w:pStyle w:val="Corpodeparecer"/>
        <w:numPr>
          <w:ilvl w:val="0"/>
          <w:numId w:val="0"/>
        </w:numPr>
        <w:ind w:firstLine="1418"/>
        <w:rPr>
          <w:rFonts w:ascii="Garamond" w:hAnsi="Garamond"/>
          <w:sz w:val="28"/>
          <w:szCs w:val="28"/>
        </w:rPr>
      </w:pPr>
      <w:r>
        <w:rPr>
          <w:rFonts w:ascii="Garamond" w:hAnsi="Garamond"/>
          <w:sz w:val="28"/>
          <w:szCs w:val="28"/>
        </w:rPr>
        <w:t xml:space="preserve">O argumento da requerente é falacioso, pois, apesar de ser aparentemente válido, na medida em que contesta um critério de diferenciação (o critério da raça) supostamente inidôneo para o estabelecimento de política pública de ação afirmativa com descriminação positiva ou inversa, na verdade procede a uma leitura parcial (e, portanto, uma interpretação equivocada) da lei. </w:t>
      </w:r>
    </w:p>
    <w:p w:rsidR="005D48FB" w:rsidRDefault="005D48FB" w:rsidP="005D48FB">
      <w:pPr>
        <w:pStyle w:val="Corpodeparecer"/>
        <w:numPr>
          <w:ilvl w:val="0"/>
          <w:numId w:val="0"/>
        </w:numPr>
        <w:ind w:firstLine="1418"/>
        <w:rPr>
          <w:rFonts w:ascii="Garamond" w:hAnsi="Garamond"/>
          <w:sz w:val="28"/>
          <w:szCs w:val="28"/>
        </w:rPr>
      </w:pPr>
      <w:r>
        <w:rPr>
          <w:rFonts w:ascii="Garamond" w:hAnsi="Garamond"/>
          <w:sz w:val="28"/>
          <w:szCs w:val="28"/>
        </w:rPr>
        <w:t>Em primeiro lugar, o</w:t>
      </w:r>
      <w:r w:rsidRPr="000828FD">
        <w:rPr>
          <w:rFonts w:ascii="Garamond" w:hAnsi="Garamond"/>
          <w:sz w:val="28"/>
          <w:szCs w:val="28"/>
        </w:rPr>
        <w:t xml:space="preserve"> art. 3</w:t>
      </w:r>
      <w:r w:rsidRPr="000828FD">
        <w:rPr>
          <w:rFonts w:ascii="Garamond" w:hAnsi="Garamond"/>
          <w:sz w:val="28"/>
          <w:szCs w:val="28"/>
          <w:vertAlign w:val="superscript"/>
        </w:rPr>
        <w:t>o</w:t>
      </w:r>
      <w:r w:rsidRPr="000828FD">
        <w:rPr>
          <w:rFonts w:ascii="Garamond" w:hAnsi="Garamond"/>
          <w:sz w:val="28"/>
          <w:szCs w:val="28"/>
        </w:rPr>
        <w:t xml:space="preserve"> da MP n</w:t>
      </w:r>
      <w:r w:rsidR="00132250">
        <w:rPr>
          <w:rFonts w:ascii="Garamond" w:hAnsi="Garamond"/>
          <w:sz w:val="28"/>
          <w:szCs w:val="28"/>
        </w:rPr>
        <w:t>.</w:t>
      </w:r>
      <w:r w:rsidRPr="000828FD">
        <w:rPr>
          <w:rFonts w:ascii="Garamond" w:hAnsi="Garamond"/>
          <w:sz w:val="28"/>
          <w:szCs w:val="28"/>
        </w:rPr>
        <w:t>° 213/2005 e da Lei n</w:t>
      </w:r>
      <w:r w:rsidR="00132250">
        <w:rPr>
          <w:rFonts w:ascii="Garamond" w:hAnsi="Garamond"/>
          <w:sz w:val="28"/>
          <w:szCs w:val="28"/>
        </w:rPr>
        <w:t>.</w:t>
      </w:r>
      <w:r w:rsidRPr="000828FD">
        <w:rPr>
          <w:rFonts w:ascii="Garamond" w:hAnsi="Garamond"/>
          <w:sz w:val="28"/>
          <w:szCs w:val="28"/>
        </w:rPr>
        <w:t xml:space="preserve">° 11.096/2005 deixa claro que </w:t>
      </w:r>
      <w:r w:rsidRPr="000828FD">
        <w:rPr>
          <w:rFonts w:ascii="Garamond" w:hAnsi="Garamond"/>
          <w:i/>
          <w:sz w:val="28"/>
          <w:szCs w:val="28"/>
        </w:rPr>
        <w:t xml:space="preserve">“o estudante a ser beneficiado pelo PROUNI será pré-selecionado pelos resultados e pelo perfil socioeconômico do Exame Nacional do Ensino Médio – ENEM ou outros critérios a serem definidos pelo Ministério da Educação, e, na etapa final, selecionado pela instituição de </w:t>
      </w:r>
      <w:r w:rsidR="00C86AAB">
        <w:rPr>
          <w:rFonts w:ascii="Garamond" w:hAnsi="Garamond"/>
          <w:i/>
          <w:sz w:val="28"/>
          <w:szCs w:val="28"/>
        </w:rPr>
        <w:t>Ensino Superior</w:t>
      </w:r>
      <w:r w:rsidRPr="000828FD">
        <w:rPr>
          <w:rFonts w:ascii="Garamond" w:hAnsi="Garamond"/>
          <w:i/>
          <w:sz w:val="28"/>
          <w:szCs w:val="28"/>
        </w:rPr>
        <w:t>, segundo seus próprios critérios, à qual competirá, também, aferir as informações prestadas pelo candidato”</w:t>
      </w:r>
      <w:r w:rsidRPr="000828FD">
        <w:rPr>
          <w:rFonts w:ascii="Garamond" w:hAnsi="Garamond"/>
          <w:sz w:val="28"/>
          <w:szCs w:val="28"/>
        </w:rPr>
        <w:t xml:space="preserve">. </w:t>
      </w:r>
      <w:r>
        <w:rPr>
          <w:rFonts w:ascii="Garamond" w:hAnsi="Garamond"/>
          <w:sz w:val="28"/>
          <w:szCs w:val="28"/>
        </w:rPr>
        <w:t xml:space="preserve">Portanto, quanto ao critério meritório (“acesso ao </w:t>
      </w:r>
      <w:r w:rsidR="00C86AAB">
        <w:rPr>
          <w:rFonts w:ascii="Garamond" w:hAnsi="Garamond"/>
          <w:sz w:val="28"/>
          <w:szCs w:val="28"/>
        </w:rPr>
        <w:t>Ensino Superior</w:t>
      </w:r>
      <w:r>
        <w:rPr>
          <w:rFonts w:ascii="Garamond" w:hAnsi="Garamond"/>
          <w:sz w:val="28"/>
          <w:szCs w:val="28"/>
        </w:rPr>
        <w:t xml:space="preserve"> segundo a capacidade de cada um”), a lei claramente exige que o estudante, seja avaliado pelo exame do Exame Nacional do Ensino Médio (ENEM); e o estudante obviamente ainda deverá passar pela seleção exigida pela instituição de </w:t>
      </w:r>
      <w:r w:rsidR="00C86AAB">
        <w:rPr>
          <w:rFonts w:ascii="Garamond" w:hAnsi="Garamond"/>
          <w:sz w:val="28"/>
          <w:szCs w:val="28"/>
        </w:rPr>
        <w:t>Ensino Superior</w:t>
      </w:r>
      <w:r>
        <w:rPr>
          <w:rFonts w:ascii="Garamond" w:hAnsi="Garamond"/>
          <w:sz w:val="28"/>
          <w:szCs w:val="28"/>
        </w:rPr>
        <w:t xml:space="preserve">, normalmente o vestibular. Apenas após a superação desses </w:t>
      </w:r>
      <w:r>
        <w:rPr>
          <w:rFonts w:ascii="Garamond" w:hAnsi="Garamond"/>
          <w:sz w:val="28"/>
          <w:szCs w:val="28"/>
        </w:rPr>
        <w:lastRenderedPageBreak/>
        <w:t xml:space="preserve">requisitos de mérito é que o estudante poderá concorrer a uma bolsa de estudo pelo programa PROUNI. </w:t>
      </w:r>
    </w:p>
    <w:p w:rsidR="005D48FB" w:rsidRPr="0019137C" w:rsidRDefault="005D48FB" w:rsidP="007F6152">
      <w:pPr>
        <w:pStyle w:val="Corpodeparecer"/>
        <w:numPr>
          <w:ilvl w:val="0"/>
          <w:numId w:val="0"/>
        </w:numPr>
        <w:ind w:firstLine="1418"/>
        <w:rPr>
          <w:rFonts w:ascii="Garamond" w:hAnsi="Garamond"/>
          <w:sz w:val="28"/>
          <w:szCs w:val="28"/>
        </w:rPr>
      </w:pPr>
      <w:proofErr w:type="gramStart"/>
      <w:r w:rsidRPr="0019137C">
        <w:rPr>
          <w:rFonts w:ascii="Garamond" w:hAnsi="Garamond"/>
          <w:sz w:val="28"/>
          <w:szCs w:val="28"/>
        </w:rPr>
        <w:t>Em segundo lugar, é certo que a le</w:t>
      </w:r>
      <w:r w:rsidR="00E43F05">
        <w:rPr>
          <w:rFonts w:ascii="Garamond" w:hAnsi="Garamond"/>
          <w:sz w:val="28"/>
          <w:szCs w:val="28"/>
        </w:rPr>
        <w:t>i não permite outra leitura que</w:t>
      </w:r>
      <w:r w:rsidRPr="0019137C">
        <w:rPr>
          <w:rFonts w:ascii="Garamond" w:hAnsi="Garamond"/>
          <w:sz w:val="28"/>
          <w:szCs w:val="28"/>
        </w:rPr>
        <w:t xml:space="preserve"> não </w:t>
      </w:r>
      <w:r w:rsidR="00132250">
        <w:rPr>
          <w:rFonts w:ascii="Garamond" w:hAnsi="Garamond"/>
          <w:sz w:val="28"/>
          <w:szCs w:val="28"/>
        </w:rPr>
        <w:t xml:space="preserve">a </w:t>
      </w:r>
      <w:r w:rsidRPr="0019137C">
        <w:rPr>
          <w:rFonts w:ascii="Garamond" w:hAnsi="Garamond"/>
          <w:sz w:val="28"/>
          <w:szCs w:val="28"/>
        </w:rPr>
        <w:t xml:space="preserve">de que a concessão de bolsas aos autodeclarados negros e indígenas fica condicionada ao preenchimento dos requisitos do art. 1º e 2º da lei, isto é, as bolsas integrais serão concedidas somente a negros e indígenas cuja renda familiar mensal </w:t>
      </w:r>
      <w:r w:rsidRPr="00132250">
        <w:rPr>
          <w:rFonts w:ascii="Garamond" w:hAnsi="Garamond"/>
          <w:i/>
          <w:sz w:val="28"/>
          <w:szCs w:val="28"/>
        </w:rPr>
        <w:t>per capita</w:t>
      </w:r>
      <w:r w:rsidRPr="0019137C">
        <w:rPr>
          <w:rFonts w:ascii="Garamond" w:hAnsi="Garamond"/>
          <w:sz w:val="28"/>
          <w:szCs w:val="28"/>
        </w:rPr>
        <w:t xml:space="preserve"> não exceda o valor de até 1 (um) salário</w:t>
      </w:r>
      <w:r w:rsidR="00132250">
        <w:rPr>
          <w:rFonts w:ascii="Garamond" w:hAnsi="Garamond"/>
          <w:sz w:val="28"/>
          <w:szCs w:val="28"/>
        </w:rPr>
        <w:t xml:space="preserve"> </w:t>
      </w:r>
      <w:r w:rsidRPr="0019137C">
        <w:rPr>
          <w:rFonts w:ascii="Garamond" w:hAnsi="Garamond"/>
          <w:sz w:val="28"/>
          <w:szCs w:val="28"/>
        </w:rPr>
        <w:t>mínimo e ½ (meio);</w:t>
      </w:r>
      <w:proofErr w:type="gramEnd"/>
      <w:r w:rsidRPr="0019137C">
        <w:rPr>
          <w:rFonts w:ascii="Garamond" w:hAnsi="Garamond"/>
          <w:sz w:val="28"/>
          <w:szCs w:val="28"/>
        </w:rPr>
        <w:t xml:space="preserve"> e a</w:t>
      </w:r>
      <w:r>
        <w:rPr>
          <w:rFonts w:ascii="Garamond" w:hAnsi="Garamond"/>
          <w:sz w:val="28"/>
          <w:szCs w:val="28"/>
        </w:rPr>
        <w:t>s bolsas parciais de 50 % (cinqu</w:t>
      </w:r>
      <w:r w:rsidRPr="0019137C">
        <w:rPr>
          <w:rFonts w:ascii="Garamond" w:hAnsi="Garamond"/>
          <w:sz w:val="28"/>
          <w:szCs w:val="28"/>
        </w:rPr>
        <w:t xml:space="preserve">enta por cento) e de 25% (vinte e cinco por cento) serão concedidas àqueles cuja renda familiar mensal </w:t>
      </w:r>
      <w:r w:rsidRPr="00132250">
        <w:rPr>
          <w:rFonts w:ascii="Garamond" w:hAnsi="Garamond"/>
          <w:i/>
          <w:sz w:val="28"/>
          <w:szCs w:val="28"/>
        </w:rPr>
        <w:t>per capita</w:t>
      </w:r>
      <w:r w:rsidRPr="0019137C">
        <w:rPr>
          <w:rFonts w:ascii="Garamond" w:hAnsi="Garamond"/>
          <w:sz w:val="28"/>
          <w:szCs w:val="28"/>
        </w:rPr>
        <w:t xml:space="preserve"> não exceda o valor de </w:t>
      </w:r>
      <w:r>
        <w:rPr>
          <w:rFonts w:ascii="Garamond" w:hAnsi="Garamond"/>
          <w:sz w:val="28"/>
          <w:szCs w:val="28"/>
        </w:rPr>
        <w:t>até 3 (três) salários</w:t>
      </w:r>
      <w:r w:rsidR="00132250">
        <w:rPr>
          <w:rFonts w:ascii="Garamond" w:hAnsi="Garamond"/>
          <w:sz w:val="28"/>
          <w:szCs w:val="28"/>
        </w:rPr>
        <w:t xml:space="preserve"> </w:t>
      </w:r>
      <w:r>
        <w:rPr>
          <w:rFonts w:ascii="Garamond" w:hAnsi="Garamond"/>
          <w:sz w:val="28"/>
          <w:szCs w:val="28"/>
        </w:rPr>
        <w:t>mínimos; e, em qualquer</w:t>
      </w:r>
      <w:r w:rsidRPr="0019137C">
        <w:rPr>
          <w:rFonts w:ascii="Garamond" w:hAnsi="Garamond"/>
          <w:sz w:val="28"/>
          <w:szCs w:val="28"/>
        </w:rPr>
        <w:t xml:space="preserve"> caso, negros e indígenas deverão ter cursado o </w:t>
      </w:r>
      <w:r w:rsidR="00132250">
        <w:rPr>
          <w:rFonts w:ascii="Garamond" w:hAnsi="Garamond"/>
          <w:sz w:val="28"/>
          <w:szCs w:val="28"/>
        </w:rPr>
        <w:t>E</w:t>
      </w:r>
      <w:r w:rsidRPr="0019137C">
        <w:rPr>
          <w:rFonts w:ascii="Garamond" w:hAnsi="Garamond"/>
          <w:sz w:val="28"/>
          <w:szCs w:val="28"/>
        </w:rPr>
        <w:t xml:space="preserve">nsino </w:t>
      </w:r>
      <w:r w:rsidR="00132250">
        <w:rPr>
          <w:rFonts w:ascii="Garamond" w:hAnsi="Garamond"/>
          <w:sz w:val="28"/>
          <w:szCs w:val="28"/>
        </w:rPr>
        <w:t>M</w:t>
      </w:r>
      <w:r w:rsidRPr="0019137C">
        <w:rPr>
          <w:rFonts w:ascii="Garamond" w:hAnsi="Garamond"/>
          <w:sz w:val="28"/>
          <w:szCs w:val="28"/>
        </w:rPr>
        <w:t>édio completo em escola pública ou em instituições privadas na condição de bolsista integral. Na exposição de motivos do projeto de lei (fls. 117-118), assim está demonstrado:</w:t>
      </w:r>
    </w:p>
    <w:p w:rsidR="005D48FB" w:rsidRPr="00132250" w:rsidRDefault="005D48FB" w:rsidP="005D48FB">
      <w:pPr>
        <w:pStyle w:val="Citao"/>
        <w:rPr>
          <w:szCs w:val="24"/>
        </w:rPr>
      </w:pPr>
      <w:r w:rsidRPr="00132250">
        <w:rPr>
          <w:i/>
          <w:szCs w:val="24"/>
        </w:rPr>
        <w:t>“</w:t>
      </w:r>
      <w:r w:rsidRPr="00132250">
        <w:rPr>
          <w:szCs w:val="24"/>
        </w:rPr>
        <w:t xml:space="preserve">O Programa Universidade para Todos (PROUNI) visa democratizar o acesso da população de baixa renda ao </w:t>
      </w:r>
      <w:r w:rsidR="00C86AAB" w:rsidRPr="00132250">
        <w:rPr>
          <w:szCs w:val="24"/>
        </w:rPr>
        <w:t>Ensino Superior</w:t>
      </w:r>
      <w:r w:rsidRPr="00132250">
        <w:rPr>
          <w:szCs w:val="24"/>
        </w:rPr>
        <w:t xml:space="preserve">, pois, enquanto os alunos do ensino fundamental e médio estão majoritariamente matriculados em instituições públicas de ensino, o mesmo não acontece com os alunos matriculados no </w:t>
      </w:r>
      <w:r w:rsidR="00C86AAB" w:rsidRPr="00132250">
        <w:rPr>
          <w:szCs w:val="24"/>
        </w:rPr>
        <w:t>Ensino Superior</w:t>
      </w:r>
      <w:r w:rsidRPr="00132250">
        <w:rPr>
          <w:szCs w:val="24"/>
        </w:rPr>
        <w:t>, em que apenas 30% dos jovens universitários têm acesso ao ensino gratuito. (...</w:t>
      </w:r>
      <w:proofErr w:type="gramStart"/>
      <w:r w:rsidRPr="00132250">
        <w:rPr>
          <w:szCs w:val="24"/>
        </w:rPr>
        <w:t>)</w:t>
      </w:r>
      <w:proofErr w:type="gramEnd"/>
    </w:p>
    <w:p w:rsidR="005D48FB" w:rsidRPr="00132250" w:rsidRDefault="005D48FB" w:rsidP="005D48FB">
      <w:pPr>
        <w:pStyle w:val="Citao"/>
        <w:rPr>
          <w:i/>
          <w:szCs w:val="24"/>
        </w:rPr>
      </w:pPr>
      <w:r w:rsidRPr="00132250">
        <w:rPr>
          <w:szCs w:val="24"/>
        </w:rPr>
        <w:t>Logo, na medida em que o PROUNI incentiva as instituições privadas a oferecerem uma bolsa de estudo para cada nove alunos regulares, permite-se, assim, que estudantes de baixa renda, oriundos da rede pública de ensino básico, transponham a enorme barreira hoje colocada para os que terminam o ensino médio e sonham poder cursar a educação superior</w:t>
      </w:r>
      <w:r w:rsidRPr="00132250">
        <w:rPr>
          <w:i/>
          <w:szCs w:val="24"/>
        </w:rPr>
        <w:t>.</w:t>
      </w:r>
      <w:proofErr w:type="gramStart"/>
      <w:r w:rsidRPr="00132250">
        <w:rPr>
          <w:i/>
          <w:szCs w:val="24"/>
        </w:rPr>
        <w:t>”</w:t>
      </w:r>
      <w:proofErr w:type="gramEnd"/>
      <w:r w:rsidRPr="00132250">
        <w:rPr>
          <w:i/>
          <w:szCs w:val="24"/>
        </w:rPr>
        <w:t xml:space="preserve"> </w:t>
      </w:r>
    </w:p>
    <w:p w:rsidR="00E43F05" w:rsidRDefault="00E43F05" w:rsidP="005D48FB">
      <w:pPr>
        <w:pStyle w:val="Corpodeparecer"/>
        <w:numPr>
          <w:ilvl w:val="0"/>
          <w:numId w:val="0"/>
        </w:numPr>
        <w:ind w:firstLine="1418"/>
        <w:rPr>
          <w:rFonts w:ascii="Garamond" w:hAnsi="Garamond"/>
          <w:sz w:val="28"/>
          <w:szCs w:val="28"/>
        </w:rPr>
      </w:pPr>
    </w:p>
    <w:p w:rsidR="005D48FB" w:rsidRDefault="005D48FB" w:rsidP="005D48FB">
      <w:pPr>
        <w:pStyle w:val="Corpodeparecer"/>
        <w:numPr>
          <w:ilvl w:val="0"/>
          <w:numId w:val="0"/>
        </w:numPr>
        <w:ind w:firstLine="1418"/>
        <w:rPr>
          <w:rFonts w:ascii="Garamond" w:hAnsi="Garamond"/>
          <w:sz w:val="28"/>
          <w:szCs w:val="28"/>
        </w:rPr>
      </w:pPr>
      <w:r>
        <w:rPr>
          <w:rFonts w:ascii="Garamond" w:hAnsi="Garamond"/>
          <w:sz w:val="28"/>
          <w:szCs w:val="28"/>
        </w:rPr>
        <w:t>Portanto, apesar de aparentemente estipular o critério exclusivamente racial para a concessão de bolsas de estudo, tal como quis fazer crer a entidade requerente, a lei do PROUNI</w:t>
      </w:r>
      <w:r w:rsidR="00132250">
        <w:rPr>
          <w:rFonts w:ascii="Garamond" w:hAnsi="Garamond"/>
          <w:sz w:val="28"/>
          <w:szCs w:val="28"/>
        </w:rPr>
        <w:t>,</w:t>
      </w:r>
      <w:r>
        <w:rPr>
          <w:rFonts w:ascii="Garamond" w:hAnsi="Garamond"/>
          <w:sz w:val="28"/>
          <w:szCs w:val="28"/>
        </w:rPr>
        <w:t xml:space="preserve"> em verdade</w:t>
      </w:r>
      <w:r w:rsidR="00132250">
        <w:rPr>
          <w:rFonts w:ascii="Garamond" w:hAnsi="Garamond"/>
          <w:sz w:val="28"/>
          <w:szCs w:val="28"/>
        </w:rPr>
        <w:t>,</w:t>
      </w:r>
      <w:r>
        <w:rPr>
          <w:rFonts w:ascii="Garamond" w:hAnsi="Garamond"/>
          <w:sz w:val="28"/>
          <w:szCs w:val="28"/>
        </w:rPr>
        <w:t xml:space="preserve"> estabelece o </w:t>
      </w:r>
      <w:r w:rsidRPr="00A974E4">
        <w:rPr>
          <w:rFonts w:ascii="Garamond" w:hAnsi="Garamond"/>
          <w:b/>
          <w:sz w:val="28"/>
          <w:szCs w:val="28"/>
        </w:rPr>
        <w:t>critério da renda do aluno</w:t>
      </w:r>
      <w:r>
        <w:rPr>
          <w:rFonts w:ascii="Garamond" w:hAnsi="Garamond"/>
          <w:sz w:val="28"/>
          <w:szCs w:val="28"/>
        </w:rPr>
        <w:t xml:space="preserve"> como requisito essencial para a concessão dessas bolsas. </w:t>
      </w:r>
    </w:p>
    <w:p w:rsidR="005D48FB" w:rsidRPr="00847A7A" w:rsidRDefault="005D48FB" w:rsidP="005D48FB">
      <w:pPr>
        <w:spacing w:before="240" w:line="360" w:lineRule="auto"/>
        <w:ind w:firstLine="1259"/>
        <w:jc w:val="both"/>
        <w:rPr>
          <w:rFonts w:ascii="Garamond" w:hAnsi="Garamond" w:cs="Courier New"/>
          <w:sz w:val="28"/>
          <w:szCs w:val="28"/>
        </w:rPr>
      </w:pPr>
      <w:r>
        <w:rPr>
          <w:rFonts w:ascii="Garamond" w:hAnsi="Garamond" w:cs="Courier New"/>
          <w:sz w:val="28"/>
          <w:szCs w:val="28"/>
        </w:rPr>
        <w:lastRenderedPageBreak/>
        <w:t>Fosse o critério da raça o único a ser erigido pela lei como requisito de distinção para fins de concessão da bolsa, certamente teríamos</w:t>
      </w:r>
      <w:r w:rsidR="00E43F05">
        <w:rPr>
          <w:rFonts w:ascii="Garamond" w:hAnsi="Garamond" w:cs="Courier New"/>
          <w:sz w:val="28"/>
          <w:szCs w:val="28"/>
        </w:rPr>
        <w:t xml:space="preserve"> caso muito mais polêmico.</w:t>
      </w:r>
      <w:r>
        <w:rPr>
          <w:rFonts w:ascii="Garamond" w:hAnsi="Garamond" w:cs="Courier New"/>
          <w:sz w:val="28"/>
          <w:szCs w:val="28"/>
        </w:rPr>
        <w:t xml:space="preserve"> Sobre o assunto, n</w:t>
      </w:r>
      <w:r w:rsidRPr="00847A7A">
        <w:rPr>
          <w:rFonts w:ascii="Garamond" w:hAnsi="Garamond" w:cs="Courier New"/>
          <w:sz w:val="28"/>
          <w:szCs w:val="28"/>
        </w:rPr>
        <w:t xml:space="preserve">unca é demais esclarecer que a ciência contemporânea, por meio de pesquisas genéticas, comprovou a inexistência de “raças” humanas. Os estudos do genoma humano comprovam a existência de uma única espécie dividida em bilhões de indivíduos únicos: </w:t>
      </w:r>
      <w:r w:rsidRPr="00847A7A">
        <w:rPr>
          <w:rFonts w:ascii="Garamond" w:hAnsi="Garamond" w:cs="Courier New"/>
          <w:i/>
          <w:sz w:val="28"/>
          <w:szCs w:val="28"/>
        </w:rPr>
        <w:t>“somos todos muito parecidos e, ao mesmo tempo, muito diferentes”</w:t>
      </w:r>
      <w:r w:rsidRPr="00847A7A">
        <w:rPr>
          <w:rFonts w:ascii="Garamond" w:hAnsi="Garamond" w:cs="Courier New"/>
          <w:sz w:val="28"/>
          <w:szCs w:val="28"/>
        </w:rPr>
        <w:t xml:space="preserve"> (Cfr.: PENA, Sérgio D. J. </w:t>
      </w:r>
      <w:r w:rsidRPr="00847A7A">
        <w:rPr>
          <w:rFonts w:ascii="Garamond" w:hAnsi="Garamond" w:cs="Courier New"/>
          <w:i/>
          <w:sz w:val="28"/>
          <w:szCs w:val="28"/>
        </w:rPr>
        <w:t>Humanidade Sem Raças?</w:t>
      </w:r>
      <w:r w:rsidRPr="00847A7A">
        <w:rPr>
          <w:rFonts w:ascii="Garamond" w:hAnsi="Garamond" w:cs="Courier New"/>
          <w:sz w:val="28"/>
          <w:szCs w:val="28"/>
        </w:rPr>
        <w:t xml:space="preserve"> Série 21, </w:t>
      </w:r>
      <w:proofErr w:type="spellStart"/>
      <w:r w:rsidRPr="00847A7A">
        <w:rPr>
          <w:rFonts w:ascii="Garamond" w:hAnsi="Garamond" w:cs="Courier New"/>
          <w:sz w:val="28"/>
          <w:szCs w:val="28"/>
        </w:rPr>
        <w:t>Publifolha</w:t>
      </w:r>
      <w:proofErr w:type="spellEnd"/>
      <w:r w:rsidRPr="00847A7A">
        <w:rPr>
          <w:rFonts w:ascii="Garamond" w:hAnsi="Garamond" w:cs="Courier New"/>
          <w:sz w:val="28"/>
          <w:szCs w:val="28"/>
        </w:rPr>
        <w:t>, p. 11.).</w:t>
      </w:r>
    </w:p>
    <w:p w:rsidR="005D48FB" w:rsidRPr="00847A7A" w:rsidRDefault="005D48FB" w:rsidP="005D48FB">
      <w:pPr>
        <w:spacing w:before="240" w:line="360" w:lineRule="auto"/>
        <w:ind w:firstLine="1418"/>
        <w:jc w:val="both"/>
        <w:rPr>
          <w:rFonts w:ascii="Garamond" w:hAnsi="Garamond" w:cs="Courier New"/>
          <w:sz w:val="28"/>
          <w:szCs w:val="28"/>
        </w:rPr>
      </w:pPr>
      <w:r w:rsidRPr="00847A7A">
        <w:rPr>
          <w:rFonts w:ascii="Garamond" w:hAnsi="Garamond" w:cs="Courier New"/>
          <w:sz w:val="28"/>
          <w:szCs w:val="28"/>
        </w:rPr>
        <w:t xml:space="preserve">Este Supremo Tribunal Federal, inclusive, no histórico julgamento do </w:t>
      </w:r>
      <w:r w:rsidRPr="00AC17A6">
        <w:rPr>
          <w:rFonts w:ascii="Garamond" w:hAnsi="Garamond" w:cs="Courier New"/>
          <w:i/>
          <w:sz w:val="28"/>
          <w:szCs w:val="28"/>
        </w:rPr>
        <w:t>Habeas Corpus</w:t>
      </w:r>
      <w:r w:rsidRPr="00847A7A">
        <w:rPr>
          <w:rFonts w:ascii="Garamond" w:hAnsi="Garamond" w:cs="Courier New"/>
          <w:sz w:val="28"/>
          <w:szCs w:val="28"/>
        </w:rPr>
        <w:t xml:space="preserve"> </w:t>
      </w:r>
      <w:r w:rsidR="00C86AAB">
        <w:rPr>
          <w:rFonts w:ascii="Garamond" w:hAnsi="Garamond" w:cs="Courier New"/>
          <w:sz w:val="28"/>
          <w:szCs w:val="28"/>
        </w:rPr>
        <w:t>n.º</w:t>
      </w:r>
      <w:r w:rsidRPr="00847A7A">
        <w:rPr>
          <w:rFonts w:ascii="Garamond" w:hAnsi="Garamond" w:cs="Courier New"/>
          <w:sz w:val="28"/>
          <w:szCs w:val="28"/>
        </w:rPr>
        <w:t xml:space="preserve"> 82.424-2/RS, frisou a inexistência de subdivisões raciais entre indivíduos.</w:t>
      </w:r>
    </w:p>
    <w:p w:rsidR="005D48FB" w:rsidRPr="00847A7A" w:rsidRDefault="005D48FB" w:rsidP="005D48FB">
      <w:pPr>
        <w:spacing w:before="240" w:line="360" w:lineRule="auto"/>
        <w:ind w:firstLine="1418"/>
        <w:jc w:val="both"/>
        <w:rPr>
          <w:rFonts w:ascii="Garamond" w:hAnsi="Garamond" w:cs="Courier New"/>
          <w:sz w:val="28"/>
          <w:szCs w:val="28"/>
        </w:rPr>
      </w:pPr>
      <w:r w:rsidRPr="00847A7A">
        <w:rPr>
          <w:rFonts w:ascii="Garamond" w:hAnsi="Garamond" w:cs="Courier New"/>
          <w:sz w:val="28"/>
          <w:szCs w:val="28"/>
        </w:rPr>
        <w:t xml:space="preserve">A noção de “raça”, que insiste em dividir e classificar os seres humanos em “categorias”, </w:t>
      </w:r>
      <w:proofErr w:type="gramStart"/>
      <w:r w:rsidRPr="00847A7A">
        <w:rPr>
          <w:rFonts w:ascii="Garamond" w:hAnsi="Garamond" w:cs="Courier New"/>
          <w:sz w:val="28"/>
          <w:szCs w:val="28"/>
        </w:rPr>
        <w:t>resulta</w:t>
      </w:r>
      <w:proofErr w:type="gramEnd"/>
      <w:r w:rsidRPr="00847A7A">
        <w:rPr>
          <w:rFonts w:ascii="Garamond" w:hAnsi="Garamond" w:cs="Courier New"/>
          <w:sz w:val="28"/>
          <w:szCs w:val="28"/>
        </w:rPr>
        <w:t xml:space="preserve"> de um processo político-social que, ao longo da história, originou o racismo, a discriminação e o preconceito segregacionista. Como explica </w:t>
      </w:r>
      <w:proofErr w:type="spellStart"/>
      <w:r w:rsidRPr="00847A7A">
        <w:rPr>
          <w:rFonts w:ascii="Garamond" w:hAnsi="Garamond" w:cs="Courier New"/>
          <w:sz w:val="28"/>
          <w:szCs w:val="28"/>
        </w:rPr>
        <w:t>Joaze</w:t>
      </w:r>
      <w:proofErr w:type="spellEnd"/>
      <w:r w:rsidRPr="00847A7A">
        <w:rPr>
          <w:rFonts w:ascii="Garamond" w:hAnsi="Garamond" w:cs="Courier New"/>
          <w:sz w:val="28"/>
          <w:szCs w:val="28"/>
        </w:rPr>
        <w:t xml:space="preserve"> Bernardino, </w:t>
      </w:r>
      <w:r w:rsidRPr="00847A7A">
        <w:rPr>
          <w:rFonts w:ascii="Garamond" w:hAnsi="Garamond" w:cs="Courier New"/>
          <w:i/>
          <w:sz w:val="28"/>
          <w:szCs w:val="28"/>
        </w:rPr>
        <w:t>“a categoria raça é uma construção sociológica, que por esse motivo sofrerá variações de acordo com a realidade histórica em que ela for utilizada”</w:t>
      </w:r>
      <w:r w:rsidRPr="00847A7A">
        <w:rPr>
          <w:rFonts w:ascii="Garamond" w:hAnsi="Garamond" w:cs="Courier New"/>
          <w:sz w:val="28"/>
          <w:szCs w:val="28"/>
        </w:rPr>
        <w:t xml:space="preserve">. Em razão disso, uma pessoa pode ser considerada branca num contexto social e negra em outro, como ocorre com </w:t>
      </w:r>
      <w:r w:rsidRPr="00847A7A">
        <w:rPr>
          <w:rFonts w:ascii="Garamond" w:hAnsi="Garamond" w:cs="Courier New"/>
          <w:i/>
          <w:sz w:val="28"/>
          <w:szCs w:val="28"/>
        </w:rPr>
        <w:t>“alguns brasileiros brancos que são tratados como negros nos Estados Unidos”</w:t>
      </w:r>
      <w:r w:rsidRPr="00847A7A">
        <w:rPr>
          <w:rFonts w:ascii="Garamond" w:hAnsi="Garamond" w:cs="Courier New"/>
          <w:sz w:val="28"/>
          <w:szCs w:val="28"/>
        </w:rPr>
        <w:t xml:space="preserve"> (BERNARDINO, </w:t>
      </w:r>
      <w:proofErr w:type="spellStart"/>
      <w:r w:rsidRPr="00847A7A">
        <w:rPr>
          <w:rFonts w:ascii="Garamond" w:hAnsi="Garamond" w:cs="Courier New"/>
          <w:sz w:val="28"/>
          <w:szCs w:val="28"/>
        </w:rPr>
        <w:t>Joaze</w:t>
      </w:r>
      <w:proofErr w:type="spellEnd"/>
      <w:r w:rsidRPr="00847A7A">
        <w:rPr>
          <w:rFonts w:ascii="Garamond" w:hAnsi="Garamond" w:cs="Courier New"/>
          <w:sz w:val="28"/>
          <w:szCs w:val="28"/>
        </w:rPr>
        <w:t xml:space="preserve">. Levando a raça a sério: ação afirmativa e correto reconhecimento, In: </w:t>
      </w:r>
      <w:r w:rsidRPr="00847A7A">
        <w:rPr>
          <w:rFonts w:ascii="Garamond" w:hAnsi="Garamond" w:cs="Courier New"/>
          <w:i/>
          <w:sz w:val="28"/>
          <w:szCs w:val="28"/>
        </w:rPr>
        <w:t>Levando a raça a sério: ação afirmativa e universidade</w:t>
      </w:r>
      <w:r w:rsidRPr="00847A7A">
        <w:rPr>
          <w:rFonts w:ascii="Garamond" w:hAnsi="Garamond" w:cs="Courier New"/>
          <w:sz w:val="28"/>
          <w:szCs w:val="28"/>
        </w:rPr>
        <w:t xml:space="preserve">. Rio de Janeiro: DP&amp;A, 2004, p. 19-20). </w:t>
      </w:r>
    </w:p>
    <w:p w:rsidR="005D48FB" w:rsidRPr="00847A7A" w:rsidRDefault="005D48FB" w:rsidP="005D48FB">
      <w:pPr>
        <w:spacing w:before="240" w:line="360" w:lineRule="auto"/>
        <w:ind w:firstLine="1440"/>
        <w:jc w:val="both"/>
        <w:rPr>
          <w:rFonts w:ascii="Garamond" w:hAnsi="Garamond" w:cs="Courier New"/>
          <w:sz w:val="28"/>
          <w:szCs w:val="28"/>
        </w:rPr>
      </w:pPr>
      <w:r w:rsidRPr="00847A7A">
        <w:rPr>
          <w:rFonts w:ascii="Garamond" w:hAnsi="Garamond" w:cs="Courier New"/>
          <w:sz w:val="28"/>
          <w:szCs w:val="28"/>
        </w:rPr>
        <w:t xml:space="preserve">De toda forma, é preciso enfatizar que, enquanto em muitos países o preconceito sempre foi uma questão étnica, no Brasil o problema vem associado a outros vários fatores, entre os quais sobressai a posição ou o </w:t>
      </w:r>
      <w:r w:rsidRPr="00847A7A">
        <w:rPr>
          <w:rFonts w:ascii="Garamond" w:hAnsi="Garamond" w:cs="Courier New"/>
          <w:i/>
          <w:sz w:val="28"/>
          <w:szCs w:val="28"/>
        </w:rPr>
        <w:t>status</w:t>
      </w:r>
      <w:r w:rsidRPr="00847A7A">
        <w:rPr>
          <w:rFonts w:ascii="Garamond" w:hAnsi="Garamond" w:cs="Courier New"/>
          <w:sz w:val="28"/>
          <w:szCs w:val="28"/>
        </w:rPr>
        <w:t xml:space="preserve"> cultural, social e econômico do indivíduo. Como já </w:t>
      </w:r>
      <w:proofErr w:type="gramStart"/>
      <w:r w:rsidRPr="00847A7A">
        <w:rPr>
          <w:rFonts w:ascii="Garamond" w:hAnsi="Garamond" w:cs="Courier New"/>
          <w:sz w:val="28"/>
          <w:szCs w:val="28"/>
        </w:rPr>
        <w:t>escrevia</w:t>
      </w:r>
      <w:r w:rsidR="00AC17A6">
        <w:rPr>
          <w:rFonts w:ascii="Garamond" w:hAnsi="Garamond" w:cs="Courier New"/>
          <w:sz w:val="28"/>
          <w:szCs w:val="28"/>
        </w:rPr>
        <w:t>,</w:t>
      </w:r>
      <w:proofErr w:type="gramEnd"/>
      <w:r w:rsidRPr="00847A7A">
        <w:rPr>
          <w:rFonts w:ascii="Garamond" w:hAnsi="Garamond" w:cs="Courier New"/>
          <w:sz w:val="28"/>
          <w:szCs w:val="28"/>
        </w:rPr>
        <w:t xml:space="preserve"> nos idos da década de 40 do século passado</w:t>
      </w:r>
      <w:r w:rsidR="00AC17A6">
        <w:rPr>
          <w:rFonts w:ascii="Garamond" w:hAnsi="Garamond" w:cs="Courier New"/>
          <w:sz w:val="28"/>
          <w:szCs w:val="28"/>
        </w:rPr>
        <w:t>,</w:t>
      </w:r>
      <w:r w:rsidRPr="00847A7A">
        <w:rPr>
          <w:rFonts w:ascii="Garamond" w:hAnsi="Garamond" w:cs="Courier New"/>
          <w:sz w:val="28"/>
          <w:szCs w:val="28"/>
        </w:rPr>
        <w:t xml:space="preserve"> Caio Prado Júnior, célebre historiador brasileiro, </w:t>
      </w:r>
      <w:r w:rsidRPr="00847A7A">
        <w:rPr>
          <w:rFonts w:ascii="Garamond" w:hAnsi="Garamond" w:cs="Courier New"/>
          <w:i/>
          <w:sz w:val="28"/>
          <w:szCs w:val="28"/>
        </w:rPr>
        <w:t xml:space="preserve">“a classificação étnica do indivíduo se faz no Brasil muito mais pela sua posição </w:t>
      </w:r>
      <w:r w:rsidRPr="00847A7A">
        <w:rPr>
          <w:rFonts w:ascii="Garamond" w:hAnsi="Garamond" w:cs="Courier New"/>
          <w:i/>
          <w:sz w:val="28"/>
          <w:szCs w:val="28"/>
        </w:rPr>
        <w:lastRenderedPageBreak/>
        <w:t>social; e a raça, pelo menos nas classes superiores, é mais função daquela posição que dos caracteres somáticos”</w:t>
      </w:r>
      <w:r w:rsidRPr="00847A7A">
        <w:rPr>
          <w:rFonts w:ascii="Garamond" w:hAnsi="Garamond" w:cs="Courier New"/>
          <w:sz w:val="28"/>
          <w:szCs w:val="28"/>
        </w:rPr>
        <w:t xml:space="preserve"> (PRADO JÚNIOR, Caio. </w:t>
      </w:r>
      <w:r w:rsidRPr="00847A7A">
        <w:rPr>
          <w:rFonts w:ascii="Garamond" w:hAnsi="Garamond" w:cs="Courier New"/>
          <w:i/>
          <w:sz w:val="28"/>
          <w:szCs w:val="28"/>
        </w:rPr>
        <w:t>Formação do Brasil Contemporâneo</w:t>
      </w:r>
      <w:r w:rsidRPr="00847A7A">
        <w:rPr>
          <w:rFonts w:ascii="Garamond" w:hAnsi="Garamond" w:cs="Courier New"/>
          <w:sz w:val="28"/>
          <w:szCs w:val="28"/>
        </w:rPr>
        <w:t>. São Paulo: Brasiliense; 2006, p. 109).</w:t>
      </w:r>
    </w:p>
    <w:p w:rsidR="00AC17A6" w:rsidRDefault="005D48FB" w:rsidP="005D48FB">
      <w:pPr>
        <w:spacing w:before="240" w:line="360" w:lineRule="auto"/>
        <w:ind w:firstLine="1440"/>
        <w:jc w:val="both"/>
        <w:rPr>
          <w:rFonts w:ascii="Garamond" w:hAnsi="Garamond" w:cs="Courier New"/>
          <w:sz w:val="28"/>
          <w:szCs w:val="28"/>
        </w:rPr>
      </w:pPr>
      <w:r w:rsidRPr="00847A7A">
        <w:rPr>
          <w:rFonts w:ascii="Garamond" w:hAnsi="Garamond" w:cs="Courier New"/>
          <w:sz w:val="28"/>
          <w:szCs w:val="28"/>
        </w:rPr>
        <w:t xml:space="preserve">Desde a abolição da escravatura – um dos fatos mais importantes da história de afirmação e efetivação dos direitos fundamentais no Brasil –, não há notícia de que o Estado brasileiro tenha se utilizado do critério racial para realizar diferenciação legal entre seus cidadãos. Esse é um fator de relevo que distingue o debate sobre o tema no Brasil. Nos Estados Unidos, por exemplo, existiu um sistema institucionalizado de discriminação racial estimulado pela sociedade e pelo próprio Estado, por seus Poderes Executivo, Legislativo e Judiciário, em seus diferentes níveis. A segregação entre negros e brancos foi amplamente implementada pelo denominado sistema </w:t>
      </w:r>
      <w:r w:rsidRPr="00847A7A">
        <w:rPr>
          <w:rFonts w:ascii="Garamond" w:hAnsi="Garamond" w:cs="Courier New"/>
          <w:i/>
          <w:sz w:val="28"/>
          <w:szCs w:val="28"/>
        </w:rPr>
        <w:t>Jim Crow</w:t>
      </w:r>
      <w:r w:rsidRPr="00847A7A">
        <w:rPr>
          <w:rFonts w:ascii="Garamond" w:hAnsi="Garamond" w:cs="Courier New"/>
          <w:sz w:val="28"/>
          <w:szCs w:val="28"/>
        </w:rPr>
        <w:t xml:space="preserve"> e legitimada durante várias décadas pela doutrina do “separados</w:t>
      </w:r>
      <w:proofErr w:type="gramStart"/>
      <w:r w:rsidRPr="00847A7A">
        <w:rPr>
          <w:rFonts w:ascii="Garamond" w:hAnsi="Garamond" w:cs="Courier New"/>
          <w:sz w:val="28"/>
          <w:szCs w:val="28"/>
        </w:rPr>
        <w:t xml:space="preserve"> mas</w:t>
      </w:r>
      <w:proofErr w:type="gramEnd"/>
      <w:r w:rsidRPr="00847A7A">
        <w:rPr>
          <w:rFonts w:ascii="Garamond" w:hAnsi="Garamond" w:cs="Courier New"/>
          <w:sz w:val="28"/>
          <w:szCs w:val="28"/>
        </w:rPr>
        <w:t xml:space="preserve"> iguais” (</w:t>
      </w:r>
      <w:proofErr w:type="spellStart"/>
      <w:r w:rsidRPr="00847A7A">
        <w:rPr>
          <w:rFonts w:ascii="Garamond" w:hAnsi="Garamond" w:cs="Courier New"/>
          <w:i/>
          <w:sz w:val="28"/>
          <w:szCs w:val="28"/>
        </w:rPr>
        <w:t>separate</w:t>
      </w:r>
      <w:proofErr w:type="spellEnd"/>
      <w:r w:rsidRPr="00847A7A">
        <w:rPr>
          <w:rFonts w:ascii="Garamond" w:hAnsi="Garamond" w:cs="Courier New"/>
          <w:i/>
          <w:sz w:val="28"/>
          <w:szCs w:val="28"/>
        </w:rPr>
        <w:t xml:space="preserve"> </w:t>
      </w:r>
      <w:proofErr w:type="spellStart"/>
      <w:r w:rsidRPr="00847A7A">
        <w:rPr>
          <w:rFonts w:ascii="Garamond" w:hAnsi="Garamond" w:cs="Courier New"/>
          <w:i/>
          <w:sz w:val="28"/>
          <w:szCs w:val="28"/>
        </w:rPr>
        <w:t>but</w:t>
      </w:r>
      <w:proofErr w:type="spellEnd"/>
      <w:r w:rsidRPr="00847A7A">
        <w:rPr>
          <w:rFonts w:ascii="Garamond" w:hAnsi="Garamond" w:cs="Courier New"/>
          <w:i/>
          <w:sz w:val="28"/>
          <w:szCs w:val="28"/>
        </w:rPr>
        <w:t xml:space="preserve"> </w:t>
      </w:r>
      <w:proofErr w:type="spellStart"/>
      <w:r w:rsidRPr="00847A7A">
        <w:rPr>
          <w:rFonts w:ascii="Garamond" w:hAnsi="Garamond" w:cs="Courier New"/>
          <w:i/>
          <w:sz w:val="28"/>
          <w:szCs w:val="28"/>
        </w:rPr>
        <w:t>equal</w:t>
      </w:r>
      <w:proofErr w:type="spellEnd"/>
      <w:r w:rsidRPr="00847A7A">
        <w:rPr>
          <w:rFonts w:ascii="Garamond" w:hAnsi="Garamond" w:cs="Courier New"/>
          <w:sz w:val="28"/>
          <w:szCs w:val="28"/>
        </w:rPr>
        <w:t xml:space="preserve">), criada pela famosa decisão da Suprema Corte nos caso </w:t>
      </w:r>
      <w:proofErr w:type="spellStart"/>
      <w:r w:rsidRPr="00847A7A">
        <w:rPr>
          <w:rFonts w:ascii="Garamond" w:hAnsi="Garamond" w:cs="Courier New"/>
          <w:i/>
          <w:sz w:val="28"/>
          <w:szCs w:val="28"/>
        </w:rPr>
        <w:t>Plessy</w:t>
      </w:r>
      <w:proofErr w:type="spellEnd"/>
      <w:r w:rsidRPr="00847A7A">
        <w:rPr>
          <w:rFonts w:ascii="Garamond" w:hAnsi="Garamond" w:cs="Courier New"/>
          <w:i/>
          <w:sz w:val="28"/>
          <w:szCs w:val="28"/>
        </w:rPr>
        <w:t xml:space="preserve"> vs. Ferguson </w:t>
      </w:r>
      <w:r w:rsidRPr="00847A7A">
        <w:rPr>
          <w:rFonts w:ascii="Garamond" w:hAnsi="Garamond" w:cs="Courier New"/>
          <w:sz w:val="28"/>
          <w:szCs w:val="28"/>
        </w:rPr>
        <w:t xml:space="preserve">(163 U.S 537 1896). </w:t>
      </w:r>
    </w:p>
    <w:p w:rsidR="00AC17A6" w:rsidRDefault="005D48FB" w:rsidP="005D48FB">
      <w:pPr>
        <w:spacing w:before="240" w:line="360" w:lineRule="auto"/>
        <w:ind w:firstLine="1440"/>
        <w:jc w:val="both"/>
        <w:rPr>
          <w:rFonts w:ascii="Garamond" w:hAnsi="Garamond" w:cs="Courier New"/>
          <w:sz w:val="28"/>
          <w:szCs w:val="28"/>
        </w:rPr>
      </w:pPr>
      <w:r w:rsidRPr="00847A7A">
        <w:rPr>
          <w:rFonts w:ascii="Garamond" w:hAnsi="Garamond" w:cs="Courier New"/>
          <w:sz w:val="28"/>
          <w:szCs w:val="28"/>
        </w:rPr>
        <w:t xml:space="preserve">Com base nesse sistema legal segregacionista, os negros foram proibidos de frequentar as mesmas escolas que os brancos, </w:t>
      </w:r>
      <w:proofErr w:type="gramStart"/>
      <w:r w:rsidRPr="00847A7A">
        <w:rPr>
          <w:rFonts w:ascii="Garamond" w:hAnsi="Garamond" w:cs="Courier New"/>
          <w:sz w:val="28"/>
          <w:szCs w:val="28"/>
        </w:rPr>
        <w:t>comer nos</w:t>
      </w:r>
      <w:proofErr w:type="gramEnd"/>
      <w:r w:rsidRPr="00847A7A">
        <w:rPr>
          <w:rFonts w:ascii="Garamond" w:hAnsi="Garamond" w:cs="Courier New"/>
          <w:sz w:val="28"/>
          <w:szCs w:val="28"/>
        </w:rPr>
        <w:t xml:space="preserve"> mesmos restaurantes e lanchonetes, morar em determinados bairros, ser proprietários ou locatários de imóveis pertencentes a brancos, utilizar os mesmos transportes públicos, teatros, banheiros etc., casar com brancos, votar e ser votados e, enfim, de ser cidadãos dos Estados Unidos da América. </w:t>
      </w:r>
    </w:p>
    <w:p w:rsidR="005D48FB" w:rsidRPr="00847A7A" w:rsidRDefault="005D48FB" w:rsidP="005D48FB">
      <w:pPr>
        <w:spacing w:before="240" w:line="360" w:lineRule="auto"/>
        <w:ind w:firstLine="1440"/>
        <w:jc w:val="both"/>
        <w:rPr>
          <w:rFonts w:ascii="Garamond" w:hAnsi="Garamond" w:cs="Courier New"/>
          <w:sz w:val="28"/>
          <w:szCs w:val="28"/>
        </w:rPr>
      </w:pPr>
      <w:r w:rsidRPr="00847A7A">
        <w:rPr>
          <w:rFonts w:ascii="Garamond" w:hAnsi="Garamond" w:cs="Courier New"/>
          <w:sz w:val="28"/>
          <w:szCs w:val="28"/>
        </w:rPr>
        <w:t xml:space="preserve">Foi nesse específico contexto de cruel discriminação contra os negros que surgiram as ações afirmativas como uma espécie de mecanismo emergencial de inclusão e integração social dos grupos minoritários e de solução para os conflitos sociais que se alastravam por todo o país na década de 60. </w:t>
      </w:r>
    </w:p>
    <w:p w:rsidR="005D48FB" w:rsidRPr="00847A7A" w:rsidRDefault="005D48FB" w:rsidP="005D48FB">
      <w:pPr>
        <w:spacing w:before="240" w:line="360" w:lineRule="auto"/>
        <w:ind w:firstLine="1440"/>
        <w:jc w:val="both"/>
        <w:rPr>
          <w:rFonts w:ascii="Garamond" w:hAnsi="Garamond" w:cs="Courier New"/>
          <w:sz w:val="28"/>
          <w:szCs w:val="28"/>
        </w:rPr>
      </w:pPr>
      <w:r w:rsidRPr="00847A7A">
        <w:rPr>
          <w:rFonts w:ascii="Garamond" w:hAnsi="Garamond" w:cs="Courier New"/>
          <w:sz w:val="28"/>
          <w:szCs w:val="28"/>
        </w:rPr>
        <w:lastRenderedPageBreak/>
        <w:t xml:space="preserve">Assim, não se pode deixar de considerar que o preconceito racial existente no Brasil nunca chegou a se transformar numa espécie de ódio racial coletivo, tampouco ensejou o surgimento de organizações contrárias aos negros, como a </w:t>
      </w:r>
      <w:proofErr w:type="spellStart"/>
      <w:r w:rsidRPr="00847A7A">
        <w:rPr>
          <w:rFonts w:ascii="Garamond" w:hAnsi="Garamond" w:cs="Courier New"/>
          <w:sz w:val="28"/>
          <w:szCs w:val="28"/>
        </w:rPr>
        <w:t>Ku</w:t>
      </w:r>
      <w:proofErr w:type="spellEnd"/>
      <w:r w:rsidRPr="00847A7A">
        <w:rPr>
          <w:rFonts w:ascii="Garamond" w:hAnsi="Garamond" w:cs="Courier New"/>
          <w:sz w:val="28"/>
          <w:szCs w:val="28"/>
        </w:rPr>
        <w:t xml:space="preserve"> </w:t>
      </w:r>
      <w:proofErr w:type="spellStart"/>
      <w:r w:rsidRPr="00847A7A">
        <w:rPr>
          <w:rFonts w:ascii="Garamond" w:hAnsi="Garamond" w:cs="Courier New"/>
          <w:sz w:val="28"/>
          <w:szCs w:val="28"/>
        </w:rPr>
        <w:t>Klux</w:t>
      </w:r>
      <w:proofErr w:type="spellEnd"/>
      <w:r w:rsidRPr="00847A7A">
        <w:rPr>
          <w:rFonts w:ascii="Garamond" w:hAnsi="Garamond" w:cs="Courier New"/>
          <w:sz w:val="28"/>
          <w:szCs w:val="28"/>
        </w:rPr>
        <w:t xml:space="preserve"> </w:t>
      </w:r>
      <w:proofErr w:type="spellStart"/>
      <w:r w:rsidRPr="00847A7A">
        <w:rPr>
          <w:rFonts w:ascii="Garamond" w:hAnsi="Garamond" w:cs="Courier New"/>
          <w:sz w:val="28"/>
          <w:szCs w:val="28"/>
        </w:rPr>
        <w:t>Klan</w:t>
      </w:r>
      <w:proofErr w:type="spellEnd"/>
      <w:r w:rsidRPr="00847A7A">
        <w:rPr>
          <w:rFonts w:ascii="Garamond" w:hAnsi="Garamond" w:cs="Courier New"/>
          <w:sz w:val="28"/>
          <w:szCs w:val="28"/>
        </w:rPr>
        <w:t xml:space="preserve"> e os Conselhos de Cidadãos Brancos, tal como ocorrido nos Estados Unidos. Na República Brasileira, nunca houve formas de segregação </w:t>
      </w:r>
      <w:proofErr w:type="gramStart"/>
      <w:r w:rsidRPr="00847A7A">
        <w:rPr>
          <w:rFonts w:ascii="Garamond" w:hAnsi="Garamond" w:cs="Courier New"/>
          <w:sz w:val="28"/>
          <w:szCs w:val="28"/>
        </w:rPr>
        <w:t>racial legitimadas pelo próprio Estado</w:t>
      </w:r>
      <w:proofErr w:type="gramEnd"/>
      <w:r w:rsidRPr="00847A7A">
        <w:rPr>
          <w:rFonts w:ascii="Garamond" w:hAnsi="Garamond" w:cs="Courier New"/>
          <w:sz w:val="28"/>
          <w:szCs w:val="28"/>
        </w:rPr>
        <w:t xml:space="preserve">. </w:t>
      </w:r>
    </w:p>
    <w:p w:rsidR="005D48FB" w:rsidRPr="00A974E4" w:rsidRDefault="005D48FB" w:rsidP="005D48FB">
      <w:pPr>
        <w:spacing w:before="240" w:line="360" w:lineRule="auto"/>
        <w:ind w:firstLine="1440"/>
        <w:jc w:val="both"/>
        <w:rPr>
          <w:rFonts w:ascii="Garamond" w:hAnsi="Garamond" w:cs="Courier New"/>
          <w:b/>
          <w:sz w:val="28"/>
          <w:szCs w:val="28"/>
        </w:rPr>
      </w:pPr>
      <w:r w:rsidRPr="00A974E4">
        <w:rPr>
          <w:rFonts w:ascii="Garamond" w:hAnsi="Garamond" w:cs="Courier New"/>
          <w:b/>
          <w:sz w:val="28"/>
          <w:szCs w:val="28"/>
        </w:rPr>
        <w:t xml:space="preserve">No Brasil, a análise do tema das ações afirmativas deve basear-se, sobretudo, em estudos históricos, sociológicos e antropológicos sobre as relações raciais em nosso país. </w:t>
      </w:r>
    </w:p>
    <w:p w:rsidR="005D48FB" w:rsidRPr="00847A7A" w:rsidRDefault="005D48FB" w:rsidP="005D48FB">
      <w:pPr>
        <w:spacing w:before="240" w:line="360" w:lineRule="auto"/>
        <w:ind w:firstLine="1440"/>
        <w:jc w:val="both"/>
        <w:rPr>
          <w:rFonts w:ascii="Garamond" w:hAnsi="Garamond" w:cs="Courier New"/>
          <w:sz w:val="28"/>
          <w:szCs w:val="28"/>
        </w:rPr>
      </w:pPr>
      <w:r w:rsidRPr="00847A7A">
        <w:rPr>
          <w:rFonts w:ascii="Garamond" w:hAnsi="Garamond" w:cs="Courier New"/>
          <w:sz w:val="28"/>
          <w:szCs w:val="28"/>
        </w:rPr>
        <w:t>Durante muito tempo, os sociólogos, antropólogos e historiadores identificaram no processo de miscigenação que formou a sociedade brasileira uma forma de democracia racial. O apogeu da tese da “democracia racial brasileira” se deu na década de 30, com o trabalho de Gilberto Freyre (Casa grande &amp; Senzala).</w:t>
      </w:r>
    </w:p>
    <w:p w:rsidR="005D48FB" w:rsidRPr="00847A7A" w:rsidRDefault="005D48FB" w:rsidP="005D48FB">
      <w:pPr>
        <w:spacing w:before="240" w:line="360" w:lineRule="auto"/>
        <w:ind w:firstLine="1440"/>
        <w:jc w:val="both"/>
        <w:rPr>
          <w:rFonts w:ascii="Garamond" w:hAnsi="Garamond" w:cs="Courier New"/>
          <w:sz w:val="28"/>
          <w:szCs w:val="28"/>
        </w:rPr>
      </w:pPr>
      <w:r w:rsidRPr="00847A7A">
        <w:rPr>
          <w:rFonts w:ascii="Garamond" w:hAnsi="Garamond" w:cs="Courier New"/>
          <w:sz w:val="28"/>
          <w:szCs w:val="28"/>
        </w:rPr>
        <w:t xml:space="preserve">Na década de </w:t>
      </w:r>
      <w:smartTag w:uri="urn:schemas-microsoft-com:office:smarttags" w:element="metricconverter">
        <w:smartTagPr>
          <w:attr w:name="ProductID" w:val="50, a"/>
        </w:smartTagPr>
        <w:r w:rsidRPr="00847A7A">
          <w:rPr>
            <w:rFonts w:ascii="Garamond" w:hAnsi="Garamond" w:cs="Courier New"/>
            <w:sz w:val="28"/>
            <w:szCs w:val="28"/>
          </w:rPr>
          <w:t>50, a</w:t>
        </w:r>
      </w:smartTag>
      <w:r w:rsidRPr="00847A7A">
        <w:rPr>
          <w:rFonts w:ascii="Garamond" w:hAnsi="Garamond" w:cs="Courier New"/>
          <w:sz w:val="28"/>
          <w:szCs w:val="28"/>
        </w:rPr>
        <w:t xml:space="preserve"> crença na democracia racial levou os representantes brasileiros na UNESCO (Artur Ramos e Luiz Aguiar Costa Pinto), após a 2ª Guerra Mundial, a propor o Brasil como exemplo de uma experiência bem-sucedida de relações raciais.</w:t>
      </w:r>
    </w:p>
    <w:p w:rsidR="005D48FB" w:rsidRPr="00847A7A" w:rsidRDefault="005D48FB" w:rsidP="005D48FB">
      <w:pPr>
        <w:spacing w:before="240" w:line="360" w:lineRule="auto"/>
        <w:ind w:firstLine="1440"/>
        <w:jc w:val="both"/>
        <w:rPr>
          <w:rFonts w:ascii="Garamond" w:hAnsi="Garamond" w:cs="Courier New"/>
          <w:sz w:val="28"/>
          <w:szCs w:val="28"/>
        </w:rPr>
      </w:pPr>
      <w:r w:rsidRPr="00847A7A">
        <w:rPr>
          <w:rFonts w:ascii="Garamond" w:hAnsi="Garamond" w:cs="Courier New"/>
          <w:sz w:val="28"/>
          <w:szCs w:val="28"/>
        </w:rPr>
        <w:t>A partir da década de 60, pesquisas financiadas pela UNESCO e desenvolvidas por sociólogos brasileiros (Florestan Fernandes, Fernando Henrique Cardoso e Oracy Nogueira, por exemplo) começaram a questionar a existência dessa dita democracia. Concluíram que, no fundo, o Brasil desenvolvera uma forma de discriminação “racial” escondida atrás do mito da “democracia racial”. Apontaram que, enquanto nos Estados Unidos desenvolveu-se o preconceito com base na origem do indivíduo (ancestralidade), no Brasil existia o preconceito com base na cor da pele da pessoa (fenótipo).</w:t>
      </w:r>
    </w:p>
    <w:p w:rsidR="005D48FB" w:rsidRPr="00847A7A" w:rsidRDefault="005D48FB" w:rsidP="005D48FB">
      <w:pPr>
        <w:spacing w:before="240" w:line="360" w:lineRule="auto"/>
        <w:ind w:firstLine="1440"/>
        <w:jc w:val="both"/>
        <w:rPr>
          <w:rFonts w:ascii="Garamond" w:hAnsi="Garamond" w:cs="Courier New"/>
          <w:sz w:val="28"/>
          <w:szCs w:val="28"/>
        </w:rPr>
      </w:pPr>
      <w:r w:rsidRPr="00847A7A">
        <w:rPr>
          <w:rFonts w:ascii="Garamond" w:hAnsi="Garamond" w:cs="Courier New"/>
          <w:sz w:val="28"/>
          <w:szCs w:val="28"/>
        </w:rPr>
        <w:lastRenderedPageBreak/>
        <w:t xml:space="preserve">Na década de 70, pesquisadores como Carlos </w:t>
      </w:r>
      <w:proofErr w:type="spellStart"/>
      <w:r w:rsidRPr="00847A7A">
        <w:rPr>
          <w:rFonts w:ascii="Garamond" w:hAnsi="Garamond" w:cs="Courier New"/>
          <w:sz w:val="28"/>
          <w:szCs w:val="28"/>
        </w:rPr>
        <w:t>Hasenbalg</w:t>
      </w:r>
      <w:proofErr w:type="spellEnd"/>
      <w:r w:rsidRPr="00847A7A">
        <w:rPr>
          <w:rFonts w:ascii="Garamond" w:hAnsi="Garamond" w:cs="Courier New"/>
          <w:sz w:val="28"/>
          <w:szCs w:val="28"/>
        </w:rPr>
        <w:t xml:space="preserve"> e Nelson do Valle e Silva afirmaram que o preconceito e a discriminação não estavam apenas fundados nas sequelas da escravatura, mas assumiram novas formas e significados a partir da abolição, estando relacionadas aos </w:t>
      </w:r>
      <w:r w:rsidRPr="00847A7A">
        <w:rPr>
          <w:rFonts w:ascii="Garamond" w:hAnsi="Garamond" w:cs="Courier New"/>
          <w:i/>
          <w:sz w:val="28"/>
          <w:szCs w:val="28"/>
        </w:rPr>
        <w:t>“benefícios simbólicos adquiridos pelos brancos no processo de competição e desqualificação dos negros”</w:t>
      </w:r>
      <w:r w:rsidRPr="00847A7A">
        <w:rPr>
          <w:rFonts w:ascii="Garamond" w:hAnsi="Garamond" w:cs="Courier New"/>
          <w:sz w:val="28"/>
          <w:szCs w:val="28"/>
        </w:rPr>
        <w:t>. Simultaneamente, os movimentos negros passaram a questionar a visão integracionista das lideranças negras brasileiras das décadas de 30, 40, 50 e 60.</w:t>
      </w:r>
    </w:p>
    <w:p w:rsidR="005D48FB" w:rsidRPr="00847A7A" w:rsidRDefault="005D48FB" w:rsidP="005D48FB">
      <w:pPr>
        <w:spacing w:before="240" w:line="360" w:lineRule="auto"/>
        <w:ind w:firstLine="1440"/>
        <w:jc w:val="both"/>
        <w:rPr>
          <w:rFonts w:ascii="Garamond" w:hAnsi="Garamond" w:cs="Courier New"/>
          <w:sz w:val="28"/>
          <w:szCs w:val="28"/>
        </w:rPr>
      </w:pPr>
      <w:proofErr w:type="gramStart"/>
      <w:r w:rsidRPr="00847A7A">
        <w:rPr>
          <w:rFonts w:ascii="Garamond" w:hAnsi="Garamond" w:cs="Courier New"/>
          <w:sz w:val="28"/>
          <w:szCs w:val="28"/>
        </w:rPr>
        <w:t>Foi</w:t>
      </w:r>
      <w:proofErr w:type="gramEnd"/>
      <w:r w:rsidRPr="00847A7A">
        <w:rPr>
          <w:rFonts w:ascii="Garamond" w:hAnsi="Garamond" w:cs="Courier New"/>
          <w:sz w:val="28"/>
          <w:szCs w:val="28"/>
        </w:rPr>
        <w:t xml:space="preserve"> na década de 90, durante o governo de Fernando Henrique Cardoso, que o tema das ações afirmativas entrou na agenda do governo brasileiro, com a criação do Grupo de Trabalho Interministerial para a Valorização da População Negra</w:t>
      </w:r>
      <w:r w:rsidR="00AC17A6">
        <w:rPr>
          <w:rFonts w:ascii="Garamond" w:hAnsi="Garamond" w:cs="Courier New"/>
          <w:sz w:val="28"/>
          <w:szCs w:val="28"/>
        </w:rPr>
        <w:t>,</w:t>
      </w:r>
      <w:r w:rsidRPr="00847A7A">
        <w:rPr>
          <w:rFonts w:ascii="Garamond" w:hAnsi="Garamond" w:cs="Courier New"/>
          <w:sz w:val="28"/>
          <w:szCs w:val="28"/>
        </w:rPr>
        <w:t xml:space="preserve"> em 1995, as propostas do Programa Nacional de Direitos Humanos (PNDH)</w:t>
      </w:r>
      <w:r w:rsidR="00AC17A6">
        <w:rPr>
          <w:rFonts w:ascii="Garamond" w:hAnsi="Garamond" w:cs="Courier New"/>
          <w:sz w:val="28"/>
          <w:szCs w:val="28"/>
        </w:rPr>
        <w:t>,</w:t>
      </w:r>
      <w:r w:rsidRPr="00847A7A">
        <w:rPr>
          <w:rFonts w:ascii="Garamond" w:hAnsi="Garamond" w:cs="Courier New"/>
          <w:sz w:val="28"/>
          <w:szCs w:val="28"/>
        </w:rPr>
        <w:t xml:space="preserve"> em 1996, e a participação do Brasil na Conferência Mundial contra o Racismo, Discriminação Racial, Xenofobia e Formas Correlatas de Intolerância, em 2001, na África do Sul.</w:t>
      </w:r>
    </w:p>
    <w:p w:rsidR="005D48FB" w:rsidRPr="00847A7A" w:rsidRDefault="005D48FB" w:rsidP="005D48FB">
      <w:pPr>
        <w:spacing w:before="240" w:line="360" w:lineRule="auto"/>
        <w:ind w:firstLine="1440"/>
        <w:jc w:val="both"/>
        <w:rPr>
          <w:rFonts w:ascii="Garamond" w:hAnsi="Garamond" w:cs="Courier New"/>
          <w:sz w:val="28"/>
          <w:szCs w:val="28"/>
        </w:rPr>
      </w:pPr>
      <w:r w:rsidRPr="00847A7A">
        <w:rPr>
          <w:rFonts w:ascii="Garamond" w:hAnsi="Garamond" w:cs="Courier New"/>
          <w:sz w:val="28"/>
          <w:szCs w:val="28"/>
        </w:rPr>
        <w:t>O governo de Luiz Inácio Lula da Silva aprofundou esse processo. Criou a Secretaria Especial para a Promoção da Igualdade Racial, modificou o Sistema de Financiamento ao Estudante e criou o Programa Universidade para Todos, prevendo bolsas e vagas específicas para “negros”. Em 2003, o Conselho Nacional de Educação exarou as Diretrizes Nacionais Curriculares para a Educação das Relações Étnico-Raciais e para o Ensino da História e Cultura Afro-Brasileira.</w:t>
      </w:r>
    </w:p>
    <w:p w:rsidR="005D48FB" w:rsidRPr="00AE2479" w:rsidRDefault="005D48FB" w:rsidP="005D48FB">
      <w:pPr>
        <w:spacing w:before="240" w:line="360" w:lineRule="auto"/>
        <w:ind w:firstLine="1440"/>
        <w:jc w:val="both"/>
        <w:rPr>
          <w:rFonts w:ascii="Garamond" w:hAnsi="Garamond" w:cs="Courier New"/>
          <w:sz w:val="28"/>
          <w:szCs w:val="28"/>
        </w:rPr>
      </w:pPr>
      <w:r w:rsidRPr="00AE2479">
        <w:rPr>
          <w:rFonts w:ascii="Garamond" w:hAnsi="Garamond" w:cs="Courier New"/>
          <w:sz w:val="28"/>
          <w:szCs w:val="28"/>
        </w:rPr>
        <w:t xml:space="preserve">Em 2010, foi promulgado o Estatuto da Igualdade Racial (Lei 12288/2010), destinado a garantir a efetivação da igualdade de oportunidades, a defesa dos direitos étnicos individuais, coletivos e difusos da população negra, bem como o combate à intolerância étnica, nos termos do seu artigo 1º. </w:t>
      </w:r>
    </w:p>
    <w:p w:rsidR="005D48FB" w:rsidRPr="00847A7A" w:rsidRDefault="005D48FB" w:rsidP="005D48FB">
      <w:pPr>
        <w:spacing w:before="240" w:line="360" w:lineRule="auto"/>
        <w:ind w:firstLine="1440"/>
        <w:jc w:val="both"/>
        <w:rPr>
          <w:rFonts w:ascii="Garamond" w:hAnsi="Garamond" w:cs="Courier New"/>
          <w:sz w:val="28"/>
          <w:szCs w:val="28"/>
        </w:rPr>
      </w:pPr>
      <w:r w:rsidRPr="00847A7A">
        <w:rPr>
          <w:rFonts w:ascii="Garamond" w:hAnsi="Garamond" w:cs="Courier New"/>
          <w:sz w:val="28"/>
          <w:szCs w:val="28"/>
        </w:rPr>
        <w:t xml:space="preserve">A análise dessas considerações históricas e do que se produziu no âmbito da sociologia e da antropologia no Brasil nos leva até mesmo a </w:t>
      </w:r>
      <w:r w:rsidRPr="00847A7A">
        <w:rPr>
          <w:rFonts w:ascii="Garamond" w:hAnsi="Garamond" w:cs="Courier New"/>
          <w:sz w:val="28"/>
          <w:szCs w:val="28"/>
        </w:rPr>
        <w:lastRenderedPageBreak/>
        <w:t>questionar se o Estado Brasileiro não estaria passando por um processo de abandono da id</w:t>
      </w:r>
      <w:r w:rsidR="00AC17A6">
        <w:rPr>
          <w:rFonts w:ascii="Garamond" w:hAnsi="Garamond" w:cs="Courier New"/>
          <w:sz w:val="28"/>
          <w:szCs w:val="28"/>
        </w:rPr>
        <w:t>e</w:t>
      </w:r>
      <w:r w:rsidRPr="00847A7A">
        <w:rPr>
          <w:rFonts w:ascii="Garamond" w:hAnsi="Garamond" w:cs="Courier New"/>
          <w:sz w:val="28"/>
          <w:szCs w:val="28"/>
        </w:rPr>
        <w:t xml:space="preserve">ia, muito difundida, de um país miscigenado e, aos poucos, adotando uma nova concepção de nação bicolor. </w:t>
      </w:r>
    </w:p>
    <w:p w:rsidR="005D48FB" w:rsidRDefault="005D48FB" w:rsidP="005D48FB">
      <w:pPr>
        <w:spacing w:before="240" w:line="360" w:lineRule="auto"/>
        <w:ind w:firstLine="1440"/>
        <w:jc w:val="both"/>
        <w:rPr>
          <w:rFonts w:ascii="Garamond" w:hAnsi="Garamond" w:cs="Courier New"/>
          <w:sz w:val="28"/>
          <w:szCs w:val="28"/>
        </w:rPr>
      </w:pPr>
      <w:r w:rsidRPr="00847A7A">
        <w:rPr>
          <w:rFonts w:ascii="Garamond" w:hAnsi="Garamond" w:cs="Courier New"/>
          <w:sz w:val="28"/>
          <w:szCs w:val="28"/>
        </w:rPr>
        <w:t xml:space="preserve">Em 2005, o jogador de futebol Ronaldo – “O Fenômeno” –, presenciando as agressões racistas que jogadores negros estavam sofrendo nos gramados espanhóis, deu a seguinte declaração: </w:t>
      </w:r>
      <w:r w:rsidRPr="00847A7A">
        <w:rPr>
          <w:rFonts w:ascii="Garamond" w:hAnsi="Garamond" w:cs="Courier New"/>
          <w:i/>
          <w:sz w:val="28"/>
          <w:szCs w:val="28"/>
        </w:rPr>
        <w:t>“Eu, que sou branco, sofro com tamanha ignorância. A solução é educar as pessoas”.</w:t>
      </w:r>
      <w:r w:rsidRPr="00847A7A">
        <w:rPr>
          <w:rFonts w:ascii="Garamond" w:hAnsi="Garamond" w:cs="Courier New"/>
          <w:sz w:val="28"/>
          <w:szCs w:val="28"/>
        </w:rPr>
        <w:t xml:space="preserve"> Tal declaração gerou grande repercussão no Brasil e obrigou Ronaldo a explicar o que ele quis dizer: </w:t>
      </w:r>
      <w:r w:rsidRPr="00847A7A">
        <w:rPr>
          <w:rFonts w:ascii="Garamond" w:hAnsi="Garamond" w:cs="Courier New"/>
          <w:i/>
          <w:sz w:val="28"/>
          <w:szCs w:val="28"/>
        </w:rPr>
        <w:t>“Eu quis dizer que tenho pele mais clara, só isso, e mesmo assim sou vítima de racismo. Meu pai é negro. Não sou branco, não sou negro, sou humano. Sou contra qualquer tipo de discriminação”</w:t>
      </w:r>
      <w:r w:rsidRPr="00847A7A">
        <w:rPr>
          <w:rFonts w:ascii="Garamond" w:hAnsi="Garamond" w:cs="Courier New"/>
          <w:sz w:val="28"/>
          <w:szCs w:val="28"/>
        </w:rPr>
        <w:t xml:space="preserve">. Ali </w:t>
      </w:r>
      <w:proofErr w:type="spellStart"/>
      <w:r w:rsidRPr="00847A7A">
        <w:rPr>
          <w:rFonts w:ascii="Garamond" w:hAnsi="Garamond" w:cs="Courier New"/>
          <w:sz w:val="28"/>
          <w:szCs w:val="28"/>
        </w:rPr>
        <w:t>Kamel</w:t>
      </w:r>
      <w:proofErr w:type="spellEnd"/>
      <w:r w:rsidRPr="00847A7A">
        <w:rPr>
          <w:rFonts w:ascii="Garamond" w:hAnsi="Garamond" w:cs="Courier New"/>
          <w:sz w:val="28"/>
          <w:szCs w:val="28"/>
        </w:rPr>
        <w:t xml:space="preserve"> utiliza esse acontecimento como exemplo das mudanças que estariam ocorrendo na mentalidade brasileira. Alerta, dessa forma, que a crise gerada pela declaração do jogador é a prova de que estamos aceitando a tese da “nação bicolor”; que antes o discurso predominante era favorável à autodeclaração e que agora achamos que temos o direito de classificar as pessoas (KAMEL, Ali. </w:t>
      </w:r>
      <w:r w:rsidRPr="00847A7A">
        <w:rPr>
          <w:rFonts w:ascii="Garamond" w:hAnsi="Garamond" w:cs="Courier New"/>
          <w:i/>
          <w:sz w:val="28"/>
          <w:szCs w:val="28"/>
        </w:rPr>
        <w:t>Não Somos Racistas: uma reação aos que querem nos transformar numa nação bicolor</w:t>
      </w:r>
      <w:r w:rsidRPr="00847A7A">
        <w:rPr>
          <w:rFonts w:ascii="Garamond" w:hAnsi="Garamond" w:cs="Courier New"/>
          <w:sz w:val="28"/>
          <w:szCs w:val="28"/>
        </w:rPr>
        <w:t>. Rio de Janeiro: Nova Fronteira, 2006, p. 139-140).</w:t>
      </w:r>
    </w:p>
    <w:p w:rsidR="005D48FB" w:rsidRPr="00221985" w:rsidRDefault="005D48FB" w:rsidP="005D48FB">
      <w:pPr>
        <w:spacing w:before="240" w:line="360" w:lineRule="auto"/>
        <w:ind w:firstLine="1440"/>
        <w:jc w:val="both"/>
        <w:rPr>
          <w:rFonts w:ascii="Garamond" w:hAnsi="Garamond" w:cs="Courier New"/>
          <w:sz w:val="28"/>
          <w:szCs w:val="28"/>
        </w:rPr>
      </w:pPr>
      <w:r w:rsidRPr="00221985">
        <w:rPr>
          <w:rFonts w:ascii="Garamond" w:hAnsi="Garamond" w:cs="Courier New"/>
          <w:sz w:val="28"/>
          <w:szCs w:val="28"/>
        </w:rPr>
        <w:t>Utilizando outro exemplo do mundo futebolístico, Yvonne Maggie menciona história do clube Portuguesa Santista que, em excursão à África do Sul, em 1959, foi informado que seus jogadores negros não poderiam participar de partida contra equipe local, de acordo com as leis do país. O time brasileiro, em uníssono, respondeu que não jogaria sob es</w:t>
      </w:r>
      <w:r w:rsidR="00AC17A6">
        <w:rPr>
          <w:rFonts w:ascii="Garamond" w:hAnsi="Garamond" w:cs="Courier New"/>
          <w:sz w:val="28"/>
          <w:szCs w:val="28"/>
        </w:rPr>
        <w:t>s</w:t>
      </w:r>
      <w:r w:rsidRPr="00221985">
        <w:rPr>
          <w:rFonts w:ascii="Garamond" w:hAnsi="Garamond" w:cs="Courier New"/>
          <w:sz w:val="28"/>
          <w:szCs w:val="28"/>
        </w:rPr>
        <w:t xml:space="preserve">as condições, situação que fez com que o cônsul do Brasil precisasse anunciar oficialmente a posição do Governo brasileiro </w:t>
      </w:r>
      <w:r w:rsidR="00AC17A6">
        <w:rPr>
          <w:rFonts w:ascii="Garamond" w:hAnsi="Garamond" w:cs="Courier New"/>
          <w:sz w:val="28"/>
          <w:szCs w:val="28"/>
        </w:rPr>
        <w:t>de n</w:t>
      </w:r>
      <w:r w:rsidRPr="00221985">
        <w:rPr>
          <w:rFonts w:ascii="Garamond" w:hAnsi="Garamond" w:cs="Courier New"/>
          <w:sz w:val="28"/>
          <w:szCs w:val="28"/>
        </w:rPr>
        <w:t>ão admiti</w:t>
      </w:r>
      <w:r w:rsidR="00AC17A6">
        <w:rPr>
          <w:rFonts w:ascii="Garamond" w:hAnsi="Garamond" w:cs="Courier New"/>
          <w:sz w:val="28"/>
          <w:szCs w:val="28"/>
        </w:rPr>
        <w:t>r</w:t>
      </w:r>
      <w:r w:rsidRPr="00221985">
        <w:rPr>
          <w:rFonts w:ascii="Garamond" w:hAnsi="Garamond" w:cs="Courier New"/>
          <w:sz w:val="28"/>
          <w:szCs w:val="28"/>
        </w:rPr>
        <w:t xml:space="preserve"> racismo, muito menos </w:t>
      </w:r>
      <w:r w:rsidR="00AC17A6">
        <w:rPr>
          <w:rFonts w:ascii="Garamond" w:hAnsi="Garamond" w:cs="Courier New"/>
          <w:sz w:val="28"/>
          <w:szCs w:val="28"/>
        </w:rPr>
        <w:t xml:space="preserve">de </w:t>
      </w:r>
      <w:r w:rsidRPr="00221985">
        <w:rPr>
          <w:rFonts w:ascii="Garamond" w:hAnsi="Garamond" w:cs="Courier New"/>
          <w:sz w:val="28"/>
          <w:szCs w:val="28"/>
        </w:rPr>
        <w:t>concorda</w:t>
      </w:r>
      <w:r w:rsidR="00AC17A6">
        <w:rPr>
          <w:rFonts w:ascii="Garamond" w:hAnsi="Garamond" w:cs="Courier New"/>
          <w:sz w:val="28"/>
          <w:szCs w:val="28"/>
        </w:rPr>
        <w:t>r</w:t>
      </w:r>
      <w:r w:rsidRPr="00221985">
        <w:rPr>
          <w:rFonts w:ascii="Garamond" w:hAnsi="Garamond" w:cs="Courier New"/>
          <w:sz w:val="28"/>
          <w:szCs w:val="28"/>
        </w:rPr>
        <w:t xml:space="preserve"> com o regime </w:t>
      </w:r>
      <w:proofErr w:type="gramStart"/>
      <w:r w:rsidRPr="00221985">
        <w:rPr>
          <w:rFonts w:ascii="Garamond" w:hAnsi="Garamond" w:cs="Courier New"/>
          <w:sz w:val="28"/>
          <w:szCs w:val="28"/>
        </w:rPr>
        <w:t xml:space="preserve">do </w:t>
      </w:r>
      <w:r w:rsidRPr="00221985">
        <w:rPr>
          <w:rFonts w:ascii="Garamond" w:hAnsi="Garamond" w:cs="Courier New"/>
          <w:i/>
          <w:sz w:val="28"/>
          <w:szCs w:val="28"/>
        </w:rPr>
        <w:t>apartheid</w:t>
      </w:r>
      <w:proofErr w:type="gramEnd"/>
      <w:r w:rsidRPr="00221985">
        <w:rPr>
          <w:rFonts w:ascii="Garamond" w:hAnsi="Garamond" w:cs="Courier New"/>
          <w:sz w:val="28"/>
          <w:szCs w:val="28"/>
        </w:rPr>
        <w:t xml:space="preserve">. O presidente Juscelino Kubitscheck enviou telegrama </w:t>
      </w:r>
      <w:r w:rsidR="00892300" w:rsidRPr="00892300">
        <w:rPr>
          <w:rFonts w:ascii="Garamond" w:hAnsi="Garamond" w:cs="Courier New"/>
          <w:sz w:val="28"/>
          <w:szCs w:val="28"/>
        </w:rPr>
        <w:t>às autoridades Sul-A</w:t>
      </w:r>
      <w:r w:rsidRPr="00892300">
        <w:rPr>
          <w:rFonts w:ascii="Garamond" w:hAnsi="Garamond" w:cs="Courier New"/>
          <w:sz w:val="28"/>
          <w:szCs w:val="28"/>
        </w:rPr>
        <w:t>frica</w:t>
      </w:r>
      <w:r w:rsidR="00892300" w:rsidRPr="00892300">
        <w:rPr>
          <w:rFonts w:ascii="Garamond" w:hAnsi="Garamond" w:cs="Courier New"/>
          <w:sz w:val="28"/>
          <w:szCs w:val="28"/>
        </w:rPr>
        <w:t>nas</w:t>
      </w:r>
      <w:r w:rsidRPr="00892300">
        <w:rPr>
          <w:rFonts w:ascii="Garamond" w:hAnsi="Garamond" w:cs="Courier New"/>
          <w:sz w:val="28"/>
          <w:szCs w:val="28"/>
        </w:rPr>
        <w:t xml:space="preserve">, manifestando </w:t>
      </w:r>
      <w:r w:rsidRPr="00892300">
        <w:rPr>
          <w:rFonts w:ascii="Garamond" w:hAnsi="Garamond" w:cs="Courier New"/>
          <w:sz w:val="28"/>
          <w:szCs w:val="28"/>
        </w:rPr>
        <w:lastRenderedPageBreak/>
        <w:t>desacordo com o regime, e o Brasil tornou-se o primeiro país fora da África a</w:t>
      </w:r>
      <w:r w:rsidRPr="00221985">
        <w:rPr>
          <w:rFonts w:ascii="Garamond" w:hAnsi="Garamond" w:cs="Courier New"/>
          <w:sz w:val="28"/>
          <w:szCs w:val="28"/>
        </w:rPr>
        <w:t xml:space="preserve"> protestar contra </w:t>
      </w:r>
      <w:proofErr w:type="gramStart"/>
      <w:r w:rsidRPr="00221985">
        <w:rPr>
          <w:rFonts w:ascii="Garamond" w:hAnsi="Garamond" w:cs="Courier New"/>
          <w:sz w:val="28"/>
          <w:szCs w:val="28"/>
        </w:rPr>
        <w:t xml:space="preserve">o </w:t>
      </w:r>
      <w:r w:rsidRPr="00221985">
        <w:rPr>
          <w:rFonts w:ascii="Garamond" w:hAnsi="Garamond" w:cs="Courier New"/>
          <w:i/>
          <w:sz w:val="28"/>
          <w:szCs w:val="28"/>
        </w:rPr>
        <w:t>apartheid</w:t>
      </w:r>
      <w:proofErr w:type="gramEnd"/>
      <w:r w:rsidRPr="00221985">
        <w:rPr>
          <w:rFonts w:ascii="Garamond" w:hAnsi="Garamond" w:cs="Courier New"/>
          <w:i/>
          <w:sz w:val="28"/>
          <w:szCs w:val="28"/>
        </w:rPr>
        <w:t xml:space="preserve"> </w:t>
      </w:r>
      <w:r w:rsidRPr="00221985">
        <w:rPr>
          <w:rFonts w:ascii="Garamond" w:hAnsi="Garamond" w:cs="Courier New"/>
          <w:sz w:val="28"/>
          <w:szCs w:val="28"/>
        </w:rPr>
        <w:t>(fl. 1960).</w:t>
      </w:r>
    </w:p>
    <w:p w:rsidR="005D48FB" w:rsidRPr="00847A7A" w:rsidRDefault="005D48FB" w:rsidP="005D48FB">
      <w:pPr>
        <w:spacing w:before="240" w:line="360" w:lineRule="auto"/>
        <w:ind w:firstLine="1440"/>
        <w:jc w:val="both"/>
        <w:rPr>
          <w:rFonts w:ascii="Garamond" w:hAnsi="Garamond" w:cs="Courier New"/>
          <w:sz w:val="28"/>
          <w:szCs w:val="28"/>
        </w:rPr>
      </w:pPr>
      <w:r w:rsidRPr="00221985">
        <w:rPr>
          <w:rFonts w:ascii="Garamond" w:hAnsi="Garamond" w:cs="Courier New"/>
          <w:sz w:val="28"/>
          <w:szCs w:val="28"/>
        </w:rPr>
        <w:t xml:space="preserve">Para demonstrar a involução pela qual o sistema de miscigenação brasileira tem passado nos últimos tempos, Yvonne Maggie indica os perigos de, paulatinamente, criarem-se divisões entre “brancos” e “negros” em um país em que o povo já se vê misturado (p. 1957). O primeiro passo nesse sentido teria sido a Lei 10639/2003 que instituiu o ensino da história da África e da cultura afro-brasileira em todas as escolas do Brasil, publicas e privadas. Parecer do Ministério da Educação, que regulamenta as </w:t>
      </w:r>
      <w:r w:rsidRPr="00221985">
        <w:rPr>
          <w:rFonts w:ascii="Garamond" w:hAnsi="Garamond" w:cs="Courier New"/>
          <w:i/>
          <w:sz w:val="28"/>
          <w:szCs w:val="28"/>
        </w:rPr>
        <w:t xml:space="preserve">Diretrizes Nacionais Curriculares para a Educação das Relações Étnico-Raciais e para o Ensino da História e Cultura Afro-Brasileira e Africana </w:t>
      </w:r>
      <w:r w:rsidRPr="00221985">
        <w:rPr>
          <w:rFonts w:ascii="Garamond" w:hAnsi="Garamond" w:cs="Courier New"/>
          <w:sz w:val="28"/>
          <w:szCs w:val="28"/>
        </w:rPr>
        <w:t>e serve para orientar profes</w:t>
      </w:r>
      <w:r>
        <w:rPr>
          <w:rFonts w:ascii="Garamond" w:hAnsi="Garamond" w:cs="Courier New"/>
          <w:sz w:val="28"/>
          <w:szCs w:val="28"/>
        </w:rPr>
        <w:t xml:space="preserve">sores. </w:t>
      </w:r>
      <w:r w:rsidRPr="007B28F6">
        <w:rPr>
          <w:rFonts w:ascii="Garamond" w:hAnsi="Garamond" w:cs="Courier New"/>
          <w:sz w:val="28"/>
          <w:szCs w:val="28"/>
        </w:rPr>
        <w:t>O documento menciona em vários trechos que a “ideologia do branqueamento da população” deve ser combatida e que o “equívoco quanto a uma identidade humana universal” deve ser demonstrado aos alunos (Parecer CNE/CP 003/2004 - Conselho Nacional de Educação).</w:t>
      </w:r>
    </w:p>
    <w:p w:rsidR="005D48FB" w:rsidRPr="00847A7A" w:rsidRDefault="005D48FB" w:rsidP="005D48FB">
      <w:pPr>
        <w:spacing w:before="240" w:line="360" w:lineRule="auto"/>
        <w:ind w:firstLine="1418"/>
        <w:jc w:val="both"/>
        <w:rPr>
          <w:rFonts w:ascii="Garamond" w:hAnsi="Garamond" w:cs="Courier New"/>
          <w:sz w:val="28"/>
          <w:szCs w:val="28"/>
        </w:rPr>
      </w:pPr>
      <w:r w:rsidRPr="00847A7A">
        <w:rPr>
          <w:rFonts w:ascii="Garamond" w:hAnsi="Garamond" w:cs="Courier New"/>
          <w:sz w:val="28"/>
          <w:szCs w:val="28"/>
        </w:rPr>
        <w:t xml:space="preserve">Por mais que se questione a existência de uma “Democracia Racial” no Brasil, é fato que a sociedade brasileira vivenciou um processo de miscigenação singular. Nesse sentido, elucida Carlos Lessa que </w:t>
      </w:r>
      <w:r w:rsidRPr="00847A7A">
        <w:rPr>
          <w:rFonts w:ascii="Garamond" w:hAnsi="Garamond" w:cs="Courier New"/>
          <w:i/>
          <w:sz w:val="28"/>
          <w:szCs w:val="28"/>
        </w:rPr>
        <w:t>“O Brasil não tem cor. Tem todo um mosaico de combinações possíveis”</w:t>
      </w:r>
      <w:r w:rsidRPr="00847A7A">
        <w:rPr>
          <w:rFonts w:ascii="Garamond" w:hAnsi="Garamond" w:cs="Courier New"/>
          <w:sz w:val="28"/>
          <w:szCs w:val="28"/>
        </w:rPr>
        <w:t xml:space="preserve"> (LESSA, Carlos. "O Brasil não é bicolor", In: FRY, Peter e outros (org.) </w:t>
      </w:r>
      <w:r w:rsidRPr="00847A7A">
        <w:rPr>
          <w:rFonts w:ascii="Garamond" w:hAnsi="Garamond" w:cs="Courier New"/>
          <w:i/>
          <w:sz w:val="28"/>
          <w:szCs w:val="28"/>
        </w:rPr>
        <w:t>Divisões Perigosas: Políticas raciais no Brasil Contemporâneo</w:t>
      </w:r>
      <w:r w:rsidRPr="00847A7A">
        <w:rPr>
          <w:rFonts w:ascii="Garamond" w:hAnsi="Garamond" w:cs="Courier New"/>
          <w:sz w:val="28"/>
          <w:szCs w:val="28"/>
        </w:rPr>
        <w:t>. Rio de Janeiro: Civilização Brasileira, 2007, p. 123).</w:t>
      </w:r>
    </w:p>
    <w:p w:rsidR="005D48FB" w:rsidRPr="00847A7A" w:rsidRDefault="005D48FB" w:rsidP="005D48FB">
      <w:pPr>
        <w:pStyle w:val="Recuodecorpodetexto3"/>
        <w:spacing w:before="240" w:line="360" w:lineRule="auto"/>
        <w:rPr>
          <w:rFonts w:ascii="Garamond" w:hAnsi="Garamond"/>
          <w:sz w:val="28"/>
          <w:szCs w:val="28"/>
        </w:rPr>
      </w:pPr>
      <w:r w:rsidRPr="00847A7A">
        <w:rPr>
          <w:rFonts w:ascii="Garamond" w:hAnsi="Garamond"/>
          <w:sz w:val="28"/>
          <w:szCs w:val="28"/>
        </w:rPr>
        <w:t xml:space="preserve">Na Pesquisa Nacional por Amostras de Domicílio (PNAD), em 1976, os brasileiros se </w:t>
      </w:r>
      <w:proofErr w:type="gramStart"/>
      <w:r w:rsidR="00AC17A6" w:rsidRPr="00847A7A">
        <w:rPr>
          <w:rFonts w:ascii="Garamond" w:hAnsi="Garamond"/>
          <w:sz w:val="28"/>
          <w:szCs w:val="28"/>
        </w:rPr>
        <w:t>auto</w:t>
      </w:r>
      <w:r w:rsidR="00AC17A6">
        <w:rPr>
          <w:rFonts w:ascii="Garamond" w:hAnsi="Garamond"/>
          <w:sz w:val="28"/>
          <w:szCs w:val="28"/>
        </w:rPr>
        <w:t xml:space="preserve"> </w:t>
      </w:r>
      <w:r w:rsidR="00AC17A6" w:rsidRPr="00847A7A">
        <w:rPr>
          <w:rFonts w:ascii="Garamond" w:hAnsi="Garamond"/>
          <w:sz w:val="28"/>
          <w:szCs w:val="28"/>
        </w:rPr>
        <w:t>atribuíram</w:t>
      </w:r>
      <w:proofErr w:type="gramEnd"/>
      <w:r w:rsidRPr="00847A7A">
        <w:rPr>
          <w:rFonts w:ascii="Garamond" w:hAnsi="Garamond"/>
          <w:sz w:val="28"/>
          <w:szCs w:val="28"/>
        </w:rPr>
        <w:t xml:space="preserve"> 135 cores distintas. Tal fato demonstra cabalmente a dificuldade dos brasileiros de identificarem a sua cor de pele.</w:t>
      </w:r>
    </w:p>
    <w:p w:rsidR="005D48FB" w:rsidRPr="00847A7A" w:rsidRDefault="005D48FB" w:rsidP="005D48FB">
      <w:pPr>
        <w:pStyle w:val="Recuodecorpodetexto3"/>
        <w:spacing w:before="240" w:line="360" w:lineRule="auto"/>
        <w:rPr>
          <w:rFonts w:ascii="Garamond" w:hAnsi="Garamond"/>
          <w:sz w:val="28"/>
          <w:szCs w:val="28"/>
        </w:rPr>
      </w:pPr>
      <w:r w:rsidRPr="00847A7A">
        <w:rPr>
          <w:rFonts w:ascii="Garamond" w:hAnsi="Garamond"/>
          <w:sz w:val="28"/>
          <w:szCs w:val="28"/>
        </w:rPr>
        <w:t xml:space="preserve">Para Fátima Oliveira, </w:t>
      </w:r>
      <w:r w:rsidRPr="00847A7A">
        <w:rPr>
          <w:rFonts w:ascii="Garamond" w:hAnsi="Garamond"/>
          <w:i/>
          <w:sz w:val="28"/>
          <w:szCs w:val="28"/>
        </w:rPr>
        <w:t xml:space="preserve">“ser negro é, essencialmente, um posicionamento político, onde se assume a identidade racial negra. Identidade racial-étnica é o sentimento de pertencimento a um grupo racial ou étnico, decorrente de construção social, cultural e </w:t>
      </w:r>
      <w:r w:rsidRPr="00847A7A">
        <w:rPr>
          <w:rFonts w:ascii="Garamond" w:hAnsi="Garamond"/>
          <w:i/>
          <w:sz w:val="28"/>
          <w:szCs w:val="28"/>
        </w:rPr>
        <w:lastRenderedPageBreak/>
        <w:t>política”</w:t>
      </w:r>
      <w:r w:rsidRPr="00847A7A">
        <w:rPr>
          <w:rFonts w:ascii="Garamond" w:hAnsi="Garamond"/>
          <w:sz w:val="28"/>
          <w:szCs w:val="28"/>
        </w:rPr>
        <w:t xml:space="preserve"> (OLIVEIRA, Fátima. </w:t>
      </w:r>
      <w:r w:rsidRPr="00847A7A">
        <w:rPr>
          <w:rFonts w:ascii="Garamond" w:hAnsi="Garamond"/>
          <w:i/>
          <w:sz w:val="28"/>
          <w:szCs w:val="28"/>
        </w:rPr>
        <w:t>Ser negro no Brasil: alcances e limites</w:t>
      </w:r>
      <w:r w:rsidRPr="00847A7A">
        <w:rPr>
          <w:rFonts w:ascii="Garamond" w:hAnsi="Garamond"/>
          <w:sz w:val="28"/>
          <w:szCs w:val="28"/>
        </w:rPr>
        <w:t xml:space="preserve">, In: Revista de Estudos Avançados, vol. 18, </w:t>
      </w:r>
      <w:r w:rsidR="00C86AAB">
        <w:rPr>
          <w:rFonts w:ascii="Garamond" w:hAnsi="Garamond"/>
          <w:sz w:val="28"/>
          <w:szCs w:val="28"/>
        </w:rPr>
        <w:t>n.º</w:t>
      </w:r>
      <w:r w:rsidRPr="00847A7A">
        <w:rPr>
          <w:rFonts w:ascii="Garamond" w:hAnsi="Garamond"/>
          <w:sz w:val="28"/>
          <w:szCs w:val="28"/>
        </w:rPr>
        <w:t xml:space="preserve"> 50. Instituto de Estudos Avançados da Universidade de São Paulo. São Paulo: IEA. Janeiro/abril de 2004, p. 57-58.</w:t>
      </w:r>
      <w:proofErr w:type="gramStart"/>
      <w:r w:rsidRPr="00847A7A">
        <w:rPr>
          <w:rFonts w:ascii="Garamond" w:hAnsi="Garamond"/>
          <w:sz w:val="28"/>
          <w:szCs w:val="28"/>
        </w:rPr>
        <w:t>)</w:t>
      </w:r>
      <w:proofErr w:type="gramEnd"/>
    </w:p>
    <w:p w:rsidR="005D48FB" w:rsidRDefault="005D48FB" w:rsidP="005D48FB">
      <w:pPr>
        <w:pStyle w:val="Recuodecorpodetexto3"/>
        <w:spacing w:before="240" w:line="360" w:lineRule="auto"/>
        <w:rPr>
          <w:rFonts w:ascii="Garamond" w:hAnsi="Garamond"/>
          <w:sz w:val="28"/>
          <w:szCs w:val="28"/>
        </w:rPr>
      </w:pPr>
      <w:r w:rsidRPr="00847A7A">
        <w:rPr>
          <w:rFonts w:ascii="Garamond" w:hAnsi="Garamond"/>
          <w:sz w:val="28"/>
          <w:szCs w:val="28"/>
        </w:rPr>
        <w:t>As preocupações com as consequências da adoção de cotas raciais para o acesso à Universidade levaram cento e treze intelectuais brasileiros (antropólogos, sociólogos, historiadores, juristas, jornalistas, escritores, dramaturgos, artistas, ativistas e políticos) a redigir uma carta contra as leis raciais no Brasil. No documento, os subscritores alertam que “</w:t>
      </w:r>
      <w:r w:rsidRPr="00847A7A">
        <w:rPr>
          <w:rFonts w:ascii="Garamond" w:hAnsi="Garamond"/>
          <w:i/>
          <w:sz w:val="28"/>
          <w:szCs w:val="28"/>
        </w:rPr>
        <w:t>o racismo contamina profundamente as sociedades quando a lei sinaliza às pessoas que elas pertencem a determinado grupo racial – e que seus direitos são afetados por esse critério de pertinência de raça</w:t>
      </w:r>
      <w:r w:rsidRPr="00847A7A">
        <w:rPr>
          <w:rFonts w:ascii="Garamond" w:hAnsi="Garamond"/>
          <w:sz w:val="28"/>
          <w:szCs w:val="28"/>
        </w:rPr>
        <w:t xml:space="preserve">”. Sustentam que </w:t>
      </w:r>
      <w:r w:rsidRPr="00847A7A">
        <w:rPr>
          <w:rFonts w:ascii="Garamond" w:hAnsi="Garamond"/>
          <w:i/>
          <w:sz w:val="28"/>
          <w:szCs w:val="28"/>
        </w:rPr>
        <w:t>“as cotas raciais proporcionam privilégios a uma ínfima minoria de estudantes de classe média e conservam intacta, atrás de seu manto falsamente inclusivo, uma estrutura de ensino público arruinada”</w:t>
      </w:r>
      <w:r w:rsidRPr="00847A7A">
        <w:rPr>
          <w:rFonts w:ascii="Garamond" w:hAnsi="Garamond"/>
          <w:sz w:val="28"/>
          <w:szCs w:val="28"/>
        </w:rPr>
        <w:t xml:space="preserve">. Defendem que existem outras formas de superar as desigualdades brasileiras, proporcionando um verdadeiro acesso universal ao </w:t>
      </w:r>
      <w:r w:rsidR="00C86AAB">
        <w:rPr>
          <w:rFonts w:ascii="Garamond" w:hAnsi="Garamond"/>
          <w:sz w:val="28"/>
          <w:szCs w:val="28"/>
        </w:rPr>
        <w:t>Ensino Superior</w:t>
      </w:r>
      <w:r w:rsidRPr="00847A7A">
        <w:rPr>
          <w:rFonts w:ascii="Garamond" w:hAnsi="Garamond"/>
          <w:sz w:val="28"/>
          <w:szCs w:val="28"/>
        </w:rPr>
        <w:t xml:space="preserve">, menos gravosas para a identidade nacional, como a oferta de cursos preparatórios gratuitos e a eliminação das taxas de inscrição nos exames vestibulares (“Cento e Treze cidadãos </w:t>
      </w:r>
      <w:proofErr w:type="spellStart"/>
      <w:proofErr w:type="gramStart"/>
      <w:r w:rsidRPr="00847A7A">
        <w:rPr>
          <w:rFonts w:ascii="Garamond" w:hAnsi="Garamond"/>
          <w:sz w:val="28"/>
          <w:szCs w:val="28"/>
        </w:rPr>
        <w:t>anti-racistas</w:t>
      </w:r>
      <w:proofErr w:type="spellEnd"/>
      <w:proofErr w:type="gramEnd"/>
      <w:r w:rsidRPr="00847A7A">
        <w:rPr>
          <w:rFonts w:ascii="Garamond" w:hAnsi="Garamond"/>
          <w:sz w:val="28"/>
          <w:szCs w:val="28"/>
        </w:rPr>
        <w:t xml:space="preserve"> contra as leis raciais”, assinado por cento e treze intelectuais brasileiros, entre eles, Ana Maria Machado, Caetano Veloso, Demétrio Magnoli, Ferreira Gullar, José Ubaldo Ribeiro, Lya Luft e Ruth Cardoso).</w:t>
      </w:r>
    </w:p>
    <w:p w:rsidR="005D48FB" w:rsidRPr="00124644" w:rsidRDefault="005D48FB" w:rsidP="005D48FB">
      <w:pPr>
        <w:spacing w:before="240" w:line="360" w:lineRule="auto"/>
        <w:ind w:firstLine="1440"/>
        <w:jc w:val="both"/>
        <w:rPr>
          <w:rFonts w:ascii="Garamond" w:hAnsi="Garamond" w:cs="Courier New"/>
          <w:color w:val="000000"/>
          <w:sz w:val="28"/>
          <w:szCs w:val="28"/>
        </w:rPr>
      </w:pPr>
      <w:r w:rsidRPr="00A051A4">
        <w:rPr>
          <w:rFonts w:ascii="Garamond" w:hAnsi="Garamond" w:cs="Courier New"/>
          <w:b/>
          <w:sz w:val="28"/>
          <w:szCs w:val="28"/>
        </w:rPr>
        <w:t xml:space="preserve">Assim, somos levados a acreditar que a exclusão no acesso às universidades públicas é determinada pela condição financeira. Nesse ponto, parece não haver distinção entre “brancos” e “negros”, mas entre ricos e pobres. Nessa discussão, há quem aponte que os pobres no Brasil têm todas as “cores” de pele. Dessa forma, não podemos deixar de nos perguntar quais serão as consequências das políticas de cotas raciais para a diminuição do preconceito. Será adequado, aqui, tratar de forma desigual pessoas que se podem se </w:t>
      </w:r>
      <w:r w:rsidRPr="00A051A4">
        <w:rPr>
          <w:rFonts w:ascii="Garamond" w:hAnsi="Garamond" w:cs="Courier New"/>
          <w:b/>
          <w:sz w:val="28"/>
          <w:szCs w:val="28"/>
        </w:rPr>
        <w:lastRenderedPageBreak/>
        <w:t>encontrar em situações iguais, apenas em razão de suas características fenotípicas?</w:t>
      </w:r>
      <w:r w:rsidRPr="001E5C61">
        <w:rPr>
          <w:rFonts w:ascii="Garamond" w:hAnsi="Garamond" w:cs="Courier New"/>
          <w:sz w:val="28"/>
          <w:szCs w:val="28"/>
        </w:rPr>
        <w:t xml:space="preserve"> E que medidas ajudarão na inclusão daqueles que não se autoclassificam como “negros”? Com a ampla adoção de programas de cotas raciais, como ficará, do ponto de vista do direito à igualdade, a situação do “branco” pobre? A adoção do critério da renda (adicional ou não) não seria mais adequada para a democratização do acesso ao </w:t>
      </w:r>
      <w:r w:rsidR="00C86AAB">
        <w:rPr>
          <w:rFonts w:ascii="Garamond" w:hAnsi="Garamond" w:cs="Courier New"/>
          <w:sz w:val="28"/>
          <w:szCs w:val="28"/>
        </w:rPr>
        <w:t>Ensino Superior</w:t>
      </w:r>
      <w:r w:rsidRPr="001E5C61">
        <w:rPr>
          <w:rFonts w:ascii="Garamond" w:hAnsi="Garamond" w:cs="Courier New"/>
          <w:sz w:val="28"/>
          <w:szCs w:val="28"/>
        </w:rPr>
        <w:t xml:space="preserve"> no Brasil? Por outro lado, </w:t>
      </w:r>
      <w:r w:rsidRPr="001E5C61">
        <w:rPr>
          <w:rFonts w:ascii="Garamond" w:hAnsi="Garamond" w:cs="Courier New"/>
          <w:color w:val="000000"/>
          <w:sz w:val="28"/>
          <w:szCs w:val="28"/>
        </w:rPr>
        <w:t>até que ponto podemos realmente afirmar que a discriminação pode ser reduzida a um fenômeno meramente econômico? Podemos questionar, ainda, até que ponto a existência de uma dívida histórica em relação a determinado segmento social justi</w:t>
      </w:r>
      <w:r>
        <w:rPr>
          <w:rFonts w:ascii="Garamond" w:hAnsi="Garamond" w:cs="Courier New"/>
          <w:color w:val="000000"/>
          <w:sz w:val="28"/>
          <w:szCs w:val="28"/>
        </w:rPr>
        <w:t xml:space="preserve">ficaria o tratamento desigual. </w:t>
      </w:r>
    </w:p>
    <w:p w:rsidR="005D48FB" w:rsidRDefault="005D48FB" w:rsidP="005D48FB">
      <w:pPr>
        <w:pStyle w:val="Recuodecorpodetexto3"/>
        <w:spacing w:before="240" w:line="360" w:lineRule="auto"/>
        <w:rPr>
          <w:rFonts w:ascii="Garamond" w:hAnsi="Garamond"/>
          <w:b/>
          <w:sz w:val="28"/>
          <w:szCs w:val="28"/>
        </w:rPr>
      </w:pPr>
      <w:r w:rsidRPr="00CC0CEC">
        <w:rPr>
          <w:rFonts w:ascii="Garamond" w:hAnsi="Garamond"/>
          <w:b/>
          <w:sz w:val="28"/>
          <w:szCs w:val="28"/>
        </w:rPr>
        <w:t>Não podemos deixar de levar em consideração essas reflexões, pois o que estamos a evidenciar neste caso do PROUNI é a adoção de uma política de inclusão social (um típico caso de discriminação positiva ou inversa) que leva em conta o critério da raça, porém não de forma exclusiva, mas conjugado com o critério s</w:t>
      </w:r>
      <w:r w:rsidR="00821FE9">
        <w:rPr>
          <w:rFonts w:ascii="Garamond" w:hAnsi="Garamond"/>
          <w:b/>
          <w:sz w:val="28"/>
          <w:szCs w:val="28"/>
        </w:rPr>
        <w:t>o</w:t>
      </w:r>
      <w:r w:rsidRPr="00CC0CEC">
        <w:rPr>
          <w:rFonts w:ascii="Garamond" w:hAnsi="Garamond"/>
          <w:b/>
          <w:sz w:val="28"/>
          <w:szCs w:val="28"/>
        </w:rPr>
        <w:t xml:space="preserve">cioeconômico. </w:t>
      </w:r>
    </w:p>
    <w:p w:rsidR="005D48FB" w:rsidRPr="00AD7B4B" w:rsidRDefault="005D48FB" w:rsidP="005D48FB">
      <w:pPr>
        <w:spacing w:before="240" w:line="360" w:lineRule="auto"/>
        <w:ind w:firstLine="1418"/>
        <w:jc w:val="both"/>
        <w:rPr>
          <w:rFonts w:ascii="Garamond" w:hAnsi="Garamond" w:cs="Courier New"/>
          <w:b/>
          <w:sz w:val="28"/>
          <w:szCs w:val="28"/>
        </w:rPr>
      </w:pPr>
      <w:r w:rsidRPr="00AD7B4B">
        <w:rPr>
          <w:rFonts w:ascii="Garamond" w:hAnsi="Garamond" w:cs="Courier New"/>
          <w:b/>
          <w:sz w:val="28"/>
          <w:szCs w:val="28"/>
        </w:rPr>
        <w:t>A revelação da complexidade do racismo existente em nossa sociedade e das características específicas da miscigenação do povo brasileiro impõe que as entidades responsáveis pela instituição de modelos de cotas sejam sensíveis à especificidade da realidade brasileira e, portanto, ao fixarem as cotas, atentem para a necessidade de conjugação de critérios de “cor” com critérios de renda, tendo em vista a própria eficiência social da instituição das políticas de cotas.</w:t>
      </w:r>
    </w:p>
    <w:p w:rsidR="005D48FB" w:rsidRDefault="005D48FB" w:rsidP="005D48FB">
      <w:pPr>
        <w:spacing w:before="240" w:line="360" w:lineRule="auto"/>
        <w:ind w:firstLine="1418"/>
        <w:jc w:val="both"/>
        <w:rPr>
          <w:rFonts w:ascii="Garamond" w:hAnsi="Garamond" w:cs="Courier New"/>
          <w:b/>
          <w:sz w:val="28"/>
          <w:szCs w:val="28"/>
        </w:rPr>
      </w:pPr>
      <w:r w:rsidRPr="00A051A4">
        <w:rPr>
          <w:rFonts w:ascii="Garamond" w:hAnsi="Garamond" w:cs="Courier New"/>
          <w:b/>
          <w:sz w:val="28"/>
          <w:szCs w:val="28"/>
        </w:rPr>
        <w:t xml:space="preserve">A implementação de cotas baseadas apenas na cor da pele pode não ser eficaz, do ponto de vista de inclusão social, ao passo que sua conjugação com critérios de renda tem o condão de atingir o problema de modo mais preciso, sem deixar margens para </w:t>
      </w:r>
      <w:r w:rsidRPr="00A051A4">
        <w:rPr>
          <w:rFonts w:ascii="Garamond" w:hAnsi="Garamond" w:cs="Courier New"/>
          <w:b/>
          <w:sz w:val="28"/>
          <w:szCs w:val="28"/>
        </w:rPr>
        <w:lastRenderedPageBreak/>
        <w:t>questionamentos baseados na ofensa à isonomia, ou sobre a possível estimulação de conflitos raciais inexistentes no Brasil atual.</w:t>
      </w:r>
    </w:p>
    <w:p w:rsidR="005D48FB" w:rsidRPr="004D3479" w:rsidRDefault="005D48FB" w:rsidP="005D48FB">
      <w:pPr>
        <w:spacing w:before="240" w:line="360" w:lineRule="auto"/>
        <w:ind w:firstLine="1418"/>
        <w:jc w:val="both"/>
        <w:rPr>
          <w:rFonts w:ascii="Garamond" w:hAnsi="Garamond" w:cs="Courier New"/>
          <w:b/>
          <w:sz w:val="28"/>
          <w:szCs w:val="28"/>
        </w:rPr>
      </w:pPr>
      <w:r w:rsidRPr="004D3479">
        <w:rPr>
          <w:rFonts w:ascii="Garamond" w:hAnsi="Garamond" w:cs="Courier New"/>
          <w:b/>
          <w:sz w:val="28"/>
          <w:szCs w:val="28"/>
        </w:rPr>
        <w:t>A instituição do PROUNI, por meio da Lei 11.096, de 13 de janeiro de 2005, a qual, por sua vez, é fruto da conversão da MP 213/2004, é um ótimo exemplo de política pública de ação afirmativa que conseguiu atingir o objetivo de gerar altos índices de inclusão social.</w:t>
      </w:r>
    </w:p>
    <w:p w:rsidR="005D48FB" w:rsidRDefault="005D48FB" w:rsidP="005D48FB">
      <w:pPr>
        <w:spacing w:before="240" w:line="360" w:lineRule="auto"/>
        <w:ind w:firstLine="1418"/>
        <w:jc w:val="both"/>
        <w:rPr>
          <w:rFonts w:ascii="Garamond" w:hAnsi="Garamond" w:cs="Courier New"/>
          <w:sz w:val="28"/>
          <w:szCs w:val="28"/>
        </w:rPr>
      </w:pPr>
      <w:r w:rsidRPr="00B648FE">
        <w:rPr>
          <w:rFonts w:ascii="Garamond" w:hAnsi="Garamond" w:cs="Courier New"/>
          <w:b/>
          <w:sz w:val="28"/>
          <w:szCs w:val="28"/>
        </w:rPr>
        <w:t>Os critérios utilizados pela lei instituidora do PROUNI são eminentemente s</w:t>
      </w:r>
      <w:r w:rsidR="00821FE9">
        <w:rPr>
          <w:rFonts w:ascii="Garamond" w:hAnsi="Garamond" w:cs="Courier New"/>
          <w:b/>
          <w:sz w:val="28"/>
          <w:szCs w:val="28"/>
        </w:rPr>
        <w:t>o</w:t>
      </w:r>
      <w:r w:rsidRPr="00B648FE">
        <w:rPr>
          <w:rFonts w:ascii="Garamond" w:hAnsi="Garamond" w:cs="Courier New"/>
          <w:b/>
          <w:sz w:val="28"/>
          <w:szCs w:val="28"/>
        </w:rPr>
        <w:t>cioeconômicos</w:t>
      </w:r>
      <w:r>
        <w:rPr>
          <w:rFonts w:ascii="Garamond" w:hAnsi="Garamond" w:cs="Courier New"/>
          <w:sz w:val="28"/>
          <w:szCs w:val="28"/>
        </w:rPr>
        <w:t xml:space="preserve">. Em seu primeiro artigo, a referida lei impõe limite máximo de renda familiar </w:t>
      </w:r>
      <w:r w:rsidRPr="00FF62DA">
        <w:rPr>
          <w:rFonts w:ascii="Garamond" w:hAnsi="Garamond" w:cs="Courier New"/>
          <w:i/>
          <w:sz w:val="28"/>
          <w:szCs w:val="28"/>
        </w:rPr>
        <w:t>per capita</w:t>
      </w:r>
      <w:r>
        <w:rPr>
          <w:rFonts w:ascii="Garamond" w:hAnsi="Garamond" w:cs="Courier New"/>
          <w:sz w:val="28"/>
          <w:szCs w:val="28"/>
        </w:rPr>
        <w:t xml:space="preserve"> de 1 (um) salário</w:t>
      </w:r>
      <w:r w:rsidR="00821FE9">
        <w:rPr>
          <w:rFonts w:ascii="Garamond" w:hAnsi="Garamond" w:cs="Courier New"/>
          <w:sz w:val="28"/>
          <w:szCs w:val="28"/>
        </w:rPr>
        <w:t xml:space="preserve"> </w:t>
      </w:r>
      <w:r>
        <w:rPr>
          <w:rFonts w:ascii="Garamond" w:hAnsi="Garamond" w:cs="Courier New"/>
          <w:sz w:val="28"/>
          <w:szCs w:val="28"/>
        </w:rPr>
        <w:t>mínimo e ½ (meio) para a concessão de bolsa integral ou de até 3 (três) salários</w:t>
      </w:r>
      <w:r w:rsidR="00821FE9">
        <w:rPr>
          <w:rFonts w:ascii="Garamond" w:hAnsi="Garamond" w:cs="Courier New"/>
          <w:sz w:val="28"/>
          <w:szCs w:val="28"/>
        </w:rPr>
        <w:t xml:space="preserve"> </w:t>
      </w:r>
      <w:r>
        <w:rPr>
          <w:rFonts w:ascii="Garamond" w:hAnsi="Garamond" w:cs="Courier New"/>
          <w:sz w:val="28"/>
          <w:szCs w:val="28"/>
        </w:rPr>
        <w:t>mínimos para as bolsas parciais. Já no segundo artigo, além de preocupar-se em estender o benefício às pessoas portadoras de deficiência, impõe o requisito de que as bolsas aos estudantes em geral apenas poderão ser concedidas àqueles oriundos de ensino médio em escola da rede pública.</w:t>
      </w:r>
    </w:p>
    <w:p w:rsidR="005D48FB" w:rsidRPr="00AD7B4B" w:rsidRDefault="005D48FB" w:rsidP="005D48FB">
      <w:pPr>
        <w:spacing w:before="240" w:line="360" w:lineRule="auto"/>
        <w:ind w:firstLine="1418"/>
        <w:jc w:val="both"/>
        <w:rPr>
          <w:rFonts w:ascii="Garamond" w:hAnsi="Garamond" w:cs="Courier New"/>
          <w:sz w:val="28"/>
          <w:szCs w:val="28"/>
        </w:rPr>
      </w:pPr>
      <w:r w:rsidRPr="00AD7B4B">
        <w:rPr>
          <w:rFonts w:ascii="Garamond" w:hAnsi="Garamond" w:cs="Courier New"/>
          <w:sz w:val="28"/>
          <w:szCs w:val="28"/>
        </w:rPr>
        <w:t xml:space="preserve">O artigo 3º da lei do PROUNI afirma expressamente que os bolsistas serão selecionados pelo </w:t>
      </w:r>
      <w:r w:rsidRPr="00AD7B4B">
        <w:rPr>
          <w:rFonts w:ascii="Garamond" w:hAnsi="Garamond" w:cs="Courier New"/>
          <w:i/>
          <w:sz w:val="28"/>
          <w:szCs w:val="28"/>
        </w:rPr>
        <w:t xml:space="preserve">perfil </w:t>
      </w:r>
      <w:proofErr w:type="spellStart"/>
      <w:r w:rsidRPr="00AD7B4B">
        <w:rPr>
          <w:rFonts w:ascii="Garamond" w:hAnsi="Garamond" w:cs="Courier New"/>
          <w:i/>
          <w:sz w:val="28"/>
          <w:szCs w:val="28"/>
        </w:rPr>
        <w:t>sócio-econômico</w:t>
      </w:r>
      <w:proofErr w:type="spellEnd"/>
      <w:r w:rsidRPr="00AD7B4B">
        <w:rPr>
          <w:rFonts w:ascii="Garamond" w:hAnsi="Garamond" w:cs="Courier New"/>
          <w:i/>
          <w:sz w:val="28"/>
          <w:szCs w:val="28"/>
        </w:rPr>
        <w:t xml:space="preserve"> </w:t>
      </w:r>
      <w:r w:rsidRPr="00AD7B4B">
        <w:rPr>
          <w:rFonts w:ascii="Garamond" w:hAnsi="Garamond" w:cs="Courier New"/>
          <w:sz w:val="28"/>
          <w:szCs w:val="28"/>
        </w:rPr>
        <w:t>e o art. 7º traz a previsão de percentual de bolsas a serem concedidas aos deficientes, bem como aos indígenas, pardos e negros. Afirma, ainda, que as bolsas étnicas ou raciais deverão ser, no mínimo, igual ao percentual de cidadãos autodeclarados indígenas, pardos ou pretos, em cada unidade da federação, segundo o último Censo do IBGE.</w:t>
      </w:r>
    </w:p>
    <w:p w:rsidR="005D48FB" w:rsidRPr="006E6DFB" w:rsidRDefault="005D48FB" w:rsidP="005D48FB">
      <w:pPr>
        <w:spacing w:before="240" w:line="360" w:lineRule="auto"/>
        <w:ind w:firstLine="1418"/>
        <w:jc w:val="both"/>
        <w:rPr>
          <w:rFonts w:ascii="Garamond" w:hAnsi="Garamond" w:cs="Courier New"/>
          <w:b/>
          <w:sz w:val="28"/>
          <w:szCs w:val="28"/>
        </w:rPr>
      </w:pPr>
      <w:r>
        <w:rPr>
          <w:rFonts w:ascii="Garamond" w:hAnsi="Garamond" w:cs="Courier New"/>
          <w:b/>
          <w:sz w:val="28"/>
          <w:szCs w:val="28"/>
        </w:rPr>
        <w:t xml:space="preserve">Isso quer dizer que o </w:t>
      </w:r>
      <w:r w:rsidRPr="006E6DFB">
        <w:rPr>
          <w:rFonts w:ascii="Garamond" w:hAnsi="Garamond" w:cs="Courier New"/>
          <w:b/>
          <w:sz w:val="28"/>
          <w:szCs w:val="28"/>
        </w:rPr>
        <w:t>PROUNI, o qual tem sido bastante bem-sucedido, optou por programa de ação afirmativa que leva em consideração critério s</w:t>
      </w:r>
      <w:r w:rsidR="00821FE9">
        <w:rPr>
          <w:rFonts w:ascii="Garamond" w:hAnsi="Garamond" w:cs="Courier New"/>
          <w:b/>
          <w:sz w:val="28"/>
          <w:szCs w:val="28"/>
        </w:rPr>
        <w:t>o</w:t>
      </w:r>
      <w:r w:rsidRPr="006E6DFB">
        <w:rPr>
          <w:rFonts w:ascii="Garamond" w:hAnsi="Garamond" w:cs="Courier New"/>
          <w:b/>
          <w:sz w:val="28"/>
          <w:szCs w:val="28"/>
        </w:rPr>
        <w:t xml:space="preserve">cioeconômico, de renda familiar mínima, de origem de rede pública de ensino, distingue entre as unidades da federação, além de abranger indígenas, deficientes, entre outras </w:t>
      </w:r>
      <w:r w:rsidRPr="006E6DFB">
        <w:rPr>
          <w:rFonts w:ascii="Garamond" w:hAnsi="Garamond" w:cs="Courier New"/>
          <w:b/>
          <w:sz w:val="28"/>
          <w:szCs w:val="28"/>
        </w:rPr>
        <w:lastRenderedPageBreak/>
        <w:t>hipóteses. Essa espécie de ação afirmativa, repito, já implementada, com sucesso, parece ser bastante mais eficaz socialmente do que um tipo de cota simplesmente baseada em critério racial.</w:t>
      </w:r>
    </w:p>
    <w:p w:rsidR="005D48FB" w:rsidRDefault="005D48FB" w:rsidP="005D48FB">
      <w:pPr>
        <w:pStyle w:val="texto"/>
        <w:spacing w:before="240" w:after="0" w:line="360" w:lineRule="auto"/>
        <w:ind w:firstLine="1418"/>
        <w:rPr>
          <w:rFonts w:ascii="Garamond" w:hAnsi="Garamond" w:cs="Courier New"/>
          <w:b/>
          <w:color w:val="auto"/>
          <w:sz w:val="28"/>
          <w:szCs w:val="28"/>
        </w:rPr>
      </w:pPr>
      <w:r w:rsidRPr="00B648FE">
        <w:rPr>
          <w:rFonts w:ascii="Garamond" w:hAnsi="Garamond" w:cs="Courier New"/>
          <w:b/>
          <w:color w:val="auto"/>
          <w:sz w:val="28"/>
          <w:szCs w:val="28"/>
        </w:rPr>
        <w:t>O debate é complexo e não se está a propor soluções milagrosas, mas apenas a demonstrar que a introdução do critério de renda, além de outros, conjugados que sejam com o critério racial, tem o condão de conferir segurança à política de cotas, bem como uma maior eficácia social da referida política e a prevenção de conflitos raciais que, deve-se sempre salientar, são escassos no Brasil.</w:t>
      </w:r>
    </w:p>
    <w:p w:rsidR="00BC4F2F" w:rsidRPr="00517B22" w:rsidRDefault="004169D2" w:rsidP="00BC4F2F">
      <w:pPr>
        <w:spacing w:before="240" w:line="360" w:lineRule="auto"/>
        <w:jc w:val="both"/>
        <w:rPr>
          <w:rFonts w:ascii="Garamond" w:hAnsi="Garamond" w:cs="Courier New"/>
          <w:b/>
          <w:sz w:val="28"/>
          <w:szCs w:val="28"/>
        </w:rPr>
      </w:pPr>
      <w:r>
        <w:rPr>
          <w:rFonts w:ascii="Garamond" w:hAnsi="Garamond" w:cs="Courier New"/>
          <w:b/>
          <w:sz w:val="28"/>
          <w:szCs w:val="28"/>
        </w:rPr>
        <w:t>6</w:t>
      </w:r>
      <w:r w:rsidR="00BC4F2F" w:rsidRPr="00517B22">
        <w:rPr>
          <w:rFonts w:ascii="Garamond" w:hAnsi="Garamond" w:cs="Courier New"/>
          <w:b/>
          <w:sz w:val="28"/>
          <w:szCs w:val="28"/>
        </w:rPr>
        <w:t>. O IMPORTANTE PAPEL DO PROUNI NA INCLUSÃO DE ALUNOS NO ENSINO SUPERIOR</w:t>
      </w:r>
    </w:p>
    <w:p w:rsidR="00BC4F2F" w:rsidRDefault="00BC4F2F" w:rsidP="00BC4F2F">
      <w:pPr>
        <w:spacing w:before="240" w:line="360" w:lineRule="auto"/>
        <w:ind w:firstLine="1440"/>
        <w:jc w:val="both"/>
        <w:rPr>
          <w:rFonts w:ascii="Garamond" w:hAnsi="Garamond" w:cs="Courier New"/>
          <w:sz w:val="28"/>
          <w:szCs w:val="28"/>
        </w:rPr>
      </w:pPr>
      <w:r>
        <w:rPr>
          <w:rFonts w:ascii="Garamond" w:hAnsi="Garamond" w:cs="Courier New"/>
          <w:sz w:val="28"/>
          <w:szCs w:val="28"/>
        </w:rPr>
        <w:t>I</w:t>
      </w:r>
      <w:r w:rsidRPr="001E5C61">
        <w:rPr>
          <w:rFonts w:ascii="Garamond" w:hAnsi="Garamond" w:cs="Courier New"/>
          <w:sz w:val="28"/>
          <w:szCs w:val="28"/>
        </w:rPr>
        <w:t>mpo</w:t>
      </w:r>
      <w:r>
        <w:rPr>
          <w:rFonts w:ascii="Garamond" w:hAnsi="Garamond" w:cs="Courier New"/>
          <w:sz w:val="28"/>
          <w:szCs w:val="28"/>
        </w:rPr>
        <w:t>rtante aspecto a ser considerado diz respeito ao papel do PROUNI na questão do</w:t>
      </w:r>
      <w:r w:rsidRPr="001E5C61">
        <w:rPr>
          <w:rFonts w:ascii="Garamond" w:hAnsi="Garamond" w:cs="Courier New"/>
          <w:sz w:val="28"/>
          <w:szCs w:val="28"/>
        </w:rPr>
        <w:t xml:space="preserve"> acesso ao </w:t>
      </w:r>
      <w:r w:rsidR="00C86AAB">
        <w:rPr>
          <w:rFonts w:ascii="Garamond" w:hAnsi="Garamond" w:cs="Courier New"/>
          <w:sz w:val="28"/>
          <w:szCs w:val="28"/>
        </w:rPr>
        <w:t>Ensino Superior</w:t>
      </w:r>
      <w:r w:rsidRPr="001E5C61">
        <w:rPr>
          <w:rFonts w:ascii="Garamond" w:hAnsi="Garamond" w:cs="Courier New"/>
          <w:sz w:val="28"/>
          <w:szCs w:val="28"/>
        </w:rPr>
        <w:t xml:space="preserve"> no Brasil. Sabemos que a universidade pública é altamente excludente. </w:t>
      </w:r>
      <w:r>
        <w:rPr>
          <w:rFonts w:ascii="Garamond" w:hAnsi="Garamond" w:cs="Courier New"/>
          <w:sz w:val="28"/>
          <w:szCs w:val="28"/>
        </w:rPr>
        <w:t xml:space="preserve">As estatísticas demonstram que, em 2010, apenas 30 % dos jovens de 18 a 24 anos de idade declararam que estudar e, desse número, somente 14,4 % encontravam-se matriculados no </w:t>
      </w:r>
      <w:r w:rsidR="00C86AAB">
        <w:rPr>
          <w:rFonts w:ascii="Garamond" w:hAnsi="Garamond" w:cs="Courier New"/>
          <w:sz w:val="28"/>
          <w:szCs w:val="28"/>
        </w:rPr>
        <w:t>Ensino Superior</w:t>
      </w:r>
      <w:r>
        <w:rPr>
          <w:rFonts w:ascii="Garamond" w:hAnsi="Garamond" w:cs="Courier New"/>
          <w:sz w:val="28"/>
          <w:szCs w:val="28"/>
        </w:rPr>
        <w:t xml:space="preserve"> (dados da Pesquisa Nacional por Amostra de Domicílios-PNAD/IBGE, retirado do Programa de Expansão, Excelência e Internacionalização das Universidades Federais, ANDIFES, abril de 2012). Quando o assunto é o acesso ao </w:t>
      </w:r>
      <w:r w:rsidR="00C86AAB">
        <w:rPr>
          <w:rFonts w:ascii="Garamond" w:hAnsi="Garamond" w:cs="Courier New"/>
          <w:sz w:val="28"/>
          <w:szCs w:val="28"/>
        </w:rPr>
        <w:t>Ensino Superior</w:t>
      </w:r>
      <w:r>
        <w:rPr>
          <w:rFonts w:ascii="Garamond" w:hAnsi="Garamond" w:cs="Courier New"/>
          <w:sz w:val="28"/>
          <w:szCs w:val="28"/>
        </w:rPr>
        <w:t xml:space="preserve">, os números colocam o Brasil em um patamar muito inferior aos demais países da América Latina. </w:t>
      </w:r>
    </w:p>
    <w:p w:rsidR="00BC4F2F" w:rsidRDefault="00BC4F2F" w:rsidP="00BC4F2F">
      <w:pPr>
        <w:spacing w:before="240" w:line="360" w:lineRule="auto"/>
        <w:ind w:firstLine="1440"/>
        <w:jc w:val="both"/>
        <w:rPr>
          <w:rFonts w:ascii="Garamond" w:hAnsi="Garamond" w:cs="Courier New"/>
          <w:sz w:val="28"/>
          <w:szCs w:val="28"/>
        </w:rPr>
      </w:pPr>
      <w:r>
        <w:rPr>
          <w:rFonts w:ascii="Garamond" w:hAnsi="Garamond" w:cs="Courier New"/>
          <w:sz w:val="28"/>
          <w:szCs w:val="28"/>
        </w:rPr>
        <w:t xml:space="preserve">É inegável que, desde a década de 1990, os governos têm implementado políticas que visam aumentar o número de vagas/matrículas nas instituições de </w:t>
      </w:r>
      <w:r w:rsidR="00C86AAB">
        <w:rPr>
          <w:rFonts w:ascii="Garamond" w:hAnsi="Garamond" w:cs="Courier New"/>
          <w:sz w:val="28"/>
          <w:szCs w:val="28"/>
        </w:rPr>
        <w:t>Ensino Superior</w:t>
      </w:r>
      <w:r>
        <w:rPr>
          <w:rFonts w:ascii="Garamond" w:hAnsi="Garamond" w:cs="Courier New"/>
          <w:sz w:val="28"/>
          <w:szCs w:val="28"/>
        </w:rPr>
        <w:t xml:space="preserve">. De um número de 1.565.056 (um milhão, quinhentos e sessenta e cinco mil e cinquenta e seis) em 1991, chegamos em 2007 a 4.880.381 (quatro milhões, oitocentos e oitenta mil, trezentos e oitenta e um) alunos matriculados no </w:t>
      </w:r>
      <w:r w:rsidR="00C86AAB">
        <w:rPr>
          <w:rFonts w:ascii="Garamond" w:hAnsi="Garamond" w:cs="Courier New"/>
          <w:sz w:val="28"/>
          <w:szCs w:val="28"/>
        </w:rPr>
        <w:t>Ensino Superior</w:t>
      </w:r>
      <w:r>
        <w:rPr>
          <w:rFonts w:ascii="Garamond" w:hAnsi="Garamond" w:cs="Courier New"/>
          <w:sz w:val="28"/>
          <w:szCs w:val="28"/>
        </w:rPr>
        <w:t xml:space="preserve"> (dados do Censo da Educação </w:t>
      </w:r>
      <w:r>
        <w:rPr>
          <w:rFonts w:ascii="Garamond" w:hAnsi="Garamond" w:cs="Courier New"/>
          <w:sz w:val="28"/>
          <w:szCs w:val="28"/>
        </w:rPr>
        <w:lastRenderedPageBreak/>
        <w:t xml:space="preserve">Superior, do Ministério da Educação). </w:t>
      </w:r>
      <w:r>
        <w:rPr>
          <w:rFonts w:ascii="Garamond" w:hAnsi="Garamond"/>
          <w:sz w:val="28"/>
          <w:szCs w:val="28"/>
        </w:rPr>
        <w:t>Em 2010, 6.</w:t>
      </w:r>
      <w:r w:rsidRPr="008836AE">
        <w:rPr>
          <w:rFonts w:ascii="Garamond" w:hAnsi="Garamond"/>
          <w:sz w:val="28"/>
          <w:szCs w:val="28"/>
        </w:rPr>
        <w:t>379</w:t>
      </w:r>
      <w:r>
        <w:rPr>
          <w:rFonts w:ascii="Garamond" w:hAnsi="Garamond"/>
          <w:sz w:val="28"/>
          <w:szCs w:val="28"/>
        </w:rPr>
        <w:t>.</w:t>
      </w:r>
      <w:r w:rsidRPr="008836AE">
        <w:rPr>
          <w:rFonts w:ascii="Garamond" w:hAnsi="Garamond"/>
          <w:sz w:val="28"/>
          <w:szCs w:val="28"/>
        </w:rPr>
        <w:t xml:space="preserve">299 estudantes matricularam-se </w:t>
      </w:r>
      <w:r>
        <w:rPr>
          <w:rFonts w:ascii="Garamond" w:hAnsi="Garamond"/>
          <w:sz w:val="28"/>
          <w:szCs w:val="28"/>
        </w:rPr>
        <w:t xml:space="preserve">no </w:t>
      </w:r>
      <w:r w:rsidR="00C86AAB">
        <w:rPr>
          <w:rFonts w:ascii="Garamond" w:hAnsi="Garamond"/>
          <w:sz w:val="28"/>
          <w:szCs w:val="28"/>
        </w:rPr>
        <w:t>Ensino Superior</w:t>
      </w:r>
      <w:r>
        <w:rPr>
          <w:rFonts w:ascii="Garamond" w:hAnsi="Garamond"/>
          <w:sz w:val="28"/>
          <w:szCs w:val="28"/>
        </w:rPr>
        <w:t>:</w:t>
      </w:r>
      <w:r w:rsidRPr="008836AE">
        <w:rPr>
          <w:rFonts w:ascii="Garamond" w:hAnsi="Garamond"/>
          <w:sz w:val="28"/>
          <w:szCs w:val="28"/>
        </w:rPr>
        <w:t xml:space="preserve"> 25,8% estavam em instituições</w:t>
      </w:r>
      <w:r w:rsidRPr="008836AE">
        <w:rPr>
          <w:rFonts w:ascii="Garamond" w:hAnsi="Garamond"/>
          <w:sz w:val="28"/>
          <w:szCs w:val="28"/>
        </w:rPr>
        <w:br/>
        <w:t>públicas (14,7% em instituições federais) e 74,2% em</w:t>
      </w:r>
      <w:r w:rsidRPr="008836AE">
        <w:rPr>
          <w:rFonts w:ascii="Garamond" w:hAnsi="Garamond"/>
          <w:sz w:val="28"/>
          <w:szCs w:val="28"/>
        </w:rPr>
        <w:br/>
        <w:t xml:space="preserve">instituições particulares, </w:t>
      </w:r>
      <w:r>
        <w:rPr>
          <w:rFonts w:ascii="Garamond" w:hAnsi="Garamond" w:cs="Courier New"/>
          <w:sz w:val="28"/>
          <w:szCs w:val="28"/>
        </w:rPr>
        <w:t xml:space="preserve">o que revela um avanço que não se pode desprezar. </w:t>
      </w:r>
    </w:p>
    <w:p w:rsidR="007F6152" w:rsidRPr="00267381" w:rsidRDefault="007F6152" w:rsidP="00BC4F2F">
      <w:pPr>
        <w:spacing w:before="240" w:line="360" w:lineRule="auto"/>
        <w:ind w:firstLine="1440"/>
        <w:jc w:val="both"/>
        <w:rPr>
          <w:rFonts w:ascii="Garamond" w:hAnsi="Garamond" w:cs="Courier New"/>
          <w:b/>
          <w:sz w:val="28"/>
          <w:szCs w:val="28"/>
        </w:rPr>
      </w:pPr>
      <w:r>
        <w:rPr>
          <w:rFonts w:ascii="Garamond" w:hAnsi="Garamond" w:cs="Courier New"/>
          <w:sz w:val="28"/>
          <w:szCs w:val="28"/>
        </w:rPr>
        <w:t xml:space="preserve">Conforme o </w:t>
      </w:r>
      <w:r w:rsidRPr="00267381">
        <w:rPr>
          <w:rFonts w:ascii="Garamond" w:hAnsi="Garamond" w:cs="Courier New"/>
          <w:b/>
          <w:sz w:val="28"/>
          <w:szCs w:val="28"/>
        </w:rPr>
        <w:t>Censo da Educação Superior do ano de 2010</w:t>
      </w:r>
      <w:r>
        <w:rPr>
          <w:rFonts w:ascii="Garamond" w:hAnsi="Garamond" w:cs="Courier New"/>
          <w:sz w:val="28"/>
          <w:szCs w:val="28"/>
        </w:rPr>
        <w:t xml:space="preserve">, o Brasil contava com 2.377 instituições de </w:t>
      </w:r>
      <w:r w:rsidR="00C86AAB">
        <w:rPr>
          <w:rFonts w:ascii="Garamond" w:hAnsi="Garamond" w:cs="Courier New"/>
          <w:sz w:val="28"/>
          <w:szCs w:val="28"/>
        </w:rPr>
        <w:t>Ensino Superior</w:t>
      </w:r>
      <w:r>
        <w:rPr>
          <w:rFonts w:ascii="Garamond" w:hAnsi="Garamond" w:cs="Courier New"/>
          <w:sz w:val="28"/>
          <w:szCs w:val="28"/>
        </w:rPr>
        <w:t xml:space="preserve">, das quais 278 eram públicas, sendo 99 do sistema federal, 108 estaduais e 71 municipais; </w:t>
      </w:r>
      <w:r w:rsidRPr="00267381">
        <w:rPr>
          <w:rFonts w:ascii="Garamond" w:hAnsi="Garamond" w:cs="Courier New"/>
          <w:b/>
          <w:sz w:val="28"/>
          <w:szCs w:val="28"/>
        </w:rPr>
        <w:t xml:space="preserve">o sistema público contava com um total de 1.643.298 matrículas de graduação; o setor privado contava acolhia 2.099 instituições, com 4.736.001 matrículas de graduação. </w:t>
      </w:r>
    </w:p>
    <w:p w:rsidR="007F6152" w:rsidRPr="00267381" w:rsidRDefault="007F6152" w:rsidP="007F6152">
      <w:pPr>
        <w:spacing w:before="240" w:line="360" w:lineRule="auto"/>
        <w:ind w:firstLine="1440"/>
        <w:jc w:val="both"/>
        <w:rPr>
          <w:rFonts w:ascii="Garamond" w:hAnsi="Garamond"/>
          <w:b/>
          <w:sz w:val="28"/>
          <w:szCs w:val="28"/>
          <w:u w:val="single"/>
        </w:rPr>
      </w:pPr>
      <w:r w:rsidRPr="00267381">
        <w:rPr>
          <w:rFonts w:ascii="Garamond" w:hAnsi="Garamond"/>
          <w:b/>
          <w:sz w:val="28"/>
          <w:szCs w:val="28"/>
        </w:rPr>
        <w:t xml:space="preserve">O programa PROUNI tem exercido um papel fundamental nesse crescimento do número de matrículas no </w:t>
      </w:r>
      <w:r w:rsidR="00C86AAB">
        <w:rPr>
          <w:rFonts w:ascii="Garamond" w:hAnsi="Garamond"/>
          <w:b/>
          <w:sz w:val="28"/>
          <w:szCs w:val="28"/>
        </w:rPr>
        <w:t>Ensino Superior</w:t>
      </w:r>
      <w:r w:rsidRPr="00267381">
        <w:rPr>
          <w:rFonts w:ascii="Garamond" w:hAnsi="Garamond"/>
          <w:b/>
          <w:sz w:val="28"/>
          <w:szCs w:val="28"/>
        </w:rPr>
        <w:t>.</w:t>
      </w:r>
      <w:r>
        <w:rPr>
          <w:rFonts w:ascii="Garamond" w:hAnsi="Garamond"/>
          <w:sz w:val="28"/>
          <w:szCs w:val="28"/>
        </w:rPr>
        <w:t xml:space="preserve"> </w:t>
      </w:r>
      <w:r w:rsidRPr="00267381">
        <w:rPr>
          <w:rFonts w:ascii="Garamond" w:hAnsi="Garamond"/>
          <w:b/>
          <w:sz w:val="28"/>
          <w:szCs w:val="28"/>
        </w:rPr>
        <w:t xml:space="preserve">Dos estudantes em instituições particulares, hoje, pouco mais de 1 milhão (de um total de 4.736.001 alunos) têm o apoio do PROUNI. Portanto, </w:t>
      </w:r>
      <w:r w:rsidRPr="00267381">
        <w:rPr>
          <w:rFonts w:ascii="Garamond" w:hAnsi="Garamond"/>
          <w:b/>
          <w:sz w:val="28"/>
          <w:szCs w:val="28"/>
          <w:u w:val="single"/>
        </w:rPr>
        <w:t xml:space="preserve">o número de ingressantes no </w:t>
      </w:r>
      <w:r w:rsidR="00C86AAB">
        <w:rPr>
          <w:rFonts w:ascii="Garamond" w:hAnsi="Garamond"/>
          <w:b/>
          <w:sz w:val="28"/>
          <w:szCs w:val="28"/>
          <w:u w:val="single"/>
        </w:rPr>
        <w:t>Ensino Superior</w:t>
      </w:r>
      <w:r w:rsidRPr="00267381">
        <w:rPr>
          <w:rFonts w:ascii="Garamond" w:hAnsi="Garamond"/>
          <w:b/>
          <w:sz w:val="28"/>
          <w:szCs w:val="28"/>
          <w:u w:val="single"/>
        </w:rPr>
        <w:t xml:space="preserve"> por meio do PROUNI chega a ser próximo do total de estudantes atualmente matriculados em instituições públicas. </w:t>
      </w:r>
    </w:p>
    <w:p w:rsidR="00221F95" w:rsidRDefault="00857C60" w:rsidP="00857C60">
      <w:pPr>
        <w:spacing w:before="100" w:beforeAutospacing="1" w:after="100" w:afterAutospacing="1" w:line="360" w:lineRule="auto"/>
        <w:ind w:firstLine="1418"/>
        <w:jc w:val="both"/>
        <w:rPr>
          <w:rFonts w:ascii="Garamond" w:hAnsi="Garamond"/>
          <w:sz w:val="28"/>
          <w:szCs w:val="28"/>
        </w:rPr>
      </w:pPr>
      <w:r>
        <w:rPr>
          <w:rFonts w:ascii="Garamond" w:hAnsi="Garamond"/>
          <w:sz w:val="28"/>
          <w:szCs w:val="28"/>
        </w:rPr>
        <w:t xml:space="preserve">Programas como este têm importância fundamental para a manutenção de níveis mínimos de qualidade do </w:t>
      </w:r>
      <w:r w:rsidR="00C86AAB">
        <w:rPr>
          <w:rFonts w:ascii="Garamond" w:hAnsi="Garamond"/>
          <w:sz w:val="28"/>
          <w:szCs w:val="28"/>
        </w:rPr>
        <w:t>Ensino Superior</w:t>
      </w:r>
      <w:r>
        <w:rPr>
          <w:rFonts w:ascii="Garamond" w:hAnsi="Garamond"/>
          <w:sz w:val="28"/>
          <w:szCs w:val="28"/>
        </w:rPr>
        <w:t xml:space="preserve">. </w:t>
      </w:r>
    </w:p>
    <w:p w:rsidR="00821FE9" w:rsidRDefault="00857C60" w:rsidP="00857C60">
      <w:pPr>
        <w:spacing w:before="100" w:beforeAutospacing="1" w:after="100" w:afterAutospacing="1" w:line="360" w:lineRule="auto"/>
        <w:ind w:firstLine="1418"/>
        <w:jc w:val="both"/>
        <w:rPr>
          <w:rFonts w:ascii="Garamond" w:hAnsi="Garamond"/>
          <w:sz w:val="28"/>
          <w:szCs w:val="28"/>
        </w:rPr>
      </w:pPr>
      <w:r>
        <w:rPr>
          <w:rFonts w:ascii="Garamond" w:hAnsi="Garamond"/>
          <w:sz w:val="28"/>
          <w:szCs w:val="28"/>
        </w:rPr>
        <w:t xml:space="preserve">Na Alemanha, por exemplo, o principal programa de auxílio a alunos de </w:t>
      </w:r>
      <w:r w:rsidR="00C86AAB">
        <w:rPr>
          <w:rFonts w:ascii="Garamond" w:hAnsi="Garamond"/>
          <w:sz w:val="28"/>
          <w:szCs w:val="28"/>
        </w:rPr>
        <w:t>Ensino Superior</w:t>
      </w:r>
      <w:r>
        <w:rPr>
          <w:rFonts w:ascii="Garamond" w:hAnsi="Garamond"/>
          <w:sz w:val="28"/>
          <w:szCs w:val="28"/>
        </w:rPr>
        <w:t xml:space="preserve"> e </w:t>
      </w:r>
      <w:r w:rsidR="00821FE9">
        <w:rPr>
          <w:rFonts w:ascii="Garamond" w:hAnsi="Garamond"/>
          <w:sz w:val="28"/>
          <w:szCs w:val="28"/>
        </w:rPr>
        <w:t>F</w:t>
      </w:r>
      <w:r>
        <w:rPr>
          <w:rFonts w:ascii="Garamond" w:hAnsi="Garamond"/>
          <w:sz w:val="28"/>
          <w:szCs w:val="28"/>
        </w:rPr>
        <w:t xml:space="preserve">undamental é </w:t>
      </w:r>
      <w:r w:rsidRPr="00372EAD">
        <w:rPr>
          <w:rFonts w:ascii="Garamond" w:hAnsi="Garamond"/>
          <w:b/>
          <w:sz w:val="28"/>
          <w:szCs w:val="28"/>
        </w:rPr>
        <w:t xml:space="preserve">o denominado </w:t>
      </w:r>
      <w:proofErr w:type="spellStart"/>
      <w:proofErr w:type="gramStart"/>
      <w:r w:rsidRPr="00372EAD">
        <w:rPr>
          <w:rFonts w:ascii="Garamond" w:hAnsi="Garamond"/>
          <w:b/>
          <w:sz w:val="28"/>
          <w:szCs w:val="28"/>
        </w:rPr>
        <w:t>BAfög</w:t>
      </w:r>
      <w:proofErr w:type="spellEnd"/>
      <w:proofErr w:type="gramEnd"/>
      <w:r w:rsidRPr="00372EAD">
        <w:rPr>
          <w:rFonts w:ascii="Garamond" w:hAnsi="Garamond"/>
          <w:b/>
          <w:sz w:val="28"/>
          <w:szCs w:val="28"/>
        </w:rPr>
        <w:t xml:space="preserve"> (</w:t>
      </w:r>
      <w:proofErr w:type="spellStart"/>
      <w:r w:rsidRPr="00372EAD">
        <w:rPr>
          <w:rFonts w:ascii="Garamond" w:hAnsi="Garamond"/>
          <w:b/>
          <w:i/>
          <w:iCs/>
          <w:sz w:val="28"/>
          <w:szCs w:val="28"/>
        </w:rPr>
        <w:t>Bundesausbildungsförderungsgesetz</w:t>
      </w:r>
      <w:proofErr w:type="spellEnd"/>
      <w:r w:rsidRPr="00372EAD">
        <w:rPr>
          <w:rFonts w:ascii="Garamond" w:hAnsi="Garamond"/>
          <w:b/>
          <w:sz w:val="28"/>
          <w:szCs w:val="28"/>
        </w:rPr>
        <w:t>)</w:t>
      </w:r>
      <w:r>
        <w:rPr>
          <w:rFonts w:ascii="Garamond" w:hAnsi="Garamond"/>
          <w:sz w:val="28"/>
          <w:szCs w:val="28"/>
        </w:rPr>
        <w:t>, existente desde 1971. Quando destinado a suporte universitário, deve ser solicitado no início do curso e por candidatos que con</w:t>
      </w:r>
      <w:bookmarkStart w:id="0" w:name="1370ffc995095220__ftnref1"/>
      <w:r>
        <w:rPr>
          <w:rFonts w:ascii="Garamond" w:hAnsi="Garamond"/>
          <w:sz w:val="28"/>
          <w:szCs w:val="28"/>
        </w:rPr>
        <w:t>tem com até trinta anos de idad</w:t>
      </w:r>
      <w:bookmarkStart w:id="1" w:name="_ftnref1"/>
      <w:bookmarkEnd w:id="0"/>
      <w:r>
        <w:rPr>
          <w:rFonts w:ascii="Garamond" w:hAnsi="Garamond"/>
          <w:sz w:val="28"/>
          <w:szCs w:val="28"/>
        </w:rPr>
        <w:t>e</w:t>
      </w:r>
      <w:bookmarkEnd w:id="1"/>
      <w:r>
        <w:rPr>
          <w:rStyle w:val="Refdenotaderodap"/>
          <w:rFonts w:ascii="Garamond" w:hAnsi="Garamond"/>
          <w:sz w:val="28"/>
          <w:szCs w:val="28"/>
        </w:rPr>
        <w:footnoteReference w:customMarkFollows="1" w:id="1"/>
        <w:t>[1]</w:t>
      </w:r>
      <w:r>
        <w:rPr>
          <w:rFonts w:ascii="Garamond" w:hAnsi="Garamond"/>
          <w:sz w:val="28"/>
          <w:szCs w:val="28"/>
        </w:rPr>
        <w:t xml:space="preserve">. </w:t>
      </w:r>
    </w:p>
    <w:p w:rsidR="00821FE9" w:rsidRDefault="00857C60" w:rsidP="00857C60">
      <w:pPr>
        <w:spacing w:before="100" w:beforeAutospacing="1" w:after="100" w:afterAutospacing="1" w:line="360" w:lineRule="auto"/>
        <w:ind w:firstLine="1418"/>
        <w:jc w:val="both"/>
        <w:rPr>
          <w:rFonts w:ascii="Garamond" w:hAnsi="Garamond"/>
          <w:sz w:val="28"/>
          <w:szCs w:val="28"/>
        </w:rPr>
      </w:pPr>
      <w:r>
        <w:rPr>
          <w:rFonts w:ascii="Garamond" w:hAnsi="Garamond"/>
          <w:sz w:val="28"/>
          <w:szCs w:val="28"/>
        </w:rPr>
        <w:t xml:space="preserve">O valor do auxílio, que pode ser de até 670 euros mensais, é determinado de acordo com a renda familiar do beneficiário e deve incluir o </w:t>
      </w:r>
      <w:r>
        <w:rPr>
          <w:rFonts w:ascii="Garamond" w:hAnsi="Garamond"/>
          <w:sz w:val="28"/>
          <w:szCs w:val="28"/>
        </w:rPr>
        <w:lastRenderedPageBreak/>
        <w:t>necessário não apenas para financiar taxas universitárias, mas também</w:t>
      </w:r>
      <w:r w:rsidR="00821FE9">
        <w:rPr>
          <w:rFonts w:ascii="Garamond" w:hAnsi="Garamond"/>
          <w:sz w:val="28"/>
          <w:szCs w:val="28"/>
        </w:rPr>
        <w:t xml:space="preserve"> os</w:t>
      </w:r>
      <w:r>
        <w:rPr>
          <w:rFonts w:ascii="Garamond" w:hAnsi="Garamond"/>
          <w:sz w:val="28"/>
          <w:szCs w:val="28"/>
        </w:rPr>
        <w:t xml:space="preserve"> custos de vida. Dados indicam que</w:t>
      </w:r>
      <w:r w:rsidR="00821FE9">
        <w:rPr>
          <w:rFonts w:ascii="Garamond" w:hAnsi="Garamond"/>
          <w:sz w:val="28"/>
          <w:szCs w:val="28"/>
        </w:rPr>
        <w:t>,</w:t>
      </w:r>
      <w:r>
        <w:rPr>
          <w:rFonts w:ascii="Garamond" w:hAnsi="Garamond"/>
          <w:sz w:val="28"/>
          <w:szCs w:val="28"/>
        </w:rPr>
        <w:t xml:space="preserve"> em 2010</w:t>
      </w:r>
      <w:r w:rsidR="00821FE9">
        <w:rPr>
          <w:rFonts w:ascii="Garamond" w:hAnsi="Garamond"/>
          <w:sz w:val="28"/>
          <w:szCs w:val="28"/>
        </w:rPr>
        <w:t>,</w:t>
      </w:r>
      <w:r>
        <w:rPr>
          <w:rFonts w:ascii="Garamond" w:hAnsi="Garamond"/>
          <w:sz w:val="28"/>
          <w:szCs w:val="28"/>
        </w:rPr>
        <w:t xml:space="preserve"> cerca de 300.000 alunos do </w:t>
      </w:r>
      <w:r w:rsidR="00821FE9">
        <w:rPr>
          <w:rFonts w:ascii="Garamond" w:hAnsi="Garamond"/>
          <w:sz w:val="28"/>
          <w:szCs w:val="28"/>
        </w:rPr>
        <w:t>E</w:t>
      </w:r>
      <w:r>
        <w:rPr>
          <w:rFonts w:ascii="Garamond" w:hAnsi="Garamond"/>
          <w:sz w:val="28"/>
          <w:szCs w:val="28"/>
        </w:rPr>
        <w:t xml:space="preserve">nsino </w:t>
      </w:r>
      <w:r w:rsidR="00821FE9">
        <w:rPr>
          <w:rFonts w:ascii="Garamond" w:hAnsi="Garamond"/>
          <w:sz w:val="28"/>
          <w:szCs w:val="28"/>
        </w:rPr>
        <w:t>F</w:t>
      </w:r>
      <w:r>
        <w:rPr>
          <w:rFonts w:ascii="Garamond" w:hAnsi="Garamond"/>
          <w:sz w:val="28"/>
          <w:szCs w:val="28"/>
        </w:rPr>
        <w:t xml:space="preserve">undamental e 600.000 estudantes do </w:t>
      </w:r>
      <w:r w:rsidR="00C86AAB">
        <w:rPr>
          <w:rFonts w:ascii="Garamond" w:hAnsi="Garamond"/>
          <w:sz w:val="28"/>
          <w:szCs w:val="28"/>
        </w:rPr>
        <w:t>Ensino Superior</w:t>
      </w:r>
      <w:r>
        <w:rPr>
          <w:rFonts w:ascii="Garamond" w:hAnsi="Garamond"/>
          <w:sz w:val="28"/>
          <w:szCs w:val="28"/>
        </w:rPr>
        <w:t xml:space="preserve"> (em um total de 2.217.604 universitários) receberam o benefício. Para tanto, foram gastos 2,9 bilhões de euros, dos quais 65% foram pago pela União e 35% pelos Estados</w:t>
      </w:r>
      <w:r>
        <w:rPr>
          <w:rStyle w:val="Refdenotaderodap"/>
          <w:rFonts w:ascii="Garamond" w:hAnsi="Garamond"/>
          <w:sz w:val="28"/>
          <w:szCs w:val="28"/>
        </w:rPr>
        <w:footnoteReference w:customMarkFollows="1" w:id="2"/>
        <w:t>[2]</w:t>
      </w:r>
      <w:r>
        <w:rPr>
          <w:rFonts w:ascii="Garamond" w:hAnsi="Garamond"/>
          <w:sz w:val="28"/>
          <w:szCs w:val="28"/>
        </w:rPr>
        <w:t xml:space="preserve">. </w:t>
      </w:r>
    </w:p>
    <w:p w:rsidR="00857C60" w:rsidRDefault="00857C60" w:rsidP="00857C60">
      <w:pPr>
        <w:spacing w:before="100" w:beforeAutospacing="1" w:after="100" w:afterAutospacing="1" w:line="360" w:lineRule="auto"/>
        <w:ind w:firstLine="1418"/>
        <w:jc w:val="both"/>
        <w:rPr>
          <w:rFonts w:ascii="Garamond" w:hAnsi="Garamond"/>
          <w:sz w:val="28"/>
          <w:szCs w:val="28"/>
        </w:rPr>
      </w:pPr>
      <w:r>
        <w:rPr>
          <w:rFonts w:ascii="Garamond" w:hAnsi="Garamond"/>
          <w:sz w:val="28"/>
          <w:szCs w:val="28"/>
        </w:rPr>
        <w:t>O programa prevê que o benefício deve ser concedido enquanto durar o curso selecionado, inclusive o período de práticas obrigatórias. Metade do valor é pago aos alunos como empréstimo sem juros, que deve ser devolvido ao Estado a partir de cinco anos após o término de seu recebimento, em prestações médias de 105 euros mensais</w:t>
      </w:r>
      <w:r>
        <w:rPr>
          <w:rStyle w:val="Refdenotaderodap"/>
          <w:rFonts w:ascii="Garamond" w:hAnsi="Garamond"/>
          <w:sz w:val="28"/>
          <w:szCs w:val="28"/>
        </w:rPr>
        <w:footnoteReference w:customMarkFollows="1" w:id="3"/>
        <w:t>[3]</w:t>
      </w:r>
      <w:r>
        <w:rPr>
          <w:rFonts w:ascii="Garamond" w:hAnsi="Garamond"/>
          <w:sz w:val="28"/>
          <w:szCs w:val="28"/>
        </w:rPr>
        <w:t>.</w:t>
      </w:r>
    </w:p>
    <w:p w:rsidR="00221F95" w:rsidRPr="00221F95" w:rsidRDefault="00221F95" w:rsidP="00221F95">
      <w:pPr>
        <w:spacing w:before="240" w:line="360" w:lineRule="auto"/>
        <w:ind w:firstLine="1418"/>
        <w:jc w:val="both"/>
        <w:rPr>
          <w:rFonts w:ascii="Garamond" w:hAnsi="Garamond"/>
          <w:sz w:val="28"/>
          <w:szCs w:val="28"/>
        </w:rPr>
      </w:pPr>
      <w:r>
        <w:rPr>
          <w:rFonts w:ascii="Garamond" w:hAnsi="Garamond"/>
          <w:sz w:val="28"/>
          <w:szCs w:val="28"/>
        </w:rPr>
        <w:t xml:space="preserve">Nos Estados Unidos, </w:t>
      </w:r>
      <w:r w:rsidRPr="00372EAD">
        <w:rPr>
          <w:rFonts w:ascii="Garamond" w:hAnsi="Garamond"/>
          <w:b/>
          <w:sz w:val="28"/>
          <w:szCs w:val="28"/>
        </w:rPr>
        <w:t xml:space="preserve">o </w:t>
      </w:r>
      <w:r w:rsidRPr="00372EAD">
        <w:rPr>
          <w:rFonts w:ascii="Garamond" w:hAnsi="Garamond"/>
          <w:b/>
          <w:i/>
          <w:iCs/>
          <w:sz w:val="28"/>
          <w:szCs w:val="28"/>
        </w:rPr>
        <w:t xml:space="preserve">voucher system </w:t>
      </w:r>
      <w:r w:rsidRPr="00372EAD">
        <w:rPr>
          <w:rFonts w:ascii="Garamond" w:hAnsi="Garamond"/>
          <w:b/>
          <w:sz w:val="28"/>
          <w:szCs w:val="28"/>
        </w:rPr>
        <w:t xml:space="preserve">ou </w:t>
      </w:r>
      <w:proofErr w:type="spellStart"/>
      <w:r w:rsidRPr="00372EAD">
        <w:rPr>
          <w:rFonts w:ascii="Garamond" w:hAnsi="Garamond"/>
          <w:b/>
          <w:i/>
          <w:iCs/>
          <w:sz w:val="28"/>
          <w:szCs w:val="28"/>
        </w:rPr>
        <w:t>school</w:t>
      </w:r>
      <w:proofErr w:type="spellEnd"/>
      <w:r w:rsidRPr="00372EAD">
        <w:rPr>
          <w:rFonts w:ascii="Garamond" w:hAnsi="Garamond"/>
          <w:b/>
          <w:i/>
          <w:iCs/>
          <w:sz w:val="28"/>
          <w:szCs w:val="28"/>
        </w:rPr>
        <w:t xml:space="preserve"> vouchers</w:t>
      </w:r>
      <w:r w:rsidRPr="00221F95">
        <w:rPr>
          <w:rFonts w:ascii="Garamond" w:hAnsi="Garamond"/>
          <w:i/>
          <w:iCs/>
          <w:sz w:val="28"/>
          <w:szCs w:val="28"/>
        </w:rPr>
        <w:t xml:space="preserve"> </w:t>
      </w:r>
      <w:r w:rsidRPr="00221F95">
        <w:rPr>
          <w:rFonts w:ascii="Garamond" w:hAnsi="Garamond"/>
          <w:sz w:val="28"/>
          <w:szCs w:val="28"/>
        </w:rPr>
        <w:t xml:space="preserve">refere-se a um programa que concede subsídios diretamente aos pais para que estes decidam onde os filhos estudarão – em escolas particulares ou públicas. Esse sistema criaria uma competição entre escolas e estimularia as instituições públicas a melhorar seu desempenho para atrair novos alunos e, com estes, também os valores dos </w:t>
      </w:r>
      <w:r w:rsidRPr="00821FE9">
        <w:rPr>
          <w:rFonts w:ascii="Garamond" w:hAnsi="Garamond"/>
          <w:i/>
          <w:sz w:val="28"/>
          <w:szCs w:val="28"/>
        </w:rPr>
        <w:t>vouchers</w:t>
      </w:r>
      <w:r w:rsidRPr="00221F95">
        <w:rPr>
          <w:rFonts w:ascii="Garamond" w:hAnsi="Garamond"/>
          <w:sz w:val="28"/>
          <w:szCs w:val="28"/>
        </w:rPr>
        <w:t xml:space="preserve">. Outro ponto considerado positivo é que seria um modo de aumentar a influência dos pais na educação dos filhos e conceder novas oportunidades a estudantes de baixa renda, sem grandes burocracias. </w:t>
      </w:r>
      <w:r>
        <w:rPr>
          <w:rFonts w:ascii="Garamond" w:hAnsi="Garamond"/>
          <w:sz w:val="28"/>
          <w:szCs w:val="28"/>
        </w:rPr>
        <w:t>É bem verdade que existem</w:t>
      </w:r>
      <w:r w:rsidRPr="00221F95">
        <w:rPr>
          <w:rFonts w:ascii="Garamond" w:hAnsi="Garamond"/>
          <w:sz w:val="28"/>
          <w:szCs w:val="28"/>
        </w:rPr>
        <w:t xml:space="preserve"> crítica</w:t>
      </w:r>
      <w:r>
        <w:rPr>
          <w:rFonts w:ascii="Garamond" w:hAnsi="Garamond"/>
          <w:sz w:val="28"/>
          <w:szCs w:val="28"/>
        </w:rPr>
        <w:t>s a essa espécie de programa, tais como</w:t>
      </w:r>
      <w:r w:rsidRPr="00221F95">
        <w:rPr>
          <w:rFonts w:ascii="Garamond" w:hAnsi="Garamond"/>
          <w:sz w:val="28"/>
          <w:szCs w:val="28"/>
        </w:rPr>
        <w:t xml:space="preserve">: enfraquecimento das escolas públicas, com direcionamento de investimentos diretamente aos pais </w:t>
      </w:r>
      <w:r w:rsidR="00821FE9">
        <w:rPr>
          <w:rFonts w:ascii="Garamond" w:hAnsi="Garamond"/>
          <w:sz w:val="28"/>
          <w:szCs w:val="28"/>
        </w:rPr>
        <w:t>–</w:t>
      </w:r>
      <w:r w:rsidRPr="00221F95">
        <w:rPr>
          <w:rFonts w:ascii="Garamond" w:hAnsi="Garamond"/>
          <w:sz w:val="28"/>
          <w:szCs w:val="28"/>
        </w:rPr>
        <w:t xml:space="preserve"> e não à instituição; utilização de dinheiro público para financiamento de educação em escolas particulares que, em geral, não possuem um padrão de ensino; enfraquecimento da qualidade do ensino público, pela retirada alunos pobres que apresentem bons resultados do convívio dos demais. </w:t>
      </w:r>
      <w:r>
        <w:rPr>
          <w:rFonts w:ascii="Garamond" w:hAnsi="Garamond"/>
          <w:sz w:val="28"/>
          <w:szCs w:val="28"/>
        </w:rPr>
        <w:t>De toda forma, a</w:t>
      </w:r>
      <w:r w:rsidRPr="00221F95">
        <w:rPr>
          <w:rFonts w:ascii="Garamond" w:hAnsi="Garamond"/>
          <w:sz w:val="28"/>
          <w:szCs w:val="28"/>
        </w:rPr>
        <w:t xml:space="preserve"> constitucionalidade do </w:t>
      </w:r>
      <w:r w:rsidRPr="00221F95">
        <w:rPr>
          <w:rFonts w:ascii="Garamond" w:hAnsi="Garamond"/>
          <w:i/>
          <w:iCs/>
          <w:sz w:val="28"/>
          <w:szCs w:val="28"/>
        </w:rPr>
        <w:t xml:space="preserve">voucher system </w:t>
      </w:r>
      <w:r w:rsidRPr="00221F95">
        <w:rPr>
          <w:rFonts w:ascii="Garamond" w:hAnsi="Garamond"/>
          <w:sz w:val="28"/>
          <w:szCs w:val="28"/>
        </w:rPr>
        <w:t xml:space="preserve">foi confirmada pela Suprema Corte em 2002, no caso </w:t>
      </w:r>
      <w:proofErr w:type="spellStart"/>
      <w:r w:rsidRPr="00221F95">
        <w:rPr>
          <w:rFonts w:ascii="Garamond" w:hAnsi="Garamond"/>
          <w:i/>
          <w:iCs/>
          <w:sz w:val="28"/>
          <w:szCs w:val="28"/>
        </w:rPr>
        <w:t>Zelman</w:t>
      </w:r>
      <w:proofErr w:type="spellEnd"/>
      <w:r w:rsidRPr="00221F95">
        <w:rPr>
          <w:rFonts w:ascii="Garamond" w:hAnsi="Garamond"/>
          <w:i/>
          <w:iCs/>
          <w:sz w:val="28"/>
          <w:szCs w:val="28"/>
        </w:rPr>
        <w:t xml:space="preserve"> v. </w:t>
      </w:r>
      <w:proofErr w:type="spellStart"/>
      <w:r w:rsidRPr="00221F95">
        <w:rPr>
          <w:rFonts w:ascii="Garamond" w:hAnsi="Garamond"/>
          <w:i/>
          <w:iCs/>
          <w:sz w:val="28"/>
          <w:szCs w:val="28"/>
        </w:rPr>
        <w:t>Simmons-Harris</w:t>
      </w:r>
      <w:proofErr w:type="spellEnd"/>
      <w:r w:rsidRPr="00221F95">
        <w:rPr>
          <w:rFonts w:ascii="Garamond" w:hAnsi="Garamond"/>
          <w:sz w:val="28"/>
          <w:szCs w:val="28"/>
        </w:rPr>
        <w:t xml:space="preserve">. </w:t>
      </w:r>
    </w:p>
    <w:p w:rsidR="00BC4F2F" w:rsidRPr="007F6152" w:rsidRDefault="007F6152" w:rsidP="007F6152">
      <w:pPr>
        <w:spacing w:before="240" w:line="360" w:lineRule="auto"/>
        <w:ind w:firstLine="1440"/>
        <w:jc w:val="both"/>
        <w:rPr>
          <w:rFonts w:ascii="Garamond" w:hAnsi="Garamond"/>
          <w:sz w:val="28"/>
          <w:szCs w:val="28"/>
        </w:rPr>
      </w:pPr>
      <w:r>
        <w:rPr>
          <w:rFonts w:ascii="Garamond" w:hAnsi="Garamond"/>
          <w:sz w:val="28"/>
          <w:szCs w:val="28"/>
        </w:rPr>
        <w:lastRenderedPageBreak/>
        <w:t xml:space="preserve"> Não se pode perder de vista que o</w:t>
      </w:r>
      <w:r w:rsidRPr="007F6152">
        <w:rPr>
          <w:rFonts w:ascii="Garamond" w:hAnsi="Garamond"/>
          <w:sz w:val="28"/>
          <w:szCs w:val="28"/>
        </w:rPr>
        <w:t xml:space="preserve"> crescimento do PROUNI depende da</w:t>
      </w:r>
      <w:r>
        <w:rPr>
          <w:rFonts w:ascii="Garamond" w:hAnsi="Garamond"/>
          <w:sz w:val="28"/>
          <w:szCs w:val="28"/>
        </w:rPr>
        <w:t xml:space="preserve"> </w:t>
      </w:r>
      <w:r w:rsidRPr="007F6152">
        <w:rPr>
          <w:rFonts w:ascii="Garamond" w:hAnsi="Garamond"/>
          <w:sz w:val="28"/>
          <w:szCs w:val="28"/>
        </w:rPr>
        <w:t xml:space="preserve">expansão do </w:t>
      </w:r>
      <w:r w:rsidR="00C86AAB">
        <w:rPr>
          <w:rFonts w:ascii="Garamond" w:hAnsi="Garamond"/>
          <w:sz w:val="28"/>
          <w:szCs w:val="28"/>
        </w:rPr>
        <w:t>Ensino Superior</w:t>
      </w:r>
      <w:r>
        <w:rPr>
          <w:rFonts w:ascii="Garamond" w:hAnsi="Garamond"/>
          <w:sz w:val="28"/>
          <w:szCs w:val="28"/>
        </w:rPr>
        <w:t>.</w:t>
      </w:r>
    </w:p>
    <w:p w:rsidR="00BC4F2F" w:rsidRPr="00C36672" w:rsidRDefault="007F6152" w:rsidP="00BC4F2F">
      <w:pPr>
        <w:spacing w:before="240" w:line="360" w:lineRule="auto"/>
        <w:ind w:firstLine="1440"/>
        <w:jc w:val="both"/>
      </w:pPr>
      <w:r>
        <w:rPr>
          <w:rFonts w:ascii="Garamond" w:hAnsi="Garamond" w:cs="Courier New"/>
          <w:sz w:val="28"/>
          <w:szCs w:val="28"/>
        </w:rPr>
        <w:t>Assim, por outro lado</w:t>
      </w:r>
      <w:r w:rsidR="00BC4F2F">
        <w:rPr>
          <w:rFonts w:ascii="Garamond" w:hAnsi="Garamond" w:cs="Courier New"/>
          <w:sz w:val="28"/>
          <w:szCs w:val="28"/>
        </w:rPr>
        <w:t xml:space="preserve">, esses mesmos dados demonstram que ainda temos muito a percorrer para alcançar patamares mínimos de inclusão dos jovens no </w:t>
      </w:r>
      <w:r w:rsidR="00C86AAB">
        <w:rPr>
          <w:rFonts w:ascii="Garamond" w:hAnsi="Garamond" w:cs="Courier New"/>
          <w:sz w:val="28"/>
          <w:szCs w:val="28"/>
        </w:rPr>
        <w:t>Ensino Superior</w:t>
      </w:r>
      <w:r w:rsidR="00BC4F2F">
        <w:rPr>
          <w:rFonts w:ascii="Garamond" w:hAnsi="Garamond" w:cs="Courier New"/>
          <w:sz w:val="28"/>
          <w:szCs w:val="28"/>
        </w:rPr>
        <w:t xml:space="preserve">. </w:t>
      </w:r>
    </w:p>
    <w:p w:rsidR="00F36926" w:rsidRDefault="00BC4F2F" w:rsidP="00F36926">
      <w:pPr>
        <w:spacing w:before="240" w:line="360" w:lineRule="auto"/>
        <w:ind w:firstLine="1418"/>
        <w:jc w:val="both"/>
        <w:rPr>
          <w:rFonts w:ascii="Garamond" w:hAnsi="Garamond" w:cs="Courier New"/>
          <w:sz w:val="28"/>
          <w:szCs w:val="28"/>
        </w:rPr>
      </w:pPr>
      <w:r>
        <w:rPr>
          <w:rFonts w:ascii="Garamond" w:hAnsi="Garamond" w:cs="Courier New"/>
          <w:sz w:val="28"/>
          <w:szCs w:val="28"/>
        </w:rPr>
        <w:t xml:space="preserve">Nosso </w:t>
      </w:r>
      <w:r w:rsidR="00C86AAB">
        <w:rPr>
          <w:rFonts w:ascii="Garamond" w:hAnsi="Garamond" w:cs="Courier New"/>
          <w:sz w:val="28"/>
          <w:szCs w:val="28"/>
        </w:rPr>
        <w:t>Ensino Superior</w:t>
      </w:r>
      <w:r w:rsidRPr="001E5C61">
        <w:rPr>
          <w:rFonts w:ascii="Garamond" w:hAnsi="Garamond" w:cs="Courier New"/>
          <w:sz w:val="28"/>
          <w:szCs w:val="28"/>
        </w:rPr>
        <w:t xml:space="preserve"> é </w:t>
      </w:r>
      <w:r w:rsidR="00D63363">
        <w:rPr>
          <w:rFonts w:ascii="Garamond" w:hAnsi="Garamond" w:cs="Courier New"/>
          <w:sz w:val="28"/>
          <w:szCs w:val="28"/>
        </w:rPr>
        <w:t xml:space="preserve">claramente </w:t>
      </w:r>
      <w:r w:rsidRPr="001E5C61">
        <w:rPr>
          <w:rFonts w:ascii="Garamond" w:hAnsi="Garamond" w:cs="Courier New"/>
          <w:sz w:val="28"/>
          <w:szCs w:val="28"/>
        </w:rPr>
        <w:t>excl</w:t>
      </w:r>
      <w:r>
        <w:rPr>
          <w:rFonts w:ascii="Garamond" w:hAnsi="Garamond" w:cs="Courier New"/>
          <w:sz w:val="28"/>
          <w:szCs w:val="28"/>
        </w:rPr>
        <w:t>udente</w:t>
      </w:r>
      <w:r w:rsidRPr="001E5C61">
        <w:rPr>
          <w:rFonts w:ascii="Garamond" w:hAnsi="Garamond" w:cs="Courier New"/>
          <w:sz w:val="28"/>
          <w:szCs w:val="28"/>
        </w:rPr>
        <w:t xml:space="preserve"> em razão do modelo restrito de vagas ofertadas por quase todos os cursos. Nós que militamos na universidade pública podemos verificar a presença de pouquíssimos alunos nas salas de aula, existindo um gasto excessivo com professores em relação ao número de alunos. É o caso, por exemplo, da Faculdade de Direito da Universidade de Brasília. Recebia 50 alunos por semestre, apenas 100 por ano. Aumentou-se para 60 alunos a cada semestre, não mais do que 120 alunos por ano, com a ampliação do número de professores pelo Programa de Apoio a Planos de Reestruturação e Expansão das Universidades Federais (REUNI), mantendo-se, assim, a proporção entre o número de vagas e o número de professores. Se considerarmos as vagas do Programa de Avaliação Seriada (PAS) e do Sistema de Cotas para Negros, restam apenas 72 vagas no concurso universal por ano. </w:t>
      </w:r>
    </w:p>
    <w:p w:rsidR="00372EAD" w:rsidRPr="00372EAD" w:rsidRDefault="00372EAD" w:rsidP="00F36926">
      <w:pPr>
        <w:spacing w:before="240" w:line="360" w:lineRule="auto"/>
        <w:ind w:firstLine="1418"/>
        <w:jc w:val="both"/>
        <w:rPr>
          <w:rFonts w:ascii="Garamond" w:hAnsi="Garamond" w:cs="Courier New"/>
          <w:b/>
          <w:sz w:val="28"/>
          <w:szCs w:val="28"/>
        </w:rPr>
      </w:pPr>
      <w:r w:rsidRPr="00372EAD">
        <w:rPr>
          <w:rFonts w:ascii="Garamond" w:hAnsi="Garamond" w:cs="Courier New"/>
          <w:b/>
          <w:sz w:val="28"/>
          <w:szCs w:val="28"/>
        </w:rPr>
        <w:t>No Brasil, em 1995, o número de alunos por professor era de apenas 7,5 e</w:t>
      </w:r>
      <w:r w:rsidR="00821FE9">
        <w:rPr>
          <w:rFonts w:ascii="Garamond" w:hAnsi="Garamond" w:cs="Courier New"/>
          <w:b/>
          <w:sz w:val="28"/>
          <w:szCs w:val="28"/>
        </w:rPr>
        <w:t xml:space="preserve"> –</w:t>
      </w:r>
      <w:r w:rsidRPr="00372EAD">
        <w:rPr>
          <w:rFonts w:ascii="Garamond" w:hAnsi="Garamond" w:cs="Courier New"/>
          <w:b/>
          <w:sz w:val="28"/>
          <w:szCs w:val="28"/>
        </w:rPr>
        <w:t xml:space="preserve"> em 2002</w:t>
      </w:r>
      <w:r w:rsidR="00821FE9">
        <w:rPr>
          <w:rFonts w:ascii="Garamond" w:hAnsi="Garamond" w:cs="Courier New"/>
          <w:b/>
          <w:sz w:val="28"/>
          <w:szCs w:val="28"/>
        </w:rPr>
        <w:t xml:space="preserve"> –</w:t>
      </w:r>
      <w:r w:rsidRPr="00372EAD">
        <w:rPr>
          <w:rFonts w:ascii="Garamond" w:hAnsi="Garamond" w:cs="Courier New"/>
          <w:b/>
          <w:sz w:val="28"/>
          <w:szCs w:val="28"/>
        </w:rPr>
        <w:t xml:space="preserve"> passou para 11,6. Lamentavelmente, em 2006, tivemos um decréscimo para 10,8, o que demonstra que ainda temos um número muito elevado de professores em relação ao número de alunos, muito distante do número de 16 alunos por professor observado nos países desenvolvidos. Isso está a revelar a ineficiência na utilização dos recursos públicos destinados à </w:t>
      </w:r>
      <w:r w:rsidR="00821FE9">
        <w:rPr>
          <w:rFonts w:ascii="Garamond" w:hAnsi="Garamond" w:cs="Courier New"/>
          <w:b/>
          <w:sz w:val="28"/>
          <w:szCs w:val="28"/>
        </w:rPr>
        <w:t>E</w:t>
      </w:r>
      <w:r w:rsidRPr="00372EAD">
        <w:rPr>
          <w:rFonts w:ascii="Garamond" w:hAnsi="Garamond" w:cs="Courier New"/>
          <w:b/>
          <w:sz w:val="28"/>
          <w:szCs w:val="28"/>
        </w:rPr>
        <w:t xml:space="preserve">ducação </w:t>
      </w:r>
      <w:r w:rsidR="00821FE9">
        <w:rPr>
          <w:rFonts w:ascii="Garamond" w:hAnsi="Garamond" w:cs="Courier New"/>
          <w:b/>
          <w:sz w:val="28"/>
          <w:szCs w:val="28"/>
        </w:rPr>
        <w:t>S</w:t>
      </w:r>
      <w:r w:rsidRPr="00372EAD">
        <w:rPr>
          <w:rFonts w:ascii="Garamond" w:hAnsi="Garamond" w:cs="Courier New"/>
          <w:b/>
          <w:sz w:val="28"/>
          <w:szCs w:val="28"/>
        </w:rPr>
        <w:t xml:space="preserve">uperior. Gastamos muito com recursos humanos sem que isso se reflita no aumento do acesso e da qualidade do ensino. </w:t>
      </w:r>
    </w:p>
    <w:p w:rsidR="00BC4F2F" w:rsidRPr="00372EAD" w:rsidRDefault="00F36926" w:rsidP="00BC4F2F">
      <w:pPr>
        <w:spacing w:before="240" w:line="360" w:lineRule="auto"/>
        <w:ind w:firstLine="1418"/>
        <w:jc w:val="both"/>
        <w:rPr>
          <w:rFonts w:ascii="Garamond" w:hAnsi="Garamond" w:cs="Courier New"/>
          <w:b/>
          <w:sz w:val="28"/>
          <w:szCs w:val="28"/>
        </w:rPr>
      </w:pPr>
      <w:r w:rsidRPr="00372EAD">
        <w:rPr>
          <w:rFonts w:ascii="Garamond" w:hAnsi="Garamond" w:cs="Courier New"/>
          <w:b/>
          <w:sz w:val="28"/>
          <w:szCs w:val="28"/>
        </w:rPr>
        <w:lastRenderedPageBreak/>
        <w:t>Portanto, por que não aumentar</w:t>
      </w:r>
      <w:r w:rsidR="00BC4F2F" w:rsidRPr="00372EAD">
        <w:rPr>
          <w:rFonts w:ascii="Garamond" w:hAnsi="Garamond" w:cs="Courier New"/>
          <w:b/>
          <w:sz w:val="28"/>
          <w:szCs w:val="28"/>
        </w:rPr>
        <w:t xml:space="preserve"> o número de vagas por professor? Um número tão reduzido de vagas em universidades públicas é, por si só, um fator de exclusão.</w:t>
      </w:r>
    </w:p>
    <w:p w:rsidR="00BC4F2F" w:rsidRPr="001E5C61" w:rsidRDefault="00BC4F2F" w:rsidP="00BC4F2F">
      <w:pPr>
        <w:spacing w:before="240" w:line="360" w:lineRule="auto"/>
        <w:ind w:firstLine="1440"/>
        <w:jc w:val="both"/>
        <w:rPr>
          <w:rFonts w:ascii="Garamond" w:hAnsi="Garamond" w:cs="Courier New"/>
          <w:sz w:val="28"/>
          <w:szCs w:val="28"/>
        </w:rPr>
      </w:pPr>
      <w:r w:rsidRPr="001E5C61">
        <w:rPr>
          <w:rFonts w:ascii="Garamond" w:hAnsi="Garamond" w:cs="Courier New"/>
          <w:sz w:val="28"/>
          <w:szCs w:val="28"/>
        </w:rPr>
        <w:t xml:space="preserve">Por que não se instituir no Brasil, por exemplo, um modelo em que haja vinculação entre a receita da instituição de ensino e o número de vagas que deve ser obrigatoriamente ofertado, de modo a ensejar uma expansão no acesso ao </w:t>
      </w:r>
      <w:r w:rsidR="00C86AAB">
        <w:rPr>
          <w:rFonts w:ascii="Garamond" w:hAnsi="Garamond" w:cs="Courier New"/>
          <w:sz w:val="28"/>
          <w:szCs w:val="28"/>
        </w:rPr>
        <w:t>Ensino Superior</w:t>
      </w:r>
      <w:r w:rsidRPr="001E5C61">
        <w:rPr>
          <w:rFonts w:ascii="Garamond" w:hAnsi="Garamond" w:cs="Courier New"/>
          <w:sz w:val="28"/>
          <w:szCs w:val="28"/>
        </w:rPr>
        <w:t xml:space="preserve"> público? Claro que um programa de expansão assim poderia gerar outra preocupação, que é a da qualidade do ensino oferecido, mas é importante registrar que essa medida melhoraria o nível formal de educação do país e que a experiência vivida por outros modelos, como o alemão – onde há um elevadíssimo número de vagas por professor – não inviabiliza a boa formação acadêmica dos alunos.</w:t>
      </w:r>
    </w:p>
    <w:p w:rsidR="00BC4F2F" w:rsidRDefault="00BC4F2F" w:rsidP="00BC4F2F">
      <w:pPr>
        <w:spacing w:before="240" w:line="360" w:lineRule="auto"/>
        <w:ind w:firstLine="1440"/>
        <w:jc w:val="both"/>
        <w:rPr>
          <w:rFonts w:ascii="Garamond" w:hAnsi="Garamond" w:cs="Courier New"/>
          <w:sz w:val="28"/>
          <w:szCs w:val="28"/>
        </w:rPr>
      </w:pPr>
      <w:r w:rsidRPr="001E5C61">
        <w:rPr>
          <w:rFonts w:ascii="Garamond" w:hAnsi="Garamond" w:cs="Courier New"/>
          <w:sz w:val="28"/>
          <w:szCs w:val="28"/>
        </w:rPr>
        <w:t xml:space="preserve">Com o desenvolvimento de novas tecnologias, </w:t>
      </w:r>
      <w:r w:rsidRPr="00372EAD">
        <w:rPr>
          <w:rFonts w:ascii="Garamond" w:hAnsi="Garamond" w:cs="Courier New"/>
          <w:b/>
          <w:sz w:val="28"/>
          <w:szCs w:val="28"/>
        </w:rPr>
        <w:t xml:space="preserve">a educação </w:t>
      </w:r>
      <w:r w:rsidR="00821FE9">
        <w:rPr>
          <w:rFonts w:ascii="Garamond" w:hAnsi="Garamond" w:cs="Courier New"/>
          <w:b/>
          <w:sz w:val="28"/>
          <w:szCs w:val="28"/>
        </w:rPr>
        <w:t>a</w:t>
      </w:r>
      <w:r w:rsidRPr="00372EAD">
        <w:rPr>
          <w:rFonts w:ascii="Garamond" w:hAnsi="Garamond" w:cs="Courier New"/>
          <w:b/>
          <w:sz w:val="28"/>
          <w:szCs w:val="28"/>
        </w:rPr>
        <w:t xml:space="preserve"> distância</w:t>
      </w:r>
      <w:r w:rsidRPr="001E5C61">
        <w:rPr>
          <w:rFonts w:ascii="Garamond" w:hAnsi="Garamond" w:cs="Courier New"/>
          <w:sz w:val="28"/>
          <w:szCs w:val="28"/>
        </w:rPr>
        <w:t xml:space="preserve"> se torna uma alternativa fundamental para universalizar o acesso à educação superior. Essa modalidade de educação mediada por tecnologias é perfeitamente possível para a transmissão de conhecimentos teóricos e permite uma redução de custos do processo de aprendizagem, com enorme alcance de alunos e resultados.</w:t>
      </w:r>
    </w:p>
    <w:p w:rsidR="00372EAD" w:rsidRPr="001E5C61" w:rsidRDefault="00372EAD" w:rsidP="00BC4F2F">
      <w:pPr>
        <w:spacing w:before="240" w:line="360" w:lineRule="auto"/>
        <w:ind w:firstLine="1440"/>
        <w:jc w:val="both"/>
        <w:rPr>
          <w:rFonts w:ascii="Garamond" w:hAnsi="Garamond" w:cs="Courier New"/>
          <w:sz w:val="28"/>
          <w:szCs w:val="28"/>
        </w:rPr>
      </w:pPr>
      <w:r>
        <w:rPr>
          <w:rFonts w:ascii="Garamond" w:hAnsi="Garamond" w:cs="Courier New"/>
          <w:sz w:val="28"/>
          <w:szCs w:val="28"/>
        </w:rPr>
        <w:t xml:space="preserve">Também a abertura de mais vagas nos </w:t>
      </w:r>
      <w:r w:rsidRPr="00372EAD">
        <w:rPr>
          <w:rFonts w:ascii="Garamond" w:hAnsi="Garamond" w:cs="Courier New"/>
          <w:b/>
          <w:sz w:val="28"/>
          <w:szCs w:val="28"/>
        </w:rPr>
        <w:t>cursos noturnos</w:t>
      </w:r>
      <w:r>
        <w:rPr>
          <w:rFonts w:ascii="Garamond" w:hAnsi="Garamond" w:cs="Courier New"/>
          <w:sz w:val="28"/>
          <w:szCs w:val="28"/>
        </w:rPr>
        <w:t xml:space="preserve"> revela-se como política fundamental para permitir o maior acesso ao </w:t>
      </w:r>
      <w:r w:rsidR="00C86AAB">
        <w:rPr>
          <w:rFonts w:ascii="Garamond" w:hAnsi="Garamond" w:cs="Courier New"/>
          <w:sz w:val="28"/>
          <w:szCs w:val="28"/>
        </w:rPr>
        <w:t>Ensino Superior</w:t>
      </w:r>
      <w:r>
        <w:rPr>
          <w:rFonts w:ascii="Garamond" w:hAnsi="Garamond" w:cs="Courier New"/>
          <w:sz w:val="28"/>
          <w:szCs w:val="28"/>
        </w:rPr>
        <w:t xml:space="preserve"> das pessoas que, por motivos variados, não podem frequentar as instituições durante o dia. </w:t>
      </w:r>
    </w:p>
    <w:p w:rsidR="00BC4F2F" w:rsidRPr="001E5C61" w:rsidRDefault="00BC4F2F" w:rsidP="00BC4F2F">
      <w:pPr>
        <w:spacing w:before="240" w:line="360" w:lineRule="auto"/>
        <w:ind w:firstLine="1440"/>
        <w:jc w:val="both"/>
        <w:rPr>
          <w:rFonts w:ascii="Garamond" w:hAnsi="Garamond" w:cs="Courier New"/>
          <w:sz w:val="28"/>
          <w:szCs w:val="28"/>
        </w:rPr>
      </w:pPr>
      <w:r w:rsidRPr="001E5C61">
        <w:rPr>
          <w:rFonts w:ascii="Garamond" w:hAnsi="Garamond" w:cs="Courier New"/>
          <w:sz w:val="28"/>
          <w:szCs w:val="28"/>
        </w:rPr>
        <w:t>O incremento no número de matrículas em instituições privadas</w:t>
      </w:r>
      <w:r w:rsidR="00F36926">
        <w:rPr>
          <w:rFonts w:ascii="Garamond" w:hAnsi="Garamond" w:cs="Courier New"/>
          <w:sz w:val="28"/>
          <w:szCs w:val="28"/>
        </w:rPr>
        <w:t xml:space="preserve"> também foi fomentado por outros</w:t>
      </w:r>
      <w:r w:rsidRPr="001E5C61">
        <w:rPr>
          <w:rFonts w:ascii="Garamond" w:hAnsi="Garamond" w:cs="Courier New"/>
          <w:sz w:val="28"/>
          <w:szCs w:val="28"/>
        </w:rPr>
        <w:t xml:space="preserve"> programas de incentivo à </w:t>
      </w:r>
      <w:proofErr w:type="gramStart"/>
      <w:r w:rsidRPr="001E5C61">
        <w:rPr>
          <w:rFonts w:ascii="Garamond" w:hAnsi="Garamond" w:cs="Courier New"/>
          <w:sz w:val="28"/>
          <w:szCs w:val="28"/>
        </w:rPr>
        <w:t>educação criados</w:t>
      </w:r>
      <w:proofErr w:type="gramEnd"/>
      <w:r w:rsidRPr="001E5C61">
        <w:rPr>
          <w:rFonts w:ascii="Garamond" w:hAnsi="Garamond" w:cs="Courier New"/>
          <w:sz w:val="28"/>
          <w:szCs w:val="28"/>
        </w:rPr>
        <w:t xml:space="preserve"> pelo Governo Federal, </w:t>
      </w:r>
      <w:r w:rsidR="00F36926">
        <w:rPr>
          <w:rFonts w:ascii="Garamond" w:hAnsi="Garamond" w:cs="Courier New"/>
          <w:sz w:val="28"/>
          <w:szCs w:val="28"/>
        </w:rPr>
        <w:t xml:space="preserve">como </w:t>
      </w:r>
      <w:r w:rsidRPr="001E5C61">
        <w:rPr>
          <w:rFonts w:ascii="Garamond" w:hAnsi="Garamond" w:cs="Courier New"/>
          <w:sz w:val="28"/>
          <w:szCs w:val="28"/>
        </w:rPr>
        <w:t xml:space="preserve">o </w:t>
      </w:r>
      <w:r w:rsidRPr="00372EAD">
        <w:rPr>
          <w:rFonts w:ascii="Garamond" w:hAnsi="Garamond" w:cs="Courier New"/>
          <w:b/>
          <w:sz w:val="28"/>
          <w:szCs w:val="28"/>
        </w:rPr>
        <w:t>Fundo de Financiamento Estudantil (Fies),</w:t>
      </w:r>
      <w:r w:rsidRPr="001E5C61">
        <w:rPr>
          <w:rFonts w:ascii="Garamond" w:hAnsi="Garamond" w:cs="Courier New"/>
          <w:sz w:val="28"/>
          <w:szCs w:val="28"/>
        </w:rPr>
        <w:t xml:space="preserve"> que não soluciona, por si só, o problema do acesso ao </w:t>
      </w:r>
      <w:r w:rsidR="00C86AAB">
        <w:rPr>
          <w:rFonts w:ascii="Garamond" w:hAnsi="Garamond" w:cs="Courier New"/>
          <w:sz w:val="28"/>
          <w:szCs w:val="28"/>
        </w:rPr>
        <w:t>Ensino Superior</w:t>
      </w:r>
      <w:r w:rsidRPr="001E5C61">
        <w:rPr>
          <w:rFonts w:ascii="Garamond" w:hAnsi="Garamond" w:cs="Courier New"/>
          <w:sz w:val="28"/>
          <w:szCs w:val="28"/>
        </w:rPr>
        <w:t xml:space="preserve"> público.</w:t>
      </w:r>
    </w:p>
    <w:p w:rsidR="00BC4F2F" w:rsidRDefault="00BC4F2F" w:rsidP="00BC4F2F">
      <w:pPr>
        <w:spacing w:before="240" w:line="360" w:lineRule="auto"/>
        <w:ind w:firstLine="1440"/>
        <w:jc w:val="both"/>
        <w:rPr>
          <w:rFonts w:ascii="Garamond" w:hAnsi="Garamond"/>
          <w:sz w:val="28"/>
          <w:szCs w:val="28"/>
        </w:rPr>
      </w:pPr>
      <w:r w:rsidRPr="00867A16">
        <w:rPr>
          <w:rFonts w:ascii="Garamond" w:hAnsi="Garamond" w:cs="Courier New"/>
          <w:sz w:val="28"/>
          <w:szCs w:val="28"/>
        </w:rPr>
        <w:lastRenderedPageBreak/>
        <w:t>De outro lado, o modelo do concurso universal demanda uma rediscussão. Há uma grande ironia no nosso modelo: de regra, aqueles que eventualmente passaram por todas as escolas privadas é que lograrão, depois, acesso via vestibular e poderão,</w:t>
      </w:r>
      <w:r w:rsidRPr="00654A1D">
        <w:rPr>
          <w:rFonts w:ascii="Garamond" w:hAnsi="Garamond" w:cs="Courier New"/>
          <w:sz w:val="28"/>
          <w:szCs w:val="28"/>
        </w:rPr>
        <w:t xml:space="preserve"> então, chegar ao ensino público superior, dotado de conceito de excelência. </w:t>
      </w:r>
      <w:r>
        <w:rPr>
          <w:rFonts w:ascii="Garamond" w:hAnsi="Garamond"/>
          <w:sz w:val="28"/>
          <w:szCs w:val="28"/>
        </w:rPr>
        <w:t>Como é sabido, o</w:t>
      </w:r>
      <w:r w:rsidRPr="00654A1D">
        <w:rPr>
          <w:rFonts w:ascii="Garamond" w:hAnsi="Garamond"/>
          <w:sz w:val="28"/>
          <w:szCs w:val="28"/>
        </w:rPr>
        <w:t xml:space="preserve"> </w:t>
      </w:r>
      <w:r w:rsidR="00C86AAB">
        <w:rPr>
          <w:rFonts w:ascii="Garamond" w:hAnsi="Garamond"/>
          <w:sz w:val="28"/>
          <w:szCs w:val="28"/>
        </w:rPr>
        <w:t>Ensino Superior</w:t>
      </w:r>
      <w:r w:rsidRPr="00654A1D">
        <w:rPr>
          <w:rFonts w:ascii="Garamond" w:hAnsi="Garamond"/>
          <w:sz w:val="28"/>
          <w:szCs w:val="28"/>
        </w:rPr>
        <w:t xml:space="preserve"> no Brasil sempre se caracterizou como</w:t>
      </w:r>
      <w:r>
        <w:rPr>
          <w:rFonts w:ascii="Garamond" w:hAnsi="Garamond"/>
          <w:sz w:val="28"/>
          <w:szCs w:val="28"/>
        </w:rPr>
        <w:t xml:space="preserve"> </w:t>
      </w:r>
      <w:r w:rsidRPr="00654A1D">
        <w:rPr>
          <w:rFonts w:ascii="Garamond" w:hAnsi="Garamond"/>
          <w:sz w:val="28"/>
          <w:szCs w:val="28"/>
        </w:rPr>
        <w:t>destinado aos jovens</w:t>
      </w:r>
      <w:r>
        <w:rPr>
          <w:rFonts w:ascii="Garamond" w:hAnsi="Garamond"/>
          <w:sz w:val="28"/>
          <w:szCs w:val="28"/>
        </w:rPr>
        <w:t xml:space="preserve"> oriundos de classes econômicas </w:t>
      </w:r>
      <w:r w:rsidRPr="00654A1D">
        <w:rPr>
          <w:rFonts w:ascii="Garamond" w:hAnsi="Garamond"/>
          <w:sz w:val="28"/>
          <w:szCs w:val="28"/>
        </w:rPr>
        <w:t>superiores e médias bem estabelecidas.</w:t>
      </w:r>
    </w:p>
    <w:p w:rsidR="00867A16" w:rsidRDefault="00867A16" w:rsidP="00867A16">
      <w:pPr>
        <w:autoSpaceDE w:val="0"/>
        <w:autoSpaceDN w:val="0"/>
        <w:jc w:val="both"/>
        <w:rPr>
          <w:rFonts w:ascii="Garamond" w:hAnsi="Garamond" w:cs="Courier New"/>
          <w:sz w:val="28"/>
          <w:szCs w:val="28"/>
        </w:rPr>
      </w:pPr>
    </w:p>
    <w:p w:rsidR="00886B36" w:rsidRPr="00867A16" w:rsidRDefault="00867A16" w:rsidP="00867A16">
      <w:pPr>
        <w:autoSpaceDE w:val="0"/>
        <w:autoSpaceDN w:val="0"/>
        <w:spacing w:line="360" w:lineRule="auto"/>
        <w:jc w:val="both"/>
        <w:rPr>
          <w:rFonts w:ascii="Garamond" w:hAnsi="Garamond" w:cs="Courier New"/>
          <w:sz w:val="28"/>
          <w:szCs w:val="28"/>
        </w:rPr>
      </w:pPr>
      <w:r>
        <w:rPr>
          <w:rFonts w:ascii="Garamond" w:hAnsi="Garamond" w:cs="Courier New"/>
          <w:sz w:val="28"/>
          <w:szCs w:val="28"/>
        </w:rPr>
        <w:tab/>
      </w:r>
      <w:r>
        <w:rPr>
          <w:rFonts w:ascii="Garamond" w:hAnsi="Garamond" w:cs="Courier New"/>
          <w:sz w:val="28"/>
          <w:szCs w:val="28"/>
        </w:rPr>
        <w:tab/>
      </w:r>
      <w:r w:rsidR="00886B36" w:rsidRPr="00867A16">
        <w:rPr>
          <w:rFonts w:ascii="Garamond" w:hAnsi="Garamond" w:cs="Courier New"/>
          <w:sz w:val="28"/>
          <w:szCs w:val="28"/>
        </w:rPr>
        <w:t xml:space="preserve">Em trabalho apresentado no X Colóquio Internacional sobre </w:t>
      </w:r>
      <w:proofErr w:type="spellStart"/>
      <w:r w:rsidR="00886B36" w:rsidRPr="00867A16">
        <w:rPr>
          <w:rFonts w:ascii="Garamond" w:hAnsi="Garamond" w:cs="Courier New"/>
          <w:sz w:val="28"/>
          <w:szCs w:val="28"/>
        </w:rPr>
        <w:t>Gestión</w:t>
      </w:r>
      <w:proofErr w:type="spellEnd"/>
      <w:r w:rsidR="00886B36" w:rsidRPr="00867A16">
        <w:rPr>
          <w:rFonts w:ascii="Garamond" w:hAnsi="Garamond" w:cs="Courier New"/>
          <w:sz w:val="28"/>
          <w:szCs w:val="28"/>
        </w:rPr>
        <w:t xml:space="preserve"> Universitária em América </w:t>
      </w:r>
      <w:proofErr w:type="spellStart"/>
      <w:r w:rsidR="00886B36" w:rsidRPr="00867A16">
        <w:rPr>
          <w:rFonts w:ascii="Garamond" w:hAnsi="Garamond" w:cs="Courier New"/>
          <w:sz w:val="28"/>
          <w:szCs w:val="28"/>
        </w:rPr>
        <w:t>del</w:t>
      </w:r>
      <w:proofErr w:type="spellEnd"/>
      <w:r w:rsidR="00886B36" w:rsidRPr="00867A16">
        <w:rPr>
          <w:rFonts w:ascii="Garamond" w:hAnsi="Garamond" w:cs="Courier New"/>
          <w:sz w:val="28"/>
          <w:szCs w:val="28"/>
        </w:rPr>
        <w:t xml:space="preserve"> </w:t>
      </w:r>
      <w:proofErr w:type="spellStart"/>
      <w:r w:rsidR="00886B36" w:rsidRPr="00867A16">
        <w:rPr>
          <w:rFonts w:ascii="Garamond" w:hAnsi="Garamond" w:cs="Courier New"/>
          <w:sz w:val="28"/>
          <w:szCs w:val="28"/>
        </w:rPr>
        <w:t>Sur</w:t>
      </w:r>
      <w:proofErr w:type="spellEnd"/>
      <w:r w:rsidR="00886B36" w:rsidRPr="00867A16">
        <w:rPr>
          <w:rFonts w:ascii="Garamond" w:hAnsi="Garamond" w:cs="Courier New"/>
          <w:sz w:val="28"/>
          <w:szCs w:val="28"/>
        </w:rPr>
        <w:t xml:space="preserve">, realizado em Mar </w:t>
      </w:r>
      <w:proofErr w:type="spellStart"/>
      <w:r w:rsidR="00886B36" w:rsidRPr="00867A16">
        <w:rPr>
          <w:rFonts w:ascii="Garamond" w:hAnsi="Garamond" w:cs="Courier New"/>
          <w:sz w:val="28"/>
          <w:szCs w:val="28"/>
        </w:rPr>
        <w:t>del</w:t>
      </w:r>
      <w:proofErr w:type="spellEnd"/>
      <w:r w:rsidR="00886B36" w:rsidRPr="00867A16">
        <w:rPr>
          <w:rFonts w:ascii="Garamond" w:hAnsi="Garamond" w:cs="Courier New"/>
          <w:sz w:val="28"/>
          <w:szCs w:val="28"/>
        </w:rPr>
        <w:t xml:space="preserve"> </w:t>
      </w:r>
      <w:proofErr w:type="spellStart"/>
      <w:r w:rsidR="00886B36" w:rsidRPr="00867A16">
        <w:rPr>
          <w:rFonts w:ascii="Garamond" w:hAnsi="Garamond" w:cs="Courier New"/>
          <w:sz w:val="28"/>
          <w:szCs w:val="28"/>
        </w:rPr>
        <w:t>Plata</w:t>
      </w:r>
      <w:proofErr w:type="spellEnd"/>
      <w:r w:rsidR="00886B36" w:rsidRPr="00867A16">
        <w:rPr>
          <w:rFonts w:ascii="Garamond" w:hAnsi="Garamond" w:cs="Courier New"/>
          <w:sz w:val="28"/>
          <w:szCs w:val="28"/>
        </w:rPr>
        <w:t xml:space="preserve"> em dezembro de 2010 são feitas as seguintes considerações que retratam com precisão as distorções aqui apontadas:    </w:t>
      </w:r>
    </w:p>
    <w:p w:rsidR="00886B36" w:rsidRPr="00867A16" w:rsidRDefault="00886B36" w:rsidP="00886B36">
      <w:pPr>
        <w:autoSpaceDE w:val="0"/>
        <w:autoSpaceDN w:val="0"/>
        <w:adjustRightInd w:val="0"/>
        <w:jc w:val="both"/>
        <w:rPr>
          <w:rFonts w:ascii="Garamond" w:hAnsi="Garamond" w:cs="Courier New"/>
          <w:sz w:val="28"/>
          <w:szCs w:val="28"/>
        </w:rPr>
      </w:pPr>
    </w:p>
    <w:p w:rsidR="00886B36" w:rsidRPr="00867A16" w:rsidRDefault="00886B36" w:rsidP="00867A16">
      <w:pPr>
        <w:autoSpaceDE w:val="0"/>
        <w:autoSpaceDN w:val="0"/>
        <w:adjustRightInd w:val="0"/>
        <w:ind w:left="2124"/>
        <w:jc w:val="both"/>
        <w:rPr>
          <w:rFonts w:ascii="Garamond" w:hAnsi="Garamond" w:cs="Courier New"/>
          <w:sz w:val="28"/>
          <w:szCs w:val="28"/>
        </w:rPr>
      </w:pPr>
      <w:r w:rsidRPr="00867A16">
        <w:rPr>
          <w:rFonts w:ascii="Garamond" w:hAnsi="Garamond" w:cs="Courier New"/>
          <w:sz w:val="28"/>
          <w:szCs w:val="28"/>
        </w:rPr>
        <w:t xml:space="preserve"> “A expansão universitária promovida pelo REUNI [Programa de Apoio a Planos de Reestruturação e </w:t>
      </w:r>
      <w:r w:rsidR="00867A16">
        <w:rPr>
          <w:rFonts w:ascii="Garamond" w:hAnsi="Garamond" w:cs="Courier New"/>
          <w:sz w:val="28"/>
          <w:szCs w:val="28"/>
        </w:rPr>
        <w:t>Expansão das Universidades Fede</w:t>
      </w:r>
      <w:r w:rsidRPr="00867A16">
        <w:rPr>
          <w:rFonts w:ascii="Garamond" w:hAnsi="Garamond" w:cs="Courier New"/>
          <w:sz w:val="28"/>
          <w:szCs w:val="28"/>
        </w:rPr>
        <w:t>rais] deve continuar, pois as universidades públicas brasileiras têm sido desde sempre o padrão de qualidade pelo qual se pautam as instituições privadas, em maioria de menor envergadura e qualidade.</w:t>
      </w:r>
    </w:p>
    <w:p w:rsidR="00886B36" w:rsidRPr="00867A16" w:rsidRDefault="00886B36" w:rsidP="00867A16">
      <w:pPr>
        <w:autoSpaceDE w:val="0"/>
        <w:autoSpaceDN w:val="0"/>
        <w:adjustRightInd w:val="0"/>
        <w:ind w:left="2124"/>
        <w:jc w:val="both"/>
        <w:rPr>
          <w:rFonts w:ascii="Garamond" w:hAnsi="Garamond" w:cs="Courier New"/>
          <w:sz w:val="28"/>
          <w:szCs w:val="28"/>
        </w:rPr>
      </w:pPr>
    </w:p>
    <w:p w:rsidR="00886B36" w:rsidRPr="00867A16" w:rsidRDefault="00886B36" w:rsidP="00867A16">
      <w:pPr>
        <w:autoSpaceDE w:val="0"/>
        <w:autoSpaceDN w:val="0"/>
        <w:adjustRightInd w:val="0"/>
        <w:ind w:left="2124"/>
        <w:jc w:val="both"/>
        <w:rPr>
          <w:rFonts w:ascii="Garamond" w:hAnsi="Garamond" w:cs="Courier New"/>
          <w:sz w:val="28"/>
          <w:szCs w:val="28"/>
        </w:rPr>
      </w:pPr>
      <w:r w:rsidRPr="00867A16">
        <w:rPr>
          <w:rFonts w:ascii="Garamond" w:hAnsi="Garamond" w:cs="Courier New"/>
          <w:sz w:val="28"/>
          <w:szCs w:val="28"/>
        </w:rPr>
        <w:t xml:space="preserve">Entretanto, em outra distorção típica do Brasil, é nas faculdades privadas e pagas que a população jovem brasileira de baixa renda encontra o caminho da educação superior. Tal se deve à limitada oferta de vagas nas IES públicas, que são levadas a escolher seus alunos por meio de concorridos concursos vestibulares, nos quais só são aprovadas minorias de bem-nascidos (com honrosas exceções e, recentemente, as proporcionadas pelo sistema de cotas), que tiveram a oportunidade de estudar em boas escolas fundamentais e médias privadas. Uma vez aprovados, são agraciados com as vagas no setor público de </w:t>
      </w:r>
      <w:r w:rsidR="00C86AAB">
        <w:rPr>
          <w:rFonts w:ascii="Garamond" w:hAnsi="Garamond" w:cs="Courier New"/>
          <w:sz w:val="28"/>
          <w:szCs w:val="28"/>
        </w:rPr>
        <w:t>Ensino Superior</w:t>
      </w:r>
      <w:r w:rsidRPr="00867A16">
        <w:rPr>
          <w:rFonts w:ascii="Garamond" w:hAnsi="Garamond" w:cs="Courier New"/>
          <w:sz w:val="28"/>
          <w:szCs w:val="28"/>
        </w:rPr>
        <w:t>, gratuito e de excelência.</w:t>
      </w:r>
    </w:p>
    <w:p w:rsidR="00886B36" w:rsidRPr="00867A16" w:rsidRDefault="00886B36" w:rsidP="00867A16">
      <w:pPr>
        <w:autoSpaceDE w:val="0"/>
        <w:autoSpaceDN w:val="0"/>
        <w:adjustRightInd w:val="0"/>
        <w:ind w:left="2124"/>
        <w:jc w:val="both"/>
        <w:rPr>
          <w:rFonts w:ascii="Garamond" w:hAnsi="Garamond" w:cs="Courier New"/>
          <w:sz w:val="28"/>
          <w:szCs w:val="28"/>
        </w:rPr>
      </w:pPr>
    </w:p>
    <w:p w:rsidR="00886B36" w:rsidRPr="00867A16" w:rsidRDefault="00886B36" w:rsidP="00867A16">
      <w:pPr>
        <w:autoSpaceDE w:val="0"/>
        <w:autoSpaceDN w:val="0"/>
        <w:adjustRightInd w:val="0"/>
        <w:ind w:left="2124"/>
        <w:jc w:val="both"/>
        <w:rPr>
          <w:rFonts w:ascii="Garamond" w:hAnsi="Garamond" w:cs="Courier New"/>
          <w:sz w:val="28"/>
          <w:szCs w:val="28"/>
        </w:rPr>
      </w:pPr>
      <w:r w:rsidRPr="00867A16">
        <w:rPr>
          <w:rFonts w:ascii="Garamond" w:hAnsi="Garamond" w:cs="Courier New"/>
          <w:sz w:val="28"/>
          <w:szCs w:val="28"/>
        </w:rPr>
        <w:t xml:space="preserve">“Este paradoxo leva a um sistema perverso, no qual os estudantes que almejam subir a escala social através do estudo precisam fazê-lo, em sua maioria, na rede privada e, portanto, programas como o PROUNI, que oferece bolsas </w:t>
      </w:r>
      <w:r w:rsidRPr="00867A16">
        <w:rPr>
          <w:rFonts w:ascii="Garamond" w:hAnsi="Garamond" w:cs="Courier New"/>
          <w:sz w:val="28"/>
          <w:szCs w:val="28"/>
        </w:rPr>
        <w:lastRenderedPageBreak/>
        <w:t xml:space="preserve">universitárias de até 100% a alunos matriculados na rede de </w:t>
      </w:r>
      <w:r w:rsidR="00C86AAB">
        <w:rPr>
          <w:rFonts w:ascii="Garamond" w:hAnsi="Garamond" w:cs="Courier New"/>
          <w:sz w:val="28"/>
          <w:szCs w:val="28"/>
        </w:rPr>
        <w:t>Ensino Superior</w:t>
      </w:r>
      <w:r w:rsidRPr="00867A16">
        <w:rPr>
          <w:rFonts w:ascii="Garamond" w:hAnsi="Garamond" w:cs="Courier New"/>
          <w:sz w:val="28"/>
          <w:szCs w:val="28"/>
        </w:rPr>
        <w:t xml:space="preserve"> privada e o FIES, que garante o financiamento das matrículas subsidiado àqueles não agraciados por bolsas totais, </w:t>
      </w:r>
      <w:proofErr w:type="gramStart"/>
      <w:r w:rsidRPr="00867A16">
        <w:rPr>
          <w:rFonts w:ascii="Garamond" w:hAnsi="Garamond" w:cs="Courier New"/>
          <w:sz w:val="28"/>
          <w:szCs w:val="28"/>
        </w:rPr>
        <w:t>bem</w:t>
      </w:r>
      <w:proofErr w:type="gramEnd"/>
    </w:p>
    <w:p w:rsidR="00886B36" w:rsidRDefault="00886B36" w:rsidP="00867A16">
      <w:pPr>
        <w:autoSpaceDE w:val="0"/>
        <w:autoSpaceDN w:val="0"/>
        <w:adjustRightInd w:val="0"/>
        <w:ind w:left="2124"/>
        <w:jc w:val="both"/>
        <w:rPr>
          <w:rFonts w:ascii="Garamond" w:hAnsi="Garamond" w:cs="Courier New"/>
          <w:sz w:val="28"/>
          <w:szCs w:val="28"/>
        </w:rPr>
      </w:pPr>
      <w:proofErr w:type="gramStart"/>
      <w:r w:rsidRPr="00867A16">
        <w:rPr>
          <w:rFonts w:ascii="Garamond" w:hAnsi="Garamond" w:cs="Courier New"/>
          <w:sz w:val="28"/>
          <w:szCs w:val="28"/>
        </w:rPr>
        <w:t>como</w:t>
      </w:r>
      <w:proofErr w:type="gramEnd"/>
      <w:r w:rsidRPr="00867A16">
        <w:rPr>
          <w:rFonts w:ascii="Garamond" w:hAnsi="Garamond" w:cs="Courier New"/>
          <w:sz w:val="28"/>
          <w:szCs w:val="28"/>
        </w:rPr>
        <w:t xml:space="preserve"> programas de cotas sociais (não raciais) são o caminho para possibilitar um </w:t>
      </w:r>
      <w:r w:rsidR="00C86AAB">
        <w:rPr>
          <w:rFonts w:ascii="Garamond" w:hAnsi="Garamond" w:cs="Courier New"/>
          <w:sz w:val="28"/>
          <w:szCs w:val="28"/>
        </w:rPr>
        <w:t>Ensino Superior</w:t>
      </w:r>
      <w:r w:rsidRPr="00867A16">
        <w:rPr>
          <w:rFonts w:ascii="Garamond" w:hAnsi="Garamond" w:cs="Courier New"/>
          <w:sz w:val="28"/>
          <w:szCs w:val="28"/>
        </w:rPr>
        <w:t xml:space="preserve"> brasileiro inclusivo, onde o jovem brasileiro tem a oportunidade de</w:t>
      </w:r>
      <w:r w:rsidR="00867A16">
        <w:rPr>
          <w:rFonts w:ascii="Garamond" w:hAnsi="Garamond" w:cs="Courier New"/>
          <w:sz w:val="28"/>
          <w:szCs w:val="28"/>
        </w:rPr>
        <w:t xml:space="preserve"> </w:t>
      </w:r>
      <w:r w:rsidRPr="00867A16">
        <w:rPr>
          <w:rFonts w:ascii="Garamond" w:hAnsi="Garamond" w:cs="Courier New"/>
          <w:sz w:val="28"/>
          <w:szCs w:val="28"/>
        </w:rPr>
        <w:t>buscar melhores perspectivas para seu futuro.”</w:t>
      </w:r>
      <w:r>
        <w:rPr>
          <w:b/>
          <w:bCs/>
        </w:rPr>
        <w:t>(ACESSO À EDUCAÇÃO SUPERIOR NO BRASIL: O DESAFIO DA INCLUSÃO DOS JOVENS BRASILEIROS SEGUNDO O PNE</w:t>
      </w:r>
      <w:r w:rsidR="00867A16">
        <w:rPr>
          <w:b/>
          <w:bCs/>
        </w:rPr>
        <w:t xml:space="preserve"> </w:t>
      </w:r>
      <w:r>
        <w:t>FLÁVIO AUGUSTO SERRA KAULING</w:t>
      </w:r>
      <w:r w:rsidR="00867A16">
        <w:t xml:space="preserve">, </w:t>
      </w:r>
      <w:r>
        <w:t>RAFAEL PEREIRA OCAMPO MORÉ</w:t>
      </w:r>
      <w:r w:rsidR="00867A16">
        <w:t xml:space="preserve">, </w:t>
      </w:r>
      <w:r>
        <w:t>ALEXANDRE MARINO COSTA</w:t>
      </w:r>
      <w:r w:rsidR="00867A16">
        <w:t xml:space="preserve">, </w:t>
      </w:r>
      <w:r>
        <w:t>DENISE APARECIDA BUNN</w:t>
      </w:r>
      <w:r w:rsidR="00867A16">
        <w:t xml:space="preserve">, </w:t>
      </w:r>
      <w:r>
        <w:t>MÉRCIA PEREIRA</w:t>
      </w:r>
      <w:r w:rsidR="00867A16">
        <w:t xml:space="preserve"> e </w:t>
      </w:r>
      <w:r>
        <w:t>PAOLA AZEVEDO</w:t>
      </w:r>
      <w:r w:rsidR="00821FE9">
        <w:t>’.</w:t>
      </w:r>
    </w:p>
    <w:p w:rsidR="00886B36" w:rsidRDefault="00886B36" w:rsidP="00221F95">
      <w:pPr>
        <w:spacing w:before="240" w:line="360" w:lineRule="auto"/>
        <w:jc w:val="both"/>
        <w:rPr>
          <w:rFonts w:ascii="Garamond" w:hAnsi="Garamond"/>
          <w:sz w:val="28"/>
          <w:szCs w:val="28"/>
        </w:rPr>
      </w:pPr>
    </w:p>
    <w:p w:rsidR="00867A16" w:rsidRPr="00221F95" w:rsidRDefault="00867A16" w:rsidP="00867A16">
      <w:pPr>
        <w:spacing w:before="240" w:line="360" w:lineRule="auto"/>
        <w:jc w:val="both"/>
        <w:rPr>
          <w:rFonts w:ascii="Garamond" w:hAnsi="Garamond"/>
          <w:b/>
          <w:sz w:val="28"/>
          <w:szCs w:val="28"/>
        </w:rPr>
      </w:pPr>
      <w:r>
        <w:rPr>
          <w:rFonts w:ascii="Garamond" w:hAnsi="Garamond"/>
          <w:b/>
          <w:sz w:val="28"/>
          <w:szCs w:val="28"/>
        </w:rPr>
        <w:t>7</w:t>
      </w:r>
      <w:r w:rsidRPr="00221F95">
        <w:rPr>
          <w:rFonts w:ascii="Garamond" w:hAnsi="Garamond"/>
          <w:b/>
          <w:sz w:val="28"/>
          <w:szCs w:val="28"/>
        </w:rPr>
        <w:t xml:space="preserve">. </w:t>
      </w:r>
      <w:r>
        <w:rPr>
          <w:rFonts w:ascii="Garamond" w:hAnsi="Garamond"/>
          <w:b/>
          <w:sz w:val="28"/>
          <w:szCs w:val="28"/>
        </w:rPr>
        <w:t xml:space="preserve">UMA PALAVRA SOBRE EXPERIMENTALISMO INSTITUCIONAL </w:t>
      </w:r>
    </w:p>
    <w:p w:rsidR="00867A16" w:rsidRDefault="00867A16" w:rsidP="00221F95">
      <w:pPr>
        <w:spacing w:before="240" w:line="360" w:lineRule="auto"/>
        <w:jc w:val="both"/>
        <w:rPr>
          <w:rFonts w:ascii="Garamond" w:hAnsi="Garamond"/>
          <w:sz w:val="28"/>
          <w:szCs w:val="28"/>
        </w:rPr>
      </w:pPr>
      <w:r>
        <w:rPr>
          <w:rFonts w:ascii="Garamond" w:hAnsi="Garamond"/>
          <w:sz w:val="28"/>
          <w:szCs w:val="28"/>
        </w:rPr>
        <w:tab/>
      </w:r>
      <w:r>
        <w:rPr>
          <w:rFonts w:ascii="Garamond" w:hAnsi="Garamond"/>
          <w:sz w:val="28"/>
          <w:szCs w:val="28"/>
        </w:rPr>
        <w:tab/>
        <w:t xml:space="preserve">Em palestra ainda recente, proferida em 12 de abril de 2008, no Instituto Brasiliense de Direito Público </w:t>
      </w:r>
      <w:r w:rsidR="00821FE9">
        <w:rPr>
          <w:rFonts w:ascii="Garamond" w:hAnsi="Garamond"/>
          <w:sz w:val="28"/>
          <w:szCs w:val="28"/>
        </w:rPr>
        <w:t>(</w:t>
      </w:r>
      <w:r>
        <w:rPr>
          <w:rFonts w:ascii="Garamond" w:hAnsi="Garamond"/>
          <w:sz w:val="28"/>
          <w:szCs w:val="28"/>
        </w:rPr>
        <w:t>IDP</w:t>
      </w:r>
      <w:r w:rsidR="00821FE9">
        <w:rPr>
          <w:rFonts w:ascii="Garamond" w:hAnsi="Garamond"/>
          <w:sz w:val="28"/>
          <w:szCs w:val="28"/>
        </w:rPr>
        <w:t>)</w:t>
      </w:r>
      <w:r>
        <w:rPr>
          <w:rFonts w:ascii="Garamond" w:hAnsi="Garamond"/>
          <w:sz w:val="28"/>
          <w:szCs w:val="28"/>
        </w:rPr>
        <w:t>, o professor Roberto Mangabeira Unger fez sérias considerações sobre o papel do Direito no avanço da Democracia brasileira. Na oportunidade, o palestrante, após diagnosticar o estágio de evolução de nossa democracia e os desafios que enfrentaria e enfrentará, ressaltou diversas vezes que o desenvolvimento do país dependeria</w:t>
      </w:r>
      <w:r w:rsidR="00C43988">
        <w:rPr>
          <w:rFonts w:ascii="Garamond" w:hAnsi="Garamond"/>
          <w:sz w:val="28"/>
          <w:szCs w:val="28"/>
        </w:rPr>
        <w:t xml:space="preserve"> do incentivo que se deverá conferir à imaginação criadora voltada aos experimentos institucionais, que poderá buscar alternativas possíveis à sobrevivência e desenvolvimento nacional.</w:t>
      </w:r>
    </w:p>
    <w:p w:rsidR="00C43988" w:rsidRDefault="00C43988" w:rsidP="00221F95">
      <w:pPr>
        <w:spacing w:before="240" w:line="360" w:lineRule="auto"/>
        <w:jc w:val="both"/>
        <w:rPr>
          <w:rFonts w:ascii="Garamond" w:hAnsi="Garamond"/>
          <w:sz w:val="28"/>
          <w:szCs w:val="28"/>
        </w:rPr>
      </w:pPr>
      <w:r>
        <w:rPr>
          <w:rFonts w:ascii="Garamond" w:hAnsi="Garamond"/>
          <w:sz w:val="28"/>
          <w:szCs w:val="28"/>
        </w:rPr>
        <w:tab/>
      </w:r>
      <w:r>
        <w:rPr>
          <w:rFonts w:ascii="Garamond" w:hAnsi="Garamond"/>
          <w:sz w:val="28"/>
          <w:szCs w:val="28"/>
        </w:rPr>
        <w:tab/>
        <w:t>Nesse sentido, Mangabeira salientava que o experimentalismo institucional deve servir a uma democracia nova e pulsante, ajudando-a a encontrar seus próprios caminhos, conducentes ao desenvolvimento econômico. Confiram-se as palavras do palestrante:</w:t>
      </w:r>
    </w:p>
    <w:p w:rsidR="00C43988" w:rsidRPr="00C43988" w:rsidRDefault="00821FE9" w:rsidP="00C43988">
      <w:pPr>
        <w:shd w:val="clear" w:color="auto" w:fill="F7F7F7"/>
        <w:spacing w:before="100" w:beforeAutospacing="1" w:after="168" w:line="312" w:lineRule="atLeast"/>
        <w:ind w:left="2124" w:firstLine="711"/>
        <w:jc w:val="both"/>
        <w:rPr>
          <w:rFonts w:ascii="Garamond" w:hAnsi="Garamond" w:cs="Courier New"/>
          <w:sz w:val="28"/>
          <w:szCs w:val="28"/>
        </w:rPr>
      </w:pPr>
      <w:proofErr w:type="gramStart"/>
      <w:r>
        <w:rPr>
          <w:rFonts w:ascii="Garamond" w:hAnsi="Garamond" w:cs="Courier New"/>
          <w:sz w:val="28"/>
          <w:szCs w:val="28"/>
        </w:rPr>
        <w:t>“</w:t>
      </w:r>
      <w:r w:rsidR="00C43988" w:rsidRPr="00C43988">
        <w:rPr>
          <w:rFonts w:ascii="Garamond" w:hAnsi="Garamond" w:cs="Courier New"/>
          <w:sz w:val="28"/>
          <w:szCs w:val="28"/>
        </w:rPr>
        <w:t>O primeiro foco é o desejo de dar realidade ao compromisso universalmente afirmado de construir um crescimento econômico socialmente inclusivo.</w:t>
      </w:r>
      <w:proofErr w:type="gramEnd"/>
      <w:r w:rsidR="00C43988" w:rsidRPr="00C43988">
        <w:rPr>
          <w:rFonts w:ascii="Garamond" w:hAnsi="Garamond" w:cs="Courier New"/>
          <w:sz w:val="28"/>
          <w:szCs w:val="28"/>
        </w:rPr>
        <w:t xml:space="preserve"> A questão </w:t>
      </w:r>
      <w:r w:rsidR="00C43988" w:rsidRPr="00C43988">
        <w:rPr>
          <w:rFonts w:ascii="Garamond" w:hAnsi="Garamond" w:cs="Courier New"/>
          <w:sz w:val="28"/>
          <w:szCs w:val="28"/>
        </w:rPr>
        <w:lastRenderedPageBreak/>
        <w:t xml:space="preserve">que se põe, mesmo diante das democracias mais livres e prósperas do mundo, é se só uma pequena minoria da humanidade será admitida nos setores avançados da produção e do ensino ou se conseguiremos abrir as portas para parcelas grandes da economia e da sociedade, admitindo-lhes a este universo de experimentalismo avançado que caracteriza as formas avançadas de produção e de aprendizado. Os meios tradicionais para atenuar as desigualdades - as políticas compensatórias </w:t>
      </w:r>
      <w:proofErr w:type="spellStart"/>
      <w:r w:rsidR="00C43988" w:rsidRPr="00C43988">
        <w:rPr>
          <w:rFonts w:ascii="Garamond" w:hAnsi="Garamond" w:cs="Courier New"/>
          <w:sz w:val="28"/>
          <w:szCs w:val="28"/>
        </w:rPr>
        <w:t>universalizantes</w:t>
      </w:r>
      <w:proofErr w:type="spellEnd"/>
      <w:r w:rsidR="00C43988" w:rsidRPr="00C43988">
        <w:rPr>
          <w:rFonts w:ascii="Garamond" w:hAnsi="Garamond" w:cs="Courier New"/>
          <w:sz w:val="28"/>
          <w:szCs w:val="28"/>
        </w:rPr>
        <w:t xml:space="preserve"> de um lado e a promoção pelos governos da pequena propriedade </w:t>
      </w:r>
      <w:r>
        <w:rPr>
          <w:rFonts w:ascii="Garamond" w:hAnsi="Garamond" w:cs="Courier New"/>
          <w:sz w:val="28"/>
          <w:szCs w:val="28"/>
        </w:rPr>
        <w:t>–</w:t>
      </w:r>
      <w:r w:rsidR="00C43988" w:rsidRPr="00C43988">
        <w:rPr>
          <w:rFonts w:ascii="Garamond" w:hAnsi="Garamond" w:cs="Courier New"/>
          <w:sz w:val="28"/>
          <w:szCs w:val="28"/>
        </w:rPr>
        <w:t xml:space="preserve"> revelaram-se ambos insuficientes para alcançar este objetivo.</w:t>
      </w:r>
    </w:p>
    <w:p w:rsidR="00C43988" w:rsidRPr="00C43988" w:rsidRDefault="00C43988" w:rsidP="00C43988">
      <w:pPr>
        <w:shd w:val="clear" w:color="auto" w:fill="F7F7F7"/>
        <w:spacing w:before="100" w:beforeAutospacing="1" w:after="168" w:line="312" w:lineRule="atLeast"/>
        <w:ind w:left="2124" w:firstLine="708"/>
        <w:jc w:val="both"/>
        <w:rPr>
          <w:rFonts w:ascii="Garamond" w:hAnsi="Garamond" w:cs="Courier New"/>
          <w:sz w:val="28"/>
          <w:szCs w:val="28"/>
        </w:rPr>
      </w:pPr>
      <w:r w:rsidRPr="00C43988">
        <w:rPr>
          <w:rFonts w:ascii="Garamond" w:hAnsi="Garamond" w:cs="Courier New"/>
          <w:sz w:val="28"/>
          <w:szCs w:val="28"/>
        </w:rPr>
        <w:t xml:space="preserve">A segunda </w:t>
      </w:r>
      <w:proofErr w:type="spellStart"/>
      <w:r w:rsidRPr="00C43988">
        <w:rPr>
          <w:rFonts w:ascii="Garamond" w:hAnsi="Garamond" w:cs="Courier New"/>
          <w:sz w:val="28"/>
          <w:szCs w:val="28"/>
        </w:rPr>
        <w:t>idéia</w:t>
      </w:r>
      <w:proofErr w:type="spellEnd"/>
      <w:r w:rsidRPr="00C43988">
        <w:rPr>
          <w:rFonts w:ascii="Garamond" w:hAnsi="Garamond" w:cs="Courier New"/>
          <w:sz w:val="28"/>
          <w:szCs w:val="28"/>
        </w:rPr>
        <w:t xml:space="preserve"> (...) é que, se esse experimentalismo é importante para todos os países, para o nosso País, é uma questão de sobrevivência nacional. O que mais quer a Nação agora é construir um modelo de desenvolvimento baseado em ampliação de oportunidades econômicas e educativas e em participação popular. Não será possível construir este modelo dentro do formulário institucional que, há muitas décadas, os nossos quadros dirigentes insistiram em portar e em copiar. (</w:t>
      </w:r>
      <w:proofErr w:type="gramStart"/>
      <w:r w:rsidRPr="00C43988">
        <w:rPr>
          <w:rFonts w:ascii="Garamond" w:hAnsi="Garamond" w:cs="Courier New"/>
          <w:sz w:val="28"/>
          <w:szCs w:val="28"/>
        </w:rPr>
        <w:t>MANGABEIRA, Palestra IDP)</w:t>
      </w:r>
      <w:r w:rsidR="00821FE9">
        <w:rPr>
          <w:rFonts w:ascii="Garamond" w:hAnsi="Garamond" w:cs="Courier New"/>
          <w:sz w:val="28"/>
          <w:szCs w:val="28"/>
        </w:rPr>
        <w:t>”</w:t>
      </w:r>
      <w:proofErr w:type="gramEnd"/>
      <w:r w:rsidRPr="00C43988">
        <w:rPr>
          <w:rFonts w:ascii="Garamond" w:hAnsi="Garamond" w:cs="Courier New"/>
          <w:sz w:val="28"/>
          <w:szCs w:val="28"/>
        </w:rPr>
        <w:t xml:space="preserve">. </w:t>
      </w:r>
    </w:p>
    <w:p w:rsidR="00C43988" w:rsidRDefault="00C43988" w:rsidP="00221F95">
      <w:pPr>
        <w:spacing w:before="240" w:line="360" w:lineRule="auto"/>
        <w:jc w:val="both"/>
        <w:rPr>
          <w:rFonts w:ascii="Garamond" w:hAnsi="Garamond"/>
          <w:sz w:val="28"/>
          <w:szCs w:val="28"/>
        </w:rPr>
      </w:pPr>
    </w:p>
    <w:p w:rsidR="00474EC7" w:rsidRDefault="00D123EF" w:rsidP="00221F95">
      <w:pPr>
        <w:spacing w:before="240" w:line="360" w:lineRule="auto"/>
        <w:jc w:val="both"/>
        <w:rPr>
          <w:rFonts w:ascii="Garamond" w:hAnsi="Garamond"/>
          <w:sz w:val="28"/>
          <w:szCs w:val="28"/>
        </w:rPr>
      </w:pPr>
      <w:r>
        <w:rPr>
          <w:rFonts w:ascii="Garamond" w:hAnsi="Garamond"/>
          <w:sz w:val="28"/>
          <w:szCs w:val="28"/>
        </w:rPr>
        <w:tab/>
      </w:r>
      <w:r w:rsidR="00C43988">
        <w:rPr>
          <w:rFonts w:ascii="Garamond" w:hAnsi="Garamond"/>
          <w:sz w:val="28"/>
          <w:szCs w:val="28"/>
        </w:rPr>
        <w:t>Mangabeira</w:t>
      </w:r>
      <w:r w:rsidR="00AE49B8">
        <w:rPr>
          <w:rFonts w:ascii="Garamond" w:hAnsi="Garamond"/>
          <w:sz w:val="28"/>
          <w:szCs w:val="28"/>
        </w:rPr>
        <w:t xml:space="preserve"> Unger</w:t>
      </w:r>
      <w:r w:rsidR="00360B7D">
        <w:rPr>
          <w:rFonts w:ascii="Garamond" w:hAnsi="Garamond"/>
          <w:sz w:val="28"/>
          <w:szCs w:val="28"/>
        </w:rPr>
        <w:t>, em outro t</w:t>
      </w:r>
      <w:r>
        <w:rPr>
          <w:rFonts w:ascii="Garamond" w:hAnsi="Garamond"/>
          <w:sz w:val="28"/>
          <w:szCs w:val="28"/>
        </w:rPr>
        <w:t>recho de sua palestra</w:t>
      </w:r>
      <w:r w:rsidR="00360B7D">
        <w:rPr>
          <w:rFonts w:ascii="Garamond" w:hAnsi="Garamond"/>
          <w:sz w:val="28"/>
          <w:szCs w:val="28"/>
        </w:rPr>
        <w:t>,</w:t>
      </w:r>
      <w:r>
        <w:rPr>
          <w:rFonts w:ascii="Garamond" w:hAnsi="Garamond"/>
          <w:sz w:val="28"/>
          <w:szCs w:val="28"/>
        </w:rPr>
        <w:t xml:space="preserve"> ao analisar o estágio atual do pensamento jurídico</w:t>
      </w:r>
      <w:r w:rsidR="008E3E38">
        <w:rPr>
          <w:rFonts w:ascii="Garamond" w:hAnsi="Garamond"/>
          <w:sz w:val="28"/>
          <w:szCs w:val="28"/>
        </w:rPr>
        <w:t>, conclama os juristas brasileiros a repensarem os modelos institucionais vigentes e não apenas a tentarem, de uma forma ou de outra, humanizar</w:t>
      </w:r>
      <w:r w:rsidR="00474EC7">
        <w:rPr>
          <w:rFonts w:ascii="Garamond" w:hAnsi="Garamond"/>
          <w:sz w:val="28"/>
          <w:szCs w:val="28"/>
        </w:rPr>
        <w:t xml:space="preserve"> estruturas esgotadas. Arnaldo Godoy, ao transcrever alguns trechos da referida palestra, tece comentários pertinentes:</w:t>
      </w:r>
    </w:p>
    <w:p w:rsidR="00474EC7" w:rsidRPr="00474EC7" w:rsidRDefault="00E313EF" w:rsidP="00474EC7">
      <w:pPr>
        <w:pStyle w:val="NormalWeb"/>
        <w:shd w:val="clear" w:color="auto" w:fill="FFFFFF"/>
        <w:spacing w:line="312" w:lineRule="atLeast"/>
        <w:ind w:left="1416" w:firstLine="714"/>
        <w:jc w:val="both"/>
        <w:rPr>
          <w:rFonts w:ascii="Garamond" w:hAnsi="Garamond" w:cs="Courier New"/>
          <w:sz w:val="28"/>
          <w:szCs w:val="28"/>
        </w:rPr>
      </w:pPr>
      <w:r>
        <w:rPr>
          <w:rFonts w:ascii="Garamond" w:hAnsi="Garamond" w:cs="Courier New"/>
          <w:sz w:val="28"/>
          <w:szCs w:val="28"/>
        </w:rPr>
        <w:t>“</w:t>
      </w:r>
      <w:r w:rsidR="00474EC7" w:rsidRPr="00474EC7">
        <w:rPr>
          <w:rFonts w:ascii="Garamond" w:hAnsi="Garamond" w:cs="Courier New"/>
          <w:sz w:val="28"/>
          <w:szCs w:val="28"/>
        </w:rPr>
        <w:t xml:space="preserve">O discurso jurídico ortodoxo canoniza o Direito. Transforma-o em liturgia. Legitima-o como religião civil. Centra-o em imaginário pacto fundante. Sob roupagem retórica supostamente estimulante, anuncia-se como condutor moral de uma nova época, que se diz neopositivista ou neoconstitucionalista. Prega-se um patriotismo constitucional (cf. HABERMAS, 1997, pp. 279 e ss.), que se insinua em suposto pacto reformista, que nada mais é do que uma versão reelaborada de um </w:t>
      </w:r>
      <w:proofErr w:type="spellStart"/>
      <w:r w:rsidR="00474EC7" w:rsidRPr="00474EC7">
        <w:rPr>
          <w:rFonts w:ascii="Garamond" w:hAnsi="Garamond" w:cs="Courier New"/>
          <w:sz w:val="28"/>
          <w:szCs w:val="28"/>
        </w:rPr>
        <w:t>neocontratualismo</w:t>
      </w:r>
      <w:proofErr w:type="spellEnd"/>
      <w:r w:rsidR="00474EC7" w:rsidRPr="00474EC7">
        <w:rPr>
          <w:rFonts w:ascii="Garamond" w:hAnsi="Garamond" w:cs="Courier New"/>
          <w:sz w:val="28"/>
          <w:szCs w:val="28"/>
        </w:rPr>
        <w:t xml:space="preserve"> de sabor kantiano. Para Mangabeira:</w:t>
      </w:r>
    </w:p>
    <w:p w:rsidR="00474EC7" w:rsidRPr="00474EC7" w:rsidRDefault="00821FE9" w:rsidP="00474EC7">
      <w:pPr>
        <w:shd w:val="clear" w:color="auto" w:fill="FFFFFF"/>
        <w:spacing w:beforeAutospacing="1" w:afterAutospacing="1" w:line="312" w:lineRule="atLeast"/>
        <w:ind w:left="1416" w:firstLine="708"/>
        <w:jc w:val="both"/>
        <w:rPr>
          <w:rFonts w:ascii="Garamond" w:hAnsi="Garamond" w:cs="Courier New"/>
          <w:i/>
          <w:sz w:val="28"/>
          <w:szCs w:val="28"/>
        </w:rPr>
      </w:pPr>
      <w:r>
        <w:rPr>
          <w:rFonts w:ascii="Garamond" w:hAnsi="Garamond" w:cs="Courier New"/>
          <w:i/>
          <w:sz w:val="28"/>
          <w:szCs w:val="28"/>
        </w:rPr>
        <w:lastRenderedPageBreak/>
        <w:t>‘</w:t>
      </w:r>
      <w:r w:rsidR="00474EC7" w:rsidRPr="00E313EF">
        <w:rPr>
          <w:rFonts w:ascii="Garamond" w:hAnsi="Garamond" w:cs="Courier New"/>
          <w:i/>
          <w:sz w:val="28"/>
          <w:szCs w:val="28"/>
        </w:rPr>
        <w:t>Uma das implicações dessa maneira de pensar o direito é estabelecer um contraste chocante entre duas genealogias de direito: uma genealogia prospectiva e uma genealogia retrospectiva. Prospectivamente, imaginamos o direito o produto do conflito, conflito entre interesses e entre visões. Não há nada de errado nisso. Essa é a própria natureza da democracia - organizar esse conflito. Mas, depois, retrospectivamente, nas mãos dos juristas, imaginamos o direito não como um retrato de um conjunto efêmero de composições entre interesses e visões contrastantes, mas como um sistema ideal de evolução que pode ser representado na linguagem dos princípios e das políticas públicas impessoais</w:t>
      </w:r>
      <w:r>
        <w:rPr>
          <w:rFonts w:ascii="Garamond" w:hAnsi="Garamond" w:cs="Courier New"/>
          <w:i/>
          <w:sz w:val="28"/>
          <w:szCs w:val="28"/>
        </w:rPr>
        <w:t>’</w:t>
      </w:r>
      <w:r w:rsidR="00474EC7" w:rsidRPr="00474EC7">
        <w:rPr>
          <w:rFonts w:ascii="Garamond" w:hAnsi="Garamond" w:cs="Courier New"/>
          <w:i/>
          <w:sz w:val="28"/>
          <w:szCs w:val="28"/>
        </w:rPr>
        <w:t>. (</w:t>
      </w:r>
      <w:r w:rsidR="00474EC7" w:rsidRPr="00E313EF">
        <w:rPr>
          <w:rFonts w:ascii="Garamond" w:hAnsi="Garamond" w:cs="Courier New"/>
          <w:i/>
          <w:sz w:val="28"/>
          <w:szCs w:val="28"/>
        </w:rPr>
        <w:t>MANGABEIRA</w:t>
      </w:r>
      <w:r w:rsidR="00474EC7" w:rsidRPr="00474EC7">
        <w:rPr>
          <w:rFonts w:ascii="Garamond" w:hAnsi="Garamond" w:cs="Courier New"/>
          <w:i/>
          <w:sz w:val="28"/>
          <w:szCs w:val="28"/>
        </w:rPr>
        <w:t>, Palestra IDP).</w:t>
      </w:r>
    </w:p>
    <w:p w:rsidR="00474EC7" w:rsidRPr="00474EC7" w:rsidRDefault="00474EC7" w:rsidP="00474EC7">
      <w:pPr>
        <w:shd w:val="clear" w:color="auto" w:fill="FFFFFF"/>
        <w:spacing w:before="100" w:beforeAutospacing="1" w:after="100" w:afterAutospacing="1" w:line="312" w:lineRule="atLeast"/>
        <w:ind w:left="1416" w:firstLine="708"/>
        <w:jc w:val="both"/>
        <w:rPr>
          <w:rFonts w:ascii="Garamond" w:hAnsi="Garamond" w:cs="Courier New"/>
          <w:sz w:val="28"/>
          <w:szCs w:val="28"/>
        </w:rPr>
      </w:pPr>
      <w:r w:rsidRPr="00474EC7">
        <w:rPr>
          <w:rFonts w:ascii="Garamond" w:hAnsi="Garamond" w:cs="Courier New"/>
          <w:sz w:val="28"/>
          <w:szCs w:val="28"/>
        </w:rPr>
        <w:t xml:space="preserve">O Direito precisa ser repensado. Deve ser adaptado às condições políticas pelas quais presentemente passamos. Deve deixar a </w:t>
      </w:r>
      <w:proofErr w:type="spellStart"/>
      <w:r w:rsidRPr="00474EC7">
        <w:rPr>
          <w:rFonts w:ascii="Garamond" w:hAnsi="Garamond" w:cs="Courier New"/>
          <w:sz w:val="28"/>
          <w:szCs w:val="28"/>
        </w:rPr>
        <w:t>ante-sala</w:t>
      </w:r>
      <w:proofErr w:type="spellEnd"/>
      <w:r w:rsidRPr="00474EC7">
        <w:rPr>
          <w:rFonts w:ascii="Garamond" w:hAnsi="Garamond" w:cs="Courier New"/>
          <w:sz w:val="28"/>
          <w:szCs w:val="28"/>
        </w:rPr>
        <w:t xml:space="preserve"> das curiosidades. Deve afastar-se do campo minado das sutilezas da argumentação. Para Mangabeira, ainda na palestra aqui esquadrinhada:</w:t>
      </w:r>
    </w:p>
    <w:p w:rsidR="00474EC7" w:rsidRPr="00474EC7" w:rsidRDefault="00821FE9" w:rsidP="00474EC7">
      <w:pPr>
        <w:shd w:val="clear" w:color="auto" w:fill="FFFFFF"/>
        <w:spacing w:beforeAutospacing="1" w:afterAutospacing="1" w:line="312" w:lineRule="atLeast"/>
        <w:ind w:left="1416" w:firstLine="708"/>
        <w:jc w:val="both"/>
        <w:rPr>
          <w:rFonts w:ascii="Garamond" w:hAnsi="Garamond" w:cs="Courier New"/>
          <w:i/>
          <w:sz w:val="28"/>
          <w:szCs w:val="28"/>
        </w:rPr>
      </w:pPr>
      <w:r>
        <w:rPr>
          <w:rFonts w:ascii="Garamond" w:hAnsi="Garamond" w:cs="Courier New"/>
          <w:i/>
          <w:sz w:val="28"/>
          <w:szCs w:val="28"/>
        </w:rPr>
        <w:t>‘</w:t>
      </w:r>
      <w:r w:rsidR="00474EC7" w:rsidRPr="00E313EF">
        <w:rPr>
          <w:rFonts w:ascii="Garamond" w:hAnsi="Garamond" w:cs="Courier New"/>
          <w:i/>
          <w:sz w:val="28"/>
          <w:szCs w:val="28"/>
        </w:rPr>
        <w:t xml:space="preserve">Esta maneira de pensar o direito só faz sentido à luz desse pacto social democrata que eu descrevi e dessa realidade paradoxal de avanço e de recuo do direito do século 20. Esse é o pensamento jurídico característico de uma civilização que não acredita mais na possibilidade ou na necessidade de reconstruir as coisas e que se satisfaz em humanizá-las, em redistribuir recursos e direitos em nome de idealizações do direito. </w:t>
      </w:r>
      <w:proofErr w:type="gramStart"/>
      <w:r w:rsidR="00474EC7" w:rsidRPr="00E313EF">
        <w:rPr>
          <w:rFonts w:ascii="Garamond" w:hAnsi="Garamond" w:cs="Courier New"/>
          <w:i/>
          <w:sz w:val="28"/>
          <w:szCs w:val="28"/>
        </w:rPr>
        <w:t>É</w:t>
      </w:r>
      <w:proofErr w:type="gramEnd"/>
      <w:r w:rsidR="00474EC7" w:rsidRPr="00E313EF">
        <w:rPr>
          <w:rFonts w:ascii="Garamond" w:hAnsi="Garamond" w:cs="Courier New"/>
          <w:i/>
          <w:sz w:val="28"/>
          <w:szCs w:val="28"/>
        </w:rPr>
        <w:t xml:space="preserve"> um método de pensamento jurídico que serve a quem aceita os limites deste mundo, mas que é inaceitável para quem quer transpor esses limites</w:t>
      </w:r>
      <w:r>
        <w:rPr>
          <w:rFonts w:ascii="Garamond" w:hAnsi="Garamond" w:cs="Courier New"/>
          <w:i/>
          <w:sz w:val="28"/>
          <w:szCs w:val="28"/>
        </w:rPr>
        <w:t>’</w:t>
      </w:r>
      <w:r w:rsidR="00474EC7" w:rsidRPr="00E313EF">
        <w:rPr>
          <w:rFonts w:ascii="Garamond" w:hAnsi="Garamond" w:cs="Courier New"/>
          <w:i/>
          <w:sz w:val="28"/>
          <w:szCs w:val="28"/>
        </w:rPr>
        <w:t>.</w:t>
      </w:r>
      <w:r w:rsidR="00474EC7" w:rsidRPr="00474EC7">
        <w:rPr>
          <w:rFonts w:ascii="Garamond" w:hAnsi="Garamond" w:cs="Courier New"/>
          <w:i/>
          <w:sz w:val="28"/>
          <w:szCs w:val="28"/>
        </w:rPr>
        <w:t xml:space="preserve"> (</w:t>
      </w:r>
      <w:r w:rsidR="00474EC7" w:rsidRPr="00E313EF">
        <w:rPr>
          <w:rFonts w:ascii="Garamond" w:hAnsi="Garamond" w:cs="Courier New"/>
          <w:i/>
          <w:sz w:val="28"/>
          <w:szCs w:val="28"/>
        </w:rPr>
        <w:t>MANGABEIRA</w:t>
      </w:r>
      <w:r w:rsidR="00474EC7" w:rsidRPr="00474EC7">
        <w:rPr>
          <w:rFonts w:ascii="Garamond" w:hAnsi="Garamond" w:cs="Courier New"/>
          <w:i/>
          <w:sz w:val="28"/>
          <w:szCs w:val="28"/>
        </w:rPr>
        <w:t>, Palestra, IDP).</w:t>
      </w:r>
    </w:p>
    <w:p w:rsidR="00474EC7" w:rsidRPr="00474EC7" w:rsidRDefault="00474EC7" w:rsidP="00474EC7">
      <w:pPr>
        <w:shd w:val="clear" w:color="auto" w:fill="FFFFFF"/>
        <w:spacing w:before="100" w:beforeAutospacing="1" w:after="100" w:afterAutospacing="1" w:line="312" w:lineRule="atLeast"/>
        <w:ind w:left="1416" w:firstLine="708"/>
        <w:jc w:val="both"/>
        <w:rPr>
          <w:rFonts w:ascii="Garamond" w:hAnsi="Garamond" w:cs="Courier New"/>
          <w:sz w:val="28"/>
          <w:szCs w:val="28"/>
        </w:rPr>
      </w:pPr>
      <w:r w:rsidRPr="00474EC7">
        <w:rPr>
          <w:rFonts w:ascii="Garamond" w:hAnsi="Garamond" w:cs="Courier New"/>
          <w:sz w:val="28"/>
          <w:szCs w:val="28"/>
        </w:rPr>
        <w:t>O Direito que se diz hegemônico seria mera expressão do fracasso. O Direito não teria realizado sua missão, e nem cumprido suas promessas. É dissimulado. Diz-se arauto do que é novo e do que segue, porém regurgita o passado que diz repudiar. Por isso,</w:t>
      </w:r>
    </w:p>
    <w:p w:rsidR="00474EC7" w:rsidRPr="00474EC7" w:rsidRDefault="00821FE9" w:rsidP="00474EC7">
      <w:pPr>
        <w:shd w:val="clear" w:color="auto" w:fill="FFFFFF"/>
        <w:spacing w:beforeAutospacing="1" w:afterAutospacing="1" w:line="312" w:lineRule="atLeast"/>
        <w:ind w:left="1416" w:firstLine="708"/>
        <w:jc w:val="both"/>
        <w:rPr>
          <w:rFonts w:ascii="Garamond" w:hAnsi="Garamond" w:cs="Courier New"/>
          <w:i/>
          <w:sz w:val="28"/>
          <w:szCs w:val="28"/>
        </w:rPr>
      </w:pPr>
      <w:r>
        <w:rPr>
          <w:rFonts w:ascii="Garamond" w:hAnsi="Garamond" w:cs="Courier New"/>
          <w:i/>
          <w:sz w:val="28"/>
          <w:szCs w:val="28"/>
        </w:rPr>
        <w:t>‘</w:t>
      </w:r>
      <w:r w:rsidR="00474EC7" w:rsidRPr="00E313EF">
        <w:rPr>
          <w:rFonts w:ascii="Garamond" w:hAnsi="Garamond" w:cs="Courier New"/>
          <w:i/>
          <w:sz w:val="28"/>
          <w:szCs w:val="28"/>
        </w:rPr>
        <w:t xml:space="preserve">(...) essa forma dominante de pensamento jurídico, esse pós-formalismo teleológico, sistemático e </w:t>
      </w:r>
      <w:proofErr w:type="spellStart"/>
      <w:r w:rsidR="00474EC7" w:rsidRPr="00E313EF">
        <w:rPr>
          <w:rFonts w:ascii="Garamond" w:hAnsi="Garamond" w:cs="Courier New"/>
          <w:i/>
          <w:sz w:val="28"/>
          <w:szCs w:val="28"/>
        </w:rPr>
        <w:t>idealizante</w:t>
      </w:r>
      <w:proofErr w:type="spellEnd"/>
      <w:r w:rsidR="00474EC7" w:rsidRPr="00E313EF">
        <w:rPr>
          <w:rFonts w:ascii="Garamond" w:hAnsi="Garamond" w:cs="Courier New"/>
          <w:i/>
          <w:sz w:val="28"/>
          <w:szCs w:val="28"/>
        </w:rPr>
        <w:t xml:space="preserve"> que é agora apresentado em todo o mundo como a onda do futuro do pensamento jurídico é, na realidade, a transcrição, no pensamento jurídico de uma limitação ou de uma derrota política casada com uma mistificação intelectual</w:t>
      </w:r>
      <w:r>
        <w:rPr>
          <w:rFonts w:ascii="Garamond" w:hAnsi="Garamond" w:cs="Courier New"/>
          <w:i/>
          <w:sz w:val="28"/>
          <w:szCs w:val="28"/>
        </w:rPr>
        <w:t>’</w:t>
      </w:r>
      <w:r w:rsidR="00474EC7" w:rsidRPr="00E313EF">
        <w:rPr>
          <w:rFonts w:ascii="Garamond" w:hAnsi="Garamond" w:cs="Courier New"/>
          <w:i/>
          <w:sz w:val="28"/>
          <w:szCs w:val="28"/>
        </w:rPr>
        <w:t>.</w:t>
      </w:r>
      <w:r w:rsidR="00474EC7" w:rsidRPr="00474EC7">
        <w:rPr>
          <w:rFonts w:ascii="Garamond" w:hAnsi="Garamond" w:cs="Courier New"/>
          <w:i/>
          <w:sz w:val="28"/>
          <w:szCs w:val="28"/>
        </w:rPr>
        <w:t xml:space="preserve"> (</w:t>
      </w:r>
      <w:r w:rsidR="00474EC7" w:rsidRPr="00E313EF">
        <w:rPr>
          <w:rFonts w:ascii="Garamond" w:hAnsi="Garamond" w:cs="Courier New"/>
          <w:i/>
          <w:sz w:val="28"/>
          <w:szCs w:val="28"/>
        </w:rPr>
        <w:t>MANGABEIRA</w:t>
      </w:r>
      <w:r w:rsidR="00474EC7" w:rsidRPr="00474EC7">
        <w:rPr>
          <w:rFonts w:ascii="Garamond" w:hAnsi="Garamond" w:cs="Courier New"/>
          <w:i/>
          <w:sz w:val="28"/>
          <w:szCs w:val="28"/>
        </w:rPr>
        <w:t>, Palestra, IDP).</w:t>
      </w:r>
    </w:p>
    <w:p w:rsidR="00474EC7" w:rsidRPr="00474EC7" w:rsidRDefault="00474EC7" w:rsidP="00474EC7">
      <w:pPr>
        <w:shd w:val="clear" w:color="auto" w:fill="FFFFFF"/>
        <w:spacing w:before="100" w:beforeAutospacing="1" w:after="100" w:afterAutospacing="1" w:line="312" w:lineRule="atLeast"/>
        <w:ind w:left="1416" w:firstLine="708"/>
        <w:jc w:val="both"/>
        <w:rPr>
          <w:rFonts w:ascii="Garamond" w:hAnsi="Garamond" w:cs="Courier New"/>
          <w:sz w:val="28"/>
          <w:szCs w:val="28"/>
        </w:rPr>
      </w:pPr>
      <w:r w:rsidRPr="00474EC7">
        <w:rPr>
          <w:rFonts w:ascii="Garamond" w:hAnsi="Garamond" w:cs="Courier New"/>
          <w:sz w:val="28"/>
          <w:szCs w:val="28"/>
        </w:rPr>
        <w:t>A palestra seguiu densa, em tom de denúncia, angustiada, em passo de realismo impressionante, explicitando-se os porquês da desconfiança:</w:t>
      </w:r>
    </w:p>
    <w:p w:rsidR="00C43988" w:rsidRDefault="00821FE9" w:rsidP="00E313EF">
      <w:pPr>
        <w:shd w:val="clear" w:color="auto" w:fill="FFFFFF"/>
        <w:spacing w:beforeAutospacing="1" w:afterAutospacing="1" w:line="312" w:lineRule="atLeast"/>
        <w:ind w:left="1416" w:firstLine="708"/>
        <w:jc w:val="both"/>
        <w:rPr>
          <w:rFonts w:ascii="Garamond" w:hAnsi="Garamond"/>
          <w:sz w:val="28"/>
          <w:szCs w:val="28"/>
        </w:rPr>
      </w:pPr>
      <w:r>
        <w:rPr>
          <w:rFonts w:ascii="Garamond" w:hAnsi="Garamond" w:cs="Courier New"/>
          <w:i/>
          <w:sz w:val="28"/>
          <w:szCs w:val="28"/>
        </w:rPr>
        <w:lastRenderedPageBreak/>
        <w:t>‘</w:t>
      </w:r>
      <w:r w:rsidR="00474EC7" w:rsidRPr="00E313EF">
        <w:rPr>
          <w:rFonts w:ascii="Garamond" w:hAnsi="Garamond" w:cs="Courier New"/>
          <w:i/>
          <w:sz w:val="28"/>
          <w:szCs w:val="28"/>
        </w:rPr>
        <w:t xml:space="preserve">Mistificação porque passa magicamente da genealogia prospectiva de direito como produto de conflito para a genealogia retrospectiva do direito nas mãos dos juristas como o fragmento de um sistema ideal. Mistificação a serviço do vanguardismo antidemocrático dos juristas e dos juízes, seduzidos pela </w:t>
      </w:r>
      <w:proofErr w:type="spellStart"/>
      <w:r w:rsidR="00474EC7" w:rsidRPr="00E313EF">
        <w:rPr>
          <w:rFonts w:ascii="Garamond" w:hAnsi="Garamond" w:cs="Courier New"/>
          <w:i/>
          <w:sz w:val="28"/>
          <w:szCs w:val="28"/>
        </w:rPr>
        <w:t>idéia</w:t>
      </w:r>
      <w:proofErr w:type="spellEnd"/>
      <w:r w:rsidR="00474EC7" w:rsidRPr="00E313EF">
        <w:rPr>
          <w:rFonts w:ascii="Garamond" w:hAnsi="Garamond" w:cs="Courier New"/>
          <w:i/>
          <w:sz w:val="28"/>
          <w:szCs w:val="28"/>
        </w:rPr>
        <w:t xml:space="preserve"> de uma tarefa importante de melhorar as coisas idealizando o direito de uma maneira que parece quase irreconciliável com os pressupostos da democracia. Mistificação incompatível com o imperativo do </w:t>
      </w:r>
      <w:proofErr w:type="spellStart"/>
      <w:r w:rsidR="00474EC7" w:rsidRPr="00E313EF">
        <w:rPr>
          <w:rFonts w:ascii="Garamond" w:hAnsi="Garamond" w:cs="Courier New"/>
          <w:i/>
          <w:sz w:val="28"/>
          <w:szCs w:val="28"/>
        </w:rPr>
        <w:t>experimentalismoinstitucional</w:t>
      </w:r>
      <w:proofErr w:type="spellEnd"/>
      <w:r w:rsidR="00474EC7" w:rsidRPr="00E313EF">
        <w:rPr>
          <w:rFonts w:ascii="Garamond" w:hAnsi="Garamond" w:cs="Courier New"/>
          <w:i/>
          <w:sz w:val="28"/>
          <w:szCs w:val="28"/>
        </w:rPr>
        <w:t>.</w:t>
      </w:r>
      <w:r w:rsidR="00474EC7" w:rsidRPr="00474EC7">
        <w:rPr>
          <w:rFonts w:ascii="Garamond" w:hAnsi="Garamond" w:cs="Courier New"/>
          <w:i/>
          <w:sz w:val="28"/>
          <w:szCs w:val="28"/>
        </w:rPr>
        <w:t xml:space="preserve"> (</w:t>
      </w:r>
      <w:proofErr w:type="gramStart"/>
      <w:r w:rsidR="00474EC7" w:rsidRPr="00E313EF">
        <w:rPr>
          <w:rFonts w:ascii="Garamond" w:hAnsi="Garamond" w:cs="Courier New"/>
          <w:i/>
          <w:sz w:val="28"/>
          <w:szCs w:val="28"/>
        </w:rPr>
        <w:t>MANGABEIRA</w:t>
      </w:r>
      <w:r w:rsidR="00474EC7" w:rsidRPr="00474EC7">
        <w:rPr>
          <w:rFonts w:ascii="Garamond" w:hAnsi="Garamond" w:cs="Courier New"/>
          <w:i/>
          <w:sz w:val="28"/>
          <w:szCs w:val="28"/>
        </w:rPr>
        <w:t>, Palestra, IDP)</w:t>
      </w:r>
      <w:r>
        <w:rPr>
          <w:rFonts w:ascii="Garamond" w:hAnsi="Garamond" w:cs="Courier New"/>
          <w:i/>
          <w:sz w:val="28"/>
          <w:szCs w:val="28"/>
        </w:rPr>
        <w:t>’</w:t>
      </w:r>
      <w:r w:rsidR="00E313EF">
        <w:rPr>
          <w:rFonts w:ascii="Garamond" w:hAnsi="Garamond" w:cs="Courier New"/>
          <w:i/>
          <w:sz w:val="28"/>
          <w:szCs w:val="28"/>
        </w:rPr>
        <w:t>”</w:t>
      </w:r>
      <w:proofErr w:type="gramEnd"/>
      <w:r w:rsidR="00474EC7" w:rsidRPr="00474EC7">
        <w:rPr>
          <w:rFonts w:ascii="Garamond" w:hAnsi="Garamond" w:cs="Courier New"/>
          <w:i/>
          <w:sz w:val="28"/>
          <w:szCs w:val="28"/>
        </w:rPr>
        <w:t>.</w:t>
      </w:r>
      <w:r w:rsidR="00E313EF">
        <w:rPr>
          <w:rFonts w:ascii="Garamond" w:hAnsi="Garamond" w:cs="Courier New"/>
          <w:sz w:val="28"/>
          <w:szCs w:val="28"/>
        </w:rPr>
        <w:t xml:space="preserve"> </w:t>
      </w:r>
      <w:r w:rsidR="00474EC7" w:rsidRPr="00474EC7">
        <w:rPr>
          <w:rFonts w:ascii="Arial" w:hAnsi="Arial" w:cs="Arial"/>
          <w:color w:val="000000"/>
          <w:sz w:val="21"/>
          <w:szCs w:val="21"/>
        </w:rPr>
        <w:br/>
      </w:r>
      <w:r w:rsidR="00E313EF">
        <w:rPr>
          <w:rFonts w:ascii="Arial" w:hAnsi="Arial" w:cs="Arial"/>
          <w:color w:val="000000"/>
          <w:sz w:val="21"/>
          <w:szCs w:val="21"/>
        </w:rPr>
        <w:t>Artigo disponível em</w:t>
      </w:r>
      <w:r w:rsidR="00474EC7" w:rsidRPr="00474EC7">
        <w:rPr>
          <w:rFonts w:ascii="Arial" w:hAnsi="Arial" w:cs="Arial"/>
          <w:color w:val="000000"/>
          <w:sz w:val="21"/>
          <w:szCs w:val="21"/>
        </w:rPr>
        <w:t xml:space="preserve">: </w:t>
      </w:r>
      <w:r w:rsidR="00474EC7" w:rsidRPr="00474EC7">
        <w:rPr>
          <w:rFonts w:ascii="Arial" w:hAnsi="Arial" w:cs="Arial"/>
          <w:color w:val="003399"/>
          <w:sz w:val="21"/>
          <w:szCs w:val="21"/>
        </w:rPr>
        <w:t>http://jus.com.br/revista/texto/11770/o-direito-no-fortalecimento-da-democracia-no-pensamento-de-roberto-mangabeira-unger#ixzz1tvla1seA</w:t>
      </w:r>
      <w:r w:rsidR="00360B7D">
        <w:rPr>
          <w:rFonts w:ascii="Garamond" w:hAnsi="Garamond"/>
          <w:sz w:val="28"/>
          <w:szCs w:val="28"/>
        </w:rPr>
        <w:t xml:space="preserve"> </w:t>
      </w:r>
    </w:p>
    <w:p w:rsidR="00886B36" w:rsidRDefault="00E313EF" w:rsidP="00B743F3">
      <w:pPr>
        <w:spacing w:before="240" w:line="360" w:lineRule="auto"/>
        <w:ind w:firstLine="708"/>
        <w:jc w:val="both"/>
        <w:rPr>
          <w:rFonts w:ascii="Garamond" w:hAnsi="Garamond"/>
          <w:sz w:val="28"/>
          <w:szCs w:val="28"/>
        </w:rPr>
      </w:pPr>
      <w:r>
        <w:rPr>
          <w:rFonts w:ascii="Garamond" w:hAnsi="Garamond"/>
          <w:sz w:val="28"/>
          <w:szCs w:val="28"/>
        </w:rPr>
        <w:t xml:space="preserve">Em artigo publicado na Folha de São Paulo, em 18 de abril de 2005, intitulado </w:t>
      </w:r>
      <w:r w:rsidRPr="00E313EF">
        <w:rPr>
          <w:rFonts w:ascii="Garamond" w:hAnsi="Garamond"/>
          <w:i/>
          <w:sz w:val="28"/>
          <w:szCs w:val="28"/>
        </w:rPr>
        <w:t>A justiça como base de desenvolvimento</w:t>
      </w:r>
      <w:r>
        <w:rPr>
          <w:rFonts w:ascii="Garamond" w:hAnsi="Garamond"/>
          <w:i/>
          <w:sz w:val="28"/>
          <w:szCs w:val="28"/>
        </w:rPr>
        <w:t xml:space="preserve">, </w:t>
      </w:r>
      <w:r w:rsidRPr="00E313EF">
        <w:rPr>
          <w:rFonts w:ascii="Garamond" w:hAnsi="Garamond"/>
          <w:sz w:val="28"/>
          <w:szCs w:val="28"/>
        </w:rPr>
        <w:t>de resto também comentado por Arnaldo Godoy</w:t>
      </w:r>
      <w:r>
        <w:rPr>
          <w:rFonts w:ascii="Garamond" w:hAnsi="Garamond"/>
          <w:sz w:val="28"/>
          <w:szCs w:val="28"/>
        </w:rPr>
        <w:t xml:space="preserve"> no texto transcrito acima, Mangabeira Unger faz afirmações que calham perfeitamente com o raciocínio desenvolvido nesse voto acerca do PROUNI:</w:t>
      </w:r>
    </w:p>
    <w:p w:rsidR="00B743F3" w:rsidRPr="00B743F3" w:rsidRDefault="00B743F3" w:rsidP="00B743F3">
      <w:pPr>
        <w:pStyle w:val="NormalWeb"/>
        <w:shd w:val="clear" w:color="auto" w:fill="FFFFFF"/>
        <w:spacing w:line="312" w:lineRule="atLeast"/>
        <w:ind w:left="1416" w:firstLine="714"/>
        <w:jc w:val="both"/>
        <w:rPr>
          <w:rFonts w:ascii="Garamond" w:hAnsi="Garamond" w:cs="Courier New"/>
          <w:i/>
          <w:sz w:val="28"/>
          <w:szCs w:val="28"/>
        </w:rPr>
      </w:pPr>
      <w:r w:rsidRPr="00B743F3">
        <w:rPr>
          <w:rFonts w:ascii="Garamond" w:hAnsi="Garamond" w:cs="Arial"/>
          <w:iCs/>
          <w:color w:val="000000"/>
        </w:rPr>
        <w:t>“</w:t>
      </w:r>
      <w:r w:rsidRPr="00B743F3">
        <w:rPr>
          <w:rFonts w:ascii="Garamond" w:hAnsi="Garamond" w:cs="Courier New"/>
          <w:b/>
          <w:sz w:val="28"/>
          <w:szCs w:val="28"/>
        </w:rPr>
        <w:t>Como podem iniciativas sóbrias, tomadas com meios disponíveis, melhorar a vida de dezenas de milhões de pessoas no Brasil?</w:t>
      </w:r>
      <w:r w:rsidRPr="00B743F3">
        <w:rPr>
          <w:rFonts w:ascii="Garamond" w:hAnsi="Garamond" w:cs="Courier New"/>
          <w:sz w:val="28"/>
          <w:szCs w:val="28"/>
        </w:rPr>
        <w:t xml:space="preserve"> Exemplifico nas três áreas em que o país mais requer mudança de rumo: a situação do trabalhador, </w:t>
      </w:r>
      <w:r w:rsidRPr="00B743F3">
        <w:rPr>
          <w:rFonts w:ascii="Garamond" w:hAnsi="Garamond" w:cs="Courier New"/>
          <w:b/>
          <w:sz w:val="28"/>
          <w:szCs w:val="28"/>
        </w:rPr>
        <w:t>a qualidade do ensino</w:t>
      </w:r>
      <w:r w:rsidRPr="00B743F3">
        <w:rPr>
          <w:rFonts w:ascii="Garamond" w:hAnsi="Garamond" w:cs="Courier New"/>
          <w:sz w:val="28"/>
          <w:szCs w:val="28"/>
        </w:rPr>
        <w:t xml:space="preserve"> e a influência do dinheiro na política (...) </w:t>
      </w:r>
      <w:r w:rsidRPr="00B743F3">
        <w:rPr>
          <w:rFonts w:ascii="Garamond" w:hAnsi="Garamond" w:cs="Courier New"/>
          <w:b/>
          <w:sz w:val="28"/>
          <w:szCs w:val="28"/>
        </w:rPr>
        <w:t xml:space="preserve">É o compromisso de transformar exigências de justiça em condições de progresso prático. No passado, o conceito foi crescer para ter, depois, os meios com que fazer justiça. Agora, o princípio deve ser fazer justiça para poder crescer. Transformar a democratização das oportunidades de trabalho e de ensino e o saneamento da vida pública em motores de desenvolvimento. </w:t>
      </w:r>
      <w:r w:rsidRPr="00B743F3">
        <w:rPr>
          <w:rFonts w:ascii="Garamond" w:hAnsi="Garamond" w:cs="Courier New"/>
          <w:sz w:val="28"/>
          <w:szCs w:val="28"/>
        </w:rPr>
        <w:t>A utopia realista que convém ao Brasil, aquela que a nação continua, com espasmos de descrença e de frustração, a buscar, é a da energia construtiva, manifesta no esforço de equipar os que não têm como e os que não sabem como. Um país que cultiva a pujança e venera a ternura não reconciliará os dois lados de sua consciência coletiva sem refundar o desenvolvimento sobre a base da justiça”. (MANGABEIRA, FSP, 18 de abril de 2005). (grifei)</w:t>
      </w:r>
    </w:p>
    <w:p w:rsidR="00317650" w:rsidRDefault="00B743F3" w:rsidP="00B743F3">
      <w:pPr>
        <w:spacing w:before="240" w:line="360" w:lineRule="auto"/>
        <w:jc w:val="both"/>
        <w:rPr>
          <w:rFonts w:ascii="Garamond" w:hAnsi="Garamond"/>
          <w:sz w:val="28"/>
          <w:szCs w:val="28"/>
        </w:rPr>
      </w:pPr>
      <w:r w:rsidRPr="00B743F3">
        <w:rPr>
          <w:rFonts w:ascii="Arial" w:hAnsi="Arial" w:cs="Arial"/>
          <w:color w:val="000000"/>
          <w:sz w:val="21"/>
          <w:szCs w:val="21"/>
        </w:rPr>
        <w:br/>
      </w:r>
      <w:r w:rsidR="00317650">
        <w:rPr>
          <w:rFonts w:ascii="Arial" w:hAnsi="Arial" w:cs="Arial"/>
          <w:color w:val="000000"/>
          <w:sz w:val="21"/>
          <w:szCs w:val="21"/>
        </w:rPr>
        <w:tab/>
      </w:r>
      <w:r w:rsidRPr="00B743F3">
        <w:rPr>
          <w:rFonts w:ascii="Arial" w:hAnsi="Arial" w:cs="Arial"/>
          <w:color w:val="000000"/>
          <w:sz w:val="21"/>
          <w:szCs w:val="21"/>
        </w:rPr>
        <w:br/>
      </w:r>
      <w:r w:rsidR="00317650">
        <w:rPr>
          <w:rFonts w:ascii="Garamond" w:hAnsi="Garamond"/>
          <w:sz w:val="28"/>
          <w:szCs w:val="28"/>
        </w:rPr>
        <w:tab/>
        <w:t>O PROUNI é uma iniciativa que visa</w:t>
      </w:r>
      <w:r w:rsidR="00BF69F9">
        <w:rPr>
          <w:rFonts w:ascii="Garamond" w:hAnsi="Garamond"/>
          <w:sz w:val="28"/>
          <w:szCs w:val="28"/>
        </w:rPr>
        <w:t xml:space="preserve"> a</w:t>
      </w:r>
      <w:r w:rsidR="00317650">
        <w:rPr>
          <w:rFonts w:ascii="Garamond" w:hAnsi="Garamond"/>
          <w:sz w:val="28"/>
          <w:szCs w:val="28"/>
        </w:rPr>
        <w:t xml:space="preserve"> aproveitar o potencial da </w:t>
      </w:r>
      <w:r w:rsidR="00317650">
        <w:rPr>
          <w:rFonts w:ascii="Garamond" w:hAnsi="Garamond"/>
          <w:sz w:val="28"/>
          <w:szCs w:val="28"/>
        </w:rPr>
        <w:lastRenderedPageBreak/>
        <w:t xml:space="preserve">iniciativa privada no setor </w:t>
      </w:r>
      <w:r w:rsidR="00BF69F9">
        <w:rPr>
          <w:rFonts w:ascii="Garamond" w:hAnsi="Garamond"/>
          <w:sz w:val="28"/>
          <w:szCs w:val="28"/>
        </w:rPr>
        <w:t>educacional</w:t>
      </w:r>
      <w:r w:rsidR="00317650">
        <w:rPr>
          <w:rFonts w:ascii="Garamond" w:hAnsi="Garamond"/>
          <w:sz w:val="28"/>
          <w:szCs w:val="28"/>
        </w:rPr>
        <w:t xml:space="preserve">, direcionando-o à implementação de uma política pública de ampliação do acesso ao </w:t>
      </w:r>
      <w:r w:rsidR="00C86AAB">
        <w:rPr>
          <w:rFonts w:ascii="Garamond" w:hAnsi="Garamond"/>
          <w:sz w:val="28"/>
          <w:szCs w:val="28"/>
        </w:rPr>
        <w:t>Ensino Superior</w:t>
      </w:r>
      <w:r w:rsidR="00317650">
        <w:rPr>
          <w:rFonts w:ascii="Garamond" w:hAnsi="Garamond"/>
          <w:sz w:val="28"/>
          <w:szCs w:val="28"/>
        </w:rPr>
        <w:t>, voltada a atender a classe média baixa, mas emergente, que cresce cada vez mais no Brasil. Os números, já mencionados, demonstram tratar-se de um programa bem-sucedido</w:t>
      </w:r>
      <w:r w:rsidR="00A72E88">
        <w:rPr>
          <w:rFonts w:ascii="Garamond" w:hAnsi="Garamond"/>
          <w:sz w:val="28"/>
          <w:szCs w:val="28"/>
        </w:rPr>
        <w:t xml:space="preserve">: mais de </w:t>
      </w:r>
      <w:r w:rsidR="00317650">
        <w:rPr>
          <w:rFonts w:ascii="Garamond" w:hAnsi="Garamond"/>
          <w:sz w:val="28"/>
          <w:szCs w:val="28"/>
        </w:rPr>
        <w:t>um milhão de bolsas foram concedidas</w:t>
      </w:r>
      <w:r w:rsidR="00A72E88">
        <w:rPr>
          <w:rFonts w:ascii="Garamond" w:hAnsi="Garamond"/>
          <w:sz w:val="28"/>
          <w:szCs w:val="28"/>
        </w:rPr>
        <w:t>. O PROUNI já é quase do tamanho do ensino universitário público brasileiro.</w:t>
      </w:r>
    </w:p>
    <w:p w:rsidR="00FA2D60" w:rsidRDefault="00A72E88" w:rsidP="00B743F3">
      <w:pPr>
        <w:spacing w:before="240" w:line="360" w:lineRule="auto"/>
        <w:jc w:val="both"/>
        <w:rPr>
          <w:rFonts w:ascii="Garamond" w:hAnsi="Garamond"/>
          <w:sz w:val="28"/>
          <w:szCs w:val="28"/>
        </w:rPr>
      </w:pPr>
      <w:r>
        <w:rPr>
          <w:rFonts w:ascii="Garamond" w:hAnsi="Garamond"/>
          <w:sz w:val="28"/>
          <w:szCs w:val="28"/>
        </w:rPr>
        <w:tab/>
        <w:t>O raciocínio que estou a construir não implica a aceitação pura e simples desse modelo de política como sendo o melhor e o sempre desejável, mas reconhece que esse programa obteve êxito em seus propósitos, a partir da adaptação e melhoramento dos modelos anteriormente existentes.</w:t>
      </w:r>
    </w:p>
    <w:p w:rsidR="00A72E88" w:rsidRDefault="00A72E88" w:rsidP="00FA2D60">
      <w:pPr>
        <w:spacing w:before="240" w:line="360" w:lineRule="auto"/>
        <w:ind w:firstLine="708"/>
        <w:jc w:val="both"/>
        <w:rPr>
          <w:rFonts w:ascii="Garamond" w:hAnsi="Garamond"/>
          <w:sz w:val="28"/>
          <w:szCs w:val="28"/>
        </w:rPr>
      </w:pPr>
      <w:r>
        <w:rPr>
          <w:rFonts w:ascii="Garamond" w:hAnsi="Garamond"/>
          <w:sz w:val="28"/>
          <w:szCs w:val="28"/>
        </w:rPr>
        <w:t>Trata-se, portanto, de política pública que pretendeu experimentar novos modelos institucionais e que logrou alcançar acolhida da sociedade interessada. O PROUNI prestigia em grande parte,</w:t>
      </w:r>
      <w:r w:rsidR="00FA2D60">
        <w:rPr>
          <w:rFonts w:ascii="Garamond" w:hAnsi="Garamond"/>
          <w:sz w:val="28"/>
          <w:szCs w:val="28"/>
        </w:rPr>
        <w:t xml:space="preserve"> quer me parecer</w:t>
      </w:r>
      <w:r>
        <w:rPr>
          <w:rFonts w:ascii="Garamond" w:hAnsi="Garamond"/>
          <w:sz w:val="28"/>
          <w:szCs w:val="28"/>
        </w:rPr>
        <w:t xml:space="preserve">, aquelas pessoas que trabalham de dia e estudam a noite, buscando alcançar novos padrões de vida. </w:t>
      </w:r>
      <w:r w:rsidR="00FA2D60">
        <w:rPr>
          <w:rFonts w:ascii="Garamond" w:hAnsi="Garamond"/>
          <w:sz w:val="28"/>
          <w:szCs w:val="28"/>
        </w:rPr>
        <w:t>É</w:t>
      </w:r>
      <w:r>
        <w:rPr>
          <w:rFonts w:ascii="Garamond" w:hAnsi="Garamond"/>
          <w:sz w:val="28"/>
          <w:szCs w:val="28"/>
        </w:rPr>
        <w:t xml:space="preserve"> iniciativa a ser aplaudida e que deve servir de estímulo a outras tantas que visem a </w:t>
      </w:r>
      <w:r w:rsidR="00FA2D60">
        <w:rPr>
          <w:rFonts w:ascii="Garamond" w:hAnsi="Garamond"/>
          <w:sz w:val="28"/>
          <w:szCs w:val="28"/>
        </w:rPr>
        <w:t>ampliar o</w:t>
      </w:r>
      <w:r>
        <w:rPr>
          <w:rFonts w:ascii="Garamond" w:hAnsi="Garamond"/>
          <w:sz w:val="28"/>
          <w:szCs w:val="28"/>
        </w:rPr>
        <w:t xml:space="preserve"> acesso e a</w:t>
      </w:r>
      <w:r w:rsidR="00FA2D60">
        <w:rPr>
          <w:rFonts w:ascii="Garamond" w:hAnsi="Garamond"/>
          <w:sz w:val="28"/>
          <w:szCs w:val="28"/>
        </w:rPr>
        <w:t xml:space="preserve"> melhorar a</w:t>
      </w:r>
      <w:r>
        <w:rPr>
          <w:rFonts w:ascii="Garamond" w:hAnsi="Garamond"/>
          <w:sz w:val="28"/>
          <w:szCs w:val="28"/>
        </w:rPr>
        <w:t xml:space="preserve"> qualidade do ensino no Brasil. </w:t>
      </w:r>
    </w:p>
    <w:p w:rsidR="00221F95" w:rsidRPr="00221F95" w:rsidRDefault="00867A16" w:rsidP="00221F95">
      <w:pPr>
        <w:spacing w:before="240" w:line="360" w:lineRule="auto"/>
        <w:jc w:val="both"/>
        <w:rPr>
          <w:rFonts w:ascii="Garamond" w:hAnsi="Garamond"/>
          <w:b/>
          <w:sz w:val="28"/>
          <w:szCs w:val="28"/>
        </w:rPr>
      </w:pPr>
      <w:r>
        <w:rPr>
          <w:rFonts w:ascii="Garamond" w:hAnsi="Garamond"/>
          <w:b/>
          <w:sz w:val="28"/>
          <w:szCs w:val="28"/>
        </w:rPr>
        <w:t>8</w:t>
      </w:r>
      <w:r w:rsidR="00221F95" w:rsidRPr="00221F95">
        <w:rPr>
          <w:rFonts w:ascii="Garamond" w:hAnsi="Garamond"/>
          <w:b/>
          <w:sz w:val="28"/>
          <w:szCs w:val="28"/>
        </w:rPr>
        <w:t>. CONCLUSÃO</w:t>
      </w:r>
    </w:p>
    <w:p w:rsidR="00221F95" w:rsidRPr="00654A1D" w:rsidRDefault="00221F95" w:rsidP="00221F95">
      <w:pPr>
        <w:spacing w:before="240" w:line="360" w:lineRule="auto"/>
        <w:ind w:firstLine="1418"/>
        <w:jc w:val="both"/>
        <w:rPr>
          <w:rFonts w:ascii="Garamond" w:hAnsi="Garamond"/>
          <w:sz w:val="28"/>
          <w:szCs w:val="28"/>
        </w:rPr>
      </w:pPr>
      <w:r>
        <w:rPr>
          <w:rFonts w:ascii="Garamond" w:hAnsi="Garamond"/>
          <w:sz w:val="28"/>
          <w:szCs w:val="28"/>
        </w:rPr>
        <w:t xml:space="preserve">Com base nessas considerações, acompanho o Relator e voto pela </w:t>
      </w:r>
      <w:r w:rsidRPr="00221F95">
        <w:rPr>
          <w:rFonts w:ascii="Garamond" w:hAnsi="Garamond"/>
          <w:b/>
          <w:sz w:val="28"/>
          <w:szCs w:val="28"/>
        </w:rPr>
        <w:t>improcedência</w:t>
      </w:r>
      <w:r>
        <w:rPr>
          <w:rFonts w:ascii="Garamond" w:hAnsi="Garamond"/>
          <w:sz w:val="28"/>
          <w:szCs w:val="28"/>
        </w:rPr>
        <w:t xml:space="preserve"> da ação. </w:t>
      </w:r>
    </w:p>
    <w:p w:rsidR="00BC4F2F" w:rsidRPr="00B648FE" w:rsidRDefault="00BC4F2F" w:rsidP="005D48FB">
      <w:pPr>
        <w:pStyle w:val="texto"/>
        <w:spacing w:before="240" w:after="0" w:line="360" w:lineRule="auto"/>
        <w:ind w:firstLine="1418"/>
        <w:rPr>
          <w:rFonts w:ascii="Garamond" w:hAnsi="Garamond" w:cs="Courier New"/>
          <w:b/>
          <w:color w:val="auto"/>
          <w:sz w:val="28"/>
          <w:szCs w:val="28"/>
        </w:rPr>
      </w:pPr>
    </w:p>
    <w:p w:rsidR="00AC1A86" w:rsidRPr="00AC1A86" w:rsidRDefault="00AC1A86" w:rsidP="004D7F02">
      <w:pPr>
        <w:spacing w:before="240" w:line="360" w:lineRule="auto"/>
        <w:jc w:val="both"/>
        <w:rPr>
          <w:rFonts w:ascii="Garamond" w:hAnsi="Garamond" w:cs="Courier New"/>
          <w:sz w:val="28"/>
          <w:szCs w:val="28"/>
        </w:rPr>
      </w:pPr>
    </w:p>
    <w:p w:rsidR="00156339" w:rsidRPr="00AC1A86" w:rsidRDefault="00156339" w:rsidP="004D7F02">
      <w:pPr>
        <w:spacing w:before="240" w:line="360" w:lineRule="auto"/>
        <w:jc w:val="both"/>
        <w:rPr>
          <w:rFonts w:ascii="Garamond" w:hAnsi="Garamond" w:cs="Courier New"/>
          <w:sz w:val="28"/>
          <w:szCs w:val="28"/>
        </w:rPr>
      </w:pPr>
      <w:r w:rsidRPr="00AC1A86">
        <w:rPr>
          <w:rFonts w:ascii="Garamond" w:hAnsi="Garamond" w:cs="Courier New"/>
          <w:sz w:val="28"/>
          <w:szCs w:val="28"/>
        </w:rPr>
        <w:tab/>
      </w:r>
      <w:r w:rsidRPr="00AC1A86">
        <w:rPr>
          <w:rFonts w:ascii="Garamond" w:hAnsi="Garamond" w:cs="Courier New"/>
          <w:sz w:val="28"/>
          <w:szCs w:val="28"/>
        </w:rPr>
        <w:tab/>
      </w:r>
    </w:p>
    <w:p w:rsidR="007978CE" w:rsidRPr="00CB3972" w:rsidRDefault="007978CE" w:rsidP="00EE34FF">
      <w:pPr>
        <w:spacing w:before="240" w:line="360" w:lineRule="auto"/>
        <w:jc w:val="both"/>
        <w:rPr>
          <w:rFonts w:ascii="Garamond" w:hAnsi="Garamond" w:cs="Courier New"/>
          <w:sz w:val="28"/>
          <w:szCs w:val="28"/>
        </w:rPr>
      </w:pPr>
    </w:p>
    <w:p w:rsidR="00607351" w:rsidRPr="006C29A5" w:rsidRDefault="00607351" w:rsidP="006C29A5">
      <w:pPr>
        <w:spacing w:line="360" w:lineRule="auto"/>
        <w:jc w:val="both"/>
        <w:rPr>
          <w:rFonts w:ascii="Garamond" w:hAnsi="Garamond"/>
          <w:sz w:val="28"/>
          <w:szCs w:val="28"/>
        </w:rPr>
      </w:pPr>
      <w:r>
        <w:rPr>
          <w:rFonts w:ascii="Garamond" w:hAnsi="Garamond"/>
          <w:sz w:val="28"/>
          <w:szCs w:val="28"/>
        </w:rPr>
        <w:tab/>
      </w:r>
      <w:r>
        <w:rPr>
          <w:rFonts w:ascii="Garamond" w:hAnsi="Garamond"/>
          <w:sz w:val="28"/>
          <w:szCs w:val="28"/>
        </w:rPr>
        <w:tab/>
      </w:r>
    </w:p>
    <w:sectPr w:rsidR="00607351" w:rsidRPr="006C29A5" w:rsidSect="00DA1C20">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615" w:rsidRDefault="00301615" w:rsidP="00BC4F2F">
      <w:r>
        <w:separator/>
      </w:r>
    </w:p>
  </w:endnote>
  <w:endnote w:type="continuationSeparator" w:id="0">
    <w:p w:rsidR="00301615" w:rsidRDefault="00301615" w:rsidP="00BC4F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Goudy">
    <w:charset w:val="00"/>
    <w:family w:val="auto"/>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486598"/>
      <w:docPartObj>
        <w:docPartGallery w:val="Page Numbers (Bottom of Page)"/>
        <w:docPartUnique/>
      </w:docPartObj>
    </w:sdtPr>
    <w:sdtContent>
      <w:p w:rsidR="004169D2" w:rsidRDefault="00DA1C20">
        <w:pPr>
          <w:pStyle w:val="Rodap"/>
        </w:pPr>
        <w:r>
          <w:rPr>
            <w:noProof/>
          </w:rPr>
          <w:pict>
            <v:rect id="Retângulo 11" o:spid="_x0000_s2049" style="position:absolute;margin-left:0;margin-top:0;width:60pt;height:70.5pt;z-index:251659264;visibility:visible;mso-position-horizontal:center;mso-position-horizontal-relative:right-margin-area;mso-position-vertical:top;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" stroked="f">
              <v:textbox>
                <w:txbxContent>
                  <w:sdt>
                    <w:sdtPr>
                      <w:rPr>
                        <w:rFonts w:asciiTheme="majorHAnsi" w:eastAsiaTheme="majorEastAsia" w:hAnsiTheme="majorHAnsi" w:cstheme="majorBidi"/>
                        <w:sz w:val="48"/>
                        <w:szCs w:val="48"/>
                      </w:rPr>
                      <w:id w:val="392084774"/>
                    </w:sdtPr>
                    <w:sdtEndPr>
                      <w:rPr>
                        <w:rFonts w:ascii="Times New Roman" w:hAnsi="Times New Roman" w:cs="Times New Roman"/>
                        <w:sz w:val="24"/>
                        <w:szCs w:val="24"/>
                      </w:rPr>
                    </w:sdtEndPr>
                    <w:sdtContent>
                      <w:sdt>
                        <w:sdtPr>
                          <w:rPr>
                            <w:rFonts w:asciiTheme="majorHAnsi" w:eastAsiaTheme="majorEastAsia" w:hAnsiTheme="majorHAnsi" w:cstheme="majorBidi"/>
                            <w:sz w:val="48"/>
                            <w:szCs w:val="48"/>
                          </w:rPr>
                          <w:id w:val="-1102874984"/>
                        </w:sdtPr>
                        <w:sdtEndPr>
                          <w:rPr>
                            <w:rFonts w:ascii="Times New Roman" w:hAnsi="Times New Roman" w:cs="Times New Roman"/>
                            <w:sz w:val="24"/>
                            <w:szCs w:val="24"/>
                          </w:rPr>
                        </w:sdtEndPr>
                        <w:sdtContent>
                          <w:p w:rsidR="004169D2" w:rsidRPr="00C86AAB" w:rsidRDefault="00DA1C20">
                            <w:pPr>
                              <w:jc w:val="center"/>
                              <w:rPr>
                                <w:rFonts w:eastAsiaTheme="majorEastAsia"/>
                              </w:rPr>
                            </w:pPr>
                            <w:r w:rsidRPr="00DA1C20">
                              <w:rPr>
                                <w:rFonts w:eastAsiaTheme="minorEastAsia"/>
                              </w:rPr>
                              <w:fldChar w:fldCharType="begin"/>
                            </w:r>
                            <w:r w:rsidR="004169D2" w:rsidRPr="00C86AAB">
                              <w:instrText>PAGE   \* MERGEFORMAT</w:instrText>
                            </w:r>
                            <w:r w:rsidRPr="00DA1C20">
                              <w:rPr>
                                <w:rFonts w:eastAsiaTheme="minorEastAsia"/>
                              </w:rPr>
                              <w:fldChar w:fldCharType="separate"/>
                            </w:r>
                            <w:r w:rsidR="00CE0969" w:rsidRPr="00CE0969">
                              <w:rPr>
                                <w:rFonts w:eastAsiaTheme="majorEastAsia"/>
                                <w:noProof/>
                              </w:rPr>
                              <w:t>10</w:t>
                            </w:r>
                            <w:r w:rsidRPr="00C86AAB">
                              <w:rPr>
                                <w:rFonts w:eastAsiaTheme="majorEastAsia"/>
                              </w:rPr>
                              <w:fldChar w:fldCharType="end"/>
                            </w:r>
                          </w:p>
                        </w:sdtContent>
                      </w:sdt>
                    </w:sdtContent>
                  </w:sdt>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615" w:rsidRDefault="00301615" w:rsidP="00BC4F2F">
      <w:r>
        <w:separator/>
      </w:r>
    </w:p>
  </w:footnote>
  <w:footnote w:type="continuationSeparator" w:id="0">
    <w:p w:rsidR="00301615" w:rsidRDefault="00301615" w:rsidP="00BC4F2F">
      <w:r>
        <w:continuationSeparator/>
      </w:r>
    </w:p>
  </w:footnote>
  <w:footnote w:id="1">
    <w:p w:rsidR="00857C60" w:rsidRDefault="00857C60" w:rsidP="00857C60">
      <w:pPr>
        <w:pStyle w:val="Textodenotaderodap"/>
        <w:rPr>
          <w:lang w:val="en-US"/>
        </w:rPr>
      </w:pPr>
      <w:r w:rsidRPr="00857C60">
        <w:rPr>
          <w:rStyle w:val="Refdenotaderodap"/>
          <w:lang w:val="en-US"/>
        </w:rPr>
        <w:t>[1]</w:t>
      </w:r>
      <w:r w:rsidRPr="00857C60">
        <w:rPr>
          <w:lang w:val="en-US"/>
        </w:rPr>
        <w:t xml:space="preserve"> </w:t>
      </w:r>
      <w:r>
        <w:rPr>
          <w:rFonts w:ascii="Garamond" w:hAnsi="Garamond"/>
          <w:lang w:val="en-US"/>
        </w:rPr>
        <w:t xml:space="preserve">Cf. §10, </w:t>
      </w:r>
      <w:proofErr w:type="spellStart"/>
      <w:r w:rsidRPr="00221F95">
        <w:rPr>
          <w:rStyle w:val="jnkurzueamtabk"/>
          <w:rFonts w:ascii="Garamond" w:hAnsi="Garamond"/>
          <w:i/>
          <w:lang w:val="en-US"/>
        </w:rPr>
        <w:t>Bundesausbildungsförderungsgesetz</w:t>
      </w:r>
      <w:proofErr w:type="spellEnd"/>
      <w:r>
        <w:rPr>
          <w:rStyle w:val="jnkurzueamtabk"/>
          <w:rFonts w:ascii="Garamond" w:hAnsi="Garamond"/>
          <w:lang w:val="en-US"/>
        </w:rPr>
        <w:t>, 26.8.1971.</w:t>
      </w:r>
    </w:p>
  </w:footnote>
  <w:footnote w:id="2">
    <w:p w:rsidR="00857C60" w:rsidRDefault="00857C60" w:rsidP="00857C60">
      <w:pPr>
        <w:pStyle w:val="Textodenotaderodap"/>
        <w:rPr>
          <w:lang w:val="en-US"/>
        </w:rPr>
      </w:pPr>
      <w:r w:rsidRPr="00857C60">
        <w:rPr>
          <w:rStyle w:val="Refdenotaderodap"/>
          <w:lang w:val="en-US"/>
        </w:rPr>
        <w:t>[2]</w:t>
      </w:r>
      <w:r w:rsidRPr="00857C60">
        <w:rPr>
          <w:lang w:val="en-US"/>
        </w:rPr>
        <w:t xml:space="preserve"> </w:t>
      </w:r>
      <w:r>
        <w:rPr>
          <w:rFonts w:ascii="Garamond" w:hAnsi="Garamond"/>
          <w:lang w:val="de-DE"/>
        </w:rPr>
        <w:t xml:space="preserve">Cf. </w:t>
      </w:r>
      <w:r>
        <w:rPr>
          <w:rStyle w:val="basestr"/>
          <w:rFonts w:ascii="Garamond" w:hAnsi="Garamond"/>
          <w:lang w:val="de-DE"/>
        </w:rPr>
        <w:t>Deutschland; Statistisches Bundesamt; Wintersemester 2002/2003 bis 2010/2011</w:t>
      </w:r>
      <w:r>
        <w:rPr>
          <w:rFonts w:ascii="Garamond" w:hAnsi="Garamond"/>
          <w:lang w:val="de-DE"/>
        </w:rPr>
        <w:t>.</w:t>
      </w:r>
    </w:p>
  </w:footnote>
  <w:footnote w:id="3">
    <w:p w:rsidR="00857C60" w:rsidRDefault="00857C60" w:rsidP="00857C60">
      <w:pPr>
        <w:pStyle w:val="Textodenotaderodap"/>
      </w:pPr>
      <w:r>
        <w:rPr>
          <w:rStyle w:val="Refdenotaderodap"/>
        </w:rPr>
        <w:t>[3]</w:t>
      </w:r>
      <w:r>
        <w:t xml:space="preserve"> </w:t>
      </w:r>
      <w:r w:rsidRPr="00857C60">
        <w:rPr>
          <w:rFonts w:ascii="Garamond" w:hAnsi="Garamond"/>
        </w:rPr>
        <w:t xml:space="preserve">Cf. §§17 e seguintes, </w:t>
      </w:r>
      <w:proofErr w:type="spellStart"/>
      <w:r w:rsidRPr="00221F95">
        <w:rPr>
          <w:rStyle w:val="jnkurzueamtabk"/>
          <w:rFonts w:ascii="Garamond" w:hAnsi="Garamond"/>
          <w:i/>
        </w:rPr>
        <w:t>Bundesausbildungsförderungsgesetz</w:t>
      </w:r>
      <w:proofErr w:type="spellEnd"/>
      <w:r>
        <w:rPr>
          <w:rStyle w:val="jnkurzueamtabk"/>
          <w:rFonts w:ascii="Garamond" w:hAnsi="Garamond"/>
        </w:rPr>
        <w:t>, 26.8.1971.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DD0213"/>
    <w:multiLevelType w:val="singleLevel"/>
    <w:tmpl w:val="5E02E4B4"/>
    <w:lvl w:ilvl="0">
      <w:start w:val="1"/>
      <w:numFmt w:val="decimal"/>
      <w:pStyle w:val="Corpodeparecer"/>
      <w:lvlText w:val="%1."/>
      <w:lvlJc w:val="right"/>
      <w:pPr>
        <w:tabs>
          <w:tab w:val="num" w:pos="648"/>
        </w:tabs>
        <w:ind w:left="0" w:firstLine="288"/>
      </w:pPr>
      <w:rPr>
        <w:b/>
        <w:i w:val="0"/>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957737"/>
    <w:rsid w:val="000068B8"/>
    <w:rsid w:val="00011DD4"/>
    <w:rsid w:val="00031B63"/>
    <w:rsid w:val="000324D8"/>
    <w:rsid w:val="000B243D"/>
    <w:rsid w:val="000C50C0"/>
    <w:rsid w:val="000F42CB"/>
    <w:rsid w:val="00132250"/>
    <w:rsid w:val="00156339"/>
    <w:rsid w:val="00182E2A"/>
    <w:rsid w:val="001C1711"/>
    <w:rsid w:val="00207A0E"/>
    <w:rsid w:val="00221F95"/>
    <w:rsid w:val="00267381"/>
    <w:rsid w:val="002B1239"/>
    <w:rsid w:val="002E4B89"/>
    <w:rsid w:val="00301615"/>
    <w:rsid w:val="0031735E"/>
    <w:rsid w:val="00317650"/>
    <w:rsid w:val="00331476"/>
    <w:rsid w:val="00360B7D"/>
    <w:rsid w:val="00372EAD"/>
    <w:rsid w:val="003D088B"/>
    <w:rsid w:val="003F70F2"/>
    <w:rsid w:val="004169D2"/>
    <w:rsid w:val="00443F03"/>
    <w:rsid w:val="00445AAA"/>
    <w:rsid w:val="00454A8E"/>
    <w:rsid w:val="004565F3"/>
    <w:rsid w:val="00474EC7"/>
    <w:rsid w:val="004D7F02"/>
    <w:rsid w:val="00540DD5"/>
    <w:rsid w:val="005A566A"/>
    <w:rsid w:val="005D48FB"/>
    <w:rsid w:val="00607351"/>
    <w:rsid w:val="006210AA"/>
    <w:rsid w:val="00664F65"/>
    <w:rsid w:val="006C29A5"/>
    <w:rsid w:val="006F2A76"/>
    <w:rsid w:val="007978CE"/>
    <w:rsid w:val="007F6152"/>
    <w:rsid w:val="00821FE9"/>
    <w:rsid w:val="00847554"/>
    <w:rsid w:val="00857C60"/>
    <w:rsid w:val="00867A16"/>
    <w:rsid w:val="00886B36"/>
    <w:rsid w:val="00892300"/>
    <w:rsid w:val="00894E2A"/>
    <w:rsid w:val="008E3E38"/>
    <w:rsid w:val="008F0D73"/>
    <w:rsid w:val="00957737"/>
    <w:rsid w:val="00963217"/>
    <w:rsid w:val="009B3117"/>
    <w:rsid w:val="009F1B97"/>
    <w:rsid w:val="00A72E88"/>
    <w:rsid w:val="00AC17A6"/>
    <w:rsid w:val="00AC1A86"/>
    <w:rsid w:val="00AD5250"/>
    <w:rsid w:val="00AE49B8"/>
    <w:rsid w:val="00B31F96"/>
    <w:rsid w:val="00B743F3"/>
    <w:rsid w:val="00BC4F2F"/>
    <w:rsid w:val="00BD6C9E"/>
    <w:rsid w:val="00BF69F9"/>
    <w:rsid w:val="00C00164"/>
    <w:rsid w:val="00C00F93"/>
    <w:rsid w:val="00C02820"/>
    <w:rsid w:val="00C4058C"/>
    <w:rsid w:val="00C43988"/>
    <w:rsid w:val="00C86AAB"/>
    <w:rsid w:val="00CB3972"/>
    <w:rsid w:val="00CE079D"/>
    <w:rsid w:val="00CE0969"/>
    <w:rsid w:val="00D065C0"/>
    <w:rsid w:val="00D123EF"/>
    <w:rsid w:val="00D165F9"/>
    <w:rsid w:val="00D63363"/>
    <w:rsid w:val="00DA1C20"/>
    <w:rsid w:val="00DC145D"/>
    <w:rsid w:val="00E15758"/>
    <w:rsid w:val="00E313EF"/>
    <w:rsid w:val="00E43F05"/>
    <w:rsid w:val="00EC0D3A"/>
    <w:rsid w:val="00EE34FF"/>
    <w:rsid w:val="00F36926"/>
    <w:rsid w:val="00FA2D60"/>
    <w:rsid w:val="00FB5D78"/>
    <w:rsid w:val="00FE6B66"/>
    <w:rsid w:val="00FF04E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73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rsid w:val="007978CE"/>
    <w:pPr>
      <w:spacing w:before="100" w:beforeAutospacing="1" w:after="119"/>
    </w:pPr>
  </w:style>
  <w:style w:type="paragraph" w:styleId="Textodebalo">
    <w:name w:val="Balloon Text"/>
    <w:basedOn w:val="Normal"/>
    <w:link w:val="TextodebaloChar"/>
    <w:uiPriority w:val="99"/>
    <w:semiHidden/>
    <w:unhideWhenUsed/>
    <w:rsid w:val="00D165F9"/>
    <w:rPr>
      <w:rFonts w:ascii="Tahoma" w:hAnsi="Tahoma" w:cs="Tahoma"/>
      <w:sz w:val="16"/>
      <w:szCs w:val="16"/>
    </w:rPr>
  </w:style>
  <w:style w:type="character" w:customStyle="1" w:styleId="TextodebaloChar">
    <w:name w:val="Texto de balão Char"/>
    <w:basedOn w:val="Fontepargpadro"/>
    <w:link w:val="Textodebalo"/>
    <w:uiPriority w:val="99"/>
    <w:semiHidden/>
    <w:rsid w:val="00D165F9"/>
    <w:rPr>
      <w:rFonts w:ascii="Tahoma" w:eastAsia="Times New Roman" w:hAnsi="Tahoma" w:cs="Tahoma"/>
      <w:sz w:val="16"/>
      <w:szCs w:val="16"/>
      <w:lang w:eastAsia="pt-BR"/>
    </w:rPr>
  </w:style>
  <w:style w:type="paragraph" w:customStyle="1" w:styleId="Corpodeparecer">
    <w:name w:val="Corpo de parecer"/>
    <w:basedOn w:val="Normal"/>
    <w:rsid w:val="005D48FB"/>
    <w:pPr>
      <w:numPr>
        <w:numId w:val="1"/>
      </w:numPr>
      <w:spacing w:before="120" w:after="120" w:line="360" w:lineRule="auto"/>
      <w:ind w:firstLine="284"/>
      <w:jc w:val="both"/>
    </w:pPr>
    <w:rPr>
      <w:szCs w:val="20"/>
    </w:rPr>
  </w:style>
  <w:style w:type="paragraph" w:styleId="Citao">
    <w:name w:val="Quote"/>
    <w:basedOn w:val="Corpodeparecer"/>
    <w:link w:val="CitaoChar"/>
    <w:qFormat/>
    <w:rsid w:val="005D48FB"/>
    <w:pPr>
      <w:numPr>
        <w:numId w:val="0"/>
      </w:numPr>
      <w:tabs>
        <w:tab w:val="left" w:pos="567"/>
      </w:tabs>
      <w:spacing w:before="0" w:after="0" w:line="240" w:lineRule="auto"/>
      <w:ind w:left="1701"/>
    </w:pPr>
  </w:style>
  <w:style w:type="character" w:customStyle="1" w:styleId="CitaoChar">
    <w:name w:val="Citação Char"/>
    <w:basedOn w:val="Fontepargpadro"/>
    <w:link w:val="Citao"/>
    <w:rsid w:val="005D48FB"/>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5D48FB"/>
    <w:pPr>
      <w:ind w:firstLine="1440"/>
      <w:jc w:val="both"/>
    </w:pPr>
    <w:rPr>
      <w:rFonts w:ascii="Courier New" w:hAnsi="Courier New" w:cs="Courier New"/>
    </w:rPr>
  </w:style>
  <w:style w:type="character" w:customStyle="1" w:styleId="Recuodecorpodetexto3Char">
    <w:name w:val="Recuo de corpo de texto 3 Char"/>
    <w:basedOn w:val="Fontepargpadro"/>
    <w:link w:val="Recuodecorpodetexto3"/>
    <w:rsid w:val="005D48FB"/>
    <w:rPr>
      <w:rFonts w:ascii="Courier New" w:eastAsia="Times New Roman" w:hAnsi="Courier New" w:cs="Courier New"/>
      <w:sz w:val="24"/>
      <w:szCs w:val="24"/>
      <w:lang w:eastAsia="pt-BR"/>
    </w:rPr>
  </w:style>
  <w:style w:type="paragraph" w:customStyle="1" w:styleId="texto">
    <w:name w:val="texto"/>
    <w:rsid w:val="005D48FB"/>
    <w:pPr>
      <w:widowControl w:val="0"/>
      <w:autoSpaceDE w:val="0"/>
      <w:autoSpaceDN w:val="0"/>
      <w:adjustRightInd w:val="0"/>
      <w:spacing w:before="28" w:after="28" w:line="260" w:lineRule="atLeast"/>
      <w:ind w:firstLine="454"/>
      <w:jc w:val="both"/>
    </w:pPr>
    <w:rPr>
      <w:rFonts w:ascii="Times" w:eastAsia="Times New Roman" w:hAnsi="Times" w:cs="Times"/>
      <w:color w:val="000000"/>
      <w:lang w:eastAsia="pt-BR"/>
    </w:rPr>
  </w:style>
  <w:style w:type="paragraph" w:styleId="Textodenotaderodap">
    <w:name w:val="footnote text"/>
    <w:basedOn w:val="Normal"/>
    <w:link w:val="TextodenotaderodapChar"/>
    <w:uiPriority w:val="99"/>
    <w:rsid w:val="00BC4F2F"/>
    <w:rPr>
      <w:sz w:val="20"/>
      <w:szCs w:val="20"/>
    </w:rPr>
  </w:style>
  <w:style w:type="character" w:customStyle="1" w:styleId="TextodenotaderodapChar">
    <w:name w:val="Texto de nota de rodapé Char"/>
    <w:basedOn w:val="Fontepargpadro"/>
    <w:link w:val="Textodenotaderodap"/>
    <w:uiPriority w:val="99"/>
    <w:rsid w:val="00BC4F2F"/>
    <w:rPr>
      <w:rFonts w:ascii="Times New Roman" w:eastAsia="Times New Roman" w:hAnsi="Times New Roman" w:cs="Times New Roman"/>
      <w:sz w:val="20"/>
      <w:szCs w:val="20"/>
      <w:lang w:eastAsia="pt-BR"/>
    </w:rPr>
  </w:style>
  <w:style w:type="character" w:styleId="Refdenotaderodap">
    <w:name w:val="footnote reference"/>
    <w:aliases w:val="Footnotes refss,Texto de nota al pie,referencia nota al pie,BVI fnr"/>
    <w:uiPriority w:val="99"/>
    <w:rsid w:val="00BC4F2F"/>
    <w:rPr>
      <w:vertAlign w:val="superscript"/>
    </w:rPr>
  </w:style>
  <w:style w:type="character" w:customStyle="1" w:styleId="basestr">
    <w:name w:val="basestr"/>
    <w:basedOn w:val="Fontepargpadro"/>
    <w:rsid w:val="00857C60"/>
  </w:style>
  <w:style w:type="character" w:customStyle="1" w:styleId="jnkurzueamtabk">
    <w:name w:val="jnkurzueamtabk"/>
    <w:basedOn w:val="Fontepargpadro"/>
    <w:rsid w:val="00857C60"/>
  </w:style>
  <w:style w:type="paragraph" w:styleId="Cabealho">
    <w:name w:val="header"/>
    <w:basedOn w:val="Normal"/>
    <w:link w:val="CabealhoChar"/>
    <w:uiPriority w:val="99"/>
    <w:unhideWhenUsed/>
    <w:rsid w:val="004169D2"/>
    <w:pPr>
      <w:tabs>
        <w:tab w:val="center" w:pos="4252"/>
        <w:tab w:val="right" w:pos="8504"/>
      </w:tabs>
    </w:pPr>
  </w:style>
  <w:style w:type="character" w:customStyle="1" w:styleId="CabealhoChar">
    <w:name w:val="Cabeçalho Char"/>
    <w:basedOn w:val="Fontepargpadro"/>
    <w:link w:val="Cabealho"/>
    <w:uiPriority w:val="99"/>
    <w:rsid w:val="004169D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169D2"/>
    <w:pPr>
      <w:tabs>
        <w:tab w:val="center" w:pos="4252"/>
        <w:tab w:val="right" w:pos="8504"/>
      </w:tabs>
    </w:pPr>
  </w:style>
  <w:style w:type="character" w:customStyle="1" w:styleId="RodapChar">
    <w:name w:val="Rodapé Char"/>
    <w:basedOn w:val="Fontepargpadro"/>
    <w:link w:val="Rodap"/>
    <w:uiPriority w:val="99"/>
    <w:rsid w:val="004169D2"/>
    <w:rPr>
      <w:rFonts w:ascii="Times New Roman" w:eastAsia="Times New Roman" w:hAnsi="Times New Roman" w:cs="Times New Roman"/>
      <w:sz w:val="24"/>
      <w:szCs w:val="24"/>
      <w:lang w:eastAsia="pt-BR"/>
    </w:rPr>
  </w:style>
  <w:style w:type="paragraph" w:customStyle="1" w:styleId="peso3">
    <w:name w:val="peso 3"/>
    <w:basedOn w:val="Normal"/>
    <w:rsid w:val="004169D2"/>
    <w:pPr>
      <w:autoSpaceDE w:val="0"/>
      <w:autoSpaceDN w:val="0"/>
      <w:spacing w:after="28" w:line="240" w:lineRule="atLeast"/>
      <w:ind w:firstLine="454"/>
      <w:jc w:val="both"/>
    </w:pPr>
    <w:rPr>
      <w:rFonts w:ascii="Goudy" w:eastAsiaTheme="minorHAnsi" w:hAnsi="Goudy"/>
      <w:color w:val="000000"/>
      <w:sz w:val="21"/>
      <w:szCs w:val="21"/>
    </w:rPr>
  </w:style>
  <w:style w:type="character" w:styleId="nfase">
    <w:name w:val="Emphasis"/>
    <w:basedOn w:val="Fontepargpadro"/>
    <w:uiPriority w:val="20"/>
    <w:qFormat/>
    <w:rsid w:val="00C43988"/>
    <w:rPr>
      <w:i/>
      <w:iCs/>
    </w:rPr>
  </w:style>
  <w:style w:type="character" w:styleId="Hyperlink">
    <w:name w:val="Hyperlink"/>
    <w:basedOn w:val="Fontepargpadro"/>
    <w:uiPriority w:val="99"/>
    <w:semiHidden/>
    <w:unhideWhenUsed/>
    <w:rsid w:val="00474EC7"/>
    <w:rPr>
      <w:strike w:val="0"/>
      <w:dstrike w:val="0"/>
      <w:color w:val="0746A8"/>
      <w:u w:val="none"/>
      <w:effect w:val="none"/>
    </w:rPr>
  </w:style>
  <w:style w:type="paragraph" w:styleId="NormalWeb">
    <w:name w:val="Normal (Web)"/>
    <w:basedOn w:val="Normal"/>
    <w:uiPriority w:val="99"/>
    <w:unhideWhenUsed/>
    <w:rsid w:val="00474EC7"/>
    <w:pPr>
      <w:spacing w:before="100" w:beforeAutospacing="1" w:after="100" w:afterAutospacing="1"/>
    </w:pPr>
  </w:style>
  <w:style w:type="character" w:customStyle="1" w:styleId="qterm2">
    <w:name w:val="qterm2"/>
    <w:basedOn w:val="Fontepargpadro"/>
    <w:rsid w:val="00474E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73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rsid w:val="007978CE"/>
    <w:pPr>
      <w:spacing w:before="100" w:beforeAutospacing="1" w:after="119"/>
    </w:pPr>
  </w:style>
  <w:style w:type="paragraph" w:styleId="Textodebalo">
    <w:name w:val="Balloon Text"/>
    <w:basedOn w:val="Normal"/>
    <w:link w:val="TextodebaloChar"/>
    <w:uiPriority w:val="99"/>
    <w:semiHidden/>
    <w:unhideWhenUsed/>
    <w:rsid w:val="00D165F9"/>
    <w:rPr>
      <w:rFonts w:ascii="Tahoma" w:hAnsi="Tahoma" w:cs="Tahoma"/>
      <w:sz w:val="16"/>
      <w:szCs w:val="16"/>
    </w:rPr>
  </w:style>
  <w:style w:type="character" w:customStyle="1" w:styleId="TextodebaloChar">
    <w:name w:val="Texto de balão Char"/>
    <w:basedOn w:val="Fontepargpadro"/>
    <w:link w:val="Textodebalo"/>
    <w:uiPriority w:val="99"/>
    <w:semiHidden/>
    <w:rsid w:val="00D165F9"/>
    <w:rPr>
      <w:rFonts w:ascii="Tahoma" w:eastAsia="Times New Roman" w:hAnsi="Tahoma" w:cs="Tahoma"/>
      <w:sz w:val="16"/>
      <w:szCs w:val="16"/>
      <w:lang w:eastAsia="pt-BR"/>
    </w:rPr>
  </w:style>
  <w:style w:type="paragraph" w:customStyle="1" w:styleId="Corpodeparecer">
    <w:name w:val="Corpo de parecer"/>
    <w:basedOn w:val="Normal"/>
    <w:rsid w:val="005D48FB"/>
    <w:pPr>
      <w:numPr>
        <w:numId w:val="1"/>
      </w:numPr>
      <w:spacing w:before="120" w:after="120" w:line="360" w:lineRule="auto"/>
      <w:ind w:firstLine="284"/>
      <w:jc w:val="both"/>
    </w:pPr>
    <w:rPr>
      <w:szCs w:val="20"/>
    </w:rPr>
  </w:style>
  <w:style w:type="paragraph" w:styleId="Citao">
    <w:name w:val="Quote"/>
    <w:basedOn w:val="Corpodeparecer"/>
    <w:link w:val="CitaoChar"/>
    <w:qFormat/>
    <w:rsid w:val="005D48FB"/>
    <w:pPr>
      <w:numPr>
        <w:numId w:val="0"/>
      </w:numPr>
      <w:tabs>
        <w:tab w:val="left" w:pos="567"/>
      </w:tabs>
      <w:spacing w:before="0" w:after="0" w:line="240" w:lineRule="auto"/>
      <w:ind w:left="1701"/>
    </w:pPr>
  </w:style>
  <w:style w:type="character" w:customStyle="1" w:styleId="CitaoChar">
    <w:name w:val="Citação Char"/>
    <w:basedOn w:val="Fontepargpadro"/>
    <w:link w:val="Citao"/>
    <w:rsid w:val="005D48FB"/>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5D48FB"/>
    <w:pPr>
      <w:ind w:firstLine="1440"/>
      <w:jc w:val="both"/>
    </w:pPr>
    <w:rPr>
      <w:rFonts w:ascii="Courier New" w:hAnsi="Courier New" w:cs="Courier New"/>
    </w:rPr>
  </w:style>
  <w:style w:type="character" w:customStyle="1" w:styleId="Recuodecorpodetexto3Char">
    <w:name w:val="Recuo de corpo de texto 3 Char"/>
    <w:basedOn w:val="Fontepargpadro"/>
    <w:link w:val="Recuodecorpodetexto3"/>
    <w:rsid w:val="005D48FB"/>
    <w:rPr>
      <w:rFonts w:ascii="Courier New" w:eastAsia="Times New Roman" w:hAnsi="Courier New" w:cs="Courier New"/>
      <w:sz w:val="24"/>
      <w:szCs w:val="24"/>
      <w:lang w:eastAsia="pt-BR"/>
    </w:rPr>
  </w:style>
  <w:style w:type="paragraph" w:customStyle="1" w:styleId="texto">
    <w:name w:val="texto"/>
    <w:rsid w:val="005D48FB"/>
    <w:pPr>
      <w:widowControl w:val="0"/>
      <w:autoSpaceDE w:val="0"/>
      <w:autoSpaceDN w:val="0"/>
      <w:adjustRightInd w:val="0"/>
      <w:spacing w:before="28" w:after="28" w:line="260" w:lineRule="atLeast"/>
      <w:ind w:firstLine="454"/>
      <w:jc w:val="both"/>
    </w:pPr>
    <w:rPr>
      <w:rFonts w:ascii="Times" w:eastAsia="Times New Roman" w:hAnsi="Times" w:cs="Times"/>
      <w:color w:val="000000"/>
      <w:lang w:eastAsia="pt-BR"/>
    </w:rPr>
  </w:style>
  <w:style w:type="paragraph" w:styleId="Textodenotaderodap">
    <w:name w:val="footnote text"/>
    <w:basedOn w:val="Normal"/>
    <w:link w:val="TextodenotaderodapChar"/>
    <w:uiPriority w:val="99"/>
    <w:rsid w:val="00BC4F2F"/>
    <w:rPr>
      <w:sz w:val="20"/>
      <w:szCs w:val="20"/>
    </w:rPr>
  </w:style>
  <w:style w:type="character" w:customStyle="1" w:styleId="TextodenotaderodapChar">
    <w:name w:val="Texto de nota de rodapé Char"/>
    <w:basedOn w:val="Fontepargpadro"/>
    <w:link w:val="Textodenotaderodap"/>
    <w:uiPriority w:val="99"/>
    <w:rsid w:val="00BC4F2F"/>
    <w:rPr>
      <w:rFonts w:ascii="Times New Roman" w:eastAsia="Times New Roman" w:hAnsi="Times New Roman" w:cs="Times New Roman"/>
      <w:sz w:val="20"/>
      <w:szCs w:val="20"/>
      <w:lang w:eastAsia="pt-BR"/>
    </w:rPr>
  </w:style>
  <w:style w:type="character" w:styleId="Refdenotaderodap">
    <w:name w:val="footnote reference"/>
    <w:aliases w:val="Footnotes refss,Texto de nota al pie,referencia nota al pie,BVI fnr"/>
    <w:uiPriority w:val="99"/>
    <w:rsid w:val="00BC4F2F"/>
    <w:rPr>
      <w:vertAlign w:val="superscript"/>
    </w:rPr>
  </w:style>
  <w:style w:type="character" w:customStyle="1" w:styleId="basestr">
    <w:name w:val="basestr"/>
    <w:basedOn w:val="Fontepargpadro"/>
    <w:rsid w:val="00857C60"/>
  </w:style>
  <w:style w:type="character" w:customStyle="1" w:styleId="jnkurzueamtabk">
    <w:name w:val="jnkurzueamtabk"/>
    <w:basedOn w:val="Fontepargpadro"/>
    <w:rsid w:val="00857C60"/>
  </w:style>
  <w:style w:type="paragraph" w:styleId="Cabealho">
    <w:name w:val="header"/>
    <w:basedOn w:val="Normal"/>
    <w:link w:val="CabealhoChar"/>
    <w:uiPriority w:val="99"/>
    <w:unhideWhenUsed/>
    <w:rsid w:val="004169D2"/>
    <w:pPr>
      <w:tabs>
        <w:tab w:val="center" w:pos="4252"/>
        <w:tab w:val="right" w:pos="8504"/>
      </w:tabs>
    </w:pPr>
  </w:style>
  <w:style w:type="character" w:customStyle="1" w:styleId="CabealhoChar">
    <w:name w:val="Cabeçalho Char"/>
    <w:basedOn w:val="Fontepargpadro"/>
    <w:link w:val="Cabealho"/>
    <w:uiPriority w:val="99"/>
    <w:rsid w:val="004169D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169D2"/>
    <w:pPr>
      <w:tabs>
        <w:tab w:val="center" w:pos="4252"/>
        <w:tab w:val="right" w:pos="8504"/>
      </w:tabs>
    </w:pPr>
  </w:style>
  <w:style w:type="character" w:customStyle="1" w:styleId="RodapChar">
    <w:name w:val="Rodapé Char"/>
    <w:basedOn w:val="Fontepargpadro"/>
    <w:link w:val="Rodap"/>
    <w:uiPriority w:val="99"/>
    <w:rsid w:val="004169D2"/>
    <w:rPr>
      <w:rFonts w:ascii="Times New Roman" w:eastAsia="Times New Roman" w:hAnsi="Times New Roman" w:cs="Times New Roman"/>
      <w:sz w:val="24"/>
      <w:szCs w:val="24"/>
      <w:lang w:eastAsia="pt-BR"/>
    </w:rPr>
  </w:style>
  <w:style w:type="paragraph" w:customStyle="1" w:styleId="peso3">
    <w:name w:val="peso 3"/>
    <w:basedOn w:val="Normal"/>
    <w:rsid w:val="004169D2"/>
    <w:pPr>
      <w:autoSpaceDE w:val="0"/>
      <w:autoSpaceDN w:val="0"/>
      <w:spacing w:after="28" w:line="240" w:lineRule="atLeast"/>
      <w:ind w:firstLine="454"/>
      <w:jc w:val="both"/>
    </w:pPr>
    <w:rPr>
      <w:rFonts w:ascii="Goudy" w:eastAsiaTheme="minorHAnsi" w:hAnsi="Goudy"/>
      <w:color w:val="000000"/>
      <w:sz w:val="21"/>
      <w:szCs w:val="21"/>
    </w:rPr>
  </w:style>
  <w:style w:type="character" w:styleId="nfase">
    <w:name w:val="Emphasis"/>
    <w:basedOn w:val="Fontepargpadro"/>
    <w:uiPriority w:val="20"/>
    <w:qFormat/>
    <w:rsid w:val="00C43988"/>
    <w:rPr>
      <w:i/>
      <w:iCs/>
    </w:rPr>
  </w:style>
  <w:style w:type="character" w:styleId="Hyperlink">
    <w:name w:val="Hyperlink"/>
    <w:basedOn w:val="Fontepargpadro"/>
    <w:uiPriority w:val="99"/>
    <w:semiHidden/>
    <w:unhideWhenUsed/>
    <w:rsid w:val="00474EC7"/>
    <w:rPr>
      <w:strike w:val="0"/>
      <w:dstrike w:val="0"/>
      <w:color w:val="0746A8"/>
      <w:u w:val="none"/>
      <w:effect w:val="none"/>
    </w:rPr>
  </w:style>
  <w:style w:type="paragraph" w:styleId="NormalWeb">
    <w:name w:val="Normal (Web)"/>
    <w:basedOn w:val="Normal"/>
    <w:uiPriority w:val="99"/>
    <w:unhideWhenUsed/>
    <w:rsid w:val="00474EC7"/>
    <w:pPr>
      <w:spacing w:before="100" w:beforeAutospacing="1" w:after="100" w:afterAutospacing="1"/>
    </w:pPr>
  </w:style>
  <w:style w:type="character" w:customStyle="1" w:styleId="qterm2">
    <w:name w:val="qterm2"/>
    <w:basedOn w:val="Fontepargpadro"/>
    <w:rsid w:val="00474EC7"/>
  </w:style>
</w:styles>
</file>

<file path=word/webSettings.xml><?xml version="1.0" encoding="utf-8"?>
<w:webSettings xmlns:r="http://schemas.openxmlformats.org/officeDocument/2006/relationships" xmlns:w="http://schemas.openxmlformats.org/wordprocessingml/2006/main">
  <w:divs>
    <w:div w:id="166093727">
      <w:bodyDiv w:val="1"/>
      <w:marLeft w:val="0"/>
      <w:marRight w:val="0"/>
      <w:marTop w:val="0"/>
      <w:marBottom w:val="0"/>
      <w:divBdr>
        <w:top w:val="none" w:sz="0" w:space="0" w:color="auto"/>
        <w:left w:val="none" w:sz="0" w:space="0" w:color="auto"/>
        <w:bottom w:val="none" w:sz="0" w:space="0" w:color="auto"/>
        <w:right w:val="none" w:sz="0" w:space="0" w:color="auto"/>
      </w:divBdr>
    </w:div>
    <w:div w:id="190456900">
      <w:bodyDiv w:val="1"/>
      <w:marLeft w:val="0"/>
      <w:marRight w:val="0"/>
      <w:marTop w:val="0"/>
      <w:marBottom w:val="0"/>
      <w:divBdr>
        <w:top w:val="none" w:sz="0" w:space="0" w:color="auto"/>
        <w:left w:val="none" w:sz="0" w:space="0" w:color="auto"/>
        <w:bottom w:val="none" w:sz="0" w:space="0" w:color="auto"/>
        <w:right w:val="none" w:sz="0" w:space="0" w:color="auto"/>
      </w:divBdr>
    </w:div>
    <w:div w:id="306327204">
      <w:bodyDiv w:val="1"/>
      <w:marLeft w:val="0"/>
      <w:marRight w:val="0"/>
      <w:marTop w:val="0"/>
      <w:marBottom w:val="0"/>
      <w:divBdr>
        <w:top w:val="none" w:sz="0" w:space="0" w:color="auto"/>
        <w:left w:val="none" w:sz="0" w:space="0" w:color="auto"/>
        <w:bottom w:val="none" w:sz="0" w:space="0" w:color="auto"/>
        <w:right w:val="none" w:sz="0" w:space="0" w:color="auto"/>
      </w:divBdr>
    </w:div>
    <w:div w:id="326135525">
      <w:bodyDiv w:val="1"/>
      <w:marLeft w:val="0"/>
      <w:marRight w:val="0"/>
      <w:marTop w:val="0"/>
      <w:marBottom w:val="0"/>
      <w:divBdr>
        <w:top w:val="none" w:sz="0" w:space="0" w:color="auto"/>
        <w:left w:val="none" w:sz="0" w:space="0" w:color="auto"/>
        <w:bottom w:val="none" w:sz="0" w:space="0" w:color="auto"/>
        <w:right w:val="none" w:sz="0" w:space="0" w:color="auto"/>
      </w:divBdr>
      <w:divsChild>
        <w:div w:id="865866630">
          <w:marLeft w:val="0"/>
          <w:marRight w:val="0"/>
          <w:marTop w:val="0"/>
          <w:marBottom w:val="0"/>
          <w:divBdr>
            <w:top w:val="none" w:sz="0" w:space="0" w:color="auto"/>
            <w:left w:val="none" w:sz="0" w:space="0" w:color="auto"/>
            <w:bottom w:val="none" w:sz="0" w:space="0" w:color="auto"/>
            <w:right w:val="none" w:sz="0" w:space="0" w:color="auto"/>
          </w:divBdr>
        </w:div>
      </w:divsChild>
    </w:div>
    <w:div w:id="517235589">
      <w:bodyDiv w:val="1"/>
      <w:marLeft w:val="0"/>
      <w:marRight w:val="0"/>
      <w:marTop w:val="0"/>
      <w:marBottom w:val="0"/>
      <w:divBdr>
        <w:top w:val="none" w:sz="0" w:space="0" w:color="auto"/>
        <w:left w:val="none" w:sz="0" w:space="0" w:color="auto"/>
        <w:bottom w:val="none" w:sz="0" w:space="0" w:color="auto"/>
        <w:right w:val="none" w:sz="0" w:space="0" w:color="auto"/>
      </w:divBdr>
    </w:div>
    <w:div w:id="673267204">
      <w:bodyDiv w:val="1"/>
      <w:marLeft w:val="0"/>
      <w:marRight w:val="0"/>
      <w:marTop w:val="0"/>
      <w:marBottom w:val="0"/>
      <w:divBdr>
        <w:top w:val="none" w:sz="0" w:space="0" w:color="auto"/>
        <w:left w:val="none" w:sz="0" w:space="0" w:color="auto"/>
        <w:bottom w:val="none" w:sz="0" w:space="0" w:color="auto"/>
        <w:right w:val="none" w:sz="0" w:space="0" w:color="auto"/>
      </w:divBdr>
    </w:div>
    <w:div w:id="709886797">
      <w:bodyDiv w:val="1"/>
      <w:marLeft w:val="0"/>
      <w:marRight w:val="0"/>
      <w:marTop w:val="0"/>
      <w:marBottom w:val="0"/>
      <w:divBdr>
        <w:top w:val="none" w:sz="0" w:space="0" w:color="auto"/>
        <w:left w:val="none" w:sz="0" w:space="0" w:color="auto"/>
        <w:bottom w:val="none" w:sz="0" w:space="0" w:color="auto"/>
        <w:right w:val="none" w:sz="0" w:space="0" w:color="auto"/>
      </w:divBdr>
      <w:divsChild>
        <w:div w:id="2057771368">
          <w:marLeft w:val="0"/>
          <w:marRight w:val="0"/>
          <w:marTop w:val="0"/>
          <w:marBottom w:val="0"/>
          <w:divBdr>
            <w:top w:val="none" w:sz="0" w:space="0" w:color="auto"/>
            <w:left w:val="none" w:sz="0" w:space="0" w:color="auto"/>
            <w:bottom w:val="none" w:sz="0" w:space="0" w:color="auto"/>
            <w:right w:val="none" w:sz="0" w:space="0" w:color="auto"/>
          </w:divBdr>
          <w:divsChild>
            <w:div w:id="168115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002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391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9359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59780834">
      <w:bodyDiv w:val="1"/>
      <w:marLeft w:val="0"/>
      <w:marRight w:val="0"/>
      <w:marTop w:val="0"/>
      <w:marBottom w:val="0"/>
      <w:divBdr>
        <w:top w:val="none" w:sz="0" w:space="0" w:color="auto"/>
        <w:left w:val="none" w:sz="0" w:space="0" w:color="auto"/>
        <w:bottom w:val="none" w:sz="0" w:space="0" w:color="auto"/>
        <w:right w:val="none" w:sz="0" w:space="0" w:color="auto"/>
      </w:divBdr>
      <w:divsChild>
        <w:div w:id="858197414">
          <w:marLeft w:val="0"/>
          <w:marRight w:val="0"/>
          <w:marTop w:val="0"/>
          <w:marBottom w:val="0"/>
          <w:divBdr>
            <w:top w:val="none" w:sz="0" w:space="0" w:color="auto"/>
            <w:left w:val="none" w:sz="0" w:space="0" w:color="auto"/>
            <w:bottom w:val="none" w:sz="0" w:space="0" w:color="auto"/>
            <w:right w:val="none" w:sz="0" w:space="0" w:color="auto"/>
          </w:divBdr>
          <w:divsChild>
            <w:div w:id="1862359888">
              <w:marLeft w:val="90"/>
              <w:marRight w:val="0"/>
              <w:marTop w:val="150"/>
              <w:marBottom w:val="0"/>
              <w:divBdr>
                <w:top w:val="none" w:sz="0" w:space="0" w:color="auto"/>
                <w:left w:val="none" w:sz="0" w:space="0" w:color="auto"/>
                <w:bottom w:val="none" w:sz="0" w:space="0" w:color="auto"/>
                <w:right w:val="none" w:sz="0" w:space="0" w:color="auto"/>
              </w:divBdr>
              <w:divsChild>
                <w:div w:id="1298532545">
                  <w:marLeft w:val="0"/>
                  <w:marRight w:val="0"/>
                  <w:marTop w:val="0"/>
                  <w:marBottom w:val="0"/>
                  <w:divBdr>
                    <w:top w:val="none" w:sz="0" w:space="0" w:color="auto"/>
                    <w:left w:val="none" w:sz="0" w:space="0" w:color="auto"/>
                    <w:bottom w:val="none" w:sz="0" w:space="0" w:color="auto"/>
                    <w:right w:val="none" w:sz="0" w:space="0" w:color="auto"/>
                  </w:divBdr>
                  <w:divsChild>
                    <w:div w:id="205266124">
                      <w:marLeft w:val="2610"/>
                      <w:marRight w:val="0"/>
                      <w:marTop w:val="0"/>
                      <w:marBottom w:val="0"/>
                      <w:divBdr>
                        <w:top w:val="none" w:sz="0" w:space="0" w:color="auto"/>
                        <w:left w:val="none" w:sz="0" w:space="0" w:color="auto"/>
                        <w:bottom w:val="none" w:sz="0" w:space="0" w:color="auto"/>
                        <w:right w:val="none" w:sz="0" w:space="0" w:color="auto"/>
                      </w:divBdr>
                      <w:divsChild>
                        <w:div w:id="420221577">
                          <w:marLeft w:val="0"/>
                          <w:marRight w:val="0"/>
                          <w:marTop w:val="0"/>
                          <w:marBottom w:val="0"/>
                          <w:divBdr>
                            <w:top w:val="none" w:sz="0" w:space="0" w:color="auto"/>
                            <w:left w:val="none" w:sz="0" w:space="0" w:color="auto"/>
                            <w:bottom w:val="none" w:sz="0" w:space="0" w:color="auto"/>
                            <w:right w:val="none" w:sz="0" w:space="0" w:color="auto"/>
                          </w:divBdr>
                          <w:divsChild>
                            <w:div w:id="901016084">
                              <w:marLeft w:val="0"/>
                              <w:marRight w:val="0"/>
                              <w:marTop w:val="240"/>
                              <w:marBottom w:val="120"/>
                              <w:divBdr>
                                <w:top w:val="none" w:sz="0" w:space="0" w:color="auto"/>
                                <w:left w:val="none" w:sz="0" w:space="0" w:color="auto"/>
                                <w:bottom w:val="none" w:sz="0" w:space="0" w:color="auto"/>
                                <w:right w:val="none" w:sz="0" w:space="0" w:color="auto"/>
                              </w:divBdr>
                              <w:divsChild>
                                <w:div w:id="15233340">
                                  <w:blockQuote w:val="1"/>
                                  <w:marLeft w:val="720"/>
                                  <w:marRight w:val="720"/>
                                  <w:marTop w:val="100"/>
                                  <w:marBottom w:val="300"/>
                                  <w:divBdr>
                                    <w:top w:val="dashed" w:sz="6" w:space="8" w:color="A7A7A7"/>
                                    <w:left w:val="dashed" w:sz="6" w:space="31" w:color="A7A7A7"/>
                                    <w:bottom w:val="dashed" w:sz="6" w:space="8" w:color="A7A7A7"/>
                                    <w:right w:val="dashed" w:sz="6" w:space="24" w:color="A7A7A7"/>
                                  </w:divBdr>
                                </w:div>
                              </w:divsChild>
                            </w:div>
                          </w:divsChild>
                        </w:div>
                      </w:divsChild>
                    </w:div>
                  </w:divsChild>
                </w:div>
              </w:divsChild>
            </w:div>
          </w:divsChild>
        </w:div>
      </w:divsChild>
    </w:div>
    <w:div w:id="1261257819">
      <w:bodyDiv w:val="1"/>
      <w:marLeft w:val="0"/>
      <w:marRight w:val="0"/>
      <w:marTop w:val="0"/>
      <w:marBottom w:val="0"/>
      <w:divBdr>
        <w:top w:val="none" w:sz="0" w:space="0" w:color="auto"/>
        <w:left w:val="none" w:sz="0" w:space="0" w:color="auto"/>
        <w:bottom w:val="none" w:sz="0" w:space="0" w:color="auto"/>
        <w:right w:val="none" w:sz="0" w:space="0" w:color="auto"/>
      </w:divBdr>
    </w:div>
    <w:div w:id="1291396104">
      <w:bodyDiv w:val="1"/>
      <w:marLeft w:val="0"/>
      <w:marRight w:val="0"/>
      <w:marTop w:val="0"/>
      <w:marBottom w:val="0"/>
      <w:divBdr>
        <w:top w:val="none" w:sz="0" w:space="0" w:color="auto"/>
        <w:left w:val="none" w:sz="0" w:space="0" w:color="auto"/>
        <w:bottom w:val="none" w:sz="0" w:space="0" w:color="auto"/>
        <w:right w:val="none" w:sz="0" w:space="0" w:color="auto"/>
      </w:divBdr>
    </w:div>
    <w:div w:id="1351301220">
      <w:bodyDiv w:val="1"/>
      <w:marLeft w:val="0"/>
      <w:marRight w:val="0"/>
      <w:marTop w:val="0"/>
      <w:marBottom w:val="0"/>
      <w:divBdr>
        <w:top w:val="none" w:sz="0" w:space="0" w:color="auto"/>
        <w:left w:val="none" w:sz="0" w:space="0" w:color="auto"/>
        <w:bottom w:val="none" w:sz="0" w:space="0" w:color="auto"/>
        <w:right w:val="none" w:sz="0" w:space="0" w:color="auto"/>
      </w:divBdr>
    </w:div>
    <w:div w:id="1490438398">
      <w:bodyDiv w:val="1"/>
      <w:marLeft w:val="0"/>
      <w:marRight w:val="0"/>
      <w:marTop w:val="0"/>
      <w:marBottom w:val="0"/>
      <w:divBdr>
        <w:top w:val="none" w:sz="0" w:space="0" w:color="auto"/>
        <w:left w:val="none" w:sz="0" w:space="0" w:color="auto"/>
        <w:bottom w:val="none" w:sz="0" w:space="0" w:color="auto"/>
        <w:right w:val="none" w:sz="0" w:space="0" w:color="auto"/>
      </w:divBdr>
    </w:div>
    <w:div w:id="1626157983">
      <w:bodyDiv w:val="1"/>
      <w:marLeft w:val="0"/>
      <w:marRight w:val="0"/>
      <w:marTop w:val="0"/>
      <w:marBottom w:val="0"/>
      <w:divBdr>
        <w:top w:val="none" w:sz="0" w:space="0" w:color="auto"/>
        <w:left w:val="none" w:sz="0" w:space="0" w:color="auto"/>
        <w:bottom w:val="none" w:sz="0" w:space="0" w:color="auto"/>
        <w:right w:val="none" w:sz="0" w:space="0" w:color="auto"/>
      </w:divBdr>
    </w:div>
    <w:div w:id="197683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FD84A-5A45-405F-BE1C-24A81C8BC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11798</Words>
  <Characters>63711</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Supremo Tribunal Federal</Company>
  <LinksUpToDate>false</LinksUpToDate>
  <CharactersWithSpaces>75359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STF</dc:creator>
  <cp:lastModifiedBy>Original123</cp:lastModifiedBy>
  <cp:revision>2</cp:revision>
  <cp:lastPrinted>2012-05-04T20:33:00Z</cp:lastPrinted>
  <dcterms:created xsi:type="dcterms:W3CDTF">2012-05-05T00:05:00Z</dcterms:created>
  <dcterms:modified xsi:type="dcterms:W3CDTF">2012-05-05T00:05:00Z</dcterms:modified>
</cp:coreProperties>
</file>