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CA008C" w:rsidRPr="00CA008C" w:rsidTr="00CA00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08C" w:rsidRPr="00CA008C" w:rsidRDefault="00CA008C" w:rsidP="00CA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008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pt-BR"/>
              </w:rPr>
              <w:t>4. 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DJF - 3ª Região</w:t>
            </w:r>
          </w:p>
        </w:tc>
      </w:tr>
      <w:tr w:rsidR="00CA008C" w:rsidRPr="00CA008C" w:rsidTr="00CA00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08C" w:rsidRPr="00CA008C" w:rsidRDefault="00CA008C" w:rsidP="00CA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008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pt-BR"/>
              </w:rPr>
              <w:t>Disponibilização: 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terça-feira, 21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maio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2013.</w:t>
            </w:r>
          </w:p>
        </w:tc>
      </w:tr>
      <w:tr w:rsidR="00CA008C" w:rsidRPr="00CA008C" w:rsidTr="00CA00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08C" w:rsidRPr="00CA008C" w:rsidRDefault="00CA008C" w:rsidP="00CA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008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pt-BR"/>
              </w:rPr>
              <w:t>Arquivo: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</w:t>
            </w:r>
            <w:proofErr w:type="gramStart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45 </w:t>
            </w:r>
            <w:r w:rsidRPr="00CA008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pt-BR"/>
              </w:rPr>
              <w:t>Publicação</w:t>
            </w:r>
            <w:proofErr w:type="gramEnd"/>
            <w:r w:rsidRPr="00CA008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pt-BR"/>
              </w:rPr>
              <w:t>: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32</w:t>
            </w:r>
          </w:p>
        </w:tc>
      </w:tr>
      <w:tr w:rsidR="00CA008C" w:rsidRPr="00CA008C" w:rsidTr="00CA00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08C" w:rsidRPr="00CA008C" w:rsidRDefault="00CA008C" w:rsidP="00CA00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A008C" w:rsidRPr="00CA008C" w:rsidTr="00CA00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08C" w:rsidRPr="00CA008C" w:rsidRDefault="00CA008C" w:rsidP="00CA008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008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pt-BR"/>
              </w:rPr>
              <w:t>SEÇÃO JUDICIÁRIA DO ESTADO </w:t>
            </w:r>
            <w:r w:rsidRPr="00CA008C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pt-BR"/>
              </w:rPr>
              <w:t> SÃO </w:t>
            </w:r>
            <w:r w:rsidRPr="00CA008C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pt-BR"/>
              </w:rPr>
              <w:t>PAULO</w:t>
            </w:r>
            <w:r w:rsidRPr="00CA008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pt-BR"/>
              </w:rPr>
              <w:t> PUBLICAÇÕES JUDICIAIS I - CAPITAL SP SUBSEÇÃO JUDICIÁRIA </w:t>
            </w:r>
            <w:r w:rsidRPr="00CA008C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pt-BR"/>
              </w:rPr>
              <w:t> SAO </w:t>
            </w:r>
            <w:r w:rsidRPr="00CA008C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pt-BR"/>
              </w:rPr>
              <w:t>PAULO</w:t>
            </w:r>
            <w:r w:rsidRPr="00CA008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pt-BR"/>
              </w:rPr>
              <w:t> 16ª VARA CÍVEL</w:t>
            </w:r>
          </w:p>
        </w:tc>
      </w:tr>
      <w:tr w:rsidR="00CA008C" w:rsidRPr="00CA008C" w:rsidTr="00CA00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08C" w:rsidRPr="00CA008C" w:rsidRDefault="00CA008C" w:rsidP="00CA008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MANDADO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SEGURANCA 0006376-59.2013.403.6100 - TOPICO LOCACOES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 GALPOES E EQUIPAMENTOS PARA </w:t>
            </w:r>
            <w:proofErr w:type="gramStart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INDUSTRIAS</w:t>
            </w:r>
            <w:proofErr w:type="gramEnd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 LTDA(SP</w:t>
            </w:r>
            <w:r w:rsidRPr="00CA008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pt-BR"/>
              </w:rPr>
              <w:t>124192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- </w:t>
            </w:r>
            <w:r w:rsidRPr="00CA008C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pt-BR"/>
              </w:rPr>
              <w:t>PAULO</w:t>
            </w:r>
            <w:r w:rsidRPr="00CA008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pt-BR"/>
              </w:rPr>
              <w:t>JOSE </w:t>
            </w:r>
            <w:r w:rsidRPr="00CA008C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pt-BR"/>
              </w:rPr>
              <w:t>IASZ</w:t>
            </w:r>
            <w:r w:rsidRPr="00CA008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pt-BR"/>
              </w:rPr>
              <w:t> </w:t>
            </w:r>
            <w:r w:rsidRPr="00CA008C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pt-BR"/>
              </w:rPr>
              <w:t> </w:t>
            </w:r>
            <w:r w:rsidRPr="00CA008C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pt-BR"/>
              </w:rPr>
              <w:t>MORAIS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) X DELEGADO DA RECEITA FEDERAL EM TABOAO DA SERRA-SP Vistos.Fls. 329/331: Com razão a impetrante. Passo a análise do </w:t>
            </w:r>
            <w:proofErr w:type="spellStart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pedido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proofErr w:type="spellEnd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</w:t>
            </w:r>
            <w:proofErr w:type="gramStart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liminar.</w:t>
            </w:r>
            <w:proofErr w:type="gramEnd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Trata-se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Mandado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Segurança com pedido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liminar, pelo qual pretende a impetrante a expedição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Certidão Negativa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Débitos ou Positiva com Efeitos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 Negativa. Relata que os débitos impeditivos da expedição da certidão estão pagos, mas as </w:t>
            </w:r>
            <w:proofErr w:type="spellStart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DCTFs</w:t>
            </w:r>
            <w:proofErr w:type="spellEnd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 retificadoras apresentadas não foram processadas por equívoco da própria Receita Federal do </w:t>
            </w:r>
            <w:proofErr w:type="gramStart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Brasil.</w:t>
            </w:r>
            <w:proofErr w:type="gramEnd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O Sr. Delegado da Receita Federal </w:t>
            </w:r>
            <w:proofErr w:type="spellStart"/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Osasco</w:t>
            </w:r>
            <w:proofErr w:type="spellEnd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 prestou informações às fls. 323/325, suscitando que as não foram identificados os motivos pelos quais as </w:t>
            </w:r>
            <w:proofErr w:type="spellStart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DCTFs</w:t>
            </w:r>
            <w:proofErr w:type="spellEnd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 da impetrante não foram processadas.Assim brevemente relatados,D E C I D </w:t>
            </w:r>
            <w:proofErr w:type="spellStart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OVerifico</w:t>
            </w:r>
            <w:proofErr w:type="spellEnd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 presentes os requisitos necessários à concessão da liminar.As informações prestadas pelo Delegado da Receita Federal do Brasil em Osasco às fls. 323/325 dão conta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 que as </w:t>
            </w:r>
            <w:proofErr w:type="spellStart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DTCFs</w:t>
            </w:r>
            <w:proofErr w:type="spellEnd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 Retificadoras apresentadas pela impetrante não foram processadas sem causa aparente, sendo que nem mesmo a autoridade fiscal foi capaz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esclarecer a razão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tal fato.Numa análise superficial, própria deste momento processual </w:t>
            </w:r>
            <w:proofErr w:type="spellStart"/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cognição</w:t>
            </w:r>
            <w:proofErr w:type="spellEnd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 sumária, verifico que os valores declarados pela impetrante encontram-se quitados, conforme se depreende das </w:t>
            </w:r>
            <w:proofErr w:type="spellStart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DCTFs</w:t>
            </w:r>
            <w:proofErr w:type="spellEnd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 e guias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fls. 206/209, 211/214, 216/219, 221/225, 227/230, 232/235, 237/240, 242, 245, 247/250, 252/256, 258/261, 263/272, 274/283, 285/292, 294/299, havendo coincidência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períodos, valores e códigos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 receita.Restou demonstrado, ainda, a devida entrega das </w:t>
            </w:r>
            <w:proofErr w:type="spellStart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DTCFs</w:t>
            </w:r>
            <w:proofErr w:type="spellEnd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 Retificadoras, sem que, contudo, os valores ali declarados tenham sido alterados no sistema da Receita Federal do Brasil, repita-se, sem razão conhecida para tanto, </w:t>
            </w:r>
            <w:proofErr w:type="spellStart"/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acordo</w:t>
            </w:r>
            <w:proofErr w:type="spellEnd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 com a própria autoridade fiscal (fl. 325, 2º e 3º parágrafos), que </w:t>
            </w:r>
            <w:proofErr w:type="spellStart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aformou</w:t>
            </w:r>
            <w:proofErr w:type="spellEnd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verbis</w:t>
            </w:r>
            <w:proofErr w:type="spellEnd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:No tocante às alegações do contribuinte, verificou-se que as </w:t>
            </w:r>
            <w:proofErr w:type="spellStart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DCTFs</w:t>
            </w:r>
            <w:proofErr w:type="spellEnd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 retificadoras apresentadas pelo contribuinte não foram processadas por razões não identificadas ainda, contudo, o caso já foi passado à área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 Tecnologia da Informação e espera-se solução em breve.Em uma análise superficial das </w:t>
            </w:r>
            <w:proofErr w:type="spellStart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DCTFs</w:t>
            </w:r>
            <w:proofErr w:type="spellEnd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 retificadoras não foi constatada nenhuma irregularidade a justificar o seu não-processamento.No entanto, em que pese se tratar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 débitos quitados, depreendo que a impetrante possui outros débitos cuja exigibilidade </w:t>
            </w:r>
            <w:proofErr w:type="gramStart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está</w:t>
            </w:r>
            <w:proofErr w:type="gramEnd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 suspensa (fls. 24/25), razão pela qual a certidão a ser expedida é aquela prevista no artigo 206 do CTN.O </w:t>
            </w:r>
            <w:proofErr w:type="spellStart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periculum</w:t>
            </w:r>
            <w:proofErr w:type="spellEnd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 in mora está presente na necessidade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obtenção da Certidão </w:t>
            </w:r>
            <w:proofErr w:type="spellStart"/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Regularidade</w:t>
            </w:r>
            <w:proofErr w:type="spellEnd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 Fiscal para o exercício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suas atividades.Isto posto, DEFIRO a liminar para determinar à autoridade impetrada que expeça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 imediato a Certidão </w:t>
            </w:r>
            <w:proofErr w:type="spellStart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Positiva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proofErr w:type="spellEnd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Débitos com efeitos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Negativa em nome da impetrante TOPICO LOCAÇÕES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 GALPÕES E EQUIPAMENTOS PARA INDÚSTRIAS LTDA., nos termos do artigo 206 do CTN, desde que os únicos óbices sejam os 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lastRenderedPageBreak/>
              <w:t>débitos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 xml:space="preserve"> PIS (exercício 03/2009, 04/2009, 05/2009, 06/2009 e 07/2009), COFINS (exercício 01/2009, 03/2009, 04/2009, 05/2009, 06/2009 e 07/2009), IRPJ (exercício 1º, 2º e 3º </w:t>
            </w:r>
            <w:proofErr w:type="spellStart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trimestres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proofErr w:type="spellEnd"/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2009) e CSLL (exercício 3º trimestre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2009), constantes do relatório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fls. 24/25.Oficie-se a autoridade impetrada para pronto cumprimento desta decisão.Intime-se pessoalmente o representante judicial nos termos do inciso II, do art. 7º, da Lei nº 12.016/2009.Após dê-se vista ao MPF e em seguida retornem os autos conclusos para prolação </w:t>
            </w:r>
            <w:r w:rsidRPr="00CA008C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de</w:t>
            </w:r>
            <w:r w:rsidRPr="00CA008C">
              <w:rPr>
                <w:rFonts w:ascii="Helvetica" w:eastAsia="Times New Roman" w:hAnsi="Helvetica" w:cs="Helvetica"/>
                <w:sz w:val="24"/>
                <w:szCs w:val="24"/>
                <w:lang w:eastAsia="pt-BR"/>
              </w:rPr>
              <w:t> sentença.Int.</w:t>
            </w:r>
          </w:p>
        </w:tc>
      </w:tr>
    </w:tbl>
    <w:p w:rsidR="00CA008C" w:rsidRDefault="00CA008C"/>
    <w:sectPr w:rsidR="00CA00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008C"/>
    <w:rsid w:val="00CA0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A008C"/>
  </w:style>
  <w:style w:type="character" w:customStyle="1" w:styleId="il">
    <w:name w:val="il"/>
    <w:basedOn w:val="Fontepargpadro"/>
    <w:rsid w:val="00CA008C"/>
  </w:style>
  <w:style w:type="paragraph" w:styleId="NormalWeb">
    <w:name w:val="Normal (Web)"/>
    <w:basedOn w:val="Normal"/>
    <w:uiPriority w:val="99"/>
    <w:unhideWhenUsed/>
    <w:rsid w:val="00CA0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livia.scocuglia</dc:creator>
  <cp:lastModifiedBy>livia.scocuglia</cp:lastModifiedBy>
  <cp:revision>1</cp:revision>
  <dcterms:created xsi:type="dcterms:W3CDTF">2013-08-06T22:11:00Z</dcterms:created>
  <dcterms:modified xsi:type="dcterms:W3CDTF">2013-08-06T22:11:00Z</dcterms:modified>
</cp:coreProperties>
</file>