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5B" w:rsidRPr="008D1931" w:rsidRDefault="0004265B" w:rsidP="006C2B8D">
      <w:pPr>
        <w:pStyle w:val="Observao"/>
        <w:tabs>
          <w:tab w:val="left" w:pos="1418"/>
        </w:tabs>
        <w:spacing w:before="0"/>
        <w:outlineLvl w:val="9"/>
        <w:rPr>
          <w:szCs w:val="24"/>
        </w:rPr>
      </w:pPr>
      <w:r w:rsidRPr="008D1931">
        <w:rPr>
          <w:szCs w:val="24"/>
        </w:rPr>
        <w:t xml:space="preserve">Ofício </w:t>
      </w:r>
      <w:r w:rsidR="00B855FF">
        <w:rPr>
          <w:szCs w:val="24"/>
        </w:rPr>
        <w:t>138</w:t>
      </w:r>
      <w:r w:rsidRPr="008D1931">
        <w:rPr>
          <w:szCs w:val="24"/>
        </w:rPr>
        <w:t>/201</w:t>
      </w:r>
      <w:r w:rsidR="00B855FF">
        <w:rPr>
          <w:szCs w:val="24"/>
        </w:rPr>
        <w:t>4</w:t>
      </w:r>
      <w:r w:rsidRPr="008D1931">
        <w:rPr>
          <w:szCs w:val="24"/>
        </w:rPr>
        <w:t>-BCB/PGBC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4265B" w:rsidRPr="008D1931" w:rsidTr="00FB31A6">
        <w:tc>
          <w:tcPr>
            <w:tcW w:w="4606" w:type="dxa"/>
          </w:tcPr>
          <w:p w:rsidR="0004265B" w:rsidRPr="008D1931" w:rsidRDefault="0004265B" w:rsidP="00B855FF">
            <w:pPr>
              <w:tabs>
                <w:tab w:val="left" w:pos="1418"/>
              </w:tabs>
            </w:pPr>
            <w:r w:rsidRPr="008D1931">
              <w:rPr>
                <w:sz w:val="22"/>
                <w:szCs w:val="22"/>
              </w:rPr>
              <w:t>P</w:t>
            </w:r>
            <w:r w:rsidR="008D1931" w:rsidRPr="008D1931">
              <w:rPr>
                <w:sz w:val="22"/>
                <w:szCs w:val="22"/>
              </w:rPr>
              <w:t>E 601</w:t>
            </w:r>
            <w:r w:rsidR="00B855FF">
              <w:rPr>
                <w:sz w:val="22"/>
                <w:szCs w:val="22"/>
              </w:rPr>
              <w:t>1</w:t>
            </w:r>
            <w:r w:rsidR="008D1931" w:rsidRPr="008D1931">
              <w:rPr>
                <w:sz w:val="22"/>
                <w:szCs w:val="22"/>
              </w:rPr>
              <w:t>8</w:t>
            </w:r>
          </w:p>
        </w:tc>
        <w:tc>
          <w:tcPr>
            <w:tcW w:w="4606" w:type="dxa"/>
          </w:tcPr>
          <w:p w:rsidR="0004265B" w:rsidRPr="008D1931" w:rsidRDefault="0004265B" w:rsidP="006C2B8D">
            <w:pPr>
              <w:tabs>
                <w:tab w:val="left" w:pos="1418"/>
              </w:tabs>
              <w:jc w:val="right"/>
            </w:pPr>
            <w:r w:rsidRPr="008D1931">
              <w:t xml:space="preserve">Brasília, </w:t>
            </w:r>
            <w:r w:rsidR="008D1931" w:rsidRPr="008D1931">
              <w:t>6</w:t>
            </w:r>
            <w:r w:rsidRPr="008D1931">
              <w:t xml:space="preserve"> de </w:t>
            </w:r>
            <w:r w:rsidR="008D1931" w:rsidRPr="008D1931">
              <w:t>janeiro</w:t>
            </w:r>
            <w:r w:rsidRPr="008D1931">
              <w:t xml:space="preserve"> de 201</w:t>
            </w:r>
            <w:r w:rsidR="008D1931" w:rsidRPr="008D1931">
              <w:t>4</w:t>
            </w:r>
            <w:r w:rsidRPr="008D1931">
              <w:t>.</w:t>
            </w:r>
          </w:p>
        </w:tc>
      </w:tr>
    </w:tbl>
    <w:p w:rsidR="0004265B" w:rsidRPr="008D1931" w:rsidRDefault="0004265B" w:rsidP="006C2B8D">
      <w:pPr>
        <w:tabs>
          <w:tab w:val="left" w:pos="1418"/>
        </w:tabs>
      </w:pPr>
    </w:p>
    <w:p w:rsidR="001806EA" w:rsidRPr="008D1931" w:rsidRDefault="001806EA" w:rsidP="006C2B8D">
      <w:pPr>
        <w:tabs>
          <w:tab w:val="left" w:pos="1418"/>
        </w:tabs>
      </w:pPr>
    </w:p>
    <w:p w:rsidR="00F910B9" w:rsidRPr="008D1931" w:rsidRDefault="00F910B9" w:rsidP="006C2B8D">
      <w:pPr>
        <w:tabs>
          <w:tab w:val="left" w:pos="1418"/>
        </w:tabs>
      </w:pPr>
    </w:p>
    <w:p w:rsidR="0004265B" w:rsidRPr="008D1931" w:rsidRDefault="0004265B" w:rsidP="006C2B8D">
      <w:pPr>
        <w:tabs>
          <w:tab w:val="left" w:pos="1418"/>
        </w:tabs>
        <w:rPr>
          <w:sz w:val="22"/>
          <w:szCs w:val="22"/>
        </w:rPr>
      </w:pPr>
      <w:r w:rsidRPr="008D1931">
        <w:rPr>
          <w:sz w:val="22"/>
          <w:szCs w:val="22"/>
        </w:rPr>
        <w:t>A Sua</w:t>
      </w:r>
      <w:r w:rsidR="008D1931" w:rsidRPr="008D1931">
        <w:rPr>
          <w:sz w:val="22"/>
          <w:szCs w:val="22"/>
        </w:rPr>
        <w:t>s</w:t>
      </w:r>
      <w:r w:rsidRPr="008D1931">
        <w:rPr>
          <w:sz w:val="22"/>
          <w:szCs w:val="22"/>
        </w:rPr>
        <w:t xml:space="preserve"> </w:t>
      </w:r>
      <w:r w:rsidR="008D1931" w:rsidRPr="008D1931">
        <w:rPr>
          <w:sz w:val="22"/>
          <w:szCs w:val="22"/>
        </w:rPr>
        <w:t>Senhorias</w:t>
      </w:r>
      <w:r w:rsidRPr="008D1931">
        <w:rPr>
          <w:sz w:val="22"/>
          <w:szCs w:val="22"/>
        </w:rPr>
        <w:t xml:space="preserve"> </w:t>
      </w:r>
      <w:r w:rsidR="00F910B9" w:rsidRPr="008D1931">
        <w:rPr>
          <w:sz w:val="22"/>
          <w:szCs w:val="22"/>
        </w:rPr>
        <w:t>a</w:t>
      </w:r>
      <w:r w:rsidR="008D1931" w:rsidRPr="008D1931">
        <w:rPr>
          <w:sz w:val="22"/>
          <w:szCs w:val="22"/>
        </w:rPr>
        <w:t>s</w:t>
      </w:r>
      <w:r w:rsidRPr="008D1931">
        <w:rPr>
          <w:sz w:val="22"/>
          <w:szCs w:val="22"/>
        </w:rPr>
        <w:t xml:space="preserve"> Senhor</w:t>
      </w:r>
      <w:r w:rsidR="00F910B9" w:rsidRPr="008D1931">
        <w:rPr>
          <w:sz w:val="22"/>
          <w:szCs w:val="22"/>
        </w:rPr>
        <w:t>a</w:t>
      </w:r>
      <w:r w:rsidR="008D1931" w:rsidRPr="008D1931">
        <w:rPr>
          <w:sz w:val="22"/>
          <w:szCs w:val="22"/>
        </w:rPr>
        <w:t>s</w:t>
      </w:r>
    </w:p>
    <w:p w:rsidR="0004265B" w:rsidRPr="008D1931" w:rsidRDefault="008D1931" w:rsidP="006C2B8D">
      <w:pPr>
        <w:tabs>
          <w:tab w:val="left" w:pos="1418"/>
        </w:tabs>
        <w:rPr>
          <w:sz w:val="22"/>
          <w:szCs w:val="22"/>
        </w:rPr>
      </w:pPr>
      <w:r w:rsidRPr="008D1931">
        <w:rPr>
          <w:sz w:val="22"/>
          <w:szCs w:val="22"/>
        </w:rPr>
        <w:t>ELICI</w:t>
      </w:r>
      <w:r w:rsidR="00806E14" w:rsidRPr="008D1931">
        <w:rPr>
          <w:sz w:val="22"/>
          <w:szCs w:val="22"/>
        </w:rPr>
        <w:t xml:space="preserve"> </w:t>
      </w:r>
      <w:r w:rsidRPr="008D1931">
        <w:rPr>
          <w:sz w:val="22"/>
          <w:szCs w:val="22"/>
        </w:rPr>
        <w:t>MARIA CHECCHIN BUENO e MARIANA ALVES TORNERO</w:t>
      </w:r>
    </w:p>
    <w:p w:rsidR="0004265B" w:rsidRPr="008D1931" w:rsidRDefault="008D1931" w:rsidP="006C2B8D">
      <w:pPr>
        <w:widowControl w:val="0"/>
        <w:tabs>
          <w:tab w:val="left" w:pos="1418"/>
        </w:tabs>
        <w:rPr>
          <w:sz w:val="22"/>
          <w:szCs w:val="22"/>
        </w:rPr>
      </w:pPr>
      <w:r w:rsidRPr="008D1931">
        <w:rPr>
          <w:sz w:val="22"/>
          <w:szCs w:val="22"/>
        </w:rPr>
        <w:t>Coordenadora Executiva e Supervisora Jurídica do Instituto Brasileiro de Defesa do Consumidor (Idec)</w:t>
      </w:r>
    </w:p>
    <w:p w:rsidR="008D1931" w:rsidRPr="008D1931" w:rsidRDefault="008D1931" w:rsidP="006C2B8D">
      <w:pPr>
        <w:widowControl w:val="0"/>
        <w:tabs>
          <w:tab w:val="left" w:pos="1418"/>
        </w:tabs>
        <w:rPr>
          <w:sz w:val="22"/>
          <w:szCs w:val="22"/>
        </w:rPr>
      </w:pPr>
      <w:r w:rsidRPr="008D1931">
        <w:rPr>
          <w:sz w:val="22"/>
          <w:szCs w:val="22"/>
        </w:rPr>
        <w:t>Instituto Brasileiro de Defesa do Consumidor (Idec)</w:t>
      </w:r>
    </w:p>
    <w:p w:rsidR="0004265B" w:rsidRPr="008D1931" w:rsidRDefault="008D1931" w:rsidP="006C2B8D">
      <w:pPr>
        <w:widowControl w:val="0"/>
        <w:tabs>
          <w:tab w:val="left" w:pos="1418"/>
        </w:tabs>
        <w:rPr>
          <w:sz w:val="22"/>
          <w:szCs w:val="22"/>
        </w:rPr>
      </w:pPr>
      <w:r w:rsidRPr="008D1931">
        <w:rPr>
          <w:sz w:val="22"/>
          <w:szCs w:val="22"/>
        </w:rPr>
        <w:t>Rua Desembargador Guimarães, nº 21, Água Branca</w:t>
      </w:r>
    </w:p>
    <w:p w:rsidR="0004265B" w:rsidRPr="008D1931" w:rsidRDefault="008D1931" w:rsidP="006C2B8D">
      <w:pPr>
        <w:widowControl w:val="0"/>
        <w:tabs>
          <w:tab w:val="left" w:pos="1418"/>
        </w:tabs>
      </w:pPr>
      <w:r w:rsidRPr="008D1931">
        <w:rPr>
          <w:sz w:val="22"/>
          <w:szCs w:val="22"/>
        </w:rPr>
        <w:t>05002</w:t>
      </w:r>
      <w:r w:rsidR="0004265B" w:rsidRPr="008D1931">
        <w:rPr>
          <w:sz w:val="22"/>
          <w:szCs w:val="22"/>
        </w:rPr>
        <w:t>-</w:t>
      </w:r>
      <w:r w:rsidRPr="008D1931">
        <w:rPr>
          <w:sz w:val="22"/>
          <w:szCs w:val="22"/>
        </w:rPr>
        <w:t>050</w:t>
      </w:r>
      <w:r w:rsidR="0004265B" w:rsidRPr="008D1931">
        <w:rPr>
          <w:sz w:val="22"/>
          <w:szCs w:val="22"/>
        </w:rPr>
        <w:t xml:space="preserve"> – </w:t>
      </w:r>
      <w:r w:rsidRPr="008D1931">
        <w:rPr>
          <w:sz w:val="22"/>
          <w:szCs w:val="22"/>
        </w:rPr>
        <w:t>São Paulo/SP</w:t>
      </w:r>
    </w:p>
    <w:p w:rsidR="0004265B" w:rsidRPr="008D1931" w:rsidRDefault="0004265B" w:rsidP="006C2B8D">
      <w:pPr>
        <w:pStyle w:val="Paragrafp15"/>
        <w:tabs>
          <w:tab w:val="clear" w:pos="1843"/>
          <w:tab w:val="left" w:pos="1418"/>
        </w:tabs>
        <w:spacing w:before="0" w:after="0"/>
        <w:rPr>
          <w:szCs w:val="24"/>
        </w:rPr>
      </w:pPr>
    </w:p>
    <w:p w:rsidR="00806E14" w:rsidRPr="008D1931" w:rsidRDefault="00806E14" w:rsidP="006C2B8D">
      <w:pPr>
        <w:pStyle w:val="Paragrafp15"/>
        <w:tabs>
          <w:tab w:val="clear" w:pos="1843"/>
          <w:tab w:val="left" w:pos="1418"/>
        </w:tabs>
        <w:spacing w:before="0" w:after="0"/>
        <w:rPr>
          <w:szCs w:val="24"/>
        </w:rPr>
      </w:pPr>
    </w:p>
    <w:p w:rsidR="0004265B" w:rsidRPr="00193C50" w:rsidRDefault="0004265B" w:rsidP="006C2B8D">
      <w:pPr>
        <w:pStyle w:val="Paragrafp15"/>
        <w:tabs>
          <w:tab w:val="clear" w:pos="1843"/>
          <w:tab w:val="left" w:pos="1418"/>
        </w:tabs>
        <w:spacing w:before="0" w:after="0"/>
        <w:rPr>
          <w:bCs/>
          <w:sz w:val="22"/>
          <w:szCs w:val="22"/>
        </w:rPr>
      </w:pPr>
      <w:r w:rsidRPr="00193C50">
        <w:rPr>
          <w:sz w:val="22"/>
          <w:szCs w:val="22"/>
        </w:rPr>
        <w:t xml:space="preserve">Assunto: </w:t>
      </w:r>
      <w:r w:rsidR="008D1931" w:rsidRPr="00193C50">
        <w:rPr>
          <w:sz w:val="22"/>
          <w:szCs w:val="22"/>
        </w:rPr>
        <w:t>Carta Idec nº 843/2013/Coex</w:t>
      </w:r>
      <w:r w:rsidR="00193C50">
        <w:rPr>
          <w:sz w:val="22"/>
          <w:szCs w:val="22"/>
        </w:rPr>
        <w:t>, de 16 de dezembro de 2013</w:t>
      </w:r>
      <w:r w:rsidR="008D1931" w:rsidRPr="00193C50">
        <w:rPr>
          <w:sz w:val="22"/>
          <w:szCs w:val="22"/>
        </w:rPr>
        <w:t>,</w:t>
      </w:r>
      <w:r w:rsidR="00A42BDF" w:rsidRPr="00193C50">
        <w:rPr>
          <w:sz w:val="22"/>
          <w:szCs w:val="22"/>
        </w:rPr>
        <w:t xml:space="preserve"> referente </w:t>
      </w:r>
      <w:r w:rsidR="008D1931" w:rsidRPr="00193C50">
        <w:rPr>
          <w:sz w:val="22"/>
          <w:szCs w:val="22"/>
        </w:rPr>
        <w:t xml:space="preserve">à </w:t>
      </w:r>
      <w:r w:rsidR="00193C50" w:rsidRPr="00193C50">
        <w:rPr>
          <w:sz w:val="22"/>
          <w:szCs w:val="22"/>
        </w:rPr>
        <w:t>ADPF nº 165/DF</w:t>
      </w:r>
      <w:r w:rsidRPr="00193C50">
        <w:rPr>
          <w:sz w:val="22"/>
          <w:szCs w:val="22"/>
        </w:rPr>
        <w:t>.</w:t>
      </w:r>
    </w:p>
    <w:p w:rsidR="001806EA" w:rsidRPr="008D1931" w:rsidRDefault="001806EA" w:rsidP="006C2B8D">
      <w:pPr>
        <w:pStyle w:val="Paragrafp15"/>
        <w:tabs>
          <w:tab w:val="clear" w:pos="1843"/>
          <w:tab w:val="left" w:pos="1418"/>
        </w:tabs>
        <w:spacing w:before="0" w:after="0"/>
        <w:rPr>
          <w:szCs w:val="24"/>
        </w:rPr>
      </w:pPr>
    </w:p>
    <w:p w:rsidR="0004265B" w:rsidRPr="008D1931" w:rsidRDefault="0004265B" w:rsidP="006C2B8D">
      <w:pPr>
        <w:pStyle w:val="Paragrafp15"/>
        <w:tabs>
          <w:tab w:val="clear" w:pos="1843"/>
          <w:tab w:val="left" w:pos="1418"/>
        </w:tabs>
        <w:spacing w:before="0" w:after="0"/>
        <w:rPr>
          <w:szCs w:val="24"/>
        </w:rPr>
      </w:pPr>
    </w:p>
    <w:p w:rsidR="0004265B" w:rsidRPr="008D1931" w:rsidRDefault="0004265B" w:rsidP="006C2B8D">
      <w:pPr>
        <w:pStyle w:val="Paragrafp15"/>
        <w:tabs>
          <w:tab w:val="clear" w:pos="1843"/>
          <w:tab w:val="left" w:pos="1418"/>
        </w:tabs>
        <w:spacing w:before="0" w:after="0"/>
        <w:rPr>
          <w:szCs w:val="24"/>
        </w:rPr>
      </w:pPr>
      <w:r w:rsidRPr="008D1931">
        <w:rPr>
          <w:szCs w:val="24"/>
        </w:rPr>
        <w:tab/>
        <w:t>Senhor</w:t>
      </w:r>
      <w:r w:rsidR="006D717A" w:rsidRPr="008D1931">
        <w:rPr>
          <w:szCs w:val="24"/>
        </w:rPr>
        <w:t>a</w:t>
      </w:r>
      <w:r w:rsidR="00193C50">
        <w:rPr>
          <w:szCs w:val="24"/>
        </w:rPr>
        <w:t>s</w:t>
      </w:r>
      <w:r w:rsidRPr="008D1931">
        <w:rPr>
          <w:szCs w:val="24"/>
        </w:rPr>
        <w:t xml:space="preserve"> </w:t>
      </w:r>
      <w:r w:rsidR="00193C50">
        <w:rPr>
          <w:szCs w:val="24"/>
        </w:rPr>
        <w:t>representantes do Idec</w:t>
      </w:r>
      <w:r w:rsidRPr="008D1931">
        <w:rPr>
          <w:szCs w:val="24"/>
        </w:rPr>
        <w:t>,</w:t>
      </w:r>
    </w:p>
    <w:p w:rsidR="0004265B" w:rsidRPr="008D1931" w:rsidRDefault="0004265B" w:rsidP="006C2B8D">
      <w:pPr>
        <w:pStyle w:val="Paragrafp15"/>
        <w:tabs>
          <w:tab w:val="clear" w:pos="1843"/>
          <w:tab w:val="left" w:pos="1418"/>
        </w:tabs>
        <w:spacing w:before="0" w:after="0"/>
        <w:rPr>
          <w:szCs w:val="24"/>
        </w:rPr>
      </w:pPr>
    </w:p>
    <w:p w:rsidR="001806EA" w:rsidRPr="008D1931" w:rsidRDefault="001806EA" w:rsidP="006C2B8D">
      <w:pPr>
        <w:pStyle w:val="Paragrafp15"/>
        <w:tabs>
          <w:tab w:val="clear" w:pos="1843"/>
          <w:tab w:val="left" w:pos="1418"/>
        </w:tabs>
        <w:spacing w:before="0" w:after="0"/>
        <w:rPr>
          <w:szCs w:val="24"/>
        </w:rPr>
      </w:pPr>
    </w:p>
    <w:p w:rsidR="00954D36" w:rsidRDefault="0004265B" w:rsidP="006C2B8D">
      <w:pPr>
        <w:tabs>
          <w:tab w:val="left" w:pos="1418"/>
        </w:tabs>
      </w:pPr>
      <w:r w:rsidRPr="008D1931">
        <w:tab/>
        <w:t>Re</w:t>
      </w:r>
      <w:r w:rsidR="00193C50">
        <w:t>fir</w:t>
      </w:r>
      <w:r w:rsidR="00016EBA" w:rsidRPr="008D1931">
        <w:t>o</w:t>
      </w:r>
      <w:r w:rsidRPr="008D1931">
        <w:t xml:space="preserve">-me </w:t>
      </w:r>
      <w:r w:rsidR="00193C50">
        <w:t>à Carta Idec nº 843/2013/Coex, de 16 de dezembro de 2013</w:t>
      </w:r>
      <w:r w:rsidRPr="008D1931">
        <w:t>, por meio d</w:t>
      </w:r>
      <w:r w:rsidR="00193C50">
        <w:t>a</w:t>
      </w:r>
      <w:r w:rsidRPr="008D1931">
        <w:t xml:space="preserve"> qua</w:t>
      </w:r>
      <w:r w:rsidR="006D717A" w:rsidRPr="008D1931">
        <w:t xml:space="preserve">l </w:t>
      </w:r>
      <w:r w:rsidR="00193C50">
        <w:t xml:space="preserve">foi encaminhada a esta Autarquia solicitação de esclarecimentos </w:t>
      </w:r>
      <w:r w:rsidR="00954D36">
        <w:t>“</w:t>
      </w:r>
      <w:r w:rsidR="00193C50" w:rsidRPr="00193C50">
        <w:rPr>
          <w:i/>
        </w:rPr>
        <w:t>motivados em razão dos desdobramentos do julgamento da ADPF nº 165, que segue no Supremo Tribunal Federal</w:t>
      </w:r>
      <w:r w:rsidR="00193C50">
        <w:t>”</w:t>
      </w:r>
      <w:r w:rsidR="000521ED">
        <w:t>, invoca</w:t>
      </w:r>
      <w:r w:rsidR="00D05A7D">
        <w:t>ndo-se</w:t>
      </w:r>
      <w:r w:rsidR="000521ED">
        <w:t xml:space="preserve"> a Lei nº 12.527, de 18 de novembro de 2011 (Lei de Acesso à Informação – LAI)</w:t>
      </w:r>
      <w:r w:rsidR="00954D36">
        <w:t xml:space="preserve">, </w:t>
      </w:r>
      <w:r w:rsidR="00106260">
        <w:t>relativamente a</w:t>
      </w:r>
      <w:r w:rsidR="00954D36">
        <w:t xml:space="preserve"> pedidos de:</w:t>
      </w:r>
    </w:p>
    <w:p w:rsidR="00954D36" w:rsidRDefault="00954D36" w:rsidP="006C2B8D">
      <w:pPr>
        <w:tabs>
          <w:tab w:val="left" w:pos="1418"/>
        </w:tabs>
      </w:pPr>
    </w:p>
    <w:p w:rsidR="00954D36" w:rsidRDefault="00954D36" w:rsidP="00106260">
      <w:pPr>
        <w:tabs>
          <w:tab w:val="left" w:pos="1418"/>
        </w:tabs>
        <w:ind w:left="1418"/>
      </w:pPr>
      <w:r>
        <w:t>(i) “</w:t>
      </w:r>
      <w:r w:rsidRPr="00954D36">
        <w:rPr>
          <w:i/>
        </w:rPr>
        <w:t>atualização da tabela apresentada no Parecer PGBC-331/2009</w:t>
      </w:r>
      <w:r>
        <w:t xml:space="preserve"> [...]</w:t>
      </w:r>
      <w:r w:rsidRPr="00954D36">
        <w:rPr>
          <w:i/>
        </w:rPr>
        <w:t>, tratando da composição dos pagamentos e provisões realizados pelos bancos</w:t>
      </w:r>
      <w:r>
        <w:t>”;</w:t>
      </w:r>
    </w:p>
    <w:p w:rsidR="00954D36" w:rsidRDefault="00954D36" w:rsidP="00106260">
      <w:pPr>
        <w:tabs>
          <w:tab w:val="left" w:pos="1418"/>
        </w:tabs>
        <w:ind w:left="1418"/>
      </w:pPr>
      <w:r>
        <w:t>(ii) indicação do “</w:t>
      </w:r>
      <w:r w:rsidRPr="00106260">
        <w:rPr>
          <w:i/>
        </w:rPr>
        <w:t>número de execuções individuais de decisões proferidas em ações civis públicas em trâmite no Poder Judiciário</w:t>
      </w:r>
      <w:r>
        <w:t>”;</w:t>
      </w:r>
    </w:p>
    <w:p w:rsidR="00954D36" w:rsidRDefault="00954D36" w:rsidP="00106260">
      <w:pPr>
        <w:tabs>
          <w:tab w:val="left" w:pos="1418"/>
        </w:tabs>
        <w:ind w:left="1418"/>
      </w:pPr>
      <w:r>
        <w:t xml:space="preserve">(iii) </w:t>
      </w:r>
      <w:r w:rsidR="009E2A40">
        <w:t>esclarecimento</w:t>
      </w:r>
      <w:r>
        <w:t xml:space="preserve"> sobre se os “</w:t>
      </w:r>
      <w:r w:rsidRPr="00106260">
        <w:rPr>
          <w:i/>
        </w:rPr>
        <w:t>valores provisionados pelas instituições incluem as execuções individuais de ações coletivas</w:t>
      </w:r>
      <w:r>
        <w:t>”;</w:t>
      </w:r>
      <w:r w:rsidR="00D05A7D">
        <w:t xml:space="preserve"> e</w:t>
      </w:r>
    </w:p>
    <w:p w:rsidR="00193C50" w:rsidRDefault="00954D36" w:rsidP="00106260">
      <w:pPr>
        <w:tabs>
          <w:tab w:val="left" w:pos="1418"/>
        </w:tabs>
        <w:ind w:left="1418"/>
      </w:pPr>
      <w:r>
        <w:t>(iv) indicação do “</w:t>
      </w:r>
      <w:r w:rsidRPr="00106260">
        <w:rPr>
          <w:i/>
        </w:rPr>
        <w:t>aumento (%) no número de ações intentadas no último ano do prazo prescricional</w:t>
      </w:r>
      <w:r>
        <w:t>”, considerando que o “</w:t>
      </w:r>
      <w:r w:rsidRPr="00106260">
        <w:rPr>
          <w:i/>
        </w:rPr>
        <w:t>prazo prescricional para ajuizamento de ação de cobrança para reivindicar as perdas referentes ao Plano Verão findou em janeiro de 2009</w:t>
      </w:r>
      <w:r>
        <w:t>”</w:t>
      </w:r>
      <w:r w:rsidR="00193C50">
        <w:t>.</w:t>
      </w:r>
    </w:p>
    <w:p w:rsidR="0004265B" w:rsidRPr="008D1931" w:rsidRDefault="0004265B" w:rsidP="006C2B8D">
      <w:pPr>
        <w:tabs>
          <w:tab w:val="left" w:pos="1418"/>
        </w:tabs>
      </w:pPr>
    </w:p>
    <w:p w:rsidR="0082681F" w:rsidRDefault="00193C50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A esse propósito, destaco primeiramente que, de fato, alguns esclarecimentos parecem </w:t>
      </w:r>
      <w:r w:rsidR="0082681F">
        <w:t xml:space="preserve">continuar sendo </w:t>
      </w:r>
      <w:r>
        <w:t>necessários</w:t>
      </w:r>
      <w:r w:rsidR="0082681F">
        <w:t>, ao que se vê do teor da carta em referência</w:t>
      </w:r>
      <w:r>
        <w:t>, diante da renitência</w:t>
      </w:r>
      <w:r w:rsidR="0082681F">
        <w:t xml:space="preserve"> com que representantes do </w:t>
      </w:r>
      <w:r w:rsidR="0082681F" w:rsidRPr="0082681F">
        <w:t>Instituto Brasileiro de Defesa do Consumidor (Idec)</w:t>
      </w:r>
      <w:r w:rsidR="0082681F">
        <w:t xml:space="preserve"> têm forcejado por confundir impacto potencial de ações judiciais com provisões contábeis para contingências judiciais passivas.</w:t>
      </w:r>
    </w:p>
    <w:p w:rsidR="0082681F" w:rsidRDefault="0082681F" w:rsidP="006C2B8D">
      <w:pPr>
        <w:pStyle w:val="PargrafodaLista"/>
        <w:tabs>
          <w:tab w:val="left" w:pos="1418"/>
        </w:tabs>
        <w:ind w:left="0"/>
      </w:pPr>
    </w:p>
    <w:p w:rsidR="006C2B8D" w:rsidRDefault="006C2B8D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Nesse sentido, o Banco Central já esclareceu, na sustentação oral que proferiu na Suprema Corte por ocasião do início do julgamento da mencionada </w:t>
      </w:r>
      <w:r w:rsidRPr="00193C50">
        <w:t>Arg</w:t>
      </w:r>
      <w:r>
        <w:t>u</w:t>
      </w:r>
      <w:r w:rsidRPr="00193C50">
        <w:t>ição de Descumprimento de Preceito Fundamental</w:t>
      </w:r>
      <w:r>
        <w:t xml:space="preserve"> (ADPF), que estimativas de risco correspondentes a ações ajuizadas contra instituições integrantes do Sistema Financeiro Nacional (SFN) </w:t>
      </w:r>
      <w:r w:rsidR="0033320B">
        <w:t>em</w:t>
      </w:r>
      <w:r>
        <w:t xml:space="preserve"> decorr</w:t>
      </w:r>
      <w:r w:rsidR="0033320B">
        <w:t>ência</w:t>
      </w:r>
      <w:r>
        <w:t xml:space="preserve"> da implementação dos planos discutidos na ADPF (Cruzado, Bresser, Verão, Collor I e Collor II) abrangem a possibilidade de todos eles serem declarados inconstitucionais, </w:t>
      </w:r>
      <w:r w:rsidR="00FA3858">
        <w:t>algo</w:t>
      </w:r>
      <w:r>
        <w:t xml:space="preserve"> em aberto até a conclusão do julgamento do Supremo Tribunal Federal (STF), </w:t>
      </w:r>
      <w:r w:rsidR="00FA3858">
        <w:t>que poderá ter reflexos</w:t>
      </w:r>
      <w:r>
        <w:t xml:space="preserve"> sobre todas as correlatas demandas em curso, inclusive as coletivas, com </w:t>
      </w:r>
      <w:r w:rsidR="00FA3858">
        <w:t>eventual</w:t>
      </w:r>
      <w:r>
        <w:t xml:space="preserve"> abrangência sobre todo o território nacional</w:t>
      </w:r>
      <w:r w:rsidR="00C930C9">
        <w:t xml:space="preserve"> </w:t>
      </w:r>
      <w:r w:rsidR="00D05A7D">
        <w:t>– e isso dentro de um espectro temporal ainda não definitivamente delimitado na jurisprudência, que ainda enseja discussões quanto à questão prescricional</w:t>
      </w:r>
      <w:r>
        <w:t>.</w:t>
      </w:r>
    </w:p>
    <w:p w:rsidR="006C2B8D" w:rsidRDefault="006C2B8D" w:rsidP="006C2B8D">
      <w:pPr>
        <w:pStyle w:val="PargrafodaLista"/>
      </w:pPr>
    </w:p>
    <w:p w:rsidR="006C2B8D" w:rsidRDefault="00C10353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Sob outra perspectiva,</w:t>
      </w:r>
      <w:r w:rsidR="00A40A6D">
        <w:t xml:space="preserve"> </w:t>
      </w:r>
      <w:r w:rsidR="006C2B8D">
        <w:t>provis</w:t>
      </w:r>
      <w:r w:rsidR="00A40A6D">
        <w:t>ões de instituições do SFN relacionadas às citadas demandas judiciais</w:t>
      </w:r>
      <w:r w:rsidR="00FA3858">
        <w:t>, diferentemente d</w:t>
      </w:r>
      <w:r>
        <w:t>o que se verifica no tocante a uma irrestrita análise de</w:t>
      </w:r>
      <w:r w:rsidR="00FA3858">
        <w:t xml:space="preserve"> risco, limita</w:t>
      </w:r>
      <w:r w:rsidR="00A40A6D">
        <w:t>m</w:t>
      </w:r>
      <w:r w:rsidR="00FA3858">
        <w:t xml:space="preserve">-se a perdas </w:t>
      </w:r>
      <w:r>
        <w:t xml:space="preserve">já </w:t>
      </w:r>
      <w:r w:rsidR="00FA3858">
        <w:t xml:space="preserve">esperadas, conforme </w:t>
      </w:r>
      <w:r>
        <w:t xml:space="preserve">a </w:t>
      </w:r>
      <w:r w:rsidR="00FA3858">
        <w:t xml:space="preserve">regulamentação </w:t>
      </w:r>
      <w:r>
        <w:t>de regência</w:t>
      </w:r>
      <w:r w:rsidR="00FA3858">
        <w:t>, consoante o esclarecido na sustentação oral desta Autarquia.</w:t>
      </w:r>
    </w:p>
    <w:p w:rsidR="00A40A6D" w:rsidRDefault="00A40A6D" w:rsidP="00A40A6D">
      <w:pPr>
        <w:pStyle w:val="PargrafodaLista"/>
      </w:pPr>
    </w:p>
    <w:p w:rsidR="009E5C16" w:rsidRDefault="00AF0282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Assim</w:t>
      </w:r>
      <w:r w:rsidR="00BD324D">
        <w:t xml:space="preserve">, </w:t>
      </w:r>
      <w:r w:rsidR="00914A57">
        <w:t xml:space="preserve">instituições do SFN não devem constituir provisão nem mesmo para perdas possíveis ou cujos valores não possam ser estimados com razoável precisão para fins contábeis, </w:t>
      </w:r>
      <w:r w:rsidR="00064AFD">
        <w:t>a teor da regulamentação delineada no art. 1º da Resolução nº 3.823, de 16 de dezembro de 2009, do Conselho Monetário Nacional (CMN)</w:t>
      </w:r>
      <w:r w:rsidR="00914A57">
        <w:t xml:space="preserve">. </w:t>
      </w:r>
      <w:r w:rsidR="00B66C0A">
        <w:t>Afinal</w:t>
      </w:r>
      <w:r w:rsidR="00914A57">
        <w:t>, aumentando o passivo</w:t>
      </w:r>
      <w:r w:rsidR="00B66C0A">
        <w:t xml:space="preserve">, provisões </w:t>
      </w:r>
      <w:r w:rsidR="003A7931">
        <w:t>possuem reflexos tributários que poderiam privilegiar indevidamente as instituições financeiras</w:t>
      </w:r>
      <w:r w:rsidR="00C10353">
        <w:t>,</w:t>
      </w:r>
      <w:r w:rsidR="003A7931">
        <w:t xml:space="preserve"> caso </w:t>
      </w:r>
      <w:r w:rsidR="00FA718A">
        <w:t xml:space="preserve">não fosse </w:t>
      </w:r>
      <w:r w:rsidR="00C10353">
        <w:t>limitada</w:t>
      </w:r>
      <w:r w:rsidR="00FA718A">
        <w:t xml:space="preserve"> a abrangência dos riscos provisionáveis.</w:t>
      </w:r>
    </w:p>
    <w:p w:rsidR="009E5C16" w:rsidRDefault="009E5C16" w:rsidP="009E5C16">
      <w:pPr>
        <w:pStyle w:val="PargrafodaLista"/>
      </w:pPr>
    </w:p>
    <w:p w:rsidR="00A40A6D" w:rsidRDefault="00AF0282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P</w:t>
      </w:r>
      <w:r w:rsidR="009E5C16">
        <w:t>rovisões não contemplam nem mesmo ações coletivas, o</w:t>
      </w:r>
      <w:r w:rsidR="00F87080">
        <w:t xml:space="preserve"> que faz toda diferença, </w:t>
      </w:r>
      <w:r w:rsidR="001D325C">
        <w:t>mesmo considerando a possibilidade</w:t>
      </w:r>
      <w:r w:rsidR="00CF1B04">
        <w:t xml:space="preserve"> de condenação em </w:t>
      </w:r>
      <w:r w:rsidR="00F87080">
        <w:t xml:space="preserve">uma única ação da espécie, </w:t>
      </w:r>
      <w:r w:rsidR="001D325C">
        <w:t xml:space="preserve">a depender do seu objeto e </w:t>
      </w:r>
      <w:r w:rsidR="00CF1B04">
        <w:t xml:space="preserve">se atribuída maior </w:t>
      </w:r>
      <w:r w:rsidR="00F87080">
        <w:t xml:space="preserve">abrangência </w:t>
      </w:r>
      <w:r w:rsidR="00CF1B04">
        <w:t>ao julgamento</w:t>
      </w:r>
      <w:r w:rsidR="00D0659B">
        <w:t xml:space="preserve">, </w:t>
      </w:r>
      <w:r w:rsidR="00CF1B04">
        <w:t xml:space="preserve">na linha do que a Corte Especial do </w:t>
      </w:r>
      <w:r w:rsidR="00D0659B">
        <w:t>Superior Tribunal de Justiça (STJ)</w:t>
      </w:r>
      <w:r w:rsidR="00CF1B04">
        <w:t xml:space="preserve"> já chegou a </w:t>
      </w:r>
      <w:r w:rsidR="001D325C">
        <w:t>decidir</w:t>
      </w:r>
      <w:r w:rsidR="00CF1B04">
        <w:t xml:space="preserve"> ao apreciar o</w:t>
      </w:r>
      <w:r w:rsidR="00F87080">
        <w:t xml:space="preserve"> </w:t>
      </w:r>
      <w:r w:rsidR="00D0659B" w:rsidRPr="00D0659B">
        <w:t>REsp 1243887/PR</w:t>
      </w:r>
      <w:r w:rsidR="00D0659B">
        <w:rPr>
          <w:rStyle w:val="Refdenotaderodap"/>
        </w:rPr>
        <w:footnoteReference w:id="1"/>
      </w:r>
      <w:r w:rsidR="00CF1B04">
        <w:t>.</w:t>
      </w:r>
      <w:r w:rsidR="001D325C">
        <w:t xml:space="preserve"> As instituições do SFN tampouco têm contemplado em suas provisões perspectiva de condenação relativamente a todos os planos monetários, já que, na jurisprudência atual, há linha de precedentes que lhes são favoráveis relativamente a alguns dos planos.</w:t>
      </w:r>
      <w:r w:rsidR="00BF4167">
        <w:t xml:space="preserve"> Os próprios representantes do Idec sabem disso e já o declararam inclusive </w:t>
      </w:r>
      <w:r w:rsidR="009346AA">
        <w:t>pel</w:t>
      </w:r>
      <w:r w:rsidR="00BF4167">
        <w:t>a imprensa</w:t>
      </w:r>
      <w:r w:rsidR="00BF4167">
        <w:rPr>
          <w:rStyle w:val="Refdenotaderodap"/>
        </w:rPr>
        <w:footnoteReference w:id="2"/>
      </w:r>
      <w:r w:rsidR="00BF4167">
        <w:t>.</w:t>
      </w:r>
    </w:p>
    <w:p w:rsidR="001D325C" w:rsidRDefault="001D325C" w:rsidP="001D325C">
      <w:pPr>
        <w:pStyle w:val="PargrafodaLista"/>
      </w:pPr>
    </w:p>
    <w:p w:rsidR="001D325C" w:rsidRDefault="001D325C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O que o STF vier a decidir na ADPF nº 165/DF, contudo, pode vir a afetar diretamente todos os processos sobre todos os planos monetários nela discutidos, de modo que provisões não se mostram como referência adequada para avaliação do impacto potencial envolvido</w:t>
      </w:r>
      <w:r w:rsidR="00B26F7C">
        <w:t xml:space="preserve">, </w:t>
      </w:r>
      <w:r w:rsidR="008A533E">
        <w:t>equívoco</w:t>
      </w:r>
      <w:r w:rsidR="00B26F7C">
        <w:t xml:space="preserve"> </w:t>
      </w:r>
      <w:r w:rsidR="008A533E">
        <w:t xml:space="preserve">no qual </w:t>
      </w:r>
      <w:r w:rsidR="00B26F7C">
        <w:t>o Idec parece insist</w:t>
      </w:r>
      <w:r w:rsidR="008A533E">
        <w:t>ir</w:t>
      </w:r>
      <w:r w:rsidR="00B26F7C">
        <w:t xml:space="preserve"> convenientemente</w:t>
      </w:r>
      <w:r>
        <w:t>.</w:t>
      </w:r>
    </w:p>
    <w:p w:rsidR="001D325C" w:rsidRDefault="001D325C" w:rsidP="001D325C">
      <w:pPr>
        <w:pStyle w:val="PargrafodaLista"/>
      </w:pPr>
    </w:p>
    <w:p w:rsidR="001D325C" w:rsidRDefault="001D325C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Provisões prestam-se a finalidade contábil. Voltam-se a mera mitigação de impactos já esperados </w:t>
      </w:r>
      <w:r w:rsidR="00E33783">
        <w:t xml:space="preserve">e </w:t>
      </w:r>
      <w:r w:rsidR="008A533E">
        <w:t xml:space="preserve">efetivamente </w:t>
      </w:r>
      <w:r w:rsidR="00E33783">
        <w:t>passíveis de mensuração para efeitos contábeis, tendo em vista</w:t>
      </w:r>
      <w:r w:rsidR="002D3AC6">
        <w:t>, inclusive,</w:t>
      </w:r>
      <w:r w:rsidR="00E33783">
        <w:t xml:space="preserve"> </w:t>
      </w:r>
      <w:r w:rsidR="00CC0629">
        <w:t xml:space="preserve">a ponderação entre </w:t>
      </w:r>
      <w:r w:rsidR="00E33783">
        <w:t>seus reflexos tributários</w:t>
      </w:r>
      <w:r w:rsidR="00CC0629">
        <w:t xml:space="preserve"> e sua finalidade prudencial, relacionada à higidez do SFN.</w:t>
      </w:r>
      <w:r w:rsidR="009346AA">
        <w:t xml:space="preserve"> Nesse sentido, </w:t>
      </w:r>
      <w:r w:rsidR="00037EBE">
        <w:t>são claríssimos os seguintes itens do Pronunciamento Técnico 25 do Comitê de Pronunciamentos Contábeis (CPC)</w:t>
      </w:r>
      <w:r w:rsidR="00493E20">
        <w:rPr>
          <w:rStyle w:val="Refdenotaderodap"/>
        </w:rPr>
        <w:footnoteReference w:id="3"/>
      </w:r>
      <w:r w:rsidR="00037EBE">
        <w:t>, referenciado no aludido art. 1º da Resolução nº 3.823, de 2009, do CMN:</w:t>
      </w:r>
    </w:p>
    <w:p w:rsidR="006C2B8D" w:rsidRDefault="006C2B8D" w:rsidP="00427403"/>
    <w:p w:rsidR="00493E20" w:rsidRPr="00427403" w:rsidRDefault="00037EBE" w:rsidP="00427403">
      <w:pPr>
        <w:ind w:left="1418"/>
        <w:rPr>
          <w:i/>
        </w:rPr>
      </w:pPr>
      <w:r>
        <w:t>“</w:t>
      </w:r>
      <w:r w:rsidR="00493E20" w:rsidRPr="00427403">
        <w:rPr>
          <w:i/>
        </w:rPr>
        <w:t xml:space="preserve">Reconhecimento </w:t>
      </w:r>
    </w:p>
    <w:p w:rsidR="00493E20" w:rsidRPr="00427403" w:rsidRDefault="00493E20" w:rsidP="00427403">
      <w:pPr>
        <w:spacing w:before="120"/>
        <w:ind w:left="1418"/>
        <w:rPr>
          <w:i/>
        </w:rPr>
      </w:pPr>
      <w:r w:rsidRPr="00427403">
        <w:rPr>
          <w:i/>
        </w:rPr>
        <w:t xml:space="preserve">Provisões </w:t>
      </w:r>
    </w:p>
    <w:p w:rsidR="00493E20" w:rsidRPr="00427403" w:rsidRDefault="00493E20" w:rsidP="00427403">
      <w:pPr>
        <w:spacing w:before="120"/>
        <w:ind w:left="1418"/>
        <w:rPr>
          <w:i/>
        </w:rPr>
      </w:pPr>
      <w:r w:rsidRPr="00427403">
        <w:rPr>
          <w:i/>
        </w:rPr>
        <w:t>14.</w:t>
      </w:r>
      <w:r w:rsidRPr="00427403">
        <w:rPr>
          <w:i/>
        </w:rPr>
        <w:tab/>
        <w:t>Uma provisão deve ser reconhecida quando:</w:t>
      </w:r>
    </w:p>
    <w:p w:rsidR="00493E20" w:rsidRPr="00427403" w:rsidRDefault="00493E20" w:rsidP="00427403">
      <w:pPr>
        <w:spacing w:before="120"/>
        <w:ind w:left="1418" w:firstLine="706"/>
        <w:rPr>
          <w:i/>
        </w:rPr>
      </w:pPr>
      <w:r w:rsidRPr="00427403">
        <w:rPr>
          <w:i/>
        </w:rPr>
        <w:t>(a) a entidade tem uma obrigação presente (legal ou não formalizada) como resultado de um evento passado;</w:t>
      </w:r>
    </w:p>
    <w:p w:rsidR="00493E20" w:rsidRPr="00427403" w:rsidRDefault="00493E20" w:rsidP="00427403">
      <w:pPr>
        <w:spacing w:before="120"/>
        <w:ind w:left="1418" w:firstLine="706"/>
        <w:rPr>
          <w:i/>
        </w:rPr>
      </w:pPr>
      <w:r w:rsidRPr="00427403">
        <w:rPr>
          <w:i/>
        </w:rPr>
        <w:t>(b) seja provável que será necessária uma saída de recursos que incorporam benefícios econômicos para liquidar a obrigação; e</w:t>
      </w:r>
    </w:p>
    <w:p w:rsidR="00493E20" w:rsidRPr="00427403" w:rsidRDefault="00493E20" w:rsidP="00427403">
      <w:pPr>
        <w:spacing w:before="120"/>
        <w:ind w:left="1418" w:firstLine="706"/>
        <w:rPr>
          <w:i/>
        </w:rPr>
      </w:pPr>
      <w:r w:rsidRPr="00427403">
        <w:rPr>
          <w:i/>
        </w:rPr>
        <w:t>(c) possa ser feita uma estimativa confiável do valor da obrigação.</w:t>
      </w:r>
    </w:p>
    <w:p w:rsidR="00037EBE" w:rsidRDefault="00493E20" w:rsidP="00427403">
      <w:pPr>
        <w:spacing w:before="120"/>
        <w:ind w:left="1418" w:firstLine="706"/>
      </w:pPr>
      <w:r w:rsidRPr="00427403">
        <w:rPr>
          <w:i/>
        </w:rPr>
        <w:t>Se essas condições não forem satisfeitas, nenhuma provisão deve ser reconhecida</w:t>
      </w:r>
      <w:r w:rsidR="00037EBE">
        <w:t>”</w:t>
      </w:r>
      <w:r w:rsidR="00F955EA">
        <w:t>.</w:t>
      </w:r>
    </w:p>
    <w:p w:rsidR="00037EBE" w:rsidRDefault="00037EBE" w:rsidP="00427403"/>
    <w:p w:rsidR="00F955EA" w:rsidRDefault="00F955EA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Provisões, em suma, constituem recorte específico do risco de contingências passivas que uma instituição pode vir a sofrer. E um recorte restrito, como referido, a perdas esperadas e contabilizáveis, à vista dos julgamentos já realizados sobre o mesmo tema, no caso de contingências judiciais passivas. Em outros termos, provisões previnem </w:t>
      </w:r>
      <w:r w:rsidR="00734893">
        <w:t>algo</w:t>
      </w:r>
      <w:r>
        <w:t xml:space="preserve"> provável</w:t>
      </w:r>
      <w:r w:rsidR="00734893">
        <w:t xml:space="preserve"> – </w:t>
      </w:r>
      <w:r>
        <w:t>para efeito contábil</w:t>
      </w:r>
      <w:r w:rsidR="00734893">
        <w:t xml:space="preserve"> e com reflexos tributários que não podem ser esquecidos –,</w:t>
      </w:r>
      <w:r>
        <w:t xml:space="preserve"> considerando o que já ocorreu no passado, ao passo em que avaliações de risco </w:t>
      </w:r>
      <w:r w:rsidR="00734893">
        <w:t>consideram todas as possibilidades, tendo em vista o que pode ocorrer no futuro.</w:t>
      </w:r>
    </w:p>
    <w:p w:rsidR="00F955EA" w:rsidRDefault="00F955EA" w:rsidP="00427403">
      <w:pPr>
        <w:pStyle w:val="PargrafodaLista"/>
        <w:tabs>
          <w:tab w:val="left" w:pos="1418"/>
        </w:tabs>
        <w:ind w:left="0"/>
      </w:pPr>
    </w:p>
    <w:p w:rsidR="00923E52" w:rsidRDefault="00FA718A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A despeito desse tipo de esclarecimento, que já havia </w:t>
      </w:r>
      <w:r w:rsidR="00923E52">
        <w:t xml:space="preserve">sido </w:t>
      </w:r>
      <w:r>
        <w:t xml:space="preserve">destacado na sustentação oral desta Autarquia, </w:t>
      </w:r>
      <w:r w:rsidR="002964EF">
        <w:t xml:space="preserve">quando se encontravam presentes advogados do Idec, </w:t>
      </w:r>
      <w:r w:rsidR="00E96D20">
        <w:t xml:space="preserve">a </w:t>
      </w:r>
      <w:r w:rsidR="00923E52">
        <w:t>c</w:t>
      </w:r>
      <w:r w:rsidR="00E96D20">
        <w:t xml:space="preserve">arta </w:t>
      </w:r>
      <w:r w:rsidR="00923E52">
        <w:t>sob exame</w:t>
      </w:r>
      <w:r w:rsidR="00E96D20">
        <w:t>, do terceiro ao quinto parágrafo,</w:t>
      </w:r>
      <w:r w:rsidR="00923E52">
        <w:t xml:space="preserve"> insistiu em associar de modo inconsistente risco e provisão.</w:t>
      </w:r>
      <w:r w:rsidR="00923E52" w:rsidRPr="00923E52">
        <w:t xml:space="preserve"> </w:t>
      </w:r>
      <w:r w:rsidR="00923E52" w:rsidRPr="00360882">
        <w:t xml:space="preserve">Nessa linha, trouxe à baila números do Banco Central referentes a impacto potencial (risco) e afirmou sua desconexão da realidade, para seguir sustentando que, diferentemente, outros números também </w:t>
      </w:r>
      <w:r w:rsidR="00360882" w:rsidRPr="00360882">
        <w:t>pretéritos</w:t>
      </w:r>
      <w:r w:rsidR="00923E52" w:rsidRPr="00360882">
        <w:t xml:space="preserve"> da Autarquia, estes referentes a pagamentos e provisões, seriam “</w:t>
      </w:r>
      <w:r w:rsidR="00923E52" w:rsidRPr="00360882">
        <w:rPr>
          <w:i/>
        </w:rPr>
        <w:t>afetos à realidade</w:t>
      </w:r>
      <w:r w:rsidR="00923E52" w:rsidRPr="00360882">
        <w:t xml:space="preserve">”, </w:t>
      </w:r>
      <w:r w:rsidR="0057558F" w:rsidRPr="00360882">
        <w:t>cabendo providenciar</w:t>
      </w:r>
      <w:r w:rsidR="00923E52" w:rsidRPr="00360882">
        <w:t xml:space="preserve"> sua atualização</w:t>
      </w:r>
      <w:r w:rsidR="00923E52">
        <w:t>.</w:t>
      </w:r>
    </w:p>
    <w:p w:rsidR="00C50286" w:rsidRDefault="00C50286" w:rsidP="00C50286">
      <w:pPr>
        <w:pStyle w:val="PargrafodaLista"/>
      </w:pPr>
    </w:p>
    <w:p w:rsidR="00C50286" w:rsidRDefault="00C50286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Em outros termos, pelo que se vê da carta </w:t>
      </w:r>
      <w:r w:rsidR="005B5BB6">
        <w:t xml:space="preserve">ora </w:t>
      </w:r>
      <w:r>
        <w:t xml:space="preserve">em apreço e de manifestações anteriores de representantes do Idec </w:t>
      </w:r>
      <w:r w:rsidR="00024D2D">
        <w:t xml:space="preserve">nos autos da ADPF nº 165/DF e </w:t>
      </w:r>
      <w:r>
        <w:t xml:space="preserve">pela imprensa </w:t>
      </w:r>
      <w:r w:rsidR="00024D2D">
        <w:t xml:space="preserve">– tribuna </w:t>
      </w:r>
      <w:r w:rsidR="00365F56">
        <w:t xml:space="preserve">predileta </w:t>
      </w:r>
      <w:r w:rsidR="00024D2D">
        <w:t>da entidade –</w:t>
      </w:r>
      <w:r>
        <w:t xml:space="preserve">, </w:t>
      </w:r>
      <w:r w:rsidR="00DB5036">
        <w:t xml:space="preserve">estes parecem querer </w:t>
      </w:r>
      <w:r w:rsidR="00024D2D">
        <w:t>martelar a ideia de</w:t>
      </w:r>
      <w:r w:rsidR="00DB5036">
        <w:t xml:space="preserve"> que risco e provisão referir-se-iam à mesma questão, </w:t>
      </w:r>
      <w:r w:rsidR="0095719F">
        <w:t xml:space="preserve">e </w:t>
      </w:r>
      <w:r w:rsidR="00DB5036">
        <w:t>que</w:t>
      </w:r>
      <w:r w:rsidR="00024D2D">
        <w:t>, conforme sustentam,</w:t>
      </w:r>
      <w:r w:rsidR="00DB5036">
        <w:t xml:space="preserve"> </w:t>
      </w:r>
      <w:r w:rsidR="00923E52">
        <w:t xml:space="preserve">somente números atinentes a </w:t>
      </w:r>
      <w:r w:rsidR="00DB5036">
        <w:t>provis</w:t>
      </w:r>
      <w:r w:rsidR="00923E52">
        <w:t>ões seriam reais, diferentemente daqueles baseados numa avaliação irrestrita de risco</w:t>
      </w:r>
      <w:r w:rsidR="00DB5036">
        <w:t>.</w:t>
      </w:r>
    </w:p>
    <w:p w:rsidR="00C50286" w:rsidRDefault="00C50286" w:rsidP="00C50286">
      <w:pPr>
        <w:pStyle w:val="PargrafodaLista"/>
      </w:pPr>
    </w:p>
    <w:p w:rsidR="005B5BB6" w:rsidRDefault="005B5BB6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Reitero, a propósito, o esclarecimento de que essa linha de ideia não se sustenta, conforme o explicado acima</w:t>
      </w:r>
      <w:r w:rsidR="00B55B14">
        <w:t xml:space="preserve">, mais se prestando à repetição </w:t>
      </w:r>
      <w:r w:rsidR="00B55B14">
        <w:rPr>
          <w:i/>
        </w:rPr>
        <w:t>ad nauseam</w:t>
      </w:r>
      <w:r w:rsidR="00B55B14">
        <w:t xml:space="preserve"> de uma cantilena já superada</w:t>
      </w:r>
      <w:r>
        <w:t>.</w:t>
      </w:r>
    </w:p>
    <w:p w:rsidR="005B5BB6" w:rsidRDefault="005B5BB6" w:rsidP="005B5BB6">
      <w:pPr>
        <w:pStyle w:val="PargrafodaLista"/>
      </w:pPr>
    </w:p>
    <w:p w:rsidR="00E652FD" w:rsidRDefault="005B5BB6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Lembro inclusive </w:t>
      </w:r>
      <w:r w:rsidR="004D3A5F">
        <w:t xml:space="preserve">– o que, aliás, causa estranheza – </w:t>
      </w:r>
      <w:r>
        <w:t xml:space="preserve">que o Idec, em ocasião na qual pareceu compreender o conceito de </w:t>
      </w:r>
      <w:r w:rsidRPr="004D3A5F">
        <w:rPr>
          <w:u w:val="single"/>
        </w:rPr>
        <w:t>apuração do risco</w:t>
      </w:r>
      <w:r>
        <w:t xml:space="preserve"> </w:t>
      </w:r>
      <w:r w:rsidR="004D3A5F">
        <w:t xml:space="preserve">(e não de provisão) </w:t>
      </w:r>
      <w:r>
        <w:t xml:space="preserve">relacionado a </w:t>
      </w:r>
      <w:r w:rsidR="001B7010" w:rsidRPr="001B7010">
        <w:t xml:space="preserve">ações </w:t>
      </w:r>
      <w:r w:rsidR="004D3A5F">
        <w:t>sobre</w:t>
      </w:r>
      <w:r w:rsidR="001B7010" w:rsidRPr="001B7010">
        <w:t xml:space="preserve"> </w:t>
      </w:r>
      <w:r w:rsidR="004D3A5F">
        <w:t xml:space="preserve">os </w:t>
      </w:r>
      <w:r w:rsidR="001B7010" w:rsidRPr="001B7010">
        <w:t>planos discutidos na ADPF</w:t>
      </w:r>
      <w:r w:rsidR="001B7010">
        <w:t xml:space="preserve"> nº 165/DF, </w:t>
      </w:r>
      <w:r w:rsidR="0061070B">
        <w:t>ainda que discordando dos cálculos desta Autarquia no particular, apontou um impacto potencial de R$ 102 bilhões, em vez dos R$ 105 bilhões que o Banco Central indicava em 2008</w:t>
      </w:r>
      <w:r w:rsidR="002C5537">
        <w:t xml:space="preserve">, como se vê da planilha </w:t>
      </w:r>
      <w:r w:rsidR="0075144C">
        <w:t xml:space="preserve">do Instituto </w:t>
      </w:r>
      <w:r w:rsidR="002C5537">
        <w:t>que se encontra à fl. 2.821 dos autos da APDF</w:t>
      </w:r>
      <w:r w:rsidR="0061070B">
        <w:t>.</w:t>
      </w:r>
    </w:p>
    <w:p w:rsidR="00E652FD" w:rsidRDefault="00E652FD" w:rsidP="00E652FD">
      <w:pPr>
        <w:pStyle w:val="PargrafodaLista"/>
      </w:pPr>
    </w:p>
    <w:p w:rsidR="00C10353" w:rsidRDefault="0048035F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A</w:t>
      </w:r>
      <w:r w:rsidR="00DD7F9C">
        <w:t>lém disso</w:t>
      </w:r>
      <w:r>
        <w:t>, é inevitável externar certa perplexidade diante do fato de</w:t>
      </w:r>
      <w:r w:rsidR="002B44EF">
        <w:t xml:space="preserve"> representantes do Idec solicitarem agora, por meio da </w:t>
      </w:r>
      <w:r w:rsidR="00DD7F9C">
        <w:t>referida c</w:t>
      </w:r>
      <w:r w:rsidR="002B131E">
        <w:t xml:space="preserve">arta, a atualização de dados </w:t>
      </w:r>
      <w:r w:rsidR="00DD7F9C">
        <w:t>relativos</w:t>
      </w:r>
      <w:r w:rsidR="002B131E">
        <w:t xml:space="preserve"> a </w:t>
      </w:r>
      <w:r w:rsidR="002B131E" w:rsidRPr="00392514">
        <w:rPr>
          <w:u w:val="single"/>
        </w:rPr>
        <w:t>provisões</w:t>
      </w:r>
      <w:r w:rsidR="002B131E">
        <w:t xml:space="preserve"> que, supostamente, já teriam levado em conta ao apresentar estudo divulgado pela imprensa no sentido de que os “</w:t>
      </w:r>
      <w:r w:rsidR="002B131E" w:rsidRPr="002B131E">
        <w:rPr>
          <w:i/>
        </w:rPr>
        <w:t>maiores bancos do país têm reservados R$ 18,2 bilhões para indenizar os correntistas por supostas correções indevidas nas poupanças à época dos planos Bresser (1987), Verão (1989), Collor 1 (1990) e Collor 2 (1991)</w:t>
      </w:r>
      <w:r w:rsidR="002B131E">
        <w:t>”</w:t>
      </w:r>
      <w:r w:rsidR="002B131E">
        <w:rPr>
          <w:rStyle w:val="Refdenotaderodap"/>
        </w:rPr>
        <w:footnoteReference w:id="4"/>
      </w:r>
      <w:r w:rsidR="00326CA1">
        <w:t>, ou mesmo ao enviar à Presidência da República a Carta Idec nº 801/2013/Coex, de 25 de novembro de 2013, com estudo indicando R$ 8,465 bilhões como “</w:t>
      </w:r>
      <w:r w:rsidR="00326CA1" w:rsidRPr="00326CA1">
        <w:rPr>
          <w:i/>
        </w:rPr>
        <w:t>valor potencial máximo a ser devolvido</w:t>
      </w:r>
      <w:r w:rsidR="00326CA1">
        <w:t>”</w:t>
      </w:r>
      <w:r w:rsidR="00193C50">
        <w:t>.</w:t>
      </w:r>
    </w:p>
    <w:p w:rsidR="00C10353" w:rsidRDefault="00C10353" w:rsidP="00C10353">
      <w:pPr>
        <w:pStyle w:val="PargrafodaLista"/>
      </w:pPr>
    </w:p>
    <w:p w:rsidR="00193C50" w:rsidRDefault="006D0C66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Assim</w:t>
      </w:r>
      <w:r w:rsidR="00C10353">
        <w:t>, por um lado, se o Idec já obteve acesso ao tipo de dado de que se trata</w:t>
      </w:r>
      <w:r w:rsidR="00820135">
        <w:t xml:space="preserve"> –</w:t>
      </w:r>
      <w:r w:rsidR="00C10353">
        <w:t xml:space="preserve"> </w:t>
      </w:r>
      <w:r>
        <w:t>tanto que falou abertamente para a imprensa e para autoridades governamentais</w:t>
      </w:r>
      <w:r w:rsidR="005F3379">
        <w:t xml:space="preserve">, </w:t>
      </w:r>
      <w:r>
        <w:t>ora mencionando R$ 18,2, ora R$ 8,4 bilhões</w:t>
      </w:r>
      <w:r w:rsidR="00432732">
        <w:t>,</w:t>
      </w:r>
      <w:r>
        <w:t xml:space="preserve"> </w:t>
      </w:r>
      <w:r w:rsidR="005F3379">
        <w:t xml:space="preserve">curiosamente </w:t>
      </w:r>
      <w:r>
        <w:t>num int</w:t>
      </w:r>
      <w:r w:rsidR="005F3379">
        <w:t>ervalo de poucos dias</w:t>
      </w:r>
      <w:r w:rsidR="00820135">
        <w:t xml:space="preserve"> –</w:t>
      </w:r>
      <w:r>
        <w:t xml:space="preserve">, </w:t>
      </w:r>
      <w:r w:rsidR="00C10353">
        <w:t>não seria compreensível o despropósito de demand</w:t>
      </w:r>
      <w:r w:rsidR="00820135">
        <w:t>ar a mesma informação</w:t>
      </w:r>
      <w:r w:rsidR="00C10353">
        <w:t xml:space="preserve"> ao Banco Central</w:t>
      </w:r>
      <w:r w:rsidR="005F3379">
        <w:t xml:space="preserve">, a não ser, </w:t>
      </w:r>
      <w:r w:rsidR="005F3379">
        <w:rPr>
          <w:i/>
        </w:rPr>
        <w:t>data v</w:t>
      </w:r>
      <w:r w:rsidR="00B97639">
        <w:rPr>
          <w:i/>
        </w:rPr>
        <w:t>e</w:t>
      </w:r>
      <w:r w:rsidR="005F3379">
        <w:rPr>
          <w:i/>
        </w:rPr>
        <w:t>nia,</w:t>
      </w:r>
      <w:r w:rsidR="005F3379">
        <w:t xml:space="preserve"> com o fim de tentar provocar contradições para desqualificar a Autoridade Monetária</w:t>
      </w:r>
      <w:r w:rsidR="00C10353">
        <w:t>. Se</w:t>
      </w:r>
      <w:r w:rsidR="00820135">
        <w:t>, por outro lado,</w:t>
      </w:r>
      <w:r w:rsidR="00C10353">
        <w:t xml:space="preserve"> </w:t>
      </w:r>
      <w:r w:rsidR="00820135">
        <w:t xml:space="preserve">o Idec </w:t>
      </w:r>
      <w:r w:rsidR="00C10353">
        <w:t>não obteve o acesso, teria sido infundada e temerária, para dizer o mínimo, a afirmação consignada no</w:t>
      </w:r>
      <w:r w:rsidR="00D65C75">
        <w:t>s</w:t>
      </w:r>
      <w:r w:rsidR="00C10353">
        <w:t xml:space="preserve"> </w:t>
      </w:r>
      <w:r w:rsidR="00D65C75">
        <w:t>cálculos que amplamente divulgou</w:t>
      </w:r>
      <w:r w:rsidR="00C10353">
        <w:t>.</w:t>
      </w:r>
    </w:p>
    <w:p w:rsidR="00193C50" w:rsidRDefault="00193C50" w:rsidP="006C2B8D">
      <w:pPr>
        <w:pStyle w:val="PargrafodaLista"/>
        <w:tabs>
          <w:tab w:val="left" w:pos="1418"/>
        </w:tabs>
        <w:ind w:left="0"/>
      </w:pPr>
    </w:p>
    <w:p w:rsidR="00D30501" w:rsidRPr="008D1931" w:rsidRDefault="005F6325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De todo modo, independentemente daquilo que esse tipo de incongruência possa revelar quanto ao modo como os representantes do Idec vêm atuando no caso, o determinante, </w:t>
      </w:r>
      <w:r w:rsidR="00357C0C">
        <w:t xml:space="preserve">no que se refere </w:t>
      </w:r>
      <w:r>
        <w:t>ao</w:t>
      </w:r>
      <w:r w:rsidR="00357C0C">
        <w:t xml:space="preserve"> quanto</w:t>
      </w:r>
      <w:r>
        <w:t xml:space="preserve"> especificamente demandado por meio da Carta Idec nº 843/2013/Coex, é que o Banco Central não tem o dever de fornecê-lo ao requerente, a teor das pertinentes disposições da </w:t>
      </w:r>
      <w:r w:rsidR="00357C0C">
        <w:t>LAI</w:t>
      </w:r>
      <w:r w:rsidR="00D30501" w:rsidRPr="008D1931">
        <w:t>.</w:t>
      </w:r>
    </w:p>
    <w:p w:rsidR="00D30501" w:rsidRPr="008D1931" w:rsidRDefault="00D30501" w:rsidP="006C2B8D">
      <w:pPr>
        <w:pStyle w:val="PargrafodaLista"/>
        <w:tabs>
          <w:tab w:val="left" w:pos="1418"/>
        </w:tabs>
        <w:ind w:left="0"/>
      </w:pPr>
    </w:p>
    <w:p w:rsidR="00235775" w:rsidRDefault="00D411A3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A</w:t>
      </w:r>
      <w:r w:rsidR="00354A6C">
        <w:t xml:space="preserve"> atualização pretendida </w:t>
      </w:r>
      <w:r w:rsidR="009E2A40">
        <w:t xml:space="preserve">e a resposta aos questionamentos listados no penúltimo parágrafo da Carta Idec nº 843/2013/Coex </w:t>
      </w:r>
      <w:r w:rsidR="00354A6C">
        <w:t>esbarra</w:t>
      </w:r>
      <w:r w:rsidR="009E2A40">
        <w:t>m</w:t>
      </w:r>
      <w:r w:rsidR="00354A6C">
        <w:t xml:space="preserve"> no inciso III do art. 13 </w:t>
      </w:r>
      <w:r w:rsidR="00724A67">
        <w:t xml:space="preserve">do Decreto nº 7.724, de 16 de maio de 2012, que regulamenta a LAI, estabelecendo que não serão atendidos pedidos de acesso à informação </w:t>
      </w:r>
      <w:r w:rsidR="00724A67" w:rsidRPr="00A80593">
        <w:rPr>
          <w:b/>
        </w:rPr>
        <w:t>“</w:t>
      </w:r>
      <w:r w:rsidR="00724A67" w:rsidRPr="00A80593">
        <w:rPr>
          <w:b/>
          <w:i/>
        </w:rPr>
        <w:t>que exijam trabalhos adicionais de análise, interpretação ou consolidação de dados e informações</w:t>
      </w:r>
      <w:r w:rsidR="00724A67" w:rsidRPr="00A80593">
        <w:rPr>
          <w:b/>
        </w:rPr>
        <w:t>”</w:t>
      </w:r>
      <w:r w:rsidR="00724A67">
        <w:t>, numa decorrência lógico-jurídica</w:t>
      </w:r>
      <w:r w:rsidR="000847F0">
        <w:t xml:space="preserve"> do inciso II do art. 7º da Lei nº 12.527, de 2011</w:t>
      </w:r>
      <w:r w:rsidR="00754733">
        <w:t>, que franqueia o acesso apenas a informações que já tenham sido produzid</w:t>
      </w:r>
      <w:r w:rsidR="002C265C">
        <w:t>a</w:t>
      </w:r>
      <w:r w:rsidR="00754733">
        <w:t>s ou acumulad</w:t>
      </w:r>
      <w:r w:rsidR="002C265C">
        <w:t>a</w:t>
      </w:r>
      <w:r w:rsidR="00754733">
        <w:t>s</w:t>
      </w:r>
      <w:r w:rsidR="009E2A40">
        <w:t xml:space="preserve"> pela Administração</w:t>
      </w:r>
      <w:r w:rsidR="00F436D0">
        <w:t>, consoante o destacado na anexa Nota Jurídica 6685/2013-BCB/PGBC, de 27 de dezembro de 2013, referente a demanda</w:t>
      </w:r>
      <w:r w:rsidR="0001573D">
        <w:t>, por coincidência,</w:t>
      </w:r>
      <w:r w:rsidR="00F436D0">
        <w:t xml:space="preserve"> </w:t>
      </w:r>
      <w:r w:rsidR="00A21A67">
        <w:t>similar à que se analisa no caso vertente</w:t>
      </w:r>
      <w:r w:rsidR="005A362A" w:rsidRPr="008D1931">
        <w:t>.</w:t>
      </w:r>
    </w:p>
    <w:p w:rsidR="00235775" w:rsidRDefault="00235775" w:rsidP="00235775">
      <w:pPr>
        <w:pStyle w:val="PargrafodaLista"/>
      </w:pPr>
    </w:p>
    <w:p w:rsidR="00B65969" w:rsidRDefault="000D2AF1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Ademais, em relação aos dados solicitados nos itens 1 a 3 do penúltimo parágrafo</w:t>
      </w:r>
      <w:r w:rsidR="00B65969">
        <w:t xml:space="preserve"> da carta do Idec</w:t>
      </w:r>
      <w:r>
        <w:t>, trata-se de elementos cuja pormenorização concerne eminentemente às próprias instituições financeiras, e não ao Banco Central.</w:t>
      </w:r>
      <w:r w:rsidR="00F12BFB">
        <w:t xml:space="preserve"> E quanto à atualização dos dados solicitados sobre provisões, não bastasse a falta de amparo legal para seu fornecimento </w:t>
      </w:r>
      <w:r w:rsidR="00F12BFB">
        <w:rPr>
          <w:i/>
        </w:rPr>
        <w:t>in casu</w:t>
      </w:r>
      <w:r w:rsidR="00F12BFB">
        <w:t xml:space="preserve">, a sustentação oral do Banco Central </w:t>
      </w:r>
      <w:r w:rsidR="00A21A67">
        <w:t xml:space="preserve">na ADPF nº 165/DF </w:t>
      </w:r>
      <w:r w:rsidR="00F12BFB">
        <w:t>já contemplou o que havia para ser atualizado.</w:t>
      </w:r>
    </w:p>
    <w:p w:rsidR="00B65969" w:rsidRDefault="00B65969" w:rsidP="00427403">
      <w:pPr>
        <w:pStyle w:val="PargrafodaLista"/>
      </w:pPr>
    </w:p>
    <w:p w:rsidR="000D2AF1" w:rsidRDefault="00B65969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Noutro giro, caso o questionamento sobre se os “</w:t>
      </w:r>
      <w:r w:rsidRPr="00106260">
        <w:rPr>
          <w:i/>
        </w:rPr>
        <w:t>valores provisionados pelas instituições incluem as execuções individuais de ações coletivas</w:t>
      </w:r>
      <w:r>
        <w:t xml:space="preserve">” (item 2 do penúltimo parágrafo da Carta Idec nº 843/2013/Coex) tenha sido apresentado no sentido de perquirir se os mencionados valores deveriam incluir as citadas execuções, estar-se-ia diante de consulta </w:t>
      </w:r>
      <w:r w:rsidR="002966D9">
        <w:t xml:space="preserve">de terceiros </w:t>
      </w:r>
      <w:r>
        <w:t xml:space="preserve">sobre a interpretação da legislação de regência (Resolução nº 3.823, de 2009, do CMN), algo que, não constituindo pedido de acesso à informação, tal como definida no art. </w:t>
      </w:r>
      <w:r w:rsidR="002966D9">
        <w:t xml:space="preserve">4º da LAI, tampouco </w:t>
      </w:r>
      <w:r w:rsidR="00BF14AB">
        <w:t>caberia fornecer na hipótese.</w:t>
      </w:r>
    </w:p>
    <w:p w:rsidR="000D2AF1" w:rsidRDefault="000D2AF1" w:rsidP="000D2AF1">
      <w:pPr>
        <w:pStyle w:val="PargrafodaLista"/>
      </w:pPr>
    </w:p>
    <w:p w:rsidR="00034B06" w:rsidRPr="008D1931" w:rsidRDefault="00BF14AB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Nessa linha</w:t>
      </w:r>
      <w:r w:rsidR="00235775">
        <w:t xml:space="preserve">, </w:t>
      </w:r>
      <w:r>
        <w:t xml:space="preserve">ressalto que, no tocante </w:t>
      </w:r>
      <w:r w:rsidR="00235775">
        <w:t xml:space="preserve">ao </w:t>
      </w:r>
      <w:r w:rsidR="00A603FA">
        <w:t xml:space="preserve">pedido em exame, assim como </w:t>
      </w:r>
      <w:r>
        <w:t>relativamente</w:t>
      </w:r>
      <w:r w:rsidR="00A603FA">
        <w:t xml:space="preserve"> ao </w:t>
      </w:r>
      <w:r w:rsidR="00235775">
        <w:t>julgamento da ADPF nº 165/DF, a questão fundamental é de índole jurídica</w:t>
      </w:r>
      <w:r w:rsidR="00260A70">
        <w:t xml:space="preserve"> – outro esclarecimento que se reitera, apesar de sua obviedade, </w:t>
      </w:r>
      <w:r w:rsidR="008A5C28">
        <w:t xml:space="preserve">ante </w:t>
      </w:r>
      <w:r w:rsidR="007F5653">
        <w:t>o</w:t>
      </w:r>
      <w:r w:rsidR="008A5C28">
        <w:t xml:space="preserve"> aparente</w:t>
      </w:r>
      <w:r w:rsidR="007F5653">
        <w:t xml:space="preserve"> esforço de representantes do Idec em </w:t>
      </w:r>
      <w:r w:rsidR="00DD1E11">
        <w:t>não enfrentar</w:t>
      </w:r>
      <w:r w:rsidR="007F5653">
        <w:t xml:space="preserve"> temas jurídico</w:t>
      </w:r>
      <w:r w:rsidR="00A603FA">
        <w:t>-constitucionais</w:t>
      </w:r>
      <w:r w:rsidR="007F5653">
        <w:t xml:space="preserve"> </w:t>
      </w:r>
      <w:r w:rsidR="00DD1E11">
        <w:t>n</w:t>
      </w:r>
      <w:r w:rsidR="007F5653">
        <w:t>o que concerne a esse processo</w:t>
      </w:r>
      <w:r w:rsidR="00235775">
        <w:t>.</w:t>
      </w:r>
    </w:p>
    <w:p w:rsidR="00F35DF7" w:rsidRPr="008D1931" w:rsidRDefault="00F35DF7" w:rsidP="006C2B8D">
      <w:pPr>
        <w:pStyle w:val="PargrafodaLista"/>
      </w:pPr>
    </w:p>
    <w:p w:rsidR="00F35DF7" w:rsidRDefault="006611CA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Dessa forma</w:t>
      </w:r>
      <w:r w:rsidR="007F5653">
        <w:t>, com base nas razões jurídicas indicadas acima, que adoto como fundamentação, comunico que o presente ofício consubstancia decisão por meio da qual nego o fornecimento do quanto especificamente solicitado na Carta Idec nº 843/2013/Coex com base na LAI</w:t>
      </w:r>
      <w:r w:rsidR="00411E9E" w:rsidRPr="008D1931">
        <w:t>.</w:t>
      </w:r>
    </w:p>
    <w:p w:rsidR="007F5653" w:rsidRDefault="007F5653" w:rsidP="007F5653">
      <w:pPr>
        <w:pStyle w:val="PargrafodaLista"/>
      </w:pPr>
    </w:p>
    <w:p w:rsidR="007F5653" w:rsidRDefault="00BC3C5C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Presente essa decisão, sem prejuízo dos esclarecimentos articulados neste expediente, </w:t>
      </w:r>
      <w:r w:rsidR="0072681C">
        <w:t xml:space="preserve">bem como </w:t>
      </w:r>
      <w:r w:rsidR="00BF14AB">
        <w:t xml:space="preserve">na anexa cópia de nota jurídica e </w:t>
      </w:r>
      <w:r w:rsidR="0072681C">
        <w:t>no texto igualmente anexo</w:t>
      </w:r>
      <w:r w:rsidR="007541D5">
        <w:t xml:space="preserve"> com o teor da sustentação oral desta Autarquia na ADPF nº 165/DF</w:t>
      </w:r>
      <w:r w:rsidR="0072681C">
        <w:t xml:space="preserve">, </w:t>
      </w:r>
      <w:r w:rsidR="007541D5">
        <w:t>colh</w:t>
      </w:r>
      <w:r w:rsidR="000F3FE1">
        <w:t>o o ensejo</w:t>
      </w:r>
      <w:r w:rsidR="0032409C">
        <w:t>, por fim,</w:t>
      </w:r>
      <w:r w:rsidR="000F3FE1">
        <w:t xml:space="preserve"> para</w:t>
      </w:r>
      <w:r w:rsidR="004E7F25" w:rsidRPr="004E7F25">
        <w:t xml:space="preserve"> </w:t>
      </w:r>
      <w:r w:rsidR="004E7F25">
        <w:t>conclamar os integrantes do Idec a manter um debate constitucional elevado no processo, na sede própria que é a Suprema Corte do País</w:t>
      </w:r>
      <w:r w:rsidR="000F3FE1">
        <w:t>,</w:t>
      </w:r>
      <w:r w:rsidR="004E7F25">
        <w:t xml:space="preserve"> </w:t>
      </w:r>
      <w:r w:rsidR="000F3FE1">
        <w:t>lastimando a reiteração de expedientes que, fora dos autos</w:t>
      </w:r>
      <w:r w:rsidR="007541D5">
        <w:t xml:space="preserve"> judiciais</w:t>
      </w:r>
      <w:r w:rsidR="000F3FE1">
        <w:t>, bus</w:t>
      </w:r>
      <w:r w:rsidR="007541D5">
        <w:t xml:space="preserve">quem </w:t>
      </w:r>
      <w:r w:rsidR="000F3FE1">
        <w:t>constranger ou desqualificar o Banco Central</w:t>
      </w:r>
      <w:r w:rsidR="00BF14AB">
        <w:t>,</w:t>
      </w:r>
      <w:r w:rsidR="000F3FE1">
        <w:t xml:space="preserve"> ou seus representantes</w:t>
      </w:r>
      <w:r w:rsidR="00BF14AB">
        <w:t>,</w:t>
      </w:r>
      <w:r w:rsidR="000F3FE1">
        <w:t xml:space="preserve"> como </w:t>
      </w:r>
      <w:r w:rsidR="00CF290B">
        <w:t>estratagema</w:t>
      </w:r>
      <w:r w:rsidR="000F3FE1">
        <w:t xml:space="preserve"> de atuação processual</w:t>
      </w:r>
      <w:r>
        <w:t>.</w:t>
      </w:r>
    </w:p>
    <w:p w:rsidR="00C56950" w:rsidRDefault="00C56950" w:rsidP="00C56950">
      <w:pPr>
        <w:pStyle w:val="PargrafodaLista"/>
      </w:pPr>
    </w:p>
    <w:p w:rsidR="00632E1D" w:rsidRPr="00632E1D" w:rsidRDefault="004F7AAF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Expedientes como a Proposta de Fiscalização e Controle </w:t>
      </w:r>
      <w:r w:rsidR="00326CA1">
        <w:t xml:space="preserve">(PFC) </w:t>
      </w:r>
      <w:r>
        <w:t xml:space="preserve">nº 100, de 2009, instaurada para </w:t>
      </w:r>
      <w:r w:rsidR="00BF14AB">
        <w:t xml:space="preserve">sindicar </w:t>
      </w:r>
      <w:r>
        <w:t xml:space="preserve">a atuação do Banco Central no tocante ao seu ingresso como </w:t>
      </w:r>
      <w:r w:rsidRPr="004F7AAF">
        <w:rPr>
          <w:i/>
        </w:rPr>
        <w:t>amicus curiae</w:t>
      </w:r>
      <w:r>
        <w:t xml:space="preserve"> na ADPF nº 165/DF</w:t>
      </w:r>
      <w:r w:rsidR="00326CA1">
        <w:t>; a provocação do Ministério Público para que promova</w:t>
      </w:r>
      <w:r>
        <w:t xml:space="preserve"> </w:t>
      </w:r>
      <w:r w:rsidR="00326CA1">
        <w:t>a responsabilidade por infrações “apuradas” naquela PFC</w:t>
      </w:r>
      <w:r w:rsidR="00326CA1">
        <w:rPr>
          <w:rStyle w:val="Refdenotaderodap"/>
        </w:rPr>
        <w:footnoteReference w:id="5"/>
      </w:r>
      <w:r w:rsidR="00326CA1">
        <w:t xml:space="preserve">; o envio de expediente como a Carta Idec nº 801/2013/Coex </w:t>
      </w:r>
      <w:r w:rsidR="00A940F4">
        <w:t>a autoridades governamentais</w:t>
      </w:r>
      <w:r w:rsidR="00D046F9">
        <w:t xml:space="preserve">; a utilização de poderes de requisição parlamentar </w:t>
      </w:r>
      <w:r w:rsidR="00632E1D">
        <w:t xml:space="preserve">ou a invocação do regime de transparência pública </w:t>
      </w:r>
      <w:r w:rsidR="00D046F9">
        <w:t xml:space="preserve">para </w:t>
      </w:r>
      <w:r w:rsidR="00632E1D">
        <w:t>deslocar o debate processual do juízo competente, tudo i</w:t>
      </w:r>
      <w:r w:rsidR="00632E1D" w:rsidRPr="00632E1D">
        <w:t>sso</w:t>
      </w:r>
      <w:r w:rsidR="00686D03">
        <w:t xml:space="preserve"> –</w:t>
      </w:r>
      <w:r w:rsidR="000E00D7">
        <w:t xml:space="preserve"> com as mais respeitosas v</w:t>
      </w:r>
      <w:r w:rsidR="0083532E">
        <w:t>ê</w:t>
      </w:r>
      <w:r w:rsidR="000E00D7">
        <w:t>nias de estilo</w:t>
      </w:r>
      <w:r w:rsidR="00686D03">
        <w:t>, mas sem abdicar da legítima dialética do b</w:t>
      </w:r>
      <w:r w:rsidR="004D570F">
        <w:t>o</w:t>
      </w:r>
      <w:r w:rsidR="00686D03">
        <w:t>m debate –</w:t>
      </w:r>
      <w:r w:rsidR="000E00D7">
        <w:t>,</w:t>
      </w:r>
      <w:r w:rsidR="00686D03">
        <w:t xml:space="preserve"> </w:t>
      </w:r>
      <w:r w:rsidR="00632E1D" w:rsidRPr="00632E1D">
        <w:t>parec</w:t>
      </w:r>
      <w:r w:rsidR="00686D03">
        <w:t>e</w:t>
      </w:r>
      <w:r w:rsidR="00632E1D" w:rsidRPr="00632E1D">
        <w:t xml:space="preserve"> </w:t>
      </w:r>
      <w:r w:rsidR="00A940F4">
        <w:t xml:space="preserve">indicar que o Idec estaria a </w:t>
      </w:r>
      <w:r w:rsidR="00632E1D" w:rsidRPr="00632E1D">
        <w:t>orquestrar um ambiente propício a</w:t>
      </w:r>
      <w:r w:rsidR="00632E1D">
        <w:t xml:space="preserve"> </w:t>
      </w:r>
      <w:r w:rsidR="00632E1D" w:rsidRPr="00632E1D">
        <w:rPr>
          <w:iCs/>
        </w:rPr>
        <w:t>desvio</w:t>
      </w:r>
      <w:r w:rsidR="00632E1D">
        <w:rPr>
          <w:iCs/>
        </w:rPr>
        <w:t>s</w:t>
      </w:r>
      <w:r w:rsidR="00632E1D" w:rsidRPr="00632E1D">
        <w:rPr>
          <w:iCs/>
        </w:rPr>
        <w:t xml:space="preserve"> demagógico</w:t>
      </w:r>
      <w:r w:rsidR="00632E1D">
        <w:rPr>
          <w:iCs/>
        </w:rPr>
        <w:t>s</w:t>
      </w:r>
      <w:r w:rsidR="00632E1D" w:rsidRPr="00632E1D">
        <w:rPr>
          <w:iCs/>
        </w:rPr>
        <w:t xml:space="preserve"> das questões do bom Direito para a seara vaga e manobrável do maniqueísmo </w:t>
      </w:r>
      <w:r w:rsidR="00044AAA">
        <w:rPr>
          <w:iCs/>
        </w:rPr>
        <w:t>conveniente</w:t>
      </w:r>
      <w:r w:rsidR="00632E1D" w:rsidRPr="00632E1D">
        <w:rPr>
          <w:iCs/>
        </w:rPr>
        <w:t>, dos estereótipos simplórios e da lamúria vazia</w:t>
      </w:r>
      <w:r w:rsidR="00632E1D">
        <w:rPr>
          <w:iCs/>
        </w:rPr>
        <w:t>,</w:t>
      </w:r>
      <w:r w:rsidR="00632E1D" w:rsidRPr="00632E1D">
        <w:t xml:space="preserve"> </w:t>
      </w:r>
      <w:r w:rsidR="00632E1D">
        <w:t>desvios, enfim, da justa solução jurídica de um caso relevant</w:t>
      </w:r>
      <w:r w:rsidR="00165A74">
        <w:t>íssimo</w:t>
      </w:r>
      <w:r w:rsidR="00632E1D">
        <w:t xml:space="preserve"> para o País </w:t>
      </w:r>
      <w:r w:rsidR="00632E1D" w:rsidRPr="00632E1D">
        <w:rPr>
          <w:iCs/>
        </w:rPr>
        <w:t>do órgão jurisdicional competente para a irresignação panfletária</w:t>
      </w:r>
      <w:r w:rsidR="00632E1D">
        <w:rPr>
          <w:iCs/>
        </w:rPr>
        <w:t>.</w:t>
      </w:r>
    </w:p>
    <w:p w:rsidR="00632E1D" w:rsidRDefault="00632E1D" w:rsidP="00632E1D">
      <w:pPr>
        <w:pStyle w:val="PargrafodaLista"/>
      </w:pPr>
    </w:p>
    <w:p w:rsidR="00632E1D" w:rsidRDefault="00632E1D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Esse tipo de episódio, decerto, n</w:t>
      </w:r>
      <w:r w:rsidR="00335073">
        <w:t>ão favorece a qualidade do debate público em favor do qual esta Autarquia tem procurado atuar na ADPF nº 165/DF</w:t>
      </w:r>
      <w:r w:rsidR="00A71888">
        <w:t xml:space="preserve">, focado </w:t>
      </w:r>
      <w:r w:rsidR="00CA53BD">
        <w:t>precipuamente</w:t>
      </w:r>
      <w:r w:rsidR="00A71888">
        <w:t xml:space="preserve"> na defesa da moeda</w:t>
      </w:r>
      <w:r w:rsidR="00335073">
        <w:t>.</w:t>
      </w:r>
    </w:p>
    <w:p w:rsidR="00632E1D" w:rsidRDefault="00632E1D" w:rsidP="00632E1D">
      <w:pPr>
        <w:pStyle w:val="PargrafodaLista"/>
      </w:pPr>
    </w:p>
    <w:p w:rsidR="00015B89" w:rsidRDefault="00335073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>Nesse contexto, o interesse social que justifica a existência de uma instituição como o Idec já está a reclamar</w:t>
      </w:r>
      <w:r w:rsidR="005F5509">
        <w:t xml:space="preserve"> </w:t>
      </w:r>
      <w:r>
        <w:t>postura compatível com seus elevados propósitos de defesa de todos os consumidores brasileiros, notadamente aqueles que, nas últimas décadas, puderam ter acesso ao consumo graças à política de combate à inflação encarnada nos planos monetários</w:t>
      </w:r>
      <w:r w:rsidR="00C575A4">
        <w:t>, ou ainda aqueles cujo pequeno valor de que podiam dispor em poupança “</w:t>
      </w:r>
      <w:r w:rsidR="00C575A4" w:rsidRPr="00C53CCE">
        <w:rPr>
          <w:i/>
        </w:rPr>
        <w:t>não compensaria a busca de direitos</w:t>
      </w:r>
      <w:r w:rsidR="00C575A4">
        <w:t xml:space="preserve">”, na fria expressão do estudo apresentado pelo Idec com </w:t>
      </w:r>
      <w:r w:rsidR="00F60190">
        <w:t xml:space="preserve">a </w:t>
      </w:r>
      <w:r w:rsidR="00F60190" w:rsidRPr="00F60190">
        <w:t>Carta Idec nº 801/2013/Coex</w:t>
      </w:r>
      <w:r w:rsidR="00BF14AB">
        <w:t>. Note-se que</w:t>
      </w:r>
      <w:r w:rsidR="007C14AF">
        <w:t>, talvez num ato falho,</w:t>
      </w:r>
      <w:r w:rsidR="00BF14AB">
        <w:t xml:space="preserve"> </w:t>
      </w:r>
      <w:r w:rsidR="007C14AF">
        <w:t xml:space="preserve">a expressão pouco feliz foi utilizada, naquele estudo, </w:t>
      </w:r>
      <w:r w:rsidR="00F622B7">
        <w:t>para sustentar curiosa alegaç</w:t>
      </w:r>
      <w:r w:rsidR="00C53CCE">
        <w:t>ão em prol do</w:t>
      </w:r>
      <w:r w:rsidR="007C14AF">
        <w:t>s</w:t>
      </w:r>
      <w:r w:rsidR="00C53CCE">
        <w:t xml:space="preserve"> detentores de investimentos suficientemente vultosos para compensar a busca de direitos</w:t>
      </w:r>
      <w:r w:rsidR="00015B89">
        <w:t xml:space="preserve">, estes decerto bem menos hipossuficientes, como demonstrado por esta Autarquia na documentação </w:t>
      </w:r>
      <w:r w:rsidR="007C14AF">
        <w:t xml:space="preserve">que </w:t>
      </w:r>
      <w:r w:rsidR="00015B89">
        <w:t>apresent</w:t>
      </w:r>
      <w:r w:rsidR="007C14AF">
        <w:t>ou</w:t>
      </w:r>
      <w:r w:rsidR="00015B89">
        <w:t xml:space="preserve"> na ADPF nº 165/DF com a Petição PGBC-3055/2010 (fls. 3.050-3.069)</w:t>
      </w:r>
      <w:r w:rsidR="00C575A4">
        <w:t>.</w:t>
      </w:r>
    </w:p>
    <w:p w:rsidR="00015B89" w:rsidRDefault="00015B89" w:rsidP="00015B89">
      <w:pPr>
        <w:pStyle w:val="PargrafodaLista"/>
      </w:pPr>
    </w:p>
    <w:p w:rsidR="00C575A4" w:rsidRDefault="00C53CCE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Ora, </w:t>
      </w:r>
      <w:r w:rsidR="00EF2B1F">
        <w:t xml:space="preserve">a razão de ser do Idec </w:t>
      </w:r>
      <w:r>
        <w:t>não é a defesa exclusiva desses consumidores</w:t>
      </w:r>
      <w:r w:rsidR="00015B89">
        <w:t xml:space="preserve"> cuja busca de direitos “</w:t>
      </w:r>
      <w:r w:rsidR="00015B89" w:rsidRPr="00015B89">
        <w:rPr>
          <w:i/>
        </w:rPr>
        <w:t>compensaria</w:t>
      </w:r>
      <w:r w:rsidR="00015B89">
        <w:t>”</w:t>
      </w:r>
      <w:r>
        <w:t>, notadamente em detrimento dos demais. E, mesmo que fosse, o modo adequado de busc</w:t>
      </w:r>
      <w:r w:rsidR="00015B89">
        <w:t>á</w:t>
      </w:r>
      <w:r>
        <w:t xml:space="preserve">-la não haveria, </w:t>
      </w:r>
      <w:r w:rsidR="00015B89">
        <w:t>certamente</w:t>
      </w:r>
      <w:r>
        <w:t>, de pautar-se por tentativas de deslocar discussões jurídicas do juízo competente, por meio do desvio da finalidade dos regimes de transparência pública</w:t>
      </w:r>
      <w:r w:rsidR="00EF2B1F">
        <w:t xml:space="preserve"> e</w:t>
      </w:r>
      <w:r>
        <w:t xml:space="preserve"> </w:t>
      </w:r>
      <w:r w:rsidR="00CE42AF">
        <w:t xml:space="preserve">de </w:t>
      </w:r>
      <w:r>
        <w:t>representação parlamentar e da sociedade civil organizada.</w:t>
      </w:r>
    </w:p>
    <w:p w:rsidR="00C575A4" w:rsidRDefault="00C575A4" w:rsidP="00C575A4">
      <w:pPr>
        <w:pStyle w:val="PargrafodaLista"/>
      </w:pPr>
    </w:p>
    <w:p w:rsidR="0004265B" w:rsidRPr="008D1931" w:rsidRDefault="00C53CCE" w:rsidP="006C2B8D">
      <w:pPr>
        <w:pStyle w:val="PargrafodaLista"/>
        <w:numPr>
          <w:ilvl w:val="0"/>
          <w:numId w:val="36"/>
        </w:numPr>
        <w:tabs>
          <w:tab w:val="left" w:pos="1418"/>
        </w:tabs>
        <w:ind w:left="0" w:firstLine="0"/>
      </w:pPr>
      <w:r>
        <w:t xml:space="preserve">Com essas considerações ulteriores, ao tempo em que repilo </w:t>
      </w:r>
      <w:r w:rsidR="00015B89">
        <w:t xml:space="preserve">mais uma vez </w:t>
      </w:r>
      <w:r>
        <w:t xml:space="preserve">qualquer expediente voltado </w:t>
      </w:r>
      <w:r w:rsidR="00015B89">
        <w:t>a constranger ou desqualificar a atuação da Autoridade Monetária, no Supremo, em defesa da moeda</w:t>
      </w:r>
      <w:r w:rsidR="00335073">
        <w:t xml:space="preserve">, </w:t>
      </w:r>
      <w:r w:rsidR="00441845">
        <w:t>conclamo os representantes do Idec</w:t>
      </w:r>
      <w:r w:rsidR="00EF2B1F">
        <w:t xml:space="preserve"> – repito –</w:t>
      </w:r>
      <w:r w:rsidR="00706CB8">
        <w:t xml:space="preserve"> a manter um debate elevado na sede constitucional adequada, no que concerne à discussão travada no âmbito da ADPF nº 165/DF, e reitero que não será fornecido </w:t>
      </w:r>
      <w:r w:rsidR="00C20525">
        <w:t xml:space="preserve">ao Instituto </w:t>
      </w:r>
      <w:r w:rsidR="00706CB8">
        <w:t xml:space="preserve">o quanto especificamente solicitado na </w:t>
      </w:r>
      <w:r w:rsidR="00706CB8" w:rsidRPr="00706CB8">
        <w:t>Carta Idec nº 843/2013/Coex</w:t>
      </w:r>
      <w:r w:rsidR="00706CB8">
        <w:t xml:space="preserve">, à míngua de base legal para tanto, </w:t>
      </w:r>
      <w:r w:rsidR="00C20525">
        <w:t xml:space="preserve">sem prejuízo de que os mesmos elementos possam ser </w:t>
      </w:r>
      <w:r w:rsidR="006B4B28">
        <w:t>produzidos para fornecimento a autoridades competentes, na hipótese de dever legal</w:t>
      </w:r>
      <w:r w:rsidR="00C41ABF">
        <w:t>.</w:t>
      </w:r>
    </w:p>
    <w:p w:rsidR="001806EA" w:rsidRDefault="001806EA" w:rsidP="006C2B8D">
      <w:pPr>
        <w:pStyle w:val="PargrafodaLista"/>
        <w:tabs>
          <w:tab w:val="left" w:pos="1418"/>
        </w:tabs>
        <w:ind w:left="0"/>
      </w:pPr>
    </w:p>
    <w:p w:rsidR="002D1EDE" w:rsidRPr="008D1931" w:rsidRDefault="002D1EDE" w:rsidP="006C2B8D">
      <w:pPr>
        <w:pStyle w:val="PargrafodaLista"/>
        <w:tabs>
          <w:tab w:val="left" w:pos="1418"/>
        </w:tabs>
        <w:ind w:left="0"/>
      </w:pPr>
    </w:p>
    <w:p w:rsidR="0004265B" w:rsidRPr="008D1931" w:rsidRDefault="0004265B" w:rsidP="006C2B8D">
      <w:pPr>
        <w:pStyle w:val="Paragrafp15"/>
        <w:tabs>
          <w:tab w:val="clear" w:pos="1843"/>
          <w:tab w:val="left" w:pos="1418"/>
        </w:tabs>
        <w:spacing w:before="0" w:after="0"/>
        <w:rPr>
          <w:szCs w:val="24"/>
        </w:rPr>
      </w:pPr>
      <w:r w:rsidRPr="008D1931">
        <w:rPr>
          <w:noProof/>
        </w:rPr>
        <w:tab/>
      </w:r>
      <w:r w:rsidRPr="008D1931">
        <w:rPr>
          <w:szCs w:val="24"/>
        </w:rPr>
        <w:t>Atenciosamente.</w:t>
      </w:r>
    </w:p>
    <w:p w:rsidR="0004265B" w:rsidRPr="008D1931" w:rsidRDefault="0004265B" w:rsidP="006C2B8D">
      <w:pPr>
        <w:tabs>
          <w:tab w:val="left" w:pos="1418"/>
        </w:tabs>
      </w:pPr>
    </w:p>
    <w:p w:rsidR="001806EA" w:rsidRPr="008D1931" w:rsidRDefault="001806EA" w:rsidP="006C2B8D">
      <w:pPr>
        <w:tabs>
          <w:tab w:val="left" w:pos="1418"/>
        </w:tabs>
      </w:pPr>
    </w:p>
    <w:p w:rsidR="0004265B" w:rsidRPr="008D1931" w:rsidRDefault="0004265B" w:rsidP="006C2B8D">
      <w:pPr>
        <w:tabs>
          <w:tab w:val="left" w:pos="1418"/>
        </w:tabs>
      </w:pPr>
    </w:p>
    <w:p w:rsidR="0004265B" w:rsidRPr="008D1931" w:rsidRDefault="0004265B" w:rsidP="006C2B8D">
      <w:pPr>
        <w:jc w:val="center"/>
        <w:rPr>
          <w:b/>
          <w:sz w:val="22"/>
          <w:szCs w:val="22"/>
        </w:rPr>
      </w:pPr>
      <w:r w:rsidRPr="008D1931">
        <w:rPr>
          <w:b/>
          <w:sz w:val="22"/>
          <w:szCs w:val="22"/>
        </w:rPr>
        <w:t>ISAAC SIDNEY MENEZES FERREIRA</w:t>
      </w:r>
    </w:p>
    <w:p w:rsidR="00340D5F" w:rsidRPr="008D1931" w:rsidRDefault="0004265B" w:rsidP="006C2B8D">
      <w:pPr>
        <w:jc w:val="center"/>
        <w:rPr>
          <w:sz w:val="22"/>
          <w:szCs w:val="22"/>
        </w:rPr>
      </w:pPr>
      <w:r w:rsidRPr="008D1931">
        <w:rPr>
          <w:sz w:val="22"/>
          <w:szCs w:val="22"/>
        </w:rPr>
        <w:t>Procurador-Geral do Banco Central</w:t>
      </w:r>
    </w:p>
    <w:p w:rsidR="005D07CE" w:rsidRPr="008D1931" w:rsidRDefault="005D07CE" w:rsidP="006C2B8D"/>
    <w:p w:rsidR="005D07CE" w:rsidRPr="008D1931" w:rsidRDefault="005D07CE" w:rsidP="006C2B8D">
      <w:pPr>
        <w:tabs>
          <w:tab w:val="right" w:pos="8820"/>
        </w:tabs>
        <w:ind w:right="360"/>
        <w:rPr>
          <w:sz w:val="16"/>
          <w:szCs w:val="16"/>
        </w:rPr>
      </w:pPr>
      <w:r w:rsidRPr="008D1931">
        <w:rPr>
          <w:sz w:val="16"/>
          <w:szCs w:val="16"/>
        </w:rPr>
        <w:t xml:space="preserve">Anexos: </w:t>
      </w:r>
      <w:r w:rsidR="00636F40">
        <w:rPr>
          <w:sz w:val="16"/>
          <w:szCs w:val="16"/>
        </w:rPr>
        <w:t xml:space="preserve">roteiro da sustentação oral do Banco Central na </w:t>
      </w:r>
      <w:r w:rsidR="00636F40" w:rsidRPr="006B4B28">
        <w:rPr>
          <w:sz w:val="16"/>
          <w:szCs w:val="16"/>
        </w:rPr>
        <w:t xml:space="preserve">ADPF nº 165/DF </w:t>
      </w:r>
      <w:r w:rsidR="00636F40">
        <w:rPr>
          <w:sz w:val="16"/>
          <w:szCs w:val="16"/>
        </w:rPr>
        <w:t xml:space="preserve">e </w:t>
      </w:r>
      <w:r w:rsidR="00CC7E05">
        <w:rPr>
          <w:sz w:val="16"/>
          <w:szCs w:val="16"/>
        </w:rPr>
        <w:t xml:space="preserve">cópia da </w:t>
      </w:r>
      <w:r w:rsidR="006B4B28" w:rsidRPr="006B4B28">
        <w:rPr>
          <w:sz w:val="16"/>
          <w:szCs w:val="16"/>
        </w:rPr>
        <w:t xml:space="preserve">Nota Jurídica </w:t>
      </w:r>
      <w:r w:rsidR="00636F40">
        <w:rPr>
          <w:sz w:val="16"/>
          <w:szCs w:val="16"/>
        </w:rPr>
        <w:t>6685</w:t>
      </w:r>
      <w:r w:rsidR="006B4B28" w:rsidRPr="006B4B28">
        <w:rPr>
          <w:sz w:val="16"/>
          <w:szCs w:val="16"/>
        </w:rPr>
        <w:t>/201</w:t>
      </w:r>
      <w:r w:rsidR="00636F40">
        <w:rPr>
          <w:sz w:val="16"/>
          <w:szCs w:val="16"/>
        </w:rPr>
        <w:t>3</w:t>
      </w:r>
      <w:r w:rsidR="006B4B28" w:rsidRPr="006B4B28">
        <w:rPr>
          <w:sz w:val="16"/>
          <w:szCs w:val="16"/>
        </w:rPr>
        <w:t>-BCB/PGBC</w:t>
      </w:r>
      <w:r w:rsidR="00DF1450">
        <w:rPr>
          <w:sz w:val="16"/>
          <w:szCs w:val="16"/>
        </w:rPr>
        <w:t xml:space="preserve">, com tarjas em dados de identificação da demanda </w:t>
      </w:r>
      <w:r w:rsidR="00CC7E05">
        <w:rPr>
          <w:sz w:val="16"/>
          <w:szCs w:val="16"/>
        </w:rPr>
        <w:t xml:space="preserve">específica </w:t>
      </w:r>
      <w:r w:rsidR="00DF1450">
        <w:rPr>
          <w:sz w:val="16"/>
          <w:szCs w:val="16"/>
        </w:rPr>
        <w:t>nela examinada e do cidadão demandante</w:t>
      </w:r>
      <w:r w:rsidRPr="008D1931">
        <w:rPr>
          <w:sz w:val="16"/>
          <w:szCs w:val="16"/>
        </w:rPr>
        <w:t>.</w:t>
      </w:r>
    </w:p>
    <w:sectPr w:rsidR="005D07CE" w:rsidRPr="008D1931" w:rsidSect="00340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47" w:right="1021" w:bottom="1021" w:left="1588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24D" w:rsidRDefault="0009424D">
      <w:r>
        <w:separator/>
      </w:r>
    </w:p>
  </w:endnote>
  <w:endnote w:type="continuationSeparator" w:id="0">
    <w:p w:rsidR="0009424D" w:rsidRDefault="0009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3E" w:rsidRDefault="00130E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A6" w:rsidRPr="00880F53" w:rsidRDefault="00FB31A6" w:rsidP="00B619F9">
    <w:pPr>
      <w:tabs>
        <w:tab w:val="right" w:pos="8820"/>
      </w:tabs>
      <w:ind w:right="360"/>
      <w:jc w:val="center"/>
      <w:rPr>
        <w:rFonts w:ascii="Arial" w:hAnsi="Arial" w:cs="Arial"/>
        <w:sz w:val="20"/>
        <w:szCs w:val="20"/>
      </w:rPr>
    </w:pPr>
  </w:p>
  <w:p w:rsidR="00FB31A6" w:rsidRDefault="00FB31A6" w:rsidP="00B619F9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bCs/>
        <w:sz w:val="14"/>
        <w:szCs w:val="16"/>
      </w:rPr>
    </w:pPr>
    <w:r>
      <w:rPr>
        <w:rFonts w:ascii="Arial" w:hAnsi="Arial" w:cs="Arial"/>
        <w:b/>
        <w:bCs/>
        <w:sz w:val="14"/>
        <w:szCs w:val="16"/>
      </w:rPr>
      <w:t>Procuradoria-Geral do Banco Central (PGBC)</w:t>
    </w:r>
  </w:p>
  <w:p w:rsidR="00FB31A6" w:rsidRDefault="00FB31A6" w:rsidP="00B619F9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bCs/>
        <w:sz w:val="14"/>
        <w:szCs w:val="16"/>
      </w:rPr>
    </w:pPr>
    <w:r>
      <w:rPr>
        <w:rFonts w:ascii="Arial" w:hAnsi="Arial" w:cs="Arial"/>
        <w:b/>
        <w:bCs/>
        <w:sz w:val="14"/>
        <w:szCs w:val="16"/>
      </w:rPr>
      <w:t>SBS, Quadra 3, Bloco B, Edifício-Sede - 11º andar - 70074-900 - Brasília (DF)</w:t>
    </w:r>
  </w:p>
  <w:p w:rsidR="00FB31A6" w:rsidRDefault="00FB31A6" w:rsidP="00B619F9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bCs/>
        <w:sz w:val="14"/>
        <w:szCs w:val="16"/>
      </w:rPr>
    </w:pPr>
    <w:r>
      <w:rPr>
        <w:rFonts w:ascii="Arial" w:hAnsi="Arial" w:cs="Arial"/>
        <w:b/>
        <w:bCs/>
        <w:sz w:val="14"/>
        <w:szCs w:val="16"/>
      </w:rPr>
      <w:t>Tels.: (61) 3414-4848 e 3414-1084 - Fax: (61) 3226-9513</w:t>
    </w:r>
  </w:p>
  <w:p w:rsidR="00FB31A6" w:rsidRDefault="00FB31A6" w:rsidP="00B619F9">
    <w:pPr>
      <w:pStyle w:val="Rodap"/>
      <w:pBdr>
        <w:top w:val="single" w:sz="4" w:space="1" w:color="auto"/>
      </w:pBdr>
      <w:jc w:val="center"/>
    </w:pPr>
    <w:r>
      <w:rPr>
        <w:rFonts w:ascii="Arial" w:hAnsi="Arial" w:cs="Arial"/>
        <w:b/>
        <w:bCs/>
        <w:iCs/>
        <w:sz w:val="14"/>
        <w:szCs w:val="16"/>
      </w:rPr>
      <w:t>E-mail: pggab.pgbcb@bcb.gov.br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A6" w:rsidRPr="00E36283" w:rsidRDefault="00FB31A6" w:rsidP="00E36283">
    <w:pPr>
      <w:tabs>
        <w:tab w:val="right" w:pos="8820"/>
      </w:tabs>
      <w:ind w:right="360"/>
      <w:jc w:val="center"/>
      <w:rPr>
        <w:rFonts w:ascii="Arial" w:hAnsi="Arial" w:cs="Arial"/>
        <w:spacing w:val="-4"/>
        <w:sz w:val="20"/>
        <w:szCs w:val="20"/>
      </w:rPr>
    </w:pPr>
  </w:p>
  <w:p w:rsidR="00FB31A6" w:rsidRDefault="00FB31A6" w:rsidP="00B619F9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bCs/>
        <w:sz w:val="14"/>
        <w:szCs w:val="16"/>
      </w:rPr>
    </w:pPr>
    <w:r>
      <w:rPr>
        <w:rFonts w:ascii="Arial" w:hAnsi="Arial" w:cs="Arial"/>
        <w:b/>
        <w:bCs/>
        <w:sz w:val="14"/>
        <w:szCs w:val="16"/>
      </w:rPr>
      <w:t>Procuradoria-Geral do Banco Central (PGBC)</w:t>
    </w:r>
  </w:p>
  <w:p w:rsidR="00FB31A6" w:rsidRDefault="00FB31A6" w:rsidP="00B619F9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bCs/>
        <w:sz w:val="14"/>
        <w:szCs w:val="16"/>
      </w:rPr>
    </w:pPr>
    <w:r>
      <w:rPr>
        <w:rFonts w:ascii="Arial" w:hAnsi="Arial" w:cs="Arial"/>
        <w:b/>
        <w:bCs/>
        <w:sz w:val="14"/>
        <w:szCs w:val="16"/>
      </w:rPr>
      <w:t>SBS, Quadra 3, Bloco B, Edifício-Sede - 11º andar - 70074-900 - Brasília (DF)</w:t>
    </w:r>
  </w:p>
  <w:p w:rsidR="00FB31A6" w:rsidRDefault="00FB31A6" w:rsidP="00B619F9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bCs/>
        <w:sz w:val="14"/>
        <w:szCs w:val="16"/>
      </w:rPr>
    </w:pPr>
    <w:r>
      <w:rPr>
        <w:rFonts w:ascii="Arial" w:hAnsi="Arial" w:cs="Arial"/>
        <w:b/>
        <w:bCs/>
        <w:sz w:val="14"/>
        <w:szCs w:val="16"/>
      </w:rPr>
      <w:t>Tels.: (61) 3414-4848 e 3414-1084 - Fax: (61) 3226-9513</w:t>
    </w:r>
  </w:p>
  <w:p w:rsidR="00FB31A6" w:rsidRDefault="00FB31A6" w:rsidP="00B619F9">
    <w:pPr>
      <w:pStyle w:val="Rodap"/>
      <w:pBdr>
        <w:top w:val="single" w:sz="4" w:space="1" w:color="auto"/>
      </w:pBdr>
      <w:jc w:val="center"/>
    </w:pPr>
    <w:r>
      <w:rPr>
        <w:rFonts w:ascii="Arial" w:hAnsi="Arial" w:cs="Arial"/>
        <w:b/>
        <w:bCs/>
        <w:iCs/>
        <w:sz w:val="14"/>
        <w:szCs w:val="16"/>
      </w:rPr>
      <w:t>E-mail: pggab.pgbcb@bcb.gov.br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24D" w:rsidRDefault="0009424D">
      <w:r>
        <w:separator/>
      </w:r>
    </w:p>
  </w:footnote>
  <w:footnote w:type="continuationSeparator" w:id="0">
    <w:p w:rsidR="0009424D" w:rsidRDefault="0009424D">
      <w:r>
        <w:continuationSeparator/>
      </w:r>
    </w:p>
  </w:footnote>
  <w:footnote w:id="1">
    <w:p w:rsidR="00D0659B" w:rsidRDefault="00D0659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0659B">
        <w:t>REsp 1243887/PR, Rel. Min</w:t>
      </w:r>
      <w:r>
        <w:t>.</w:t>
      </w:r>
      <w:r w:rsidRPr="00D0659B">
        <w:t xml:space="preserve"> Luis Felipe Salomão, Corte Especial, julgado em 19</w:t>
      </w:r>
      <w:r>
        <w:t xml:space="preserve"> de outubro de </w:t>
      </w:r>
      <w:r w:rsidRPr="00D0659B">
        <w:t>2011</w:t>
      </w:r>
      <w:r>
        <w:t xml:space="preserve"> e publicado no</w:t>
      </w:r>
      <w:r w:rsidRPr="00D0659B">
        <w:t xml:space="preserve"> DJe </w:t>
      </w:r>
      <w:r w:rsidR="00CC7E05">
        <w:t xml:space="preserve">de </w:t>
      </w:r>
      <w:r w:rsidRPr="00D0659B">
        <w:t>12</w:t>
      </w:r>
      <w:r>
        <w:t xml:space="preserve"> de dezembro de </w:t>
      </w:r>
      <w:r w:rsidRPr="00D0659B">
        <w:t>2011</w:t>
      </w:r>
      <w:r>
        <w:t>.</w:t>
      </w:r>
    </w:p>
    <w:p w:rsidR="00CF1B04" w:rsidRDefault="00CF1B04">
      <w:pPr>
        <w:pStyle w:val="Textodenotaderodap"/>
      </w:pPr>
      <w:r>
        <w:t xml:space="preserve">  Nessa decisão</w:t>
      </w:r>
      <w:r w:rsidR="002D5012">
        <w:t>, da qual foram opostos embargos de declaração ainda pendentes de julgamento</w:t>
      </w:r>
      <w:r>
        <w:t xml:space="preserve">, a Corte Especial do STJ afastou a limitação territorial prevista </w:t>
      </w:r>
      <w:r w:rsidR="001D325C">
        <w:t>no art. 2</w:t>
      </w:r>
      <w:r w:rsidR="002D5012">
        <w:t>º</w:t>
      </w:r>
      <w:r w:rsidR="001D325C">
        <w:t>-A da Lei nº 9.494</w:t>
      </w:r>
      <w:r w:rsidR="002D5012">
        <w:t>, de 10 de setembro de 1997</w:t>
      </w:r>
      <w:r w:rsidR="00AF0282">
        <w:t xml:space="preserve">: </w:t>
      </w:r>
      <w:r w:rsidR="002D5012">
        <w:t>“</w:t>
      </w:r>
      <w:r w:rsidR="002D5012" w:rsidRPr="002D5012">
        <w:rPr>
          <w:i/>
        </w:rPr>
        <w:t>A sentença civil prolatada em ação de caráter coletivo proposta por entidade associativa, na defesa dos interesses e direitos dos seus associados, abrangerá apenas os substituídos que tenham, na data da propositura da ação, domicílio no âmbito da competência territorial do órgão prolator</w:t>
      </w:r>
      <w:r w:rsidR="002D5012">
        <w:t>”.</w:t>
      </w:r>
    </w:p>
  </w:footnote>
  <w:footnote w:id="2">
    <w:p w:rsidR="00BF4167" w:rsidRDefault="00BF4167">
      <w:pPr>
        <w:pStyle w:val="Textodenotaderodap"/>
      </w:pPr>
      <w:r>
        <w:rPr>
          <w:rStyle w:val="Refdenotaderodap"/>
        </w:rPr>
        <w:footnoteRef/>
      </w:r>
      <w:r>
        <w:t xml:space="preserve"> Confira-se, a propósito, o seguinte trecho da notícia veiculada em </w:t>
      </w:r>
      <w:hyperlink r:id="rId1" w:history="1">
        <w:r w:rsidRPr="00BE259C">
          <w:rPr>
            <w:rStyle w:val="Hyperlink"/>
          </w:rPr>
          <w:t>http://agenciabrasil.ebc.com.br/noticia/2013-11-25/bancos-podem-pagar-r-84-bilhoes-com-defasagem-de-planos-economicos-diz-idec</w:t>
        </w:r>
      </w:hyperlink>
      <w:r>
        <w:t xml:space="preserve"> (acesso em 6 de janeiro de 2014): “</w:t>
      </w:r>
      <w:r w:rsidRPr="00BF4167">
        <w:rPr>
          <w:i/>
        </w:rPr>
        <w:t>De acordo com o Idec, o cálculo do governo está superestimado porque não levou em consideração uma série de fatores. O primeiro deles foi incluir na conta o Plano Collor 1, que corresponde a 54% do valor apresentado pela autoridade monetária. O plano, no entanto, não poderia ser levado em conta, segundo o instituto, pois há jurisprudência do próprio Supremo desfavorável aos poupadores. Com isso, a conta seria reduzida em quase R$ 68 bilhões, informa Flávio Siqueira Júnior, advogado do Idec</w:t>
      </w:r>
      <w:r>
        <w:t>”.</w:t>
      </w:r>
    </w:p>
  </w:footnote>
  <w:footnote w:id="3">
    <w:p w:rsidR="00493E20" w:rsidRDefault="00493E20">
      <w:pPr>
        <w:pStyle w:val="Textodenotaderodap"/>
      </w:pPr>
      <w:r>
        <w:rPr>
          <w:rStyle w:val="Refdenotaderodap"/>
        </w:rPr>
        <w:footnoteRef/>
      </w:r>
      <w:r>
        <w:t xml:space="preserve"> Conferir em </w:t>
      </w:r>
      <w:hyperlink r:id="rId2" w:history="1">
        <w:r w:rsidRPr="00BE259C">
          <w:rPr>
            <w:rStyle w:val="Hyperlink"/>
          </w:rPr>
          <w:t>http://www.cpc.org.br/pdf/CPC_25.pdf</w:t>
        </w:r>
      </w:hyperlink>
      <w:r>
        <w:t xml:space="preserve"> (acesso em 6 de janeiro de 2014).</w:t>
      </w:r>
    </w:p>
  </w:footnote>
  <w:footnote w:id="4">
    <w:p w:rsidR="00FB31A6" w:rsidRDefault="00FB31A6" w:rsidP="002B131E">
      <w:pPr>
        <w:pStyle w:val="Textodenotaderodap"/>
      </w:pPr>
      <w:r>
        <w:rPr>
          <w:rStyle w:val="Refdenotaderodap"/>
        </w:rPr>
        <w:footnoteRef/>
      </w:r>
      <w:r>
        <w:t xml:space="preserve"> Conferir, por exemplo, em </w:t>
      </w:r>
      <w:hyperlink r:id="rId3" w:history="1">
        <w:r w:rsidRPr="00A4063C">
          <w:rPr>
            <w:rStyle w:val="Hyperlink"/>
          </w:rPr>
          <w:t>http://www.idec.org.br/em-acao/noticia-do-consumidor/verba-para-indenizar-poupanca-e-de-r-18-bi</w:t>
        </w:r>
      </w:hyperlink>
      <w:r>
        <w:t xml:space="preserve"> (acesso em 6 de janeiro de 2014).</w:t>
      </w:r>
    </w:p>
  </w:footnote>
  <w:footnote w:id="5">
    <w:p w:rsidR="00326CA1" w:rsidRDefault="00326CA1">
      <w:pPr>
        <w:pStyle w:val="Textodenotaderodap"/>
      </w:pPr>
      <w:r>
        <w:rPr>
          <w:rStyle w:val="Refdenotaderodap"/>
        </w:rPr>
        <w:footnoteRef/>
      </w:r>
      <w:r>
        <w:t xml:space="preserve"> Conferir em </w:t>
      </w:r>
      <w:hyperlink r:id="rId4" w:history="1">
        <w:r w:rsidRPr="00BE259C">
          <w:rPr>
            <w:rStyle w:val="Hyperlink"/>
          </w:rPr>
          <w:t>http://www.camara.gov.br/proposicoesWeb/fichadetramitacao?idProposicao=446206</w:t>
        </w:r>
      </w:hyperlink>
      <w:r>
        <w:t xml:space="preserve"> (acesso em 6 de janeiro de 2014).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3E" w:rsidRDefault="00130E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A6" w:rsidRDefault="00FB31A6" w:rsidP="00864011">
    <w:pPr>
      <w:pStyle w:val="Cabealho"/>
      <w:tabs>
        <w:tab w:val="clear" w:pos="4419"/>
        <w:tab w:val="clear" w:pos="8838"/>
        <w:tab w:val="left" w:pos="9072"/>
      </w:tabs>
      <w:ind w:right="72"/>
      <w:jc w:val="center"/>
    </w:pPr>
    <w:r>
      <w:rPr>
        <w:noProof/>
      </w:rPr>
      <w:drawing>
        <wp:inline distT="0" distB="0" distL="0" distR="0" wp14:anchorId="005575F7" wp14:editId="005575F8">
          <wp:extent cx="2828925" cy="1152525"/>
          <wp:effectExtent l="19050" t="0" r="9525" b="0"/>
          <wp:docPr id="7" name="Imagem 4" descr="C:\marca_procuradoria_bla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arca_procuradoria_blak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</w:p>
  <w:p w:rsidR="00FB31A6" w:rsidRDefault="00FB31A6" w:rsidP="00864011">
    <w:pPr>
      <w:pStyle w:val="Cabealho"/>
      <w:framePr w:wrap="around" w:vAnchor="text" w:hAnchor="page" w:x="10522" w:y="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02A9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FB31A6" w:rsidRDefault="00FB31A6" w:rsidP="00864011">
    <w:pPr>
      <w:pStyle w:val="Cabealho"/>
    </w:pPr>
    <w:r w:rsidRPr="002913F2">
      <w:t xml:space="preserve">Ofício </w:t>
    </w:r>
    <w:r w:rsidR="00130E3E">
      <w:t>138</w:t>
    </w:r>
    <w:r w:rsidRPr="002913F2">
      <w:t>/201</w:t>
    </w:r>
    <w:r w:rsidR="00130E3E">
      <w:t>4</w:t>
    </w:r>
    <w:r w:rsidRPr="002913F2">
      <w:t>-BCB/PGBC</w:t>
    </w:r>
  </w:p>
  <w:p w:rsidR="00FB31A6" w:rsidRPr="00864011" w:rsidRDefault="00FB31A6" w:rsidP="0086401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1A6" w:rsidRDefault="00FB31A6" w:rsidP="00B619F9">
    <w:pPr>
      <w:pStyle w:val="Cabealho"/>
      <w:tabs>
        <w:tab w:val="clear" w:pos="4419"/>
        <w:tab w:val="clear" w:pos="8838"/>
        <w:tab w:val="left" w:pos="9072"/>
      </w:tabs>
      <w:ind w:right="72"/>
      <w:jc w:val="center"/>
    </w:pPr>
    <w:r>
      <w:rPr>
        <w:noProof/>
      </w:rPr>
      <w:drawing>
        <wp:inline distT="0" distB="0" distL="0" distR="0" wp14:anchorId="005575F9" wp14:editId="005575FA">
          <wp:extent cx="2828925" cy="1152525"/>
          <wp:effectExtent l="19050" t="0" r="9525" b="0"/>
          <wp:docPr id="6" name="Imagem 2" descr="C:\marca_procuradoria_bla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marca_procuradoria_blak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4B2"/>
    <w:multiLevelType w:val="hybridMultilevel"/>
    <w:tmpl w:val="D51E5878"/>
    <w:lvl w:ilvl="0" w:tplc="B5D2DD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7A4150"/>
    <w:multiLevelType w:val="hybridMultilevel"/>
    <w:tmpl w:val="5B2C1F0E"/>
    <w:lvl w:ilvl="0" w:tplc="B5725E0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B70773E"/>
    <w:multiLevelType w:val="hybridMultilevel"/>
    <w:tmpl w:val="540A6082"/>
    <w:lvl w:ilvl="0" w:tplc="0AB2D4AC">
      <w:start w:val="1"/>
      <w:numFmt w:val="lowerLetter"/>
      <w:lvlText w:val="%1)"/>
      <w:lvlJc w:val="left"/>
      <w:pPr>
        <w:ind w:left="177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BB7259F"/>
    <w:multiLevelType w:val="hybridMultilevel"/>
    <w:tmpl w:val="2690B694"/>
    <w:lvl w:ilvl="0" w:tplc="56C67F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0D6E5F82"/>
    <w:multiLevelType w:val="hybridMultilevel"/>
    <w:tmpl w:val="AEB02784"/>
    <w:lvl w:ilvl="0" w:tplc="15EC45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01C47DD"/>
    <w:multiLevelType w:val="hybridMultilevel"/>
    <w:tmpl w:val="868ABEA8"/>
    <w:lvl w:ilvl="0" w:tplc="EBDCD5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2531B51"/>
    <w:multiLevelType w:val="hybridMultilevel"/>
    <w:tmpl w:val="5E30F3A6"/>
    <w:lvl w:ilvl="0" w:tplc="5D00439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8CB50B3"/>
    <w:multiLevelType w:val="hybridMultilevel"/>
    <w:tmpl w:val="316EA1F6"/>
    <w:lvl w:ilvl="0" w:tplc="927892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D3E0790"/>
    <w:multiLevelType w:val="hybridMultilevel"/>
    <w:tmpl w:val="B2145754"/>
    <w:lvl w:ilvl="0" w:tplc="C3C4C8D2">
      <w:start w:val="1"/>
      <w:numFmt w:val="lowerLetter"/>
      <w:lvlText w:val="%1)"/>
      <w:lvlJc w:val="left"/>
      <w:pPr>
        <w:ind w:left="1778" w:hanging="360"/>
      </w:pPr>
      <w:rPr>
        <w:rFonts w:ascii="Times New Roman" w:hAnsi="Times New Roman" w:cs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EFE32AB"/>
    <w:multiLevelType w:val="hybridMultilevel"/>
    <w:tmpl w:val="F02C8F64"/>
    <w:lvl w:ilvl="0" w:tplc="2ECC923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23F82867"/>
    <w:multiLevelType w:val="hybridMultilevel"/>
    <w:tmpl w:val="316EA1F6"/>
    <w:lvl w:ilvl="0" w:tplc="9278927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02258B"/>
    <w:multiLevelType w:val="hybridMultilevel"/>
    <w:tmpl w:val="0DF2626A"/>
    <w:lvl w:ilvl="0" w:tplc="BB5098A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29FF5378"/>
    <w:multiLevelType w:val="hybridMultilevel"/>
    <w:tmpl w:val="440840DE"/>
    <w:lvl w:ilvl="0" w:tplc="EC702F3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165C4"/>
    <w:multiLevelType w:val="hybridMultilevel"/>
    <w:tmpl w:val="B558900C"/>
    <w:lvl w:ilvl="0" w:tplc="1624B0CA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2C852894"/>
    <w:multiLevelType w:val="hybridMultilevel"/>
    <w:tmpl w:val="12B4ED72"/>
    <w:lvl w:ilvl="0" w:tplc="ED70A220">
      <w:start w:val="1"/>
      <w:numFmt w:val="lowerLetter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2FC25D9F"/>
    <w:multiLevelType w:val="hybridMultilevel"/>
    <w:tmpl w:val="45D428EC"/>
    <w:lvl w:ilvl="0" w:tplc="5478F16C">
      <w:start w:val="1"/>
      <w:numFmt w:val="lowerLetter"/>
      <w:lvlText w:val="%1)"/>
      <w:lvlJc w:val="left"/>
      <w:pPr>
        <w:ind w:left="177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32215116"/>
    <w:multiLevelType w:val="hybridMultilevel"/>
    <w:tmpl w:val="0D6A0346"/>
    <w:lvl w:ilvl="0" w:tplc="655293C8">
      <w:start w:val="1"/>
      <w:numFmt w:val="lowerRoman"/>
      <w:lvlText w:val="%1)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3AC5545A"/>
    <w:multiLevelType w:val="hybridMultilevel"/>
    <w:tmpl w:val="C2FA7E86"/>
    <w:lvl w:ilvl="0" w:tplc="3EB41388">
      <w:start w:val="1"/>
      <w:numFmt w:val="lowerLetter"/>
      <w:lvlText w:val="%1)"/>
      <w:lvlJc w:val="left"/>
      <w:pPr>
        <w:ind w:left="177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3FE50238"/>
    <w:multiLevelType w:val="hybridMultilevel"/>
    <w:tmpl w:val="32486472"/>
    <w:lvl w:ilvl="0" w:tplc="0302AB54">
      <w:start w:val="1"/>
      <w:numFmt w:val="lowerRoman"/>
      <w:lvlText w:val="(%1)"/>
      <w:lvlJc w:val="left"/>
      <w:pPr>
        <w:ind w:left="2138" w:hanging="72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46B6CB4"/>
    <w:multiLevelType w:val="hybridMultilevel"/>
    <w:tmpl w:val="21CE46EA"/>
    <w:lvl w:ilvl="0" w:tplc="F208CDE4">
      <w:start w:val="29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61900AC"/>
    <w:multiLevelType w:val="hybridMultilevel"/>
    <w:tmpl w:val="721C1E9C"/>
    <w:lvl w:ilvl="0" w:tplc="733C5EBA">
      <w:start w:val="1"/>
      <w:numFmt w:val="lowerRoman"/>
      <w:lvlText w:val="(%1)"/>
      <w:lvlJc w:val="left"/>
      <w:pPr>
        <w:ind w:left="2138" w:hanging="720"/>
      </w:pPr>
      <w:rPr>
        <w:rFonts w:ascii="Times New Roman" w:hAnsi="Times New Roman" w:cs="Times New Roman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57244164"/>
    <w:multiLevelType w:val="hybridMultilevel"/>
    <w:tmpl w:val="68669532"/>
    <w:lvl w:ilvl="0" w:tplc="F69659B8">
      <w:start w:val="1"/>
      <w:numFmt w:val="lowerLetter"/>
      <w:lvlText w:val="%1)"/>
      <w:lvlJc w:val="left"/>
      <w:pPr>
        <w:tabs>
          <w:tab w:val="num" w:pos="1783"/>
        </w:tabs>
        <w:ind w:left="17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3"/>
        </w:tabs>
        <w:ind w:left="250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3"/>
        </w:tabs>
        <w:ind w:left="322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3"/>
        </w:tabs>
        <w:ind w:left="394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3"/>
        </w:tabs>
        <w:ind w:left="466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3"/>
        </w:tabs>
        <w:ind w:left="538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3"/>
        </w:tabs>
        <w:ind w:left="610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3"/>
        </w:tabs>
        <w:ind w:left="682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3"/>
        </w:tabs>
        <w:ind w:left="7543" w:hanging="180"/>
      </w:pPr>
    </w:lvl>
  </w:abstractNum>
  <w:abstractNum w:abstractNumId="22">
    <w:nsid w:val="57E535BD"/>
    <w:multiLevelType w:val="hybridMultilevel"/>
    <w:tmpl w:val="4E9C3DF2"/>
    <w:lvl w:ilvl="0" w:tplc="197048F4">
      <w:start w:val="1"/>
      <w:numFmt w:val="lowerRoman"/>
      <w:lvlText w:val="%1)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5D21128A"/>
    <w:multiLevelType w:val="hybridMultilevel"/>
    <w:tmpl w:val="E3365552"/>
    <w:lvl w:ilvl="0" w:tplc="B22E0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62ED6E29"/>
    <w:multiLevelType w:val="hybridMultilevel"/>
    <w:tmpl w:val="AE36CB1E"/>
    <w:lvl w:ilvl="0" w:tplc="A8BA59E8">
      <w:start w:val="1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646689F"/>
    <w:multiLevelType w:val="multilevel"/>
    <w:tmpl w:val="67CA1766"/>
    <w:lvl w:ilvl="0">
      <w:start w:val="1"/>
      <w:numFmt w:val="decimal"/>
      <w:lvlText w:val="%1 -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850" w:hanging="425"/>
      </w:pPr>
    </w:lvl>
    <w:lvl w:ilvl="2">
      <w:start w:val="1"/>
      <w:numFmt w:val="upperRoman"/>
      <w:lvlText w:val="%3 -"/>
      <w:lvlJc w:val="left"/>
      <w:pPr>
        <w:tabs>
          <w:tab w:val="num" w:pos="1570"/>
        </w:tabs>
        <w:ind w:left="1276" w:hanging="426"/>
      </w:pPr>
    </w:lvl>
    <w:lvl w:ilvl="3">
      <w:start w:val="1"/>
      <w:numFmt w:val="upperRoman"/>
      <w:lvlText w:val="%4-"/>
      <w:lvlJc w:val="left"/>
      <w:pPr>
        <w:tabs>
          <w:tab w:val="num" w:pos="1996"/>
        </w:tabs>
        <w:ind w:left="1701" w:hanging="425"/>
      </w:pPr>
    </w:lvl>
    <w:lvl w:ilvl="4">
      <w:start w:val="1"/>
      <w:numFmt w:val="decimal"/>
      <w:lvlText w:val=" %5 -"/>
      <w:lvlJc w:val="left"/>
      <w:pPr>
        <w:tabs>
          <w:tab w:val="num" w:pos="2126"/>
        </w:tabs>
        <w:ind w:left="2126" w:hanging="425"/>
      </w:pPr>
    </w:lvl>
    <w:lvl w:ilvl="5">
      <w:start w:val="1"/>
      <w:numFmt w:val="lowerLetter"/>
      <w:lvlText w:val="(%6)"/>
      <w:lvlJc w:val="left"/>
      <w:pPr>
        <w:tabs>
          <w:tab w:val="num" w:pos="2551"/>
        </w:tabs>
        <w:ind w:left="2551" w:hanging="425"/>
      </w:pPr>
    </w:lvl>
    <w:lvl w:ilvl="6">
      <w:start w:val="1"/>
      <w:numFmt w:val="lowerRoman"/>
      <w:lvlText w:val="(%7)"/>
      <w:lvlJc w:val="left"/>
      <w:pPr>
        <w:tabs>
          <w:tab w:val="num" w:pos="2976"/>
        </w:tabs>
        <w:ind w:left="2976" w:hanging="425"/>
      </w:p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</w:lvl>
  </w:abstractNum>
  <w:abstractNum w:abstractNumId="26">
    <w:nsid w:val="6743542F"/>
    <w:multiLevelType w:val="hybridMultilevel"/>
    <w:tmpl w:val="EC4477A6"/>
    <w:lvl w:ilvl="0" w:tplc="7DA8F2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67FC6E4F"/>
    <w:multiLevelType w:val="hybridMultilevel"/>
    <w:tmpl w:val="D51E5878"/>
    <w:lvl w:ilvl="0" w:tplc="B5D2DD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8CB0DEB"/>
    <w:multiLevelType w:val="hybridMultilevel"/>
    <w:tmpl w:val="8780B022"/>
    <w:lvl w:ilvl="0" w:tplc="9F02A926">
      <w:start w:val="1"/>
      <w:numFmt w:val="lowerRoman"/>
      <w:lvlText w:val="(%1)"/>
      <w:lvlJc w:val="left"/>
      <w:pPr>
        <w:ind w:left="213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6D40728D"/>
    <w:multiLevelType w:val="hybridMultilevel"/>
    <w:tmpl w:val="92A2DCD2"/>
    <w:lvl w:ilvl="0" w:tplc="408EDFFE">
      <w:start w:val="1"/>
      <w:numFmt w:val="lowerRoman"/>
      <w:lvlText w:val="%1)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>
    <w:nsid w:val="6DC5646E"/>
    <w:multiLevelType w:val="hybridMultilevel"/>
    <w:tmpl w:val="221C04F2"/>
    <w:lvl w:ilvl="0" w:tplc="9B14D20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>
    <w:nsid w:val="70E266C1"/>
    <w:multiLevelType w:val="hybridMultilevel"/>
    <w:tmpl w:val="81D42278"/>
    <w:lvl w:ilvl="0" w:tplc="211ED2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739A21A2"/>
    <w:multiLevelType w:val="hybridMultilevel"/>
    <w:tmpl w:val="BCFCA14A"/>
    <w:lvl w:ilvl="0" w:tplc="FF84052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>
    <w:nsid w:val="75C00DE9"/>
    <w:multiLevelType w:val="hybridMultilevel"/>
    <w:tmpl w:val="105296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C769A3"/>
    <w:multiLevelType w:val="hybridMultilevel"/>
    <w:tmpl w:val="8B9209A8"/>
    <w:lvl w:ilvl="0" w:tplc="52E81B4C">
      <w:start w:val="1"/>
      <w:numFmt w:val="lowerLetter"/>
      <w:lvlText w:val="%1)"/>
      <w:lvlJc w:val="left"/>
      <w:pPr>
        <w:ind w:left="177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7E3F0A01"/>
    <w:multiLevelType w:val="hybridMultilevel"/>
    <w:tmpl w:val="4468CDFA"/>
    <w:lvl w:ilvl="0" w:tplc="1458E17E">
      <w:start w:val="1"/>
      <w:numFmt w:val="lowerRoman"/>
      <w:lvlText w:val="%1)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1"/>
  </w:num>
  <w:num w:numId="2">
    <w:abstractNumId w:val="1"/>
  </w:num>
  <w:num w:numId="3">
    <w:abstractNumId w:val="32"/>
  </w:num>
  <w:num w:numId="4">
    <w:abstractNumId w:val="31"/>
  </w:num>
  <w:num w:numId="5">
    <w:abstractNumId w:val="24"/>
  </w:num>
  <w:num w:numId="6">
    <w:abstractNumId w:val="11"/>
  </w:num>
  <w:num w:numId="7">
    <w:abstractNumId w:val="4"/>
  </w:num>
  <w:num w:numId="8">
    <w:abstractNumId w:val="17"/>
  </w:num>
  <w:num w:numId="9">
    <w:abstractNumId w:val="13"/>
  </w:num>
  <w:num w:numId="10">
    <w:abstractNumId w:val="14"/>
  </w:num>
  <w:num w:numId="11">
    <w:abstractNumId w:val="30"/>
  </w:num>
  <w:num w:numId="12">
    <w:abstractNumId w:val="15"/>
  </w:num>
  <w:num w:numId="13">
    <w:abstractNumId w:val="2"/>
  </w:num>
  <w:num w:numId="14">
    <w:abstractNumId w:val="23"/>
  </w:num>
  <w:num w:numId="15">
    <w:abstractNumId w:val="8"/>
  </w:num>
  <w:num w:numId="16">
    <w:abstractNumId w:val="16"/>
  </w:num>
  <w:num w:numId="17">
    <w:abstractNumId w:val="35"/>
  </w:num>
  <w:num w:numId="18">
    <w:abstractNumId w:val="22"/>
  </w:num>
  <w:num w:numId="19">
    <w:abstractNumId w:val="29"/>
  </w:num>
  <w:num w:numId="20">
    <w:abstractNumId w:val="33"/>
  </w:num>
  <w:num w:numId="21">
    <w:abstractNumId w:val="34"/>
  </w:num>
  <w:num w:numId="22">
    <w:abstractNumId w:val="9"/>
  </w:num>
  <w:num w:numId="23">
    <w:abstractNumId w:val="26"/>
  </w:num>
  <w:num w:numId="24">
    <w:abstractNumId w:val="3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0"/>
  </w:num>
  <w:num w:numId="28">
    <w:abstractNumId w:val="6"/>
  </w:num>
  <w:num w:numId="29">
    <w:abstractNumId w:val="18"/>
  </w:num>
  <w:num w:numId="30">
    <w:abstractNumId w:val="28"/>
  </w:num>
  <w:num w:numId="31">
    <w:abstractNumId w:val="5"/>
  </w:num>
  <w:num w:numId="32">
    <w:abstractNumId w:val="7"/>
  </w:num>
  <w:num w:numId="33">
    <w:abstractNumId w:val="27"/>
  </w:num>
  <w:num w:numId="34">
    <w:abstractNumId w:val="0"/>
  </w:num>
  <w:num w:numId="35">
    <w:abstractNumId w:val="1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7E"/>
    <w:rsid w:val="00000BC4"/>
    <w:rsid w:val="000027F8"/>
    <w:rsid w:val="00003513"/>
    <w:rsid w:val="000042E2"/>
    <w:rsid w:val="00014292"/>
    <w:rsid w:val="0001573D"/>
    <w:rsid w:val="00015B89"/>
    <w:rsid w:val="00015DEF"/>
    <w:rsid w:val="00016EBA"/>
    <w:rsid w:val="000202BD"/>
    <w:rsid w:val="000211AB"/>
    <w:rsid w:val="00021ABB"/>
    <w:rsid w:val="00021F9E"/>
    <w:rsid w:val="00024D2D"/>
    <w:rsid w:val="000253F2"/>
    <w:rsid w:val="00026B24"/>
    <w:rsid w:val="000300BA"/>
    <w:rsid w:val="00030324"/>
    <w:rsid w:val="00030BC3"/>
    <w:rsid w:val="00031659"/>
    <w:rsid w:val="00031B19"/>
    <w:rsid w:val="00032687"/>
    <w:rsid w:val="00033D61"/>
    <w:rsid w:val="00034784"/>
    <w:rsid w:val="00034B06"/>
    <w:rsid w:val="00037D6A"/>
    <w:rsid w:val="00037EBE"/>
    <w:rsid w:val="000413A8"/>
    <w:rsid w:val="00041FCF"/>
    <w:rsid w:val="0004265B"/>
    <w:rsid w:val="00042F81"/>
    <w:rsid w:val="00044AAA"/>
    <w:rsid w:val="000509D1"/>
    <w:rsid w:val="00050F73"/>
    <w:rsid w:val="0005160F"/>
    <w:rsid w:val="00051D8E"/>
    <w:rsid w:val="000521ED"/>
    <w:rsid w:val="00052A1A"/>
    <w:rsid w:val="00054019"/>
    <w:rsid w:val="00054111"/>
    <w:rsid w:val="0005435F"/>
    <w:rsid w:val="000556FA"/>
    <w:rsid w:val="0005643F"/>
    <w:rsid w:val="00056653"/>
    <w:rsid w:val="00056CB1"/>
    <w:rsid w:val="000630CA"/>
    <w:rsid w:val="00064AFD"/>
    <w:rsid w:val="000662F9"/>
    <w:rsid w:val="000669C5"/>
    <w:rsid w:val="0006735C"/>
    <w:rsid w:val="00071108"/>
    <w:rsid w:val="000718E2"/>
    <w:rsid w:val="00071FCC"/>
    <w:rsid w:val="00072B0A"/>
    <w:rsid w:val="000735CD"/>
    <w:rsid w:val="000737D9"/>
    <w:rsid w:val="00076F6B"/>
    <w:rsid w:val="00077C75"/>
    <w:rsid w:val="00082983"/>
    <w:rsid w:val="00082F1C"/>
    <w:rsid w:val="000836D6"/>
    <w:rsid w:val="00083791"/>
    <w:rsid w:val="00084013"/>
    <w:rsid w:val="00084443"/>
    <w:rsid w:val="000847F0"/>
    <w:rsid w:val="000868A4"/>
    <w:rsid w:val="00087A51"/>
    <w:rsid w:val="000903CB"/>
    <w:rsid w:val="0009424D"/>
    <w:rsid w:val="000A1699"/>
    <w:rsid w:val="000A1D8D"/>
    <w:rsid w:val="000A2379"/>
    <w:rsid w:val="000A30D4"/>
    <w:rsid w:val="000A3D72"/>
    <w:rsid w:val="000A5145"/>
    <w:rsid w:val="000A57D9"/>
    <w:rsid w:val="000A59FE"/>
    <w:rsid w:val="000B02B2"/>
    <w:rsid w:val="000B1210"/>
    <w:rsid w:val="000B16EC"/>
    <w:rsid w:val="000B2479"/>
    <w:rsid w:val="000B385F"/>
    <w:rsid w:val="000B41DD"/>
    <w:rsid w:val="000B48CB"/>
    <w:rsid w:val="000B49A8"/>
    <w:rsid w:val="000B7D07"/>
    <w:rsid w:val="000C1558"/>
    <w:rsid w:val="000C1CD8"/>
    <w:rsid w:val="000C1F83"/>
    <w:rsid w:val="000C5F7F"/>
    <w:rsid w:val="000C60FC"/>
    <w:rsid w:val="000C799A"/>
    <w:rsid w:val="000D1D22"/>
    <w:rsid w:val="000D279D"/>
    <w:rsid w:val="000D2AF1"/>
    <w:rsid w:val="000D359C"/>
    <w:rsid w:val="000D3F54"/>
    <w:rsid w:val="000D421C"/>
    <w:rsid w:val="000D505A"/>
    <w:rsid w:val="000D5C5B"/>
    <w:rsid w:val="000E00D7"/>
    <w:rsid w:val="000E01F4"/>
    <w:rsid w:val="000E0ADB"/>
    <w:rsid w:val="000E0FDC"/>
    <w:rsid w:val="000E2A2B"/>
    <w:rsid w:val="000E50E7"/>
    <w:rsid w:val="000E57B2"/>
    <w:rsid w:val="000F229F"/>
    <w:rsid w:val="000F2CF0"/>
    <w:rsid w:val="000F3FE1"/>
    <w:rsid w:val="000F7495"/>
    <w:rsid w:val="0010261B"/>
    <w:rsid w:val="0010324F"/>
    <w:rsid w:val="00104960"/>
    <w:rsid w:val="00104E33"/>
    <w:rsid w:val="0010542E"/>
    <w:rsid w:val="00106260"/>
    <w:rsid w:val="001104C5"/>
    <w:rsid w:val="0011086F"/>
    <w:rsid w:val="00110BC9"/>
    <w:rsid w:val="00112736"/>
    <w:rsid w:val="001141D5"/>
    <w:rsid w:val="0011425D"/>
    <w:rsid w:val="00114DE2"/>
    <w:rsid w:val="00115415"/>
    <w:rsid w:val="00116CE2"/>
    <w:rsid w:val="001203A8"/>
    <w:rsid w:val="00122D9D"/>
    <w:rsid w:val="00125F0B"/>
    <w:rsid w:val="00126D51"/>
    <w:rsid w:val="00126EF2"/>
    <w:rsid w:val="0013031A"/>
    <w:rsid w:val="001309FE"/>
    <w:rsid w:val="00130E3E"/>
    <w:rsid w:val="00132438"/>
    <w:rsid w:val="0013471A"/>
    <w:rsid w:val="001347CB"/>
    <w:rsid w:val="00136871"/>
    <w:rsid w:val="001406C2"/>
    <w:rsid w:val="00141039"/>
    <w:rsid w:val="00145F1C"/>
    <w:rsid w:val="00146150"/>
    <w:rsid w:val="00147901"/>
    <w:rsid w:val="001504CE"/>
    <w:rsid w:val="0015089A"/>
    <w:rsid w:val="00150FFE"/>
    <w:rsid w:val="001510DD"/>
    <w:rsid w:val="001514E8"/>
    <w:rsid w:val="00151578"/>
    <w:rsid w:val="00151E6F"/>
    <w:rsid w:val="0015392A"/>
    <w:rsid w:val="00154296"/>
    <w:rsid w:val="0015709B"/>
    <w:rsid w:val="00160957"/>
    <w:rsid w:val="00161B71"/>
    <w:rsid w:val="001632D9"/>
    <w:rsid w:val="00163913"/>
    <w:rsid w:val="00164203"/>
    <w:rsid w:val="00164CC8"/>
    <w:rsid w:val="001653C9"/>
    <w:rsid w:val="00165A74"/>
    <w:rsid w:val="001661F4"/>
    <w:rsid w:val="001671FF"/>
    <w:rsid w:val="001716CB"/>
    <w:rsid w:val="00173137"/>
    <w:rsid w:val="00174081"/>
    <w:rsid w:val="00174B9D"/>
    <w:rsid w:val="00175BEE"/>
    <w:rsid w:val="00175C9B"/>
    <w:rsid w:val="00177570"/>
    <w:rsid w:val="001806EA"/>
    <w:rsid w:val="00182DFF"/>
    <w:rsid w:val="001844AF"/>
    <w:rsid w:val="00190589"/>
    <w:rsid w:val="00191700"/>
    <w:rsid w:val="00193C50"/>
    <w:rsid w:val="00194866"/>
    <w:rsid w:val="00195E34"/>
    <w:rsid w:val="001963B3"/>
    <w:rsid w:val="001A19E0"/>
    <w:rsid w:val="001A2059"/>
    <w:rsid w:val="001A297A"/>
    <w:rsid w:val="001A2AD2"/>
    <w:rsid w:val="001A2B99"/>
    <w:rsid w:val="001A4EE7"/>
    <w:rsid w:val="001A61E1"/>
    <w:rsid w:val="001A623E"/>
    <w:rsid w:val="001A6B0A"/>
    <w:rsid w:val="001B10F7"/>
    <w:rsid w:val="001B4AC5"/>
    <w:rsid w:val="001B4E82"/>
    <w:rsid w:val="001B5028"/>
    <w:rsid w:val="001B7010"/>
    <w:rsid w:val="001C1989"/>
    <w:rsid w:val="001C3479"/>
    <w:rsid w:val="001C3B7F"/>
    <w:rsid w:val="001C692B"/>
    <w:rsid w:val="001C6CCC"/>
    <w:rsid w:val="001C6CE1"/>
    <w:rsid w:val="001D07C2"/>
    <w:rsid w:val="001D1522"/>
    <w:rsid w:val="001D15EC"/>
    <w:rsid w:val="001D325C"/>
    <w:rsid w:val="001D32A4"/>
    <w:rsid w:val="001D75B1"/>
    <w:rsid w:val="001E3113"/>
    <w:rsid w:val="001E3A80"/>
    <w:rsid w:val="001E4330"/>
    <w:rsid w:val="001E569C"/>
    <w:rsid w:val="001F0C2B"/>
    <w:rsid w:val="001F316F"/>
    <w:rsid w:val="001F783A"/>
    <w:rsid w:val="0020128D"/>
    <w:rsid w:val="00202CB7"/>
    <w:rsid w:val="00205228"/>
    <w:rsid w:val="00207321"/>
    <w:rsid w:val="00207CCF"/>
    <w:rsid w:val="00211C39"/>
    <w:rsid w:val="00211D0B"/>
    <w:rsid w:val="002147B6"/>
    <w:rsid w:val="0021552C"/>
    <w:rsid w:val="00215C56"/>
    <w:rsid w:val="002161C9"/>
    <w:rsid w:val="0021775A"/>
    <w:rsid w:val="00220F38"/>
    <w:rsid w:val="002217A0"/>
    <w:rsid w:val="002275A1"/>
    <w:rsid w:val="00234FB5"/>
    <w:rsid w:val="0023500C"/>
    <w:rsid w:val="00235775"/>
    <w:rsid w:val="00235B02"/>
    <w:rsid w:val="00235DB0"/>
    <w:rsid w:val="002360E7"/>
    <w:rsid w:val="002364F3"/>
    <w:rsid w:val="00237976"/>
    <w:rsid w:val="002408B0"/>
    <w:rsid w:val="00240CA2"/>
    <w:rsid w:val="002415A2"/>
    <w:rsid w:val="00241B97"/>
    <w:rsid w:val="0024472C"/>
    <w:rsid w:val="00246269"/>
    <w:rsid w:val="002467F7"/>
    <w:rsid w:val="0024690F"/>
    <w:rsid w:val="0024724C"/>
    <w:rsid w:val="002472FF"/>
    <w:rsid w:val="0025000B"/>
    <w:rsid w:val="002515CE"/>
    <w:rsid w:val="00251E62"/>
    <w:rsid w:val="0025267C"/>
    <w:rsid w:val="00252969"/>
    <w:rsid w:val="00256360"/>
    <w:rsid w:val="002572E7"/>
    <w:rsid w:val="00260A70"/>
    <w:rsid w:val="002623B0"/>
    <w:rsid w:val="0026394D"/>
    <w:rsid w:val="00266F5B"/>
    <w:rsid w:val="00270861"/>
    <w:rsid w:val="0027232F"/>
    <w:rsid w:val="00274A0A"/>
    <w:rsid w:val="00275280"/>
    <w:rsid w:val="00275B0F"/>
    <w:rsid w:val="00276B59"/>
    <w:rsid w:val="0028091C"/>
    <w:rsid w:val="0028250C"/>
    <w:rsid w:val="002874A3"/>
    <w:rsid w:val="002877C2"/>
    <w:rsid w:val="002913F2"/>
    <w:rsid w:val="00291543"/>
    <w:rsid w:val="002915CD"/>
    <w:rsid w:val="00291673"/>
    <w:rsid w:val="0029250D"/>
    <w:rsid w:val="0029258B"/>
    <w:rsid w:val="00294264"/>
    <w:rsid w:val="002964EF"/>
    <w:rsid w:val="00296528"/>
    <w:rsid w:val="002966CE"/>
    <w:rsid w:val="002966D9"/>
    <w:rsid w:val="0029729A"/>
    <w:rsid w:val="002977C5"/>
    <w:rsid w:val="002A03CB"/>
    <w:rsid w:val="002A42B6"/>
    <w:rsid w:val="002A47A9"/>
    <w:rsid w:val="002B0C9E"/>
    <w:rsid w:val="002B11EE"/>
    <w:rsid w:val="002B131E"/>
    <w:rsid w:val="002B139C"/>
    <w:rsid w:val="002B1633"/>
    <w:rsid w:val="002B44EF"/>
    <w:rsid w:val="002B52C5"/>
    <w:rsid w:val="002B5B20"/>
    <w:rsid w:val="002C15FF"/>
    <w:rsid w:val="002C265C"/>
    <w:rsid w:val="002C2BD4"/>
    <w:rsid w:val="002C5537"/>
    <w:rsid w:val="002C76E4"/>
    <w:rsid w:val="002C7C9A"/>
    <w:rsid w:val="002D1BC8"/>
    <w:rsid w:val="002D1DC7"/>
    <w:rsid w:val="002D1EDE"/>
    <w:rsid w:val="002D1FDD"/>
    <w:rsid w:val="002D281C"/>
    <w:rsid w:val="002D2D7B"/>
    <w:rsid w:val="002D31D8"/>
    <w:rsid w:val="002D3247"/>
    <w:rsid w:val="002D3AC6"/>
    <w:rsid w:val="002D497A"/>
    <w:rsid w:val="002D5012"/>
    <w:rsid w:val="002D5043"/>
    <w:rsid w:val="002D5A9C"/>
    <w:rsid w:val="002D6389"/>
    <w:rsid w:val="002D66B7"/>
    <w:rsid w:val="002E0400"/>
    <w:rsid w:val="002E1410"/>
    <w:rsid w:val="002E3A82"/>
    <w:rsid w:val="002E3F1A"/>
    <w:rsid w:val="002E58ED"/>
    <w:rsid w:val="002E59E4"/>
    <w:rsid w:val="002E5CC6"/>
    <w:rsid w:val="002E5F8F"/>
    <w:rsid w:val="002E711A"/>
    <w:rsid w:val="002E78C4"/>
    <w:rsid w:val="002F69D6"/>
    <w:rsid w:val="002F7DEF"/>
    <w:rsid w:val="00301F83"/>
    <w:rsid w:val="003043CF"/>
    <w:rsid w:val="0030448C"/>
    <w:rsid w:val="0030536A"/>
    <w:rsid w:val="00305640"/>
    <w:rsid w:val="00307035"/>
    <w:rsid w:val="00310150"/>
    <w:rsid w:val="00311924"/>
    <w:rsid w:val="00311A59"/>
    <w:rsid w:val="00311B4C"/>
    <w:rsid w:val="0031297A"/>
    <w:rsid w:val="003159F9"/>
    <w:rsid w:val="00320547"/>
    <w:rsid w:val="0032126F"/>
    <w:rsid w:val="003222AF"/>
    <w:rsid w:val="0032409C"/>
    <w:rsid w:val="0032437C"/>
    <w:rsid w:val="0032645B"/>
    <w:rsid w:val="00326CA1"/>
    <w:rsid w:val="0032790D"/>
    <w:rsid w:val="00332085"/>
    <w:rsid w:val="0033320B"/>
    <w:rsid w:val="00333B79"/>
    <w:rsid w:val="00333DA2"/>
    <w:rsid w:val="00335073"/>
    <w:rsid w:val="003357B2"/>
    <w:rsid w:val="0033637F"/>
    <w:rsid w:val="00340320"/>
    <w:rsid w:val="00340D5F"/>
    <w:rsid w:val="003421A5"/>
    <w:rsid w:val="00342579"/>
    <w:rsid w:val="003434E5"/>
    <w:rsid w:val="00347837"/>
    <w:rsid w:val="00347D05"/>
    <w:rsid w:val="0035076C"/>
    <w:rsid w:val="00351609"/>
    <w:rsid w:val="00351E03"/>
    <w:rsid w:val="003522FB"/>
    <w:rsid w:val="00352E5B"/>
    <w:rsid w:val="00354A6C"/>
    <w:rsid w:val="0035567C"/>
    <w:rsid w:val="00356D97"/>
    <w:rsid w:val="00357C0C"/>
    <w:rsid w:val="00360199"/>
    <w:rsid w:val="00360882"/>
    <w:rsid w:val="00360BB0"/>
    <w:rsid w:val="00362949"/>
    <w:rsid w:val="00362AC5"/>
    <w:rsid w:val="00362B9D"/>
    <w:rsid w:val="00363917"/>
    <w:rsid w:val="0036391E"/>
    <w:rsid w:val="00365F56"/>
    <w:rsid w:val="00367CB1"/>
    <w:rsid w:val="0037012F"/>
    <w:rsid w:val="003723A9"/>
    <w:rsid w:val="00373A39"/>
    <w:rsid w:val="00373E11"/>
    <w:rsid w:val="00373FB8"/>
    <w:rsid w:val="003743D4"/>
    <w:rsid w:val="0037445D"/>
    <w:rsid w:val="003834F7"/>
    <w:rsid w:val="0038446A"/>
    <w:rsid w:val="0038563A"/>
    <w:rsid w:val="003860EA"/>
    <w:rsid w:val="00386BF3"/>
    <w:rsid w:val="00387EDE"/>
    <w:rsid w:val="00390BD9"/>
    <w:rsid w:val="00391F3A"/>
    <w:rsid w:val="00392514"/>
    <w:rsid w:val="003943A7"/>
    <w:rsid w:val="003948A1"/>
    <w:rsid w:val="003A2311"/>
    <w:rsid w:val="003A5F23"/>
    <w:rsid w:val="003A7931"/>
    <w:rsid w:val="003B2ED4"/>
    <w:rsid w:val="003B50A8"/>
    <w:rsid w:val="003B5AE6"/>
    <w:rsid w:val="003B5CE0"/>
    <w:rsid w:val="003B5E31"/>
    <w:rsid w:val="003C03A4"/>
    <w:rsid w:val="003C5347"/>
    <w:rsid w:val="003C5A89"/>
    <w:rsid w:val="003C658D"/>
    <w:rsid w:val="003C702B"/>
    <w:rsid w:val="003C7802"/>
    <w:rsid w:val="003D1710"/>
    <w:rsid w:val="003D5F4B"/>
    <w:rsid w:val="003E00E1"/>
    <w:rsid w:val="003E0CE0"/>
    <w:rsid w:val="003E2E47"/>
    <w:rsid w:val="003E2EE4"/>
    <w:rsid w:val="003E329C"/>
    <w:rsid w:val="003E48A3"/>
    <w:rsid w:val="003E5EE4"/>
    <w:rsid w:val="003E60B1"/>
    <w:rsid w:val="003E692B"/>
    <w:rsid w:val="003E6EA2"/>
    <w:rsid w:val="003E7AA1"/>
    <w:rsid w:val="003E7EE2"/>
    <w:rsid w:val="003F0457"/>
    <w:rsid w:val="003F11A1"/>
    <w:rsid w:val="003F3B49"/>
    <w:rsid w:val="003F5738"/>
    <w:rsid w:val="00400F35"/>
    <w:rsid w:val="004014C2"/>
    <w:rsid w:val="00402573"/>
    <w:rsid w:val="00402F7C"/>
    <w:rsid w:val="0040583A"/>
    <w:rsid w:val="00405AF2"/>
    <w:rsid w:val="00407D5B"/>
    <w:rsid w:val="00410317"/>
    <w:rsid w:val="00410EDB"/>
    <w:rsid w:val="004119F6"/>
    <w:rsid w:val="00411E9E"/>
    <w:rsid w:val="00411EC3"/>
    <w:rsid w:val="00412137"/>
    <w:rsid w:val="0041234A"/>
    <w:rsid w:val="00414B35"/>
    <w:rsid w:val="00415C14"/>
    <w:rsid w:val="00415CC0"/>
    <w:rsid w:val="004167BA"/>
    <w:rsid w:val="00417028"/>
    <w:rsid w:val="00420373"/>
    <w:rsid w:val="004215A8"/>
    <w:rsid w:val="00421E4E"/>
    <w:rsid w:val="00424953"/>
    <w:rsid w:val="00424F35"/>
    <w:rsid w:val="00425B0B"/>
    <w:rsid w:val="00425D59"/>
    <w:rsid w:val="00426521"/>
    <w:rsid w:val="00427403"/>
    <w:rsid w:val="00427BA6"/>
    <w:rsid w:val="004317F2"/>
    <w:rsid w:val="00431D70"/>
    <w:rsid w:val="00432732"/>
    <w:rsid w:val="00433972"/>
    <w:rsid w:val="004350F9"/>
    <w:rsid w:val="00436D6C"/>
    <w:rsid w:val="00441845"/>
    <w:rsid w:val="004427AB"/>
    <w:rsid w:val="0044326E"/>
    <w:rsid w:val="0044478F"/>
    <w:rsid w:val="00444C55"/>
    <w:rsid w:val="0044537D"/>
    <w:rsid w:val="00446A7E"/>
    <w:rsid w:val="00453344"/>
    <w:rsid w:val="00456C5A"/>
    <w:rsid w:val="00457ADD"/>
    <w:rsid w:val="00457E5A"/>
    <w:rsid w:val="00460C1F"/>
    <w:rsid w:val="00461DB1"/>
    <w:rsid w:val="004632AC"/>
    <w:rsid w:val="0046375D"/>
    <w:rsid w:val="004645D0"/>
    <w:rsid w:val="00471553"/>
    <w:rsid w:val="00472692"/>
    <w:rsid w:val="0047459B"/>
    <w:rsid w:val="004764A5"/>
    <w:rsid w:val="0048035F"/>
    <w:rsid w:val="004829D1"/>
    <w:rsid w:val="00483CC3"/>
    <w:rsid w:val="00483F55"/>
    <w:rsid w:val="00485946"/>
    <w:rsid w:val="00485D81"/>
    <w:rsid w:val="00486557"/>
    <w:rsid w:val="00486BAC"/>
    <w:rsid w:val="00490236"/>
    <w:rsid w:val="00492BDE"/>
    <w:rsid w:val="004939BD"/>
    <w:rsid w:val="00493E20"/>
    <w:rsid w:val="00496AB5"/>
    <w:rsid w:val="004A0837"/>
    <w:rsid w:val="004A1FE5"/>
    <w:rsid w:val="004A212B"/>
    <w:rsid w:val="004A43C0"/>
    <w:rsid w:val="004A58CE"/>
    <w:rsid w:val="004A5F5D"/>
    <w:rsid w:val="004A70E0"/>
    <w:rsid w:val="004A7D4C"/>
    <w:rsid w:val="004A7E8D"/>
    <w:rsid w:val="004B16B7"/>
    <w:rsid w:val="004B2120"/>
    <w:rsid w:val="004B4049"/>
    <w:rsid w:val="004B408B"/>
    <w:rsid w:val="004B5C49"/>
    <w:rsid w:val="004B61C4"/>
    <w:rsid w:val="004B71C1"/>
    <w:rsid w:val="004C0F49"/>
    <w:rsid w:val="004C228A"/>
    <w:rsid w:val="004C3DED"/>
    <w:rsid w:val="004C6091"/>
    <w:rsid w:val="004D1CBC"/>
    <w:rsid w:val="004D2710"/>
    <w:rsid w:val="004D3A5F"/>
    <w:rsid w:val="004D43CA"/>
    <w:rsid w:val="004D4806"/>
    <w:rsid w:val="004D52C9"/>
    <w:rsid w:val="004D570F"/>
    <w:rsid w:val="004D5715"/>
    <w:rsid w:val="004E50A1"/>
    <w:rsid w:val="004E6488"/>
    <w:rsid w:val="004E6C37"/>
    <w:rsid w:val="004E7F25"/>
    <w:rsid w:val="004F1D98"/>
    <w:rsid w:val="004F763B"/>
    <w:rsid w:val="004F7AAF"/>
    <w:rsid w:val="00500978"/>
    <w:rsid w:val="00501068"/>
    <w:rsid w:val="00506BCC"/>
    <w:rsid w:val="00507B5F"/>
    <w:rsid w:val="00510DB7"/>
    <w:rsid w:val="00510F7C"/>
    <w:rsid w:val="00512D9A"/>
    <w:rsid w:val="0052015B"/>
    <w:rsid w:val="005203C6"/>
    <w:rsid w:val="005206A0"/>
    <w:rsid w:val="00521887"/>
    <w:rsid w:val="005221E2"/>
    <w:rsid w:val="005227AF"/>
    <w:rsid w:val="00522E75"/>
    <w:rsid w:val="00522F1E"/>
    <w:rsid w:val="00532BEF"/>
    <w:rsid w:val="00534C0A"/>
    <w:rsid w:val="00535D03"/>
    <w:rsid w:val="0053707E"/>
    <w:rsid w:val="005414B7"/>
    <w:rsid w:val="00541E3D"/>
    <w:rsid w:val="00542189"/>
    <w:rsid w:val="005457F6"/>
    <w:rsid w:val="00545BF2"/>
    <w:rsid w:val="00546153"/>
    <w:rsid w:val="0054695D"/>
    <w:rsid w:val="005538DF"/>
    <w:rsid w:val="00553D3D"/>
    <w:rsid w:val="005547B2"/>
    <w:rsid w:val="00556319"/>
    <w:rsid w:val="005603BB"/>
    <w:rsid w:val="005621C0"/>
    <w:rsid w:val="00562832"/>
    <w:rsid w:val="005636D1"/>
    <w:rsid w:val="005653EC"/>
    <w:rsid w:val="0057051C"/>
    <w:rsid w:val="00570FAC"/>
    <w:rsid w:val="00572077"/>
    <w:rsid w:val="00572F8C"/>
    <w:rsid w:val="00573BBA"/>
    <w:rsid w:val="0057558F"/>
    <w:rsid w:val="005778B5"/>
    <w:rsid w:val="00580304"/>
    <w:rsid w:val="00580921"/>
    <w:rsid w:val="00581D2E"/>
    <w:rsid w:val="00585B62"/>
    <w:rsid w:val="00585BA9"/>
    <w:rsid w:val="0058701E"/>
    <w:rsid w:val="005874EB"/>
    <w:rsid w:val="00587DF2"/>
    <w:rsid w:val="00591475"/>
    <w:rsid w:val="0059367B"/>
    <w:rsid w:val="005965B6"/>
    <w:rsid w:val="00596D3D"/>
    <w:rsid w:val="00596DFD"/>
    <w:rsid w:val="005A1769"/>
    <w:rsid w:val="005A21A7"/>
    <w:rsid w:val="005A362A"/>
    <w:rsid w:val="005A3FB6"/>
    <w:rsid w:val="005A44B4"/>
    <w:rsid w:val="005A5B03"/>
    <w:rsid w:val="005A6171"/>
    <w:rsid w:val="005A7EBE"/>
    <w:rsid w:val="005B003A"/>
    <w:rsid w:val="005B2365"/>
    <w:rsid w:val="005B33BD"/>
    <w:rsid w:val="005B53E0"/>
    <w:rsid w:val="005B5BB6"/>
    <w:rsid w:val="005C13D8"/>
    <w:rsid w:val="005C1647"/>
    <w:rsid w:val="005C27E3"/>
    <w:rsid w:val="005C42A9"/>
    <w:rsid w:val="005C4929"/>
    <w:rsid w:val="005C4DB0"/>
    <w:rsid w:val="005C4EDC"/>
    <w:rsid w:val="005C597D"/>
    <w:rsid w:val="005C5B00"/>
    <w:rsid w:val="005C688E"/>
    <w:rsid w:val="005C6998"/>
    <w:rsid w:val="005C6B88"/>
    <w:rsid w:val="005C6CC2"/>
    <w:rsid w:val="005C70AC"/>
    <w:rsid w:val="005C7B73"/>
    <w:rsid w:val="005D07CE"/>
    <w:rsid w:val="005D0F1C"/>
    <w:rsid w:val="005D213D"/>
    <w:rsid w:val="005D2831"/>
    <w:rsid w:val="005D2B2D"/>
    <w:rsid w:val="005D3C1F"/>
    <w:rsid w:val="005D426C"/>
    <w:rsid w:val="005D75BF"/>
    <w:rsid w:val="005E0B55"/>
    <w:rsid w:val="005E3F78"/>
    <w:rsid w:val="005E4C04"/>
    <w:rsid w:val="005E60BA"/>
    <w:rsid w:val="005E647C"/>
    <w:rsid w:val="005E7059"/>
    <w:rsid w:val="005E7C7D"/>
    <w:rsid w:val="005E7FF0"/>
    <w:rsid w:val="005F07CC"/>
    <w:rsid w:val="005F2727"/>
    <w:rsid w:val="005F3379"/>
    <w:rsid w:val="005F4311"/>
    <w:rsid w:val="005F5509"/>
    <w:rsid w:val="005F589F"/>
    <w:rsid w:val="005F5A20"/>
    <w:rsid w:val="005F6325"/>
    <w:rsid w:val="005F63C0"/>
    <w:rsid w:val="005F6C83"/>
    <w:rsid w:val="005F759C"/>
    <w:rsid w:val="005F7788"/>
    <w:rsid w:val="00602A34"/>
    <w:rsid w:val="006049D5"/>
    <w:rsid w:val="00605822"/>
    <w:rsid w:val="00606651"/>
    <w:rsid w:val="0061070B"/>
    <w:rsid w:val="00613213"/>
    <w:rsid w:val="00613E4A"/>
    <w:rsid w:val="006146A7"/>
    <w:rsid w:val="00616D82"/>
    <w:rsid w:val="006173A3"/>
    <w:rsid w:val="00621187"/>
    <w:rsid w:val="0062222E"/>
    <w:rsid w:val="00626051"/>
    <w:rsid w:val="00627AB5"/>
    <w:rsid w:val="00627B56"/>
    <w:rsid w:val="0063101E"/>
    <w:rsid w:val="00632E1D"/>
    <w:rsid w:val="00632F22"/>
    <w:rsid w:val="006350ED"/>
    <w:rsid w:val="0063586C"/>
    <w:rsid w:val="00636F40"/>
    <w:rsid w:val="006403DA"/>
    <w:rsid w:val="0064184E"/>
    <w:rsid w:val="00642645"/>
    <w:rsid w:val="00642C5E"/>
    <w:rsid w:val="0064411E"/>
    <w:rsid w:val="006449AC"/>
    <w:rsid w:val="0064600F"/>
    <w:rsid w:val="0064633D"/>
    <w:rsid w:val="00647C59"/>
    <w:rsid w:val="00650733"/>
    <w:rsid w:val="006524FB"/>
    <w:rsid w:val="00655617"/>
    <w:rsid w:val="006611CA"/>
    <w:rsid w:val="00661800"/>
    <w:rsid w:val="006651C7"/>
    <w:rsid w:val="00666598"/>
    <w:rsid w:val="00666CD6"/>
    <w:rsid w:val="00666E86"/>
    <w:rsid w:val="00673BC4"/>
    <w:rsid w:val="006743A5"/>
    <w:rsid w:val="00676005"/>
    <w:rsid w:val="00677E1F"/>
    <w:rsid w:val="00681086"/>
    <w:rsid w:val="00681136"/>
    <w:rsid w:val="00684997"/>
    <w:rsid w:val="00686D03"/>
    <w:rsid w:val="00686E7D"/>
    <w:rsid w:val="00691CD9"/>
    <w:rsid w:val="00692820"/>
    <w:rsid w:val="0069287E"/>
    <w:rsid w:val="0069695F"/>
    <w:rsid w:val="00697DF4"/>
    <w:rsid w:val="00697F35"/>
    <w:rsid w:val="006A3D13"/>
    <w:rsid w:val="006A45CC"/>
    <w:rsid w:val="006A68C3"/>
    <w:rsid w:val="006A744A"/>
    <w:rsid w:val="006A7633"/>
    <w:rsid w:val="006A7C1B"/>
    <w:rsid w:val="006B20BF"/>
    <w:rsid w:val="006B41FE"/>
    <w:rsid w:val="006B4B28"/>
    <w:rsid w:val="006B5144"/>
    <w:rsid w:val="006B7425"/>
    <w:rsid w:val="006C2B8D"/>
    <w:rsid w:val="006C58FA"/>
    <w:rsid w:val="006C6F6D"/>
    <w:rsid w:val="006C7191"/>
    <w:rsid w:val="006D0C66"/>
    <w:rsid w:val="006D17AD"/>
    <w:rsid w:val="006D21F8"/>
    <w:rsid w:val="006D5E6D"/>
    <w:rsid w:val="006D5FDD"/>
    <w:rsid w:val="006D6CB0"/>
    <w:rsid w:val="006D717A"/>
    <w:rsid w:val="006E06F6"/>
    <w:rsid w:val="006E1E4C"/>
    <w:rsid w:val="006E22E2"/>
    <w:rsid w:val="006E41BF"/>
    <w:rsid w:val="006E58D6"/>
    <w:rsid w:val="006E7696"/>
    <w:rsid w:val="006F1313"/>
    <w:rsid w:val="006F23A3"/>
    <w:rsid w:val="006F3A19"/>
    <w:rsid w:val="006F5430"/>
    <w:rsid w:val="006F749C"/>
    <w:rsid w:val="006F766F"/>
    <w:rsid w:val="007019D0"/>
    <w:rsid w:val="00701E33"/>
    <w:rsid w:val="007028A0"/>
    <w:rsid w:val="00704A97"/>
    <w:rsid w:val="00705155"/>
    <w:rsid w:val="007054DC"/>
    <w:rsid w:val="00706CB8"/>
    <w:rsid w:val="00707763"/>
    <w:rsid w:val="00710C16"/>
    <w:rsid w:val="00710ED8"/>
    <w:rsid w:val="007111DF"/>
    <w:rsid w:val="00716686"/>
    <w:rsid w:val="00716E7A"/>
    <w:rsid w:val="00720CCD"/>
    <w:rsid w:val="00722567"/>
    <w:rsid w:val="00722706"/>
    <w:rsid w:val="0072308E"/>
    <w:rsid w:val="007235E0"/>
    <w:rsid w:val="00724A67"/>
    <w:rsid w:val="00726307"/>
    <w:rsid w:val="0072681C"/>
    <w:rsid w:val="007311DA"/>
    <w:rsid w:val="00731582"/>
    <w:rsid w:val="007320FF"/>
    <w:rsid w:val="007325F5"/>
    <w:rsid w:val="007330A6"/>
    <w:rsid w:val="00734708"/>
    <w:rsid w:val="00734893"/>
    <w:rsid w:val="007365C5"/>
    <w:rsid w:val="00736B67"/>
    <w:rsid w:val="00736BDF"/>
    <w:rsid w:val="0073776C"/>
    <w:rsid w:val="007403BC"/>
    <w:rsid w:val="00741A05"/>
    <w:rsid w:val="007420B7"/>
    <w:rsid w:val="00742F26"/>
    <w:rsid w:val="00747040"/>
    <w:rsid w:val="00747E26"/>
    <w:rsid w:val="00750C8A"/>
    <w:rsid w:val="0075116A"/>
    <w:rsid w:val="0075144C"/>
    <w:rsid w:val="00752BE6"/>
    <w:rsid w:val="007541D5"/>
    <w:rsid w:val="00754408"/>
    <w:rsid w:val="00754733"/>
    <w:rsid w:val="0075739E"/>
    <w:rsid w:val="0075775E"/>
    <w:rsid w:val="0076144E"/>
    <w:rsid w:val="00763809"/>
    <w:rsid w:val="0076595C"/>
    <w:rsid w:val="007702B3"/>
    <w:rsid w:val="00771781"/>
    <w:rsid w:val="007726B8"/>
    <w:rsid w:val="00772C5A"/>
    <w:rsid w:val="00773BBA"/>
    <w:rsid w:val="00774C88"/>
    <w:rsid w:val="00774D48"/>
    <w:rsid w:val="007756E0"/>
    <w:rsid w:val="007760E9"/>
    <w:rsid w:val="007815C3"/>
    <w:rsid w:val="00783894"/>
    <w:rsid w:val="00783967"/>
    <w:rsid w:val="00783F16"/>
    <w:rsid w:val="00787324"/>
    <w:rsid w:val="00787551"/>
    <w:rsid w:val="00787C57"/>
    <w:rsid w:val="00791090"/>
    <w:rsid w:val="007915FC"/>
    <w:rsid w:val="0079245B"/>
    <w:rsid w:val="00793390"/>
    <w:rsid w:val="00795129"/>
    <w:rsid w:val="0079547B"/>
    <w:rsid w:val="007961A3"/>
    <w:rsid w:val="00796C8D"/>
    <w:rsid w:val="007971E8"/>
    <w:rsid w:val="0079757C"/>
    <w:rsid w:val="007A1927"/>
    <w:rsid w:val="007B287C"/>
    <w:rsid w:val="007B4A0F"/>
    <w:rsid w:val="007B710F"/>
    <w:rsid w:val="007C0877"/>
    <w:rsid w:val="007C0C4B"/>
    <w:rsid w:val="007C14AF"/>
    <w:rsid w:val="007C3139"/>
    <w:rsid w:val="007C3210"/>
    <w:rsid w:val="007C3565"/>
    <w:rsid w:val="007C4CBC"/>
    <w:rsid w:val="007C5DD5"/>
    <w:rsid w:val="007C6542"/>
    <w:rsid w:val="007D0F27"/>
    <w:rsid w:val="007D117D"/>
    <w:rsid w:val="007D38CC"/>
    <w:rsid w:val="007D44D1"/>
    <w:rsid w:val="007D527B"/>
    <w:rsid w:val="007D6AF0"/>
    <w:rsid w:val="007D72D0"/>
    <w:rsid w:val="007D7479"/>
    <w:rsid w:val="007E2439"/>
    <w:rsid w:val="007E2A6B"/>
    <w:rsid w:val="007E3157"/>
    <w:rsid w:val="007E710D"/>
    <w:rsid w:val="007E7250"/>
    <w:rsid w:val="007E7D75"/>
    <w:rsid w:val="007F0021"/>
    <w:rsid w:val="007F2259"/>
    <w:rsid w:val="007F3DFB"/>
    <w:rsid w:val="007F4E98"/>
    <w:rsid w:val="007F5653"/>
    <w:rsid w:val="007F68CD"/>
    <w:rsid w:val="007F7C82"/>
    <w:rsid w:val="007F7E47"/>
    <w:rsid w:val="00800017"/>
    <w:rsid w:val="00803DCB"/>
    <w:rsid w:val="00806E14"/>
    <w:rsid w:val="00807D4D"/>
    <w:rsid w:val="0081199D"/>
    <w:rsid w:val="00813889"/>
    <w:rsid w:val="008144D2"/>
    <w:rsid w:val="008168A6"/>
    <w:rsid w:val="00820135"/>
    <w:rsid w:val="00820312"/>
    <w:rsid w:val="00822FDE"/>
    <w:rsid w:val="00823315"/>
    <w:rsid w:val="0082681F"/>
    <w:rsid w:val="0083008B"/>
    <w:rsid w:val="008312CE"/>
    <w:rsid w:val="008336F4"/>
    <w:rsid w:val="00833C51"/>
    <w:rsid w:val="0083532E"/>
    <w:rsid w:val="008362B6"/>
    <w:rsid w:val="008365A0"/>
    <w:rsid w:val="00837D75"/>
    <w:rsid w:val="00840C50"/>
    <w:rsid w:val="00841804"/>
    <w:rsid w:val="0084338B"/>
    <w:rsid w:val="00844458"/>
    <w:rsid w:val="008458CE"/>
    <w:rsid w:val="008476F5"/>
    <w:rsid w:val="00851456"/>
    <w:rsid w:val="008518E6"/>
    <w:rsid w:val="0085377E"/>
    <w:rsid w:val="0085383D"/>
    <w:rsid w:val="00853F98"/>
    <w:rsid w:val="00856A5B"/>
    <w:rsid w:val="00857334"/>
    <w:rsid w:val="0086162D"/>
    <w:rsid w:val="00861B77"/>
    <w:rsid w:val="0086277E"/>
    <w:rsid w:val="00864011"/>
    <w:rsid w:val="00870BA7"/>
    <w:rsid w:val="00872036"/>
    <w:rsid w:val="008739A9"/>
    <w:rsid w:val="00875741"/>
    <w:rsid w:val="00877704"/>
    <w:rsid w:val="008777FF"/>
    <w:rsid w:val="00880F53"/>
    <w:rsid w:val="0088110F"/>
    <w:rsid w:val="0088206B"/>
    <w:rsid w:val="008844DA"/>
    <w:rsid w:val="008858B1"/>
    <w:rsid w:val="00890B37"/>
    <w:rsid w:val="00891355"/>
    <w:rsid w:val="00891586"/>
    <w:rsid w:val="00891645"/>
    <w:rsid w:val="008921E4"/>
    <w:rsid w:val="00892499"/>
    <w:rsid w:val="008A0E89"/>
    <w:rsid w:val="008A1EDB"/>
    <w:rsid w:val="008A26EB"/>
    <w:rsid w:val="008A3515"/>
    <w:rsid w:val="008A3E5D"/>
    <w:rsid w:val="008A533E"/>
    <w:rsid w:val="008A5C28"/>
    <w:rsid w:val="008A6898"/>
    <w:rsid w:val="008A7D73"/>
    <w:rsid w:val="008B0A65"/>
    <w:rsid w:val="008B1F34"/>
    <w:rsid w:val="008B33DD"/>
    <w:rsid w:val="008B71F8"/>
    <w:rsid w:val="008B7C13"/>
    <w:rsid w:val="008C0C44"/>
    <w:rsid w:val="008C140F"/>
    <w:rsid w:val="008C3BB7"/>
    <w:rsid w:val="008C4469"/>
    <w:rsid w:val="008C4817"/>
    <w:rsid w:val="008C51AD"/>
    <w:rsid w:val="008C5EBF"/>
    <w:rsid w:val="008C7E94"/>
    <w:rsid w:val="008D18FC"/>
    <w:rsid w:val="008D1931"/>
    <w:rsid w:val="008D19BD"/>
    <w:rsid w:val="008D2D1C"/>
    <w:rsid w:val="008D4E82"/>
    <w:rsid w:val="008D53AD"/>
    <w:rsid w:val="008D7C31"/>
    <w:rsid w:val="008D7D99"/>
    <w:rsid w:val="008D7FF7"/>
    <w:rsid w:val="008E03BD"/>
    <w:rsid w:val="008E0906"/>
    <w:rsid w:val="008E1521"/>
    <w:rsid w:val="008E2595"/>
    <w:rsid w:val="008E2BC5"/>
    <w:rsid w:val="008E2F9C"/>
    <w:rsid w:val="008E3F1B"/>
    <w:rsid w:val="008E3F44"/>
    <w:rsid w:val="008E4A3D"/>
    <w:rsid w:val="008E4B9E"/>
    <w:rsid w:val="008E506F"/>
    <w:rsid w:val="008E6A16"/>
    <w:rsid w:val="008E728A"/>
    <w:rsid w:val="008F1835"/>
    <w:rsid w:val="008F2BED"/>
    <w:rsid w:val="008F3D64"/>
    <w:rsid w:val="008F433A"/>
    <w:rsid w:val="008F7906"/>
    <w:rsid w:val="00900CA4"/>
    <w:rsid w:val="00901ACB"/>
    <w:rsid w:val="00901EA7"/>
    <w:rsid w:val="00904C9B"/>
    <w:rsid w:val="00911193"/>
    <w:rsid w:val="00911385"/>
    <w:rsid w:val="00911986"/>
    <w:rsid w:val="009121B0"/>
    <w:rsid w:val="00912982"/>
    <w:rsid w:val="00912F5C"/>
    <w:rsid w:val="009140B3"/>
    <w:rsid w:val="00914A57"/>
    <w:rsid w:val="00916CB6"/>
    <w:rsid w:val="00916E74"/>
    <w:rsid w:val="00916EB2"/>
    <w:rsid w:val="0092047F"/>
    <w:rsid w:val="009223D5"/>
    <w:rsid w:val="00923004"/>
    <w:rsid w:val="00923E52"/>
    <w:rsid w:val="009248BC"/>
    <w:rsid w:val="00927E8C"/>
    <w:rsid w:val="0093166A"/>
    <w:rsid w:val="009346AA"/>
    <w:rsid w:val="00935319"/>
    <w:rsid w:val="00940E86"/>
    <w:rsid w:val="00941232"/>
    <w:rsid w:val="00942660"/>
    <w:rsid w:val="009429F0"/>
    <w:rsid w:val="00943E99"/>
    <w:rsid w:val="00945F12"/>
    <w:rsid w:val="0094643F"/>
    <w:rsid w:val="009464ED"/>
    <w:rsid w:val="009469C0"/>
    <w:rsid w:val="00946E9C"/>
    <w:rsid w:val="009516D5"/>
    <w:rsid w:val="00951F01"/>
    <w:rsid w:val="00951F15"/>
    <w:rsid w:val="00954D36"/>
    <w:rsid w:val="00954F67"/>
    <w:rsid w:val="00954FDD"/>
    <w:rsid w:val="00955725"/>
    <w:rsid w:val="0095678D"/>
    <w:rsid w:val="0095719F"/>
    <w:rsid w:val="009579F1"/>
    <w:rsid w:val="0096005E"/>
    <w:rsid w:val="00960E70"/>
    <w:rsid w:val="009613E6"/>
    <w:rsid w:val="00961592"/>
    <w:rsid w:val="00962E10"/>
    <w:rsid w:val="00981A08"/>
    <w:rsid w:val="009828DD"/>
    <w:rsid w:val="00984166"/>
    <w:rsid w:val="00984237"/>
    <w:rsid w:val="0099050F"/>
    <w:rsid w:val="0099073E"/>
    <w:rsid w:val="00990DB8"/>
    <w:rsid w:val="00991F47"/>
    <w:rsid w:val="00991F93"/>
    <w:rsid w:val="009924F4"/>
    <w:rsid w:val="00992C48"/>
    <w:rsid w:val="009931AB"/>
    <w:rsid w:val="00994BFF"/>
    <w:rsid w:val="00995940"/>
    <w:rsid w:val="00996949"/>
    <w:rsid w:val="00997032"/>
    <w:rsid w:val="0099708C"/>
    <w:rsid w:val="009971F1"/>
    <w:rsid w:val="009A035B"/>
    <w:rsid w:val="009A055D"/>
    <w:rsid w:val="009A0AB0"/>
    <w:rsid w:val="009A1BC3"/>
    <w:rsid w:val="009A290D"/>
    <w:rsid w:val="009A3387"/>
    <w:rsid w:val="009A50A0"/>
    <w:rsid w:val="009A592A"/>
    <w:rsid w:val="009A795E"/>
    <w:rsid w:val="009B2264"/>
    <w:rsid w:val="009B2C6B"/>
    <w:rsid w:val="009B33D1"/>
    <w:rsid w:val="009B3C7D"/>
    <w:rsid w:val="009C1CD5"/>
    <w:rsid w:val="009C36CF"/>
    <w:rsid w:val="009C50F1"/>
    <w:rsid w:val="009C57A0"/>
    <w:rsid w:val="009C6B9D"/>
    <w:rsid w:val="009D078D"/>
    <w:rsid w:val="009D151F"/>
    <w:rsid w:val="009D4BD8"/>
    <w:rsid w:val="009D64AE"/>
    <w:rsid w:val="009D6A4A"/>
    <w:rsid w:val="009D6F87"/>
    <w:rsid w:val="009D6FE5"/>
    <w:rsid w:val="009D7655"/>
    <w:rsid w:val="009E1FED"/>
    <w:rsid w:val="009E2A40"/>
    <w:rsid w:val="009E2C55"/>
    <w:rsid w:val="009E34C0"/>
    <w:rsid w:val="009E3FCE"/>
    <w:rsid w:val="009E5C16"/>
    <w:rsid w:val="009E5CB6"/>
    <w:rsid w:val="009F3B78"/>
    <w:rsid w:val="009F574B"/>
    <w:rsid w:val="00A00B80"/>
    <w:rsid w:val="00A01E49"/>
    <w:rsid w:val="00A0401F"/>
    <w:rsid w:val="00A05E77"/>
    <w:rsid w:val="00A07946"/>
    <w:rsid w:val="00A118B5"/>
    <w:rsid w:val="00A12EA7"/>
    <w:rsid w:val="00A1336A"/>
    <w:rsid w:val="00A149B1"/>
    <w:rsid w:val="00A14BE0"/>
    <w:rsid w:val="00A177DA"/>
    <w:rsid w:val="00A21A67"/>
    <w:rsid w:val="00A231AE"/>
    <w:rsid w:val="00A23DD2"/>
    <w:rsid w:val="00A24147"/>
    <w:rsid w:val="00A24A97"/>
    <w:rsid w:val="00A25A05"/>
    <w:rsid w:val="00A25ADF"/>
    <w:rsid w:val="00A26D8B"/>
    <w:rsid w:val="00A2795B"/>
    <w:rsid w:val="00A30166"/>
    <w:rsid w:val="00A3242B"/>
    <w:rsid w:val="00A33C03"/>
    <w:rsid w:val="00A33CAA"/>
    <w:rsid w:val="00A353C7"/>
    <w:rsid w:val="00A40116"/>
    <w:rsid w:val="00A403D0"/>
    <w:rsid w:val="00A40A6D"/>
    <w:rsid w:val="00A42BDF"/>
    <w:rsid w:val="00A43B28"/>
    <w:rsid w:val="00A44FDE"/>
    <w:rsid w:val="00A46442"/>
    <w:rsid w:val="00A54CCF"/>
    <w:rsid w:val="00A56259"/>
    <w:rsid w:val="00A56749"/>
    <w:rsid w:val="00A600CB"/>
    <w:rsid w:val="00A603FA"/>
    <w:rsid w:val="00A61918"/>
    <w:rsid w:val="00A63016"/>
    <w:rsid w:val="00A6491B"/>
    <w:rsid w:val="00A64EEB"/>
    <w:rsid w:val="00A66A37"/>
    <w:rsid w:val="00A71888"/>
    <w:rsid w:val="00A74D52"/>
    <w:rsid w:val="00A754E0"/>
    <w:rsid w:val="00A77B5F"/>
    <w:rsid w:val="00A800EA"/>
    <w:rsid w:val="00A80593"/>
    <w:rsid w:val="00A82FBB"/>
    <w:rsid w:val="00A854F7"/>
    <w:rsid w:val="00A8590A"/>
    <w:rsid w:val="00A87463"/>
    <w:rsid w:val="00A91D86"/>
    <w:rsid w:val="00A9236E"/>
    <w:rsid w:val="00A93CEA"/>
    <w:rsid w:val="00A940F4"/>
    <w:rsid w:val="00A942CC"/>
    <w:rsid w:val="00A954F5"/>
    <w:rsid w:val="00A9768B"/>
    <w:rsid w:val="00AA0E97"/>
    <w:rsid w:val="00AA11B6"/>
    <w:rsid w:val="00AA2394"/>
    <w:rsid w:val="00AA3972"/>
    <w:rsid w:val="00AB2014"/>
    <w:rsid w:val="00AB2E12"/>
    <w:rsid w:val="00AB4D30"/>
    <w:rsid w:val="00AB5627"/>
    <w:rsid w:val="00AC16FD"/>
    <w:rsid w:val="00AC209D"/>
    <w:rsid w:val="00AC296B"/>
    <w:rsid w:val="00AC3383"/>
    <w:rsid w:val="00AC4D3D"/>
    <w:rsid w:val="00AC4FC2"/>
    <w:rsid w:val="00AC4FCB"/>
    <w:rsid w:val="00AC5F1B"/>
    <w:rsid w:val="00AD032E"/>
    <w:rsid w:val="00AD21CC"/>
    <w:rsid w:val="00AD3544"/>
    <w:rsid w:val="00AD61B6"/>
    <w:rsid w:val="00AD7A86"/>
    <w:rsid w:val="00AE1ECF"/>
    <w:rsid w:val="00AE2326"/>
    <w:rsid w:val="00AE2F7F"/>
    <w:rsid w:val="00AE3C9A"/>
    <w:rsid w:val="00AE49F3"/>
    <w:rsid w:val="00AE4ABA"/>
    <w:rsid w:val="00AE5A38"/>
    <w:rsid w:val="00AE779F"/>
    <w:rsid w:val="00AE7FCA"/>
    <w:rsid w:val="00AF0282"/>
    <w:rsid w:val="00AF0BD1"/>
    <w:rsid w:val="00AF10BF"/>
    <w:rsid w:val="00AF1394"/>
    <w:rsid w:val="00AF181D"/>
    <w:rsid w:val="00AF41E8"/>
    <w:rsid w:val="00AF5353"/>
    <w:rsid w:val="00AF5375"/>
    <w:rsid w:val="00AF5996"/>
    <w:rsid w:val="00AF67AA"/>
    <w:rsid w:val="00AF7B83"/>
    <w:rsid w:val="00B00828"/>
    <w:rsid w:val="00B01EAE"/>
    <w:rsid w:val="00B034C6"/>
    <w:rsid w:val="00B03924"/>
    <w:rsid w:val="00B05E09"/>
    <w:rsid w:val="00B05F26"/>
    <w:rsid w:val="00B07223"/>
    <w:rsid w:val="00B0784A"/>
    <w:rsid w:val="00B11761"/>
    <w:rsid w:val="00B11EA7"/>
    <w:rsid w:val="00B12533"/>
    <w:rsid w:val="00B13C42"/>
    <w:rsid w:val="00B16A7B"/>
    <w:rsid w:val="00B17918"/>
    <w:rsid w:val="00B20FA5"/>
    <w:rsid w:val="00B215CB"/>
    <w:rsid w:val="00B21616"/>
    <w:rsid w:val="00B22F0C"/>
    <w:rsid w:val="00B2332C"/>
    <w:rsid w:val="00B23FA5"/>
    <w:rsid w:val="00B2495F"/>
    <w:rsid w:val="00B26F7C"/>
    <w:rsid w:val="00B30A7F"/>
    <w:rsid w:val="00B359C4"/>
    <w:rsid w:val="00B37FD4"/>
    <w:rsid w:val="00B4083A"/>
    <w:rsid w:val="00B433ED"/>
    <w:rsid w:val="00B4452B"/>
    <w:rsid w:val="00B44F47"/>
    <w:rsid w:val="00B45519"/>
    <w:rsid w:val="00B469E4"/>
    <w:rsid w:val="00B469ED"/>
    <w:rsid w:val="00B50FF7"/>
    <w:rsid w:val="00B5181D"/>
    <w:rsid w:val="00B52981"/>
    <w:rsid w:val="00B52BDD"/>
    <w:rsid w:val="00B55146"/>
    <w:rsid w:val="00B55232"/>
    <w:rsid w:val="00B55B14"/>
    <w:rsid w:val="00B56B2D"/>
    <w:rsid w:val="00B619F9"/>
    <w:rsid w:val="00B621AB"/>
    <w:rsid w:val="00B64451"/>
    <w:rsid w:val="00B647A4"/>
    <w:rsid w:val="00B65969"/>
    <w:rsid w:val="00B66C0A"/>
    <w:rsid w:val="00B66D8F"/>
    <w:rsid w:val="00B67248"/>
    <w:rsid w:val="00B7160F"/>
    <w:rsid w:val="00B726EC"/>
    <w:rsid w:val="00B75F98"/>
    <w:rsid w:val="00B7784F"/>
    <w:rsid w:val="00B81740"/>
    <w:rsid w:val="00B8326D"/>
    <w:rsid w:val="00B83BCE"/>
    <w:rsid w:val="00B8403B"/>
    <w:rsid w:val="00B855FF"/>
    <w:rsid w:val="00B872E6"/>
    <w:rsid w:val="00B90AD8"/>
    <w:rsid w:val="00B916F4"/>
    <w:rsid w:val="00B917A7"/>
    <w:rsid w:val="00B91F12"/>
    <w:rsid w:val="00B92560"/>
    <w:rsid w:val="00B967D1"/>
    <w:rsid w:val="00B97639"/>
    <w:rsid w:val="00BA3B56"/>
    <w:rsid w:val="00BA46F4"/>
    <w:rsid w:val="00BA49FF"/>
    <w:rsid w:val="00BA55B4"/>
    <w:rsid w:val="00BA64FF"/>
    <w:rsid w:val="00BA679E"/>
    <w:rsid w:val="00BA6983"/>
    <w:rsid w:val="00BB1BA3"/>
    <w:rsid w:val="00BB21E1"/>
    <w:rsid w:val="00BB2BC8"/>
    <w:rsid w:val="00BB3CB7"/>
    <w:rsid w:val="00BB59D8"/>
    <w:rsid w:val="00BB79F0"/>
    <w:rsid w:val="00BC0C46"/>
    <w:rsid w:val="00BC2157"/>
    <w:rsid w:val="00BC3C5C"/>
    <w:rsid w:val="00BC63B2"/>
    <w:rsid w:val="00BC63EA"/>
    <w:rsid w:val="00BC67D9"/>
    <w:rsid w:val="00BC6ABC"/>
    <w:rsid w:val="00BC79AF"/>
    <w:rsid w:val="00BD13E1"/>
    <w:rsid w:val="00BD1B5F"/>
    <w:rsid w:val="00BD2496"/>
    <w:rsid w:val="00BD324D"/>
    <w:rsid w:val="00BD7233"/>
    <w:rsid w:val="00BE05C2"/>
    <w:rsid w:val="00BE2B14"/>
    <w:rsid w:val="00BE2F2E"/>
    <w:rsid w:val="00BE4D2F"/>
    <w:rsid w:val="00BE7446"/>
    <w:rsid w:val="00BF02A9"/>
    <w:rsid w:val="00BF14AB"/>
    <w:rsid w:val="00BF4167"/>
    <w:rsid w:val="00C00CA0"/>
    <w:rsid w:val="00C01A96"/>
    <w:rsid w:val="00C0620B"/>
    <w:rsid w:val="00C06C61"/>
    <w:rsid w:val="00C0743C"/>
    <w:rsid w:val="00C10353"/>
    <w:rsid w:val="00C125B4"/>
    <w:rsid w:val="00C12B62"/>
    <w:rsid w:val="00C13395"/>
    <w:rsid w:val="00C20525"/>
    <w:rsid w:val="00C21EBB"/>
    <w:rsid w:val="00C234BF"/>
    <w:rsid w:val="00C23919"/>
    <w:rsid w:val="00C23B27"/>
    <w:rsid w:val="00C2465C"/>
    <w:rsid w:val="00C2466F"/>
    <w:rsid w:val="00C25792"/>
    <w:rsid w:val="00C27DFA"/>
    <w:rsid w:val="00C31C32"/>
    <w:rsid w:val="00C32C5B"/>
    <w:rsid w:val="00C34F73"/>
    <w:rsid w:val="00C407D9"/>
    <w:rsid w:val="00C415AC"/>
    <w:rsid w:val="00C41ABF"/>
    <w:rsid w:val="00C41AC6"/>
    <w:rsid w:val="00C430BA"/>
    <w:rsid w:val="00C436B4"/>
    <w:rsid w:val="00C45E0D"/>
    <w:rsid w:val="00C46120"/>
    <w:rsid w:val="00C470D2"/>
    <w:rsid w:val="00C50286"/>
    <w:rsid w:val="00C5037A"/>
    <w:rsid w:val="00C50599"/>
    <w:rsid w:val="00C5155D"/>
    <w:rsid w:val="00C52BDA"/>
    <w:rsid w:val="00C52F0C"/>
    <w:rsid w:val="00C53CC9"/>
    <w:rsid w:val="00C53CCE"/>
    <w:rsid w:val="00C56950"/>
    <w:rsid w:val="00C575A4"/>
    <w:rsid w:val="00C60F1B"/>
    <w:rsid w:val="00C6476A"/>
    <w:rsid w:val="00C66B26"/>
    <w:rsid w:val="00C66D79"/>
    <w:rsid w:val="00C679B1"/>
    <w:rsid w:val="00C67E14"/>
    <w:rsid w:val="00C7421B"/>
    <w:rsid w:val="00C767AB"/>
    <w:rsid w:val="00C77061"/>
    <w:rsid w:val="00C80EBC"/>
    <w:rsid w:val="00C8135B"/>
    <w:rsid w:val="00C832C4"/>
    <w:rsid w:val="00C8388D"/>
    <w:rsid w:val="00C85FA6"/>
    <w:rsid w:val="00C86043"/>
    <w:rsid w:val="00C875C5"/>
    <w:rsid w:val="00C87F9B"/>
    <w:rsid w:val="00C9029E"/>
    <w:rsid w:val="00C910A0"/>
    <w:rsid w:val="00C92C98"/>
    <w:rsid w:val="00C930C9"/>
    <w:rsid w:val="00C94A6F"/>
    <w:rsid w:val="00C94CD5"/>
    <w:rsid w:val="00C96843"/>
    <w:rsid w:val="00CA10D2"/>
    <w:rsid w:val="00CA10F8"/>
    <w:rsid w:val="00CA2700"/>
    <w:rsid w:val="00CA4037"/>
    <w:rsid w:val="00CA50EE"/>
    <w:rsid w:val="00CA53BD"/>
    <w:rsid w:val="00CA67C4"/>
    <w:rsid w:val="00CA7D33"/>
    <w:rsid w:val="00CB0EE7"/>
    <w:rsid w:val="00CB1C16"/>
    <w:rsid w:val="00CB2F7F"/>
    <w:rsid w:val="00CB441E"/>
    <w:rsid w:val="00CB7094"/>
    <w:rsid w:val="00CB715C"/>
    <w:rsid w:val="00CC0629"/>
    <w:rsid w:val="00CC1D32"/>
    <w:rsid w:val="00CC4F2F"/>
    <w:rsid w:val="00CC724F"/>
    <w:rsid w:val="00CC7E05"/>
    <w:rsid w:val="00CC7FEF"/>
    <w:rsid w:val="00CD013B"/>
    <w:rsid w:val="00CD2CC4"/>
    <w:rsid w:val="00CD2F5C"/>
    <w:rsid w:val="00CD3B46"/>
    <w:rsid w:val="00CD463F"/>
    <w:rsid w:val="00CD5138"/>
    <w:rsid w:val="00CD6667"/>
    <w:rsid w:val="00CD7633"/>
    <w:rsid w:val="00CE22DD"/>
    <w:rsid w:val="00CE2771"/>
    <w:rsid w:val="00CE42AF"/>
    <w:rsid w:val="00CE44AD"/>
    <w:rsid w:val="00CE515F"/>
    <w:rsid w:val="00CE576A"/>
    <w:rsid w:val="00CE5AD1"/>
    <w:rsid w:val="00CE61D9"/>
    <w:rsid w:val="00CE69BC"/>
    <w:rsid w:val="00CE70F4"/>
    <w:rsid w:val="00CE72A9"/>
    <w:rsid w:val="00CE7B75"/>
    <w:rsid w:val="00CF15D1"/>
    <w:rsid w:val="00CF1B04"/>
    <w:rsid w:val="00CF22CA"/>
    <w:rsid w:val="00CF290B"/>
    <w:rsid w:val="00CF3B22"/>
    <w:rsid w:val="00CF5B09"/>
    <w:rsid w:val="00CF5D10"/>
    <w:rsid w:val="00CF64A0"/>
    <w:rsid w:val="00CF6845"/>
    <w:rsid w:val="00CF747A"/>
    <w:rsid w:val="00D025BB"/>
    <w:rsid w:val="00D03993"/>
    <w:rsid w:val="00D046F9"/>
    <w:rsid w:val="00D05A7D"/>
    <w:rsid w:val="00D0659B"/>
    <w:rsid w:val="00D06660"/>
    <w:rsid w:val="00D06D1E"/>
    <w:rsid w:val="00D07536"/>
    <w:rsid w:val="00D076F0"/>
    <w:rsid w:val="00D11CE5"/>
    <w:rsid w:val="00D12E2A"/>
    <w:rsid w:val="00D17E9F"/>
    <w:rsid w:val="00D20950"/>
    <w:rsid w:val="00D21CD3"/>
    <w:rsid w:val="00D22566"/>
    <w:rsid w:val="00D2512C"/>
    <w:rsid w:val="00D25CBC"/>
    <w:rsid w:val="00D26246"/>
    <w:rsid w:val="00D300A3"/>
    <w:rsid w:val="00D30501"/>
    <w:rsid w:val="00D36618"/>
    <w:rsid w:val="00D3796B"/>
    <w:rsid w:val="00D4032D"/>
    <w:rsid w:val="00D40422"/>
    <w:rsid w:val="00D40D94"/>
    <w:rsid w:val="00D411A3"/>
    <w:rsid w:val="00D4121C"/>
    <w:rsid w:val="00D43227"/>
    <w:rsid w:val="00D4571B"/>
    <w:rsid w:val="00D51C06"/>
    <w:rsid w:val="00D52E7B"/>
    <w:rsid w:val="00D52F8D"/>
    <w:rsid w:val="00D53623"/>
    <w:rsid w:val="00D53902"/>
    <w:rsid w:val="00D62102"/>
    <w:rsid w:val="00D62CEE"/>
    <w:rsid w:val="00D632F2"/>
    <w:rsid w:val="00D63941"/>
    <w:rsid w:val="00D64AF8"/>
    <w:rsid w:val="00D65541"/>
    <w:rsid w:val="00D65C75"/>
    <w:rsid w:val="00D66716"/>
    <w:rsid w:val="00D73533"/>
    <w:rsid w:val="00D73D05"/>
    <w:rsid w:val="00D745ED"/>
    <w:rsid w:val="00D74F51"/>
    <w:rsid w:val="00D75BA5"/>
    <w:rsid w:val="00D8491B"/>
    <w:rsid w:val="00D86FA9"/>
    <w:rsid w:val="00D900A6"/>
    <w:rsid w:val="00D90980"/>
    <w:rsid w:val="00D90D38"/>
    <w:rsid w:val="00D9121E"/>
    <w:rsid w:val="00D918F1"/>
    <w:rsid w:val="00D9374F"/>
    <w:rsid w:val="00D96516"/>
    <w:rsid w:val="00D96C7C"/>
    <w:rsid w:val="00DA046C"/>
    <w:rsid w:val="00DA29F4"/>
    <w:rsid w:val="00DA3279"/>
    <w:rsid w:val="00DA536B"/>
    <w:rsid w:val="00DA541A"/>
    <w:rsid w:val="00DA6B46"/>
    <w:rsid w:val="00DA6FB8"/>
    <w:rsid w:val="00DB0232"/>
    <w:rsid w:val="00DB1F5A"/>
    <w:rsid w:val="00DB2216"/>
    <w:rsid w:val="00DB5036"/>
    <w:rsid w:val="00DC1228"/>
    <w:rsid w:val="00DC41ED"/>
    <w:rsid w:val="00DC4522"/>
    <w:rsid w:val="00DC6E22"/>
    <w:rsid w:val="00DC76CF"/>
    <w:rsid w:val="00DC7AA8"/>
    <w:rsid w:val="00DD1850"/>
    <w:rsid w:val="00DD1E11"/>
    <w:rsid w:val="00DD5B2C"/>
    <w:rsid w:val="00DD610F"/>
    <w:rsid w:val="00DD63B4"/>
    <w:rsid w:val="00DD69F2"/>
    <w:rsid w:val="00DD7F9C"/>
    <w:rsid w:val="00DE1D2B"/>
    <w:rsid w:val="00DE55B3"/>
    <w:rsid w:val="00DE64C2"/>
    <w:rsid w:val="00DE76EA"/>
    <w:rsid w:val="00DE7B32"/>
    <w:rsid w:val="00DF1450"/>
    <w:rsid w:val="00DF2780"/>
    <w:rsid w:val="00DF32CE"/>
    <w:rsid w:val="00DF52D2"/>
    <w:rsid w:val="00DF79EA"/>
    <w:rsid w:val="00DF7B69"/>
    <w:rsid w:val="00DF7C26"/>
    <w:rsid w:val="00E0071A"/>
    <w:rsid w:val="00E029CE"/>
    <w:rsid w:val="00E02E51"/>
    <w:rsid w:val="00E03167"/>
    <w:rsid w:val="00E03ECC"/>
    <w:rsid w:val="00E03F95"/>
    <w:rsid w:val="00E04E90"/>
    <w:rsid w:val="00E05529"/>
    <w:rsid w:val="00E067EB"/>
    <w:rsid w:val="00E06D9D"/>
    <w:rsid w:val="00E11ED0"/>
    <w:rsid w:val="00E12FE0"/>
    <w:rsid w:val="00E20485"/>
    <w:rsid w:val="00E24BB0"/>
    <w:rsid w:val="00E2537C"/>
    <w:rsid w:val="00E27D2A"/>
    <w:rsid w:val="00E30333"/>
    <w:rsid w:val="00E3098B"/>
    <w:rsid w:val="00E316D2"/>
    <w:rsid w:val="00E32E49"/>
    <w:rsid w:val="00E33783"/>
    <w:rsid w:val="00E341CA"/>
    <w:rsid w:val="00E35B9A"/>
    <w:rsid w:val="00E36283"/>
    <w:rsid w:val="00E431E3"/>
    <w:rsid w:val="00E4325A"/>
    <w:rsid w:val="00E43706"/>
    <w:rsid w:val="00E448A8"/>
    <w:rsid w:val="00E456FB"/>
    <w:rsid w:val="00E45F8B"/>
    <w:rsid w:val="00E46E9A"/>
    <w:rsid w:val="00E474E2"/>
    <w:rsid w:val="00E52B07"/>
    <w:rsid w:val="00E53907"/>
    <w:rsid w:val="00E549B5"/>
    <w:rsid w:val="00E55479"/>
    <w:rsid w:val="00E55679"/>
    <w:rsid w:val="00E55BF6"/>
    <w:rsid w:val="00E615D1"/>
    <w:rsid w:val="00E6402D"/>
    <w:rsid w:val="00E6435F"/>
    <w:rsid w:val="00E64B54"/>
    <w:rsid w:val="00E652FD"/>
    <w:rsid w:val="00E664E6"/>
    <w:rsid w:val="00E67389"/>
    <w:rsid w:val="00E72D73"/>
    <w:rsid w:val="00E73037"/>
    <w:rsid w:val="00E73F17"/>
    <w:rsid w:val="00E75B3E"/>
    <w:rsid w:val="00E76D5A"/>
    <w:rsid w:val="00E76DF4"/>
    <w:rsid w:val="00E76EFB"/>
    <w:rsid w:val="00E775E1"/>
    <w:rsid w:val="00E77EBF"/>
    <w:rsid w:val="00E81E7E"/>
    <w:rsid w:val="00E82304"/>
    <w:rsid w:val="00E82E98"/>
    <w:rsid w:val="00E8377A"/>
    <w:rsid w:val="00E84375"/>
    <w:rsid w:val="00E85233"/>
    <w:rsid w:val="00E85BFA"/>
    <w:rsid w:val="00E864EC"/>
    <w:rsid w:val="00E87688"/>
    <w:rsid w:val="00E90B88"/>
    <w:rsid w:val="00E91BF0"/>
    <w:rsid w:val="00E91E63"/>
    <w:rsid w:val="00E92C58"/>
    <w:rsid w:val="00E9330C"/>
    <w:rsid w:val="00E9516A"/>
    <w:rsid w:val="00E95423"/>
    <w:rsid w:val="00E957BB"/>
    <w:rsid w:val="00E96D20"/>
    <w:rsid w:val="00E9780F"/>
    <w:rsid w:val="00EA013E"/>
    <w:rsid w:val="00EA1E5A"/>
    <w:rsid w:val="00EA3AAE"/>
    <w:rsid w:val="00EA3E1C"/>
    <w:rsid w:val="00EA7FEB"/>
    <w:rsid w:val="00EB1C31"/>
    <w:rsid w:val="00EB45BF"/>
    <w:rsid w:val="00EB5540"/>
    <w:rsid w:val="00EB5928"/>
    <w:rsid w:val="00EB65B4"/>
    <w:rsid w:val="00EB733D"/>
    <w:rsid w:val="00EC089F"/>
    <w:rsid w:val="00EC2129"/>
    <w:rsid w:val="00EC3EFF"/>
    <w:rsid w:val="00EC48A7"/>
    <w:rsid w:val="00EC5C5B"/>
    <w:rsid w:val="00EC69F8"/>
    <w:rsid w:val="00ED0AA8"/>
    <w:rsid w:val="00ED1552"/>
    <w:rsid w:val="00ED5F1A"/>
    <w:rsid w:val="00ED6D59"/>
    <w:rsid w:val="00ED7028"/>
    <w:rsid w:val="00ED7075"/>
    <w:rsid w:val="00ED77AB"/>
    <w:rsid w:val="00EE19D9"/>
    <w:rsid w:val="00EE1A18"/>
    <w:rsid w:val="00EE2BC8"/>
    <w:rsid w:val="00EE4114"/>
    <w:rsid w:val="00EE640E"/>
    <w:rsid w:val="00EE686C"/>
    <w:rsid w:val="00EF055F"/>
    <w:rsid w:val="00EF0A53"/>
    <w:rsid w:val="00EF1947"/>
    <w:rsid w:val="00EF2B1F"/>
    <w:rsid w:val="00EF54BB"/>
    <w:rsid w:val="00EF54FF"/>
    <w:rsid w:val="00EF5E50"/>
    <w:rsid w:val="00F0004D"/>
    <w:rsid w:val="00F016DE"/>
    <w:rsid w:val="00F02232"/>
    <w:rsid w:val="00F02851"/>
    <w:rsid w:val="00F02F4B"/>
    <w:rsid w:val="00F03945"/>
    <w:rsid w:val="00F05C7C"/>
    <w:rsid w:val="00F05DCD"/>
    <w:rsid w:val="00F06243"/>
    <w:rsid w:val="00F06522"/>
    <w:rsid w:val="00F109DB"/>
    <w:rsid w:val="00F12BFB"/>
    <w:rsid w:val="00F15312"/>
    <w:rsid w:val="00F15FF9"/>
    <w:rsid w:val="00F16338"/>
    <w:rsid w:val="00F2109A"/>
    <w:rsid w:val="00F21B00"/>
    <w:rsid w:val="00F344E1"/>
    <w:rsid w:val="00F34F6E"/>
    <w:rsid w:val="00F35DF7"/>
    <w:rsid w:val="00F4140B"/>
    <w:rsid w:val="00F42525"/>
    <w:rsid w:val="00F436D0"/>
    <w:rsid w:val="00F43936"/>
    <w:rsid w:val="00F446E2"/>
    <w:rsid w:val="00F44FA1"/>
    <w:rsid w:val="00F46698"/>
    <w:rsid w:val="00F46F90"/>
    <w:rsid w:val="00F47C49"/>
    <w:rsid w:val="00F47F5D"/>
    <w:rsid w:val="00F52638"/>
    <w:rsid w:val="00F53C9B"/>
    <w:rsid w:val="00F562F6"/>
    <w:rsid w:val="00F570B1"/>
    <w:rsid w:val="00F60190"/>
    <w:rsid w:val="00F622B7"/>
    <w:rsid w:val="00F62926"/>
    <w:rsid w:val="00F674B5"/>
    <w:rsid w:val="00F67A5C"/>
    <w:rsid w:val="00F67B69"/>
    <w:rsid w:val="00F67D8F"/>
    <w:rsid w:val="00F706E9"/>
    <w:rsid w:val="00F709B7"/>
    <w:rsid w:val="00F710D7"/>
    <w:rsid w:val="00F72984"/>
    <w:rsid w:val="00F72D2D"/>
    <w:rsid w:val="00F72F31"/>
    <w:rsid w:val="00F73852"/>
    <w:rsid w:val="00F738D9"/>
    <w:rsid w:val="00F7523B"/>
    <w:rsid w:val="00F76EB5"/>
    <w:rsid w:val="00F82D35"/>
    <w:rsid w:val="00F83592"/>
    <w:rsid w:val="00F83737"/>
    <w:rsid w:val="00F85B7D"/>
    <w:rsid w:val="00F87080"/>
    <w:rsid w:val="00F87C9A"/>
    <w:rsid w:val="00F9091D"/>
    <w:rsid w:val="00F910B9"/>
    <w:rsid w:val="00F92160"/>
    <w:rsid w:val="00F925D4"/>
    <w:rsid w:val="00F93675"/>
    <w:rsid w:val="00F9439B"/>
    <w:rsid w:val="00F953EC"/>
    <w:rsid w:val="00F955EA"/>
    <w:rsid w:val="00F96347"/>
    <w:rsid w:val="00FA3858"/>
    <w:rsid w:val="00FA4B9D"/>
    <w:rsid w:val="00FA54B2"/>
    <w:rsid w:val="00FA6C7E"/>
    <w:rsid w:val="00FA718A"/>
    <w:rsid w:val="00FA760E"/>
    <w:rsid w:val="00FB0303"/>
    <w:rsid w:val="00FB0557"/>
    <w:rsid w:val="00FB0A0D"/>
    <w:rsid w:val="00FB2EAA"/>
    <w:rsid w:val="00FB31A6"/>
    <w:rsid w:val="00FB38F4"/>
    <w:rsid w:val="00FB4E6A"/>
    <w:rsid w:val="00FB68EF"/>
    <w:rsid w:val="00FC2C13"/>
    <w:rsid w:val="00FC46A6"/>
    <w:rsid w:val="00FC679D"/>
    <w:rsid w:val="00FD080A"/>
    <w:rsid w:val="00FD456B"/>
    <w:rsid w:val="00FD573D"/>
    <w:rsid w:val="00FD6C90"/>
    <w:rsid w:val="00FE096E"/>
    <w:rsid w:val="00FE0DB2"/>
    <w:rsid w:val="00FE201C"/>
    <w:rsid w:val="00FE37DE"/>
    <w:rsid w:val="00FE53EF"/>
    <w:rsid w:val="00FE736E"/>
    <w:rsid w:val="00FF0665"/>
    <w:rsid w:val="00FF0AD7"/>
    <w:rsid w:val="00FF2DB7"/>
    <w:rsid w:val="00FF3767"/>
    <w:rsid w:val="00FF3E56"/>
    <w:rsid w:val="00FF5E64"/>
    <w:rsid w:val="00FF65E1"/>
    <w:rsid w:val="00FF7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57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4B"/>
    <w:pPr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3D5F4B"/>
    <w:pPr>
      <w:keepNext/>
      <w:outlineLvl w:val="1"/>
    </w:pPr>
    <w:rPr>
      <w:b/>
      <w:bCs/>
      <w:i/>
      <w:iCs/>
      <w:sz w:val="1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8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5F4B"/>
    <w:pPr>
      <w:tabs>
        <w:tab w:val="center" w:pos="4419"/>
        <w:tab w:val="right" w:pos="8838"/>
      </w:tabs>
      <w:jc w:val="left"/>
    </w:pPr>
  </w:style>
  <w:style w:type="character" w:styleId="Nmerodepgina">
    <w:name w:val="page number"/>
    <w:basedOn w:val="Fontepargpadro"/>
    <w:semiHidden/>
    <w:rsid w:val="003D5F4B"/>
  </w:style>
  <w:style w:type="paragraph" w:styleId="Rodap">
    <w:name w:val="footer"/>
    <w:basedOn w:val="Normal"/>
    <w:link w:val="RodapChar"/>
    <w:uiPriority w:val="99"/>
    <w:rsid w:val="003D5F4B"/>
    <w:pPr>
      <w:tabs>
        <w:tab w:val="center" w:pos="4419"/>
        <w:tab w:val="right" w:pos="8838"/>
      </w:tabs>
      <w:jc w:val="left"/>
    </w:pPr>
  </w:style>
  <w:style w:type="character" w:styleId="Hyperlink">
    <w:name w:val="Hyperlink"/>
    <w:basedOn w:val="Fontepargpadro"/>
    <w:semiHidden/>
    <w:rsid w:val="003D5F4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3D5F4B"/>
    <w:rPr>
      <w:rFonts w:ascii="Times New (W1)" w:hAnsi="Times New (W1)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3D5F4B"/>
    <w:rPr>
      <w:vertAlign w:val="superscript"/>
    </w:rPr>
  </w:style>
  <w:style w:type="paragraph" w:styleId="NormalWeb">
    <w:name w:val="Normal (Web)"/>
    <w:basedOn w:val="Normal"/>
    <w:uiPriority w:val="99"/>
    <w:semiHidden/>
    <w:rsid w:val="003D5F4B"/>
    <w:pPr>
      <w:spacing w:before="100" w:beforeAutospacing="1" w:after="100" w:afterAutospacing="1" w:line="480" w:lineRule="auto"/>
    </w:pPr>
    <w:rPr>
      <w:rFonts w:ascii="Verdana" w:eastAsia="Arial Unicode MS" w:hAnsi="Verdana" w:cs="Arial Unicode MS"/>
      <w:sz w:val="15"/>
      <w:szCs w:val="15"/>
    </w:rPr>
  </w:style>
  <w:style w:type="character" w:styleId="nfase">
    <w:name w:val="Emphasis"/>
    <w:basedOn w:val="Fontepargpadro"/>
    <w:qFormat/>
    <w:rsid w:val="003D5F4B"/>
    <w:rPr>
      <w:i/>
      <w:iCs/>
    </w:rPr>
  </w:style>
  <w:style w:type="paragraph" w:styleId="Recuodecorpodetexto">
    <w:name w:val="Body Text Indent"/>
    <w:basedOn w:val="Normal"/>
    <w:semiHidden/>
    <w:rsid w:val="003D5F4B"/>
    <w:pPr>
      <w:tabs>
        <w:tab w:val="left" w:pos="1440"/>
        <w:tab w:val="left" w:pos="4536"/>
      </w:tabs>
      <w:ind w:left="1440"/>
    </w:pPr>
    <w:rPr>
      <w:i/>
      <w:iCs/>
    </w:rPr>
  </w:style>
  <w:style w:type="character" w:styleId="HiperlinkVisitado">
    <w:name w:val="FollowedHyperlink"/>
    <w:basedOn w:val="Fontepargpadro"/>
    <w:semiHidden/>
    <w:rsid w:val="003D5F4B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F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F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95423"/>
    <w:pPr>
      <w:ind w:left="720"/>
      <w:contextualSpacing/>
    </w:pPr>
  </w:style>
  <w:style w:type="paragraph" w:customStyle="1" w:styleId="cm6">
    <w:name w:val="cm6"/>
    <w:basedOn w:val="Normal"/>
    <w:rsid w:val="00D21CD3"/>
    <w:pPr>
      <w:spacing w:before="100" w:beforeAutospacing="1" w:after="100" w:afterAutospacing="1"/>
      <w:jc w:val="left"/>
    </w:pPr>
  </w:style>
  <w:style w:type="paragraph" w:customStyle="1" w:styleId="default">
    <w:name w:val="default"/>
    <w:basedOn w:val="Normal"/>
    <w:rsid w:val="00911986"/>
    <w:pPr>
      <w:spacing w:before="100" w:beforeAutospacing="1" w:after="100" w:afterAutospacing="1"/>
      <w:jc w:val="left"/>
    </w:pPr>
  </w:style>
  <w:style w:type="character" w:customStyle="1" w:styleId="CabealhoChar">
    <w:name w:val="Cabeçalho Char"/>
    <w:basedOn w:val="Fontepargpadro"/>
    <w:link w:val="Cabealho"/>
    <w:rsid w:val="00033D6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91F12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353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35319"/>
    <w:rPr>
      <w:sz w:val="24"/>
      <w:szCs w:val="24"/>
    </w:rPr>
  </w:style>
  <w:style w:type="table" w:styleId="Tabelacomgrade">
    <w:name w:val="Table Grid"/>
    <w:basedOn w:val="Tabelanormal"/>
    <w:uiPriority w:val="59"/>
    <w:rsid w:val="00311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28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731582"/>
    <w:pPr>
      <w:jc w:val="left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31582"/>
    <w:rPr>
      <w:rFonts w:ascii="Courier New" w:hAnsi="Courier New"/>
    </w:rPr>
  </w:style>
  <w:style w:type="paragraph" w:styleId="Corpodetexto2">
    <w:name w:val="Body Text 2"/>
    <w:basedOn w:val="Normal"/>
    <w:link w:val="Corpodetexto2Char"/>
    <w:uiPriority w:val="99"/>
    <w:unhideWhenUsed/>
    <w:rsid w:val="00ED702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D7028"/>
    <w:rPr>
      <w:sz w:val="24"/>
      <w:szCs w:val="24"/>
    </w:rPr>
  </w:style>
  <w:style w:type="paragraph" w:customStyle="1" w:styleId="artigo">
    <w:name w:val="artigo"/>
    <w:basedOn w:val="Normal"/>
    <w:rsid w:val="00D86FA9"/>
    <w:pPr>
      <w:spacing w:before="100" w:beforeAutospacing="1" w:after="100" w:afterAutospacing="1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7726B8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02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02573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40257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7E94"/>
    <w:rPr>
      <w:rFonts w:ascii="Times New (W1)" w:hAnsi="Times New (W1)"/>
    </w:rPr>
  </w:style>
  <w:style w:type="character" w:customStyle="1" w:styleId="RodapChar">
    <w:name w:val="Rodapé Char"/>
    <w:basedOn w:val="Fontepargpadro"/>
    <w:link w:val="Rodap"/>
    <w:uiPriority w:val="99"/>
    <w:rsid w:val="00BB1BA3"/>
    <w:rPr>
      <w:sz w:val="24"/>
      <w:szCs w:val="24"/>
    </w:rPr>
  </w:style>
  <w:style w:type="paragraph" w:customStyle="1" w:styleId="Observao">
    <w:name w:val="Observação"/>
    <w:basedOn w:val="Normal"/>
    <w:next w:val="Normal"/>
    <w:rsid w:val="008A1EDB"/>
    <w:pPr>
      <w:spacing w:before="360"/>
      <w:outlineLvl w:val="0"/>
    </w:pPr>
    <w:rPr>
      <w:noProof/>
      <w:szCs w:val="20"/>
    </w:rPr>
  </w:style>
  <w:style w:type="paragraph" w:customStyle="1" w:styleId="Paragrafp15">
    <w:name w:val="Paragrafp15"/>
    <w:basedOn w:val="Normal"/>
    <w:rsid w:val="008A1EDB"/>
    <w:pPr>
      <w:tabs>
        <w:tab w:val="left" w:pos="1843"/>
      </w:tabs>
      <w:spacing w:before="120" w:after="120"/>
    </w:pPr>
    <w:rPr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2E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2E4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2E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2E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F4B"/>
    <w:pPr>
      <w:jc w:val="both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3D5F4B"/>
    <w:pPr>
      <w:keepNext/>
      <w:outlineLvl w:val="1"/>
    </w:pPr>
    <w:rPr>
      <w:b/>
      <w:bCs/>
      <w:i/>
      <w:iCs/>
      <w:sz w:val="1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8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D5F4B"/>
    <w:pPr>
      <w:tabs>
        <w:tab w:val="center" w:pos="4419"/>
        <w:tab w:val="right" w:pos="8838"/>
      </w:tabs>
      <w:jc w:val="left"/>
    </w:pPr>
  </w:style>
  <w:style w:type="character" w:styleId="Nmerodepgina">
    <w:name w:val="page number"/>
    <w:basedOn w:val="Fontepargpadro"/>
    <w:semiHidden/>
    <w:rsid w:val="003D5F4B"/>
  </w:style>
  <w:style w:type="paragraph" w:styleId="Rodap">
    <w:name w:val="footer"/>
    <w:basedOn w:val="Normal"/>
    <w:link w:val="RodapChar"/>
    <w:uiPriority w:val="99"/>
    <w:rsid w:val="003D5F4B"/>
    <w:pPr>
      <w:tabs>
        <w:tab w:val="center" w:pos="4419"/>
        <w:tab w:val="right" w:pos="8838"/>
      </w:tabs>
      <w:jc w:val="left"/>
    </w:pPr>
  </w:style>
  <w:style w:type="character" w:styleId="Hyperlink">
    <w:name w:val="Hyperlink"/>
    <w:basedOn w:val="Fontepargpadro"/>
    <w:semiHidden/>
    <w:rsid w:val="003D5F4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3D5F4B"/>
    <w:rPr>
      <w:rFonts w:ascii="Times New (W1)" w:hAnsi="Times New (W1)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3D5F4B"/>
    <w:rPr>
      <w:vertAlign w:val="superscript"/>
    </w:rPr>
  </w:style>
  <w:style w:type="paragraph" w:styleId="NormalWeb">
    <w:name w:val="Normal (Web)"/>
    <w:basedOn w:val="Normal"/>
    <w:uiPriority w:val="99"/>
    <w:semiHidden/>
    <w:rsid w:val="003D5F4B"/>
    <w:pPr>
      <w:spacing w:before="100" w:beforeAutospacing="1" w:after="100" w:afterAutospacing="1" w:line="480" w:lineRule="auto"/>
    </w:pPr>
    <w:rPr>
      <w:rFonts w:ascii="Verdana" w:eastAsia="Arial Unicode MS" w:hAnsi="Verdana" w:cs="Arial Unicode MS"/>
      <w:sz w:val="15"/>
      <w:szCs w:val="15"/>
    </w:rPr>
  </w:style>
  <w:style w:type="character" w:styleId="nfase">
    <w:name w:val="Emphasis"/>
    <w:basedOn w:val="Fontepargpadro"/>
    <w:qFormat/>
    <w:rsid w:val="003D5F4B"/>
    <w:rPr>
      <w:i/>
      <w:iCs/>
    </w:rPr>
  </w:style>
  <w:style w:type="paragraph" w:styleId="Recuodecorpodetexto">
    <w:name w:val="Body Text Indent"/>
    <w:basedOn w:val="Normal"/>
    <w:semiHidden/>
    <w:rsid w:val="003D5F4B"/>
    <w:pPr>
      <w:tabs>
        <w:tab w:val="left" w:pos="1440"/>
        <w:tab w:val="left" w:pos="4536"/>
      </w:tabs>
      <w:ind w:left="1440"/>
    </w:pPr>
    <w:rPr>
      <w:i/>
      <w:iCs/>
    </w:rPr>
  </w:style>
  <w:style w:type="character" w:styleId="HiperlinkVisitado">
    <w:name w:val="FollowedHyperlink"/>
    <w:basedOn w:val="Fontepargpadro"/>
    <w:semiHidden/>
    <w:rsid w:val="003D5F4B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4F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F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95423"/>
    <w:pPr>
      <w:ind w:left="720"/>
      <w:contextualSpacing/>
    </w:pPr>
  </w:style>
  <w:style w:type="paragraph" w:customStyle="1" w:styleId="cm6">
    <w:name w:val="cm6"/>
    <w:basedOn w:val="Normal"/>
    <w:rsid w:val="00D21CD3"/>
    <w:pPr>
      <w:spacing w:before="100" w:beforeAutospacing="1" w:after="100" w:afterAutospacing="1"/>
      <w:jc w:val="left"/>
    </w:pPr>
  </w:style>
  <w:style w:type="paragraph" w:customStyle="1" w:styleId="default">
    <w:name w:val="default"/>
    <w:basedOn w:val="Normal"/>
    <w:rsid w:val="00911986"/>
    <w:pPr>
      <w:spacing w:before="100" w:beforeAutospacing="1" w:after="100" w:afterAutospacing="1"/>
      <w:jc w:val="left"/>
    </w:pPr>
  </w:style>
  <w:style w:type="character" w:customStyle="1" w:styleId="CabealhoChar">
    <w:name w:val="Cabeçalho Char"/>
    <w:basedOn w:val="Fontepargpadro"/>
    <w:link w:val="Cabealho"/>
    <w:rsid w:val="00033D6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91F12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3531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35319"/>
    <w:rPr>
      <w:sz w:val="24"/>
      <w:szCs w:val="24"/>
    </w:rPr>
  </w:style>
  <w:style w:type="table" w:styleId="Tabelacomgrade">
    <w:name w:val="Table Grid"/>
    <w:basedOn w:val="Tabelanormal"/>
    <w:uiPriority w:val="59"/>
    <w:rsid w:val="00311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B28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731582"/>
    <w:pPr>
      <w:jc w:val="left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731582"/>
    <w:rPr>
      <w:rFonts w:ascii="Courier New" w:hAnsi="Courier New"/>
    </w:rPr>
  </w:style>
  <w:style w:type="paragraph" w:styleId="Corpodetexto2">
    <w:name w:val="Body Text 2"/>
    <w:basedOn w:val="Normal"/>
    <w:link w:val="Corpodetexto2Char"/>
    <w:uiPriority w:val="99"/>
    <w:unhideWhenUsed/>
    <w:rsid w:val="00ED702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D7028"/>
    <w:rPr>
      <w:sz w:val="24"/>
      <w:szCs w:val="24"/>
    </w:rPr>
  </w:style>
  <w:style w:type="paragraph" w:customStyle="1" w:styleId="artigo">
    <w:name w:val="artigo"/>
    <w:basedOn w:val="Normal"/>
    <w:rsid w:val="00D86FA9"/>
    <w:pPr>
      <w:spacing w:before="100" w:beforeAutospacing="1" w:after="100" w:afterAutospacing="1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7726B8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02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02573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40257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7E94"/>
    <w:rPr>
      <w:rFonts w:ascii="Times New (W1)" w:hAnsi="Times New (W1)"/>
    </w:rPr>
  </w:style>
  <w:style w:type="character" w:customStyle="1" w:styleId="RodapChar">
    <w:name w:val="Rodapé Char"/>
    <w:basedOn w:val="Fontepargpadro"/>
    <w:link w:val="Rodap"/>
    <w:uiPriority w:val="99"/>
    <w:rsid w:val="00BB1BA3"/>
    <w:rPr>
      <w:sz w:val="24"/>
      <w:szCs w:val="24"/>
    </w:rPr>
  </w:style>
  <w:style w:type="paragraph" w:customStyle="1" w:styleId="Observao">
    <w:name w:val="Observação"/>
    <w:basedOn w:val="Normal"/>
    <w:next w:val="Normal"/>
    <w:rsid w:val="008A1EDB"/>
    <w:pPr>
      <w:spacing w:before="360"/>
      <w:outlineLvl w:val="0"/>
    </w:pPr>
    <w:rPr>
      <w:noProof/>
      <w:szCs w:val="20"/>
    </w:rPr>
  </w:style>
  <w:style w:type="paragraph" w:customStyle="1" w:styleId="Paragrafp15">
    <w:name w:val="Paragrafp15"/>
    <w:basedOn w:val="Normal"/>
    <w:rsid w:val="008A1EDB"/>
    <w:pPr>
      <w:tabs>
        <w:tab w:val="left" w:pos="1843"/>
      </w:tabs>
      <w:spacing w:before="120" w:after="120"/>
    </w:pPr>
    <w:rPr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2E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2E4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2E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2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132">
              <w:marLeft w:val="0"/>
              <w:marRight w:val="0"/>
              <w:marTop w:val="0"/>
              <w:marBottom w:val="0"/>
              <w:divBdr>
                <w:top w:val="single" w:sz="6" w:space="31" w:color="4A73A2"/>
                <w:left w:val="single" w:sz="6" w:space="8" w:color="4A73A2"/>
                <w:bottom w:val="single" w:sz="6" w:space="31" w:color="4A73A2"/>
                <w:right w:val="single" w:sz="6" w:space="8" w:color="4A73A2"/>
              </w:divBdr>
            </w:div>
          </w:divsChild>
        </w:div>
      </w:divsChild>
    </w:div>
    <w:div w:id="193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0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5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dec.org.br/em-acao/noticia-do-consumidor/verba-para-indenizar-poupanca-e-de-r-18-bi" TargetMode="External"/><Relationship Id="rId2" Type="http://schemas.openxmlformats.org/officeDocument/2006/relationships/hyperlink" Target="http://www.cpc.org.br/pdf/CPC_25.pdf" TargetMode="External"/><Relationship Id="rId1" Type="http://schemas.openxmlformats.org/officeDocument/2006/relationships/hyperlink" Target="http://agenciabrasil.ebc.com.br/noticia/2013-11-25/bancos-podem-pagar-r-84-bilhoes-com-defasagem-de-planos-economicos-diz-idec" TargetMode="External"/><Relationship Id="rId4" Type="http://schemas.openxmlformats.org/officeDocument/2006/relationships/hyperlink" Target="http://www.camara.gov.br/proposicoesWeb/fichadetramitacao?idProposicao=44620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0E0BE5ED-0090-482D-B301-C59DD5E33A85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2529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Nota-Jurídica PGBC-x/2009</vt:lpstr>
    </vt:vector>
  </TitlesOfParts>
  <Company>Banco Central do Brasil</Company>
  <LinksUpToDate>false</LinksUpToDate>
  <CharactersWithSpaces>16155</CharactersWithSpaces>
  <SharedDoc>false</SharedDoc>
  <HLinks>
    <vt:vector size="24" baseType="variant">
      <vt:variant>
        <vt:i4>917543</vt:i4>
      </vt:variant>
      <vt:variant>
        <vt:i4>8</vt:i4>
      </vt:variant>
      <vt:variant>
        <vt:i4>0</vt:i4>
      </vt:variant>
      <vt:variant>
        <vt:i4>5</vt:i4>
      </vt:variant>
      <vt:variant>
        <vt:lpwstr>mailto:coadm.pgbcb@bcb.gov.br</vt:lpwstr>
      </vt:variant>
      <vt:variant>
        <vt:lpwstr/>
      </vt:variant>
      <vt:variant>
        <vt:i4>917543</vt:i4>
      </vt:variant>
      <vt:variant>
        <vt:i4>5</vt:i4>
      </vt:variant>
      <vt:variant>
        <vt:i4>0</vt:i4>
      </vt:variant>
      <vt:variant>
        <vt:i4>5</vt:i4>
      </vt:variant>
      <vt:variant>
        <vt:lpwstr>mailto:coadm.pgbcb@bcb.gov.br</vt:lpwstr>
      </vt:variant>
      <vt:variant>
        <vt:lpwstr/>
      </vt:variant>
      <vt:variant>
        <vt:i4>196662</vt:i4>
      </vt:variant>
      <vt:variant>
        <vt:i4>17736</vt:i4>
      </vt:variant>
      <vt:variant>
        <vt:i4>1026</vt:i4>
      </vt:variant>
      <vt:variant>
        <vt:i4>1</vt:i4>
      </vt:variant>
      <vt:variant>
        <vt:lpwstr>C:\marca_procuradoria_blak.bmp</vt:lpwstr>
      </vt:variant>
      <vt:variant>
        <vt:lpwstr/>
      </vt:variant>
      <vt:variant>
        <vt:i4>196662</vt:i4>
      </vt:variant>
      <vt:variant>
        <vt:i4>18094</vt:i4>
      </vt:variant>
      <vt:variant>
        <vt:i4>1025</vt:i4>
      </vt:variant>
      <vt:variant>
        <vt:i4>1</vt:i4>
      </vt:variant>
      <vt:variant>
        <vt:lpwstr>C:\marca_procuradoria_blak.bmp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Nota-Jurídica PGBC-x/2009</dc:title>
  <dc:creator>pgbcb.leonardo</dc:creator>
  <cp:lastModifiedBy>Rafael Bezerra Ximenes de Vasconcelos</cp:lastModifiedBy>
  <cp:revision>3</cp:revision>
  <cp:lastPrinted>2014-01-06T18:55:00Z</cp:lastPrinted>
  <dcterms:created xsi:type="dcterms:W3CDTF">2014-01-06T19:35:00Z</dcterms:created>
  <dcterms:modified xsi:type="dcterms:W3CDTF">2014-01-06T19:35:00Z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