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4D" w:rsidRPr="00E64CB7" w:rsidRDefault="00B53B4D" w:rsidP="00B53B4D">
      <w:pPr>
        <w:pStyle w:val="Cabealho"/>
        <w:tabs>
          <w:tab w:val="clear" w:pos="4419"/>
          <w:tab w:val="clear" w:pos="8838"/>
          <w:tab w:val="left" w:pos="1418"/>
          <w:tab w:val="left" w:pos="3119"/>
          <w:tab w:val="left" w:pos="4536"/>
        </w:tabs>
        <w:jc w:val="both"/>
        <w:rPr>
          <w:b/>
        </w:rPr>
      </w:pPr>
      <w:bookmarkStart w:id="0" w:name="_GoBack"/>
      <w:bookmarkEnd w:id="0"/>
      <w:r w:rsidRPr="00E64CB7">
        <w:rPr>
          <w:b/>
        </w:rPr>
        <w:t xml:space="preserve">EXCELENTÍSSIMO SENHOR MINISTRO </w:t>
      </w:r>
      <w:r w:rsidR="009C5D3C">
        <w:rPr>
          <w:b/>
        </w:rPr>
        <w:t>SIDNEI BENETI</w:t>
      </w:r>
      <w:r w:rsidRPr="00E64CB7">
        <w:rPr>
          <w:b/>
        </w:rPr>
        <w:t xml:space="preserve">, DO SUPERIOR </w:t>
      </w:r>
      <w:r w:rsidR="00F51B01" w:rsidRPr="00E64CB7">
        <w:rPr>
          <w:b/>
        </w:rPr>
        <w:t>TRIBUNAL DE JUSTIÇA</w:t>
      </w:r>
      <w:r w:rsidR="00B50A50" w:rsidRPr="00E64CB7">
        <w:rPr>
          <w:b/>
        </w:rPr>
        <w:t>,</w:t>
      </w: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B53B4D" w:rsidRPr="00E64CB7" w:rsidRDefault="00B53B4D" w:rsidP="00B53B4D">
      <w:pPr>
        <w:pStyle w:val="Cabealho"/>
        <w:tabs>
          <w:tab w:val="clear" w:pos="4419"/>
          <w:tab w:val="left" w:pos="1418"/>
          <w:tab w:val="left" w:pos="3119"/>
          <w:tab w:val="left" w:pos="4536"/>
        </w:tabs>
        <w:jc w:val="both"/>
      </w:pPr>
    </w:p>
    <w:p w:rsidR="001D5B94" w:rsidRDefault="001D5B94" w:rsidP="00B53B4D">
      <w:pPr>
        <w:tabs>
          <w:tab w:val="left" w:pos="2325"/>
        </w:tabs>
        <w:jc w:val="both"/>
        <w:rPr>
          <w:b/>
          <w:bCs/>
        </w:rPr>
      </w:pPr>
    </w:p>
    <w:p w:rsidR="00B53B4D" w:rsidRPr="00E64CB7" w:rsidRDefault="00B53B4D" w:rsidP="00B53B4D">
      <w:pPr>
        <w:tabs>
          <w:tab w:val="left" w:pos="2325"/>
        </w:tabs>
        <w:jc w:val="both"/>
        <w:rPr>
          <w:b/>
          <w:bCs/>
        </w:rPr>
      </w:pPr>
    </w:p>
    <w:p w:rsidR="00B53B4D" w:rsidRPr="00FB7BB1" w:rsidRDefault="00B53B4D" w:rsidP="00B53B4D">
      <w:pPr>
        <w:jc w:val="both"/>
        <w:rPr>
          <w:b/>
          <w:bCs/>
          <w:sz w:val="20"/>
          <w:szCs w:val="20"/>
        </w:rPr>
      </w:pPr>
      <w:r w:rsidRPr="00FB7BB1">
        <w:rPr>
          <w:b/>
          <w:sz w:val="20"/>
          <w:szCs w:val="20"/>
        </w:rPr>
        <w:t xml:space="preserve">RECURSO ESPECIAL Nº </w:t>
      </w:r>
      <w:r w:rsidR="009C5D3C" w:rsidRPr="00FB7BB1">
        <w:rPr>
          <w:b/>
          <w:sz w:val="20"/>
          <w:szCs w:val="20"/>
        </w:rPr>
        <w:t>1.370.899-SP</w:t>
      </w:r>
      <w:r w:rsidRPr="00FB7BB1">
        <w:rPr>
          <w:b/>
          <w:sz w:val="20"/>
          <w:szCs w:val="20"/>
        </w:rPr>
        <w:t xml:space="preserve"> (</w:t>
      </w:r>
      <w:r w:rsidR="009C5D3C" w:rsidRPr="00FB7BB1">
        <w:rPr>
          <w:b/>
          <w:sz w:val="20"/>
          <w:szCs w:val="20"/>
        </w:rPr>
        <w:t>2013/0053551-7</w:t>
      </w:r>
      <w:r w:rsidRPr="00FB7BB1">
        <w:rPr>
          <w:b/>
          <w:sz w:val="20"/>
          <w:szCs w:val="20"/>
        </w:rPr>
        <w:t>)</w:t>
      </w:r>
    </w:p>
    <w:p w:rsidR="00B53B4D" w:rsidRPr="00FB7BB1" w:rsidRDefault="00B53B4D" w:rsidP="00B53B4D">
      <w:pPr>
        <w:jc w:val="both"/>
        <w:rPr>
          <w:b/>
          <w:sz w:val="20"/>
          <w:szCs w:val="20"/>
        </w:rPr>
      </w:pPr>
      <w:r w:rsidRPr="00FB7BB1">
        <w:rPr>
          <w:b/>
          <w:sz w:val="20"/>
          <w:szCs w:val="20"/>
        </w:rPr>
        <w:t xml:space="preserve">RECORRENTE: </w:t>
      </w:r>
      <w:r w:rsidR="009C5D3C" w:rsidRPr="00FB7BB1">
        <w:rPr>
          <w:b/>
          <w:sz w:val="20"/>
          <w:szCs w:val="20"/>
        </w:rPr>
        <w:t>BANCO DO BRASIL S/A</w:t>
      </w:r>
    </w:p>
    <w:p w:rsidR="00B53B4D" w:rsidRPr="00FB7BB1" w:rsidRDefault="00B53B4D" w:rsidP="00B53B4D">
      <w:pPr>
        <w:jc w:val="both"/>
        <w:rPr>
          <w:b/>
          <w:bCs/>
          <w:sz w:val="20"/>
          <w:szCs w:val="20"/>
        </w:rPr>
      </w:pPr>
      <w:r w:rsidRPr="00FB7BB1">
        <w:rPr>
          <w:b/>
          <w:bCs/>
          <w:sz w:val="20"/>
          <w:szCs w:val="20"/>
        </w:rPr>
        <w:t xml:space="preserve">RECORRIDO: </w:t>
      </w:r>
      <w:r w:rsidR="009C5D3C" w:rsidRPr="00FB7BB1">
        <w:rPr>
          <w:b/>
          <w:bCs/>
          <w:sz w:val="20"/>
          <w:szCs w:val="20"/>
        </w:rPr>
        <w:t>JOAQUIM DINIZ CORREA NETO</w:t>
      </w:r>
    </w:p>
    <w:p w:rsidR="009C5D3C" w:rsidRPr="00FB7BB1" w:rsidRDefault="009C5D3C" w:rsidP="00B53B4D">
      <w:pPr>
        <w:jc w:val="both"/>
        <w:rPr>
          <w:spacing w:val="-6"/>
        </w:rPr>
      </w:pPr>
      <w:r w:rsidRPr="00FB7BB1">
        <w:rPr>
          <w:b/>
          <w:bCs/>
          <w:spacing w:val="-6"/>
          <w:sz w:val="20"/>
          <w:szCs w:val="20"/>
        </w:rPr>
        <w:t>INTERESSADO: INSTITUTO BRASILEIRO DE DEFESA DO CONSUMIDOR IDEC – “AMICUS CURIAE”</w:t>
      </w:r>
    </w:p>
    <w:p w:rsidR="00B53B4D" w:rsidRPr="00E64CB7" w:rsidRDefault="00B53B4D" w:rsidP="0003461E">
      <w:pPr>
        <w:pStyle w:val="Cabealho"/>
        <w:tabs>
          <w:tab w:val="clear" w:pos="4419"/>
          <w:tab w:val="clear" w:pos="8838"/>
          <w:tab w:val="left" w:pos="2325"/>
        </w:tabs>
        <w:jc w:val="both"/>
      </w:pPr>
    </w:p>
    <w:p w:rsidR="00B53B4D" w:rsidRPr="00E64CB7" w:rsidRDefault="00B53B4D" w:rsidP="0003461E">
      <w:pPr>
        <w:pStyle w:val="Cabealho"/>
        <w:tabs>
          <w:tab w:val="clear" w:pos="4419"/>
          <w:tab w:val="clear" w:pos="8838"/>
          <w:tab w:val="left" w:pos="2325"/>
        </w:tabs>
        <w:jc w:val="both"/>
      </w:pPr>
    </w:p>
    <w:p w:rsidR="00AA3DB4" w:rsidRPr="00E64CB7" w:rsidRDefault="00B53B4D" w:rsidP="0003461E">
      <w:pPr>
        <w:tabs>
          <w:tab w:val="left" w:pos="2325"/>
        </w:tabs>
        <w:jc w:val="both"/>
      </w:pPr>
      <w:r w:rsidRPr="00E64CB7">
        <w:rPr>
          <w:b/>
          <w:bCs/>
        </w:rPr>
        <w:tab/>
      </w:r>
      <w:r w:rsidRPr="00E64CB7">
        <w:rPr>
          <w:b/>
          <w:bCs/>
          <w:sz w:val="28"/>
          <w:szCs w:val="28"/>
        </w:rPr>
        <w:t>BANCO CENTRAL DO BRASIL</w:t>
      </w:r>
      <w:r w:rsidRPr="0003461E">
        <w:rPr>
          <w:bCs/>
        </w:rPr>
        <w:t xml:space="preserve">, </w:t>
      </w:r>
      <w:r w:rsidRPr="00E64CB7">
        <w:t xml:space="preserve">autarquia federal criada pela Lei n.º 4.595, de 31 de dezembro de 1964, com sede na capital federal e endereço indicado no rodapé, </w:t>
      </w:r>
      <w:r w:rsidRPr="002166E3">
        <w:rPr>
          <w:b/>
        </w:rPr>
        <w:t xml:space="preserve">por seu </w:t>
      </w:r>
      <w:r w:rsidR="0003461E" w:rsidRPr="002166E3">
        <w:rPr>
          <w:b/>
        </w:rPr>
        <w:t>P</w:t>
      </w:r>
      <w:r w:rsidRPr="002166E3">
        <w:rPr>
          <w:b/>
        </w:rPr>
        <w:t>r</w:t>
      </w:r>
      <w:r w:rsidR="005F14D6" w:rsidRPr="002166E3">
        <w:rPr>
          <w:b/>
        </w:rPr>
        <w:t>ocurador</w:t>
      </w:r>
      <w:r w:rsidR="0003461E" w:rsidRPr="002166E3">
        <w:rPr>
          <w:b/>
        </w:rPr>
        <w:t>-Geral</w:t>
      </w:r>
      <w:r w:rsidR="005F14D6">
        <w:t xml:space="preserve"> (Lei Complementar nº</w:t>
      </w:r>
      <w:r w:rsidRPr="00E64CB7">
        <w:t xml:space="preserve"> 73, </w:t>
      </w:r>
      <w:r w:rsidR="005F14D6">
        <w:t>de 1993, art. 17, I, c/c Lei nº</w:t>
      </w:r>
      <w:r w:rsidRPr="00E64CB7">
        <w:t xml:space="preserve"> 9.650, de 1998, art. 4º, I</w:t>
      </w:r>
      <w:r w:rsidR="0003461E">
        <w:t>, e Lei nº 9.469, de 1997, art. 9º</w:t>
      </w:r>
      <w:r w:rsidRPr="00E64CB7">
        <w:t xml:space="preserve">), </w:t>
      </w:r>
      <w:r w:rsidR="00704698">
        <w:t xml:space="preserve">com fundamento no art. 50 do Código de Processo Civil (CPC) ou, subsidiariamente, no art. 5º, parágrafo único, da Lei nº 9.469, de 10 de julho de 1997, </w:t>
      </w:r>
      <w:r w:rsidR="00477570">
        <w:t xml:space="preserve">ou </w:t>
      </w:r>
      <w:r w:rsidR="009C5D3C">
        <w:t>no art. 3º, I,</w:t>
      </w:r>
      <w:r w:rsidR="00260FAE">
        <w:t xml:space="preserve"> da Resolução nº 8, de </w:t>
      </w:r>
      <w:proofErr w:type="gramStart"/>
      <w:r w:rsidR="00260FAE">
        <w:t>7</w:t>
      </w:r>
      <w:proofErr w:type="gramEnd"/>
      <w:r w:rsidR="00260FAE">
        <w:t xml:space="preserve"> de agosto de </w:t>
      </w:r>
      <w:r w:rsidR="009C5D3C">
        <w:t>2008</w:t>
      </w:r>
      <w:r w:rsidR="00260FAE">
        <w:t>,</w:t>
      </w:r>
      <w:r w:rsidR="009C5D3C">
        <w:t xml:space="preserve"> desse egrégio Superior Tribunal de Justiça</w:t>
      </w:r>
      <w:r w:rsidR="00477570">
        <w:t xml:space="preserve"> (STJ)</w:t>
      </w:r>
      <w:r w:rsidR="008C7099">
        <w:t xml:space="preserve">, e considerando ainda o disposto no § 4º do </w:t>
      </w:r>
      <w:r w:rsidR="008C7099" w:rsidRPr="00E64CB7">
        <w:t>no art. 543-C, § 4º, do Código de Processo Civil</w:t>
      </w:r>
      <w:r w:rsidR="008C7099">
        <w:t xml:space="preserve"> (CPC)</w:t>
      </w:r>
      <w:r w:rsidR="009C5D3C">
        <w:t xml:space="preserve">, </w:t>
      </w:r>
      <w:r w:rsidR="00477570" w:rsidRPr="00E64CB7">
        <w:t>vem à presença de Vossa Excelência</w:t>
      </w:r>
      <w:r w:rsidR="00477570">
        <w:t xml:space="preserve"> </w:t>
      </w:r>
      <w:r w:rsidR="00182D7E" w:rsidRPr="002166E3">
        <w:rPr>
          <w:b/>
        </w:rPr>
        <w:t>REQUERER</w:t>
      </w:r>
      <w:r w:rsidR="009C5D3C" w:rsidRPr="002166E3">
        <w:rPr>
          <w:b/>
        </w:rPr>
        <w:t xml:space="preserve"> </w:t>
      </w:r>
      <w:r w:rsidR="00182D7E" w:rsidRPr="002166E3">
        <w:rPr>
          <w:b/>
        </w:rPr>
        <w:t>INGRESSO NO FEITO</w:t>
      </w:r>
      <w:r w:rsidR="008C7099" w:rsidRPr="002166E3">
        <w:rPr>
          <w:b/>
        </w:rPr>
        <w:t>, como assistente</w:t>
      </w:r>
      <w:r w:rsidR="00BC0675" w:rsidRPr="002166E3">
        <w:rPr>
          <w:b/>
        </w:rPr>
        <w:t xml:space="preserve"> </w:t>
      </w:r>
      <w:r w:rsidR="00711E2A">
        <w:rPr>
          <w:b/>
        </w:rPr>
        <w:t xml:space="preserve">litisconsorcial </w:t>
      </w:r>
      <w:r w:rsidR="00BC0675" w:rsidRPr="002166E3">
        <w:rPr>
          <w:b/>
        </w:rPr>
        <w:t>da parte recorrente ou, subsidiariamente, como interveniente</w:t>
      </w:r>
      <w:r w:rsidR="00536FFE">
        <w:rPr>
          <w:b/>
        </w:rPr>
        <w:t xml:space="preserve"> </w:t>
      </w:r>
      <w:r w:rsidR="00182D7E" w:rsidRPr="002166E3">
        <w:rPr>
          <w:b/>
        </w:rPr>
        <w:t xml:space="preserve">ou ainda como </w:t>
      </w:r>
      <w:proofErr w:type="spellStart"/>
      <w:r w:rsidR="00182D7E" w:rsidRPr="002166E3">
        <w:rPr>
          <w:b/>
          <w:i/>
        </w:rPr>
        <w:t>amicus</w:t>
      </w:r>
      <w:proofErr w:type="spellEnd"/>
      <w:r w:rsidR="00182D7E" w:rsidRPr="002166E3">
        <w:rPr>
          <w:b/>
          <w:i/>
        </w:rPr>
        <w:t xml:space="preserve"> </w:t>
      </w:r>
      <w:proofErr w:type="spellStart"/>
      <w:r w:rsidR="00182D7E" w:rsidRPr="002166E3">
        <w:rPr>
          <w:b/>
          <w:i/>
        </w:rPr>
        <w:t>curiae</w:t>
      </w:r>
      <w:proofErr w:type="spellEnd"/>
      <w:r w:rsidR="00182D7E">
        <w:t xml:space="preserve">, </w:t>
      </w:r>
      <w:r w:rsidR="00F72257">
        <w:t>pelas</w:t>
      </w:r>
      <w:r w:rsidR="00260FAE">
        <w:t xml:space="preserve"> razões fáticas e jurídicas a seguir expostas</w:t>
      </w:r>
      <w:r w:rsidR="00AA3DB4">
        <w:t>.</w:t>
      </w:r>
    </w:p>
    <w:p w:rsidR="00AA3DB4" w:rsidRDefault="00AA3DB4" w:rsidP="0003461E">
      <w:pPr>
        <w:tabs>
          <w:tab w:val="left" w:pos="2325"/>
        </w:tabs>
        <w:jc w:val="both"/>
        <w:rPr>
          <w:highlight w:val="yellow"/>
        </w:rPr>
      </w:pPr>
    </w:p>
    <w:p w:rsidR="00B53B4D" w:rsidRPr="00E64CB7" w:rsidRDefault="001D5B94" w:rsidP="0003461E">
      <w:pPr>
        <w:pStyle w:val="Cabealho"/>
        <w:tabs>
          <w:tab w:val="clear" w:pos="4419"/>
          <w:tab w:val="clear" w:pos="8838"/>
          <w:tab w:val="left" w:pos="2325"/>
        </w:tabs>
        <w:jc w:val="center"/>
        <w:rPr>
          <w:b/>
        </w:rPr>
      </w:pPr>
      <w:r>
        <w:rPr>
          <w:b/>
        </w:rPr>
        <w:t>I</w:t>
      </w:r>
      <w:r w:rsidR="00B53B4D" w:rsidRPr="00E64CB7">
        <w:rPr>
          <w:b/>
        </w:rPr>
        <w:t xml:space="preserve"> – </w:t>
      </w:r>
      <w:r w:rsidR="00315627">
        <w:rPr>
          <w:b/>
        </w:rPr>
        <w:t>Oportunidade da intervenção do Banco Central</w:t>
      </w:r>
      <w:r w:rsidR="0017487C">
        <w:rPr>
          <w:b/>
        </w:rPr>
        <w:t xml:space="preserve"> do Brasil</w:t>
      </w:r>
    </w:p>
    <w:p w:rsidR="001B2297" w:rsidRDefault="001B2297" w:rsidP="0003461E">
      <w:pPr>
        <w:pStyle w:val="Cabealho"/>
        <w:tabs>
          <w:tab w:val="clear" w:pos="4419"/>
          <w:tab w:val="clear" w:pos="8838"/>
          <w:tab w:val="left" w:pos="2325"/>
        </w:tabs>
        <w:jc w:val="both"/>
      </w:pPr>
    </w:p>
    <w:p w:rsidR="002A762F" w:rsidRDefault="00182D7E" w:rsidP="0003461E">
      <w:pPr>
        <w:pStyle w:val="Cabealho"/>
        <w:numPr>
          <w:ilvl w:val="0"/>
          <w:numId w:val="2"/>
        </w:numPr>
        <w:tabs>
          <w:tab w:val="clear" w:pos="4419"/>
          <w:tab w:val="clear" w:pos="8838"/>
          <w:tab w:val="left" w:pos="2325"/>
        </w:tabs>
        <w:ind w:left="0" w:firstLine="0"/>
        <w:jc w:val="both"/>
      </w:pPr>
      <w:r>
        <w:t>O recurso especial (</w:t>
      </w:r>
      <w:proofErr w:type="spellStart"/>
      <w:proofErr w:type="gramStart"/>
      <w:r>
        <w:t>REsp</w:t>
      </w:r>
      <w:proofErr w:type="spellEnd"/>
      <w:proofErr w:type="gramEnd"/>
      <w:r>
        <w:t>) no qual esta Autarquia ora requer seu ingresso</w:t>
      </w:r>
      <w:r w:rsidR="00B53B4D" w:rsidRPr="00E64CB7">
        <w:t xml:space="preserve"> </w:t>
      </w:r>
      <w:r>
        <w:t xml:space="preserve">foi </w:t>
      </w:r>
      <w:r w:rsidR="00B53B4D" w:rsidRPr="00E64CB7">
        <w:t xml:space="preserve">interposto </w:t>
      </w:r>
      <w:r w:rsidR="00260FAE">
        <w:t>pelo Banco do Brasil S</w:t>
      </w:r>
      <w:r w:rsidR="004F4AF8">
        <w:t>.</w:t>
      </w:r>
      <w:r w:rsidR="00260FAE">
        <w:t>A</w:t>
      </w:r>
      <w:r w:rsidR="004F4AF8">
        <w:t>.</w:t>
      </w:r>
      <w:r>
        <w:t xml:space="preserve"> </w:t>
      </w:r>
      <w:r w:rsidR="00C03D77">
        <w:t xml:space="preserve">(BB) </w:t>
      </w:r>
      <w:r>
        <w:t>para</w:t>
      </w:r>
      <w:r w:rsidR="001D681C">
        <w:t xml:space="preserve"> impugna</w:t>
      </w:r>
      <w:r>
        <w:t>r</w:t>
      </w:r>
      <w:r w:rsidR="001D681C">
        <w:t xml:space="preserve"> </w:t>
      </w:r>
      <w:r>
        <w:t>julgado</w:t>
      </w:r>
      <w:r w:rsidR="001D681C">
        <w:t xml:space="preserve"> que, em execução individual de condenação obtida </w:t>
      </w:r>
      <w:r w:rsidR="00C03D77">
        <w:t>por associação</w:t>
      </w:r>
      <w:r w:rsidR="001D681C">
        <w:t xml:space="preserve"> em ação civil pública</w:t>
      </w:r>
      <w:r w:rsidR="002A762F">
        <w:t>,</w:t>
      </w:r>
      <w:r w:rsidR="002A762F" w:rsidRPr="002A762F">
        <w:t xml:space="preserve"> </w:t>
      </w:r>
      <w:r w:rsidR="002A762F">
        <w:t xml:space="preserve">impôs o pagamento de juros de mora </w:t>
      </w:r>
      <w:r w:rsidR="002A762F" w:rsidRPr="004A1E93">
        <w:rPr>
          <w:u w:val="single"/>
        </w:rPr>
        <w:t>desde</w:t>
      </w:r>
      <w:r w:rsidR="002A762F">
        <w:t xml:space="preserve"> a citação na </w:t>
      </w:r>
      <w:r w:rsidR="00704698">
        <w:t xml:space="preserve">própria </w:t>
      </w:r>
      <w:r w:rsidR="002A762F">
        <w:t xml:space="preserve">ação coletiva, e não </w:t>
      </w:r>
      <w:r w:rsidR="002A762F" w:rsidRPr="004A1E93">
        <w:rPr>
          <w:u w:val="single"/>
        </w:rPr>
        <w:t>a partir</w:t>
      </w:r>
      <w:r w:rsidR="002A762F">
        <w:t xml:space="preserve"> </w:t>
      </w:r>
      <w:r w:rsidR="00704698">
        <w:t>da execução individual da condenação genérica nela obtida, na forma do art. 95 da Lei nº 8.078, de 11 de setembro de 1990</w:t>
      </w:r>
      <w:r w:rsidR="00C03D77">
        <w:t xml:space="preserve"> (Código de Defesa do Consumidor)</w:t>
      </w:r>
      <w:r w:rsidR="00704698">
        <w:t>.</w:t>
      </w:r>
    </w:p>
    <w:p w:rsidR="002A762F" w:rsidRDefault="002A762F" w:rsidP="002A762F">
      <w:pPr>
        <w:pStyle w:val="Cabealho"/>
        <w:tabs>
          <w:tab w:val="clear" w:pos="4419"/>
          <w:tab w:val="clear" w:pos="8838"/>
          <w:tab w:val="left" w:pos="2325"/>
        </w:tabs>
        <w:jc w:val="both"/>
      </w:pPr>
    </w:p>
    <w:p w:rsidR="00C03D77" w:rsidRDefault="00704698" w:rsidP="0003461E">
      <w:pPr>
        <w:pStyle w:val="Cabealho"/>
        <w:numPr>
          <w:ilvl w:val="0"/>
          <w:numId w:val="2"/>
        </w:numPr>
        <w:tabs>
          <w:tab w:val="clear" w:pos="4419"/>
          <w:tab w:val="clear" w:pos="8838"/>
          <w:tab w:val="left" w:pos="2325"/>
        </w:tabs>
        <w:ind w:left="0" w:firstLine="0"/>
        <w:jc w:val="both"/>
      </w:pPr>
      <w:r>
        <w:t>D</w:t>
      </w:r>
      <w:r w:rsidR="00C03D77">
        <w:t>estaque-se, ainda, que a referida condenação, na forma do citado art. 95 do Código de Defesa do Consumidor (CDC), fixou genericamente a responsabilidade do BB</w:t>
      </w:r>
      <w:r w:rsidR="00FA5E2B">
        <w:t xml:space="preserve"> pelo pagamento de alegadas diferenças de correção monetária sobre contas de poupança em decorrência da </w:t>
      </w:r>
      <w:proofErr w:type="gramStart"/>
      <w:r w:rsidR="00FA5E2B">
        <w:t>implementação</w:t>
      </w:r>
      <w:proofErr w:type="gramEnd"/>
      <w:r w:rsidR="00FA5E2B">
        <w:t xml:space="preserve"> do denominado Plano Verão, de 1989.</w:t>
      </w:r>
    </w:p>
    <w:p w:rsidR="00FA5E2B" w:rsidRDefault="00FA5E2B" w:rsidP="00FA5E2B">
      <w:pPr>
        <w:pStyle w:val="PargrafodaLista"/>
      </w:pPr>
    </w:p>
    <w:p w:rsidR="00FA5E2B" w:rsidRDefault="00FA5E2B" w:rsidP="0003461E">
      <w:pPr>
        <w:pStyle w:val="Cabealho"/>
        <w:numPr>
          <w:ilvl w:val="0"/>
          <w:numId w:val="2"/>
        </w:numPr>
        <w:tabs>
          <w:tab w:val="clear" w:pos="4419"/>
          <w:tab w:val="clear" w:pos="8838"/>
          <w:tab w:val="left" w:pos="2325"/>
        </w:tabs>
        <w:ind w:left="0" w:firstLine="0"/>
        <w:jc w:val="both"/>
      </w:pPr>
      <w:r>
        <w:lastRenderedPageBreak/>
        <w:t>Destaque-se, também, que o julgamento do presente recurso foi afetado à colenda Segunda Seção do STJ, “</w:t>
      </w:r>
      <w:r w:rsidRPr="00FA5E2B">
        <w:rPr>
          <w:i/>
        </w:rPr>
        <w:t xml:space="preserve">dada </w:t>
      </w:r>
      <w:proofErr w:type="gramStart"/>
      <w:r w:rsidRPr="00FA5E2B">
        <w:rPr>
          <w:i/>
        </w:rPr>
        <w:t>a</w:t>
      </w:r>
      <w:proofErr w:type="gramEnd"/>
      <w:r w:rsidRPr="00FA5E2B">
        <w:rPr>
          <w:i/>
        </w:rPr>
        <w:t xml:space="preserve"> relevância do tema repetitivo, bem apropriado ao julgamento como Recurso Representativo de Controvérsia (CPC, art. 543-C)</w:t>
      </w:r>
      <w:r>
        <w:t>”, conforme decisão proferida no feito por Vossa Excelência em 24 de junho de 2013.</w:t>
      </w:r>
    </w:p>
    <w:p w:rsidR="00FA5E2B" w:rsidRDefault="00FA5E2B" w:rsidP="00FA5E2B">
      <w:pPr>
        <w:pStyle w:val="PargrafodaLista"/>
      </w:pPr>
    </w:p>
    <w:p w:rsidR="00901F5A" w:rsidRDefault="00901F5A" w:rsidP="0003461E">
      <w:pPr>
        <w:pStyle w:val="Cabealho"/>
        <w:numPr>
          <w:ilvl w:val="0"/>
          <w:numId w:val="2"/>
        </w:numPr>
        <w:tabs>
          <w:tab w:val="clear" w:pos="4419"/>
          <w:tab w:val="clear" w:pos="8838"/>
          <w:tab w:val="left" w:pos="2325"/>
        </w:tabs>
        <w:ind w:left="0" w:firstLine="0"/>
        <w:jc w:val="both"/>
      </w:pPr>
      <w:r>
        <w:t xml:space="preserve">Diante disso, tem-se que </w:t>
      </w:r>
      <w:r w:rsidR="00E43E25">
        <w:t>o</w:t>
      </w:r>
      <w:r>
        <w:t xml:space="preserve"> julgamento</w:t>
      </w:r>
      <w:r w:rsidR="00E43E25">
        <w:t xml:space="preserve"> do presente recurso</w:t>
      </w:r>
      <w:r>
        <w:t xml:space="preserve">, </w:t>
      </w:r>
      <w:r w:rsidR="00E43E25">
        <w:t>por força</w:t>
      </w:r>
      <w:r>
        <w:t xml:space="preserve"> </w:t>
      </w:r>
      <w:r w:rsidR="00E43E25">
        <w:t>d</w:t>
      </w:r>
      <w:r>
        <w:t xml:space="preserve">o regime dos recursos repetitivos, </w:t>
      </w:r>
      <w:r w:rsidR="00E43E25" w:rsidRPr="009F249E">
        <w:rPr>
          <w:b/>
        </w:rPr>
        <w:t xml:space="preserve">terá efeitos gerais sobre todas as </w:t>
      </w:r>
      <w:r w:rsidR="00080056" w:rsidRPr="009F249E">
        <w:rPr>
          <w:b/>
        </w:rPr>
        <w:t xml:space="preserve">eventuais </w:t>
      </w:r>
      <w:r w:rsidR="00E43E25" w:rsidRPr="009F249E">
        <w:rPr>
          <w:b/>
        </w:rPr>
        <w:t>execuções individuais de condenações coletivas</w:t>
      </w:r>
      <w:r w:rsidR="00E43E25">
        <w:t xml:space="preserve">, notadamente as relacionadas à temática dos denominados “expurgos inflacionários” sobre contas de poupança em decorrência dos planos monetários </w:t>
      </w:r>
      <w:proofErr w:type="gramStart"/>
      <w:r w:rsidR="00E43E25">
        <w:t>implementados</w:t>
      </w:r>
      <w:proofErr w:type="gramEnd"/>
      <w:r w:rsidR="00E43E25">
        <w:t xml:space="preserve"> no País entre as décadas de 1980 e 1990</w:t>
      </w:r>
      <w:r w:rsidR="009F249E">
        <w:t xml:space="preserve">, transcendendo, portanto, o caso específico do </w:t>
      </w:r>
      <w:r w:rsidR="009F249E">
        <w:t>denominado Plano Verão, de 1989</w:t>
      </w:r>
      <w:r w:rsidR="00E43E25">
        <w:t>.</w:t>
      </w:r>
    </w:p>
    <w:p w:rsidR="00901F5A" w:rsidRDefault="00901F5A" w:rsidP="00901F5A">
      <w:pPr>
        <w:pStyle w:val="PargrafodaLista"/>
      </w:pPr>
    </w:p>
    <w:p w:rsidR="00080056" w:rsidRDefault="0084698D" w:rsidP="0003461E">
      <w:pPr>
        <w:pStyle w:val="Cabealho"/>
        <w:numPr>
          <w:ilvl w:val="0"/>
          <w:numId w:val="2"/>
        </w:numPr>
        <w:tabs>
          <w:tab w:val="clear" w:pos="4419"/>
          <w:tab w:val="clear" w:pos="8838"/>
          <w:tab w:val="left" w:pos="2325"/>
        </w:tabs>
        <w:ind w:left="0" w:firstLine="0"/>
        <w:jc w:val="both"/>
      </w:pPr>
      <w:r>
        <w:t>N</w:t>
      </w:r>
      <w:r w:rsidR="00080056">
        <w:t>esse contexto,</w:t>
      </w:r>
      <w:r>
        <w:t xml:space="preserve"> assoma o fato, amplamente divulgado pela mídia nacional, de que o egrégio Supremo Tribunal Federal (STF) previu para 2013 o </w:t>
      </w:r>
      <w:r w:rsidR="002557CB">
        <w:t xml:space="preserve">início do </w:t>
      </w:r>
      <w:r>
        <w:t xml:space="preserve">julgamento conjunto da </w:t>
      </w:r>
      <w:r w:rsidR="00BC1EA9" w:rsidRPr="00BC1EA9">
        <w:t xml:space="preserve">Arguição de Descumprimento de Preceito Fundamental (ADPF) 165/DF e dos Recursos Extraordinários </w:t>
      </w:r>
      <w:r w:rsidR="002E38F3">
        <w:t>(</w:t>
      </w:r>
      <w:proofErr w:type="spellStart"/>
      <w:r w:rsidR="002E38F3">
        <w:t>REs</w:t>
      </w:r>
      <w:proofErr w:type="spellEnd"/>
      <w:r w:rsidR="002E38F3">
        <w:t xml:space="preserve">) </w:t>
      </w:r>
      <w:r w:rsidR="00BC1EA9" w:rsidRPr="00BC1EA9">
        <w:t>626.307/SP, 591.797/SP, 632.212/SP e 631.363/SP</w:t>
      </w:r>
      <w:r w:rsidR="00BC1EA9">
        <w:t xml:space="preserve">, todos com reconhecimento da repercussão geral da questão constitucional neles discutida, relacionada justamente </w:t>
      </w:r>
      <w:r w:rsidR="002557CB">
        <w:t xml:space="preserve">à </w:t>
      </w:r>
      <w:r w:rsidR="00BC1EA9">
        <w:t>validade da incidência das regras de correção monetária estabelecidas pela legislação dos planos monetários sobre contratos de poupança em curso.</w:t>
      </w:r>
    </w:p>
    <w:p w:rsidR="00080056" w:rsidRDefault="00080056" w:rsidP="00080056">
      <w:pPr>
        <w:pStyle w:val="PargrafodaLista"/>
      </w:pPr>
    </w:p>
    <w:p w:rsidR="00BC1EA9" w:rsidRDefault="00BC1EA9" w:rsidP="0003461E">
      <w:pPr>
        <w:pStyle w:val="Cabealho"/>
        <w:numPr>
          <w:ilvl w:val="0"/>
          <w:numId w:val="2"/>
        </w:numPr>
        <w:tabs>
          <w:tab w:val="clear" w:pos="4419"/>
          <w:tab w:val="clear" w:pos="8838"/>
          <w:tab w:val="left" w:pos="2325"/>
        </w:tabs>
        <w:ind w:left="0" w:firstLine="0"/>
        <w:jc w:val="both"/>
      </w:pPr>
      <w:r>
        <w:t xml:space="preserve">No curso desses feitos, cujo julgamento conjunto foi efetivamente iniciado </w:t>
      </w:r>
      <w:r w:rsidR="00DC3FAA">
        <w:t xml:space="preserve">pelo STF </w:t>
      </w:r>
      <w:r>
        <w:t>em 2013, o Banco Central</w:t>
      </w:r>
      <w:r w:rsidR="00AD022D">
        <w:t xml:space="preserve"> – </w:t>
      </w:r>
      <w:r w:rsidR="002557CB" w:rsidRPr="00AD022D">
        <w:rPr>
          <w:b/>
        </w:rPr>
        <w:t xml:space="preserve">única entidade </w:t>
      </w:r>
      <w:r w:rsidRPr="00AD022D">
        <w:rPr>
          <w:b/>
        </w:rPr>
        <w:t xml:space="preserve">que figura como </w:t>
      </w:r>
      <w:proofErr w:type="spellStart"/>
      <w:r w:rsidRPr="00AD022D">
        <w:rPr>
          <w:b/>
          <w:i/>
        </w:rPr>
        <w:t>amicus</w:t>
      </w:r>
      <w:proofErr w:type="spellEnd"/>
      <w:r w:rsidRPr="00AD022D">
        <w:rPr>
          <w:b/>
          <w:i/>
        </w:rPr>
        <w:t xml:space="preserve"> </w:t>
      </w:r>
      <w:proofErr w:type="spellStart"/>
      <w:r w:rsidRPr="00AD022D">
        <w:rPr>
          <w:b/>
          <w:i/>
        </w:rPr>
        <w:t>curiae</w:t>
      </w:r>
      <w:proofErr w:type="spellEnd"/>
      <w:r w:rsidRPr="00AD022D">
        <w:rPr>
          <w:b/>
        </w:rPr>
        <w:t xml:space="preserve"> </w:t>
      </w:r>
      <w:r w:rsidRPr="002557CB">
        <w:rPr>
          <w:b/>
        </w:rPr>
        <w:t>em todos eles</w:t>
      </w:r>
      <w:r w:rsidR="00AD022D">
        <w:rPr>
          <w:b/>
        </w:rPr>
        <w:t xml:space="preserve"> </w:t>
      </w:r>
      <w:r w:rsidR="00AD022D" w:rsidRPr="00AD022D">
        <w:t>–</w:t>
      </w:r>
      <w:r w:rsidR="00DC3FAA">
        <w:t xml:space="preserve"> tomou conhecimento de </w:t>
      </w:r>
      <w:r w:rsidR="002E38F3">
        <w:t xml:space="preserve">recente </w:t>
      </w:r>
      <w:r w:rsidR="00DC3FAA">
        <w:t xml:space="preserve">estudo, </w:t>
      </w:r>
      <w:r w:rsidR="002557CB">
        <w:t>juntado aos autos daqueles processos em 18 de fevereiro próximo passado</w:t>
      </w:r>
      <w:r w:rsidR="00DC3FAA">
        <w:t xml:space="preserve">, </w:t>
      </w:r>
      <w:r w:rsidR="00AD022D">
        <w:t xml:space="preserve">que </w:t>
      </w:r>
      <w:r w:rsidR="00DC3FAA">
        <w:t xml:space="preserve">revela justamente </w:t>
      </w:r>
      <w:r w:rsidR="002557CB">
        <w:t xml:space="preserve">estimativas </w:t>
      </w:r>
      <w:r w:rsidR="00AD022D">
        <w:t>n</w:t>
      </w:r>
      <w:r w:rsidR="00835AD9">
        <w:t>ada</w:t>
      </w:r>
      <w:r w:rsidR="00AD022D">
        <w:t xml:space="preserve"> desprezíveis, de amplitude </w:t>
      </w:r>
      <w:r w:rsidR="002557CB">
        <w:t>variada</w:t>
      </w:r>
      <w:r w:rsidR="00AD022D">
        <w:t>,</w:t>
      </w:r>
      <w:r w:rsidR="002557CB">
        <w:t xml:space="preserve"> </w:t>
      </w:r>
      <w:r w:rsidR="00AD022D">
        <w:t>quanto aos</w:t>
      </w:r>
      <w:r w:rsidR="00DC3FAA">
        <w:t xml:space="preserve"> impacto</w:t>
      </w:r>
      <w:r w:rsidR="002557CB">
        <w:t>s</w:t>
      </w:r>
      <w:r w:rsidR="00DC3FAA">
        <w:t xml:space="preserve"> </w:t>
      </w:r>
      <w:r w:rsidR="00AD022D">
        <w:t>econômicos que poderão advir, a depender da definição que o STJ, sob o regime dos recursos repetitivos, dará sobre o início da fluência dos juros de mora: se</w:t>
      </w:r>
      <w:r w:rsidR="00DC3FAA">
        <w:t xml:space="preserve"> </w:t>
      </w:r>
      <w:r w:rsidR="00AD022D" w:rsidRPr="004A1E93">
        <w:rPr>
          <w:u w:val="single"/>
        </w:rPr>
        <w:t>desde</w:t>
      </w:r>
      <w:r w:rsidR="00AD022D">
        <w:t xml:space="preserve"> a citação na própria ação coletiva</w:t>
      </w:r>
      <w:r w:rsidR="00AD022D">
        <w:t xml:space="preserve"> ou</w:t>
      </w:r>
      <w:r w:rsidR="00AD022D">
        <w:t xml:space="preserve"> </w:t>
      </w:r>
      <w:r w:rsidR="00AD022D" w:rsidRPr="004A1E93">
        <w:rPr>
          <w:u w:val="single"/>
        </w:rPr>
        <w:t>a partir</w:t>
      </w:r>
      <w:r w:rsidR="00AD022D">
        <w:t xml:space="preserve"> da execução individual da condenação </w:t>
      </w:r>
      <w:r w:rsidR="00AD022D">
        <w:t>indeterminada e ilíquida</w:t>
      </w:r>
      <w:r w:rsidR="00AD022D">
        <w:t xml:space="preserve"> </w:t>
      </w:r>
      <w:r w:rsidR="00AD022D">
        <w:t xml:space="preserve">na ação </w:t>
      </w:r>
      <w:proofErr w:type="spellStart"/>
      <w:r w:rsidR="00AD022D">
        <w:t>plúrima</w:t>
      </w:r>
      <w:proofErr w:type="spellEnd"/>
      <w:r w:rsidR="00AD022D">
        <w:t xml:space="preserve">. </w:t>
      </w:r>
    </w:p>
    <w:p w:rsidR="00DC3FAA" w:rsidRDefault="00DC3FAA" w:rsidP="00DC3FAA">
      <w:pPr>
        <w:pStyle w:val="PargrafodaLista"/>
      </w:pPr>
    </w:p>
    <w:p w:rsidR="00DC3FAA" w:rsidRDefault="00DC3FAA" w:rsidP="0003461E">
      <w:pPr>
        <w:pStyle w:val="Cabealho"/>
        <w:numPr>
          <w:ilvl w:val="0"/>
          <w:numId w:val="2"/>
        </w:numPr>
        <w:tabs>
          <w:tab w:val="clear" w:pos="4419"/>
          <w:tab w:val="clear" w:pos="8838"/>
          <w:tab w:val="left" w:pos="2325"/>
        </w:tabs>
        <w:ind w:left="0" w:firstLine="0"/>
        <w:jc w:val="both"/>
      </w:pPr>
      <w:r>
        <w:t>Consoante o que se revela n</w:t>
      </w:r>
      <w:r w:rsidR="002E38F3">
        <w:t>aquele recente</w:t>
      </w:r>
      <w:r>
        <w:t xml:space="preserve"> estudo</w:t>
      </w:r>
      <w:r w:rsidR="002E38F3">
        <w:t>, que segue anexo, denominado “</w:t>
      </w:r>
      <w:r w:rsidR="002E38F3" w:rsidRPr="00AD0AAC">
        <w:rPr>
          <w:i/>
        </w:rPr>
        <w:t>Dimensionamento do risco potencial para os bancos decorrentes das ações judiciais indenizatórias dos planos econômicos</w:t>
      </w:r>
      <w:r w:rsidR="002E38F3">
        <w:t>”</w:t>
      </w:r>
      <w:r>
        <w:t>:</w:t>
      </w:r>
    </w:p>
    <w:p w:rsidR="00DC3FAA" w:rsidRDefault="00DC3FAA" w:rsidP="00DC3FAA">
      <w:pPr>
        <w:pStyle w:val="PargrafodaLista"/>
      </w:pPr>
    </w:p>
    <w:p w:rsidR="00DC3FAA" w:rsidRPr="00AD0AAC" w:rsidRDefault="00DC3FAA" w:rsidP="00DC3FAA">
      <w:pPr>
        <w:pStyle w:val="Cabealho"/>
        <w:tabs>
          <w:tab w:val="clear" w:pos="4419"/>
          <w:tab w:val="clear" w:pos="8838"/>
          <w:tab w:val="left" w:pos="2325"/>
        </w:tabs>
        <w:ind w:left="2325"/>
        <w:jc w:val="both"/>
      </w:pPr>
      <w:r w:rsidRPr="00DC3FAA">
        <w:t>“</w:t>
      </w:r>
      <w:r w:rsidR="002E38F3" w:rsidRPr="002E38F3">
        <w:t>[...]</w:t>
      </w:r>
      <w:r w:rsidRPr="002E38F3">
        <w:rPr>
          <w:b/>
        </w:rPr>
        <w:t xml:space="preserve"> </w:t>
      </w:r>
      <w:r w:rsidRPr="009F5140">
        <w:rPr>
          <w:b/>
          <w:i/>
        </w:rPr>
        <w:t xml:space="preserve">o custo potencial das ações pode variar de forma expressiva, indo de R$ 23 bilhões no cenário em que a abrangência das </w:t>
      </w:r>
      <w:proofErr w:type="spellStart"/>
      <w:r w:rsidRPr="009F5140">
        <w:rPr>
          <w:b/>
          <w:i/>
        </w:rPr>
        <w:t>ACPs</w:t>
      </w:r>
      <w:proofErr w:type="spellEnd"/>
      <w:r w:rsidRPr="009F5140">
        <w:rPr>
          <w:b/>
          <w:i/>
        </w:rPr>
        <w:t xml:space="preserve"> é local e </w:t>
      </w:r>
      <w:r w:rsidRPr="00835AD9">
        <w:rPr>
          <w:b/>
          <w:i/>
          <w:u w:val="single"/>
        </w:rPr>
        <w:t>não há incidência de juros de mora</w:t>
      </w:r>
      <w:r w:rsidRPr="009F5140">
        <w:rPr>
          <w:b/>
          <w:i/>
        </w:rPr>
        <w:t xml:space="preserve">, </w:t>
      </w:r>
      <w:proofErr w:type="gramStart"/>
      <w:r w:rsidRPr="00AD0AAC">
        <w:rPr>
          <w:b/>
          <w:i/>
          <w:u w:val="single"/>
        </w:rPr>
        <w:t>a R$ 341</w:t>
      </w:r>
      <w:proofErr w:type="gramEnd"/>
      <w:r w:rsidRPr="00AD0AAC">
        <w:rPr>
          <w:b/>
          <w:i/>
          <w:u w:val="single"/>
        </w:rPr>
        <w:t xml:space="preserve"> bilhões</w:t>
      </w:r>
      <w:r w:rsidRPr="002E38F3">
        <w:rPr>
          <w:b/>
          <w:i/>
        </w:rPr>
        <w:t xml:space="preserve"> no cenário em que a abrangência das </w:t>
      </w:r>
      <w:proofErr w:type="spellStart"/>
      <w:r w:rsidRPr="002E38F3">
        <w:rPr>
          <w:b/>
          <w:i/>
        </w:rPr>
        <w:t>ACPs</w:t>
      </w:r>
      <w:proofErr w:type="spellEnd"/>
      <w:r w:rsidRPr="002E38F3">
        <w:rPr>
          <w:b/>
          <w:i/>
        </w:rPr>
        <w:t xml:space="preserve"> é nacional </w:t>
      </w:r>
      <w:r w:rsidRPr="002E38F3">
        <w:rPr>
          <w:b/>
          <w:i/>
          <w:u w:val="single"/>
        </w:rPr>
        <w:t>e</w:t>
      </w:r>
      <w:r w:rsidRPr="00AD0AAC">
        <w:rPr>
          <w:b/>
          <w:i/>
          <w:u w:val="single"/>
        </w:rPr>
        <w:t xml:space="preserve"> há incidência de juros de mora desde a citação das </w:t>
      </w:r>
      <w:proofErr w:type="spellStart"/>
      <w:r w:rsidRPr="00AD0AAC">
        <w:rPr>
          <w:b/>
          <w:i/>
          <w:u w:val="single"/>
        </w:rPr>
        <w:t>ACPs</w:t>
      </w:r>
      <w:proofErr w:type="spellEnd"/>
      <w:r w:rsidRPr="00DC3FAA">
        <w:t>”</w:t>
      </w:r>
      <w:r>
        <w:t xml:space="preserve"> (grifou-se).</w:t>
      </w:r>
    </w:p>
    <w:p w:rsidR="00BC1EA9" w:rsidRDefault="00BC1EA9" w:rsidP="00BC1EA9">
      <w:pPr>
        <w:pStyle w:val="PargrafodaLista"/>
      </w:pPr>
    </w:p>
    <w:p w:rsidR="00510A53" w:rsidRDefault="002E38F3" w:rsidP="0003461E">
      <w:pPr>
        <w:pStyle w:val="Cabealho"/>
        <w:numPr>
          <w:ilvl w:val="0"/>
          <w:numId w:val="2"/>
        </w:numPr>
        <w:tabs>
          <w:tab w:val="clear" w:pos="4419"/>
          <w:tab w:val="clear" w:pos="8838"/>
          <w:tab w:val="left" w:pos="2325"/>
        </w:tabs>
        <w:ind w:left="0" w:firstLine="0"/>
        <w:jc w:val="both"/>
      </w:pPr>
      <w:r>
        <w:t xml:space="preserve">Diante do recente advento desse estudo, portanto, desponta aspecto fático </w:t>
      </w:r>
      <w:r w:rsidR="00BA43E5">
        <w:t>de relevo afeto</w:t>
      </w:r>
      <w:r>
        <w:t xml:space="preserve"> ao julgamento do presente </w:t>
      </w:r>
      <w:proofErr w:type="spellStart"/>
      <w:proofErr w:type="gramStart"/>
      <w:r w:rsidR="00586742">
        <w:t>REsp</w:t>
      </w:r>
      <w:proofErr w:type="spellEnd"/>
      <w:proofErr w:type="gramEnd"/>
      <w:r>
        <w:t xml:space="preserve"> que o Banco Central, como autoridade monetária e de regulação, supervisão e saneamento do Sistema Financeiro Nacional (SFN), </w:t>
      </w:r>
      <w:r w:rsidRPr="00BA43E5">
        <w:rPr>
          <w:b/>
        </w:rPr>
        <w:t>si</w:t>
      </w:r>
      <w:r w:rsidR="00BA43E5">
        <w:rPr>
          <w:b/>
        </w:rPr>
        <w:t xml:space="preserve">mplesmente não pode </w:t>
      </w:r>
      <w:r w:rsidR="006D21C2">
        <w:rPr>
          <w:b/>
        </w:rPr>
        <w:t>desconsiderar, sob pena de negligenciar a missão que a Constituição e a lei lhe atribuíram como guardião da moeda e da estabilidade financeira</w:t>
      </w:r>
      <w:r w:rsidR="006D21C2" w:rsidRPr="003B2549">
        <w:t>.</w:t>
      </w:r>
    </w:p>
    <w:p w:rsidR="00510A53" w:rsidRDefault="00510A53" w:rsidP="00510A53">
      <w:pPr>
        <w:pStyle w:val="Cabealho"/>
        <w:tabs>
          <w:tab w:val="clear" w:pos="4419"/>
          <w:tab w:val="clear" w:pos="8838"/>
          <w:tab w:val="left" w:pos="2325"/>
        </w:tabs>
        <w:jc w:val="both"/>
      </w:pPr>
    </w:p>
    <w:p w:rsidR="00E43E25" w:rsidRDefault="00510A53" w:rsidP="0003461E">
      <w:pPr>
        <w:pStyle w:val="Cabealho"/>
        <w:numPr>
          <w:ilvl w:val="0"/>
          <w:numId w:val="2"/>
        </w:numPr>
        <w:tabs>
          <w:tab w:val="clear" w:pos="4419"/>
          <w:tab w:val="clear" w:pos="8838"/>
          <w:tab w:val="left" w:pos="2325"/>
        </w:tabs>
        <w:ind w:left="0" w:firstLine="0"/>
        <w:jc w:val="both"/>
      </w:pPr>
      <w:r>
        <w:lastRenderedPageBreak/>
        <w:t xml:space="preserve">Aliás, diante do que veio a lume com o anexo estudo, </w:t>
      </w:r>
      <w:r w:rsidR="000E3397">
        <w:t xml:space="preserve">oportuniza-se para </w:t>
      </w:r>
      <w:r w:rsidR="00535C90">
        <w:t xml:space="preserve">a mais alta Corte dedicada à interpretação da lei federal </w:t>
      </w:r>
      <w:r w:rsidR="000E3397">
        <w:t>considerar</w:t>
      </w:r>
      <w:r w:rsidR="00535C90">
        <w:t xml:space="preserve"> o significado social do que será julgado no presente feito, à luz mesmo do disposto no art. 5º da Lei </w:t>
      </w:r>
      <w:r w:rsidR="00535C90" w:rsidRPr="00535C90">
        <w:t xml:space="preserve">de Introdução às </w:t>
      </w:r>
      <w:r w:rsidR="00535C90">
        <w:t>N</w:t>
      </w:r>
      <w:r w:rsidR="00535C90" w:rsidRPr="00535C90">
        <w:t>ormas do Direito Brasileiro</w:t>
      </w:r>
      <w:r w:rsidR="00535C90">
        <w:rPr>
          <w:rStyle w:val="Refdenotaderodap"/>
        </w:rPr>
        <w:footnoteReference w:id="1"/>
      </w:r>
      <w:r w:rsidR="00535C90">
        <w:t xml:space="preserve">, </w:t>
      </w:r>
      <w:r w:rsidR="00586742">
        <w:t xml:space="preserve">onde se prevê que, </w:t>
      </w:r>
      <w:r w:rsidR="00535C90">
        <w:t>na “</w:t>
      </w:r>
      <w:r w:rsidR="00535C90" w:rsidRPr="00535C90">
        <w:rPr>
          <w:i/>
        </w:rPr>
        <w:t>aplicação da lei, o juiz atenderá aos fins sociais a que ela se dirige e às exigências do bem comum</w:t>
      </w:r>
      <w:r w:rsidR="00535C90">
        <w:t>”.</w:t>
      </w:r>
    </w:p>
    <w:p w:rsidR="00315627" w:rsidRDefault="00315627" w:rsidP="0003461E">
      <w:pPr>
        <w:pStyle w:val="Cabealho"/>
        <w:tabs>
          <w:tab w:val="clear" w:pos="4419"/>
          <w:tab w:val="clear" w:pos="8838"/>
          <w:tab w:val="left" w:pos="2325"/>
        </w:tabs>
        <w:jc w:val="both"/>
      </w:pPr>
    </w:p>
    <w:p w:rsidR="005D213E" w:rsidRDefault="00586742" w:rsidP="002E38F3">
      <w:pPr>
        <w:pStyle w:val="Cabealho"/>
        <w:numPr>
          <w:ilvl w:val="0"/>
          <w:numId w:val="2"/>
        </w:numPr>
        <w:tabs>
          <w:tab w:val="clear" w:pos="4419"/>
          <w:tab w:val="clear" w:pos="8838"/>
          <w:tab w:val="left" w:pos="2325"/>
        </w:tabs>
        <w:ind w:left="0" w:firstLine="0"/>
        <w:jc w:val="both"/>
      </w:pPr>
      <w:r>
        <w:t>O Banco Central n</w:t>
      </w:r>
      <w:r w:rsidR="00315627">
        <w:t xml:space="preserve">ão ignora que o </w:t>
      </w:r>
      <w:r w:rsidR="005D213E">
        <w:t>recurso em foco</w:t>
      </w:r>
      <w:r>
        <w:t xml:space="preserve"> foi incluído</w:t>
      </w:r>
      <w:r w:rsidR="00315627">
        <w:t xml:space="preserve"> </w:t>
      </w:r>
      <w:r w:rsidR="005D213E">
        <w:t>na</w:t>
      </w:r>
      <w:r w:rsidR="00315627">
        <w:t xml:space="preserve"> pauta de julgamento </w:t>
      </w:r>
      <w:r>
        <w:t>d</w:t>
      </w:r>
      <w:r w:rsidR="005D213E">
        <w:t>e</w:t>
      </w:r>
      <w:r>
        <w:t xml:space="preserve"> sessão de</w:t>
      </w:r>
      <w:r w:rsidR="00315627">
        <w:t xml:space="preserve"> 26 de fevereiro de 2014 e que </w:t>
      </w:r>
      <w:r w:rsidR="005D213E">
        <w:t>a jurisprudência do</w:t>
      </w:r>
      <w:r w:rsidR="00315627">
        <w:t xml:space="preserve"> STJ</w:t>
      </w:r>
      <w:r w:rsidR="005D213E">
        <w:t xml:space="preserve"> aceite apenas excepcionalmente a admissão de </w:t>
      </w:r>
      <w:proofErr w:type="spellStart"/>
      <w:r w:rsidR="00315627">
        <w:rPr>
          <w:i/>
        </w:rPr>
        <w:t>amicus</w:t>
      </w:r>
      <w:proofErr w:type="spellEnd"/>
      <w:r w:rsidR="00315627">
        <w:rPr>
          <w:i/>
        </w:rPr>
        <w:t xml:space="preserve"> </w:t>
      </w:r>
      <w:proofErr w:type="spellStart"/>
      <w:r w:rsidR="00315627">
        <w:rPr>
          <w:i/>
        </w:rPr>
        <w:t>curiae</w:t>
      </w:r>
      <w:proofErr w:type="spellEnd"/>
      <w:r w:rsidR="00315627">
        <w:t xml:space="preserve"> </w:t>
      </w:r>
      <w:r w:rsidR="005D213E">
        <w:t xml:space="preserve">após a </w:t>
      </w:r>
      <w:r w:rsidR="00315627">
        <w:t>disponibiliza</w:t>
      </w:r>
      <w:r w:rsidR="005D213E">
        <w:t>ção do</w:t>
      </w:r>
      <w:r w:rsidR="00315627">
        <w:t xml:space="preserve"> </w:t>
      </w:r>
      <w:r w:rsidR="005D213E">
        <w:t xml:space="preserve">feito </w:t>
      </w:r>
      <w:r w:rsidR="00315627">
        <w:t>pelo relator para inclusão em pauta</w:t>
      </w:r>
      <w:r w:rsidR="005D213E">
        <w:t>, como se vê do seguinte precedente:</w:t>
      </w:r>
    </w:p>
    <w:p w:rsidR="005D213E" w:rsidRDefault="005D213E" w:rsidP="005D213E"/>
    <w:p w:rsidR="005D213E" w:rsidRPr="00A17F26" w:rsidRDefault="006E0C12" w:rsidP="005D213E">
      <w:pPr>
        <w:pStyle w:val="Cabealho"/>
        <w:tabs>
          <w:tab w:val="clear" w:pos="4419"/>
          <w:tab w:val="clear" w:pos="8838"/>
          <w:tab w:val="left" w:pos="2325"/>
        </w:tabs>
        <w:ind w:left="1418"/>
        <w:jc w:val="both"/>
        <w:rPr>
          <w:i/>
        </w:rPr>
      </w:pPr>
      <w:r>
        <w:tab/>
      </w:r>
      <w:proofErr w:type="gramStart"/>
      <w:r w:rsidR="005D213E" w:rsidRPr="00E64CB7">
        <w:t>“</w:t>
      </w:r>
      <w:r w:rsidR="005D213E" w:rsidRPr="00A17F26">
        <w:rPr>
          <w:i/>
        </w:rPr>
        <w:t>Analiso, inicialmente, o pedido de intervenção no feito formulado pela FEBRABAN.</w:t>
      </w:r>
      <w:proofErr w:type="gramEnd"/>
      <w:r w:rsidR="005D213E" w:rsidRPr="00A17F26">
        <w:rPr>
          <w:i/>
        </w:rPr>
        <w:t xml:space="preserve"> Observo que, muito embora a decisão que admitiu o presente recurso como representativo da controvérsia tenha sido publicada em 10 de dezembro de 2010, a aludida petição somente foi apresentada no dia 1º de abril do ano corrente, após a inclusão do processo na pauta de julgamento.</w:t>
      </w:r>
    </w:p>
    <w:p w:rsidR="005D213E" w:rsidRPr="00A17F26" w:rsidRDefault="005D213E" w:rsidP="005D213E">
      <w:pPr>
        <w:pStyle w:val="Cabealho"/>
        <w:tabs>
          <w:tab w:val="clear" w:pos="4419"/>
          <w:tab w:val="clear" w:pos="8838"/>
          <w:tab w:val="left" w:pos="2325"/>
        </w:tabs>
        <w:ind w:left="1418"/>
        <w:jc w:val="both"/>
        <w:rPr>
          <w:i/>
        </w:rPr>
      </w:pPr>
      <w:r w:rsidRPr="00A17F26">
        <w:rPr>
          <w:i/>
        </w:rPr>
        <w:tab/>
        <w:t xml:space="preserve">Indesejável, portanto, via de regra, a admissão do </w:t>
      </w:r>
      <w:proofErr w:type="spellStart"/>
      <w:r w:rsidRPr="00A17F26">
        <w:rPr>
          <w:i/>
        </w:rPr>
        <w:t>amicus</w:t>
      </w:r>
      <w:proofErr w:type="spellEnd"/>
      <w:r w:rsidRPr="00A17F26">
        <w:rPr>
          <w:i/>
        </w:rPr>
        <w:t xml:space="preserve"> </w:t>
      </w:r>
      <w:proofErr w:type="spellStart"/>
      <w:r w:rsidRPr="00A17F26">
        <w:rPr>
          <w:i/>
        </w:rPr>
        <w:t>curiae</w:t>
      </w:r>
      <w:proofErr w:type="spellEnd"/>
      <w:r w:rsidRPr="00A17F26">
        <w:rPr>
          <w:i/>
        </w:rPr>
        <w:t xml:space="preserve"> em tais situações, porque a apresentação tardia do pedido de admissão no processo pode, em muitos casos, subverter a marcha processual, com excessivo número de sustentações orais e incidentes, ou até mesmo, a prática </w:t>
      </w:r>
      <w:proofErr w:type="gramStart"/>
      <w:r w:rsidRPr="00A17F26">
        <w:rPr>
          <w:i/>
        </w:rPr>
        <w:t>ensina,</w:t>
      </w:r>
      <w:proofErr w:type="gramEnd"/>
      <w:r w:rsidRPr="00A17F26">
        <w:rPr>
          <w:i/>
        </w:rPr>
        <w:t xml:space="preserve"> de adiamento do julgamento. </w:t>
      </w:r>
    </w:p>
    <w:p w:rsidR="005D213E" w:rsidRPr="00A17F26" w:rsidRDefault="005D213E" w:rsidP="005D213E">
      <w:pPr>
        <w:pStyle w:val="Cabealho"/>
        <w:tabs>
          <w:tab w:val="clear" w:pos="4419"/>
          <w:tab w:val="clear" w:pos="8838"/>
          <w:tab w:val="left" w:pos="2325"/>
        </w:tabs>
        <w:ind w:left="1418"/>
        <w:jc w:val="both"/>
        <w:rPr>
          <w:i/>
        </w:rPr>
      </w:pPr>
      <w:r w:rsidRPr="00A17F26">
        <w:rPr>
          <w:i/>
        </w:rPr>
        <w:tab/>
        <w:t xml:space="preserve">É nesse sentido a jurisprudência do Supremo Tribunal Federal. A propósito, destaco os seguintes precedentes: </w:t>
      </w:r>
    </w:p>
    <w:p w:rsidR="005D213E" w:rsidRPr="00A17F26" w:rsidRDefault="005D213E" w:rsidP="005D213E">
      <w:pPr>
        <w:pStyle w:val="Cabealho"/>
        <w:tabs>
          <w:tab w:val="clear" w:pos="4419"/>
          <w:tab w:val="clear" w:pos="8838"/>
          <w:tab w:val="left" w:pos="2325"/>
        </w:tabs>
        <w:ind w:left="1418"/>
        <w:jc w:val="both"/>
        <w:rPr>
          <w:i/>
        </w:rPr>
      </w:pPr>
    </w:p>
    <w:p w:rsidR="005D213E" w:rsidRPr="00A17F26" w:rsidRDefault="005D213E" w:rsidP="005D213E">
      <w:pPr>
        <w:pStyle w:val="Cabealho"/>
        <w:tabs>
          <w:tab w:val="clear" w:pos="4419"/>
          <w:tab w:val="clear" w:pos="8838"/>
          <w:tab w:val="left" w:pos="2325"/>
        </w:tabs>
        <w:ind w:left="2127"/>
        <w:jc w:val="both"/>
        <w:rPr>
          <w:i/>
        </w:rPr>
      </w:pPr>
      <w:r w:rsidRPr="00A17F26">
        <w:rPr>
          <w:i/>
        </w:rPr>
        <w:t xml:space="preserve">AGRAVO REGIMENTAL. AÇÃO DIRETA DE INCONSTITUCIONALIDADE MANIFESTAMENTE IMPROCEDENTE. INDEFERIMENTO DA PETIÇÃO INICIAL PELO RELATOR. ART. 4º DA LEI Nº 9.868/99. (...) </w:t>
      </w:r>
      <w:proofErr w:type="gramStart"/>
      <w:r w:rsidRPr="00A17F26">
        <w:rPr>
          <w:i/>
        </w:rPr>
        <w:t>4</w:t>
      </w:r>
      <w:proofErr w:type="gramEnd"/>
      <w:r w:rsidRPr="00A17F26">
        <w:rPr>
          <w:i/>
        </w:rPr>
        <w:t xml:space="preserve">. O </w:t>
      </w:r>
      <w:proofErr w:type="spellStart"/>
      <w:r w:rsidRPr="00A17F26">
        <w:rPr>
          <w:i/>
        </w:rPr>
        <w:t>amicus</w:t>
      </w:r>
      <w:proofErr w:type="spellEnd"/>
      <w:r w:rsidRPr="00A17F26">
        <w:rPr>
          <w:i/>
        </w:rPr>
        <w:t xml:space="preserve"> </w:t>
      </w:r>
      <w:proofErr w:type="spellStart"/>
      <w:r w:rsidRPr="00A17F26">
        <w:rPr>
          <w:i/>
        </w:rPr>
        <w:t>curiae</w:t>
      </w:r>
      <w:proofErr w:type="spellEnd"/>
      <w:r w:rsidRPr="00A17F26">
        <w:rPr>
          <w:i/>
        </w:rPr>
        <w:t xml:space="preserve"> somente pode demandar a sua intervenção até a data em que o Relator liberar o processo para pauta. 5. Agravo regimental a que se nega provimento. (ADI 4071 </w:t>
      </w:r>
      <w:proofErr w:type="spellStart"/>
      <w:proofErr w:type="gramStart"/>
      <w:r w:rsidRPr="00A17F26">
        <w:rPr>
          <w:i/>
        </w:rPr>
        <w:t>AgR</w:t>
      </w:r>
      <w:proofErr w:type="spellEnd"/>
      <w:proofErr w:type="gramEnd"/>
      <w:r w:rsidRPr="00A17F26">
        <w:rPr>
          <w:i/>
        </w:rPr>
        <w:t xml:space="preserve">, Relator(a): Min. MENEZES DIREITO, Tribunal Pleno, julgado em 22/04/2009, DJe-195 DIVULG 15-10-2009 PUBLIC 16-10-2009 EMENT VOL-02378-01 PP-00085 RTJ VOL-00210-01 PP-00207). </w:t>
      </w:r>
    </w:p>
    <w:p w:rsidR="005D213E" w:rsidRPr="00A17F26" w:rsidRDefault="005D213E" w:rsidP="005D213E">
      <w:pPr>
        <w:pStyle w:val="Cabealho"/>
        <w:tabs>
          <w:tab w:val="clear" w:pos="4419"/>
          <w:tab w:val="clear" w:pos="8838"/>
          <w:tab w:val="left" w:pos="2325"/>
        </w:tabs>
        <w:ind w:left="2127"/>
        <w:jc w:val="both"/>
        <w:rPr>
          <w:i/>
        </w:rPr>
      </w:pPr>
    </w:p>
    <w:p w:rsidR="005D213E" w:rsidRPr="00A17F26" w:rsidRDefault="005D213E" w:rsidP="005D213E">
      <w:pPr>
        <w:pStyle w:val="Cabealho"/>
        <w:tabs>
          <w:tab w:val="clear" w:pos="4419"/>
          <w:tab w:val="clear" w:pos="8838"/>
          <w:tab w:val="left" w:pos="2325"/>
        </w:tabs>
        <w:ind w:left="2127"/>
        <w:jc w:val="both"/>
        <w:rPr>
          <w:i/>
        </w:rPr>
      </w:pPr>
      <w:r w:rsidRPr="00A17F26">
        <w:rPr>
          <w:i/>
        </w:rPr>
        <w:t xml:space="preserve">PROCESSSUAL CIVIL. AGRAVO REGIMENTAL. CONTROLE DE CONSTITUCIONALIDADE CONCENTRADO. ADMISSÃO DE AMICUS CURIAE. PRAZO. Segundo precedente da Corte, é extemporâneo o pedido para admissão nos autos na qualidade de </w:t>
      </w:r>
      <w:proofErr w:type="spellStart"/>
      <w:r w:rsidRPr="00A17F26">
        <w:rPr>
          <w:i/>
        </w:rPr>
        <w:t>amicus</w:t>
      </w:r>
      <w:proofErr w:type="spellEnd"/>
      <w:r w:rsidRPr="00A17F26">
        <w:rPr>
          <w:i/>
        </w:rPr>
        <w:t xml:space="preserve"> </w:t>
      </w:r>
      <w:proofErr w:type="spellStart"/>
      <w:r w:rsidRPr="00A17F26">
        <w:rPr>
          <w:i/>
        </w:rPr>
        <w:t>curiae</w:t>
      </w:r>
      <w:proofErr w:type="spellEnd"/>
      <w:r w:rsidRPr="00A17F26">
        <w:rPr>
          <w:i/>
        </w:rPr>
        <w:t xml:space="preserve"> formulado após a liberação da ação direta de inconstitucionalidade para julgamento. Agravo regimental ao qual se nega provimento. (ADI 4067 </w:t>
      </w:r>
      <w:proofErr w:type="spellStart"/>
      <w:proofErr w:type="gramStart"/>
      <w:r w:rsidRPr="00A17F26">
        <w:rPr>
          <w:i/>
        </w:rPr>
        <w:t>AgR</w:t>
      </w:r>
      <w:proofErr w:type="spellEnd"/>
      <w:proofErr w:type="gramEnd"/>
      <w:r w:rsidRPr="00A17F26">
        <w:rPr>
          <w:i/>
        </w:rPr>
        <w:t xml:space="preserve">, Relator(a): Min. JOAQUIM BARBOSA, Tribunal Pleno, DJe-071 23-04-2010). </w:t>
      </w:r>
    </w:p>
    <w:p w:rsidR="005D213E" w:rsidRPr="00A17F26" w:rsidRDefault="005D213E" w:rsidP="005D213E">
      <w:pPr>
        <w:pStyle w:val="Cabealho"/>
        <w:tabs>
          <w:tab w:val="clear" w:pos="4419"/>
          <w:tab w:val="clear" w:pos="8838"/>
          <w:tab w:val="left" w:pos="2325"/>
        </w:tabs>
        <w:ind w:left="2127"/>
        <w:jc w:val="both"/>
        <w:rPr>
          <w:i/>
        </w:rPr>
      </w:pPr>
    </w:p>
    <w:p w:rsidR="005D213E" w:rsidRPr="00E64CB7" w:rsidRDefault="005D213E" w:rsidP="005D213E">
      <w:pPr>
        <w:pStyle w:val="Cabealho"/>
        <w:tabs>
          <w:tab w:val="clear" w:pos="4419"/>
          <w:tab w:val="clear" w:pos="8838"/>
          <w:tab w:val="left" w:pos="2325"/>
        </w:tabs>
        <w:ind w:left="1418"/>
        <w:jc w:val="both"/>
      </w:pPr>
      <w:r w:rsidRPr="00A17F26">
        <w:rPr>
          <w:i/>
        </w:rPr>
        <w:tab/>
      </w:r>
      <w:proofErr w:type="gramStart"/>
      <w:r w:rsidRPr="00A17F26">
        <w:rPr>
          <w:b/>
          <w:i/>
        </w:rPr>
        <w:t>Tendo em vista, todavia, o inegável grau de representatividade da requerente admito sua intervenção a partir do presente momento, no estado em que se encontram os autos</w:t>
      </w:r>
      <w:r w:rsidRPr="006E0C12">
        <w:rPr>
          <w:i/>
        </w:rPr>
        <w:t>, sem adiamento do julgamento</w:t>
      </w:r>
      <w:r>
        <w:t>”</w:t>
      </w:r>
      <w:proofErr w:type="gramEnd"/>
      <w:r>
        <w:t xml:space="preserve"> </w:t>
      </w:r>
      <w:r w:rsidRPr="00A17F26">
        <w:t>(</w:t>
      </w:r>
      <w:proofErr w:type="spellStart"/>
      <w:r w:rsidRPr="00A17F26">
        <w:t>REsp</w:t>
      </w:r>
      <w:proofErr w:type="spellEnd"/>
      <w:r w:rsidRPr="00A17F26">
        <w:t xml:space="preserve"> 1117614/PR, Rel. Ministra </w:t>
      </w:r>
      <w:r w:rsidR="006E0C12" w:rsidRPr="00A17F26">
        <w:t xml:space="preserve">Maria Isabel </w:t>
      </w:r>
      <w:proofErr w:type="spellStart"/>
      <w:r w:rsidR="006E0C12" w:rsidRPr="00A17F26">
        <w:t>Gallotti</w:t>
      </w:r>
      <w:proofErr w:type="spellEnd"/>
      <w:r w:rsidRPr="00A17F26">
        <w:t xml:space="preserve">, </w:t>
      </w:r>
      <w:r w:rsidR="006E0C12">
        <w:t>2ª</w:t>
      </w:r>
      <w:r w:rsidRPr="00A17F26">
        <w:t xml:space="preserve"> </w:t>
      </w:r>
      <w:r w:rsidR="006E0C12" w:rsidRPr="00A17F26">
        <w:t>Seção</w:t>
      </w:r>
      <w:r w:rsidRPr="00A17F26">
        <w:t>, julgado em 10</w:t>
      </w:r>
      <w:r w:rsidR="006E0C12">
        <w:t>.</w:t>
      </w:r>
      <w:r w:rsidRPr="00A17F26">
        <w:t>8</w:t>
      </w:r>
      <w:r w:rsidR="006E0C12">
        <w:t>.</w:t>
      </w:r>
      <w:r w:rsidRPr="00A17F26">
        <w:t xml:space="preserve">2011, </w:t>
      </w:r>
      <w:proofErr w:type="spellStart"/>
      <w:r w:rsidRPr="00A17F26">
        <w:t>DJe</w:t>
      </w:r>
      <w:proofErr w:type="spellEnd"/>
      <w:r w:rsidRPr="00A17F26">
        <w:t xml:space="preserve"> 10</w:t>
      </w:r>
      <w:r w:rsidR="006E0C12">
        <w:t>.</w:t>
      </w:r>
      <w:r w:rsidRPr="00A17F26">
        <w:t>10</w:t>
      </w:r>
      <w:r w:rsidR="006E0C12">
        <w:t>.</w:t>
      </w:r>
      <w:r w:rsidRPr="00A17F26">
        <w:t>2011</w:t>
      </w:r>
      <w:r w:rsidR="006E0C12">
        <w:t>, com grifos ora apostos</w:t>
      </w:r>
      <w:r w:rsidRPr="00A17F26">
        <w:t>)</w:t>
      </w:r>
      <w:r w:rsidR="006E0C12">
        <w:t>.</w:t>
      </w:r>
    </w:p>
    <w:p w:rsidR="005D213E" w:rsidRDefault="005D213E" w:rsidP="005D213E"/>
    <w:p w:rsidR="005D213E" w:rsidRDefault="005D213E" w:rsidP="002E38F3">
      <w:pPr>
        <w:pStyle w:val="Cabealho"/>
        <w:numPr>
          <w:ilvl w:val="0"/>
          <w:numId w:val="2"/>
        </w:numPr>
        <w:tabs>
          <w:tab w:val="clear" w:pos="4419"/>
          <w:tab w:val="clear" w:pos="8838"/>
          <w:tab w:val="left" w:pos="2325"/>
        </w:tabs>
        <w:ind w:left="0" w:firstLine="0"/>
        <w:jc w:val="both"/>
      </w:pPr>
      <w:r>
        <w:t xml:space="preserve">Nada obstante, considerando que só recentemente veio à tona um estudo que aquilatasse o impacto daquilo que se definirá no presente recurso, impõe-se reconhecer que esta Autarquia busca, na primeira oportunidade em que lhe foi possível, trazer ao feito sua contribuição </w:t>
      </w:r>
      <w:r w:rsidR="00AF1E0F">
        <w:t xml:space="preserve">técnica e jurídica </w:t>
      </w:r>
      <w:r>
        <w:t xml:space="preserve">para apreciação da matéria </w:t>
      </w:r>
      <w:proofErr w:type="gramStart"/>
      <w:r>
        <w:t>sob julgamento</w:t>
      </w:r>
      <w:proofErr w:type="gramEnd"/>
      <w:r>
        <w:t xml:space="preserve">, cujo caráter especialmente </w:t>
      </w:r>
      <w:r w:rsidR="006E0C12">
        <w:t>importante</w:t>
      </w:r>
      <w:r>
        <w:t>, revelado há pouco, não pode ser desconsiderado.</w:t>
      </w:r>
    </w:p>
    <w:p w:rsidR="006E0C12" w:rsidRDefault="006E0C12" w:rsidP="006E0C12">
      <w:pPr>
        <w:pStyle w:val="Cabealho"/>
        <w:tabs>
          <w:tab w:val="clear" w:pos="4419"/>
          <w:tab w:val="clear" w:pos="8838"/>
          <w:tab w:val="left" w:pos="2325"/>
        </w:tabs>
        <w:jc w:val="both"/>
      </w:pPr>
    </w:p>
    <w:p w:rsidR="006E0C12" w:rsidRDefault="006E0C12" w:rsidP="002E38F3">
      <w:pPr>
        <w:pStyle w:val="Cabealho"/>
        <w:numPr>
          <w:ilvl w:val="0"/>
          <w:numId w:val="2"/>
        </w:numPr>
        <w:tabs>
          <w:tab w:val="clear" w:pos="4419"/>
          <w:tab w:val="clear" w:pos="8838"/>
          <w:tab w:val="left" w:pos="2325"/>
        </w:tabs>
        <w:ind w:left="0" w:firstLine="0"/>
        <w:jc w:val="both"/>
      </w:pPr>
      <w:r>
        <w:t xml:space="preserve">Deve-se destacar, inclusive, que, no caso vertente, nem se trata, propriamente, da aceitação excepcional de um pedido de admissão no processo considerado tardio, como no precedente transcrito. </w:t>
      </w:r>
      <w:r w:rsidRPr="00726F5E">
        <w:rPr>
          <w:b/>
        </w:rPr>
        <w:t>Trata-se, em verdade, que um pedido de ingresso no feito legitimamente motivado por circunstância recente, ainda que vinda a lume em momento processual adiantado</w:t>
      </w:r>
      <w:r>
        <w:t>.</w:t>
      </w:r>
    </w:p>
    <w:p w:rsidR="00B53B4D" w:rsidRPr="00E64CB7" w:rsidRDefault="00B53B4D" w:rsidP="0003461E">
      <w:pPr>
        <w:pStyle w:val="Cabealho"/>
        <w:tabs>
          <w:tab w:val="clear" w:pos="4419"/>
          <w:tab w:val="clear" w:pos="8838"/>
          <w:tab w:val="left" w:pos="2325"/>
        </w:tabs>
        <w:ind w:left="1418"/>
        <w:jc w:val="both"/>
      </w:pPr>
    </w:p>
    <w:p w:rsidR="00A17F26" w:rsidRDefault="006E0C12" w:rsidP="002E38F3">
      <w:pPr>
        <w:pStyle w:val="Cabealho"/>
        <w:numPr>
          <w:ilvl w:val="0"/>
          <w:numId w:val="2"/>
        </w:numPr>
        <w:tabs>
          <w:tab w:val="clear" w:pos="4419"/>
          <w:tab w:val="clear" w:pos="8838"/>
          <w:tab w:val="left" w:pos="2325"/>
        </w:tabs>
        <w:ind w:left="0" w:firstLine="0"/>
        <w:jc w:val="both"/>
      </w:pPr>
      <w:r>
        <w:t xml:space="preserve">Ademais, mesmo que </w:t>
      </w:r>
      <w:r w:rsidR="00510708">
        <w:t>o pedido de ingresso do Banco Central no feito pudesse ser considerado tardio</w:t>
      </w:r>
      <w:r>
        <w:t xml:space="preserve">, </w:t>
      </w:r>
      <w:r w:rsidRPr="00283CB4">
        <w:rPr>
          <w:b/>
        </w:rPr>
        <w:t>a inequívoca representatividade desta Autarquia, no que concerne aos interesses públicos que lhe foram legalmente confiados no tocante à</w:t>
      </w:r>
      <w:r w:rsidR="00A17F26" w:rsidRPr="00283CB4">
        <w:rPr>
          <w:b/>
        </w:rPr>
        <w:t xml:space="preserve"> missão de preservar a higidez do </w:t>
      </w:r>
      <w:r w:rsidR="00510708" w:rsidRPr="00283CB4">
        <w:rPr>
          <w:b/>
        </w:rPr>
        <w:t>SFN</w:t>
      </w:r>
      <w:r w:rsidR="00A17F26" w:rsidRPr="00283CB4">
        <w:rPr>
          <w:b/>
        </w:rPr>
        <w:t xml:space="preserve">, </w:t>
      </w:r>
      <w:r w:rsidR="00510708" w:rsidRPr="00283CB4">
        <w:rPr>
          <w:b/>
        </w:rPr>
        <w:t xml:space="preserve">na forma do </w:t>
      </w:r>
      <w:r w:rsidR="00A17F26" w:rsidRPr="00283CB4">
        <w:rPr>
          <w:b/>
        </w:rPr>
        <w:t xml:space="preserve">art. 192 da Constituição </w:t>
      </w:r>
      <w:r w:rsidR="00510708" w:rsidRPr="00283CB4">
        <w:rPr>
          <w:b/>
        </w:rPr>
        <w:t xml:space="preserve">Federal, </w:t>
      </w:r>
      <w:r w:rsidR="00A17F26" w:rsidRPr="00283CB4">
        <w:rPr>
          <w:b/>
        </w:rPr>
        <w:t>justifica</w:t>
      </w:r>
      <w:r w:rsidR="00510708" w:rsidRPr="00283CB4">
        <w:rPr>
          <w:b/>
        </w:rPr>
        <w:t>ria</w:t>
      </w:r>
      <w:r w:rsidR="00A17F26" w:rsidRPr="00283CB4">
        <w:rPr>
          <w:b/>
        </w:rPr>
        <w:t xml:space="preserve"> </w:t>
      </w:r>
      <w:r w:rsidR="00510708" w:rsidRPr="00283CB4">
        <w:rPr>
          <w:b/>
        </w:rPr>
        <w:t xml:space="preserve">inequivocamente uma admissão </w:t>
      </w:r>
      <w:r w:rsidR="00A17F26" w:rsidRPr="00283CB4">
        <w:rPr>
          <w:b/>
        </w:rPr>
        <w:t xml:space="preserve">excepcional da Autarquia </w:t>
      </w:r>
      <w:r w:rsidR="00510708" w:rsidRPr="00283CB4">
        <w:rPr>
          <w:b/>
        </w:rPr>
        <w:t xml:space="preserve">no </w:t>
      </w:r>
      <w:proofErr w:type="spellStart"/>
      <w:proofErr w:type="gramStart"/>
      <w:r w:rsidR="00510708" w:rsidRPr="00283CB4">
        <w:rPr>
          <w:b/>
        </w:rPr>
        <w:t>REsp</w:t>
      </w:r>
      <w:proofErr w:type="spellEnd"/>
      <w:proofErr w:type="gramEnd"/>
      <w:r w:rsidR="00510708">
        <w:t xml:space="preserve">, </w:t>
      </w:r>
      <w:r w:rsidR="00A17F26">
        <w:t xml:space="preserve">mesmo </w:t>
      </w:r>
      <w:r w:rsidR="00510708">
        <w:t xml:space="preserve">após sua inclusão </w:t>
      </w:r>
      <w:r w:rsidR="00A17F26">
        <w:t xml:space="preserve">na pauta da </w:t>
      </w:r>
      <w:r w:rsidR="00510708">
        <w:t xml:space="preserve">colenda </w:t>
      </w:r>
      <w:r w:rsidR="00A17F26">
        <w:t>Segunda Seção</w:t>
      </w:r>
      <w:r w:rsidR="00510708">
        <w:t xml:space="preserve"> do STJ</w:t>
      </w:r>
      <w:r w:rsidR="00A17F26">
        <w:t xml:space="preserve">, </w:t>
      </w:r>
      <w:r w:rsidR="00510708">
        <w:t xml:space="preserve">porquanto, de todo modo, </w:t>
      </w:r>
      <w:r w:rsidR="00A17F26">
        <w:t>antes do início do julgamento.</w:t>
      </w:r>
    </w:p>
    <w:p w:rsidR="00A17F26" w:rsidRDefault="00A17F26" w:rsidP="0003461E">
      <w:pPr>
        <w:pStyle w:val="Cabealho"/>
        <w:tabs>
          <w:tab w:val="clear" w:pos="4419"/>
          <w:tab w:val="clear" w:pos="8838"/>
          <w:tab w:val="left" w:pos="2325"/>
        </w:tabs>
        <w:jc w:val="both"/>
      </w:pPr>
    </w:p>
    <w:p w:rsidR="00A17F26" w:rsidRDefault="00A17F26" w:rsidP="00510708">
      <w:pPr>
        <w:pStyle w:val="Cabealho"/>
        <w:numPr>
          <w:ilvl w:val="0"/>
          <w:numId w:val="2"/>
        </w:numPr>
        <w:tabs>
          <w:tab w:val="clear" w:pos="4419"/>
          <w:tab w:val="clear" w:pos="8838"/>
          <w:tab w:val="left" w:pos="2325"/>
        </w:tabs>
        <w:ind w:left="0" w:firstLine="0"/>
        <w:jc w:val="both"/>
      </w:pPr>
      <w:r>
        <w:t xml:space="preserve">Aliás, o </w:t>
      </w:r>
      <w:r w:rsidR="00510708">
        <w:t xml:space="preserve">art. 50 do CPC, no que se refere ao momento de ingresso do assistente do processo, limita-se a prever que, em caso de </w:t>
      </w:r>
      <w:r w:rsidR="00510708" w:rsidRPr="00510708">
        <w:t>assistência</w:t>
      </w:r>
      <w:r w:rsidR="00510708">
        <w:t>, que</w:t>
      </w:r>
      <w:r w:rsidR="00510708" w:rsidRPr="00510708">
        <w:t xml:space="preserve"> </w:t>
      </w:r>
      <w:r w:rsidR="00510708">
        <w:t>“</w:t>
      </w:r>
      <w:r w:rsidR="00510708" w:rsidRPr="00510708">
        <w:rPr>
          <w:i/>
        </w:rPr>
        <w:t>tem lugar em qualquer dos tipos de procedimento e em todos os graus da jurisdição</w:t>
      </w:r>
      <w:r w:rsidR="00510708">
        <w:t>”, “</w:t>
      </w:r>
      <w:r w:rsidR="00510708" w:rsidRPr="00510708">
        <w:rPr>
          <w:i/>
        </w:rPr>
        <w:t>o assistente recebe o processo no estado em que se encontra</w:t>
      </w:r>
      <w:r w:rsidR="00510708">
        <w:t xml:space="preserve">”. O parágrafo único do art. 5º da Lei nº 4.969, de 1997, por seu turno, também não estabelece nenhuma restrição quanto ao momento processual para a intervenção nele prevista e o </w:t>
      </w:r>
      <w:r w:rsidR="00BA2CF8">
        <w:t>a</w:t>
      </w:r>
      <w:r w:rsidR="00510708">
        <w:t xml:space="preserve">rt. </w:t>
      </w:r>
      <w:r>
        <w:t xml:space="preserve">3º, I, da referida Resolução </w:t>
      </w:r>
      <w:r w:rsidR="00BA2CF8">
        <w:t xml:space="preserve">STJ </w:t>
      </w:r>
      <w:r>
        <w:t xml:space="preserve">nº 8, de 2008, admite </w:t>
      </w:r>
      <w:r w:rsidR="00BA2CF8">
        <w:t xml:space="preserve">expressamente </w:t>
      </w:r>
      <w:r>
        <w:t xml:space="preserve">a intervenção do </w:t>
      </w:r>
      <w:proofErr w:type="spellStart"/>
      <w:r w:rsidRPr="00510708">
        <w:rPr>
          <w:i/>
        </w:rPr>
        <w:t>amicus</w:t>
      </w:r>
      <w:proofErr w:type="spellEnd"/>
      <w:r w:rsidRPr="00510708">
        <w:rPr>
          <w:i/>
        </w:rPr>
        <w:t xml:space="preserve"> </w:t>
      </w:r>
      <w:proofErr w:type="spellStart"/>
      <w:r w:rsidRPr="00510708">
        <w:rPr>
          <w:i/>
        </w:rPr>
        <w:t>curiae</w:t>
      </w:r>
      <w:proofErr w:type="spellEnd"/>
      <w:r w:rsidRPr="00510708">
        <w:rPr>
          <w:i/>
        </w:rPr>
        <w:t xml:space="preserve"> </w:t>
      </w:r>
      <w:r>
        <w:t>“</w:t>
      </w:r>
      <w:r w:rsidRPr="00510708">
        <w:rPr>
          <w:i/>
        </w:rPr>
        <w:t>antes do julgamento do recurso</w:t>
      </w:r>
      <w:r w:rsidR="00BA2CF8">
        <w:t>”, respaldando plenamente</w:t>
      </w:r>
      <w:r>
        <w:t xml:space="preserve">, portanto, o ingresso </w:t>
      </w:r>
      <w:r w:rsidR="00BA2CF8">
        <w:t>requerido por esta Autarquia</w:t>
      </w:r>
      <w:r>
        <w:t xml:space="preserve"> neste momento processual.</w:t>
      </w:r>
    </w:p>
    <w:p w:rsidR="00A17F26" w:rsidRDefault="00A17F26" w:rsidP="0003461E">
      <w:pPr>
        <w:pStyle w:val="Cabealho"/>
        <w:tabs>
          <w:tab w:val="clear" w:pos="4419"/>
          <w:tab w:val="clear" w:pos="8838"/>
          <w:tab w:val="left" w:pos="2325"/>
        </w:tabs>
        <w:jc w:val="both"/>
      </w:pPr>
    </w:p>
    <w:p w:rsidR="0017487C" w:rsidRDefault="00A17F26" w:rsidP="0017487C">
      <w:pPr>
        <w:pStyle w:val="Cabealho"/>
        <w:tabs>
          <w:tab w:val="clear" w:pos="4419"/>
          <w:tab w:val="clear" w:pos="8838"/>
          <w:tab w:val="left" w:pos="2325"/>
        </w:tabs>
        <w:jc w:val="center"/>
        <w:rPr>
          <w:b/>
        </w:rPr>
      </w:pPr>
      <w:r>
        <w:rPr>
          <w:b/>
        </w:rPr>
        <w:t>II – Interesse do Banco Central</w:t>
      </w:r>
      <w:r w:rsidR="0017487C">
        <w:rPr>
          <w:b/>
        </w:rPr>
        <w:t xml:space="preserve"> do Brasil</w:t>
      </w:r>
    </w:p>
    <w:p w:rsidR="00B53B4D" w:rsidRPr="00E64CB7" w:rsidRDefault="00B53B4D" w:rsidP="0003461E">
      <w:pPr>
        <w:pStyle w:val="Cabealho"/>
        <w:tabs>
          <w:tab w:val="clear" w:pos="4419"/>
          <w:tab w:val="clear" w:pos="8838"/>
          <w:tab w:val="left" w:pos="2325"/>
        </w:tabs>
        <w:jc w:val="both"/>
      </w:pPr>
    </w:p>
    <w:p w:rsidR="00B53B4D" w:rsidRDefault="009F5140" w:rsidP="002E38F3">
      <w:pPr>
        <w:pStyle w:val="Cabealho"/>
        <w:numPr>
          <w:ilvl w:val="0"/>
          <w:numId w:val="2"/>
        </w:numPr>
        <w:tabs>
          <w:tab w:val="clear" w:pos="4419"/>
          <w:tab w:val="clear" w:pos="8838"/>
          <w:tab w:val="left" w:pos="2325"/>
        </w:tabs>
        <w:ind w:left="0" w:firstLine="0"/>
        <w:jc w:val="both"/>
      </w:pPr>
      <w:r>
        <w:t>No caso</w:t>
      </w:r>
      <w:r w:rsidR="0017487C">
        <w:t xml:space="preserve"> vertente</w:t>
      </w:r>
      <w:r>
        <w:t xml:space="preserve">, conforme decisão de Vossa Excelência que afetou o julgamento </w:t>
      </w:r>
      <w:r w:rsidR="0017487C">
        <w:t xml:space="preserve">do presente </w:t>
      </w:r>
      <w:proofErr w:type="spellStart"/>
      <w:proofErr w:type="gramStart"/>
      <w:r w:rsidR="0017487C">
        <w:t>REsp</w:t>
      </w:r>
      <w:proofErr w:type="spellEnd"/>
      <w:proofErr w:type="gramEnd"/>
      <w:r w:rsidR="0017487C">
        <w:t xml:space="preserve"> </w:t>
      </w:r>
      <w:r>
        <w:t xml:space="preserve">à Segunda Seção, </w:t>
      </w:r>
      <w:r w:rsidRPr="00916ADA">
        <w:rPr>
          <w:u w:val="single"/>
        </w:rPr>
        <w:t>discute-se</w:t>
      </w:r>
      <w:r>
        <w:t xml:space="preserve"> se</w:t>
      </w:r>
      <w:r w:rsidR="0017487C">
        <w:t>,</w:t>
      </w:r>
      <w:r>
        <w:t xml:space="preserve"> </w:t>
      </w:r>
      <w:r w:rsidR="0017487C">
        <w:t xml:space="preserve">em casos como os relacionados a pretendidos expurgos inflacionários de planos econômicos sobre contas de poupança, </w:t>
      </w:r>
      <w:r>
        <w:t>“</w:t>
      </w:r>
      <w:r w:rsidRPr="009F5140">
        <w:rPr>
          <w:i/>
        </w:rPr>
        <w:t>os juros moratórios devem incidir a partir da citação na ação civil pública, e não da citação na liquidação daquela sentença coletiva</w:t>
      </w:r>
      <w:r>
        <w:t>”.</w:t>
      </w:r>
    </w:p>
    <w:p w:rsidR="009F5140" w:rsidRDefault="009F5140" w:rsidP="0003461E">
      <w:pPr>
        <w:pStyle w:val="Cabealho"/>
        <w:tabs>
          <w:tab w:val="clear" w:pos="4419"/>
          <w:tab w:val="clear" w:pos="8838"/>
          <w:tab w:val="left" w:pos="2325"/>
        </w:tabs>
        <w:jc w:val="both"/>
      </w:pPr>
    </w:p>
    <w:p w:rsidR="009F5140" w:rsidRDefault="009F5140" w:rsidP="002E38F3">
      <w:pPr>
        <w:pStyle w:val="Cabealho"/>
        <w:numPr>
          <w:ilvl w:val="0"/>
          <w:numId w:val="2"/>
        </w:numPr>
        <w:tabs>
          <w:tab w:val="clear" w:pos="4419"/>
          <w:tab w:val="clear" w:pos="8838"/>
          <w:tab w:val="left" w:pos="2325"/>
        </w:tabs>
        <w:ind w:left="0" w:firstLine="0"/>
        <w:jc w:val="both"/>
      </w:pPr>
      <w:r>
        <w:lastRenderedPageBreak/>
        <w:t>Nessa mesma decisão, Vossa Excelência advertiu sobre “</w:t>
      </w:r>
      <w:r w:rsidRPr="009F5140">
        <w:rPr>
          <w:i/>
        </w:rPr>
        <w:t>a produção em massa de enorme quantidade de processos relativos à mesma questão central, ou seja, a da tese de que o termo inicial dos juros de mora de sentença proferida em Ação Civil Pública é a citação na liquidação daquela sentença coletiva</w:t>
      </w:r>
      <w:r w:rsidR="00AD0AAC">
        <w:t>”.</w:t>
      </w:r>
    </w:p>
    <w:p w:rsidR="009F5140" w:rsidRDefault="009F5140" w:rsidP="0003461E">
      <w:pPr>
        <w:pStyle w:val="Cabealho"/>
        <w:tabs>
          <w:tab w:val="clear" w:pos="4419"/>
          <w:tab w:val="clear" w:pos="8838"/>
          <w:tab w:val="left" w:pos="2325"/>
        </w:tabs>
        <w:jc w:val="both"/>
      </w:pPr>
    </w:p>
    <w:p w:rsidR="00BD1FEA" w:rsidRPr="00205EB3" w:rsidRDefault="00BD1FEA" w:rsidP="002E38F3">
      <w:pPr>
        <w:pStyle w:val="Cabealho"/>
        <w:numPr>
          <w:ilvl w:val="0"/>
          <w:numId w:val="2"/>
        </w:numPr>
        <w:tabs>
          <w:tab w:val="clear" w:pos="4419"/>
          <w:tab w:val="clear" w:pos="8838"/>
          <w:tab w:val="left" w:pos="2325"/>
        </w:tabs>
        <w:ind w:left="0" w:firstLine="0"/>
        <w:jc w:val="both"/>
        <w:rPr>
          <w:i/>
        </w:rPr>
      </w:pPr>
      <w:r>
        <w:t>Como visto</w:t>
      </w:r>
      <w:r w:rsidR="00764791">
        <w:t>, com base em estudo recentemente apresentado ao STF</w:t>
      </w:r>
      <w:r>
        <w:t xml:space="preserve">, </w:t>
      </w:r>
      <w:proofErr w:type="gramStart"/>
      <w:r w:rsidR="00764791">
        <w:t>a</w:t>
      </w:r>
      <w:proofErr w:type="gramEnd"/>
      <w:r w:rsidR="00764791">
        <w:t xml:space="preserve"> definição </w:t>
      </w:r>
      <w:r w:rsidR="00205EB3">
        <w:t xml:space="preserve">do STJ </w:t>
      </w:r>
      <w:r w:rsidR="00764791">
        <w:t xml:space="preserve">quanto </w:t>
      </w:r>
      <w:r w:rsidR="00024C75">
        <w:t>ao termo inicial da incidência dos juros moratórios</w:t>
      </w:r>
      <w:r w:rsidR="00513F58">
        <w:t>, em execuções individuais de condenações coletivas,</w:t>
      </w:r>
      <w:r w:rsidR="00764791">
        <w:t xml:space="preserve"> </w:t>
      </w:r>
      <w:r w:rsidR="00513F58">
        <w:t xml:space="preserve">pode gerar </w:t>
      </w:r>
      <w:r w:rsidR="00916ADA">
        <w:t>reflexos</w:t>
      </w:r>
      <w:r w:rsidR="00205EB3">
        <w:t xml:space="preserve"> </w:t>
      </w:r>
      <w:r w:rsidR="00513F58">
        <w:t xml:space="preserve">econômicos impactantes </w:t>
      </w:r>
      <w:r w:rsidR="00205EB3">
        <w:t>sobre</w:t>
      </w:r>
      <w:r w:rsidR="00764791">
        <w:t xml:space="preserve"> o que a Suprema Corte vier a decidir </w:t>
      </w:r>
      <w:r w:rsidR="00205EB3">
        <w:t xml:space="preserve">no julgamento conjunto da </w:t>
      </w:r>
      <w:r w:rsidR="00205EB3" w:rsidRPr="00205EB3">
        <w:t xml:space="preserve">ADPF 165/DF e dos </w:t>
      </w:r>
      <w:proofErr w:type="spellStart"/>
      <w:r w:rsidR="00205EB3" w:rsidRPr="00205EB3">
        <w:t>REs</w:t>
      </w:r>
      <w:proofErr w:type="spellEnd"/>
      <w:r w:rsidR="00205EB3" w:rsidRPr="00205EB3">
        <w:t xml:space="preserve"> 626.307/SP, 591.797/SP, 632.212/SP e 631.363/SP</w:t>
      </w:r>
      <w:r w:rsidR="00764791">
        <w:t>.</w:t>
      </w:r>
    </w:p>
    <w:p w:rsidR="00205EB3" w:rsidRPr="00205EB3" w:rsidRDefault="00205EB3" w:rsidP="00205EB3">
      <w:pPr>
        <w:pStyle w:val="PargrafodaLista"/>
      </w:pPr>
    </w:p>
    <w:p w:rsidR="00205EB3" w:rsidRPr="00205EB3" w:rsidRDefault="00C363B8" w:rsidP="002E38F3">
      <w:pPr>
        <w:pStyle w:val="Cabealho"/>
        <w:numPr>
          <w:ilvl w:val="0"/>
          <w:numId w:val="2"/>
        </w:numPr>
        <w:tabs>
          <w:tab w:val="clear" w:pos="4419"/>
          <w:tab w:val="clear" w:pos="8838"/>
          <w:tab w:val="left" w:pos="2325"/>
        </w:tabs>
        <w:ind w:left="0" w:firstLine="0"/>
        <w:jc w:val="both"/>
      </w:pPr>
      <w:r>
        <w:t xml:space="preserve">Em sua edição de 17 de fevereiro de 2014, o jornal Valor Econômico, destacando justamente o quanto demonstrado no </w:t>
      </w:r>
      <w:r w:rsidR="007E23C9">
        <w:t>detalhado</w:t>
      </w:r>
      <w:r>
        <w:t xml:space="preserve"> estudo</w:t>
      </w:r>
      <w:r w:rsidR="007E23C9">
        <w:t xml:space="preserve"> referido</w:t>
      </w:r>
      <w:r>
        <w:t xml:space="preserve">, apresentou, na matéria </w:t>
      </w:r>
      <w:r w:rsidR="00AE1A29">
        <w:t xml:space="preserve">intitulada </w:t>
      </w:r>
      <w:r>
        <w:t>“</w:t>
      </w:r>
      <w:r w:rsidRPr="00C363B8">
        <w:rPr>
          <w:i/>
        </w:rPr>
        <w:t>Conta de plano econômico vai para Tesouro</w:t>
      </w:r>
      <w:proofErr w:type="gramStart"/>
      <w:r>
        <w:t>”</w:t>
      </w:r>
      <w:proofErr w:type="gramEnd"/>
      <w:r>
        <w:rPr>
          <w:rStyle w:val="Refdenotaderodap"/>
        </w:rPr>
        <w:footnoteReference w:id="2"/>
      </w:r>
      <w:r>
        <w:t>, os números constantes no quadro abaixo</w:t>
      </w:r>
      <w:r w:rsidR="007E23C9">
        <w:t>:</w:t>
      </w:r>
    </w:p>
    <w:p w:rsidR="00B53B4D" w:rsidRDefault="00B53B4D" w:rsidP="0003461E">
      <w:pPr>
        <w:pStyle w:val="Cabealho"/>
        <w:tabs>
          <w:tab w:val="clear" w:pos="4419"/>
          <w:tab w:val="clear" w:pos="8838"/>
          <w:tab w:val="left" w:pos="2325"/>
        </w:tabs>
        <w:jc w:val="both"/>
      </w:pPr>
    </w:p>
    <w:p w:rsidR="00C363B8" w:rsidRDefault="00C363B8" w:rsidP="0003461E">
      <w:pPr>
        <w:pStyle w:val="Cabealho"/>
        <w:tabs>
          <w:tab w:val="clear" w:pos="4419"/>
          <w:tab w:val="clear" w:pos="8838"/>
          <w:tab w:val="left" w:pos="2325"/>
        </w:tabs>
        <w:jc w:val="both"/>
      </w:pPr>
      <w:r>
        <w:rPr>
          <w:noProof/>
        </w:rPr>
        <w:drawing>
          <wp:inline distT="0" distB="0" distL="0" distR="0">
            <wp:extent cx="5760720" cy="2007671"/>
            <wp:effectExtent l="0" t="0" r="0" b="0"/>
            <wp:docPr id="1" name="Imagem 1" descr="http://cliente.linearclipping.com.br/includes/imagem.asp?img=2014/2/17/546267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cliente.linearclipping.com.br/includes/imagem.asp?img=2014/2/17/546267055.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2007671"/>
                    </a:xfrm>
                    <a:prstGeom prst="rect">
                      <a:avLst/>
                    </a:prstGeom>
                    <a:noFill/>
                    <a:ln>
                      <a:noFill/>
                    </a:ln>
                  </pic:spPr>
                </pic:pic>
              </a:graphicData>
            </a:graphic>
          </wp:inline>
        </w:drawing>
      </w:r>
    </w:p>
    <w:p w:rsidR="00C363B8" w:rsidRPr="00E64CB7" w:rsidRDefault="00C363B8" w:rsidP="0003461E">
      <w:pPr>
        <w:pStyle w:val="Cabealho"/>
        <w:tabs>
          <w:tab w:val="clear" w:pos="4419"/>
          <w:tab w:val="clear" w:pos="8838"/>
          <w:tab w:val="left" w:pos="2325"/>
        </w:tabs>
        <w:jc w:val="both"/>
      </w:pPr>
    </w:p>
    <w:p w:rsidR="007E23C9" w:rsidRDefault="007E23C9" w:rsidP="002E38F3">
      <w:pPr>
        <w:pStyle w:val="Cabealho"/>
        <w:numPr>
          <w:ilvl w:val="0"/>
          <w:numId w:val="2"/>
        </w:numPr>
        <w:tabs>
          <w:tab w:val="clear" w:pos="4419"/>
          <w:tab w:val="clear" w:pos="8838"/>
          <w:tab w:val="left" w:pos="2325"/>
        </w:tabs>
        <w:ind w:left="0" w:firstLine="0"/>
        <w:jc w:val="both"/>
      </w:pPr>
      <w:r>
        <w:t>Como se vê desse quadro</w:t>
      </w:r>
      <w:r w:rsidR="00E87B29">
        <w:t xml:space="preserve">, e pode ser </w:t>
      </w:r>
      <w:proofErr w:type="gramStart"/>
      <w:r w:rsidR="00E87B29">
        <w:t>consultado em maior detalhe na anexa cópia do estudo em referência</w:t>
      </w:r>
      <w:r>
        <w:t>,</w:t>
      </w:r>
      <w:r w:rsidR="00E87B29">
        <w:t xml:space="preserve"> </w:t>
      </w:r>
      <w:r>
        <w:t>a estimativa de impacto potencial do julgamento conjunto do STF</w:t>
      </w:r>
      <w:proofErr w:type="gramEnd"/>
      <w:r>
        <w:t xml:space="preserve"> sobre </w:t>
      </w:r>
      <w:r w:rsidR="003F0A2D">
        <w:t xml:space="preserve">todos </w:t>
      </w:r>
      <w:r>
        <w:t>os planos monetários</w:t>
      </w:r>
      <w:r w:rsidR="00E87B29">
        <w:t xml:space="preserve"> </w:t>
      </w:r>
      <w:r w:rsidR="00E87B29" w:rsidRPr="003F0A2D">
        <w:rPr>
          <w:b/>
        </w:rPr>
        <w:t xml:space="preserve">varia </w:t>
      </w:r>
      <w:r w:rsidR="00314F1B">
        <w:rPr>
          <w:b/>
        </w:rPr>
        <w:t xml:space="preserve">(1) </w:t>
      </w:r>
      <w:r w:rsidR="00E87B29" w:rsidRPr="003F0A2D">
        <w:rPr>
          <w:b/>
        </w:rPr>
        <w:t>conforme a definição da abrangência local ou nacional das ações civis públicas (</w:t>
      </w:r>
      <w:proofErr w:type="spellStart"/>
      <w:r w:rsidR="00E87B29" w:rsidRPr="003F0A2D">
        <w:rPr>
          <w:b/>
        </w:rPr>
        <w:t>ACPs</w:t>
      </w:r>
      <w:proofErr w:type="spellEnd"/>
      <w:r w:rsidR="00E87B29" w:rsidRPr="003F0A2D">
        <w:rPr>
          <w:b/>
        </w:rPr>
        <w:t xml:space="preserve">) e </w:t>
      </w:r>
      <w:r w:rsidR="00314F1B">
        <w:rPr>
          <w:b/>
        </w:rPr>
        <w:t xml:space="preserve">(2) </w:t>
      </w:r>
      <w:r w:rsidR="00E87B29" w:rsidRPr="003F0A2D">
        <w:rPr>
          <w:b/>
        </w:rPr>
        <w:t>conforme a definição quanto à questão da fluência, ou não, de juros de mora no curso da própria ação coletiva</w:t>
      </w:r>
      <w:r w:rsidR="00E87B29">
        <w:t>.</w:t>
      </w:r>
    </w:p>
    <w:p w:rsidR="00E87B29" w:rsidRDefault="00E87B29" w:rsidP="00E87B29">
      <w:pPr>
        <w:pStyle w:val="Cabealho"/>
        <w:tabs>
          <w:tab w:val="clear" w:pos="4419"/>
          <w:tab w:val="clear" w:pos="8838"/>
          <w:tab w:val="left" w:pos="2325"/>
        </w:tabs>
        <w:jc w:val="both"/>
      </w:pPr>
    </w:p>
    <w:p w:rsidR="00E87B29" w:rsidRDefault="00314F1B" w:rsidP="002E38F3">
      <w:pPr>
        <w:pStyle w:val="Cabealho"/>
        <w:numPr>
          <w:ilvl w:val="0"/>
          <w:numId w:val="2"/>
        </w:numPr>
        <w:tabs>
          <w:tab w:val="clear" w:pos="4419"/>
          <w:tab w:val="clear" w:pos="8838"/>
          <w:tab w:val="left" w:pos="2325"/>
        </w:tabs>
        <w:ind w:left="0" w:firstLine="0"/>
        <w:jc w:val="both"/>
      </w:pPr>
      <w:r>
        <w:t>Pelos números apresentados no mencionado estudo, s</w:t>
      </w:r>
      <w:r w:rsidR="00E87B29">
        <w:t xml:space="preserve">em a fluência dos juros de mora desde a citação nas </w:t>
      </w:r>
      <w:proofErr w:type="spellStart"/>
      <w:r w:rsidR="00E87B29">
        <w:t>ACPs</w:t>
      </w:r>
      <w:proofErr w:type="spellEnd"/>
      <w:r w:rsidR="00E87B29">
        <w:t>, o impacto potencial do julgamento do STF varia de R$ 23 a R$ 128 bilhões, conforme se atribua abrangência local ou nacional às condenações coletivas.</w:t>
      </w:r>
      <w:r w:rsidR="00E87B29" w:rsidRPr="00E87B29">
        <w:t xml:space="preserve"> </w:t>
      </w:r>
      <w:r w:rsidR="00E87B29">
        <w:t xml:space="preserve">Com a fluência dos juros de mora desde a citação nas </w:t>
      </w:r>
      <w:proofErr w:type="spellStart"/>
      <w:r w:rsidR="00E87B29">
        <w:t>ACPs</w:t>
      </w:r>
      <w:proofErr w:type="spellEnd"/>
      <w:r w:rsidR="00E87B29">
        <w:t>, o impacto potencial do julgamento do STF varia de R$ 61,4 a R$ 345,5 bilhões.</w:t>
      </w:r>
    </w:p>
    <w:p w:rsidR="00E87B29" w:rsidRDefault="00E87B29" w:rsidP="00E87B29">
      <w:pPr>
        <w:pStyle w:val="PargrafodaLista"/>
      </w:pPr>
    </w:p>
    <w:p w:rsidR="00E87B29" w:rsidRPr="00823749" w:rsidRDefault="00E87B29" w:rsidP="002E38F3">
      <w:pPr>
        <w:pStyle w:val="Cabealho"/>
        <w:numPr>
          <w:ilvl w:val="0"/>
          <w:numId w:val="2"/>
        </w:numPr>
        <w:tabs>
          <w:tab w:val="clear" w:pos="4419"/>
          <w:tab w:val="clear" w:pos="8838"/>
          <w:tab w:val="left" w:pos="2325"/>
        </w:tabs>
        <w:ind w:left="0" w:firstLine="0"/>
        <w:jc w:val="both"/>
        <w:rPr>
          <w:b/>
        </w:rPr>
      </w:pPr>
      <w:r w:rsidRPr="00823749">
        <w:rPr>
          <w:b/>
        </w:rPr>
        <w:t xml:space="preserve">Portanto, duas questões que ainda hão de ser </w:t>
      </w:r>
      <w:proofErr w:type="gramStart"/>
      <w:r w:rsidRPr="00823749">
        <w:rPr>
          <w:b/>
        </w:rPr>
        <w:t xml:space="preserve">definidas pelo STJ, </w:t>
      </w:r>
      <w:r w:rsidRPr="00823749">
        <w:rPr>
          <w:b/>
          <w:u w:val="single"/>
        </w:rPr>
        <w:t>uma delas</w:t>
      </w:r>
      <w:proofErr w:type="gramEnd"/>
      <w:r w:rsidRPr="00823749">
        <w:rPr>
          <w:b/>
          <w:u w:val="single"/>
        </w:rPr>
        <w:t xml:space="preserve"> no presente feito</w:t>
      </w:r>
      <w:r w:rsidRPr="00823749">
        <w:rPr>
          <w:b/>
        </w:rPr>
        <w:t xml:space="preserve">, sob o regime dos recursos repetitivos, terá inequívoca </w:t>
      </w:r>
      <w:r w:rsidRPr="00823749">
        <w:rPr>
          <w:b/>
        </w:rPr>
        <w:lastRenderedPageBreak/>
        <w:t>influência sobre o conteúdo do que vier a ser decidido</w:t>
      </w:r>
      <w:r w:rsidR="00F10869" w:rsidRPr="00823749">
        <w:rPr>
          <w:b/>
        </w:rPr>
        <w:t xml:space="preserve"> pelo STF. Do mesmo modo, o que a Suprema Corte vier a decidir sobre os planos monetários modificará por completo as implicações do julgamento do presente recurso, patenteando-se, portanto, uma influência recíproca que há de ser ponderada com a prudência que as dimensões reveladas quanto ao caso reclamam.</w:t>
      </w:r>
    </w:p>
    <w:p w:rsidR="007E23C9" w:rsidRPr="00823749" w:rsidRDefault="007E23C9" w:rsidP="007E23C9">
      <w:pPr>
        <w:pStyle w:val="Cabealho"/>
        <w:tabs>
          <w:tab w:val="clear" w:pos="4419"/>
          <w:tab w:val="clear" w:pos="8838"/>
          <w:tab w:val="left" w:pos="2325"/>
        </w:tabs>
        <w:jc w:val="both"/>
        <w:rPr>
          <w:b/>
        </w:rPr>
      </w:pPr>
    </w:p>
    <w:p w:rsidR="000B2BF3" w:rsidRDefault="00795C02" w:rsidP="002E38F3">
      <w:pPr>
        <w:pStyle w:val="Cabealho"/>
        <w:numPr>
          <w:ilvl w:val="0"/>
          <w:numId w:val="2"/>
        </w:numPr>
        <w:tabs>
          <w:tab w:val="clear" w:pos="4419"/>
          <w:tab w:val="clear" w:pos="8838"/>
          <w:tab w:val="left" w:pos="2325"/>
        </w:tabs>
        <w:ind w:left="0" w:firstLine="0"/>
        <w:jc w:val="both"/>
      </w:pPr>
      <w:r>
        <w:t>E</w:t>
      </w:r>
      <w:r w:rsidR="000B2BF3">
        <w:t>ssa interdependência e sua especial importância</w:t>
      </w:r>
      <w:r>
        <w:t xml:space="preserve"> </w:t>
      </w:r>
      <w:proofErr w:type="gramStart"/>
      <w:r>
        <w:t>demonstram,</w:t>
      </w:r>
      <w:proofErr w:type="gramEnd"/>
      <w:r>
        <w:t xml:space="preserve"> por si sós</w:t>
      </w:r>
      <w:r w:rsidR="000B2BF3">
        <w:t xml:space="preserve">, </w:t>
      </w:r>
      <w:r>
        <w:t xml:space="preserve">o </w:t>
      </w:r>
      <w:r w:rsidR="00DC0655">
        <w:t xml:space="preserve">inegável </w:t>
      </w:r>
      <w:r>
        <w:t xml:space="preserve">interesse do Banco Central </w:t>
      </w:r>
      <w:r w:rsidR="00DC0655">
        <w:t>neste processo, considerando o atual contexto em que se insere.</w:t>
      </w:r>
    </w:p>
    <w:p w:rsidR="00DC0655" w:rsidRDefault="00DC0655" w:rsidP="00DC0655">
      <w:pPr>
        <w:pStyle w:val="PargrafodaLista"/>
      </w:pPr>
    </w:p>
    <w:p w:rsidR="00933A5B" w:rsidRDefault="00933A5B" w:rsidP="002E38F3">
      <w:pPr>
        <w:pStyle w:val="Cabealho"/>
        <w:numPr>
          <w:ilvl w:val="0"/>
          <w:numId w:val="2"/>
        </w:numPr>
        <w:tabs>
          <w:tab w:val="clear" w:pos="4419"/>
          <w:tab w:val="clear" w:pos="8838"/>
          <w:tab w:val="left" w:pos="2325"/>
        </w:tabs>
        <w:ind w:left="0" w:firstLine="0"/>
        <w:jc w:val="both"/>
      </w:pPr>
      <w:r>
        <w:t>Diante do</w:t>
      </w:r>
      <w:r w:rsidR="003D540C">
        <w:t xml:space="preserve"> protagonismo do Banco Central </w:t>
      </w:r>
      <w:r>
        <w:t xml:space="preserve">no julgamento conjunto do STF, pelas razões expostas desde a sua petição de ingresso nos feitos correspondentes, o inequívoco potencial de impacto do que vier a ser decidido no presente </w:t>
      </w:r>
      <w:proofErr w:type="spellStart"/>
      <w:proofErr w:type="gramStart"/>
      <w:r>
        <w:t>REsp</w:t>
      </w:r>
      <w:proofErr w:type="spellEnd"/>
      <w:proofErr w:type="gramEnd"/>
      <w:r>
        <w:t xml:space="preserve"> sobre os efeitos daquele julgamento do STF para o setor regulado pela Autarquia atesta cabalmente seu interesse jurídico no deslinde do recurso</w:t>
      </w:r>
      <w:r w:rsidR="00030B29">
        <w:t>, nos termos do art. 50 do CPC,</w:t>
      </w:r>
      <w:r>
        <w:t xml:space="preserve"> ou, quando nada, seus reflexos de natureza econômica, ao menos indiretos, sobre a área de atribuição do Banco Central, na forma do parágrafo único do art. 5º da Lei nº 9.469, de 1997.</w:t>
      </w:r>
    </w:p>
    <w:p w:rsidR="007E7B8F" w:rsidRDefault="007E7B8F" w:rsidP="007E7B8F">
      <w:pPr>
        <w:pStyle w:val="PargrafodaLista"/>
      </w:pPr>
    </w:p>
    <w:p w:rsidR="007E7B8F" w:rsidRDefault="007E7B8F" w:rsidP="002E38F3">
      <w:pPr>
        <w:pStyle w:val="Cabealho"/>
        <w:numPr>
          <w:ilvl w:val="0"/>
          <w:numId w:val="2"/>
        </w:numPr>
        <w:tabs>
          <w:tab w:val="clear" w:pos="4419"/>
          <w:tab w:val="clear" w:pos="8838"/>
          <w:tab w:val="left" w:pos="2325"/>
        </w:tabs>
        <w:ind w:left="0" w:firstLine="0"/>
        <w:jc w:val="both"/>
      </w:pPr>
      <w:r>
        <w:t>A questão dos potenciais reflexos de julgamentos relacionados à matéria em foco sobre as condições do SFN nunca pôde ser desconsiderada por esta Autarquia e, juntamente com as implicações da matéria para aspectos centrais da disciplina jurídica da política monetária, tem justificado a atuação do Banco Central em processos como o presente, como se vê do anexo estudo de impacto potencial que já havia apresentado ao STF desde o seu pedido de ingresso na ADPF 165/DF.</w:t>
      </w:r>
    </w:p>
    <w:p w:rsidR="002752F1" w:rsidRDefault="002752F1" w:rsidP="002752F1">
      <w:pPr>
        <w:pStyle w:val="PargrafodaLista"/>
      </w:pPr>
    </w:p>
    <w:p w:rsidR="002752F1" w:rsidRDefault="002752F1" w:rsidP="002E38F3">
      <w:pPr>
        <w:pStyle w:val="Cabealho"/>
        <w:numPr>
          <w:ilvl w:val="0"/>
          <w:numId w:val="2"/>
        </w:numPr>
        <w:tabs>
          <w:tab w:val="clear" w:pos="4419"/>
          <w:tab w:val="clear" w:pos="8838"/>
          <w:tab w:val="left" w:pos="2325"/>
        </w:tabs>
        <w:ind w:left="0" w:firstLine="0"/>
        <w:jc w:val="both"/>
      </w:pPr>
      <w:r w:rsidRPr="009E0ECD">
        <w:rPr>
          <w:b/>
        </w:rPr>
        <w:t>Esses reflexos, inclusive, precisam ser considerados até mesm</w:t>
      </w:r>
      <w:r w:rsidR="00E54013" w:rsidRPr="009E0ECD">
        <w:rPr>
          <w:b/>
        </w:rPr>
        <w:t>o</w:t>
      </w:r>
      <w:r w:rsidRPr="009E0ECD">
        <w:rPr>
          <w:b/>
        </w:rPr>
        <w:t xml:space="preserve"> para efeito de </w:t>
      </w:r>
      <w:r w:rsidR="008852F4" w:rsidRPr="009E0ECD">
        <w:rPr>
          <w:b/>
        </w:rPr>
        <w:t>monitoramento</w:t>
      </w:r>
      <w:r w:rsidRPr="009E0ECD">
        <w:rPr>
          <w:b/>
        </w:rPr>
        <w:t xml:space="preserve"> do SFN, inclusive no sentido de avaliar aspectos prudenciais como as condições patrimoniais das instituições que o </w:t>
      </w:r>
      <w:proofErr w:type="gramStart"/>
      <w:r w:rsidRPr="009E0ECD">
        <w:rPr>
          <w:b/>
        </w:rPr>
        <w:t>integram</w:t>
      </w:r>
      <w:proofErr w:type="gramEnd"/>
      <w:r w:rsidRPr="009E0ECD">
        <w:rPr>
          <w:b/>
        </w:rPr>
        <w:t>, seu grau de exposição a risco ou a suficiência de sua provisões para o impacto mais imediato de contingências judiciais passivas, entre outras questões</w:t>
      </w:r>
      <w:r>
        <w:t>.</w:t>
      </w:r>
    </w:p>
    <w:p w:rsidR="00D95AEB" w:rsidRDefault="00D95AEB" w:rsidP="00D95AEB">
      <w:pPr>
        <w:pStyle w:val="PargrafodaLista"/>
      </w:pPr>
    </w:p>
    <w:p w:rsidR="00D95AEB" w:rsidRDefault="00D95AEB" w:rsidP="002E38F3">
      <w:pPr>
        <w:pStyle w:val="Cabealho"/>
        <w:numPr>
          <w:ilvl w:val="0"/>
          <w:numId w:val="2"/>
        </w:numPr>
        <w:tabs>
          <w:tab w:val="clear" w:pos="4419"/>
          <w:tab w:val="clear" w:pos="8838"/>
          <w:tab w:val="left" w:pos="2325"/>
        </w:tabs>
        <w:ind w:left="0" w:firstLine="0"/>
        <w:jc w:val="both"/>
      </w:pPr>
      <w:r>
        <w:t>O interesse jurídico do Banco Central no deslinde de julgamentos que possam trazer esse tipo de reflexo para o SFN relaciona-se, portanto, até mesmo à pretensão de garantir adequado desempenho de suas competências legais.</w:t>
      </w:r>
    </w:p>
    <w:p w:rsidR="00933A5B" w:rsidRDefault="00933A5B" w:rsidP="00933A5B">
      <w:pPr>
        <w:pStyle w:val="PargrafodaLista"/>
      </w:pPr>
    </w:p>
    <w:p w:rsidR="00933A5B" w:rsidRDefault="00933A5B" w:rsidP="002E38F3">
      <w:pPr>
        <w:pStyle w:val="Cabealho"/>
        <w:numPr>
          <w:ilvl w:val="0"/>
          <w:numId w:val="2"/>
        </w:numPr>
        <w:tabs>
          <w:tab w:val="clear" w:pos="4419"/>
          <w:tab w:val="clear" w:pos="8838"/>
          <w:tab w:val="left" w:pos="2325"/>
        </w:tabs>
        <w:ind w:left="0" w:firstLine="0"/>
        <w:jc w:val="both"/>
      </w:pPr>
      <w:r>
        <w:t>Nesse cenário, impõe-se reconhecer a condição desta Autarquia como litisconsorte assistencial</w:t>
      </w:r>
      <w:r w:rsidR="00030B29">
        <w:t xml:space="preserve"> </w:t>
      </w:r>
      <w:r w:rsidR="00F51A25">
        <w:t xml:space="preserve">no presente processo </w:t>
      </w:r>
      <w:r w:rsidR="00030B29">
        <w:t xml:space="preserve">ou, pelo menos, como interveniente ou </w:t>
      </w:r>
      <w:proofErr w:type="spellStart"/>
      <w:r w:rsidR="00030B29" w:rsidRPr="00030B29">
        <w:rPr>
          <w:i/>
        </w:rPr>
        <w:t>amicus</w:t>
      </w:r>
      <w:proofErr w:type="spellEnd"/>
      <w:r w:rsidR="00030B29" w:rsidRPr="00030B29">
        <w:rPr>
          <w:i/>
        </w:rPr>
        <w:t xml:space="preserve"> </w:t>
      </w:r>
      <w:proofErr w:type="spellStart"/>
      <w:r w:rsidR="00030B29" w:rsidRPr="00030B29">
        <w:rPr>
          <w:i/>
        </w:rPr>
        <w:t>curiae</w:t>
      </w:r>
      <w:proofErr w:type="spellEnd"/>
      <w:r w:rsidR="00030B29">
        <w:t>.</w:t>
      </w:r>
    </w:p>
    <w:p w:rsidR="000B2BF3" w:rsidRDefault="000B2BF3" w:rsidP="000B2BF3">
      <w:pPr>
        <w:pStyle w:val="PargrafodaLista"/>
      </w:pPr>
    </w:p>
    <w:p w:rsidR="006A31A6" w:rsidRPr="006A31A6" w:rsidRDefault="006A31A6" w:rsidP="0003461E">
      <w:pPr>
        <w:tabs>
          <w:tab w:val="left" w:pos="2325"/>
        </w:tabs>
        <w:jc w:val="center"/>
        <w:rPr>
          <w:b/>
        </w:rPr>
      </w:pPr>
      <w:r w:rsidRPr="006A31A6">
        <w:rPr>
          <w:b/>
        </w:rPr>
        <w:t>I</w:t>
      </w:r>
      <w:r w:rsidR="00D95AEB">
        <w:rPr>
          <w:b/>
        </w:rPr>
        <w:t>II</w:t>
      </w:r>
      <w:r w:rsidRPr="006A31A6">
        <w:rPr>
          <w:b/>
        </w:rPr>
        <w:t xml:space="preserve"> – Conclusão</w:t>
      </w:r>
    </w:p>
    <w:p w:rsidR="006A31A6" w:rsidRDefault="006A31A6" w:rsidP="0003461E">
      <w:pPr>
        <w:tabs>
          <w:tab w:val="left" w:pos="2325"/>
        </w:tabs>
      </w:pPr>
    </w:p>
    <w:p w:rsidR="00730BB3" w:rsidRPr="00E64CB7" w:rsidRDefault="006A31A6" w:rsidP="002E38F3">
      <w:pPr>
        <w:pStyle w:val="Cabealho"/>
        <w:numPr>
          <w:ilvl w:val="0"/>
          <w:numId w:val="2"/>
        </w:numPr>
        <w:tabs>
          <w:tab w:val="clear" w:pos="4419"/>
          <w:tab w:val="clear" w:pos="8838"/>
          <w:tab w:val="left" w:pos="2325"/>
        </w:tabs>
        <w:ind w:left="0" w:firstLine="0"/>
        <w:jc w:val="both"/>
      </w:pPr>
      <w:r>
        <w:t xml:space="preserve">Ante o exposto, </w:t>
      </w:r>
      <w:r w:rsidR="00664E56">
        <w:t xml:space="preserve">o Banco Central </w:t>
      </w:r>
      <w:r w:rsidR="00AD0AAC">
        <w:t>vem pedir o seu ingresso no feito</w:t>
      </w:r>
      <w:r w:rsidR="00030B29">
        <w:t xml:space="preserve"> como</w:t>
      </w:r>
      <w:r w:rsidR="00030B29" w:rsidRPr="00030B29">
        <w:t xml:space="preserve"> </w:t>
      </w:r>
      <w:r w:rsidR="00030B29">
        <w:t>litisconsorte assistencial, na forma do art. 50 do CPC, ou, subsidiariamente</w:t>
      </w:r>
      <w:r w:rsidR="00AD0AAC">
        <w:t>, na qualidade de</w:t>
      </w:r>
      <w:r w:rsidR="00030B29">
        <w:t xml:space="preserve"> interveniente ou</w:t>
      </w:r>
      <w:r w:rsidR="00AD0AAC">
        <w:t xml:space="preserve"> </w:t>
      </w:r>
      <w:proofErr w:type="spellStart"/>
      <w:r w:rsidR="00AD0AAC">
        <w:rPr>
          <w:i/>
        </w:rPr>
        <w:t>amicus</w:t>
      </w:r>
      <w:proofErr w:type="spellEnd"/>
      <w:r w:rsidR="00AD0AAC">
        <w:rPr>
          <w:i/>
        </w:rPr>
        <w:t xml:space="preserve"> </w:t>
      </w:r>
      <w:proofErr w:type="spellStart"/>
      <w:r w:rsidR="00AD0AAC">
        <w:rPr>
          <w:i/>
        </w:rPr>
        <w:t>curiae</w:t>
      </w:r>
      <w:proofErr w:type="spellEnd"/>
      <w:r w:rsidR="00AD0AAC" w:rsidRPr="00030B29">
        <w:t xml:space="preserve">, </w:t>
      </w:r>
      <w:r w:rsidR="00030B29">
        <w:t xml:space="preserve">a teor do disposto, respectivamente, no parágrafo único do art. 5º da Lei nº 9.469, de 1997, e </w:t>
      </w:r>
      <w:r w:rsidR="007E7B8F">
        <w:t xml:space="preserve">no art. 3º, I, da Resolução STJ nº 8, de </w:t>
      </w:r>
      <w:r w:rsidR="007E7B8F">
        <w:lastRenderedPageBreak/>
        <w:t xml:space="preserve">2008, </w:t>
      </w:r>
      <w:r w:rsidR="00AD0AAC" w:rsidRPr="00030B29">
        <w:t>r</w:t>
      </w:r>
      <w:r w:rsidR="00AD0AAC">
        <w:t>equerendo a juntada do</w:t>
      </w:r>
      <w:r w:rsidR="007E7B8F">
        <w:t>s anexos estudos</w:t>
      </w:r>
      <w:r w:rsidR="00F51A25">
        <w:t xml:space="preserve">, </w:t>
      </w:r>
      <w:r w:rsidR="00F51A25" w:rsidRPr="009E0ECD">
        <w:rPr>
          <w:b/>
        </w:rPr>
        <w:t>bem como habilitação para sustentar oralmente na sessão de julgamento em que o recurso especial vier a ser apreciado</w:t>
      </w:r>
      <w:r w:rsidR="00AD0AAC">
        <w:t>.</w:t>
      </w:r>
    </w:p>
    <w:p w:rsidR="00F10C57" w:rsidRDefault="00F10C57" w:rsidP="0003461E">
      <w:pPr>
        <w:pStyle w:val="Recuodecorpodetexto"/>
        <w:tabs>
          <w:tab w:val="left" w:pos="2325"/>
        </w:tabs>
        <w:spacing w:line="240" w:lineRule="auto"/>
        <w:ind w:left="1418"/>
        <w:rPr>
          <w:szCs w:val="24"/>
        </w:rPr>
      </w:pPr>
    </w:p>
    <w:p w:rsidR="00F51A25" w:rsidRDefault="00F51A25" w:rsidP="0003461E">
      <w:pPr>
        <w:pStyle w:val="Recuodecorpodetexto"/>
        <w:tabs>
          <w:tab w:val="left" w:pos="2325"/>
        </w:tabs>
        <w:spacing w:line="240" w:lineRule="auto"/>
        <w:ind w:left="1418"/>
        <w:rPr>
          <w:szCs w:val="24"/>
        </w:rPr>
      </w:pPr>
    </w:p>
    <w:p w:rsidR="00CA214A" w:rsidRPr="00E64CB7" w:rsidRDefault="00CA214A" w:rsidP="0003461E">
      <w:pPr>
        <w:pStyle w:val="Recuodecorpodetexto"/>
        <w:tabs>
          <w:tab w:val="left" w:pos="2325"/>
        </w:tabs>
        <w:spacing w:line="240" w:lineRule="auto"/>
        <w:ind w:left="0"/>
        <w:jc w:val="center"/>
        <w:rPr>
          <w:szCs w:val="24"/>
        </w:rPr>
      </w:pPr>
      <w:r>
        <w:rPr>
          <w:szCs w:val="24"/>
        </w:rPr>
        <w:t>Nesses termos, pede deferimento.</w:t>
      </w:r>
    </w:p>
    <w:p w:rsidR="00F10C57" w:rsidRPr="00E64CB7" w:rsidRDefault="00F10C57" w:rsidP="0003461E">
      <w:pPr>
        <w:pStyle w:val="Recuodecorpodetexto"/>
        <w:tabs>
          <w:tab w:val="left" w:pos="2325"/>
        </w:tabs>
        <w:spacing w:line="240" w:lineRule="auto"/>
        <w:ind w:left="1418"/>
        <w:rPr>
          <w:szCs w:val="24"/>
        </w:rPr>
      </w:pPr>
    </w:p>
    <w:p w:rsidR="00D84981" w:rsidRDefault="00231F63" w:rsidP="0003461E">
      <w:pPr>
        <w:pStyle w:val="Recuodecorpodetexto"/>
        <w:tabs>
          <w:tab w:val="left" w:pos="2325"/>
        </w:tabs>
        <w:spacing w:line="240" w:lineRule="auto"/>
        <w:ind w:left="0"/>
        <w:jc w:val="center"/>
        <w:rPr>
          <w:szCs w:val="24"/>
        </w:rPr>
      </w:pPr>
      <w:sdt>
        <w:sdtPr>
          <w:rPr>
            <w:szCs w:val="24"/>
          </w:rPr>
          <w:id w:val="192823249"/>
          <w:placeholder>
            <w:docPart w:val="65576BC64B5149A191AC4FC675EB4391"/>
          </w:placeholder>
        </w:sdtPr>
        <w:sdtEndPr/>
        <w:sdtContent>
          <w:r w:rsidR="00F10C57" w:rsidRPr="00E64CB7">
            <w:rPr>
              <w:szCs w:val="24"/>
            </w:rPr>
            <w:t>Brasília</w:t>
          </w:r>
        </w:sdtContent>
      </w:sdt>
      <w:r w:rsidR="00F10C57" w:rsidRPr="00E64CB7">
        <w:rPr>
          <w:szCs w:val="24"/>
        </w:rPr>
        <w:t xml:space="preserve">, </w:t>
      </w:r>
      <w:r w:rsidR="00AD0AAC">
        <w:rPr>
          <w:szCs w:val="24"/>
        </w:rPr>
        <w:t>25 de fevereiro de 2014</w:t>
      </w:r>
      <w:r w:rsidR="00F51A25">
        <w:rPr>
          <w:szCs w:val="24"/>
        </w:rPr>
        <w:t>.</w:t>
      </w:r>
    </w:p>
    <w:p w:rsidR="00AD0AAC" w:rsidRDefault="00AD0AAC" w:rsidP="0003461E">
      <w:pPr>
        <w:pStyle w:val="Recuodecorpodetexto"/>
        <w:tabs>
          <w:tab w:val="left" w:pos="2325"/>
        </w:tabs>
        <w:spacing w:line="240" w:lineRule="auto"/>
        <w:ind w:left="0"/>
        <w:rPr>
          <w:szCs w:val="24"/>
        </w:rPr>
      </w:pPr>
    </w:p>
    <w:p w:rsidR="00F51A25" w:rsidRDefault="00F51A25" w:rsidP="0003461E">
      <w:pPr>
        <w:pStyle w:val="Recuodecorpodetexto"/>
        <w:tabs>
          <w:tab w:val="left" w:pos="2325"/>
        </w:tabs>
        <w:spacing w:line="240" w:lineRule="auto"/>
        <w:ind w:left="0"/>
        <w:rPr>
          <w:szCs w:val="24"/>
        </w:rPr>
      </w:pPr>
    </w:p>
    <w:p w:rsidR="00AD0AAC" w:rsidRDefault="00AD0AAC" w:rsidP="0003461E">
      <w:pPr>
        <w:pStyle w:val="Recuodecorpodetexto"/>
        <w:tabs>
          <w:tab w:val="left" w:pos="2325"/>
        </w:tabs>
        <w:spacing w:line="240" w:lineRule="auto"/>
        <w:ind w:left="0"/>
        <w:rPr>
          <w:szCs w:val="24"/>
        </w:rPr>
      </w:pPr>
    </w:p>
    <w:p w:rsidR="00AD0AAC" w:rsidRPr="00F51A25" w:rsidRDefault="00F51A25" w:rsidP="00F51A25">
      <w:pPr>
        <w:pStyle w:val="Recuodecorpodetexto"/>
        <w:tabs>
          <w:tab w:val="left" w:pos="2325"/>
        </w:tabs>
        <w:spacing w:line="240" w:lineRule="auto"/>
        <w:ind w:left="0"/>
        <w:jc w:val="center"/>
        <w:rPr>
          <w:b/>
          <w:sz w:val="22"/>
          <w:szCs w:val="22"/>
        </w:rPr>
      </w:pPr>
      <w:r w:rsidRPr="00F51A25">
        <w:rPr>
          <w:b/>
          <w:sz w:val="22"/>
          <w:szCs w:val="22"/>
        </w:rPr>
        <w:t>ISAAC SIDNEY MENEZES FERREIRA</w:t>
      </w:r>
    </w:p>
    <w:p w:rsidR="00F51A25" w:rsidRDefault="00F51A25" w:rsidP="00F51A25">
      <w:pPr>
        <w:pStyle w:val="Recuodecorpodetexto"/>
        <w:tabs>
          <w:tab w:val="left" w:pos="2325"/>
        </w:tabs>
        <w:spacing w:line="240" w:lineRule="auto"/>
        <w:ind w:left="0"/>
        <w:jc w:val="center"/>
        <w:rPr>
          <w:szCs w:val="24"/>
        </w:rPr>
      </w:pPr>
      <w:r w:rsidRPr="00F51A25">
        <w:rPr>
          <w:sz w:val="22"/>
          <w:szCs w:val="22"/>
        </w:rPr>
        <w:t>Procurador-Geral do Banco Central</w:t>
      </w:r>
    </w:p>
    <w:sectPr w:rsidR="00F51A25" w:rsidSect="00F10C57">
      <w:headerReference w:type="even" r:id="rId11"/>
      <w:headerReference w:type="default" r:id="rId12"/>
      <w:footerReference w:type="default" r:id="rId13"/>
      <w:headerReference w:type="first" r:id="rId14"/>
      <w:footerReference w:type="first" r:id="rId15"/>
      <w:pgSz w:w="11907" w:h="16840" w:code="9"/>
      <w:pgMar w:top="1418" w:right="1134" w:bottom="1418" w:left="1701" w:header="22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63" w:rsidRDefault="00231F63" w:rsidP="00F806C4">
      <w:r>
        <w:separator/>
      </w:r>
    </w:p>
  </w:endnote>
  <w:endnote w:type="continuationSeparator" w:id="0">
    <w:p w:rsidR="00231F63" w:rsidRDefault="00231F63" w:rsidP="00F8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0" w:type="dxa"/>
      <w:tblBorders>
        <w:top w:val="single" w:sz="12" w:space="0" w:color="auto"/>
      </w:tblBorders>
      <w:tblLayout w:type="fixed"/>
      <w:tblCellMar>
        <w:left w:w="70" w:type="dxa"/>
        <w:right w:w="70" w:type="dxa"/>
      </w:tblCellMar>
      <w:tblLook w:val="04A0" w:firstRow="1" w:lastRow="0" w:firstColumn="1" w:lastColumn="0" w:noHBand="0" w:noVBand="1"/>
    </w:tblPr>
    <w:tblGrid>
      <w:gridCol w:w="9720"/>
    </w:tblGrid>
    <w:tr w:rsidR="000B2BF3" w:rsidTr="00342779">
      <w:trPr>
        <w:trHeight w:val="50"/>
      </w:trPr>
      <w:tc>
        <w:tcPr>
          <w:tcW w:w="9720" w:type="dxa"/>
          <w:tcBorders>
            <w:top w:val="nil"/>
            <w:left w:val="nil"/>
            <w:bottom w:val="single" w:sz="4" w:space="0" w:color="auto"/>
            <w:right w:val="nil"/>
          </w:tcBorders>
        </w:tcPr>
        <w:p w:rsidR="000B2BF3" w:rsidRDefault="000B2BF3">
          <w:pPr>
            <w:widowControl w:val="0"/>
            <w:spacing w:line="240" w:lineRule="exact"/>
            <w:ind w:right="360"/>
            <w:rPr>
              <w:lang w:val="en-US"/>
            </w:rPr>
          </w:pPr>
        </w:p>
      </w:tc>
    </w:tr>
  </w:tbl>
  <w:p w:rsidR="000B2BF3" w:rsidRDefault="00726DF8" w:rsidP="00F0465E">
    <w:pPr>
      <w:pStyle w:val="Rodap"/>
      <w:ind w:right="18"/>
      <w:jc w:val="center"/>
      <w:rPr>
        <w:rFonts w:ascii="Arial" w:hAnsi="Arial" w:cs="Arial"/>
        <w:b/>
        <w:bCs/>
        <w:sz w:val="14"/>
      </w:rPr>
    </w:pPr>
    <w:r>
      <w:rPr>
        <w:rFonts w:ascii="Arial" w:hAnsi="Arial" w:cs="Arial"/>
        <w:b/>
        <w:bCs/>
        <w:sz w:val="14"/>
      </w:rPr>
      <w:t>Procuradoria-Geral do Banco Central</w:t>
    </w:r>
    <w:r w:rsidR="000B2BF3">
      <w:rPr>
        <w:rFonts w:ascii="Arial" w:hAnsi="Arial" w:cs="Arial"/>
        <w:b/>
        <w:bCs/>
        <w:sz w:val="14"/>
      </w:rPr>
      <w:t xml:space="preserve"> - </w:t>
    </w:r>
    <w:r>
      <w:rPr>
        <w:rFonts w:ascii="Arial" w:hAnsi="Arial" w:cs="Arial"/>
        <w:b/>
        <w:bCs/>
        <w:sz w:val="14"/>
      </w:rPr>
      <w:t>PGBC</w:t>
    </w:r>
  </w:p>
  <w:p w:rsidR="000B2BF3" w:rsidRDefault="000B2BF3" w:rsidP="00227927">
    <w:pPr>
      <w:pStyle w:val="Rodap"/>
      <w:ind w:right="18"/>
      <w:jc w:val="center"/>
      <w:rPr>
        <w:rFonts w:ascii="Arial" w:hAnsi="Arial" w:cs="Arial"/>
        <w:b/>
        <w:bCs/>
        <w:sz w:val="14"/>
      </w:rPr>
    </w:pPr>
    <w:r>
      <w:rPr>
        <w:rFonts w:ascii="Arial" w:hAnsi="Arial" w:cs="Arial"/>
        <w:b/>
        <w:bCs/>
        <w:sz w:val="14"/>
      </w:rPr>
      <w:t>SBS</w:t>
    </w:r>
    <w:r w:rsidR="00726DF8">
      <w:rPr>
        <w:rFonts w:ascii="Arial" w:hAnsi="Arial" w:cs="Arial"/>
        <w:b/>
        <w:bCs/>
        <w:sz w:val="14"/>
      </w:rPr>
      <w:t>,</w:t>
    </w:r>
    <w:r>
      <w:rPr>
        <w:rFonts w:ascii="Arial" w:hAnsi="Arial" w:cs="Arial"/>
        <w:b/>
        <w:bCs/>
        <w:sz w:val="14"/>
      </w:rPr>
      <w:t xml:space="preserve"> Quadra </w:t>
    </w:r>
    <w:proofErr w:type="gramStart"/>
    <w:r>
      <w:rPr>
        <w:rFonts w:ascii="Arial" w:hAnsi="Arial" w:cs="Arial"/>
        <w:b/>
        <w:bCs/>
        <w:sz w:val="14"/>
      </w:rPr>
      <w:t>3</w:t>
    </w:r>
    <w:proofErr w:type="gramEnd"/>
    <w:r>
      <w:rPr>
        <w:rFonts w:ascii="Arial" w:hAnsi="Arial" w:cs="Arial"/>
        <w:b/>
        <w:bCs/>
        <w:sz w:val="14"/>
      </w:rPr>
      <w:t>, Bloco B, Edifício Sede - 70074-900 - Brasília (DF)</w:t>
    </w:r>
  </w:p>
  <w:p w:rsidR="000B2BF3" w:rsidRDefault="000B2BF3" w:rsidP="00227927">
    <w:pPr>
      <w:pStyle w:val="Rodap"/>
      <w:ind w:right="18"/>
      <w:jc w:val="center"/>
      <w:rPr>
        <w:rFonts w:ascii="Arial" w:hAnsi="Arial" w:cs="Arial"/>
        <w:b/>
        <w:bCs/>
        <w:sz w:val="14"/>
      </w:rPr>
    </w:pPr>
    <w:r>
      <w:rPr>
        <w:rFonts w:ascii="Arial" w:hAnsi="Arial" w:cs="Arial"/>
        <w:b/>
        <w:bCs/>
        <w:sz w:val="14"/>
      </w:rPr>
      <w:t>Telefones: (61) 3414-</w:t>
    </w:r>
    <w:r w:rsidR="00726DF8">
      <w:rPr>
        <w:rFonts w:ascii="Arial" w:hAnsi="Arial" w:cs="Arial"/>
        <w:b/>
        <w:bCs/>
        <w:sz w:val="14"/>
      </w:rPr>
      <w:t>4848</w:t>
    </w:r>
    <w:r>
      <w:rPr>
        <w:rFonts w:ascii="Arial" w:hAnsi="Arial" w:cs="Arial"/>
        <w:b/>
        <w:bCs/>
        <w:sz w:val="14"/>
      </w:rPr>
      <w:t xml:space="preserve"> e 3414-</w:t>
    </w:r>
    <w:r w:rsidR="00726DF8">
      <w:rPr>
        <w:rFonts w:ascii="Arial" w:hAnsi="Arial" w:cs="Arial"/>
        <w:b/>
        <w:bCs/>
        <w:sz w:val="14"/>
      </w:rPr>
      <w:t>1084</w:t>
    </w:r>
    <w:r>
      <w:rPr>
        <w:rFonts w:ascii="Arial" w:hAnsi="Arial" w:cs="Arial"/>
        <w:b/>
        <w:bCs/>
        <w:sz w:val="14"/>
      </w:rPr>
      <w:t xml:space="preserve"> - Fax: (61) 3</w:t>
    </w:r>
    <w:r w:rsidR="00726DF8">
      <w:rPr>
        <w:rFonts w:ascii="Arial" w:hAnsi="Arial" w:cs="Arial"/>
        <w:b/>
        <w:bCs/>
        <w:sz w:val="14"/>
      </w:rPr>
      <w:t>226</w:t>
    </w:r>
    <w:r>
      <w:rPr>
        <w:rFonts w:ascii="Arial" w:hAnsi="Arial" w:cs="Arial"/>
        <w:b/>
        <w:bCs/>
        <w:sz w:val="14"/>
      </w:rPr>
      <w:t>-</w:t>
    </w:r>
    <w:r w:rsidR="00726DF8">
      <w:rPr>
        <w:rFonts w:ascii="Arial" w:hAnsi="Arial" w:cs="Arial"/>
        <w:b/>
        <w:bCs/>
        <w:sz w:val="14"/>
      </w:rPr>
      <w:t>9513</w:t>
    </w:r>
  </w:p>
  <w:p w:rsidR="000B2BF3" w:rsidRPr="00227927" w:rsidRDefault="000B2BF3" w:rsidP="00726DF8">
    <w:pPr>
      <w:pStyle w:val="Rodap"/>
      <w:ind w:right="18"/>
      <w:jc w:val="center"/>
    </w:pPr>
    <w:r>
      <w:rPr>
        <w:rFonts w:ascii="Arial" w:hAnsi="Arial" w:cs="Arial"/>
        <w:b/>
        <w:bCs/>
        <w:sz w:val="14"/>
      </w:rPr>
      <w:t xml:space="preserve">E-mail: </w:t>
    </w:r>
    <w:r w:rsidR="00726DF8">
      <w:rPr>
        <w:rFonts w:ascii="Arial" w:hAnsi="Arial" w:cs="Arial"/>
        <w:b/>
        <w:bCs/>
        <w:sz w:val="14"/>
      </w:rPr>
      <w:t>pggab</w:t>
    </w:r>
    <w:r>
      <w:rPr>
        <w:rFonts w:ascii="Arial" w:hAnsi="Arial" w:cs="Arial"/>
        <w:b/>
        <w:bCs/>
        <w:sz w:val="14"/>
      </w:rPr>
      <w:t>.pgbcb@bcb.gov.br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9440" w:type="dxa"/>
      <w:tblInd w:w="70" w:type="dxa"/>
      <w:tblBorders>
        <w:top w:val="single" w:sz="12" w:space="0" w:color="auto"/>
      </w:tblBorders>
      <w:tblLayout w:type="fixed"/>
      <w:tblCellMar>
        <w:left w:w="70" w:type="dxa"/>
        <w:right w:w="70" w:type="dxa"/>
      </w:tblCellMar>
      <w:tblLook w:val="04A0" w:firstRow="1" w:lastRow="0" w:firstColumn="1" w:lastColumn="0" w:noHBand="0" w:noVBand="1"/>
    </w:tblPr>
    <w:tblGrid>
      <w:gridCol w:w="9720"/>
      <w:gridCol w:w="9720"/>
    </w:tblGrid>
    <w:tr w:rsidR="000B2BF3" w:rsidTr="00F10C57">
      <w:trPr>
        <w:trHeight w:val="50"/>
      </w:trPr>
      <w:tc>
        <w:tcPr>
          <w:tcW w:w="9720" w:type="dxa"/>
          <w:tcBorders>
            <w:top w:val="nil"/>
            <w:left w:val="nil"/>
            <w:bottom w:val="single" w:sz="4" w:space="0" w:color="auto"/>
            <w:right w:val="nil"/>
          </w:tcBorders>
        </w:tcPr>
        <w:p w:rsidR="000B2BF3" w:rsidRDefault="000B2BF3" w:rsidP="00260FAE">
          <w:pPr>
            <w:rPr>
              <w:sz w:val="16"/>
              <w:szCs w:val="16"/>
            </w:rPr>
          </w:pPr>
          <w:r w:rsidRPr="004F4AF8">
            <w:rPr>
              <w:sz w:val="16"/>
              <w:szCs w:val="16"/>
            </w:rPr>
            <w:t xml:space="preserve">Petição </w:t>
          </w:r>
          <w:r w:rsidR="002166E3">
            <w:rPr>
              <w:sz w:val="16"/>
              <w:szCs w:val="16"/>
            </w:rPr>
            <w:t>1254</w:t>
          </w:r>
          <w:r w:rsidRPr="004F4AF8">
            <w:rPr>
              <w:sz w:val="16"/>
              <w:szCs w:val="16"/>
            </w:rPr>
            <w:t>/2014-BCB/PGBC</w:t>
          </w:r>
        </w:p>
        <w:p w:rsidR="000B2BF3" w:rsidRPr="004F4AF8" w:rsidRDefault="000B2BF3" w:rsidP="00260FAE">
          <w:pPr>
            <w:rPr>
              <w:sz w:val="16"/>
              <w:szCs w:val="16"/>
            </w:rPr>
          </w:pPr>
        </w:p>
      </w:tc>
      <w:tc>
        <w:tcPr>
          <w:tcW w:w="9720" w:type="dxa"/>
          <w:tcBorders>
            <w:top w:val="nil"/>
            <w:left w:val="nil"/>
            <w:bottom w:val="single" w:sz="4" w:space="0" w:color="auto"/>
            <w:right w:val="nil"/>
          </w:tcBorders>
        </w:tcPr>
        <w:p w:rsidR="000B2BF3" w:rsidRPr="00F0095B" w:rsidRDefault="000B2BF3">
          <w:pPr>
            <w:widowControl w:val="0"/>
            <w:spacing w:line="240" w:lineRule="exact"/>
            <w:ind w:right="360"/>
          </w:pPr>
        </w:p>
      </w:tc>
    </w:tr>
  </w:tbl>
  <w:p w:rsidR="000B2BF3" w:rsidRDefault="00FB7BB1" w:rsidP="00F0465E">
    <w:pPr>
      <w:pStyle w:val="Rodap"/>
      <w:ind w:right="18"/>
      <w:jc w:val="center"/>
      <w:rPr>
        <w:rFonts w:ascii="Arial" w:hAnsi="Arial" w:cs="Arial"/>
        <w:b/>
        <w:bCs/>
        <w:sz w:val="14"/>
      </w:rPr>
    </w:pPr>
    <w:r>
      <w:rPr>
        <w:rFonts w:ascii="Arial" w:hAnsi="Arial" w:cs="Arial"/>
        <w:b/>
        <w:bCs/>
        <w:sz w:val="14"/>
      </w:rPr>
      <w:t>Procurador</w:t>
    </w:r>
    <w:r w:rsidR="00FF2114">
      <w:rPr>
        <w:rFonts w:ascii="Arial" w:hAnsi="Arial" w:cs="Arial"/>
        <w:b/>
        <w:bCs/>
        <w:sz w:val="14"/>
      </w:rPr>
      <w:t>ia</w:t>
    </w:r>
    <w:r>
      <w:rPr>
        <w:rFonts w:ascii="Arial" w:hAnsi="Arial" w:cs="Arial"/>
        <w:b/>
        <w:bCs/>
        <w:sz w:val="14"/>
      </w:rPr>
      <w:t>-Geral do Banco Central</w:t>
    </w:r>
    <w:r w:rsidR="000B2BF3">
      <w:rPr>
        <w:rFonts w:ascii="Arial" w:hAnsi="Arial" w:cs="Arial"/>
        <w:b/>
        <w:bCs/>
        <w:sz w:val="14"/>
      </w:rPr>
      <w:t xml:space="preserve"> - </w:t>
    </w:r>
    <w:r>
      <w:rPr>
        <w:rFonts w:ascii="Arial" w:hAnsi="Arial" w:cs="Arial"/>
        <w:b/>
        <w:bCs/>
        <w:sz w:val="14"/>
      </w:rPr>
      <w:t>PGBC</w:t>
    </w:r>
  </w:p>
  <w:p w:rsidR="000B2BF3" w:rsidRDefault="000B2BF3" w:rsidP="00227927">
    <w:pPr>
      <w:pStyle w:val="Rodap"/>
      <w:ind w:right="18"/>
      <w:jc w:val="center"/>
      <w:rPr>
        <w:rFonts w:ascii="Arial" w:hAnsi="Arial" w:cs="Arial"/>
        <w:b/>
        <w:bCs/>
        <w:sz w:val="14"/>
      </w:rPr>
    </w:pPr>
    <w:r>
      <w:rPr>
        <w:rFonts w:ascii="Arial" w:hAnsi="Arial" w:cs="Arial"/>
        <w:b/>
        <w:bCs/>
        <w:sz w:val="14"/>
      </w:rPr>
      <w:t>SBS</w:t>
    </w:r>
    <w:r w:rsidR="00FB7BB1">
      <w:rPr>
        <w:rFonts w:ascii="Arial" w:hAnsi="Arial" w:cs="Arial"/>
        <w:b/>
        <w:bCs/>
        <w:sz w:val="14"/>
      </w:rPr>
      <w:t>,</w:t>
    </w:r>
    <w:r>
      <w:rPr>
        <w:rFonts w:ascii="Arial" w:hAnsi="Arial" w:cs="Arial"/>
        <w:b/>
        <w:bCs/>
        <w:sz w:val="14"/>
      </w:rPr>
      <w:t xml:space="preserve"> Quadra </w:t>
    </w:r>
    <w:proofErr w:type="gramStart"/>
    <w:r>
      <w:rPr>
        <w:rFonts w:ascii="Arial" w:hAnsi="Arial" w:cs="Arial"/>
        <w:b/>
        <w:bCs/>
        <w:sz w:val="14"/>
      </w:rPr>
      <w:t>3</w:t>
    </w:r>
    <w:proofErr w:type="gramEnd"/>
    <w:r>
      <w:rPr>
        <w:rFonts w:ascii="Arial" w:hAnsi="Arial" w:cs="Arial"/>
        <w:b/>
        <w:bCs/>
        <w:sz w:val="14"/>
      </w:rPr>
      <w:t>, Bloco B, Edifício Sede - 70074-900 - Brasília (DF)</w:t>
    </w:r>
  </w:p>
  <w:p w:rsidR="000B2BF3" w:rsidRDefault="000B2BF3" w:rsidP="00227927">
    <w:pPr>
      <w:pStyle w:val="Rodap"/>
      <w:ind w:right="18"/>
      <w:jc w:val="center"/>
      <w:rPr>
        <w:rFonts w:ascii="Arial" w:hAnsi="Arial" w:cs="Arial"/>
        <w:b/>
        <w:bCs/>
        <w:sz w:val="14"/>
      </w:rPr>
    </w:pPr>
    <w:r>
      <w:rPr>
        <w:rFonts w:ascii="Arial" w:hAnsi="Arial" w:cs="Arial"/>
        <w:b/>
        <w:bCs/>
        <w:sz w:val="14"/>
      </w:rPr>
      <w:t>Telefones: (61) 3414-</w:t>
    </w:r>
    <w:r w:rsidR="00FB7BB1">
      <w:rPr>
        <w:rFonts w:ascii="Arial" w:hAnsi="Arial" w:cs="Arial"/>
        <w:b/>
        <w:bCs/>
        <w:sz w:val="14"/>
      </w:rPr>
      <w:t>4848</w:t>
    </w:r>
    <w:r>
      <w:rPr>
        <w:rFonts w:ascii="Arial" w:hAnsi="Arial" w:cs="Arial"/>
        <w:b/>
        <w:bCs/>
        <w:sz w:val="14"/>
      </w:rPr>
      <w:t xml:space="preserve"> e 3414-</w:t>
    </w:r>
    <w:r w:rsidR="00FB7BB1">
      <w:rPr>
        <w:rFonts w:ascii="Arial" w:hAnsi="Arial" w:cs="Arial"/>
        <w:b/>
        <w:bCs/>
        <w:sz w:val="14"/>
      </w:rPr>
      <w:t>1084</w:t>
    </w:r>
    <w:r>
      <w:rPr>
        <w:rFonts w:ascii="Arial" w:hAnsi="Arial" w:cs="Arial"/>
        <w:b/>
        <w:bCs/>
        <w:sz w:val="14"/>
      </w:rPr>
      <w:t xml:space="preserve"> - Fax: (61) 3</w:t>
    </w:r>
    <w:r w:rsidR="00FB7BB1">
      <w:rPr>
        <w:rFonts w:ascii="Arial" w:hAnsi="Arial" w:cs="Arial"/>
        <w:b/>
        <w:bCs/>
        <w:sz w:val="14"/>
      </w:rPr>
      <w:t>226</w:t>
    </w:r>
    <w:r>
      <w:rPr>
        <w:rFonts w:ascii="Arial" w:hAnsi="Arial" w:cs="Arial"/>
        <w:b/>
        <w:bCs/>
        <w:sz w:val="14"/>
      </w:rPr>
      <w:t>-</w:t>
    </w:r>
    <w:r w:rsidR="00FB7BB1">
      <w:rPr>
        <w:rFonts w:ascii="Arial" w:hAnsi="Arial" w:cs="Arial"/>
        <w:b/>
        <w:bCs/>
        <w:sz w:val="14"/>
      </w:rPr>
      <w:t>9513</w:t>
    </w:r>
  </w:p>
  <w:p w:rsidR="000B2BF3" w:rsidRDefault="000B2BF3" w:rsidP="00227927">
    <w:pPr>
      <w:pStyle w:val="Rodap"/>
      <w:ind w:right="18"/>
      <w:jc w:val="center"/>
      <w:rPr>
        <w:rFonts w:ascii="Arial" w:hAnsi="Arial" w:cs="Arial"/>
        <w:b/>
        <w:bCs/>
        <w:sz w:val="14"/>
      </w:rPr>
    </w:pPr>
    <w:r>
      <w:rPr>
        <w:rFonts w:ascii="Arial" w:hAnsi="Arial" w:cs="Arial"/>
        <w:b/>
        <w:bCs/>
        <w:sz w:val="14"/>
      </w:rPr>
      <w:t xml:space="preserve">E-mail: </w:t>
    </w:r>
    <w:r w:rsidR="00FB7BB1">
      <w:rPr>
        <w:rFonts w:ascii="Arial" w:hAnsi="Arial" w:cs="Arial"/>
        <w:b/>
        <w:bCs/>
        <w:sz w:val="14"/>
      </w:rPr>
      <w:t>pggab</w:t>
    </w:r>
    <w:r>
      <w:rPr>
        <w:rFonts w:ascii="Arial" w:hAnsi="Arial" w:cs="Arial"/>
        <w:b/>
        <w:bCs/>
        <w:sz w:val="14"/>
      </w:rPr>
      <w:t>.pgbcb@bcb.gov.br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63" w:rsidRDefault="00231F63" w:rsidP="00F806C4">
      <w:r>
        <w:separator/>
      </w:r>
    </w:p>
  </w:footnote>
  <w:footnote w:type="continuationSeparator" w:id="0">
    <w:p w:rsidR="00231F63" w:rsidRDefault="00231F63" w:rsidP="00F806C4">
      <w:r>
        <w:continuationSeparator/>
      </w:r>
    </w:p>
  </w:footnote>
  <w:footnote w:id="1">
    <w:p w:rsidR="000B2BF3" w:rsidRDefault="000B2BF3">
      <w:pPr>
        <w:pStyle w:val="Textodenotaderodap"/>
      </w:pPr>
      <w:r>
        <w:rPr>
          <w:rStyle w:val="Refdenotaderodap"/>
        </w:rPr>
        <w:footnoteRef/>
      </w:r>
      <w:r>
        <w:t xml:space="preserve"> </w:t>
      </w:r>
      <w:r w:rsidRPr="00535C90">
        <w:t>Decreto-</w:t>
      </w:r>
      <w:r>
        <w:t>l</w:t>
      </w:r>
      <w:r w:rsidRPr="00535C90">
        <w:t xml:space="preserve">ei </w:t>
      </w:r>
      <w:r>
        <w:t>n</w:t>
      </w:r>
      <w:r w:rsidRPr="00535C90">
        <w:t xml:space="preserve">º 4.657, de </w:t>
      </w:r>
      <w:proofErr w:type="gramStart"/>
      <w:r w:rsidRPr="00535C90">
        <w:t>4</w:t>
      </w:r>
      <w:proofErr w:type="gramEnd"/>
      <w:r w:rsidRPr="00535C90">
        <w:t xml:space="preserve"> de setembro de 1942</w:t>
      </w:r>
      <w:r>
        <w:t>, com redação dada pela Lei nº 12.376, de 30 de dezembro de 2010</w:t>
      </w:r>
      <w:r w:rsidRPr="00535C90">
        <w:t>.</w:t>
      </w:r>
    </w:p>
  </w:footnote>
  <w:footnote w:id="2">
    <w:p w:rsidR="000B2BF3" w:rsidRDefault="000B2BF3">
      <w:pPr>
        <w:pStyle w:val="Textodenotaderodap"/>
      </w:pPr>
      <w:r>
        <w:rPr>
          <w:rStyle w:val="Refdenotaderodap"/>
        </w:rPr>
        <w:footnoteRef/>
      </w:r>
      <w:r>
        <w:t xml:space="preserve"> Página C20 do caderno Finanças da edição de 17 de fevereiro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F3" w:rsidRDefault="000B2B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B2BF3" w:rsidRDefault="000B2BF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F3" w:rsidRDefault="000B2BF3" w:rsidP="00491C3E">
    <w:pPr>
      <w:pStyle w:val="Cabealho"/>
      <w:tabs>
        <w:tab w:val="clear" w:pos="4419"/>
        <w:tab w:val="clear" w:pos="8838"/>
        <w:tab w:val="left" w:pos="9072"/>
      </w:tabs>
      <w:ind w:right="72"/>
      <w:jc w:val="center"/>
    </w:pPr>
    <w:r w:rsidRPr="00491C3E">
      <w:rPr>
        <w:noProof/>
      </w:rPr>
      <w:drawing>
        <wp:inline distT="0" distB="0" distL="0" distR="0" wp14:anchorId="51145A0A" wp14:editId="14CF1DAF">
          <wp:extent cx="2828925" cy="1152525"/>
          <wp:effectExtent l="19050" t="0" r="9525" b="0"/>
          <wp:docPr id="6" name="Imagem 1" descr="marca_procuradoria_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rocuradoria_blak"/>
                  <pic:cNvPicPr>
                    <a:picLocks noChangeAspect="1" noChangeArrowheads="1"/>
                  </pic:cNvPicPr>
                </pic:nvPicPr>
                <pic:blipFill>
                  <a:blip r:embed="rId1"/>
                  <a:srcRect/>
                  <a:stretch>
                    <a:fillRect/>
                  </a:stretch>
                </pic:blipFill>
                <pic:spPr bwMode="auto">
                  <a:xfrm>
                    <a:off x="0" y="0"/>
                    <a:ext cx="2828925" cy="1152525"/>
                  </a:xfrm>
                  <a:prstGeom prst="rect">
                    <a:avLst/>
                  </a:prstGeom>
                  <a:noFill/>
                  <a:ln w="9525">
                    <a:noFill/>
                    <a:miter lim="800000"/>
                    <a:headEnd/>
                    <a:tailEnd/>
                  </a:ln>
                </pic:spPr>
              </pic:pic>
            </a:graphicData>
          </a:graphic>
        </wp:inline>
      </w:drawing>
    </w:r>
  </w:p>
  <w:p w:rsidR="000B2BF3" w:rsidRDefault="000B2BF3">
    <w:pPr>
      <w:pStyle w:val="Cabealho"/>
      <w:framePr w:wrap="around" w:vAnchor="text" w:hAnchor="page" w:x="10702" w:y="3"/>
      <w:rPr>
        <w:rStyle w:val="Nmerodepgina"/>
      </w:rPr>
    </w:pPr>
    <w:r>
      <w:rPr>
        <w:rStyle w:val="Nmerodepgina"/>
      </w:rPr>
      <w:fldChar w:fldCharType="begin"/>
    </w:r>
    <w:r>
      <w:rPr>
        <w:rStyle w:val="Nmerodepgina"/>
      </w:rPr>
      <w:instrText xml:space="preserve">PAGE  </w:instrText>
    </w:r>
    <w:r>
      <w:rPr>
        <w:rStyle w:val="Nmerodepgina"/>
      </w:rPr>
      <w:fldChar w:fldCharType="separate"/>
    </w:r>
    <w:r w:rsidR="009E0ECD">
      <w:rPr>
        <w:rStyle w:val="Nmerodepgina"/>
        <w:noProof/>
      </w:rPr>
      <w:t>7</w:t>
    </w:r>
    <w:r>
      <w:rPr>
        <w:rStyle w:val="Nmerodepgina"/>
      </w:rPr>
      <w:fldChar w:fldCharType="end"/>
    </w:r>
  </w:p>
  <w:p w:rsidR="000B2BF3" w:rsidRDefault="000B2BF3">
    <w:pPr>
      <w:pStyle w:val="Cabealho"/>
    </w:pPr>
    <w:r>
      <w:t xml:space="preserve">Petição </w:t>
    </w:r>
    <w:r w:rsidR="002166E3">
      <w:t>1254</w:t>
    </w:r>
    <w:r>
      <w:t>/201</w:t>
    </w:r>
    <w:r w:rsidR="002166E3">
      <w:t>4</w:t>
    </w:r>
    <w:r>
      <w:t>-BCB/PGBC</w:t>
    </w:r>
  </w:p>
  <w:p w:rsidR="000B2BF3" w:rsidRDefault="000B2BF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F3" w:rsidRDefault="000B2BF3">
    <w:pPr>
      <w:pStyle w:val="Cabealho"/>
      <w:tabs>
        <w:tab w:val="clear" w:pos="4419"/>
        <w:tab w:val="clear" w:pos="8838"/>
        <w:tab w:val="left" w:pos="9072"/>
      </w:tabs>
      <w:jc w:val="center"/>
    </w:pPr>
    <w:r w:rsidRPr="00491C3E">
      <w:rPr>
        <w:noProof/>
      </w:rPr>
      <w:drawing>
        <wp:inline distT="0" distB="0" distL="0" distR="0" wp14:anchorId="1C811B36" wp14:editId="1FFDB5D2">
          <wp:extent cx="2828925" cy="1152525"/>
          <wp:effectExtent l="19050" t="0" r="9525" b="0"/>
          <wp:docPr id="5" name="Imagem 1" descr="marca_procuradoria_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rocuradoria_blak"/>
                  <pic:cNvPicPr>
                    <a:picLocks noChangeAspect="1" noChangeArrowheads="1"/>
                  </pic:cNvPicPr>
                </pic:nvPicPr>
                <pic:blipFill>
                  <a:blip r:embed="rId1"/>
                  <a:srcRect/>
                  <a:stretch>
                    <a:fillRect/>
                  </a:stretch>
                </pic:blipFill>
                <pic:spPr bwMode="auto">
                  <a:xfrm>
                    <a:off x="0" y="0"/>
                    <a:ext cx="2828925" cy="1152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643E"/>
    <w:multiLevelType w:val="hybridMultilevel"/>
    <w:tmpl w:val="BC9A0E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437DF7"/>
    <w:multiLevelType w:val="hybridMultilevel"/>
    <w:tmpl w:val="7250C5A6"/>
    <w:lvl w:ilvl="0" w:tplc="2E40B146">
      <w:start w:val="2"/>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F8"/>
    <w:rsid w:val="00011505"/>
    <w:rsid w:val="00024C75"/>
    <w:rsid w:val="00030B29"/>
    <w:rsid w:val="0003461E"/>
    <w:rsid w:val="0004604C"/>
    <w:rsid w:val="00077FFE"/>
    <w:rsid w:val="00080056"/>
    <w:rsid w:val="00081068"/>
    <w:rsid w:val="00091826"/>
    <w:rsid w:val="000A135D"/>
    <w:rsid w:val="000A2EDC"/>
    <w:rsid w:val="000B2BF3"/>
    <w:rsid w:val="000C0336"/>
    <w:rsid w:val="000D1E8A"/>
    <w:rsid w:val="000D3D40"/>
    <w:rsid w:val="000E3397"/>
    <w:rsid w:val="000E47DC"/>
    <w:rsid w:val="000F0B89"/>
    <w:rsid w:val="000F4298"/>
    <w:rsid w:val="000F61B3"/>
    <w:rsid w:val="000F7F04"/>
    <w:rsid w:val="001008BD"/>
    <w:rsid w:val="001151E0"/>
    <w:rsid w:val="00116B6D"/>
    <w:rsid w:val="00120815"/>
    <w:rsid w:val="0013313D"/>
    <w:rsid w:val="00135CF6"/>
    <w:rsid w:val="00147198"/>
    <w:rsid w:val="00155CA9"/>
    <w:rsid w:val="00160E2A"/>
    <w:rsid w:val="00161243"/>
    <w:rsid w:val="00165DEC"/>
    <w:rsid w:val="00167BCB"/>
    <w:rsid w:val="00171AD1"/>
    <w:rsid w:val="0017487C"/>
    <w:rsid w:val="00182D7E"/>
    <w:rsid w:val="00191890"/>
    <w:rsid w:val="00191FFE"/>
    <w:rsid w:val="00195D45"/>
    <w:rsid w:val="0019634A"/>
    <w:rsid w:val="001963D8"/>
    <w:rsid w:val="001975B9"/>
    <w:rsid w:val="001A28FA"/>
    <w:rsid w:val="001A2952"/>
    <w:rsid w:val="001B2297"/>
    <w:rsid w:val="001B307C"/>
    <w:rsid w:val="001B3354"/>
    <w:rsid w:val="001C4418"/>
    <w:rsid w:val="001D5B94"/>
    <w:rsid w:val="001D63B1"/>
    <w:rsid w:val="001D681C"/>
    <w:rsid w:val="001F5119"/>
    <w:rsid w:val="001F5F1F"/>
    <w:rsid w:val="00200619"/>
    <w:rsid w:val="00201A24"/>
    <w:rsid w:val="00205EB3"/>
    <w:rsid w:val="00206378"/>
    <w:rsid w:val="00207256"/>
    <w:rsid w:val="002113BC"/>
    <w:rsid w:val="002121B8"/>
    <w:rsid w:val="002136FE"/>
    <w:rsid w:val="00214A0E"/>
    <w:rsid w:val="00215498"/>
    <w:rsid w:val="002166E3"/>
    <w:rsid w:val="00224CDB"/>
    <w:rsid w:val="00225F7C"/>
    <w:rsid w:val="00227927"/>
    <w:rsid w:val="00231F63"/>
    <w:rsid w:val="00242C5C"/>
    <w:rsid w:val="00245E9F"/>
    <w:rsid w:val="002557CB"/>
    <w:rsid w:val="00260FAE"/>
    <w:rsid w:val="00271A13"/>
    <w:rsid w:val="002752F1"/>
    <w:rsid w:val="00282794"/>
    <w:rsid w:val="00283CB4"/>
    <w:rsid w:val="002A762F"/>
    <w:rsid w:val="002B133B"/>
    <w:rsid w:val="002D4A24"/>
    <w:rsid w:val="002D709E"/>
    <w:rsid w:val="002E38F3"/>
    <w:rsid w:val="002E557A"/>
    <w:rsid w:val="002F2E6D"/>
    <w:rsid w:val="002F7E55"/>
    <w:rsid w:val="00304FCC"/>
    <w:rsid w:val="00307E32"/>
    <w:rsid w:val="00311259"/>
    <w:rsid w:val="00314CD8"/>
    <w:rsid w:val="00314F1B"/>
    <w:rsid w:val="00315627"/>
    <w:rsid w:val="003224F0"/>
    <w:rsid w:val="00327B8C"/>
    <w:rsid w:val="003339FE"/>
    <w:rsid w:val="00342779"/>
    <w:rsid w:val="00347EE9"/>
    <w:rsid w:val="00350A4C"/>
    <w:rsid w:val="00350B5B"/>
    <w:rsid w:val="00361A79"/>
    <w:rsid w:val="00364C0A"/>
    <w:rsid w:val="0039439B"/>
    <w:rsid w:val="003A04BF"/>
    <w:rsid w:val="003A068A"/>
    <w:rsid w:val="003B2549"/>
    <w:rsid w:val="003B60EA"/>
    <w:rsid w:val="003D22EE"/>
    <w:rsid w:val="003D540C"/>
    <w:rsid w:val="003E1DBB"/>
    <w:rsid w:val="003E39BD"/>
    <w:rsid w:val="003F0A2D"/>
    <w:rsid w:val="003F0C87"/>
    <w:rsid w:val="003F7409"/>
    <w:rsid w:val="00403AC8"/>
    <w:rsid w:val="004069BC"/>
    <w:rsid w:val="00407C65"/>
    <w:rsid w:val="00417F40"/>
    <w:rsid w:val="004460B1"/>
    <w:rsid w:val="00460ADF"/>
    <w:rsid w:val="0046457C"/>
    <w:rsid w:val="00467A20"/>
    <w:rsid w:val="00472540"/>
    <w:rsid w:val="00477570"/>
    <w:rsid w:val="00477FC9"/>
    <w:rsid w:val="00491C3E"/>
    <w:rsid w:val="004A1E93"/>
    <w:rsid w:val="004B15ED"/>
    <w:rsid w:val="004C0C62"/>
    <w:rsid w:val="004C3FB6"/>
    <w:rsid w:val="004C53EA"/>
    <w:rsid w:val="004C779E"/>
    <w:rsid w:val="004E0A61"/>
    <w:rsid w:val="004F0DCC"/>
    <w:rsid w:val="004F1658"/>
    <w:rsid w:val="004F4AF8"/>
    <w:rsid w:val="004F740A"/>
    <w:rsid w:val="0050600B"/>
    <w:rsid w:val="00510708"/>
    <w:rsid w:val="00510A53"/>
    <w:rsid w:val="00513F58"/>
    <w:rsid w:val="00523053"/>
    <w:rsid w:val="005233E8"/>
    <w:rsid w:val="00524175"/>
    <w:rsid w:val="00530641"/>
    <w:rsid w:val="00533B65"/>
    <w:rsid w:val="00535C90"/>
    <w:rsid w:val="00536FFE"/>
    <w:rsid w:val="00546948"/>
    <w:rsid w:val="00550B39"/>
    <w:rsid w:val="00557A65"/>
    <w:rsid w:val="00565669"/>
    <w:rsid w:val="005749C7"/>
    <w:rsid w:val="00576E91"/>
    <w:rsid w:val="00584350"/>
    <w:rsid w:val="00586742"/>
    <w:rsid w:val="0059586C"/>
    <w:rsid w:val="00597559"/>
    <w:rsid w:val="00597B8C"/>
    <w:rsid w:val="005B1550"/>
    <w:rsid w:val="005B3187"/>
    <w:rsid w:val="005B4C81"/>
    <w:rsid w:val="005B7E09"/>
    <w:rsid w:val="005D213E"/>
    <w:rsid w:val="005D3BDE"/>
    <w:rsid w:val="005E68E6"/>
    <w:rsid w:val="005F0218"/>
    <w:rsid w:val="005F0C2F"/>
    <w:rsid w:val="005F14D6"/>
    <w:rsid w:val="00602584"/>
    <w:rsid w:val="00611C5A"/>
    <w:rsid w:val="00615FFD"/>
    <w:rsid w:val="00627379"/>
    <w:rsid w:val="00636D75"/>
    <w:rsid w:val="006376CD"/>
    <w:rsid w:val="00647667"/>
    <w:rsid w:val="0065310B"/>
    <w:rsid w:val="00656B4F"/>
    <w:rsid w:val="00656C8B"/>
    <w:rsid w:val="0066175B"/>
    <w:rsid w:val="00664E56"/>
    <w:rsid w:val="0068309A"/>
    <w:rsid w:val="00690E50"/>
    <w:rsid w:val="00694370"/>
    <w:rsid w:val="006A017C"/>
    <w:rsid w:val="006A18BB"/>
    <w:rsid w:val="006A31A6"/>
    <w:rsid w:val="006A5E51"/>
    <w:rsid w:val="006A7F55"/>
    <w:rsid w:val="006B4A5E"/>
    <w:rsid w:val="006B75FB"/>
    <w:rsid w:val="006C6737"/>
    <w:rsid w:val="006D21C2"/>
    <w:rsid w:val="006D3A84"/>
    <w:rsid w:val="006D5632"/>
    <w:rsid w:val="006E0C12"/>
    <w:rsid w:val="006E10E6"/>
    <w:rsid w:val="006E116F"/>
    <w:rsid w:val="006E120A"/>
    <w:rsid w:val="007007F1"/>
    <w:rsid w:val="00700BEF"/>
    <w:rsid w:val="00704698"/>
    <w:rsid w:val="00705F05"/>
    <w:rsid w:val="00711E2A"/>
    <w:rsid w:val="00713369"/>
    <w:rsid w:val="00714AF4"/>
    <w:rsid w:val="007240DA"/>
    <w:rsid w:val="00726DF8"/>
    <w:rsid w:val="00726F5E"/>
    <w:rsid w:val="00730BB3"/>
    <w:rsid w:val="00731E36"/>
    <w:rsid w:val="00740338"/>
    <w:rsid w:val="00742B96"/>
    <w:rsid w:val="00750BFB"/>
    <w:rsid w:val="00754682"/>
    <w:rsid w:val="00756620"/>
    <w:rsid w:val="00764791"/>
    <w:rsid w:val="00774440"/>
    <w:rsid w:val="00774A40"/>
    <w:rsid w:val="0078011E"/>
    <w:rsid w:val="00795C02"/>
    <w:rsid w:val="007A2F18"/>
    <w:rsid w:val="007A3EE5"/>
    <w:rsid w:val="007A46F3"/>
    <w:rsid w:val="007E23C9"/>
    <w:rsid w:val="007E3ED0"/>
    <w:rsid w:val="007E3FFE"/>
    <w:rsid w:val="007E4050"/>
    <w:rsid w:val="007E5A38"/>
    <w:rsid w:val="007E5C21"/>
    <w:rsid w:val="007E6DD7"/>
    <w:rsid w:val="007E7B8F"/>
    <w:rsid w:val="007F43E3"/>
    <w:rsid w:val="00802570"/>
    <w:rsid w:val="008039BB"/>
    <w:rsid w:val="00814352"/>
    <w:rsid w:val="00815AE1"/>
    <w:rsid w:val="00817743"/>
    <w:rsid w:val="008220E6"/>
    <w:rsid w:val="00823749"/>
    <w:rsid w:val="00831C2A"/>
    <w:rsid w:val="00832FF8"/>
    <w:rsid w:val="00835AD9"/>
    <w:rsid w:val="008468D7"/>
    <w:rsid w:val="0084698D"/>
    <w:rsid w:val="008552F9"/>
    <w:rsid w:val="008562C1"/>
    <w:rsid w:val="00860920"/>
    <w:rsid w:val="0086752C"/>
    <w:rsid w:val="008700B9"/>
    <w:rsid w:val="00884D11"/>
    <w:rsid w:val="008850A1"/>
    <w:rsid w:val="008852F4"/>
    <w:rsid w:val="0088553E"/>
    <w:rsid w:val="00893F06"/>
    <w:rsid w:val="008A4348"/>
    <w:rsid w:val="008B0CA1"/>
    <w:rsid w:val="008B3CFA"/>
    <w:rsid w:val="008C2E86"/>
    <w:rsid w:val="008C7099"/>
    <w:rsid w:val="008D33B9"/>
    <w:rsid w:val="008D5F15"/>
    <w:rsid w:val="008E0FF6"/>
    <w:rsid w:val="008E5CF5"/>
    <w:rsid w:val="008F37EE"/>
    <w:rsid w:val="008F3E4E"/>
    <w:rsid w:val="008F4767"/>
    <w:rsid w:val="008F5613"/>
    <w:rsid w:val="008F5C98"/>
    <w:rsid w:val="008F77DA"/>
    <w:rsid w:val="00900310"/>
    <w:rsid w:val="0090106B"/>
    <w:rsid w:val="00901F5A"/>
    <w:rsid w:val="00916ADA"/>
    <w:rsid w:val="00930E4A"/>
    <w:rsid w:val="00933A5B"/>
    <w:rsid w:val="00936ED8"/>
    <w:rsid w:val="0094570B"/>
    <w:rsid w:val="00955AB6"/>
    <w:rsid w:val="00966E57"/>
    <w:rsid w:val="00973AAC"/>
    <w:rsid w:val="00973C22"/>
    <w:rsid w:val="009819A4"/>
    <w:rsid w:val="00982299"/>
    <w:rsid w:val="00983B94"/>
    <w:rsid w:val="00987771"/>
    <w:rsid w:val="00987CAA"/>
    <w:rsid w:val="00994DE8"/>
    <w:rsid w:val="009B1BC3"/>
    <w:rsid w:val="009B61D7"/>
    <w:rsid w:val="009B67FD"/>
    <w:rsid w:val="009B6940"/>
    <w:rsid w:val="009C0518"/>
    <w:rsid w:val="009C5D3C"/>
    <w:rsid w:val="009D2D8D"/>
    <w:rsid w:val="009E0ECD"/>
    <w:rsid w:val="009E377E"/>
    <w:rsid w:val="009F0916"/>
    <w:rsid w:val="009F249E"/>
    <w:rsid w:val="009F5140"/>
    <w:rsid w:val="00A010C3"/>
    <w:rsid w:val="00A0198F"/>
    <w:rsid w:val="00A03BE6"/>
    <w:rsid w:val="00A16FB5"/>
    <w:rsid w:val="00A17F26"/>
    <w:rsid w:val="00A204D1"/>
    <w:rsid w:val="00A2582E"/>
    <w:rsid w:val="00A2608F"/>
    <w:rsid w:val="00A32E46"/>
    <w:rsid w:val="00A402EF"/>
    <w:rsid w:val="00A42C0E"/>
    <w:rsid w:val="00A43082"/>
    <w:rsid w:val="00A43307"/>
    <w:rsid w:val="00A46245"/>
    <w:rsid w:val="00A5297F"/>
    <w:rsid w:val="00A56B5F"/>
    <w:rsid w:val="00A7001E"/>
    <w:rsid w:val="00A723C3"/>
    <w:rsid w:val="00A74574"/>
    <w:rsid w:val="00A74A79"/>
    <w:rsid w:val="00A76DE2"/>
    <w:rsid w:val="00A83285"/>
    <w:rsid w:val="00A873C6"/>
    <w:rsid w:val="00A90530"/>
    <w:rsid w:val="00AA3DB4"/>
    <w:rsid w:val="00AA5B29"/>
    <w:rsid w:val="00AB13A6"/>
    <w:rsid w:val="00AB1942"/>
    <w:rsid w:val="00AB383D"/>
    <w:rsid w:val="00AD022D"/>
    <w:rsid w:val="00AD0AAC"/>
    <w:rsid w:val="00AE17E9"/>
    <w:rsid w:val="00AE1A29"/>
    <w:rsid w:val="00AF1E0F"/>
    <w:rsid w:val="00AF4D35"/>
    <w:rsid w:val="00AF5A23"/>
    <w:rsid w:val="00B13146"/>
    <w:rsid w:val="00B15180"/>
    <w:rsid w:val="00B17000"/>
    <w:rsid w:val="00B17E7E"/>
    <w:rsid w:val="00B2136F"/>
    <w:rsid w:val="00B25750"/>
    <w:rsid w:val="00B25924"/>
    <w:rsid w:val="00B268A9"/>
    <w:rsid w:val="00B37663"/>
    <w:rsid w:val="00B3767E"/>
    <w:rsid w:val="00B428C5"/>
    <w:rsid w:val="00B444BC"/>
    <w:rsid w:val="00B502D8"/>
    <w:rsid w:val="00B50A50"/>
    <w:rsid w:val="00B53B4D"/>
    <w:rsid w:val="00B5420F"/>
    <w:rsid w:val="00B6029E"/>
    <w:rsid w:val="00B77962"/>
    <w:rsid w:val="00B80F86"/>
    <w:rsid w:val="00B84126"/>
    <w:rsid w:val="00B85FFA"/>
    <w:rsid w:val="00BA2CF8"/>
    <w:rsid w:val="00BA43E5"/>
    <w:rsid w:val="00BA742B"/>
    <w:rsid w:val="00BB49C4"/>
    <w:rsid w:val="00BB5BE4"/>
    <w:rsid w:val="00BC0675"/>
    <w:rsid w:val="00BC1EA9"/>
    <w:rsid w:val="00BC7E0D"/>
    <w:rsid w:val="00BD1FEA"/>
    <w:rsid w:val="00BD44A1"/>
    <w:rsid w:val="00BE24DF"/>
    <w:rsid w:val="00BE2D6B"/>
    <w:rsid w:val="00BE4EEF"/>
    <w:rsid w:val="00BE55C9"/>
    <w:rsid w:val="00BF263C"/>
    <w:rsid w:val="00BF2B91"/>
    <w:rsid w:val="00C03D77"/>
    <w:rsid w:val="00C04AC0"/>
    <w:rsid w:val="00C1054F"/>
    <w:rsid w:val="00C2087E"/>
    <w:rsid w:val="00C24B90"/>
    <w:rsid w:val="00C26AC4"/>
    <w:rsid w:val="00C26C3F"/>
    <w:rsid w:val="00C305A7"/>
    <w:rsid w:val="00C32A65"/>
    <w:rsid w:val="00C363B8"/>
    <w:rsid w:val="00C376B4"/>
    <w:rsid w:val="00C45580"/>
    <w:rsid w:val="00C5473C"/>
    <w:rsid w:val="00C55D32"/>
    <w:rsid w:val="00C63C78"/>
    <w:rsid w:val="00C70A9C"/>
    <w:rsid w:val="00C70CDF"/>
    <w:rsid w:val="00C82404"/>
    <w:rsid w:val="00C92494"/>
    <w:rsid w:val="00C9425D"/>
    <w:rsid w:val="00CA214A"/>
    <w:rsid w:val="00CA36F2"/>
    <w:rsid w:val="00CB4197"/>
    <w:rsid w:val="00CB7334"/>
    <w:rsid w:val="00CB773D"/>
    <w:rsid w:val="00CB7D6F"/>
    <w:rsid w:val="00CC1DB2"/>
    <w:rsid w:val="00CC27C1"/>
    <w:rsid w:val="00CD7E13"/>
    <w:rsid w:val="00CE3AF4"/>
    <w:rsid w:val="00CE4CEB"/>
    <w:rsid w:val="00CE567B"/>
    <w:rsid w:val="00CF3973"/>
    <w:rsid w:val="00D1186A"/>
    <w:rsid w:val="00D142B3"/>
    <w:rsid w:val="00D152FF"/>
    <w:rsid w:val="00D204CF"/>
    <w:rsid w:val="00D20AF2"/>
    <w:rsid w:val="00D2277F"/>
    <w:rsid w:val="00D24B2E"/>
    <w:rsid w:val="00D30C3C"/>
    <w:rsid w:val="00D330FE"/>
    <w:rsid w:val="00D3730D"/>
    <w:rsid w:val="00D40A4D"/>
    <w:rsid w:val="00D43AB5"/>
    <w:rsid w:val="00D44A0D"/>
    <w:rsid w:val="00D5272C"/>
    <w:rsid w:val="00D5773D"/>
    <w:rsid w:val="00D63E9B"/>
    <w:rsid w:val="00D66171"/>
    <w:rsid w:val="00D6673F"/>
    <w:rsid w:val="00D84981"/>
    <w:rsid w:val="00D9376A"/>
    <w:rsid w:val="00D95AEB"/>
    <w:rsid w:val="00D97328"/>
    <w:rsid w:val="00DA1D12"/>
    <w:rsid w:val="00DA51A6"/>
    <w:rsid w:val="00DB18C1"/>
    <w:rsid w:val="00DC0655"/>
    <w:rsid w:val="00DC1AF5"/>
    <w:rsid w:val="00DC3FAA"/>
    <w:rsid w:val="00DC638D"/>
    <w:rsid w:val="00DD00A8"/>
    <w:rsid w:val="00DD364F"/>
    <w:rsid w:val="00DD3C3F"/>
    <w:rsid w:val="00DD4347"/>
    <w:rsid w:val="00DD6004"/>
    <w:rsid w:val="00DD6349"/>
    <w:rsid w:val="00DD64E9"/>
    <w:rsid w:val="00DD6957"/>
    <w:rsid w:val="00DE25B8"/>
    <w:rsid w:val="00DE4F75"/>
    <w:rsid w:val="00DE7D61"/>
    <w:rsid w:val="00DF54BE"/>
    <w:rsid w:val="00E0700A"/>
    <w:rsid w:val="00E07F3E"/>
    <w:rsid w:val="00E14374"/>
    <w:rsid w:val="00E16EA0"/>
    <w:rsid w:val="00E32A19"/>
    <w:rsid w:val="00E33BB6"/>
    <w:rsid w:val="00E357D9"/>
    <w:rsid w:val="00E43E25"/>
    <w:rsid w:val="00E53D2F"/>
    <w:rsid w:val="00E54013"/>
    <w:rsid w:val="00E64CB7"/>
    <w:rsid w:val="00E6689A"/>
    <w:rsid w:val="00E673E6"/>
    <w:rsid w:val="00E76731"/>
    <w:rsid w:val="00E82875"/>
    <w:rsid w:val="00E86B5B"/>
    <w:rsid w:val="00E87B29"/>
    <w:rsid w:val="00E91698"/>
    <w:rsid w:val="00EA691B"/>
    <w:rsid w:val="00ED06BE"/>
    <w:rsid w:val="00ED561E"/>
    <w:rsid w:val="00ED6465"/>
    <w:rsid w:val="00EE6490"/>
    <w:rsid w:val="00EF4676"/>
    <w:rsid w:val="00EF684E"/>
    <w:rsid w:val="00EF755C"/>
    <w:rsid w:val="00F0095B"/>
    <w:rsid w:val="00F0465E"/>
    <w:rsid w:val="00F05085"/>
    <w:rsid w:val="00F079E2"/>
    <w:rsid w:val="00F10869"/>
    <w:rsid w:val="00F10C57"/>
    <w:rsid w:val="00F20078"/>
    <w:rsid w:val="00F30F61"/>
    <w:rsid w:val="00F31993"/>
    <w:rsid w:val="00F3349A"/>
    <w:rsid w:val="00F35812"/>
    <w:rsid w:val="00F35AA4"/>
    <w:rsid w:val="00F40BF4"/>
    <w:rsid w:val="00F4241A"/>
    <w:rsid w:val="00F433D2"/>
    <w:rsid w:val="00F51A25"/>
    <w:rsid w:val="00F51B01"/>
    <w:rsid w:val="00F522B3"/>
    <w:rsid w:val="00F54987"/>
    <w:rsid w:val="00F67471"/>
    <w:rsid w:val="00F72257"/>
    <w:rsid w:val="00F762C2"/>
    <w:rsid w:val="00F76A6A"/>
    <w:rsid w:val="00F806C4"/>
    <w:rsid w:val="00F80B63"/>
    <w:rsid w:val="00F80E72"/>
    <w:rsid w:val="00F96816"/>
    <w:rsid w:val="00F96E7E"/>
    <w:rsid w:val="00F978A5"/>
    <w:rsid w:val="00FA5E2B"/>
    <w:rsid w:val="00FA7F80"/>
    <w:rsid w:val="00FB7BB1"/>
    <w:rsid w:val="00FC0774"/>
    <w:rsid w:val="00FC39B2"/>
    <w:rsid w:val="00FC57F6"/>
    <w:rsid w:val="00FC772B"/>
    <w:rsid w:val="00FD145A"/>
    <w:rsid w:val="00FE776F"/>
    <w:rsid w:val="00FF2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B4C81"/>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B25750"/>
    <w:rPr>
      <w:rFonts w:ascii="Tahoma" w:hAnsi="Tahoma" w:cs="Tahoma"/>
      <w:sz w:val="16"/>
      <w:szCs w:val="16"/>
    </w:rPr>
  </w:style>
  <w:style w:type="character" w:customStyle="1" w:styleId="TextodebaloChar">
    <w:name w:val="Texto de balão Char"/>
    <w:basedOn w:val="Fontepargpadro"/>
    <w:link w:val="Textodebalo"/>
    <w:uiPriority w:val="99"/>
    <w:semiHidden/>
    <w:locked/>
    <w:rsid w:val="00B25750"/>
    <w:rPr>
      <w:rFonts w:ascii="Tahoma" w:hAnsi="Tahoma" w:cs="Tahoma"/>
      <w:sz w:val="16"/>
      <w:szCs w:val="16"/>
    </w:rPr>
  </w:style>
  <w:style w:type="paragraph" w:styleId="Cabealho">
    <w:name w:val="header"/>
    <w:basedOn w:val="Normal"/>
    <w:link w:val="CabealhoChar"/>
    <w:rsid w:val="00F806C4"/>
    <w:pPr>
      <w:tabs>
        <w:tab w:val="center" w:pos="4419"/>
        <w:tab w:val="right" w:pos="8838"/>
      </w:tabs>
    </w:pPr>
  </w:style>
  <w:style w:type="character" w:customStyle="1" w:styleId="CabealhoChar">
    <w:name w:val="Cabeçalho Char"/>
    <w:basedOn w:val="Fontepargpadro"/>
    <w:link w:val="Cabealho"/>
    <w:locked/>
    <w:rsid w:val="00F806C4"/>
    <w:rPr>
      <w:rFonts w:ascii="Times New Roman" w:hAnsi="Times New Roman"/>
      <w:sz w:val="24"/>
      <w:lang w:eastAsia="pt-BR"/>
    </w:rPr>
  </w:style>
  <w:style w:type="paragraph" w:styleId="Rodap">
    <w:name w:val="footer"/>
    <w:basedOn w:val="Normal"/>
    <w:link w:val="RodapChar"/>
    <w:semiHidden/>
    <w:rsid w:val="00F806C4"/>
    <w:pPr>
      <w:tabs>
        <w:tab w:val="center" w:pos="4419"/>
        <w:tab w:val="right" w:pos="8838"/>
      </w:tabs>
    </w:pPr>
  </w:style>
  <w:style w:type="character" w:customStyle="1" w:styleId="RodapChar">
    <w:name w:val="Rodapé Char"/>
    <w:basedOn w:val="Fontepargpadro"/>
    <w:link w:val="Rodap"/>
    <w:semiHidden/>
    <w:locked/>
    <w:rsid w:val="00F806C4"/>
    <w:rPr>
      <w:rFonts w:ascii="Times New Roman" w:hAnsi="Times New Roman"/>
      <w:sz w:val="24"/>
      <w:lang w:eastAsia="pt-BR"/>
    </w:rPr>
  </w:style>
  <w:style w:type="character" w:styleId="Nmerodepgina">
    <w:name w:val="page number"/>
    <w:basedOn w:val="Fontepargpadro"/>
    <w:uiPriority w:val="99"/>
    <w:semiHidden/>
    <w:rsid w:val="00F806C4"/>
    <w:rPr>
      <w:rFonts w:cs="Times New Roman"/>
    </w:rPr>
  </w:style>
  <w:style w:type="character" w:styleId="Hyperlink">
    <w:name w:val="Hyperlink"/>
    <w:basedOn w:val="Fontepargpadro"/>
    <w:uiPriority w:val="99"/>
    <w:semiHidden/>
    <w:rsid w:val="00F806C4"/>
    <w:rPr>
      <w:rFonts w:cs="Times New Roman"/>
      <w:color w:val="0000FF"/>
      <w:u w:val="single"/>
    </w:rPr>
  </w:style>
  <w:style w:type="paragraph" w:styleId="Corpodetexto">
    <w:name w:val="Body Text"/>
    <w:basedOn w:val="Normal"/>
    <w:link w:val="CorpodetextoChar"/>
    <w:uiPriority w:val="99"/>
    <w:semiHidden/>
    <w:rsid w:val="00F806C4"/>
    <w:pPr>
      <w:tabs>
        <w:tab w:val="left" w:pos="1418"/>
        <w:tab w:val="left" w:pos="4536"/>
      </w:tabs>
      <w:spacing w:line="252" w:lineRule="auto"/>
      <w:jc w:val="both"/>
    </w:pPr>
    <w:rPr>
      <w:rFonts w:ascii="Times New (W1)" w:hAnsi="Times New (W1)"/>
      <w:szCs w:val="20"/>
    </w:rPr>
  </w:style>
  <w:style w:type="character" w:customStyle="1" w:styleId="CorpodetextoChar">
    <w:name w:val="Corpo de texto Char"/>
    <w:basedOn w:val="Fontepargpadro"/>
    <w:link w:val="Corpodetexto"/>
    <w:uiPriority w:val="99"/>
    <w:semiHidden/>
    <w:locked/>
    <w:rsid w:val="00F806C4"/>
    <w:rPr>
      <w:rFonts w:ascii="Times New (W1)" w:hAnsi="Times New (W1)"/>
      <w:sz w:val="20"/>
      <w:lang w:eastAsia="pt-BR"/>
    </w:rPr>
  </w:style>
  <w:style w:type="paragraph" w:styleId="Textodenotaderodap">
    <w:name w:val="footnote text"/>
    <w:basedOn w:val="Normal"/>
    <w:link w:val="TextodenotaderodapChar"/>
    <w:uiPriority w:val="99"/>
    <w:semiHidden/>
    <w:rsid w:val="00F806C4"/>
    <w:pPr>
      <w:jc w:val="both"/>
    </w:pPr>
    <w:rPr>
      <w:sz w:val="20"/>
      <w:szCs w:val="20"/>
    </w:rPr>
  </w:style>
  <w:style w:type="character" w:customStyle="1" w:styleId="TextodenotaderodapChar">
    <w:name w:val="Texto de nota de rodapé Char"/>
    <w:basedOn w:val="Fontepargpadro"/>
    <w:link w:val="Textodenotaderodap"/>
    <w:uiPriority w:val="99"/>
    <w:semiHidden/>
    <w:locked/>
    <w:rsid w:val="00F806C4"/>
    <w:rPr>
      <w:rFonts w:ascii="Times New Roman" w:hAnsi="Times New Roman"/>
      <w:sz w:val="20"/>
      <w:lang w:eastAsia="pt-BR"/>
    </w:rPr>
  </w:style>
  <w:style w:type="character" w:styleId="Refdenotaderodap">
    <w:name w:val="footnote reference"/>
    <w:basedOn w:val="Fontepargpadro"/>
    <w:uiPriority w:val="99"/>
    <w:semiHidden/>
    <w:rsid w:val="00F806C4"/>
    <w:rPr>
      <w:rFonts w:cs="Times New Roman"/>
      <w:vertAlign w:val="superscript"/>
    </w:rPr>
  </w:style>
  <w:style w:type="paragraph" w:styleId="Recuodecorpodetexto">
    <w:name w:val="Body Text Indent"/>
    <w:basedOn w:val="Normal"/>
    <w:link w:val="RecuodecorpodetextoChar"/>
    <w:uiPriority w:val="99"/>
    <w:semiHidden/>
    <w:rsid w:val="00F806C4"/>
    <w:pPr>
      <w:spacing w:line="22" w:lineRule="atLeast"/>
      <w:ind w:left="4536"/>
      <w:jc w:val="both"/>
    </w:pPr>
    <w:rPr>
      <w:szCs w:val="20"/>
    </w:rPr>
  </w:style>
  <w:style w:type="character" w:customStyle="1" w:styleId="RecuodecorpodetextoChar">
    <w:name w:val="Recuo de corpo de texto Char"/>
    <w:basedOn w:val="Fontepargpadro"/>
    <w:link w:val="Recuodecorpodetexto"/>
    <w:uiPriority w:val="99"/>
    <w:semiHidden/>
    <w:locked/>
    <w:rsid w:val="00F806C4"/>
    <w:rPr>
      <w:rFonts w:ascii="Times New Roman" w:hAnsi="Times New Roman"/>
      <w:sz w:val="20"/>
      <w:lang w:eastAsia="pt-BR"/>
    </w:rPr>
  </w:style>
  <w:style w:type="paragraph" w:customStyle="1" w:styleId="Exmo">
    <w:name w:val="Exmo"/>
    <w:basedOn w:val="Normal"/>
    <w:uiPriority w:val="99"/>
    <w:rsid w:val="00F806C4"/>
    <w:pPr>
      <w:spacing w:after="120" w:line="360" w:lineRule="auto"/>
      <w:jc w:val="both"/>
    </w:pPr>
    <w:rPr>
      <w:szCs w:val="20"/>
    </w:rPr>
  </w:style>
  <w:style w:type="paragraph" w:styleId="Corpodetexto2">
    <w:name w:val="Body Text 2"/>
    <w:basedOn w:val="Normal"/>
    <w:link w:val="Corpodetexto2Char"/>
    <w:uiPriority w:val="99"/>
    <w:semiHidden/>
    <w:rsid w:val="00F806C4"/>
    <w:pPr>
      <w:tabs>
        <w:tab w:val="left" w:pos="1440"/>
        <w:tab w:val="left" w:pos="3544"/>
      </w:tabs>
      <w:jc w:val="both"/>
    </w:pPr>
    <w:rPr>
      <w:i/>
      <w:iCs/>
    </w:rPr>
  </w:style>
  <w:style w:type="character" w:customStyle="1" w:styleId="Corpodetexto2Char">
    <w:name w:val="Corpo de texto 2 Char"/>
    <w:basedOn w:val="Fontepargpadro"/>
    <w:link w:val="Corpodetexto2"/>
    <w:uiPriority w:val="99"/>
    <w:semiHidden/>
    <w:locked/>
    <w:rsid w:val="00F806C4"/>
    <w:rPr>
      <w:rFonts w:ascii="Times New Roman" w:hAnsi="Times New Roman"/>
      <w:i/>
      <w:sz w:val="24"/>
      <w:lang w:eastAsia="pt-BR"/>
    </w:rPr>
  </w:style>
  <w:style w:type="paragraph" w:styleId="NormalWeb">
    <w:name w:val="Normal (Web)"/>
    <w:basedOn w:val="Normal"/>
    <w:uiPriority w:val="99"/>
    <w:semiHidden/>
    <w:rsid w:val="00F806C4"/>
    <w:pPr>
      <w:spacing w:before="100" w:beforeAutospacing="1" w:after="100" w:afterAutospacing="1"/>
    </w:pPr>
  </w:style>
  <w:style w:type="paragraph" w:styleId="PargrafodaLista">
    <w:name w:val="List Paragraph"/>
    <w:basedOn w:val="Normal"/>
    <w:uiPriority w:val="99"/>
    <w:qFormat/>
    <w:rsid w:val="00F806C4"/>
    <w:pPr>
      <w:ind w:left="720"/>
    </w:pPr>
    <w:rPr>
      <w:rFonts w:ascii="Calibri" w:hAnsi="Calibri" w:cs="Calibri"/>
      <w:sz w:val="22"/>
      <w:szCs w:val="22"/>
    </w:rPr>
  </w:style>
  <w:style w:type="paragraph" w:customStyle="1" w:styleId="Paragrafo2">
    <w:name w:val="Paragrafo2"/>
    <w:basedOn w:val="Normal"/>
    <w:uiPriority w:val="99"/>
    <w:rsid w:val="00F806C4"/>
    <w:pPr>
      <w:tabs>
        <w:tab w:val="left" w:pos="1588"/>
      </w:tabs>
      <w:spacing w:before="120" w:after="120"/>
      <w:jc w:val="both"/>
    </w:pPr>
    <w:rPr>
      <w:szCs w:val="20"/>
    </w:rPr>
  </w:style>
  <w:style w:type="character" w:customStyle="1" w:styleId="qterm">
    <w:name w:val="qterm"/>
    <w:basedOn w:val="Fontepargpadro"/>
    <w:uiPriority w:val="99"/>
    <w:rsid w:val="00B25750"/>
    <w:rPr>
      <w:rFonts w:cs="Times New Roman"/>
    </w:rPr>
  </w:style>
  <w:style w:type="character" w:customStyle="1" w:styleId="EstiloDeEmail37">
    <w:name w:val="EstiloDeEmail37"/>
    <w:basedOn w:val="Fontepargpadro"/>
    <w:uiPriority w:val="99"/>
    <w:semiHidden/>
    <w:rsid w:val="00472540"/>
    <w:rPr>
      <w:rFonts w:ascii="Verdana" w:hAnsi="Verdana" w:cs="Times New Roman"/>
      <w:color w:val="auto"/>
      <w:sz w:val="28"/>
      <w:szCs w:val="28"/>
      <w:u w:val="none"/>
    </w:rPr>
  </w:style>
  <w:style w:type="character" w:styleId="TextodoEspaoReservado">
    <w:name w:val="Placeholder Text"/>
    <w:basedOn w:val="Fontepargpadro"/>
    <w:uiPriority w:val="99"/>
    <w:semiHidden/>
    <w:rsid w:val="00756620"/>
    <w:rPr>
      <w:color w:val="808080"/>
    </w:rPr>
  </w:style>
  <w:style w:type="table" w:styleId="Tabelacomgrade">
    <w:name w:val="Table Grid"/>
    <w:basedOn w:val="Tabelanormal"/>
    <w:locked/>
    <w:rsid w:val="00E33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CC2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CC27C1"/>
    <w:rPr>
      <w:rFonts w:ascii="Courier New" w:eastAsia="Times New Roman" w:hAnsi="Courier New" w:cs="Courier New"/>
      <w:sz w:val="20"/>
      <w:szCs w:val="20"/>
    </w:rPr>
  </w:style>
  <w:style w:type="paragraph" w:customStyle="1" w:styleId="Default">
    <w:name w:val="Default"/>
    <w:rsid w:val="0056566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B4C81"/>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B25750"/>
    <w:rPr>
      <w:rFonts w:ascii="Tahoma" w:hAnsi="Tahoma" w:cs="Tahoma"/>
      <w:sz w:val="16"/>
      <w:szCs w:val="16"/>
    </w:rPr>
  </w:style>
  <w:style w:type="character" w:customStyle="1" w:styleId="TextodebaloChar">
    <w:name w:val="Texto de balão Char"/>
    <w:basedOn w:val="Fontepargpadro"/>
    <w:link w:val="Textodebalo"/>
    <w:uiPriority w:val="99"/>
    <w:semiHidden/>
    <w:locked/>
    <w:rsid w:val="00B25750"/>
    <w:rPr>
      <w:rFonts w:ascii="Tahoma" w:hAnsi="Tahoma" w:cs="Tahoma"/>
      <w:sz w:val="16"/>
      <w:szCs w:val="16"/>
    </w:rPr>
  </w:style>
  <w:style w:type="paragraph" w:styleId="Cabealho">
    <w:name w:val="header"/>
    <w:basedOn w:val="Normal"/>
    <w:link w:val="CabealhoChar"/>
    <w:rsid w:val="00F806C4"/>
    <w:pPr>
      <w:tabs>
        <w:tab w:val="center" w:pos="4419"/>
        <w:tab w:val="right" w:pos="8838"/>
      </w:tabs>
    </w:pPr>
  </w:style>
  <w:style w:type="character" w:customStyle="1" w:styleId="CabealhoChar">
    <w:name w:val="Cabeçalho Char"/>
    <w:basedOn w:val="Fontepargpadro"/>
    <w:link w:val="Cabealho"/>
    <w:locked/>
    <w:rsid w:val="00F806C4"/>
    <w:rPr>
      <w:rFonts w:ascii="Times New Roman" w:hAnsi="Times New Roman"/>
      <w:sz w:val="24"/>
      <w:lang w:eastAsia="pt-BR"/>
    </w:rPr>
  </w:style>
  <w:style w:type="paragraph" w:styleId="Rodap">
    <w:name w:val="footer"/>
    <w:basedOn w:val="Normal"/>
    <w:link w:val="RodapChar"/>
    <w:semiHidden/>
    <w:rsid w:val="00F806C4"/>
    <w:pPr>
      <w:tabs>
        <w:tab w:val="center" w:pos="4419"/>
        <w:tab w:val="right" w:pos="8838"/>
      </w:tabs>
    </w:pPr>
  </w:style>
  <w:style w:type="character" w:customStyle="1" w:styleId="RodapChar">
    <w:name w:val="Rodapé Char"/>
    <w:basedOn w:val="Fontepargpadro"/>
    <w:link w:val="Rodap"/>
    <w:semiHidden/>
    <w:locked/>
    <w:rsid w:val="00F806C4"/>
    <w:rPr>
      <w:rFonts w:ascii="Times New Roman" w:hAnsi="Times New Roman"/>
      <w:sz w:val="24"/>
      <w:lang w:eastAsia="pt-BR"/>
    </w:rPr>
  </w:style>
  <w:style w:type="character" w:styleId="Nmerodepgina">
    <w:name w:val="page number"/>
    <w:basedOn w:val="Fontepargpadro"/>
    <w:uiPriority w:val="99"/>
    <w:semiHidden/>
    <w:rsid w:val="00F806C4"/>
    <w:rPr>
      <w:rFonts w:cs="Times New Roman"/>
    </w:rPr>
  </w:style>
  <w:style w:type="character" w:styleId="Hyperlink">
    <w:name w:val="Hyperlink"/>
    <w:basedOn w:val="Fontepargpadro"/>
    <w:uiPriority w:val="99"/>
    <w:semiHidden/>
    <w:rsid w:val="00F806C4"/>
    <w:rPr>
      <w:rFonts w:cs="Times New Roman"/>
      <w:color w:val="0000FF"/>
      <w:u w:val="single"/>
    </w:rPr>
  </w:style>
  <w:style w:type="paragraph" w:styleId="Corpodetexto">
    <w:name w:val="Body Text"/>
    <w:basedOn w:val="Normal"/>
    <w:link w:val="CorpodetextoChar"/>
    <w:uiPriority w:val="99"/>
    <w:semiHidden/>
    <w:rsid w:val="00F806C4"/>
    <w:pPr>
      <w:tabs>
        <w:tab w:val="left" w:pos="1418"/>
        <w:tab w:val="left" w:pos="4536"/>
      </w:tabs>
      <w:spacing w:line="252" w:lineRule="auto"/>
      <w:jc w:val="both"/>
    </w:pPr>
    <w:rPr>
      <w:rFonts w:ascii="Times New (W1)" w:hAnsi="Times New (W1)"/>
      <w:szCs w:val="20"/>
    </w:rPr>
  </w:style>
  <w:style w:type="character" w:customStyle="1" w:styleId="CorpodetextoChar">
    <w:name w:val="Corpo de texto Char"/>
    <w:basedOn w:val="Fontepargpadro"/>
    <w:link w:val="Corpodetexto"/>
    <w:uiPriority w:val="99"/>
    <w:semiHidden/>
    <w:locked/>
    <w:rsid w:val="00F806C4"/>
    <w:rPr>
      <w:rFonts w:ascii="Times New (W1)" w:hAnsi="Times New (W1)"/>
      <w:sz w:val="20"/>
      <w:lang w:eastAsia="pt-BR"/>
    </w:rPr>
  </w:style>
  <w:style w:type="paragraph" w:styleId="Textodenotaderodap">
    <w:name w:val="footnote text"/>
    <w:basedOn w:val="Normal"/>
    <w:link w:val="TextodenotaderodapChar"/>
    <w:uiPriority w:val="99"/>
    <w:semiHidden/>
    <w:rsid w:val="00F806C4"/>
    <w:pPr>
      <w:jc w:val="both"/>
    </w:pPr>
    <w:rPr>
      <w:sz w:val="20"/>
      <w:szCs w:val="20"/>
    </w:rPr>
  </w:style>
  <w:style w:type="character" w:customStyle="1" w:styleId="TextodenotaderodapChar">
    <w:name w:val="Texto de nota de rodapé Char"/>
    <w:basedOn w:val="Fontepargpadro"/>
    <w:link w:val="Textodenotaderodap"/>
    <w:uiPriority w:val="99"/>
    <w:semiHidden/>
    <w:locked/>
    <w:rsid w:val="00F806C4"/>
    <w:rPr>
      <w:rFonts w:ascii="Times New Roman" w:hAnsi="Times New Roman"/>
      <w:sz w:val="20"/>
      <w:lang w:eastAsia="pt-BR"/>
    </w:rPr>
  </w:style>
  <w:style w:type="character" w:styleId="Refdenotaderodap">
    <w:name w:val="footnote reference"/>
    <w:basedOn w:val="Fontepargpadro"/>
    <w:uiPriority w:val="99"/>
    <w:semiHidden/>
    <w:rsid w:val="00F806C4"/>
    <w:rPr>
      <w:rFonts w:cs="Times New Roman"/>
      <w:vertAlign w:val="superscript"/>
    </w:rPr>
  </w:style>
  <w:style w:type="paragraph" w:styleId="Recuodecorpodetexto">
    <w:name w:val="Body Text Indent"/>
    <w:basedOn w:val="Normal"/>
    <w:link w:val="RecuodecorpodetextoChar"/>
    <w:uiPriority w:val="99"/>
    <w:semiHidden/>
    <w:rsid w:val="00F806C4"/>
    <w:pPr>
      <w:spacing w:line="22" w:lineRule="atLeast"/>
      <w:ind w:left="4536"/>
      <w:jc w:val="both"/>
    </w:pPr>
    <w:rPr>
      <w:szCs w:val="20"/>
    </w:rPr>
  </w:style>
  <w:style w:type="character" w:customStyle="1" w:styleId="RecuodecorpodetextoChar">
    <w:name w:val="Recuo de corpo de texto Char"/>
    <w:basedOn w:val="Fontepargpadro"/>
    <w:link w:val="Recuodecorpodetexto"/>
    <w:uiPriority w:val="99"/>
    <w:semiHidden/>
    <w:locked/>
    <w:rsid w:val="00F806C4"/>
    <w:rPr>
      <w:rFonts w:ascii="Times New Roman" w:hAnsi="Times New Roman"/>
      <w:sz w:val="20"/>
      <w:lang w:eastAsia="pt-BR"/>
    </w:rPr>
  </w:style>
  <w:style w:type="paragraph" w:customStyle="1" w:styleId="Exmo">
    <w:name w:val="Exmo"/>
    <w:basedOn w:val="Normal"/>
    <w:uiPriority w:val="99"/>
    <w:rsid w:val="00F806C4"/>
    <w:pPr>
      <w:spacing w:after="120" w:line="360" w:lineRule="auto"/>
      <w:jc w:val="both"/>
    </w:pPr>
    <w:rPr>
      <w:szCs w:val="20"/>
    </w:rPr>
  </w:style>
  <w:style w:type="paragraph" w:styleId="Corpodetexto2">
    <w:name w:val="Body Text 2"/>
    <w:basedOn w:val="Normal"/>
    <w:link w:val="Corpodetexto2Char"/>
    <w:uiPriority w:val="99"/>
    <w:semiHidden/>
    <w:rsid w:val="00F806C4"/>
    <w:pPr>
      <w:tabs>
        <w:tab w:val="left" w:pos="1440"/>
        <w:tab w:val="left" w:pos="3544"/>
      </w:tabs>
      <w:jc w:val="both"/>
    </w:pPr>
    <w:rPr>
      <w:i/>
      <w:iCs/>
    </w:rPr>
  </w:style>
  <w:style w:type="character" w:customStyle="1" w:styleId="Corpodetexto2Char">
    <w:name w:val="Corpo de texto 2 Char"/>
    <w:basedOn w:val="Fontepargpadro"/>
    <w:link w:val="Corpodetexto2"/>
    <w:uiPriority w:val="99"/>
    <w:semiHidden/>
    <w:locked/>
    <w:rsid w:val="00F806C4"/>
    <w:rPr>
      <w:rFonts w:ascii="Times New Roman" w:hAnsi="Times New Roman"/>
      <w:i/>
      <w:sz w:val="24"/>
      <w:lang w:eastAsia="pt-BR"/>
    </w:rPr>
  </w:style>
  <w:style w:type="paragraph" w:styleId="NormalWeb">
    <w:name w:val="Normal (Web)"/>
    <w:basedOn w:val="Normal"/>
    <w:uiPriority w:val="99"/>
    <w:semiHidden/>
    <w:rsid w:val="00F806C4"/>
    <w:pPr>
      <w:spacing w:before="100" w:beforeAutospacing="1" w:after="100" w:afterAutospacing="1"/>
    </w:pPr>
  </w:style>
  <w:style w:type="paragraph" w:styleId="PargrafodaLista">
    <w:name w:val="List Paragraph"/>
    <w:basedOn w:val="Normal"/>
    <w:uiPriority w:val="99"/>
    <w:qFormat/>
    <w:rsid w:val="00F806C4"/>
    <w:pPr>
      <w:ind w:left="720"/>
    </w:pPr>
    <w:rPr>
      <w:rFonts w:ascii="Calibri" w:hAnsi="Calibri" w:cs="Calibri"/>
      <w:sz w:val="22"/>
      <w:szCs w:val="22"/>
    </w:rPr>
  </w:style>
  <w:style w:type="paragraph" w:customStyle="1" w:styleId="Paragrafo2">
    <w:name w:val="Paragrafo2"/>
    <w:basedOn w:val="Normal"/>
    <w:uiPriority w:val="99"/>
    <w:rsid w:val="00F806C4"/>
    <w:pPr>
      <w:tabs>
        <w:tab w:val="left" w:pos="1588"/>
      </w:tabs>
      <w:spacing w:before="120" w:after="120"/>
      <w:jc w:val="both"/>
    </w:pPr>
    <w:rPr>
      <w:szCs w:val="20"/>
    </w:rPr>
  </w:style>
  <w:style w:type="character" w:customStyle="1" w:styleId="qterm">
    <w:name w:val="qterm"/>
    <w:basedOn w:val="Fontepargpadro"/>
    <w:uiPriority w:val="99"/>
    <w:rsid w:val="00B25750"/>
    <w:rPr>
      <w:rFonts w:cs="Times New Roman"/>
    </w:rPr>
  </w:style>
  <w:style w:type="character" w:customStyle="1" w:styleId="EstiloDeEmail37">
    <w:name w:val="EstiloDeEmail37"/>
    <w:basedOn w:val="Fontepargpadro"/>
    <w:uiPriority w:val="99"/>
    <w:semiHidden/>
    <w:rsid w:val="00472540"/>
    <w:rPr>
      <w:rFonts w:ascii="Verdana" w:hAnsi="Verdana" w:cs="Times New Roman"/>
      <w:color w:val="auto"/>
      <w:sz w:val="28"/>
      <w:szCs w:val="28"/>
      <w:u w:val="none"/>
    </w:rPr>
  </w:style>
  <w:style w:type="character" w:styleId="TextodoEspaoReservado">
    <w:name w:val="Placeholder Text"/>
    <w:basedOn w:val="Fontepargpadro"/>
    <w:uiPriority w:val="99"/>
    <w:semiHidden/>
    <w:rsid w:val="00756620"/>
    <w:rPr>
      <w:color w:val="808080"/>
    </w:rPr>
  </w:style>
  <w:style w:type="table" w:styleId="Tabelacomgrade">
    <w:name w:val="Table Grid"/>
    <w:basedOn w:val="Tabelanormal"/>
    <w:locked/>
    <w:rsid w:val="00E33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CC2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CC27C1"/>
    <w:rPr>
      <w:rFonts w:ascii="Courier New" w:eastAsia="Times New Roman" w:hAnsi="Courier New" w:cs="Courier New"/>
      <w:sz w:val="20"/>
      <w:szCs w:val="20"/>
    </w:rPr>
  </w:style>
  <w:style w:type="paragraph" w:customStyle="1" w:styleId="Default">
    <w:name w:val="Default"/>
    <w:rsid w:val="0056566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09816">
      <w:bodyDiv w:val="1"/>
      <w:marLeft w:val="0"/>
      <w:marRight w:val="0"/>
      <w:marTop w:val="0"/>
      <w:marBottom w:val="0"/>
      <w:divBdr>
        <w:top w:val="none" w:sz="0" w:space="0" w:color="auto"/>
        <w:left w:val="none" w:sz="0" w:space="0" w:color="auto"/>
        <w:bottom w:val="none" w:sz="0" w:space="0" w:color="auto"/>
        <w:right w:val="none" w:sz="0" w:space="0" w:color="auto"/>
      </w:divBdr>
    </w:div>
    <w:div w:id="337199746">
      <w:marLeft w:val="0"/>
      <w:marRight w:val="0"/>
      <w:marTop w:val="0"/>
      <w:marBottom w:val="0"/>
      <w:divBdr>
        <w:top w:val="none" w:sz="0" w:space="0" w:color="auto"/>
        <w:left w:val="none" w:sz="0" w:space="0" w:color="auto"/>
        <w:bottom w:val="none" w:sz="0" w:space="0" w:color="auto"/>
        <w:right w:val="none" w:sz="0" w:space="0" w:color="auto"/>
      </w:divBdr>
      <w:divsChild>
        <w:div w:id="337199745">
          <w:marLeft w:val="720"/>
          <w:marRight w:val="720"/>
          <w:marTop w:val="100"/>
          <w:marBottom w:val="100"/>
          <w:divBdr>
            <w:top w:val="none" w:sz="0" w:space="0" w:color="auto"/>
            <w:left w:val="none" w:sz="0" w:space="0" w:color="auto"/>
            <w:bottom w:val="none" w:sz="0" w:space="0" w:color="auto"/>
            <w:right w:val="none" w:sz="0" w:space="0" w:color="auto"/>
          </w:divBdr>
        </w:div>
      </w:divsChild>
    </w:div>
    <w:div w:id="337199747">
      <w:marLeft w:val="0"/>
      <w:marRight w:val="0"/>
      <w:marTop w:val="0"/>
      <w:marBottom w:val="0"/>
      <w:divBdr>
        <w:top w:val="none" w:sz="0" w:space="0" w:color="auto"/>
        <w:left w:val="none" w:sz="0" w:space="0" w:color="auto"/>
        <w:bottom w:val="none" w:sz="0" w:space="0" w:color="auto"/>
        <w:right w:val="none" w:sz="0" w:space="0" w:color="auto"/>
      </w:divBdr>
    </w:div>
    <w:div w:id="1190214856">
      <w:bodyDiv w:val="1"/>
      <w:marLeft w:val="0"/>
      <w:marRight w:val="0"/>
      <w:marTop w:val="0"/>
      <w:marBottom w:val="0"/>
      <w:divBdr>
        <w:top w:val="none" w:sz="0" w:space="0" w:color="auto"/>
        <w:left w:val="none" w:sz="0" w:space="0" w:color="auto"/>
        <w:bottom w:val="none" w:sz="0" w:space="0" w:color="auto"/>
        <w:right w:val="none" w:sz="0" w:space="0" w:color="auto"/>
      </w:divBdr>
    </w:div>
    <w:div w:id="1242906084">
      <w:bodyDiv w:val="1"/>
      <w:marLeft w:val="0"/>
      <w:marRight w:val="0"/>
      <w:marTop w:val="0"/>
      <w:marBottom w:val="0"/>
      <w:divBdr>
        <w:top w:val="none" w:sz="0" w:space="0" w:color="auto"/>
        <w:left w:val="none" w:sz="0" w:space="0" w:color="auto"/>
        <w:bottom w:val="none" w:sz="0" w:space="0" w:color="auto"/>
        <w:right w:val="none" w:sz="0" w:space="0" w:color="auto"/>
      </w:divBdr>
    </w:div>
    <w:div w:id="1272974603">
      <w:bodyDiv w:val="1"/>
      <w:marLeft w:val="0"/>
      <w:marRight w:val="0"/>
      <w:marTop w:val="0"/>
      <w:marBottom w:val="0"/>
      <w:divBdr>
        <w:top w:val="none" w:sz="0" w:space="0" w:color="auto"/>
        <w:left w:val="none" w:sz="0" w:space="0" w:color="auto"/>
        <w:bottom w:val="none" w:sz="0" w:space="0" w:color="auto"/>
        <w:right w:val="none" w:sz="0" w:space="0" w:color="auto"/>
      </w:divBdr>
    </w:div>
    <w:div w:id="1299066812">
      <w:bodyDiv w:val="1"/>
      <w:marLeft w:val="0"/>
      <w:marRight w:val="0"/>
      <w:marTop w:val="0"/>
      <w:marBottom w:val="0"/>
      <w:divBdr>
        <w:top w:val="none" w:sz="0" w:space="0" w:color="auto"/>
        <w:left w:val="none" w:sz="0" w:space="0" w:color="auto"/>
        <w:bottom w:val="none" w:sz="0" w:space="0" w:color="auto"/>
        <w:right w:val="none" w:sz="0" w:space="0" w:color="auto"/>
      </w:divBdr>
    </w:div>
    <w:div w:id="1511290611">
      <w:bodyDiv w:val="1"/>
      <w:marLeft w:val="0"/>
      <w:marRight w:val="0"/>
      <w:marTop w:val="0"/>
      <w:marBottom w:val="0"/>
      <w:divBdr>
        <w:top w:val="none" w:sz="0" w:space="0" w:color="auto"/>
        <w:left w:val="none" w:sz="0" w:space="0" w:color="auto"/>
        <w:bottom w:val="none" w:sz="0" w:space="0" w:color="auto"/>
        <w:right w:val="none" w:sz="0" w:space="0" w:color="auto"/>
      </w:divBdr>
    </w:div>
    <w:div w:id="20132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3.jpg@01CF3230.7E3427C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inf.gasouza\Desktop\work\Parec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576BC64B5149A191AC4FC675EB4391"/>
        <w:category>
          <w:name w:val="Geral"/>
          <w:gallery w:val="placeholder"/>
        </w:category>
        <w:types>
          <w:type w:val="bbPlcHdr"/>
        </w:types>
        <w:behaviors>
          <w:behavior w:val="content"/>
        </w:behaviors>
        <w:guid w:val="{A0FBF0C4-D902-4BB9-B869-5517FE79FFC6}"/>
      </w:docPartPr>
      <w:docPartBody>
        <w:p w:rsidR="00385BD6" w:rsidRDefault="00061EE3" w:rsidP="00061EE3">
          <w:pPr>
            <w:pStyle w:val="65576BC64B5149A191AC4FC675EB4391"/>
          </w:pPr>
          <w:r w:rsidRPr="00C13E7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EF56BF"/>
    <w:rsid w:val="00061EE3"/>
    <w:rsid w:val="000C395D"/>
    <w:rsid w:val="001F6B67"/>
    <w:rsid w:val="0020514E"/>
    <w:rsid w:val="00267E77"/>
    <w:rsid w:val="003772FC"/>
    <w:rsid w:val="00385BD6"/>
    <w:rsid w:val="00395003"/>
    <w:rsid w:val="004B4896"/>
    <w:rsid w:val="005653BC"/>
    <w:rsid w:val="0062084B"/>
    <w:rsid w:val="0078244A"/>
    <w:rsid w:val="0081342E"/>
    <w:rsid w:val="00843998"/>
    <w:rsid w:val="008E4AB3"/>
    <w:rsid w:val="00987DFF"/>
    <w:rsid w:val="00A64F91"/>
    <w:rsid w:val="00AC34A2"/>
    <w:rsid w:val="00AF4F44"/>
    <w:rsid w:val="00BB184F"/>
    <w:rsid w:val="00CC0F83"/>
    <w:rsid w:val="00E91DE9"/>
    <w:rsid w:val="00E92A43"/>
    <w:rsid w:val="00EF56BF"/>
    <w:rsid w:val="00F036A3"/>
    <w:rsid w:val="00F04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0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61EE3"/>
    <w:rPr>
      <w:color w:val="808080"/>
    </w:rPr>
  </w:style>
  <w:style w:type="paragraph" w:customStyle="1" w:styleId="38BD10DFB92C4A2EAC5D6578948B93F2">
    <w:name w:val="38BD10DFB92C4A2EAC5D6578948B93F2"/>
    <w:rsid w:val="00395003"/>
  </w:style>
  <w:style w:type="paragraph" w:customStyle="1" w:styleId="66F0764F5BC64DD79D3DBB110FEBB476">
    <w:name w:val="66F0764F5BC64DD79D3DBB110FEBB476"/>
    <w:rsid w:val="00395003"/>
  </w:style>
  <w:style w:type="paragraph" w:customStyle="1" w:styleId="196F062692BC4D06920370B0E4CD1968">
    <w:name w:val="196F062692BC4D06920370B0E4CD1968"/>
    <w:rsid w:val="00395003"/>
  </w:style>
  <w:style w:type="paragraph" w:customStyle="1" w:styleId="A94B5A5EE0774ECABB5A984B6A93152E">
    <w:name w:val="A94B5A5EE0774ECABB5A984B6A93152E"/>
    <w:rsid w:val="00395003"/>
  </w:style>
  <w:style w:type="paragraph" w:customStyle="1" w:styleId="DF2794BB0E624A8492EB1CCF2E453C7C">
    <w:name w:val="DF2794BB0E624A8492EB1CCF2E453C7C"/>
    <w:rsid w:val="00395003"/>
  </w:style>
  <w:style w:type="paragraph" w:customStyle="1" w:styleId="679C22597F3047E3A3FCAD4A3BC9D736">
    <w:name w:val="679C22597F3047E3A3FCAD4A3BC9D736"/>
    <w:rsid w:val="00395003"/>
  </w:style>
  <w:style w:type="paragraph" w:customStyle="1" w:styleId="12C96D36C7BE4AFBB8954B242B5D59CA">
    <w:name w:val="12C96D36C7BE4AFBB8954B242B5D59CA"/>
    <w:rsid w:val="00061EE3"/>
  </w:style>
  <w:style w:type="paragraph" w:customStyle="1" w:styleId="998E9BD092E54DA2BD226A8F9E3FC91F">
    <w:name w:val="998E9BD092E54DA2BD226A8F9E3FC91F"/>
    <w:rsid w:val="00061EE3"/>
  </w:style>
  <w:style w:type="paragraph" w:customStyle="1" w:styleId="65576BC64B5149A191AC4FC675EB4391">
    <w:name w:val="65576BC64B5149A191AC4FC675EB4391"/>
    <w:rsid w:val="00061EE3"/>
  </w:style>
  <w:style w:type="paragraph" w:customStyle="1" w:styleId="E47760BC05224241B0AADD5F8D0353E7">
    <w:name w:val="E47760BC05224241B0AADD5F8D0353E7"/>
    <w:rsid w:val="00061E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r="http://schemas.openxmlformats.org/officeDocument/2006/relationships" xmlns:w="http://schemas.openxmlformats.org/wordprocessingml/2006/main"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B4C73EBC-266D-4B8B-9799-B1A9C7D6BA05}">
  <ds:schemaRefs>
    <ds:schemaRef ds:uri="http://schemas.openxmlformats.org/officeDocument/2006/relationships"/>
    <ds:schemaRef ds:uri="http://schemas.openxmlformats.org/wordprocessingml/2006/main"/>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Parecer.dotx</Template>
  <TotalTime>0</TotalTime>
  <Pages>7</Pages>
  <Words>2374</Words>
  <Characters>12822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Parecer</vt:lpstr>
    </vt:vector>
  </TitlesOfParts>
  <Company>Banco Central do Brasil</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dc:title>
  <dc:creator>Virna Menezes Carlos Barretto</dc:creator>
  <cp:lastModifiedBy>pgbcb.isaac</cp:lastModifiedBy>
  <cp:revision>2</cp:revision>
  <cp:lastPrinted>2012-05-18T21:42:00Z</cp:lastPrinted>
  <dcterms:created xsi:type="dcterms:W3CDTF">2014-02-25T19:01:00Z</dcterms:created>
  <dcterms:modified xsi:type="dcterms:W3CDTF">2014-02-25T19:01:00Z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771288142</vt:i4>
  </property>
  <property fmtid="{D5CDD505-2E9C-101B-9397-08002B2CF9AE}" pid="3" name="_NewReviewCycle">
    <vt:lpwstr/>
  </property>
  <property fmtid="{D5CDD505-2E9C-101B-9397-08002B2CF9AE}" pid="4" name="_EmailSubject">
    <vt:lpwstr>Petição INSS</vt:lpwstr>
  </property>
  <property fmtid="{D5CDD505-2E9C-101B-9397-08002B2CF9AE}" pid="5" name="_AuthorEmail">
    <vt:lpwstr>isaac.sidney@bcb.gov.br</vt:lpwstr>
  </property>
  <property fmtid="{D5CDD505-2E9C-101B-9397-08002B2CF9AE}" pid="6" name="_AuthorEmailDisplayName">
    <vt:lpwstr>Isaac Sidney Menezes Ferreira</vt:lpwstr>
  </property>
  <property fmtid="{D5CDD505-2E9C-101B-9397-08002B2CF9AE}" pid="7" name="_PreviousAdHocReviewCycleID">
    <vt:i4>1933577823</vt:i4>
  </property>
</Properties>
</file>