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5860" w:rsidRPr="001C5860" w:rsidRDefault="001C5860" w:rsidP="001C5860">
      <w:pPr>
        <w:spacing w:before="100" w:beforeAutospacing="1" w:after="100" w:afterAutospacing="1" w:line="240" w:lineRule="auto"/>
        <w:rPr>
          <w:rFonts w:ascii="Times New Roman" w:eastAsia="Times New Roman" w:hAnsi="Times New Roman" w:cs="Times New Roman"/>
          <w:sz w:val="24"/>
          <w:szCs w:val="24"/>
          <w:lang w:eastAsia="pt-BR"/>
        </w:rPr>
      </w:pPr>
      <w:r w:rsidRPr="001C5860">
        <w:rPr>
          <w:rFonts w:ascii="Times New Roman" w:eastAsia="Times New Roman" w:hAnsi="Times New Roman" w:cs="Times New Roman"/>
          <w:color w:val="000000"/>
          <w:sz w:val="27"/>
          <w:szCs w:val="27"/>
          <w:lang w:eastAsia="pt-BR"/>
        </w:rPr>
        <w:t> </w:t>
      </w:r>
    </w:p>
    <w:tbl>
      <w:tblPr>
        <w:tblW w:w="0" w:type="auto"/>
        <w:tblCellSpacing w:w="15" w:type="dxa"/>
        <w:tblCellMar>
          <w:left w:w="0" w:type="dxa"/>
          <w:right w:w="0" w:type="dxa"/>
        </w:tblCellMar>
        <w:tblLook w:val="04A0" w:firstRow="1" w:lastRow="0" w:firstColumn="1" w:lastColumn="0" w:noHBand="0" w:noVBand="1"/>
      </w:tblPr>
      <w:tblGrid>
        <w:gridCol w:w="1235"/>
        <w:gridCol w:w="7269"/>
      </w:tblGrid>
      <w:tr w:rsidR="001C5860" w:rsidRPr="000D556A" w:rsidTr="001C5860">
        <w:trPr>
          <w:tblCellSpacing w:w="15" w:type="dxa"/>
        </w:trPr>
        <w:tc>
          <w:tcPr>
            <w:tcW w:w="0" w:type="auto"/>
            <w:tcMar>
              <w:top w:w="15" w:type="dxa"/>
              <w:left w:w="15" w:type="dxa"/>
              <w:bottom w:w="15" w:type="dxa"/>
              <w:right w:w="15" w:type="dxa"/>
            </w:tcMar>
            <w:vAlign w:val="center"/>
            <w:hideMark/>
          </w:tcPr>
          <w:p w:rsidR="001C5860" w:rsidRPr="000D556A" w:rsidRDefault="001C5860" w:rsidP="001C5860">
            <w:pPr>
              <w:spacing w:before="100" w:beforeAutospacing="1" w:after="100" w:afterAutospacing="1" w:line="240" w:lineRule="auto"/>
              <w:rPr>
                <w:rFonts w:ascii="Times New Roman" w:eastAsia="Times New Roman" w:hAnsi="Times New Roman" w:cs="Times New Roman"/>
                <w:sz w:val="24"/>
                <w:szCs w:val="24"/>
                <w:lang w:eastAsia="pt-BR"/>
              </w:rPr>
            </w:pPr>
            <w:r w:rsidRPr="000D556A">
              <w:rPr>
                <w:rFonts w:ascii="Times New Roman" w:eastAsia="Times New Roman" w:hAnsi="Times New Roman" w:cs="Times New Roman"/>
                <w:color w:val="000000"/>
                <w:sz w:val="24"/>
                <w:szCs w:val="24"/>
                <w:lang w:eastAsia="pt-BR"/>
              </w:rPr>
              <w:t>Autos:</w:t>
            </w:r>
          </w:p>
        </w:tc>
        <w:tc>
          <w:tcPr>
            <w:tcW w:w="0" w:type="auto"/>
            <w:tcMar>
              <w:top w:w="15" w:type="dxa"/>
              <w:left w:w="15" w:type="dxa"/>
              <w:bottom w:w="15" w:type="dxa"/>
              <w:right w:w="15" w:type="dxa"/>
            </w:tcMar>
            <w:vAlign w:val="center"/>
            <w:hideMark/>
          </w:tcPr>
          <w:p w:rsidR="001C5860" w:rsidRPr="000D556A" w:rsidRDefault="001C5860" w:rsidP="001C5860">
            <w:pPr>
              <w:spacing w:before="100" w:beforeAutospacing="1" w:after="100" w:afterAutospacing="1" w:line="240" w:lineRule="auto"/>
              <w:rPr>
                <w:rFonts w:ascii="Times New Roman" w:eastAsia="Times New Roman" w:hAnsi="Times New Roman" w:cs="Times New Roman"/>
                <w:sz w:val="24"/>
                <w:szCs w:val="24"/>
                <w:lang w:eastAsia="pt-BR"/>
              </w:rPr>
            </w:pPr>
            <w:r w:rsidRPr="000D556A">
              <w:rPr>
                <w:rFonts w:ascii="Times New Roman" w:eastAsia="Times New Roman" w:hAnsi="Times New Roman" w:cs="Times New Roman"/>
                <w:b/>
                <w:bCs/>
                <w:color w:val="000000"/>
                <w:sz w:val="24"/>
                <w:szCs w:val="24"/>
                <w:lang w:eastAsia="pt-BR"/>
              </w:rPr>
              <w:t>PROCEDIMENTO DE CONTROLE ADMINISTRATIVO - 0006190-18.2014.2.00.0000 e PEDIDO DE PROVIDÊNCIAS 0006166-87.2014.2.00.0000 </w:t>
            </w:r>
          </w:p>
        </w:tc>
      </w:tr>
      <w:tr w:rsidR="001C5860" w:rsidRPr="000D556A" w:rsidTr="001C5860">
        <w:trPr>
          <w:tblCellSpacing w:w="15" w:type="dxa"/>
        </w:trPr>
        <w:tc>
          <w:tcPr>
            <w:tcW w:w="0" w:type="auto"/>
            <w:tcMar>
              <w:top w:w="15" w:type="dxa"/>
              <w:left w:w="15" w:type="dxa"/>
              <w:bottom w:w="15" w:type="dxa"/>
              <w:right w:w="15" w:type="dxa"/>
            </w:tcMar>
            <w:vAlign w:val="center"/>
            <w:hideMark/>
          </w:tcPr>
          <w:p w:rsidR="001C5860" w:rsidRPr="000D556A" w:rsidRDefault="001C5860" w:rsidP="001C5860">
            <w:pPr>
              <w:spacing w:before="100" w:beforeAutospacing="1" w:after="100" w:afterAutospacing="1" w:line="240" w:lineRule="auto"/>
              <w:rPr>
                <w:rFonts w:ascii="Times New Roman" w:eastAsia="Times New Roman" w:hAnsi="Times New Roman" w:cs="Times New Roman"/>
                <w:sz w:val="24"/>
                <w:szCs w:val="24"/>
                <w:lang w:eastAsia="pt-BR"/>
              </w:rPr>
            </w:pPr>
            <w:r w:rsidRPr="000D556A">
              <w:rPr>
                <w:rFonts w:ascii="Times New Roman" w:eastAsia="Times New Roman" w:hAnsi="Times New Roman" w:cs="Times New Roman"/>
                <w:color w:val="000000"/>
                <w:sz w:val="24"/>
                <w:szCs w:val="24"/>
                <w:lang w:eastAsia="pt-BR"/>
              </w:rPr>
              <w:t>Requerente:</w:t>
            </w:r>
          </w:p>
        </w:tc>
        <w:tc>
          <w:tcPr>
            <w:tcW w:w="0" w:type="auto"/>
            <w:tcMar>
              <w:top w:w="15" w:type="dxa"/>
              <w:left w:w="15" w:type="dxa"/>
              <w:bottom w:w="15" w:type="dxa"/>
              <w:right w:w="15" w:type="dxa"/>
            </w:tcMar>
            <w:vAlign w:val="center"/>
            <w:hideMark/>
          </w:tcPr>
          <w:p w:rsidR="001C5860" w:rsidRPr="000D556A" w:rsidRDefault="001C5860" w:rsidP="001C5860">
            <w:pPr>
              <w:spacing w:before="100" w:beforeAutospacing="1" w:after="100" w:afterAutospacing="1" w:line="240" w:lineRule="auto"/>
              <w:rPr>
                <w:rFonts w:ascii="Times New Roman" w:eastAsia="Times New Roman" w:hAnsi="Times New Roman" w:cs="Times New Roman"/>
                <w:sz w:val="24"/>
                <w:szCs w:val="24"/>
                <w:lang w:eastAsia="pt-BR"/>
              </w:rPr>
            </w:pPr>
            <w:r w:rsidRPr="000D556A">
              <w:rPr>
                <w:rFonts w:ascii="Times New Roman" w:eastAsia="Times New Roman" w:hAnsi="Times New Roman" w:cs="Times New Roman"/>
                <w:b/>
                <w:bCs/>
                <w:color w:val="000000"/>
                <w:sz w:val="24"/>
                <w:szCs w:val="24"/>
                <w:lang w:eastAsia="pt-BR"/>
              </w:rPr>
              <w:t>SINDICATO DOS TITULARES DE CARTORIO OFICIOS DE JUSTIÇA E SIMILARES DO ESTADO DO RIO DE JANEIRO - SINTERJ E NAGIB SLEIBI FILHO E OUTROS</w:t>
            </w:r>
          </w:p>
        </w:tc>
      </w:tr>
      <w:tr w:rsidR="001C5860" w:rsidRPr="000D556A" w:rsidTr="001C5860">
        <w:trPr>
          <w:tblCellSpacing w:w="15" w:type="dxa"/>
        </w:trPr>
        <w:tc>
          <w:tcPr>
            <w:tcW w:w="0" w:type="auto"/>
            <w:tcMar>
              <w:top w:w="15" w:type="dxa"/>
              <w:left w:w="15" w:type="dxa"/>
              <w:bottom w:w="15" w:type="dxa"/>
              <w:right w:w="15" w:type="dxa"/>
            </w:tcMar>
            <w:vAlign w:val="center"/>
            <w:hideMark/>
          </w:tcPr>
          <w:p w:rsidR="001C5860" w:rsidRPr="000D556A" w:rsidRDefault="001C5860" w:rsidP="001C5860">
            <w:pPr>
              <w:spacing w:before="100" w:beforeAutospacing="1" w:after="100" w:afterAutospacing="1" w:line="240" w:lineRule="auto"/>
              <w:rPr>
                <w:rFonts w:ascii="Times New Roman" w:eastAsia="Times New Roman" w:hAnsi="Times New Roman" w:cs="Times New Roman"/>
                <w:sz w:val="24"/>
                <w:szCs w:val="24"/>
                <w:lang w:eastAsia="pt-BR"/>
              </w:rPr>
            </w:pPr>
            <w:r w:rsidRPr="000D556A">
              <w:rPr>
                <w:rFonts w:ascii="Times New Roman" w:eastAsia="Times New Roman" w:hAnsi="Times New Roman" w:cs="Times New Roman"/>
                <w:color w:val="000000"/>
                <w:sz w:val="24"/>
                <w:szCs w:val="24"/>
                <w:lang w:eastAsia="pt-BR"/>
              </w:rPr>
              <w:t>Requerido:</w:t>
            </w:r>
          </w:p>
        </w:tc>
        <w:tc>
          <w:tcPr>
            <w:tcW w:w="0" w:type="auto"/>
            <w:tcMar>
              <w:top w:w="15" w:type="dxa"/>
              <w:left w:w="15" w:type="dxa"/>
              <w:bottom w:w="15" w:type="dxa"/>
              <w:right w:w="15" w:type="dxa"/>
            </w:tcMar>
            <w:vAlign w:val="center"/>
            <w:hideMark/>
          </w:tcPr>
          <w:p w:rsidR="001C5860" w:rsidRPr="000D556A" w:rsidRDefault="001C5860" w:rsidP="001C5860">
            <w:pPr>
              <w:spacing w:before="100" w:beforeAutospacing="1" w:after="100" w:afterAutospacing="1" w:line="240" w:lineRule="auto"/>
              <w:rPr>
                <w:rFonts w:ascii="Times New Roman" w:eastAsia="Times New Roman" w:hAnsi="Times New Roman" w:cs="Times New Roman"/>
                <w:sz w:val="24"/>
                <w:szCs w:val="24"/>
                <w:lang w:eastAsia="pt-BR"/>
              </w:rPr>
            </w:pPr>
            <w:r w:rsidRPr="000D556A">
              <w:rPr>
                <w:rFonts w:ascii="Times New Roman" w:eastAsia="Times New Roman" w:hAnsi="Times New Roman" w:cs="Times New Roman"/>
                <w:b/>
                <w:bCs/>
                <w:color w:val="000000"/>
                <w:sz w:val="24"/>
                <w:szCs w:val="24"/>
                <w:lang w:eastAsia="pt-BR"/>
              </w:rPr>
              <w:t>TRIBUNAL DE JUSTIÇA DO ESTADO DO RIO DE JANEIRO - TJRJ</w:t>
            </w:r>
          </w:p>
        </w:tc>
      </w:tr>
    </w:tbl>
    <w:p w:rsidR="001C5860" w:rsidRPr="000D556A" w:rsidRDefault="001C5860" w:rsidP="001C5860">
      <w:pPr>
        <w:spacing w:before="100" w:beforeAutospacing="1" w:after="100" w:afterAutospacing="1" w:line="240" w:lineRule="auto"/>
        <w:jc w:val="both"/>
        <w:rPr>
          <w:rFonts w:ascii="Times New Roman" w:eastAsia="Times New Roman" w:hAnsi="Times New Roman" w:cs="Times New Roman"/>
          <w:sz w:val="24"/>
          <w:szCs w:val="24"/>
          <w:lang w:eastAsia="pt-BR"/>
        </w:rPr>
      </w:pPr>
      <w:r w:rsidRPr="000D556A">
        <w:rPr>
          <w:rFonts w:ascii="Times New Roman" w:eastAsia="Times New Roman" w:hAnsi="Times New Roman" w:cs="Times New Roman"/>
          <w:b/>
          <w:bCs/>
          <w:color w:val="000000"/>
          <w:sz w:val="27"/>
          <w:szCs w:val="27"/>
          <w:lang w:eastAsia="pt-BR"/>
        </w:rPr>
        <w:t>EMENTA:  PROCEDIMENTO DE CONTROLE ADMINISTRATIVO. PEDIDO DE PROVIDÊNCIAS. TRIBUNAL DE JUSTIÇA DO ESTADO DO RIO DE JANEIRO. ELEIÇÃO PARA OS CARGOS DE DIREÇÃO DO TRIBUNAL. ART. 3º DA RESOLUÇÃO TJ/TP/RJ n. 01/2014. REELEIÇÃO. VEDAÇÃO DO ART. 102 DA LOMAN. LIMINAR DEFERIDA. SUSPENSÃO DO DISPOSITIVO. PRECEDENTE NO PP 6153-25.2013.2.00.0000.  </w:t>
      </w:r>
    </w:p>
    <w:p w:rsidR="001C5860" w:rsidRPr="000D556A" w:rsidRDefault="001C5860" w:rsidP="001C5860">
      <w:pPr>
        <w:spacing w:before="100" w:beforeAutospacing="1" w:after="100" w:afterAutospacing="1" w:line="240" w:lineRule="auto"/>
        <w:jc w:val="both"/>
        <w:rPr>
          <w:rFonts w:ascii="Times New Roman" w:eastAsia="Times New Roman" w:hAnsi="Times New Roman" w:cs="Times New Roman"/>
          <w:sz w:val="24"/>
          <w:szCs w:val="24"/>
          <w:lang w:eastAsia="pt-BR"/>
        </w:rPr>
      </w:pPr>
      <w:r w:rsidRPr="000D556A">
        <w:rPr>
          <w:rFonts w:ascii="Times New Roman" w:eastAsia="Times New Roman" w:hAnsi="Times New Roman" w:cs="Times New Roman"/>
          <w:color w:val="000000"/>
          <w:sz w:val="27"/>
          <w:szCs w:val="27"/>
          <w:lang w:eastAsia="pt-BR"/>
        </w:rPr>
        <w:t>Brasília, 4/11/2014.</w:t>
      </w:r>
    </w:p>
    <w:p w:rsidR="001C5860" w:rsidRPr="000D556A" w:rsidRDefault="001C5860" w:rsidP="001C5860">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0D556A">
        <w:rPr>
          <w:rFonts w:ascii="Times New Roman" w:eastAsia="Times New Roman" w:hAnsi="Times New Roman" w:cs="Times New Roman"/>
          <w:b/>
          <w:bCs/>
          <w:color w:val="000000"/>
          <w:sz w:val="27"/>
          <w:szCs w:val="27"/>
          <w:lang w:eastAsia="pt-BR"/>
        </w:rPr>
        <w:t>RELATÓRIO</w:t>
      </w:r>
    </w:p>
    <w:p w:rsidR="001C5860" w:rsidRPr="000D556A" w:rsidRDefault="001C5860" w:rsidP="001C5860">
      <w:pPr>
        <w:spacing w:before="100" w:beforeAutospacing="1" w:after="100" w:afterAutospacing="1" w:line="240" w:lineRule="auto"/>
        <w:jc w:val="both"/>
        <w:rPr>
          <w:rFonts w:ascii="Times New Roman" w:eastAsia="Times New Roman" w:hAnsi="Times New Roman" w:cs="Times New Roman"/>
          <w:sz w:val="24"/>
          <w:szCs w:val="24"/>
          <w:lang w:eastAsia="pt-BR"/>
        </w:rPr>
      </w:pPr>
      <w:r w:rsidRPr="000D556A">
        <w:rPr>
          <w:rFonts w:ascii="Times New Roman" w:eastAsia="Times New Roman" w:hAnsi="Times New Roman" w:cs="Times New Roman"/>
          <w:color w:val="000000"/>
          <w:sz w:val="27"/>
          <w:szCs w:val="27"/>
          <w:lang w:eastAsia="pt-BR"/>
        </w:rPr>
        <w:t> </w:t>
      </w:r>
    </w:p>
    <w:p w:rsidR="001C5860" w:rsidRPr="000D556A" w:rsidRDefault="001C5860" w:rsidP="001C5860">
      <w:pPr>
        <w:spacing w:before="100" w:beforeAutospacing="1" w:after="100" w:afterAutospacing="1" w:line="240" w:lineRule="auto"/>
        <w:jc w:val="both"/>
        <w:rPr>
          <w:rFonts w:ascii="Times New Roman" w:eastAsia="Times New Roman" w:hAnsi="Times New Roman" w:cs="Times New Roman"/>
          <w:sz w:val="24"/>
          <w:szCs w:val="24"/>
          <w:lang w:eastAsia="pt-BR"/>
        </w:rPr>
      </w:pPr>
      <w:r w:rsidRPr="000D556A">
        <w:rPr>
          <w:rFonts w:ascii="Times New Roman" w:eastAsia="Times New Roman" w:hAnsi="Times New Roman" w:cs="Times New Roman"/>
          <w:color w:val="000000"/>
          <w:sz w:val="27"/>
          <w:szCs w:val="27"/>
          <w:lang w:eastAsia="pt-BR"/>
        </w:rPr>
        <w:t xml:space="preserve">            Trata-se de procedimento de controle administrativo requerido por SINDICATO DOS TITULARES DE CARTORIO OFICIOS DE JUSTIÇA E SIMILARES DO ESTADO DO RIO DE JANEIRO - SINTERJ e de </w:t>
      </w:r>
      <w:r w:rsidRPr="000D556A">
        <w:rPr>
          <w:rFonts w:ascii="Candara" w:eastAsia="Times New Roman" w:hAnsi="Candara" w:cs="Times New Roman"/>
          <w:color w:val="000000"/>
          <w:sz w:val="26"/>
          <w:szCs w:val="26"/>
          <w:lang w:eastAsia="pt-BR"/>
        </w:rPr>
        <w:t>Pedido de Providências proposto por </w:t>
      </w:r>
      <w:hyperlink r:id="rId4" w:tgtFrame="_blank" w:history="1">
        <w:r w:rsidRPr="000D556A">
          <w:rPr>
            <w:rFonts w:ascii="Candara" w:eastAsia="Times New Roman" w:hAnsi="Candara" w:cs="Times New Roman"/>
            <w:color w:val="0000FF"/>
            <w:u w:val="single"/>
            <w:lang w:eastAsia="pt-BR"/>
          </w:rPr>
          <w:t>NAGIB SLAIBI FILHO</w:t>
        </w:r>
      </w:hyperlink>
      <w:r w:rsidRPr="000D556A">
        <w:rPr>
          <w:rFonts w:ascii="Candara" w:eastAsia="Times New Roman" w:hAnsi="Candara" w:cs="Times New Roman"/>
          <w:color w:val="000000"/>
          <w:sz w:val="26"/>
          <w:szCs w:val="26"/>
          <w:lang w:eastAsia="pt-BR"/>
        </w:rPr>
        <w:t>, </w:t>
      </w:r>
      <w:hyperlink r:id="rId5" w:tgtFrame="_blank" w:history="1">
        <w:r w:rsidRPr="000D556A">
          <w:rPr>
            <w:rFonts w:ascii="Candara" w:eastAsia="Times New Roman" w:hAnsi="Candara" w:cs="Times New Roman"/>
            <w:color w:val="0000FF"/>
            <w:u w:val="single"/>
            <w:lang w:eastAsia="pt-BR"/>
          </w:rPr>
          <w:t>SIRO DARLAN DE OLIVEIRA</w:t>
        </w:r>
      </w:hyperlink>
      <w:r w:rsidRPr="000D556A">
        <w:rPr>
          <w:rFonts w:ascii="Candara" w:eastAsia="Times New Roman" w:hAnsi="Candara" w:cs="Times New Roman"/>
          <w:color w:val="000000"/>
          <w:sz w:val="26"/>
          <w:szCs w:val="26"/>
          <w:lang w:eastAsia="pt-BR"/>
        </w:rPr>
        <w:t>, </w:t>
      </w:r>
      <w:hyperlink r:id="rId6" w:tgtFrame="_blank" w:history="1">
        <w:r w:rsidRPr="000D556A">
          <w:rPr>
            <w:rFonts w:ascii="Candara" w:eastAsia="Times New Roman" w:hAnsi="Candara" w:cs="Times New Roman"/>
            <w:color w:val="0000FF"/>
            <w:u w:val="single"/>
            <w:lang w:eastAsia="pt-BR"/>
          </w:rPr>
          <w:t>MARCUS QUARESMA FERRAZ</w:t>
        </w:r>
      </w:hyperlink>
      <w:r w:rsidRPr="000D556A">
        <w:rPr>
          <w:rFonts w:ascii="Candara" w:eastAsia="Times New Roman" w:hAnsi="Candara" w:cs="Times New Roman"/>
          <w:color w:val="000000"/>
          <w:sz w:val="26"/>
          <w:szCs w:val="26"/>
          <w:lang w:eastAsia="pt-BR"/>
        </w:rPr>
        <w:t>, </w:t>
      </w:r>
      <w:hyperlink r:id="rId7" w:tgtFrame="_blank" w:history="1">
        <w:r w:rsidRPr="000D556A">
          <w:rPr>
            <w:rFonts w:ascii="Candara" w:eastAsia="Times New Roman" w:hAnsi="Candara" w:cs="Times New Roman"/>
            <w:color w:val="0000FF"/>
            <w:u w:val="single"/>
            <w:lang w:eastAsia="pt-BR"/>
          </w:rPr>
          <w:t>GILBERTO CAMPISTA GUARINO</w:t>
        </w:r>
      </w:hyperlink>
      <w:r w:rsidRPr="000D556A">
        <w:rPr>
          <w:rFonts w:ascii="Candara" w:eastAsia="Times New Roman" w:hAnsi="Candara" w:cs="Times New Roman"/>
          <w:color w:val="000000"/>
          <w:sz w:val="26"/>
          <w:szCs w:val="26"/>
          <w:lang w:eastAsia="pt-BR"/>
        </w:rPr>
        <w:t>, </w:t>
      </w:r>
      <w:hyperlink r:id="rId8" w:tgtFrame="_blank" w:history="1">
        <w:r w:rsidRPr="000D556A">
          <w:rPr>
            <w:rFonts w:ascii="Candara" w:eastAsia="Times New Roman" w:hAnsi="Candara" w:cs="Times New Roman"/>
            <w:color w:val="0000FF"/>
            <w:u w:val="single"/>
            <w:lang w:eastAsia="pt-BR"/>
          </w:rPr>
          <w:t>JOSE ROBERTO PORTUGAL COMPASSO</w:t>
        </w:r>
      </w:hyperlink>
      <w:r w:rsidRPr="000D556A">
        <w:rPr>
          <w:rFonts w:ascii="Candara" w:eastAsia="Times New Roman" w:hAnsi="Candara" w:cs="Times New Roman"/>
          <w:color w:val="000000"/>
          <w:sz w:val="26"/>
          <w:szCs w:val="26"/>
          <w:lang w:eastAsia="pt-BR"/>
        </w:rPr>
        <w:t>, contra ato do Tribunal de Justiça do Estado do Rio de Janeiro (TJRJ), tendo em vista fatos relacionados ao processo de eleição para os cargos de direção daquela corte, especialmente com a edição da Resolução TJ/TP/RJ n. 01/2014.</w:t>
      </w:r>
    </w:p>
    <w:p w:rsidR="001C5860" w:rsidRPr="000D556A" w:rsidRDefault="001C5860" w:rsidP="001C5860">
      <w:pPr>
        <w:spacing w:before="100" w:beforeAutospacing="1" w:after="100" w:afterAutospacing="1" w:line="360" w:lineRule="atLeast"/>
        <w:ind w:firstLine="491"/>
        <w:jc w:val="both"/>
        <w:rPr>
          <w:rFonts w:ascii="Times New Roman" w:eastAsia="Times New Roman" w:hAnsi="Times New Roman" w:cs="Times New Roman"/>
          <w:sz w:val="24"/>
          <w:szCs w:val="24"/>
          <w:lang w:eastAsia="pt-BR"/>
        </w:rPr>
      </w:pPr>
      <w:r w:rsidRPr="000D556A">
        <w:rPr>
          <w:rFonts w:ascii="Candara" w:eastAsia="Times New Roman" w:hAnsi="Candara" w:cs="Times New Roman"/>
          <w:color w:val="000000"/>
          <w:sz w:val="26"/>
          <w:szCs w:val="26"/>
          <w:lang w:eastAsia="pt-BR"/>
        </w:rPr>
        <w:t>Discorrem os requerentes a referida resolução (Resolução TJ/TP/RJ n. 01/2014), trouxe a seguinte redação em seu artigo 3º:</w:t>
      </w:r>
    </w:p>
    <w:p w:rsidR="001C5860" w:rsidRPr="000D556A" w:rsidRDefault="001C5860" w:rsidP="001C5860">
      <w:pPr>
        <w:spacing w:before="100" w:beforeAutospacing="1" w:after="100" w:afterAutospacing="1" w:line="240" w:lineRule="auto"/>
        <w:ind w:left="2268"/>
        <w:jc w:val="both"/>
        <w:rPr>
          <w:rFonts w:ascii="Times New Roman" w:eastAsia="Times New Roman" w:hAnsi="Times New Roman" w:cs="Times New Roman"/>
          <w:sz w:val="24"/>
          <w:szCs w:val="24"/>
          <w:lang w:eastAsia="pt-BR"/>
        </w:rPr>
      </w:pPr>
      <w:r w:rsidRPr="000D556A">
        <w:rPr>
          <w:rFonts w:ascii="Candara" w:eastAsia="Times New Roman" w:hAnsi="Candara" w:cs="Times New Roman"/>
          <w:b/>
          <w:bCs/>
          <w:i/>
          <w:iCs/>
          <w:color w:val="000000"/>
          <w:sz w:val="24"/>
          <w:szCs w:val="24"/>
          <w:lang w:eastAsia="pt-BR"/>
        </w:rPr>
        <w:t> </w:t>
      </w:r>
    </w:p>
    <w:p w:rsidR="001C5860" w:rsidRPr="000D556A" w:rsidRDefault="001C5860" w:rsidP="001C5860">
      <w:pPr>
        <w:spacing w:before="100" w:beforeAutospacing="1" w:after="100" w:afterAutospacing="1" w:line="240" w:lineRule="auto"/>
        <w:ind w:left="2268"/>
        <w:jc w:val="both"/>
        <w:rPr>
          <w:rFonts w:ascii="Times New Roman" w:eastAsia="Times New Roman" w:hAnsi="Times New Roman" w:cs="Times New Roman"/>
          <w:sz w:val="24"/>
          <w:szCs w:val="24"/>
          <w:lang w:eastAsia="pt-BR"/>
        </w:rPr>
      </w:pPr>
      <w:r w:rsidRPr="000D556A">
        <w:rPr>
          <w:rFonts w:ascii="Candara" w:eastAsia="Times New Roman" w:hAnsi="Candara" w:cs="Times New Roman"/>
          <w:b/>
          <w:bCs/>
          <w:i/>
          <w:iCs/>
          <w:color w:val="000000"/>
          <w:sz w:val="24"/>
          <w:szCs w:val="24"/>
          <w:lang w:eastAsia="pt-BR"/>
        </w:rPr>
        <w:t>“O TRIBUNAL PLENO DO TRIBUNAL DE JUSTIÇA DO ESTADO DO RIO DE JANEIRO, no âmbito de sua competência e no uso de suas atribuições legais e regimentais e tendo em vista o que foi decidido na sessão do dia 21 de agosto de 2014 (Processo n. 0034509-64.2014.8.18.0000), RESOLVE:</w:t>
      </w:r>
    </w:p>
    <w:p w:rsidR="001C5860" w:rsidRPr="000D556A" w:rsidRDefault="001C5860" w:rsidP="001C5860">
      <w:pPr>
        <w:spacing w:before="100" w:beforeAutospacing="1" w:after="100" w:afterAutospacing="1" w:line="240" w:lineRule="auto"/>
        <w:ind w:left="2268"/>
        <w:rPr>
          <w:rFonts w:ascii="Times New Roman" w:eastAsia="Times New Roman" w:hAnsi="Times New Roman" w:cs="Times New Roman"/>
          <w:sz w:val="24"/>
          <w:szCs w:val="24"/>
          <w:lang w:eastAsia="pt-BR"/>
        </w:rPr>
      </w:pPr>
      <w:r w:rsidRPr="000D556A">
        <w:rPr>
          <w:rFonts w:ascii="Candara" w:eastAsia="Times New Roman" w:hAnsi="Candara" w:cs="Times New Roman"/>
          <w:b/>
          <w:bCs/>
          <w:i/>
          <w:iCs/>
          <w:color w:val="000000"/>
          <w:sz w:val="24"/>
          <w:szCs w:val="24"/>
          <w:lang w:eastAsia="pt-BR"/>
        </w:rPr>
        <w:lastRenderedPageBreak/>
        <w:t>(...)</w:t>
      </w:r>
    </w:p>
    <w:p w:rsidR="001C5860" w:rsidRPr="000D556A" w:rsidRDefault="001C5860" w:rsidP="001C5860">
      <w:pPr>
        <w:spacing w:before="100" w:beforeAutospacing="1" w:after="100" w:afterAutospacing="1" w:line="240" w:lineRule="auto"/>
        <w:ind w:left="2268"/>
        <w:rPr>
          <w:rFonts w:ascii="Times New Roman" w:eastAsia="Times New Roman" w:hAnsi="Times New Roman" w:cs="Times New Roman"/>
          <w:sz w:val="24"/>
          <w:szCs w:val="24"/>
          <w:lang w:eastAsia="pt-BR"/>
        </w:rPr>
      </w:pPr>
      <w:r w:rsidRPr="000D556A">
        <w:rPr>
          <w:rFonts w:ascii="Candara" w:eastAsia="Times New Roman" w:hAnsi="Candara" w:cs="Times New Roman"/>
          <w:b/>
          <w:bCs/>
          <w:i/>
          <w:iCs/>
          <w:color w:val="000000"/>
          <w:sz w:val="24"/>
          <w:szCs w:val="24"/>
          <w:lang w:eastAsia="pt-BR"/>
        </w:rPr>
        <w:t>Art. 3º Poderá o Desembargador ser novamente eleito para o mesmo cargo, desde que observado o intervalo entre dois mandatos.”</w:t>
      </w:r>
    </w:p>
    <w:p w:rsidR="001C5860" w:rsidRPr="000D556A" w:rsidRDefault="001C5860" w:rsidP="001C5860">
      <w:pPr>
        <w:spacing w:after="0" w:line="360" w:lineRule="atLeast"/>
        <w:ind w:firstLine="491"/>
        <w:jc w:val="both"/>
        <w:rPr>
          <w:rFonts w:ascii="Times New Roman" w:eastAsia="Times New Roman" w:hAnsi="Times New Roman" w:cs="Times New Roman"/>
          <w:sz w:val="24"/>
          <w:szCs w:val="24"/>
          <w:lang w:eastAsia="pt-BR"/>
        </w:rPr>
      </w:pPr>
      <w:r w:rsidRPr="000D556A">
        <w:rPr>
          <w:rFonts w:ascii="Candara" w:eastAsia="Times New Roman" w:hAnsi="Candara" w:cs="Times New Roman"/>
          <w:color w:val="000000"/>
          <w:sz w:val="26"/>
          <w:szCs w:val="26"/>
          <w:lang w:eastAsia="pt-BR"/>
        </w:rPr>
        <w:t> </w:t>
      </w:r>
    </w:p>
    <w:p w:rsidR="001C5860" w:rsidRPr="000D556A" w:rsidRDefault="001C5860" w:rsidP="001C5860">
      <w:pPr>
        <w:spacing w:before="100" w:beforeAutospacing="1" w:after="100" w:afterAutospacing="1" w:line="360" w:lineRule="atLeast"/>
        <w:ind w:firstLine="491"/>
        <w:jc w:val="both"/>
        <w:rPr>
          <w:rFonts w:ascii="Times New Roman" w:eastAsia="Times New Roman" w:hAnsi="Times New Roman" w:cs="Times New Roman"/>
          <w:sz w:val="24"/>
          <w:szCs w:val="24"/>
          <w:lang w:eastAsia="pt-BR"/>
        </w:rPr>
      </w:pPr>
      <w:r w:rsidRPr="000D556A">
        <w:rPr>
          <w:rFonts w:ascii="Candara" w:eastAsia="Times New Roman" w:hAnsi="Candara" w:cs="Times New Roman"/>
          <w:color w:val="000000"/>
          <w:sz w:val="26"/>
          <w:szCs w:val="26"/>
          <w:lang w:eastAsia="pt-BR"/>
        </w:rPr>
        <w:t>Com efeito, explicam os requerentes que esse dispositivo violaria “(...) frontalmente a Constituição Federal e a Lei Orgânica da Magistratura (LOMAN).  A matéria regulada pelo referido artigo 3º contraria, induvidosamente, o artigo 93 da Constituição Federal, pois é reservada, no dispositivo constitucional, à lei complementar federal.  Por outro lado, a alteração da regra eleitoral perpetrada pela Resolução TJ/TP/RJ n. 01/2014 viola o comando do artigo 102 da LOMAN (Lei Complementar 35/1979)</w:t>
      </w:r>
      <w:r w:rsidRPr="000D556A">
        <w:rPr>
          <w:rFonts w:ascii="Candara" w:eastAsia="Times New Roman" w:hAnsi="Candara" w:cs="Times New Roman"/>
          <w:color w:val="000000"/>
          <w:sz w:val="27"/>
          <w:szCs w:val="27"/>
          <w:lang w:eastAsia="pt-BR"/>
        </w:rPr>
        <w:t>” (</w:t>
      </w:r>
      <w:r w:rsidRPr="000D556A">
        <w:rPr>
          <w:rFonts w:ascii="Candara" w:eastAsia="Times New Roman" w:hAnsi="Candara" w:cs="Times New Roman"/>
          <w:i/>
          <w:iCs/>
          <w:color w:val="000000"/>
          <w:sz w:val="27"/>
          <w:szCs w:val="27"/>
          <w:lang w:eastAsia="pt-BR"/>
        </w:rPr>
        <w:t>sic - </w:t>
      </w:r>
      <w:r w:rsidRPr="000D556A">
        <w:rPr>
          <w:rFonts w:ascii="Candara" w:eastAsia="Times New Roman" w:hAnsi="Candara" w:cs="Times New Roman"/>
          <w:color w:val="000000"/>
          <w:sz w:val="27"/>
          <w:szCs w:val="27"/>
          <w:lang w:eastAsia="pt-BR"/>
        </w:rPr>
        <w:t>ID 1566941).</w:t>
      </w:r>
    </w:p>
    <w:p w:rsidR="001C5860" w:rsidRPr="000D556A" w:rsidRDefault="001C5860" w:rsidP="001C5860">
      <w:pPr>
        <w:spacing w:before="100" w:beforeAutospacing="1" w:after="100" w:afterAutospacing="1" w:line="360" w:lineRule="atLeast"/>
        <w:ind w:firstLine="491"/>
        <w:jc w:val="both"/>
        <w:rPr>
          <w:rFonts w:ascii="Times New Roman" w:eastAsia="Times New Roman" w:hAnsi="Times New Roman" w:cs="Times New Roman"/>
          <w:sz w:val="24"/>
          <w:szCs w:val="24"/>
          <w:lang w:eastAsia="pt-BR"/>
        </w:rPr>
      </w:pPr>
      <w:r w:rsidRPr="000D556A">
        <w:rPr>
          <w:rFonts w:ascii="Candara" w:eastAsia="Times New Roman" w:hAnsi="Candara" w:cs="Times New Roman"/>
          <w:color w:val="000000"/>
          <w:sz w:val="26"/>
          <w:szCs w:val="26"/>
          <w:lang w:eastAsia="pt-BR"/>
        </w:rPr>
        <w:t>Os requerentes aduzem, ainda, que já teria existido tentativa similar, em momento anterior, no sentido de fossem alteradas as regras do processo eleitoral no âmbito do Poder Judiciário do Rio de Janeiro. Porém, a Lei Estadual n. 2.432, de 06.09.1995, que permitia a reeleição para a Presidência do Tribunal de Justiça, fora declarada inconstitucional pelo STF, no julgamento da ADI 1.422-6-RJ.</w:t>
      </w:r>
    </w:p>
    <w:p w:rsidR="001C5860" w:rsidRPr="000D556A" w:rsidRDefault="001C5860" w:rsidP="001C5860">
      <w:pPr>
        <w:spacing w:before="100" w:beforeAutospacing="1" w:after="100" w:afterAutospacing="1" w:line="360" w:lineRule="atLeast"/>
        <w:ind w:firstLine="491"/>
        <w:jc w:val="both"/>
        <w:rPr>
          <w:rFonts w:ascii="Times New Roman" w:eastAsia="Times New Roman" w:hAnsi="Times New Roman" w:cs="Times New Roman"/>
          <w:sz w:val="24"/>
          <w:szCs w:val="24"/>
          <w:lang w:eastAsia="pt-BR"/>
        </w:rPr>
      </w:pPr>
      <w:r w:rsidRPr="000D556A">
        <w:rPr>
          <w:rFonts w:ascii="Candara" w:eastAsia="Times New Roman" w:hAnsi="Candara" w:cs="Times New Roman"/>
          <w:color w:val="000000"/>
          <w:sz w:val="26"/>
          <w:szCs w:val="26"/>
          <w:lang w:eastAsia="pt-BR"/>
        </w:rPr>
        <w:t>Entendem, assim, que a Resolução TJ/TP/RJ n. 01/2014 constituiria, em verdade:</w:t>
      </w:r>
    </w:p>
    <w:p w:rsidR="001C5860" w:rsidRPr="000D556A" w:rsidRDefault="001C5860" w:rsidP="001C5860">
      <w:pPr>
        <w:spacing w:before="100" w:beforeAutospacing="1" w:after="100" w:afterAutospacing="1" w:line="240" w:lineRule="auto"/>
        <w:ind w:left="2268"/>
        <w:jc w:val="both"/>
        <w:rPr>
          <w:rFonts w:ascii="Times New Roman" w:eastAsia="Times New Roman" w:hAnsi="Times New Roman" w:cs="Times New Roman"/>
          <w:sz w:val="24"/>
          <w:szCs w:val="24"/>
          <w:lang w:eastAsia="pt-BR"/>
        </w:rPr>
      </w:pPr>
      <w:proofErr w:type="gramStart"/>
      <w:r w:rsidRPr="000D556A">
        <w:rPr>
          <w:rFonts w:ascii="Candara" w:eastAsia="Times New Roman" w:hAnsi="Candara" w:cs="Times New Roman"/>
          <w:i/>
          <w:iCs/>
          <w:color w:val="000000"/>
          <w:sz w:val="24"/>
          <w:szCs w:val="24"/>
          <w:lang w:eastAsia="pt-BR"/>
        </w:rPr>
        <w:t>ato</w:t>
      </w:r>
      <w:proofErr w:type="gramEnd"/>
      <w:r w:rsidRPr="000D556A">
        <w:rPr>
          <w:rFonts w:ascii="Candara" w:eastAsia="Times New Roman" w:hAnsi="Candara" w:cs="Times New Roman"/>
          <w:i/>
          <w:iCs/>
          <w:color w:val="000000"/>
          <w:sz w:val="24"/>
          <w:szCs w:val="24"/>
          <w:lang w:eastAsia="pt-BR"/>
        </w:rPr>
        <w:t xml:space="preserve"> abertamente contrário à lei e aos princípios que a inspiraram. Ao alterar, por meio de ato administrativo (resolução), os critérios de inelegibilidade para cargos de direção, a Resolução afronta o disposto no art. 102 da LOMAN (...)bem como o entendimento do Colendo STF, segundo o qual as matérias atinentes à definição do universo dos desembargadores elegíveis e às condições de sua elegibilidade são tipicamente institucionais e, portanto, reservadas constitucionalmente à competência material do Estatuto da Magistratura (CF, art. 93, caput) – hoje, objeto da Lei Orgânica da Magistratura Nacional –, apto a estabelecer disciplina de alcance nacional e caráter uniforme àqueles temas. (ID 1566941)</w:t>
      </w:r>
    </w:p>
    <w:p w:rsidR="001C5860" w:rsidRPr="000D556A" w:rsidRDefault="001C5860" w:rsidP="001C5860">
      <w:pPr>
        <w:spacing w:after="0" w:line="240" w:lineRule="auto"/>
        <w:ind w:firstLine="491"/>
        <w:jc w:val="both"/>
        <w:rPr>
          <w:rFonts w:ascii="Times New Roman" w:eastAsia="Times New Roman" w:hAnsi="Times New Roman" w:cs="Times New Roman"/>
          <w:sz w:val="24"/>
          <w:szCs w:val="24"/>
          <w:lang w:eastAsia="pt-BR"/>
        </w:rPr>
      </w:pPr>
      <w:r w:rsidRPr="000D556A">
        <w:rPr>
          <w:rFonts w:ascii="Candara" w:eastAsia="Times New Roman" w:hAnsi="Candara" w:cs="Times New Roman"/>
          <w:i/>
          <w:iCs/>
          <w:color w:val="000000"/>
          <w:sz w:val="26"/>
          <w:szCs w:val="26"/>
          <w:lang w:eastAsia="pt-BR"/>
        </w:rPr>
        <w:t> </w:t>
      </w:r>
    </w:p>
    <w:p w:rsidR="001C5860" w:rsidRPr="000D556A" w:rsidRDefault="001C5860" w:rsidP="001C5860">
      <w:pPr>
        <w:spacing w:before="100" w:beforeAutospacing="1" w:after="100" w:afterAutospacing="1" w:line="360" w:lineRule="atLeast"/>
        <w:ind w:firstLine="491"/>
        <w:jc w:val="both"/>
        <w:rPr>
          <w:rFonts w:ascii="Times New Roman" w:eastAsia="Times New Roman" w:hAnsi="Times New Roman" w:cs="Times New Roman"/>
          <w:sz w:val="24"/>
          <w:szCs w:val="24"/>
          <w:lang w:eastAsia="pt-BR"/>
        </w:rPr>
      </w:pPr>
      <w:r w:rsidRPr="000D556A">
        <w:rPr>
          <w:rFonts w:ascii="Candara" w:eastAsia="Times New Roman" w:hAnsi="Candara" w:cs="Times New Roman"/>
          <w:color w:val="000000"/>
          <w:sz w:val="26"/>
          <w:szCs w:val="26"/>
          <w:lang w:eastAsia="pt-BR"/>
        </w:rPr>
        <w:lastRenderedPageBreak/>
        <w:t>Requereram a concessão de medida liminar para que seja determinada a “imediata suspensão dos efeitos do artigo 3º da Resolução TJ/TP/RJ n. 01/2014”.</w:t>
      </w:r>
    </w:p>
    <w:p w:rsidR="001C5860" w:rsidRPr="000D556A" w:rsidRDefault="001C5860" w:rsidP="001C5860">
      <w:pPr>
        <w:spacing w:before="100" w:beforeAutospacing="1" w:after="100" w:afterAutospacing="1" w:line="360" w:lineRule="atLeast"/>
        <w:ind w:firstLine="491"/>
        <w:jc w:val="both"/>
        <w:rPr>
          <w:rFonts w:ascii="Times New Roman" w:eastAsia="Times New Roman" w:hAnsi="Times New Roman" w:cs="Times New Roman"/>
          <w:sz w:val="24"/>
          <w:szCs w:val="24"/>
          <w:lang w:eastAsia="pt-BR"/>
        </w:rPr>
      </w:pPr>
      <w:r w:rsidRPr="000D556A">
        <w:rPr>
          <w:rFonts w:ascii="Candara" w:eastAsia="Times New Roman" w:hAnsi="Candara" w:cs="Times New Roman"/>
          <w:color w:val="000000"/>
          <w:sz w:val="26"/>
          <w:szCs w:val="26"/>
          <w:lang w:eastAsia="pt-BR"/>
        </w:rPr>
        <w:t>Apesar de ainda não haver sido convidado a se manifestar, o requerido prestou informações (ID 1568195) e acostou diversos documentos (ID 1568218 – ID 1568248). Em síntese, sobre o pedido liminar, indicou que, além de não deter competência para controle de constitucionalidade (o que, no seu entender seria o caso), o CNJ não poderia levar em conta “as ponderações feitas pelo relato</w:t>
      </w:r>
      <w:bookmarkStart w:id="0" w:name="_GoBack"/>
      <w:bookmarkEnd w:id="0"/>
      <w:r w:rsidRPr="000D556A">
        <w:rPr>
          <w:rFonts w:ascii="Candara" w:eastAsia="Times New Roman" w:hAnsi="Candara" w:cs="Times New Roman"/>
          <w:color w:val="000000"/>
          <w:sz w:val="26"/>
          <w:szCs w:val="26"/>
          <w:lang w:eastAsia="pt-BR"/>
        </w:rPr>
        <w:t xml:space="preserve">r (do PCA 6153-25.2013) quanto à recepção do artigo 102 da LOMAN”, uma vez que não foram debatidas e agora, o </w:t>
      </w:r>
      <w:proofErr w:type="spellStart"/>
      <w:r w:rsidRPr="000D556A">
        <w:rPr>
          <w:rFonts w:ascii="Candara" w:eastAsia="Times New Roman" w:hAnsi="Candara" w:cs="Times New Roman"/>
          <w:color w:val="000000"/>
          <w:sz w:val="26"/>
          <w:szCs w:val="26"/>
          <w:lang w:eastAsia="pt-BR"/>
        </w:rPr>
        <w:t>pca</w:t>
      </w:r>
      <w:proofErr w:type="spellEnd"/>
      <w:r w:rsidRPr="000D556A">
        <w:rPr>
          <w:rFonts w:ascii="Candara" w:eastAsia="Times New Roman" w:hAnsi="Candara" w:cs="Times New Roman"/>
          <w:color w:val="000000"/>
          <w:sz w:val="26"/>
          <w:szCs w:val="26"/>
          <w:lang w:eastAsia="pt-BR"/>
        </w:rPr>
        <w:t xml:space="preserve"> está arquivado.</w:t>
      </w:r>
    </w:p>
    <w:p w:rsidR="001C5860" w:rsidRPr="000D556A" w:rsidRDefault="001C5860" w:rsidP="001C5860">
      <w:pPr>
        <w:spacing w:before="100" w:beforeAutospacing="1" w:after="100" w:afterAutospacing="1" w:line="360" w:lineRule="atLeast"/>
        <w:ind w:firstLine="491"/>
        <w:jc w:val="both"/>
        <w:rPr>
          <w:rFonts w:ascii="Times New Roman" w:eastAsia="Times New Roman" w:hAnsi="Times New Roman" w:cs="Times New Roman"/>
          <w:sz w:val="24"/>
          <w:szCs w:val="24"/>
          <w:lang w:eastAsia="pt-BR"/>
        </w:rPr>
      </w:pPr>
      <w:r w:rsidRPr="000D556A">
        <w:rPr>
          <w:rFonts w:ascii="Candara" w:eastAsia="Times New Roman" w:hAnsi="Candara" w:cs="Times New Roman"/>
          <w:color w:val="000000"/>
          <w:sz w:val="26"/>
          <w:szCs w:val="26"/>
          <w:lang w:eastAsia="pt-BR"/>
        </w:rPr>
        <w:t>Os requerentes, em réplica, também sem haverem sido intimados a fazê-lo, ratificaram os dizeres da Inicial e retificaram que a eleição para a presidência do TJ/RJ deve ocorrer até 5 de dezembro de 2014 (ID 1573453).</w:t>
      </w:r>
    </w:p>
    <w:p w:rsidR="001C5860" w:rsidRPr="000D556A" w:rsidRDefault="001C5860" w:rsidP="001C5860">
      <w:pPr>
        <w:spacing w:before="100" w:beforeAutospacing="1" w:after="100" w:afterAutospacing="1" w:line="360" w:lineRule="atLeast"/>
        <w:ind w:firstLine="491"/>
        <w:jc w:val="both"/>
        <w:rPr>
          <w:rFonts w:ascii="Times New Roman" w:eastAsia="Times New Roman" w:hAnsi="Times New Roman" w:cs="Times New Roman"/>
          <w:sz w:val="24"/>
          <w:szCs w:val="24"/>
          <w:lang w:eastAsia="pt-BR"/>
        </w:rPr>
      </w:pPr>
      <w:r w:rsidRPr="000D556A">
        <w:rPr>
          <w:rFonts w:ascii="Candara" w:eastAsia="Times New Roman" w:hAnsi="Candara" w:cs="Times New Roman"/>
          <w:color w:val="000000"/>
          <w:sz w:val="26"/>
          <w:szCs w:val="26"/>
          <w:lang w:eastAsia="pt-BR"/>
        </w:rPr>
        <w:t>Uma vez mais, o TJRJ veio aos autos manifestar-se sobre a última petição dos requerentes (ID 1573934), aduzindo que o processo de votação que culminou na edição da resolução ora questionada teria seguido o trâmite perfeito e obedecido todos os princípios legais e constitucionais, com a garantia de participação dos magistrados. Inclusive, a resolução traria em seu corpo, “literalmente, o texto das propostas vencedoras (...)”.</w:t>
      </w:r>
    </w:p>
    <w:p w:rsidR="001C5860" w:rsidRPr="000D556A" w:rsidRDefault="001C5860" w:rsidP="001C5860">
      <w:pPr>
        <w:spacing w:after="0" w:line="360" w:lineRule="atLeast"/>
        <w:ind w:firstLine="491"/>
        <w:jc w:val="both"/>
        <w:rPr>
          <w:rFonts w:ascii="Times New Roman" w:eastAsia="Times New Roman" w:hAnsi="Times New Roman" w:cs="Times New Roman"/>
          <w:sz w:val="24"/>
          <w:szCs w:val="24"/>
          <w:lang w:eastAsia="pt-BR"/>
        </w:rPr>
      </w:pPr>
      <w:r w:rsidRPr="000D556A">
        <w:rPr>
          <w:rFonts w:ascii="Candara" w:eastAsia="Times New Roman" w:hAnsi="Candara" w:cs="Times New Roman"/>
          <w:color w:val="000000"/>
          <w:sz w:val="26"/>
          <w:szCs w:val="26"/>
          <w:lang w:eastAsia="pt-BR"/>
        </w:rPr>
        <w:t> </w:t>
      </w:r>
      <w:r w:rsidRPr="000D556A">
        <w:rPr>
          <w:rFonts w:ascii="Candara" w:eastAsia="Times New Roman" w:hAnsi="Candara" w:cs="Times New Roman"/>
          <w:b/>
          <w:bCs/>
          <w:color w:val="000000"/>
          <w:sz w:val="26"/>
          <w:szCs w:val="26"/>
          <w:lang w:eastAsia="pt-BR"/>
        </w:rPr>
        <w:t>É o que cumpria relatar. DECIDO.</w:t>
      </w:r>
    </w:p>
    <w:p w:rsidR="001C5860" w:rsidRPr="000D556A" w:rsidRDefault="001C5860" w:rsidP="001C5860">
      <w:pPr>
        <w:spacing w:before="100" w:beforeAutospacing="1" w:after="100" w:afterAutospacing="1" w:line="240" w:lineRule="auto"/>
        <w:jc w:val="both"/>
        <w:rPr>
          <w:rFonts w:ascii="Times New Roman" w:eastAsia="Times New Roman" w:hAnsi="Times New Roman" w:cs="Times New Roman"/>
          <w:sz w:val="24"/>
          <w:szCs w:val="24"/>
          <w:lang w:eastAsia="pt-BR"/>
        </w:rPr>
      </w:pPr>
      <w:r w:rsidRPr="000D556A">
        <w:rPr>
          <w:rFonts w:ascii="Times New Roman" w:eastAsia="Times New Roman" w:hAnsi="Times New Roman" w:cs="Times New Roman"/>
          <w:color w:val="000000"/>
          <w:sz w:val="27"/>
          <w:szCs w:val="27"/>
          <w:lang w:eastAsia="pt-BR"/>
        </w:rPr>
        <w:t> </w:t>
      </w:r>
      <w:r w:rsidRPr="000D556A">
        <w:rPr>
          <w:rFonts w:ascii="Candara" w:eastAsia="Times New Roman" w:hAnsi="Candara" w:cs="Times New Roman"/>
          <w:color w:val="000000"/>
          <w:sz w:val="26"/>
          <w:szCs w:val="26"/>
          <w:lang w:eastAsia="pt-BR"/>
        </w:rPr>
        <w:t>Incialmente, cumpre indicar que tramita neste gabinete o PCA 6190-18.2014.2.00.0000, pelo Sindicato dos Titulares de Cartório Ofícios de Justiça e Similares do Estado do Rio de Janeiro – SINTERJ, que guarda similitude com o presente, a saber.</w:t>
      </w:r>
    </w:p>
    <w:p w:rsidR="001C5860" w:rsidRPr="000D556A" w:rsidRDefault="001C5860" w:rsidP="001C5860">
      <w:pPr>
        <w:spacing w:before="100" w:beforeAutospacing="1" w:after="100" w:afterAutospacing="1" w:line="360" w:lineRule="atLeast"/>
        <w:ind w:firstLine="491"/>
        <w:jc w:val="both"/>
        <w:rPr>
          <w:rFonts w:ascii="Times New Roman" w:eastAsia="Times New Roman" w:hAnsi="Times New Roman" w:cs="Times New Roman"/>
          <w:sz w:val="24"/>
          <w:szCs w:val="24"/>
          <w:lang w:eastAsia="pt-BR"/>
        </w:rPr>
      </w:pPr>
      <w:r w:rsidRPr="000D556A">
        <w:rPr>
          <w:rFonts w:ascii="Candara" w:eastAsia="Times New Roman" w:hAnsi="Candara" w:cs="Times New Roman"/>
          <w:color w:val="000000"/>
          <w:sz w:val="26"/>
          <w:szCs w:val="26"/>
          <w:lang w:eastAsia="pt-BR"/>
        </w:rPr>
        <w:t>Como se vê, portanto, trata-se de um tema caro, o que ensejou a intervenção precoce do tribunal fluminense neste PP, antes mesmo de sua ciência formal por parte do CNJ.</w:t>
      </w:r>
    </w:p>
    <w:p w:rsidR="001C5860" w:rsidRPr="000D556A" w:rsidRDefault="001C5860" w:rsidP="001C5860">
      <w:pPr>
        <w:spacing w:before="100" w:beforeAutospacing="1" w:after="100" w:afterAutospacing="1" w:line="360" w:lineRule="atLeast"/>
        <w:ind w:firstLine="491"/>
        <w:jc w:val="both"/>
        <w:rPr>
          <w:rFonts w:ascii="Times New Roman" w:eastAsia="Times New Roman" w:hAnsi="Times New Roman" w:cs="Times New Roman"/>
          <w:sz w:val="24"/>
          <w:szCs w:val="24"/>
          <w:lang w:eastAsia="pt-BR"/>
        </w:rPr>
      </w:pPr>
      <w:r w:rsidRPr="000D556A">
        <w:rPr>
          <w:rFonts w:ascii="Candara" w:eastAsia="Times New Roman" w:hAnsi="Candara" w:cs="Times New Roman"/>
          <w:color w:val="000000"/>
          <w:sz w:val="26"/>
          <w:szCs w:val="26"/>
          <w:lang w:eastAsia="pt-BR"/>
        </w:rPr>
        <w:t>Tendo em conta a ausência de qualquer prejuízo às partes, ao contrário, até economia de atos, recebo as manifestações já acostadas, tanto pelos requerentes quanto pelo tribunal.</w:t>
      </w:r>
    </w:p>
    <w:p w:rsidR="001C5860" w:rsidRPr="000D556A" w:rsidRDefault="001C5860" w:rsidP="001C5860">
      <w:pPr>
        <w:spacing w:before="100" w:beforeAutospacing="1" w:after="100" w:afterAutospacing="1" w:line="360" w:lineRule="atLeast"/>
        <w:ind w:firstLine="491"/>
        <w:jc w:val="both"/>
        <w:rPr>
          <w:rFonts w:ascii="Times New Roman" w:eastAsia="Times New Roman" w:hAnsi="Times New Roman" w:cs="Times New Roman"/>
          <w:sz w:val="24"/>
          <w:szCs w:val="24"/>
          <w:lang w:eastAsia="pt-BR"/>
        </w:rPr>
      </w:pPr>
      <w:r w:rsidRPr="000D556A">
        <w:rPr>
          <w:rFonts w:ascii="Candara" w:eastAsia="Times New Roman" w:hAnsi="Candara" w:cs="Times New Roman"/>
          <w:color w:val="000000"/>
          <w:sz w:val="26"/>
          <w:szCs w:val="26"/>
          <w:lang w:eastAsia="pt-BR"/>
        </w:rPr>
        <w:t> </w:t>
      </w:r>
    </w:p>
    <w:p w:rsidR="001C5860" w:rsidRPr="000D556A" w:rsidRDefault="001C5860" w:rsidP="001C5860">
      <w:pPr>
        <w:spacing w:before="100" w:beforeAutospacing="1" w:after="100" w:afterAutospacing="1" w:line="360" w:lineRule="atLeast"/>
        <w:ind w:firstLine="491"/>
        <w:jc w:val="both"/>
        <w:rPr>
          <w:rFonts w:ascii="Times New Roman" w:eastAsia="Times New Roman" w:hAnsi="Times New Roman" w:cs="Times New Roman"/>
          <w:sz w:val="24"/>
          <w:szCs w:val="24"/>
          <w:lang w:eastAsia="pt-BR"/>
        </w:rPr>
      </w:pPr>
      <w:r w:rsidRPr="000D556A">
        <w:rPr>
          <w:rFonts w:ascii="Candara" w:eastAsia="Times New Roman" w:hAnsi="Candara" w:cs="Times New Roman"/>
          <w:color w:val="000000"/>
          <w:sz w:val="26"/>
          <w:szCs w:val="26"/>
          <w:lang w:eastAsia="pt-BR"/>
        </w:rPr>
        <w:t>Passo, então, à análise do pedido liminarmente formulado.</w:t>
      </w:r>
    </w:p>
    <w:p w:rsidR="001C5860" w:rsidRPr="000D556A" w:rsidRDefault="001C5860" w:rsidP="001C5860">
      <w:pPr>
        <w:spacing w:before="100" w:beforeAutospacing="1" w:after="100" w:afterAutospacing="1" w:line="360" w:lineRule="atLeast"/>
        <w:ind w:firstLine="491"/>
        <w:jc w:val="both"/>
        <w:rPr>
          <w:rFonts w:ascii="Times New Roman" w:eastAsia="Times New Roman" w:hAnsi="Times New Roman" w:cs="Times New Roman"/>
          <w:sz w:val="24"/>
          <w:szCs w:val="24"/>
          <w:lang w:eastAsia="pt-BR"/>
        </w:rPr>
      </w:pPr>
      <w:r w:rsidRPr="000D556A">
        <w:rPr>
          <w:rFonts w:ascii="Candara" w:eastAsia="Times New Roman" w:hAnsi="Candara" w:cs="Times New Roman"/>
          <w:color w:val="000000"/>
          <w:sz w:val="26"/>
          <w:szCs w:val="26"/>
          <w:lang w:eastAsia="pt-BR"/>
        </w:rPr>
        <w:lastRenderedPageBreak/>
        <w:t> </w:t>
      </w:r>
    </w:p>
    <w:p w:rsidR="001C5860" w:rsidRPr="000D556A" w:rsidRDefault="001C5860" w:rsidP="001C5860">
      <w:pPr>
        <w:spacing w:before="100" w:beforeAutospacing="1" w:after="100" w:afterAutospacing="1" w:line="360" w:lineRule="atLeast"/>
        <w:ind w:firstLine="491"/>
        <w:jc w:val="both"/>
        <w:rPr>
          <w:rFonts w:ascii="Times New Roman" w:eastAsia="Times New Roman" w:hAnsi="Times New Roman" w:cs="Times New Roman"/>
          <w:sz w:val="24"/>
          <w:szCs w:val="24"/>
          <w:lang w:eastAsia="pt-BR"/>
        </w:rPr>
      </w:pPr>
      <w:r w:rsidRPr="000D556A">
        <w:rPr>
          <w:rFonts w:ascii="Candara" w:eastAsia="Times New Roman" w:hAnsi="Candara" w:cs="Times New Roman"/>
          <w:color w:val="000000"/>
          <w:sz w:val="26"/>
          <w:szCs w:val="26"/>
          <w:lang w:eastAsia="pt-BR"/>
        </w:rPr>
        <w:t>A celeuma gira em torno da possibilidade de reeleição de desembargador para cargo de direção do Tribunal de Justiça do Estado do Rio de Janeiro.</w:t>
      </w:r>
    </w:p>
    <w:p w:rsidR="001C5860" w:rsidRPr="000D556A" w:rsidRDefault="001C5860" w:rsidP="001C5860">
      <w:pPr>
        <w:spacing w:before="100" w:beforeAutospacing="1" w:after="100" w:afterAutospacing="1" w:line="360" w:lineRule="atLeast"/>
        <w:ind w:firstLine="491"/>
        <w:jc w:val="both"/>
        <w:rPr>
          <w:rFonts w:ascii="Times New Roman" w:eastAsia="Times New Roman" w:hAnsi="Times New Roman" w:cs="Times New Roman"/>
          <w:sz w:val="24"/>
          <w:szCs w:val="24"/>
          <w:lang w:eastAsia="pt-BR"/>
        </w:rPr>
      </w:pPr>
      <w:r w:rsidRPr="000D556A">
        <w:rPr>
          <w:rFonts w:ascii="Candara" w:eastAsia="Times New Roman" w:hAnsi="Candara" w:cs="Times New Roman"/>
          <w:color w:val="000000"/>
          <w:sz w:val="26"/>
          <w:szCs w:val="26"/>
          <w:lang w:eastAsia="pt-BR"/>
        </w:rPr>
        <w:t>A controvérsia acentuou-se a partir da edição da Resolução TJ/TP/RJ n. 01/2014 alterou os critérios de inelegibilidade para cargos diretivos no âmbito do TJRJ, e, em seu terceiro artigo trouxe justamente a possibilidade de reeleição desembargador</w:t>
      </w:r>
      <w:r w:rsidRPr="000D556A">
        <w:rPr>
          <w:rFonts w:ascii="Candara" w:eastAsia="Times New Roman" w:hAnsi="Candara" w:cs="Times New Roman"/>
          <w:i/>
          <w:iCs/>
          <w:color w:val="000000"/>
          <w:sz w:val="26"/>
          <w:szCs w:val="26"/>
          <w:lang w:eastAsia="pt-BR"/>
        </w:rPr>
        <w:t> para o mesmo cargo, desde que observado o intervalo entre dois mandatos.</w:t>
      </w:r>
    </w:p>
    <w:p w:rsidR="001C5860" w:rsidRPr="000D556A" w:rsidRDefault="001C5860" w:rsidP="001C5860">
      <w:pPr>
        <w:spacing w:before="100" w:beforeAutospacing="1" w:after="100" w:afterAutospacing="1" w:line="360" w:lineRule="atLeast"/>
        <w:ind w:firstLine="491"/>
        <w:jc w:val="both"/>
        <w:rPr>
          <w:rFonts w:ascii="Times New Roman" w:eastAsia="Times New Roman" w:hAnsi="Times New Roman" w:cs="Times New Roman"/>
          <w:sz w:val="24"/>
          <w:szCs w:val="24"/>
          <w:lang w:eastAsia="pt-BR"/>
        </w:rPr>
      </w:pPr>
      <w:r w:rsidRPr="000D556A">
        <w:rPr>
          <w:rFonts w:ascii="Candara" w:eastAsia="Times New Roman" w:hAnsi="Candara" w:cs="Times New Roman"/>
          <w:color w:val="000000"/>
          <w:sz w:val="26"/>
          <w:szCs w:val="26"/>
          <w:lang w:eastAsia="pt-BR"/>
        </w:rPr>
        <w:t>O artigo 102 da Lei 35/1979 – LOMAN, que estabelece o universo de magistrados elegíveis para os cargos de direção nos Tribunais, também fixou condições de elegibilidade e causas de inelegibilidade, dentre estas, o fato de ter o magistrado exercido cargo de direção. Transcrevo:</w:t>
      </w:r>
    </w:p>
    <w:p w:rsidR="001C5860" w:rsidRPr="000D556A" w:rsidRDefault="001C5860" w:rsidP="001C5860">
      <w:pPr>
        <w:spacing w:before="100" w:beforeAutospacing="1" w:after="100" w:afterAutospacing="1" w:line="360" w:lineRule="atLeast"/>
        <w:ind w:firstLine="491"/>
        <w:jc w:val="both"/>
        <w:rPr>
          <w:rFonts w:ascii="Times New Roman" w:eastAsia="Times New Roman" w:hAnsi="Times New Roman" w:cs="Times New Roman"/>
          <w:sz w:val="24"/>
          <w:szCs w:val="24"/>
          <w:lang w:eastAsia="pt-BR"/>
        </w:rPr>
      </w:pPr>
      <w:r w:rsidRPr="000D556A">
        <w:rPr>
          <w:rFonts w:ascii="Candara" w:eastAsia="Times New Roman" w:hAnsi="Candara" w:cs="Times New Roman"/>
          <w:color w:val="000000"/>
          <w:sz w:val="26"/>
          <w:szCs w:val="26"/>
          <w:lang w:eastAsia="pt-BR"/>
        </w:rPr>
        <w:t> </w:t>
      </w:r>
    </w:p>
    <w:p w:rsidR="001C5860" w:rsidRPr="000D556A" w:rsidRDefault="001C5860" w:rsidP="001C5860">
      <w:pPr>
        <w:spacing w:before="100" w:beforeAutospacing="1" w:after="100" w:afterAutospacing="1" w:line="240" w:lineRule="auto"/>
        <w:ind w:left="2268"/>
        <w:jc w:val="both"/>
        <w:rPr>
          <w:rFonts w:ascii="Times New Roman" w:eastAsia="Times New Roman" w:hAnsi="Times New Roman" w:cs="Times New Roman"/>
          <w:sz w:val="24"/>
          <w:szCs w:val="24"/>
          <w:lang w:eastAsia="pt-BR"/>
        </w:rPr>
      </w:pPr>
      <w:r w:rsidRPr="000D556A">
        <w:rPr>
          <w:rFonts w:ascii="Candara" w:eastAsia="Times New Roman" w:hAnsi="Candara" w:cs="Times New Roman"/>
          <w:color w:val="000000"/>
          <w:sz w:val="27"/>
          <w:szCs w:val="27"/>
          <w:lang w:eastAsia="pt-BR"/>
        </w:rPr>
        <w:t xml:space="preserve">Art. 102 - Os Tribunais, pela maioria dos seus membros efetivos, por votação secreta, elegerão dentre seus Juízes mais antigos, em número correspondente ao dos cargos de direção, os titulares destes, com mandato por dois anos, proibida a reeleição. Quem tiver exercido quaisquer cargos de direção por quatro anos, ou o de Presidente, não figurará mais entre os elegíveis, até que se esgotem todos os nomes, na ordem de </w:t>
      </w:r>
      <w:proofErr w:type="spellStart"/>
      <w:r w:rsidRPr="000D556A">
        <w:rPr>
          <w:rFonts w:ascii="Candara" w:eastAsia="Times New Roman" w:hAnsi="Candara" w:cs="Times New Roman"/>
          <w:color w:val="000000"/>
          <w:sz w:val="27"/>
          <w:szCs w:val="27"/>
          <w:lang w:eastAsia="pt-BR"/>
        </w:rPr>
        <w:t>antigüidade</w:t>
      </w:r>
      <w:proofErr w:type="spellEnd"/>
      <w:r w:rsidRPr="000D556A">
        <w:rPr>
          <w:rFonts w:ascii="Candara" w:eastAsia="Times New Roman" w:hAnsi="Candara" w:cs="Times New Roman"/>
          <w:color w:val="000000"/>
          <w:sz w:val="27"/>
          <w:szCs w:val="27"/>
          <w:lang w:eastAsia="pt-BR"/>
        </w:rPr>
        <w:t>. É obrigatória a aceitação do cargo, salvo recusa manifestada e aceita antes da eleição.</w:t>
      </w:r>
    </w:p>
    <w:p w:rsidR="001C5860" w:rsidRPr="000D556A" w:rsidRDefault="001C5860" w:rsidP="001C5860">
      <w:pPr>
        <w:spacing w:before="100" w:beforeAutospacing="1" w:after="100" w:afterAutospacing="1" w:line="240" w:lineRule="auto"/>
        <w:ind w:left="2268"/>
        <w:jc w:val="both"/>
        <w:rPr>
          <w:rFonts w:ascii="Times New Roman" w:eastAsia="Times New Roman" w:hAnsi="Times New Roman" w:cs="Times New Roman"/>
          <w:sz w:val="24"/>
          <w:szCs w:val="24"/>
          <w:lang w:eastAsia="pt-BR"/>
        </w:rPr>
      </w:pPr>
      <w:r w:rsidRPr="000D556A">
        <w:rPr>
          <w:rFonts w:ascii="Candara" w:eastAsia="Times New Roman" w:hAnsi="Candara" w:cs="Times New Roman"/>
          <w:color w:val="000000"/>
          <w:sz w:val="27"/>
          <w:szCs w:val="27"/>
          <w:lang w:eastAsia="pt-BR"/>
        </w:rPr>
        <w:t>Parágrafo único - O disposto neste artigo não se aplica ao Juiz eleito, para completar período de mandato inferior a um ano.</w:t>
      </w:r>
    </w:p>
    <w:p w:rsidR="001C5860" w:rsidRPr="000D556A" w:rsidRDefault="001C5860" w:rsidP="001C5860">
      <w:pPr>
        <w:spacing w:before="100" w:beforeAutospacing="1" w:after="100" w:afterAutospacing="1" w:line="360" w:lineRule="atLeast"/>
        <w:ind w:firstLine="491"/>
        <w:jc w:val="both"/>
        <w:rPr>
          <w:rFonts w:ascii="Times New Roman" w:eastAsia="Times New Roman" w:hAnsi="Times New Roman" w:cs="Times New Roman"/>
          <w:sz w:val="24"/>
          <w:szCs w:val="24"/>
          <w:lang w:eastAsia="pt-BR"/>
        </w:rPr>
      </w:pPr>
      <w:r w:rsidRPr="000D556A">
        <w:rPr>
          <w:rFonts w:ascii="Candara" w:eastAsia="Times New Roman" w:hAnsi="Candara" w:cs="Times New Roman"/>
          <w:color w:val="000000"/>
          <w:sz w:val="26"/>
          <w:szCs w:val="26"/>
          <w:lang w:eastAsia="pt-BR"/>
        </w:rPr>
        <w:t> </w:t>
      </w:r>
    </w:p>
    <w:p w:rsidR="001C5860" w:rsidRPr="000D556A" w:rsidRDefault="001C5860" w:rsidP="001C5860">
      <w:pPr>
        <w:spacing w:before="100" w:beforeAutospacing="1" w:after="100" w:afterAutospacing="1" w:line="360" w:lineRule="atLeast"/>
        <w:ind w:firstLine="491"/>
        <w:jc w:val="both"/>
        <w:rPr>
          <w:rFonts w:ascii="Times New Roman" w:eastAsia="Times New Roman" w:hAnsi="Times New Roman" w:cs="Times New Roman"/>
          <w:sz w:val="24"/>
          <w:szCs w:val="24"/>
          <w:lang w:eastAsia="pt-BR"/>
        </w:rPr>
      </w:pPr>
      <w:r w:rsidRPr="000D556A">
        <w:rPr>
          <w:rFonts w:ascii="Candara" w:eastAsia="Times New Roman" w:hAnsi="Candara" w:cs="Times New Roman"/>
          <w:color w:val="000000"/>
          <w:sz w:val="26"/>
          <w:szCs w:val="26"/>
          <w:lang w:eastAsia="pt-BR"/>
        </w:rPr>
        <w:t>É truísmo que o legislador inspirou-se no princípio da alternância do preenchimento dos cargos de direção, de modo a evitar, inclusive, que magistrados afastem-se de suas funções judicantes (que são suas atribuições finalísticas) por longos períodos.</w:t>
      </w:r>
    </w:p>
    <w:p w:rsidR="001C5860" w:rsidRPr="000D556A" w:rsidRDefault="001C5860" w:rsidP="001C5860">
      <w:pPr>
        <w:spacing w:before="100" w:beforeAutospacing="1" w:after="100" w:afterAutospacing="1" w:line="360" w:lineRule="atLeast"/>
        <w:ind w:firstLine="491"/>
        <w:jc w:val="both"/>
        <w:rPr>
          <w:rFonts w:ascii="Times New Roman" w:eastAsia="Times New Roman" w:hAnsi="Times New Roman" w:cs="Times New Roman"/>
          <w:sz w:val="24"/>
          <w:szCs w:val="24"/>
          <w:lang w:eastAsia="pt-BR"/>
        </w:rPr>
      </w:pPr>
      <w:r w:rsidRPr="000D556A">
        <w:rPr>
          <w:rFonts w:ascii="Candara" w:eastAsia="Times New Roman" w:hAnsi="Candara" w:cs="Times New Roman"/>
          <w:color w:val="000000"/>
          <w:sz w:val="26"/>
          <w:szCs w:val="26"/>
          <w:lang w:eastAsia="pt-BR"/>
        </w:rPr>
        <w:lastRenderedPageBreak/>
        <w:t>Há precedentes do Supremo Tribunal Federal, Superior Tribunal de Justiça e deste Conselho em sentido diametralmente oposto ao que restou resolvido pelo tribunal requerido (art. 3º, Res. TJ/TP/RJ n. 01/2014). Ou seja, parece-me que o referido dispositivo realmente constitui ato contrário à lei e aos princípios que a inspiraram. Cito alguns desses precedentes:</w:t>
      </w:r>
    </w:p>
    <w:p w:rsidR="001C5860" w:rsidRPr="000D556A" w:rsidRDefault="001C5860" w:rsidP="001C5860">
      <w:pPr>
        <w:spacing w:before="100" w:beforeAutospacing="1" w:after="100" w:afterAutospacing="1" w:line="360" w:lineRule="atLeast"/>
        <w:ind w:firstLine="491"/>
        <w:jc w:val="both"/>
        <w:rPr>
          <w:rFonts w:ascii="Times New Roman" w:eastAsia="Times New Roman" w:hAnsi="Times New Roman" w:cs="Times New Roman"/>
          <w:sz w:val="24"/>
          <w:szCs w:val="24"/>
          <w:lang w:eastAsia="pt-BR"/>
        </w:rPr>
      </w:pPr>
      <w:r w:rsidRPr="000D556A">
        <w:rPr>
          <w:rFonts w:ascii="Candara" w:eastAsia="Times New Roman" w:hAnsi="Candara" w:cs="Times New Roman"/>
          <w:color w:val="000000"/>
          <w:sz w:val="26"/>
          <w:szCs w:val="26"/>
          <w:lang w:eastAsia="pt-BR"/>
        </w:rPr>
        <w:t> </w:t>
      </w:r>
    </w:p>
    <w:p w:rsidR="001C5860" w:rsidRPr="000D556A" w:rsidRDefault="001C5860" w:rsidP="001C5860">
      <w:pPr>
        <w:spacing w:before="100" w:beforeAutospacing="1" w:after="100" w:afterAutospacing="1" w:line="240" w:lineRule="auto"/>
        <w:ind w:left="2268"/>
        <w:jc w:val="both"/>
        <w:rPr>
          <w:rFonts w:ascii="Times New Roman" w:eastAsia="Times New Roman" w:hAnsi="Times New Roman" w:cs="Times New Roman"/>
          <w:sz w:val="24"/>
          <w:szCs w:val="24"/>
          <w:lang w:eastAsia="pt-BR"/>
        </w:rPr>
      </w:pPr>
      <w:r w:rsidRPr="000D556A">
        <w:rPr>
          <w:rFonts w:ascii="Times New Roman" w:eastAsia="Times New Roman" w:hAnsi="Times New Roman" w:cs="Times New Roman"/>
          <w:color w:val="000000"/>
          <w:sz w:val="24"/>
          <w:szCs w:val="24"/>
          <w:lang w:eastAsia="pt-BR"/>
        </w:rPr>
        <w:t>ADMINISTRATIVO. RECURSO ORDINARIO EM MANDADO DE SEGURANÇA. ELEIÇÃO PARA PRESIDENCIA DE TRIBUNAL. INTERPRETAÇÃO DO ART. 102, DA LEI COMPLEMENTAR N. 35 /79. I - A DISPOSIÇÃO DO ART. 102, DA LEI COMPLEMENTAR N. 35 /79 E MUITO CLARA, QUANDO DIZ QUE "OS TRIBUNAIS, PELA MAIORIA DOS SEUS MEMBROS EFETIVOS, POR VOTAÇÃO SECRETA, ELEGERÃO DENTRE SEUS JUIZES MAIS ANTIGOS, EM NUMERO CORRESPONDENTE AO DOS CARGOS DE DIREÇÃO, OS TITULARES DESTES, COM MANDATO POR DOIS ANOS, PROIBIDA A REELEIÇÃO". ILACIONA-SE, EM PRIMEIRA MÃO, QUE O PROCEDIMENTO DE ESCOLHA CARECE, NECESSARIAMENTE, DE UMA ELEIÇÃO, OU SEJA, DEVE HAVER POSSIBILIDADE DE ESCOLHA DE CANDIDATOS PELOS ELEITORES. TODAVIA, A LEI FAZ DUAS RESTRIÇOES AO PLEITO: 1A.) NÃO CONCORREM TODOS OS MEMBROS DO TRIBUNAL, TÃO-SOMENTE, OS JUIZES MAIS ANTIGOS, CUJO NUMERO DEVE CORRESPONDER AO DOS CARGOS DE DIREÇÃO; 2A.) PROIBIÇÃO DE REELEIÇÃO AOS CARGOS. II - NO CASO "SUB JUDICE", DOIS ERAM OS CARGOS DE DIREÇÃO; PRESIDENTE E VICE-PRESIDENTE, E A ELES CONCORRERAM OS DOIS JUIZES MAIS ANTIGOS. RESTOU ELEITO O SEGUNDO MAIS ANTIGO E NÃO O PRIMEIRO. NADA DE ANORMAL, POIS, DENTRO DA PREVISÃO LEGAL E REGIMENTAL. HOUVE O PROCESSO ELEITORAL E A LIBERDADE DE ESCOLHA, RESSALTE-SE QUE NÃO SE CONFUNDE COM O DESIGNIO DO RECORRENTE: SIMPLES HOMOLOGAÇÃO DE SEU NOME. COM RELAÇÃO A ESCOLHA DO VICE-PRESIDENTE, TAMBEM REGULAR O PROCEDIMENTO, PORQUANTO O RECORRENTE NÃO PODERIA CONCORRER AO CARGO, ANTE A VEDAÇÃO DE REELEIÇÃO. III - RECURSO IMPROVIDO (STJ - RMS 4.689/RS, relator Ministro Pedro Acioli)</w:t>
      </w:r>
    </w:p>
    <w:p w:rsidR="001C5860" w:rsidRPr="000D556A" w:rsidRDefault="001C5860" w:rsidP="001C5860">
      <w:pPr>
        <w:spacing w:before="100" w:beforeAutospacing="1" w:after="100" w:afterAutospacing="1" w:line="240" w:lineRule="auto"/>
        <w:ind w:left="2268"/>
        <w:jc w:val="both"/>
        <w:rPr>
          <w:rFonts w:ascii="Times New Roman" w:eastAsia="Times New Roman" w:hAnsi="Times New Roman" w:cs="Times New Roman"/>
          <w:sz w:val="24"/>
          <w:szCs w:val="24"/>
          <w:lang w:eastAsia="pt-BR"/>
        </w:rPr>
      </w:pPr>
      <w:r w:rsidRPr="000D556A">
        <w:rPr>
          <w:rFonts w:ascii="Times New Roman" w:eastAsia="Times New Roman" w:hAnsi="Times New Roman" w:cs="Times New Roman"/>
          <w:color w:val="000000"/>
          <w:sz w:val="24"/>
          <w:szCs w:val="24"/>
          <w:lang w:eastAsia="pt-BR"/>
        </w:rPr>
        <w:t> </w:t>
      </w:r>
    </w:p>
    <w:p w:rsidR="001C5860" w:rsidRPr="000D556A" w:rsidRDefault="001C5860" w:rsidP="001C5860">
      <w:pPr>
        <w:spacing w:before="100" w:beforeAutospacing="1" w:after="100" w:afterAutospacing="1" w:line="240" w:lineRule="auto"/>
        <w:ind w:left="2268"/>
        <w:jc w:val="both"/>
        <w:rPr>
          <w:rFonts w:ascii="Times New Roman" w:eastAsia="Times New Roman" w:hAnsi="Times New Roman" w:cs="Times New Roman"/>
          <w:sz w:val="24"/>
          <w:szCs w:val="24"/>
          <w:lang w:eastAsia="pt-BR"/>
        </w:rPr>
      </w:pPr>
      <w:r w:rsidRPr="000D556A">
        <w:rPr>
          <w:rFonts w:ascii="Times New Roman" w:eastAsia="Times New Roman" w:hAnsi="Times New Roman" w:cs="Times New Roman"/>
          <w:color w:val="000000"/>
          <w:sz w:val="24"/>
          <w:szCs w:val="24"/>
          <w:lang w:eastAsia="pt-BR"/>
        </w:rPr>
        <w:lastRenderedPageBreak/>
        <w:t>RECLAMAÇÃO. IMPUGNAÇÃO. ATO DO TRIBUNAL REGIONAL FEDERAL DA 3ª REGIÃO. ELEIÇÃO PARA O CARGO DE PRESIDENTE. ALEGAÇÃO DE NULIDADE DECORRENTE DA NÃO OBSERVÂNCIA DO UNIVERSO DOS ELEGÍVEIS. ALEGAÇÃO DE DESCUMPRIMENTO DA DECISÃO DA ADI N. 3.566. FRAUDE À LEI. FRAUDE À CONSTITUIÇÃO. NORMAS DEFINIDORAS DO UNIVERSO DE MAGISTRADOS ELEGIVÉIS PARA OS ÓRGÃOS DIRETIVOS DOS TRIBUNAIS. NECESSIDADE DE RENOVAÇÃO DOS QUADROS ADMINISTRATIVOS DOS TRIBUNAIS. DETERMINAÇÃO CONTIDA NA SEGUNDA PARTE DO ARTIGO 102 DA LOMAN. CONDIÇÃO DE ELEGIBILIDADE E CAUSA DE INEGIBILIDADE. RECLAMAÇÃO JULGADA PROCEDENTE.</w:t>
      </w:r>
    </w:p>
    <w:p w:rsidR="001C5860" w:rsidRPr="000D556A" w:rsidRDefault="001C5860" w:rsidP="001C5860">
      <w:pPr>
        <w:spacing w:before="100" w:beforeAutospacing="1" w:after="100" w:afterAutospacing="1" w:line="240" w:lineRule="auto"/>
        <w:ind w:left="2268"/>
        <w:jc w:val="both"/>
        <w:rPr>
          <w:rFonts w:ascii="Times New Roman" w:eastAsia="Times New Roman" w:hAnsi="Times New Roman" w:cs="Times New Roman"/>
          <w:sz w:val="24"/>
          <w:szCs w:val="24"/>
          <w:lang w:eastAsia="pt-BR"/>
        </w:rPr>
      </w:pPr>
      <w:r w:rsidRPr="000D556A">
        <w:rPr>
          <w:rFonts w:ascii="Times New Roman" w:eastAsia="Times New Roman" w:hAnsi="Times New Roman" w:cs="Times New Roman"/>
          <w:color w:val="000000"/>
          <w:sz w:val="24"/>
          <w:szCs w:val="24"/>
          <w:lang w:eastAsia="pt-BR"/>
        </w:rPr>
        <w:t>Impugnação de ato do Tribunal Regional Federal da 3ª Região concernente à eleição para o cargo de Presidente daquele Tribunal.</w:t>
      </w:r>
    </w:p>
    <w:p w:rsidR="001C5860" w:rsidRPr="000D556A" w:rsidRDefault="001C5860" w:rsidP="001C5860">
      <w:pPr>
        <w:spacing w:before="100" w:beforeAutospacing="1" w:after="100" w:afterAutospacing="1" w:line="240" w:lineRule="auto"/>
        <w:ind w:left="2268"/>
        <w:jc w:val="both"/>
        <w:rPr>
          <w:rFonts w:ascii="Times New Roman" w:eastAsia="Times New Roman" w:hAnsi="Times New Roman" w:cs="Times New Roman"/>
          <w:sz w:val="24"/>
          <w:szCs w:val="24"/>
          <w:lang w:eastAsia="pt-BR"/>
        </w:rPr>
      </w:pPr>
      <w:r w:rsidRPr="000D556A">
        <w:rPr>
          <w:rFonts w:ascii="Times New Roman" w:eastAsia="Times New Roman" w:hAnsi="Times New Roman" w:cs="Times New Roman"/>
          <w:color w:val="000000"/>
          <w:sz w:val="24"/>
          <w:szCs w:val="24"/>
          <w:lang w:eastAsia="pt-BR"/>
        </w:rPr>
        <w:t>Discussão a propósito da possibilidade de desembargador que anteriormente ocupou cargo diretivo por dois biênios no TRF da 3ª Região ser eleito Presidente.</w:t>
      </w:r>
    </w:p>
    <w:p w:rsidR="001C5860" w:rsidRPr="000D556A" w:rsidRDefault="001C5860" w:rsidP="001C5860">
      <w:pPr>
        <w:spacing w:before="100" w:beforeAutospacing="1" w:after="100" w:afterAutospacing="1" w:line="240" w:lineRule="auto"/>
        <w:ind w:left="2268"/>
        <w:jc w:val="both"/>
        <w:rPr>
          <w:rFonts w:ascii="Times New Roman" w:eastAsia="Times New Roman" w:hAnsi="Times New Roman" w:cs="Times New Roman"/>
          <w:sz w:val="24"/>
          <w:szCs w:val="24"/>
          <w:lang w:eastAsia="pt-BR"/>
        </w:rPr>
      </w:pPr>
      <w:r w:rsidRPr="000D556A">
        <w:rPr>
          <w:rFonts w:ascii="Times New Roman" w:eastAsia="Times New Roman" w:hAnsi="Times New Roman" w:cs="Times New Roman"/>
          <w:color w:val="000000"/>
          <w:sz w:val="24"/>
          <w:szCs w:val="24"/>
          <w:lang w:eastAsia="pt-BR"/>
        </w:rPr>
        <w:t>Afronta à decisão proferida na ADI n. 3.566 --- recepção e vigência do artigo 102 da Lei Complementar federal n. 35 – LOMAN.</w:t>
      </w:r>
    </w:p>
    <w:p w:rsidR="001C5860" w:rsidRPr="000D556A" w:rsidRDefault="001C5860" w:rsidP="001C5860">
      <w:pPr>
        <w:spacing w:before="100" w:beforeAutospacing="1" w:after="100" w:afterAutospacing="1" w:line="240" w:lineRule="auto"/>
        <w:ind w:left="2268"/>
        <w:jc w:val="both"/>
        <w:rPr>
          <w:rFonts w:ascii="Times New Roman" w:eastAsia="Times New Roman" w:hAnsi="Times New Roman" w:cs="Times New Roman"/>
          <w:sz w:val="24"/>
          <w:szCs w:val="24"/>
          <w:lang w:eastAsia="pt-BR"/>
        </w:rPr>
      </w:pPr>
      <w:r w:rsidRPr="000D556A">
        <w:rPr>
          <w:rFonts w:ascii="Times New Roman" w:eastAsia="Times New Roman" w:hAnsi="Times New Roman" w:cs="Times New Roman"/>
          <w:color w:val="000000"/>
          <w:sz w:val="24"/>
          <w:szCs w:val="24"/>
          <w:lang w:eastAsia="pt-BR"/>
        </w:rPr>
        <w:t>Desembargador que exerceu cargo de Corregedor-Geral no biênio 2003-2005 e eleito Vice-Presidente para o biênio 2005-2007. Situação de inelegibilidade decorrente da vedação do art. 102, da LOMAN, segunda parte.</w:t>
      </w:r>
    </w:p>
    <w:p w:rsidR="001C5860" w:rsidRPr="000D556A" w:rsidRDefault="001C5860" w:rsidP="001C5860">
      <w:pPr>
        <w:spacing w:before="100" w:beforeAutospacing="1" w:after="100" w:afterAutospacing="1" w:line="240" w:lineRule="auto"/>
        <w:ind w:left="2268"/>
        <w:jc w:val="both"/>
        <w:rPr>
          <w:rFonts w:ascii="Times New Roman" w:eastAsia="Times New Roman" w:hAnsi="Times New Roman" w:cs="Times New Roman"/>
          <w:sz w:val="24"/>
          <w:szCs w:val="24"/>
          <w:lang w:eastAsia="pt-BR"/>
        </w:rPr>
      </w:pPr>
      <w:r w:rsidRPr="000D556A">
        <w:rPr>
          <w:rFonts w:ascii="Times New Roman" w:eastAsia="Times New Roman" w:hAnsi="Times New Roman" w:cs="Times New Roman"/>
          <w:color w:val="000000"/>
          <w:sz w:val="24"/>
          <w:szCs w:val="24"/>
          <w:lang w:eastAsia="pt-BR"/>
        </w:rPr>
        <w:t xml:space="preserve">A incidência do preceito da LOMAN resulta frustrada. A fraude à lei importa, fundamentalmente, frustração da lei. Mais grave se é à Constituição, frustração da Constituição. Consubstanciada a autêntica </w:t>
      </w:r>
      <w:proofErr w:type="spellStart"/>
      <w:r w:rsidRPr="000D556A">
        <w:rPr>
          <w:rFonts w:ascii="Times New Roman" w:eastAsia="Times New Roman" w:hAnsi="Times New Roman" w:cs="Times New Roman"/>
          <w:color w:val="000000"/>
          <w:sz w:val="24"/>
          <w:szCs w:val="24"/>
          <w:lang w:eastAsia="pt-BR"/>
        </w:rPr>
        <w:t>fraus</w:t>
      </w:r>
      <w:proofErr w:type="spellEnd"/>
      <w:r w:rsidRPr="000D556A">
        <w:rPr>
          <w:rFonts w:ascii="Times New Roman" w:eastAsia="Times New Roman" w:hAnsi="Times New Roman" w:cs="Times New Roman"/>
          <w:color w:val="000000"/>
          <w:sz w:val="24"/>
          <w:szCs w:val="24"/>
          <w:lang w:eastAsia="pt-BR"/>
        </w:rPr>
        <w:t xml:space="preserve"> legis.</w:t>
      </w:r>
    </w:p>
    <w:p w:rsidR="001C5860" w:rsidRPr="000D556A" w:rsidRDefault="001C5860" w:rsidP="001C5860">
      <w:pPr>
        <w:spacing w:before="100" w:beforeAutospacing="1" w:after="100" w:afterAutospacing="1" w:line="240" w:lineRule="auto"/>
        <w:ind w:left="2268"/>
        <w:jc w:val="both"/>
        <w:rPr>
          <w:rFonts w:ascii="Times New Roman" w:eastAsia="Times New Roman" w:hAnsi="Times New Roman" w:cs="Times New Roman"/>
          <w:sz w:val="24"/>
          <w:szCs w:val="24"/>
          <w:lang w:eastAsia="pt-BR"/>
        </w:rPr>
      </w:pPr>
      <w:r w:rsidRPr="000D556A">
        <w:rPr>
          <w:rFonts w:ascii="Times New Roman" w:eastAsia="Times New Roman" w:hAnsi="Times New Roman" w:cs="Times New Roman"/>
          <w:color w:val="000000"/>
          <w:sz w:val="24"/>
          <w:szCs w:val="24"/>
          <w:lang w:eastAsia="pt-BR"/>
        </w:rPr>
        <w:t>A fraude é consumada mediante renúncia, de modo a ilidir-se a incidência do preceito.</w:t>
      </w:r>
    </w:p>
    <w:p w:rsidR="001C5860" w:rsidRPr="000D556A" w:rsidRDefault="001C5860" w:rsidP="001C5860">
      <w:pPr>
        <w:spacing w:before="100" w:beforeAutospacing="1" w:after="100" w:afterAutospacing="1" w:line="240" w:lineRule="auto"/>
        <w:ind w:left="2268"/>
        <w:jc w:val="both"/>
        <w:rPr>
          <w:rFonts w:ascii="Times New Roman" w:eastAsia="Times New Roman" w:hAnsi="Times New Roman" w:cs="Times New Roman"/>
          <w:sz w:val="24"/>
          <w:szCs w:val="24"/>
          <w:lang w:eastAsia="pt-BR"/>
        </w:rPr>
      </w:pPr>
      <w:r w:rsidRPr="000D556A">
        <w:rPr>
          <w:rFonts w:ascii="Times New Roman" w:eastAsia="Times New Roman" w:hAnsi="Times New Roman" w:cs="Times New Roman"/>
          <w:color w:val="000000"/>
          <w:sz w:val="24"/>
          <w:szCs w:val="24"/>
          <w:lang w:eastAsia="pt-BR"/>
        </w:rPr>
        <w:t>A renovação dos quadros administrativos de Tribunais, mediante a inelegibilidade decorrente do exercício, por quatro anos, de cargo de direção, há de ser acatada.</w:t>
      </w:r>
    </w:p>
    <w:p w:rsidR="001C5860" w:rsidRPr="000D556A" w:rsidRDefault="001C5860" w:rsidP="001C5860">
      <w:pPr>
        <w:spacing w:before="100" w:beforeAutospacing="1" w:after="100" w:afterAutospacing="1" w:line="240" w:lineRule="auto"/>
        <w:ind w:left="2268"/>
        <w:jc w:val="both"/>
        <w:rPr>
          <w:rFonts w:ascii="Times New Roman" w:eastAsia="Times New Roman" w:hAnsi="Times New Roman" w:cs="Times New Roman"/>
          <w:sz w:val="24"/>
          <w:szCs w:val="24"/>
          <w:lang w:eastAsia="pt-BR"/>
        </w:rPr>
      </w:pPr>
      <w:r w:rsidRPr="000D556A">
        <w:rPr>
          <w:rFonts w:ascii="Times New Roman" w:eastAsia="Times New Roman" w:hAnsi="Times New Roman" w:cs="Times New Roman"/>
          <w:color w:val="000000"/>
          <w:sz w:val="24"/>
          <w:szCs w:val="24"/>
          <w:lang w:eastAsia="pt-BR"/>
        </w:rPr>
        <w:t>À hipótese aplica-se a proibição prevista na segunda parte do artigo 102, da LOMAN.</w:t>
      </w:r>
    </w:p>
    <w:p w:rsidR="001C5860" w:rsidRPr="000D556A" w:rsidRDefault="001C5860" w:rsidP="001C5860">
      <w:pPr>
        <w:spacing w:before="100" w:beforeAutospacing="1" w:after="100" w:afterAutospacing="1" w:line="240" w:lineRule="auto"/>
        <w:ind w:left="2268"/>
        <w:jc w:val="both"/>
        <w:rPr>
          <w:rFonts w:ascii="Times New Roman" w:eastAsia="Times New Roman" w:hAnsi="Times New Roman" w:cs="Times New Roman"/>
          <w:sz w:val="24"/>
          <w:szCs w:val="24"/>
          <w:lang w:eastAsia="pt-BR"/>
        </w:rPr>
      </w:pPr>
      <w:r w:rsidRPr="000D556A">
        <w:rPr>
          <w:rFonts w:ascii="Times New Roman" w:eastAsia="Times New Roman" w:hAnsi="Times New Roman" w:cs="Times New Roman"/>
          <w:color w:val="000000"/>
          <w:sz w:val="24"/>
          <w:szCs w:val="24"/>
          <w:lang w:eastAsia="pt-BR"/>
        </w:rPr>
        <w:t xml:space="preserve">O artigo 102 da LOMAN traça o universo de magistrados elegíveis para esses cargos, fixando condição de elegibilidade (critério de antiguidade) e causa de inelegibilidade (quem tiver </w:t>
      </w:r>
      <w:r w:rsidRPr="000D556A">
        <w:rPr>
          <w:rFonts w:ascii="Times New Roman" w:eastAsia="Times New Roman" w:hAnsi="Times New Roman" w:cs="Times New Roman"/>
          <w:color w:val="000000"/>
          <w:sz w:val="24"/>
          <w:szCs w:val="24"/>
          <w:lang w:eastAsia="pt-BR"/>
        </w:rPr>
        <w:lastRenderedPageBreak/>
        <w:t>exercido quaisquer cargos de direção por quatro anos, ou o de Presidente). O universo de elegíveis é delimitado pela presença da condição de elegibilidade e, concomitantemente, pela ausência da causa de inelegibilidade. Normas regimentais de Tribunais que, de alguma forma, alterem esses critérios violam o comando veiculado pelo artigo 102 da LOMAN.</w:t>
      </w:r>
    </w:p>
    <w:p w:rsidR="001C5860" w:rsidRPr="000D556A" w:rsidRDefault="001C5860" w:rsidP="001C5860">
      <w:pPr>
        <w:spacing w:before="100" w:beforeAutospacing="1" w:after="100" w:afterAutospacing="1" w:line="240" w:lineRule="auto"/>
        <w:ind w:left="2268"/>
        <w:jc w:val="both"/>
        <w:rPr>
          <w:rFonts w:ascii="Times New Roman" w:eastAsia="Times New Roman" w:hAnsi="Times New Roman" w:cs="Times New Roman"/>
          <w:sz w:val="24"/>
          <w:szCs w:val="24"/>
          <w:lang w:eastAsia="pt-BR"/>
        </w:rPr>
      </w:pPr>
      <w:r w:rsidRPr="000D556A">
        <w:rPr>
          <w:rFonts w:ascii="Times New Roman" w:eastAsia="Times New Roman" w:hAnsi="Times New Roman" w:cs="Times New Roman"/>
          <w:color w:val="000000"/>
          <w:sz w:val="24"/>
          <w:szCs w:val="24"/>
          <w:lang w:eastAsia="pt-BR"/>
        </w:rPr>
        <w:t xml:space="preserve">Pedido julgado procedente. (STF - </w:t>
      </w:r>
      <w:proofErr w:type="spellStart"/>
      <w:r w:rsidRPr="000D556A">
        <w:rPr>
          <w:rFonts w:ascii="Times New Roman" w:eastAsia="Times New Roman" w:hAnsi="Times New Roman" w:cs="Times New Roman"/>
          <w:color w:val="000000"/>
          <w:sz w:val="24"/>
          <w:szCs w:val="24"/>
          <w:lang w:eastAsia="pt-BR"/>
        </w:rPr>
        <w:t>Rcl</w:t>
      </w:r>
      <w:proofErr w:type="spellEnd"/>
      <w:r w:rsidRPr="000D556A">
        <w:rPr>
          <w:rFonts w:ascii="Times New Roman" w:eastAsia="Times New Roman" w:hAnsi="Times New Roman" w:cs="Times New Roman"/>
          <w:color w:val="000000"/>
          <w:sz w:val="24"/>
          <w:szCs w:val="24"/>
          <w:lang w:eastAsia="pt-BR"/>
        </w:rPr>
        <w:t xml:space="preserve"> 8.025, relator Ministro Eros Grau)</w:t>
      </w:r>
    </w:p>
    <w:p w:rsidR="001C5860" w:rsidRPr="000D556A" w:rsidRDefault="001C5860" w:rsidP="001C5860">
      <w:pPr>
        <w:spacing w:before="100" w:beforeAutospacing="1" w:after="100" w:afterAutospacing="1" w:line="240" w:lineRule="auto"/>
        <w:ind w:left="2268"/>
        <w:jc w:val="both"/>
        <w:rPr>
          <w:rFonts w:ascii="Times New Roman" w:eastAsia="Times New Roman" w:hAnsi="Times New Roman" w:cs="Times New Roman"/>
          <w:sz w:val="24"/>
          <w:szCs w:val="24"/>
          <w:lang w:eastAsia="pt-BR"/>
        </w:rPr>
      </w:pPr>
      <w:r w:rsidRPr="000D556A">
        <w:rPr>
          <w:rFonts w:ascii="Times New Roman" w:eastAsia="Times New Roman" w:hAnsi="Times New Roman" w:cs="Times New Roman"/>
          <w:color w:val="000000"/>
          <w:sz w:val="24"/>
          <w:szCs w:val="24"/>
          <w:lang w:eastAsia="pt-BR"/>
        </w:rPr>
        <w:t> </w:t>
      </w:r>
    </w:p>
    <w:p w:rsidR="001C5860" w:rsidRPr="000D556A" w:rsidRDefault="001C5860" w:rsidP="001C5860">
      <w:pPr>
        <w:spacing w:before="100" w:beforeAutospacing="1" w:after="100" w:afterAutospacing="1" w:line="240" w:lineRule="auto"/>
        <w:ind w:left="2268"/>
        <w:jc w:val="both"/>
        <w:rPr>
          <w:rFonts w:ascii="Times New Roman" w:eastAsia="Times New Roman" w:hAnsi="Times New Roman" w:cs="Times New Roman"/>
          <w:sz w:val="24"/>
          <w:szCs w:val="24"/>
          <w:lang w:eastAsia="pt-BR"/>
        </w:rPr>
      </w:pPr>
      <w:r w:rsidRPr="000D556A">
        <w:rPr>
          <w:rFonts w:ascii="Times New Roman" w:eastAsia="Times New Roman" w:hAnsi="Times New Roman" w:cs="Times New Roman"/>
          <w:color w:val="000000"/>
          <w:sz w:val="24"/>
          <w:szCs w:val="24"/>
          <w:lang w:eastAsia="pt-BR"/>
        </w:rPr>
        <w:t xml:space="preserve">EMENTA CONSTITUCIONAL E ADMINISTRATIVO – MANDADO DE SEGURANÇA - ORDENAÇÃO NORMATIVA DOS TRIBUNAIS – LOMAN - REGIMENTO INTERNO – ELEIÇÃO DE PRESIDENTE – CONDIÇÕES DE ELEGIBILIDADE – CARGO DE VICE-CORREGEDOR - SEGURANÇA DENEGADA POR MAIORIA. 1. A condição de candidato elegível para cargo de direção de tribunal confere-lhe pretensão a ser deduzida em juízo, possuindo legitimidade para propositura do </w:t>
      </w:r>
      <w:proofErr w:type="spellStart"/>
      <w:r w:rsidRPr="000D556A">
        <w:rPr>
          <w:rFonts w:ascii="Times New Roman" w:eastAsia="Times New Roman" w:hAnsi="Times New Roman" w:cs="Times New Roman"/>
          <w:color w:val="000000"/>
          <w:sz w:val="24"/>
          <w:szCs w:val="24"/>
          <w:lang w:eastAsia="pt-BR"/>
        </w:rPr>
        <w:t>mandamus</w:t>
      </w:r>
      <w:proofErr w:type="spellEnd"/>
      <w:r w:rsidRPr="000D556A">
        <w:rPr>
          <w:rFonts w:ascii="Times New Roman" w:eastAsia="Times New Roman" w:hAnsi="Times New Roman" w:cs="Times New Roman"/>
          <w:color w:val="000000"/>
          <w:sz w:val="24"/>
          <w:szCs w:val="24"/>
          <w:lang w:eastAsia="pt-BR"/>
        </w:rPr>
        <w:t xml:space="preserve">. 2. O objeto da impetração é apreciar os limites dos poderes normativos (ou </w:t>
      </w:r>
      <w:proofErr w:type="spellStart"/>
      <w:r w:rsidRPr="000D556A">
        <w:rPr>
          <w:rFonts w:ascii="Times New Roman" w:eastAsia="Times New Roman" w:hAnsi="Times New Roman" w:cs="Times New Roman"/>
          <w:color w:val="000000"/>
          <w:sz w:val="24"/>
          <w:szCs w:val="24"/>
          <w:lang w:eastAsia="pt-BR"/>
        </w:rPr>
        <w:t>nomogenéticos</w:t>
      </w:r>
      <w:proofErr w:type="spellEnd"/>
      <w:r w:rsidRPr="000D556A">
        <w:rPr>
          <w:rFonts w:ascii="Times New Roman" w:eastAsia="Times New Roman" w:hAnsi="Times New Roman" w:cs="Times New Roman"/>
          <w:color w:val="000000"/>
          <w:sz w:val="24"/>
          <w:szCs w:val="24"/>
          <w:lang w:eastAsia="pt-BR"/>
        </w:rPr>
        <w:t xml:space="preserve">, para ser mais preciso) dos tribunais - o que se radica no papel dos regimentos internos -, é interpretar o art. 102 da Lei Orgânica da Magistratura Nacional, à luz do texto constitucional. 3. O espaço normativo dos regimentos internos dos tribunais é expressão da garantia constitucional de sua autonomia orgânico-administrativa (art. 96, I, “a”, CF/88), compreensiva da “independência na estruturação e funcionamento de seus órgãos”. 4. A prerrogativa de elaborar o Estatuto da Magistratura, cometida ao STF pelo constituinte originário (art. 93, caput, CF/88), tem função constritiva da liberdade </w:t>
      </w:r>
      <w:proofErr w:type="spellStart"/>
      <w:r w:rsidRPr="000D556A">
        <w:rPr>
          <w:rFonts w:ascii="Times New Roman" w:eastAsia="Times New Roman" w:hAnsi="Times New Roman" w:cs="Times New Roman"/>
          <w:color w:val="000000"/>
          <w:sz w:val="24"/>
          <w:szCs w:val="24"/>
          <w:lang w:eastAsia="pt-BR"/>
        </w:rPr>
        <w:t>nomogenética</w:t>
      </w:r>
      <w:proofErr w:type="spellEnd"/>
      <w:r w:rsidRPr="000D556A">
        <w:rPr>
          <w:rFonts w:ascii="Times New Roman" w:eastAsia="Times New Roman" w:hAnsi="Times New Roman" w:cs="Times New Roman"/>
          <w:color w:val="000000"/>
          <w:sz w:val="24"/>
          <w:szCs w:val="24"/>
          <w:lang w:eastAsia="pt-BR"/>
        </w:rPr>
        <w:t xml:space="preserve"> dos tribunais. 5. Há reserva constitucional para o domínio de lei complementar no que concerne ao processo eleitoral nos tribunais, estando a caracterização dos loci diretivos, para fins de elegibilidade, adstrita aos três cargos, dispostos em </w:t>
      </w:r>
      <w:proofErr w:type="spellStart"/>
      <w:r w:rsidRPr="000D556A">
        <w:rPr>
          <w:rFonts w:ascii="Times New Roman" w:eastAsia="Times New Roman" w:hAnsi="Times New Roman" w:cs="Times New Roman"/>
          <w:color w:val="000000"/>
          <w:sz w:val="24"/>
          <w:szCs w:val="24"/>
          <w:lang w:eastAsia="pt-BR"/>
        </w:rPr>
        <w:t>numerus</w:t>
      </w:r>
      <w:proofErr w:type="spellEnd"/>
      <w:r w:rsidRPr="000D556A">
        <w:rPr>
          <w:rFonts w:ascii="Times New Roman" w:eastAsia="Times New Roman" w:hAnsi="Times New Roman" w:cs="Times New Roman"/>
          <w:color w:val="000000"/>
          <w:sz w:val="24"/>
          <w:szCs w:val="24"/>
          <w:lang w:eastAsia="pt-BR"/>
        </w:rPr>
        <w:t xml:space="preserve"> </w:t>
      </w:r>
      <w:proofErr w:type="spellStart"/>
      <w:r w:rsidRPr="000D556A">
        <w:rPr>
          <w:rFonts w:ascii="Times New Roman" w:eastAsia="Times New Roman" w:hAnsi="Times New Roman" w:cs="Times New Roman"/>
          <w:color w:val="000000"/>
          <w:sz w:val="24"/>
          <w:szCs w:val="24"/>
          <w:lang w:eastAsia="pt-BR"/>
        </w:rPr>
        <w:t>clausus</w:t>
      </w:r>
      <w:proofErr w:type="spellEnd"/>
      <w:r w:rsidRPr="000D556A">
        <w:rPr>
          <w:rFonts w:ascii="Times New Roman" w:eastAsia="Times New Roman" w:hAnsi="Times New Roman" w:cs="Times New Roman"/>
          <w:color w:val="000000"/>
          <w:sz w:val="24"/>
          <w:szCs w:val="24"/>
          <w:lang w:eastAsia="pt-BR"/>
        </w:rPr>
        <w:t xml:space="preserve">, no art. 99 da LOMAN. 6. Não se encarta no poder </w:t>
      </w:r>
      <w:proofErr w:type="spellStart"/>
      <w:r w:rsidRPr="000D556A">
        <w:rPr>
          <w:rFonts w:ascii="Times New Roman" w:eastAsia="Times New Roman" w:hAnsi="Times New Roman" w:cs="Times New Roman"/>
          <w:color w:val="000000"/>
          <w:sz w:val="24"/>
          <w:szCs w:val="24"/>
          <w:lang w:eastAsia="pt-BR"/>
        </w:rPr>
        <w:t>nomogenético</w:t>
      </w:r>
      <w:proofErr w:type="spellEnd"/>
      <w:r w:rsidRPr="000D556A">
        <w:rPr>
          <w:rFonts w:ascii="Times New Roman" w:eastAsia="Times New Roman" w:hAnsi="Times New Roman" w:cs="Times New Roman"/>
          <w:color w:val="000000"/>
          <w:sz w:val="24"/>
          <w:szCs w:val="24"/>
          <w:lang w:eastAsia="pt-BR"/>
        </w:rPr>
        <w:t xml:space="preserve"> dos tribunais dispor além do que prescrito no art. 102 da LOMAN, no que se conecta aos requisitos de elegibilidade. 7. A </w:t>
      </w:r>
      <w:proofErr w:type="spellStart"/>
      <w:r w:rsidRPr="000D556A">
        <w:rPr>
          <w:rFonts w:ascii="Times New Roman" w:eastAsia="Times New Roman" w:hAnsi="Times New Roman" w:cs="Times New Roman"/>
          <w:color w:val="000000"/>
          <w:sz w:val="24"/>
          <w:szCs w:val="24"/>
          <w:lang w:eastAsia="pt-BR"/>
        </w:rPr>
        <w:t>departição</w:t>
      </w:r>
      <w:proofErr w:type="spellEnd"/>
      <w:r w:rsidRPr="000D556A">
        <w:rPr>
          <w:rFonts w:ascii="Times New Roman" w:eastAsia="Times New Roman" w:hAnsi="Times New Roman" w:cs="Times New Roman"/>
          <w:color w:val="000000"/>
          <w:sz w:val="24"/>
          <w:szCs w:val="24"/>
          <w:lang w:eastAsia="pt-BR"/>
        </w:rPr>
        <w:t xml:space="preserve"> de funções, nomes jurídicos ou atribuições, nos regimentos internos dos tribunais, não pode ser excogitado como critério diferenciador razoável e susceptível de quebra da isonomia entre os postulantes de cargo diretivo. 8. Votos Vencidos: Possibilidade de situações específicas do Poder Judiciário local virem disciplinadas no regimento interno, com a repartição dos poderes de direção entre outros órgãos do tribunal, como expressão de sua autonomia orgânico-administrativa (art. 103, LOMAN). É indiferente à identificação de cargo de direção o nomen juris manifesto, pois realiza-se pela compreensão das atribuições regimentais dispensadas ao titular, que possui competências </w:t>
      </w:r>
      <w:r w:rsidRPr="000D556A">
        <w:rPr>
          <w:rFonts w:ascii="Times New Roman" w:eastAsia="Times New Roman" w:hAnsi="Times New Roman" w:cs="Times New Roman"/>
          <w:color w:val="000000"/>
          <w:sz w:val="24"/>
          <w:szCs w:val="24"/>
          <w:lang w:eastAsia="pt-BR"/>
        </w:rPr>
        <w:lastRenderedPageBreak/>
        <w:t xml:space="preserve">específicas originárias. Ausência de hierarquia entre os cargos de Corregedor e </w:t>
      </w:r>
      <w:proofErr w:type="spellStart"/>
      <w:r w:rsidRPr="000D556A">
        <w:rPr>
          <w:rFonts w:ascii="Times New Roman" w:eastAsia="Times New Roman" w:hAnsi="Times New Roman" w:cs="Times New Roman"/>
          <w:color w:val="000000"/>
          <w:sz w:val="24"/>
          <w:szCs w:val="24"/>
          <w:lang w:eastAsia="pt-BR"/>
        </w:rPr>
        <w:t>Vice-Corregedor</w:t>
      </w:r>
      <w:proofErr w:type="spellEnd"/>
      <w:r w:rsidRPr="000D556A">
        <w:rPr>
          <w:rFonts w:ascii="Times New Roman" w:eastAsia="Times New Roman" w:hAnsi="Times New Roman" w:cs="Times New Roman"/>
          <w:color w:val="000000"/>
          <w:sz w:val="24"/>
          <w:szCs w:val="24"/>
          <w:lang w:eastAsia="pt-BR"/>
        </w:rPr>
        <w:t xml:space="preserve"> a evidenciar fraude à Constituição Federal. 9. Segurança denegada por </w:t>
      </w:r>
      <w:proofErr w:type="gramStart"/>
      <w:r w:rsidRPr="000D556A">
        <w:rPr>
          <w:rFonts w:ascii="Times New Roman" w:eastAsia="Times New Roman" w:hAnsi="Times New Roman" w:cs="Times New Roman"/>
          <w:color w:val="000000"/>
          <w:sz w:val="24"/>
          <w:szCs w:val="24"/>
          <w:lang w:eastAsia="pt-BR"/>
        </w:rPr>
        <w:t>maioria.(</w:t>
      </w:r>
      <w:proofErr w:type="gramEnd"/>
      <w:r w:rsidRPr="000D556A">
        <w:rPr>
          <w:rFonts w:ascii="Times New Roman" w:eastAsia="Times New Roman" w:hAnsi="Times New Roman" w:cs="Times New Roman"/>
          <w:color w:val="000000"/>
          <w:sz w:val="24"/>
          <w:szCs w:val="24"/>
          <w:lang w:eastAsia="pt-BR"/>
        </w:rPr>
        <w:t xml:space="preserve">STF - MS 28.447, relator Ministros Dias </w:t>
      </w:r>
      <w:proofErr w:type="spellStart"/>
      <w:r w:rsidRPr="000D556A">
        <w:rPr>
          <w:rFonts w:ascii="Times New Roman" w:eastAsia="Times New Roman" w:hAnsi="Times New Roman" w:cs="Times New Roman"/>
          <w:color w:val="000000"/>
          <w:sz w:val="24"/>
          <w:szCs w:val="24"/>
          <w:lang w:eastAsia="pt-BR"/>
        </w:rPr>
        <w:t>Toffoli</w:t>
      </w:r>
      <w:proofErr w:type="spellEnd"/>
      <w:r w:rsidRPr="000D556A">
        <w:rPr>
          <w:rFonts w:ascii="Times New Roman" w:eastAsia="Times New Roman" w:hAnsi="Times New Roman" w:cs="Times New Roman"/>
          <w:color w:val="000000"/>
          <w:sz w:val="24"/>
          <w:szCs w:val="24"/>
          <w:lang w:eastAsia="pt-BR"/>
        </w:rPr>
        <w:t>)</w:t>
      </w:r>
    </w:p>
    <w:p w:rsidR="001C5860" w:rsidRPr="000D556A" w:rsidRDefault="001C5860" w:rsidP="001C5860">
      <w:pPr>
        <w:spacing w:before="100" w:beforeAutospacing="1" w:after="100" w:afterAutospacing="1" w:line="240" w:lineRule="auto"/>
        <w:ind w:left="2268"/>
        <w:rPr>
          <w:rFonts w:ascii="Times New Roman" w:eastAsia="Times New Roman" w:hAnsi="Times New Roman" w:cs="Times New Roman"/>
          <w:sz w:val="24"/>
          <w:szCs w:val="24"/>
          <w:lang w:eastAsia="pt-BR"/>
        </w:rPr>
      </w:pPr>
      <w:r w:rsidRPr="000D556A">
        <w:rPr>
          <w:rFonts w:ascii="Times New Roman" w:eastAsia="Times New Roman" w:hAnsi="Times New Roman" w:cs="Times New Roman"/>
          <w:color w:val="000000"/>
          <w:sz w:val="24"/>
          <w:szCs w:val="24"/>
          <w:lang w:eastAsia="pt-BR"/>
        </w:rPr>
        <w:t> </w:t>
      </w:r>
    </w:p>
    <w:p w:rsidR="001C5860" w:rsidRPr="000D556A" w:rsidRDefault="001C5860" w:rsidP="001C5860">
      <w:pPr>
        <w:spacing w:before="100" w:beforeAutospacing="1" w:after="100" w:afterAutospacing="1" w:line="240" w:lineRule="auto"/>
        <w:ind w:left="2268"/>
        <w:jc w:val="both"/>
        <w:rPr>
          <w:rFonts w:ascii="Times New Roman" w:eastAsia="Times New Roman" w:hAnsi="Times New Roman" w:cs="Times New Roman"/>
          <w:sz w:val="24"/>
          <w:szCs w:val="24"/>
          <w:lang w:eastAsia="pt-BR"/>
        </w:rPr>
      </w:pPr>
      <w:r w:rsidRPr="000D556A">
        <w:rPr>
          <w:rFonts w:ascii="Times New Roman" w:eastAsia="Times New Roman" w:hAnsi="Times New Roman" w:cs="Times New Roman"/>
          <w:color w:val="000000"/>
          <w:sz w:val="24"/>
          <w:szCs w:val="24"/>
          <w:lang w:eastAsia="pt-BR"/>
        </w:rPr>
        <w:t xml:space="preserve">EMENTA: MAGISTRATURA. Tribunal. Membros dos órgãos diretivos. Presidente, Vice-Presidente e Corregedor-Geral. Eleição. Universo dos magistrados elegíveis. Previsão regimental de elegibilidade de todos os integrantes do Órgão Especial. Inadmissibilidade. Temática institucional. Matéria de competência legislativa reservada à Lei Orgânica da Magistratura e ao Estatuto da Magistratura. Ofensa ao art. 93, caput, da Constituição Federal. Inteligência do art. 96, inc. I, letra a, da Constituição Federal. Recepção e vigência do art. 102 da Lei Complementar federal nº 35, de 14 de março de 1979 - LOMAN. Ação direta de inconstitucionalidade julgada, por unanimidade, prejudicada quanto ao § 1º, e, improcedente quanto ao caput, ambos do art. 4º da Lei nº 7.727/89. Ação julgada procedente, contra o voto do Relator sorteado, quanto aos </w:t>
      </w:r>
      <w:proofErr w:type="spellStart"/>
      <w:r w:rsidRPr="000D556A">
        <w:rPr>
          <w:rFonts w:ascii="Times New Roman" w:eastAsia="Times New Roman" w:hAnsi="Times New Roman" w:cs="Times New Roman"/>
          <w:color w:val="000000"/>
          <w:sz w:val="24"/>
          <w:szCs w:val="24"/>
          <w:lang w:eastAsia="pt-BR"/>
        </w:rPr>
        <w:t>arts</w:t>
      </w:r>
      <w:proofErr w:type="spellEnd"/>
      <w:r w:rsidRPr="000D556A">
        <w:rPr>
          <w:rFonts w:ascii="Times New Roman" w:eastAsia="Times New Roman" w:hAnsi="Times New Roman" w:cs="Times New Roman"/>
          <w:color w:val="000000"/>
          <w:sz w:val="24"/>
          <w:szCs w:val="24"/>
          <w:lang w:eastAsia="pt-BR"/>
        </w:rPr>
        <w:t>. 3º, caput, e 11, inc. I, letra a, do Regimento Interno do Tribunal Regional Federal da 3ª Região. São inconstitucionais as normas de Regimento Interno de tribunal que disponham sobre o universo dos magistrados elegíveis para seus órgãos de direção. (STF - ADI 3.566, relator Ministro Joaquim Barbosa)</w:t>
      </w:r>
    </w:p>
    <w:p w:rsidR="001C5860" w:rsidRPr="000D556A" w:rsidRDefault="001C5860" w:rsidP="001C5860">
      <w:pPr>
        <w:spacing w:before="100" w:beforeAutospacing="1" w:after="100" w:afterAutospacing="1" w:line="240" w:lineRule="auto"/>
        <w:ind w:left="2268"/>
        <w:jc w:val="both"/>
        <w:rPr>
          <w:rFonts w:ascii="Times New Roman" w:eastAsia="Times New Roman" w:hAnsi="Times New Roman" w:cs="Times New Roman"/>
          <w:sz w:val="24"/>
          <w:szCs w:val="24"/>
          <w:lang w:eastAsia="pt-BR"/>
        </w:rPr>
      </w:pPr>
      <w:r w:rsidRPr="000D556A">
        <w:rPr>
          <w:rFonts w:ascii="Times New Roman" w:eastAsia="Times New Roman" w:hAnsi="Times New Roman" w:cs="Times New Roman"/>
          <w:color w:val="000000"/>
          <w:sz w:val="24"/>
          <w:szCs w:val="24"/>
          <w:lang w:eastAsia="pt-BR"/>
        </w:rPr>
        <w:t> </w:t>
      </w:r>
    </w:p>
    <w:p w:rsidR="001C5860" w:rsidRPr="000D556A" w:rsidRDefault="001C5860" w:rsidP="001C5860">
      <w:pPr>
        <w:spacing w:before="100" w:beforeAutospacing="1" w:after="100" w:afterAutospacing="1" w:line="240" w:lineRule="auto"/>
        <w:ind w:left="2268"/>
        <w:jc w:val="both"/>
        <w:rPr>
          <w:rFonts w:ascii="Times New Roman" w:eastAsia="Times New Roman" w:hAnsi="Times New Roman" w:cs="Times New Roman"/>
          <w:sz w:val="24"/>
          <w:szCs w:val="24"/>
          <w:lang w:eastAsia="pt-BR"/>
        </w:rPr>
      </w:pPr>
      <w:r w:rsidRPr="000D556A">
        <w:rPr>
          <w:rFonts w:ascii="Times New Roman" w:eastAsia="Times New Roman" w:hAnsi="Times New Roman" w:cs="Times New Roman"/>
          <w:color w:val="000000"/>
          <w:sz w:val="24"/>
          <w:szCs w:val="24"/>
          <w:lang w:eastAsia="pt-BR"/>
        </w:rPr>
        <w:t>RECURSO ADMINISTRATIVO EM PEDIDO DE PROVIDÊNCIAS. TRIBUNAL DE JUSTIÇA DO ESTADO DE SÃO PAULO (TJSP). ELEIÇÃO PARA OS CARGOS DE DIREÇÃO DO TRIBUNAL. VEDAÇÃO À REELEIÇÃO. ART. 102 DA LOMAN. LIMINAR DEFERIDA E RATIFICADA PELO PLENÁRIO. AUSÊNCIA DE OUTRAS PROVIDÊNCIAS A SEREM DETERMINADAS. DECISÃO MONOCRÁTICA DE ARQUIVAMENTO. AUSÊNCIA DE FUNDAMENTOS PARA A REVISÃO EM GRAU DE RECURSO. RECURSO ADMINISTRATIVO DESPROVIDO. (CNJ - PP 6153-25.2013, relator Conselheiro Fabiano Silveira)</w:t>
      </w:r>
    </w:p>
    <w:p w:rsidR="001C5860" w:rsidRPr="000D556A" w:rsidRDefault="001C5860" w:rsidP="001C5860">
      <w:pPr>
        <w:spacing w:before="100" w:beforeAutospacing="1" w:after="100" w:afterAutospacing="1" w:line="360" w:lineRule="atLeast"/>
        <w:ind w:firstLine="491"/>
        <w:jc w:val="both"/>
        <w:rPr>
          <w:rFonts w:ascii="Times New Roman" w:eastAsia="Times New Roman" w:hAnsi="Times New Roman" w:cs="Times New Roman"/>
          <w:sz w:val="24"/>
          <w:szCs w:val="24"/>
          <w:lang w:eastAsia="pt-BR"/>
        </w:rPr>
      </w:pPr>
      <w:r w:rsidRPr="000D556A">
        <w:rPr>
          <w:rFonts w:ascii="Candara" w:eastAsia="Times New Roman" w:hAnsi="Candara" w:cs="Times New Roman"/>
          <w:color w:val="000000"/>
          <w:sz w:val="26"/>
          <w:szCs w:val="26"/>
          <w:lang w:eastAsia="pt-BR"/>
        </w:rPr>
        <w:t> </w:t>
      </w:r>
    </w:p>
    <w:p w:rsidR="001C5860" w:rsidRPr="000D556A" w:rsidRDefault="001C5860" w:rsidP="001C5860">
      <w:pPr>
        <w:spacing w:before="100" w:beforeAutospacing="1" w:after="100" w:afterAutospacing="1" w:line="360" w:lineRule="atLeast"/>
        <w:ind w:firstLine="491"/>
        <w:jc w:val="both"/>
        <w:rPr>
          <w:rFonts w:ascii="Times New Roman" w:eastAsia="Times New Roman" w:hAnsi="Times New Roman" w:cs="Times New Roman"/>
          <w:sz w:val="24"/>
          <w:szCs w:val="24"/>
          <w:lang w:eastAsia="pt-BR"/>
        </w:rPr>
      </w:pPr>
      <w:r w:rsidRPr="000D556A">
        <w:rPr>
          <w:rFonts w:ascii="Candara" w:eastAsia="Times New Roman" w:hAnsi="Candara" w:cs="Times New Roman"/>
          <w:color w:val="000000"/>
          <w:sz w:val="26"/>
          <w:szCs w:val="26"/>
          <w:lang w:eastAsia="pt-BR"/>
        </w:rPr>
        <w:t xml:space="preserve">Por outro lado, não há dúvida de que compete ao Conselho Nacional de Justiça, no exercício de suas funções como órgão de controle administrativo do Poder Judiciário, zelar pela legalidade e higidez das eleições para </w:t>
      </w:r>
      <w:r w:rsidRPr="000D556A">
        <w:rPr>
          <w:rFonts w:ascii="Candara" w:eastAsia="Times New Roman" w:hAnsi="Candara" w:cs="Times New Roman"/>
          <w:color w:val="000000"/>
          <w:sz w:val="26"/>
          <w:szCs w:val="26"/>
          <w:lang w:eastAsia="pt-BR"/>
        </w:rPr>
        <w:lastRenderedPageBreak/>
        <w:t>preenchimento dos cargos de direção dos tribunais, contrapondo-se a quaisquer manipulações ou alterações abruptas.</w:t>
      </w:r>
    </w:p>
    <w:p w:rsidR="001C5860" w:rsidRPr="000D556A" w:rsidRDefault="001C5860" w:rsidP="001C5860">
      <w:pPr>
        <w:spacing w:before="100" w:beforeAutospacing="1" w:after="100" w:afterAutospacing="1" w:line="360" w:lineRule="atLeast"/>
        <w:ind w:firstLine="491"/>
        <w:jc w:val="both"/>
        <w:rPr>
          <w:rFonts w:ascii="Times New Roman" w:eastAsia="Times New Roman" w:hAnsi="Times New Roman" w:cs="Times New Roman"/>
          <w:sz w:val="24"/>
          <w:szCs w:val="24"/>
          <w:lang w:eastAsia="pt-BR"/>
        </w:rPr>
      </w:pPr>
      <w:r w:rsidRPr="000D556A">
        <w:rPr>
          <w:rFonts w:ascii="Candara" w:eastAsia="Times New Roman" w:hAnsi="Candara" w:cs="Times New Roman"/>
          <w:color w:val="000000"/>
          <w:sz w:val="26"/>
          <w:szCs w:val="26"/>
          <w:lang w:eastAsia="pt-BR"/>
        </w:rPr>
        <w:t>Quanto ao perigo da demora, indico que apesar de ainda não terem sido abertas as inscrições para o processo eletivo do TJRJ, sua presidente, nas informações prestadas, indicou que a eleição deverá ser feita até meados de dezembro. Portanto, noto a presença de prejuízos para o regular transcurso do processo eleitoral, caso sejam inscritos desembargadores que houverem ocupado cargos diretivos no tribunal requerido.</w:t>
      </w:r>
    </w:p>
    <w:p w:rsidR="001C5860" w:rsidRPr="000D556A" w:rsidRDefault="001C5860" w:rsidP="001C5860">
      <w:pPr>
        <w:spacing w:before="100" w:beforeAutospacing="1" w:after="100" w:afterAutospacing="1" w:line="360" w:lineRule="atLeast"/>
        <w:ind w:firstLine="491"/>
        <w:jc w:val="both"/>
        <w:rPr>
          <w:rFonts w:ascii="Times New Roman" w:eastAsia="Times New Roman" w:hAnsi="Times New Roman" w:cs="Times New Roman"/>
          <w:sz w:val="24"/>
          <w:szCs w:val="24"/>
          <w:lang w:eastAsia="pt-BR"/>
        </w:rPr>
      </w:pPr>
      <w:r w:rsidRPr="000D556A">
        <w:rPr>
          <w:rFonts w:ascii="Candara" w:eastAsia="Times New Roman" w:hAnsi="Candara" w:cs="Times New Roman"/>
          <w:color w:val="000000"/>
          <w:sz w:val="26"/>
          <w:szCs w:val="26"/>
          <w:lang w:eastAsia="pt-BR"/>
        </w:rPr>
        <w:t>Por outro lado, a demora na providência aqui requerida de modo liminar, poderia conturbar as eleições criando expectativas sobre o conjunto dos eleitores, sem abrigo legal, comprometendo-se, em última análise, até mesmo a legitimidade das eleições.</w:t>
      </w:r>
    </w:p>
    <w:p w:rsidR="001C5860" w:rsidRPr="000D556A" w:rsidRDefault="001C5860" w:rsidP="001C5860">
      <w:pPr>
        <w:spacing w:before="100" w:beforeAutospacing="1" w:after="100" w:afterAutospacing="1" w:line="360" w:lineRule="atLeast"/>
        <w:ind w:firstLine="491"/>
        <w:jc w:val="both"/>
        <w:rPr>
          <w:rFonts w:ascii="Times New Roman" w:eastAsia="Times New Roman" w:hAnsi="Times New Roman" w:cs="Times New Roman"/>
          <w:sz w:val="24"/>
          <w:szCs w:val="24"/>
          <w:lang w:eastAsia="pt-BR"/>
        </w:rPr>
      </w:pPr>
      <w:r w:rsidRPr="000D556A">
        <w:rPr>
          <w:rFonts w:ascii="Candara" w:eastAsia="Times New Roman" w:hAnsi="Candara" w:cs="Times New Roman"/>
          <w:color w:val="000000"/>
          <w:sz w:val="26"/>
          <w:szCs w:val="26"/>
          <w:lang w:eastAsia="pt-BR"/>
        </w:rPr>
        <w:t> </w:t>
      </w:r>
    </w:p>
    <w:p w:rsidR="001C5860" w:rsidRPr="000D556A" w:rsidRDefault="001C5860" w:rsidP="001C5860">
      <w:pPr>
        <w:spacing w:before="100" w:beforeAutospacing="1" w:after="100" w:afterAutospacing="1" w:line="360" w:lineRule="atLeast"/>
        <w:ind w:firstLine="491"/>
        <w:jc w:val="both"/>
        <w:rPr>
          <w:rFonts w:ascii="Times New Roman" w:eastAsia="Times New Roman" w:hAnsi="Times New Roman" w:cs="Times New Roman"/>
          <w:sz w:val="24"/>
          <w:szCs w:val="24"/>
          <w:lang w:eastAsia="pt-BR"/>
        </w:rPr>
      </w:pPr>
      <w:r w:rsidRPr="000D556A">
        <w:rPr>
          <w:rFonts w:ascii="Candara" w:eastAsia="Times New Roman" w:hAnsi="Candara" w:cs="Times New Roman"/>
          <w:color w:val="000000"/>
          <w:sz w:val="26"/>
          <w:szCs w:val="26"/>
          <w:lang w:eastAsia="pt-BR"/>
        </w:rPr>
        <w:t>Com os fundamentos expostos, </w:t>
      </w:r>
      <w:r w:rsidRPr="000D556A">
        <w:rPr>
          <w:rFonts w:ascii="Candara" w:eastAsia="Times New Roman" w:hAnsi="Candara" w:cs="Times New Roman"/>
          <w:b/>
          <w:bCs/>
          <w:color w:val="000000"/>
          <w:sz w:val="26"/>
          <w:szCs w:val="26"/>
          <w:lang w:eastAsia="pt-BR"/>
        </w:rPr>
        <w:t>concedo a liminar requerida</w:t>
      </w:r>
      <w:r w:rsidRPr="000D556A">
        <w:rPr>
          <w:rFonts w:ascii="Candara" w:eastAsia="Times New Roman" w:hAnsi="Candara" w:cs="Times New Roman"/>
          <w:color w:val="000000"/>
          <w:sz w:val="26"/>
          <w:szCs w:val="26"/>
          <w:lang w:eastAsia="pt-BR"/>
        </w:rPr>
        <w:t> para suspender os efeitos do art. 3º, da Resolução TJ/TP/RJ n. 01/2014, tendo em vista a proibição de reeleição constante do </w:t>
      </w:r>
      <w:r w:rsidRPr="000D556A">
        <w:rPr>
          <w:rFonts w:ascii="Candara" w:eastAsia="Times New Roman" w:hAnsi="Candara" w:cs="Times New Roman"/>
          <w:i/>
          <w:iCs/>
          <w:color w:val="000000"/>
          <w:sz w:val="26"/>
          <w:szCs w:val="26"/>
          <w:lang w:eastAsia="pt-BR"/>
        </w:rPr>
        <w:t>caput </w:t>
      </w:r>
      <w:r w:rsidRPr="000D556A">
        <w:rPr>
          <w:rFonts w:ascii="Candara" w:eastAsia="Times New Roman" w:hAnsi="Candara" w:cs="Times New Roman"/>
          <w:color w:val="000000"/>
          <w:sz w:val="26"/>
          <w:szCs w:val="26"/>
          <w:lang w:eastAsia="pt-BR"/>
        </w:rPr>
        <w:t xml:space="preserve">do art. 102 da </w:t>
      </w:r>
      <w:proofErr w:type="spellStart"/>
      <w:r w:rsidRPr="000D556A">
        <w:rPr>
          <w:rFonts w:ascii="Candara" w:eastAsia="Times New Roman" w:hAnsi="Candara" w:cs="Times New Roman"/>
          <w:color w:val="000000"/>
          <w:sz w:val="26"/>
          <w:szCs w:val="26"/>
          <w:lang w:eastAsia="pt-BR"/>
        </w:rPr>
        <w:t>Loman</w:t>
      </w:r>
      <w:proofErr w:type="spellEnd"/>
      <w:r w:rsidRPr="000D556A">
        <w:rPr>
          <w:rFonts w:ascii="Candara" w:eastAsia="Times New Roman" w:hAnsi="Candara" w:cs="Times New Roman"/>
          <w:color w:val="000000"/>
          <w:sz w:val="26"/>
          <w:szCs w:val="26"/>
          <w:lang w:eastAsia="pt-BR"/>
        </w:rPr>
        <w:t>.</w:t>
      </w:r>
    </w:p>
    <w:p w:rsidR="001C5860" w:rsidRPr="000D556A" w:rsidRDefault="001C5860" w:rsidP="001C5860">
      <w:pPr>
        <w:spacing w:before="100" w:beforeAutospacing="1" w:after="100" w:afterAutospacing="1" w:line="360" w:lineRule="atLeast"/>
        <w:ind w:firstLine="491"/>
        <w:jc w:val="both"/>
        <w:rPr>
          <w:rFonts w:ascii="Times New Roman" w:eastAsia="Times New Roman" w:hAnsi="Times New Roman" w:cs="Times New Roman"/>
          <w:sz w:val="24"/>
          <w:szCs w:val="24"/>
          <w:lang w:eastAsia="pt-BR"/>
        </w:rPr>
      </w:pPr>
      <w:r w:rsidRPr="000D556A">
        <w:rPr>
          <w:rFonts w:ascii="Candara" w:eastAsia="Times New Roman" w:hAnsi="Candara" w:cs="Times New Roman"/>
          <w:color w:val="000000"/>
          <w:sz w:val="26"/>
          <w:szCs w:val="26"/>
          <w:lang w:eastAsia="pt-BR"/>
        </w:rPr>
        <w:t>Determino, ainda, que seja a presente decisão incluída na pauta da próxima sessão para referendo do Plenário, na forma do art. 25, XI, do Regimento Interno do Conselho Nacional de Justiça.</w:t>
      </w:r>
    </w:p>
    <w:p w:rsidR="001C5860" w:rsidRPr="000D556A" w:rsidRDefault="001C5860" w:rsidP="001C5860">
      <w:pPr>
        <w:spacing w:before="100" w:beforeAutospacing="1" w:after="100" w:afterAutospacing="1" w:line="360" w:lineRule="atLeast"/>
        <w:ind w:firstLine="491"/>
        <w:jc w:val="right"/>
        <w:rPr>
          <w:rFonts w:ascii="Times New Roman" w:eastAsia="Times New Roman" w:hAnsi="Times New Roman" w:cs="Times New Roman"/>
          <w:sz w:val="24"/>
          <w:szCs w:val="24"/>
          <w:lang w:eastAsia="pt-BR"/>
        </w:rPr>
      </w:pPr>
      <w:r w:rsidRPr="000D556A">
        <w:rPr>
          <w:rFonts w:ascii="Candara" w:eastAsia="Times New Roman" w:hAnsi="Candara" w:cs="Times New Roman"/>
          <w:color w:val="000000"/>
          <w:sz w:val="26"/>
          <w:szCs w:val="26"/>
          <w:lang w:eastAsia="pt-BR"/>
        </w:rPr>
        <w:t>Brasília/DF, 04 de novembro de 2014.</w:t>
      </w:r>
    </w:p>
    <w:p w:rsidR="001C5860" w:rsidRPr="000D556A" w:rsidRDefault="001C5860" w:rsidP="001C5860">
      <w:pPr>
        <w:spacing w:before="100" w:beforeAutospacing="1" w:after="100" w:afterAutospacing="1" w:line="240" w:lineRule="auto"/>
        <w:ind w:firstLine="491"/>
        <w:rPr>
          <w:rFonts w:ascii="Times New Roman" w:eastAsia="Times New Roman" w:hAnsi="Times New Roman" w:cs="Times New Roman"/>
          <w:sz w:val="24"/>
          <w:szCs w:val="24"/>
          <w:lang w:eastAsia="pt-BR"/>
        </w:rPr>
      </w:pPr>
      <w:r w:rsidRPr="000D556A">
        <w:rPr>
          <w:rFonts w:ascii="Candara" w:eastAsia="Times New Roman" w:hAnsi="Candara" w:cs="Times New Roman"/>
          <w:color w:val="000000"/>
          <w:sz w:val="26"/>
          <w:szCs w:val="26"/>
          <w:lang w:eastAsia="pt-BR"/>
        </w:rPr>
        <w:t> </w:t>
      </w:r>
    </w:p>
    <w:p w:rsidR="001C5860" w:rsidRPr="001C5860" w:rsidRDefault="001C5860" w:rsidP="001C5860">
      <w:pPr>
        <w:spacing w:before="100" w:beforeAutospacing="1" w:after="100" w:afterAutospacing="1" w:line="240" w:lineRule="auto"/>
        <w:ind w:firstLine="491"/>
        <w:jc w:val="center"/>
        <w:rPr>
          <w:rFonts w:ascii="Times New Roman" w:eastAsia="Times New Roman" w:hAnsi="Times New Roman" w:cs="Times New Roman"/>
          <w:sz w:val="24"/>
          <w:szCs w:val="24"/>
          <w:lang w:eastAsia="pt-BR"/>
        </w:rPr>
      </w:pPr>
      <w:r w:rsidRPr="000D556A">
        <w:rPr>
          <w:rFonts w:ascii="Candara" w:eastAsia="Times New Roman" w:hAnsi="Candara" w:cs="Times New Roman"/>
          <w:b/>
          <w:bCs/>
          <w:color w:val="000000"/>
          <w:sz w:val="26"/>
          <w:szCs w:val="26"/>
          <w:lang w:eastAsia="pt-BR"/>
        </w:rPr>
        <w:t>Conselheiro PAULO TEIXEIRA</w:t>
      </w:r>
      <w:r w:rsidRPr="000D556A">
        <w:rPr>
          <w:rFonts w:ascii="Candara" w:eastAsia="Times New Roman" w:hAnsi="Candara" w:cs="Times New Roman"/>
          <w:b/>
          <w:bCs/>
          <w:color w:val="000000"/>
          <w:sz w:val="26"/>
          <w:szCs w:val="26"/>
          <w:lang w:eastAsia="pt-BR"/>
        </w:rPr>
        <w:br/>
        <w:t>Relator</w:t>
      </w:r>
    </w:p>
    <w:p w:rsidR="004557CF" w:rsidRDefault="004557CF"/>
    <w:sectPr w:rsidR="004557CF">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ndara">
    <w:panose1 w:val="020E0502030303020204"/>
    <w:charset w:val="00"/>
    <w:family w:val="swiss"/>
    <w:pitch w:val="variable"/>
    <w:sig w:usb0="A00002EF" w:usb1="4000A44B"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5860"/>
    <w:rsid w:val="000507D7"/>
    <w:rsid w:val="00097965"/>
    <w:rsid w:val="000D556A"/>
    <w:rsid w:val="001B6FF6"/>
    <w:rsid w:val="001C5860"/>
    <w:rsid w:val="003872CF"/>
    <w:rsid w:val="004557C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8A6E1A1-64DD-4E80-A686-265E0D3F74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semiHidden/>
    <w:unhideWhenUsed/>
    <w:rsid w:val="001C5860"/>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1C5860"/>
    <w:rPr>
      <w:b/>
      <w:bCs/>
    </w:rPr>
  </w:style>
  <w:style w:type="character" w:styleId="Hyperlink">
    <w:name w:val="Hyperlink"/>
    <w:basedOn w:val="Fontepargpadro"/>
    <w:uiPriority w:val="99"/>
    <w:semiHidden/>
    <w:unhideWhenUsed/>
    <w:rsid w:val="001C5860"/>
    <w:rPr>
      <w:color w:val="0000FF"/>
      <w:u w:val="single"/>
    </w:rPr>
  </w:style>
  <w:style w:type="character" w:styleId="nfase">
    <w:name w:val="Emphasis"/>
    <w:basedOn w:val="Fontepargpadro"/>
    <w:uiPriority w:val="20"/>
    <w:qFormat/>
    <w:rsid w:val="001C586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4977052">
      <w:bodyDiv w:val="1"/>
      <w:marLeft w:val="0"/>
      <w:marRight w:val="0"/>
      <w:marTop w:val="0"/>
      <w:marBottom w:val="0"/>
      <w:divBdr>
        <w:top w:val="none" w:sz="0" w:space="0" w:color="auto"/>
        <w:left w:val="none" w:sz="0" w:space="0" w:color="auto"/>
        <w:bottom w:val="none" w:sz="0" w:space="0" w:color="auto"/>
        <w:right w:val="none" w:sz="0" w:space="0" w:color="auto"/>
      </w:divBdr>
    </w:div>
    <w:div w:id="222721836">
      <w:bodyDiv w:val="1"/>
      <w:marLeft w:val="0"/>
      <w:marRight w:val="0"/>
      <w:marTop w:val="0"/>
      <w:marBottom w:val="0"/>
      <w:divBdr>
        <w:top w:val="none" w:sz="0" w:space="0" w:color="auto"/>
        <w:left w:val="none" w:sz="0" w:space="0" w:color="auto"/>
        <w:bottom w:val="none" w:sz="0" w:space="0" w:color="auto"/>
        <w:right w:val="none" w:sz="0" w:space="0" w:color="auto"/>
      </w:divBdr>
    </w:div>
    <w:div w:id="447361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nj.jus.br/pjecnjinterno/Processo/ConsultaProcesso/Detalhe/detalheParte.seam?idProcessoTrf=56322&amp;pessoaHome=JOSE+ROBERTO+PORTUGAL+COMPASSO+-+CPF%3A+753.191.797-15+%28REQUERENTE%29&amp;id=161381" TargetMode="External"/><Relationship Id="rId3" Type="http://schemas.openxmlformats.org/officeDocument/2006/relationships/webSettings" Target="webSettings.xml"/><Relationship Id="rId7" Type="http://schemas.openxmlformats.org/officeDocument/2006/relationships/hyperlink" Target="https://www.cnj.jus.br/pjecnjinterno/Processo/ConsultaProcesso/Detalhe/detalheParte.seam?idProcessoTrf=56322&amp;pessoaHome=GILBERTO+CAMPISTA+GUARINO+-+CPF%3A+337.221.377-72+%28REQUERENTE%29&amp;id=16138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cnj.jus.br/pjecnjinterno/Processo/ConsultaProcesso/Detalhe/detalheParte.seam?idProcessoTrf=56322&amp;pessoaHome=MARCUS+QUARESMA+FERRAZ+-+CPF%3A+024.626.217-68+%28REQUERENTE%29&amp;id=161379" TargetMode="External"/><Relationship Id="rId5" Type="http://schemas.openxmlformats.org/officeDocument/2006/relationships/hyperlink" Target="https://www.cnj.jus.br/pjecnjinterno/Processo/ConsultaProcesso/Detalhe/detalheParte.seam?idProcessoTrf=56322&amp;pessoaHome=SIRO+DARLAN+DE+OLIVEIRA+-+CPF%3A+288.637.207-20+%28REQUERENTE%29&amp;id=161378" TargetMode="External"/><Relationship Id="rId10" Type="http://schemas.openxmlformats.org/officeDocument/2006/relationships/theme" Target="theme/theme1.xml"/><Relationship Id="rId4" Type="http://schemas.openxmlformats.org/officeDocument/2006/relationships/hyperlink" Target="https://www.cnj.jus.br/pjecnjinterno/Processo/ConsultaProcesso/Detalhe/detalheParte.seam?idProcessoTrf=56322&amp;pessoaHome=NAGIB+SLAIBI+FILHO+-+CPF%3A+186.569.867-91+%28REQUERENTE%29&amp;id=161377" TargetMode="Externa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2828</Words>
  <Characters>15275</Characters>
  <Application>Microsoft Office Word</Application>
  <DocSecurity>0</DocSecurity>
  <Lines>127</Lines>
  <Paragraphs>36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18067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Giselle Souza</dc:creator>
  <cp:keywords/>
  <dc:description/>
  <cp:lastModifiedBy>Giselle Souza</cp:lastModifiedBy>
  <cp:revision>3</cp:revision>
  <dcterms:created xsi:type="dcterms:W3CDTF">2014-11-05T00:08:00Z</dcterms:created>
  <dcterms:modified xsi:type="dcterms:W3CDTF">2014-11-05T00:08:00Z</dcterms:modified>
</cp:coreProperties>
</file>