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E8C" w:rsidRPr="00090E4C" w:rsidRDefault="00A61E8C" w:rsidP="00A61E8C">
      <w:pPr>
        <w:jc w:val="center"/>
        <w:rPr>
          <w:rFonts w:ascii="Book Antiqua" w:hAnsi="Book Antiqua"/>
          <w:b/>
        </w:rPr>
      </w:pPr>
      <w:r w:rsidRPr="00090E4C">
        <w:rPr>
          <w:rFonts w:ascii="Book Antiqua" w:hAnsi="Book Antiqua"/>
          <w:b/>
        </w:rPr>
        <w:t>Justiça Militar: Sinônimo de Segurança</w:t>
      </w:r>
    </w:p>
    <w:p w:rsidR="00A61E8C" w:rsidRPr="00090E4C" w:rsidRDefault="00A61E8C" w:rsidP="00A61E8C">
      <w:pPr>
        <w:rPr>
          <w:rFonts w:ascii="Book Antiqua" w:hAnsi="Book Antiqua"/>
        </w:rPr>
      </w:pPr>
    </w:p>
    <w:p w:rsidR="00A61E8C" w:rsidRPr="000E2094" w:rsidRDefault="00A61E8C" w:rsidP="00A61E8C">
      <w:pPr>
        <w:rPr>
          <w:rFonts w:ascii="Book Antiqua" w:hAnsi="Book Antiqua"/>
        </w:rPr>
      </w:pPr>
      <w:r w:rsidRPr="00090E4C">
        <w:rPr>
          <w:rFonts w:ascii="Book Antiqua" w:hAnsi="Book Antiqua"/>
        </w:rPr>
        <w:tab/>
        <w:t xml:space="preserve">A Justiça Militar, por sua nomenclatura, incomoda alguns que, </w:t>
      </w:r>
      <w:r w:rsidRPr="00090E4C">
        <w:rPr>
          <w:rFonts w:ascii="Book Antiqua" w:hAnsi="Book Antiqua"/>
          <w:u w:val="single"/>
        </w:rPr>
        <w:t>indevidamente</w:t>
      </w:r>
      <w:r w:rsidRPr="00090E4C">
        <w:rPr>
          <w:rFonts w:ascii="Book Antiqua" w:hAnsi="Book Antiqua"/>
          <w:b/>
        </w:rPr>
        <w:t xml:space="preserve">, </w:t>
      </w:r>
      <w:proofErr w:type="gramStart"/>
      <w:r w:rsidRPr="00090E4C">
        <w:rPr>
          <w:rFonts w:ascii="Book Antiqua" w:hAnsi="Book Antiqua"/>
        </w:rPr>
        <w:t>a relacionam</w:t>
      </w:r>
      <w:proofErr w:type="gramEnd"/>
      <w:r w:rsidRPr="00090E4C">
        <w:rPr>
          <w:rFonts w:ascii="Book Antiqua" w:hAnsi="Book Antiqua"/>
        </w:rPr>
        <w:t xml:space="preserve"> com o anacronismo ou o período de ditadura militar.</w:t>
      </w:r>
      <w:r w:rsidRPr="000E2094">
        <w:rPr>
          <w:rFonts w:ascii="Book Antiqua" w:hAnsi="Book Antiqua"/>
        </w:rPr>
        <w:t xml:space="preserve"> </w:t>
      </w:r>
    </w:p>
    <w:p w:rsidR="00A61E8C" w:rsidRPr="000E2094" w:rsidRDefault="00A61E8C" w:rsidP="00A61E8C">
      <w:pPr>
        <w:rPr>
          <w:rFonts w:ascii="Book Antiqua" w:hAnsi="Book Antiqua"/>
        </w:rPr>
      </w:pPr>
      <w:r w:rsidRPr="000E2094">
        <w:rPr>
          <w:rFonts w:ascii="Book Antiqua" w:hAnsi="Book Antiqua"/>
        </w:rPr>
        <w:tab/>
        <w:t xml:space="preserve">É de se ressaltar que esta fase do </w:t>
      </w:r>
      <w:r w:rsidRPr="0048307A">
        <w:rPr>
          <w:rFonts w:ascii="Book Antiqua" w:hAnsi="Book Antiqua"/>
        </w:rPr>
        <w:t>período de ditadura militar</w:t>
      </w:r>
      <w:r w:rsidRPr="000E2094">
        <w:rPr>
          <w:rFonts w:ascii="Book Antiqua" w:hAnsi="Book Antiqua"/>
        </w:rPr>
        <w:t xml:space="preserve"> em nosso país encontra-se sepultada como registro histórico e lembrada como exemplo do contexto nefasto no qual não havia liberdade.</w:t>
      </w:r>
    </w:p>
    <w:p w:rsidR="00A61E8C" w:rsidRPr="000E2094" w:rsidRDefault="00A61E8C" w:rsidP="00A61E8C">
      <w:pPr>
        <w:rPr>
          <w:rFonts w:ascii="Book Antiqua" w:hAnsi="Book Antiqua"/>
        </w:rPr>
      </w:pPr>
      <w:r w:rsidRPr="000E2094">
        <w:rPr>
          <w:rFonts w:ascii="Book Antiqua" w:hAnsi="Book Antiqua"/>
        </w:rPr>
        <w:tab/>
        <w:t xml:space="preserve">A liberdade, valor tão fundamental, prestigiada pela Constituição Federal de 1988 está intimamente ligada à segurança, cuja dimensão </w:t>
      </w:r>
      <w:proofErr w:type="gramStart"/>
      <w:r w:rsidRPr="000E2094">
        <w:rPr>
          <w:rFonts w:ascii="Book Antiqua" w:hAnsi="Book Antiqua"/>
        </w:rPr>
        <w:t>destacamos</w:t>
      </w:r>
      <w:proofErr w:type="gramEnd"/>
      <w:r w:rsidRPr="000E2094">
        <w:rPr>
          <w:rFonts w:ascii="Book Antiqua" w:hAnsi="Book Antiqua"/>
        </w:rPr>
        <w:t xml:space="preserve"> em duas facetas.</w:t>
      </w:r>
      <w:bookmarkStart w:id="0" w:name="_GoBack"/>
      <w:bookmarkEnd w:id="0"/>
    </w:p>
    <w:p w:rsidR="00A61E8C" w:rsidRPr="000E2094" w:rsidRDefault="00A61E8C" w:rsidP="00A61E8C">
      <w:pPr>
        <w:rPr>
          <w:rFonts w:ascii="Book Antiqua" w:hAnsi="Book Antiqua"/>
        </w:rPr>
      </w:pPr>
      <w:r w:rsidRPr="000E2094">
        <w:rPr>
          <w:rFonts w:ascii="Book Antiqua" w:hAnsi="Book Antiqua"/>
        </w:rPr>
        <w:tab/>
        <w:t>A segurança jurídica, tão almejada, é sinal do equilíbrio e fortalecimento das bases do desenvolvimento econômico e social do país. Representa a garantia para o cidadão da estabilidade das normas e sua interpretação.</w:t>
      </w:r>
    </w:p>
    <w:p w:rsidR="00A61E8C" w:rsidRPr="000E2094" w:rsidRDefault="00A61E8C" w:rsidP="00A61E8C">
      <w:pPr>
        <w:rPr>
          <w:rFonts w:ascii="Book Antiqua" w:hAnsi="Book Antiqua"/>
        </w:rPr>
      </w:pPr>
      <w:r w:rsidRPr="000E2094">
        <w:rPr>
          <w:rFonts w:ascii="Book Antiqua" w:hAnsi="Book Antiqua"/>
        </w:rPr>
        <w:tab/>
        <w:t xml:space="preserve">A outra faceta revela a segurança como uma política pública que garante ao cidadão usufruir seus direitos, sabedor de que há vigília e prontidão para o socorro, a prevenção e repressão do crime pela polícia militar. </w:t>
      </w:r>
    </w:p>
    <w:p w:rsidR="00A61E8C" w:rsidRPr="000E2094" w:rsidRDefault="00A61E8C" w:rsidP="00A61E8C">
      <w:pPr>
        <w:rPr>
          <w:rFonts w:ascii="Book Antiqua" w:hAnsi="Book Antiqua"/>
        </w:rPr>
      </w:pPr>
      <w:r w:rsidRPr="000E2094">
        <w:rPr>
          <w:rFonts w:ascii="Book Antiqua" w:hAnsi="Book Antiqua"/>
        </w:rPr>
        <w:tab/>
        <w:t>E nesse contexto, os problemas que naturalmente surgem neste âmbito da polícia militar ficam a cargo de uma Justiça especializada, a Justiça Militar que garante o julgamento célere e eficaz dos atos praticados pelos policiais militares tidos como violadores da ordem jurídica.</w:t>
      </w:r>
    </w:p>
    <w:p w:rsidR="00A61E8C" w:rsidRPr="000E2094" w:rsidRDefault="00A61E8C" w:rsidP="00A61E8C">
      <w:pPr>
        <w:rPr>
          <w:rFonts w:ascii="Book Antiqua" w:hAnsi="Book Antiqua"/>
        </w:rPr>
      </w:pPr>
      <w:r w:rsidRPr="000E2094">
        <w:rPr>
          <w:rFonts w:ascii="Book Antiqua" w:hAnsi="Book Antiqua"/>
        </w:rPr>
        <w:tab/>
        <w:t xml:space="preserve">A mencionada celeridade e eficácia devem ser ressaltadas pelos números que comprovam que, no Estado de São Paulo, o Tribunal de Justiça Militar cumpriu, na íntegra, a meta </w:t>
      </w:r>
      <w:proofErr w:type="gramStart"/>
      <w:r w:rsidRPr="000E2094">
        <w:rPr>
          <w:rFonts w:ascii="Book Antiqua" w:hAnsi="Book Antiqua"/>
        </w:rPr>
        <w:t>3</w:t>
      </w:r>
      <w:proofErr w:type="gramEnd"/>
      <w:r w:rsidRPr="000E2094">
        <w:rPr>
          <w:rFonts w:ascii="Book Antiqua" w:hAnsi="Book Antiqua"/>
        </w:rPr>
        <w:t xml:space="preserve"> do CNJ para 2013 (julgar 90% dos processos originários e recursos, ambos cíveis e criminais, e dos processos de natureza especial em até 120 dias), com o seguinte prazo médio de duração: 7,6 dias para </w:t>
      </w:r>
      <w:r w:rsidRPr="000E2094">
        <w:rPr>
          <w:rFonts w:ascii="Book Antiqua" w:hAnsi="Book Antiqua"/>
        </w:rPr>
        <w:lastRenderedPageBreak/>
        <w:t xml:space="preserve">mandado de segurança; 22,8 dias para </w:t>
      </w:r>
      <w:r w:rsidRPr="000E2094">
        <w:rPr>
          <w:rFonts w:ascii="Book Antiqua" w:hAnsi="Book Antiqua"/>
          <w:i/>
        </w:rPr>
        <w:t>habeas corpus</w:t>
      </w:r>
      <w:r w:rsidRPr="000E2094">
        <w:rPr>
          <w:rFonts w:ascii="Book Antiqua" w:hAnsi="Book Antiqua"/>
        </w:rPr>
        <w:t>;  40,4 dias para agravo em execução; 81,2 dias para revisão criminal e 84,7 dias para apelação.</w:t>
      </w:r>
    </w:p>
    <w:p w:rsidR="00A61E8C" w:rsidRPr="000E2094" w:rsidRDefault="00A61E8C" w:rsidP="00A61E8C">
      <w:pPr>
        <w:rPr>
          <w:rFonts w:ascii="Book Antiqua" w:hAnsi="Book Antiqua"/>
        </w:rPr>
      </w:pPr>
      <w:r w:rsidRPr="000E2094">
        <w:rPr>
          <w:rFonts w:ascii="Book Antiqua" w:hAnsi="Book Antiqua"/>
        </w:rPr>
        <w:tab/>
        <w:t xml:space="preserve">O julgamento colegiado do Tribunal de Justiça Militar do Estado de São Paulo é realizado da forma como de fato idealizou-se a estrutura do Poder Judiciário, ou seja, o julgamento do recurso pelo Tribunal deve ser efetivamente apreciado por todos os julgadores que, ao estudar o caso, expressam os fundamentos do seu convencimento. </w:t>
      </w:r>
    </w:p>
    <w:p w:rsidR="00A61E8C" w:rsidRPr="000E2094" w:rsidRDefault="00A61E8C" w:rsidP="00A61E8C">
      <w:pPr>
        <w:rPr>
          <w:rFonts w:ascii="Book Antiqua" w:hAnsi="Book Antiqua"/>
        </w:rPr>
      </w:pPr>
      <w:r w:rsidRPr="000E2094">
        <w:rPr>
          <w:rFonts w:ascii="Book Antiqua" w:hAnsi="Book Antiqua"/>
        </w:rPr>
        <w:tab/>
        <w:t>A importância de ressaltar essa conduta decorre da necessidade de o cidadão comum entender que não é normal e não se pode compactuar que os processos não sejam lidos pelos julgadores.</w:t>
      </w:r>
    </w:p>
    <w:p w:rsidR="00A61E8C" w:rsidRPr="000E2094" w:rsidRDefault="00A61E8C" w:rsidP="00A61E8C">
      <w:pPr>
        <w:rPr>
          <w:rFonts w:ascii="Book Antiqua" w:hAnsi="Book Antiqua"/>
        </w:rPr>
      </w:pPr>
      <w:r w:rsidRPr="000E2094">
        <w:rPr>
          <w:rFonts w:ascii="Book Antiqua" w:hAnsi="Book Antiqua"/>
        </w:rPr>
        <w:tab/>
        <w:t>Se o julgamento do recurso é de competência do Tribunal, deve ser feito de forma colegiada com a efetiva participação dos julgadores.</w:t>
      </w:r>
    </w:p>
    <w:p w:rsidR="00A61E8C" w:rsidRPr="000E2094" w:rsidRDefault="00A61E8C" w:rsidP="00A61E8C">
      <w:pPr>
        <w:rPr>
          <w:rFonts w:ascii="Book Antiqua" w:hAnsi="Book Antiqua"/>
        </w:rPr>
      </w:pPr>
      <w:r w:rsidRPr="000E2094">
        <w:rPr>
          <w:rFonts w:ascii="Book Antiqua" w:hAnsi="Book Antiqua"/>
        </w:rPr>
        <w:tab/>
        <w:t>Já se afirmou, e continua se repetindo, que os Juízes não têm condições de ler os processos pela enorme quantidade. Evidentemente há algo errado, especialmente com a sociedade, doente, que despeja no Poder Judiciário muito além da defesa dos seus interesses, mas, especialmente, descompassos e deficiências de políticas públicas a cargo do Executivo e Legislativo.</w:t>
      </w:r>
    </w:p>
    <w:p w:rsidR="00A61E8C" w:rsidRPr="000E2094" w:rsidRDefault="00A61E8C" w:rsidP="00A61E8C">
      <w:pPr>
        <w:rPr>
          <w:rFonts w:ascii="Book Antiqua" w:hAnsi="Book Antiqua"/>
        </w:rPr>
      </w:pPr>
      <w:r w:rsidRPr="000E2094">
        <w:rPr>
          <w:rFonts w:ascii="Book Antiqua" w:hAnsi="Book Antiqua"/>
        </w:rPr>
        <w:tab/>
        <w:t>Nada obstante a extrema importância desse assunto, merecedor de um estudo próprio, o fato é que os julgadores do Tribunal de Justiça Militar do Estado de São Paulo estudam os processos, debatem e todos apresentam seus fundamentos em tempo adequado a garantir um rápido julgamento respeitando o direito de defesa.</w:t>
      </w:r>
    </w:p>
    <w:p w:rsidR="00A61E8C" w:rsidRPr="000E2094" w:rsidRDefault="00A61E8C" w:rsidP="00A61E8C">
      <w:pPr>
        <w:rPr>
          <w:rFonts w:ascii="Book Antiqua" w:hAnsi="Book Antiqua"/>
        </w:rPr>
      </w:pPr>
      <w:r w:rsidRPr="000E2094">
        <w:rPr>
          <w:rFonts w:ascii="Book Antiqua" w:hAnsi="Book Antiqua"/>
        </w:rPr>
        <w:tab/>
        <w:t xml:space="preserve">O direito de defesa é exercido pelo Advogado cujo tratamento dispensado é digno de nota, não somente pelo respeito, mas pela efetiva concretização do art. 133 da Constituição Federal. </w:t>
      </w:r>
    </w:p>
    <w:p w:rsidR="00A61E8C" w:rsidRPr="000E2094" w:rsidRDefault="00A61E8C" w:rsidP="00A61E8C">
      <w:pPr>
        <w:rPr>
          <w:rFonts w:ascii="Book Antiqua" w:hAnsi="Book Antiqua"/>
        </w:rPr>
      </w:pPr>
      <w:r w:rsidRPr="000E2094">
        <w:rPr>
          <w:rFonts w:ascii="Book Antiqua" w:hAnsi="Book Antiqua"/>
        </w:rPr>
        <w:tab/>
        <w:t>Quando a Constituição Federal afirma que o Advogado é indispensável à Administração da Justiça, é elementar concluir que o Advogado não está ao lado da Justiça, mas é dela parte integrante.</w:t>
      </w:r>
    </w:p>
    <w:p w:rsidR="00A61E8C" w:rsidRPr="000E2094" w:rsidRDefault="00A61E8C" w:rsidP="00A61E8C">
      <w:pPr>
        <w:rPr>
          <w:rFonts w:ascii="Book Antiqua" w:hAnsi="Book Antiqua"/>
        </w:rPr>
      </w:pPr>
      <w:r w:rsidRPr="000E2094">
        <w:rPr>
          <w:rFonts w:ascii="Book Antiqua" w:hAnsi="Book Antiqua"/>
        </w:rPr>
        <w:lastRenderedPageBreak/>
        <w:tab/>
        <w:t>E não se conhece outra Justiça que trate o Advogado da forma mais adequada do que o Tribunal de Justiça Militar do Estado de São Paulo.</w:t>
      </w:r>
    </w:p>
    <w:p w:rsidR="00A61E8C" w:rsidRPr="000E2094" w:rsidRDefault="00A61E8C" w:rsidP="00A61E8C">
      <w:pPr>
        <w:rPr>
          <w:rFonts w:ascii="Book Antiqua" w:hAnsi="Book Antiqua"/>
        </w:rPr>
      </w:pPr>
      <w:r w:rsidRPr="000E2094">
        <w:rPr>
          <w:rFonts w:ascii="Book Antiqua" w:hAnsi="Book Antiqua"/>
        </w:rPr>
        <w:tab/>
        <w:t>Tal não decorre da disposição regimental que confere ao Advogado o tratamento nominal de Excelência, igualmente dispensado aos Magistrados, mas especialmente no atendimento dos cartórios e debates nos gabinetes e sessões de julgamento que permitem algo elementar, e cada vez mais difícil ocorrer em outros Tribunais, inacreditavelmente: o Advogado ser ouvido.</w:t>
      </w:r>
    </w:p>
    <w:p w:rsidR="00A61E8C" w:rsidRPr="000E2094" w:rsidRDefault="00A61E8C" w:rsidP="00A61E8C">
      <w:pPr>
        <w:rPr>
          <w:rFonts w:ascii="Book Antiqua" w:hAnsi="Book Antiqua"/>
        </w:rPr>
      </w:pPr>
      <w:r w:rsidRPr="000E2094">
        <w:rPr>
          <w:rFonts w:ascii="Book Antiqua" w:hAnsi="Book Antiqua"/>
        </w:rPr>
        <w:tab/>
        <w:t>As virtudes do correto funcionamento do Tribunal de Justiça Militar do Estado de São Paulo não são o principal argumento, mas sim a eficácia do resultado dos seus julgamentos dirigidos para um contingente de quase 100.000 policiais militares em atividade, além de 40.000 militares na inatividade, que garantem a segurança pública de nossa sociedade.</w:t>
      </w:r>
    </w:p>
    <w:p w:rsidR="00A61E8C" w:rsidRPr="000E2094" w:rsidRDefault="00A61E8C" w:rsidP="00A61E8C">
      <w:pPr>
        <w:ind w:firstLine="708"/>
        <w:rPr>
          <w:rFonts w:ascii="Book Antiqua" w:hAnsi="Book Antiqua"/>
        </w:rPr>
      </w:pPr>
      <w:r w:rsidRPr="000E2094">
        <w:rPr>
          <w:rFonts w:ascii="Book Antiqua" w:hAnsi="Book Antiqua"/>
        </w:rPr>
        <w:t>Não é sem razão que o Tribunal de Justiça Militar do Estado de São Paulo consegue afastar a impunidade e garantir um padrão adequado de conduta no combate à criminalidade, pois os policiais militares sabem que efetivamente podem ser punidos e exonerados em tempo adequado, de forma independente e corajosa.</w:t>
      </w:r>
    </w:p>
    <w:p w:rsidR="00A61E8C" w:rsidRPr="000E2094" w:rsidRDefault="00A61E8C" w:rsidP="00A61E8C">
      <w:pPr>
        <w:ind w:firstLine="708"/>
        <w:rPr>
          <w:rFonts w:ascii="Book Antiqua" w:hAnsi="Book Antiqua"/>
        </w:rPr>
      </w:pPr>
      <w:r w:rsidRPr="000E2094">
        <w:rPr>
          <w:rFonts w:ascii="Book Antiqua" w:hAnsi="Book Antiqua"/>
        </w:rPr>
        <w:t xml:space="preserve">Portanto, a proposta de remeter os processos que tramitam numa justiça especializada, como é o caso da Justiça Militar, para serem julgados pela estrutura da Justiça comum, absolutamente abarrotada de outros processos, sem experiência na matéria, e com demora no julgamento, é o ambiente propício para a ineficiência, impunidade e insegurança. </w:t>
      </w:r>
    </w:p>
    <w:p w:rsidR="00A61E8C" w:rsidRPr="000E2094" w:rsidRDefault="00A61E8C" w:rsidP="00A61E8C">
      <w:pPr>
        <w:ind w:firstLine="708"/>
        <w:rPr>
          <w:rFonts w:ascii="Book Antiqua" w:hAnsi="Book Antiqua"/>
        </w:rPr>
      </w:pPr>
      <w:r w:rsidRPr="000E2094">
        <w:rPr>
          <w:rFonts w:ascii="Book Antiqua" w:hAnsi="Book Antiqua"/>
        </w:rPr>
        <w:t>Em tempos de ameaça constante à segurança, mais do que um desserviço é um atentado pretender extinguir ou mutilar a Justiça Militar que é a garantia da eficiência da Polícia e sinônimo de segurança.</w:t>
      </w:r>
    </w:p>
    <w:p w:rsidR="00A61E8C" w:rsidRPr="000E2094" w:rsidRDefault="00A61E8C" w:rsidP="00A61E8C">
      <w:pPr>
        <w:rPr>
          <w:rFonts w:ascii="Book Antiqua" w:hAnsi="Book Antiqua"/>
        </w:rPr>
      </w:pPr>
    </w:p>
    <w:p w:rsidR="00A61E8C" w:rsidRPr="000E2094" w:rsidRDefault="00A61E8C" w:rsidP="00A61E8C">
      <w:pPr>
        <w:rPr>
          <w:rFonts w:ascii="Book Antiqua" w:hAnsi="Book Antiqua"/>
        </w:rPr>
      </w:pPr>
      <w:r w:rsidRPr="000E2094">
        <w:rPr>
          <w:rFonts w:ascii="Book Antiqua" w:hAnsi="Book Antiqua"/>
        </w:rPr>
        <w:t xml:space="preserve">José Horácio </w:t>
      </w:r>
      <w:proofErr w:type="spellStart"/>
      <w:r w:rsidRPr="000E2094">
        <w:rPr>
          <w:rFonts w:ascii="Book Antiqua" w:hAnsi="Book Antiqua"/>
        </w:rPr>
        <w:t>Halfeld</w:t>
      </w:r>
      <w:proofErr w:type="spellEnd"/>
      <w:r w:rsidRPr="000E2094">
        <w:rPr>
          <w:rFonts w:ascii="Book Antiqua" w:hAnsi="Book Antiqua"/>
        </w:rPr>
        <w:t xml:space="preserve"> Rezende Ribeiro</w:t>
      </w:r>
    </w:p>
    <w:p w:rsidR="00A61E8C" w:rsidRPr="000E2094" w:rsidRDefault="00A61E8C" w:rsidP="00A61E8C">
      <w:pPr>
        <w:rPr>
          <w:rFonts w:ascii="Book Antiqua" w:hAnsi="Book Antiqua"/>
        </w:rPr>
      </w:pPr>
      <w:r w:rsidRPr="000E2094">
        <w:rPr>
          <w:rFonts w:ascii="Book Antiqua" w:hAnsi="Book Antiqua"/>
        </w:rPr>
        <w:t>Presidente do Instituto dos Advogados de São Paulo</w:t>
      </w:r>
    </w:p>
    <w:p w:rsidR="00B277A0" w:rsidRPr="00A61E8C" w:rsidRDefault="00B277A0" w:rsidP="00A61E8C"/>
    <w:sectPr w:rsidR="00B277A0" w:rsidRPr="00A61E8C" w:rsidSect="00CA5864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709" w:right="1701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7280" w:rsidRDefault="00007280">
      <w:r>
        <w:separator/>
      </w:r>
    </w:p>
  </w:endnote>
  <w:endnote w:type="continuationSeparator" w:id="0">
    <w:p w:rsidR="00007280" w:rsidRDefault="00007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E8C" w:rsidRDefault="00A61E8C" w:rsidP="00A61E8C">
    <w:pPr>
      <w:pStyle w:val="Rodap"/>
      <w:jc w:val="center"/>
    </w:pPr>
    <w:r>
      <w:rPr>
        <w:noProof/>
      </w:rPr>
      <w:drawing>
        <wp:inline distT="0" distB="0" distL="0" distR="0" wp14:anchorId="2ED9CAC3" wp14:editId="74445F19">
          <wp:extent cx="3438525" cy="238125"/>
          <wp:effectExtent l="19050" t="0" r="9525" b="0"/>
          <wp:docPr id="4" name="Imagem 4" descr="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38525" cy="238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A61E8C" w:rsidRDefault="00A61E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3D69" w:rsidRDefault="007C1691" w:rsidP="00CA5864">
    <w:pPr>
      <w:pStyle w:val="Rodap"/>
      <w:jc w:val="center"/>
    </w:pPr>
    <w:r>
      <w:rPr>
        <w:noProof/>
      </w:rPr>
      <w:drawing>
        <wp:inline distT="0" distB="0" distL="0" distR="0" wp14:anchorId="4B803775" wp14:editId="10DC5926">
          <wp:extent cx="3438525" cy="238125"/>
          <wp:effectExtent l="19050" t="0" r="9525" b="0"/>
          <wp:docPr id="1" name="Imagem 1" descr="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38525" cy="238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7280" w:rsidRDefault="00007280">
      <w:r>
        <w:separator/>
      </w:r>
    </w:p>
  </w:footnote>
  <w:footnote w:type="continuationSeparator" w:id="0">
    <w:p w:rsidR="00007280" w:rsidRDefault="000072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3D69" w:rsidRDefault="007C1691" w:rsidP="00CA5864">
    <w:pPr>
      <w:pStyle w:val="Cabealho"/>
      <w:jc w:val="center"/>
    </w:pPr>
    <w:r>
      <w:rPr>
        <w:noProof/>
      </w:rPr>
      <w:drawing>
        <wp:inline distT="0" distB="0" distL="0" distR="0" wp14:anchorId="5FAFB44F" wp14:editId="72A51C67">
          <wp:extent cx="495300" cy="638175"/>
          <wp:effectExtent l="19050" t="0" r="0" b="0"/>
          <wp:docPr id="3" name="Imagem 3" descr="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638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3D69" w:rsidRDefault="007C1691" w:rsidP="00CA5864">
    <w:pPr>
      <w:pStyle w:val="Cabealho"/>
      <w:jc w:val="center"/>
    </w:pPr>
    <w:r>
      <w:rPr>
        <w:noProof/>
      </w:rPr>
      <w:drawing>
        <wp:inline distT="0" distB="0" distL="0" distR="0" wp14:anchorId="433F963A" wp14:editId="7972FDD1">
          <wp:extent cx="2019300" cy="1790700"/>
          <wp:effectExtent l="19050" t="0" r="0" b="0"/>
          <wp:docPr id="2" name="Imagem 2" descr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1790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293"/>
    <w:rsid w:val="00007280"/>
    <w:rsid w:val="00023F0D"/>
    <w:rsid w:val="000249EB"/>
    <w:rsid w:val="00046F25"/>
    <w:rsid w:val="0009123F"/>
    <w:rsid w:val="00097A1A"/>
    <w:rsid w:val="000A7CD8"/>
    <w:rsid w:val="000B66D7"/>
    <w:rsid w:val="000C7BDC"/>
    <w:rsid w:val="0010752F"/>
    <w:rsid w:val="002326E5"/>
    <w:rsid w:val="002A186D"/>
    <w:rsid w:val="002A5062"/>
    <w:rsid w:val="002D13D4"/>
    <w:rsid w:val="002F1693"/>
    <w:rsid w:val="002F2EB7"/>
    <w:rsid w:val="003509A0"/>
    <w:rsid w:val="00384B9F"/>
    <w:rsid w:val="0046144A"/>
    <w:rsid w:val="00487379"/>
    <w:rsid w:val="004D5849"/>
    <w:rsid w:val="005125C3"/>
    <w:rsid w:val="00517A5C"/>
    <w:rsid w:val="00524E52"/>
    <w:rsid w:val="00573D69"/>
    <w:rsid w:val="00594815"/>
    <w:rsid w:val="005B0240"/>
    <w:rsid w:val="005B4E27"/>
    <w:rsid w:val="006021D6"/>
    <w:rsid w:val="00607898"/>
    <w:rsid w:val="006227B2"/>
    <w:rsid w:val="006A2F88"/>
    <w:rsid w:val="006E3A43"/>
    <w:rsid w:val="00725E63"/>
    <w:rsid w:val="007875B4"/>
    <w:rsid w:val="007C1691"/>
    <w:rsid w:val="007C3DC4"/>
    <w:rsid w:val="007D7DED"/>
    <w:rsid w:val="007F2A6F"/>
    <w:rsid w:val="008344D7"/>
    <w:rsid w:val="00860569"/>
    <w:rsid w:val="00865E3D"/>
    <w:rsid w:val="008858B6"/>
    <w:rsid w:val="00892F76"/>
    <w:rsid w:val="008C17D6"/>
    <w:rsid w:val="008C7CCC"/>
    <w:rsid w:val="00910374"/>
    <w:rsid w:val="0093080B"/>
    <w:rsid w:val="009347EA"/>
    <w:rsid w:val="009D1A5A"/>
    <w:rsid w:val="00A61E8C"/>
    <w:rsid w:val="00A72944"/>
    <w:rsid w:val="00AF5A51"/>
    <w:rsid w:val="00B07CB7"/>
    <w:rsid w:val="00B213F7"/>
    <w:rsid w:val="00B277A0"/>
    <w:rsid w:val="00B953C1"/>
    <w:rsid w:val="00BA05DC"/>
    <w:rsid w:val="00C0701A"/>
    <w:rsid w:val="00C21293"/>
    <w:rsid w:val="00C262AB"/>
    <w:rsid w:val="00C26448"/>
    <w:rsid w:val="00C96F8C"/>
    <w:rsid w:val="00CA5864"/>
    <w:rsid w:val="00D02847"/>
    <w:rsid w:val="00D401C5"/>
    <w:rsid w:val="00D44E5B"/>
    <w:rsid w:val="00D46DD9"/>
    <w:rsid w:val="00D6637A"/>
    <w:rsid w:val="00D801DA"/>
    <w:rsid w:val="00D8383D"/>
    <w:rsid w:val="00DB5C18"/>
    <w:rsid w:val="00DC56E7"/>
    <w:rsid w:val="00E0783E"/>
    <w:rsid w:val="00E606BE"/>
    <w:rsid w:val="00EB4671"/>
    <w:rsid w:val="00F23A7E"/>
    <w:rsid w:val="00F41664"/>
    <w:rsid w:val="00FB38F1"/>
    <w:rsid w:val="00FC236F"/>
    <w:rsid w:val="00FE4790"/>
    <w:rsid w:val="00FF3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C1691"/>
    <w:pPr>
      <w:spacing w:line="360" w:lineRule="auto"/>
      <w:jc w:val="both"/>
    </w:pPr>
    <w:rPr>
      <w:rFonts w:ascii="Arial" w:hAnsi="Arial" w:cs="Arial"/>
      <w:sz w:val="24"/>
      <w:szCs w:val="24"/>
    </w:rPr>
  </w:style>
  <w:style w:type="paragraph" w:styleId="Ttulo1">
    <w:name w:val="heading 1"/>
    <w:basedOn w:val="Normal"/>
    <w:next w:val="Normal"/>
    <w:qFormat/>
    <w:rsid w:val="006227B2"/>
    <w:pPr>
      <w:keepNext/>
      <w:spacing w:before="100" w:beforeAutospacing="1" w:after="60" w:line="240" w:lineRule="auto"/>
      <w:outlineLvl w:val="0"/>
    </w:pPr>
    <w:rPr>
      <w:b/>
      <w:bCs/>
      <w:kern w:val="32"/>
      <w:sz w:val="28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CA5864"/>
    <w:pPr>
      <w:tabs>
        <w:tab w:val="center" w:pos="4252"/>
        <w:tab w:val="right" w:pos="8504"/>
      </w:tabs>
      <w:spacing w:after="240" w:line="240" w:lineRule="auto"/>
    </w:pPr>
    <w:rPr>
      <w:rFonts w:cs="Times New Roman"/>
      <w:sz w:val="22"/>
    </w:rPr>
  </w:style>
  <w:style w:type="paragraph" w:styleId="Rodap">
    <w:name w:val="footer"/>
    <w:basedOn w:val="Normal"/>
    <w:rsid w:val="00CA5864"/>
    <w:pPr>
      <w:tabs>
        <w:tab w:val="center" w:pos="4252"/>
        <w:tab w:val="right" w:pos="8504"/>
      </w:tabs>
      <w:spacing w:after="240" w:line="240" w:lineRule="auto"/>
    </w:pPr>
    <w:rPr>
      <w:rFonts w:cs="Times New Roman"/>
      <w:sz w:val="22"/>
    </w:rPr>
  </w:style>
  <w:style w:type="paragraph" w:styleId="Textodebalo">
    <w:name w:val="Balloon Text"/>
    <w:basedOn w:val="Normal"/>
    <w:link w:val="TextodebaloChar"/>
    <w:rsid w:val="000C7BD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0C7BD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384B9F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C1691"/>
    <w:pPr>
      <w:spacing w:line="360" w:lineRule="auto"/>
      <w:jc w:val="both"/>
    </w:pPr>
    <w:rPr>
      <w:rFonts w:ascii="Arial" w:hAnsi="Arial" w:cs="Arial"/>
      <w:sz w:val="24"/>
      <w:szCs w:val="24"/>
    </w:rPr>
  </w:style>
  <w:style w:type="paragraph" w:styleId="Ttulo1">
    <w:name w:val="heading 1"/>
    <w:basedOn w:val="Normal"/>
    <w:next w:val="Normal"/>
    <w:qFormat/>
    <w:rsid w:val="006227B2"/>
    <w:pPr>
      <w:keepNext/>
      <w:spacing w:before="100" w:beforeAutospacing="1" w:after="60" w:line="240" w:lineRule="auto"/>
      <w:outlineLvl w:val="0"/>
    </w:pPr>
    <w:rPr>
      <w:b/>
      <w:bCs/>
      <w:kern w:val="32"/>
      <w:sz w:val="28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CA5864"/>
    <w:pPr>
      <w:tabs>
        <w:tab w:val="center" w:pos="4252"/>
        <w:tab w:val="right" w:pos="8504"/>
      </w:tabs>
      <w:spacing w:after="240" w:line="240" w:lineRule="auto"/>
    </w:pPr>
    <w:rPr>
      <w:rFonts w:cs="Times New Roman"/>
      <w:sz w:val="22"/>
    </w:rPr>
  </w:style>
  <w:style w:type="paragraph" w:styleId="Rodap">
    <w:name w:val="footer"/>
    <w:basedOn w:val="Normal"/>
    <w:rsid w:val="00CA5864"/>
    <w:pPr>
      <w:tabs>
        <w:tab w:val="center" w:pos="4252"/>
        <w:tab w:val="right" w:pos="8504"/>
      </w:tabs>
      <w:spacing w:after="240" w:line="240" w:lineRule="auto"/>
    </w:pPr>
    <w:rPr>
      <w:rFonts w:cs="Times New Roman"/>
      <w:sz w:val="22"/>
    </w:rPr>
  </w:style>
  <w:style w:type="paragraph" w:styleId="Textodebalo">
    <w:name w:val="Balloon Text"/>
    <w:basedOn w:val="Normal"/>
    <w:link w:val="TextodebaloChar"/>
    <w:rsid w:val="000C7BD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0C7BD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384B9F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4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10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80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0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57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SP\Desktop\INDICA&#199;&#195;O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INDICAÇÃO</Template>
  <TotalTime>0</TotalTime>
  <Pages>3</Pages>
  <Words>825</Words>
  <Characters>4455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K</Company>
  <LinksUpToDate>false</LinksUpToDate>
  <CharactersWithSpaces>5270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IASP</dc:creator>
  <cp:lastModifiedBy>Alexandre</cp:lastModifiedBy>
  <cp:revision>2</cp:revision>
  <cp:lastPrinted>2013-12-18T19:46:00Z</cp:lastPrinted>
  <dcterms:created xsi:type="dcterms:W3CDTF">2014-10-21T20:25:00Z</dcterms:created>
  <dcterms:modified xsi:type="dcterms:W3CDTF">2014-10-21T20:25:00Z</dcterms:modified>
</cp:coreProperties>
</file>