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3C17" w:rsidRDefault="00B03C17">
      <w:pPr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bookmarkStart w:id="0" w:name="_GoBack"/>
      <w:bookmarkEnd w:id="0"/>
    </w:p>
    <w:p w:rsidR="00B03C17" w:rsidRDefault="00603A7E">
      <w:pPr>
        <w:jc w:val="center"/>
        <w:rPr>
          <w:sz w:val="48"/>
          <w:szCs w:val="48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NOTA TÉCNICA</w:t>
      </w:r>
    </w:p>
    <w:p w:rsidR="00B03C17" w:rsidRDefault="00B03C17">
      <w:pPr>
        <w:rPr>
          <w:rFonts w:ascii="Times New Roman" w:hAnsi="Times New Roman"/>
          <w:sz w:val="24"/>
          <w:szCs w:val="24"/>
        </w:rPr>
      </w:pPr>
    </w:p>
    <w:p w:rsidR="00B03C17" w:rsidRDefault="00B03C17">
      <w:pPr>
        <w:rPr>
          <w:rFonts w:ascii="Times New Roman" w:hAnsi="Times New Roman"/>
          <w:sz w:val="24"/>
          <w:szCs w:val="24"/>
        </w:rPr>
      </w:pPr>
    </w:p>
    <w:p w:rsidR="00B03C17" w:rsidRDefault="00B03C17">
      <w:pPr>
        <w:rPr>
          <w:rFonts w:ascii="Times New Roman" w:hAnsi="Times New Roman"/>
          <w:sz w:val="24"/>
          <w:szCs w:val="24"/>
        </w:rPr>
      </w:pPr>
    </w:p>
    <w:p w:rsidR="00B03C17" w:rsidRDefault="00603A7E">
      <w:pPr>
        <w:ind w:left="226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ASSUNTO: PROJETO DE DECRETO LEGISLATIVO (SENADO FEDERAL) Nº 43/2015, DE AUTORIA DO SENADOR CÁSSIO CUNHA LIMA (PSDB-PB), PARA SUSTAR A APLICAÇÃO DA NORMA REGULAMENTADORA Nº 12 (NR 12), DO MINISTÉRIO DO TRABALHO E EMPREGO, QUE TRATA DA SEGURANÇA NO TRABALHO EM MÁQUINAS E EQUIPAMENTOS.</w:t>
      </w:r>
    </w:p>
    <w:p w:rsidR="00B03C17" w:rsidRDefault="00B03C17">
      <w:pPr>
        <w:rPr>
          <w:rFonts w:ascii="Times New Roman" w:hAnsi="Times New Roman"/>
          <w:sz w:val="24"/>
          <w:szCs w:val="24"/>
        </w:rPr>
      </w:pPr>
    </w:p>
    <w:p w:rsidR="00B03C17" w:rsidRDefault="00B03C17">
      <w:pPr>
        <w:jc w:val="both"/>
        <w:rPr>
          <w:rFonts w:ascii="Times New Roman" w:hAnsi="Times New Roman"/>
          <w:sz w:val="24"/>
          <w:szCs w:val="24"/>
        </w:rPr>
      </w:pPr>
    </w:p>
    <w:p w:rsidR="00B03C17" w:rsidRDefault="00B03C17">
      <w:pPr>
        <w:jc w:val="both"/>
        <w:rPr>
          <w:rFonts w:ascii="Times New Roman" w:hAnsi="Times New Roman"/>
          <w:sz w:val="24"/>
          <w:szCs w:val="24"/>
        </w:rPr>
      </w:pPr>
    </w:p>
    <w:p w:rsidR="00B03C17" w:rsidRDefault="00603A7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Trata-se de Projeto de Decreto Legislativo (PSD nº 43/2015), de autoria do Senador Cássio Cunha Lima (PSDB-PB), que tem por escopo sustar a aplicabilidade da NR 12 (Norma Regulamentar nº 12), do Ministério do Trabalho e Emprego.</w:t>
      </w:r>
    </w:p>
    <w:p w:rsidR="00B03C17" w:rsidRDefault="00B03C17">
      <w:pPr>
        <w:ind w:firstLine="1474"/>
        <w:jc w:val="both"/>
        <w:rPr>
          <w:rFonts w:ascii="Times New Roman" w:hAnsi="Times New Roman"/>
          <w:sz w:val="24"/>
          <w:szCs w:val="24"/>
        </w:rPr>
      </w:pPr>
    </w:p>
    <w:p w:rsidR="00B03C17" w:rsidRDefault="00603A7E">
      <w:pPr>
        <w:ind w:firstLine="147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 referido normativo e seus anexos “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definem referências técnicas, princípios fundamentais e medidas de proteção para garantir a saúde e a integridade física dos trabalhadores e estabelece requisitos mínimos para a prevenção de acidentes e doenças do trabalho nas fases de projeto e de utilização de máquinas e equipamentos de todos os tipos, e ainda à sua fabricação, importação, comercialização, exposição e cessão a qualquer título, em todas as atividades econômicas</w:t>
      </w:r>
      <w:r>
        <w:rPr>
          <w:rFonts w:ascii="Times New Roman" w:hAnsi="Times New Roman"/>
          <w:color w:val="000000"/>
          <w:sz w:val="24"/>
          <w:szCs w:val="24"/>
        </w:rPr>
        <w:t>”.</w:t>
      </w:r>
    </w:p>
    <w:p w:rsidR="00B03C17" w:rsidRDefault="00B03C17">
      <w:pPr>
        <w:ind w:firstLine="1474"/>
        <w:jc w:val="both"/>
        <w:rPr>
          <w:rFonts w:ascii="Times New Roman" w:hAnsi="Times New Roman"/>
          <w:sz w:val="24"/>
          <w:szCs w:val="24"/>
        </w:rPr>
      </w:pPr>
    </w:p>
    <w:p w:rsidR="00B03C17" w:rsidRDefault="00603A7E">
      <w:pPr>
        <w:ind w:firstLine="147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NR 12 privilegia o princípio da falha segura, que prevê a implementação de mecanismos de segurança que impeçam danos físicos ao trabalhador que opere máquinas, possibilitando a sua paralisação imediata em caso de intercorrências e defeitos, dentre outras medidas de proteção.</w:t>
      </w:r>
    </w:p>
    <w:p w:rsidR="00B03C17" w:rsidRDefault="00B03C17">
      <w:pPr>
        <w:jc w:val="both"/>
        <w:rPr>
          <w:rFonts w:ascii="Times New Roman" w:hAnsi="Times New Roman"/>
          <w:sz w:val="24"/>
          <w:szCs w:val="24"/>
        </w:rPr>
      </w:pPr>
    </w:p>
    <w:p w:rsidR="00B03C17" w:rsidRDefault="00603A7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A ANAMATRA, por meio da presente nota técnica, apresenta posição </w:t>
      </w:r>
      <w:r>
        <w:rPr>
          <w:rFonts w:ascii="Times New Roman" w:hAnsi="Times New Roman"/>
          <w:b/>
          <w:bCs/>
          <w:sz w:val="24"/>
          <w:szCs w:val="24"/>
        </w:rPr>
        <w:t>CONTRÁRIA</w:t>
      </w:r>
      <w:r>
        <w:rPr>
          <w:rFonts w:ascii="Times New Roman" w:hAnsi="Times New Roman"/>
          <w:sz w:val="24"/>
          <w:szCs w:val="24"/>
        </w:rPr>
        <w:t xml:space="preserve"> à admissibilidade da presente proposição.</w:t>
      </w:r>
    </w:p>
    <w:p w:rsidR="00B03C17" w:rsidRDefault="00B03C17">
      <w:pPr>
        <w:jc w:val="both"/>
        <w:rPr>
          <w:rFonts w:ascii="Times New Roman" w:hAnsi="Times New Roman"/>
          <w:sz w:val="24"/>
          <w:szCs w:val="24"/>
        </w:rPr>
      </w:pPr>
    </w:p>
    <w:p w:rsidR="00B03C17" w:rsidRDefault="00603A7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A norma, cuja vigência se pretende sustar por meio do Projeto, constitui um marco fundamental na efetivação dos fundamentos constitucionais concernentes à dignidade da pessoa humana e ao valor social do trabalho de que tratam os incisos III e IV do art. 1º da Carta Magna.</w:t>
      </w:r>
    </w:p>
    <w:p w:rsidR="00B03C17" w:rsidRDefault="00B03C17">
      <w:pPr>
        <w:jc w:val="both"/>
        <w:rPr>
          <w:rFonts w:ascii="Times New Roman" w:hAnsi="Times New Roman"/>
          <w:sz w:val="24"/>
          <w:szCs w:val="24"/>
        </w:rPr>
      </w:pPr>
    </w:p>
    <w:p w:rsidR="00B03C17" w:rsidRDefault="00603A7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Por meio dela, poder-se-á garantir a todos os trabalhadores urbanos e rurais a “</w:t>
      </w:r>
      <w:r>
        <w:rPr>
          <w:rFonts w:ascii="Times New Roman" w:hAnsi="Times New Roman"/>
          <w:i/>
          <w:iCs/>
          <w:sz w:val="24"/>
          <w:szCs w:val="24"/>
        </w:rPr>
        <w:t>redução dos riscos inerentes ao trabalho, por meio de normas de saúde, higiene e segurança</w:t>
      </w:r>
      <w:r>
        <w:rPr>
          <w:rFonts w:ascii="Times New Roman" w:hAnsi="Times New Roman"/>
          <w:sz w:val="24"/>
          <w:szCs w:val="24"/>
        </w:rPr>
        <w:t>” que lhes foi garantida pelo legislador constituinte por meio do art. 7º, XXII, da Constituição Federal.</w:t>
      </w:r>
    </w:p>
    <w:p w:rsidR="00B03C17" w:rsidRDefault="00B03C17">
      <w:pPr>
        <w:jc w:val="both"/>
        <w:rPr>
          <w:rFonts w:ascii="Times New Roman" w:hAnsi="Times New Roman"/>
          <w:sz w:val="24"/>
          <w:szCs w:val="24"/>
        </w:rPr>
      </w:pPr>
    </w:p>
    <w:p w:rsidR="00B03C17" w:rsidRDefault="00603A7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Em acréscimo, é oportuno salientar que o Texto Constitucional estabeleceu princípios a serem observados por todos aqueles que empreendem economicamente, dispondo, em seu art. 170, III, a respeito da função social da propriedade, circunstância que evidencia a prevalência dos interesses coletivos sobre os individuais, de modo que os alegados altos custos para a modernização do parque fabril nacional não constituem óbice ao atendimento do interesse maior da sociedade que é a garantia da vida e da saúde do trabalhador.</w:t>
      </w:r>
    </w:p>
    <w:p w:rsidR="00B03C17" w:rsidRDefault="00B03C17">
      <w:pPr>
        <w:jc w:val="both"/>
        <w:rPr>
          <w:rFonts w:ascii="Times New Roman" w:hAnsi="Times New Roman"/>
          <w:sz w:val="24"/>
          <w:szCs w:val="24"/>
        </w:rPr>
      </w:pPr>
    </w:p>
    <w:p w:rsidR="00B03C17" w:rsidRDefault="00603A7E">
      <w:pPr>
        <w:jc w:val="both"/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Também não prevalecem, salvo melhor juízo, os argumentos de que a NR 12 estaria a extrapolar os limites de uma norma administrativa, usurpando competência do Parlamento, posto que tal normativo apenas dispõe a respeito de procedimentos a serem adotados para o efetivo cumprimento de preceitos constitucionais e legais aprovados pelas Casas Legislativas.</w:t>
      </w:r>
    </w:p>
    <w:p w:rsidR="00B03C17" w:rsidRDefault="00B03C17">
      <w:pPr>
        <w:jc w:val="both"/>
        <w:rPr>
          <w:rFonts w:ascii="Times New Roman" w:hAnsi="Times New Roman"/>
          <w:sz w:val="24"/>
          <w:szCs w:val="24"/>
        </w:rPr>
      </w:pPr>
    </w:p>
    <w:p w:rsidR="00B03C17" w:rsidRDefault="00603A7E">
      <w:pPr>
        <w:jc w:val="both"/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De mais a mais, coube ao próprio Congresso Nacional aprovar, por meio do Decreto Legislativo nº 232/1991, o texto da Convenção nº 119, da OIT – Organização Internacional do Trabalho, dispondo sobre a proteção no trabalho com máquinas, o que testifica que o normativo atacado é mero desdobramento da norma internacional integrada ao ordenamento jurídico pátrio.</w:t>
      </w:r>
    </w:p>
    <w:p w:rsidR="00B03C17" w:rsidRDefault="00B03C17">
      <w:pPr>
        <w:jc w:val="both"/>
        <w:rPr>
          <w:rFonts w:ascii="Times New Roman" w:hAnsi="Times New Roman"/>
          <w:sz w:val="24"/>
          <w:szCs w:val="24"/>
        </w:rPr>
      </w:pPr>
    </w:p>
    <w:p w:rsidR="00B03C17" w:rsidRDefault="00603A7E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Não cabe invocar, portanto, o disposto no art. 49, V, da Constituição Federal, para se admitir o trâmite do Projeto em referência, eis que </w:t>
      </w:r>
      <w:r>
        <w:rPr>
          <w:rFonts w:ascii="Times New Roman" w:hAnsi="Times New Roman"/>
          <w:b/>
          <w:bCs/>
          <w:sz w:val="24"/>
          <w:szCs w:val="24"/>
        </w:rPr>
        <w:t>já demonstrado à saciedade que a NR 12 se coaduna com regramentos constitucionais que asseguram um ambiente de trabalho seguro e saudável aos trabalhadores brasileiros, sendo deles um mero corolário.</w:t>
      </w:r>
    </w:p>
    <w:p w:rsidR="00AC008D" w:rsidRDefault="00AC008D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AC008D" w:rsidRDefault="00AC008D" w:rsidP="00AC008D">
      <w:pPr>
        <w:jc w:val="both"/>
        <w:rPr>
          <w:rFonts w:ascii="Times New Roman" w:hAnsi="Times New Roman"/>
          <w:sz w:val="24"/>
          <w:szCs w:val="24"/>
        </w:rPr>
      </w:pPr>
      <w:r w:rsidRPr="00AC008D">
        <w:rPr>
          <w:rFonts w:ascii="Times New Roman" w:hAnsi="Times New Roman"/>
          <w:sz w:val="24"/>
          <w:szCs w:val="24"/>
        </w:rPr>
        <w:t>José Afonso da Silva esclarece que a competência prevista no inciso V, do art. 49, tem “Natureza de verdadeiro controle político de constitucionalidade, pois se o ato normativo (regulamento ou lei delegada) do Poder Executivo exorbita do seu poder regulamentar ou dos limites da delegação legislativa é porque contraria as regras de competência estabelecidas pela Constituição. Ou melhor, contraria o princípio da divisão de Poderes. Veja-se que o inciso só se aplica a atos normativos do Poder Executivo, não a atos do Poder Judiciário. O preceito contém um meio específico de o Congresso Nacional zelar pela preservação de sua competência legislativa, de sorte que para tais situações é a ele que se tem que recorrer, não ao disposto no inciso XI, que merecerá comentário abaixo. O decreto legislativo apenas se limite a suspender a eficácia do ato normativo. Não se trata de revogação. </w:t>
      </w:r>
      <w:r w:rsidRPr="00AC008D">
        <w:rPr>
          <w:rFonts w:ascii="Times New Roman" w:hAnsi="Times New Roman"/>
          <w:b/>
          <w:sz w:val="24"/>
          <w:szCs w:val="24"/>
          <w:u w:val="single"/>
        </w:rPr>
        <w:t>Suspende por ser inconstitucional. Mas o ato de sustação pode ser objeto de questionamento judiciário, inclusive com o argumento de sua inconstitucionalidade, desde que seja ele que exorbite da função do Congresso, invadindo, com seu ato, prerrogativas do Executivo</w:t>
      </w:r>
      <w:r w:rsidRPr="00AC008D">
        <w:rPr>
          <w:rFonts w:ascii="Times New Roman" w:hAnsi="Times New Roman"/>
          <w:sz w:val="24"/>
          <w:szCs w:val="24"/>
        </w:rPr>
        <w:t>”.</w:t>
      </w:r>
    </w:p>
    <w:p w:rsidR="00603A7E" w:rsidRPr="00AC008D" w:rsidRDefault="00603A7E" w:rsidP="00AC008D">
      <w:pPr>
        <w:jc w:val="both"/>
        <w:rPr>
          <w:rFonts w:ascii="Times New Roman" w:hAnsi="Times New Roman"/>
          <w:sz w:val="24"/>
          <w:szCs w:val="24"/>
        </w:rPr>
      </w:pPr>
    </w:p>
    <w:p w:rsidR="00AC008D" w:rsidRDefault="00AC008D" w:rsidP="00AC008D">
      <w:pPr>
        <w:jc w:val="both"/>
        <w:rPr>
          <w:rFonts w:ascii="Times New Roman" w:hAnsi="Times New Roman"/>
          <w:sz w:val="24"/>
          <w:szCs w:val="24"/>
        </w:rPr>
      </w:pPr>
      <w:r w:rsidRPr="00AC008D">
        <w:rPr>
          <w:rFonts w:ascii="Times New Roman" w:hAnsi="Times New Roman"/>
          <w:sz w:val="24"/>
          <w:szCs w:val="24"/>
        </w:rPr>
        <w:t>E é exatamente isso, já que o Executivo ao editar a NR 12 atua em conformidade com art.7º, XII. </w:t>
      </w:r>
    </w:p>
    <w:p w:rsidR="00603A7E" w:rsidRPr="00AC008D" w:rsidRDefault="00603A7E" w:rsidP="00AC008D">
      <w:pPr>
        <w:jc w:val="both"/>
        <w:rPr>
          <w:rFonts w:ascii="Times New Roman" w:hAnsi="Times New Roman"/>
          <w:sz w:val="24"/>
          <w:szCs w:val="24"/>
        </w:rPr>
      </w:pPr>
    </w:p>
    <w:p w:rsidR="00B03C17" w:rsidRDefault="00603A7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Por outro lado, convém ressaltar que o texto da NR 12 foi fruto de processo tripartite de discussão por meio de reuniões que envolveram representantes das classes profissionais e patronais, além do Governo Federal, de modo que os óbices levantados em seu desfavor representam mera resistência ao cumprimento de norma que demandará maior investimento da indústria nacional com proveitos à saúde e à segurança do trabalhador e, por conseguinte, a toda a sociedade.</w:t>
      </w:r>
    </w:p>
    <w:p w:rsidR="00B03C17" w:rsidRDefault="00B03C17">
      <w:pPr>
        <w:jc w:val="both"/>
        <w:rPr>
          <w:rFonts w:ascii="Times New Roman" w:hAnsi="Times New Roman"/>
          <w:sz w:val="24"/>
          <w:szCs w:val="24"/>
        </w:rPr>
      </w:pPr>
    </w:p>
    <w:p w:rsidR="00B03C17" w:rsidRDefault="00603A7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Cite-se ainda que as centenas de milhares de acidentes de trabalho típicos na operação com máquinas, ocorridos ano a ano, a par dos inaceitáveis prejuízos ao patrimônio imaterial do trabalhador, acarretam custos altíssimos à Previdência Social, em razão dos prolongados afastamentos que demandam o pagamento de benefícios às vítimas. </w:t>
      </w:r>
    </w:p>
    <w:p w:rsidR="00B03C17" w:rsidRDefault="00B03C17">
      <w:pPr>
        <w:jc w:val="both"/>
        <w:rPr>
          <w:rFonts w:ascii="Times New Roman" w:hAnsi="Times New Roman"/>
          <w:sz w:val="24"/>
          <w:szCs w:val="24"/>
        </w:rPr>
      </w:pPr>
    </w:p>
    <w:p w:rsidR="00B03C17" w:rsidRDefault="00603A7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  <w:t xml:space="preserve">Assim, a diminuição dos infortúnios acarretaria economia aos cofres públicos. </w:t>
      </w:r>
    </w:p>
    <w:p w:rsidR="00B03C17" w:rsidRDefault="00B03C17">
      <w:pPr>
        <w:jc w:val="both"/>
        <w:rPr>
          <w:rFonts w:ascii="Times New Roman" w:hAnsi="Times New Roman"/>
          <w:sz w:val="24"/>
          <w:szCs w:val="24"/>
        </w:rPr>
      </w:pPr>
    </w:p>
    <w:p w:rsidR="00B03C17" w:rsidRDefault="00603A7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ab/>
      </w:r>
      <w:r>
        <w:rPr>
          <w:rFonts w:ascii="Times New Roman" w:hAnsi="Times New Roman"/>
          <w:sz w:val="24"/>
          <w:szCs w:val="24"/>
        </w:rPr>
        <w:tab/>
        <w:t>Em sentido contrário, admitir-se a sustação da NR 12 seria aquiescer com a mitigação dos princípios primários da prevenção, precaução e controle dos riscos no ambiente laboral em benefício à classe empresarial e à diminuição dos seus investimentos.</w:t>
      </w:r>
    </w:p>
    <w:p w:rsidR="00B03C17" w:rsidRDefault="00B03C17">
      <w:pPr>
        <w:jc w:val="both"/>
        <w:rPr>
          <w:rFonts w:ascii="Times New Roman" w:hAnsi="Times New Roman"/>
          <w:sz w:val="24"/>
          <w:szCs w:val="24"/>
        </w:rPr>
      </w:pPr>
    </w:p>
    <w:p w:rsidR="00B03C17" w:rsidRDefault="00603A7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Em arremate, enfatize-se que o texto original da norma regulamentar foi aprovado por meio da Portaria SIT nº 197, de dezembro de 2010, ou seja, há mais de quatro anos, circunstância que evidencia o longo lapso temporal entre a conclusão da sua elaboração – e consequente vigência – e a efetiva implementação que ora se pretende evitar. </w:t>
      </w:r>
    </w:p>
    <w:p w:rsidR="00B03C17" w:rsidRDefault="00B03C17">
      <w:pPr>
        <w:jc w:val="both"/>
        <w:rPr>
          <w:rFonts w:ascii="Times New Roman" w:hAnsi="Times New Roman"/>
          <w:sz w:val="24"/>
          <w:szCs w:val="24"/>
        </w:rPr>
      </w:pPr>
    </w:p>
    <w:p w:rsidR="00B03C17" w:rsidRDefault="00603A7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Logo, não se poderia argumentar que seriam impostos à classe patronal investimentos de alta monta quando, em verdade, o que resta claro é que, ao longo desse interregno, os destinatários da norma se furtaram a observar as suas prescrições e a promover a paulatina modernização do seu parque fabril.</w:t>
      </w:r>
    </w:p>
    <w:p w:rsidR="00B03C17" w:rsidRDefault="00B03C17">
      <w:pPr>
        <w:jc w:val="both"/>
        <w:rPr>
          <w:rFonts w:ascii="Times New Roman" w:hAnsi="Times New Roman"/>
          <w:sz w:val="24"/>
          <w:szCs w:val="24"/>
        </w:rPr>
      </w:pPr>
    </w:p>
    <w:p w:rsidR="00B03C17" w:rsidRDefault="00603A7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Pelas razões ora expostas, </w:t>
      </w:r>
      <w:r>
        <w:rPr>
          <w:rFonts w:ascii="Times New Roman" w:hAnsi="Times New Roman"/>
          <w:b/>
          <w:bCs/>
          <w:sz w:val="24"/>
          <w:szCs w:val="24"/>
        </w:rPr>
        <w:t>revela-se inconstitucional o Projeto</w:t>
      </w:r>
      <w:r>
        <w:rPr>
          <w:rFonts w:ascii="Times New Roman" w:hAnsi="Times New Roman"/>
          <w:sz w:val="24"/>
          <w:szCs w:val="24"/>
        </w:rPr>
        <w:t xml:space="preserve"> que visa a sustar a aplicabilidade da NR 12 do Ministério do Trabalho e Emprego – MTE.</w:t>
      </w:r>
    </w:p>
    <w:p w:rsidR="00B03C17" w:rsidRDefault="00B03C17">
      <w:pPr>
        <w:jc w:val="both"/>
        <w:rPr>
          <w:rFonts w:ascii="Times New Roman" w:hAnsi="Times New Roman"/>
          <w:sz w:val="24"/>
          <w:szCs w:val="24"/>
        </w:rPr>
      </w:pPr>
    </w:p>
    <w:p w:rsidR="00B03C17" w:rsidRDefault="00603A7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Diante de todo o exposto, a </w:t>
      </w:r>
      <w:r>
        <w:rPr>
          <w:rFonts w:ascii="Times New Roman" w:hAnsi="Times New Roman"/>
          <w:b/>
          <w:bCs/>
          <w:sz w:val="24"/>
          <w:szCs w:val="24"/>
        </w:rPr>
        <w:t>ANAMATRA</w:t>
      </w:r>
      <w:r>
        <w:rPr>
          <w:rFonts w:ascii="Times New Roman" w:hAnsi="Times New Roman"/>
          <w:sz w:val="24"/>
          <w:szCs w:val="24"/>
        </w:rPr>
        <w:t xml:space="preserve"> manifesta-se </w:t>
      </w:r>
      <w:r>
        <w:rPr>
          <w:rFonts w:ascii="Times New Roman" w:hAnsi="Times New Roman"/>
          <w:b/>
          <w:bCs/>
          <w:sz w:val="24"/>
          <w:szCs w:val="24"/>
        </w:rPr>
        <w:t>CONTRARIAMENTE</w:t>
      </w:r>
      <w:r>
        <w:rPr>
          <w:rFonts w:ascii="Times New Roman" w:hAnsi="Times New Roman"/>
          <w:sz w:val="24"/>
          <w:szCs w:val="24"/>
        </w:rPr>
        <w:t xml:space="preserve"> à admissibilidade do Projeto de Decre</w:t>
      </w:r>
      <w:r w:rsidR="00AC008D">
        <w:rPr>
          <w:rFonts w:ascii="Times New Roman" w:hAnsi="Times New Roman"/>
          <w:sz w:val="24"/>
          <w:szCs w:val="24"/>
        </w:rPr>
        <w:t>to Legislativo (PDS) nº 43/2015, bem como, ao requerimento que requer a tramitação em regime de urgência da referida proposta.</w:t>
      </w:r>
    </w:p>
    <w:p w:rsidR="00B03C17" w:rsidRDefault="00B03C17">
      <w:pPr>
        <w:jc w:val="both"/>
        <w:rPr>
          <w:rFonts w:ascii="Times New Roman" w:hAnsi="Times New Roman"/>
          <w:sz w:val="24"/>
          <w:szCs w:val="24"/>
        </w:rPr>
      </w:pPr>
    </w:p>
    <w:p w:rsidR="00B03C17" w:rsidRDefault="00603A7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AC008D">
        <w:rPr>
          <w:rFonts w:ascii="Times New Roman" w:hAnsi="Times New Roman"/>
          <w:sz w:val="24"/>
          <w:szCs w:val="24"/>
        </w:rPr>
        <w:t>Brasília, 31</w:t>
      </w:r>
      <w:r>
        <w:rPr>
          <w:rFonts w:ascii="Times New Roman" w:hAnsi="Times New Roman"/>
          <w:sz w:val="24"/>
          <w:szCs w:val="24"/>
        </w:rPr>
        <w:t xml:space="preserve"> de agosto de 2015.</w:t>
      </w:r>
    </w:p>
    <w:p w:rsidR="00B03C17" w:rsidRDefault="00B03C17">
      <w:pPr>
        <w:jc w:val="both"/>
        <w:rPr>
          <w:rFonts w:ascii="Times New Roman" w:hAnsi="Times New Roman"/>
          <w:sz w:val="24"/>
          <w:szCs w:val="24"/>
        </w:rPr>
      </w:pPr>
    </w:p>
    <w:p w:rsidR="00B03C17" w:rsidRDefault="00B03C17">
      <w:pPr>
        <w:jc w:val="both"/>
        <w:rPr>
          <w:rFonts w:ascii="Times New Roman" w:hAnsi="Times New Roman"/>
          <w:sz w:val="24"/>
          <w:szCs w:val="24"/>
        </w:rPr>
      </w:pPr>
    </w:p>
    <w:p w:rsidR="00B03C17" w:rsidRDefault="00603A7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GERMANO SIQUEIRA</w:t>
      </w:r>
    </w:p>
    <w:p w:rsidR="00B03C17" w:rsidRDefault="00603A7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Presidente da Anamatra</w:t>
      </w:r>
    </w:p>
    <w:p w:rsidR="00B03C17" w:rsidRDefault="00B03C17">
      <w:pPr>
        <w:jc w:val="both"/>
      </w:pPr>
    </w:p>
    <w:sectPr w:rsidR="00B03C17" w:rsidSect="00896B05">
      <w:pgSz w:w="11906" w:h="16838"/>
      <w:pgMar w:top="1417" w:right="1701" w:bottom="1417" w:left="1701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03C17"/>
    <w:rsid w:val="00603A7E"/>
    <w:rsid w:val="00874662"/>
    <w:rsid w:val="00896B05"/>
    <w:rsid w:val="008A1736"/>
    <w:rsid w:val="00AC008D"/>
    <w:rsid w:val="00B03C17"/>
    <w:rsid w:val="00DB1831"/>
    <w:rsid w:val="00E24C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6B05"/>
    <w:pPr>
      <w:suppressAutoHyphens/>
      <w:spacing w:after="200" w:line="276" w:lineRule="auto"/>
    </w:pPr>
    <w:rPr>
      <w:color w:val="00000A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Corpodotexto"/>
    <w:qFormat/>
    <w:rsid w:val="00896B0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orpodotexto">
    <w:name w:val="Corpo do texto"/>
    <w:basedOn w:val="Normal"/>
    <w:rsid w:val="00896B05"/>
    <w:pPr>
      <w:spacing w:after="140" w:line="288" w:lineRule="auto"/>
    </w:pPr>
  </w:style>
  <w:style w:type="paragraph" w:styleId="Lista">
    <w:name w:val="List"/>
    <w:basedOn w:val="Corpodotexto"/>
    <w:rsid w:val="00896B05"/>
    <w:rPr>
      <w:rFonts w:cs="Mangal"/>
    </w:rPr>
  </w:style>
  <w:style w:type="paragraph" w:styleId="Legenda">
    <w:name w:val="caption"/>
    <w:basedOn w:val="Normal"/>
    <w:rsid w:val="00896B0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rsid w:val="00896B05"/>
    <w:pPr>
      <w:suppressLineNumbers/>
    </w:pPr>
    <w:rPr>
      <w:rFonts w:cs="Mang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after="200" w:line="276" w:lineRule="auto"/>
    </w:pPr>
    <w:rPr>
      <w:color w:val="00000A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Corpodotex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orpodotexto">
    <w:name w:val="Corpo do texto"/>
    <w:basedOn w:val="Normal"/>
    <w:pPr>
      <w:spacing w:after="140" w:line="288" w:lineRule="auto"/>
    </w:pPr>
  </w:style>
  <w:style w:type="paragraph" w:styleId="Lista">
    <w:name w:val="List"/>
    <w:basedOn w:val="Corpodotexto"/>
    <w:rPr>
      <w:rFonts w:cs="Mangal"/>
    </w:rPr>
  </w:style>
  <w:style w:type="paragraph" w:styleId="Legenda">
    <w:name w:val="caption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69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1101</Words>
  <Characters>5951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Vice Presidencia</dc:creator>
  <cp:lastModifiedBy>renata@consultorjuridico.com.br</cp:lastModifiedBy>
  <cp:revision>2</cp:revision>
  <cp:lastPrinted>2015-08-18T15:08:00Z</cp:lastPrinted>
  <dcterms:created xsi:type="dcterms:W3CDTF">2015-08-31T20:51:00Z</dcterms:created>
  <dcterms:modified xsi:type="dcterms:W3CDTF">2015-08-31T20:51:00Z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