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7E09C" w14:textId="77777777" w:rsidR="00651640" w:rsidRDefault="00651640" w:rsidP="00651640">
      <w:pPr>
        <w:spacing w:line="264" w:lineRule="auto"/>
        <w:ind w:left="3686"/>
        <w:rPr>
          <w:rFonts w:ascii="Palatino Linotype" w:hAnsi="Palatino Linotype"/>
          <w:smallCaps/>
          <w:color w:val="000000" w:themeColor="text1"/>
          <w:sz w:val="24"/>
        </w:rPr>
      </w:pPr>
      <w:bookmarkStart w:id="0" w:name="_GoBack"/>
      <w:bookmarkEnd w:id="0"/>
      <w:r w:rsidRPr="00B968FD">
        <w:rPr>
          <w:rFonts w:ascii="Palatino Linotype" w:hAnsi="Palatino Linotype"/>
          <w:i/>
          <w:color w:val="000000" w:themeColor="text1"/>
          <w:sz w:val="24"/>
        </w:rPr>
        <w:t>Ementa</w:t>
      </w:r>
      <w:r w:rsidRPr="00B968FD">
        <w:rPr>
          <w:rFonts w:ascii="Palatino Linotype" w:hAnsi="Palatino Linotype"/>
          <w:color w:val="000000" w:themeColor="text1"/>
          <w:sz w:val="24"/>
        </w:rPr>
        <w:t xml:space="preserve">: </w:t>
      </w:r>
      <w:r w:rsidRPr="00B968FD">
        <w:rPr>
          <w:rFonts w:ascii="Palatino Linotype" w:hAnsi="Palatino Linotype"/>
          <w:smallCaps/>
          <w:color w:val="000000" w:themeColor="text1"/>
          <w:sz w:val="24"/>
        </w:rPr>
        <w:t>Direito</w:t>
      </w:r>
      <w:r>
        <w:rPr>
          <w:rFonts w:ascii="Palatino Linotype" w:hAnsi="Palatino Linotype"/>
          <w:smallCaps/>
          <w:color w:val="000000" w:themeColor="text1"/>
          <w:sz w:val="24"/>
        </w:rPr>
        <w:t xml:space="preserve"> constitucional e eleitoral. Recurso extraordinário com repercussão geral. Competência para julgamento das contas do prefeito municipal. Distinção entre contas de governo e contas de gestão.</w:t>
      </w:r>
    </w:p>
    <w:p w14:paraId="4FB0A60D" w14:textId="77777777" w:rsidR="00651640" w:rsidRDefault="00651640" w:rsidP="00651640">
      <w:pPr>
        <w:spacing w:line="264" w:lineRule="auto"/>
        <w:ind w:left="3686" w:firstLine="562"/>
        <w:rPr>
          <w:rFonts w:ascii="Palatino Linotype" w:hAnsi="Palatino Linotype"/>
          <w:color w:val="000000" w:themeColor="text1"/>
          <w:sz w:val="24"/>
        </w:rPr>
      </w:pPr>
      <w:r>
        <w:rPr>
          <w:rFonts w:ascii="Palatino Linotype" w:hAnsi="Palatino Linotype"/>
          <w:color w:val="000000" w:themeColor="text1"/>
          <w:sz w:val="24"/>
        </w:rPr>
        <w:t>1. A fiscalização contábil, financeira e orçamentária da Administração Pública compreende o exame da prestação de contas de duas naturezas: contas de governo e contas de gestão.</w:t>
      </w:r>
    </w:p>
    <w:p w14:paraId="46DF1158" w14:textId="77777777" w:rsidR="00651640" w:rsidRDefault="00651640" w:rsidP="00651640">
      <w:pPr>
        <w:spacing w:line="264" w:lineRule="auto"/>
        <w:ind w:left="3686" w:firstLine="562"/>
        <w:rPr>
          <w:rFonts w:ascii="Palatino Linotype" w:hAnsi="Palatino Linotype"/>
          <w:color w:val="000000" w:themeColor="text1"/>
          <w:sz w:val="24"/>
        </w:rPr>
      </w:pPr>
      <w:r>
        <w:rPr>
          <w:rFonts w:ascii="Palatino Linotype" w:hAnsi="Palatino Linotype"/>
          <w:color w:val="000000" w:themeColor="text1"/>
          <w:sz w:val="24"/>
        </w:rPr>
        <w:t xml:space="preserve">2. </w:t>
      </w:r>
      <w:r>
        <w:rPr>
          <w:rFonts w:ascii="Palatino Linotype" w:hAnsi="Palatino Linotype"/>
          <w:color w:val="000000" w:themeColor="text1"/>
          <w:sz w:val="24"/>
        </w:rPr>
        <w:tab/>
        <w:t>A competência para julgamento das contas será atribuída à Casa Legislativa ou ao Tribunal de Contas em função da natureza das contas prestadas, e não do cargo ocupado pelo administrador.</w:t>
      </w:r>
    </w:p>
    <w:p w14:paraId="76A947E3" w14:textId="77777777" w:rsidR="00651640" w:rsidRDefault="00651640" w:rsidP="00651640">
      <w:pPr>
        <w:spacing w:line="264" w:lineRule="auto"/>
        <w:ind w:left="3686" w:firstLine="562"/>
        <w:rPr>
          <w:rFonts w:ascii="Palatino Linotype" w:hAnsi="Palatino Linotype"/>
          <w:color w:val="000000" w:themeColor="text1"/>
          <w:sz w:val="24"/>
        </w:rPr>
      </w:pPr>
      <w:r>
        <w:rPr>
          <w:rFonts w:ascii="Palatino Linotype" w:hAnsi="Palatino Linotype"/>
          <w:color w:val="000000" w:themeColor="text1"/>
          <w:sz w:val="24"/>
        </w:rPr>
        <w:t xml:space="preserve">3. </w:t>
      </w:r>
      <w:proofErr w:type="gramStart"/>
      <w:r>
        <w:rPr>
          <w:rFonts w:ascii="Palatino Linotype" w:hAnsi="Palatino Linotype"/>
          <w:color w:val="000000" w:themeColor="text1"/>
          <w:sz w:val="24"/>
        </w:rPr>
        <w:tab/>
        <w:t>As</w:t>
      </w:r>
      <w:proofErr w:type="gramEnd"/>
      <w:r>
        <w:rPr>
          <w:rFonts w:ascii="Palatino Linotype" w:hAnsi="Palatino Linotype"/>
          <w:color w:val="000000" w:themeColor="text1"/>
          <w:sz w:val="24"/>
        </w:rPr>
        <w:t xml:space="preserve"> </w:t>
      </w:r>
      <w:r>
        <w:rPr>
          <w:rFonts w:ascii="Palatino Linotype" w:hAnsi="Palatino Linotype"/>
          <w:i/>
          <w:color w:val="000000" w:themeColor="text1"/>
          <w:sz w:val="24"/>
        </w:rPr>
        <w:t>contas de governo</w:t>
      </w:r>
      <w:r>
        <w:rPr>
          <w:rFonts w:ascii="Palatino Linotype" w:hAnsi="Palatino Linotype"/>
          <w:color w:val="000000" w:themeColor="text1"/>
          <w:sz w:val="24"/>
        </w:rPr>
        <w:t xml:space="preserve">, também denominadas contas de desempenho ou de resultados, objetivam demonstrar o cumprimento do orçamento, dos planos e programas de governo. Referem-se, portanto, à atuação do chefe do Executivo como agente político. A </w:t>
      </w:r>
      <w:r w:rsidRPr="00B968FD">
        <w:rPr>
          <w:rFonts w:ascii="Palatino Linotype" w:hAnsi="Palatino Linotype"/>
          <w:color w:val="000000" w:themeColor="text1"/>
          <w:sz w:val="24"/>
        </w:rPr>
        <w:t xml:space="preserve">Constituição reserva à Casa Legislativa correspondente a competência para julgá-las em definitivo, mediante parecer prévio </w:t>
      </w:r>
      <w:proofErr w:type="gramStart"/>
      <w:r w:rsidRPr="00B968FD">
        <w:rPr>
          <w:rFonts w:ascii="Palatino Linotype" w:hAnsi="Palatino Linotype"/>
          <w:color w:val="000000" w:themeColor="text1"/>
          <w:sz w:val="24"/>
        </w:rPr>
        <w:t>do</w:t>
      </w:r>
      <w:proofErr w:type="gramEnd"/>
      <w:r w:rsidRPr="00B968FD">
        <w:rPr>
          <w:rFonts w:ascii="Palatino Linotype" w:hAnsi="Palatino Linotype"/>
          <w:color w:val="000000" w:themeColor="text1"/>
          <w:sz w:val="24"/>
        </w:rPr>
        <w:t xml:space="preserve"> Tribu</w:t>
      </w:r>
      <w:r>
        <w:rPr>
          <w:rFonts w:ascii="Palatino Linotype" w:hAnsi="Palatino Linotype"/>
          <w:color w:val="000000" w:themeColor="text1"/>
          <w:sz w:val="24"/>
        </w:rPr>
        <w:t xml:space="preserve">nal de Contas, conforme determina </w:t>
      </w:r>
      <w:r w:rsidRPr="00B968FD">
        <w:rPr>
          <w:rFonts w:ascii="Palatino Linotype" w:hAnsi="Palatino Linotype"/>
          <w:color w:val="000000" w:themeColor="text1"/>
          <w:sz w:val="24"/>
        </w:rPr>
        <w:t>o art.</w:t>
      </w:r>
      <w:r>
        <w:rPr>
          <w:rFonts w:ascii="Palatino Linotype" w:hAnsi="Palatino Linotype"/>
          <w:color w:val="000000" w:themeColor="text1"/>
          <w:sz w:val="24"/>
        </w:rPr>
        <w:t xml:space="preserve"> 71, I da Constituição Federal.</w:t>
      </w:r>
    </w:p>
    <w:p w14:paraId="5737D762" w14:textId="77777777" w:rsidR="00651640" w:rsidRDefault="00651640" w:rsidP="00651640">
      <w:pPr>
        <w:spacing w:line="264" w:lineRule="auto"/>
        <w:ind w:left="3686" w:firstLine="562"/>
        <w:rPr>
          <w:rFonts w:ascii="Palatino Linotype" w:hAnsi="Palatino Linotype"/>
          <w:color w:val="000000" w:themeColor="text1"/>
          <w:sz w:val="24"/>
        </w:rPr>
      </w:pPr>
      <w:r>
        <w:rPr>
          <w:rFonts w:ascii="Palatino Linotype" w:hAnsi="Palatino Linotype"/>
          <w:color w:val="000000" w:themeColor="text1"/>
          <w:sz w:val="24"/>
        </w:rPr>
        <w:t xml:space="preserve">4. </w:t>
      </w:r>
      <w:proofErr w:type="gramStart"/>
      <w:r>
        <w:rPr>
          <w:rFonts w:ascii="Palatino Linotype" w:hAnsi="Palatino Linotype"/>
          <w:color w:val="000000" w:themeColor="text1"/>
          <w:sz w:val="24"/>
        </w:rPr>
        <w:tab/>
        <w:t>Já</w:t>
      </w:r>
      <w:proofErr w:type="gramEnd"/>
      <w:r>
        <w:rPr>
          <w:rFonts w:ascii="Palatino Linotype" w:hAnsi="Palatino Linotype"/>
          <w:color w:val="000000" w:themeColor="text1"/>
          <w:sz w:val="24"/>
        </w:rPr>
        <w:t xml:space="preserve"> as </w:t>
      </w:r>
      <w:r>
        <w:rPr>
          <w:rFonts w:ascii="Palatino Linotype" w:hAnsi="Palatino Linotype"/>
          <w:i/>
          <w:color w:val="000000" w:themeColor="text1"/>
          <w:sz w:val="24"/>
        </w:rPr>
        <w:t>contas de gestão</w:t>
      </w:r>
      <w:r>
        <w:rPr>
          <w:rFonts w:ascii="Palatino Linotype" w:hAnsi="Palatino Linotype"/>
          <w:color w:val="000000" w:themeColor="text1"/>
          <w:sz w:val="24"/>
        </w:rPr>
        <w:t xml:space="preserve">, também chamadas de contas de ordenação de despesas, possibilitam o exame, não dos gastos globais, mas de cada ato administrativo que compõe a gestão contábil, financeira, orçamentária, operacional e patrimonial do ente público, quanto à legalidade, legitimidade e economicidade. A competência para julgá-las é do Tribunal de Contas, em definitivo – portanto, sem a participação da Casa Legislativa respectiva </w:t>
      </w:r>
      <w:r>
        <w:rPr>
          <w:rFonts w:ascii="Palatino Linotype" w:hAnsi="Palatino Linotype"/>
          <w:color w:val="000000" w:themeColor="text1"/>
          <w:sz w:val="24"/>
        </w:rPr>
        <w:lastRenderedPageBreak/>
        <w:t>–, conforme determina o art. 71, II da Constituição Federal.</w:t>
      </w:r>
    </w:p>
    <w:p w14:paraId="144EB7A0" w14:textId="77777777" w:rsidR="00651640" w:rsidRDefault="00651640" w:rsidP="00651640">
      <w:pPr>
        <w:spacing w:line="264" w:lineRule="auto"/>
        <w:ind w:left="3686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000000" w:themeColor="text1"/>
          <w:sz w:val="24"/>
        </w:rPr>
        <w:t xml:space="preserve">5. </w:t>
      </w:r>
      <w:r>
        <w:rPr>
          <w:rFonts w:ascii="Palatino Linotype" w:hAnsi="Palatino Linotype"/>
          <w:color w:val="000000" w:themeColor="text1"/>
          <w:sz w:val="24"/>
        </w:rPr>
        <w:tab/>
        <w:t xml:space="preserve">A sistemática exposta acima é aplicável aos Estados e Municípios por força do art. 75, </w:t>
      </w:r>
      <w:r>
        <w:rPr>
          <w:rFonts w:ascii="Palatino Linotype" w:hAnsi="Palatino Linotype"/>
          <w:i/>
          <w:color w:val="000000" w:themeColor="text1"/>
          <w:sz w:val="24"/>
        </w:rPr>
        <w:t>caput</w:t>
      </w:r>
      <w:r>
        <w:rPr>
          <w:rFonts w:ascii="Palatino Linotype" w:hAnsi="Palatino Linotype"/>
          <w:color w:val="000000" w:themeColor="text1"/>
          <w:sz w:val="24"/>
        </w:rPr>
        <w:t xml:space="preserve"> da Constituição Federal. Assim sendo, se o Prefeito age como ordenador de despesas, suas contas de gestão serão julgadas de modo definitivo pelo Tribunal de Contas competente, sem intervenção da Câmara Municipal.</w:t>
      </w:r>
      <w:r>
        <w:rPr>
          <w:rFonts w:ascii="Palatino Linotype" w:hAnsi="Palatino Linotype"/>
          <w:sz w:val="24"/>
        </w:rPr>
        <w:t xml:space="preserve"> </w:t>
      </w:r>
    </w:p>
    <w:p w14:paraId="2AE7339E" w14:textId="77777777" w:rsidR="00651640" w:rsidRDefault="00651640" w:rsidP="00651640">
      <w:pPr>
        <w:spacing w:line="264" w:lineRule="auto"/>
        <w:ind w:left="3686"/>
        <w:rPr>
          <w:rFonts w:ascii="Palatino Linotype" w:hAnsi="Palatino Linotype"/>
          <w:b/>
          <w:smallCaps/>
          <w:color w:val="000000" w:themeColor="text1"/>
          <w:sz w:val="24"/>
        </w:rPr>
      </w:pPr>
      <w:r>
        <w:rPr>
          <w:rFonts w:ascii="Palatino Linotype" w:hAnsi="Palatino Linotype"/>
          <w:sz w:val="24"/>
        </w:rPr>
        <w:t xml:space="preserve">6. </w:t>
      </w:r>
      <w:r>
        <w:rPr>
          <w:rFonts w:ascii="Palatino Linotype" w:hAnsi="Palatino Linotype"/>
          <w:sz w:val="24"/>
        </w:rPr>
        <w:tab/>
        <w:t xml:space="preserve">É constitucional o art. 1º, I, </w:t>
      </w:r>
      <w:r w:rsidRPr="006B06B0">
        <w:rPr>
          <w:rFonts w:ascii="Palatino Linotype" w:hAnsi="Palatino Linotype"/>
          <w:i/>
          <w:sz w:val="24"/>
        </w:rPr>
        <w:t>g</w:t>
      </w:r>
      <w:r>
        <w:rPr>
          <w:rFonts w:ascii="Palatino Linotype" w:hAnsi="Palatino Linotype"/>
          <w:sz w:val="24"/>
        </w:rPr>
        <w:t xml:space="preserve">, da Lei Complementar nº 64/1990, com redação dada pela Lei Complementar nº 135/2010, na parte em que assenta ser aplicável </w:t>
      </w:r>
      <w:r>
        <w:rPr>
          <w:rFonts w:ascii="Palatino Linotype" w:hAnsi="Palatino Linotype"/>
          <w:i/>
          <w:sz w:val="24"/>
        </w:rPr>
        <w:t>“</w:t>
      </w:r>
      <w:r w:rsidRPr="00CA62BD">
        <w:rPr>
          <w:rFonts w:ascii="Palatino Linotype" w:hAnsi="Palatino Linotype"/>
          <w:i/>
          <w:sz w:val="24"/>
        </w:rPr>
        <w:t>o disposto no inciso II do art. 71 da Constituição Federal, a todos os ordenadores de despesa, sem exclusão dos mandatários que houverem agido nessa condição”</w:t>
      </w:r>
      <w:r>
        <w:rPr>
          <w:rFonts w:ascii="Palatino Linotype" w:hAnsi="Palatino Linotype"/>
          <w:sz w:val="24"/>
        </w:rPr>
        <w:t>. Para os fins do disposto nesse dispositivo, incluem-se entre os mandatários os Prefeitos e demais Chefes do Poder Executivo.</w:t>
      </w:r>
    </w:p>
    <w:p w14:paraId="02B3FA9C" w14:textId="77777777" w:rsidR="00651640" w:rsidRPr="00E875FE" w:rsidRDefault="00651640" w:rsidP="00651640">
      <w:pPr>
        <w:pStyle w:val="PargrafodaLista"/>
        <w:spacing w:line="264" w:lineRule="auto"/>
        <w:ind w:left="3686"/>
        <w:rPr>
          <w:rFonts w:ascii="Palatino Linotype" w:hAnsi="Palatino Linotype"/>
          <w:b/>
          <w:smallCaps/>
          <w:color w:val="000000" w:themeColor="text1"/>
          <w:sz w:val="24"/>
        </w:rPr>
      </w:pPr>
      <w:r>
        <w:rPr>
          <w:rFonts w:ascii="Palatino Linotype" w:hAnsi="Palatino Linotype"/>
          <w:sz w:val="24"/>
        </w:rPr>
        <w:t>7. Manutenção do entendimento do Tribunal Superior Eleitoral, com o consequente d</w:t>
      </w:r>
      <w:r w:rsidRPr="00E875FE">
        <w:rPr>
          <w:rFonts w:ascii="Palatino Linotype" w:hAnsi="Palatino Linotype"/>
          <w:sz w:val="24"/>
        </w:rPr>
        <w:t xml:space="preserve">esprovimento do Recurso Extraordinário. Afirmação, em sede de repercussão geral, da seguinte tese: </w:t>
      </w:r>
      <w:r w:rsidRPr="00B968FD">
        <w:rPr>
          <w:rFonts w:ascii="Palatino Linotype" w:hAnsi="Palatino Linotype"/>
          <w:i/>
          <w:color w:val="000000" w:themeColor="text1"/>
          <w:sz w:val="24"/>
        </w:rPr>
        <w:t>“Por força do</w:t>
      </w:r>
      <w:r>
        <w:rPr>
          <w:rFonts w:ascii="Palatino Linotype" w:hAnsi="Palatino Linotype"/>
          <w:i/>
          <w:color w:val="000000" w:themeColor="text1"/>
          <w:sz w:val="24"/>
        </w:rPr>
        <w:t>s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</w:t>
      </w:r>
      <w:proofErr w:type="spellStart"/>
      <w:r w:rsidRPr="00B968FD">
        <w:rPr>
          <w:rFonts w:ascii="Palatino Linotype" w:hAnsi="Palatino Linotype"/>
          <w:i/>
          <w:color w:val="000000" w:themeColor="text1"/>
          <w:sz w:val="24"/>
        </w:rPr>
        <w:t>art</w:t>
      </w:r>
      <w:r>
        <w:rPr>
          <w:rFonts w:ascii="Palatino Linotype" w:hAnsi="Palatino Linotype"/>
          <w:i/>
          <w:color w:val="000000" w:themeColor="text1"/>
          <w:sz w:val="24"/>
        </w:rPr>
        <w:t>s</w:t>
      </w:r>
      <w:proofErr w:type="spellEnd"/>
      <w:r w:rsidRPr="00B968FD">
        <w:rPr>
          <w:rFonts w:ascii="Palatino Linotype" w:hAnsi="Palatino Linotype"/>
          <w:i/>
          <w:color w:val="000000" w:themeColor="text1"/>
          <w:sz w:val="24"/>
        </w:rPr>
        <w:t>. 71, II,</w:t>
      </w:r>
      <w:r>
        <w:rPr>
          <w:rFonts w:ascii="Palatino Linotype" w:hAnsi="Palatino Linotype"/>
          <w:i/>
          <w:color w:val="000000" w:themeColor="text1"/>
          <w:sz w:val="24"/>
        </w:rPr>
        <w:t xml:space="preserve"> e 75, </w:t>
      </w:r>
      <w:r w:rsidRPr="005F766C">
        <w:rPr>
          <w:rFonts w:ascii="Palatino Linotype" w:hAnsi="Palatino Linotype"/>
          <w:color w:val="000000" w:themeColor="text1"/>
          <w:sz w:val="24"/>
        </w:rPr>
        <w:t>caput</w:t>
      </w:r>
      <w:r>
        <w:rPr>
          <w:rFonts w:ascii="Palatino Linotype" w:hAnsi="Palatino Linotype"/>
          <w:i/>
          <w:color w:val="000000" w:themeColor="text1"/>
          <w:sz w:val="24"/>
        </w:rPr>
        <w:t>,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da Constituição Federal, compete aos Tribunais de Contas dos Estados ou do</w:t>
      </w:r>
      <w:r>
        <w:rPr>
          <w:rFonts w:ascii="Palatino Linotype" w:hAnsi="Palatino Linotype"/>
          <w:i/>
          <w:color w:val="000000" w:themeColor="text1"/>
          <w:sz w:val="24"/>
        </w:rPr>
        <w:t>s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Município</w:t>
      </w:r>
      <w:r>
        <w:rPr>
          <w:rFonts w:ascii="Palatino Linotype" w:hAnsi="Palatino Linotype"/>
          <w:i/>
          <w:color w:val="000000" w:themeColor="text1"/>
          <w:sz w:val="24"/>
        </w:rPr>
        <w:t>s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ou </w:t>
      </w:r>
      <w:r>
        <w:rPr>
          <w:rFonts w:ascii="Palatino Linotype" w:hAnsi="Palatino Linotype"/>
          <w:i/>
          <w:color w:val="000000" w:themeColor="text1"/>
          <w:sz w:val="24"/>
        </w:rPr>
        <w:t>a</w:t>
      </w:r>
      <w:r w:rsidRPr="00B968FD">
        <w:rPr>
          <w:rFonts w:ascii="Palatino Linotype" w:hAnsi="Palatino Linotype"/>
          <w:i/>
          <w:color w:val="000000" w:themeColor="text1"/>
          <w:sz w:val="24"/>
        </w:rPr>
        <w:t>os Conselhos ou Tribunais de Contas dos Municípios, onde houver, julgar em definitivo as contas de gestão de Chefes do Poder</w:t>
      </w:r>
      <w:r>
        <w:rPr>
          <w:rFonts w:ascii="Palatino Linotype" w:hAnsi="Palatino Linotype"/>
          <w:i/>
          <w:color w:val="000000" w:themeColor="text1"/>
          <w:sz w:val="24"/>
        </w:rPr>
        <w:t xml:space="preserve"> Executivo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que </w:t>
      </w:r>
      <w:r>
        <w:rPr>
          <w:rFonts w:ascii="Palatino Linotype" w:hAnsi="Palatino Linotype"/>
          <w:i/>
          <w:color w:val="000000" w:themeColor="text1"/>
          <w:sz w:val="24"/>
        </w:rPr>
        <w:t>atuem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na condição de ordenadores de despesas, </w:t>
      </w:r>
      <w:r>
        <w:rPr>
          <w:rFonts w:ascii="Palatino Linotype" w:hAnsi="Palatino Linotype"/>
          <w:i/>
          <w:color w:val="000000" w:themeColor="text1"/>
          <w:sz w:val="24"/>
        </w:rPr>
        <w:t>não sendo o caso de apreciação posterior pela</w:t>
      </w:r>
      <w:r w:rsidRPr="00B968FD">
        <w:rPr>
          <w:rFonts w:ascii="Palatino Linotype" w:hAnsi="Palatino Linotype"/>
          <w:i/>
          <w:color w:val="000000" w:themeColor="text1"/>
          <w:sz w:val="24"/>
        </w:rPr>
        <w:t xml:space="preserve"> Casa Legislativa correspondente”</w:t>
      </w:r>
      <w:r w:rsidRPr="00B968FD">
        <w:rPr>
          <w:rFonts w:ascii="Palatino Linotype" w:hAnsi="Palatino Linotype"/>
          <w:color w:val="000000" w:themeColor="text1"/>
          <w:sz w:val="24"/>
        </w:rPr>
        <w:t>.</w:t>
      </w:r>
      <w:r w:rsidRPr="008A205E" w:rsidDel="00FF3488">
        <w:rPr>
          <w:rFonts w:ascii="Palatino Linotype" w:hAnsi="Palatino Linotype"/>
          <w:i/>
          <w:color w:val="000000" w:themeColor="text1"/>
          <w:sz w:val="24"/>
        </w:rPr>
        <w:t xml:space="preserve"> </w:t>
      </w:r>
    </w:p>
    <w:p w14:paraId="4DA1EDB7" w14:textId="77777777" w:rsidR="00651640" w:rsidRDefault="00651640" w:rsidP="00651640">
      <w:pPr>
        <w:spacing w:line="240" w:lineRule="auto"/>
        <w:jc w:val="left"/>
        <w:rPr>
          <w:rFonts w:ascii="Palatino Linotype" w:hAnsi="Palatino Linotype"/>
          <w:b/>
          <w:smallCaps/>
          <w:color w:val="000000" w:themeColor="text1"/>
          <w:sz w:val="24"/>
        </w:rPr>
      </w:pPr>
      <w:r>
        <w:rPr>
          <w:rFonts w:ascii="Palatino Linotype" w:hAnsi="Palatino Linotype"/>
          <w:b/>
          <w:smallCaps/>
          <w:color w:val="000000" w:themeColor="text1"/>
          <w:sz w:val="24"/>
        </w:rPr>
        <w:br w:type="page"/>
      </w:r>
    </w:p>
    <w:p w14:paraId="5829646A" w14:textId="77777777" w:rsidR="00651640" w:rsidRDefault="00651640"/>
    <w:sectPr w:rsidR="0065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40"/>
    <w:rsid w:val="00074153"/>
    <w:rsid w:val="00651640"/>
    <w:rsid w:val="00C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CD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40"/>
    <w:pPr>
      <w:spacing w:line="360" w:lineRule="auto"/>
      <w:jc w:val="both"/>
    </w:pPr>
    <w:rPr>
      <w:rFonts w:ascii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1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Supremo Tribunal Federal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Freire</dc:creator>
  <cp:keywords/>
  <dc:description/>
  <cp:lastModifiedBy>Jornalista</cp:lastModifiedBy>
  <cp:revision>2</cp:revision>
  <dcterms:created xsi:type="dcterms:W3CDTF">2016-08-10T22:13:00Z</dcterms:created>
  <dcterms:modified xsi:type="dcterms:W3CDTF">2016-08-10T22:13:00Z</dcterms:modified>
</cp:coreProperties>
</file>