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634"/>
        <w:gridCol w:w="278"/>
        <w:gridCol w:w="5387"/>
      </w:tblGrid>
      <w:tr w:rsidR="00AD0BFC" w:rsidTr="00AD0BFC">
        <w:tc>
          <w:tcPr>
            <w:tcW w:w="0" w:type="auto"/>
            <w:shd w:val="clear" w:color="auto" w:fill="auto"/>
          </w:tcPr>
          <w:p w:rsidR="00AD0BFC" w:rsidRDefault="00AD0BFC" w:rsidP="00581581">
            <w:pPr>
              <w:pStyle w:val="Identificao"/>
            </w:pPr>
            <w:r>
              <w:t xml:space="preserve">RELATOR </w:t>
            </w:r>
          </w:p>
        </w:tc>
        <w:tc>
          <w:tcPr>
            <w:tcW w:w="0" w:type="auto"/>
            <w:shd w:val="clear" w:color="auto" w:fill="auto"/>
          </w:tcPr>
          <w:p w:rsidR="00AD0BFC" w:rsidRDefault="00AD0BFC" w:rsidP="00581581">
            <w:pPr>
              <w:pStyle w:val="Identificao"/>
            </w:pPr>
            <w:r>
              <w:t>:</w:t>
            </w:r>
          </w:p>
        </w:tc>
        <w:tc>
          <w:tcPr>
            <w:tcW w:w="0" w:type="auto"/>
            <w:shd w:val="clear" w:color="auto" w:fill="auto"/>
          </w:tcPr>
          <w:p w:rsidR="00AD0BFC" w:rsidRDefault="00AD0BFC" w:rsidP="00581581">
            <w:pPr>
              <w:pStyle w:val="Identificao"/>
            </w:pPr>
            <w:r>
              <w:t>DESEMBARGADOR FEDERAL NÉVITON GUEDES</w:t>
            </w:r>
          </w:p>
        </w:tc>
      </w:tr>
      <w:tr w:rsidR="00AD0BFC" w:rsidTr="00AD0BFC">
        <w:tc>
          <w:tcPr>
            <w:tcW w:w="0" w:type="auto"/>
            <w:shd w:val="clear" w:color="auto" w:fill="auto"/>
          </w:tcPr>
          <w:p w:rsidR="00AD0BFC" w:rsidRDefault="00AD0BFC" w:rsidP="00581581">
            <w:pPr>
              <w:pStyle w:val="Identificao"/>
            </w:pPr>
            <w:r>
              <w:t>IMPETRANTE</w:t>
            </w:r>
          </w:p>
        </w:tc>
        <w:tc>
          <w:tcPr>
            <w:tcW w:w="0" w:type="auto"/>
            <w:shd w:val="clear" w:color="auto" w:fill="auto"/>
          </w:tcPr>
          <w:p w:rsidR="00AD0BFC" w:rsidRDefault="00AD0BFC" w:rsidP="00581581">
            <w:pPr>
              <w:pStyle w:val="Identificao"/>
            </w:pPr>
            <w:r>
              <w:t>:</w:t>
            </w:r>
          </w:p>
        </w:tc>
        <w:tc>
          <w:tcPr>
            <w:tcW w:w="0" w:type="auto"/>
            <w:shd w:val="clear" w:color="auto" w:fill="auto"/>
          </w:tcPr>
          <w:p w:rsidR="00AD0BFC" w:rsidRDefault="00AD0BFC" w:rsidP="00581581">
            <w:pPr>
              <w:pStyle w:val="Identificao"/>
            </w:pPr>
            <w:r>
              <w:t>MG00083092 - SANZIO BAIONETA NOGUEIRA</w:t>
            </w:r>
          </w:p>
        </w:tc>
      </w:tr>
      <w:tr w:rsidR="00AD0BFC" w:rsidTr="00AD0BFC">
        <w:tc>
          <w:tcPr>
            <w:tcW w:w="0" w:type="auto"/>
            <w:shd w:val="clear" w:color="auto" w:fill="auto"/>
          </w:tcPr>
          <w:p w:rsidR="00AD0BFC" w:rsidRDefault="00AD0BFC" w:rsidP="00581581">
            <w:pPr>
              <w:pStyle w:val="Identificao"/>
            </w:pPr>
            <w:r>
              <w:t>IMPETRANTE</w:t>
            </w:r>
          </w:p>
        </w:tc>
        <w:tc>
          <w:tcPr>
            <w:tcW w:w="0" w:type="auto"/>
            <w:shd w:val="clear" w:color="auto" w:fill="auto"/>
          </w:tcPr>
          <w:p w:rsidR="00AD0BFC" w:rsidRDefault="00AD0BFC" w:rsidP="00581581">
            <w:pPr>
              <w:pStyle w:val="Identificao"/>
            </w:pPr>
            <w:r>
              <w:t>:</w:t>
            </w:r>
          </w:p>
        </w:tc>
        <w:tc>
          <w:tcPr>
            <w:tcW w:w="0" w:type="auto"/>
            <w:shd w:val="clear" w:color="auto" w:fill="auto"/>
          </w:tcPr>
          <w:p w:rsidR="00AD0BFC" w:rsidRDefault="00AD0BFC" w:rsidP="00581581">
            <w:pPr>
              <w:pStyle w:val="Identificao"/>
            </w:pPr>
            <w:r>
              <w:t>THIAGO XAVIER NHIMI RESENDE E OUTROS(AS)</w:t>
            </w:r>
          </w:p>
        </w:tc>
      </w:tr>
      <w:tr w:rsidR="00AD0BFC" w:rsidTr="00AD0BFC">
        <w:tc>
          <w:tcPr>
            <w:tcW w:w="0" w:type="auto"/>
            <w:shd w:val="clear" w:color="auto" w:fill="auto"/>
          </w:tcPr>
          <w:p w:rsidR="00AD0BFC" w:rsidRDefault="00AD0BFC" w:rsidP="00581581">
            <w:pPr>
              <w:pStyle w:val="Identificao"/>
            </w:pPr>
            <w:r>
              <w:t>IMPETRADO</w:t>
            </w:r>
          </w:p>
        </w:tc>
        <w:tc>
          <w:tcPr>
            <w:tcW w:w="0" w:type="auto"/>
            <w:shd w:val="clear" w:color="auto" w:fill="auto"/>
          </w:tcPr>
          <w:p w:rsidR="00AD0BFC" w:rsidRDefault="00AD0BFC" w:rsidP="00581581">
            <w:pPr>
              <w:pStyle w:val="Identificao"/>
            </w:pPr>
            <w:r>
              <w:t>:</w:t>
            </w:r>
          </w:p>
        </w:tc>
        <w:tc>
          <w:tcPr>
            <w:tcW w:w="0" w:type="auto"/>
            <w:shd w:val="clear" w:color="auto" w:fill="auto"/>
          </w:tcPr>
          <w:p w:rsidR="00AD0BFC" w:rsidRDefault="00AD0BFC" w:rsidP="00581581">
            <w:pPr>
              <w:pStyle w:val="Identificao"/>
            </w:pPr>
            <w:r>
              <w:t>JUIZO FEDERAL DA 4A VARA - MG</w:t>
            </w:r>
          </w:p>
        </w:tc>
      </w:tr>
      <w:tr w:rsidR="00AD0BFC" w:rsidTr="00AD0BFC">
        <w:tc>
          <w:tcPr>
            <w:tcW w:w="0" w:type="auto"/>
            <w:shd w:val="clear" w:color="auto" w:fill="auto"/>
          </w:tcPr>
          <w:p w:rsidR="00AD0BFC" w:rsidRDefault="00AD0BFC" w:rsidP="00581581">
            <w:pPr>
              <w:pStyle w:val="Identificao"/>
            </w:pPr>
            <w:r>
              <w:t>PACIENTE</w:t>
            </w:r>
          </w:p>
        </w:tc>
        <w:tc>
          <w:tcPr>
            <w:tcW w:w="0" w:type="auto"/>
            <w:shd w:val="clear" w:color="auto" w:fill="auto"/>
          </w:tcPr>
          <w:p w:rsidR="00AD0BFC" w:rsidRDefault="00AD0BFC" w:rsidP="00581581">
            <w:pPr>
              <w:pStyle w:val="Identificao"/>
            </w:pPr>
            <w:r>
              <w:t>:</w:t>
            </w:r>
          </w:p>
        </w:tc>
        <w:tc>
          <w:tcPr>
            <w:tcW w:w="0" w:type="auto"/>
            <w:shd w:val="clear" w:color="auto" w:fill="auto"/>
          </w:tcPr>
          <w:p w:rsidR="00AD0BFC" w:rsidRDefault="00AD0BFC" w:rsidP="00581581">
            <w:pPr>
              <w:pStyle w:val="Identificao"/>
            </w:pPr>
            <w:r>
              <w:t>JOAO PIMENTA DA VEIGA FILHO</w:t>
            </w:r>
          </w:p>
        </w:tc>
      </w:tr>
    </w:tbl>
    <w:p w:rsidR="0015179D" w:rsidRPr="00581581" w:rsidRDefault="0015179D" w:rsidP="00581581">
      <w:pPr>
        <w:pStyle w:val="Identificao"/>
      </w:pPr>
    </w:p>
    <w:p w:rsidR="00581581" w:rsidRDefault="00581581" w:rsidP="00581581">
      <w:pPr>
        <w:pStyle w:val="centralizar"/>
      </w:pPr>
      <w:r>
        <w:t>E M E N T A</w:t>
      </w:r>
    </w:p>
    <w:p w:rsidR="00581581" w:rsidRDefault="00581581" w:rsidP="00581581">
      <w:pPr>
        <w:pStyle w:val="ementa"/>
        <w:rPr>
          <w:rFonts w:cs="Arial"/>
        </w:rPr>
      </w:pPr>
      <w:r>
        <w:rPr>
          <w:rFonts w:cs="Arial"/>
          <w:szCs w:val="22"/>
        </w:rPr>
        <w:t xml:space="preserve">PENAL. PROCESSUAL PENAL. HABEAS CORPUS. TRANCAMENTO DA AÇÃO PENAL. EXCEPCIONALIDADE. CRIME DE </w:t>
      </w:r>
      <w:r>
        <w:rPr>
          <w:rFonts w:cs="Arial"/>
          <w:bCs/>
          <w:color w:val="000000"/>
          <w:szCs w:val="22"/>
          <w:shd w:val="clear" w:color="auto" w:fill="FFFFFF"/>
        </w:rPr>
        <w:t xml:space="preserve">LAVAGEM DE DINHEIRO. </w:t>
      </w:r>
      <w:r>
        <w:rPr>
          <w:rFonts w:cs="Arial"/>
          <w:szCs w:val="22"/>
        </w:rPr>
        <w:t>LEI N. 9.618/98. INVESTIGAÇÃO DE IRREGULARIDADES NO REPASSE DE VALORES AO PACIENTE. AUSÊNCIA DE</w:t>
      </w:r>
      <w:r>
        <w:t xml:space="preserve"> INDICAÇÃO DE FORMA PRECISA E OBJETIVA DOS CRIMES ANTECEDENTES. FALTA DE VINCULAÇÃO ENTRE OS VALORES RECEBIDOS PELO PACIENTE E OS SUPOSTOS EMPRÉSTIMOS FRAUDULENTOS. DENÚNCIA GENÉRICA. INÉPCIA DA DENÚNCIA. OCORRÊNCIA. </w:t>
      </w:r>
      <w:r>
        <w:rPr>
          <w:rFonts w:cs="Arial"/>
        </w:rPr>
        <w:t>COAÇÃO ILEGAL CARACTERIZADA. CONCESSÃO DA ORDEM.</w:t>
      </w:r>
    </w:p>
    <w:p w:rsidR="00581581" w:rsidRDefault="00581581" w:rsidP="00581581">
      <w:pPr>
        <w:pStyle w:val="ementa"/>
        <w:rPr>
          <w:rFonts w:cs="Arial"/>
          <w:szCs w:val="22"/>
        </w:rPr>
      </w:pPr>
      <w:r>
        <w:rPr>
          <w:rFonts w:cs="Arial"/>
        </w:rPr>
        <w:t xml:space="preserve">1. O </w:t>
      </w:r>
      <w:r>
        <w:rPr>
          <w:rFonts w:cs="Arial"/>
          <w:szCs w:val="22"/>
        </w:rPr>
        <w:t xml:space="preserve">paciente foi denunciado pelo crime capitulado no artigo 1º, </w:t>
      </w:r>
      <w:r>
        <w:rPr>
          <w:rFonts w:cs="Arial"/>
          <w:i/>
          <w:szCs w:val="22"/>
        </w:rPr>
        <w:t>caput,</w:t>
      </w:r>
      <w:r>
        <w:rPr>
          <w:rFonts w:cs="Arial"/>
          <w:szCs w:val="22"/>
        </w:rPr>
        <w:t xml:space="preserve"> incisos V e VI e § 1º, inciso II, da Lei n. 9.613/98, cujo feito foi instaurado a partir do desmembramento do Inquérito Policial 2.474 em curso no STF, com o escopo de investigar os diversos repasses efetuados pelas empresas </w:t>
      </w:r>
      <w:r>
        <w:t xml:space="preserve">SMP&amp;B Comunicação Ltda. e DNA Propaganda Ltda., de propriedade de </w:t>
      </w:r>
      <w:r>
        <w:rPr>
          <w:rFonts w:cs="Arial"/>
          <w:szCs w:val="22"/>
        </w:rPr>
        <w:t xml:space="preserve">Marcos Valério Fernandes de Souza, no valor total de R$ 300.000,00 (trezentos mil reais) ao paciente. </w:t>
      </w:r>
    </w:p>
    <w:p w:rsidR="00581581" w:rsidRDefault="00581581" w:rsidP="00581581">
      <w:pPr>
        <w:pStyle w:val="ementa"/>
        <w:rPr>
          <w:rFonts w:cs="Arial"/>
          <w:szCs w:val="22"/>
        </w:rPr>
      </w:pPr>
      <w:r>
        <w:rPr>
          <w:rFonts w:cs="Arial"/>
          <w:szCs w:val="22"/>
        </w:rPr>
        <w:t xml:space="preserve">2. De acordo com a jurisprudência consolidada do Superior Tribunal de Justiça, o trancamento de ação penal, pela via do </w:t>
      </w:r>
      <w:r>
        <w:rPr>
          <w:rFonts w:cs="Arial"/>
          <w:i/>
          <w:szCs w:val="22"/>
        </w:rPr>
        <w:t>habeas corpus</w:t>
      </w:r>
      <w:r>
        <w:rPr>
          <w:rFonts w:cs="Arial"/>
          <w:szCs w:val="22"/>
        </w:rPr>
        <w:t>, somente é admissível quando houver demonstração, de plano, da ausência de justa causa para o inquérito ou para a ação penal, assim como a ausência de demonstração inequívoca de autoria ou materialidade, a atipicidade da conduta, a absoluta falta de provas, a ocorrência de causa extintiva da punibilidade ou a violação dos requisitos legais exigidos para a peça acusatória.</w:t>
      </w:r>
    </w:p>
    <w:p w:rsidR="00581581" w:rsidRDefault="00581581" w:rsidP="00581581">
      <w:pPr>
        <w:pStyle w:val="ementa"/>
        <w:rPr>
          <w:rFonts w:cs="Arial"/>
          <w:szCs w:val="22"/>
        </w:rPr>
      </w:pPr>
      <w:r>
        <w:rPr>
          <w:rFonts w:cs="Arial"/>
          <w:szCs w:val="22"/>
        </w:rPr>
        <w:t>3. Em casos extremos, todavia, em que a acusação se desenvolve de maneira claudicante, isto é, apresentando denúncia imprecisa, genérica e indeterminada, a jurisprudência não fecha a porta à possibilidade de trancamento da ação penal, especialmente, quando, pela imprecisão ou generalidade da peça acusatória, falhando no dever de bem delimitar e individualizar os fatos delituosos, dificulte a defesa de ordem a concretizar violação à ampla defesa e ao contraditório.</w:t>
      </w:r>
    </w:p>
    <w:p w:rsidR="00581581" w:rsidRDefault="00581581" w:rsidP="00581581">
      <w:pPr>
        <w:pStyle w:val="ementa"/>
        <w:rPr>
          <w:rFonts w:cs="Arial"/>
          <w:szCs w:val="22"/>
        </w:rPr>
      </w:pPr>
      <w:r>
        <w:rPr>
          <w:rFonts w:cs="Arial"/>
          <w:szCs w:val="22"/>
        </w:rPr>
        <w:t xml:space="preserve">4. </w:t>
      </w:r>
      <w:r>
        <w:t>Dispõe o artigo 41 do CPP que a denúncia deverá conter a exposição do fato criminoso com suas circunstâncias, a qualificação do acusado e a classificação do crime. Em síntese, a legislação penal exige da denúncia elementos mínimos, em descrição circunstanciada, de ordem a conferir ao acusado, com precisão, determinação e certeza, condições concretas para uma defesa eficaz, em conformidade com as garantias constitucionais do devido processo legal, contraditório e ampla defesa.</w:t>
      </w:r>
    </w:p>
    <w:p w:rsidR="00581581" w:rsidRDefault="00581581" w:rsidP="00581581">
      <w:pPr>
        <w:pStyle w:val="ementa"/>
        <w:rPr>
          <w:rFonts w:cs="Arial"/>
          <w:szCs w:val="22"/>
        </w:rPr>
      </w:pPr>
      <w:r>
        <w:rPr>
          <w:rFonts w:cs="Arial"/>
          <w:szCs w:val="22"/>
        </w:rPr>
        <w:t>5. O Supremo Tribunal Federal tem imposto mesmo ao Ministério Público o dever de deduzir denúncia com idoneidade, de ordem a narrar os fatos de forma certa, determinada e precisa, para propiciar ao acusado a possibilidade de, sabendo a natureza e extensão da acusação contra ele dirigida, bem poder se defender.</w:t>
      </w:r>
    </w:p>
    <w:p w:rsidR="00581581" w:rsidRDefault="00581581" w:rsidP="00581581">
      <w:pPr>
        <w:pStyle w:val="ementa"/>
        <w:rPr>
          <w:rFonts w:cs="Arial"/>
          <w:szCs w:val="22"/>
        </w:rPr>
      </w:pPr>
      <w:r>
        <w:rPr>
          <w:rFonts w:cs="Arial"/>
          <w:szCs w:val="22"/>
        </w:rPr>
        <w:lastRenderedPageBreak/>
        <w:t>6. Nas palavras do Ministro Celso de Mello: “O sistema jurídico vigente no Brasil - tendo presente a natureza dialógica do processo penal acusatório, hoje impregnado, em sua estrutura formal, de caráter essencialmente democrático - impõe, ao Ministério Público, notadamente no denominado "reato societario", a obrigação de expor, na denúncia, de maneira precisa, objetiva e individualizada, a participação de cada acusado na suposta prática delituosa. - O ordenamento positivo brasileiro - cujos fundamentos repousam, dentre outros expressivos vetores condicionantes da atividade de persecução estatal, no postulado essencial do direito penal da culpa e no princípio constitucional do "due process of law" (com todos os consectários que dele resultam) - repudia as imputações criminais genéricas e não tolera, porque ineptas, as acusações que não individualizam nem especificam, de maneira concreta, a conduta penal atribuída ao denunciado” (HC 84580, Relator(a):  Min. CELSO DE MELLO, Segunda Turma, julgado em 25/08/2009, DJe-176 Divulg 17-09-2009 Public 18-09-2009 Ement VOL-02374-02 PP-00222 RT v. 98, n. 890, 2009, p. 500-513).</w:t>
      </w:r>
    </w:p>
    <w:p w:rsidR="00581581" w:rsidRDefault="00581581" w:rsidP="00581581">
      <w:pPr>
        <w:pStyle w:val="Pargrafo"/>
        <w:ind w:firstLine="0"/>
        <w:rPr>
          <w:rFonts w:cs="Arial"/>
          <w:szCs w:val="22"/>
        </w:rPr>
      </w:pPr>
      <w:r>
        <w:rPr>
          <w:rFonts w:cs="Arial"/>
          <w:szCs w:val="22"/>
        </w:rPr>
        <w:t xml:space="preserve">7. No caso, a denúncia relata que o paciente, no ano de 2003, teria recebido das empresas </w:t>
      </w:r>
      <w:r>
        <w:t xml:space="preserve">SMP&amp;B Comunicação Ltda. e DNA Propaganda Ltda., de propriedade de </w:t>
      </w:r>
      <w:r>
        <w:rPr>
          <w:rFonts w:cs="Arial"/>
          <w:szCs w:val="22"/>
        </w:rPr>
        <w:t xml:space="preserve">Marcos Valério Fernandes de Souza, indicado na AP 470/STF como operador do “Mensalão”, quatro depósitos bancários, que totalizaram o valor total de R$ 300.000,00 (trezentos mil reais). Posteriormente, consoante a denúncia, o paciente, em 23/06/2005, teria retificado sua Declaração do Imposto de Renda referente ao ano-calendário 2003, para declarar os valores recebidos como sendo provenientes de serviços prestados, sem, contudo, ter sido demonstrado documentalmente que se tratava de recursos obtidos em virtude da atividade profissional do paciente. </w:t>
      </w:r>
    </w:p>
    <w:p w:rsidR="00581581" w:rsidRDefault="00581581" w:rsidP="00581581">
      <w:pPr>
        <w:pStyle w:val="Pargrafo"/>
        <w:ind w:firstLine="0"/>
      </w:pPr>
      <w:r>
        <w:rPr>
          <w:rFonts w:cs="Arial"/>
          <w:szCs w:val="22"/>
        </w:rPr>
        <w:t xml:space="preserve">8. A denúncia, em redação pouco precisa, às vezes sem congruência, indica, </w:t>
      </w:r>
      <w:r>
        <w:t xml:space="preserve">num primeiro passo, </w:t>
      </w:r>
      <w:r>
        <w:rPr>
          <w:rFonts w:cs="Arial"/>
          <w:szCs w:val="22"/>
        </w:rPr>
        <w:t xml:space="preserve">ao início da descrição dos fatos delituosos, </w:t>
      </w:r>
      <w:r>
        <w:t xml:space="preserve">que os chamados </w:t>
      </w:r>
      <w:r>
        <w:rPr>
          <w:i/>
        </w:rPr>
        <w:t>crimes antecedentes</w:t>
      </w:r>
      <w:r>
        <w:t xml:space="preserve"> consistiriam estritamente em empréstimos fraudulentos de onde originariam os recursos, posteriormente, transferidos à conta do paciente; sendo que, contraditoriamente, num segundo passo, em capítulo final, especialmente aberto para descrever e delimitar os crimes antecedentes, parece pretender imputar ao paciente, como crimes antecedentes que compõe a conduta a ele imputada, todos os crimes que eventualmente tenham sido processados e julgados na referida ação 470 (Mensalão).</w:t>
      </w:r>
    </w:p>
    <w:p w:rsidR="00581581" w:rsidRDefault="00581581" w:rsidP="00581581">
      <w:pPr>
        <w:pStyle w:val="ementa"/>
      </w:pPr>
      <w:r>
        <w:t xml:space="preserve">9. No particular, verifica-se que não há qualquer remissão acerca dos crimes antecedentes ao suposto de crime de lavagem de dinheiro, limitando-se a denúncia a tecer considerações acerca dos crimes apurados na AP 470/STF. Ou seja, a denúncia não logrou demonstrar a </w:t>
      </w:r>
      <w:r>
        <w:rPr>
          <w:rFonts w:cs="Arial"/>
          <w:szCs w:val="22"/>
        </w:rPr>
        <w:t>vinculação objetiva ou subjetiva dos alegados crimes antecedentes com o ilícito de lavagem de ativos imputado ao paciente</w:t>
      </w:r>
      <w:r>
        <w:t>. Pior do que não indicar, com certeza e precisão, quais os crimes anteriores de que o acusado deve se defender, é atribuir-lhe uma quantidade indeterminada de delitos, afogando a sua defesa em indeterminação e incerteza.</w:t>
      </w:r>
    </w:p>
    <w:p w:rsidR="00581581" w:rsidRDefault="00581581" w:rsidP="00581581">
      <w:pPr>
        <w:pStyle w:val="Pargrafo"/>
        <w:ind w:firstLine="0"/>
      </w:pPr>
      <w:r>
        <w:t>10. Assim, embora tenha sido consignado na denúncia todos os crimes apurados na AP 470/STF (corrupção ativa, corrupção passiva, evasão de divisas, peculato, lavagem de dinheiro, gestão fraudulenta e formação de quadrilha), não houve a indicação de qual ou quais seria(m) o(s) crime(s) antecedente(s) do crime de lavagem de dinheiro atribuído ao paciente, restando apenas genérica imputação de que seriam os crimes apurados na referida ação penal.</w:t>
      </w:r>
    </w:p>
    <w:p w:rsidR="00581581" w:rsidRDefault="00581581" w:rsidP="00581581">
      <w:pPr>
        <w:pStyle w:val="ementa"/>
      </w:pPr>
      <w:r>
        <w:t xml:space="preserve">11. Aliás, o próprio Ministério Público Federal – Procuradoria da República no Estado de Minas Gerais, após a realização de diversas diligências, que objetivavam esclarecimentos por parte dos peritos da Polícia Federal acerca da demonstração de vínculo entre os repasses realizados ao paciente e os supostos empréstimos fraudulentos tomados pelas empresas do empresário Marcos Valério, em manifestação anterior à denúncia ora sob análise, havia requerido, em petição datada de 30/03/2015, o arquivamento do inquérito policial, por entender </w:t>
      </w:r>
      <w:r w:rsidR="00184C76">
        <w:t>não presentes</w:t>
      </w:r>
      <w:r>
        <w:t xml:space="preserve"> </w:t>
      </w:r>
      <w:r w:rsidR="00BE4420">
        <w:t xml:space="preserve">as </w:t>
      </w:r>
      <w:r>
        <w:t xml:space="preserve">evidências de que os repasses realizados em favor do paciente se vinculavam aos empréstimos fraudulentos tomados pelas empresas do publicitário Marcos Valério, assim como por não reunir elementos indiciários da prática do crime de lavagem de dinheiro. Porém o pedido de arquivamento foi indeferido pelo juízo </w:t>
      </w:r>
      <w:r>
        <w:rPr>
          <w:i/>
        </w:rPr>
        <w:t>a quo</w:t>
      </w:r>
      <w:r>
        <w:t xml:space="preserve"> e a denúncia foi apresentada por determinação da </w:t>
      </w:r>
      <w:r w:rsidR="00184C76">
        <w:t>2ª Câmara de Coordenação e Revisão do MPF</w:t>
      </w:r>
      <w:r>
        <w:t>.</w:t>
      </w:r>
    </w:p>
    <w:p w:rsidR="00581581" w:rsidRDefault="00581581" w:rsidP="00581581">
      <w:pPr>
        <w:pStyle w:val="ementa"/>
      </w:pPr>
      <w:r>
        <w:lastRenderedPageBreak/>
        <w:t xml:space="preserve">12. Consta dos autos que a manifestação técnica, que subsidiou à época o pedido de arquivamento do inquérito policial, foi precisa ao certificar que foram apurados apenas, com amparo em laudos produzidos nos autos da AP 470/STF, que o paciente havia recebido </w:t>
      </w:r>
      <w:r>
        <w:rPr>
          <w:rFonts w:cs="Arial"/>
          <w:szCs w:val="22"/>
        </w:rPr>
        <w:t xml:space="preserve">quatro repasses que totalizavam R$ 300.000,00, no período de 18/03/2003 a 25/04/2003, sem contudo indicar a origem dos recursos, pois, conforme justificativa apresentada, “(...) para se vincular exatamente os valores recebidos por João Pimenta da Veiga Filho aos ‘empréstimos fraudulentos’ será necessário reexaminar novamente os valores que ingressaram na conta corrente 60199, da agência 3032, do Banco do Brasil, e na conta corrente 60025952, da agência 009, do Banco Rural, identificando a origem do saldo disponível para efetuar os repasses da empresa DNA Propaganda Ltda. e SMP&amp;B Comunicação Ltda. ao beneficiário João Pimenta da Veiga Filho”. </w:t>
      </w:r>
    </w:p>
    <w:p w:rsidR="00581581" w:rsidRDefault="00581581" w:rsidP="00581581">
      <w:pPr>
        <w:pStyle w:val="Pargrafo"/>
        <w:ind w:firstLine="0"/>
        <w:rPr>
          <w:rFonts w:cs="Arial"/>
          <w:szCs w:val="22"/>
        </w:rPr>
      </w:pPr>
      <w:r>
        <w:t xml:space="preserve"> 13. </w:t>
      </w:r>
      <w:r>
        <w:rPr>
          <w:rFonts w:cs="Arial"/>
          <w:szCs w:val="22"/>
        </w:rPr>
        <w:t xml:space="preserve">Caracteriza violações ao direito do acusado: </w:t>
      </w:r>
      <w:r>
        <w:rPr>
          <w:rFonts w:cs="Arial"/>
          <w:b/>
          <w:szCs w:val="22"/>
        </w:rPr>
        <w:t>de um lado</w:t>
      </w:r>
      <w:r>
        <w:rPr>
          <w:rFonts w:cs="Arial"/>
          <w:szCs w:val="22"/>
        </w:rPr>
        <w:t xml:space="preserve">, a inaceitável formulação de denúncia genérica, que não permite ao denunciado discernir com clareza e precisão qual exatamente a conduta, em toda a extensão de seus elementos típicos, que lhe é imputada; </w:t>
      </w:r>
      <w:r>
        <w:rPr>
          <w:rFonts w:cs="Arial"/>
          <w:b/>
          <w:szCs w:val="22"/>
        </w:rPr>
        <w:t>de outro</w:t>
      </w:r>
      <w:r>
        <w:rPr>
          <w:rFonts w:cs="Arial"/>
          <w:szCs w:val="22"/>
        </w:rPr>
        <w:t xml:space="preserve">, a indesculpável formulação de peça acusatória que endereça ao acusado o crime de lavagem de ativos, o qual apenas se concretiza com a presença de delitos antecedentes, mas não lhe propicia, entretanto, em aberta violação ao disposto no art. 5º, LIV e LV, da CF/88, </w:t>
      </w:r>
      <w:r>
        <w:rPr>
          <w:rFonts w:cs="Arial"/>
          <w:b/>
          <w:szCs w:val="22"/>
        </w:rPr>
        <w:t>defesa idônea</w:t>
      </w:r>
      <w:r>
        <w:rPr>
          <w:rFonts w:cs="Arial"/>
          <w:szCs w:val="22"/>
        </w:rPr>
        <w:t xml:space="preserve"> </w:t>
      </w:r>
      <w:r>
        <w:rPr>
          <w:rFonts w:cs="Arial"/>
          <w:b/>
          <w:szCs w:val="22"/>
        </w:rPr>
        <w:t>e suficiente</w:t>
      </w:r>
      <w:r>
        <w:rPr>
          <w:rFonts w:cs="Arial"/>
          <w:szCs w:val="22"/>
        </w:rPr>
        <w:t xml:space="preserve">, com todos os meios de prova e recursos a ela inerentes, de ordem a poder confrontar específico elemento do tipo legal incriminador que o Ministério Público afirma presente na conduta supostamente praticada pelo denunciado.   </w:t>
      </w:r>
    </w:p>
    <w:p w:rsidR="00581581" w:rsidRDefault="00581581" w:rsidP="00581581">
      <w:pPr>
        <w:pStyle w:val="ementa"/>
      </w:pPr>
      <w:r>
        <w:t>14. O fato de, conforme o art. 2º, II, da Lei 9.613/98, o  processo e o julgamento dos crimes previstos nesse estatuto legal independerem do processo e julgamento das infrações penais antecedentes, não infirma nem pode infirmar, seja acentuado, o direito do acusado de ver reconhecida pelo Estado-juiz a conclusão incontornável de que tem o direito de defender-se de todos os elementos que compõem o tipo penal da conduta que concretamente o Estado-acusador lhe imputa.</w:t>
      </w:r>
    </w:p>
    <w:p w:rsidR="00581581" w:rsidRDefault="00581581" w:rsidP="00581581">
      <w:pPr>
        <w:pStyle w:val="ementa"/>
      </w:pPr>
      <w:r>
        <w:t>15. No caso, o tipo penal claramente inclui como um de seus elementos o fato de que só haverá crime de lavagem se os valores eventualmente dissimulados ou omitidos tenham sido provenientes direta ou indiretamente, de infração penal anterior (cito e realço a dicção expressa da Lei): “ocultar ou dissimular a natureza, origem, localização, disposição, movimentação ou propriedade de bens, direitos ou valores provenientes, direta ou indiretamente, de infração penal”.</w:t>
      </w:r>
    </w:p>
    <w:p w:rsidR="00581581" w:rsidRDefault="00581581" w:rsidP="00581581">
      <w:pPr>
        <w:pStyle w:val="ementa"/>
      </w:pPr>
      <w:r>
        <w:t>16. Portanto, se não há crime anterior, ou se, pelo menos, por defeituosa descrição dos fatos típicos, não se consegue demonstrar o vínculo, objetivo ou subjetivo, entre o delito antecedente e aquele outro cuja prática se atribui ao paciente, obviamente, não se  poderá, ao final, impor-lhe um juízo condenatório pelo crime de lavagem de ativos.</w:t>
      </w:r>
    </w:p>
    <w:p w:rsidR="00581581" w:rsidRDefault="00581581" w:rsidP="00581581">
      <w:pPr>
        <w:pStyle w:val="ementa"/>
        <w:rPr>
          <w:rFonts w:cs="Arial"/>
          <w:szCs w:val="22"/>
        </w:rPr>
      </w:pPr>
      <w:r>
        <w:t xml:space="preserve">17. </w:t>
      </w:r>
      <w:r>
        <w:rPr>
          <w:rFonts w:cs="Arial"/>
        </w:rPr>
        <w:t xml:space="preserve">Configurada a formulação de denúncia genérica e imprecisa, em especial por não individualizar quais seriam os empréstimos fraudulentos e delimitar, entre todos os crimes apurados na AP 470/STF, quais exatamente maculariam os valores repassados ao paciente, resta conformada a sua inépcia, nos temos </w:t>
      </w:r>
      <w:r>
        <w:rPr>
          <w:rFonts w:cs="Arial"/>
          <w:szCs w:val="22"/>
        </w:rPr>
        <w:t>dos artigos 395, I do CPP e, em consequência, a coação ilegal a que está sendo submetido o paciente (CPP, art. 647), razão pela c</w:t>
      </w:r>
      <w:r>
        <w:rPr>
          <w:rFonts w:cs="Arial"/>
        </w:rPr>
        <w:t xml:space="preserve">oncedo a ordem de </w:t>
      </w:r>
      <w:r>
        <w:rPr>
          <w:rFonts w:cs="Arial"/>
          <w:i/>
        </w:rPr>
        <w:t>habeas corpus</w:t>
      </w:r>
      <w:r>
        <w:rPr>
          <w:rFonts w:cs="Arial"/>
        </w:rPr>
        <w:t xml:space="preserve">, </w:t>
      </w:r>
      <w:r>
        <w:rPr>
          <w:rFonts w:cs="Arial"/>
          <w:szCs w:val="22"/>
        </w:rPr>
        <w:t>para determinar o trancamento da ação penal 0010250-17.2016.4.01.3800, em curso na 4ª Vara Federal da Seção Judiciária de Minas Gerais, em relação ao paciente João Pimenta da Veiga Filho.</w:t>
      </w:r>
    </w:p>
    <w:p w:rsidR="00581581" w:rsidRDefault="00581581" w:rsidP="00581581">
      <w:pPr>
        <w:pStyle w:val="centralizar"/>
      </w:pPr>
      <w:r>
        <w:t>A C Ó R D Ã O</w:t>
      </w:r>
    </w:p>
    <w:p w:rsidR="00581581" w:rsidRDefault="00581581" w:rsidP="00581581">
      <w:pPr>
        <w:pStyle w:val="ementa"/>
        <w:ind w:firstLine="1418"/>
        <w:rPr>
          <w:rFonts w:cs="Arial"/>
          <w:szCs w:val="22"/>
        </w:rPr>
      </w:pPr>
      <w:r>
        <w:rPr>
          <w:rFonts w:cs="Arial"/>
          <w:szCs w:val="22"/>
        </w:rPr>
        <w:t>Decide a Quarta Turma do TRF da 1ª Região, por unanimidade, conceder a ordem de habeas corpus, para determinar o trancamento da ação penal 0010250-17.2016.4.01.3800, em curso na 4ª Vara Federal da Seção Judiciária de Minas Gerais, em relação ao paciente João Pimenta da Veiga Filho.</w:t>
      </w:r>
    </w:p>
    <w:p w:rsidR="00581581" w:rsidRPr="004509E0" w:rsidRDefault="00AD0BFC" w:rsidP="00581581">
      <w:pPr>
        <w:pStyle w:val="Pargrafo"/>
        <w:rPr>
          <w:szCs w:val="22"/>
        </w:rPr>
      </w:pPr>
      <w:r>
        <w:rPr>
          <w:szCs w:val="22"/>
        </w:rPr>
        <w:lastRenderedPageBreak/>
        <w:t>Brasília, 26 de junho de 2017.</w:t>
      </w:r>
    </w:p>
    <w:p w:rsidR="004509E0" w:rsidRDefault="004509E0" w:rsidP="00581581">
      <w:pPr>
        <w:pStyle w:val="Pargrafo"/>
        <w:rPr>
          <w:szCs w:val="22"/>
        </w:rPr>
      </w:pPr>
    </w:p>
    <w:p w:rsidR="00581581" w:rsidRDefault="00581581" w:rsidP="00581581">
      <w:pPr>
        <w:pStyle w:val="Pargrafo"/>
        <w:ind w:firstLine="0"/>
        <w:jc w:val="center"/>
        <w:rPr>
          <w:szCs w:val="22"/>
        </w:rPr>
      </w:pPr>
    </w:p>
    <w:p w:rsidR="00581581" w:rsidRDefault="00AD0BFC" w:rsidP="00581581">
      <w:pPr>
        <w:pStyle w:val="assinatura"/>
        <w:rPr>
          <w:b/>
          <w:szCs w:val="22"/>
        </w:rPr>
      </w:pPr>
      <w:r>
        <w:rPr>
          <w:b/>
          <w:szCs w:val="22"/>
        </w:rPr>
        <w:t>DESEMBARGADOR FEDERAL NÉVITON GUEDES</w:t>
      </w:r>
    </w:p>
    <w:p w:rsidR="00581581" w:rsidRDefault="00AD0BFC" w:rsidP="00581581">
      <w:pPr>
        <w:pStyle w:val="Identificao"/>
        <w:jc w:val="center"/>
        <w:rPr>
          <w:szCs w:val="22"/>
        </w:rPr>
      </w:pPr>
      <w:r>
        <w:rPr>
          <w:szCs w:val="22"/>
        </w:rPr>
        <w:t>RELATOR</w:t>
      </w:r>
    </w:p>
    <w:p w:rsidR="00581581" w:rsidRPr="008C4395" w:rsidRDefault="00581581" w:rsidP="00E850E4">
      <w:pPr>
        <w:pStyle w:val="Identificao"/>
      </w:pPr>
    </w:p>
    <w:sectPr w:rsidR="00581581" w:rsidRPr="008C4395" w:rsidSect="00AD0BFC">
      <w:headerReference w:type="default" r:id="rId8"/>
      <w:footerReference w:type="default" r:id="rId9"/>
      <w:headerReference w:type="first" r:id="rId10"/>
      <w:footerReference w:type="first" r:id="rId11"/>
      <w:pgSz w:w="11907" w:h="16840" w:code="9"/>
      <w:pgMar w:top="851" w:right="851" w:bottom="851" w:left="1418"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198" w:rsidRDefault="00115198">
      <w:r>
        <w:separator/>
      </w:r>
    </w:p>
  </w:endnote>
  <w:endnote w:type="continuationSeparator" w:id="0">
    <w:p w:rsidR="00115198" w:rsidRDefault="001151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nterleaved 2of5">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731" w:rsidRPr="00A53731" w:rsidRDefault="00A53731" w:rsidP="00A53731">
    <w:pPr>
      <w:pStyle w:val="Rodap"/>
      <w:tabs>
        <w:tab w:val="clear" w:pos="4252"/>
        <w:tab w:val="clear" w:pos="8504"/>
        <w:tab w:val="left" w:pos="8891"/>
      </w:tabs>
      <w:rPr>
        <w:rFonts w:ascii="Arial" w:hAnsi="Arial" w:cs="Arial"/>
        <w:sz w:val="18"/>
      </w:rPr>
    </w:pPr>
    <w:r>
      <w:rPr>
        <w:rFonts w:ascii="Arial" w:hAnsi="Arial" w:cs="Arial"/>
        <w:sz w:val="12"/>
      </w:rPr>
      <w:tab/>
    </w:r>
    <w:r w:rsidRPr="00A53731">
      <w:rPr>
        <w:rFonts w:ascii="Arial" w:hAnsi="Arial" w:cs="Arial"/>
        <w:sz w:val="18"/>
      </w:rPr>
      <w:t>fls.</w:t>
    </w:r>
    <w:r>
      <w:rPr>
        <w:rFonts w:ascii="Arial" w:hAnsi="Arial" w:cs="Arial"/>
        <w:sz w:val="18"/>
      </w:rPr>
      <w:fldChar w:fldCharType="begin"/>
    </w:r>
    <w:r>
      <w:rPr>
        <w:rFonts w:ascii="Arial" w:hAnsi="Arial" w:cs="Arial"/>
        <w:sz w:val="18"/>
      </w:rPr>
      <w:instrText xml:space="preserve"> PAGE  \* MERGEFORMAT </w:instrText>
    </w:r>
    <w:r>
      <w:rPr>
        <w:rFonts w:ascii="Arial" w:hAnsi="Arial" w:cs="Arial"/>
        <w:sz w:val="18"/>
      </w:rPr>
      <w:fldChar w:fldCharType="separate"/>
    </w:r>
    <w:r w:rsidR="008A0248">
      <w:rPr>
        <w:rFonts w:ascii="Arial" w:hAnsi="Arial" w:cs="Arial"/>
        <w:noProof/>
        <w:sz w:val="18"/>
      </w:rPr>
      <w:t>2</w:t>
    </w:r>
    <w:r>
      <w:rPr>
        <w:rFonts w:ascii="Arial" w:hAnsi="Arial" w:cs="Arial"/>
        <w:sz w:val="18"/>
      </w:rPr>
      <w:fldChar w:fldCharType="end"/>
    </w:r>
    <w:r>
      <w:rPr>
        <w:rFonts w:ascii="Arial" w:hAnsi="Arial" w:cs="Arial"/>
        <w:sz w:val="18"/>
      </w:rPr>
      <w:t>/</w:t>
    </w:r>
    <w:fldSimple w:instr=" NUMPAGES  \* MERGEFORMAT ">
      <w:r w:rsidR="008A0248">
        <w:rPr>
          <w:rFonts w:ascii="Arial" w:hAnsi="Arial" w:cs="Arial"/>
          <w:noProof/>
          <w:sz w:val="18"/>
        </w:rPr>
        <w:t>4</w:t>
      </w:r>
    </w:fldSimple>
  </w:p>
  <w:p w:rsidR="00A53731" w:rsidRDefault="00A53731">
    <w:pPr>
      <w:pStyle w:val="Rodap"/>
      <w:rPr>
        <w:rFonts w:ascii="Arial" w:hAnsi="Arial" w:cs="Arial"/>
        <w:sz w:val="12"/>
      </w:rPr>
    </w:pPr>
  </w:p>
  <w:p w:rsidR="00A53731" w:rsidRDefault="00A53731">
    <w:pPr>
      <w:pStyle w:val="Rodap"/>
      <w:rPr>
        <w:rFonts w:ascii="Arial" w:hAnsi="Arial" w:cs="Arial"/>
        <w:sz w:val="12"/>
      </w:rPr>
    </w:pPr>
  </w:p>
  <w:p w:rsidR="00A53731" w:rsidRPr="00A53731" w:rsidRDefault="00A53731">
    <w:pPr>
      <w:pStyle w:val="Rodap"/>
      <w:rPr>
        <w:rFonts w:ascii="Arial" w:hAnsi="Arial" w:cs="Arial"/>
        <w:sz w:val="12"/>
      </w:rPr>
    </w:pPr>
    <w:r>
      <w:rPr>
        <w:rFonts w:ascii="Arial" w:hAnsi="Arial" w:cs="Arial"/>
        <w:sz w:val="12"/>
      </w:rPr>
      <w:t xml:space="preserve">Nº Lote: </w:t>
    </w:r>
    <w:r w:rsidR="00AD0BFC">
      <w:rPr>
        <w:rFonts w:ascii="Arial" w:hAnsi="Arial" w:cs="Arial"/>
        <w:sz w:val="12"/>
      </w:rPr>
      <w:t>2017082318</w:t>
    </w:r>
    <w:r>
      <w:rPr>
        <w:rFonts w:ascii="Arial" w:hAnsi="Arial" w:cs="Arial"/>
        <w:sz w:val="12"/>
      </w:rPr>
      <w:t xml:space="preserve"> - 3_1 - </w:t>
    </w:r>
    <w:r w:rsidR="00AD0BFC">
      <w:rPr>
        <w:rFonts w:ascii="Arial" w:hAnsi="Arial" w:cs="Arial"/>
        <w:sz w:val="12"/>
      </w:rPr>
      <w:t>HABEAS CORPUS N. 0016002-84.2017.4.01.0000/MG</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BFC" w:rsidRPr="00A53731" w:rsidRDefault="00AD0BFC" w:rsidP="00AD0BFC">
    <w:pPr>
      <w:pStyle w:val="Rodap"/>
      <w:tabs>
        <w:tab w:val="clear" w:pos="4252"/>
        <w:tab w:val="clear" w:pos="8504"/>
        <w:tab w:val="left" w:pos="8891"/>
      </w:tabs>
      <w:rPr>
        <w:rFonts w:ascii="Arial" w:hAnsi="Arial" w:cs="Arial"/>
        <w:sz w:val="18"/>
      </w:rPr>
    </w:pPr>
    <w:r>
      <w:rPr>
        <w:rFonts w:ascii="Arial" w:hAnsi="Arial" w:cs="Arial"/>
        <w:sz w:val="12"/>
      </w:rPr>
      <w:tab/>
    </w:r>
    <w:r w:rsidRPr="00A53731">
      <w:rPr>
        <w:rFonts w:ascii="Arial" w:hAnsi="Arial" w:cs="Arial"/>
        <w:sz w:val="18"/>
      </w:rPr>
      <w:t>fls.</w:t>
    </w:r>
    <w:r>
      <w:rPr>
        <w:rFonts w:ascii="Arial" w:hAnsi="Arial" w:cs="Arial"/>
        <w:sz w:val="18"/>
      </w:rPr>
      <w:fldChar w:fldCharType="begin"/>
    </w:r>
    <w:r>
      <w:rPr>
        <w:rFonts w:ascii="Arial" w:hAnsi="Arial" w:cs="Arial"/>
        <w:sz w:val="18"/>
      </w:rPr>
      <w:instrText xml:space="preserve"> PAGE  \* MERGEFORMAT </w:instrText>
    </w:r>
    <w:r>
      <w:rPr>
        <w:rFonts w:ascii="Arial" w:hAnsi="Arial" w:cs="Arial"/>
        <w:sz w:val="18"/>
      </w:rPr>
      <w:fldChar w:fldCharType="separate"/>
    </w:r>
    <w:r w:rsidR="008A0248">
      <w:rPr>
        <w:rFonts w:ascii="Arial" w:hAnsi="Arial" w:cs="Arial"/>
        <w:noProof/>
        <w:sz w:val="18"/>
      </w:rPr>
      <w:t>1</w:t>
    </w:r>
    <w:r>
      <w:rPr>
        <w:rFonts w:ascii="Arial" w:hAnsi="Arial" w:cs="Arial"/>
        <w:sz w:val="18"/>
      </w:rPr>
      <w:fldChar w:fldCharType="end"/>
    </w:r>
    <w:r>
      <w:rPr>
        <w:rFonts w:ascii="Arial" w:hAnsi="Arial" w:cs="Arial"/>
        <w:sz w:val="18"/>
      </w:rPr>
      <w:t>/</w:t>
    </w:r>
    <w:fldSimple w:instr=" NUMPAGES  \* MERGEFORMAT ">
      <w:r w:rsidR="008A0248">
        <w:rPr>
          <w:rFonts w:ascii="Arial" w:hAnsi="Arial" w:cs="Arial"/>
          <w:noProof/>
          <w:sz w:val="18"/>
        </w:rPr>
        <w:t>1</w:t>
      </w:r>
    </w:fldSimple>
  </w:p>
  <w:p w:rsidR="00AD0BFC" w:rsidRDefault="00AD0BFC" w:rsidP="00AD0BFC">
    <w:pPr>
      <w:pStyle w:val="Rodap"/>
      <w:rPr>
        <w:rFonts w:ascii="Arial" w:hAnsi="Arial" w:cs="Arial"/>
        <w:sz w:val="12"/>
      </w:rPr>
    </w:pPr>
  </w:p>
  <w:p w:rsidR="00AD0BFC" w:rsidRDefault="00AD0BFC" w:rsidP="00AD0BFC">
    <w:pPr>
      <w:pStyle w:val="Rodap"/>
      <w:rPr>
        <w:rFonts w:ascii="Arial" w:hAnsi="Arial" w:cs="Arial"/>
        <w:sz w:val="12"/>
      </w:rPr>
    </w:pPr>
  </w:p>
  <w:p w:rsidR="00AD0BFC" w:rsidRPr="00A53731" w:rsidRDefault="00AD0BFC" w:rsidP="00AD0BFC">
    <w:pPr>
      <w:pStyle w:val="Rodap"/>
      <w:rPr>
        <w:rFonts w:ascii="Arial" w:hAnsi="Arial" w:cs="Arial"/>
        <w:sz w:val="12"/>
      </w:rPr>
    </w:pPr>
    <w:r>
      <w:rPr>
        <w:rFonts w:ascii="Arial" w:hAnsi="Arial" w:cs="Arial"/>
        <w:sz w:val="12"/>
      </w:rPr>
      <w:t>Nº Lote: 2017082318 - 3_1 - HABEAS CORPUS N. 0016002-84.2017.4.01.0000/MG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198" w:rsidRDefault="00115198">
      <w:r>
        <w:separator/>
      </w:r>
    </w:p>
  </w:footnote>
  <w:footnote w:type="continuationSeparator" w:id="0">
    <w:p w:rsidR="00115198" w:rsidRDefault="001151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BFC" w:rsidRDefault="00AD0BFC" w:rsidP="00AD0BFC">
    <w:pPr>
      <w:pStyle w:val="Cabealho"/>
      <w:spacing w:before="120"/>
      <w:rPr>
        <w:rFonts w:ascii="Arial" w:hAnsi="Arial" w:cs="Arial"/>
        <w:sz w:val="16"/>
      </w:rPr>
    </w:pPr>
    <w:r>
      <w:rPr>
        <w:rFonts w:ascii="Arial" w:hAnsi="Arial" w:cs="Arial"/>
        <w:sz w:val="16"/>
      </w:rPr>
      <w:t>PODER JUDICIÁRIO</w:t>
    </w:r>
  </w:p>
  <w:p w:rsidR="00AD0BFC" w:rsidRDefault="00AD0BFC" w:rsidP="00AD0BFC">
    <w:pPr>
      <w:pStyle w:val="Cabealho"/>
      <w:rPr>
        <w:rFonts w:ascii="Arial" w:hAnsi="Arial" w:cs="Arial"/>
        <w:b/>
        <w:sz w:val="20"/>
      </w:rPr>
    </w:pPr>
    <w:r w:rsidRPr="00AD0BFC">
      <w:rPr>
        <w:rFonts w:ascii="Arial" w:hAnsi="Arial" w:cs="Arial"/>
        <w:b/>
        <w:sz w:val="20"/>
      </w:rPr>
      <w:t>TRIBUNAL REGIONAL FEDERAL DA PRIMEIRA REGIÃO</w:t>
    </w:r>
  </w:p>
  <w:p w:rsidR="00AD0BFC" w:rsidRDefault="00AD0BFC" w:rsidP="00AD0BFC">
    <w:pPr>
      <w:pStyle w:val="Cabealho"/>
      <w:rPr>
        <w:rFonts w:ascii="Arial" w:hAnsi="Arial" w:cs="Arial"/>
        <w:sz w:val="22"/>
      </w:rPr>
    </w:pPr>
  </w:p>
  <w:p w:rsidR="00AD0BFC" w:rsidRDefault="00AD0BFC" w:rsidP="00AD0BFC">
    <w:pPr>
      <w:pStyle w:val="Cabealho"/>
      <w:rPr>
        <w:rFonts w:ascii="Arial" w:hAnsi="Arial" w:cs="Arial"/>
        <w:sz w:val="22"/>
      </w:rPr>
    </w:pPr>
    <w:r>
      <w:rPr>
        <w:rFonts w:ascii="Arial" w:hAnsi="Arial" w:cs="Arial"/>
        <w:sz w:val="22"/>
      </w:rPr>
      <w:t>HABEAS CORPUS N. 0016002-84.2017.4.01.0000/MG</w:t>
    </w:r>
    <w:r w:rsidRPr="00AD0BFC">
      <w:rPr>
        <w:rFonts w:ascii="Arial" w:hAnsi="Arial" w:cs="Arial"/>
        <w:sz w:val="22"/>
      </w:rPr>
      <w:t xml:space="preserve"> </w:t>
    </w:r>
  </w:p>
  <w:p w:rsidR="00AD0BFC" w:rsidRDefault="00AD0BFC" w:rsidP="00AD0BFC">
    <w:pPr>
      <w:pStyle w:val="Cabealho"/>
      <w:rPr>
        <w:rFonts w:ascii="Arial" w:hAnsi="Arial" w:cs="Arial"/>
        <w:sz w:val="22"/>
      </w:rPr>
    </w:pPr>
    <w:r>
      <w:rPr>
        <w:rFonts w:ascii="Arial" w:hAnsi="Arial" w:cs="Arial"/>
        <w:sz w:val="22"/>
      </w:rPr>
      <w:t>Processo Orig.: 0010250-17.2016.4.01.3800</w:t>
    </w:r>
  </w:p>
  <w:p w:rsidR="00AD0BFC" w:rsidRPr="00AD0BFC" w:rsidRDefault="00AD0BFC" w:rsidP="00AD0BFC">
    <w:pPr>
      <w:pStyle w:val="Cabealho"/>
      <w:rPr>
        <w:rFonts w:ascii="Arial" w:hAnsi="Arial" w:cs="Arial"/>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BFC" w:rsidRPr="00AD0BFC" w:rsidRDefault="00AD0BFC" w:rsidP="00AD0BFC">
    <w:pPr>
      <w:pStyle w:val="Cabealho"/>
      <w:spacing w:before="120"/>
      <w:jc w:val="right"/>
      <w:rPr>
        <w:rFonts w:ascii="Interleaved 2of5" w:hAnsi="Interleaved 2of5" w:cs="Arial"/>
        <w:sz w:val="48"/>
      </w:rPr>
    </w:pPr>
    <w:r w:rsidRPr="00AD0BFC">
      <w:rPr>
        <w:rFonts w:ascii="Interleaved 2of5" w:hAnsi="Interleaved 2of5" w:cs="Arial"/>
        <w:sz w:val="48"/>
      </w:rPr>
      <w:t>(@0LZ1Ø100)</w:t>
    </w:r>
  </w:p>
  <w:p w:rsidR="00AD0BFC" w:rsidRDefault="008A0248" w:rsidP="00AD0BFC">
    <w:pPr>
      <w:pStyle w:val="Cabealho"/>
      <w:spacing w:before="120"/>
      <w:jc w:val="center"/>
      <w:rPr>
        <w:rFonts w:ascii="Arial" w:hAnsi="Arial" w:cs="Arial"/>
        <w:sz w:val="16"/>
      </w:rPr>
    </w:pPr>
    <w:r>
      <w:rPr>
        <w:rFonts w:ascii="Arial" w:hAnsi="Arial" w:cs="Arial"/>
        <w:noProof/>
        <w:sz w:val="16"/>
      </w:rPr>
      <w:drawing>
        <wp:inline distT="0" distB="0" distL="0" distR="0">
          <wp:extent cx="762000" cy="800100"/>
          <wp:effectExtent l="19050" t="0" r="0" b="0"/>
          <wp:docPr id="1" name="Imagem 1" descr="brasao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doc"/>
                  <pic:cNvPicPr>
                    <a:picLocks noChangeAspect="1" noChangeArrowheads="1"/>
                  </pic:cNvPicPr>
                </pic:nvPicPr>
                <pic:blipFill>
                  <a:blip r:embed="rId1"/>
                  <a:srcRect/>
                  <a:stretch>
                    <a:fillRect/>
                  </a:stretch>
                </pic:blipFill>
                <pic:spPr bwMode="auto">
                  <a:xfrm>
                    <a:off x="0" y="0"/>
                    <a:ext cx="762000" cy="800100"/>
                  </a:xfrm>
                  <a:prstGeom prst="rect">
                    <a:avLst/>
                  </a:prstGeom>
                  <a:noFill/>
                  <a:ln w="9525">
                    <a:noFill/>
                    <a:miter lim="800000"/>
                    <a:headEnd/>
                    <a:tailEnd/>
                  </a:ln>
                </pic:spPr>
              </pic:pic>
            </a:graphicData>
          </a:graphic>
        </wp:inline>
      </w:drawing>
    </w:r>
  </w:p>
  <w:p w:rsidR="00AD0BFC" w:rsidRDefault="00AD0BFC" w:rsidP="00AD0BFC">
    <w:pPr>
      <w:pStyle w:val="Cabealho"/>
      <w:spacing w:before="120"/>
      <w:jc w:val="center"/>
      <w:rPr>
        <w:rFonts w:ascii="Arial" w:hAnsi="Arial" w:cs="Arial"/>
        <w:sz w:val="16"/>
      </w:rPr>
    </w:pPr>
    <w:r>
      <w:rPr>
        <w:rFonts w:ascii="Arial" w:hAnsi="Arial" w:cs="Arial"/>
        <w:sz w:val="16"/>
      </w:rPr>
      <w:t>PODER JUDICIÁRIO</w:t>
    </w:r>
  </w:p>
  <w:p w:rsidR="00AD0BFC" w:rsidRDefault="00AD0BFC" w:rsidP="00AD0BFC">
    <w:pPr>
      <w:pStyle w:val="Cabealho"/>
      <w:jc w:val="center"/>
      <w:rPr>
        <w:rFonts w:ascii="Arial" w:hAnsi="Arial" w:cs="Arial"/>
        <w:b/>
        <w:sz w:val="20"/>
      </w:rPr>
    </w:pPr>
    <w:r>
      <w:rPr>
        <w:rFonts w:ascii="Arial" w:hAnsi="Arial" w:cs="Arial"/>
        <w:b/>
        <w:sz w:val="20"/>
      </w:rPr>
      <w:t>TRIBUNAL REGIONAL FEDERAL DA PRIMEIRA REGIÃO</w:t>
    </w:r>
  </w:p>
  <w:p w:rsidR="00AD0BFC" w:rsidRDefault="00AD0BFC" w:rsidP="00AD0BFC">
    <w:pPr>
      <w:pStyle w:val="Cabealho"/>
      <w:rPr>
        <w:rFonts w:ascii="Arial" w:hAnsi="Arial" w:cs="Arial"/>
        <w:sz w:val="22"/>
      </w:rPr>
    </w:pPr>
  </w:p>
  <w:p w:rsidR="00AD0BFC" w:rsidRDefault="00AD0BFC" w:rsidP="00AD0BFC">
    <w:pPr>
      <w:pStyle w:val="Cabealho"/>
      <w:rPr>
        <w:rFonts w:ascii="Arial" w:hAnsi="Arial" w:cs="Arial"/>
        <w:sz w:val="22"/>
      </w:rPr>
    </w:pPr>
    <w:r>
      <w:rPr>
        <w:rFonts w:ascii="Arial" w:hAnsi="Arial" w:cs="Arial"/>
        <w:sz w:val="22"/>
      </w:rPr>
      <w:t>HABEAS CORPUS N. 0016002-84.2017.4.01.0000/MG</w:t>
    </w:r>
    <w:r w:rsidRPr="00AD0BFC">
      <w:rPr>
        <w:rFonts w:ascii="Arial" w:hAnsi="Arial" w:cs="Arial"/>
        <w:sz w:val="22"/>
      </w:rPr>
      <w:t xml:space="preserve"> </w:t>
    </w:r>
  </w:p>
  <w:p w:rsidR="00AD0BFC" w:rsidRDefault="00AD0BFC" w:rsidP="00AD0BFC">
    <w:pPr>
      <w:pStyle w:val="Cabealho"/>
      <w:rPr>
        <w:rFonts w:ascii="Arial" w:hAnsi="Arial" w:cs="Arial"/>
        <w:sz w:val="22"/>
      </w:rPr>
    </w:pPr>
    <w:r>
      <w:rPr>
        <w:rFonts w:ascii="Arial" w:hAnsi="Arial" w:cs="Arial"/>
        <w:sz w:val="22"/>
      </w:rPr>
      <w:t>Processo Orig.: 0010250-17.2016.4.01.3800</w:t>
    </w:r>
  </w:p>
  <w:p w:rsidR="00581581" w:rsidRPr="00AD0BFC" w:rsidRDefault="00581581" w:rsidP="00AD0BFC">
    <w:pPr>
      <w:pStyle w:val="Cabealho"/>
      <w:rPr>
        <w:rFonts w:ascii="Arial" w:hAnsi="Arial" w:cs="Arial"/>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66DAC"/>
    <w:multiLevelType w:val="hybridMultilevel"/>
    <w:tmpl w:val="CAEEAB38"/>
    <w:lvl w:ilvl="0" w:tplc="1CB0F4D0">
      <w:start w:val="1"/>
      <w:numFmt w:val="bullet"/>
      <w:lvlText w:val=""/>
      <w:lvlJc w:val="left"/>
      <w:pPr>
        <w:tabs>
          <w:tab w:val="num" w:pos="927"/>
        </w:tabs>
        <w:ind w:left="927" w:hanging="360"/>
      </w:pPr>
      <w:rPr>
        <w:rFonts w:ascii="Symbol" w:hAnsi="Symbol" w:hint="default"/>
        <w:color w:val="auto"/>
      </w:rPr>
    </w:lvl>
    <w:lvl w:ilvl="1" w:tplc="04160003">
      <w:start w:val="1"/>
      <w:numFmt w:val="bullet"/>
      <w:lvlText w:val="o"/>
      <w:lvlJc w:val="left"/>
      <w:pPr>
        <w:tabs>
          <w:tab w:val="num" w:pos="1440"/>
        </w:tabs>
        <w:ind w:left="1440" w:hanging="360"/>
      </w:pPr>
      <w:rPr>
        <w:rFonts w:ascii="Courier New" w:hAnsi="Courier New" w:hint="default"/>
      </w:rPr>
    </w:lvl>
    <w:lvl w:ilvl="2" w:tplc="024A3448">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25EB4F8E"/>
    <w:multiLevelType w:val="hybridMultilevel"/>
    <w:tmpl w:val="C3E6D79C"/>
    <w:lvl w:ilvl="0" w:tplc="47D29EBA">
      <w:start w:val="1"/>
      <w:numFmt w:val="lowerLetter"/>
      <w:lvlText w:val="%1)"/>
      <w:lvlJc w:val="left"/>
      <w:pPr>
        <w:tabs>
          <w:tab w:val="num" w:pos="1500"/>
        </w:tabs>
        <w:ind w:left="1500" w:hanging="360"/>
      </w:pPr>
      <w:rPr>
        <w:rFonts w:hint="default"/>
      </w:rPr>
    </w:lvl>
    <w:lvl w:ilvl="1" w:tplc="04160019" w:tentative="1">
      <w:start w:val="1"/>
      <w:numFmt w:val="lowerLetter"/>
      <w:lvlText w:val="%2."/>
      <w:lvlJc w:val="left"/>
      <w:pPr>
        <w:tabs>
          <w:tab w:val="num" w:pos="2220"/>
        </w:tabs>
        <w:ind w:left="2220" w:hanging="360"/>
      </w:pPr>
    </w:lvl>
    <w:lvl w:ilvl="2" w:tplc="0416001B" w:tentative="1">
      <w:start w:val="1"/>
      <w:numFmt w:val="lowerRoman"/>
      <w:lvlText w:val="%3."/>
      <w:lvlJc w:val="right"/>
      <w:pPr>
        <w:tabs>
          <w:tab w:val="num" w:pos="2940"/>
        </w:tabs>
        <w:ind w:left="2940" w:hanging="180"/>
      </w:pPr>
    </w:lvl>
    <w:lvl w:ilvl="3" w:tplc="0416000F" w:tentative="1">
      <w:start w:val="1"/>
      <w:numFmt w:val="decimal"/>
      <w:lvlText w:val="%4."/>
      <w:lvlJc w:val="left"/>
      <w:pPr>
        <w:tabs>
          <w:tab w:val="num" w:pos="3660"/>
        </w:tabs>
        <w:ind w:left="3660" w:hanging="360"/>
      </w:pPr>
    </w:lvl>
    <w:lvl w:ilvl="4" w:tplc="04160019" w:tentative="1">
      <w:start w:val="1"/>
      <w:numFmt w:val="lowerLetter"/>
      <w:lvlText w:val="%5."/>
      <w:lvlJc w:val="left"/>
      <w:pPr>
        <w:tabs>
          <w:tab w:val="num" w:pos="4380"/>
        </w:tabs>
        <w:ind w:left="4380" w:hanging="360"/>
      </w:pPr>
    </w:lvl>
    <w:lvl w:ilvl="5" w:tplc="0416001B" w:tentative="1">
      <w:start w:val="1"/>
      <w:numFmt w:val="lowerRoman"/>
      <w:lvlText w:val="%6."/>
      <w:lvlJc w:val="right"/>
      <w:pPr>
        <w:tabs>
          <w:tab w:val="num" w:pos="5100"/>
        </w:tabs>
        <w:ind w:left="5100" w:hanging="180"/>
      </w:pPr>
    </w:lvl>
    <w:lvl w:ilvl="6" w:tplc="0416000F" w:tentative="1">
      <w:start w:val="1"/>
      <w:numFmt w:val="decimal"/>
      <w:lvlText w:val="%7."/>
      <w:lvlJc w:val="left"/>
      <w:pPr>
        <w:tabs>
          <w:tab w:val="num" w:pos="5820"/>
        </w:tabs>
        <w:ind w:left="5820" w:hanging="360"/>
      </w:pPr>
    </w:lvl>
    <w:lvl w:ilvl="7" w:tplc="04160019" w:tentative="1">
      <w:start w:val="1"/>
      <w:numFmt w:val="lowerLetter"/>
      <w:lvlText w:val="%8."/>
      <w:lvlJc w:val="left"/>
      <w:pPr>
        <w:tabs>
          <w:tab w:val="num" w:pos="6540"/>
        </w:tabs>
        <w:ind w:left="6540" w:hanging="360"/>
      </w:pPr>
    </w:lvl>
    <w:lvl w:ilvl="8" w:tplc="0416001B" w:tentative="1">
      <w:start w:val="1"/>
      <w:numFmt w:val="lowerRoman"/>
      <w:lvlText w:val="%9."/>
      <w:lvlJc w:val="right"/>
      <w:pPr>
        <w:tabs>
          <w:tab w:val="num" w:pos="7260"/>
        </w:tabs>
        <w:ind w:left="7260" w:hanging="180"/>
      </w:pPr>
    </w:lvl>
  </w:abstractNum>
  <w:abstractNum w:abstractNumId="2">
    <w:nsid w:val="2A262624"/>
    <w:multiLevelType w:val="multilevel"/>
    <w:tmpl w:val="78EEB8B6"/>
    <w:lvl w:ilvl="0">
      <w:start w:val="1"/>
      <w:numFmt w:val="bullet"/>
      <w:lvlText w:val=""/>
      <w:lvlJc w:val="left"/>
      <w:pPr>
        <w:tabs>
          <w:tab w:val="num" w:pos="567"/>
        </w:tabs>
        <w:ind w:left="567" w:hanging="397"/>
      </w:pPr>
      <w:rPr>
        <w:rFonts w:ascii="Wingdings" w:hAnsi="Wingdings" w:hint="default"/>
      </w:rPr>
    </w:lvl>
    <w:lvl w:ilvl="1">
      <w:start w:val="1"/>
      <w:numFmt w:val="bullet"/>
      <w:lvlText w:val=""/>
      <w:lvlJc w:val="left"/>
      <w:pPr>
        <w:tabs>
          <w:tab w:val="num" w:pos="1211"/>
        </w:tabs>
        <w:ind w:left="1134" w:hanging="283"/>
      </w:pPr>
      <w:rPr>
        <w:rFonts w:ascii="Wingdings" w:hAnsi="Wingdings" w:hint="default"/>
      </w:rPr>
    </w:lvl>
    <w:lvl w:ilvl="2">
      <w:start w:val="1"/>
      <w:numFmt w:val="bullet"/>
      <w:lvlText w:val=""/>
      <w:lvlJc w:val="left"/>
      <w:pPr>
        <w:tabs>
          <w:tab w:val="num" w:pos="2061"/>
        </w:tabs>
        <w:ind w:left="1928" w:hanging="227"/>
      </w:pPr>
      <w:rPr>
        <w:rFonts w:ascii="Wingdings" w:hAnsi="Wingdings" w:hint="default"/>
      </w:rPr>
    </w:lvl>
    <w:lvl w:ilvl="3">
      <w:start w:val="1"/>
      <w:numFmt w:val="bullet"/>
      <w:lvlText w:val=""/>
      <w:lvlJc w:val="left"/>
      <w:pPr>
        <w:tabs>
          <w:tab w:val="num" w:pos="3195"/>
        </w:tabs>
        <w:ind w:left="3119" w:hanging="284"/>
      </w:pPr>
      <w:rPr>
        <w:rFonts w:ascii="Symbol" w:hAnsi="Symbol" w:hint="default"/>
      </w:rPr>
    </w:lvl>
    <w:lvl w:ilvl="4">
      <w:start w:val="1"/>
      <w:numFmt w:val="bullet"/>
      <w:lvlText w:val=""/>
      <w:lvlJc w:val="left"/>
      <w:pPr>
        <w:tabs>
          <w:tab w:val="num" w:pos="4139"/>
        </w:tabs>
        <w:ind w:left="4139" w:hanging="737"/>
      </w:pPr>
      <w:rPr>
        <w:rFonts w:ascii="Symbol" w:hAnsi="Symbol" w:hint="default"/>
        <w:sz w:val="14"/>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801"/>
  <w:defaultTabStop w:val="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641F3C"/>
    <w:rsid w:val="000D5F08"/>
    <w:rsid w:val="00115198"/>
    <w:rsid w:val="001413C6"/>
    <w:rsid w:val="0015179D"/>
    <w:rsid w:val="001825B7"/>
    <w:rsid w:val="00184C76"/>
    <w:rsid w:val="00191A8C"/>
    <w:rsid w:val="002331F7"/>
    <w:rsid w:val="002E1BF7"/>
    <w:rsid w:val="002E5915"/>
    <w:rsid w:val="002E5FF2"/>
    <w:rsid w:val="003612B6"/>
    <w:rsid w:val="003B11E6"/>
    <w:rsid w:val="003D1115"/>
    <w:rsid w:val="00413610"/>
    <w:rsid w:val="004269A8"/>
    <w:rsid w:val="004509E0"/>
    <w:rsid w:val="00462716"/>
    <w:rsid w:val="00471CDF"/>
    <w:rsid w:val="0049385E"/>
    <w:rsid w:val="004C17AC"/>
    <w:rsid w:val="005805DB"/>
    <w:rsid w:val="00581581"/>
    <w:rsid w:val="005A38CA"/>
    <w:rsid w:val="005E20DB"/>
    <w:rsid w:val="00641F3C"/>
    <w:rsid w:val="006779DE"/>
    <w:rsid w:val="006A4ECE"/>
    <w:rsid w:val="007A7066"/>
    <w:rsid w:val="008713AE"/>
    <w:rsid w:val="00872397"/>
    <w:rsid w:val="008A0248"/>
    <w:rsid w:val="008A3D69"/>
    <w:rsid w:val="008C4395"/>
    <w:rsid w:val="0099169E"/>
    <w:rsid w:val="00A53731"/>
    <w:rsid w:val="00AD0BFC"/>
    <w:rsid w:val="00B2469E"/>
    <w:rsid w:val="00BE4420"/>
    <w:rsid w:val="00C5492A"/>
    <w:rsid w:val="00D076F5"/>
    <w:rsid w:val="00D221D6"/>
    <w:rsid w:val="00D4197E"/>
    <w:rsid w:val="00DD0AC9"/>
    <w:rsid w:val="00E850E4"/>
    <w:rsid w:val="00EB3CF9"/>
    <w:rsid w:val="00EE6447"/>
    <w:rsid w:val="00F17BB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Identificao">
    <w:name w:val="Identificação"/>
    <w:basedOn w:val="ementa"/>
    <w:link w:val="IdentificaoChar"/>
    <w:pPr>
      <w:spacing w:before="0" w:after="0"/>
    </w:pPr>
  </w:style>
  <w:style w:type="paragraph" w:customStyle="1" w:styleId="ementa">
    <w:name w:val="ementa"/>
    <w:basedOn w:val="Pargrafo"/>
    <w:rsid w:val="002331F7"/>
    <w:pPr>
      <w:ind w:firstLine="0"/>
    </w:pPr>
  </w:style>
  <w:style w:type="paragraph" w:customStyle="1" w:styleId="Pargrafo">
    <w:name w:val="Parágrafo"/>
    <w:basedOn w:val="Normal"/>
    <w:link w:val="PargrafoChar"/>
    <w:pPr>
      <w:spacing w:before="120" w:after="120"/>
      <w:ind w:firstLine="1418"/>
      <w:jc w:val="both"/>
    </w:pPr>
    <w:rPr>
      <w:rFonts w:ascii="Arial" w:hAnsi="Arial"/>
      <w:sz w:val="22"/>
    </w:rPr>
  </w:style>
  <w:style w:type="paragraph" w:customStyle="1" w:styleId="centralizar">
    <w:name w:val="centralizar"/>
    <w:basedOn w:val="Pargrafo"/>
    <w:next w:val="Pargrafo"/>
    <w:uiPriority w:val="99"/>
    <w:pPr>
      <w:spacing w:before="360" w:after="360"/>
      <w:ind w:firstLine="0"/>
      <w:jc w:val="center"/>
    </w:pPr>
    <w:rPr>
      <w:b/>
    </w:rPr>
  </w:style>
  <w:style w:type="paragraph" w:customStyle="1" w:styleId="Transcrio">
    <w:name w:val="Transcrição"/>
    <w:basedOn w:val="Pargrafo"/>
    <w:pPr>
      <w:spacing w:before="60" w:after="60"/>
      <w:ind w:left="2268" w:firstLine="0"/>
    </w:pPr>
    <w:rPr>
      <w:i/>
    </w:rPr>
  </w:style>
  <w:style w:type="paragraph" w:styleId="Cabealho">
    <w:name w:val="header"/>
    <w:basedOn w:val="Normal"/>
    <w:rsid w:val="002331F7"/>
    <w:pPr>
      <w:tabs>
        <w:tab w:val="center" w:pos="4252"/>
        <w:tab w:val="right" w:pos="8504"/>
      </w:tabs>
    </w:pPr>
  </w:style>
  <w:style w:type="paragraph" w:customStyle="1" w:styleId="transcrio2">
    <w:name w:val="transcrição 2"/>
    <w:basedOn w:val="Transcrio"/>
    <w:pPr>
      <w:ind w:left="2835"/>
    </w:pPr>
  </w:style>
  <w:style w:type="paragraph" w:customStyle="1" w:styleId="transcrio3">
    <w:name w:val="transcrição 3"/>
    <w:basedOn w:val="Identificao"/>
    <w:pPr>
      <w:ind w:left="3686"/>
    </w:pPr>
    <w:rPr>
      <w:i/>
      <w:iCs/>
    </w:rPr>
  </w:style>
  <w:style w:type="paragraph" w:customStyle="1" w:styleId="transcrio4">
    <w:name w:val="transcrição 4"/>
    <w:basedOn w:val="transcrio3"/>
    <w:pPr>
      <w:ind w:left="4536"/>
    </w:pPr>
  </w:style>
  <w:style w:type="paragraph" w:customStyle="1" w:styleId="assinatura">
    <w:name w:val="assinatura"/>
    <w:basedOn w:val="Pargrafo"/>
    <w:link w:val="assinaturaChar"/>
    <w:pPr>
      <w:spacing w:before="0" w:after="0"/>
      <w:ind w:firstLine="0"/>
      <w:jc w:val="center"/>
    </w:pPr>
  </w:style>
  <w:style w:type="paragraph" w:customStyle="1" w:styleId="Pargrafo2">
    <w:name w:val="Parágrafo 2"/>
    <w:basedOn w:val="Pargrafo"/>
    <w:pPr>
      <w:spacing w:line="480" w:lineRule="auto"/>
    </w:pPr>
  </w:style>
  <w:style w:type="paragraph" w:styleId="Rodap">
    <w:name w:val="footer"/>
    <w:basedOn w:val="Normal"/>
    <w:rsid w:val="002331F7"/>
    <w:pPr>
      <w:tabs>
        <w:tab w:val="center" w:pos="4252"/>
        <w:tab w:val="right" w:pos="8504"/>
      </w:tabs>
    </w:pPr>
  </w:style>
  <w:style w:type="character" w:customStyle="1" w:styleId="PargrafoChar">
    <w:name w:val="Parágrafo Char"/>
    <w:basedOn w:val="Fontepargpadro"/>
    <w:link w:val="Pargrafo"/>
    <w:locked/>
    <w:rsid w:val="00581581"/>
    <w:rPr>
      <w:rFonts w:ascii="Arial" w:hAnsi="Arial"/>
      <w:sz w:val="22"/>
      <w:szCs w:val="24"/>
    </w:rPr>
  </w:style>
  <w:style w:type="character" w:customStyle="1" w:styleId="assinaturaChar">
    <w:name w:val="assinatura Char"/>
    <w:basedOn w:val="PargrafoChar"/>
    <w:link w:val="assinatura"/>
    <w:locked/>
    <w:rsid w:val="00581581"/>
  </w:style>
  <w:style w:type="character" w:customStyle="1" w:styleId="IdentificaoChar">
    <w:name w:val="Identificação Char"/>
    <w:basedOn w:val="Fontepargpadro"/>
    <w:link w:val="Identificao"/>
    <w:locked/>
    <w:rsid w:val="00581581"/>
    <w:rPr>
      <w:rFonts w:ascii="Arial" w:hAnsi="Arial"/>
      <w:sz w:val="22"/>
      <w:szCs w:val="24"/>
    </w:rPr>
  </w:style>
  <w:style w:type="table" w:styleId="Tabelacomgrade">
    <w:name w:val="Table Grid"/>
    <w:basedOn w:val="Tabelanormal"/>
    <w:rsid w:val="00AD0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5739153">
      <w:bodyDiv w:val="1"/>
      <w:marLeft w:val="0"/>
      <w:marRight w:val="0"/>
      <w:marTop w:val="0"/>
      <w:marBottom w:val="0"/>
      <w:divBdr>
        <w:top w:val="none" w:sz="0" w:space="0" w:color="auto"/>
        <w:left w:val="none" w:sz="0" w:space="0" w:color="auto"/>
        <w:bottom w:val="none" w:sz="0" w:space="0" w:color="auto"/>
        <w:right w:val="none" w:sz="0" w:space="0" w:color="auto"/>
      </w:divBdr>
    </w:div>
    <w:div w:id="133564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1797</Words>
  <Characters>9707</Characters>
  <Application>Microsoft Office Word</Application>
  <DocSecurity>4</DocSecurity>
  <Lines>80</Lines>
  <Paragraphs>22</Paragraphs>
  <ScaleCrop>false</ScaleCrop>
  <HeadingPairs>
    <vt:vector size="2" baseType="variant">
      <vt:variant>
        <vt:lpstr>Título</vt:lpstr>
      </vt:variant>
      <vt:variant>
        <vt:i4>1</vt:i4>
      </vt:variant>
    </vt:vector>
  </HeadingPairs>
  <TitlesOfParts>
    <vt:vector size="1" baseType="lpstr">
      <vt:lpstr> </vt:lpstr>
    </vt:vector>
  </TitlesOfParts>
  <Company>trf1</Company>
  <LinksUpToDate>false</LinksUpToDate>
  <CharactersWithSpaces>11482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tr300130</dc:creator>
  <cp:lastModifiedBy>tr300130</cp:lastModifiedBy>
  <cp:revision>2</cp:revision>
  <cp:lastPrinted>1601-01-01T00:00:00Z</cp:lastPrinted>
  <dcterms:created xsi:type="dcterms:W3CDTF">2017-07-07T19:32:00Z</dcterms:created>
  <dcterms:modified xsi:type="dcterms:W3CDTF">2017-07-07T19:32:00Z</dcterms:modified>
</cp:coreProperties>
</file>