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C8E" w:rsidRPr="007C5C10" w:rsidRDefault="007C5C10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/>
          <w:bCs/>
          <w:sz w:val="24"/>
          <w:szCs w:val="24"/>
          <w:u w:val="single"/>
        </w:rPr>
      </w:pPr>
      <w:bookmarkStart w:id="0" w:name="_Hlk517938766"/>
      <w:r w:rsidRPr="007C5C10">
        <w:rPr>
          <w:rFonts w:ascii="Century Gothic" w:eastAsia="Calibri" w:hAnsi="Century Gothic" w:cstheme="minorHAnsi"/>
          <w:b/>
          <w:bCs/>
          <w:sz w:val="24"/>
          <w:szCs w:val="24"/>
          <w:u w:val="single"/>
        </w:rPr>
        <w:t>Preliminarmente</w:t>
      </w:r>
    </w:p>
    <w:p w:rsidR="00504C8E" w:rsidRDefault="00504C8E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C5C10" w:rsidRP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 xml:space="preserve">Em tempos de pandemia o número de ações de HC </w:t>
      </w:r>
      <w:r w:rsidRPr="007C5C10">
        <w:rPr>
          <w:rFonts w:ascii="Century Gothic" w:eastAsia="Calibri" w:hAnsi="Century Gothic" w:cstheme="minorHAnsi"/>
          <w:bCs/>
          <w:sz w:val="24"/>
          <w:szCs w:val="24"/>
          <w:u w:val="single"/>
        </w:rPr>
        <w:t>explodiu em segundo grau de jurisdição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>, mesmo, diante de esmagador desacolhimento do pleito de soltura.</w:t>
      </w:r>
    </w:p>
    <w:p w:rsidR="007C5C10" w:rsidRP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C5C10" w:rsidRP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  <w:t>É hora de impor limites ao abuso na utilização do remédio, seja porque inadmistrável a quantidade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 de feitos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>,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 seja porque não há orçamento para tudo,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 xml:space="preserve"> seja porque prejudicará os julgamentos dos recursos ordinários, seja porque uma ação nobre como a de habeas corpus acabará por ser desqualificada</w:t>
      </w:r>
      <w:r>
        <w:rPr>
          <w:rFonts w:ascii="Century Gothic" w:eastAsia="Calibri" w:hAnsi="Century Gothic" w:cstheme="minorHAnsi"/>
          <w:bCs/>
          <w:sz w:val="24"/>
          <w:szCs w:val="24"/>
        </w:rPr>
        <w:t>, motivos não faltam para a limitação.</w:t>
      </w:r>
    </w:p>
    <w:p w:rsidR="007C5C10" w:rsidRP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/>
          <w:bCs/>
          <w:sz w:val="24"/>
          <w:szCs w:val="24"/>
        </w:rPr>
      </w:pP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Com o devido respeito a autora da inicial, o uso do HC se tornou de tal forma mecânico, com um mero repetir de argumentos que a tudo e todos serve, que presente ação, apesar de cópia do pedido formulado na origem (fls.46/52 dos autos </w:t>
      </w:r>
      <w:r w:rsidRPr="007C5C10">
        <w:rPr>
          <w:rFonts w:ascii="Century Gothic" w:eastAsia="Calibri" w:hAnsi="Century Gothic" w:cstheme="minorHAnsi"/>
          <w:b/>
          <w:bCs/>
          <w:sz w:val="24"/>
          <w:szCs w:val="24"/>
        </w:rPr>
        <w:t>1500523-71.2020.8.26.0022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 xml:space="preserve">), chega mesmo a ser direcionada ao </w:t>
      </w:r>
      <w:r w:rsidRPr="007C5C10">
        <w:rPr>
          <w:rFonts w:ascii="Century Gothic" w:eastAsia="Calibri" w:hAnsi="Century Gothic" w:cstheme="minorHAnsi"/>
          <w:b/>
          <w:bCs/>
          <w:i/>
          <w:sz w:val="24"/>
          <w:szCs w:val="24"/>
          <w:u w:val="single"/>
        </w:rPr>
        <w:t>“Juízo da 2ª Vara da Comarca de Hortolândia nos autos n. 1500758-96.2020.8.26.0229”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 xml:space="preserve"> (fls.01/08 destes autos), ou seja, obviamente </w:t>
      </w:r>
      <w:r w:rsidRPr="007C5C10">
        <w:rPr>
          <w:rFonts w:ascii="Century Gothic" w:eastAsia="Calibri" w:hAnsi="Century Gothic" w:cstheme="minorHAnsi"/>
          <w:bCs/>
          <w:sz w:val="24"/>
          <w:szCs w:val="24"/>
          <w:u w:val="single"/>
        </w:rPr>
        <w:t>erra o juízo e o número do processo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 xml:space="preserve">, praticamente </w:t>
      </w:r>
      <w:r w:rsidRPr="007C5C10">
        <w:rPr>
          <w:rFonts w:ascii="Century Gothic" w:eastAsia="Calibri" w:hAnsi="Century Gothic" w:cstheme="minorHAnsi"/>
          <w:b/>
          <w:bCs/>
          <w:sz w:val="24"/>
          <w:szCs w:val="24"/>
        </w:rPr>
        <w:t>as únicas informações que individualizam a petição inicial.</w:t>
      </w:r>
    </w:p>
    <w:p w:rsid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/>
          <w:bCs/>
          <w:sz w:val="24"/>
          <w:szCs w:val="24"/>
        </w:rPr>
      </w:pPr>
    </w:p>
    <w:p w:rsidR="007C5C10" w:rsidRP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 xml:space="preserve">E por que erra? </w:t>
      </w:r>
      <w:r>
        <w:rPr>
          <w:rFonts w:ascii="Century Gothic" w:eastAsia="Calibri" w:hAnsi="Century Gothic" w:cstheme="minorHAnsi"/>
          <w:bCs/>
          <w:sz w:val="24"/>
          <w:szCs w:val="24"/>
        </w:rPr>
        <w:t>Erra p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>orque c</w:t>
      </w:r>
      <w:r>
        <w:rPr>
          <w:rFonts w:ascii="Century Gothic" w:eastAsia="Calibri" w:hAnsi="Century Gothic" w:cstheme="minorHAnsi"/>
          <w:bCs/>
          <w:sz w:val="24"/>
          <w:szCs w:val="24"/>
        </w:rPr>
        <w:t>ó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>pia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 guardada em arquivo geral.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 xml:space="preserve"> As ações são redigidas com um </w:t>
      </w:r>
      <w:proofErr w:type="spellStart"/>
      <w:r w:rsidRPr="007C5C10">
        <w:rPr>
          <w:rFonts w:ascii="Century Gothic" w:eastAsia="Calibri" w:hAnsi="Century Gothic" w:cstheme="minorHAnsi"/>
          <w:bCs/>
          <w:i/>
          <w:sz w:val="24"/>
          <w:szCs w:val="24"/>
        </w:rPr>
        <w:t>cut</w:t>
      </w:r>
      <w:proofErr w:type="spellEnd"/>
      <w:r w:rsidRPr="007C5C10">
        <w:rPr>
          <w:rFonts w:ascii="Century Gothic" w:eastAsia="Calibri" w:hAnsi="Century Gothic" w:cstheme="minorHAnsi"/>
          <w:bCs/>
          <w:i/>
          <w:sz w:val="24"/>
          <w:szCs w:val="24"/>
        </w:rPr>
        <w:t xml:space="preserve">, </w:t>
      </w:r>
      <w:proofErr w:type="spellStart"/>
      <w:r w:rsidRPr="007C5C10">
        <w:rPr>
          <w:rFonts w:ascii="Century Gothic" w:eastAsia="Calibri" w:hAnsi="Century Gothic" w:cstheme="minorHAnsi"/>
          <w:bCs/>
          <w:i/>
          <w:sz w:val="24"/>
          <w:szCs w:val="24"/>
        </w:rPr>
        <w:t>copy</w:t>
      </w:r>
      <w:proofErr w:type="spellEnd"/>
      <w:r w:rsidRPr="007C5C10">
        <w:rPr>
          <w:rFonts w:ascii="Century Gothic" w:eastAsia="Calibri" w:hAnsi="Century Gothic" w:cstheme="minorHAnsi"/>
          <w:bCs/>
          <w:i/>
          <w:sz w:val="24"/>
          <w:szCs w:val="24"/>
        </w:rPr>
        <w:t xml:space="preserve"> </w:t>
      </w:r>
      <w:proofErr w:type="spellStart"/>
      <w:r w:rsidRPr="007C5C10">
        <w:rPr>
          <w:rFonts w:ascii="Century Gothic" w:eastAsia="Calibri" w:hAnsi="Century Gothic" w:cstheme="minorHAnsi"/>
          <w:bCs/>
          <w:i/>
          <w:sz w:val="24"/>
          <w:szCs w:val="24"/>
        </w:rPr>
        <w:t>and</w:t>
      </w:r>
      <w:proofErr w:type="spellEnd"/>
      <w:r w:rsidRPr="007C5C10">
        <w:rPr>
          <w:rFonts w:ascii="Century Gothic" w:eastAsia="Calibri" w:hAnsi="Century Gothic" w:cstheme="minorHAnsi"/>
          <w:bCs/>
          <w:i/>
          <w:sz w:val="24"/>
          <w:szCs w:val="24"/>
        </w:rPr>
        <w:t xml:space="preserve"> paste</w:t>
      </w:r>
      <w:r>
        <w:rPr>
          <w:rFonts w:ascii="Century Gothic" w:eastAsia="Calibri" w:hAnsi="Century Gothic" w:cstheme="minorHAnsi"/>
          <w:bCs/>
          <w:sz w:val="24"/>
          <w:szCs w:val="24"/>
        </w:rPr>
        <w:t>,</w:t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 xml:space="preserve"> como se diz.</w:t>
      </w:r>
    </w:p>
    <w:p w:rsidR="007C5C10" w:rsidRP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C5C10" w:rsidRP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C5C10">
        <w:rPr>
          <w:rFonts w:ascii="Century Gothic" w:eastAsia="Calibri" w:hAnsi="Century Gothic" w:cstheme="minorHAnsi"/>
          <w:bCs/>
          <w:sz w:val="24"/>
          <w:szCs w:val="24"/>
        </w:rPr>
        <w:tab/>
        <w:t>Não se trata de crítica em tom de ironia, muito ao contrário, apesar do respeito que merece a combatividade da Defensoria, evidente o erro em razão do volume de impetrações sob o mesmo argumento, mesma causa de pedir e pedido.</w:t>
      </w:r>
    </w:p>
    <w:p w:rsidR="007C5C10" w:rsidRPr="007C5C10" w:rsidRDefault="007C5C10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C5C10" w:rsidRDefault="007C5C10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lastRenderedPageBreak/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Vamos aos dados.</w:t>
      </w:r>
    </w:p>
    <w:p w:rsidR="00504C8E" w:rsidRDefault="00504C8E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</w:p>
    <w:p w:rsidR="00504C8E" w:rsidRDefault="00504C8E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7C5C10">
        <w:rPr>
          <w:rFonts w:ascii="Century Gothic" w:eastAsia="Calibri" w:hAnsi="Century Gothic" w:cstheme="minorHAnsi"/>
          <w:bCs/>
          <w:sz w:val="24"/>
          <w:szCs w:val="24"/>
        </w:rPr>
        <w:t>A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 projeção é que para este ano de 2020, só a Defensoria Pública de São Paulo, terá distribuído 15 mil ações de HC. Já está em mais de 13 mil ações distribuídas</w:t>
      </w:r>
      <w:r w:rsidR="00835056">
        <w:rPr>
          <w:rFonts w:ascii="Century Gothic" w:eastAsia="Calibri" w:hAnsi="Century Gothic" w:cstheme="minorHAnsi"/>
          <w:bCs/>
          <w:sz w:val="24"/>
          <w:szCs w:val="24"/>
        </w:rPr>
        <w:t xml:space="preserve"> (vide: </w:t>
      </w:r>
      <w:r w:rsidR="00835056" w:rsidRPr="00835056">
        <w:rPr>
          <w:rFonts w:ascii="Century Gothic" w:eastAsia="Calibri" w:hAnsi="Century Gothic" w:cstheme="minorHAnsi"/>
          <w:bCs/>
          <w:sz w:val="24"/>
          <w:szCs w:val="24"/>
        </w:rPr>
        <w:t>https://youtu.be/7SVf-t-zcAE</w:t>
      </w:r>
      <w:r w:rsidR="00835056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504C8E" w:rsidRDefault="00504C8E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504C8E" w:rsidRDefault="00504C8E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O fato é que a cada habeas corpus julgado, onde se alarga a interpretação de cabimento, se estimula ainda mais o uso da ação constitucional</w:t>
      </w:r>
      <w:r w:rsidR="00835056">
        <w:rPr>
          <w:rFonts w:ascii="Century Gothic" w:eastAsia="Calibri" w:hAnsi="Century Gothic" w:cstheme="minorHAnsi"/>
          <w:bCs/>
          <w:sz w:val="24"/>
          <w:szCs w:val="24"/>
        </w:rPr>
        <w:t xml:space="preserve"> para tudo, seja lá o que for</w:t>
      </w:r>
      <w:r>
        <w:rPr>
          <w:rFonts w:ascii="Century Gothic" w:eastAsia="Calibri" w:hAnsi="Century Gothic" w:cstheme="minorHAnsi"/>
          <w:bCs/>
          <w:sz w:val="24"/>
          <w:szCs w:val="24"/>
        </w:rPr>
        <w:t>.</w:t>
      </w:r>
      <w:r w:rsidR="00835056">
        <w:rPr>
          <w:rFonts w:ascii="Century Gothic" w:eastAsia="Calibri" w:hAnsi="Century Gothic" w:cstheme="minorHAnsi"/>
          <w:bCs/>
          <w:sz w:val="24"/>
          <w:szCs w:val="24"/>
        </w:rPr>
        <w:t xml:space="preserve"> (</w:t>
      </w:r>
      <w:hyperlink r:id="rId6" w:history="1">
        <w:r w:rsidR="00835056" w:rsidRPr="000E4F0A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https://www.conjur.com.br/2020-jul-16/autoridades-defendem-criacao-lei-especifica-habeas-corpus)</w:t>
        </w:r>
      </w:hyperlink>
    </w:p>
    <w:p w:rsidR="00504C8E" w:rsidRDefault="00504C8E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35056" w:rsidRDefault="00504C8E" w:rsidP="00722570">
      <w:pPr>
        <w:tabs>
          <w:tab w:val="left" w:pos="2880"/>
        </w:tabs>
        <w:spacing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722570">
        <w:rPr>
          <w:rFonts w:ascii="Century Gothic" w:eastAsia="Calibri" w:hAnsi="Century Gothic" w:cstheme="minorHAnsi"/>
          <w:bCs/>
          <w:sz w:val="24"/>
          <w:szCs w:val="24"/>
        </w:rPr>
        <w:t>Não há como suportar tamanha carga de trabalho, sem contar que não há orçamento que chegue</w:t>
      </w:r>
      <w:r w:rsidR="00722570" w:rsidRPr="00722570">
        <w:rPr>
          <w:rFonts w:ascii="Century Gothic" w:eastAsia="Calibri" w:hAnsi="Century Gothic" w:cstheme="minorHAnsi"/>
          <w:bCs/>
          <w:sz w:val="24"/>
          <w:szCs w:val="24"/>
        </w:rPr>
        <w:t>.</w:t>
      </w:r>
    </w:p>
    <w:p w:rsidR="00835056" w:rsidRDefault="00835056" w:rsidP="00722570">
      <w:pPr>
        <w:tabs>
          <w:tab w:val="left" w:pos="2880"/>
        </w:tabs>
        <w:spacing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22570" w:rsidRDefault="00835056" w:rsidP="00722570">
      <w:pPr>
        <w:tabs>
          <w:tab w:val="left" w:pos="2880"/>
        </w:tabs>
        <w:spacing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722570">
        <w:rPr>
          <w:rFonts w:ascii="Century Gothic" w:eastAsia="Calibri" w:hAnsi="Century Gothic" w:cstheme="minorHAnsi"/>
          <w:bCs/>
          <w:sz w:val="24"/>
          <w:szCs w:val="24"/>
        </w:rPr>
        <w:t xml:space="preserve"> “O </w:t>
      </w:r>
      <w:r w:rsidR="00722570" w:rsidRPr="00722570">
        <w:rPr>
          <w:rFonts w:ascii="Century Gothic" w:eastAsia="Calibri" w:hAnsi="Century Gothic" w:cstheme="minorHAnsi"/>
          <w:bCs/>
          <w:sz w:val="24"/>
          <w:szCs w:val="24"/>
        </w:rPr>
        <w:t>cobertor é curto. Quando se cobrem as orelhas, descobrem-se os pés e vice-versa.</w:t>
      </w:r>
    </w:p>
    <w:p w:rsidR="00153F0C" w:rsidRPr="00722570" w:rsidRDefault="00153F0C" w:rsidP="00722570">
      <w:pPr>
        <w:tabs>
          <w:tab w:val="left" w:pos="2880"/>
        </w:tabs>
        <w:spacing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Pr="00153F0C" w:rsidRDefault="00722570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153F0C" w:rsidRPr="00153F0C">
        <w:rPr>
          <w:rFonts w:ascii="Century Gothic" w:eastAsia="Calibri" w:hAnsi="Century Gothic" w:cstheme="minorHAnsi"/>
          <w:bCs/>
          <w:sz w:val="24"/>
          <w:szCs w:val="24"/>
        </w:rPr>
        <w:t>No setor público, a insuficiência do cobertor é mais evidente, principalmente em tempos de crise. A lei do orçamento é a resultante política da previsão de receitas e da fixação de despesas.”(</w:t>
      </w:r>
      <w:hyperlink r:id="rId7" w:history="1">
        <w:r w:rsidR="00153F0C" w:rsidRPr="00153F0C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https://www.gazetadigital.com.br/editorias/opiniao/cobertor-curto/479563</w:t>
        </w:r>
      </w:hyperlink>
      <w:r w:rsidR="00153F0C" w:rsidRPr="00153F0C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Recursos previstos e planejados para determinada área, acabam sendo dragados pelos custos insanos que a distribuição de milhares de novas ações de HC geram na Corte. Há custos </w:t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lastRenderedPageBreak/>
        <w:t xml:space="preserve">novos e não previstos que serão cobertos por receita limitada e não prevista no orçamento (que foi apresentado e votado no ano anterior ao exercício – a título de exemplo proposta elaborada pelo TJSP em 2019 para execução em 2020: </w:t>
      </w:r>
      <w:hyperlink r:id="rId8" w:history="1">
        <w:r w:rsidRPr="00153F0C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http://www.tjsp.jus.br/Download/Portal/CanaisComunicacao/Transparencia/ContasPublicas_OrcamentoAnual_Default/2020/ProjetoDeLei1112-2019.pdf</w:t>
        </w:r>
      </w:hyperlink>
      <w:r w:rsidRPr="00153F0C">
        <w:rPr>
          <w:rFonts w:ascii="Century Gothic" w:eastAsia="Calibri" w:hAnsi="Century Gothic" w:cstheme="minorHAnsi"/>
          <w:bCs/>
          <w:sz w:val="24"/>
          <w:szCs w:val="24"/>
        </w:rPr>
        <w:t xml:space="preserve"> ).</w:t>
      </w: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E17CD0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  <w:t>Evidente o déficit. Pior, não há recurso para suplementação orçamentária.  O gestor só tem uma saída: corte de gastos, que sempre vem de forma linear e injusta.</w:t>
      </w:r>
      <w:r w:rsidR="00E17CD0">
        <w:rPr>
          <w:rFonts w:ascii="Century Gothic" w:eastAsia="Calibri" w:hAnsi="Century Gothic" w:cstheme="minorHAnsi"/>
          <w:bCs/>
          <w:sz w:val="24"/>
          <w:szCs w:val="24"/>
        </w:rPr>
        <w:t xml:space="preserve"> </w:t>
      </w:r>
    </w:p>
    <w:p w:rsidR="00153F0C" w:rsidRDefault="00E17CD0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 xml:space="preserve">(a respeito da figura do gestor e seu dilema: </w:t>
      </w:r>
      <w:hyperlink r:id="rId9" w:history="1">
        <w:r w:rsidRPr="00E17CD0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https://www.academia.edu/37402255/Os_Tipos_de_Gestores_P%C3%BAblicos_Brasileiros</w:t>
        </w:r>
      </w:hyperlink>
      <w:r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O gestor público tem inúmeras responsabilidades legais, dentre as quais as previstas na Lei de Responsabilidade Fiscal (Lei C</w:t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>omplementar nº 101, de 4 de maio de 2000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), que estabelece </w:t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>normas de finanças públicas voltadas para a responsabilidade na gestão fiscal, com a finalidade de reduzir o déficit público, estabilizar a economia e controlar os gastos governamentais</w:t>
      </w:r>
      <w:r>
        <w:rPr>
          <w:rFonts w:ascii="Century Gothic" w:eastAsia="Calibri" w:hAnsi="Century Gothic" w:cstheme="minorHAnsi"/>
          <w:bCs/>
          <w:sz w:val="24"/>
          <w:szCs w:val="24"/>
        </w:rPr>
        <w:t>.</w:t>
      </w: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Uma das obrigações mais complexas para o gestor é a de justificar expansão de qualquer ação que </w:t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>aument</w:t>
      </w:r>
      <w:r>
        <w:rPr>
          <w:rFonts w:ascii="Century Gothic" w:eastAsia="Calibri" w:hAnsi="Century Gothic" w:cstheme="minorHAnsi"/>
          <w:bCs/>
          <w:sz w:val="24"/>
          <w:szCs w:val="24"/>
        </w:rPr>
        <w:t>e</w:t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 xml:space="preserve"> a despesa, 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pois </w:t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>deverá ser acompanhada da estimativa do impacto orçamentário-financeiro e da declaração do ordenador da despesa, informando que aquela despesa tem adequação orçamentária e financeira com a Lei Orçamentária Anual (LOA) e compatibilidade com o Plano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 </w:t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>Plurianual (PPA) e com a Lei de Diretrizes Orçamentárias (LDO</w:t>
      </w:r>
      <w:r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lastRenderedPageBreak/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Resumindo, o gestor </w:t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>terá de declarar se o gasto está de acordo com os objetivos e metas do PPA e da LDO e se tem dotação específica e suficiente no orçamento corrente</w:t>
      </w:r>
      <w:r>
        <w:rPr>
          <w:rFonts w:ascii="Century Gothic" w:eastAsia="Calibri" w:hAnsi="Century Gothic" w:cstheme="minorHAnsi"/>
          <w:bCs/>
          <w:sz w:val="24"/>
          <w:szCs w:val="24"/>
        </w:rPr>
        <w:t>.</w:t>
      </w:r>
    </w:p>
    <w:p w:rsidR="00F53D7F" w:rsidRDefault="00F53D7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F53D7F" w:rsidRDefault="00F53D7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Obrigação complexa que a lei debita na conta do gestor, que sempre verificará</w:t>
      </w:r>
      <w:r w:rsidRPr="00F53D7F">
        <w:rPr>
          <w:rFonts w:ascii="Century Gothic" w:eastAsia="Calibri" w:hAnsi="Century Gothic" w:cstheme="minorHAnsi"/>
          <w:bCs/>
          <w:sz w:val="24"/>
          <w:szCs w:val="24"/>
        </w:rPr>
        <w:t>, inicialmente, se a despesa é objeto de dotação orçamentária e financeira suficiente, considerando o que foi gasto e o que se pretende gastar. Em seguida, se ela faz parte de um programa do PPA e se está em conformidade com as disposições da LDO, além de estar de acordo com suas diretrizes, objetivos, prioridades e metas</w:t>
      </w:r>
      <w:r>
        <w:rPr>
          <w:rFonts w:ascii="Century Gothic" w:eastAsia="Calibri" w:hAnsi="Century Gothic" w:cstheme="minorHAnsi"/>
          <w:bCs/>
          <w:sz w:val="24"/>
          <w:szCs w:val="24"/>
        </w:rPr>
        <w:t>.</w:t>
      </w: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 xml:space="preserve">No caso do não cumprimento do artigo, a despesa será considerada não autorizada, </w:t>
      </w:r>
      <w:r w:rsidRPr="00DF29F6">
        <w:rPr>
          <w:rFonts w:ascii="Century Gothic" w:eastAsia="Calibri" w:hAnsi="Century Gothic" w:cstheme="minorHAnsi"/>
          <w:b/>
          <w:bCs/>
          <w:sz w:val="24"/>
          <w:szCs w:val="24"/>
        </w:rPr>
        <w:t>irregular e lesiva ao patrimônio público</w:t>
      </w:r>
      <w:r w:rsidRPr="00861E4F">
        <w:rPr>
          <w:rFonts w:ascii="Century Gothic" w:eastAsia="Calibri" w:hAnsi="Century Gothic" w:cstheme="minorHAnsi"/>
          <w:bCs/>
          <w:sz w:val="24"/>
          <w:szCs w:val="24"/>
        </w:rPr>
        <w:t>, nos termos do art. 15 da própria LRF</w:t>
      </w:r>
      <w:r w:rsidR="00F53D7F">
        <w:rPr>
          <w:rFonts w:ascii="Century Gothic" w:eastAsia="Calibri" w:hAnsi="Century Gothic" w:cstheme="minorHAnsi"/>
          <w:bCs/>
          <w:sz w:val="24"/>
          <w:szCs w:val="24"/>
        </w:rPr>
        <w:t xml:space="preserve"> (</w:t>
      </w:r>
      <w:hyperlink r:id="rId10" w:history="1">
        <w:r w:rsidR="00F53D7F" w:rsidRPr="00F53D7F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http://fucamp.edu.br/editora/index.php/getec/article/viewFile/165/193</w:t>
        </w:r>
      </w:hyperlink>
      <w:r w:rsidR="00F53D7F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61E4F" w:rsidRDefault="00861E4F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O gestor sofre penalidades duríssimas, sem contra com o fato que suas contas serão julgadas anos depois de sua saída do cargo, afora a possibilidade de algum órgão externo dele discorda muitas vezes após décadas, na medida em que o lapso prescricional é longo.</w:t>
      </w:r>
      <w:r w:rsidR="00F53D7F" w:rsidRPr="00F53D7F">
        <w:t xml:space="preserve"> </w:t>
      </w:r>
      <w:r w:rsidR="00F53D7F">
        <w:t>(</w:t>
      </w:r>
      <w:hyperlink r:id="rId11" w:history="1">
        <w:r w:rsidR="00F53D7F" w:rsidRPr="00D351C9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https://bibliotecadigital.fgv.br/dspace/handle/10438/28808</w:t>
        </w:r>
      </w:hyperlink>
      <w:r w:rsidR="00F53D7F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E17CD0" w:rsidRDefault="00E17CD0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Pr="00153F0C" w:rsidRDefault="00E17CD0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153F0C" w:rsidRPr="00153F0C">
        <w:rPr>
          <w:rFonts w:ascii="Century Gothic" w:eastAsia="Calibri" w:hAnsi="Century Gothic" w:cstheme="minorHAnsi"/>
          <w:bCs/>
          <w:sz w:val="24"/>
          <w:szCs w:val="24"/>
        </w:rPr>
        <w:t>Ademais, se a peça orçamentária quando enviada para o legislativo já está enxuta, como executar com responsabilidade quando há um aumento de gasto não previsto?</w:t>
      </w: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Chamo a atenção para o fato de que “o valor foi definido com objetivo de manter o tribunal dentro do limite de </w:t>
      </w:r>
      <w:r w:rsidRPr="00153F0C">
        <w:rPr>
          <w:rFonts w:ascii="Century Gothic" w:eastAsia="Calibri" w:hAnsi="Century Gothic" w:cstheme="minorHAnsi"/>
          <w:b/>
          <w:bCs/>
          <w:sz w:val="24"/>
          <w:szCs w:val="24"/>
          <w:u w:val="single"/>
        </w:rPr>
        <w:t>gastos com pessoal</w:t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 xml:space="preserve">, conforme a Lei de Responsabilidade Fiscal, e também com base na Lei Complementar 173/2020, que proíbe novas despesas com </w:t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lastRenderedPageBreak/>
        <w:t>pessoal até 31 dezembro de 2021.</w:t>
      </w:r>
      <w:r w:rsidR="00D9694C" w:rsidRPr="00D9694C">
        <w:t xml:space="preserve"> </w:t>
      </w:r>
      <w:r w:rsidR="00D9694C">
        <w:t>(</w:t>
      </w:r>
      <w:hyperlink r:id="rId12" w:history="1">
        <w:r w:rsidR="00D9694C" w:rsidRPr="00D351C9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https://jus.com.br/artigos/23335/a-vital-apuracao-da-receita-corrente-liquida</w:t>
        </w:r>
      </w:hyperlink>
      <w:r w:rsidR="00D9694C">
        <w:rPr>
          <w:rFonts w:ascii="Century Gothic" w:eastAsia="Calibri" w:hAnsi="Century Gothic" w:cstheme="minorHAnsi"/>
          <w:bCs/>
          <w:sz w:val="24"/>
          <w:szCs w:val="24"/>
        </w:rPr>
        <w:t>)</w:t>
      </w:r>
      <w:bookmarkStart w:id="1" w:name="_GoBack"/>
      <w:bookmarkEnd w:id="1"/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  <w:t>Para se ter uma base de comparação, a lei aprovada pela ALESP para 2020 estabeleceu apenas R$ 9.637.042.279 referentes ao tesouro. Somou-se mais R$ 2.672.134.361 de outras fontes, perfazendo um total de R$ 12.309.176.640. (</w:t>
      </w:r>
      <w:hyperlink r:id="rId13" w:history="1">
        <w:r w:rsidRPr="00153F0C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http://www.tjsp.jus.br/Download/Transparencia/ResCNJ195/2020/LeiOrcamentaria17.244-2020.pdf?d=1595343419895</w:t>
        </w:r>
      </w:hyperlink>
      <w:r w:rsidRPr="00153F0C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>Para o exercício de 2021 o TJSP projetou uma necessidade mínima de R$ 19 bilhões de reais referente a fonte do tesouro. (</w:t>
      </w:r>
      <w:hyperlink r:id="rId14" w:history="1">
        <w:r w:rsidRPr="00153F0C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https://www.conjur.com.br/2020-jul-15/tj-sp-19-bilhoes-2021-governo-propoe-92-bilhoes</w:t>
        </w:r>
      </w:hyperlink>
      <w:r w:rsidRPr="00153F0C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>Porém, a contraproposta do executivo</w:t>
      </w:r>
      <w:r w:rsidR="00535F1B">
        <w:rPr>
          <w:rFonts w:ascii="Century Gothic" w:eastAsia="Calibri" w:hAnsi="Century Gothic" w:cstheme="minorHAnsi"/>
          <w:bCs/>
          <w:sz w:val="24"/>
          <w:szCs w:val="24"/>
        </w:rPr>
        <w:t xml:space="preserve"> (que é o remetente-</w:t>
      </w:r>
      <w:hyperlink r:id="rId15" w:history="1">
        <w:r w:rsidR="00535F1B" w:rsidRPr="00D351C9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https://www.al.sp.gov.br/leis/orcamento/</w:t>
        </w:r>
      </w:hyperlink>
      <w:r w:rsidR="00535F1B">
        <w:rPr>
          <w:rFonts w:ascii="Century Gothic" w:eastAsia="Calibri" w:hAnsi="Century Gothic" w:cstheme="minorHAnsi"/>
          <w:bCs/>
          <w:sz w:val="24"/>
          <w:szCs w:val="24"/>
        </w:rPr>
        <w:t xml:space="preserve">), 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 não atendeu ao desejo manifestado pelo TJSP, pelo menos até agora. </w:t>
      </w:r>
    </w:p>
    <w:p w:rsid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 xml:space="preserve">O” Governo do Estado propõe orçamento de R$ 9,2 bilhões para o Judiciário paulista em 2021. O valor corresponde a </w:t>
      </w:r>
      <w:r w:rsidRPr="00153F0C">
        <w:rPr>
          <w:rFonts w:ascii="Century Gothic" w:eastAsia="Calibri" w:hAnsi="Century Gothic" w:cstheme="minorHAnsi"/>
          <w:b/>
          <w:bCs/>
          <w:sz w:val="24"/>
          <w:szCs w:val="24"/>
          <w:u w:val="single"/>
        </w:rPr>
        <w:t>5,96% da receita corrente líquida do Estado</w:t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>. (matéria citada)</w:t>
      </w:r>
    </w:p>
    <w:p w:rsidR="001C64F6" w:rsidRDefault="001C64F6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C64F6" w:rsidRPr="00153F0C" w:rsidRDefault="001C64F6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D9694C">
        <w:rPr>
          <w:rFonts w:ascii="Century Gothic" w:eastAsia="Calibri" w:hAnsi="Century Gothic" w:cstheme="minorHAnsi"/>
          <w:bCs/>
          <w:sz w:val="24"/>
          <w:szCs w:val="24"/>
        </w:rPr>
        <w:t xml:space="preserve">Relembro que </w:t>
      </w:r>
      <w:r w:rsidR="00D9694C" w:rsidRPr="00D9694C">
        <w:rPr>
          <w:rFonts w:ascii="Century Gothic" w:eastAsia="Calibri" w:hAnsi="Century Gothic" w:cstheme="minorHAnsi"/>
          <w:bCs/>
          <w:sz w:val="24"/>
          <w:szCs w:val="24"/>
        </w:rPr>
        <w:t>o art. 20 da Lei de Responsabilidade Fiscal</w:t>
      </w:r>
      <w:r w:rsidR="00D9694C">
        <w:rPr>
          <w:rFonts w:ascii="Century Gothic" w:eastAsia="Calibri" w:hAnsi="Century Gothic" w:cstheme="minorHAnsi"/>
          <w:bCs/>
          <w:sz w:val="24"/>
          <w:szCs w:val="24"/>
        </w:rPr>
        <w:t xml:space="preserve"> diz </w:t>
      </w:r>
      <w:r w:rsidR="00D9694C" w:rsidRPr="00D9694C">
        <w:rPr>
          <w:rFonts w:ascii="Century Gothic" w:eastAsia="Calibri" w:hAnsi="Century Gothic" w:cstheme="minorHAnsi"/>
          <w:bCs/>
          <w:sz w:val="24"/>
          <w:szCs w:val="24"/>
        </w:rPr>
        <w:t xml:space="preserve">que ao Judiciário </w:t>
      </w:r>
      <w:r w:rsidR="00D9694C">
        <w:rPr>
          <w:rFonts w:ascii="Century Gothic" w:eastAsia="Calibri" w:hAnsi="Century Gothic" w:cstheme="minorHAnsi"/>
          <w:bCs/>
          <w:sz w:val="24"/>
          <w:szCs w:val="24"/>
        </w:rPr>
        <w:t xml:space="preserve">estadual </w:t>
      </w:r>
      <w:r w:rsidR="00D9694C" w:rsidRPr="00D9694C">
        <w:rPr>
          <w:rFonts w:ascii="Century Gothic" w:eastAsia="Calibri" w:hAnsi="Century Gothic" w:cstheme="minorHAnsi"/>
          <w:bCs/>
          <w:sz w:val="24"/>
          <w:szCs w:val="24"/>
        </w:rPr>
        <w:t>é assegurado o limite de 6% dos percentuais da receita corrente líquida do Estado.</w:t>
      </w:r>
      <w:r w:rsidR="00D9694C" w:rsidRPr="00D9694C">
        <w:t xml:space="preserve"> </w:t>
      </w:r>
      <w:r w:rsidR="00D9694C">
        <w:t>(</w:t>
      </w:r>
      <w:hyperlink r:id="rId16" w:history="1">
        <w:r w:rsidR="00D9694C" w:rsidRPr="00D351C9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http://www.planalto.gov.br/ccivil_03/Leis/LCP/lcp101.htm</w:t>
        </w:r>
      </w:hyperlink>
      <w:r w:rsidR="00D9694C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153F0C">
        <w:rPr>
          <w:rFonts w:ascii="Century Gothic" w:eastAsia="Calibri" w:hAnsi="Century Gothic" w:cstheme="minorHAnsi"/>
          <w:bCs/>
          <w:sz w:val="24"/>
          <w:szCs w:val="24"/>
        </w:rPr>
        <w:lastRenderedPageBreak/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  <w:t>Todos sabemos que a lei orçamentária quando trata das receitas nada mais é que um desejo, que, aliás, normalmente não se concretiza.</w:t>
      </w: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53F0C" w:rsidRPr="00153F0C" w:rsidRDefault="00153F0C" w:rsidP="00153F0C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153F0C">
        <w:rPr>
          <w:rFonts w:ascii="Century Gothic" w:eastAsia="Calibri" w:hAnsi="Century Gothic" w:cstheme="minorHAnsi"/>
          <w:bCs/>
          <w:sz w:val="24"/>
          <w:szCs w:val="24"/>
        </w:rPr>
        <w:tab/>
        <w:t>Enfim, por causa de alguns, todos , sem distinção, pagarão a conta de um déficit que já está em 1 bilhão de reais só no ano de 2020, segundo informação pública.(</w:t>
      </w:r>
      <w:hyperlink r:id="rId17" w:history="1">
        <w:r w:rsidRPr="00153F0C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https://www.conjur.com.br/2020-jul-15/tj-sp-19-bilhoes-2021-governo-propoe-92-bilhoes</w:t>
        </w:r>
      </w:hyperlink>
      <w:r w:rsidRPr="00153F0C">
        <w:rPr>
          <w:rFonts w:ascii="Century Gothic" w:eastAsia="Calibri" w:hAnsi="Century Gothic" w:cstheme="minorHAnsi"/>
          <w:bCs/>
          <w:sz w:val="24"/>
          <w:szCs w:val="24"/>
        </w:rPr>
        <w:t xml:space="preserve">). </w:t>
      </w:r>
    </w:p>
    <w:p w:rsidR="00835056" w:rsidRDefault="00835056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F1070" w:rsidRDefault="00153F0C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7F107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7F1070"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7F1070">
        <w:rPr>
          <w:rFonts w:ascii="Century Gothic" w:eastAsia="Calibri" w:hAnsi="Century Gothic" w:cstheme="minorHAnsi"/>
          <w:bCs/>
          <w:sz w:val="24"/>
          <w:szCs w:val="24"/>
        </w:rPr>
        <w:tab/>
        <w:t>De onde tirar? O que cortar?</w:t>
      </w:r>
    </w:p>
    <w:p w:rsidR="007F1070" w:rsidRDefault="007F1070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F1070" w:rsidRDefault="007F1070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887D78">
        <w:rPr>
          <w:rFonts w:ascii="Century Gothic" w:eastAsia="Calibri" w:hAnsi="Century Gothic" w:cstheme="minorHAnsi"/>
          <w:bCs/>
          <w:sz w:val="24"/>
          <w:szCs w:val="24"/>
        </w:rPr>
        <w:t>As receitas do judiciário paulista são oriundas do tesouro, fundo de despesa e remuneração pelos depósitos judiciais, conforme se vê da proposta orçamentária.</w:t>
      </w:r>
    </w:p>
    <w:p w:rsidR="0018414A" w:rsidRDefault="0018414A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18414A" w:rsidRDefault="0018414A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A execução do orçamento do TJSP  pode ser consultada em </w:t>
      </w:r>
      <w:hyperlink r:id="rId18" w:history="1">
        <w:r w:rsidRPr="0018414A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http://www.tjsp.jus.br/Download/Portal/CanaisComunicacao/Transparencia/ContasPublicas_Execucao/ResCNJ792020REO.pdf?d=1595341412310</w:t>
        </w:r>
      </w:hyperlink>
    </w:p>
    <w:p w:rsidR="006F7900" w:rsidRDefault="006F7900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6C2D24" w:rsidRDefault="006F7900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Ainda recentemente o TJSP conseguiu que a arrecadação de </w:t>
      </w:r>
      <w:r w:rsidR="006C2D24" w:rsidRPr="006C2D24">
        <w:rPr>
          <w:rFonts w:ascii="Century Gothic" w:eastAsia="Calibri" w:hAnsi="Century Gothic" w:cstheme="minorHAnsi"/>
          <w:b/>
          <w:bCs/>
          <w:sz w:val="24"/>
          <w:szCs w:val="24"/>
        </w:rPr>
        <w:t>taxa judiciária incidente sobre os serviços públicos de natureza forense</w:t>
      </w:r>
      <w:r w:rsidR="006C2D24">
        <w:rPr>
          <w:rFonts w:ascii="Century Gothic" w:eastAsia="Calibri" w:hAnsi="Century Gothic" w:cstheme="minorHAnsi"/>
          <w:bCs/>
          <w:sz w:val="24"/>
          <w:szCs w:val="24"/>
        </w:rPr>
        <w:t xml:space="preserve">, </w:t>
      </w:r>
      <w:r>
        <w:rPr>
          <w:rFonts w:ascii="Century Gothic" w:eastAsia="Calibri" w:hAnsi="Century Gothic" w:cstheme="minorHAnsi"/>
          <w:bCs/>
          <w:sz w:val="24"/>
          <w:szCs w:val="24"/>
        </w:rPr>
        <w:t>lhe fosse integralmente destinada</w:t>
      </w:r>
      <w:r w:rsidR="006C2D24">
        <w:rPr>
          <w:rFonts w:ascii="Century Gothic" w:eastAsia="Calibri" w:hAnsi="Century Gothic" w:cstheme="minorHAnsi"/>
          <w:bCs/>
          <w:sz w:val="24"/>
          <w:szCs w:val="24"/>
        </w:rPr>
        <w:t>.</w:t>
      </w:r>
    </w:p>
    <w:p w:rsidR="006C2D24" w:rsidRDefault="006C2D24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6C2D24" w:rsidRDefault="006C2D24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N</w:t>
      </w:r>
      <w:r w:rsidR="006F7900">
        <w:rPr>
          <w:rFonts w:ascii="Century Gothic" w:eastAsia="Calibri" w:hAnsi="Century Gothic" w:cstheme="minorHAnsi"/>
          <w:bCs/>
          <w:sz w:val="24"/>
          <w:szCs w:val="24"/>
        </w:rPr>
        <w:t>ão bastou e não bastará</w:t>
      </w:r>
      <w:r>
        <w:rPr>
          <w:rFonts w:ascii="Century Gothic" w:eastAsia="Calibri" w:hAnsi="Century Gothic" w:cstheme="minorHAnsi"/>
          <w:bCs/>
          <w:sz w:val="24"/>
          <w:szCs w:val="24"/>
        </w:rPr>
        <w:t>, apesar do “</w:t>
      </w:r>
      <w:r w:rsidRPr="006C2D24">
        <w:rPr>
          <w:rFonts w:ascii="Century Gothic" w:eastAsia="Calibri" w:hAnsi="Century Gothic" w:cstheme="minorHAnsi"/>
          <w:bCs/>
          <w:sz w:val="24"/>
          <w:szCs w:val="24"/>
        </w:rPr>
        <w:t>valor total previsto a título de arrecadação da taxa judiciária em 2020 é de R$ 1,27 bilhões de reais</w:t>
      </w:r>
      <w:r>
        <w:rPr>
          <w:rFonts w:ascii="Century Gothic" w:eastAsia="Calibri" w:hAnsi="Century Gothic" w:cstheme="minorHAnsi"/>
          <w:bCs/>
          <w:sz w:val="24"/>
          <w:szCs w:val="24"/>
        </w:rPr>
        <w:t>” (</w:t>
      </w:r>
      <w:r w:rsidRPr="006C2D24">
        <w:rPr>
          <w:rFonts w:ascii="Century Gothic" w:eastAsia="Calibri" w:hAnsi="Century Gothic" w:cstheme="minorHAnsi"/>
          <w:bCs/>
          <w:sz w:val="24"/>
          <w:szCs w:val="24"/>
        </w:rPr>
        <w:t>Ofício nº 837/2019 – GS</w:t>
      </w:r>
      <w:r>
        <w:rPr>
          <w:rFonts w:ascii="Century Gothic" w:eastAsia="Calibri" w:hAnsi="Century Gothic" w:cstheme="minorHAnsi"/>
          <w:bCs/>
          <w:sz w:val="24"/>
          <w:szCs w:val="24"/>
        </w:rPr>
        <w:t>- encaminhando a mensagem).</w:t>
      </w:r>
    </w:p>
    <w:p w:rsidR="006C2D24" w:rsidRDefault="006C2D24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6C2D24" w:rsidRPr="006C2D24" w:rsidRDefault="006C2D24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lastRenderedPageBreak/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Tanto é verdade que não bastou, que em </w:t>
      </w:r>
      <w:r w:rsidRPr="006C2D24">
        <w:rPr>
          <w:rFonts w:ascii="Century Gothic" w:eastAsia="Calibri" w:hAnsi="Century Gothic" w:cstheme="minorHAnsi"/>
          <w:bCs/>
          <w:sz w:val="24"/>
          <w:szCs w:val="24"/>
          <w:u w:val="single"/>
        </w:rPr>
        <w:t>ano anterior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, a taxa já havia sofrido elevação anterior com a sanção da </w:t>
      </w:r>
      <w:r w:rsidRPr="006C2D24">
        <w:rPr>
          <w:rFonts w:ascii="Century Gothic" w:eastAsia="Calibri" w:hAnsi="Century Gothic" w:cstheme="minorHAnsi"/>
          <w:bCs/>
          <w:sz w:val="24"/>
          <w:szCs w:val="24"/>
        </w:rPr>
        <w:t>LEI Nº 16.788, DE 04 DE JULHO DE 2018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 (</w:t>
      </w:r>
      <w:hyperlink r:id="rId19" w:history="1">
        <w:r w:rsidRPr="006C2D24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https://www.migalhas.com.br/quentes/283163/sp-sancionada-lei-que-altera-destinacao-da-taxa-judiciaria</w:t>
        </w:r>
      </w:hyperlink>
      <w:r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6C2D24" w:rsidRDefault="006C2D24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6F7900" w:rsidRPr="006C2D24" w:rsidRDefault="006C2D24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6F7900">
        <w:rPr>
          <w:rFonts w:ascii="Century Gothic" w:eastAsia="Calibri" w:hAnsi="Century Gothic" w:cstheme="minorHAnsi"/>
          <w:bCs/>
          <w:sz w:val="24"/>
          <w:szCs w:val="24"/>
        </w:rPr>
        <w:t xml:space="preserve">Não há recurso para </w:t>
      </w:r>
      <w:r>
        <w:rPr>
          <w:rFonts w:ascii="Century Gothic" w:eastAsia="Calibri" w:hAnsi="Century Gothic" w:cstheme="minorHAnsi"/>
          <w:bCs/>
          <w:sz w:val="24"/>
          <w:szCs w:val="24"/>
        </w:rPr>
        <w:t>tamanha expansão de gastos.</w:t>
      </w:r>
      <w:r w:rsidR="006F7900">
        <w:rPr>
          <w:rFonts w:ascii="Century Gothic" w:eastAsia="Calibri" w:hAnsi="Century Gothic" w:cstheme="minorHAnsi"/>
          <w:bCs/>
          <w:sz w:val="24"/>
          <w:szCs w:val="24"/>
        </w:rPr>
        <w:t xml:space="preserve"> </w:t>
      </w:r>
      <w:r>
        <w:rPr>
          <w:rFonts w:ascii="Century Gothic" w:eastAsia="Calibri" w:hAnsi="Century Gothic" w:cstheme="minorHAnsi"/>
          <w:bCs/>
          <w:sz w:val="24"/>
          <w:szCs w:val="24"/>
        </w:rPr>
        <w:t>Vide</w:t>
      </w:r>
      <w:r w:rsidRPr="006C2D24">
        <w:rPr>
          <w:rFonts w:ascii="Century Gothic" w:eastAsia="Calibri" w:hAnsi="Century Gothic" w:cstheme="minorHAnsi"/>
          <w:bCs/>
          <w:sz w:val="24"/>
          <w:szCs w:val="24"/>
        </w:rPr>
        <w:t>:</w:t>
      </w:r>
      <w:r w:rsidR="006F7900" w:rsidRPr="006C2D24">
        <w:rPr>
          <w:rFonts w:ascii="Century Gothic" w:eastAsia="Calibri" w:hAnsi="Century Gothic" w:cstheme="minorHAnsi"/>
          <w:bCs/>
          <w:sz w:val="24"/>
          <w:szCs w:val="24"/>
        </w:rPr>
        <w:t xml:space="preserve">  PROJETO DE LEI Nº 1339, DE 2019,</w:t>
      </w:r>
      <w:r w:rsidR="006F7900" w:rsidRPr="006C2D24">
        <w:rPr>
          <w:rFonts w:ascii="Segoe UI" w:hAnsi="Segoe UI" w:cs="Segoe UI"/>
          <w:bCs/>
          <w:color w:val="333333"/>
          <w:sz w:val="21"/>
          <w:szCs w:val="21"/>
          <w:shd w:val="clear" w:color="auto" w:fill="FFFFFF"/>
        </w:rPr>
        <w:t xml:space="preserve"> </w:t>
      </w:r>
      <w:r w:rsidR="006F7900" w:rsidRPr="006C2D24">
        <w:rPr>
          <w:rFonts w:ascii="Century Gothic" w:eastAsia="Calibri" w:hAnsi="Century Gothic" w:cstheme="minorHAnsi"/>
          <w:bCs/>
          <w:sz w:val="24"/>
          <w:szCs w:val="24"/>
        </w:rPr>
        <w:t xml:space="preserve">Diário Oficial </w:t>
      </w:r>
      <w:r w:rsidRPr="006C2D24">
        <w:rPr>
          <w:rFonts w:ascii="Century Gothic" w:eastAsia="Calibri" w:hAnsi="Century Gothic" w:cstheme="minorHAnsi"/>
          <w:bCs/>
          <w:sz w:val="24"/>
          <w:szCs w:val="24"/>
        </w:rPr>
        <w:t>19/12/19, Caderno</w:t>
      </w:r>
      <w:r w:rsidR="006F7900" w:rsidRPr="006C2D24">
        <w:rPr>
          <w:rFonts w:ascii="Century Gothic" w:eastAsia="Calibri" w:hAnsi="Century Gothic" w:cstheme="minorHAnsi"/>
          <w:bCs/>
          <w:sz w:val="24"/>
          <w:szCs w:val="24"/>
        </w:rPr>
        <w:t xml:space="preserve"> do Poder Legislativo, página 9</w:t>
      </w:r>
      <w:r>
        <w:rPr>
          <w:rFonts w:ascii="Century Gothic" w:eastAsia="Calibri" w:hAnsi="Century Gothic" w:cstheme="minorHAnsi"/>
          <w:bCs/>
          <w:sz w:val="24"/>
          <w:szCs w:val="24"/>
        </w:rPr>
        <w:t>.</w:t>
      </w:r>
    </w:p>
    <w:p w:rsidR="00887D78" w:rsidRDefault="00887D78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87D78" w:rsidRDefault="00887D78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A conclusão é de que se não há como aumentar as receitas (e as ações de HC e os assistidos pela defensoria não estão sujeitos a custas), obviamente alcançar o equilíbrio orçamentário passará pelo corte de despesas.</w:t>
      </w:r>
      <w:r w:rsidR="00D9694C" w:rsidRPr="00D9694C">
        <w:t xml:space="preserve"> </w:t>
      </w:r>
      <w:r w:rsidR="00D9694C">
        <w:t>(</w:t>
      </w:r>
      <w:hyperlink r:id="rId20" w:history="1">
        <w:r w:rsidR="00D9694C" w:rsidRPr="00D351C9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https://jus.com.br/artigos/75230/tce-alerta-tribunal-de-justica-de-sao-paulo-sobre-atingimento-do-limite-prudencial-com-despesas-de-pessoal</w:t>
        </w:r>
      </w:hyperlink>
      <w:r w:rsidR="00D9694C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887D78" w:rsidRDefault="00887D78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87D78" w:rsidRDefault="00887D78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Como dito pelo Eminente Presidente do TJSP: “s</w:t>
      </w:r>
      <w:r w:rsidRPr="00887D78">
        <w:rPr>
          <w:rFonts w:ascii="Century Gothic" w:eastAsia="Calibri" w:hAnsi="Century Gothic" w:cstheme="minorHAnsi"/>
          <w:bCs/>
          <w:sz w:val="24"/>
          <w:szCs w:val="24"/>
        </w:rPr>
        <w:t>obre ações para aumentar a receita do TJ-SP, Pinheiro Franco afirmou que a questão "é muito delicada no âmbito do Judiciário, porque está estritamente ligada à lei"</w:t>
      </w:r>
      <w:r>
        <w:rPr>
          <w:rFonts w:ascii="Century Gothic" w:eastAsia="Calibri" w:hAnsi="Century Gothic" w:cstheme="minorHAnsi"/>
          <w:bCs/>
          <w:sz w:val="24"/>
          <w:szCs w:val="24"/>
        </w:rPr>
        <w:t xml:space="preserve"> (</w:t>
      </w:r>
      <w:hyperlink r:id="rId21" w:history="1">
        <w:r w:rsidRPr="00887D78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https://www.conjur.com.br/2020-jul-15/tj-sp-19-bilhoes-2021-governo-propoe-92-bilhoes</w:t>
        </w:r>
      </w:hyperlink>
      <w:r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887D78" w:rsidRDefault="00887D78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887D78" w:rsidRDefault="00887D78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A dificuldade para o gestor aumenta, quando se vê a proposta de diretrizes orçamentárias para 2021 em trâmite na ALESP (projeto de Lei </w:t>
      </w:r>
      <w:r w:rsidRPr="00887D78">
        <w:rPr>
          <w:rFonts w:ascii="Century Gothic" w:eastAsia="Calibri" w:hAnsi="Century Gothic" w:cstheme="minorHAnsi"/>
          <w:bCs/>
          <w:sz w:val="24"/>
          <w:szCs w:val="24"/>
        </w:rPr>
        <w:t>307 / 2020</w:t>
      </w:r>
      <w:r w:rsidR="006F7900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6F7900" w:rsidRDefault="006F7900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22570" w:rsidRPr="00722570" w:rsidRDefault="00887D78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722570" w:rsidRPr="00722570">
        <w:rPr>
          <w:rFonts w:ascii="Century Gothic" w:eastAsia="Calibri" w:hAnsi="Century Gothic" w:cstheme="minorHAnsi"/>
          <w:bCs/>
          <w:sz w:val="24"/>
          <w:szCs w:val="24"/>
        </w:rPr>
        <w:t xml:space="preserve">Os números são descomunais, como se vê de informação constante do </w:t>
      </w:r>
      <w:r w:rsidR="00722570" w:rsidRPr="00722570">
        <w:rPr>
          <w:rFonts w:ascii="Century Gothic" w:eastAsia="Calibri" w:hAnsi="Century Gothic" w:cstheme="minorHAnsi"/>
          <w:b/>
          <w:bCs/>
          <w:sz w:val="24"/>
          <w:szCs w:val="24"/>
        </w:rPr>
        <w:t>Provimento CSM nº 2566/2020</w:t>
      </w:r>
      <w:r w:rsidR="00722570" w:rsidRPr="00722570">
        <w:rPr>
          <w:rFonts w:ascii="Century Gothic" w:eastAsia="Calibri" w:hAnsi="Century Gothic" w:cstheme="minorHAnsi"/>
          <w:bCs/>
          <w:sz w:val="24"/>
          <w:szCs w:val="24"/>
        </w:rPr>
        <w:t xml:space="preserve">, somente acórdãos prolatados na fase de trabalho remoto compreendida </w:t>
      </w:r>
      <w:r w:rsidR="00722570" w:rsidRPr="00722570">
        <w:rPr>
          <w:rFonts w:ascii="Century Gothic" w:eastAsia="Calibri" w:hAnsi="Century Gothic" w:cstheme="minorHAnsi"/>
          <w:bCs/>
          <w:sz w:val="24"/>
          <w:szCs w:val="24"/>
        </w:rPr>
        <w:lastRenderedPageBreak/>
        <w:t>entre 16 de março a 17 de julho de 2020, foram 320.767, muitos, evidentemente, referentes aos habeas corpus distribuídos. Decisões monocráticas chegaram a 35.069 e os números só crescem.</w:t>
      </w:r>
    </w:p>
    <w:p w:rsidR="00722570" w:rsidRPr="00722570" w:rsidRDefault="00722570" w:rsidP="0072257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504C8E" w:rsidRDefault="00504C8E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  <w:t>A pauta de julgamento se torna inadmistrável, prejudicando todos aqueles que fizeram uso do recurso cabível para revisão de decisões de primeiro grau</w:t>
      </w:r>
      <w:r w:rsidR="00722570">
        <w:rPr>
          <w:rFonts w:ascii="Century Gothic" w:eastAsia="Calibri" w:hAnsi="Century Gothic" w:cstheme="minorHAnsi"/>
          <w:bCs/>
          <w:sz w:val="24"/>
          <w:szCs w:val="24"/>
        </w:rPr>
        <w:t>.</w:t>
      </w:r>
      <w:r w:rsidR="00835056">
        <w:rPr>
          <w:rFonts w:ascii="Century Gothic" w:eastAsia="Calibri" w:hAnsi="Century Gothic" w:cstheme="minorHAnsi"/>
          <w:bCs/>
          <w:sz w:val="24"/>
          <w:szCs w:val="24"/>
        </w:rPr>
        <w:t xml:space="preserve"> A gestão orçamentária sofre impacto incalculável, tornando a administração do maior tribunal do país algo quase impossível.</w:t>
      </w:r>
    </w:p>
    <w:p w:rsidR="00EC35CA" w:rsidRDefault="00EC35CA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EC35CA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="00504C8E">
        <w:rPr>
          <w:rFonts w:ascii="Century Gothic" w:eastAsia="Calibri" w:hAnsi="Century Gothic" w:cstheme="minorHAnsi"/>
          <w:bCs/>
          <w:sz w:val="24"/>
          <w:szCs w:val="24"/>
        </w:rPr>
        <w:t xml:space="preserve">Assim é que </w:t>
      </w:r>
      <w:r w:rsidR="00504C8E" w:rsidRPr="00504C8E">
        <w:rPr>
          <w:rFonts w:ascii="Century Gothic" w:eastAsia="Calibri" w:hAnsi="Century Gothic" w:cstheme="minorHAnsi"/>
          <w:b/>
          <w:bCs/>
          <w:sz w:val="24"/>
          <w:szCs w:val="24"/>
          <w:u w:val="single"/>
        </w:rPr>
        <w:t>preliminarmente</w:t>
      </w:r>
      <w:r w:rsidR="00504C8E">
        <w:rPr>
          <w:rFonts w:ascii="Century Gothic" w:eastAsia="Calibri" w:hAnsi="Century Gothic" w:cstheme="minorHAnsi"/>
          <w:bCs/>
          <w:sz w:val="24"/>
          <w:szCs w:val="24"/>
        </w:rPr>
        <w:t xml:space="preserve">, </w:t>
      </w:r>
      <w:r w:rsidR="0073476D" w:rsidRPr="0073476D">
        <w:rPr>
          <w:rFonts w:ascii="Century Gothic" w:eastAsia="Calibri" w:hAnsi="Century Gothic" w:cstheme="minorHAnsi"/>
          <w:bCs/>
          <w:sz w:val="24"/>
          <w:szCs w:val="24"/>
        </w:rPr>
        <w:t>consigno que o habeas corpus é ação inadequada para a valoração e exame minucioso para concessão de benefício tão complexo quanto o livramento condicional</w:t>
      </w:r>
      <w:r w:rsidR="0073476D"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>.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RICARDO CARDOZO DE MELLO TUCUNDUVA, resume com maestria: “o remédio heroico, na definição de AIRES DA MATA, é, tão-só, a “ordem judicial de soltura de pessoa ilegalmente presa, ou para evitar que o seja”, conforme assinala Damásio Evangelista de Jesus, ao comentar o artigo 647 do Estatuto de Rito (in “Código de Processo Penal Anotado”, Saraiva, 2007, página 515). 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Ora, a paciente não está ilegalmente preso: cumpre pena. 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Então, se discordou da decisão proferida pelo Juiz da execução, deveria ter interposto o competente recurso, que é o agravo de que trata o artigo 197 da Lei de Execução Penal” (julgado em 19 de junho de 2020, 6ª Câmara de Direito Criminal do Tribunal de Justiça </w:t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lastRenderedPageBreak/>
        <w:t>de São Paulo, V.U., Habeas Corpus Criminal nº 2079988-41.2020.8.26.0000, da Comarca de São José dos Campos)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>Como sempre afirmado e reafirmado pelo STJ: “a análise do merecimento do apenado demandaria amplo revolvimento da matéria fático-probatória, procedimento incompatível com a estreita via do habeas corpus” (</w:t>
      </w:r>
      <w:hyperlink r:id="rId22" w:history="1">
        <w:r w:rsidRPr="0073476D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STJ - RHC 119928 / RJ 2019/0326720-0</w:t>
        </w:r>
      </w:hyperlink>
      <w:r w:rsidRPr="0073476D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504C8E" w:rsidRDefault="00504C8E" w:rsidP="00563A87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>Recentemente, publicou-se matéria jornalística a respeito do tema, que foi debatido nos autos do HC 482.549. Transcrevo parte: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>“O uso extensivo dos Habeas Corpus é um tema que gera incômodo a muitos ministros. Membros da 3ª Seção detalharam as dificuldades de trabalhar em meio à explosão do número de pedidos utilizando HC.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“Hoje, praticamente ninguém maneja recurso explicitado no Código de Processo Penal. 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Tudo é por Habeas Corpus. 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Ele serve para trancamento de ação penal, para inépcia da denúncia, para nulidades e aplicação de pena. 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Todos os pedidos de Habeas Corpus são com liminar", aponta o ministro Jorge 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Mussi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>.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lastRenderedPageBreak/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 "Na prática, torna-se quase que inviável o trabalho. Você passa o dia só despachando Habeas Corpus", diz o ministro Sebastião Reis Júnior”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O resultado é o aumento do número de 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HCs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 distribuídos na corte — em 2019, foram julgados 69.228 deles. 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>O grande número de Habeas Corpus muitas vezes não permite que a Seção forme precedentes qualificados a partir de recurso especial.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 Como temos mais de 60% de nossos gabinetes formado por 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HCs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, não conseguimos, muitas vezes, discutir teses que geram o precedente vinculativo", lamenta o ministro Joel Ilan 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Paciornik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. (confira-se: </w:t>
      </w:r>
      <w:hyperlink r:id="rId23" w:history="1">
        <w:r w:rsidRPr="0073476D">
          <w:rPr>
            <w:rStyle w:val="Hyperlink"/>
            <w:rFonts w:ascii="Century Gothic" w:eastAsia="Calibri" w:hAnsi="Century Gothic" w:cstheme="minorHAnsi"/>
            <w:bCs/>
            <w:sz w:val="24"/>
            <w:szCs w:val="24"/>
          </w:rPr>
          <w:t>https://www.conjur.com.br/2020-fev-26/stj-discute-limites-habeas-corpus-contemporaneo-apelacao</w:t>
        </w:r>
      </w:hyperlink>
      <w:r w:rsidRPr="0073476D">
        <w:rPr>
          <w:rFonts w:ascii="Century Gothic" w:eastAsia="Calibri" w:hAnsi="Century Gothic" w:cstheme="minorHAnsi"/>
          <w:bCs/>
          <w:sz w:val="24"/>
          <w:szCs w:val="24"/>
        </w:rPr>
        <w:t>)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“Nesse sentido a série de precedentes: HC 109.956/PR, 1.ª Turma, rel. Min. MARCO AURÉLIO, 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DJe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 de 11/09/2012; HC 104.045/RJ, 1.ª Turma, rel. Min. ROSA WEBER, 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DJe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 de 06/09/2012; HC 108.181/RS, 1.ª Turma, rel. Min. LUIZ FUX, 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DJe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 de 06/09/2012. Decisões monocráticas dos ministros LUIZ FUX e DIAS TOFFOLI, respectivamente, nos autos do HC 114.550/AC (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DJe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 de 27/08/2012) e HC 114.924/RJ (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DJe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 de 27/08/2012). 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Assim também vem entendendo o E. STJ: HC 251.153/SC rel. Min. LAURITAVAZ j. 25.2.2014, </w:t>
      </w:r>
      <w:proofErr w:type="spellStart"/>
      <w:r w:rsidRPr="0073476D">
        <w:rPr>
          <w:rFonts w:ascii="Century Gothic" w:eastAsia="Calibri" w:hAnsi="Century Gothic" w:cstheme="minorHAnsi"/>
          <w:bCs/>
          <w:sz w:val="24"/>
          <w:szCs w:val="24"/>
        </w:rPr>
        <w:t>DJe</w:t>
      </w:r>
      <w:proofErr w:type="spellEnd"/>
      <w:r w:rsidRPr="0073476D">
        <w:rPr>
          <w:rFonts w:ascii="Century Gothic" w:eastAsia="Calibri" w:hAnsi="Century Gothic" w:cstheme="minorHAnsi"/>
          <w:bCs/>
          <w:sz w:val="24"/>
          <w:szCs w:val="24"/>
        </w:rPr>
        <w:t xml:space="preserve"> 12.3.2014.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 xml:space="preserve">A ação de 'habeas corpus' destina-se a remediar situações de iminente violência ou coação ilegal na liberdade </w:t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lastRenderedPageBreak/>
        <w:t>de locomoção, cf. se extrai da leitura do disposto pelo art. 647 da Lei Adjetiva Penal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>E, com todo o respeito, esta não é a situação apresentada na impetração” (Habeas Corpus Criminal nº 2054712-08.2020.8.26.0000, da Comarca de São Paulo, j. 23/04/2020 – V.U., Desembargadores COSTABILE E SOLIMENE(Presidente), AMARO THOMÉ E LUIZ FERNANDO VAGGIONE)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>Se no STJ o debate está aberto em razão da própria inviabilidade da prestação jurisdicional, como estará nos tribunais estaduais, notadamente no Paulista, o maior de todos?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>E só tende a aumentar, na medida em que o caminho é simples, fácil e aberto para tudo e para todos.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</w:r>
      <w:r w:rsidRPr="0073476D">
        <w:rPr>
          <w:rFonts w:ascii="Century Gothic" w:eastAsia="Calibri" w:hAnsi="Century Gothic" w:cstheme="minorHAnsi"/>
          <w:bCs/>
          <w:sz w:val="24"/>
          <w:szCs w:val="24"/>
        </w:rPr>
        <w:tab/>
        <w:t>Já se faz a hora de passar das críticas às decisões. Assim, até sob o ponto de vista de gestão, importante que fique registrado expressamente: que a decisão de primeiro grau preenche os requisitos legais para sua validade, sendo inadmissível reexaminar-se a questão pela via estreita e de cognição sumária do remédio heroico.</w:t>
      </w:r>
    </w:p>
    <w:p w:rsidR="0073476D" w:rsidRPr="0073476D" w:rsidRDefault="0073476D" w:rsidP="0073476D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bCs/>
          <w:sz w:val="24"/>
          <w:szCs w:val="24"/>
        </w:rPr>
      </w:pPr>
    </w:p>
    <w:p w:rsidR="00563A87" w:rsidRPr="00563A87" w:rsidRDefault="0073476D" w:rsidP="007C5C10">
      <w:pPr>
        <w:tabs>
          <w:tab w:val="left" w:pos="2880"/>
        </w:tabs>
        <w:spacing w:after="0" w:line="440" w:lineRule="exact"/>
        <w:jc w:val="both"/>
        <w:rPr>
          <w:rFonts w:ascii="Century Gothic" w:eastAsia="Calibri" w:hAnsi="Century Gothic" w:cstheme="minorHAnsi"/>
          <w:sz w:val="24"/>
          <w:szCs w:val="24"/>
        </w:rPr>
      </w:pP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  <w:r>
        <w:rPr>
          <w:rFonts w:ascii="Century Gothic" w:eastAsia="Calibri" w:hAnsi="Century Gothic" w:cstheme="minorHAnsi"/>
          <w:bCs/>
          <w:sz w:val="24"/>
          <w:szCs w:val="24"/>
        </w:rPr>
        <w:tab/>
      </w:r>
    </w:p>
    <w:p w:rsidR="00563A87" w:rsidRPr="00563A87" w:rsidRDefault="00563A87" w:rsidP="00563A87">
      <w:pPr>
        <w:tabs>
          <w:tab w:val="left" w:pos="2880"/>
        </w:tabs>
        <w:spacing w:after="0" w:line="240" w:lineRule="auto"/>
        <w:jc w:val="center"/>
        <w:rPr>
          <w:rFonts w:ascii="Century Gothic" w:eastAsia="Calibri" w:hAnsi="Century Gothic" w:cstheme="minorHAnsi"/>
          <w:sz w:val="24"/>
          <w:szCs w:val="24"/>
        </w:rPr>
      </w:pPr>
    </w:p>
    <w:p w:rsidR="00563A87" w:rsidRPr="00563A87" w:rsidRDefault="00563A87" w:rsidP="00563A87">
      <w:pPr>
        <w:tabs>
          <w:tab w:val="left" w:pos="2880"/>
        </w:tabs>
        <w:spacing w:after="0" w:line="240" w:lineRule="auto"/>
        <w:jc w:val="center"/>
        <w:rPr>
          <w:rFonts w:ascii="Century Gothic" w:eastAsia="Calibri" w:hAnsi="Century Gothic" w:cstheme="minorHAnsi"/>
          <w:sz w:val="24"/>
          <w:szCs w:val="24"/>
        </w:rPr>
      </w:pPr>
    </w:p>
    <w:p w:rsidR="00563A87" w:rsidRPr="00563A87" w:rsidRDefault="00563A87" w:rsidP="00563A87">
      <w:pPr>
        <w:tabs>
          <w:tab w:val="left" w:pos="2880"/>
        </w:tabs>
        <w:spacing w:after="0" w:line="240" w:lineRule="exact"/>
        <w:jc w:val="center"/>
        <w:rPr>
          <w:rFonts w:ascii="Century Gothic" w:eastAsia="Calibri" w:hAnsi="Century Gothic" w:cstheme="minorHAnsi"/>
          <w:b/>
          <w:sz w:val="24"/>
          <w:szCs w:val="24"/>
        </w:rPr>
      </w:pPr>
      <w:r w:rsidRPr="00563A87">
        <w:rPr>
          <w:rFonts w:ascii="Century Gothic" w:eastAsia="Calibri" w:hAnsi="Century Gothic" w:cstheme="minorHAnsi"/>
          <w:b/>
          <w:sz w:val="24"/>
          <w:szCs w:val="24"/>
        </w:rPr>
        <w:t>Saulo de Castro Abreu Filho</w:t>
      </w:r>
    </w:p>
    <w:p w:rsidR="00563A87" w:rsidRPr="00563A87" w:rsidRDefault="00563A87" w:rsidP="00563A87">
      <w:pPr>
        <w:tabs>
          <w:tab w:val="left" w:pos="2880"/>
        </w:tabs>
        <w:spacing w:after="0" w:line="240" w:lineRule="exact"/>
        <w:jc w:val="center"/>
        <w:rPr>
          <w:rFonts w:ascii="Century Gothic" w:eastAsia="Calibri" w:hAnsi="Century Gothic" w:cstheme="minorHAnsi"/>
          <w:sz w:val="24"/>
          <w:szCs w:val="24"/>
        </w:rPr>
      </w:pPr>
      <w:r w:rsidRPr="00563A87">
        <w:rPr>
          <w:rFonts w:ascii="Century Gothic" w:eastAsia="Calibri" w:hAnsi="Century Gothic" w:cstheme="minorHAnsi"/>
          <w:sz w:val="24"/>
          <w:szCs w:val="24"/>
        </w:rPr>
        <w:t>Procurador de Justiça</w:t>
      </w:r>
    </w:p>
    <w:p w:rsidR="00563A87" w:rsidRPr="00563A87" w:rsidRDefault="00563A87" w:rsidP="00563A87">
      <w:pPr>
        <w:tabs>
          <w:tab w:val="left" w:pos="2880"/>
        </w:tabs>
        <w:spacing w:after="0" w:line="240" w:lineRule="exact"/>
        <w:jc w:val="center"/>
        <w:rPr>
          <w:rFonts w:ascii="Century Gothic" w:eastAsia="Calibri" w:hAnsi="Century Gothic" w:cstheme="minorHAnsi"/>
          <w:sz w:val="24"/>
          <w:szCs w:val="24"/>
        </w:rPr>
      </w:pPr>
    </w:p>
    <w:bookmarkEnd w:id="0"/>
    <w:p w:rsidR="00563A87" w:rsidRPr="00563A87" w:rsidRDefault="00563A87" w:rsidP="00563A87">
      <w:pPr>
        <w:spacing w:after="0" w:line="276" w:lineRule="auto"/>
        <w:rPr>
          <w:rFonts w:ascii="Century Gothic" w:eastAsia="Calibri" w:hAnsi="Century Gothic" w:cstheme="minorHAnsi"/>
          <w:sz w:val="24"/>
          <w:szCs w:val="24"/>
        </w:rPr>
      </w:pPr>
    </w:p>
    <w:p w:rsidR="00563A87" w:rsidRPr="00563A87" w:rsidRDefault="00563A87" w:rsidP="00563A87">
      <w:pPr>
        <w:spacing w:after="0" w:line="276" w:lineRule="auto"/>
        <w:rPr>
          <w:rFonts w:ascii="Century Gothic" w:eastAsia="Calibri" w:hAnsi="Century Gothic" w:cstheme="minorHAnsi"/>
          <w:sz w:val="24"/>
          <w:szCs w:val="24"/>
        </w:rPr>
      </w:pPr>
    </w:p>
    <w:p w:rsidR="00563A87" w:rsidRPr="00563A87" w:rsidRDefault="00563A87" w:rsidP="00563A87">
      <w:pPr>
        <w:spacing w:after="200" w:line="276" w:lineRule="auto"/>
        <w:rPr>
          <w:rFonts w:ascii="Calibri" w:eastAsia="Calibri" w:hAnsi="Calibri" w:cs="Times New Roman"/>
        </w:rPr>
      </w:pPr>
    </w:p>
    <w:p w:rsidR="00F562D4" w:rsidRDefault="00F562D4"/>
    <w:sectPr w:rsidR="00F562D4" w:rsidSect="000335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2268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063" w:rsidRDefault="00087063" w:rsidP="00563A87">
      <w:pPr>
        <w:spacing w:after="0" w:line="240" w:lineRule="auto"/>
      </w:pPr>
      <w:r>
        <w:separator/>
      </w:r>
    </w:p>
  </w:endnote>
  <w:endnote w:type="continuationSeparator" w:id="0">
    <w:p w:rsidR="00087063" w:rsidRDefault="00087063" w:rsidP="0056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D34" w:rsidRDefault="000870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95" w:rsidRDefault="00FE1852" w:rsidP="005C4A95">
    <w:pPr>
      <w:pStyle w:val="Rodap"/>
      <w:jc w:val="center"/>
      <w:rPr>
        <w:rFonts w:ascii="Arial" w:hAnsi="Arial" w:cs="Arial"/>
      </w:rPr>
    </w:pPr>
    <w:r w:rsidRPr="005B31B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46D5E3" wp14:editId="51886A03">
              <wp:simplePos x="0" y="0"/>
              <wp:positionH relativeFrom="margin">
                <wp:posOffset>-3199</wp:posOffset>
              </wp:positionH>
              <wp:positionV relativeFrom="paragraph">
                <wp:posOffset>41326</wp:posOffset>
              </wp:positionV>
              <wp:extent cx="6122670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267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B94468"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5pt,3.25pt" to="481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" strokecolor="#c00000" strokeweight="1.5pt">
              <v:stroke joinstyle="miter"/>
              <w10:wrap anchorx="margin"/>
            </v:line>
          </w:pict>
        </mc:Fallback>
      </mc:AlternateContent>
    </w:r>
  </w:p>
  <w:p w:rsidR="005C4A95" w:rsidRPr="005B31B8" w:rsidRDefault="00FE1852" w:rsidP="00117EE7">
    <w:pPr>
      <w:pStyle w:val="Rodap"/>
      <w:ind w:left="14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</w:t>
    </w:r>
    <w:r w:rsidRPr="005B31B8">
      <w:rPr>
        <w:rFonts w:ascii="Arial" w:hAnsi="Arial" w:cs="Arial"/>
        <w:sz w:val="20"/>
        <w:szCs w:val="20"/>
      </w:rPr>
      <w:t>Rua Riachuelo, nº 115 – 4º andar – Salas 422 a 434 – Centro | São Paulo/SP – CEP 01007-904</w:t>
    </w:r>
  </w:p>
  <w:p w:rsidR="005C4A95" w:rsidRPr="005D2C35" w:rsidRDefault="00087063" w:rsidP="005C4A95">
    <w:pPr>
      <w:pStyle w:val="Rodap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D34" w:rsidRDefault="00087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063" w:rsidRDefault="00087063" w:rsidP="00563A87">
      <w:pPr>
        <w:spacing w:after="0" w:line="240" w:lineRule="auto"/>
      </w:pPr>
      <w:r>
        <w:separator/>
      </w:r>
    </w:p>
  </w:footnote>
  <w:footnote w:type="continuationSeparator" w:id="0">
    <w:p w:rsidR="00087063" w:rsidRDefault="00087063" w:rsidP="0056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D34" w:rsidRDefault="000870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26"/>
      <w:gridCol w:w="4677"/>
    </w:tblGrid>
    <w:tr w:rsidR="005D2C35" w:rsidTr="00A752BC">
      <w:tc>
        <w:tcPr>
          <w:tcW w:w="4536" w:type="dxa"/>
          <w:tcBorders>
            <w:right w:val="single" w:sz="12" w:space="0" w:color="C00000"/>
          </w:tcBorders>
          <w:vAlign w:val="center"/>
        </w:tcPr>
        <w:p w:rsidR="009F7412" w:rsidRDefault="00FE1852">
          <w:pPr>
            <w:pStyle w:val="Cabealho"/>
          </w:pPr>
          <w:r>
            <w:rPr>
              <w:noProof/>
            </w:rPr>
            <w:drawing>
              <wp:inline distT="0" distB="0" distL="0" distR="0" wp14:anchorId="1DA4F73B" wp14:editId="5CAD5F4F">
                <wp:extent cx="2514335" cy="297813"/>
                <wp:effectExtent l="0" t="0" r="635" b="7620"/>
                <wp:docPr id="4" name="Imagem 4" descr="Logo MP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Ativo 2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335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" w:type="dxa"/>
          <w:tcBorders>
            <w:left w:val="single" w:sz="12" w:space="0" w:color="C00000"/>
          </w:tcBorders>
        </w:tcPr>
        <w:p w:rsidR="009F7412" w:rsidRPr="009F7412" w:rsidRDefault="00087063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4677" w:type="dxa"/>
        </w:tcPr>
        <w:p w:rsidR="009F7412" w:rsidRPr="00A752BC" w:rsidRDefault="00FE1852" w:rsidP="00A752BC">
          <w:pPr>
            <w:pStyle w:val="Cabealho"/>
            <w:tabs>
              <w:tab w:val="clear" w:pos="4252"/>
              <w:tab w:val="clear" w:pos="8504"/>
            </w:tabs>
            <w:spacing w:line="276" w:lineRule="auto"/>
            <w:ind w:left="145" w:right="3"/>
            <w:jc w:val="both"/>
            <w:rPr>
              <w:rFonts w:ascii="Arial" w:hAnsi="Arial" w:cs="Arial"/>
              <w:sz w:val="18"/>
              <w:szCs w:val="18"/>
            </w:rPr>
          </w:pPr>
          <w:r w:rsidRPr="00A752BC">
            <w:rPr>
              <w:rFonts w:ascii="Arial" w:hAnsi="Arial" w:cs="Arial"/>
              <w:sz w:val="18"/>
              <w:szCs w:val="18"/>
            </w:rPr>
            <w:t>PROCURADORIA DE JUSTIÇA DE HABEAS CORPUS E MANDADOS DE SEGURANÇA CRIMINAIS</w:t>
          </w:r>
        </w:p>
      </w:tc>
    </w:tr>
  </w:tbl>
  <w:p w:rsidR="005D2C35" w:rsidRDefault="00FE1852" w:rsidP="005C4A95">
    <w:pPr>
      <w:pStyle w:val="Cabealho"/>
      <w:tabs>
        <w:tab w:val="clear" w:pos="8504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E417B" wp14:editId="4392AEC0">
              <wp:simplePos x="0" y="0"/>
              <wp:positionH relativeFrom="margin">
                <wp:posOffset>-3200</wp:posOffset>
              </wp:positionH>
              <wp:positionV relativeFrom="paragraph">
                <wp:posOffset>159512</wp:posOffset>
              </wp:positionV>
              <wp:extent cx="6122822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2822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7A40B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2.55pt" to="481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D34" w:rsidRDefault="000870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87"/>
    <w:rsid w:val="00031F87"/>
    <w:rsid w:val="00087063"/>
    <w:rsid w:val="001140AA"/>
    <w:rsid w:val="00153F0C"/>
    <w:rsid w:val="0018414A"/>
    <w:rsid w:val="001C64F6"/>
    <w:rsid w:val="00257C2F"/>
    <w:rsid w:val="00300CB8"/>
    <w:rsid w:val="00310F23"/>
    <w:rsid w:val="00392C48"/>
    <w:rsid w:val="003F7856"/>
    <w:rsid w:val="00406438"/>
    <w:rsid w:val="00406BD7"/>
    <w:rsid w:val="00412BE3"/>
    <w:rsid w:val="004A77FE"/>
    <w:rsid w:val="004F11C8"/>
    <w:rsid w:val="004F4162"/>
    <w:rsid w:val="00504C8E"/>
    <w:rsid w:val="00522EF6"/>
    <w:rsid w:val="00535F1B"/>
    <w:rsid w:val="0055689E"/>
    <w:rsid w:val="00563A87"/>
    <w:rsid w:val="00564731"/>
    <w:rsid w:val="005727E2"/>
    <w:rsid w:val="005D0435"/>
    <w:rsid w:val="00650F5E"/>
    <w:rsid w:val="006C2D24"/>
    <w:rsid w:val="006E220D"/>
    <w:rsid w:val="006F7900"/>
    <w:rsid w:val="0071702D"/>
    <w:rsid w:val="00722570"/>
    <w:rsid w:val="0073476D"/>
    <w:rsid w:val="007C5C10"/>
    <w:rsid w:val="007E4893"/>
    <w:rsid w:val="007F1070"/>
    <w:rsid w:val="00826A45"/>
    <w:rsid w:val="00835056"/>
    <w:rsid w:val="00850FDF"/>
    <w:rsid w:val="00861E4F"/>
    <w:rsid w:val="00887D78"/>
    <w:rsid w:val="008B6F70"/>
    <w:rsid w:val="009E1486"/>
    <w:rsid w:val="009E53E0"/>
    <w:rsid w:val="00A2603E"/>
    <w:rsid w:val="00A94BBB"/>
    <w:rsid w:val="00AE2172"/>
    <w:rsid w:val="00AF5670"/>
    <w:rsid w:val="00B70223"/>
    <w:rsid w:val="00C16349"/>
    <w:rsid w:val="00C3207C"/>
    <w:rsid w:val="00C74253"/>
    <w:rsid w:val="00CC7971"/>
    <w:rsid w:val="00CD3702"/>
    <w:rsid w:val="00D91E3D"/>
    <w:rsid w:val="00D9694C"/>
    <w:rsid w:val="00DF29F6"/>
    <w:rsid w:val="00E17CD0"/>
    <w:rsid w:val="00E33934"/>
    <w:rsid w:val="00E479FD"/>
    <w:rsid w:val="00EB73EE"/>
    <w:rsid w:val="00EC35CA"/>
    <w:rsid w:val="00ED6B94"/>
    <w:rsid w:val="00F13AFE"/>
    <w:rsid w:val="00F15C8C"/>
    <w:rsid w:val="00F53D7F"/>
    <w:rsid w:val="00F562D4"/>
    <w:rsid w:val="00FB3A5F"/>
    <w:rsid w:val="00FB4862"/>
    <w:rsid w:val="00FE1852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6FFC"/>
  <w15:chartTrackingRefBased/>
  <w15:docId w15:val="{F35F3EC9-D2E0-4E2D-9666-D0959562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3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A87"/>
  </w:style>
  <w:style w:type="paragraph" w:styleId="Rodap">
    <w:name w:val="footer"/>
    <w:basedOn w:val="Normal"/>
    <w:link w:val="RodapChar"/>
    <w:uiPriority w:val="99"/>
    <w:unhideWhenUsed/>
    <w:rsid w:val="00563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A87"/>
  </w:style>
  <w:style w:type="table" w:styleId="Tabelacomgrade">
    <w:name w:val="Table Grid"/>
    <w:basedOn w:val="Tabelanormal"/>
    <w:uiPriority w:val="39"/>
    <w:rsid w:val="0056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563A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63A87"/>
    <w:rPr>
      <w:sz w:val="20"/>
      <w:szCs w:val="20"/>
    </w:rPr>
  </w:style>
  <w:style w:type="character" w:styleId="Refdenotaderodap">
    <w:name w:val="footnote reference"/>
    <w:rsid w:val="00563A8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A8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C79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7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25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sp.jus.br/Download/Portal/CanaisComunicacao/Transparencia/ContasPublicas_OrcamentoAnual_Default/2020/ProjetoDeLei1112-2019.pdf" TargetMode="External"/><Relationship Id="rId13" Type="http://schemas.openxmlformats.org/officeDocument/2006/relationships/hyperlink" Target="http://www.tjsp.jus.br/Download/Transparencia/ResCNJ195/2020/LeiOrcamentaria17.244-2020.pdf?d=1595343419895" TargetMode="External"/><Relationship Id="rId18" Type="http://schemas.openxmlformats.org/officeDocument/2006/relationships/hyperlink" Target="http://www.tjsp.jus.br/Download/Portal/CanaisComunicacao/Transparencia/ContasPublicas_Execucao/ResCNJ792020REO.pdf?d=1595341412310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ww.conjur.com.br/2020-jul-15/tj-sp-19-bilhoes-2021-governo-propoe-92-bilhoes" TargetMode="External"/><Relationship Id="rId7" Type="http://schemas.openxmlformats.org/officeDocument/2006/relationships/hyperlink" Target="https://www.gazetadigital.com.br/editorias/opiniao/cobertor-curto/479563" TargetMode="External"/><Relationship Id="rId12" Type="http://schemas.openxmlformats.org/officeDocument/2006/relationships/hyperlink" Target="https://jus.com.br/artigos/23335/a-vital-apuracao-da-receita-corrente-liquida" TargetMode="External"/><Relationship Id="rId17" Type="http://schemas.openxmlformats.org/officeDocument/2006/relationships/hyperlink" Target="https://www.conjur.com.br/2020-jul-15/tj-sp-19-bilhoes-2021-governo-propoe-92-bilhoes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planalto.gov.br/ccivil_03/Leis/LCP/lcp101.htm" TargetMode="External"/><Relationship Id="rId20" Type="http://schemas.openxmlformats.org/officeDocument/2006/relationships/hyperlink" Target="https://jus.com.br/artigos/75230/tce-alerta-tribunal-de-justica-de-sao-paulo-sobre-atingimento-do-limite-prudencial-com-despesas-de-pessoal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conjur.com.br/2020-jul-16/autoridades-defendem-criacao-lei-especifica-habeas-corpus)" TargetMode="External"/><Relationship Id="rId11" Type="http://schemas.openxmlformats.org/officeDocument/2006/relationships/hyperlink" Target="https://bibliotecadigital.fgv.br/dspace/handle/10438/28808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al.sp.gov.br/leis/orcamento/" TargetMode="External"/><Relationship Id="rId23" Type="http://schemas.openxmlformats.org/officeDocument/2006/relationships/hyperlink" Target="https://www.conjur.com.br/2020-fev-26/stj-discute-limites-habeas-corpus-contemporaneo-apelacao" TargetMode="External"/><Relationship Id="rId28" Type="http://schemas.openxmlformats.org/officeDocument/2006/relationships/header" Target="header3.xml"/><Relationship Id="rId10" Type="http://schemas.openxmlformats.org/officeDocument/2006/relationships/hyperlink" Target="http://fucamp.edu.br/editora/index.php/getec/article/viewFile/165/193" TargetMode="External"/><Relationship Id="rId19" Type="http://schemas.openxmlformats.org/officeDocument/2006/relationships/hyperlink" Target="https://www.migalhas.com.br/quentes/283163/sp-sancionada-lei-que-altera-destinacao-da-taxa-judiciaria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cademia.edu/37402255/Os_Tipos_de_Gestores_P%C3%BAblicos_Brasileiros" TargetMode="External"/><Relationship Id="rId14" Type="http://schemas.openxmlformats.org/officeDocument/2006/relationships/hyperlink" Target="https://www.conjur.com.br/2020-jul-15/tj-sp-19-bilhoes-2021-governo-propoe-92-bilhoes" TargetMode="External"/><Relationship Id="rId22" Type="http://schemas.openxmlformats.org/officeDocument/2006/relationships/hyperlink" Target="https://www.portaljustica.com.br/acordao/2420691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2497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de Castro Abreu Filho</dc:creator>
  <cp:keywords/>
  <dc:description/>
  <cp:lastModifiedBy>Saulo de Castro Abreu Filho</cp:lastModifiedBy>
  <cp:revision>9</cp:revision>
  <dcterms:created xsi:type="dcterms:W3CDTF">2020-07-21T13:11:00Z</dcterms:created>
  <dcterms:modified xsi:type="dcterms:W3CDTF">2020-07-21T19:14:00Z</dcterms:modified>
</cp:coreProperties>
</file>