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8164688"/>
    <w:p w14:paraId="33B20371" w14:textId="77777777" w:rsidR="00B346EA" w:rsidRPr="007B7EAB" w:rsidRDefault="00B346EA" w:rsidP="00B346EA">
      <w:pPr>
        <w:jc w:val="center"/>
        <w:rPr>
          <w:rFonts w:asciiTheme="majorHAnsi" w:hAnsiTheme="majorHAnsi" w:cs="Univers"/>
          <w:b/>
          <w:bCs/>
          <w:sz w:val="22"/>
          <w:szCs w:val="22"/>
          <w:lang w:val="es-ES_tradnl"/>
        </w:rPr>
      </w:pPr>
      <w:r w:rsidRPr="007B7EAB">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09A6F35C" wp14:editId="64D2BFED">
                <wp:simplePos x="0" y="0"/>
                <wp:positionH relativeFrom="column">
                  <wp:posOffset>-423081</wp:posOffset>
                </wp:positionH>
                <wp:positionV relativeFrom="paragraph">
                  <wp:posOffset>-368490</wp:posOffset>
                </wp:positionV>
                <wp:extent cx="1409700" cy="8911989"/>
                <wp:effectExtent l="0" t="0" r="0" b="3810"/>
                <wp:wrapNone/>
                <wp:docPr id="1" name="Rectangle 1"/>
                <wp:cNvGraphicFramePr/>
                <a:graphic xmlns:a="http://schemas.openxmlformats.org/drawingml/2006/main">
                  <a:graphicData uri="http://schemas.microsoft.com/office/word/2010/wordprocessingShape">
                    <wps:wsp>
                      <wps:cNvSpPr/>
                      <wps:spPr>
                        <a:xfrm>
                          <a:off x="0" y="0"/>
                          <a:ext cx="1409700" cy="8911989"/>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2E7B" id="Rectangle 1" o:spid="_x0000_s1026" style="position:absolute;margin-left:-33.3pt;margin-top:-29pt;width:111pt;height:7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" fillcolor="#ffc000" stroked="f" strokeweight="1pt"/>
            </w:pict>
          </mc:Fallback>
        </mc:AlternateContent>
      </w:r>
      <w:r w:rsidRPr="007B7EAB">
        <w:rPr>
          <w:rFonts w:asciiTheme="majorHAnsi" w:hAnsiTheme="majorHAnsi"/>
          <w:noProof/>
          <w:sz w:val="22"/>
          <w:szCs w:val="22"/>
        </w:rPr>
        <mc:AlternateContent>
          <mc:Choice Requires="wps">
            <w:drawing>
              <wp:anchor distT="0" distB="0" distL="114300" distR="114300" simplePos="0" relativeHeight="251663360" behindDoc="0" locked="0" layoutInCell="1" allowOverlap="1" wp14:anchorId="0419C716" wp14:editId="6BF73E41">
                <wp:simplePos x="0" y="0"/>
                <wp:positionH relativeFrom="column">
                  <wp:posOffset>1143001</wp:posOffset>
                </wp:positionH>
                <wp:positionV relativeFrom="paragraph">
                  <wp:posOffset>-371475</wp:posOffset>
                </wp:positionV>
                <wp:extent cx="4552950" cy="914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5529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14BDA" w14:textId="77777777" w:rsidR="000516D5" w:rsidRDefault="000516D5" w:rsidP="00B346EA">
                            <w:r>
                              <w:rPr>
                                <w:noProof/>
                              </w:rPr>
                              <w:drawing>
                                <wp:inline distT="0" distB="0" distL="0" distR="0" wp14:anchorId="6A9B82D4" wp14:editId="6AF6FD58">
                                  <wp:extent cx="2523497" cy="485775"/>
                                  <wp:effectExtent l="0" t="0" r="0" b="0"/>
                                  <wp:docPr id="16" name="Picture 16" descr="C:\Users\mfontana\Documents\Eva Fontana\GRAFICA CIDH\cartas\logos\cidh-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fontana\Documents\Eva Fontana\GRAFICA CIDH\cartas\logos\cidh-p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777" cy="493914"/>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90pt;margin-top:-29.25pt;width:358.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" filled="f" stroked="f" strokeweight=".5pt">
                <v:textbox>
                  <w:txbxContent>
                    <w:p w:rsidR="000516D5" w:rsidRDefault="000516D5" w:rsidP="00B346EA">
                      <w:r>
                        <w:rPr>
                          <w:noProof/>
                        </w:rPr>
                        <w:drawing>
                          <wp:inline distT="0" distB="0" distL="0" distR="0" wp14:anchorId="1067560E" wp14:editId="675D0B89">
                            <wp:extent cx="2523497" cy="485775"/>
                            <wp:effectExtent l="0" t="0" r="0" b="0"/>
                            <wp:docPr id="16" name="Picture 16" descr="C:\Users\mfontana\Documents\Eva Fontana\GRAFICA CIDH\cartas\logos\cidh-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fontana\Documents\Eva Fontana\GRAFICA CIDH\cartas\logos\cidh-p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5777" cy="493914"/>
                                    </a:xfrm>
                                    <a:prstGeom prst="rect">
                                      <a:avLst/>
                                    </a:prstGeom>
                                    <a:noFill/>
                                    <a:ln>
                                      <a:noFill/>
                                    </a:ln>
                                  </pic:spPr>
                                </pic:pic>
                              </a:graphicData>
                            </a:graphic>
                          </wp:inline>
                        </w:drawing>
                      </w:r>
                      <w:r>
                        <w:t xml:space="preserve">                                                                                       </w:t>
                      </w:r>
                    </w:p>
                  </w:txbxContent>
                </v:textbox>
              </v:shape>
            </w:pict>
          </mc:Fallback>
        </mc:AlternateContent>
      </w:r>
      <w:r>
        <w:rPr>
          <w:rFonts w:asciiTheme="majorHAnsi" w:hAnsiTheme="majorHAnsi" w:cs="Univers"/>
          <w:b/>
          <w:bCs/>
          <w:sz w:val="22"/>
          <w:szCs w:val="22"/>
          <w:lang w:val="es-ES_tradnl"/>
        </w:rPr>
        <w:t>o</w:t>
      </w:r>
    </w:p>
    <w:p w14:paraId="4F3ADA1F" w14:textId="77777777" w:rsidR="00B346EA" w:rsidRPr="007B7EAB" w:rsidRDefault="00B346EA" w:rsidP="00B346EA">
      <w:pPr>
        <w:tabs>
          <w:tab w:val="center" w:pos="5400"/>
        </w:tabs>
        <w:suppressAutoHyphens/>
        <w:jc w:val="center"/>
        <w:rPr>
          <w:rFonts w:asciiTheme="majorHAnsi" w:hAnsiTheme="majorHAnsi"/>
          <w:sz w:val="22"/>
          <w:szCs w:val="22"/>
          <w:lang w:val="es-ES"/>
        </w:rPr>
      </w:pPr>
    </w:p>
    <w:p w14:paraId="1FCEA976" w14:textId="77777777" w:rsidR="00B346EA" w:rsidRPr="007B7EAB" w:rsidRDefault="00B346EA" w:rsidP="00B346EA">
      <w:pPr>
        <w:tabs>
          <w:tab w:val="center" w:pos="5400"/>
        </w:tabs>
        <w:suppressAutoHyphens/>
        <w:jc w:val="center"/>
        <w:rPr>
          <w:rFonts w:asciiTheme="majorHAnsi" w:hAnsiTheme="majorHAnsi"/>
          <w:sz w:val="22"/>
          <w:szCs w:val="22"/>
          <w:lang w:val="es-ES"/>
        </w:rPr>
      </w:pPr>
    </w:p>
    <w:p w14:paraId="5647D14F"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1C359B71"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4F990C6D"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3D7E8B4A"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3AB2599E"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6724E407"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0D4CD463"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577C8665"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5F3CC5E1"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398025E0"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0439D3C0"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397D2A44"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r w:rsidRPr="007B7EAB">
        <w:rPr>
          <w:rFonts w:asciiTheme="majorHAnsi" w:hAnsiTheme="majorHAnsi"/>
          <w:noProof/>
          <w:sz w:val="22"/>
          <w:szCs w:val="22"/>
        </w:rPr>
        <mc:AlternateContent>
          <mc:Choice Requires="wps">
            <w:drawing>
              <wp:anchor distT="0" distB="0" distL="114300" distR="114300" simplePos="0" relativeHeight="251660288" behindDoc="0" locked="0" layoutInCell="1" allowOverlap="1" wp14:anchorId="071C2459" wp14:editId="5DAB30FD">
                <wp:simplePos x="0" y="0"/>
                <wp:positionH relativeFrom="column">
                  <wp:posOffset>1228724</wp:posOffset>
                </wp:positionH>
                <wp:positionV relativeFrom="paragraph">
                  <wp:posOffset>79375</wp:posOffset>
                </wp:positionV>
                <wp:extent cx="5133975" cy="2350770"/>
                <wp:effectExtent l="0" t="0" r="0" b="0"/>
                <wp:wrapNone/>
                <wp:docPr id="5" name="Text Box 5"/>
                <wp:cNvGraphicFramePr/>
                <a:graphic xmlns:a="http://schemas.openxmlformats.org/drawingml/2006/main">
                  <a:graphicData uri="http://schemas.microsoft.com/office/word/2010/wordprocessingShape">
                    <wps:wsp>
                      <wps:cNvSpPr txBox="1"/>
                      <wps:spPr>
                        <a:xfrm>
                          <a:off x="0" y="0"/>
                          <a:ext cx="5133975" cy="2350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0DD72" w14:textId="77777777" w:rsidR="000516D5" w:rsidRPr="00334A28" w:rsidRDefault="000516D5" w:rsidP="00B346EA">
                            <w:pPr>
                              <w:spacing w:line="276" w:lineRule="auto"/>
                              <w:rPr>
                                <w:rFonts w:ascii="Cambria" w:hAnsi="Cambria" w:cs="Arial"/>
                                <w:b/>
                                <w:bCs/>
                                <w:color w:val="0D0D0D"/>
                                <w:sz w:val="36"/>
                                <w:szCs w:val="22"/>
                                <w:lang w:val="pt-BR"/>
                              </w:rPr>
                            </w:pPr>
                            <w:r>
                              <w:rPr>
                                <w:rFonts w:ascii="Cambria" w:hAnsi="Cambria" w:cs="Arial"/>
                                <w:b/>
                                <w:bCs/>
                                <w:color w:val="0D0D0D"/>
                                <w:sz w:val="36"/>
                                <w:szCs w:val="22"/>
                                <w:lang w:val="pt-BR"/>
                              </w:rPr>
                              <w:t>RELATÓRIO</w:t>
                            </w:r>
                            <w:r w:rsidRPr="00334A28">
                              <w:rPr>
                                <w:rFonts w:ascii="Cambria" w:hAnsi="Cambria" w:cs="Arial"/>
                                <w:b/>
                                <w:bCs/>
                                <w:color w:val="0D0D0D"/>
                                <w:sz w:val="36"/>
                                <w:szCs w:val="22"/>
                                <w:lang w:val="pt-BR"/>
                              </w:rPr>
                              <w:t xml:space="preserve"> N</w:t>
                            </w:r>
                            <w:r>
                              <w:rPr>
                                <w:rFonts w:ascii="Cambria" w:hAnsi="Cambria" w:cs="Arial"/>
                                <w:b/>
                                <w:bCs/>
                                <w:color w:val="0D0D0D"/>
                                <w:sz w:val="36"/>
                                <w:szCs w:val="22"/>
                                <w:lang w:val="pt-BR"/>
                              </w:rPr>
                              <w:t>º 10</w:t>
                            </w:r>
                            <w:r w:rsidRPr="00334A28">
                              <w:rPr>
                                <w:rFonts w:ascii="Cambria" w:hAnsi="Cambria" w:cs="Arial"/>
                                <w:b/>
                                <w:bCs/>
                                <w:color w:val="0D0D0D"/>
                                <w:sz w:val="36"/>
                                <w:szCs w:val="22"/>
                                <w:lang w:val="pt-BR"/>
                              </w:rPr>
                              <w:t>/</w:t>
                            </w:r>
                            <w:r>
                              <w:rPr>
                                <w:rFonts w:ascii="Cambria" w:hAnsi="Cambria" w:cs="Arial"/>
                                <w:b/>
                                <w:bCs/>
                                <w:color w:val="0D0D0D"/>
                                <w:sz w:val="36"/>
                                <w:szCs w:val="22"/>
                                <w:lang w:val="pt-BR"/>
                              </w:rPr>
                              <w:t>19</w:t>
                            </w:r>
                          </w:p>
                          <w:p w14:paraId="22EC3EA0" w14:textId="77777777" w:rsidR="000516D5" w:rsidRPr="00334A28" w:rsidRDefault="000516D5" w:rsidP="00B346EA">
                            <w:pPr>
                              <w:spacing w:line="276" w:lineRule="auto"/>
                              <w:rPr>
                                <w:rFonts w:ascii="Cambria" w:hAnsi="Cambria" w:cs="Arial"/>
                                <w:b/>
                                <w:bCs/>
                                <w:color w:val="0D0D0D"/>
                                <w:sz w:val="36"/>
                                <w:szCs w:val="22"/>
                                <w:lang w:val="pt-BR"/>
                              </w:rPr>
                            </w:pPr>
                            <w:r w:rsidRPr="00334A28">
                              <w:rPr>
                                <w:rFonts w:ascii="Cambria" w:hAnsi="Cambria" w:cs="Arial"/>
                                <w:b/>
                                <w:bCs/>
                                <w:color w:val="0D0D0D"/>
                                <w:sz w:val="36"/>
                                <w:szCs w:val="22"/>
                                <w:lang w:val="pt-BR"/>
                              </w:rPr>
                              <w:t>CASO 12.263</w:t>
                            </w:r>
                          </w:p>
                          <w:p w14:paraId="5C2B3C4B" w14:textId="77777777" w:rsidR="000516D5" w:rsidRPr="00334A28" w:rsidRDefault="000516D5" w:rsidP="00B346EA">
                            <w:pPr>
                              <w:spacing w:line="276" w:lineRule="auto"/>
                              <w:rPr>
                                <w:rFonts w:ascii="Cambria" w:hAnsi="Cambria" w:cs="Arial"/>
                                <w:color w:val="0D0D0D"/>
                                <w:szCs w:val="22"/>
                                <w:lang w:val="pt-BR"/>
                              </w:rPr>
                            </w:pPr>
                            <w:r>
                              <w:rPr>
                                <w:rFonts w:ascii="Cambria" w:hAnsi="Cambria" w:cs="Arial"/>
                                <w:color w:val="0D0D0D"/>
                                <w:szCs w:val="22"/>
                                <w:lang w:val="pt-BR"/>
                              </w:rPr>
                              <w:t xml:space="preserve">RELATÓRIO </w:t>
                            </w:r>
                            <w:r w:rsidRPr="00334A28">
                              <w:rPr>
                                <w:rFonts w:ascii="Cambria" w:hAnsi="Cambria" w:cs="Arial"/>
                                <w:color w:val="0D0D0D"/>
                                <w:szCs w:val="22"/>
                                <w:lang w:val="pt-BR"/>
                              </w:rPr>
                              <w:t xml:space="preserve">DE </w:t>
                            </w:r>
                            <w:r>
                              <w:rPr>
                                <w:rFonts w:ascii="Cambria" w:hAnsi="Cambria" w:cs="Arial"/>
                                <w:color w:val="0D0D0D"/>
                                <w:szCs w:val="22"/>
                                <w:lang w:val="pt-BR"/>
                              </w:rPr>
                              <w:t>MÉRITO</w:t>
                            </w:r>
                            <w:r w:rsidRPr="00334A28">
                              <w:rPr>
                                <w:rFonts w:ascii="Cambria" w:hAnsi="Cambria" w:cs="Arial"/>
                                <w:color w:val="0D0D0D"/>
                                <w:szCs w:val="22"/>
                                <w:lang w:val="pt-BR"/>
                              </w:rPr>
                              <w:t xml:space="preserve"> </w:t>
                            </w:r>
                          </w:p>
                          <w:p w14:paraId="01B4DD9F" w14:textId="77777777" w:rsidR="000516D5" w:rsidRPr="00334A28" w:rsidRDefault="000516D5" w:rsidP="00B346EA">
                            <w:pPr>
                              <w:spacing w:line="276" w:lineRule="auto"/>
                              <w:rPr>
                                <w:rFonts w:ascii="Cambria" w:hAnsi="Cambria" w:cs="Arial"/>
                                <w:color w:val="0D0D0D"/>
                                <w:szCs w:val="22"/>
                                <w:lang w:val="pt-BR"/>
                              </w:rPr>
                            </w:pPr>
                            <w:bookmarkStart w:id="1" w:name="_ftnref1"/>
                          </w:p>
                          <w:bookmarkEnd w:id="1"/>
                          <w:p w14:paraId="12A6BE1C" w14:textId="77777777" w:rsidR="000516D5" w:rsidRPr="00334A28" w:rsidRDefault="000516D5" w:rsidP="00B346EA">
                            <w:pPr>
                              <w:rPr>
                                <w:rFonts w:ascii="Cambria" w:hAnsi="Cambria" w:cs="Arial"/>
                                <w:color w:val="0D0D0D"/>
                                <w:szCs w:val="22"/>
                                <w:lang w:val="pt-BR"/>
                              </w:rPr>
                            </w:pPr>
                            <w:r w:rsidRPr="00334A28">
                              <w:rPr>
                                <w:rFonts w:ascii="Cambria" w:hAnsi="Cambria" w:cs="Arial"/>
                                <w:color w:val="0D0D0D"/>
                                <w:szCs w:val="22"/>
                                <w:lang w:val="pt-BR"/>
                              </w:rPr>
                              <w:t>M</w:t>
                            </w:r>
                            <w:r>
                              <w:rPr>
                                <w:rFonts w:ascii="Cambria" w:hAnsi="Cambria" w:cs="Arial"/>
                                <w:color w:val="0D0D0D"/>
                                <w:szCs w:val="22"/>
                                <w:lang w:val="pt-BR"/>
                              </w:rPr>
                              <w:t>Á</w:t>
                            </w:r>
                            <w:r w:rsidRPr="00334A28">
                              <w:rPr>
                                <w:rFonts w:ascii="Cambria" w:hAnsi="Cambria" w:cs="Arial"/>
                                <w:color w:val="0D0D0D"/>
                                <w:szCs w:val="22"/>
                                <w:lang w:val="pt-BR"/>
                              </w:rPr>
                              <w:t xml:space="preserve">RCIA BARBOSA DE SOUZA </w:t>
                            </w:r>
                            <w:r>
                              <w:rPr>
                                <w:rFonts w:ascii="Cambria" w:hAnsi="Cambria" w:cs="Arial"/>
                                <w:color w:val="0D0D0D"/>
                                <w:szCs w:val="22"/>
                                <w:lang w:val="pt-BR"/>
                              </w:rPr>
                              <w:t>E</w:t>
                            </w:r>
                            <w:r w:rsidRPr="00334A28">
                              <w:rPr>
                                <w:rFonts w:ascii="Cambria" w:hAnsi="Cambria" w:cs="Arial"/>
                                <w:color w:val="0D0D0D"/>
                                <w:szCs w:val="22"/>
                                <w:lang w:val="pt-BR"/>
                              </w:rPr>
                              <w:t xml:space="preserve"> FAMILIARES</w:t>
                            </w:r>
                          </w:p>
                          <w:p w14:paraId="21D7E522" w14:textId="77777777" w:rsidR="000516D5" w:rsidRPr="00334A28" w:rsidRDefault="000516D5" w:rsidP="00B346EA">
                            <w:pPr>
                              <w:rPr>
                                <w:rFonts w:ascii="Cambria" w:hAnsi="Cambria" w:cs="Arial"/>
                                <w:color w:val="0D0D0D"/>
                                <w:szCs w:val="22"/>
                                <w:lang w:val="pt-BR"/>
                              </w:rPr>
                            </w:pPr>
                            <w:r w:rsidRPr="00334A28">
                              <w:rPr>
                                <w:rFonts w:ascii="Cambria" w:hAnsi="Cambria" w:cs="Arial"/>
                                <w:color w:val="0D0D0D"/>
                                <w:szCs w:val="22"/>
                                <w:lang w:val="pt-BR"/>
                              </w:rPr>
                              <w:t>BRASIL</w:t>
                            </w:r>
                          </w:p>
                          <w:p w14:paraId="727E133A" w14:textId="77777777" w:rsidR="000516D5" w:rsidRPr="00412D8D" w:rsidRDefault="000516D5" w:rsidP="00B346EA">
                            <w:pPr>
                              <w:spacing w:line="276" w:lineRule="auto"/>
                              <w:rPr>
                                <w:rFonts w:asciiTheme="majorHAnsi" w:hAnsiTheme="majorHAnsi"/>
                                <w:color w:val="0D0D0D" w:themeColor="text1" w:themeTint="F2"/>
                                <w:sz w:val="18"/>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96.75pt;margin-top:6.25pt;width:404.25pt;height:1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" filled="f" stroked="f" strokeweight=".5pt">
                <v:textbox>
                  <w:txbxContent>
                    <w:p w:rsidR="000516D5" w:rsidRPr="00334A28" w:rsidRDefault="000516D5" w:rsidP="00B346EA">
                      <w:pPr>
                        <w:spacing w:line="276" w:lineRule="auto"/>
                        <w:rPr>
                          <w:rFonts w:ascii="Cambria" w:hAnsi="Cambria" w:cs="Arial"/>
                          <w:b/>
                          <w:bCs/>
                          <w:color w:val="0D0D0D"/>
                          <w:sz w:val="36"/>
                          <w:szCs w:val="22"/>
                          <w:lang w:val="pt-BR"/>
                        </w:rPr>
                      </w:pPr>
                      <w:r>
                        <w:rPr>
                          <w:rFonts w:ascii="Cambria" w:hAnsi="Cambria" w:cs="Arial"/>
                          <w:b/>
                          <w:bCs/>
                          <w:color w:val="0D0D0D"/>
                          <w:sz w:val="36"/>
                          <w:szCs w:val="22"/>
                          <w:lang w:val="pt-BR"/>
                        </w:rPr>
                        <w:t>RELATÓRIO</w:t>
                      </w:r>
                      <w:r w:rsidRPr="00334A28">
                        <w:rPr>
                          <w:rFonts w:ascii="Cambria" w:hAnsi="Cambria" w:cs="Arial"/>
                          <w:b/>
                          <w:bCs/>
                          <w:color w:val="0D0D0D"/>
                          <w:sz w:val="36"/>
                          <w:szCs w:val="22"/>
                          <w:lang w:val="pt-BR"/>
                        </w:rPr>
                        <w:t xml:space="preserve"> N</w:t>
                      </w:r>
                      <w:r>
                        <w:rPr>
                          <w:rFonts w:ascii="Cambria" w:hAnsi="Cambria" w:cs="Arial"/>
                          <w:b/>
                          <w:bCs/>
                          <w:color w:val="0D0D0D"/>
                          <w:sz w:val="36"/>
                          <w:szCs w:val="22"/>
                          <w:lang w:val="pt-BR"/>
                        </w:rPr>
                        <w:t>º 10</w:t>
                      </w:r>
                      <w:r w:rsidRPr="00334A28">
                        <w:rPr>
                          <w:rFonts w:ascii="Cambria" w:hAnsi="Cambria" w:cs="Arial"/>
                          <w:b/>
                          <w:bCs/>
                          <w:color w:val="0D0D0D"/>
                          <w:sz w:val="36"/>
                          <w:szCs w:val="22"/>
                          <w:lang w:val="pt-BR"/>
                        </w:rPr>
                        <w:t>/</w:t>
                      </w:r>
                      <w:r>
                        <w:rPr>
                          <w:rFonts w:ascii="Cambria" w:hAnsi="Cambria" w:cs="Arial"/>
                          <w:b/>
                          <w:bCs/>
                          <w:color w:val="0D0D0D"/>
                          <w:sz w:val="36"/>
                          <w:szCs w:val="22"/>
                          <w:lang w:val="pt-BR"/>
                        </w:rPr>
                        <w:t>19</w:t>
                      </w:r>
                    </w:p>
                    <w:p w:rsidR="000516D5" w:rsidRPr="00334A28" w:rsidRDefault="000516D5" w:rsidP="00B346EA">
                      <w:pPr>
                        <w:spacing w:line="276" w:lineRule="auto"/>
                        <w:rPr>
                          <w:rFonts w:ascii="Cambria" w:hAnsi="Cambria" w:cs="Arial"/>
                          <w:b/>
                          <w:bCs/>
                          <w:color w:val="0D0D0D"/>
                          <w:sz w:val="36"/>
                          <w:szCs w:val="22"/>
                          <w:lang w:val="pt-BR"/>
                        </w:rPr>
                      </w:pPr>
                      <w:r w:rsidRPr="00334A28">
                        <w:rPr>
                          <w:rFonts w:ascii="Cambria" w:hAnsi="Cambria" w:cs="Arial"/>
                          <w:b/>
                          <w:bCs/>
                          <w:color w:val="0D0D0D"/>
                          <w:sz w:val="36"/>
                          <w:szCs w:val="22"/>
                          <w:lang w:val="pt-BR"/>
                        </w:rPr>
                        <w:t>CASO 12.263</w:t>
                      </w:r>
                    </w:p>
                    <w:p w:rsidR="000516D5" w:rsidRPr="00334A28" w:rsidRDefault="000516D5" w:rsidP="00B346EA">
                      <w:pPr>
                        <w:spacing w:line="276" w:lineRule="auto"/>
                        <w:rPr>
                          <w:rFonts w:ascii="Cambria" w:hAnsi="Cambria" w:cs="Arial"/>
                          <w:color w:val="0D0D0D"/>
                          <w:szCs w:val="22"/>
                          <w:lang w:val="pt-BR"/>
                        </w:rPr>
                      </w:pPr>
                      <w:r>
                        <w:rPr>
                          <w:rFonts w:ascii="Cambria" w:hAnsi="Cambria" w:cs="Arial"/>
                          <w:color w:val="0D0D0D"/>
                          <w:szCs w:val="22"/>
                          <w:lang w:val="pt-BR"/>
                        </w:rPr>
                        <w:t xml:space="preserve">RELATÓRIO </w:t>
                      </w:r>
                      <w:r w:rsidRPr="00334A28">
                        <w:rPr>
                          <w:rFonts w:ascii="Cambria" w:hAnsi="Cambria" w:cs="Arial"/>
                          <w:color w:val="0D0D0D"/>
                          <w:szCs w:val="22"/>
                          <w:lang w:val="pt-BR"/>
                        </w:rPr>
                        <w:t xml:space="preserve">DE </w:t>
                      </w:r>
                      <w:r>
                        <w:rPr>
                          <w:rFonts w:ascii="Cambria" w:hAnsi="Cambria" w:cs="Arial"/>
                          <w:color w:val="0D0D0D"/>
                          <w:szCs w:val="22"/>
                          <w:lang w:val="pt-BR"/>
                        </w:rPr>
                        <w:t>MÉRITO</w:t>
                      </w:r>
                      <w:r w:rsidRPr="00334A28">
                        <w:rPr>
                          <w:rFonts w:ascii="Cambria" w:hAnsi="Cambria" w:cs="Arial"/>
                          <w:color w:val="0D0D0D"/>
                          <w:szCs w:val="22"/>
                          <w:lang w:val="pt-BR"/>
                        </w:rPr>
                        <w:t xml:space="preserve"> </w:t>
                      </w:r>
                    </w:p>
                    <w:p w:rsidR="000516D5" w:rsidRPr="00334A28" w:rsidRDefault="000516D5" w:rsidP="00B346EA">
                      <w:pPr>
                        <w:spacing w:line="276" w:lineRule="auto"/>
                        <w:rPr>
                          <w:rFonts w:ascii="Cambria" w:hAnsi="Cambria" w:cs="Arial"/>
                          <w:color w:val="0D0D0D"/>
                          <w:szCs w:val="22"/>
                          <w:lang w:val="pt-BR"/>
                        </w:rPr>
                      </w:pPr>
                      <w:bookmarkStart w:id="2" w:name="_ftnref1"/>
                    </w:p>
                    <w:bookmarkEnd w:id="2"/>
                    <w:p w:rsidR="000516D5" w:rsidRPr="00334A28" w:rsidRDefault="000516D5" w:rsidP="00B346EA">
                      <w:pPr>
                        <w:rPr>
                          <w:rFonts w:ascii="Cambria" w:hAnsi="Cambria" w:cs="Arial"/>
                          <w:color w:val="0D0D0D"/>
                          <w:szCs w:val="22"/>
                          <w:lang w:val="pt-BR"/>
                        </w:rPr>
                      </w:pPr>
                      <w:r w:rsidRPr="00334A28">
                        <w:rPr>
                          <w:rFonts w:ascii="Cambria" w:hAnsi="Cambria" w:cs="Arial"/>
                          <w:color w:val="0D0D0D"/>
                          <w:szCs w:val="22"/>
                          <w:lang w:val="pt-BR"/>
                        </w:rPr>
                        <w:t>M</w:t>
                      </w:r>
                      <w:r>
                        <w:rPr>
                          <w:rFonts w:ascii="Cambria" w:hAnsi="Cambria" w:cs="Arial"/>
                          <w:color w:val="0D0D0D"/>
                          <w:szCs w:val="22"/>
                          <w:lang w:val="pt-BR"/>
                        </w:rPr>
                        <w:t>Á</w:t>
                      </w:r>
                      <w:r w:rsidRPr="00334A28">
                        <w:rPr>
                          <w:rFonts w:ascii="Cambria" w:hAnsi="Cambria" w:cs="Arial"/>
                          <w:color w:val="0D0D0D"/>
                          <w:szCs w:val="22"/>
                          <w:lang w:val="pt-BR"/>
                        </w:rPr>
                        <w:t xml:space="preserve">RCIA BARBOSA DE SOUZA </w:t>
                      </w:r>
                      <w:r>
                        <w:rPr>
                          <w:rFonts w:ascii="Cambria" w:hAnsi="Cambria" w:cs="Arial"/>
                          <w:color w:val="0D0D0D"/>
                          <w:szCs w:val="22"/>
                          <w:lang w:val="pt-BR"/>
                        </w:rPr>
                        <w:t>E</w:t>
                      </w:r>
                      <w:r w:rsidRPr="00334A28">
                        <w:rPr>
                          <w:rFonts w:ascii="Cambria" w:hAnsi="Cambria" w:cs="Arial"/>
                          <w:color w:val="0D0D0D"/>
                          <w:szCs w:val="22"/>
                          <w:lang w:val="pt-BR"/>
                        </w:rPr>
                        <w:t xml:space="preserve"> FAMILIARES</w:t>
                      </w:r>
                    </w:p>
                    <w:p w:rsidR="000516D5" w:rsidRPr="00334A28" w:rsidRDefault="000516D5" w:rsidP="00B346EA">
                      <w:pPr>
                        <w:rPr>
                          <w:rFonts w:ascii="Cambria" w:hAnsi="Cambria" w:cs="Arial"/>
                          <w:color w:val="0D0D0D"/>
                          <w:szCs w:val="22"/>
                          <w:lang w:val="pt-BR"/>
                        </w:rPr>
                      </w:pPr>
                      <w:r w:rsidRPr="00334A28">
                        <w:rPr>
                          <w:rFonts w:ascii="Cambria" w:hAnsi="Cambria" w:cs="Arial"/>
                          <w:color w:val="0D0D0D"/>
                          <w:szCs w:val="22"/>
                          <w:lang w:val="pt-BR"/>
                        </w:rPr>
                        <w:t>BRASIL</w:t>
                      </w:r>
                    </w:p>
                    <w:p w:rsidR="000516D5" w:rsidRPr="00412D8D" w:rsidRDefault="000516D5" w:rsidP="00B346EA">
                      <w:pPr>
                        <w:spacing w:line="276" w:lineRule="auto"/>
                        <w:rPr>
                          <w:rFonts w:asciiTheme="majorHAnsi" w:hAnsiTheme="majorHAnsi"/>
                          <w:color w:val="0D0D0D" w:themeColor="text1" w:themeTint="F2"/>
                          <w:sz w:val="18"/>
                          <w:lang w:val="pt-BR"/>
                        </w:rPr>
                      </w:pPr>
                    </w:p>
                  </w:txbxContent>
                </v:textbox>
              </v:shape>
            </w:pict>
          </mc:Fallback>
        </mc:AlternateContent>
      </w:r>
      <w:r w:rsidRPr="007B7EAB">
        <w:rPr>
          <w:rFonts w:asciiTheme="majorHAnsi" w:hAnsiTheme="majorHAnsi"/>
          <w:noProof/>
          <w:sz w:val="22"/>
          <w:szCs w:val="22"/>
        </w:rPr>
        <mc:AlternateContent>
          <mc:Choice Requires="wps">
            <w:drawing>
              <wp:anchor distT="0" distB="0" distL="114300" distR="114300" simplePos="0" relativeHeight="251662336" behindDoc="0" locked="0" layoutInCell="1" allowOverlap="1" wp14:anchorId="0B833EC4" wp14:editId="450BAB69">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240B6" w14:textId="77777777" w:rsidR="000516D5" w:rsidRPr="00DA1159" w:rsidRDefault="000516D5" w:rsidP="00B346EA">
                            <w:pPr>
                              <w:jc w:val="right"/>
                              <w:rPr>
                                <w:rFonts w:asciiTheme="minorHAnsi" w:hAnsiTheme="minorHAnsi"/>
                                <w:sz w:val="22"/>
                                <w:lang w:val="pt-BR"/>
                              </w:rPr>
                            </w:pPr>
                            <w:r>
                              <w:rPr>
                                <w:rFonts w:asciiTheme="minorHAnsi" w:hAnsiTheme="minorHAnsi"/>
                                <w:sz w:val="22"/>
                                <w:lang w:val="pt-BR"/>
                              </w:rPr>
                              <w:t>OEA/Ser.L/V/II.171</w:t>
                            </w:r>
                          </w:p>
                          <w:p w14:paraId="2D09583D" w14:textId="77777777" w:rsidR="000516D5" w:rsidRPr="00DA1159" w:rsidRDefault="000516D5" w:rsidP="00B346EA">
                            <w:pPr>
                              <w:jc w:val="right"/>
                              <w:rPr>
                                <w:rFonts w:asciiTheme="minorHAnsi" w:hAnsiTheme="minorHAnsi"/>
                                <w:sz w:val="22"/>
                                <w:lang w:val="pt-BR"/>
                              </w:rPr>
                            </w:pPr>
                            <w:r>
                              <w:rPr>
                                <w:rFonts w:asciiTheme="minorHAnsi" w:hAnsiTheme="minorHAnsi"/>
                                <w:sz w:val="22"/>
                                <w:lang w:val="pt-BR"/>
                              </w:rPr>
                              <w:t>Doc. 13</w:t>
                            </w:r>
                          </w:p>
                          <w:p w14:paraId="5A8AF8FF" w14:textId="77777777" w:rsidR="000516D5" w:rsidRPr="00DA1159" w:rsidRDefault="000516D5" w:rsidP="00B346EA">
                            <w:pPr>
                              <w:jc w:val="right"/>
                              <w:rPr>
                                <w:rFonts w:asciiTheme="minorHAnsi" w:hAnsiTheme="minorHAnsi"/>
                                <w:sz w:val="22"/>
                                <w:lang w:val="pt-BR"/>
                              </w:rPr>
                            </w:pPr>
                            <w:r>
                              <w:rPr>
                                <w:rFonts w:asciiTheme="minorHAnsi" w:hAnsiTheme="minorHAnsi"/>
                                <w:sz w:val="22"/>
                                <w:lang w:val="pt-BR"/>
                              </w:rPr>
                              <w:t>12</w:t>
                            </w:r>
                            <w:r w:rsidRPr="00DA1159">
                              <w:rPr>
                                <w:rFonts w:asciiTheme="minorHAnsi" w:hAnsiTheme="minorHAnsi"/>
                                <w:sz w:val="22"/>
                                <w:lang w:val="pt-BR"/>
                              </w:rPr>
                              <w:t xml:space="preserve"> </w:t>
                            </w:r>
                            <w:r>
                              <w:rPr>
                                <w:rFonts w:asciiTheme="minorHAnsi" w:hAnsiTheme="minorHAnsi"/>
                                <w:sz w:val="22"/>
                                <w:lang w:val="pt-BR"/>
                              </w:rPr>
                              <w:t>fevereiro</w:t>
                            </w:r>
                            <w:r w:rsidRPr="00DA1159">
                              <w:rPr>
                                <w:rFonts w:asciiTheme="minorHAnsi" w:hAnsiTheme="minorHAnsi"/>
                                <w:sz w:val="22"/>
                                <w:lang w:val="pt-BR"/>
                              </w:rPr>
                              <w:t xml:space="preserve"> 201</w:t>
                            </w:r>
                            <w:r>
                              <w:rPr>
                                <w:rFonts w:asciiTheme="minorHAnsi" w:hAnsiTheme="minorHAnsi"/>
                                <w:sz w:val="22"/>
                                <w:lang w:val="pt-BR"/>
                              </w:rPr>
                              <w:t>9</w:t>
                            </w:r>
                          </w:p>
                          <w:p w14:paraId="207F2A80" w14:textId="77777777" w:rsidR="000516D5" w:rsidRPr="00DA1159" w:rsidRDefault="000516D5" w:rsidP="00B346EA">
                            <w:pPr>
                              <w:jc w:val="right"/>
                              <w:rPr>
                                <w:rFonts w:asciiTheme="minorHAnsi" w:hAnsiTheme="minorHAnsi"/>
                                <w:sz w:val="22"/>
                                <w:lang w:val="pt-BR"/>
                              </w:rPr>
                            </w:pPr>
                            <w:r w:rsidRPr="00DA1159">
                              <w:rPr>
                                <w:rFonts w:asciiTheme="minorHAnsi" w:hAnsiTheme="minorHAnsi"/>
                                <w:sz w:val="22"/>
                                <w:lang w:val="pt-BR"/>
                              </w:rPr>
                              <w:t xml:space="preserve">Original: </w:t>
                            </w:r>
                            <w:r>
                              <w:rPr>
                                <w:rFonts w:asciiTheme="minorHAnsi" w:hAnsiTheme="minorHAnsi"/>
                                <w:sz w:val="22"/>
                                <w:lang w:val="pt-BR"/>
                              </w:rPr>
                              <w:t>Português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29.25pt;margin-top:10pt;width:105.05pt;height:10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" filled="f" stroked="f" strokeweight=".5pt">
                <v:textbox>
                  <w:txbxContent>
                    <w:p w:rsidR="000516D5" w:rsidRPr="00DA1159" w:rsidRDefault="000516D5" w:rsidP="00B346EA">
                      <w:pPr>
                        <w:jc w:val="right"/>
                        <w:rPr>
                          <w:rFonts w:asciiTheme="minorHAnsi" w:hAnsiTheme="minorHAnsi"/>
                          <w:sz w:val="22"/>
                          <w:lang w:val="pt-BR"/>
                        </w:rPr>
                      </w:pPr>
                      <w:r>
                        <w:rPr>
                          <w:rFonts w:asciiTheme="minorHAnsi" w:hAnsiTheme="minorHAnsi"/>
                          <w:sz w:val="22"/>
                          <w:lang w:val="pt-BR"/>
                        </w:rPr>
                        <w:t>OEA/Ser.L/V/II.171</w:t>
                      </w:r>
                    </w:p>
                    <w:p w:rsidR="000516D5" w:rsidRPr="00DA1159" w:rsidRDefault="000516D5" w:rsidP="00B346EA">
                      <w:pPr>
                        <w:jc w:val="right"/>
                        <w:rPr>
                          <w:rFonts w:asciiTheme="minorHAnsi" w:hAnsiTheme="minorHAnsi"/>
                          <w:sz w:val="22"/>
                          <w:lang w:val="pt-BR"/>
                        </w:rPr>
                      </w:pPr>
                      <w:r>
                        <w:rPr>
                          <w:rFonts w:asciiTheme="minorHAnsi" w:hAnsiTheme="minorHAnsi"/>
                          <w:sz w:val="22"/>
                          <w:lang w:val="pt-BR"/>
                        </w:rPr>
                        <w:t>Doc. 13</w:t>
                      </w:r>
                    </w:p>
                    <w:p w:rsidR="000516D5" w:rsidRPr="00DA1159" w:rsidRDefault="000516D5" w:rsidP="00B346EA">
                      <w:pPr>
                        <w:jc w:val="right"/>
                        <w:rPr>
                          <w:rFonts w:asciiTheme="minorHAnsi" w:hAnsiTheme="minorHAnsi"/>
                          <w:sz w:val="22"/>
                          <w:lang w:val="pt-BR"/>
                        </w:rPr>
                      </w:pPr>
                      <w:r>
                        <w:rPr>
                          <w:rFonts w:asciiTheme="minorHAnsi" w:hAnsiTheme="minorHAnsi"/>
                          <w:sz w:val="22"/>
                          <w:lang w:val="pt-BR"/>
                        </w:rPr>
                        <w:t>12</w:t>
                      </w:r>
                      <w:r w:rsidRPr="00DA1159">
                        <w:rPr>
                          <w:rFonts w:asciiTheme="minorHAnsi" w:hAnsiTheme="minorHAnsi"/>
                          <w:sz w:val="22"/>
                          <w:lang w:val="pt-BR"/>
                        </w:rPr>
                        <w:t xml:space="preserve"> </w:t>
                      </w:r>
                      <w:r>
                        <w:rPr>
                          <w:rFonts w:asciiTheme="minorHAnsi" w:hAnsiTheme="minorHAnsi"/>
                          <w:sz w:val="22"/>
                          <w:lang w:val="pt-BR"/>
                        </w:rPr>
                        <w:t>fevereiro</w:t>
                      </w:r>
                      <w:r w:rsidRPr="00DA1159">
                        <w:rPr>
                          <w:rFonts w:asciiTheme="minorHAnsi" w:hAnsiTheme="minorHAnsi"/>
                          <w:sz w:val="22"/>
                          <w:lang w:val="pt-BR"/>
                        </w:rPr>
                        <w:t xml:space="preserve"> 201</w:t>
                      </w:r>
                      <w:r>
                        <w:rPr>
                          <w:rFonts w:asciiTheme="minorHAnsi" w:hAnsiTheme="minorHAnsi"/>
                          <w:sz w:val="22"/>
                          <w:lang w:val="pt-BR"/>
                        </w:rPr>
                        <w:t>9</w:t>
                      </w:r>
                    </w:p>
                    <w:p w:rsidR="000516D5" w:rsidRPr="00DA1159" w:rsidRDefault="000516D5" w:rsidP="00B346EA">
                      <w:pPr>
                        <w:jc w:val="right"/>
                        <w:rPr>
                          <w:rFonts w:asciiTheme="minorHAnsi" w:hAnsiTheme="minorHAnsi"/>
                          <w:sz w:val="22"/>
                          <w:lang w:val="pt-BR"/>
                        </w:rPr>
                      </w:pPr>
                      <w:r w:rsidRPr="00DA1159">
                        <w:rPr>
                          <w:rFonts w:asciiTheme="minorHAnsi" w:hAnsiTheme="minorHAnsi"/>
                          <w:sz w:val="22"/>
                          <w:lang w:val="pt-BR"/>
                        </w:rPr>
                        <w:t xml:space="preserve">Original: </w:t>
                      </w:r>
                      <w:r>
                        <w:rPr>
                          <w:rFonts w:asciiTheme="minorHAnsi" w:hAnsiTheme="minorHAnsi"/>
                          <w:sz w:val="22"/>
                          <w:lang w:val="pt-BR"/>
                        </w:rPr>
                        <w:t>Português</w:t>
                      </w:r>
                    </w:p>
                  </w:txbxContent>
                </v:textbox>
              </v:shape>
            </w:pict>
          </mc:Fallback>
        </mc:AlternateContent>
      </w:r>
    </w:p>
    <w:p w14:paraId="11CB516A"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3FFF19C3" w14:textId="77777777" w:rsidR="00B346EA" w:rsidRPr="007B7EAB" w:rsidRDefault="00B346EA" w:rsidP="00B346EA">
      <w:pPr>
        <w:tabs>
          <w:tab w:val="center" w:pos="5400"/>
        </w:tabs>
        <w:suppressAutoHyphens/>
        <w:jc w:val="center"/>
        <w:rPr>
          <w:rFonts w:asciiTheme="majorHAnsi" w:hAnsiTheme="majorHAnsi" w:cs="Arial"/>
          <w:sz w:val="22"/>
          <w:szCs w:val="22"/>
          <w:lang w:val="es-ES_tradnl"/>
        </w:rPr>
      </w:pPr>
    </w:p>
    <w:p w14:paraId="388C27E8"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73E3AF7E"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00D0682B"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5638E29B"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5F5A3BDC"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23B74D47"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4A1C54EA"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3BF270B8"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5EDB2945"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18CB2186"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43D1C2E8" w14:textId="77777777" w:rsidR="00B346EA" w:rsidRPr="007B7EAB" w:rsidRDefault="00B346EA" w:rsidP="00B346EA">
      <w:pPr>
        <w:tabs>
          <w:tab w:val="center" w:pos="5400"/>
        </w:tabs>
        <w:suppressAutoHyphens/>
        <w:jc w:val="center"/>
        <w:rPr>
          <w:rFonts w:asciiTheme="majorHAnsi" w:hAnsiTheme="majorHAnsi"/>
          <w:sz w:val="22"/>
          <w:szCs w:val="22"/>
          <w:lang w:val="es-ES_tradnl"/>
        </w:rPr>
      </w:pPr>
    </w:p>
    <w:p w14:paraId="612F2515"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68AE788F"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0853EF4D"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17101F49"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608D03D7"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1CD94485"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56266DFE"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1B5694A6"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639162F1"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5B8DB20F"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r w:rsidRPr="007B7EAB">
        <w:rPr>
          <w:rFonts w:asciiTheme="majorHAnsi" w:hAnsiTheme="majorHAnsi"/>
          <w:noProof/>
          <w:sz w:val="22"/>
          <w:szCs w:val="22"/>
        </w:rPr>
        <mc:AlternateContent>
          <mc:Choice Requires="wps">
            <w:drawing>
              <wp:anchor distT="0" distB="0" distL="114300" distR="114300" simplePos="0" relativeHeight="251661312" behindDoc="0" locked="0" layoutInCell="1" allowOverlap="1" wp14:anchorId="6BBBBC8D" wp14:editId="1C3D4C29">
                <wp:simplePos x="0" y="0"/>
                <wp:positionH relativeFrom="column">
                  <wp:posOffset>1209675</wp:posOffset>
                </wp:positionH>
                <wp:positionV relativeFrom="paragraph">
                  <wp:posOffset>128905</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091B5" w14:textId="77777777" w:rsidR="000516D5" w:rsidRPr="00623ED1" w:rsidRDefault="000516D5" w:rsidP="00B346EA">
                            <w:pPr>
                              <w:tabs>
                                <w:tab w:val="center" w:pos="5400"/>
                              </w:tabs>
                              <w:suppressAutoHyphens/>
                              <w:spacing w:before="60"/>
                              <w:rPr>
                                <w:rFonts w:ascii="Cambria" w:hAnsi="Cambria"/>
                                <w:color w:val="0D0D0D"/>
                                <w:sz w:val="18"/>
                                <w:szCs w:val="20"/>
                                <w:lang w:val="pt-BR"/>
                              </w:rPr>
                            </w:pPr>
                            <w:r w:rsidRPr="00623ED1">
                              <w:rPr>
                                <w:rFonts w:ascii="Cambria" w:hAnsi="Cambria"/>
                                <w:color w:val="0D0D0D"/>
                                <w:sz w:val="18"/>
                                <w:szCs w:val="20"/>
                                <w:lang w:val="pt-BR"/>
                              </w:rPr>
                              <w:t xml:space="preserve">Aprovado pela Comissão em sua </w:t>
                            </w:r>
                            <w:r>
                              <w:rPr>
                                <w:rFonts w:ascii="Cambria" w:hAnsi="Cambria"/>
                                <w:color w:val="0D0D0D"/>
                                <w:sz w:val="18"/>
                                <w:szCs w:val="20"/>
                                <w:lang w:val="pt-BR"/>
                              </w:rPr>
                              <w:t>Sessão No. 2147 celebrada em 12 de fevereiro de 2019</w:t>
                            </w:r>
                            <w:r>
                              <w:rPr>
                                <w:rFonts w:ascii="Cambria" w:hAnsi="Cambria"/>
                                <w:color w:val="0D0D0D"/>
                                <w:sz w:val="18"/>
                                <w:szCs w:val="20"/>
                                <w:lang w:val="pt-BR"/>
                              </w:rPr>
                              <w:br/>
                              <w:t>171</w:t>
                            </w:r>
                            <w:r w:rsidRPr="00623ED1">
                              <w:rPr>
                                <w:rFonts w:ascii="Cambria" w:hAnsi="Cambria"/>
                                <w:color w:val="0D0D0D"/>
                                <w:sz w:val="18"/>
                                <w:szCs w:val="20"/>
                                <w:lang w:val="pt-BR"/>
                              </w:rPr>
                              <w:t xml:space="preserve"> </w:t>
                            </w:r>
                            <w:r>
                              <w:rPr>
                                <w:rFonts w:ascii="Cambria" w:hAnsi="Cambria"/>
                                <w:color w:val="0D0D0D"/>
                                <w:sz w:val="18"/>
                                <w:szCs w:val="20"/>
                                <w:lang w:val="pt-BR"/>
                              </w:rPr>
                              <w:t>P</w:t>
                            </w:r>
                            <w:r w:rsidRPr="00623ED1">
                              <w:rPr>
                                <w:rFonts w:ascii="Cambria" w:hAnsi="Cambria"/>
                                <w:color w:val="0D0D0D"/>
                                <w:sz w:val="18"/>
                                <w:szCs w:val="20"/>
                                <w:lang w:val="pt-BR"/>
                              </w:rPr>
                              <w:t xml:space="preserve">eríodo </w:t>
                            </w:r>
                            <w:r>
                              <w:rPr>
                                <w:rFonts w:ascii="Cambria" w:hAnsi="Cambria"/>
                                <w:color w:val="0D0D0D"/>
                                <w:sz w:val="18"/>
                                <w:szCs w:val="20"/>
                                <w:lang w:val="pt-BR"/>
                              </w:rPr>
                              <w:t>Ex</w:t>
                            </w:r>
                            <w:r w:rsidRPr="00623ED1">
                              <w:rPr>
                                <w:rFonts w:ascii="Cambria" w:hAnsi="Cambria"/>
                                <w:color w:val="0D0D0D"/>
                                <w:sz w:val="18"/>
                                <w:szCs w:val="20"/>
                                <w:lang w:val="pt-BR"/>
                              </w:rPr>
                              <w:t>traordin</w:t>
                            </w:r>
                            <w:r>
                              <w:rPr>
                                <w:rFonts w:ascii="Cambria" w:hAnsi="Cambria"/>
                                <w:color w:val="0D0D0D"/>
                                <w:sz w:val="18"/>
                                <w:szCs w:val="20"/>
                                <w:lang w:val="pt-BR"/>
                              </w:rPr>
                              <w:t>ário d</w:t>
                            </w:r>
                            <w:r w:rsidRPr="00623ED1">
                              <w:rPr>
                                <w:rFonts w:ascii="Cambria" w:hAnsi="Cambria"/>
                                <w:color w:val="0D0D0D"/>
                                <w:sz w:val="18"/>
                                <w:szCs w:val="20"/>
                                <w:lang w:val="pt-BR"/>
                              </w:rPr>
                              <w:t>e</w:t>
                            </w:r>
                            <w:r>
                              <w:rPr>
                                <w:rFonts w:ascii="Cambria" w:hAnsi="Cambria"/>
                                <w:color w:val="0D0D0D"/>
                                <w:sz w:val="18"/>
                                <w:szCs w:val="20"/>
                                <w:lang w:val="pt-BR"/>
                              </w:rPr>
                              <w:t xml:space="preserve"> Se</w:t>
                            </w:r>
                            <w:r w:rsidRPr="00623ED1">
                              <w:rPr>
                                <w:rFonts w:ascii="Cambria" w:hAnsi="Cambria"/>
                                <w:color w:val="0D0D0D"/>
                                <w:sz w:val="18"/>
                                <w:szCs w:val="20"/>
                                <w:lang w:val="pt-BR"/>
                              </w:rPr>
                              <w:t>ss</w:t>
                            </w:r>
                            <w:r>
                              <w:rPr>
                                <w:rFonts w:ascii="Cambria" w:hAnsi="Cambria"/>
                                <w:color w:val="0D0D0D"/>
                                <w:sz w:val="18"/>
                                <w:szCs w:val="20"/>
                                <w:lang w:val="pt-BR"/>
                              </w:rPr>
                              <w:t>ões</w:t>
                            </w:r>
                          </w:p>
                          <w:p w14:paraId="3DE2CB75" w14:textId="77777777" w:rsidR="000516D5" w:rsidRPr="00623ED1" w:rsidRDefault="000516D5" w:rsidP="00B346EA">
                            <w:pPr>
                              <w:tabs>
                                <w:tab w:val="center" w:pos="5400"/>
                              </w:tabs>
                              <w:suppressAutoHyphens/>
                              <w:spacing w:before="60"/>
                              <w:rPr>
                                <w:rFonts w:asciiTheme="majorHAnsi" w:hAnsiTheme="majorHAnsi"/>
                                <w:color w:val="0D0D0D" w:themeColor="text1" w:themeTint="F2"/>
                                <w:sz w:val="18"/>
                                <w:szCs w:val="20"/>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95.25pt;margin-top:10.15pt;width:361.8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" filled="f" stroked="f" strokeweight=".5pt">
                <v:textbox>
                  <w:txbxContent>
                    <w:p w:rsidR="000516D5" w:rsidRPr="00623ED1" w:rsidRDefault="000516D5" w:rsidP="00B346EA">
                      <w:pPr>
                        <w:tabs>
                          <w:tab w:val="center" w:pos="5400"/>
                        </w:tabs>
                        <w:suppressAutoHyphens/>
                        <w:spacing w:before="60"/>
                        <w:rPr>
                          <w:rFonts w:ascii="Cambria" w:hAnsi="Cambria"/>
                          <w:color w:val="0D0D0D"/>
                          <w:sz w:val="18"/>
                          <w:szCs w:val="20"/>
                          <w:lang w:val="pt-BR"/>
                        </w:rPr>
                      </w:pPr>
                      <w:r w:rsidRPr="00623ED1">
                        <w:rPr>
                          <w:rFonts w:ascii="Cambria" w:hAnsi="Cambria"/>
                          <w:color w:val="0D0D0D"/>
                          <w:sz w:val="18"/>
                          <w:szCs w:val="20"/>
                          <w:lang w:val="pt-BR"/>
                        </w:rPr>
                        <w:t xml:space="preserve">Aprovado pela Comissão em sua </w:t>
                      </w:r>
                      <w:r>
                        <w:rPr>
                          <w:rFonts w:ascii="Cambria" w:hAnsi="Cambria"/>
                          <w:color w:val="0D0D0D"/>
                          <w:sz w:val="18"/>
                          <w:szCs w:val="20"/>
                          <w:lang w:val="pt-BR"/>
                        </w:rPr>
                        <w:t>Sessão No. 2147 celebrada em 12 de fevereiro de 2019</w:t>
                      </w:r>
                      <w:r>
                        <w:rPr>
                          <w:rFonts w:ascii="Cambria" w:hAnsi="Cambria"/>
                          <w:color w:val="0D0D0D"/>
                          <w:sz w:val="18"/>
                          <w:szCs w:val="20"/>
                          <w:lang w:val="pt-BR"/>
                        </w:rPr>
                        <w:br/>
                        <w:t>171</w:t>
                      </w:r>
                      <w:r w:rsidRPr="00623ED1">
                        <w:rPr>
                          <w:rFonts w:ascii="Cambria" w:hAnsi="Cambria"/>
                          <w:color w:val="0D0D0D"/>
                          <w:sz w:val="18"/>
                          <w:szCs w:val="20"/>
                          <w:lang w:val="pt-BR"/>
                        </w:rPr>
                        <w:t xml:space="preserve"> </w:t>
                      </w:r>
                      <w:r>
                        <w:rPr>
                          <w:rFonts w:ascii="Cambria" w:hAnsi="Cambria"/>
                          <w:color w:val="0D0D0D"/>
                          <w:sz w:val="18"/>
                          <w:szCs w:val="20"/>
                          <w:lang w:val="pt-BR"/>
                        </w:rPr>
                        <w:t>P</w:t>
                      </w:r>
                      <w:r w:rsidRPr="00623ED1">
                        <w:rPr>
                          <w:rFonts w:ascii="Cambria" w:hAnsi="Cambria"/>
                          <w:color w:val="0D0D0D"/>
                          <w:sz w:val="18"/>
                          <w:szCs w:val="20"/>
                          <w:lang w:val="pt-BR"/>
                        </w:rPr>
                        <w:t xml:space="preserve">eríodo </w:t>
                      </w:r>
                      <w:r>
                        <w:rPr>
                          <w:rFonts w:ascii="Cambria" w:hAnsi="Cambria"/>
                          <w:color w:val="0D0D0D"/>
                          <w:sz w:val="18"/>
                          <w:szCs w:val="20"/>
                          <w:lang w:val="pt-BR"/>
                        </w:rPr>
                        <w:t>Ex</w:t>
                      </w:r>
                      <w:r w:rsidRPr="00623ED1">
                        <w:rPr>
                          <w:rFonts w:ascii="Cambria" w:hAnsi="Cambria"/>
                          <w:color w:val="0D0D0D"/>
                          <w:sz w:val="18"/>
                          <w:szCs w:val="20"/>
                          <w:lang w:val="pt-BR"/>
                        </w:rPr>
                        <w:t>traordin</w:t>
                      </w:r>
                      <w:r>
                        <w:rPr>
                          <w:rFonts w:ascii="Cambria" w:hAnsi="Cambria"/>
                          <w:color w:val="0D0D0D"/>
                          <w:sz w:val="18"/>
                          <w:szCs w:val="20"/>
                          <w:lang w:val="pt-BR"/>
                        </w:rPr>
                        <w:t>ário d</w:t>
                      </w:r>
                      <w:r w:rsidRPr="00623ED1">
                        <w:rPr>
                          <w:rFonts w:ascii="Cambria" w:hAnsi="Cambria"/>
                          <w:color w:val="0D0D0D"/>
                          <w:sz w:val="18"/>
                          <w:szCs w:val="20"/>
                          <w:lang w:val="pt-BR"/>
                        </w:rPr>
                        <w:t>e</w:t>
                      </w:r>
                      <w:r>
                        <w:rPr>
                          <w:rFonts w:ascii="Cambria" w:hAnsi="Cambria"/>
                          <w:color w:val="0D0D0D"/>
                          <w:sz w:val="18"/>
                          <w:szCs w:val="20"/>
                          <w:lang w:val="pt-BR"/>
                        </w:rPr>
                        <w:t xml:space="preserve"> Se</w:t>
                      </w:r>
                      <w:r w:rsidRPr="00623ED1">
                        <w:rPr>
                          <w:rFonts w:ascii="Cambria" w:hAnsi="Cambria"/>
                          <w:color w:val="0D0D0D"/>
                          <w:sz w:val="18"/>
                          <w:szCs w:val="20"/>
                          <w:lang w:val="pt-BR"/>
                        </w:rPr>
                        <w:t>ss</w:t>
                      </w:r>
                      <w:r>
                        <w:rPr>
                          <w:rFonts w:ascii="Cambria" w:hAnsi="Cambria"/>
                          <w:color w:val="0D0D0D"/>
                          <w:sz w:val="18"/>
                          <w:szCs w:val="20"/>
                          <w:lang w:val="pt-BR"/>
                        </w:rPr>
                        <w:t>ões</w:t>
                      </w:r>
                    </w:p>
                    <w:p w:rsidR="000516D5" w:rsidRPr="00623ED1" w:rsidRDefault="000516D5" w:rsidP="00B346EA">
                      <w:pPr>
                        <w:tabs>
                          <w:tab w:val="center" w:pos="5400"/>
                        </w:tabs>
                        <w:suppressAutoHyphens/>
                        <w:spacing w:before="60"/>
                        <w:rPr>
                          <w:rFonts w:asciiTheme="majorHAnsi" w:hAnsiTheme="majorHAnsi"/>
                          <w:color w:val="0D0D0D" w:themeColor="text1" w:themeTint="F2"/>
                          <w:sz w:val="18"/>
                          <w:szCs w:val="20"/>
                          <w:lang w:val="pt-BR"/>
                        </w:rPr>
                      </w:pPr>
                    </w:p>
                  </w:txbxContent>
                </v:textbox>
              </v:shape>
            </w:pict>
          </mc:Fallback>
        </mc:AlternateContent>
      </w:r>
    </w:p>
    <w:p w14:paraId="65F4C29D"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79DAE0B7"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5CEBCAF5"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5CD60A38"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1A52F1CB"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7B12BE5A"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r w:rsidRPr="007B7EAB">
        <w:rPr>
          <w:rFonts w:asciiTheme="majorHAnsi" w:hAnsiTheme="majorHAnsi"/>
          <w:noProof/>
          <w:sz w:val="18"/>
          <w:szCs w:val="22"/>
        </w:rPr>
        <mc:AlternateContent>
          <mc:Choice Requires="wps">
            <w:drawing>
              <wp:anchor distT="0" distB="0" distL="114300" distR="114300" simplePos="0" relativeHeight="251665408" behindDoc="0" locked="0" layoutInCell="1" allowOverlap="1" wp14:anchorId="769F79C3" wp14:editId="5F0F28DF">
                <wp:simplePos x="0" y="0"/>
                <wp:positionH relativeFrom="column">
                  <wp:posOffset>1209675</wp:posOffset>
                </wp:positionH>
                <wp:positionV relativeFrom="paragraph">
                  <wp:posOffset>53975</wp:posOffset>
                </wp:positionV>
                <wp:extent cx="4824095" cy="609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82409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5F44B" w14:textId="77777777" w:rsidR="000516D5" w:rsidRPr="00A47B86" w:rsidRDefault="000516D5" w:rsidP="00B346EA">
                            <w:pPr>
                              <w:spacing w:line="276" w:lineRule="auto"/>
                              <w:rPr>
                                <w:rFonts w:ascii="Cambria" w:hAnsi="Cambria"/>
                                <w:color w:val="595959"/>
                                <w:sz w:val="18"/>
                                <w:szCs w:val="18"/>
                                <w:lang w:val="es-ES"/>
                              </w:rPr>
                            </w:pPr>
                            <w:r w:rsidRPr="00A47B86">
                              <w:rPr>
                                <w:rFonts w:ascii="Cambria" w:hAnsi="Cambria"/>
                                <w:b/>
                                <w:color w:val="595959"/>
                                <w:sz w:val="18"/>
                                <w:szCs w:val="18"/>
                                <w:lang w:val="pt-BR"/>
                              </w:rPr>
                              <w:t>Citar como:</w:t>
                            </w:r>
                            <w:r w:rsidRPr="00A47B86">
                              <w:rPr>
                                <w:rFonts w:ascii="Cambria" w:hAnsi="Cambria"/>
                                <w:color w:val="595959"/>
                                <w:sz w:val="18"/>
                                <w:szCs w:val="18"/>
                                <w:lang w:val="pt-BR"/>
                              </w:rPr>
                              <w:t xml:space="preserve"> CIDH, Relatório Nº 10/19, Caso 12.263. Mérito. Márcia Barbosa de Souza e familiares. Brasil. 12 de fevereiro de 2019</w:t>
                            </w:r>
                            <w:r w:rsidRPr="00A47B86">
                              <w:rPr>
                                <w:rFonts w:ascii="Cambria" w:hAnsi="Cambria"/>
                                <w:color w:val="595959"/>
                                <w:sz w:val="18"/>
                                <w:szCs w:val="18"/>
                                <w:lang w:val="es-US"/>
                              </w:rPr>
                              <w:t>.</w:t>
                            </w:r>
                          </w:p>
                          <w:p w14:paraId="51F9CA38" w14:textId="77777777" w:rsidR="000516D5" w:rsidRPr="00801F3C" w:rsidRDefault="000516D5" w:rsidP="00B346EA">
                            <w:pPr>
                              <w:spacing w:line="276" w:lineRule="auto"/>
                              <w:rPr>
                                <w:rFonts w:asciiTheme="majorHAnsi" w:hAnsiTheme="majorHAnsi"/>
                                <w:color w:val="595959" w:themeColor="text1" w:themeTint="A6"/>
                                <w:sz w:val="18"/>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95.25pt;margin-top:4.25pt;width:379.8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" filled="f" stroked="f" strokeweight=".5pt">
                <v:textbox>
                  <w:txbxContent>
                    <w:p w:rsidR="000516D5" w:rsidRPr="00A47B86" w:rsidRDefault="000516D5" w:rsidP="00B346EA">
                      <w:pPr>
                        <w:spacing w:line="276" w:lineRule="auto"/>
                        <w:rPr>
                          <w:rFonts w:ascii="Cambria" w:hAnsi="Cambria"/>
                          <w:color w:val="595959"/>
                          <w:sz w:val="18"/>
                          <w:szCs w:val="18"/>
                          <w:lang w:val="es-ES"/>
                        </w:rPr>
                      </w:pPr>
                      <w:r w:rsidRPr="00A47B86">
                        <w:rPr>
                          <w:rFonts w:ascii="Cambria" w:hAnsi="Cambria"/>
                          <w:b/>
                          <w:color w:val="595959"/>
                          <w:sz w:val="18"/>
                          <w:szCs w:val="18"/>
                          <w:lang w:val="pt-BR"/>
                        </w:rPr>
                        <w:t>Citar como:</w:t>
                      </w:r>
                      <w:r w:rsidRPr="00A47B86">
                        <w:rPr>
                          <w:rFonts w:ascii="Cambria" w:hAnsi="Cambria"/>
                          <w:color w:val="595959"/>
                          <w:sz w:val="18"/>
                          <w:szCs w:val="18"/>
                          <w:lang w:val="pt-BR"/>
                        </w:rPr>
                        <w:t xml:space="preserve"> CIDH, Relatório Nº 10/19, Caso 12.263. Mérito. Márcia Barbosa de Souza e familiares. Brasil. 12 de fevereiro de 2019</w:t>
                      </w:r>
                      <w:r w:rsidRPr="00A47B86">
                        <w:rPr>
                          <w:rFonts w:ascii="Cambria" w:hAnsi="Cambria"/>
                          <w:color w:val="595959"/>
                          <w:sz w:val="18"/>
                          <w:szCs w:val="18"/>
                          <w:lang w:val="es-US"/>
                        </w:rPr>
                        <w:t>.</w:t>
                      </w:r>
                    </w:p>
                    <w:p w:rsidR="000516D5" w:rsidRPr="00801F3C" w:rsidRDefault="000516D5" w:rsidP="00B346EA">
                      <w:pPr>
                        <w:spacing w:line="276" w:lineRule="auto"/>
                        <w:rPr>
                          <w:rFonts w:asciiTheme="majorHAnsi" w:hAnsiTheme="majorHAnsi"/>
                          <w:color w:val="595959" w:themeColor="text1" w:themeTint="A6"/>
                          <w:sz w:val="18"/>
                          <w:lang w:val="pt-BR"/>
                        </w:rPr>
                      </w:pPr>
                    </w:p>
                  </w:txbxContent>
                </v:textbox>
              </v:shape>
            </w:pict>
          </mc:Fallback>
        </mc:AlternateContent>
      </w:r>
    </w:p>
    <w:p w14:paraId="191D7916"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1ABAF42C"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1135F1C9"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5D896F87"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7C888121" w14:textId="77777777" w:rsidR="00B346EA" w:rsidRPr="007B7EAB" w:rsidRDefault="00B346EA" w:rsidP="00B346EA">
      <w:pPr>
        <w:tabs>
          <w:tab w:val="center" w:pos="5400"/>
        </w:tabs>
        <w:suppressAutoHyphens/>
        <w:jc w:val="center"/>
        <w:rPr>
          <w:rFonts w:asciiTheme="majorHAnsi" w:hAnsiTheme="majorHAnsi"/>
          <w:sz w:val="18"/>
          <w:szCs w:val="22"/>
          <w:lang w:val="es-ES_tradnl"/>
        </w:rPr>
      </w:pPr>
    </w:p>
    <w:p w14:paraId="1BCECF31" w14:textId="77777777" w:rsidR="00B346EA" w:rsidRDefault="00B346EA" w:rsidP="00B346EA">
      <w:pPr>
        <w:tabs>
          <w:tab w:val="center" w:pos="5400"/>
        </w:tabs>
        <w:suppressAutoHyphens/>
        <w:jc w:val="center"/>
        <w:rPr>
          <w:rFonts w:asciiTheme="majorHAnsi" w:hAnsiTheme="majorHAnsi"/>
          <w:b/>
          <w:sz w:val="18"/>
          <w:szCs w:val="22"/>
          <w:lang w:val="pt-BR"/>
        </w:rPr>
      </w:pPr>
      <w:r>
        <w:rPr>
          <w:noProof/>
        </w:rPr>
        <w:drawing>
          <wp:inline distT="0" distB="0" distL="0" distR="0" wp14:anchorId="639FD6BD" wp14:editId="05FE07CD">
            <wp:extent cx="1228725" cy="356948"/>
            <wp:effectExtent l="0" t="0" r="0" b="5080"/>
            <wp:docPr id="4" name="Picture 4" descr="C:\Users\mfontana\Documents\Eva Fontana\GRAFICA CIDH\cartas\logos\oea-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fontana\Documents\Eva Fontana\GRAFICA CIDH\cartas\logos\oea-p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1959" cy="360793"/>
                    </a:xfrm>
                    <a:prstGeom prst="rect">
                      <a:avLst/>
                    </a:prstGeom>
                    <a:noFill/>
                    <a:ln>
                      <a:noFill/>
                    </a:ln>
                  </pic:spPr>
                </pic:pic>
              </a:graphicData>
            </a:graphic>
          </wp:inline>
        </w:drawing>
      </w:r>
    </w:p>
    <w:p w14:paraId="67EF5C8C" w14:textId="77777777" w:rsidR="00B346EA" w:rsidRDefault="00B346EA" w:rsidP="00B346EA">
      <w:pPr>
        <w:tabs>
          <w:tab w:val="center" w:pos="5400"/>
        </w:tabs>
        <w:suppressAutoHyphens/>
        <w:jc w:val="center"/>
        <w:rPr>
          <w:rFonts w:asciiTheme="majorHAnsi" w:hAnsiTheme="majorHAnsi"/>
          <w:b/>
          <w:sz w:val="18"/>
          <w:szCs w:val="22"/>
          <w:lang w:val="pt-BR"/>
        </w:rPr>
      </w:pPr>
      <w:r w:rsidRPr="007B7EAB">
        <w:rPr>
          <w:rFonts w:asciiTheme="majorHAnsi" w:hAnsiTheme="majorHAnsi"/>
          <w:noProof/>
          <w:sz w:val="22"/>
          <w:szCs w:val="22"/>
        </w:rPr>
        <mc:AlternateContent>
          <mc:Choice Requires="wps">
            <w:drawing>
              <wp:anchor distT="0" distB="0" distL="114300" distR="114300" simplePos="0" relativeHeight="251664384" behindDoc="0" locked="0" layoutInCell="1" allowOverlap="1" wp14:anchorId="7D7DEF9A" wp14:editId="635DE69F">
                <wp:simplePos x="0" y="0"/>
                <wp:positionH relativeFrom="column">
                  <wp:posOffset>-285750</wp:posOffset>
                </wp:positionH>
                <wp:positionV relativeFrom="paragraph">
                  <wp:posOffset>67310</wp:posOffset>
                </wp:positionV>
                <wp:extent cx="1181100" cy="3327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41CEF" w14:textId="77777777" w:rsidR="000516D5" w:rsidRPr="00881636" w:rsidRDefault="000516D5" w:rsidP="00B346EA">
                            <w:pPr>
                              <w:rPr>
                                <w:rFonts w:asciiTheme="minorHAnsi" w:hAnsiTheme="minorHAnsi"/>
                                <w:b/>
                              </w:rPr>
                            </w:pPr>
                            <w:r w:rsidRPr="00881636">
                              <w:rPr>
                                <w:rFonts w:asciiTheme="minorHAnsi" w:hAnsiTheme="minorHAnsi"/>
                                <w:b/>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22.5pt;margin-top:5.3pt;width:93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" filled="f" stroked="f" strokeweight=".5pt">
                <v:textbox>
                  <w:txbxContent>
                    <w:p w:rsidR="000516D5" w:rsidRPr="00881636" w:rsidRDefault="000516D5" w:rsidP="00B346EA">
                      <w:pPr>
                        <w:rPr>
                          <w:rFonts w:asciiTheme="minorHAnsi" w:hAnsiTheme="minorHAnsi"/>
                          <w:b/>
                        </w:rPr>
                      </w:pPr>
                      <w:r w:rsidRPr="00881636">
                        <w:rPr>
                          <w:rFonts w:asciiTheme="minorHAnsi" w:hAnsiTheme="minorHAnsi"/>
                          <w:b/>
                          <w:lang w:val="pt-BR"/>
                        </w:rPr>
                        <w:t>www.cidh.org</w:t>
                      </w:r>
                    </w:p>
                  </w:txbxContent>
                </v:textbox>
              </v:shape>
            </w:pict>
          </mc:Fallback>
        </mc:AlternateContent>
      </w:r>
      <w:r w:rsidRPr="007B7EAB">
        <w:rPr>
          <w:rFonts w:asciiTheme="majorHAnsi" w:hAnsiTheme="majorHAnsi"/>
          <w:noProof/>
          <w:sz w:val="22"/>
          <w:szCs w:val="22"/>
        </w:rPr>
        <mc:AlternateContent>
          <mc:Choice Requires="wps">
            <w:drawing>
              <wp:anchor distT="0" distB="0" distL="114300" distR="114300" simplePos="0" relativeHeight="251666432" behindDoc="0" locked="0" layoutInCell="1" allowOverlap="1" wp14:anchorId="24654F62" wp14:editId="5DA33279">
                <wp:simplePos x="0" y="0"/>
                <wp:positionH relativeFrom="column">
                  <wp:posOffset>1236980</wp:posOffset>
                </wp:positionH>
                <wp:positionV relativeFrom="paragraph">
                  <wp:posOffset>193353</wp:posOffset>
                </wp:positionV>
                <wp:extent cx="2381250" cy="47561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2381250" cy="475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22666" w14:textId="77777777" w:rsidR="000516D5" w:rsidRDefault="000516D5" w:rsidP="00B34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2" type="#_x0000_t202" style="position:absolute;left:0;text-align:left;margin-left:97.4pt;margin-top:15.2pt;width:187.5pt;height:37.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" fillcolor="white [3201]" stroked="f" strokeweight=".5pt">
                <v:textbox>
                  <w:txbxContent>
                    <w:p w:rsidR="000516D5" w:rsidRDefault="000516D5" w:rsidP="00B346EA"/>
                  </w:txbxContent>
                </v:textbox>
              </v:shape>
            </w:pict>
          </mc:Fallback>
        </mc:AlternateContent>
      </w:r>
    </w:p>
    <w:p w14:paraId="64BE4737" w14:textId="77777777" w:rsidR="0070697F" w:rsidRPr="00337743" w:rsidRDefault="0070697F" w:rsidP="005516A1">
      <w:pPr>
        <w:tabs>
          <w:tab w:val="center" w:pos="5400"/>
        </w:tabs>
        <w:suppressAutoHyphens/>
        <w:jc w:val="center"/>
        <w:rPr>
          <w:rFonts w:ascii="Cambria" w:hAnsi="Cambria"/>
          <w:b/>
          <w:sz w:val="20"/>
          <w:szCs w:val="20"/>
          <w:lang w:val="pt-BR"/>
        </w:rPr>
        <w:sectPr w:rsidR="0070697F" w:rsidRPr="00337743"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p>
    <w:p w14:paraId="72BEF972" w14:textId="77777777" w:rsidR="006038B3" w:rsidRPr="000516D5" w:rsidRDefault="006038B3" w:rsidP="00472955">
      <w:pPr>
        <w:tabs>
          <w:tab w:val="center" w:pos="5400"/>
        </w:tabs>
        <w:suppressAutoHyphens/>
        <w:spacing w:line="276" w:lineRule="auto"/>
        <w:jc w:val="center"/>
        <w:rPr>
          <w:rFonts w:ascii="Cambria" w:hAnsi="Cambria"/>
          <w:b/>
          <w:sz w:val="20"/>
          <w:szCs w:val="20"/>
          <w:lang w:val="pt-BR"/>
        </w:rPr>
      </w:pPr>
    </w:p>
    <w:p w14:paraId="23747CE8" w14:textId="0701883A" w:rsidR="000516D5" w:rsidRPr="000516D5" w:rsidRDefault="006125C3" w:rsidP="000516D5">
      <w:pPr>
        <w:pStyle w:val="TOC1"/>
        <w:spacing w:after="100"/>
        <w:rPr>
          <w:rFonts w:ascii="Cambria" w:eastAsiaTheme="minorEastAsia" w:hAnsi="Cambria" w:cstheme="minorBidi"/>
          <w:noProof/>
          <w:sz w:val="20"/>
          <w:szCs w:val="20"/>
          <w:bdr w:val="none" w:sz="0" w:space="0" w:color="auto"/>
        </w:rPr>
      </w:pPr>
      <w:r w:rsidRPr="000516D5">
        <w:rPr>
          <w:rFonts w:ascii="Cambria" w:hAnsi="Cambria"/>
          <w:b/>
          <w:sz w:val="20"/>
          <w:szCs w:val="20"/>
          <w:lang w:val="pt-BR"/>
        </w:rPr>
        <w:fldChar w:fldCharType="begin"/>
      </w:r>
      <w:r w:rsidRPr="000516D5">
        <w:rPr>
          <w:rFonts w:ascii="Cambria" w:hAnsi="Cambria"/>
          <w:b/>
          <w:sz w:val="20"/>
          <w:szCs w:val="20"/>
          <w:lang w:val="pt-BR"/>
        </w:rPr>
        <w:instrText xml:space="preserve"> TOC \o "1-7" \h \z \u </w:instrText>
      </w:r>
      <w:r w:rsidRPr="000516D5">
        <w:rPr>
          <w:rFonts w:ascii="Cambria" w:hAnsi="Cambria"/>
          <w:b/>
          <w:sz w:val="20"/>
          <w:szCs w:val="20"/>
          <w:lang w:val="pt-BR"/>
        </w:rPr>
        <w:fldChar w:fldCharType="separate"/>
      </w:r>
      <w:hyperlink w:anchor="_Toc5890563" w:history="1">
        <w:r w:rsidR="000516D5" w:rsidRPr="000516D5">
          <w:rPr>
            <w:rStyle w:val="Hyperlink"/>
            <w:rFonts w:ascii="Cambria" w:hAnsi="Cambria"/>
            <w:b/>
            <w:noProof/>
            <w:sz w:val="20"/>
            <w:szCs w:val="20"/>
            <w:lang w:val="pt-BR"/>
          </w:rPr>
          <w:t>I.</w:t>
        </w:r>
        <w:r w:rsidR="000516D5" w:rsidRPr="000516D5">
          <w:rPr>
            <w:rFonts w:ascii="Cambria" w:eastAsiaTheme="minorEastAsia" w:hAnsi="Cambria" w:cstheme="minorBidi"/>
            <w:b/>
            <w:noProof/>
            <w:sz w:val="20"/>
            <w:szCs w:val="20"/>
            <w:bdr w:val="none" w:sz="0" w:space="0" w:color="auto"/>
          </w:rPr>
          <w:tab/>
        </w:r>
        <w:r w:rsidR="000516D5" w:rsidRPr="000516D5">
          <w:rPr>
            <w:rStyle w:val="Hyperlink"/>
            <w:rFonts w:ascii="Cambria" w:hAnsi="Cambria"/>
            <w:b/>
            <w:noProof/>
            <w:sz w:val="20"/>
            <w:szCs w:val="20"/>
            <w:lang w:val="pt-BR"/>
          </w:rPr>
          <w:t>INTRODUÇÃO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_Toc5890563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2</w:t>
        </w:r>
        <w:r w:rsidR="000516D5" w:rsidRPr="000516D5">
          <w:rPr>
            <w:rFonts w:ascii="Cambria" w:hAnsi="Cambria"/>
            <w:noProof/>
            <w:webHidden/>
            <w:sz w:val="20"/>
            <w:szCs w:val="20"/>
          </w:rPr>
          <w:fldChar w:fldCharType="end"/>
        </w:r>
      </w:hyperlink>
    </w:p>
    <w:p w14:paraId="46E898BD" w14:textId="06167203" w:rsidR="000516D5" w:rsidRPr="000516D5" w:rsidRDefault="006668A4" w:rsidP="000516D5">
      <w:pPr>
        <w:pStyle w:val="TOC1"/>
        <w:spacing w:after="100"/>
        <w:rPr>
          <w:rFonts w:ascii="Cambria" w:eastAsiaTheme="minorEastAsia" w:hAnsi="Cambria" w:cstheme="minorBidi"/>
          <w:noProof/>
          <w:sz w:val="20"/>
          <w:szCs w:val="20"/>
          <w:bdr w:val="none" w:sz="0" w:space="0" w:color="auto"/>
        </w:rPr>
      </w:pPr>
      <w:hyperlink w:anchor="_Toc5890564" w:history="1">
        <w:r w:rsidR="000516D5" w:rsidRPr="000516D5">
          <w:rPr>
            <w:rStyle w:val="Hyperlink"/>
            <w:rFonts w:ascii="Cambria" w:hAnsi="Cambria"/>
            <w:b/>
            <w:noProof/>
            <w:sz w:val="20"/>
            <w:szCs w:val="20"/>
            <w:lang w:val="pt-BR"/>
          </w:rPr>
          <w:t>II.</w:t>
        </w:r>
        <w:r w:rsidR="000516D5" w:rsidRPr="000516D5">
          <w:rPr>
            <w:rFonts w:ascii="Cambria" w:eastAsiaTheme="minorEastAsia" w:hAnsi="Cambria" w:cstheme="minorBidi"/>
            <w:b/>
            <w:noProof/>
            <w:sz w:val="20"/>
            <w:szCs w:val="20"/>
            <w:bdr w:val="none" w:sz="0" w:space="0" w:color="auto"/>
          </w:rPr>
          <w:tab/>
        </w:r>
        <w:r w:rsidR="000516D5" w:rsidRPr="000516D5">
          <w:rPr>
            <w:rStyle w:val="Hyperlink"/>
            <w:rFonts w:ascii="Cambria" w:hAnsi="Cambria"/>
            <w:b/>
            <w:noProof/>
            <w:sz w:val="20"/>
            <w:szCs w:val="20"/>
            <w:lang w:val="pt-BR"/>
          </w:rPr>
          <w:t>ALEGAÇÕES DAS PARTES</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_Toc5890564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2</w:t>
        </w:r>
        <w:r w:rsidR="000516D5" w:rsidRPr="000516D5">
          <w:rPr>
            <w:rFonts w:ascii="Cambria" w:hAnsi="Cambria"/>
            <w:noProof/>
            <w:webHidden/>
            <w:sz w:val="20"/>
            <w:szCs w:val="20"/>
          </w:rPr>
          <w:fldChar w:fldCharType="end"/>
        </w:r>
      </w:hyperlink>
    </w:p>
    <w:p w14:paraId="643856EF" w14:textId="4B25D309"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65" w:history="1">
        <w:r w:rsidR="000516D5" w:rsidRPr="000516D5">
          <w:rPr>
            <w:rStyle w:val="Hyperlink"/>
            <w:rFonts w:ascii="Cambria" w:hAnsi="Cambria"/>
            <w:noProof/>
            <w:sz w:val="20"/>
            <w:szCs w:val="20"/>
            <w:lang w:val="pt-BR"/>
          </w:rPr>
          <w:t>A.</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Parte peticionária</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_Toc5890565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2</w:t>
        </w:r>
        <w:r w:rsidR="000516D5" w:rsidRPr="000516D5">
          <w:rPr>
            <w:rFonts w:ascii="Cambria" w:hAnsi="Cambria"/>
            <w:noProof/>
            <w:webHidden/>
            <w:sz w:val="20"/>
            <w:szCs w:val="20"/>
          </w:rPr>
          <w:fldChar w:fldCharType="end"/>
        </w:r>
      </w:hyperlink>
    </w:p>
    <w:p w14:paraId="606C0B94" w14:textId="66BAE508"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66" w:history="1">
        <w:r w:rsidR="000516D5" w:rsidRPr="000516D5">
          <w:rPr>
            <w:rStyle w:val="Hyperlink"/>
            <w:rFonts w:ascii="Cambria" w:hAnsi="Cambria"/>
            <w:noProof/>
            <w:sz w:val="20"/>
            <w:szCs w:val="20"/>
            <w:lang w:val="pt-BR"/>
          </w:rPr>
          <w:t>B.</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Estado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_Toc5890566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3</w:t>
        </w:r>
        <w:r w:rsidR="000516D5" w:rsidRPr="000516D5">
          <w:rPr>
            <w:rFonts w:ascii="Cambria" w:hAnsi="Cambria"/>
            <w:noProof/>
            <w:webHidden/>
            <w:sz w:val="20"/>
            <w:szCs w:val="20"/>
          </w:rPr>
          <w:fldChar w:fldCharType="end"/>
        </w:r>
      </w:hyperlink>
    </w:p>
    <w:p w14:paraId="2C05172A" w14:textId="03FD1883" w:rsidR="000516D5" w:rsidRPr="000516D5" w:rsidRDefault="006668A4" w:rsidP="000516D5">
      <w:pPr>
        <w:pStyle w:val="TOC1"/>
        <w:spacing w:after="100"/>
        <w:rPr>
          <w:rFonts w:ascii="Cambria" w:eastAsiaTheme="minorEastAsia" w:hAnsi="Cambria" w:cstheme="minorBidi"/>
          <w:noProof/>
          <w:sz w:val="20"/>
          <w:szCs w:val="20"/>
          <w:bdr w:val="none" w:sz="0" w:space="0" w:color="auto"/>
        </w:rPr>
      </w:pPr>
      <w:hyperlink w:anchor="_Toc5890567" w:history="1">
        <w:r w:rsidR="000516D5" w:rsidRPr="000516D5">
          <w:rPr>
            <w:rStyle w:val="Hyperlink"/>
            <w:rFonts w:ascii="Cambria" w:hAnsi="Cambria"/>
            <w:b/>
            <w:noProof/>
            <w:sz w:val="20"/>
            <w:szCs w:val="20"/>
            <w:lang w:val="pt-BR"/>
          </w:rPr>
          <w:t>III.</w:t>
        </w:r>
        <w:r w:rsidR="000516D5" w:rsidRPr="000516D5">
          <w:rPr>
            <w:rFonts w:ascii="Cambria" w:eastAsiaTheme="minorEastAsia" w:hAnsi="Cambria" w:cstheme="minorBidi"/>
            <w:b/>
            <w:noProof/>
            <w:sz w:val="20"/>
            <w:szCs w:val="20"/>
            <w:bdr w:val="none" w:sz="0" w:space="0" w:color="auto"/>
          </w:rPr>
          <w:tab/>
        </w:r>
        <w:r w:rsidR="000516D5" w:rsidRPr="000516D5">
          <w:rPr>
            <w:rStyle w:val="Hyperlink"/>
            <w:rFonts w:ascii="Cambria" w:hAnsi="Cambria"/>
            <w:b/>
            <w:noProof/>
            <w:sz w:val="20"/>
            <w:szCs w:val="20"/>
            <w:lang w:val="pt-BR"/>
          </w:rPr>
          <w:t>DETERMINAÇÕES DE FATO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_Toc5890567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4</w:t>
        </w:r>
        <w:r w:rsidR="000516D5" w:rsidRPr="000516D5">
          <w:rPr>
            <w:rFonts w:ascii="Cambria" w:hAnsi="Cambria"/>
            <w:noProof/>
            <w:webHidden/>
            <w:sz w:val="20"/>
            <w:szCs w:val="20"/>
          </w:rPr>
          <w:fldChar w:fldCharType="end"/>
        </w:r>
      </w:hyperlink>
    </w:p>
    <w:p w14:paraId="5A567D66" w14:textId="25216AC4"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68" w:history="1">
        <w:r w:rsidR="000516D5" w:rsidRPr="000516D5">
          <w:rPr>
            <w:rStyle w:val="Hyperlink"/>
            <w:rFonts w:ascii="Cambria" w:hAnsi="Cambria"/>
            <w:noProof/>
            <w:sz w:val="20"/>
            <w:szCs w:val="20"/>
            <w:lang w:val="pt-BR"/>
          </w:rPr>
          <w:t>A.</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Contexto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_Toc5890568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4</w:t>
        </w:r>
        <w:r w:rsidR="000516D5" w:rsidRPr="000516D5">
          <w:rPr>
            <w:rFonts w:ascii="Cambria" w:hAnsi="Cambria"/>
            <w:noProof/>
            <w:webHidden/>
            <w:sz w:val="20"/>
            <w:szCs w:val="20"/>
          </w:rPr>
          <w:fldChar w:fldCharType="end"/>
        </w:r>
      </w:hyperlink>
    </w:p>
    <w:p w14:paraId="43159569" w14:textId="23A785B5"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69" w:history="1">
        <w:r w:rsidR="000516D5" w:rsidRPr="000516D5">
          <w:rPr>
            <w:rStyle w:val="Hyperlink"/>
            <w:rFonts w:ascii="Cambria" w:hAnsi="Cambria"/>
            <w:noProof/>
            <w:sz w:val="20"/>
            <w:szCs w:val="20"/>
            <w:lang w:val="pt-BR"/>
          </w:rPr>
          <w:t>B.</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Informação disponível sobre Márcia e seus familiares</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_Toc5890569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5</w:t>
        </w:r>
        <w:r w:rsidR="000516D5" w:rsidRPr="000516D5">
          <w:rPr>
            <w:rFonts w:ascii="Cambria" w:hAnsi="Cambria"/>
            <w:noProof/>
            <w:webHidden/>
            <w:sz w:val="20"/>
            <w:szCs w:val="20"/>
          </w:rPr>
          <w:fldChar w:fldCharType="end"/>
        </w:r>
      </w:hyperlink>
    </w:p>
    <w:p w14:paraId="2E11B171" w14:textId="4D044A27"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70" w:history="1">
        <w:r w:rsidR="000516D5" w:rsidRPr="000516D5">
          <w:rPr>
            <w:rStyle w:val="Hyperlink"/>
            <w:rFonts w:ascii="Cambria" w:hAnsi="Cambria"/>
            <w:noProof/>
            <w:sz w:val="20"/>
            <w:szCs w:val="20"/>
            <w:lang w:val="pt-BR"/>
          </w:rPr>
          <w:t>C.</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Fatos do caso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_Toc5890570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5</w:t>
        </w:r>
        <w:r w:rsidR="000516D5" w:rsidRPr="000516D5">
          <w:rPr>
            <w:rFonts w:ascii="Cambria" w:hAnsi="Cambria"/>
            <w:noProof/>
            <w:webHidden/>
            <w:sz w:val="20"/>
            <w:szCs w:val="20"/>
          </w:rPr>
          <w:fldChar w:fldCharType="end"/>
        </w:r>
      </w:hyperlink>
    </w:p>
    <w:p w14:paraId="77D0FCC9" w14:textId="0E5578A5" w:rsidR="000516D5" w:rsidRPr="000516D5" w:rsidRDefault="006668A4" w:rsidP="000516D5">
      <w:pPr>
        <w:pStyle w:val="TOC3"/>
        <w:tabs>
          <w:tab w:val="left" w:pos="1260"/>
        </w:tabs>
        <w:rPr>
          <w:rFonts w:ascii="Cambria" w:eastAsiaTheme="minorEastAsia" w:hAnsi="Cambria" w:cstheme="minorBidi"/>
          <w:noProof/>
          <w:sz w:val="20"/>
          <w:szCs w:val="20"/>
          <w:bdr w:val="none" w:sz="0" w:space="0" w:color="auto"/>
        </w:rPr>
      </w:pPr>
      <w:hyperlink w:anchor="_Toc5890571" w:history="1">
        <w:r w:rsidR="000516D5" w:rsidRPr="000516D5">
          <w:rPr>
            <w:rStyle w:val="Hyperlink"/>
            <w:rFonts w:ascii="Cambria" w:hAnsi="Cambria"/>
            <w:noProof/>
            <w:sz w:val="20"/>
            <w:szCs w:val="20"/>
            <w:lang w:val="pt-BR"/>
          </w:rPr>
          <w:t>1.</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A morte de Márcia Barbosa de Souza e a respectiva investigação policial</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_Toc5890571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5</w:t>
        </w:r>
        <w:r w:rsidR="000516D5" w:rsidRPr="000516D5">
          <w:rPr>
            <w:rFonts w:ascii="Cambria" w:hAnsi="Cambria"/>
            <w:noProof/>
            <w:webHidden/>
            <w:sz w:val="20"/>
            <w:szCs w:val="20"/>
          </w:rPr>
          <w:fldChar w:fldCharType="end"/>
        </w:r>
      </w:hyperlink>
    </w:p>
    <w:p w14:paraId="277EA8D3" w14:textId="6B42CCC3" w:rsidR="000516D5" w:rsidRPr="000516D5" w:rsidRDefault="006668A4" w:rsidP="000516D5">
      <w:pPr>
        <w:pStyle w:val="TOC3"/>
        <w:tabs>
          <w:tab w:val="left" w:pos="1260"/>
        </w:tabs>
        <w:rPr>
          <w:rFonts w:ascii="Cambria" w:eastAsiaTheme="minorEastAsia" w:hAnsi="Cambria" w:cstheme="minorBidi"/>
          <w:noProof/>
          <w:sz w:val="20"/>
          <w:szCs w:val="20"/>
          <w:bdr w:val="none" w:sz="0" w:space="0" w:color="auto"/>
        </w:rPr>
      </w:pPr>
      <w:hyperlink w:anchor="_Toc5890572" w:history="1">
        <w:r w:rsidR="000516D5" w:rsidRPr="000516D5">
          <w:rPr>
            <w:rStyle w:val="Hyperlink"/>
            <w:rFonts w:ascii="Cambria" w:hAnsi="Cambria"/>
            <w:noProof/>
            <w:sz w:val="20"/>
            <w:szCs w:val="20"/>
            <w:lang w:val="pt-BR"/>
          </w:rPr>
          <w:t>2.</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As tentativas fracassadas de abertura de ação criminal contra o Deputado Aércio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_Toc5890572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7</w:t>
        </w:r>
        <w:r w:rsidR="000516D5" w:rsidRPr="000516D5">
          <w:rPr>
            <w:rFonts w:ascii="Cambria" w:hAnsi="Cambria"/>
            <w:noProof/>
            <w:webHidden/>
            <w:sz w:val="20"/>
            <w:szCs w:val="20"/>
          </w:rPr>
          <w:fldChar w:fldCharType="end"/>
        </w:r>
      </w:hyperlink>
    </w:p>
    <w:p w14:paraId="411F7F98" w14:textId="76968CCF" w:rsidR="000516D5" w:rsidRPr="000516D5" w:rsidRDefault="006668A4" w:rsidP="000516D5">
      <w:pPr>
        <w:pStyle w:val="TOC3"/>
        <w:tabs>
          <w:tab w:val="left" w:pos="1260"/>
        </w:tabs>
        <w:rPr>
          <w:rFonts w:ascii="Cambria" w:eastAsiaTheme="minorEastAsia" w:hAnsi="Cambria" w:cstheme="minorBidi"/>
          <w:noProof/>
          <w:sz w:val="20"/>
          <w:szCs w:val="20"/>
          <w:bdr w:val="none" w:sz="0" w:space="0" w:color="auto"/>
        </w:rPr>
      </w:pPr>
      <w:hyperlink w:anchor="_Toc5890573" w:history="1">
        <w:r w:rsidR="000516D5" w:rsidRPr="000516D5">
          <w:rPr>
            <w:rStyle w:val="Hyperlink"/>
            <w:rFonts w:ascii="Cambria" w:hAnsi="Cambria"/>
            <w:noProof/>
            <w:sz w:val="20"/>
            <w:szCs w:val="20"/>
            <w:lang w:val="pt-BR"/>
          </w:rPr>
          <w:t>3.</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Ação criminal e a morte de Aércio Pereira de Lima</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_Toc5890573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8</w:t>
        </w:r>
        <w:r w:rsidR="000516D5" w:rsidRPr="000516D5">
          <w:rPr>
            <w:rFonts w:ascii="Cambria" w:hAnsi="Cambria"/>
            <w:noProof/>
            <w:webHidden/>
            <w:sz w:val="20"/>
            <w:szCs w:val="20"/>
          </w:rPr>
          <w:fldChar w:fldCharType="end"/>
        </w:r>
      </w:hyperlink>
    </w:p>
    <w:p w14:paraId="706EB4FF" w14:textId="34E72684" w:rsidR="000516D5" w:rsidRPr="000516D5" w:rsidRDefault="006668A4" w:rsidP="000516D5">
      <w:pPr>
        <w:pStyle w:val="TOC1"/>
        <w:spacing w:after="100"/>
        <w:rPr>
          <w:rFonts w:ascii="Cambria" w:eastAsiaTheme="minorEastAsia" w:hAnsi="Cambria" w:cstheme="minorBidi"/>
          <w:noProof/>
          <w:sz w:val="20"/>
          <w:szCs w:val="20"/>
          <w:bdr w:val="none" w:sz="0" w:space="0" w:color="auto"/>
        </w:rPr>
      </w:pPr>
      <w:hyperlink w:anchor="_Toc5890574" w:history="1">
        <w:r w:rsidR="000516D5" w:rsidRPr="000516D5">
          <w:rPr>
            <w:rStyle w:val="Hyperlink"/>
            <w:rFonts w:ascii="Cambria" w:hAnsi="Cambria"/>
            <w:b/>
            <w:noProof/>
            <w:sz w:val="20"/>
            <w:szCs w:val="20"/>
            <w:lang w:val="pt-BR"/>
          </w:rPr>
          <w:t>IV.</w:t>
        </w:r>
        <w:r w:rsidR="000516D5" w:rsidRPr="000516D5">
          <w:rPr>
            <w:rFonts w:ascii="Cambria" w:eastAsiaTheme="minorEastAsia" w:hAnsi="Cambria" w:cstheme="minorBidi"/>
            <w:b/>
            <w:noProof/>
            <w:sz w:val="20"/>
            <w:szCs w:val="20"/>
            <w:bdr w:val="none" w:sz="0" w:space="0" w:color="auto"/>
          </w:rPr>
          <w:tab/>
        </w:r>
        <w:r w:rsidR="000516D5" w:rsidRPr="000516D5">
          <w:rPr>
            <w:rStyle w:val="Hyperlink"/>
            <w:rFonts w:ascii="Cambria" w:hAnsi="Cambria"/>
            <w:b/>
            <w:noProof/>
            <w:sz w:val="20"/>
            <w:szCs w:val="20"/>
            <w:lang w:val="pt-BR"/>
          </w:rPr>
          <w:t>ANÁLISE DE DIREITO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_Toc5890574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11</w:t>
        </w:r>
        <w:r w:rsidR="000516D5" w:rsidRPr="000516D5">
          <w:rPr>
            <w:rFonts w:ascii="Cambria" w:hAnsi="Cambria"/>
            <w:noProof/>
            <w:webHidden/>
            <w:sz w:val="20"/>
            <w:szCs w:val="20"/>
          </w:rPr>
          <w:fldChar w:fldCharType="end"/>
        </w:r>
      </w:hyperlink>
    </w:p>
    <w:p w14:paraId="62227F1D" w14:textId="56A7C53D"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75" w:history="1">
        <w:r w:rsidR="000516D5" w:rsidRPr="000516D5">
          <w:rPr>
            <w:rStyle w:val="Hyperlink"/>
            <w:rFonts w:ascii="Cambria" w:hAnsi="Cambria"/>
            <w:noProof/>
            <w:sz w:val="20"/>
            <w:szCs w:val="20"/>
            <w:lang w:val="pt-BR"/>
          </w:rPr>
          <w:t>A.</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Direito à vida (artigos 4 e 1.1 da Convenção Americana) e obrigações em matéria de violência contra a mulher (artigo 7 da Convenção de Belém do Pará")</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_Toc5890575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11</w:t>
        </w:r>
        <w:r w:rsidR="000516D5" w:rsidRPr="000516D5">
          <w:rPr>
            <w:rFonts w:ascii="Cambria" w:hAnsi="Cambria"/>
            <w:noProof/>
            <w:webHidden/>
            <w:sz w:val="20"/>
            <w:szCs w:val="20"/>
          </w:rPr>
          <w:fldChar w:fldCharType="end"/>
        </w:r>
      </w:hyperlink>
    </w:p>
    <w:p w14:paraId="60736BB3" w14:textId="188991EC" w:rsidR="000516D5" w:rsidRPr="000516D5" w:rsidRDefault="006668A4" w:rsidP="000516D5">
      <w:pPr>
        <w:pStyle w:val="TOC3"/>
        <w:tabs>
          <w:tab w:val="left" w:pos="1260"/>
        </w:tabs>
        <w:rPr>
          <w:rFonts w:ascii="Cambria" w:eastAsiaTheme="minorEastAsia" w:hAnsi="Cambria" w:cstheme="minorBidi"/>
          <w:noProof/>
          <w:sz w:val="20"/>
          <w:szCs w:val="20"/>
          <w:bdr w:val="none" w:sz="0" w:space="0" w:color="auto"/>
        </w:rPr>
      </w:pPr>
      <w:hyperlink w:anchor="_Toc5890576" w:history="1">
        <w:r w:rsidR="000516D5" w:rsidRPr="000516D5">
          <w:rPr>
            <w:rStyle w:val="Hyperlink"/>
            <w:rFonts w:ascii="Cambria" w:hAnsi="Cambria"/>
            <w:noProof/>
            <w:sz w:val="20"/>
            <w:szCs w:val="20"/>
            <w:lang w:val="pt-BR"/>
          </w:rPr>
          <w:t>1.</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Considerações gerais sobre o direito à vida, a violência contra a mulher e a atribuição de responsabilidade ao Estado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_Toc5890576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11</w:t>
        </w:r>
        <w:r w:rsidR="000516D5" w:rsidRPr="000516D5">
          <w:rPr>
            <w:rFonts w:ascii="Cambria" w:hAnsi="Cambria"/>
            <w:noProof/>
            <w:webHidden/>
            <w:sz w:val="20"/>
            <w:szCs w:val="20"/>
          </w:rPr>
          <w:fldChar w:fldCharType="end"/>
        </w:r>
      </w:hyperlink>
    </w:p>
    <w:p w14:paraId="46F7AF02" w14:textId="238253E0" w:rsidR="000516D5" w:rsidRPr="000516D5" w:rsidRDefault="006668A4" w:rsidP="000516D5">
      <w:pPr>
        <w:pStyle w:val="TOC3"/>
        <w:tabs>
          <w:tab w:val="left" w:pos="1260"/>
        </w:tabs>
        <w:rPr>
          <w:rFonts w:ascii="Cambria" w:eastAsiaTheme="minorEastAsia" w:hAnsi="Cambria" w:cstheme="minorBidi"/>
          <w:noProof/>
          <w:sz w:val="20"/>
          <w:szCs w:val="20"/>
          <w:bdr w:val="none" w:sz="0" w:space="0" w:color="auto"/>
        </w:rPr>
      </w:pPr>
      <w:hyperlink w:anchor="_Toc5890577" w:history="1">
        <w:r w:rsidR="000516D5" w:rsidRPr="000516D5">
          <w:rPr>
            <w:rStyle w:val="Hyperlink"/>
            <w:rFonts w:ascii="Cambria" w:hAnsi="Cambria"/>
            <w:noProof/>
            <w:sz w:val="20"/>
            <w:szCs w:val="20"/>
            <w:lang w:val="pt-BR"/>
          </w:rPr>
          <w:t>2.</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Análise do caso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_Toc5890577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15</w:t>
        </w:r>
        <w:r w:rsidR="000516D5" w:rsidRPr="000516D5">
          <w:rPr>
            <w:rFonts w:ascii="Cambria" w:hAnsi="Cambria"/>
            <w:noProof/>
            <w:webHidden/>
            <w:sz w:val="20"/>
            <w:szCs w:val="20"/>
          </w:rPr>
          <w:fldChar w:fldCharType="end"/>
        </w:r>
      </w:hyperlink>
    </w:p>
    <w:p w14:paraId="2701B8AB" w14:textId="5FF04D62"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78" w:history="1">
        <w:r w:rsidR="000516D5" w:rsidRPr="000516D5">
          <w:rPr>
            <w:rStyle w:val="Hyperlink"/>
            <w:rFonts w:ascii="Cambria" w:hAnsi="Cambria"/>
            <w:noProof/>
            <w:sz w:val="20"/>
            <w:szCs w:val="20"/>
            <w:lang w:val="pt-BR"/>
          </w:rPr>
          <w:t>B.</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Direitos às garantias judiciais, proteção judicial, princípio de igualdade e não discriminação, dever de adotar disposições de direito interno com relação ao direito à vida (artigos 8, 25, 24, 1.1, 2 e 4 da Convenção Americana)</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_Toc5890578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16</w:t>
        </w:r>
        <w:r w:rsidR="000516D5" w:rsidRPr="000516D5">
          <w:rPr>
            <w:rFonts w:ascii="Cambria" w:hAnsi="Cambria"/>
            <w:noProof/>
            <w:webHidden/>
            <w:sz w:val="20"/>
            <w:szCs w:val="20"/>
          </w:rPr>
          <w:fldChar w:fldCharType="end"/>
        </w:r>
      </w:hyperlink>
    </w:p>
    <w:p w14:paraId="081642E7" w14:textId="39BABD92" w:rsidR="000516D5" w:rsidRPr="000516D5" w:rsidRDefault="006668A4" w:rsidP="000516D5">
      <w:pPr>
        <w:pStyle w:val="TOC3"/>
        <w:tabs>
          <w:tab w:val="left" w:pos="1260"/>
        </w:tabs>
        <w:rPr>
          <w:rFonts w:ascii="Cambria" w:eastAsiaTheme="minorEastAsia" w:hAnsi="Cambria" w:cstheme="minorBidi"/>
          <w:noProof/>
          <w:sz w:val="20"/>
          <w:szCs w:val="20"/>
          <w:bdr w:val="none" w:sz="0" w:space="0" w:color="auto"/>
        </w:rPr>
      </w:pPr>
      <w:hyperlink w:anchor="_Toc5890579" w:history="1">
        <w:r w:rsidR="000516D5" w:rsidRPr="000516D5">
          <w:rPr>
            <w:rStyle w:val="Hyperlink"/>
            <w:rFonts w:ascii="Cambria" w:hAnsi="Cambria"/>
            <w:noProof/>
            <w:sz w:val="20"/>
            <w:szCs w:val="20"/>
            <w:lang w:val="pt-BR"/>
          </w:rPr>
          <w:t>1.</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Considerações gerais sobre o dever de investigar a violência contra a mulher</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_Toc5890579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16</w:t>
        </w:r>
        <w:r w:rsidR="000516D5" w:rsidRPr="000516D5">
          <w:rPr>
            <w:rFonts w:ascii="Cambria" w:hAnsi="Cambria"/>
            <w:noProof/>
            <w:webHidden/>
            <w:sz w:val="20"/>
            <w:szCs w:val="20"/>
          </w:rPr>
          <w:fldChar w:fldCharType="end"/>
        </w:r>
      </w:hyperlink>
    </w:p>
    <w:p w14:paraId="59115608" w14:textId="4ED52B59" w:rsidR="000516D5" w:rsidRPr="000516D5" w:rsidRDefault="006668A4" w:rsidP="000516D5">
      <w:pPr>
        <w:pStyle w:val="TOC3"/>
        <w:tabs>
          <w:tab w:val="left" w:pos="1260"/>
        </w:tabs>
        <w:rPr>
          <w:rFonts w:ascii="Cambria" w:eastAsiaTheme="minorEastAsia" w:hAnsi="Cambria" w:cstheme="minorBidi"/>
          <w:noProof/>
          <w:sz w:val="20"/>
          <w:szCs w:val="20"/>
          <w:bdr w:val="none" w:sz="0" w:space="0" w:color="auto"/>
        </w:rPr>
      </w:pPr>
      <w:hyperlink w:anchor="_Toc5890580" w:history="1">
        <w:r w:rsidR="000516D5" w:rsidRPr="000516D5">
          <w:rPr>
            <w:rStyle w:val="Hyperlink"/>
            <w:rFonts w:ascii="Cambria" w:hAnsi="Cambria"/>
            <w:noProof/>
            <w:sz w:val="20"/>
            <w:szCs w:val="20"/>
            <w:lang w:val="pt-BR"/>
          </w:rPr>
          <w:t>2.</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Análise do caso</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_Toc5890580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18</w:t>
        </w:r>
        <w:r w:rsidR="000516D5" w:rsidRPr="000516D5">
          <w:rPr>
            <w:rFonts w:ascii="Cambria" w:hAnsi="Cambria"/>
            <w:noProof/>
            <w:webHidden/>
            <w:sz w:val="20"/>
            <w:szCs w:val="20"/>
          </w:rPr>
          <w:fldChar w:fldCharType="end"/>
        </w:r>
      </w:hyperlink>
    </w:p>
    <w:p w14:paraId="091E6101" w14:textId="2FD4F3AD"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81" w:history="1">
        <w:r w:rsidR="000516D5" w:rsidRPr="000516D5">
          <w:rPr>
            <w:rStyle w:val="Hyperlink"/>
            <w:rFonts w:ascii="Cambria" w:hAnsi="Cambria"/>
            <w:noProof/>
            <w:sz w:val="20"/>
            <w:szCs w:val="20"/>
            <w:lang w:val="pt-BR"/>
          </w:rPr>
          <w:t>C.</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Direito de viver uma vida livre de violência e as obrigações respectivas do Estado (artigo 7 da Convenção de Belém do Pará)</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_Toc5890581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21</w:t>
        </w:r>
        <w:r w:rsidR="000516D5" w:rsidRPr="000516D5">
          <w:rPr>
            <w:rFonts w:ascii="Cambria" w:hAnsi="Cambria"/>
            <w:noProof/>
            <w:webHidden/>
            <w:sz w:val="20"/>
            <w:szCs w:val="20"/>
          </w:rPr>
          <w:fldChar w:fldCharType="end"/>
        </w:r>
      </w:hyperlink>
    </w:p>
    <w:p w14:paraId="6D7C0CA5" w14:textId="4CDBE35E" w:rsidR="000516D5" w:rsidRPr="000516D5" w:rsidRDefault="006668A4" w:rsidP="000516D5">
      <w:pPr>
        <w:pStyle w:val="TOC2"/>
        <w:spacing w:before="0"/>
        <w:rPr>
          <w:rFonts w:ascii="Cambria" w:eastAsiaTheme="minorEastAsia" w:hAnsi="Cambria" w:cstheme="minorBidi"/>
          <w:noProof/>
          <w:sz w:val="20"/>
          <w:szCs w:val="20"/>
          <w:bdr w:val="none" w:sz="0" w:space="0" w:color="auto"/>
        </w:rPr>
      </w:pPr>
      <w:hyperlink w:anchor="_Toc5890582" w:history="1">
        <w:r w:rsidR="000516D5" w:rsidRPr="000516D5">
          <w:rPr>
            <w:rStyle w:val="Hyperlink"/>
            <w:rFonts w:ascii="Cambria" w:hAnsi="Cambria"/>
            <w:noProof/>
            <w:sz w:val="20"/>
            <w:szCs w:val="20"/>
            <w:lang w:val="pt-BR"/>
          </w:rPr>
          <w:t>D.</w:t>
        </w:r>
        <w:r w:rsidR="000516D5" w:rsidRPr="000516D5">
          <w:rPr>
            <w:rFonts w:ascii="Cambria" w:eastAsiaTheme="minorEastAsia" w:hAnsi="Cambria" w:cstheme="minorBidi"/>
            <w:noProof/>
            <w:sz w:val="20"/>
            <w:szCs w:val="20"/>
            <w:bdr w:val="none" w:sz="0" w:space="0" w:color="auto"/>
          </w:rPr>
          <w:tab/>
        </w:r>
        <w:r w:rsidR="000516D5" w:rsidRPr="000516D5">
          <w:rPr>
            <w:rStyle w:val="Hyperlink"/>
            <w:rFonts w:ascii="Cambria" w:hAnsi="Cambria"/>
            <w:noProof/>
            <w:sz w:val="20"/>
            <w:szCs w:val="20"/>
            <w:lang w:val="pt-BR"/>
          </w:rPr>
          <w:t>Direito à integridade psíquica e moral (artigo 5.1 da Convenção Americana)</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_Toc5890582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21</w:t>
        </w:r>
        <w:r w:rsidR="000516D5" w:rsidRPr="000516D5">
          <w:rPr>
            <w:rFonts w:ascii="Cambria" w:hAnsi="Cambria"/>
            <w:noProof/>
            <w:webHidden/>
            <w:sz w:val="20"/>
            <w:szCs w:val="20"/>
          </w:rPr>
          <w:fldChar w:fldCharType="end"/>
        </w:r>
      </w:hyperlink>
    </w:p>
    <w:p w14:paraId="4AFE195E" w14:textId="7F898B64" w:rsidR="000516D5" w:rsidRPr="000516D5" w:rsidRDefault="006668A4" w:rsidP="000516D5">
      <w:pPr>
        <w:pStyle w:val="TOC1"/>
        <w:spacing w:after="100"/>
        <w:rPr>
          <w:rFonts w:ascii="Cambria" w:eastAsiaTheme="minorEastAsia" w:hAnsi="Cambria" w:cstheme="minorBidi"/>
          <w:noProof/>
          <w:sz w:val="20"/>
          <w:szCs w:val="20"/>
          <w:bdr w:val="none" w:sz="0" w:space="0" w:color="auto"/>
        </w:rPr>
      </w:pPr>
      <w:hyperlink w:anchor="_Toc5890583" w:history="1">
        <w:r w:rsidR="000516D5" w:rsidRPr="000516D5">
          <w:rPr>
            <w:rStyle w:val="Hyperlink"/>
            <w:rFonts w:ascii="Cambria" w:hAnsi="Cambria"/>
            <w:noProof/>
            <w:sz w:val="20"/>
            <w:szCs w:val="20"/>
            <w:lang w:val="pt-BR"/>
          </w:rPr>
          <w:t>V.</w:t>
        </w:r>
        <w:r w:rsidR="000516D5" w:rsidRPr="000516D5">
          <w:rPr>
            <w:rFonts w:ascii="Cambria" w:eastAsiaTheme="minorEastAsia" w:hAnsi="Cambria" w:cstheme="minorBidi"/>
            <w:b/>
            <w:noProof/>
            <w:sz w:val="20"/>
            <w:szCs w:val="20"/>
            <w:bdr w:val="none" w:sz="0" w:space="0" w:color="auto"/>
          </w:rPr>
          <w:tab/>
        </w:r>
        <w:r w:rsidR="000516D5" w:rsidRPr="000516D5">
          <w:rPr>
            <w:rStyle w:val="Hyperlink"/>
            <w:rFonts w:ascii="Cambria" w:hAnsi="Cambria"/>
            <w:b/>
            <w:noProof/>
            <w:sz w:val="20"/>
            <w:szCs w:val="20"/>
            <w:lang w:val="pt-BR"/>
          </w:rPr>
          <w:t>CONCLUSÕES E RECOMENDAÇÕES</w:t>
        </w:r>
        <w:r w:rsidR="000516D5" w:rsidRPr="000516D5">
          <w:rPr>
            <w:rFonts w:ascii="Cambria" w:hAnsi="Cambria"/>
            <w:noProof/>
            <w:webHidden/>
            <w:sz w:val="20"/>
            <w:szCs w:val="20"/>
          </w:rPr>
          <w:tab/>
        </w:r>
        <w:r w:rsidR="000516D5" w:rsidRPr="000516D5">
          <w:rPr>
            <w:rFonts w:ascii="Cambria" w:hAnsi="Cambria"/>
            <w:noProof/>
            <w:webHidden/>
            <w:sz w:val="20"/>
            <w:szCs w:val="20"/>
          </w:rPr>
          <w:fldChar w:fldCharType="begin"/>
        </w:r>
        <w:r w:rsidR="000516D5" w:rsidRPr="000516D5">
          <w:rPr>
            <w:rFonts w:ascii="Cambria" w:hAnsi="Cambria"/>
            <w:noProof/>
            <w:webHidden/>
            <w:sz w:val="20"/>
            <w:szCs w:val="20"/>
          </w:rPr>
          <w:instrText xml:space="preserve"> PAGEREF _Toc5890583 \h </w:instrText>
        </w:r>
        <w:r w:rsidR="000516D5" w:rsidRPr="000516D5">
          <w:rPr>
            <w:rFonts w:ascii="Cambria" w:hAnsi="Cambria"/>
            <w:noProof/>
            <w:webHidden/>
            <w:sz w:val="20"/>
            <w:szCs w:val="20"/>
          </w:rPr>
        </w:r>
        <w:r w:rsidR="000516D5" w:rsidRPr="000516D5">
          <w:rPr>
            <w:rFonts w:ascii="Cambria" w:hAnsi="Cambria"/>
            <w:noProof/>
            <w:webHidden/>
            <w:sz w:val="20"/>
            <w:szCs w:val="20"/>
          </w:rPr>
          <w:fldChar w:fldCharType="separate"/>
        </w:r>
        <w:r w:rsidR="00F80623">
          <w:rPr>
            <w:rFonts w:ascii="Cambria" w:hAnsi="Cambria"/>
            <w:noProof/>
            <w:webHidden/>
            <w:sz w:val="20"/>
            <w:szCs w:val="20"/>
          </w:rPr>
          <w:t>22</w:t>
        </w:r>
        <w:r w:rsidR="000516D5" w:rsidRPr="000516D5">
          <w:rPr>
            <w:rFonts w:ascii="Cambria" w:hAnsi="Cambria"/>
            <w:noProof/>
            <w:webHidden/>
            <w:sz w:val="20"/>
            <w:szCs w:val="20"/>
          </w:rPr>
          <w:fldChar w:fldCharType="end"/>
        </w:r>
      </w:hyperlink>
    </w:p>
    <w:p w14:paraId="111FF5B5" w14:textId="77777777" w:rsidR="00722C9F" w:rsidRPr="00337743" w:rsidRDefault="006125C3" w:rsidP="000516D5">
      <w:pPr>
        <w:tabs>
          <w:tab w:val="center" w:pos="5400"/>
        </w:tabs>
        <w:suppressAutoHyphens/>
        <w:spacing w:after="100"/>
        <w:rPr>
          <w:rFonts w:ascii="Cambria" w:hAnsi="Cambria"/>
          <w:b/>
          <w:sz w:val="20"/>
          <w:szCs w:val="20"/>
          <w:lang w:val="pt-BR"/>
        </w:rPr>
      </w:pPr>
      <w:r w:rsidRPr="000516D5">
        <w:rPr>
          <w:rFonts w:ascii="Cambria" w:hAnsi="Cambria"/>
          <w:b/>
          <w:sz w:val="20"/>
          <w:szCs w:val="20"/>
          <w:lang w:val="pt-BR"/>
        </w:rPr>
        <w:fldChar w:fldCharType="end"/>
      </w:r>
    </w:p>
    <w:p w14:paraId="1221C9F8" w14:textId="77777777" w:rsidR="009F4CC6" w:rsidRPr="00337743" w:rsidRDefault="009F4CC6" w:rsidP="000516D5">
      <w:pPr>
        <w:tabs>
          <w:tab w:val="center" w:pos="5400"/>
        </w:tabs>
        <w:suppressAutoHyphens/>
        <w:spacing w:after="100"/>
        <w:rPr>
          <w:rFonts w:ascii="Cambria" w:hAnsi="Cambria"/>
          <w:sz w:val="20"/>
          <w:szCs w:val="20"/>
          <w:lang w:val="pt-BR"/>
        </w:rPr>
      </w:pPr>
    </w:p>
    <w:p w14:paraId="354DDED3" w14:textId="77777777" w:rsidR="009F4CC6" w:rsidRDefault="009F4CC6" w:rsidP="000516D5">
      <w:pPr>
        <w:tabs>
          <w:tab w:val="center" w:pos="5400"/>
        </w:tabs>
        <w:suppressAutoHyphens/>
        <w:spacing w:after="100"/>
        <w:rPr>
          <w:rFonts w:ascii="Cambria" w:hAnsi="Cambria"/>
          <w:sz w:val="20"/>
          <w:szCs w:val="20"/>
          <w:lang w:val="pt-BR"/>
        </w:rPr>
      </w:pPr>
    </w:p>
    <w:p w14:paraId="076A132E" w14:textId="77777777" w:rsidR="000516D5" w:rsidRDefault="000516D5" w:rsidP="00472955">
      <w:pPr>
        <w:tabs>
          <w:tab w:val="center" w:pos="5400"/>
        </w:tabs>
        <w:suppressAutoHyphens/>
        <w:spacing w:line="276" w:lineRule="auto"/>
        <w:rPr>
          <w:rFonts w:ascii="Cambria" w:hAnsi="Cambria"/>
          <w:sz w:val="20"/>
          <w:szCs w:val="20"/>
          <w:lang w:val="pt-BR"/>
        </w:rPr>
      </w:pPr>
    </w:p>
    <w:p w14:paraId="0B6E8CFA" w14:textId="77777777" w:rsidR="000516D5" w:rsidRDefault="000516D5" w:rsidP="00472955">
      <w:pPr>
        <w:tabs>
          <w:tab w:val="center" w:pos="5400"/>
        </w:tabs>
        <w:suppressAutoHyphens/>
        <w:spacing w:line="276" w:lineRule="auto"/>
        <w:rPr>
          <w:rFonts w:ascii="Cambria" w:hAnsi="Cambria"/>
          <w:sz w:val="20"/>
          <w:szCs w:val="20"/>
          <w:lang w:val="pt-BR"/>
        </w:rPr>
      </w:pPr>
    </w:p>
    <w:p w14:paraId="2B230E51" w14:textId="77777777" w:rsidR="000516D5" w:rsidRDefault="000516D5" w:rsidP="00472955">
      <w:pPr>
        <w:tabs>
          <w:tab w:val="center" w:pos="5400"/>
        </w:tabs>
        <w:suppressAutoHyphens/>
        <w:spacing w:line="276" w:lineRule="auto"/>
        <w:rPr>
          <w:rFonts w:ascii="Cambria" w:hAnsi="Cambria"/>
          <w:sz w:val="20"/>
          <w:szCs w:val="20"/>
          <w:lang w:val="pt-BR"/>
        </w:rPr>
      </w:pPr>
    </w:p>
    <w:p w14:paraId="7AE8F571" w14:textId="77777777" w:rsidR="000516D5" w:rsidRPr="00337743" w:rsidRDefault="000516D5" w:rsidP="00472955">
      <w:pPr>
        <w:tabs>
          <w:tab w:val="center" w:pos="5400"/>
        </w:tabs>
        <w:suppressAutoHyphens/>
        <w:spacing w:line="276" w:lineRule="auto"/>
        <w:rPr>
          <w:rFonts w:ascii="Cambria" w:hAnsi="Cambria"/>
          <w:sz w:val="20"/>
          <w:szCs w:val="20"/>
          <w:lang w:val="pt-BR"/>
        </w:rPr>
      </w:pPr>
    </w:p>
    <w:p w14:paraId="561CDCD8" w14:textId="77777777" w:rsidR="006038B3" w:rsidRPr="00337743" w:rsidRDefault="006038B3" w:rsidP="00472955">
      <w:pPr>
        <w:tabs>
          <w:tab w:val="center" w:pos="5400"/>
        </w:tabs>
        <w:suppressAutoHyphens/>
        <w:spacing w:line="276" w:lineRule="auto"/>
        <w:rPr>
          <w:rFonts w:ascii="Cambria" w:hAnsi="Cambria"/>
          <w:sz w:val="20"/>
          <w:szCs w:val="20"/>
          <w:lang w:val="pt-BR"/>
        </w:rPr>
      </w:pPr>
    </w:p>
    <w:p w14:paraId="2C5140C8" w14:textId="77777777" w:rsidR="006038B3" w:rsidRPr="00337743" w:rsidRDefault="006038B3" w:rsidP="00472955">
      <w:pPr>
        <w:tabs>
          <w:tab w:val="center" w:pos="5400"/>
        </w:tabs>
        <w:suppressAutoHyphens/>
        <w:spacing w:line="276" w:lineRule="auto"/>
        <w:rPr>
          <w:rFonts w:ascii="Cambria" w:hAnsi="Cambria"/>
          <w:sz w:val="20"/>
          <w:szCs w:val="20"/>
          <w:lang w:val="pt-BR"/>
        </w:rPr>
      </w:pPr>
    </w:p>
    <w:p w14:paraId="442F0B3A" w14:textId="77777777" w:rsidR="006038B3" w:rsidRDefault="006038B3" w:rsidP="00472955">
      <w:pPr>
        <w:tabs>
          <w:tab w:val="center" w:pos="5400"/>
        </w:tabs>
        <w:suppressAutoHyphens/>
        <w:spacing w:line="276" w:lineRule="auto"/>
        <w:rPr>
          <w:rFonts w:ascii="Cambria" w:hAnsi="Cambria"/>
          <w:sz w:val="20"/>
          <w:szCs w:val="20"/>
          <w:lang w:val="pt-BR"/>
        </w:rPr>
      </w:pPr>
    </w:p>
    <w:p w14:paraId="5BCE905A" w14:textId="77777777" w:rsidR="00C62D96" w:rsidRDefault="00C62D96" w:rsidP="00472955">
      <w:pPr>
        <w:tabs>
          <w:tab w:val="center" w:pos="5400"/>
        </w:tabs>
        <w:suppressAutoHyphens/>
        <w:spacing w:line="276" w:lineRule="auto"/>
        <w:rPr>
          <w:rFonts w:ascii="Cambria" w:hAnsi="Cambria"/>
          <w:sz w:val="20"/>
          <w:szCs w:val="20"/>
          <w:lang w:val="pt-BR"/>
        </w:rPr>
      </w:pPr>
    </w:p>
    <w:p w14:paraId="1E84B632" w14:textId="77777777" w:rsidR="00C62D96" w:rsidRDefault="00C62D96" w:rsidP="00472955">
      <w:pPr>
        <w:tabs>
          <w:tab w:val="center" w:pos="5400"/>
        </w:tabs>
        <w:suppressAutoHyphens/>
        <w:spacing w:line="276" w:lineRule="auto"/>
        <w:rPr>
          <w:rFonts w:ascii="Cambria" w:hAnsi="Cambria"/>
          <w:sz w:val="20"/>
          <w:szCs w:val="20"/>
          <w:lang w:val="pt-BR"/>
        </w:rPr>
      </w:pPr>
    </w:p>
    <w:p w14:paraId="644E6C69" w14:textId="77777777" w:rsidR="00C62D96" w:rsidRDefault="00C62D96" w:rsidP="00472955">
      <w:pPr>
        <w:tabs>
          <w:tab w:val="center" w:pos="5400"/>
        </w:tabs>
        <w:suppressAutoHyphens/>
        <w:spacing w:line="276" w:lineRule="auto"/>
        <w:rPr>
          <w:rFonts w:ascii="Cambria" w:hAnsi="Cambria"/>
          <w:sz w:val="20"/>
          <w:szCs w:val="20"/>
          <w:lang w:val="pt-BR"/>
        </w:rPr>
      </w:pPr>
    </w:p>
    <w:p w14:paraId="2FA1E697" w14:textId="77777777" w:rsidR="00C62D96" w:rsidRDefault="00C62D96" w:rsidP="00472955">
      <w:pPr>
        <w:tabs>
          <w:tab w:val="center" w:pos="5400"/>
        </w:tabs>
        <w:suppressAutoHyphens/>
        <w:spacing w:line="276" w:lineRule="auto"/>
        <w:rPr>
          <w:rFonts w:ascii="Cambria" w:hAnsi="Cambria"/>
          <w:sz w:val="20"/>
          <w:szCs w:val="20"/>
          <w:lang w:val="pt-BR"/>
        </w:rPr>
      </w:pPr>
    </w:p>
    <w:p w14:paraId="7117FEA7" w14:textId="77777777" w:rsidR="00612119" w:rsidRPr="00337743" w:rsidRDefault="00612119" w:rsidP="00472955">
      <w:pPr>
        <w:tabs>
          <w:tab w:val="center" w:pos="5400"/>
        </w:tabs>
        <w:suppressAutoHyphens/>
        <w:spacing w:line="276" w:lineRule="auto"/>
        <w:rPr>
          <w:rFonts w:ascii="Cambria" w:hAnsi="Cambria"/>
          <w:sz w:val="20"/>
          <w:szCs w:val="20"/>
          <w:lang w:val="pt-BR"/>
        </w:rPr>
      </w:pPr>
    </w:p>
    <w:p w14:paraId="409137AA" w14:textId="77777777" w:rsidR="009F4CC6" w:rsidRPr="00337743" w:rsidRDefault="009F4CC6" w:rsidP="00472955">
      <w:pPr>
        <w:tabs>
          <w:tab w:val="center" w:pos="5400"/>
        </w:tabs>
        <w:suppressAutoHyphens/>
        <w:spacing w:line="276" w:lineRule="auto"/>
        <w:rPr>
          <w:rFonts w:ascii="Cambria" w:hAnsi="Cambria"/>
          <w:sz w:val="20"/>
          <w:szCs w:val="20"/>
          <w:lang w:val="pt-BR"/>
        </w:rPr>
      </w:pPr>
    </w:p>
    <w:p w14:paraId="1E115D49" w14:textId="77777777" w:rsidR="000C10BF" w:rsidRPr="00337743" w:rsidRDefault="000C10BF" w:rsidP="000C10BF">
      <w:pPr>
        <w:tabs>
          <w:tab w:val="center" w:pos="5400"/>
        </w:tabs>
        <w:suppressAutoHyphens/>
        <w:spacing w:line="276" w:lineRule="auto"/>
        <w:jc w:val="center"/>
        <w:rPr>
          <w:rFonts w:ascii="Cambria" w:hAnsi="Cambria"/>
          <w:b/>
          <w:sz w:val="20"/>
          <w:szCs w:val="20"/>
          <w:lang w:val="pt-BR"/>
        </w:rPr>
      </w:pPr>
      <w:r w:rsidRPr="00337743">
        <w:rPr>
          <w:rFonts w:ascii="Cambria" w:hAnsi="Cambria"/>
          <w:b/>
          <w:sz w:val="20"/>
          <w:szCs w:val="20"/>
          <w:lang w:val="pt-BR"/>
        </w:rPr>
        <w:t>RELATÓRIO Nº</w:t>
      </w:r>
      <w:r>
        <w:rPr>
          <w:rFonts w:ascii="Cambria" w:hAnsi="Cambria"/>
          <w:b/>
          <w:sz w:val="20"/>
          <w:szCs w:val="20"/>
          <w:lang w:val="pt-BR"/>
        </w:rPr>
        <w:t xml:space="preserve"> 10/19</w:t>
      </w:r>
    </w:p>
    <w:p w14:paraId="1B347BE9" w14:textId="77777777" w:rsidR="000C10BF" w:rsidRPr="00337743" w:rsidRDefault="000C10BF" w:rsidP="000C10BF">
      <w:pPr>
        <w:tabs>
          <w:tab w:val="center" w:pos="5400"/>
        </w:tabs>
        <w:suppressAutoHyphens/>
        <w:spacing w:line="276" w:lineRule="auto"/>
        <w:jc w:val="center"/>
        <w:rPr>
          <w:rFonts w:ascii="Cambria" w:hAnsi="Cambria"/>
          <w:b/>
          <w:sz w:val="20"/>
          <w:szCs w:val="20"/>
          <w:lang w:val="pt-BR"/>
        </w:rPr>
      </w:pPr>
      <w:r w:rsidRPr="00337743">
        <w:rPr>
          <w:rFonts w:ascii="Cambria" w:hAnsi="Cambria"/>
          <w:b/>
          <w:sz w:val="20"/>
          <w:szCs w:val="20"/>
          <w:lang w:val="pt-BR"/>
        </w:rPr>
        <w:t>CASO 12.263</w:t>
      </w:r>
    </w:p>
    <w:p w14:paraId="47824A93" w14:textId="77777777" w:rsidR="000C10BF" w:rsidRPr="00337743" w:rsidRDefault="000C10BF" w:rsidP="000C10BF">
      <w:pPr>
        <w:tabs>
          <w:tab w:val="center" w:pos="5400"/>
        </w:tabs>
        <w:suppressAutoHyphens/>
        <w:spacing w:line="276" w:lineRule="auto"/>
        <w:jc w:val="center"/>
        <w:rPr>
          <w:rFonts w:ascii="Cambria" w:hAnsi="Cambria"/>
          <w:sz w:val="20"/>
          <w:szCs w:val="20"/>
          <w:lang w:val="pt-BR"/>
        </w:rPr>
      </w:pPr>
      <w:r w:rsidRPr="00337743">
        <w:rPr>
          <w:rFonts w:ascii="Cambria" w:hAnsi="Cambria"/>
          <w:sz w:val="20"/>
          <w:szCs w:val="20"/>
          <w:lang w:val="pt-BR"/>
        </w:rPr>
        <w:t>RELATÓRIO DE MÉRITO</w:t>
      </w:r>
    </w:p>
    <w:p w14:paraId="6C73B454" w14:textId="77777777" w:rsidR="000C10BF" w:rsidRPr="00337743" w:rsidRDefault="000C10BF" w:rsidP="000C10BF">
      <w:pPr>
        <w:tabs>
          <w:tab w:val="center" w:pos="5400"/>
        </w:tabs>
        <w:suppressAutoHyphens/>
        <w:spacing w:line="276" w:lineRule="auto"/>
        <w:jc w:val="center"/>
        <w:rPr>
          <w:rFonts w:ascii="Cambria" w:hAnsi="Cambria"/>
          <w:sz w:val="20"/>
          <w:szCs w:val="20"/>
          <w:lang w:val="pt-BR"/>
        </w:rPr>
      </w:pPr>
      <w:r w:rsidRPr="00337743">
        <w:rPr>
          <w:rFonts w:ascii="Cambria" w:hAnsi="Cambria"/>
          <w:sz w:val="20"/>
          <w:szCs w:val="20"/>
          <w:lang w:val="pt-BR"/>
        </w:rPr>
        <w:t>MÁRCIA BARBOSA DE SOUZA E FAMILIARES</w:t>
      </w:r>
    </w:p>
    <w:p w14:paraId="2DD9ECEF" w14:textId="77777777" w:rsidR="000C10BF" w:rsidRPr="00337743" w:rsidRDefault="000C10BF" w:rsidP="000C10BF">
      <w:pPr>
        <w:tabs>
          <w:tab w:val="center" w:pos="5400"/>
        </w:tabs>
        <w:suppressAutoHyphens/>
        <w:spacing w:line="276" w:lineRule="auto"/>
        <w:jc w:val="center"/>
        <w:rPr>
          <w:rFonts w:ascii="Cambria" w:hAnsi="Cambria"/>
          <w:sz w:val="20"/>
          <w:szCs w:val="20"/>
          <w:lang w:val="pt-BR"/>
        </w:rPr>
      </w:pPr>
      <w:r w:rsidRPr="00337743">
        <w:rPr>
          <w:rFonts w:ascii="Cambria" w:hAnsi="Cambria"/>
          <w:sz w:val="20"/>
          <w:szCs w:val="20"/>
          <w:lang w:val="pt-BR"/>
        </w:rPr>
        <w:t>BRASIL</w:t>
      </w:r>
    </w:p>
    <w:p w14:paraId="1C634E64" w14:textId="77777777" w:rsidR="000C10BF" w:rsidRDefault="000C10BF" w:rsidP="000C10BF">
      <w:pPr>
        <w:tabs>
          <w:tab w:val="center" w:pos="5400"/>
        </w:tabs>
        <w:suppressAutoHyphens/>
        <w:spacing w:line="276" w:lineRule="auto"/>
        <w:jc w:val="center"/>
        <w:rPr>
          <w:rFonts w:ascii="Cambria" w:hAnsi="Cambria"/>
          <w:sz w:val="20"/>
          <w:szCs w:val="20"/>
          <w:lang w:val="pt-BR"/>
        </w:rPr>
      </w:pPr>
      <w:r>
        <w:rPr>
          <w:rFonts w:ascii="Cambria" w:hAnsi="Cambria"/>
          <w:sz w:val="20"/>
          <w:szCs w:val="20"/>
          <w:lang w:val="pt-BR"/>
        </w:rPr>
        <w:t>12 DE FEVEREIRO DE 2019</w:t>
      </w:r>
    </w:p>
    <w:p w14:paraId="28C30355" w14:textId="77777777" w:rsidR="005937F1" w:rsidRPr="00337743" w:rsidRDefault="005937F1" w:rsidP="00493D5D">
      <w:pPr>
        <w:tabs>
          <w:tab w:val="center" w:pos="5400"/>
        </w:tabs>
        <w:suppressAutoHyphens/>
        <w:spacing w:line="276" w:lineRule="auto"/>
        <w:jc w:val="center"/>
        <w:rPr>
          <w:rFonts w:ascii="Cambria" w:hAnsi="Cambria"/>
          <w:sz w:val="20"/>
          <w:szCs w:val="20"/>
          <w:lang w:val="pt-BR"/>
        </w:rPr>
      </w:pPr>
    </w:p>
    <w:p w14:paraId="5C63A5C6" w14:textId="77777777" w:rsidR="00FE11D7" w:rsidRPr="00337743" w:rsidRDefault="00FE11D7" w:rsidP="00CF4C1B">
      <w:pPr>
        <w:tabs>
          <w:tab w:val="center" w:pos="5400"/>
        </w:tabs>
        <w:suppressAutoHyphens/>
        <w:spacing w:line="276" w:lineRule="auto"/>
        <w:rPr>
          <w:rFonts w:ascii="Cambria" w:hAnsi="Cambria"/>
          <w:sz w:val="20"/>
          <w:szCs w:val="20"/>
          <w:lang w:val="pt-BR"/>
        </w:rPr>
      </w:pPr>
    </w:p>
    <w:p w14:paraId="75DB8B39" w14:textId="77777777" w:rsidR="00D12193" w:rsidRPr="00337743" w:rsidRDefault="005824BD" w:rsidP="00472955">
      <w:pPr>
        <w:pStyle w:val="Heading1"/>
        <w:spacing w:before="0"/>
        <w:ind w:hanging="90"/>
        <w:rPr>
          <w:color w:val="auto"/>
          <w:sz w:val="20"/>
          <w:szCs w:val="20"/>
          <w:lang w:val="pt-BR"/>
        </w:rPr>
      </w:pPr>
      <w:bookmarkStart w:id="2" w:name="_Toc5890563"/>
      <w:r w:rsidRPr="00337743">
        <w:rPr>
          <w:color w:val="auto"/>
          <w:sz w:val="20"/>
          <w:szCs w:val="20"/>
          <w:lang w:val="pt-BR"/>
        </w:rPr>
        <w:t>INTRODU</w:t>
      </w:r>
      <w:r w:rsidR="007707E3" w:rsidRPr="00337743">
        <w:rPr>
          <w:color w:val="auto"/>
          <w:sz w:val="20"/>
          <w:szCs w:val="20"/>
          <w:lang w:val="pt-BR"/>
        </w:rPr>
        <w:t>Ç</w:t>
      </w:r>
      <w:r w:rsidR="00350E7E" w:rsidRPr="00337743">
        <w:rPr>
          <w:color w:val="auto"/>
          <w:sz w:val="20"/>
          <w:szCs w:val="20"/>
          <w:lang w:val="pt-BR"/>
        </w:rPr>
        <w:t>ÃO</w:t>
      </w:r>
      <w:bookmarkEnd w:id="2"/>
    </w:p>
    <w:p w14:paraId="0278F1F0" w14:textId="77777777" w:rsidR="005C4CA5" w:rsidRPr="00337743" w:rsidRDefault="005C4CA5" w:rsidP="005C4CA5">
      <w:pPr>
        <w:suppressAutoHyphens/>
        <w:ind w:left="360"/>
        <w:rPr>
          <w:rFonts w:ascii="Cambria" w:hAnsi="Cambria"/>
          <w:b/>
          <w:sz w:val="20"/>
          <w:szCs w:val="20"/>
          <w:lang w:val="pt-BR"/>
        </w:rPr>
      </w:pPr>
    </w:p>
    <w:p w14:paraId="74E62AC6" w14:textId="77777777" w:rsidR="00E1093D" w:rsidRPr="00337743" w:rsidRDefault="000E281F" w:rsidP="00FA1D8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r w:rsidRPr="00337743">
        <w:rPr>
          <w:rFonts w:ascii="Cambria" w:hAnsi="Cambria"/>
          <w:color w:val="000000"/>
          <w:sz w:val="20"/>
          <w:szCs w:val="20"/>
          <w:lang w:val="pt-BR"/>
        </w:rPr>
        <w:t>E</w:t>
      </w:r>
      <w:r w:rsidR="00091880" w:rsidRPr="00337743">
        <w:rPr>
          <w:rFonts w:ascii="Cambria" w:hAnsi="Cambria"/>
          <w:color w:val="000000"/>
          <w:sz w:val="20"/>
          <w:szCs w:val="20"/>
          <w:lang w:val="pt-BR"/>
        </w:rPr>
        <w:t>m</w:t>
      </w:r>
      <w:r w:rsidRPr="00337743">
        <w:rPr>
          <w:rFonts w:ascii="Cambria" w:hAnsi="Cambria"/>
          <w:color w:val="000000"/>
          <w:sz w:val="20"/>
          <w:szCs w:val="20"/>
          <w:lang w:val="pt-BR"/>
        </w:rPr>
        <w:t xml:space="preserve"> 28 de </w:t>
      </w:r>
      <w:r w:rsidR="008F4787" w:rsidRPr="00337743">
        <w:rPr>
          <w:rFonts w:ascii="Cambria" w:hAnsi="Cambria"/>
          <w:color w:val="000000"/>
          <w:sz w:val="20"/>
          <w:szCs w:val="20"/>
          <w:lang w:val="pt-BR"/>
        </w:rPr>
        <w:t>março</w:t>
      </w:r>
      <w:r w:rsidRPr="00337743">
        <w:rPr>
          <w:rFonts w:ascii="Cambria" w:hAnsi="Cambria"/>
          <w:color w:val="000000"/>
          <w:sz w:val="20"/>
          <w:szCs w:val="20"/>
          <w:lang w:val="pt-BR"/>
        </w:rPr>
        <w:t xml:space="preserve"> de 2000,</w:t>
      </w:r>
      <w:r w:rsidR="00506331" w:rsidRPr="00337743">
        <w:rPr>
          <w:rFonts w:ascii="Cambria" w:hAnsi="Cambria"/>
          <w:color w:val="000000"/>
          <w:sz w:val="20"/>
          <w:szCs w:val="20"/>
          <w:lang w:val="pt-BR"/>
        </w:rPr>
        <w:t xml:space="preserve"> a </w:t>
      </w:r>
      <w:r w:rsidR="00350E7E" w:rsidRPr="00337743">
        <w:rPr>
          <w:rFonts w:ascii="Cambria" w:hAnsi="Cambria"/>
          <w:color w:val="000000"/>
          <w:sz w:val="20"/>
          <w:szCs w:val="20"/>
          <w:lang w:val="pt-BR"/>
        </w:rPr>
        <w:t>Comissão</w:t>
      </w:r>
      <w:r w:rsidRPr="00337743">
        <w:rPr>
          <w:rFonts w:ascii="Cambria" w:hAnsi="Cambria"/>
          <w:color w:val="000000"/>
          <w:sz w:val="20"/>
          <w:szCs w:val="20"/>
          <w:lang w:val="pt-BR"/>
        </w:rPr>
        <w:t xml:space="preserve"> Interamericana de </w:t>
      </w:r>
      <w:r w:rsidR="00350E7E" w:rsidRPr="00337743">
        <w:rPr>
          <w:rFonts w:ascii="Cambria" w:hAnsi="Cambria"/>
          <w:color w:val="000000"/>
          <w:sz w:val="20"/>
          <w:szCs w:val="20"/>
          <w:lang w:val="pt-BR"/>
        </w:rPr>
        <w:t>Direito</w:t>
      </w:r>
      <w:r w:rsidRPr="00337743">
        <w:rPr>
          <w:rFonts w:ascii="Cambria" w:hAnsi="Cambria"/>
          <w:color w:val="000000"/>
          <w:sz w:val="20"/>
          <w:szCs w:val="20"/>
          <w:lang w:val="pt-BR"/>
        </w:rPr>
        <w:t>s Humanos (</w:t>
      </w:r>
      <w:r w:rsidR="00350E7E" w:rsidRPr="00337743">
        <w:rPr>
          <w:rFonts w:ascii="Cambria" w:hAnsi="Cambria"/>
          <w:color w:val="000000"/>
          <w:sz w:val="20"/>
          <w:szCs w:val="20"/>
          <w:lang w:val="pt-BR"/>
        </w:rPr>
        <w:t>dorav</w:t>
      </w:r>
      <w:r w:rsidRPr="00337743">
        <w:rPr>
          <w:rFonts w:ascii="Cambria" w:hAnsi="Cambria"/>
          <w:color w:val="000000"/>
          <w:sz w:val="20"/>
          <w:szCs w:val="20"/>
          <w:lang w:val="pt-BR"/>
        </w:rPr>
        <w:t>ante “</w:t>
      </w:r>
      <w:r w:rsidR="00350E7E" w:rsidRPr="00337743">
        <w:rPr>
          <w:rFonts w:ascii="Cambria" w:hAnsi="Cambria"/>
          <w:color w:val="000000"/>
          <w:sz w:val="20"/>
          <w:szCs w:val="20"/>
          <w:lang w:val="pt-BR"/>
        </w:rPr>
        <w:t>Comissão</w:t>
      </w:r>
      <w:r w:rsidRPr="00337743">
        <w:rPr>
          <w:rFonts w:ascii="Cambria" w:hAnsi="Cambria"/>
          <w:color w:val="000000"/>
          <w:sz w:val="20"/>
          <w:szCs w:val="20"/>
          <w:lang w:val="pt-BR"/>
        </w:rPr>
        <w:t>”</w:t>
      </w:r>
      <w:r w:rsidR="005E1E46" w:rsidRPr="00337743">
        <w:rPr>
          <w:rFonts w:ascii="Cambria" w:hAnsi="Cambria"/>
          <w:color w:val="000000"/>
          <w:sz w:val="20"/>
          <w:szCs w:val="20"/>
          <w:lang w:val="pt-BR"/>
        </w:rPr>
        <w:t>, “</w:t>
      </w:r>
      <w:r w:rsidR="00350E7E" w:rsidRPr="00337743">
        <w:rPr>
          <w:rFonts w:ascii="Cambria" w:hAnsi="Cambria"/>
          <w:color w:val="000000"/>
          <w:sz w:val="20"/>
          <w:szCs w:val="20"/>
          <w:lang w:val="pt-BR"/>
        </w:rPr>
        <w:t>Comissão</w:t>
      </w:r>
      <w:r w:rsidR="005E1E46" w:rsidRPr="00337743">
        <w:rPr>
          <w:rFonts w:ascii="Cambria" w:hAnsi="Cambria"/>
          <w:color w:val="000000"/>
          <w:sz w:val="20"/>
          <w:szCs w:val="20"/>
          <w:lang w:val="pt-BR"/>
        </w:rPr>
        <w:t xml:space="preserve"> Interamericana”</w:t>
      </w:r>
      <w:r w:rsidRPr="00337743">
        <w:rPr>
          <w:rFonts w:ascii="Cambria" w:hAnsi="Cambria"/>
          <w:color w:val="000000"/>
          <w:sz w:val="20"/>
          <w:szCs w:val="20"/>
          <w:lang w:val="pt-BR"/>
        </w:rPr>
        <w:t xml:space="preserve"> o</w:t>
      </w:r>
      <w:r w:rsidR="00350E7E" w:rsidRPr="00337743">
        <w:rPr>
          <w:rFonts w:ascii="Cambria" w:hAnsi="Cambria"/>
          <w:color w:val="000000"/>
          <w:sz w:val="20"/>
          <w:szCs w:val="20"/>
          <w:lang w:val="pt-BR"/>
        </w:rPr>
        <w:t>u</w:t>
      </w:r>
      <w:r w:rsidRPr="00337743">
        <w:rPr>
          <w:rFonts w:ascii="Cambria" w:hAnsi="Cambria"/>
          <w:color w:val="000000"/>
          <w:sz w:val="20"/>
          <w:szCs w:val="20"/>
          <w:lang w:val="pt-BR"/>
        </w:rPr>
        <w:t xml:space="preserve"> “CIDH”) rec</w:t>
      </w:r>
      <w:r w:rsidR="00091880" w:rsidRPr="00337743">
        <w:rPr>
          <w:rFonts w:ascii="Cambria" w:hAnsi="Cambria"/>
          <w:color w:val="000000"/>
          <w:sz w:val="20"/>
          <w:szCs w:val="20"/>
          <w:lang w:val="pt-BR"/>
        </w:rPr>
        <w:t>e</w:t>
      </w:r>
      <w:r w:rsidRPr="00337743">
        <w:rPr>
          <w:rFonts w:ascii="Cambria" w:hAnsi="Cambria"/>
          <w:color w:val="000000"/>
          <w:sz w:val="20"/>
          <w:szCs w:val="20"/>
          <w:lang w:val="pt-BR"/>
        </w:rPr>
        <w:t>b</w:t>
      </w:r>
      <w:r w:rsidR="00091880" w:rsidRPr="00337743">
        <w:rPr>
          <w:rFonts w:ascii="Cambria" w:hAnsi="Cambria"/>
          <w:color w:val="000000"/>
          <w:sz w:val="20"/>
          <w:szCs w:val="20"/>
          <w:lang w:val="pt-BR"/>
        </w:rPr>
        <w:t xml:space="preserve">eu uma </w:t>
      </w:r>
      <w:r w:rsidRPr="00337743">
        <w:rPr>
          <w:rFonts w:ascii="Cambria" w:hAnsi="Cambria"/>
          <w:color w:val="000000"/>
          <w:sz w:val="20"/>
          <w:szCs w:val="20"/>
          <w:lang w:val="pt-BR"/>
        </w:rPr>
        <w:t>peti</w:t>
      </w:r>
      <w:r w:rsidR="00350E7E" w:rsidRPr="00337743">
        <w:rPr>
          <w:rFonts w:ascii="Cambria" w:hAnsi="Cambria"/>
          <w:color w:val="000000"/>
          <w:sz w:val="20"/>
          <w:szCs w:val="20"/>
          <w:lang w:val="pt-BR"/>
        </w:rPr>
        <w:t>ção</w:t>
      </w:r>
      <w:r w:rsidRPr="00337743">
        <w:rPr>
          <w:rFonts w:ascii="Cambria" w:hAnsi="Cambria"/>
          <w:color w:val="000000"/>
          <w:sz w:val="20"/>
          <w:szCs w:val="20"/>
          <w:lang w:val="pt-BR"/>
        </w:rPr>
        <w:t xml:space="preserve"> </w:t>
      </w:r>
      <w:r w:rsidR="00091880" w:rsidRPr="00337743">
        <w:rPr>
          <w:rFonts w:ascii="Cambria" w:hAnsi="Cambria"/>
          <w:color w:val="000000"/>
          <w:sz w:val="20"/>
          <w:szCs w:val="20"/>
          <w:lang w:val="pt-BR"/>
        </w:rPr>
        <w:t>a</w:t>
      </w:r>
      <w:r w:rsidRPr="00337743">
        <w:rPr>
          <w:rFonts w:ascii="Cambria" w:hAnsi="Cambria"/>
          <w:color w:val="000000"/>
          <w:sz w:val="20"/>
          <w:szCs w:val="20"/>
          <w:lang w:val="pt-BR"/>
        </w:rPr>
        <w:t>presentada</w:t>
      </w:r>
      <w:r w:rsidR="00091880" w:rsidRPr="00337743">
        <w:rPr>
          <w:rFonts w:ascii="Cambria" w:hAnsi="Cambria"/>
          <w:color w:val="000000"/>
          <w:sz w:val="20"/>
          <w:szCs w:val="20"/>
          <w:lang w:val="pt-BR"/>
        </w:rPr>
        <w:t xml:space="preserve"> pelo </w:t>
      </w:r>
      <w:r w:rsidRPr="00337743">
        <w:rPr>
          <w:rFonts w:ascii="Cambria" w:hAnsi="Cambria"/>
          <w:color w:val="000000"/>
          <w:sz w:val="20"/>
          <w:szCs w:val="20"/>
          <w:lang w:val="pt-BR"/>
        </w:rPr>
        <w:t>Centro</w:t>
      </w:r>
      <w:r w:rsidR="00C6641C" w:rsidRPr="00337743">
        <w:rPr>
          <w:rFonts w:ascii="Cambria" w:hAnsi="Cambria"/>
          <w:color w:val="000000"/>
          <w:sz w:val="20"/>
          <w:szCs w:val="20"/>
          <w:lang w:val="pt-BR"/>
        </w:rPr>
        <w:t xml:space="preserve"> pela </w:t>
      </w:r>
      <w:r w:rsidR="00E96C24" w:rsidRPr="00337743">
        <w:rPr>
          <w:rFonts w:ascii="Cambria" w:hAnsi="Cambria"/>
          <w:color w:val="000000"/>
          <w:sz w:val="20"/>
          <w:szCs w:val="20"/>
          <w:lang w:val="pt-BR"/>
        </w:rPr>
        <w:t>Justiça</w:t>
      </w:r>
      <w:r w:rsidR="00506331" w:rsidRPr="00337743">
        <w:rPr>
          <w:rFonts w:ascii="Cambria" w:hAnsi="Cambria"/>
          <w:color w:val="000000"/>
          <w:sz w:val="20"/>
          <w:szCs w:val="20"/>
          <w:lang w:val="pt-BR"/>
        </w:rPr>
        <w:t xml:space="preserve"> e o </w:t>
      </w:r>
      <w:r w:rsidR="00350E7E" w:rsidRPr="00337743">
        <w:rPr>
          <w:rFonts w:ascii="Cambria" w:hAnsi="Cambria"/>
          <w:color w:val="000000"/>
          <w:sz w:val="20"/>
          <w:szCs w:val="20"/>
          <w:lang w:val="pt-BR"/>
        </w:rPr>
        <w:t>Direito</w:t>
      </w:r>
      <w:r w:rsidRPr="00337743">
        <w:rPr>
          <w:rFonts w:ascii="Cambria" w:hAnsi="Cambria"/>
          <w:color w:val="000000"/>
          <w:sz w:val="20"/>
          <w:szCs w:val="20"/>
          <w:lang w:val="pt-BR"/>
        </w:rPr>
        <w:t xml:space="preserve"> Internacional (CEJIL)</w:t>
      </w:r>
      <w:r w:rsidR="00513361" w:rsidRPr="00337743">
        <w:rPr>
          <w:rFonts w:ascii="Cambria" w:hAnsi="Cambria"/>
          <w:color w:val="000000"/>
          <w:sz w:val="20"/>
          <w:szCs w:val="20"/>
          <w:lang w:val="pt-BR"/>
        </w:rPr>
        <w:t xml:space="preserve"> e</w:t>
      </w:r>
      <w:r w:rsidR="00506331" w:rsidRPr="00337743">
        <w:rPr>
          <w:rFonts w:ascii="Cambria" w:hAnsi="Cambria"/>
          <w:color w:val="000000"/>
          <w:sz w:val="20"/>
          <w:szCs w:val="20"/>
          <w:lang w:val="pt-BR"/>
        </w:rPr>
        <w:t xml:space="preserve"> o </w:t>
      </w:r>
      <w:r w:rsidRPr="00337743">
        <w:rPr>
          <w:rFonts w:ascii="Cambria" w:hAnsi="Cambria"/>
          <w:color w:val="000000"/>
          <w:sz w:val="20"/>
          <w:szCs w:val="20"/>
          <w:lang w:val="pt-BR"/>
        </w:rPr>
        <w:t>Movi</w:t>
      </w:r>
      <w:r w:rsidR="00D60ABE" w:rsidRPr="00337743">
        <w:rPr>
          <w:rFonts w:ascii="Cambria" w:hAnsi="Cambria"/>
          <w:color w:val="000000"/>
          <w:sz w:val="20"/>
          <w:szCs w:val="20"/>
          <w:lang w:val="pt-BR"/>
        </w:rPr>
        <w:t>mento</w:t>
      </w:r>
      <w:r w:rsidRPr="00337743">
        <w:rPr>
          <w:rFonts w:ascii="Cambria" w:hAnsi="Cambria"/>
          <w:color w:val="000000"/>
          <w:sz w:val="20"/>
          <w:szCs w:val="20"/>
          <w:lang w:val="pt-BR"/>
        </w:rPr>
        <w:t xml:space="preserve"> Nacional</w:t>
      </w:r>
      <w:r w:rsidR="00E96C24" w:rsidRPr="00337743">
        <w:rPr>
          <w:rFonts w:ascii="Cambria" w:hAnsi="Cambria"/>
          <w:color w:val="000000"/>
          <w:sz w:val="20"/>
          <w:szCs w:val="20"/>
          <w:lang w:val="pt-BR"/>
        </w:rPr>
        <w:t xml:space="preserve"> d</w:t>
      </w:r>
      <w:r w:rsidR="00D60ABE" w:rsidRPr="00337743">
        <w:rPr>
          <w:rFonts w:ascii="Cambria" w:hAnsi="Cambria"/>
          <w:color w:val="000000"/>
          <w:sz w:val="20"/>
          <w:szCs w:val="20"/>
          <w:lang w:val="pt-BR"/>
        </w:rPr>
        <w:t>e</w:t>
      </w:r>
      <w:r w:rsidR="00E96C24" w:rsidRPr="00337743">
        <w:rPr>
          <w:rFonts w:ascii="Cambria" w:hAnsi="Cambria"/>
          <w:color w:val="000000"/>
          <w:sz w:val="20"/>
          <w:szCs w:val="20"/>
          <w:lang w:val="pt-BR"/>
        </w:rPr>
        <w:t xml:space="preserve"> </w:t>
      </w:r>
      <w:r w:rsidR="00350E7E" w:rsidRPr="00337743">
        <w:rPr>
          <w:rFonts w:ascii="Cambria" w:hAnsi="Cambria"/>
          <w:color w:val="000000"/>
          <w:sz w:val="20"/>
          <w:szCs w:val="20"/>
          <w:lang w:val="pt-BR"/>
        </w:rPr>
        <w:t>Direito</w:t>
      </w:r>
      <w:r w:rsidRPr="00337743">
        <w:rPr>
          <w:rFonts w:ascii="Cambria" w:hAnsi="Cambria"/>
          <w:color w:val="000000"/>
          <w:sz w:val="20"/>
          <w:szCs w:val="20"/>
          <w:lang w:val="pt-BR"/>
        </w:rPr>
        <w:t>s Humanos (MNDH) / Regional Nordeste (</w:t>
      </w:r>
      <w:r w:rsidR="00091880" w:rsidRPr="00337743">
        <w:rPr>
          <w:rFonts w:ascii="Cambria" w:hAnsi="Cambria"/>
          <w:color w:val="000000"/>
          <w:sz w:val="20"/>
          <w:szCs w:val="20"/>
          <w:lang w:val="pt-BR"/>
        </w:rPr>
        <w:t>dorav</w:t>
      </w:r>
      <w:r w:rsidRPr="00337743">
        <w:rPr>
          <w:rFonts w:ascii="Cambria" w:hAnsi="Cambria"/>
          <w:color w:val="000000"/>
          <w:sz w:val="20"/>
          <w:szCs w:val="20"/>
          <w:lang w:val="pt-BR"/>
        </w:rPr>
        <w:t>ante “</w:t>
      </w:r>
      <w:r w:rsidR="000B5741" w:rsidRPr="00337743">
        <w:rPr>
          <w:rFonts w:ascii="Cambria" w:hAnsi="Cambria"/>
          <w:color w:val="000000"/>
          <w:sz w:val="20"/>
          <w:szCs w:val="20"/>
          <w:lang w:val="pt-BR"/>
        </w:rPr>
        <w:t>parte</w:t>
      </w:r>
      <w:r w:rsidRPr="00337743">
        <w:rPr>
          <w:rFonts w:ascii="Cambria" w:hAnsi="Cambria"/>
          <w:color w:val="000000"/>
          <w:sz w:val="20"/>
          <w:szCs w:val="20"/>
          <w:lang w:val="pt-BR"/>
        </w:rPr>
        <w:t xml:space="preserve"> </w:t>
      </w:r>
      <w:r w:rsidR="007707E3" w:rsidRPr="00337743">
        <w:rPr>
          <w:rFonts w:ascii="Cambria" w:hAnsi="Cambria"/>
          <w:color w:val="000000"/>
          <w:sz w:val="20"/>
          <w:szCs w:val="20"/>
          <w:lang w:val="pt-BR"/>
        </w:rPr>
        <w:t>peticionária</w:t>
      </w:r>
      <w:r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na </w:t>
      </w:r>
      <w:r w:rsidR="009D71DA" w:rsidRPr="00337743">
        <w:rPr>
          <w:rFonts w:ascii="Cambria" w:hAnsi="Cambria"/>
          <w:color w:val="000000"/>
          <w:sz w:val="20"/>
          <w:szCs w:val="20"/>
          <w:lang w:val="pt-BR"/>
        </w:rPr>
        <w:t>qual</w:t>
      </w:r>
      <w:r w:rsidRPr="00337743">
        <w:rPr>
          <w:rFonts w:ascii="Cambria" w:hAnsi="Cambria"/>
          <w:color w:val="000000"/>
          <w:sz w:val="20"/>
          <w:szCs w:val="20"/>
          <w:lang w:val="pt-BR"/>
        </w:rPr>
        <w:t xml:space="preserve"> se alega</w:t>
      </w:r>
      <w:r w:rsidR="00506331" w:rsidRPr="00337743">
        <w:rPr>
          <w:rFonts w:ascii="Cambria" w:hAnsi="Cambria"/>
          <w:color w:val="000000"/>
          <w:sz w:val="20"/>
          <w:szCs w:val="20"/>
          <w:lang w:val="pt-BR"/>
        </w:rPr>
        <w:t xml:space="preserve"> a </w:t>
      </w:r>
      <w:r w:rsidR="00D77D85" w:rsidRPr="00337743">
        <w:rPr>
          <w:rFonts w:ascii="Cambria" w:hAnsi="Cambria"/>
          <w:color w:val="000000"/>
          <w:sz w:val="20"/>
          <w:szCs w:val="20"/>
          <w:lang w:val="pt-BR"/>
        </w:rPr>
        <w:t>responsabili</w:t>
      </w:r>
      <w:r w:rsidR="00350E7E" w:rsidRPr="00337743">
        <w:rPr>
          <w:rFonts w:ascii="Cambria" w:hAnsi="Cambria"/>
          <w:color w:val="000000"/>
          <w:sz w:val="20"/>
          <w:szCs w:val="20"/>
          <w:lang w:val="pt-BR"/>
        </w:rPr>
        <w:t xml:space="preserve">dade </w:t>
      </w:r>
      <w:r w:rsidR="00D77D85" w:rsidRPr="00337743">
        <w:rPr>
          <w:rFonts w:ascii="Cambria" w:hAnsi="Cambria"/>
          <w:color w:val="000000"/>
          <w:sz w:val="20"/>
          <w:szCs w:val="20"/>
          <w:lang w:val="pt-BR"/>
        </w:rPr>
        <w:t>internacional</w:t>
      </w:r>
      <w:r w:rsidR="007707E3" w:rsidRPr="00337743">
        <w:rPr>
          <w:rFonts w:ascii="Cambria" w:hAnsi="Cambria"/>
          <w:color w:val="000000"/>
          <w:sz w:val="20"/>
          <w:szCs w:val="20"/>
          <w:lang w:val="pt-BR"/>
        </w:rPr>
        <w:t xml:space="preserve"> da </w:t>
      </w:r>
      <w:r w:rsidRPr="00337743">
        <w:rPr>
          <w:rFonts w:ascii="Cambria" w:hAnsi="Cambria"/>
          <w:color w:val="000000"/>
          <w:sz w:val="20"/>
          <w:szCs w:val="20"/>
          <w:lang w:val="pt-BR"/>
        </w:rPr>
        <w:t>República Federativa</w:t>
      </w:r>
      <w:r w:rsidR="007707E3" w:rsidRPr="00337743">
        <w:rPr>
          <w:rFonts w:ascii="Cambria" w:hAnsi="Cambria"/>
          <w:color w:val="000000"/>
          <w:sz w:val="20"/>
          <w:szCs w:val="20"/>
          <w:lang w:val="pt-BR"/>
        </w:rPr>
        <w:t xml:space="preserve"> do </w:t>
      </w:r>
      <w:r w:rsidRPr="00337743">
        <w:rPr>
          <w:rFonts w:ascii="Cambria" w:hAnsi="Cambria"/>
          <w:color w:val="000000"/>
          <w:sz w:val="20"/>
          <w:szCs w:val="20"/>
          <w:lang w:val="pt-BR"/>
        </w:rPr>
        <w:t>Brasil (</w:t>
      </w:r>
      <w:r w:rsidR="00E96C24" w:rsidRPr="00337743">
        <w:rPr>
          <w:rFonts w:ascii="Cambria" w:hAnsi="Cambria"/>
          <w:color w:val="000000"/>
          <w:sz w:val="20"/>
          <w:szCs w:val="20"/>
          <w:lang w:val="pt-BR"/>
        </w:rPr>
        <w:t>dorav</w:t>
      </w:r>
      <w:r w:rsidRPr="00337743">
        <w:rPr>
          <w:rFonts w:ascii="Cambria" w:hAnsi="Cambria"/>
          <w:color w:val="000000"/>
          <w:sz w:val="20"/>
          <w:szCs w:val="20"/>
          <w:lang w:val="pt-BR"/>
        </w:rPr>
        <w:t xml:space="preserve">ante </w:t>
      </w:r>
      <w:r w:rsidR="000D2FAA" w:rsidRPr="00337743">
        <w:rPr>
          <w:rFonts w:ascii="Cambria" w:hAnsi="Cambria"/>
          <w:color w:val="000000"/>
          <w:sz w:val="20"/>
          <w:szCs w:val="20"/>
          <w:lang w:val="pt-BR"/>
        </w:rPr>
        <w:t>“Estado brasile</w:t>
      </w:r>
      <w:r w:rsidR="00E96C24" w:rsidRPr="00337743">
        <w:rPr>
          <w:rFonts w:ascii="Cambria" w:hAnsi="Cambria"/>
          <w:color w:val="000000"/>
          <w:sz w:val="20"/>
          <w:szCs w:val="20"/>
          <w:lang w:val="pt-BR"/>
        </w:rPr>
        <w:t>i</w:t>
      </w:r>
      <w:r w:rsidR="000D2FAA" w:rsidRPr="00337743">
        <w:rPr>
          <w:rFonts w:ascii="Cambria" w:hAnsi="Cambria"/>
          <w:color w:val="000000"/>
          <w:sz w:val="20"/>
          <w:szCs w:val="20"/>
          <w:lang w:val="pt-BR"/>
        </w:rPr>
        <w:t xml:space="preserve">ro”, </w:t>
      </w:r>
      <w:r w:rsidRPr="00337743">
        <w:rPr>
          <w:rFonts w:ascii="Cambria" w:hAnsi="Cambria"/>
          <w:color w:val="000000"/>
          <w:sz w:val="20"/>
          <w:szCs w:val="20"/>
          <w:lang w:val="pt-BR"/>
        </w:rPr>
        <w:t>“Brasil” o</w:t>
      </w:r>
      <w:r w:rsidR="00E96C24" w:rsidRPr="00337743">
        <w:rPr>
          <w:rFonts w:ascii="Cambria" w:hAnsi="Cambria"/>
          <w:color w:val="000000"/>
          <w:sz w:val="20"/>
          <w:szCs w:val="20"/>
          <w:lang w:val="pt-BR"/>
        </w:rPr>
        <w:t>u</w:t>
      </w:r>
      <w:r w:rsidRPr="00337743">
        <w:rPr>
          <w:rFonts w:ascii="Cambria" w:hAnsi="Cambria"/>
          <w:color w:val="000000"/>
          <w:sz w:val="20"/>
          <w:szCs w:val="20"/>
          <w:lang w:val="pt-BR"/>
        </w:rPr>
        <w:t xml:space="preserve"> “Estado”</w:t>
      </w:r>
      <w:r w:rsidR="000D2FAA" w:rsidRPr="00337743">
        <w:rPr>
          <w:rFonts w:ascii="Cambria" w:hAnsi="Cambria"/>
          <w:color w:val="000000"/>
          <w:sz w:val="20"/>
          <w:szCs w:val="20"/>
          <w:lang w:val="pt-BR"/>
        </w:rPr>
        <w:t>)</w:t>
      </w:r>
      <w:r w:rsidR="00C6641C" w:rsidRPr="00337743">
        <w:rPr>
          <w:rFonts w:ascii="Cambria" w:hAnsi="Cambria"/>
          <w:color w:val="000000"/>
          <w:sz w:val="20"/>
          <w:szCs w:val="20"/>
          <w:lang w:val="pt-BR"/>
        </w:rPr>
        <w:t xml:space="preserve"> pel</w:t>
      </w:r>
      <w:r w:rsidR="0094071D">
        <w:rPr>
          <w:rFonts w:ascii="Cambria" w:hAnsi="Cambria"/>
          <w:color w:val="000000"/>
          <w:sz w:val="20"/>
          <w:szCs w:val="20"/>
          <w:lang w:val="pt-BR"/>
        </w:rPr>
        <w:t>o</w:t>
      </w:r>
      <w:r w:rsidR="00C6641C" w:rsidRPr="00337743">
        <w:rPr>
          <w:rFonts w:ascii="Cambria" w:hAnsi="Cambria"/>
          <w:color w:val="000000"/>
          <w:sz w:val="20"/>
          <w:szCs w:val="20"/>
          <w:lang w:val="pt-BR"/>
        </w:rPr>
        <w:t xml:space="preserve"> </w:t>
      </w:r>
      <w:r w:rsidR="0094071D">
        <w:rPr>
          <w:rFonts w:ascii="Cambria" w:hAnsi="Cambria"/>
          <w:color w:val="000000"/>
          <w:sz w:val="20"/>
          <w:szCs w:val="20"/>
          <w:lang w:val="pt-BR"/>
        </w:rPr>
        <w:t>assassinato</w:t>
      </w:r>
      <w:r w:rsidR="005824BD" w:rsidRPr="00337743">
        <w:rPr>
          <w:rFonts w:ascii="Cambria" w:hAnsi="Cambria"/>
          <w:color w:val="000000"/>
          <w:sz w:val="20"/>
          <w:szCs w:val="20"/>
          <w:lang w:val="pt-BR"/>
        </w:rPr>
        <w:t xml:space="preserve"> de Márcia Barbosa de Souza </w:t>
      </w:r>
      <w:r w:rsidR="0094071D">
        <w:rPr>
          <w:rFonts w:ascii="Cambria" w:hAnsi="Cambria"/>
          <w:color w:val="000000"/>
          <w:sz w:val="20"/>
          <w:szCs w:val="20"/>
          <w:lang w:val="pt-BR"/>
        </w:rPr>
        <w:t>por</w:t>
      </w:r>
      <w:r w:rsidR="00091880" w:rsidRPr="00337743">
        <w:rPr>
          <w:rFonts w:ascii="Cambria" w:hAnsi="Cambria"/>
          <w:color w:val="000000"/>
          <w:sz w:val="20"/>
          <w:szCs w:val="20"/>
          <w:lang w:val="pt-BR"/>
        </w:rPr>
        <w:t xml:space="preserve"> um </w:t>
      </w:r>
      <w:r w:rsidR="005824BD" w:rsidRPr="00337743">
        <w:rPr>
          <w:rFonts w:ascii="Cambria" w:hAnsi="Cambria"/>
          <w:color w:val="000000"/>
          <w:sz w:val="20"/>
          <w:szCs w:val="20"/>
          <w:lang w:val="pt-BR"/>
        </w:rPr>
        <w:t>ex</w:t>
      </w:r>
      <w:r w:rsidR="00D60ABE" w:rsidRPr="00337743">
        <w:rPr>
          <w:rFonts w:ascii="Cambria" w:hAnsi="Cambria"/>
          <w:color w:val="000000"/>
          <w:sz w:val="20"/>
          <w:szCs w:val="20"/>
          <w:lang w:val="pt-BR"/>
        </w:rPr>
        <w:t>-</w:t>
      </w:r>
      <w:r w:rsidR="00114C2E" w:rsidRPr="00337743">
        <w:rPr>
          <w:rFonts w:ascii="Cambria" w:hAnsi="Cambria"/>
          <w:color w:val="000000"/>
          <w:sz w:val="20"/>
          <w:szCs w:val="20"/>
          <w:lang w:val="pt-BR"/>
        </w:rPr>
        <w:t>deputado</w:t>
      </w:r>
      <w:r w:rsidR="005824BD" w:rsidRPr="00337743">
        <w:rPr>
          <w:rFonts w:ascii="Cambria" w:hAnsi="Cambria"/>
          <w:color w:val="000000"/>
          <w:sz w:val="20"/>
          <w:szCs w:val="20"/>
          <w:lang w:val="pt-BR"/>
        </w:rPr>
        <w:t xml:space="preserve"> esta</w:t>
      </w:r>
      <w:r w:rsidR="00D60ABE" w:rsidRPr="00337743">
        <w:rPr>
          <w:rFonts w:ascii="Cambria" w:hAnsi="Cambria"/>
          <w:color w:val="000000"/>
          <w:sz w:val="20"/>
          <w:szCs w:val="20"/>
          <w:lang w:val="pt-BR"/>
        </w:rPr>
        <w:t>du</w:t>
      </w:r>
      <w:r w:rsidR="005824BD" w:rsidRPr="00337743">
        <w:rPr>
          <w:rFonts w:ascii="Cambria" w:hAnsi="Cambria"/>
          <w:color w:val="000000"/>
          <w:sz w:val="20"/>
          <w:szCs w:val="20"/>
          <w:lang w:val="pt-BR"/>
        </w:rPr>
        <w:t>al</w:t>
      </w:r>
      <w:r w:rsidR="0094071D">
        <w:rPr>
          <w:rFonts w:ascii="Cambria" w:hAnsi="Cambria"/>
          <w:color w:val="000000"/>
          <w:sz w:val="20"/>
          <w:szCs w:val="20"/>
          <w:lang w:val="pt-BR"/>
        </w:rPr>
        <w:t xml:space="preserve"> em junho de 1998</w:t>
      </w:r>
      <w:r w:rsidR="005824BD" w:rsidRPr="00337743">
        <w:rPr>
          <w:rFonts w:ascii="Cambria" w:hAnsi="Cambria"/>
          <w:color w:val="000000"/>
          <w:sz w:val="20"/>
          <w:szCs w:val="20"/>
          <w:lang w:val="pt-BR"/>
        </w:rPr>
        <w:t xml:space="preserve">, </w:t>
      </w:r>
      <w:r w:rsidR="00D60ABE" w:rsidRPr="00337743">
        <w:rPr>
          <w:rFonts w:ascii="Cambria" w:hAnsi="Cambria"/>
          <w:color w:val="000000"/>
          <w:sz w:val="20"/>
          <w:szCs w:val="20"/>
          <w:lang w:val="pt-BR"/>
        </w:rPr>
        <w:t>bem</w:t>
      </w:r>
      <w:r w:rsidR="005824BD" w:rsidRPr="00337743">
        <w:rPr>
          <w:rFonts w:ascii="Cambria" w:hAnsi="Cambria"/>
          <w:color w:val="000000"/>
          <w:sz w:val="20"/>
          <w:szCs w:val="20"/>
          <w:lang w:val="pt-BR"/>
        </w:rPr>
        <w:t xml:space="preserve"> como</w:t>
      </w:r>
      <w:r w:rsidR="00C6641C" w:rsidRPr="00337743">
        <w:rPr>
          <w:rFonts w:ascii="Cambria" w:hAnsi="Cambria"/>
          <w:color w:val="000000"/>
          <w:sz w:val="20"/>
          <w:szCs w:val="20"/>
          <w:lang w:val="pt-BR"/>
        </w:rPr>
        <w:t xml:space="preserve"> pela </w:t>
      </w:r>
      <w:r w:rsidR="005824BD" w:rsidRPr="00337743">
        <w:rPr>
          <w:rFonts w:ascii="Cambria" w:hAnsi="Cambria"/>
          <w:color w:val="000000"/>
          <w:sz w:val="20"/>
          <w:szCs w:val="20"/>
          <w:lang w:val="pt-BR"/>
        </w:rPr>
        <w:t>situa</w:t>
      </w:r>
      <w:r w:rsidR="00350E7E" w:rsidRPr="00337743">
        <w:rPr>
          <w:rFonts w:ascii="Cambria" w:hAnsi="Cambria"/>
          <w:color w:val="000000"/>
          <w:sz w:val="20"/>
          <w:szCs w:val="20"/>
          <w:lang w:val="pt-BR"/>
        </w:rPr>
        <w:t>ção</w:t>
      </w:r>
      <w:r w:rsidR="005824BD" w:rsidRPr="00337743">
        <w:rPr>
          <w:rFonts w:ascii="Cambria" w:hAnsi="Cambria"/>
          <w:color w:val="000000"/>
          <w:sz w:val="20"/>
          <w:szCs w:val="20"/>
          <w:lang w:val="pt-BR"/>
        </w:rPr>
        <w:t xml:space="preserve"> de impuni</w:t>
      </w:r>
      <w:r w:rsidR="00350E7E" w:rsidRPr="00337743">
        <w:rPr>
          <w:rFonts w:ascii="Cambria" w:hAnsi="Cambria"/>
          <w:color w:val="000000"/>
          <w:sz w:val="20"/>
          <w:szCs w:val="20"/>
          <w:lang w:val="pt-BR"/>
        </w:rPr>
        <w:t>dade</w:t>
      </w:r>
      <w:r w:rsidR="00091880" w:rsidRPr="00337743">
        <w:rPr>
          <w:rFonts w:ascii="Cambria" w:hAnsi="Cambria"/>
          <w:color w:val="000000"/>
          <w:sz w:val="20"/>
          <w:szCs w:val="20"/>
          <w:lang w:val="pt-BR"/>
        </w:rPr>
        <w:t xml:space="preserve"> </w:t>
      </w:r>
      <w:r w:rsidR="0094071D">
        <w:rPr>
          <w:rFonts w:ascii="Cambria" w:hAnsi="Cambria"/>
          <w:color w:val="000000"/>
          <w:sz w:val="20"/>
          <w:szCs w:val="20"/>
          <w:lang w:val="pt-BR"/>
        </w:rPr>
        <w:t>subsequente</w:t>
      </w:r>
      <w:r w:rsidR="005824BD" w:rsidRPr="00337743">
        <w:rPr>
          <w:rFonts w:ascii="Cambria" w:hAnsi="Cambria"/>
          <w:color w:val="000000"/>
          <w:sz w:val="20"/>
          <w:szCs w:val="20"/>
          <w:lang w:val="pt-BR"/>
        </w:rPr>
        <w:t xml:space="preserve">. </w:t>
      </w:r>
    </w:p>
    <w:p w14:paraId="3D03DCAD" w14:textId="77777777" w:rsidR="00E1093D" w:rsidRPr="00337743" w:rsidRDefault="00E1093D" w:rsidP="00E1093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sz w:val="20"/>
          <w:szCs w:val="20"/>
          <w:lang w:val="pt-BR"/>
        </w:rPr>
      </w:pPr>
    </w:p>
    <w:p w14:paraId="5835B53C" w14:textId="77777777" w:rsidR="004D5E26" w:rsidRPr="00337743" w:rsidRDefault="00091880" w:rsidP="004D5E2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A</w:t>
      </w:r>
      <w:r w:rsidR="00E1093D" w:rsidRPr="00337743">
        <w:rPr>
          <w:rFonts w:ascii="Cambria" w:hAnsi="Cambria"/>
          <w:sz w:val="20"/>
          <w:szCs w:val="20"/>
          <w:lang w:val="pt-BR"/>
        </w:rPr>
        <w:t xml:space="preserve"> </w:t>
      </w:r>
      <w:r w:rsidR="00350E7E" w:rsidRPr="00337743">
        <w:rPr>
          <w:rFonts w:ascii="Cambria" w:hAnsi="Cambria"/>
          <w:sz w:val="20"/>
          <w:szCs w:val="20"/>
          <w:lang w:val="pt-BR"/>
        </w:rPr>
        <w:t>Comissão</w:t>
      </w:r>
      <w:r w:rsidR="00E1093D" w:rsidRPr="00337743">
        <w:rPr>
          <w:rFonts w:ascii="Cambria" w:hAnsi="Cambria"/>
          <w:sz w:val="20"/>
          <w:szCs w:val="20"/>
          <w:lang w:val="pt-BR"/>
        </w:rPr>
        <w:t xml:space="preserve"> apro</w:t>
      </w:r>
      <w:r w:rsidR="00D60ABE" w:rsidRPr="00337743">
        <w:rPr>
          <w:rFonts w:ascii="Cambria" w:hAnsi="Cambria"/>
          <w:sz w:val="20"/>
          <w:szCs w:val="20"/>
          <w:lang w:val="pt-BR"/>
        </w:rPr>
        <w:t>vou</w:t>
      </w:r>
      <w:r w:rsidR="00506331" w:rsidRPr="00337743">
        <w:rPr>
          <w:rFonts w:ascii="Cambria" w:hAnsi="Cambria"/>
          <w:sz w:val="20"/>
          <w:szCs w:val="20"/>
          <w:lang w:val="pt-BR"/>
        </w:rPr>
        <w:t xml:space="preserve"> o </w:t>
      </w:r>
      <w:r w:rsidR="00350E7E" w:rsidRPr="00337743">
        <w:rPr>
          <w:rFonts w:ascii="Cambria" w:hAnsi="Cambria"/>
          <w:sz w:val="20"/>
          <w:szCs w:val="20"/>
          <w:lang w:val="pt-BR"/>
        </w:rPr>
        <w:t>relatório</w:t>
      </w:r>
      <w:r w:rsidR="00E1093D" w:rsidRPr="00337743">
        <w:rPr>
          <w:rFonts w:ascii="Cambria" w:hAnsi="Cambria"/>
          <w:sz w:val="20"/>
          <w:szCs w:val="20"/>
          <w:lang w:val="pt-BR"/>
        </w:rPr>
        <w:t xml:space="preserve"> de </w:t>
      </w:r>
      <w:r w:rsidR="008F4787" w:rsidRPr="00337743">
        <w:rPr>
          <w:rFonts w:ascii="Cambria" w:hAnsi="Cambria"/>
          <w:sz w:val="20"/>
          <w:szCs w:val="20"/>
          <w:lang w:val="pt-BR"/>
        </w:rPr>
        <w:t>admissibilidade</w:t>
      </w:r>
      <w:r w:rsidR="00350E7E" w:rsidRPr="00337743">
        <w:rPr>
          <w:rFonts w:ascii="Cambria" w:hAnsi="Cambria"/>
          <w:sz w:val="20"/>
          <w:szCs w:val="20"/>
          <w:lang w:val="pt-BR"/>
        </w:rPr>
        <w:t xml:space="preserve"> </w:t>
      </w:r>
      <w:r w:rsidR="008E7A77">
        <w:rPr>
          <w:rFonts w:ascii="Cambria" w:hAnsi="Cambria"/>
          <w:sz w:val="20"/>
          <w:szCs w:val="20"/>
          <w:lang w:val="pt-BR"/>
        </w:rPr>
        <w:t>n</w:t>
      </w:r>
      <w:r w:rsidR="00321CB1" w:rsidRPr="00337743">
        <w:rPr>
          <w:rFonts w:ascii="Cambria" w:hAnsi="Cambria"/>
          <w:sz w:val="20"/>
          <w:szCs w:val="20"/>
          <w:lang w:val="pt-BR"/>
        </w:rPr>
        <w:t>º</w:t>
      </w:r>
      <w:r w:rsidR="00E1093D" w:rsidRPr="00337743">
        <w:rPr>
          <w:rFonts w:ascii="Cambria" w:hAnsi="Cambria"/>
          <w:sz w:val="20"/>
          <w:szCs w:val="20"/>
          <w:lang w:val="pt-BR"/>
        </w:rPr>
        <w:t xml:space="preserve"> </w:t>
      </w:r>
      <w:r w:rsidR="0095060A" w:rsidRPr="00337743">
        <w:rPr>
          <w:rFonts w:ascii="Cambria" w:hAnsi="Cambria"/>
          <w:sz w:val="20"/>
          <w:szCs w:val="20"/>
          <w:lang w:val="pt-BR"/>
        </w:rPr>
        <w:t>38</w:t>
      </w:r>
      <w:r w:rsidR="00E1093D" w:rsidRPr="00337743">
        <w:rPr>
          <w:rFonts w:ascii="Cambria" w:hAnsi="Cambria"/>
          <w:sz w:val="20"/>
          <w:szCs w:val="20"/>
          <w:lang w:val="pt-BR"/>
        </w:rPr>
        <w:t>/0</w:t>
      </w:r>
      <w:r w:rsidR="0095060A" w:rsidRPr="00337743">
        <w:rPr>
          <w:rFonts w:ascii="Cambria" w:hAnsi="Cambria"/>
          <w:sz w:val="20"/>
          <w:szCs w:val="20"/>
          <w:lang w:val="pt-BR"/>
        </w:rPr>
        <w:t>7</w:t>
      </w:r>
      <w:r w:rsidR="00506331" w:rsidRPr="00337743">
        <w:rPr>
          <w:rFonts w:ascii="Cambria" w:hAnsi="Cambria"/>
          <w:sz w:val="20"/>
          <w:szCs w:val="20"/>
          <w:lang w:val="pt-BR"/>
        </w:rPr>
        <w:t xml:space="preserve"> </w:t>
      </w:r>
      <w:r w:rsidR="00325DAC" w:rsidRPr="00337743">
        <w:rPr>
          <w:rFonts w:ascii="Cambria" w:hAnsi="Cambria"/>
          <w:sz w:val="20"/>
          <w:szCs w:val="20"/>
          <w:lang w:val="pt-BR"/>
        </w:rPr>
        <w:t>em</w:t>
      </w:r>
      <w:r w:rsidR="00506331" w:rsidRPr="00337743">
        <w:rPr>
          <w:rFonts w:ascii="Cambria" w:hAnsi="Cambria"/>
          <w:sz w:val="20"/>
          <w:szCs w:val="20"/>
          <w:lang w:val="pt-BR"/>
        </w:rPr>
        <w:t xml:space="preserve"> </w:t>
      </w:r>
      <w:r w:rsidR="0095060A" w:rsidRPr="00337743">
        <w:rPr>
          <w:rFonts w:ascii="Cambria" w:hAnsi="Cambria"/>
          <w:sz w:val="20"/>
          <w:szCs w:val="20"/>
          <w:lang w:val="pt-BR"/>
        </w:rPr>
        <w:t xml:space="preserve">26 de </w:t>
      </w:r>
      <w:r w:rsidR="008F4787" w:rsidRPr="00337743">
        <w:rPr>
          <w:rFonts w:ascii="Cambria" w:hAnsi="Cambria"/>
          <w:sz w:val="20"/>
          <w:szCs w:val="20"/>
          <w:lang w:val="pt-BR"/>
        </w:rPr>
        <w:t>julho</w:t>
      </w:r>
      <w:r w:rsidR="0095060A" w:rsidRPr="00337743">
        <w:rPr>
          <w:rFonts w:ascii="Cambria" w:hAnsi="Cambria"/>
          <w:sz w:val="20"/>
          <w:szCs w:val="20"/>
          <w:lang w:val="pt-BR"/>
        </w:rPr>
        <w:t xml:space="preserve"> de 2007</w:t>
      </w:r>
      <w:r w:rsidR="00CC0A0F" w:rsidRPr="00337743">
        <w:rPr>
          <w:rStyle w:val="FootnoteReference"/>
          <w:rFonts w:ascii="Cambria" w:hAnsi="Cambria"/>
          <w:sz w:val="20"/>
          <w:szCs w:val="20"/>
          <w:lang w:val="pt-BR"/>
        </w:rPr>
        <w:footnoteReference w:id="2"/>
      </w:r>
      <w:r w:rsidR="00E1093D" w:rsidRPr="00337743">
        <w:rPr>
          <w:rFonts w:ascii="Cambria" w:hAnsi="Cambria"/>
          <w:sz w:val="20"/>
          <w:szCs w:val="20"/>
          <w:lang w:val="pt-BR"/>
        </w:rPr>
        <w:t>.</w:t>
      </w:r>
      <w:r w:rsidR="00506331" w:rsidRPr="00337743">
        <w:rPr>
          <w:rFonts w:ascii="Cambria" w:hAnsi="Cambria"/>
          <w:sz w:val="20"/>
          <w:szCs w:val="20"/>
          <w:lang w:val="pt-BR"/>
        </w:rPr>
        <w:t xml:space="preserve"> </w:t>
      </w:r>
      <w:r w:rsidR="00325DAC" w:rsidRPr="00337743">
        <w:rPr>
          <w:rFonts w:ascii="Cambria" w:hAnsi="Cambria"/>
          <w:sz w:val="20"/>
          <w:szCs w:val="20"/>
          <w:lang w:val="pt-BR"/>
        </w:rPr>
        <w:t>Em</w:t>
      </w:r>
      <w:r w:rsidR="00506331" w:rsidRPr="00337743">
        <w:rPr>
          <w:rFonts w:ascii="Cambria" w:hAnsi="Cambria"/>
          <w:sz w:val="20"/>
          <w:szCs w:val="20"/>
          <w:lang w:val="pt-BR"/>
        </w:rPr>
        <w:t xml:space="preserve"> </w:t>
      </w:r>
      <w:r w:rsidR="00884EC9" w:rsidRPr="00337743">
        <w:rPr>
          <w:rFonts w:ascii="Cambria" w:hAnsi="Cambria"/>
          <w:sz w:val="20"/>
          <w:szCs w:val="20"/>
          <w:lang w:val="pt-BR"/>
        </w:rPr>
        <w:t xml:space="preserve">28 de </w:t>
      </w:r>
      <w:r w:rsidR="00F9139C" w:rsidRPr="00337743">
        <w:rPr>
          <w:rFonts w:ascii="Cambria" w:hAnsi="Cambria"/>
          <w:sz w:val="20"/>
          <w:szCs w:val="20"/>
          <w:lang w:val="pt-BR"/>
        </w:rPr>
        <w:t>setembro</w:t>
      </w:r>
      <w:r w:rsidR="00884EC9" w:rsidRPr="00337743">
        <w:rPr>
          <w:rFonts w:ascii="Cambria" w:hAnsi="Cambria"/>
          <w:sz w:val="20"/>
          <w:szCs w:val="20"/>
          <w:lang w:val="pt-BR"/>
        </w:rPr>
        <w:t xml:space="preserve"> de 2007</w:t>
      </w:r>
      <w:r w:rsidR="00506331" w:rsidRPr="00337743">
        <w:rPr>
          <w:rFonts w:ascii="Cambria" w:hAnsi="Cambria"/>
          <w:sz w:val="20"/>
          <w:szCs w:val="20"/>
          <w:lang w:val="pt-BR"/>
        </w:rPr>
        <w:t xml:space="preserve"> a </w:t>
      </w:r>
      <w:r w:rsidR="00350E7E" w:rsidRPr="00337743">
        <w:rPr>
          <w:rFonts w:ascii="Cambria" w:hAnsi="Cambria"/>
          <w:sz w:val="20"/>
          <w:szCs w:val="20"/>
          <w:lang w:val="pt-BR"/>
        </w:rPr>
        <w:t>Comissão</w:t>
      </w:r>
      <w:r w:rsidR="00E1093D" w:rsidRPr="00337743">
        <w:rPr>
          <w:rFonts w:ascii="Cambria" w:hAnsi="Cambria"/>
          <w:sz w:val="20"/>
          <w:szCs w:val="20"/>
          <w:lang w:val="pt-BR"/>
        </w:rPr>
        <w:t xml:space="preserve"> notific</w:t>
      </w:r>
      <w:r w:rsidR="00513361" w:rsidRPr="00337743">
        <w:rPr>
          <w:rFonts w:ascii="Cambria" w:hAnsi="Cambria"/>
          <w:sz w:val="20"/>
          <w:szCs w:val="20"/>
          <w:lang w:val="pt-BR"/>
        </w:rPr>
        <w:t>ou</w:t>
      </w:r>
      <w:r w:rsidR="00E1093D" w:rsidRPr="00337743">
        <w:rPr>
          <w:rFonts w:ascii="Cambria" w:hAnsi="Cambria"/>
          <w:sz w:val="20"/>
          <w:szCs w:val="20"/>
          <w:lang w:val="pt-BR"/>
        </w:rPr>
        <w:t xml:space="preserve"> </w:t>
      </w:r>
      <w:r w:rsidR="00325DAC" w:rsidRPr="00337743">
        <w:rPr>
          <w:rFonts w:ascii="Cambria" w:hAnsi="Cambria"/>
          <w:sz w:val="20"/>
          <w:szCs w:val="20"/>
          <w:lang w:val="pt-BR"/>
        </w:rPr>
        <w:t>esse</w:t>
      </w:r>
      <w:r w:rsidR="00E1093D" w:rsidRPr="00337743">
        <w:rPr>
          <w:rFonts w:ascii="Cambria" w:hAnsi="Cambria"/>
          <w:sz w:val="20"/>
          <w:szCs w:val="20"/>
          <w:lang w:val="pt-BR"/>
        </w:rPr>
        <w:t xml:space="preserve"> </w:t>
      </w:r>
      <w:r w:rsidR="00350E7E" w:rsidRPr="00337743">
        <w:rPr>
          <w:rFonts w:ascii="Cambria" w:hAnsi="Cambria"/>
          <w:sz w:val="20"/>
          <w:szCs w:val="20"/>
          <w:lang w:val="pt-BR"/>
        </w:rPr>
        <w:t>relatório</w:t>
      </w:r>
      <w:r w:rsidR="007707E3" w:rsidRPr="00337743">
        <w:rPr>
          <w:rFonts w:ascii="Cambria" w:hAnsi="Cambria"/>
          <w:sz w:val="20"/>
          <w:szCs w:val="20"/>
          <w:lang w:val="pt-BR"/>
        </w:rPr>
        <w:t xml:space="preserve"> às </w:t>
      </w:r>
      <w:r w:rsidR="00E1093D" w:rsidRPr="00337743">
        <w:rPr>
          <w:rFonts w:ascii="Cambria" w:hAnsi="Cambria"/>
          <w:sz w:val="20"/>
          <w:szCs w:val="20"/>
          <w:lang w:val="pt-BR"/>
        </w:rPr>
        <w:t>partes.</w:t>
      </w:r>
      <w:r w:rsidR="007707E3" w:rsidRPr="00337743">
        <w:rPr>
          <w:rFonts w:ascii="Cambria" w:hAnsi="Cambria"/>
          <w:sz w:val="20"/>
          <w:szCs w:val="20"/>
          <w:lang w:val="pt-BR"/>
        </w:rPr>
        <w:t xml:space="preserve"> </w:t>
      </w:r>
      <w:r w:rsidR="00325DAC" w:rsidRPr="00337743">
        <w:rPr>
          <w:rFonts w:ascii="Cambria" w:hAnsi="Cambria"/>
          <w:sz w:val="20"/>
          <w:szCs w:val="20"/>
          <w:lang w:val="pt-BR"/>
        </w:rPr>
        <w:t>A</w:t>
      </w:r>
      <w:r w:rsidR="007707E3" w:rsidRPr="00337743">
        <w:rPr>
          <w:rFonts w:ascii="Cambria" w:hAnsi="Cambria"/>
          <w:sz w:val="20"/>
          <w:szCs w:val="20"/>
          <w:lang w:val="pt-BR"/>
        </w:rPr>
        <w:t xml:space="preserve">s </w:t>
      </w:r>
      <w:r w:rsidR="00E1093D" w:rsidRPr="00337743">
        <w:rPr>
          <w:rFonts w:ascii="Cambria" w:hAnsi="Cambria"/>
          <w:sz w:val="20"/>
          <w:szCs w:val="20"/>
          <w:lang w:val="pt-BR"/>
        </w:rPr>
        <w:t>partes contar</w:t>
      </w:r>
      <w:r w:rsidR="00513361" w:rsidRPr="00337743">
        <w:rPr>
          <w:rFonts w:ascii="Cambria" w:hAnsi="Cambria"/>
          <w:sz w:val="20"/>
          <w:szCs w:val="20"/>
          <w:lang w:val="pt-BR"/>
        </w:rPr>
        <w:t>am</w:t>
      </w:r>
      <w:r w:rsidRPr="00337743">
        <w:rPr>
          <w:rFonts w:ascii="Cambria" w:hAnsi="Cambria"/>
          <w:sz w:val="20"/>
          <w:szCs w:val="20"/>
          <w:lang w:val="pt-BR"/>
        </w:rPr>
        <w:t xml:space="preserve"> com </w:t>
      </w:r>
      <w:r w:rsidR="00E1093D" w:rsidRPr="00337743">
        <w:rPr>
          <w:rFonts w:ascii="Cambria" w:hAnsi="Cambria"/>
          <w:sz w:val="20"/>
          <w:szCs w:val="20"/>
          <w:lang w:val="pt-BR"/>
        </w:rPr>
        <w:t>todos</w:t>
      </w:r>
      <w:r w:rsidR="007707E3" w:rsidRPr="00337743">
        <w:rPr>
          <w:rFonts w:ascii="Cambria" w:hAnsi="Cambria"/>
          <w:sz w:val="20"/>
          <w:szCs w:val="20"/>
          <w:lang w:val="pt-BR"/>
        </w:rPr>
        <w:t xml:space="preserve"> os </w:t>
      </w:r>
      <w:r w:rsidR="00513361" w:rsidRPr="00337743">
        <w:rPr>
          <w:rFonts w:ascii="Cambria" w:hAnsi="Cambria"/>
          <w:sz w:val="20"/>
          <w:szCs w:val="20"/>
          <w:lang w:val="pt-BR"/>
        </w:rPr>
        <w:t>prazo</w:t>
      </w:r>
      <w:r w:rsidR="00E1093D" w:rsidRPr="00337743">
        <w:rPr>
          <w:rFonts w:ascii="Cambria" w:hAnsi="Cambria"/>
          <w:sz w:val="20"/>
          <w:szCs w:val="20"/>
          <w:lang w:val="pt-BR"/>
        </w:rPr>
        <w:t xml:space="preserve">s </w:t>
      </w:r>
      <w:r w:rsidR="008F4787" w:rsidRPr="00337743">
        <w:rPr>
          <w:rFonts w:ascii="Cambria" w:hAnsi="Cambria"/>
          <w:sz w:val="20"/>
          <w:szCs w:val="20"/>
          <w:lang w:val="pt-BR"/>
        </w:rPr>
        <w:t>regulamentares</w:t>
      </w:r>
      <w:r w:rsidR="00E1093D" w:rsidRPr="00337743">
        <w:rPr>
          <w:rFonts w:ascii="Cambria" w:hAnsi="Cambria"/>
          <w:sz w:val="20"/>
          <w:szCs w:val="20"/>
          <w:lang w:val="pt-BR"/>
        </w:rPr>
        <w:t xml:space="preserve"> para </w:t>
      </w:r>
      <w:r w:rsidR="00325DAC" w:rsidRPr="00337743">
        <w:rPr>
          <w:rFonts w:ascii="Cambria" w:hAnsi="Cambria"/>
          <w:sz w:val="20"/>
          <w:szCs w:val="20"/>
          <w:lang w:val="pt-BR"/>
        </w:rPr>
        <w:t>a</w:t>
      </w:r>
      <w:r w:rsidR="00E1093D" w:rsidRPr="00337743">
        <w:rPr>
          <w:rFonts w:ascii="Cambria" w:hAnsi="Cambria"/>
          <w:sz w:val="20"/>
          <w:szCs w:val="20"/>
          <w:lang w:val="pt-BR"/>
        </w:rPr>
        <w:t>presentar su</w:t>
      </w:r>
      <w:r w:rsidR="00321CB1" w:rsidRPr="00337743">
        <w:rPr>
          <w:rFonts w:ascii="Cambria" w:hAnsi="Cambria"/>
          <w:sz w:val="20"/>
          <w:szCs w:val="20"/>
          <w:lang w:val="pt-BR"/>
        </w:rPr>
        <w:t>a</w:t>
      </w:r>
      <w:r w:rsidR="00E1093D" w:rsidRPr="00337743">
        <w:rPr>
          <w:rFonts w:ascii="Cambria" w:hAnsi="Cambria"/>
          <w:sz w:val="20"/>
          <w:szCs w:val="20"/>
          <w:lang w:val="pt-BR"/>
        </w:rPr>
        <w:t>s observa</w:t>
      </w:r>
      <w:r w:rsidR="00350E7E" w:rsidRPr="00337743">
        <w:rPr>
          <w:rFonts w:ascii="Cambria" w:hAnsi="Cambria"/>
          <w:sz w:val="20"/>
          <w:szCs w:val="20"/>
          <w:lang w:val="pt-BR"/>
        </w:rPr>
        <w:t>ções</w:t>
      </w:r>
      <w:r w:rsidR="00E1093D" w:rsidRPr="00337743">
        <w:rPr>
          <w:rFonts w:ascii="Cambria" w:hAnsi="Cambria"/>
          <w:sz w:val="20"/>
          <w:szCs w:val="20"/>
          <w:lang w:val="pt-BR"/>
        </w:rPr>
        <w:t xml:space="preserve"> adicion</w:t>
      </w:r>
      <w:r w:rsidR="007707E3" w:rsidRPr="00337743">
        <w:rPr>
          <w:rFonts w:ascii="Cambria" w:hAnsi="Cambria"/>
          <w:sz w:val="20"/>
          <w:szCs w:val="20"/>
          <w:lang w:val="pt-BR"/>
        </w:rPr>
        <w:t>ais</w:t>
      </w:r>
      <w:r w:rsidR="00E1093D" w:rsidRPr="00337743">
        <w:rPr>
          <w:rFonts w:ascii="Cambria" w:hAnsi="Cambria"/>
          <w:sz w:val="20"/>
          <w:szCs w:val="20"/>
          <w:lang w:val="pt-BR"/>
        </w:rPr>
        <w:t xml:space="preserve"> sobre</w:t>
      </w:r>
      <w:r w:rsidR="00506331" w:rsidRPr="00337743">
        <w:rPr>
          <w:rFonts w:ascii="Cambria" w:hAnsi="Cambria"/>
          <w:sz w:val="20"/>
          <w:szCs w:val="20"/>
          <w:lang w:val="pt-BR"/>
        </w:rPr>
        <w:t xml:space="preserve"> o </w:t>
      </w:r>
      <w:r w:rsidR="00350E7E" w:rsidRPr="00337743">
        <w:rPr>
          <w:rFonts w:ascii="Cambria" w:hAnsi="Cambria"/>
          <w:sz w:val="20"/>
          <w:szCs w:val="20"/>
          <w:lang w:val="pt-BR"/>
        </w:rPr>
        <w:t>mérito</w:t>
      </w:r>
      <w:r w:rsidR="00E1093D" w:rsidRPr="00337743">
        <w:rPr>
          <w:rFonts w:ascii="Cambria" w:hAnsi="Cambria"/>
          <w:sz w:val="20"/>
          <w:szCs w:val="20"/>
          <w:lang w:val="pt-BR"/>
        </w:rPr>
        <w:t>. Toda</w:t>
      </w:r>
      <w:r w:rsidR="00506331" w:rsidRPr="00337743">
        <w:rPr>
          <w:rFonts w:ascii="Cambria" w:hAnsi="Cambria"/>
          <w:sz w:val="20"/>
          <w:szCs w:val="20"/>
          <w:lang w:val="pt-BR"/>
        </w:rPr>
        <w:t xml:space="preserve"> a </w:t>
      </w:r>
      <w:r w:rsidR="00E1093D" w:rsidRPr="00337743">
        <w:rPr>
          <w:rFonts w:ascii="Cambria" w:hAnsi="Cambria"/>
          <w:sz w:val="20"/>
          <w:szCs w:val="20"/>
          <w:lang w:val="pt-BR"/>
        </w:rPr>
        <w:t>informa</w:t>
      </w:r>
      <w:r w:rsidR="00350E7E" w:rsidRPr="00337743">
        <w:rPr>
          <w:rFonts w:ascii="Cambria" w:hAnsi="Cambria"/>
          <w:sz w:val="20"/>
          <w:szCs w:val="20"/>
          <w:lang w:val="pt-BR"/>
        </w:rPr>
        <w:t>ção</w:t>
      </w:r>
      <w:r w:rsidR="00E1093D" w:rsidRPr="00337743">
        <w:rPr>
          <w:rFonts w:ascii="Cambria" w:hAnsi="Cambria"/>
          <w:sz w:val="20"/>
          <w:szCs w:val="20"/>
          <w:lang w:val="pt-BR"/>
        </w:rPr>
        <w:t xml:space="preserve"> </w:t>
      </w:r>
      <w:r w:rsidR="008F4787" w:rsidRPr="00337743">
        <w:rPr>
          <w:rFonts w:ascii="Cambria" w:hAnsi="Cambria"/>
          <w:sz w:val="20"/>
          <w:szCs w:val="20"/>
          <w:lang w:val="pt-BR"/>
        </w:rPr>
        <w:t>recebida</w:t>
      </w:r>
      <w:r w:rsidRPr="00337743">
        <w:rPr>
          <w:rFonts w:ascii="Cambria" w:hAnsi="Cambria"/>
          <w:sz w:val="20"/>
          <w:szCs w:val="20"/>
          <w:lang w:val="pt-BR"/>
        </w:rPr>
        <w:t xml:space="preserve"> foi </w:t>
      </w:r>
      <w:r w:rsidR="00320DBA" w:rsidRPr="00337743">
        <w:rPr>
          <w:rFonts w:ascii="Cambria" w:hAnsi="Cambria"/>
          <w:sz w:val="20"/>
          <w:szCs w:val="20"/>
          <w:lang w:val="pt-BR"/>
        </w:rPr>
        <w:t>devidamente</w:t>
      </w:r>
      <w:r w:rsidR="00E1093D" w:rsidRPr="00337743">
        <w:rPr>
          <w:rFonts w:ascii="Cambria" w:hAnsi="Cambria"/>
          <w:sz w:val="20"/>
          <w:szCs w:val="20"/>
          <w:lang w:val="pt-BR"/>
        </w:rPr>
        <w:t xml:space="preserve"> trasladada entre</w:t>
      </w:r>
      <w:r w:rsidR="007707E3" w:rsidRPr="00337743">
        <w:rPr>
          <w:rFonts w:ascii="Cambria" w:hAnsi="Cambria"/>
          <w:sz w:val="20"/>
          <w:szCs w:val="20"/>
          <w:lang w:val="pt-BR"/>
        </w:rPr>
        <w:t xml:space="preserve"> as </w:t>
      </w:r>
      <w:r w:rsidR="00E1093D" w:rsidRPr="00337743">
        <w:rPr>
          <w:rFonts w:ascii="Cambria" w:hAnsi="Cambria"/>
          <w:sz w:val="20"/>
          <w:szCs w:val="20"/>
          <w:lang w:val="pt-BR"/>
        </w:rPr>
        <w:t>partes.</w:t>
      </w:r>
      <w:r w:rsidR="00EF7978" w:rsidRPr="00337743">
        <w:rPr>
          <w:rFonts w:ascii="Cambria" w:hAnsi="Cambria"/>
          <w:sz w:val="20"/>
          <w:szCs w:val="20"/>
          <w:lang w:val="pt-BR"/>
        </w:rPr>
        <w:t xml:space="preserve"> </w:t>
      </w:r>
    </w:p>
    <w:p w14:paraId="1F769737" w14:textId="77777777" w:rsidR="002A0912" w:rsidRPr="00337743" w:rsidRDefault="002A0912" w:rsidP="002A091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sz w:val="20"/>
          <w:szCs w:val="20"/>
          <w:lang w:val="pt-BR"/>
        </w:rPr>
      </w:pPr>
    </w:p>
    <w:p w14:paraId="2393D959" w14:textId="77777777" w:rsidR="00D83D73" w:rsidRPr="00337743" w:rsidRDefault="00D12193" w:rsidP="002A0912">
      <w:pPr>
        <w:pStyle w:val="Heading1"/>
        <w:spacing w:before="0"/>
        <w:ind w:hanging="90"/>
        <w:rPr>
          <w:color w:val="auto"/>
          <w:sz w:val="20"/>
          <w:szCs w:val="20"/>
          <w:lang w:val="pt-BR"/>
        </w:rPr>
      </w:pPr>
      <w:bookmarkStart w:id="3" w:name="_Toc5890564"/>
      <w:r w:rsidRPr="00337743">
        <w:rPr>
          <w:color w:val="auto"/>
          <w:sz w:val="20"/>
          <w:szCs w:val="20"/>
          <w:lang w:val="pt-BR"/>
        </w:rPr>
        <w:t>ALEGA</w:t>
      </w:r>
      <w:r w:rsidR="00350E7E" w:rsidRPr="00337743">
        <w:rPr>
          <w:color w:val="auto"/>
          <w:sz w:val="20"/>
          <w:szCs w:val="20"/>
          <w:lang w:val="pt-BR"/>
        </w:rPr>
        <w:t>ÇÕE</w:t>
      </w:r>
      <w:r w:rsidRPr="00337743">
        <w:rPr>
          <w:color w:val="auto"/>
          <w:sz w:val="20"/>
          <w:szCs w:val="20"/>
          <w:lang w:val="pt-BR"/>
        </w:rPr>
        <w:t>S DAS PARTES</w:t>
      </w:r>
      <w:bookmarkEnd w:id="3"/>
    </w:p>
    <w:p w14:paraId="7A05DFEE" w14:textId="77777777" w:rsidR="00472955" w:rsidRPr="00337743" w:rsidRDefault="00472955" w:rsidP="00472955">
      <w:pPr>
        <w:rPr>
          <w:rFonts w:ascii="Cambria" w:hAnsi="Cambria"/>
          <w:sz w:val="20"/>
          <w:szCs w:val="20"/>
          <w:lang w:val="pt-BR"/>
        </w:rPr>
      </w:pPr>
    </w:p>
    <w:p w14:paraId="4E6C9AEE" w14:textId="77777777" w:rsidR="00D12193" w:rsidRPr="00337743" w:rsidRDefault="00954DB8" w:rsidP="00472955">
      <w:pPr>
        <w:pStyle w:val="Heading2"/>
        <w:numPr>
          <w:ilvl w:val="0"/>
          <w:numId w:val="57"/>
        </w:numPr>
        <w:spacing w:before="0"/>
        <w:ind w:hanging="90"/>
        <w:rPr>
          <w:rFonts w:ascii="Cambria" w:hAnsi="Cambria"/>
          <w:i w:val="0"/>
          <w:sz w:val="20"/>
          <w:szCs w:val="20"/>
          <w:lang w:val="pt-BR"/>
        </w:rPr>
      </w:pPr>
      <w:bookmarkStart w:id="4" w:name="_Toc5890565"/>
      <w:r w:rsidRPr="00337743">
        <w:rPr>
          <w:rFonts w:ascii="Cambria" w:hAnsi="Cambria"/>
          <w:i w:val="0"/>
          <w:sz w:val="20"/>
          <w:szCs w:val="20"/>
          <w:lang w:val="pt-BR"/>
        </w:rPr>
        <w:t xml:space="preserve">Parte </w:t>
      </w:r>
      <w:r w:rsidR="007707E3" w:rsidRPr="00337743">
        <w:rPr>
          <w:rFonts w:ascii="Cambria" w:hAnsi="Cambria"/>
          <w:i w:val="0"/>
          <w:sz w:val="20"/>
          <w:szCs w:val="20"/>
          <w:lang w:val="pt-BR"/>
        </w:rPr>
        <w:t>peticionária</w:t>
      </w:r>
      <w:bookmarkEnd w:id="4"/>
    </w:p>
    <w:p w14:paraId="378084D6" w14:textId="77777777" w:rsidR="00361415" w:rsidRPr="00337743" w:rsidRDefault="00361415" w:rsidP="00361415">
      <w:pPr>
        <w:suppressAutoHyphens/>
        <w:rPr>
          <w:rFonts w:ascii="Cambria" w:hAnsi="Cambria"/>
          <w:sz w:val="20"/>
          <w:szCs w:val="20"/>
          <w:lang w:val="pt-BR"/>
        </w:rPr>
      </w:pPr>
    </w:p>
    <w:p w14:paraId="5874E08E" w14:textId="77777777" w:rsidR="00BD1F6A" w:rsidRPr="00337743" w:rsidRDefault="0094071D" w:rsidP="00FA1D8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 xml:space="preserve">parte </w:t>
      </w:r>
      <w:r w:rsidR="007707E3" w:rsidRPr="00337743">
        <w:rPr>
          <w:rFonts w:ascii="Cambria" w:hAnsi="Cambria"/>
          <w:color w:val="000000"/>
          <w:sz w:val="20"/>
          <w:szCs w:val="20"/>
          <w:lang w:val="pt-BR"/>
        </w:rPr>
        <w:t>peticionária</w:t>
      </w:r>
      <w:r>
        <w:rPr>
          <w:rFonts w:ascii="Cambria" w:hAnsi="Cambria"/>
          <w:color w:val="000000"/>
          <w:sz w:val="20"/>
          <w:szCs w:val="20"/>
          <w:lang w:val="pt-BR"/>
        </w:rPr>
        <w:t xml:space="preserve"> apontou que</w:t>
      </w:r>
      <w:r w:rsidR="00506331" w:rsidRPr="00337743">
        <w:rPr>
          <w:rFonts w:ascii="Cambria" w:hAnsi="Cambria"/>
          <w:color w:val="000000"/>
          <w:sz w:val="20"/>
          <w:szCs w:val="20"/>
          <w:lang w:val="pt-BR"/>
        </w:rPr>
        <w:t xml:space="preserve"> o </w:t>
      </w:r>
      <w:r w:rsidR="008F4787" w:rsidRPr="00337743">
        <w:rPr>
          <w:rFonts w:ascii="Cambria" w:hAnsi="Cambria"/>
          <w:color w:val="000000"/>
          <w:sz w:val="20"/>
          <w:szCs w:val="20"/>
          <w:lang w:val="pt-BR"/>
        </w:rPr>
        <w:t>corpo</w:t>
      </w:r>
      <w:r w:rsidR="00692950" w:rsidRPr="00337743">
        <w:rPr>
          <w:rFonts w:ascii="Cambria" w:hAnsi="Cambria"/>
          <w:color w:val="000000"/>
          <w:sz w:val="20"/>
          <w:szCs w:val="20"/>
          <w:lang w:val="pt-BR"/>
        </w:rPr>
        <w:t xml:space="preserve"> de Márcia Barbosa de Souza</w:t>
      </w:r>
      <w:r w:rsidR="00091880" w:rsidRPr="00337743">
        <w:rPr>
          <w:rFonts w:ascii="Cambria" w:hAnsi="Cambria"/>
          <w:color w:val="000000"/>
          <w:sz w:val="20"/>
          <w:szCs w:val="20"/>
          <w:lang w:val="pt-BR"/>
        </w:rPr>
        <w:t xml:space="preserve"> foi </w:t>
      </w:r>
      <w:r w:rsidR="00692950" w:rsidRPr="00337743">
        <w:rPr>
          <w:rFonts w:ascii="Cambria" w:hAnsi="Cambria"/>
          <w:color w:val="000000"/>
          <w:sz w:val="20"/>
          <w:szCs w:val="20"/>
          <w:lang w:val="pt-BR"/>
        </w:rPr>
        <w:t>encontrado</w:t>
      </w:r>
      <w:r w:rsidR="00325DAC" w:rsidRPr="00337743">
        <w:rPr>
          <w:rFonts w:ascii="Cambria" w:hAnsi="Cambria"/>
          <w:color w:val="000000"/>
          <w:sz w:val="20"/>
          <w:szCs w:val="20"/>
          <w:lang w:val="pt-BR"/>
        </w:rPr>
        <w:t xml:space="preserve"> sem </w:t>
      </w:r>
      <w:r w:rsidR="00692950" w:rsidRPr="00337743">
        <w:rPr>
          <w:rFonts w:ascii="Cambria" w:hAnsi="Cambria"/>
          <w:color w:val="000000"/>
          <w:sz w:val="20"/>
          <w:szCs w:val="20"/>
          <w:lang w:val="pt-BR"/>
        </w:rPr>
        <w:t>vida</w:t>
      </w:r>
      <w:r w:rsidR="00091880" w:rsidRPr="00337743">
        <w:rPr>
          <w:rFonts w:ascii="Cambria" w:hAnsi="Cambria"/>
          <w:color w:val="000000"/>
          <w:sz w:val="20"/>
          <w:szCs w:val="20"/>
          <w:lang w:val="pt-BR"/>
        </w:rPr>
        <w:t xml:space="preserve"> em um </w:t>
      </w:r>
      <w:r w:rsidR="00692950" w:rsidRPr="00337743">
        <w:rPr>
          <w:rFonts w:ascii="Cambria" w:hAnsi="Cambria"/>
          <w:color w:val="000000"/>
          <w:sz w:val="20"/>
          <w:szCs w:val="20"/>
          <w:lang w:val="pt-BR"/>
        </w:rPr>
        <w:t xml:space="preserve">terreno </w:t>
      </w:r>
      <w:r w:rsidR="008F4787" w:rsidRPr="00337743">
        <w:rPr>
          <w:rFonts w:ascii="Cambria" w:hAnsi="Cambria"/>
          <w:color w:val="000000"/>
          <w:sz w:val="20"/>
          <w:szCs w:val="20"/>
          <w:lang w:val="pt-BR"/>
        </w:rPr>
        <w:t>baldio</w:t>
      </w:r>
      <w:r w:rsidR="00513361" w:rsidRPr="00337743">
        <w:rPr>
          <w:rFonts w:ascii="Cambria" w:hAnsi="Cambria"/>
          <w:color w:val="000000"/>
          <w:sz w:val="20"/>
          <w:szCs w:val="20"/>
          <w:lang w:val="pt-BR"/>
        </w:rPr>
        <w:t xml:space="preserve"> nas </w:t>
      </w:r>
      <w:r>
        <w:rPr>
          <w:rFonts w:ascii="Cambria" w:hAnsi="Cambria"/>
          <w:color w:val="000000"/>
          <w:sz w:val="20"/>
          <w:szCs w:val="20"/>
          <w:lang w:val="pt-BR"/>
        </w:rPr>
        <w:t>cercanias</w:t>
      </w:r>
      <w:r w:rsidR="007707E3" w:rsidRPr="00337743">
        <w:rPr>
          <w:rFonts w:ascii="Cambria" w:hAnsi="Cambria"/>
          <w:color w:val="000000"/>
          <w:sz w:val="20"/>
          <w:szCs w:val="20"/>
          <w:lang w:val="pt-BR"/>
        </w:rPr>
        <w:t xml:space="preserve"> da </w:t>
      </w:r>
      <w:r w:rsidR="008F4787" w:rsidRPr="00337743">
        <w:rPr>
          <w:rFonts w:ascii="Cambria" w:hAnsi="Cambria"/>
          <w:color w:val="000000"/>
          <w:sz w:val="20"/>
          <w:szCs w:val="20"/>
          <w:lang w:val="pt-BR"/>
        </w:rPr>
        <w:t>cidade</w:t>
      </w:r>
      <w:r w:rsidR="00350E7E"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 xml:space="preserve">de João Pessoa, </w:t>
      </w:r>
      <w:r w:rsidR="00513361" w:rsidRPr="00337743">
        <w:rPr>
          <w:rFonts w:ascii="Cambria" w:hAnsi="Cambria"/>
          <w:color w:val="000000"/>
          <w:sz w:val="20"/>
          <w:szCs w:val="20"/>
          <w:lang w:val="pt-BR"/>
        </w:rPr>
        <w:t>c</w:t>
      </w:r>
      <w:r w:rsidR="00692950" w:rsidRPr="00337743">
        <w:rPr>
          <w:rFonts w:ascii="Cambria" w:hAnsi="Cambria"/>
          <w:color w:val="000000"/>
          <w:sz w:val="20"/>
          <w:szCs w:val="20"/>
          <w:lang w:val="pt-BR"/>
        </w:rPr>
        <w:t>apital d</w:t>
      </w:r>
      <w:r w:rsidR="00513361" w:rsidRPr="00337743">
        <w:rPr>
          <w:rFonts w:ascii="Cambria" w:hAnsi="Cambria"/>
          <w:color w:val="000000"/>
          <w:sz w:val="20"/>
          <w:szCs w:val="20"/>
          <w:lang w:val="pt-BR"/>
        </w:rPr>
        <w:t>a</w:t>
      </w:r>
      <w:r w:rsidR="00692950" w:rsidRPr="00337743">
        <w:rPr>
          <w:rFonts w:ascii="Cambria" w:hAnsi="Cambria"/>
          <w:color w:val="000000"/>
          <w:sz w:val="20"/>
          <w:szCs w:val="20"/>
          <w:lang w:val="pt-BR"/>
        </w:rPr>
        <w:t xml:space="preserve"> Paraíba,</w:t>
      </w:r>
      <w:r w:rsidR="00506331" w:rsidRPr="00337743">
        <w:rPr>
          <w:rFonts w:ascii="Cambria" w:hAnsi="Cambria"/>
          <w:color w:val="000000"/>
          <w:sz w:val="20"/>
          <w:szCs w:val="20"/>
          <w:lang w:val="pt-BR"/>
        </w:rPr>
        <w:t xml:space="preserve"> </w:t>
      </w:r>
      <w:r w:rsidR="00513361"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 xml:space="preserve">18 de </w:t>
      </w:r>
      <w:r w:rsidR="008F4787" w:rsidRPr="00337743">
        <w:rPr>
          <w:rFonts w:ascii="Cambria" w:hAnsi="Cambria"/>
          <w:color w:val="000000"/>
          <w:sz w:val="20"/>
          <w:szCs w:val="20"/>
          <w:lang w:val="pt-BR"/>
        </w:rPr>
        <w:t>junho</w:t>
      </w:r>
      <w:r w:rsidR="00692950" w:rsidRPr="00337743">
        <w:rPr>
          <w:rFonts w:ascii="Cambria" w:hAnsi="Cambria"/>
          <w:color w:val="000000"/>
          <w:sz w:val="20"/>
          <w:szCs w:val="20"/>
          <w:lang w:val="pt-BR"/>
        </w:rPr>
        <w:t xml:space="preserve"> de 1998. </w:t>
      </w:r>
      <w:r w:rsidR="003C29CA" w:rsidRPr="00337743">
        <w:rPr>
          <w:rFonts w:ascii="Cambria" w:hAnsi="Cambria"/>
          <w:color w:val="000000"/>
          <w:sz w:val="20"/>
          <w:szCs w:val="20"/>
          <w:lang w:val="pt-BR"/>
        </w:rPr>
        <w:t>Indic</w:t>
      </w:r>
      <w:r w:rsidR="00325DAC" w:rsidRPr="00337743">
        <w:rPr>
          <w:rFonts w:ascii="Cambria" w:hAnsi="Cambria"/>
          <w:color w:val="000000"/>
          <w:sz w:val="20"/>
          <w:szCs w:val="20"/>
          <w:lang w:val="pt-BR"/>
        </w:rPr>
        <w:t xml:space="preserve">ou </w:t>
      </w:r>
      <w:r w:rsidR="003C29CA" w:rsidRPr="00337743">
        <w:rPr>
          <w:rFonts w:ascii="Cambria" w:hAnsi="Cambria"/>
          <w:color w:val="000000"/>
          <w:sz w:val="20"/>
          <w:szCs w:val="20"/>
          <w:lang w:val="pt-BR"/>
        </w:rPr>
        <w:t xml:space="preserve">que </w:t>
      </w:r>
      <w:r w:rsidR="00513361" w:rsidRPr="00337743">
        <w:rPr>
          <w:rFonts w:ascii="Cambria" w:hAnsi="Cambria"/>
          <w:color w:val="000000"/>
          <w:sz w:val="20"/>
          <w:szCs w:val="20"/>
          <w:lang w:val="pt-BR"/>
        </w:rPr>
        <w:t>foi</w:t>
      </w:r>
      <w:r w:rsidR="00692950" w:rsidRPr="00337743">
        <w:rPr>
          <w:rFonts w:ascii="Cambria" w:hAnsi="Cambria"/>
          <w:color w:val="000000"/>
          <w:sz w:val="20"/>
          <w:szCs w:val="20"/>
          <w:lang w:val="pt-BR"/>
        </w:rPr>
        <w:t xml:space="preserve"> inici</w:t>
      </w:r>
      <w:r w:rsidR="00513361" w:rsidRPr="00337743">
        <w:rPr>
          <w:rFonts w:ascii="Cambria" w:hAnsi="Cambria"/>
          <w:color w:val="000000"/>
          <w:sz w:val="20"/>
          <w:szCs w:val="20"/>
          <w:lang w:val="pt-BR"/>
        </w:rPr>
        <w:t>ada</w:t>
      </w:r>
      <w:r w:rsidR="00325DAC" w:rsidRPr="00337743">
        <w:rPr>
          <w:rFonts w:ascii="Cambria" w:hAnsi="Cambria"/>
          <w:color w:val="000000"/>
          <w:sz w:val="20"/>
          <w:szCs w:val="20"/>
          <w:lang w:val="pt-BR"/>
        </w:rPr>
        <w:t xml:space="preserve"> </w:t>
      </w:r>
      <w:r w:rsidR="00091880" w:rsidRPr="00337743">
        <w:rPr>
          <w:rFonts w:ascii="Cambria" w:hAnsi="Cambria"/>
          <w:color w:val="000000"/>
          <w:sz w:val="20"/>
          <w:szCs w:val="20"/>
          <w:lang w:val="pt-BR"/>
        </w:rPr>
        <w:t xml:space="preserve">uma </w:t>
      </w:r>
      <w:r w:rsidR="00692950" w:rsidRPr="00337743">
        <w:rPr>
          <w:rFonts w:ascii="Cambria" w:hAnsi="Cambria"/>
          <w:color w:val="000000"/>
          <w:sz w:val="20"/>
          <w:szCs w:val="20"/>
          <w:lang w:val="pt-BR"/>
        </w:rPr>
        <w:t>investiga</w:t>
      </w:r>
      <w:r w:rsidR="00350E7E" w:rsidRPr="00337743">
        <w:rPr>
          <w:rFonts w:ascii="Cambria" w:hAnsi="Cambria"/>
          <w:color w:val="000000"/>
          <w:sz w:val="20"/>
          <w:szCs w:val="20"/>
          <w:lang w:val="pt-BR"/>
        </w:rPr>
        <w:t>ção</w:t>
      </w:r>
      <w:r w:rsidR="00C6641C" w:rsidRPr="00337743">
        <w:rPr>
          <w:rFonts w:ascii="Cambria" w:hAnsi="Cambria"/>
          <w:color w:val="000000"/>
          <w:sz w:val="20"/>
          <w:szCs w:val="20"/>
          <w:lang w:val="pt-BR"/>
        </w:rPr>
        <w:t xml:space="preserve"> pela </w:t>
      </w:r>
      <w:r w:rsidR="00692950" w:rsidRPr="00337743">
        <w:rPr>
          <w:rFonts w:ascii="Cambria" w:hAnsi="Cambria"/>
          <w:color w:val="000000"/>
          <w:sz w:val="20"/>
          <w:szCs w:val="20"/>
          <w:lang w:val="pt-BR"/>
        </w:rPr>
        <w:t>pol</w:t>
      </w:r>
      <w:r w:rsidR="00321CB1" w:rsidRPr="00337743">
        <w:rPr>
          <w:rFonts w:ascii="Cambria" w:hAnsi="Cambria"/>
          <w:color w:val="000000"/>
          <w:sz w:val="20"/>
          <w:szCs w:val="20"/>
          <w:lang w:val="pt-BR"/>
        </w:rPr>
        <w:t>í</w:t>
      </w:r>
      <w:r w:rsidR="00692950" w:rsidRPr="00337743">
        <w:rPr>
          <w:rFonts w:ascii="Cambria" w:hAnsi="Cambria"/>
          <w:color w:val="000000"/>
          <w:sz w:val="20"/>
          <w:szCs w:val="20"/>
          <w:lang w:val="pt-BR"/>
        </w:rPr>
        <w:t>c</w:t>
      </w:r>
      <w:r w:rsidR="00BF72CE" w:rsidRPr="00337743">
        <w:rPr>
          <w:rFonts w:ascii="Cambria" w:hAnsi="Cambria"/>
          <w:color w:val="000000"/>
          <w:sz w:val="20"/>
          <w:szCs w:val="20"/>
          <w:lang w:val="pt-BR"/>
        </w:rPr>
        <w:t>ia</w:t>
      </w:r>
      <w:r w:rsidR="00692950" w:rsidRPr="00337743">
        <w:rPr>
          <w:rFonts w:ascii="Cambria" w:hAnsi="Cambria"/>
          <w:color w:val="000000"/>
          <w:sz w:val="20"/>
          <w:szCs w:val="20"/>
          <w:lang w:val="pt-BR"/>
        </w:rPr>
        <w:t xml:space="preserve"> local</w:t>
      </w:r>
      <w:r w:rsidR="0006512E" w:rsidRPr="00337743">
        <w:rPr>
          <w:rFonts w:ascii="Cambria" w:hAnsi="Cambria"/>
          <w:color w:val="000000"/>
          <w:sz w:val="20"/>
          <w:szCs w:val="20"/>
          <w:lang w:val="pt-BR"/>
        </w:rPr>
        <w:t>, conclu</w:t>
      </w:r>
      <w:r w:rsidR="00513361" w:rsidRPr="00337743">
        <w:rPr>
          <w:rFonts w:ascii="Cambria" w:hAnsi="Cambria"/>
          <w:color w:val="000000"/>
          <w:sz w:val="20"/>
          <w:szCs w:val="20"/>
          <w:lang w:val="pt-BR"/>
        </w:rPr>
        <w:t>ída em</w:t>
      </w:r>
      <w:r w:rsidR="00506331"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27 de agosto de 1998.</w:t>
      </w:r>
      <w:r w:rsidR="00897125" w:rsidRPr="00337743">
        <w:rPr>
          <w:rFonts w:ascii="Cambria" w:hAnsi="Cambria"/>
          <w:color w:val="000000"/>
          <w:sz w:val="20"/>
          <w:szCs w:val="20"/>
          <w:lang w:val="pt-BR"/>
        </w:rPr>
        <w:t xml:space="preserve"> </w:t>
      </w:r>
      <w:r w:rsidR="00513361" w:rsidRPr="00337743">
        <w:rPr>
          <w:rFonts w:ascii="Cambria" w:hAnsi="Cambria"/>
          <w:color w:val="000000"/>
          <w:sz w:val="20"/>
          <w:szCs w:val="20"/>
          <w:lang w:val="pt-BR"/>
        </w:rPr>
        <w:t>Assin</w:t>
      </w:r>
      <w:r w:rsidR="00897125" w:rsidRPr="00337743">
        <w:rPr>
          <w:rFonts w:ascii="Cambria" w:hAnsi="Cambria"/>
          <w:color w:val="000000"/>
          <w:sz w:val="20"/>
          <w:szCs w:val="20"/>
          <w:lang w:val="pt-BR"/>
        </w:rPr>
        <w:t>al</w:t>
      </w:r>
      <w:r w:rsidR="00325DAC" w:rsidRPr="00337743">
        <w:rPr>
          <w:rFonts w:ascii="Cambria" w:hAnsi="Cambria"/>
          <w:color w:val="000000"/>
          <w:sz w:val="20"/>
          <w:szCs w:val="20"/>
          <w:lang w:val="pt-BR"/>
        </w:rPr>
        <w:t xml:space="preserve">ou </w:t>
      </w:r>
      <w:r w:rsidR="00897125" w:rsidRPr="00337743">
        <w:rPr>
          <w:rFonts w:ascii="Cambria" w:hAnsi="Cambria"/>
          <w:color w:val="000000"/>
          <w:sz w:val="20"/>
          <w:szCs w:val="20"/>
          <w:lang w:val="pt-BR"/>
        </w:rPr>
        <w:t>que s</w:t>
      </w:r>
      <w:r w:rsidR="00692950" w:rsidRPr="00337743">
        <w:rPr>
          <w:rFonts w:ascii="Cambria" w:hAnsi="Cambria"/>
          <w:color w:val="000000"/>
          <w:sz w:val="20"/>
          <w:szCs w:val="20"/>
          <w:lang w:val="pt-BR"/>
        </w:rPr>
        <w:t>e atribu</w:t>
      </w:r>
      <w:r w:rsidR="008F4787" w:rsidRPr="00337743">
        <w:rPr>
          <w:rFonts w:ascii="Cambria" w:hAnsi="Cambria"/>
          <w:color w:val="000000"/>
          <w:sz w:val="20"/>
          <w:szCs w:val="20"/>
          <w:lang w:val="pt-BR"/>
        </w:rPr>
        <w:t>i</w:t>
      </w:r>
      <w:r w:rsidR="00506331" w:rsidRPr="00337743">
        <w:rPr>
          <w:rFonts w:ascii="Cambria" w:hAnsi="Cambria"/>
          <w:color w:val="000000"/>
          <w:sz w:val="20"/>
          <w:szCs w:val="20"/>
          <w:lang w:val="pt-BR"/>
        </w:rPr>
        <w:t xml:space="preserve"> a </w:t>
      </w:r>
      <w:r w:rsidR="00692950" w:rsidRPr="00337743">
        <w:rPr>
          <w:rFonts w:ascii="Cambria" w:hAnsi="Cambria"/>
          <w:color w:val="000000"/>
          <w:sz w:val="20"/>
          <w:szCs w:val="20"/>
          <w:lang w:val="pt-BR"/>
        </w:rPr>
        <w:t>responsabili</w:t>
      </w:r>
      <w:r w:rsidR="00350E7E" w:rsidRPr="00337743">
        <w:rPr>
          <w:rFonts w:ascii="Cambria" w:hAnsi="Cambria"/>
          <w:color w:val="000000"/>
          <w:sz w:val="20"/>
          <w:szCs w:val="20"/>
          <w:lang w:val="pt-BR"/>
        </w:rPr>
        <w:t>dade</w:t>
      </w:r>
      <w:r w:rsidR="007707E3" w:rsidRPr="00337743">
        <w:rPr>
          <w:rFonts w:ascii="Cambria" w:hAnsi="Cambria"/>
          <w:color w:val="000000"/>
          <w:sz w:val="20"/>
          <w:szCs w:val="20"/>
          <w:lang w:val="pt-BR"/>
        </w:rPr>
        <w:t xml:space="preserve"> do </w:t>
      </w:r>
      <w:r w:rsidR="00692950" w:rsidRPr="00337743">
        <w:rPr>
          <w:rFonts w:ascii="Cambria" w:hAnsi="Cambria"/>
          <w:color w:val="000000"/>
          <w:sz w:val="20"/>
          <w:szCs w:val="20"/>
          <w:lang w:val="pt-BR"/>
        </w:rPr>
        <w:t>crime a</w:t>
      </w:r>
      <w:r w:rsidR="00091880" w:rsidRPr="00337743">
        <w:rPr>
          <w:rFonts w:ascii="Cambria" w:hAnsi="Cambria"/>
          <w:color w:val="000000"/>
          <w:sz w:val="20"/>
          <w:szCs w:val="20"/>
          <w:lang w:val="pt-BR"/>
        </w:rPr>
        <w:t xml:space="preserve"> um </w:t>
      </w:r>
      <w:r w:rsidR="003C3F81" w:rsidRPr="00337743">
        <w:rPr>
          <w:rFonts w:ascii="Cambria" w:hAnsi="Cambria"/>
          <w:color w:val="000000"/>
          <w:sz w:val="20"/>
          <w:szCs w:val="20"/>
          <w:lang w:val="pt-BR"/>
        </w:rPr>
        <w:t>ent</w:t>
      </w:r>
      <w:r w:rsidR="00513361" w:rsidRPr="00337743">
        <w:rPr>
          <w:rFonts w:ascii="Cambria" w:hAnsi="Cambria"/>
          <w:color w:val="000000"/>
          <w:sz w:val="20"/>
          <w:szCs w:val="20"/>
          <w:lang w:val="pt-BR"/>
        </w:rPr>
        <w:t>ã</w:t>
      </w:r>
      <w:r w:rsidR="003C3F81" w:rsidRPr="00337743">
        <w:rPr>
          <w:rFonts w:ascii="Cambria" w:hAnsi="Cambria"/>
          <w:color w:val="000000"/>
          <w:sz w:val="20"/>
          <w:szCs w:val="20"/>
          <w:lang w:val="pt-BR"/>
        </w:rPr>
        <w:t xml:space="preserve">o </w:t>
      </w:r>
      <w:r w:rsidR="00114C2E" w:rsidRPr="00337743">
        <w:rPr>
          <w:rFonts w:ascii="Cambria" w:hAnsi="Cambria"/>
          <w:color w:val="000000"/>
          <w:sz w:val="20"/>
          <w:szCs w:val="20"/>
          <w:lang w:val="pt-BR"/>
        </w:rPr>
        <w:t>Deputado</w:t>
      </w:r>
      <w:r w:rsidR="00692950" w:rsidRPr="00337743">
        <w:rPr>
          <w:rFonts w:ascii="Cambria" w:hAnsi="Cambria"/>
          <w:color w:val="000000"/>
          <w:sz w:val="20"/>
          <w:szCs w:val="20"/>
          <w:lang w:val="pt-BR"/>
        </w:rPr>
        <w:t xml:space="preserve"> Estadual,</w:t>
      </w:r>
      <w:r w:rsidR="00506331" w:rsidRPr="00337743">
        <w:rPr>
          <w:rFonts w:ascii="Cambria" w:hAnsi="Cambria"/>
          <w:color w:val="000000"/>
          <w:sz w:val="20"/>
          <w:szCs w:val="20"/>
          <w:lang w:val="pt-BR"/>
        </w:rPr>
        <w:t xml:space="preserve"> o </w:t>
      </w:r>
      <w:r w:rsidR="008F4787" w:rsidRPr="00337743">
        <w:rPr>
          <w:rFonts w:ascii="Cambria" w:hAnsi="Cambria"/>
          <w:color w:val="000000"/>
          <w:sz w:val="20"/>
          <w:szCs w:val="20"/>
          <w:lang w:val="pt-BR"/>
        </w:rPr>
        <w:t>senhor</w:t>
      </w:r>
      <w:r w:rsidR="00D95495"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Aércio Pereira de Lima,</w:t>
      </w:r>
      <w:r w:rsidR="00506331" w:rsidRPr="00337743">
        <w:rPr>
          <w:rFonts w:ascii="Cambria" w:hAnsi="Cambria"/>
          <w:color w:val="000000"/>
          <w:sz w:val="20"/>
          <w:szCs w:val="20"/>
          <w:lang w:val="pt-BR"/>
        </w:rPr>
        <w:t xml:space="preserve"> e </w:t>
      </w:r>
      <w:r w:rsidR="00945038" w:rsidRPr="00337743">
        <w:rPr>
          <w:rFonts w:ascii="Cambria" w:hAnsi="Cambria"/>
          <w:color w:val="000000"/>
          <w:sz w:val="20"/>
          <w:szCs w:val="20"/>
          <w:lang w:val="pt-BR"/>
        </w:rPr>
        <w:t>que</w:t>
      </w:r>
      <w:r w:rsidR="00A618CB" w:rsidRPr="00337743">
        <w:rPr>
          <w:rFonts w:ascii="Cambria" w:hAnsi="Cambria"/>
          <w:color w:val="000000"/>
          <w:sz w:val="20"/>
          <w:szCs w:val="20"/>
          <w:lang w:val="pt-BR"/>
        </w:rPr>
        <w:t>,</w:t>
      </w:r>
      <w:r w:rsidR="00945038" w:rsidRPr="00337743">
        <w:rPr>
          <w:rFonts w:ascii="Cambria" w:hAnsi="Cambria"/>
          <w:color w:val="000000"/>
          <w:sz w:val="20"/>
          <w:szCs w:val="20"/>
          <w:lang w:val="pt-BR"/>
        </w:rPr>
        <w:t xml:space="preserve"> </w:t>
      </w:r>
      <w:r w:rsidR="008F4787" w:rsidRPr="00337743">
        <w:rPr>
          <w:rFonts w:ascii="Cambria" w:hAnsi="Cambria"/>
          <w:color w:val="000000"/>
          <w:sz w:val="20"/>
          <w:szCs w:val="20"/>
          <w:lang w:val="pt-BR"/>
        </w:rPr>
        <w:t>devido</w:t>
      </w:r>
      <w:r w:rsidR="00945038" w:rsidRPr="00337743">
        <w:rPr>
          <w:rFonts w:ascii="Cambria" w:hAnsi="Cambria"/>
          <w:color w:val="000000"/>
          <w:sz w:val="20"/>
          <w:szCs w:val="20"/>
          <w:lang w:val="pt-BR"/>
        </w:rPr>
        <w:t xml:space="preserve"> a </w:t>
      </w:r>
      <w:r w:rsidR="008F4787" w:rsidRPr="00337743">
        <w:rPr>
          <w:rFonts w:ascii="Cambria" w:hAnsi="Cambria"/>
          <w:color w:val="000000"/>
          <w:sz w:val="20"/>
          <w:szCs w:val="20"/>
          <w:lang w:val="pt-BR"/>
        </w:rPr>
        <w:t>seu</w:t>
      </w:r>
      <w:r w:rsidR="00945038" w:rsidRPr="00337743">
        <w:rPr>
          <w:rFonts w:ascii="Cambria" w:hAnsi="Cambria"/>
          <w:color w:val="000000"/>
          <w:sz w:val="20"/>
          <w:szCs w:val="20"/>
          <w:lang w:val="pt-BR"/>
        </w:rPr>
        <w:t xml:space="preserve"> cargo,</w:t>
      </w:r>
      <w:r w:rsidR="00506331" w:rsidRPr="00337743">
        <w:rPr>
          <w:rFonts w:ascii="Cambria" w:hAnsi="Cambria"/>
          <w:color w:val="000000"/>
          <w:sz w:val="20"/>
          <w:szCs w:val="20"/>
          <w:lang w:val="pt-BR"/>
        </w:rPr>
        <w:t xml:space="preserve"> a </w:t>
      </w:r>
      <w:r w:rsidR="00692950" w:rsidRPr="00337743">
        <w:rPr>
          <w:rFonts w:ascii="Cambria" w:hAnsi="Cambria"/>
          <w:color w:val="000000"/>
          <w:sz w:val="20"/>
          <w:szCs w:val="20"/>
          <w:lang w:val="pt-BR"/>
        </w:rPr>
        <w:t>Procurad</w:t>
      </w:r>
      <w:r w:rsidR="00513361" w:rsidRPr="00337743">
        <w:rPr>
          <w:rFonts w:ascii="Cambria" w:hAnsi="Cambria"/>
          <w:color w:val="000000"/>
          <w:sz w:val="20"/>
          <w:szCs w:val="20"/>
          <w:lang w:val="pt-BR"/>
        </w:rPr>
        <w:t>o</w:t>
      </w:r>
      <w:r w:rsidR="00692950" w:rsidRPr="00337743">
        <w:rPr>
          <w:rFonts w:ascii="Cambria" w:hAnsi="Cambria"/>
          <w:color w:val="000000"/>
          <w:sz w:val="20"/>
          <w:szCs w:val="20"/>
          <w:lang w:val="pt-BR"/>
        </w:rPr>
        <w:t>r</w:t>
      </w:r>
      <w:r w:rsidR="00BF72CE" w:rsidRPr="00337743">
        <w:rPr>
          <w:rFonts w:ascii="Cambria" w:hAnsi="Cambria"/>
          <w:color w:val="000000"/>
          <w:sz w:val="20"/>
          <w:szCs w:val="20"/>
          <w:lang w:val="pt-BR"/>
        </w:rPr>
        <w:t>ia</w:t>
      </w:r>
      <w:r w:rsidR="00513361" w:rsidRPr="00337743">
        <w:rPr>
          <w:rFonts w:ascii="Cambria" w:hAnsi="Cambria"/>
          <w:color w:val="000000"/>
          <w:sz w:val="20"/>
          <w:szCs w:val="20"/>
          <w:lang w:val="pt-BR"/>
        </w:rPr>
        <w:t>-</w:t>
      </w:r>
      <w:r w:rsidR="00692950" w:rsidRPr="00337743">
        <w:rPr>
          <w:rFonts w:ascii="Cambria" w:hAnsi="Cambria"/>
          <w:color w:val="000000"/>
          <w:sz w:val="20"/>
          <w:szCs w:val="20"/>
          <w:lang w:val="pt-BR"/>
        </w:rPr>
        <w:t xml:space="preserve">Geral de </w:t>
      </w:r>
      <w:r w:rsidR="00E96C24" w:rsidRPr="00337743">
        <w:rPr>
          <w:rFonts w:ascii="Cambria" w:hAnsi="Cambria"/>
          <w:color w:val="000000"/>
          <w:sz w:val="20"/>
          <w:szCs w:val="20"/>
          <w:lang w:val="pt-BR"/>
        </w:rPr>
        <w:t>Justiça</w:t>
      </w:r>
      <w:r w:rsidR="00692950" w:rsidRPr="00337743">
        <w:rPr>
          <w:rFonts w:ascii="Cambria" w:hAnsi="Cambria"/>
          <w:color w:val="000000"/>
          <w:sz w:val="20"/>
          <w:szCs w:val="20"/>
          <w:lang w:val="pt-BR"/>
        </w:rPr>
        <w:t xml:space="preserve"> se </w:t>
      </w:r>
      <w:r w:rsidR="00ED3785" w:rsidRPr="00337743">
        <w:rPr>
          <w:rFonts w:ascii="Cambria" w:hAnsi="Cambria"/>
          <w:color w:val="000000"/>
          <w:sz w:val="20"/>
          <w:szCs w:val="20"/>
          <w:lang w:val="pt-BR"/>
        </w:rPr>
        <w:t>vi</w:t>
      </w:r>
      <w:r w:rsidR="008F4787" w:rsidRPr="00337743">
        <w:rPr>
          <w:rFonts w:ascii="Cambria" w:hAnsi="Cambria"/>
          <w:color w:val="000000"/>
          <w:sz w:val="20"/>
          <w:szCs w:val="20"/>
          <w:lang w:val="pt-BR"/>
        </w:rPr>
        <w:t>u</w:t>
      </w:r>
      <w:r w:rsidR="00091880" w:rsidRPr="00337743">
        <w:rPr>
          <w:rFonts w:ascii="Cambria" w:hAnsi="Cambria"/>
          <w:color w:val="000000"/>
          <w:sz w:val="20"/>
          <w:szCs w:val="20"/>
          <w:lang w:val="pt-BR"/>
        </w:rPr>
        <w:t xml:space="preserve"> em </w:t>
      </w:r>
      <w:r w:rsidR="00692950" w:rsidRPr="00337743">
        <w:rPr>
          <w:rFonts w:ascii="Cambria" w:hAnsi="Cambria"/>
          <w:color w:val="000000"/>
          <w:sz w:val="20"/>
          <w:szCs w:val="20"/>
          <w:lang w:val="pt-BR"/>
        </w:rPr>
        <w:t>princ</w:t>
      </w:r>
      <w:r w:rsidR="00A618CB" w:rsidRPr="00337743">
        <w:rPr>
          <w:rFonts w:ascii="Cambria" w:hAnsi="Cambria"/>
          <w:color w:val="000000"/>
          <w:sz w:val="20"/>
          <w:szCs w:val="20"/>
          <w:lang w:val="pt-BR"/>
        </w:rPr>
        <w:t>í</w:t>
      </w:r>
      <w:r w:rsidR="00692950" w:rsidRPr="00337743">
        <w:rPr>
          <w:rFonts w:ascii="Cambria" w:hAnsi="Cambria"/>
          <w:color w:val="000000"/>
          <w:sz w:val="20"/>
          <w:szCs w:val="20"/>
          <w:lang w:val="pt-BR"/>
        </w:rPr>
        <w:t xml:space="preserve">pio impedida de </w:t>
      </w:r>
      <w:r w:rsidR="00513361" w:rsidRPr="00337743">
        <w:rPr>
          <w:rFonts w:ascii="Cambria" w:hAnsi="Cambria"/>
          <w:color w:val="000000"/>
          <w:sz w:val="20"/>
          <w:szCs w:val="20"/>
          <w:lang w:val="pt-BR"/>
        </w:rPr>
        <w:t>inici</w:t>
      </w:r>
      <w:r w:rsidR="00692950" w:rsidRPr="00337743">
        <w:rPr>
          <w:rFonts w:ascii="Cambria" w:hAnsi="Cambria"/>
          <w:color w:val="000000"/>
          <w:sz w:val="20"/>
          <w:szCs w:val="20"/>
          <w:lang w:val="pt-BR"/>
        </w:rPr>
        <w:t xml:space="preserve">ar </w:t>
      </w:r>
      <w:r w:rsidR="00513361" w:rsidRPr="00337743">
        <w:rPr>
          <w:rFonts w:ascii="Cambria" w:hAnsi="Cambria"/>
          <w:color w:val="000000"/>
          <w:sz w:val="20"/>
          <w:szCs w:val="20"/>
          <w:lang w:val="pt-BR"/>
        </w:rPr>
        <w:t xml:space="preserve">a </w:t>
      </w:r>
      <w:r w:rsidR="00692950"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692950" w:rsidRPr="00337743">
        <w:rPr>
          <w:rFonts w:ascii="Cambria" w:hAnsi="Cambria"/>
          <w:color w:val="000000"/>
          <w:sz w:val="20"/>
          <w:szCs w:val="20"/>
          <w:lang w:val="pt-BR"/>
        </w:rPr>
        <w:t xml:space="preserve"> penal</w:t>
      </w:r>
      <w:r w:rsidR="00091880" w:rsidRPr="00337743">
        <w:rPr>
          <w:rFonts w:ascii="Cambria" w:hAnsi="Cambria"/>
          <w:color w:val="000000"/>
          <w:sz w:val="20"/>
          <w:szCs w:val="20"/>
          <w:lang w:val="pt-BR"/>
        </w:rPr>
        <w:t xml:space="preserve"> </w:t>
      </w:r>
      <w:r w:rsidR="00003D04" w:rsidRPr="00337743">
        <w:rPr>
          <w:rFonts w:ascii="Cambria" w:hAnsi="Cambria"/>
          <w:color w:val="000000"/>
          <w:sz w:val="20"/>
          <w:szCs w:val="20"/>
          <w:lang w:val="pt-BR"/>
        </w:rPr>
        <w:t>contra</w:t>
      </w:r>
      <w:r w:rsidR="00513361" w:rsidRPr="00337743">
        <w:rPr>
          <w:rFonts w:ascii="Cambria" w:hAnsi="Cambria"/>
          <w:color w:val="000000"/>
          <w:sz w:val="20"/>
          <w:szCs w:val="20"/>
          <w:lang w:val="pt-BR"/>
        </w:rPr>
        <w:t xml:space="preserve"> ele</w:t>
      </w:r>
      <w:r w:rsidR="00692950"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em </w:t>
      </w:r>
      <w:r w:rsidR="00692950" w:rsidRPr="00337743">
        <w:rPr>
          <w:rFonts w:ascii="Cambria" w:hAnsi="Cambria"/>
          <w:color w:val="000000"/>
          <w:sz w:val="20"/>
          <w:szCs w:val="20"/>
          <w:lang w:val="pt-BR"/>
        </w:rPr>
        <w:t>raz</w:t>
      </w:r>
      <w:r w:rsidR="00513361" w:rsidRPr="00337743">
        <w:rPr>
          <w:rFonts w:ascii="Cambria" w:hAnsi="Cambria"/>
          <w:color w:val="000000"/>
          <w:sz w:val="20"/>
          <w:szCs w:val="20"/>
          <w:lang w:val="pt-BR"/>
        </w:rPr>
        <w:t>ão</w:t>
      </w:r>
      <w:r w:rsidR="00692950" w:rsidRPr="00337743">
        <w:rPr>
          <w:rFonts w:ascii="Cambria" w:hAnsi="Cambria"/>
          <w:color w:val="000000"/>
          <w:sz w:val="20"/>
          <w:szCs w:val="20"/>
          <w:lang w:val="pt-BR"/>
        </w:rPr>
        <w:t xml:space="preserve"> de s</w:t>
      </w:r>
      <w:r w:rsidR="00513361" w:rsidRPr="00337743">
        <w:rPr>
          <w:rFonts w:ascii="Cambria" w:hAnsi="Cambria"/>
          <w:color w:val="000000"/>
          <w:sz w:val="20"/>
          <w:szCs w:val="20"/>
          <w:lang w:val="pt-BR"/>
        </w:rPr>
        <w:t>e</w:t>
      </w:r>
      <w:r w:rsidR="00692950" w:rsidRPr="00337743">
        <w:rPr>
          <w:rFonts w:ascii="Cambria" w:hAnsi="Cambria"/>
          <w:color w:val="000000"/>
          <w:sz w:val="20"/>
          <w:szCs w:val="20"/>
          <w:lang w:val="pt-BR"/>
        </w:rPr>
        <w:t>u f</w:t>
      </w:r>
      <w:r w:rsidR="00513361" w:rsidRPr="00337743">
        <w:rPr>
          <w:rFonts w:ascii="Cambria" w:hAnsi="Cambria"/>
          <w:color w:val="000000"/>
          <w:sz w:val="20"/>
          <w:szCs w:val="20"/>
          <w:lang w:val="pt-BR"/>
        </w:rPr>
        <w:t>o</w:t>
      </w:r>
      <w:r w:rsidR="00692950" w:rsidRPr="00337743">
        <w:rPr>
          <w:rFonts w:ascii="Cambria" w:hAnsi="Cambria"/>
          <w:color w:val="000000"/>
          <w:sz w:val="20"/>
          <w:szCs w:val="20"/>
          <w:lang w:val="pt-BR"/>
        </w:rPr>
        <w:t>ro parlamentar,</w:t>
      </w:r>
      <w:r w:rsidR="00BF72CE" w:rsidRPr="00337743">
        <w:rPr>
          <w:rFonts w:ascii="Cambria" w:hAnsi="Cambria"/>
          <w:color w:val="000000"/>
          <w:sz w:val="20"/>
          <w:szCs w:val="20"/>
          <w:lang w:val="pt-BR"/>
        </w:rPr>
        <w:t xml:space="preserve"> </w:t>
      </w:r>
      <w:r w:rsidR="00513361" w:rsidRPr="00337743">
        <w:rPr>
          <w:rFonts w:ascii="Cambria" w:hAnsi="Cambria"/>
          <w:color w:val="000000"/>
          <w:sz w:val="20"/>
          <w:szCs w:val="20"/>
          <w:lang w:val="pt-BR"/>
        </w:rPr>
        <w:t xml:space="preserve">já que </w:t>
      </w:r>
      <w:r w:rsidR="00506331" w:rsidRPr="00337743">
        <w:rPr>
          <w:rFonts w:ascii="Cambria" w:hAnsi="Cambria"/>
          <w:color w:val="000000"/>
          <w:sz w:val="20"/>
          <w:szCs w:val="20"/>
          <w:lang w:val="pt-BR"/>
        </w:rPr>
        <w:t xml:space="preserve">a </w:t>
      </w:r>
      <w:r w:rsidR="008F4787" w:rsidRPr="00337743">
        <w:rPr>
          <w:rFonts w:ascii="Cambria" w:hAnsi="Cambria"/>
          <w:color w:val="000000"/>
          <w:sz w:val="20"/>
          <w:szCs w:val="20"/>
          <w:lang w:val="pt-BR"/>
        </w:rPr>
        <w:t>Assembleia</w:t>
      </w:r>
      <w:r w:rsidR="00692950" w:rsidRPr="00337743">
        <w:rPr>
          <w:rFonts w:ascii="Cambria" w:hAnsi="Cambria"/>
          <w:color w:val="000000"/>
          <w:sz w:val="20"/>
          <w:szCs w:val="20"/>
          <w:lang w:val="pt-BR"/>
        </w:rPr>
        <w:t xml:space="preserve"> </w:t>
      </w:r>
      <w:r w:rsidR="00321CB1" w:rsidRPr="00337743">
        <w:rPr>
          <w:rFonts w:ascii="Cambria" w:hAnsi="Cambria"/>
          <w:color w:val="000000"/>
          <w:sz w:val="20"/>
          <w:szCs w:val="20"/>
          <w:lang w:val="pt-BR"/>
        </w:rPr>
        <w:t>L</w:t>
      </w:r>
      <w:r w:rsidR="00513361" w:rsidRPr="00337743">
        <w:rPr>
          <w:rFonts w:ascii="Cambria" w:hAnsi="Cambria"/>
          <w:color w:val="000000"/>
          <w:sz w:val="20"/>
          <w:szCs w:val="20"/>
          <w:lang w:val="pt-BR"/>
        </w:rPr>
        <w:t>egislativa</w:t>
      </w:r>
      <w:r w:rsidR="00692950" w:rsidRPr="00337743">
        <w:rPr>
          <w:rFonts w:ascii="Cambria" w:hAnsi="Cambria"/>
          <w:color w:val="000000"/>
          <w:sz w:val="20"/>
          <w:szCs w:val="20"/>
          <w:lang w:val="pt-BR"/>
        </w:rPr>
        <w:t xml:space="preserve"> </w:t>
      </w:r>
      <w:r w:rsidR="00513361" w:rsidRPr="00337743">
        <w:rPr>
          <w:rFonts w:ascii="Cambria" w:hAnsi="Cambria"/>
          <w:color w:val="000000"/>
          <w:sz w:val="20"/>
          <w:szCs w:val="20"/>
          <w:lang w:val="pt-BR"/>
        </w:rPr>
        <w:t>não havia c</w:t>
      </w:r>
      <w:r w:rsidR="00692950" w:rsidRPr="00337743">
        <w:rPr>
          <w:rFonts w:ascii="Cambria" w:hAnsi="Cambria"/>
          <w:color w:val="000000"/>
          <w:sz w:val="20"/>
          <w:szCs w:val="20"/>
          <w:lang w:val="pt-BR"/>
        </w:rPr>
        <w:t>onferido</w:t>
      </w:r>
      <w:r w:rsidR="00506331" w:rsidRPr="00337743">
        <w:rPr>
          <w:rFonts w:ascii="Cambria" w:hAnsi="Cambria"/>
          <w:color w:val="000000"/>
          <w:sz w:val="20"/>
          <w:szCs w:val="20"/>
          <w:lang w:val="pt-BR"/>
        </w:rPr>
        <w:t xml:space="preserve"> a </w:t>
      </w:r>
      <w:r w:rsidR="00692950" w:rsidRPr="00337743">
        <w:rPr>
          <w:rFonts w:ascii="Cambria" w:hAnsi="Cambria"/>
          <w:color w:val="000000"/>
          <w:sz w:val="20"/>
          <w:szCs w:val="20"/>
          <w:lang w:val="pt-BR"/>
        </w:rPr>
        <w:t>autoriza</w:t>
      </w:r>
      <w:r w:rsidR="00350E7E" w:rsidRPr="00337743">
        <w:rPr>
          <w:rFonts w:ascii="Cambria" w:hAnsi="Cambria"/>
          <w:color w:val="000000"/>
          <w:sz w:val="20"/>
          <w:szCs w:val="20"/>
          <w:lang w:val="pt-BR"/>
        </w:rPr>
        <w:t>ção</w:t>
      </w:r>
      <w:r w:rsidR="00692950" w:rsidRPr="00337743">
        <w:rPr>
          <w:rFonts w:ascii="Cambria" w:hAnsi="Cambria"/>
          <w:color w:val="000000"/>
          <w:sz w:val="20"/>
          <w:szCs w:val="20"/>
          <w:lang w:val="pt-BR"/>
        </w:rPr>
        <w:t xml:space="preserve"> </w:t>
      </w:r>
      <w:r w:rsidR="00972919" w:rsidRPr="00337743">
        <w:rPr>
          <w:rFonts w:ascii="Cambria" w:hAnsi="Cambria"/>
          <w:color w:val="000000"/>
          <w:sz w:val="20"/>
          <w:szCs w:val="20"/>
          <w:lang w:val="pt-BR"/>
        </w:rPr>
        <w:t>respectiva</w:t>
      </w:r>
      <w:r w:rsidR="003C3F81" w:rsidRPr="00337743">
        <w:rPr>
          <w:rFonts w:ascii="Cambria" w:hAnsi="Cambria"/>
          <w:color w:val="000000"/>
          <w:sz w:val="20"/>
          <w:szCs w:val="20"/>
          <w:lang w:val="pt-BR"/>
        </w:rPr>
        <w:t>,</w:t>
      </w:r>
      <w:r w:rsidR="00513361" w:rsidRPr="00337743">
        <w:rPr>
          <w:rFonts w:ascii="Cambria" w:hAnsi="Cambria"/>
          <w:color w:val="000000"/>
          <w:sz w:val="20"/>
          <w:szCs w:val="20"/>
          <w:lang w:val="pt-BR"/>
        </w:rPr>
        <w:t xml:space="preserve"> nos </w:t>
      </w:r>
      <w:r w:rsidR="003C3F81" w:rsidRPr="00337743">
        <w:rPr>
          <w:rFonts w:ascii="Cambria" w:hAnsi="Cambria"/>
          <w:color w:val="000000"/>
          <w:sz w:val="20"/>
          <w:szCs w:val="20"/>
          <w:lang w:val="pt-BR"/>
        </w:rPr>
        <w:t>t</w:t>
      </w:r>
      <w:r w:rsidR="00321CB1" w:rsidRPr="00337743">
        <w:rPr>
          <w:rFonts w:ascii="Cambria" w:hAnsi="Cambria"/>
          <w:color w:val="000000"/>
          <w:sz w:val="20"/>
          <w:szCs w:val="20"/>
          <w:lang w:val="pt-BR"/>
        </w:rPr>
        <w:t>e</w:t>
      </w:r>
      <w:r w:rsidR="003C3F81" w:rsidRPr="00337743">
        <w:rPr>
          <w:rFonts w:ascii="Cambria" w:hAnsi="Cambria"/>
          <w:color w:val="000000"/>
          <w:sz w:val="20"/>
          <w:szCs w:val="20"/>
          <w:lang w:val="pt-BR"/>
        </w:rPr>
        <w:t>rmos</w:t>
      </w:r>
      <w:r w:rsidR="007707E3" w:rsidRPr="00337743">
        <w:rPr>
          <w:rFonts w:ascii="Cambria" w:hAnsi="Cambria"/>
          <w:color w:val="000000"/>
          <w:sz w:val="20"/>
          <w:szCs w:val="20"/>
          <w:lang w:val="pt-BR"/>
        </w:rPr>
        <w:t xml:space="preserve"> do </w:t>
      </w:r>
      <w:r w:rsidR="00091880" w:rsidRPr="00337743">
        <w:rPr>
          <w:rFonts w:ascii="Cambria" w:hAnsi="Cambria"/>
          <w:color w:val="000000"/>
          <w:sz w:val="20"/>
          <w:szCs w:val="20"/>
          <w:lang w:val="pt-BR"/>
        </w:rPr>
        <w:t>artigo</w:t>
      </w:r>
      <w:r w:rsidR="003C3F81" w:rsidRPr="00337743">
        <w:rPr>
          <w:rFonts w:ascii="Cambria" w:hAnsi="Cambria"/>
          <w:color w:val="000000"/>
          <w:sz w:val="20"/>
          <w:szCs w:val="20"/>
          <w:lang w:val="pt-BR"/>
        </w:rPr>
        <w:t xml:space="preserve"> 53</w:t>
      </w:r>
      <w:r w:rsidR="007707E3" w:rsidRPr="00337743">
        <w:rPr>
          <w:rFonts w:ascii="Cambria" w:hAnsi="Cambria"/>
          <w:color w:val="000000"/>
          <w:sz w:val="20"/>
          <w:szCs w:val="20"/>
          <w:lang w:val="pt-BR"/>
        </w:rPr>
        <w:t xml:space="preserve"> da </w:t>
      </w:r>
      <w:r w:rsidR="008F4787" w:rsidRPr="00337743">
        <w:rPr>
          <w:rFonts w:ascii="Cambria" w:hAnsi="Cambria"/>
          <w:color w:val="000000"/>
          <w:sz w:val="20"/>
          <w:szCs w:val="20"/>
          <w:lang w:val="pt-BR"/>
        </w:rPr>
        <w:t>Constituição</w:t>
      </w:r>
      <w:r w:rsidR="00FE2FF1" w:rsidRPr="00337743">
        <w:rPr>
          <w:rFonts w:ascii="Cambria" w:hAnsi="Cambria"/>
          <w:color w:val="000000"/>
          <w:sz w:val="20"/>
          <w:szCs w:val="20"/>
          <w:lang w:val="pt-BR"/>
        </w:rPr>
        <w:t xml:space="preserve"> (aplic</w:t>
      </w:r>
      <w:r w:rsidR="00513361" w:rsidRPr="00337743">
        <w:rPr>
          <w:rFonts w:ascii="Cambria" w:hAnsi="Cambria"/>
          <w:color w:val="000000"/>
          <w:sz w:val="20"/>
          <w:szCs w:val="20"/>
          <w:lang w:val="pt-BR"/>
        </w:rPr>
        <w:t>ável</w:t>
      </w:r>
      <w:r w:rsidR="00F453EB" w:rsidRPr="00337743">
        <w:rPr>
          <w:rFonts w:ascii="Cambria" w:hAnsi="Cambria"/>
          <w:color w:val="000000"/>
          <w:sz w:val="20"/>
          <w:szCs w:val="20"/>
          <w:lang w:val="pt-BR"/>
        </w:rPr>
        <w:t xml:space="preserve"> aos </w:t>
      </w:r>
      <w:r w:rsidR="00114C2E" w:rsidRPr="00337743">
        <w:rPr>
          <w:rFonts w:ascii="Cambria" w:hAnsi="Cambria"/>
          <w:color w:val="000000"/>
          <w:sz w:val="20"/>
          <w:szCs w:val="20"/>
          <w:lang w:val="pt-BR"/>
        </w:rPr>
        <w:t>Deputado</w:t>
      </w:r>
      <w:r w:rsidR="00FE2FF1" w:rsidRPr="00337743">
        <w:rPr>
          <w:rFonts w:ascii="Cambria" w:hAnsi="Cambria"/>
          <w:color w:val="000000"/>
          <w:sz w:val="20"/>
          <w:szCs w:val="20"/>
          <w:lang w:val="pt-BR"/>
        </w:rPr>
        <w:t>s Estadu</w:t>
      </w:r>
      <w:r w:rsidR="007707E3" w:rsidRPr="00337743">
        <w:rPr>
          <w:rFonts w:ascii="Cambria" w:hAnsi="Cambria"/>
          <w:color w:val="000000"/>
          <w:sz w:val="20"/>
          <w:szCs w:val="20"/>
          <w:lang w:val="pt-BR"/>
        </w:rPr>
        <w:t>ais</w:t>
      </w:r>
      <w:r w:rsidR="00091880" w:rsidRPr="00337743">
        <w:rPr>
          <w:rFonts w:ascii="Cambria" w:hAnsi="Cambria"/>
          <w:color w:val="000000"/>
          <w:sz w:val="20"/>
          <w:szCs w:val="20"/>
          <w:lang w:val="pt-BR"/>
        </w:rPr>
        <w:t xml:space="preserve"> em </w:t>
      </w:r>
      <w:r w:rsidR="00FE2FF1" w:rsidRPr="00337743">
        <w:rPr>
          <w:rFonts w:ascii="Cambria" w:hAnsi="Cambria"/>
          <w:color w:val="000000"/>
          <w:sz w:val="20"/>
          <w:szCs w:val="20"/>
          <w:lang w:val="pt-BR"/>
        </w:rPr>
        <w:t>fun</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091880" w:rsidRPr="00337743">
        <w:rPr>
          <w:rFonts w:ascii="Cambria" w:hAnsi="Cambria"/>
          <w:color w:val="000000"/>
          <w:sz w:val="20"/>
          <w:szCs w:val="20"/>
          <w:lang w:val="pt-BR"/>
        </w:rPr>
        <w:t>artigo</w:t>
      </w:r>
      <w:r w:rsidR="00FE2FF1" w:rsidRPr="00337743">
        <w:rPr>
          <w:rFonts w:ascii="Cambria" w:hAnsi="Cambria"/>
          <w:color w:val="000000"/>
          <w:sz w:val="20"/>
          <w:szCs w:val="20"/>
          <w:lang w:val="pt-BR"/>
        </w:rPr>
        <w:t xml:space="preserve"> 27, par</w:t>
      </w:r>
      <w:r w:rsidR="00321CB1" w:rsidRPr="00337743">
        <w:rPr>
          <w:rFonts w:ascii="Cambria" w:hAnsi="Cambria"/>
          <w:color w:val="000000"/>
          <w:sz w:val="20"/>
          <w:szCs w:val="20"/>
          <w:lang w:val="pt-BR"/>
        </w:rPr>
        <w:t>ágr</w:t>
      </w:r>
      <w:r w:rsidR="00FE2FF1" w:rsidRPr="00337743">
        <w:rPr>
          <w:rFonts w:ascii="Cambria" w:hAnsi="Cambria"/>
          <w:color w:val="000000"/>
          <w:sz w:val="20"/>
          <w:szCs w:val="20"/>
          <w:lang w:val="pt-BR"/>
        </w:rPr>
        <w:t>a</w:t>
      </w:r>
      <w:r w:rsidR="00321CB1" w:rsidRPr="00337743">
        <w:rPr>
          <w:rFonts w:ascii="Cambria" w:hAnsi="Cambria"/>
          <w:color w:val="000000"/>
          <w:sz w:val="20"/>
          <w:szCs w:val="20"/>
          <w:lang w:val="pt-BR"/>
        </w:rPr>
        <w:t>fo</w:t>
      </w:r>
      <w:r w:rsidR="00FE2FF1" w:rsidRPr="00337743">
        <w:rPr>
          <w:rFonts w:ascii="Cambria" w:hAnsi="Cambria"/>
          <w:color w:val="000000"/>
          <w:sz w:val="20"/>
          <w:szCs w:val="20"/>
          <w:lang w:val="pt-BR"/>
        </w:rPr>
        <w:t xml:space="preserve"> 1º)</w:t>
      </w:r>
      <w:r w:rsidR="00692950" w:rsidRPr="00337743">
        <w:rPr>
          <w:rFonts w:ascii="Cambria" w:hAnsi="Cambria"/>
          <w:color w:val="000000"/>
          <w:sz w:val="20"/>
          <w:szCs w:val="20"/>
          <w:lang w:val="pt-BR"/>
        </w:rPr>
        <w:t xml:space="preserve">. </w:t>
      </w:r>
    </w:p>
    <w:p w14:paraId="16D7871F" w14:textId="77777777" w:rsidR="00BD1F6A" w:rsidRPr="00337743" w:rsidRDefault="00BD1F6A" w:rsidP="000D6F2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sz w:val="20"/>
          <w:szCs w:val="20"/>
          <w:lang w:val="pt-BR"/>
        </w:rPr>
      </w:pPr>
    </w:p>
    <w:p w14:paraId="65677A70" w14:textId="77777777" w:rsidR="00AF65CD" w:rsidRPr="00337743" w:rsidRDefault="0094071D" w:rsidP="00FA1D8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Pr>
          <w:rFonts w:ascii="Cambria" w:hAnsi="Cambria"/>
          <w:color w:val="000000"/>
          <w:sz w:val="20"/>
          <w:szCs w:val="20"/>
          <w:lang w:val="pt-BR"/>
        </w:rPr>
        <w:t>A parte peticionária também i</w:t>
      </w:r>
      <w:r w:rsidR="00BD1F6A" w:rsidRPr="00337743">
        <w:rPr>
          <w:rFonts w:ascii="Cambria" w:hAnsi="Cambria"/>
          <w:color w:val="000000"/>
          <w:sz w:val="20"/>
          <w:szCs w:val="20"/>
          <w:lang w:val="pt-BR"/>
        </w:rPr>
        <w:t>ndic</w:t>
      </w:r>
      <w:r w:rsidR="00325DAC" w:rsidRPr="00337743">
        <w:rPr>
          <w:rFonts w:ascii="Cambria" w:hAnsi="Cambria"/>
          <w:color w:val="000000"/>
          <w:sz w:val="20"/>
          <w:szCs w:val="20"/>
          <w:lang w:val="pt-BR"/>
        </w:rPr>
        <w:t xml:space="preserve">ou </w:t>
      </w:r>
      <w:r w:rsidR="00BD1F6A" w:rsidRPr="00337743">
        <w:rPr>
          <w:rFonts w:ascii="Cambria" w:hAnsi="Cambria"/>
          <w:color w:val="000000"/>
          <w:sz w:val="20"/>
          <w:szCs w:val="20"/>
          <w:lang w:val="pt-BR"/>
        </w:rPr>
        <w:t>que</w:t>
      </w:r>
      <w:r w:rsidR="00506331" w:rsidRPr="00337743">
        <w:rPr>
          <w:rFonts w:ascii="Cambria" w:hAnsi="Cambria"/>
          <w:color w:val="000000"/>
          <w:sz w:val="20"/>
          <w:szCs w:val="20"/>
          <w:lang w:val="pt-BR"/>
        </w:rPr>
        <w:t xml:space="preserve"> </w:t>
      </w:r>
      <w:r w:rsidR="00BF72CE"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 xml:space="preserve">20 de </w:t>
      </w:r>
      <w:r w:rsidR="008F4787" w:rsidRPr="00337743">
        <w:rPr>
          <w:rFonts w:ascii="Cambria" w:hAnsi="Cambria"/>
          <w:color w:val="000000"/>
          <w:sz w:val="20"/>
          <w:szCs w:val="20"/>
          <w:lang w:val="pt-BR"/>
        </w:rPr>
        <w:t>dezembro</w:t>
      </w:r>
      <w:r w:rsidR="00692950" w:rsidRPr="00337743">
        <w:rPr>
          <w:rFonts w:ascii="Cambria" w:hAnsi="Cambria"/>
          <w:color w:val="000000"/>
          <w:sz w:val="20"/>
          <w:szCs w:val="20"/>
          <w:lang w:val="pt-BR"/>
        </w:rPr>
        <w:t xml:space="preserve"> de 2001,</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a </w:t>
      </w:r>
      <w:r w:rsidR="0006627A" w:rsidRPr="00337743">
        <w:rPr>
          <w:rFonts w:ascii="Cambria" w:hAnsi="Cambria"/>
          <w:color w:val="000000"/>
          <w:sz w:val="20"/>
          <w:szCs w:val="20"/>
          <w:lang w:val="pt-BR"/>
        </w:rPr>
        <w:t>aprovação</w:t>
      </w:r>
      <w:r w:rsidR="007707E3" w:rsidRPr="00337743">
        <w:rPr>
          <w:rFonts w:ascii="Cambria" w:hAnsi="Cambria"/>
          <w:color w:val="000000"/>
          <w:sz w:val="20"/>
          <w:szCs w:val="20"/>
          <w:lang w:val="pt-BR"/>
        </w:rPr>
        <w:t xml:space="preserve"> da </w:t>
      </w:r>
      <w:r w:rsidR="0006627A" w:rsidRPr="00337743">
        <w:rPr>
          <w:rFonts w:ascii="Cambria" w:hAnsi="Cambria"/>
          <w:color w:val="000000"/>
          <w:sz w:val="20"/>
          <w:szCs w:val="20"/>
          <w:lang w:val="pt-BR"/>
        </w:rPr>
        <w:t>Emenda</w:t>
      </w:r>
      <w:r w:rsidR="00692950" w:rsidRPr="00337743">
        <w:rPr>
          <w:rFonts w:ascii="Cambria" w:hAnsi="Cambria"/>
          <w:color w:val="000000"/>
          <w:sz w:val="20"/>
          <w:szCs w:val="20"/>
          <w:lang w:val="pt-BR"/>
        </w:rPr>
        <w:t xml:space="preserve"> Constitucional nº 35/2001</w:t>
      </w:r>
      <w:r w:rsidR="003C3F81" w:rsidRPr="00337743">
        <w:rPr>
          <w:rFonts w:ascii="Cambria" w:hAnsi="Cambria"/>
          <w:color w:val="000000"/>
          <w:sz w:val="20"/>
          <w:szCs w:val="20"/>
          <w:lang w:val="pt-BR"/>
        </w:rPr>
        <w:t xml:space="preserve"> (que modific</w:t>
      </w:r>
      <w:r w:rsidR="00325DAC" w:rsidRPr="00337743">
        <w:rPr>
          <w:rFonts w:ascii="Cambria" w:hAnsi="Cambria"/>
          <w:color w:val="000000"/>
          <w:sz w:val="20"/>
          <w:szCs w:val="20"/>
          <w:lang w:val="pt-BR"/>
        </w:rPr>
        <w:t xml:space="preserve">ou </w:t>
      </w:r>
      <w:r w:rsidR="00506331" w:rsidRPr="00337743">
        <w:rPr>
          <w:rFonts w:ascii="Cambria" w:hAnsi="Cambria"/>
          <w:color w:val="000000"/>
          <w:sz w:val="20"/>
          <w:szCs w:val="20"/>
          <w:lang w:val="pt-BR"/>
        </w:rPr>
        <w:t xml:space="preserve">o </w:t>
      </w:r>
      <w:r w:rsidR="00091880" w:rsidRPr="00337743">
        <w:rPr>
          <w:rFonts w:ascii="Cambria" w:hAnsi="Cambria"/>
          <w:color w:val="000000"/>
          <w:sz w:val="20"/>
          <w:szCs w:val="20"/>
          <w:lang w:val="pt-BR"/>
        </w:rPr>
        <w:t>artigo</w:t>
      </w:r>
      <w:r w:rsidR="003C3F81" w:rsidRPr="00337743">
        <w:rPr>
          <w:rFonts w:ascii="Cambria" w:hAnsi="Cambria"/>
          <w:color w:val="000000"/>
          <w:sz w:val="20"/>
          <w:szCs w:val="20"/>
          <w:lang w:val="pt-BR"/>
        </w:rPr>
        <w:t xml:space="preserve"> 53</w:t>
      </w:r>
      <w:r w:rsidR="007707E3" w:rsidRPr="00337743">
        <w:rPr>
          <w:rFonts w:ascii="Cambria" w:hAnsi="Cambria"/>
          <w:color w:val="000000"/>
          <w:sz w:val="20"/>
          <w:szCs w:val="20"/>
          <w:lang w:val="pt-BR"/>
        </w:rPr>
        <w:t xml:space="preserve"> da </w:t>
      </w:r>
      <w:r w:rsidR="0006627A" w:rsidRPr="00337743">
        <w:rPr>
          <w:rFonts w:ascii="Cambria" w:hAnsi="Cambria"/>
          <w:color w:val="000000"/>
          <w:sz w:val="20"/>
          <w:szCs w:val="20"/>
          <w:lang w:val="pt-BR"/>
        </w:rPr>
        <w:t>Constituição</w:t>
      </w:r>
      <w:r w:rsidR="003C3F81" w:rsidRPr="00337743">
        <w:rPr>
          <w:rFonts w:ascii="Cambria" w:hAnsi="Cambria"/>
          <w:color w:val="000000"/>
          <w:sz w:val="20"/>
          <w:szCs w:val="20"/>
          <w:lang w:val="pt-BR"/>
        </w:rPr>
        <w:t>)</w:t>
      </w:r>
      <w:r w:rsidR="00692950" w:rsidRPr="00337743">
        <w:rPr>
          <w:rFonts w:ascii="Cambria" w:hAnsi="Cambria"/>
          <w:color w:val="000000"/>
          <w:sz w:val="20"/>
          <w:szCs w:val="20"/>
          <w:lang w:val="pt-BR"/>
        </w:rPr>
        <w:t>, determin</w:t>
      </w:r>
      <w:r w:rsidR="00325DAC" w:rsidRPr="00337743">
        <w:rPr>
          <w:rFonts w:ascii="Cambria" w:hAnsi="Cambria"/>
          <w:color w:val="000000"/>
          <w:sz w:val="20"/>
          <w:szCs w:val="20"/>
          <w:lang w:val="pt-BR"/>
        </w:rPr>
        <w:t>ou</w:t>
      </w:r>
      <w:r w:rsidR="00513361" w:rsidRPr="00337743">
        <w:rPr>
          <w:rFonts w:ascii="Cambria" w:hAnsi="Cambria"/>
          <w:color w:val="000000"/>
          <w:sz w:val="20"/>
          <w:szCs w:val="20"/>
          <w:lang w:val="pt-BR"/>
        </w:rPr>
        <w:t>-se</w:t>
      </w:r>
      <w:r w:rsidR="00325DAC"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que</w:t>
      </w:r>
      <w:r w:rsidR="00506331" w:rsidRPr="00337743">
        <w:rPr>
          <w:rFonts w:ascii="Cambria" w:hAnsi="Cambria"/>
          <w:color w:val="000000"/>
          <w:sz w:val="20"/>
          <w:szCs w:val="20"/>
          <w:lang w:val="pt-BR"/>
        </w:rPr>
        <w:t xml:space="preserve"> a </w:t>
      </w:r>
      <w:r w:rsidR="00692950"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692950" w:rsidRPr="00337743">
        <w:rPr>
          <w:rFonts w:ascii="Cambria" w:hAnsi="Cambria"/>
          <w:color w:val="000000"/>
          <w:sz w:val="20"/>
          <w:szCs w:val="20"/>
          <w:lang w:val="pt-BR"/>
        </w:rPr>
        <w:t xml:space="preserve"> penal contra parlamentar</w:t>
      </w:r>
      <w:r w:rsidR="00BF72CE" w:rsidRPr="00337743">
        <w:rPr>
          <w:rFonts w:ascii="Cambria" w:hAnsi="Cambria"/>
          <w:color w:val="000000"/>
          <w:sz w:val="20"/>
          <w:szCs w:val="20"/>
          <w:lang w:val="pt-BR"/>
        </w:rPr>
        <w:t>e</w:t>
      </w:r>
      <w:r w:rsidR="00692950" w:rsidRPr="00337743">
        <w:rPr>
          <w:rFonts w:ascii="Cambria" w:hAnsi="Cambria"/>
          <w:color w:val="000000"/>
          <w:sz w:val="20"/>
          <w:szCs w:val="20"/>
          <w:lang w:val="pt-BR"/>
        </w:rPr>
        <w:t>s ser</w:t>
      </w:r>
      <w:r w:rsidR="00BF72CE" w:rsidRPr="00337743">
        <w:rPr>
          <w:rFonts w:ascii="Cambria" w:hAnsi="Cambria"/>
          <w:color w:val="000000"/>
          <w:sz w:val="20"/>
          <w:szCs w:val="20"/>
          <w:lang w:val="pt-BR"/>
        </w:rPr>
        <w:t>ia</w:t>
      </w:r>
      <w:r w:rsidR="00692950" w:rsidRPr="00337743">
        <w:rPr>
          <w:rFonts w:ascii="Cambria" w:hAnsi="Cambria"/>
          <w:color w:val="000000"/>
          <w:sz w:val="20"/>
          <w:szCs w:val="20"/>
          <w:lang w:val="pt-BR"/>
        </w:rPr>
        <w:t xml:space="preserve"> admitida </w:t>
      </w:r>
      <w:r w:rsidR="0006627A" w:rsidRPr="00337743">
        <w:rPr>
          <w:rFonts w:ascii="Cambria" w:hAnsi="Cambria"/>
          <w:color w:val="000000"/>
          <w:sz w:val="20"/>
          <w:szCs w:val="20"/>
          <w:lang w:val="pt-BR"/>
        </w:rPr>
        <w:t>independentemente</w:t>
      </w:r>
      <w:r w:rsidR="007707E3" w:rsidRPr="00337743">
        <w:rPr>
          <w:rFonts w:ascii="Cambria" w:hAnsi="Cambria"/>
          <w:color w:val="000000"/>
          <w:sz w:val="20"/>
          <w:szCs w:val="20"/>
          <w:lang w:val="pt-BR"/>
        </w:rPr>
        <w:t xml:space="preserve"> da </w:t>
      </w:r>
      <w:r w:rsidR="00692950" w:rsidRPr="00337743">
        <w:rPr>
          <w:rFonts w:ascii="Cambria" w:hAnsi="Cambria"/>
          <w:color w:val="000000"/>
          <w:sz w:val="20"/>
          <w:szCs w:val="20"/>
          <w:lang w:val="pt-BR"/>
        </w:rPr>
        <w:t>autoriza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da </w:t>
      </w:r>
      <w:r w:rsidR="0006627A" w:rsidRPr="00337743">
        <w:rPr>
          <w:rFonts w:ascii="Cambria" w:hAnsi="Cambria"/>
          <w:color w:val="000000"/>
          <w:sz w:val="20"/>
          <w:szCs w:val="20"/>
          <w:lang w:val="pt-BR"/>
        </w:rPr>
        <w:t>Assembleia</w:t>
      </w:r>
      <w:r w:rsidR="00692950" w:rsidRPr="00337743">
        <w:rPr>
          <w:rFonts w:ascii="Cambria" w:hAnsi="Cambria"/>
          <w:color w:val="000000"/>
          <w:sz w:val="20"/>
          <w:szCs w:val="20"/>
          <w:lang w:val="pt-BR"/>
        </w:rPr>
        <w:t xml:space="preserve"> Legislativa.</w:t>
      </w:r>
      <w:r w:rsidR="00BD1F6A" w:rsidRPr="00337743">
        <w:rPr>
          <w:rFonts w:ascii="Cambria" w:hAnsi="Cambria"/>
          <w:color w:val="000000"/>
          <w:sz w:val="20"/>
          <w:szCs w:val="20"/>
          <w:lang w:val="pt-BR"/>
        </w:rPr>
        <w:t xml:space="preserve"> A</w:t>
      </w:r>
      <w:r w:rsidR="00513361" w:rsidRPr="00337743">
        <w:rPr>
          <w:rFonts w:ascii="Cambria" w:hAnsi="Cambria"/>
          <w:color w:val="000000"/>
          <w:sz w:val="20"/>
          <w:szCs w:val="20"/>
          <w:lang w:val="pt-BR"/>
        </w:rPr>
        <w:t>crescent</w:t>
      </w:r>
      <w:r w:rsidR="00325DAC" w:rsidRPr="00337743">
        <w:rPr>
          <w:rFonts w:ascii="Cambria" w:hAnsi="Cambria"/>
          <w:color w:val="000000"/>
          <w:sz w:val="20"/>
          <w:szCs w:val="20"/>
          <w:lang w:val="pt-BR"/>
        </w:rPr>
        <w:t xml:space="preserve">ou </w:t>
      </w:r>
      <w:r w:rsidR="00BD1F6A" w:rsidRPr="00337743">
        <w:rPr>
          <w:rFonts w:ascii="Cambria" w:hAnsi="Cambria"/>
          <w:color w:val="000000"/>
          <w:sz w:val="20"/>
          <w:szCs w:val="20"/>
          <w:lang w:val="pt-BR"/>
        </w:rPr>
        <w:t>que, apesar d</w:t>
      </w:r>
      <w:r w:rsidR="00BF72CE" w:rsidRPr="00337743">
        <w:rPr>
          <w:rFonts w:ascii="Cambria" w:hAnsi="Cambria"/>
          <w:color w:val="000000"/>
          <w:sz w:val="20"/>
          <w:szCs w:val="20"/>
          <w:lang w:val="pt-BR"/>
        </w:rPr>
        <w:t>iss</w:t>
      </w:r>
      <w:r w:rsidR="00BD1F6A" w:rsidRPr="00337743">
        <w:rPr>
          <w:rFonts w:ascii="Cambria" w:hAnsi="Cambria"/>
          <w:color w:val="000000"/>
          <w:sz w:val="20"/>
          <w:szCs w:val="20"/>
          <w:lang w:val="pt-BR"/>
        </w:rPr>
        <w:t>o,</w:t>
      </w:r>
      <w:r w:rsidR="007707E3" w:rsidRPr="00337743">
        <w:rPr>
          <w:rFonts w:ascii="Cambria" w:hAnsi="Cambria"/>
          <w:color w:val="000000"/>
          <w:sz w:val="20"/>
          <w:szCs w:val="20"/>
          <w:lang w:val="pt-BR"/>
        </w:rPr>
        <w:t xml:space="preserve"> as </w:t>
      </w:r>
      <w:r w:rsidR="00692950" w:rsidRPr="00337743">
        <w:rPr>
          <w:rFonts w:ascii="Cambria" w:hAnsi="Cambria"/>
          <w:color w:val="000000"/>
          <w:sz w:val="20"/>
          <w:szCs w:val="20"/>
          <w:lang w:val="pt-BR"/>
        </w:rPr>
        <w:t>autoridades</w:t>
      </w:r>
      <w:r w:rsidR="00091880" w:rsidRPr="00337743">
        <w:rPr>
          <w:rFonts w:ascii="Cambria" w:hAnsi="Cambria"/>
          <w:color w:val="000000"/>
          <w:sz w:val="20"/>
          <w:szCs w:val="20"/>
          <w:lang w:val="pt-BR"/>
        </w:rPr>
        <w:t xml:space="preserve"> com </w:t>
      </w:r>
      <w:r w:rsidR="0006627A" w:rsidRPr="00337743">
        <w:rPr>
          <w:rFonts w:ascii="Cambria" w:hAnsi="Cambria"/>
          <w:color w:val="000000"/>
          <w:sz w:val="20"/>
          <w:szCs w:val="20"/>
          <w:lang w:val="pt-BR"/>
        </w:rPr>
        <w:t>competência</w:t>
      </w:r>
      <w:r w:rsidR="00091880" w:rsidRPr="00337743">
        <w:rPr>
          <w:rFonts w:ascii="Cambria" w:hAnsi="Cambria"/>
          <w:color w:val="000000"/>
          <w:sz w:val="20"/>
          <w:szCs w:val="20"/>
          <w:lang w:val="pt-BR"/>
        </w:rPr>
        <w:t xml:space="preserve"> </w:t>
      </w:r>
      <w:r w:rsidR="00BF72CE" w:rsidRPr="00337743">
        <w:rPr>
          <w:rFonts w:ascii="Cambria" w:hAnsi="Cambria"/>
          <w:color w:val="000000"/>
          <w:sz w:val="20"/>
          <w:szCs w:val="20"/>
          <w:lang w:val="pt-BR"/>
        </w:rPr>
        <w:t>na</w:t>
      </w:r>
      <w:r w:rsidR="00091880"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Paraíba</w:t>
      </w:r>
      <w:r w:rsidR="00091880" w:rsidRPr="00337743">
        <w:rPr>
          <w:rFonts w:ascii="Cambria" w:hAnsi="Cambria"/>
          <w:color w:val="000000"/>
          <w:sz w:val="20"/>
          <w:szCs w:val="20"/>
          <w:lang w:val="pt-BR"/>
        </w:rPr>
        <w:t xml:space="preserve"> </w:t>
      </w:r>
      <w:r w:rsidR="00BF72CE" w:rsidRPr="00337743">
        <w:rPr>
          <w:rFonts w:ascii="Cambria" w:hAnsi="Cambria"/>
          <w:color w:val="000000"/>
          <w:sz w:val="20"/>
          <w:szCs w:val="20"/>
          <w:lang w:val="pt-BR"/>
        </w:rPr>
        <w:t>só</w:t>
      </w:r>
      <w:r w:rsidR="00091880" w:rsidRPr="00337743">
        <w:rPr>
          <w:rFonts w:ascii="Cambria" w:hAnsi="Cambria"/>
          <w:color w:val="000000"/>
          <w:sz w:val="20"/>
          <w:szCs w:val="20"/>
          <w:lang w:val="pt-BR"/>
        </w:rPr>
        <w:t xml:space="preserve"> </w:t>
      </w:r>
      <w:r w:rsidR="0006627A" w:rsidRPr="00337743">
        <w:rPr>
          <w:rFonts w:ascii="Cambria" w:hAnsi="Cambria"/>
          <w:color w:val="000000"/>
          <w:sz w:val="20"/>
          <w:szCs w:val="20"/>
          <w:lang w:val="pt-BR"/>
        </w:rPr>
        <w:t>reiniciaram</w:t>
      </w:r>
      <w:r w:rsidR="00506331" w:rsidRPr="00337743">
        <w:rPr>
          <w:rFonts w:ascii="Cambria" w:hAnsi="Cambria"/>
          <w:color w:val="000000"/>
          <w:sz w:val="20"/>
          <w:szCs w:val="20"/>
          <w:lang w:val="pt-BR"/>
        </w:rPr>
        <w:t xml:space="preserve"> o </w:t>
      </w:r>
      <w:r w:rsidR="00BF72CE" w:rsidRPr="00337743">
        <w:rPr>
          <w:rFonts w:ascii="Cambria" w:hAnsi="Cambria"/>
          <w:color w:val="000000"/>
          <w:sz w:val="20"/>
          <w:szCs w:val="20"/>
          <w:lang w:val="pt-BR"/>
        </w:rPr>
        <w:t xml:space="preserve">trâmite </w:t>
      </w:r>
      <w:r w:rsidR="007707E3" w:rsidRPr="00337743">
        <w:rPr>
          <w:rFonts w:ascii="Cambria" w:hAnsi="Cambria"/>
          <w:color w:val="000000"/>
          <w:sz w:val="20"/>
          <w:szCs w:val="20"/>
          <w:lang w:val="pt-BR"/>
        </w:rPr>
        <w:t xml:space="preserve">da </w:t>
      </w:r>
      <w:r w:rsidR="00692950"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692950" w:rsidRPr="00337743">
        <w:rPr>
          <w:rFonts w:ascii="Cambria" w:hAnsi="Cambria"/>
          <w:color w:val="000000"/>
          <w:sz w:val="20"/>
          <w:szCs w:val="20"/>
          <w:lang w:val="pt-BR"/>
        </w:rPr>
        <w:t xml:space="preserve"> penal </w:t>
      </w:r>
      <w:r w:rsidR="00BF72CE" w:rsidRPr="00337743">
        <w:rPr>
          <w:rFonts w:ascii="Cambria" w:hAnsi="Cambria"/>
          <w:color w:val="000000"/>
          <w:sz w:val="20"/>
          <w:szCs w:val="20"/>
          <w:lang w:val="pt-BR"/>
        </w:rPr>
        <w:t xml:space="preserve">em </w:t>
      </w:r>
      <w:r w:rsidR="0006627A" w:rsidRPr="00337743">
        <w:rPr>
          <w:rFonts w:ascii="Cambria" w:hAnsi="Cambria"/>
          <w:color w:val="000000"/>
          <w:sz w:val="20"/>
          <w:szCs w:val="20"/>
          <w:lang w:val="pt-BR"/>
        </w:rPr>
        <w:t>março</w:t>
      </w:r>
      <w:r w:rsidR="00692950" w:rsidRPr="00337743">
        <w:rPr>
          <w:rFonts w:ascii="Cambria" w:hAnsi="Cambria"/>
          <w:color w:val="000000"/>
          <w:sz w:val="20"/>
          <w:szCs w:val="20"/>
          <w:lang w:val="pt-BR"/>
        </w:rPr>
        <w:t xml:space="preserve"> de 2003.</w:t>
      </w:r>
      <w:r w:rsidR="00432CAA" w:rsidRPr="00337743">
        <w:rPr>
          <w:rFonts w:ascii="Cambria" w:hAnsi="Cambria"/>
          <w:color w:val="000000"/>
          <w:sz w:val="20"/>
          <w:szCs w:val="20"/>
          <w:lang w:val="pt-BR"/>
        </w:rPr>
        <w:t xml:space="preserve"> Destac</w:t>
      </w:r>
      <w:r w:rsidR="00325DAC" w:rsidRPr="00337743">
        <w:rPr>
          <w:rFonts w:ascii="Cambria" w:hAnsi="Cambria"/>
          <w:color w:val="000000"/>
          <w:sz w:val="20"/>
          <w:szCs w:val="20"/>
          <w:lang w:val="pt-BR"/>
        </w:rPr>
        <w:t xml:space="preserve">ou </w:t>
      </w:r>
      <w:r w:rsidR="00432CAA" w:rsidRPr="00337743">
        <w:rPr>
          <w:rFonts w:ascii="Cambria" w:hAnsi="Cambria"/>
          <w:color w:val="000000"/>
          <w:sz w:val="20"/>
          <w:szCs w:val="20"/>
          <w:lang w:val="pt-BR"/>
        </w:rPr>
        <w:t>que</w:t>
      </w:r>
      <w:r w:rsidR="00506331" w:rsidRPr="00337743">
        <w:rPr>
          <w:rFonts w:ascii="Cambria" w:hAnsi="Cambria"/>
          <w:color w:val="000000"/>
          <w:sz w:val="20"/>
          <w:szCs w:val="20"/>
          <w:lang w:val="pt-BR"/>
        </w:rPr>
        <w:t xml:space="preserve"> a </w:t>
      </w:r>
      <w:r w:rsidR="00692950"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1F5ABA"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tramit</w:t>
      </w:r>
      <w:r w:rsidR="00BF72CE" w:rsidRPr="00337743">
        <w:rPr>
          <w:rFonts w:ascii="Cambria" w:hAnsi="Cambria"/>
          <w:color w:val="000000"/>
          <w:sz w:val="20"/>
          <w:szCs w:val="20"/>
          <w:lang w:val="pt-BR"/>
        </w:rPr>
        <w:t>ou</w:t>
      </w:r>
      <w:r w:rsidR="00091880" w:rsidRPr="00337743">
        <w:rPr>
          <w:rFonts w:ascii="Cambria" w:hAnsi="Cambria"/>
          <w:color w:val="000000"/>
          <w:sz w:val="20"/>
          <w:szCs w:val="20"/>
          <w:lang w:val="pt-BR"/>
        </w:rPr>
        <w:t xml:space="preserve"> com </w:t>
      </w:r>
      <w:r w:rsidR="00692950" w:rsidRPr="00337743">
        <w:rPr>
          <w:rFonts w:ascii="Cambria" w:hAnsi="Cambria"/>
          <w:color w:val="000000"/>
          <w:sz w:val="20"/>
          <w:szCs w:val="20"/>
          <w:lang w:val="pt-BR"/>
        </w:rPr>
        <w:t>extrema lenti</w:t>
      </w:r>
      <w:r w:rsidR="00513361" w:rsidRPr="00337743">
        <w:rPr>
          <w:rFonts w:ascii="Cambria" w:hAnsi="Cambria"/>
          <w:color w:val="000000"/>
          <w:sz w:val="20"/>
          <w:szCs w:val="20"/>
          <w:lang w:val="pt-BR"/>
        </w:rPr>
        <w:t>dão</w:t>
      </w:r>
      <w:r>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1F5ABA" w:rsidRPr="00337743">
        <w:rPr>
          <w:rFonts w:ascii="Cambria" w:hAnsi="Cambria"/>
          <w:color w:val="000000"/>
          <w:sz w:val="20"/>
          <w:szCs w:val="20"/>
          <w:lang w:val="pt-BR"/>
        </w:rPr>
        <w:t xml:space="preserve">que </w:t>
      </w:r>
      <w:r w:rsidR="00692950" w:rsidRPr="00337743">
        <w:rPr>
          <w:rFonts w:ascii="Cambria" w:hAnsi="Cambria"/>
          <w:color w:val="000000"/>
          <w:sz w:val="20"/>
          <w:szCs w:val="20"/>
          <w:lang w:val="pt-BR"/>
        </w:rPr>
        <w:t>Aércio Pereira de Lima só</w:t>
      </w:r>
      <w:r w:rsidR="00091880" w:rsidRPr="00337743">
        <w:rPr>
          <w:rFonts w:ascii="Cambria" w:hAnsi="Cambria"/>
          <w:color w:val="000000"/>
          <w:sz w:val="20"/>
          <w:szCs w:val="20"/>
          <w:lang w:val="pt-BR"/>
        </w:rPr>
        <w:t xml:space="preserve"> foi </w:t>
      </w:r>
      <w:r w:rsidR="0006627A" w:rsidRPr="00337743">
        <w:rPr>
          <w:rFonts w:ascii="Cambria" w:hAnsi="Cambria"/>
          <w:color w:val="000000"/>
          <w:sz w:val="20"/>
          <w:szCs w:val="20"/>
          <w:lang w:val="pt-BR"/>
        </w:rPr>
        <w:t>julgado</w:t>
      </w:r>
      <w:r w:rsidR="00091880" w:rsidRPr="00337743">
        <w:rPr>
          <w:rFonts w:ascii="Cambria" w:hAnsi="Cambria"/>
          <w:color w:val="000000"/>
          <w:sz w:val="20"/>
          <w:szCs w:val="20"/>
          <w:lang w:val="pt-BR"/>
        </w:rPr>
        <w:t xml:space="preserve"> pelo </w:t>
      </w:r>
      <w:r w:rsidR="00692950" w:rsidRPr="00337743">
        <w:rPr>
          <w:rFonts w:ascii="Cambria" w:hAnsi="Cambria"/>
          <w:color w:val="000000"/>
          <w:sz w:val="20"/>
          <w:szCs w:val="20"/>
          <w:lang w:val="pt-BR"/>
        </w:rPr>
        <w:t>Tribunal</w:t>
      </w:r>
      <w:r w:rsidR="007707E3" w:rsidRPr="00337743">
        <w:rPr>
          <w:rFonts w:ascii="Cambria" w:hAnsi="Cambria"/>
          <w:color w:val="000000"/>
          <w:sz w:val="20"/>
          <w:szCs w:val="20"/>
          <w:lang w:val="pt-BR"/>
        </w:rPr>
        <w:t xml:space="preserve"> do </w:t>
      </w:r>
      <w:r w:rsidR="00692950" w:rsidRPr="00337743">
        <w:rPr>
          <w:rFonts w:ascii="Cambria" w:hAnsi="Cambria"/>
          <w:color w:val="000000"/>
          <w:sz w:val="20"/>
          <w:szCs w:val="20"/>
          <w:lang w:val="pt-BR"/>
        </w:rPr>
        <w:t>J</w:t>
      </w:r>
      <w:r w:rsidR="00BF72CE" w:rsidRPr="00337743">
        <w:rPr>
          <w:rFonts w:ascii="Cambria" w:hAnsi="Cambria"/>
          <w:color w:val="000000"/>
          <w:sz w:val="20"/>
          <w:szCs w:val="20"/>
          <w:lang w:val="pt-BR"/>
        </w:rPr>
        <w:t>úri</w:t>
      </w:r>
      <w:r w:rsidR="007707E3" w:rsidRPr="00337743">
        <w:rPr>
          <w:rFonts w:ascii="Cambria" w:hAnsi="Cambria"/>
          <w:color w:val="000000"/>
          <w:sz w:val="20"/>
          <w:szCs w:val="20"/>
          <w:lang w:val="pt-BR"/>
        </w:rPr>
        <w:t xml:space="preserve"> da </w:t>
      </w:r>
      <w:r w:rsidR="00692950" w:rsidRPr="00337743">
        <w:rPr>
          <w:rFonts w:ascii="Cambria" w:hAnsi="Cambria"/>
          <w:color w:val="000000"/>
          <w:sz w:val="20"/>
          <w:szCs w:val="20"/>
          <w:lang w:val="pt-BR"/>
        </w:rPr>
        <w:t>Comarca de João Pessoa</w:t>
      </w:r>
      <w:r w:rsidR="00506331" w:rsidRPr="00337743">
        <w:rPr>
          <w:rFonts w:ascii="Cambria" w:hAnsi="Cambria"/>
          <w:color w:val="000000"/>
          <w:sz w:val="20"/>
          <w:szCs w:val="20"/>
          <w:lang w:val="pt-BR"/>
        </w:rPr>
        <w:t xml:space="preserve"> </w:t>
      </w:r>
      <w:r w:rsidR="00BF72CE"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 xml:space="preserve">27 de </w:t>
      </w:r>
      <w:r w:rsidR="00F9139C" w:rsidRPr="00337743">
        <w:rPr>
          <w:rFonts w:ascii="Cambria" w:hAnsi="Cambria"/>
          <w:color w:val="000000"/>
          <w:sz w:val="20"/>
          <w:szCs w:val="20"/>
          <w:lang w:val="pt-BR"/>
        </w:rPr>
        <w:t>setembro</w:t>
      </w:r>
      <w:r w:rsidR="00692950" w:rsidRPr="00337743">
        <w:rPr>
          <w:rFonts w:ascii="Cambria" w:hAnsi="Cambria"/>
          <w:color w:val="000000"/>
          <w:sz w:val="20"/>
          <w:szCs w:val="20"/>
          <w:lang w:val="pt-BR"/>
        </w:rPr>
        <w:t xml:space="preserve"> de 2007</w:t>
      </w:r>
      <w:r w:rsidR="00BF72CE" w:rsidRPr="00337743">
        <w:rPr>
          <w:rFonts w:ascii="Cambria" w:hAnsi="Cambria"/>
          <w:color w:val="000000"/>
          <w:sz w:val="20"/>
          <w:szCs w:val="20"/>
          <w:lang w:val="pt-BR"/>
        </w:rPr>
        <w:t>,</w:t>
      </w:r>
      <w:r w:rsidR="001F5ABA" w:rsidRPr="00337743">
        <w:rPr>
          <w:rFonts w:ascii="Cambria" w:hAnsi="Cambria"/>
          <w:color w:val="000000"/>
          <w:sz w:val="20"/>
          <w:szCs w:val="20"/>
          <w:lang w:val="pt-BR"/>
        </w:rPr>
        <w:t xml:space="preserve"> </w:t>
      </w:r>
      <w:r w:rsidR="0006627A" w:rsidRPr="00337743">
        <w:rPr>
          <w:rFonts w:ascii="Cambria" w:hAnsi="Cambria"/>
          <w:color w:val="000000"/>
          <w:sz w:val="20"/>
          <w:szCs w:val="20"/>
          <w:lang w:val="pt-BR"/>
        </w:rPr>
        <w:t>sendo</w:t>
      </w:r>
      <w:r w:rsidR="001F5ABA"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 xml:space="preserve">condenado a 16 </w:t>
      </w:r>
      <w:r w:rsidR="0006627A" w:rsidRPr="00337743">
        <w:rPr>
          <w:rFonts w:ascii="Cambria" w:hAnsi="Cambria"/>
          <w:color w:val="000000"/>
          <w:sz w:val="20"/>
          <w:szCs w:val="20"/>
          <w:lang w:val="pt-BR"/>
        </w:rPr>
        <w:t>anos</w:t>
      </w:r>
      <w:r w:rsidR="00692950" w:rsidRPr="00337743">
        <w:rPr>
          <w:rFonts w:ascii="Cambria" w:hAnsi="Cambria"/>
          <w:color w:val="000000"/>
          <w:sz w:val="20"/>
          <w:szCs w:val="20"/>
          <w:lang w:val="pt-BR"/>
        </w:rPr>
        <w:t xml:space="preserve"> de reclus</w:t>
      </w:r>
      <w:r w:rsidR="00BF72CE" w:rsidRPr="00337743">
        <w:rPr>
          <w:rFonts w:ascii="Cambria" w:hAnsi="Cambria"/>
          <w:color w:val="000000"/>
          <w:sz w:val="20"/>
          <w:szCs w:val="20"/>
          <w:lang w:val="pt-BR"/>
        </w:rPr>
        <w:t xml:space="preserve">ão pelos </w:t>
      </w:r>
      <w:r w:rsidR="00513361" w:rsidRPr="00337743">
        <w:rPr>
          <w:rFonts w:ascii="Cambria" w:hAnsi="Cambria"/>
          <w:color w:val="000000"/>
          <w:sz w:val="20"/>
          <w:szCs w:val="20"/>
          <w:lang w:val="pt-BR"/>
        </w:rPr>
        <w:t>crimes</w:t>
      </w:r>
      <w:r w:rsidR="00692950" w:rsidRPr="00337743">
        <w:rPr>
          <w:rFonts w:ascii="Cambria" w:hAnsi="Cambria"/>
          <w:color w:val="000000"/>
          <w:sz w:val="20"/>
          <w:szCs w:val="20"/>
          <w:lang w:val="pt-BR"/>
        </w:rPr>
        <w:t xml:space="preserve"> de </w:t>
      </w:r>
      <w:r w:rsidR="0006627A" w:rsidRPr="00337743">
        <w:rPr>
          <w:rFonts w:ascii="Cambria" w:hAnsi="Cambria"/>
          <w:color w:val="000000"/>
          <w:sz w:val="20"/>
          <w:szCs w:val="20"/>
          <w:lang w:val="pt-BR"/>
        </w:rPr>
        <w:t>homicídio</w:t>
      </w:r>
      <w:r w:rsidR="00506331" w:rsidRPr="00337743">
        <w:rPr>
          <w:rFonts w:ascii="Cambria" w:hAnsi="Cambria"/>
          <w:color w:val="000000"/>
          <w:sz w:val="20"/>
          <w:szCs w:val="20"/>
          <w:lang w:val="pt-BR"/>
        </w:rPr>
        <w:t xml:space="preserve"> e </w:t>
      </w:r>
      <w:r w:rsidR="00692950" w:rsidRPr="00337743">
        <w:rPr>
          <w:rFonts w:ascii="Cambria" w:hAnsi="Cambria"/>
          <w:color w:val="000000"/>
          <w:sz w:val="20"/>
          <w:szCs w:val="20"/>
          <w:lang w:val="pt-BR"/>
        </w:rPr>
        <w:t>oculta</w:t>
      </w:r>
      <w:r w:rsidR="00D60ABE" w:rsidRPr="00337743">
        <w:rPr>
          <w:rFonts w:ascii="Cambria" w:hAnsi="Cambria"/>
          <w:color w:val="000000"/>
          <w:sz w:val="20"/>
          <w:szCs w:val="20"/>
          <w:lang w:val="pt-BR"/>
        </w:rPr>
        <w:t>mento</w:t>
      </w:r>
      <w:r w:rsidR="00692950" w:rsidRPr="00337743">
        <w:rPr>
          <w:rFonts w:ascii="Cambria" w:hAnsi="Cambria"/>
          <w:color w:val="000000"/>
          <w:sz w:val="20"/>
          <w:szCs w:val="20"/>
          <w:lang w:val="pt-BR"/>
        </w:rPr>
        <w:t xml:space="preserve"> de cadáver</w:t>
      </w:r>
      <w:r>
        <w:rPr>
          <w:rFonts w:ascii="Cambria" w:hAnsi="Cambria"/>
          <w:color w:val="000000"/>
          <w:sz w:val="20"/>
          <w:szCs w:val="20"/>
          <w:lang w:val="pt-BR"/>
        </w:rPr>
        <w:t>; e que o mesmo Aércio</w:t>
      </w:r>
      <w:r w:rsidR="00692950" w:rsidRPr="00337743">
        <w:rPr>
          <w:rFonts w:ascii="Cambria" w:hAnsi="Cambria"/>
          <w:color w:val="000000"/>
          <w:sz w:val="20"/>
          <w:szCs w:val="20"/>
          <w:lang w:val="pt-BR"/>
        </w:rPr>
        <w:t xml:space="preserve"> rec</w:t>
      </w:r>
      <w:r w:rsidR="00513361" w:rsidRPr="00337743">
        <w:rPr>
          <w:rFonts w:ascii="Cambria" w:hAnsi="Cambria"/>
          <w:color w:val="000000"/>
          <w:sz w:val="20"/>
          <w:szCs w:val="20"/>
          <w:lang w:val="pt-BR"/>
        </w:rPr>
        <w:t>orreu</w:t>
      </w:r>
      <w:r w:rsidR="00091880" w:rsidRPr="00337743">
        <w:rPr>
          <w:rFonts w:ascii="Cambria" w:hAnsi="Cambria"/>
          <w:color w:val="000000"/>
          <w:sz w:val="20"/>
          <w:szCs w:val="20"/>
          <w:lang w:val="pt-BR"/>
        </w:rPr>
        <w:t xml:space="preserve"> em </w:t>
      </w:r>
      <w:r w:rsidR="0006627A" w:rsidRPr="00337743">
        <w:rPr>
          <w:rFonts w:ascii="Cambria" w:hAnsi="Cambria"/>
          <w:color w:val="000000"/>
          <w:sz w:val="20"/>
          <w:szCs w:val="20"/>
          <w:lang w:val="pt-BR"/>
        </w:rPr>
        <w:t>liberdade</w:t>
      </w:r>
      <w:r w:rsidR="00692950" w:rsidRPr="00337743">
        <w:rPr>
          <w:rFonts w:ascii="Cambria" w:hAnsi="Cambria"/>
          <w:color w:val="000000"/>
          <w:sz w:val="20"/>
          <w:szCs w:val="20"/>
          <w:lang w:val="pt-BR"/>
        </w:rPr>
        <w:t xml:space="preserve">. </w:t>
      </w:r>
      <w:r w:rsidR="00EA36D8" w:rsidRPr="00337743">
        <w:rPr>
          <w:rFonts w:ascii="Cambria" w:hAnsi="Cambria"/>
          <w:color w:val="000000"/>
          <w:sz w:val="20"/>
          <w:szCs w:val="20"/>
          <w:lang w:val="pt-BR"/>
        </w:rPr>
        <w:t>A</w:t>
      </w:r>
      <w:r w:rsidR="00513361" w:rsidRPr="00337743">
        <w:rPr>
          <w:rFonts w:ascii="Cambria" w:hAnsi="Cambria"/>
          <w:color w:val="000000"/>
          <w:sz w:val="20"/>
          <w:szCs w:val="20"/>
          <w:lang w:val="pt-BR"/>
        </w:rPr>
        <w:t>crescentou</w:t>
      </w:r>
      <w:r w:rsidR="00EA36D8"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w:t>
      </w:r>
      <w:r w:rsidR="00513361"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692950" w:rsidRPr="00337743">
        <w:rPr>
          <w:rFonts w:ascii="Cambria" w:hAnsi="Cambria"/>
          <w:color w:val="000000"/>
          <w:sz w:val="20"/>
          <w:szCs w:val="20"/>
          <w:lang w:val="pt-BR"/>
        </w:rPr>
        <w:t xml:space="preserve">12 de </w:t>
      </w:r>
      <w:r w:rsidR="00B1530D" w:rsidRPr="00337743">
        <w:rPr>
          <w:rFonts w:ascii="Cambria" w:hAnsi="Cambria"/>
          <w:color w:val="000000"/>
          <w:sz w:val="20"/>
          <w:szCs w:val="20"/>
          <w:lang w:val="pt-BR"/>
        </w:rPr>
        <w:t>fevereiro</w:t>
      </w:r>
      <w:r w:rsidR="00692950" w:rsidRPr="00337743">
        <w:rPr>
          <w:rFonts w:ascii="Cambria" w:hAnsi="Cambria"/>
          <w:color w:val="000000"/>
          <w:sz w:val="20"/>
          <w:szCs w:val="20"/>
          <w:lang w:val="pt-BR"/>
        </w:rPr>
        <w:t xml:space="preserve"> de 2008 </w:t>
      </w:r>
      <w:r w:rsidR="00B1530D" w:rsidRPr="00337743">
        <w:rPr>
          <w:rFonts w:ascii="Cambria" w:hAnsi="Cambria"/>
          <w:color w:val="000000"/>
          <w:sz w:val="20"/>
          <w:szCs w:val="20"/>
          <w:lang w:val="pt-BR"/>
        </w:rPr>
        <w:t>tomou</w:t>
      </w:r>
      <w:r w:rsidR="00F14A52"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conhecimento</w:t>
      </w:r>
      <w:r w:rsidR="00F14A52" w:rsidRPr="00337743">
        <w:rPr>
          <w:rFonts w:ascii="Cambria" w:hAnsi="Cambria"/>
          <w:color w:val="000000"/>
          <w:sz w:val="20"/>
          <w:szCs w:val="20"/>
          <w:lang w:val="pt-BR"/>
        </w:rPr>
        <w:t xml:space="preserve"> </w:t>
      </w:r>
      <w:r>
        <w:rPr>
          <w:rFonts w:ascii="Cambria" w:hAnsi="Cambria"/>
          <w:color w:val="000000"/>
          <w:sz w:val="20"/>
          <w:szCs w:val="20"/>
          <w:lang w:val="pt-BR"/>
        </w:rPr>
        <w:t>do</w:t>
      </w:r>
      <w:r w:rsidR="00692950"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falecimento</w:t>
      </w:r>
      <w:r>
        <w:rPr>
          <w:rFonts w:ascii="Cambria" w:hAnsi="Cambria"/>
          <w:color w:val="000000"/>
          <w:sz w:val="20"/>
          <w:szCs w:val="20"/>
          <w:lang w:val="pt-BR"/>
        </w:rPr>
        <w:t xml:space="preserve"> do ex-deputado por causas naturais</w:t>
      </w:r>
      <w:r w:rsidR="00F14A52" w:rsidRPr="00337743">
        <w:rPr>
          <w:rFonts w:ascii="Cambria" w:hAnsi="Cambria"/>
          <w:color w:val="000000"/>
          <w:sz w:val="20"/>
          <w:szCs w:val="20"/>
          <w:lang w:val="pt-BR"/>
        </w:rPr>
        <w:t>, situa</w:t>
      </w:r>
      <w:r w:rsidR="00350E7E" w:rsidRPr="00337743">
        <w:rPr>
          <w:rFonts w:ascii="Cambria" w:hAnsi="Cambria"/>
          <w:color w:val="000000"/>
          <w:sz w:val="20"/>
          <w:szCs w:val="20"/>
          <w:lang w:val="pt-BR"/>
        </w:rPr>
        <w:t>ção</w:t>
      </w:r>
      <w:r w:rsidR="00F14A52" w:rsidRPr="00337743">
        <w:rPr>
          <w:rFonts w:ascii="Cambria" w:hAnsi="Cambria"/>
          <w:color w:val="000000"/>
          <w:sz w:val="20"/>
          <w:szCs w:val="20"/>
          <w:lang w:val="pt-BR"/>
        </w:rPr>
        <w:t xml:space="preserve"> que </w:t>
      </w:r>
      <w:r w:rsidR="00B1530D" w:rsidRPr="00337743">
        <w:rPr>
          <w:rFonts w:ascii="Cambria" w:hAnsi="Cambria"/>
          <w:color w:val="000000"/>
          <w:sz w:val="20"/>
          <w:szCs w:val="20"/>
          <w:lang w:val="pt-BR"/>
        </w:rPr>
        <w:t>extinguiu</w:t>
      </w:r>
      <w:r w:rsidR="00506331" w:rsidRPr="00337743">
        <w:rPr>
          <w:rFonts w:ascii="Cambria" w:hAnsi="Cambria"/>
          <w:color w:val="000000"/>
          <w:sz w:val="20"/>
          <w:szCs w:val="20"/>
          <w:lang w:val="pt-BR"/>
        </w:rPr>
        <w:t xml:space="preserve"> a </w:t>
      </w:r>
      <w:r w:rsidR="00FE2FF1" w:rsidRPr="00337743">
        <w:rPr>
          <w:rFonts w:ascii="Cambria" w:hAnsi="Cambria"/>
          <w:color w:val="000000"/>
          <w:sz w:val="20"/>
          <w:szCs w:val="20"/>
          <w:lang w:val="pt-BR"/>
        </w:rPr>
        <w:t>punibili</w:t>
      </w:r>
      <w:r w:rsidR="00350E7E" w:rsidRPr="00337743">
        <w:rPr>
          <w:rFonts w:ascii="Cambria" w:hAnsi="Cambria"/>
          <w:color w:val="000000"/>
          <w:sz w:val="20"/>
          <w:szCs w:val="20"/>
          <w:lang w:val="pt-BR"/>
        </w:rPr>
        <w:t>dade</w:t>
      </w:r>
      <w:r w:rsidR="00506331" w:rsidRPr="00337743">
        <w:rPr>
          <w:rFonts w:ascii="Cambria" w:hAnsi="Cambria"/>
          <w:color w:val="000000"/>
          <w:sz w:val="20"/>
          <w:szCs w:val="20"/>
          <w:lang w:val="pt-BR"/>
        </w:rPr>
        <w:t xml:space="preserve"> e </w:t>
      </w:r>
      <w:r w:rsidR="00FE2FF1" w:rsidRPr="00337743">
        <w:rPr>
          <w:rFonts w:ascii="Cambria" w:hAnsi="Cambria"/>
          <w:color w:val="000000"/>
          <w:sz w:val="20"/>
          <w:szCs w:val="20"/>
          <w:lang w:val="pt-BR"/>
        </w:rPr>
        <w:t>result</w:t>
      </w:r>
      <w:r w:rsidR="00B1530D" w:rsidRPr="00337743">
        <w:rPr>
          <w:rFonts w:ascii="Cambria" w:hAnsi="Cambria"/>
          <w:color w:val="000000"/>
          <w:sz w:val="20"/>
          <w:szCs w:val="20"/>
          <w:lang w:val="pt-BR"/>
        </w:rPr>
        <w:t>ou</w:t>
      </w:r>
      <w:r w:rsidR="00091880" w:rsidRPr="00337743">
        <w:rPr>
          <w:rFonts w:ascii="Cambria" w:hAnsi="Cambria"/>
          <w:color w:val="000000"/>
          <w:sz w:val="20"/>
          <w:szCs w:val="20"/>
          <w:lang w:val="pt-BR"/>
        </w:rPr>
        <w:t xml:space="preserve"> no </w:t>
      </w:r>
      <w:r w:rsidR="00FE2FF1" w:rsidRPr="00337743">
        <w:rPr>
          <w:rFonts w:ascii="Cambria" w:hAnsi="Cambria"/>
          <w:color w:val="000000"/>
          <w:sz w:val="20"/>
          <w:szCs w:val="20"/>
          <w:lang w:val="pt-BR"/>
        </w:rPr>
        <w:t>ar</w:t>
      </w:r>
      <w:r w:rsidR="00F453EB" w:rsidRPr="00337743">
        <w:rPr>
          <w:rFonts w:ascii="Cambria" w:hAnsi="Cambria"/>
          <w:color w:val="000000"/>
          <w:sz w:val="20"/>
          <w:szCs w:val="20"/>
          <w:lang w:val="pt-BR"/>
        </w:rPr>
        <w:t>quivament</w:t>
      </w:r>
      <w:r w:rsidR="00F14A52" w:rsidRPr="00337743">
        <w:rPr>
          <w:rFonts w:ascii="Cambria" w:hAnsi="Cambria"/>
          <w:color w:val="000000"/>
          <w:sz w:val="20"/>
          <w:szCs w:val="20"/>
          <w:lang w:val="pt-BR"/>
        </w:rPr>
        <w:t>o</w:t>
      </w:r>
      <w:r w:rsidR="007707E3" w:rsidRPr="00337743">
        <w:rPr>
          <w:rFonts w:ascii="Cambria" w:hAnsi="Cambria"/>
          <w:color w:val="000000"/>
          <w:sz w:val="20"/>
          <w:szCs w:val="20"/>
          <w:lang w:val="pt-BR"/>
        </w:rPr>
        <w:t xml:space="preserve"> do </w:t>
      </w:r>
      <w:r w:rsidR="00B1530D" w:rsidRPr="00337743">
        <w:rPr>
          <w:rFonts w:ascii="Cambria" w:hAnsi="Cambria"/>
          <w:color w:val="000000"/>
          <w:sz w:val="20"/>
          <w:szCs w:val="20"/>
          <w:lang w:val="pt-BR"/>
        </w:rPr>
        <w:t>processo</w:t>
      </w:r>
      <w:r w:rsidR="00FE2FF1" w:rsidRPr="00337743">
        <w:rPr>
          <w:rFonts w:ascii="Cambria" w:hAnsi="Cambria"/>
          <w:color w:val="000000"/>
          <w:sz w:val="20"/>
          <w:szCs w:val="20"/>
          <w:lang w:val="pt-BR"/>
        </w:rPr>
        <w:t>.</w:t>
      </w:r>
    </w:p>
    <w:p w14:paraId="4DD11425" w14:textId="77777777" w:rsidR="00E40287" w:rsidRPr="00337743" w:rsidRDefault="00E40287" w:rsidP="00AF65C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sz w:val="20"/>
          <w:szCs w:val="20"/>
          <w:lang w:val="pt-BR"/>
        </w:rPr>
      </w:pPr>
    </w:p>
    <w:p w14:paraId="68FEBA23" w14:textId="77777777" w:rsidR="00166189" w:rsidRPr="00337743" w:rsidRDefault="00513361" w:rsidP="00FA1D8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bookmarkStart w:id="5" w:name="_Hlk527559483"/>
      <w:r w:rsidRPr="00337743">
        <w:rPr>
          <w:rFonts w:ascii="Cambria" w:hAnsi="Cambria"/>
          <w:color w:val="000000"/>
          <w:sz w:val="20"/>
          <w:szCs w:val="20"/>
          <w:lang w:val="pt-BR"/>
        </w:rPr>
        <w:t>A</w:t>
      </w:r>
      <w:r w:rsidR="00A65DA9" w:rsidRPr="00337743">
        <w:rPr>
          <w:rFonts w:ascii="Cambria" w:hAnsi="Cambria"/>
          <w:color w:val="000000"/>
          <w:sz w:val="20"/>
          <w:szCs w:val="20"/>
          <w:lang w:val="pt-BR"/>
        </w:rPr>
        <w:t xml:space="preserve"> parte </w:t>
      </w:r>
      <w:r w:rsidR="007707E3" w:rsidRPr="00337743">
        <w:rPr>
          <w:rFonts w:ascii="Cambria" w:hAnsi="Cambria"/>
          <w:color w:val="000000"/>
          <w:sz w:val="20"/>
          <w:szCs w:val="20"/>
          <w:lang w:val="pt-BR"/>
        </w:rPr>
        <w:t>peticionária</w:t>
      </w:r>
      <w:bookmarkEnd w:id="5"/>
      <w:r w:rsidR="009F4A05" w:rsidRPr="00337743">
        <w:rPr>
          <w:rFonts w:ascii="Cambria" w:hAnsi="Cambria"/>
          <w:color w:val="000000"/>
          <w:sz w:val="20"/>
          <w:szCs w:val="20"/>
          <w:lang w:val="pt-BR"/>
        </w:rPr>
        <w:t xml:space="preserve"> </w:t>
      </w:r>
      <w:r w:rsidRPr="00337743">
        <w:rPr>
          <w:rFonts w:ascii="Cambria" w:hAnsi="Cambria"/>
          <w:color w:val="000000"/>
          <w:sz w:val="20"/>
          <w:szCs w:val="20"/>
          <w:lang w:val="pt-BR"/>
        </w:rPr>
        <w:t>afirma</w:t>
      </w:r>
      <w:r w:rsidR="009F4A05"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im</w:t>
      </w:r>
      <w:r w:rsidR="009F4A05"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009F4A05" w:rsidRPr="00337743">
        <w:rPr>
          <w:rFonts w:ascii="Cambria" w:hAnsi="Cambria"/>
          <w:color w:val="000000"/>
          <w:sz w:val="20"/>
          <w:szCs w:val="20"/>
          <w:lang w:val="pt-BR"/>
        </w:rPr>
        <w:t>parlamentar viol</w:t>
      </w:r>
      <w:r w:rsidRPr="00337743">
        <w:rPr>
          <w:rFonts w:ascii="Cambria" w:hAnsi="Cambria"/>
          <w:color w:val="000000"/>
          <w:sz w:val="20"/>
          <w:szCs w:val="20"/>
          <w:lang w:val="pt-BR"/>
        </w:rPr>
        <w:t>ou</w:t>
      </w:r>
      <w:r w:rsidR="00506331" w:rsidRPr="00337743">
        <w:rPr>
          <w:rFonts w:ascii="Cambria" w:hAnsi="Cambria"/>
          <w:color w:val="000000"/>
          <w:sz w:val="20"/>
          <w:szCs w:val="20"/>
          <w:lang w:val="pt-BR"/>
        </w:rPr>
        <w:t xml:space="preserve"> o </w:t>
      </w:r>
      <w:r w:rsidR="00350E7E" w:rsidRPr="00337743">
        <w:rPr>
          <w:rFonts w:ascii="Cambria" w:hAnsi="Cambria"/>
          <w:color w:val="000000"/>
          <w:sz w:val="20"/>
          <w:szCs w:val="20"/>
          <w:lang w:val="pt-BR"/>
        </w:rPr>
        <w:t>direito</w:t>
      </w:r>
      <w:r w:rsidR="00F453EB" w:rsidRPr="00337743">
        <w:rPr>
          <w:rFonts w:ascii="Cambria" w:hAnsi="Cambria"/>
          <w:color w:val="000000"/>
          <w:sz w:val="20"/>
          <w:szCs w:val="20"/>
          <w:lang w:val="pt-BR"/>
        </w:rPr>
        <w:t xml:space="preserve"> à </w:t>
      </w:r>
      <w:r w:rsidR="00B1530D" w:rsidRPr="00337743">
        <w:rPr>
          <w:rFonts w:ascii="Cambria" w:hAnsi="Cambria"/>
          <w:color w:val="000000"/>
          <w:sz w:val="20"/>
          <w:szCs w:val="20"/>
          <w:lang w:val="pt-BR"/>
        </w:rPr>
        <w:t>igualdade</w:t>
      </w:r>
      <w:r w:rsidR="009F4A05" w:rsidRPr="00337743">
        <w:rPr>
          <w:rFonts w:ascii="Cambria" w:hAnsi="Cambria"/>
          <w:color w:val="000000"/>
          <w:sz w:val="20"/>
          <w:szCs w:val="20"/>
          <w:lang w:val="pt-BR"/>
        </w:rPr>
        <w:t>, p</w:t>
      </w:r>
      <w:r w:rsidRPr="00337743">
        <w:rPr>
          <w:rFonts w:ascii="Cambria" w:hAnsi="Cambria"/>
          <w:color w:val="000000"/>
          <w:sz w:val="20"/>
          <w:szCs w:val="20"/>
          <w:lang w:val="pt-BR"/>
        </w:rPr>
        <w:t>oi</w:t>
      </w:r>
      <w:r w:rsidR="009F4A05" w:rsidRPr="00337743">
        <w:rPr>
          <w:rFonts w:ascii="Cambria" w:hAnsi="Cambria"/>
          <w:color w:val="000000"/>
          <w:sz w:val="20"/>
          <w:szCs w:val="20"/>
          <w:lang w:val="pt-BR"/>
        </w:rPr>
        <w:t>s represent</w:t>
      </w:r>
      <w:r w:rsidRPr="00337743">
        <w:rPr>
          <w:rFonts w:ascii="Cambria" w:hAnsi="Cambria"/>
          <w:color w:val="000000"/>
          <w:sz w:val="20"/>
          <w:szCs w:val="20"/>
          <w:lang w:val="pt-BR"/>
        </w:rPr>
        <w:t>ou</w:t>
      </w:r>
      <w:r w:rsidR="00091880" w:rsidRPr="00337743">
        <w:rPr>
          <w:rFonts w:ascii="Cambria" w:hAnsi="Cambria"/>
          <w:color w:val="000000"/>
          <w:sz w:val="20"/>
          <w:szCs w:val="20"/>
          <w:lang w:val="pt-BR"/>
        </w:rPr>
        <w:t xml:space="preserve"> um </w:t>
      </w:r>
      <w:r w:rsidR="009F4A05" w:rsidRPr="00337743">
        <w:rPr>
          <w:rFonts w:ascii="Cambria" w:hAnsi="Cambria"/>
          <w:color w:val="000000"/>
          <w:sz w:val="20"/>
          <w:szCs w:val="20"/>
          <w:lang w:val="pt-BR"/>
        </w:rPr>
        <w:t>trat</w:t>
      </w:r>
      <w:r w:rsidRPr="00337743">
        <w:rPr>
          <w:rFonts w:ascii="Cambria" w:hAnsi="Cambria"/>
          <w:color w:val="000000"/>
          <w:sz w:val="20"/>
          <w:szCs w:val="20"/>
          <w:lang w:val="pt-BR"/>
        </w:rPr>
        <w:t>ament</w:t>
      </w:r>
      <w:r w:rsidR="009F4A05" w:rsidRPr="00337743">
        <w:rPr>
          <w:rFonts w:ascii="Cambria" w:hAnsi="Cambria"/>
          <w:color w:val="000000"/>
          <w:sz w:val="20"/>
          <w:szCs w:val="20"/>
          <w:lang w:val="pt-BR"/>
        </w:rPr>
        <w:t>o diferenciado</w:t>
      </w:r>
      <w:r w:rsidR="00F453EB" w:rsidRPr="00337743">
        <w:rPr>
          <w:rFonts w:ascii="Cambria" w:hAnsi="Cambria"/>
          <w:color w:val="000000"/>
          <w:sz w:val="20"/>
          <w:szCs w:val="20"/>
          <w:lang w:val="pt-BR"/>
        </w:rPr>
        <w:t xml:space="preserve"> aos </w:t>
      </w:r>
      <w:r w:rsidR="009F4A05" w:rsidRPr="00337743">
        <w:rPr>
          <w:rFonts w:ascii="Cambria" w:hAnsi="Cambria"/>
          <w:color w:val="000000"/>
          <w:sz w:val="20"/>
          <w:szCs w:val="20"/>
          <w:lang w:val="pt-BR"/>
        </w:rPr>
        <w:t>parlamentar</w:t>
      </w:r>
      <w:r w:rsidRPr="00337743">
        <w:rPr>
          <w:rFonts w:ascii="Cambria" w:hAnsi="Cambria"/>
          <w:color w:val="000000"/>
          <w:sz w:val="20"/>
          <w:szCs w:val="20"/>
          <w:lang w:val="pt-BR"/>
        </w:rPr>
        <w:t>e</w:t>
      </w:r>
      <w:r w:rsidR="009F4A05" w:rsidRPr="00337743">
        <w:rPr>
          <w:rFonts w:ascii="Cambria" w:hAnsi="Cambria"/>
          <w:color w:val="000000"/>
          <w:sz w:val="20"/>
          <w:szCs w:val="20"/>
          <w:lang w:val="pt-BR"/>
        </w:rPr>
        <w:t>s</w:t>
      </w:r>
      <w:r w:rsidR="00325DAC" w:rsidRPr="00337743">
        <w:rPr>
          <w:rFonts w:ascii="Cambria" w:hAnsi="Cambria"/>
          <w:color w:val="000000"/>
          <w:sz w:val="20"/>
          <w:szCs w:val="20"/>
          <w:lang w:val="pt-BR"/>
        </w:rPr>
        <w:t xml:space="preserve"> sem </w:t>
      </w:r>
      <w:r w:rsidR="009F4A05" w:rsidRPr="00337743">
        <w:rPr>
          <w:rFonts w:ascii="Cambria" w:hAnsi="Cambria"/>
          <w:color w:val="000000"/>
          <w:sz w:val="20"/>
          <w:szCs w:val="20"/>
          <w:lang w:val="pt-BR"/>
        </w:rPr>
        <w:t>justifica</w:t>
      </w:r>
      <w:r w:rsidR="00350E7E" w:rsidRPr="00337743">
        <w:rPr>
          <w:rFonts w:ascii="Cambria" w:hAnsi="Cambria"/>
          <w:color w:val="000000"/>
          <w:sz w:val="20"/>
          <w:szCs w:val="20"/>
          <w:lang w:val="pt-BR"/>
        </w:rPr>
        <w:t>ção</w:t>
      </w:r>
      <w:r w:rsidR="009F4A05" w:rsidRPr="00337743">
        <w:rPr>
          <w:rFonts w:ascii="Cambria" w:hAnsi="Cambria"/>
          <w:color w:val="000000"/>
          <w:sz w:val="20"/>
          <w:szCs w:val="20"/>
          <w:lang w:val="pt-BR"/>
        </w:rPr>
        <w:t xml:space="preserve"> ace</w:t>
      </w:r>
      <w:r w:rsidRPr="00337743">
        <w:rPr>
          <w:rFonts w:ascii="Cambria" w:hAnsi="Cambria"/>
          <w:color w:val="000000"/>
          <w:sz w:val="20"/>
          <w:szCs w:val="20"/>
          <w:lang w:val="pt-BR"/>
        </w:rPr>
        <w:t>itável</w:t>
      </w:r>
      <w:r w:rsidR="00A0428D" w:rsidRPr="00337743">
        <w:rPr>
          <w:rFonts w:ascii="Cambria" w:hAnsi="Cambria"/>
          <w:color w:val="000000"/>
          <w:sz w:val="20"/>
          <w:szCs w:val="20"/>
          <w:lang w:val="pt-BR"/>
        </w:rPr>
        <w:t xml:space="preserve">. </w:t>
      </w:r>
      <w:r w:rsidRPr="00337743">
        <w:rPr>
          <w:rFonts w:ascii="Cambria" w:hAnsi="Cambria"/>
          <w:color w:val="000000"/>
          <w:sz w:val="20"/>
          <w:szCs w:val="20"/>
          <w:lang w:val="pt-BR"/>
        </w:rPr>
        <w:t>Assinalou</w:t>
      </w:r>
      <w:r w:rsidR="00A0428D" w:rsidRPr="00337743">
        <w:rPr>
          <w:rFonts w:ascii="Cambria" w:hAnsi="Cambria"/>
          <w:color w:val="000000"/>
          <w:sz w:val="20"/>
          <w:szCs w:val="20"/>
          <w:lang w:val="pt-BR"/>
        </w:rPr>
        <w:t xml:space="preserve"> que</w:t>
      </w:r>
      <w:r w:rsidRPr="00337743">
        <w:rPr>
          <w:rFonts w:ascii="Cambria" w:hAnsi="Cambria"/>
          <w:color w:val="000000"/>
          <w:sz w:val="20"/>
          <w:szCs w:val="20"/>
          <w:lang w:val="pt-BR"/>
        </w:rPr>
        <w:t>,</w:t>
      </w:r>
      <w:r w:rsidR="00A0428D" w:rsidRPr="00337743">
        <w:rPr>
          <w:rFonts w:ascii="Cambria" w:hAnsi="Cambria"/>
          <w:color w:val="000000"/>
          <w:sz w:val="20"/>
          <w:szCs w:val="20"/>
          <w:lang w:val="pt-BR"/>
        </w:rPr>
        <w:t xml:space="preserve"> </w:t>
      </w:r>
      <w:r w:rsidRPr="00337743">
        <w:rPr>
          <w:rFonts w:ascii="Cambria" w:hAnsi="Cambria"/>
          <w:color w:val="000000"/>
          <w:sz w:val="20"/>
          <w:szCs w:val="20"/>
          <w:lang w:val="pt-BR"/>
        </w:rPr>
        <w:t>embora</w:t>
      </w:r>
      <w:r w:rsidR="00091880" w:rsidRPr="00337743">
        <w:rPr>
          <w:rFonts w:ascii="Cambria" w:hAnsi="Cambria"/>
          <w:color w:val="000000"/>
          <w:sz w:val="20"/>
          <w:szCs w:val="20"/>
          <w:lang w:val="pt-BR"/>
        </w:rPr>
        <w:t xml:space="preserve"> </w:t>
      </w:r>
      <w:r w:rsidR="009F4A05" w:rsidRPr="00337743">
        <w:rPr>
          <w:rFonts w:ascii="Cambria" w:hAnsi="Cambria"/>
          <w:color w:val="000000"/>
          <w:sz w:val="20"/>
          <w:szCs w:val="20"/>
          <w:lang w:val="pt-BR"/>
        </w:rPr>
        <w:t>concebido para garantir</w:t>
      </w:r>
      <w:r w:rsidR="00506331" w:rsidRPr="00337743">
        <w:rPr>
          <w:rFonts w:ascii="Cambria" w:hAnsi="Cambria"/>
          <w:color w:val="000000"/>
          <w:sz w:val="20"/>
          <w:szCs w:val="20"/>
          <w:lang w:val="pt-BR"/>
        </w:rPr>
        <w:t xml:space="preserve"> o </w:t>
      </w:r>
      <w:r w:rsidR="009F4A05" w:rsidRPr="00337743">
        <w:rPr>
          <w:rFonts w:ascii="Cambria" w:hAnsi="Cambria"/>
          <w:color w:val="000000"/>
          <w:sz w:val="20"/>
          <w:szCs w:val="20"/>
          <w:lang w:val="pt-BR"/>
        </w:rPr>
        <w:t xml:space="preserve">pleno </w:t>
      </w:r>
      <w:r w:rsidR="00B1530D" w:rsidRPr="00337743">
        <w:rPr>
          <w:rFonts w:ascii="Cambria" w:hAnsi="Cambria"/>
          <w:color w:val="000000"/>
          <w:sz w:val="20"/>
          <w:szCs w:val="20"/>
          <w:lang w:val="pt-BR"/>
        </w:rPr>
        <w:t>exercício</w:t>
      </w:r>
      <w:r w:rsidR="007707E3" w:rsidRPr="00337743">
        <w:rPr>
          <w:rFonts w:ascii="Cambria" w:hAnsi="Cambria"/>
          <w:color w:val="000000"/>
          <w:sz w:val="20"/>
          <w:szCs w:val="20"/>
          <w:lang w:val="pt-BR"/>
        </w:rPr>
        <w:t xml:space="preserve"> da </w:t>
      </w:r>
      <w:r w:rsidR="009F4A05" w:rsidRPr="00337743">
        <w:rPr>
          <w:rFonts w:ascii="Cambria" w:hAnsi="Cambria"/>
          <w:color w:val="000000"/>
          <w:sz w:val="20"/>
          <w:szCs w:val="20"/>
          <w:lang w:val="pt-BR"/>
        </w:rPr>
        <w:t>fun</w:t>
      </w:r>
      <w:r w:rsidR="00350E7E" w:rsidRPr="00337743">
        <w:rPr>
          <w:rFonts w:ascii="Cambria" w:hAnsi="Cambria"/>
          <w:color w:val="000000"/>
          <w:sz w:val="20"/>
          <w:szCs w:val="20"/>
          <w:lang w:val="pt-BR"/>
        </w:rPr>
        <w:t>ção</w:t>
      </w:r>
      <w:r w:rsidR="009F4A05" w:rsidRPr="00337743">
        <w:rPr>
          <w:rFonts w:ascii="Cambria" w:hAnsi="Cambria"/>
          <w:color w:val="000000"/>
          <w:sz w:val="20"/>
          <w:szCs w:val="20"/>
          <w:lang w:val="pt-BR"/>
        </w:rPr>
        <w:t xml:space="preserve"> pública,</w:t>
      </w:r>
      <w:r w:rsidR="00506331" w:rsidRPr="00337743">
        <w:rPr>
          <w:rFonts w:ascii="Cambria" w:hAnsi="Cambria"/>
          <w:color w:val="000000"/>
          <w:sz w:val="20"/>
          <w:szCs w:val="20"/>
          <w:lang w:val="pt-BR"/>
        </w:rPr>
        <w:t xml:space="preserve"> o </w:t>
      </w:r>
      <w:r w:rsidR="009F4A05" w:rsidRPr="00337743">
        <w:rPr>
          <w:rFonts w:ascii="Cambria" w:hAnsi="Cambria"/>
          <w:color w:val="000000"/>
          <w:sz w:val="20"/>
          <w:szCs w:val="20"/>
          <w:lang w:val="pt-BR"/>
        </w:rPr>
        <w:t>instituto d</w:t>
      </w:r>
      <w:r w:rsidRPr="00337743">
        <w:rPr>
          <w:rFonts w:ascii="Cambria" w:hAnsi="Cambria"/>
          <w:color w:val="000000"/>
          <w:sz w:val="20"/>
          <w:szCs w:val="20"/>
          <w:lang w:val="pt-BR"/>
        </w:rPr>
        <w:t>a</w:t>
      </w:r>
      <w:r w:rsidR="009F4A05" w:rsidRPr="00337743">
        <w:rPr>
          <w:rFonts w:ascii="Cambria" w:hAnsi="Cambria"/>
          <w:color w:val="000000"/>
          <w:sz w:val="20"/>
          <w:szCs w:val="20"/>
          <w:lang w:val="pt-BR"/>
        </w:rPr>
        <w:t xml:space="preserve"> </w:t>
      </w:r>
      <w:r w:rsidR="00DB5118" w:rsidRPr="00337743">
        <w:rPr>
          <w:rFonts w:ascii="Cambria" w:hAnsi="Cambria"/>
          <w:color w:val="000000"/>
          <w:sz w:val="20"/>
          <w:szCs w:val="20"/>
          <w:lang w:val="pt-BR"/>
        </w:rPr>
        <w:t>im</w:t>
      </w:r>
      <w:r w:rsidR="009F4A05" w:rsidRPr="00337743">
        <w:rPr>
          <w:rFonts w:ascii="Cambria" w:hAnsi="Cambria"/>
          <w:color w:val="000000"/>
          <w:sz w:val="20"/>
          <w:szCs w:val="20"/>
          <w:lang w:val="pt-BR"/>
        </w:rPr>
        <w:t>uni</w:t>
      </w:r>
      <w:r w:rsidR="00350E7E" w:rsidRPr="00337743">
        <w:rPr>
          <w:rFonts w:ascii="Cambria" w:hAnsi="Cambria"/>
          <w:color w:val="000000"/>
          <w:sz w:val="20"/>
          <w:szCs w:val="20"/>
          <w:lang w:val="pt-BR"/>
        </w:rPr>
        <w:t>dade</w:t>
      </w:r>
      <w:r w:rsidR="00091880" w:rsidRPr="00337743">
        <w:rPr>
          <w:rFonts w:ascii="Cambria" w:hAnsi="Cambria"/>
          <w:color w:val="000000"/>
          <w:sz w:val="20"/>
          <w:szCs w:val="20"/>
          <w:lang w:val="pt-BR"/>
        </w:rPr>
        <w:t xml:space="preserve"> foi </w:t>
      </w:r>
      <w:r w:rsidR="009F4A05" w:rsidRPr="00337743">
        <w:rPr>
          <w:rFonts w:ascii="Cambria" w:hAnsi="Cambria"/>
          <w:color w:val="000000"/>
          <w:sz w:val="20"/>
          <w:szCs w:val="20"/>
          <w:lang w:val="pt-BR"/>
        </w:rPr>
        <w:t xml:space="preserve">desvirtuado para promover </w:t>
      </w:r>
      <w:r w:rsidR="0094071D">
        <w:rPr>
          <w:rFonts w:ascii="Cambria" w:hAnsi="Cambria"/>
          <w:color w:val="000000"/>
          <w:sz w:val="20"/>
          <w:szCs w:val="20"/>
          <w:lang w:val="pt-BR"/>
        </w:rPr>
        <w:t xml:space="preserve">um </w:t>
      </w:r>
      <w:r w:rsidR="00B1530D" w:rsidRPr="00337743">
        <w:rPr>
          <w:rFonts w:ascii="Cambria" w:hAnsi="Cambria"/>
          <w:color w:val="000000"/>
          <w:sz w:val="20"/>
          <w:szCs w:val="20"/>
          <w:lang w:val="pt-BR"/>
        </w:rPr>
        <w:t>cenário</w:t>
      </w:r>
      <w:r w:rsidR="00B379EA"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inaceitáve</w:t>
      </w:r>
      <w:r w:rsidR="0094071D">
        <w:rPr>
          <w:rFonts w:ascii="Cambria" w:hAnsi="Cambria"/>
          <w:color w:val="000000"/>
          <w:sz w:val="20"/>
          <w:szCs w:val="20"/>
          <w:lang w:val="pt-BR"/>
        </w:rPr>
        <w:t>l</w:t>
      </w:r>
      <w:r w:rsidR="009F4A05" w:rsidRPr="00337743">
        <w:rPr>
          <w:rFonts w:ascii="Cambria" w:hAnsi="Cambria"/>
          <w:color w:val="000000"/>
          <w:sz w:val="20"/>
          <w:szCs w:val="20"/>
          <w:lang w:val="pt-BR"/>
        </w:rPr>
        <w:t xml:space="preserve"> de </w:t>
      </w:r>
      <w:r w:rsidR="00B1530D" w:rsidRPr="00337743">
        <w:rPr>
          <w:rFonts w:ascii="Cambria" w:hAnsi="Cambria"/>
          <w:color w:val="000000"/>
          <w:sz w:val="20"/>
          <w:szCs w:val="20"/>
          <w:lang w:val="pt-BR"/>
        </w:rPr>
        <w:t>impunidade</w:t>
      </w:r>
      <w:r w:rsidR="009F4A05" w:rsidRPr="00337743">
        <w:rPr>
          <w:rFonts w:ascii="Cambria" w:hAnsi="Cambria"/>
          <w:color w:val="000000"/>
          <w:sz w:val="20"/>
          <w:szCs w:val="20"/>
          <w:lang w:val="pt-BR"/>
        </w:rPr>
        <w:t>. Afirm</w:t>
      </w:r>
      <w:r w:rsidRPr="00337743">
        <w:rPr>
          <w:rFonts w:ascii="Cambria" w:hAnsi="Cambria"/>
          <w:color w:val="000000"/>
          <w:sz w:val="20"/>
          <w:szCs w:val="20"/>
          <w:lang w:val="pt-BR"/>
        </w:rPr>
        <w:t>ou</w:t>
      </w:r>
      <w:r w:rsidR="009F4A05"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a </w:t>
      </w:r>
      <w:r w:rsidR="009F4A05" w:rsidRPr="00337743">
        <w:rPr>
          <w:rFonts w:ascii="Cambria" w:hAnsi="Cambria"/>
          <w:color w:val="000000"/>
          <w:sz w:val="20"/>
          <w:szCs w:val="20"/>
          <w:lang w:val="pt-BR"/>
        </w:rPr>
        <w:t>modifica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091880" w:rsidRPr="00337743">
        <w:rPr>
          <w:rFonts w:ascii="Cambria" w:hAnsi="Cambria"/>
          <w:color w:val="000000"/>
          <w:sz w:val="20"/>
          <w:szCs w:val="20"/>
          <w:lang w:val="pt-BR"/>
        </w:rPr>
        <w:t>artigo</w:t>
      </w:r>
      <w:r w:rsidR="009F4A05" w:rsidRPr="00337743">
        <w:rPr>
          <w:rFonts w:ascii="Cambria" w:hAnsi="Cambria"/>
          <w:color w:val="000000"/>
          <w:sz w:val="20"/>
          <w:szCs w:val="20"/>
          <w:lang w:val="pt-BR"/>
        </w:rPr>
        <w:t xml:space="preserve"> 53</w:t>
      </w:r>
      <w:r w:rsidR="007707E3" w:rsidRPr="00337743">
        <w:rPr>
          <w:rFonts w:ascii="Cambria" w:hAnsi="Cambria"/>
          <w:color w:val="000000"/>
          <w:sz w:val="20"/>
          <w:szCs w:val="20"/>
          <w:lang w:val="pt-BR"/>
        </w:rPr>
        <w:t xml:space="preserve"> da </w:t>
      </w:r>
      <w:r w:rsidR="00B1530D" w:rsidRPr="00337743">
        <w:rPr>
          <w:rFonts w:ascii="Cambria" w:hAnsi="Cambria"/>
          <w:color w:val="000000"/>
          <w:sz w:val="20"/>
          <w:szCs w:val="20"/>
          <w:lang w:val="pt-BR"/>
        </w:rPr>
        <w:t>Constituição</w:t>
      </w:r>
      <w:r w:rsidR="009F4A05"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brasileir</w:t>
      </w:r>
      <w:r w:rsidR="009F4A05" w:rsidRPr="00337743">
        <w:rPr>
          <w:rFonts w:ascii="Cambria" w:hAnsi="Cambria"/>
          <w:color w:val="000000"/>
          <w:sz w:val="20"/>
          <w:szCs w:val="20"/>
          <w:lang w:val="pt-BR"/>
        </w:rPr>
        <w:t>a</w:t>
      </w:r>
      <w:r w:rsidR="00091880" w:rsidRPr="00337743">
        <w:rPr>
          <w:rFonts w:ascii="Cambria" w:hAnsi="Cambria"/>
          <w:color w:val="000000"/>
          <w:sz w:val="20"/>
          <w:szCs w:val="20"/>
          <w:lang w:val="pt-BR"/>
        </w:rPr>
        <w:t xml:space="preserve"> foi </w:t>
      </w:r>
      <w:r w:rsidR="009F4A05" w:rsidRPr="00337743">
        <w:rPr>
          <w:rFonts w:ascii="Cambria" w:hAnsi="Cambria"/>
          <w:color w:val="000000"/>
          <w:sz w:val="20"/>
          <w:szCs w:val="20"/>
          <w:lang w:val="pt-BR"/>
        </w:rPr>
        <w:t xml:space="preserve">importante, </w:t>
      </w:r>
      <w:r w:rsidRPr="00337743">
        <w:rPr>
          <w:rFonts w:ascii="Cambria" w:hAnsi="Cambria"/>
          <w:color w:val="000000"/>
          <w:sz w:val="20"/>
          <w:szCs w:val="20"/>
          <w:lang w:val="pt-BR"/>
        </w:rPr>
        <w:t>mas</w:t>
      </w:r>
      <w:r w:rsidR="009F4A05" w:rsidRPr="00337743">
        <w:rPr>
          <w:rFonts w:ascii="Cambria" w:hAnsi="Cambria"/>
          <w:color w:val="000000"/>
          <w:sz w:val="20"/>
          <w:szCs w:val="20"/>
          <w:lang w:val="pt-BR"/>
        </w:rPr>
        <w:t xml:space="preserve"> insuficiente, p</w:t>
      </w:r>
      <w:r w:rsidRPr="00337743">
        <w:rPr>
          <w:rFonts w:ascii="Cambria" w:hAnsi="Cambria"/>
          <w:color w:val="000000"/>
          <w:sz w:val="20"/>
          <w:szCs w:val="20"/>
          <w:lang w:val="pt-BR"/>
        </w:rPr>
        <w:t>oi</w:t>
      </w:r>
      <w:r w:rsidR="009F4A05" w:rsidRPr="00337743">
        <w:rPr>
          <w:rFonts w:ascii="Cambria" w:hAnsi="Cambria"/>
          <w:color w:val="000000"/>
          <w:sz w:val="20"/>
          <w:szCs w:val="20"/>
          <w:lang w:val="pt-BR"/>
        </w:rPr>
        <w:t>s</w:t>
      </w:r>
      <w:r w:rsidR="00506331" w:rsidRPr="00337743">
        <w:rPr>
          <w:rFonts w:ascii="Cambria" w:hAnsi="Cambria"/>
          <w:color w:val="000000"/>
          <w:sz w:val="20"/>
          <w:szCs w:val="20"/>
          <w:lang w:val="pt-BR"/>
        </w:rPr>
        <w:t xml:space="preserve"> a </w:t>
      </w:r>
      <w:r w:rsidR="00E81481" w:rsidRPr="00337743">
        <w:rPr>
          <w:rFonts w:ascii="Cambria" w:hAnsi="Cambria"/>
          <w:color w:val="000000"/>
          <w:sz w:val="20"/>
          <w:szCs w:val="20"/>
          <w:lang w:val="pt-BR"/>
        </w:rPr>
        <w:t>nov</w:t>
      </w:r>
      <w:r w:rsidR="009F4A05" w:rsidRPr="00337743">
        <w:rPr>
          <w:rFonts w:ascii="Cambria" w:hAnsi="Cambria"/>
          <w:color w:val="000000"/>
          <w:sz w:val="20"/>
          <w:szCs w:val="20"/>
          <w:lang w:val="pt-BR"/>
        </w:rPr>
        <w:t>a reda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9F4A05" w:rsidRPr="00337743">
        <w:rPr>
          <w:rFonts w:ascii="Cambria" w:hAnsi="Cambria"/>
          <w:color w:val="000000"/>
          <w:sz w:val="20"/>
          <w:szCs w:val="20"/>
          <w:lang w:val="pt-BR"/>
        </w:rPr>
        <w:t xml:space="preserve"> a</w:t>
      </w:r>
      <w:r w:rsidRPr="00337743">
        <w:rPr>
          <w:rFonts w:ascii="Cambria" w:hAnsi="Cambria"/>
          <w:color w:val="000000"/>
          <w:sz w:val="20"/>
          <w:szCs w:val="20"/>
          <w:lang w:val="pt-BR"/>
        </w:rPr>
        <w:t>inda</w:t>
      </w:r>
      <w:r w:rsidR="009F4A05" w:rsidRPr="00337743">
        <w:rPr>
          <w:rFonts w:ascii="Cambria" w:hAnsi="Cambria"/>
          <w:color w:val="000000"/>
          <w:sz w:val="20"/>
          <w:szCs w:val="20"/>
          <w:lang w:val="pt-BR"/>
        </w:rPr>
        <w:t xml:space="preserve"> permite que</w:t>
      </w:r>
      <w:r w:rsidR="00506331" w:rsidRPr="00337743">
        <w:rPr>
          <w:rFonts w:ascii="Cambria" w:hAnsi="Cambria"/>
          <w:color w:val="000000"/>
          <w:sz w:val="20"/>
          <w:szCs w:val="20"/>
          <w:lang w:val="pt-BR"/>
        </w:rPr>
        <w:t xml:space="preserve"> a</w:t>
      </w:r>
      <w:r w:rsidR="0094071D">
        <w:rPr>
          <w:rFonts w:ascii="Cambria" w:hAnsi="Cambria"/>
          <w:color w:val="000000"/>
          <w:sz w:val="20"/>
          <w:szCs w:val="20"/>
          <w:lang w:val="pt-BR"/>
        </w:rPr>
        <w:t xml:space="preserve"> tramitação da</w:t>
      </w:r>
      <w:r w:rsidR="00506331" w:rsidRPr="00337743">
        <w:rPr>
          <w:rFonts w:ascii="Cambria" w:hAnsi="Cambria"/>
          <w:color w:val="000000"/>
          <w:sz w:val="20"/>
          <w:szCs w:val="20"/>
          <w:lang w:val="pt-BR"/>
        </w:rPr>
        <w:t xml:space="preserve"> </w:t>
      </w:r>
      <w:r w:rsidR="001F5E4D"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1F5E4D" w:rsidRPr="00337743">
        <w:rPr>
          <w:rFonts w:ascii="Cambria" w:hAnsi="Cambria"/>
          <w:color w:val="000000"/>
          <w:sz w:val="20"/>
          <w:szCs w:val="20"/>
          <w:lang w:val="pt-BR"/>
        </w:rPr>
        <w:t xml:space="preserve"> penal se</w:t>
      </w:r>
      <w:r w:rsidR="00E81481" w:rsidRPr="00337743">
        <w:rPr>
          <w:rFonts w:ascii="Cambria" w:hAnsi="Cambria"/>
          <w:color w:val="000000"/>
          <w:sz w:val="20"/>
          <w:szCs w:val="20"/>
          <w:lang w:val="pt-BR"/>
        </w:rPr>
        <w:t>ja</w:t>
      </w:r>
      <w:r w:rsidR="001F5E4D" w:rsidRPr="00337743">
        <w:rPr>
          <w:rFonts w:ascii="Cambria" w:hAnsi="Cambria"/>
          <w:color w:val="000000"/>
          <w:sz w:val="20"/>
          <w:szCs w:val="20"/>
          <w:lang w:val="pt-BR"/>
        </w:rPr>
        <w:t xml:space="preserve"> </w:t>
      </w:r>
      <w:r w:rsidR="0094071D">
        <w:rPr>
          <w:rFonts w:ascii="Cambria" w:hAnsi="Cambria"/>
          <w:color w:val="000000"/>
          <w:sz w:val="20"/>
          <w:szCs w:val="20"/>
          <w:lang w:val="pt-BR"/>
        </w:rPr>
        <w:t>condicionada</w:t>
      </w:r>
      <w:r w:rsidR="00C6641C" w:rsidRPr="00337743">
        <w:rPr>
          <w:rFonts w:ascii="Cambria" w:hAnsi="Cambria"/>
          <w:color w:val="000000"/>
          <w:sz w:val="20"/>
          <w:szCs w:val="20"/>
          <w:lang w:val="pt-BR"/>
        </w:rPr>
        <w:t xml:space="preserve"> pela </w:t>
      </w:r>
      <w:r w:rsidR="00B1530D" w:rsidRPr="00337743">
        <w:rPr>
          <w:rFonts w:ascii="Cambria" w:hAnsi="Cambria"/>
          <w:color w:val="000000"/>
          <w:sz w:val="20"/>
          <w:szCs w:val="20"/>
          <w:lang w:val="pt-BR"/>
        </w:rPr>
        <w:t>vontade</w:t>
      </w:r>
      <w:r w:rsidR="009F4A05" w:rsidRPr="00337743">
        <w:rPr>
          <w:rFonts w:ascii="Cambria" w:hAnsi="Cambria"/>
          <w:color w:val="000000"/>
          <w:sz w:val="20"/>
          <w:szCs w:val="20"/>
          <w:lang w:val="pt-BR"/>
        </w:rPr>
        <w:t xml:space="preserve"> política de </w:t>
      </w:r>
      <w:r w:rsidR="00E81481" w:rsidRPr="00337743">
        <w:rPr>
          <w:rFonts w:ascii="Cambria" w:hAnsi="Cambria"/>
          <w:color w:val="000000"/>
          <w:sz w:val="20"/>
          <w:szCs w:val="20"/>
          <w:lang w:val="pt-BR"/>
        </w:rPr>
        <w:t>de</w:t>
      </w:r>
      <w:r w:rsidR="009F4A05" w:rsidRPr="00337743">
        <w:rPr>
          <w:rFonts w:ascii="Cambria" w:hAnsi="Cambria"/>
          <w:color w:val="000000"/>
          <w:sz w:val="20"/>
          <w:szCs w:val="20"/>
          <w:lang w:val="pt-BR"/>
        </w:rPr>
        <w:t>putados o</w:t>
      </w:r>
      <w:r w:rsidR="00E81481" w:rsidRPr="00337743">
        <w:rPr>
          <w:rFonts w:ascii="Cambria" w:hAnsi="Cambria"/>
          <w:color w:val="000000"/>
          <w:sz w:val="20"/>
          <w:szCs w:val="20"/>
          <w:lang w:val="pt-BR"/>
        </w:rPr>
        <w:t>u</w:t>
      </w:r>
      <w:r w:rsidR="009F4A05" w:rsidRPr="00337743">
        <w:rPr>
          <w:rFonts w:ascii="Cambria" w:hAnsi="Cambria"/>
          <w:color w:val="000000"/>
          <w:sz w:val="20"/>
          <w:szCs w:val="20"/>
          <w:lang w:val="pt-BR"/>
        </w:rPr>
        <w:t xml:space="preserve"> </w:t>
      </w:r>
      <w:r w:rsidR="00A26FB7" w:rsidRPr="00337743">
        <w:rPr>
          <w:rFonts w:ascii="Cambria" w:hAnsi="Cambria"/>
          <w:color w:val="000000"/>
          <w:sz w:val="20"/>
          <w:szCs w:val="20"/>
          <w:lang w:val="pt-BR"/>
        </w:rPr>
        <w:t>s</w:t>
      </w:r>
      <w:r w:rsidR="009F4A05" w:rsidRPr="00337743">
        <w:rPr>
          <w:rFonts w:ascii="Cambria" w:hAnsi="Cambria"/>
          <w:color w:val="000000"/>
          <w:sz w:val="20"/>
          <w:szCs w:val="20"/>
          <w:lang w:val="pt-BR"/>
        </w:rPr>
        <w:t>enadores. Defend</w:t>
      </w:r>
      <w:r w:rsidR="00B1530D" w:rsidRPr="00337743">
        <w:rPr>
          <w:rFonts w:ascii="Cambria" w:hAnsi="Cambria"/>
          <w:color w:val="000000"/>
          <w:sz w:val="20"/>
          <w:szCs w:val="20"/>
          <w:lang w:val="pt-BR"/>
        </w:rPr>
        <w:t>eu</w:t>
      </w:r>
      <w:r w:rsidR="009F4A05"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im</w:t>
      </w:r>
      <w:r w:rsidR="009F4A05"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009F4A05" w:rsidRPr="00337743">
        <w:rPr>
          <w:rFonts w:ascii="Cambria" w:hAnsi="Cambria"/>
          <w:color w:val="000000"/>
          <w:sz w:val="20"/>
          <w:szCs w:val="20"/>
          <w:lang w:val="pt-BR"/>
        </w:rPr>
        <w:t>de</w:t>
      </w:r>
      <w:r w:rsidR="00E81481" w:rsidRPr="00337743">
        <w:rPr>
          <w:rFonts w:ascii="Cambria" w:hAnsi="Cambria"/>
          <w:color w:val="000000"/>
          <w:sz w:val="20"/>
          <w:szCs w:val="20"/>
          <w:lang w:val="pt-BR"/>
        </w:rPr>
        <w:t xml:space="preserve">via </w:t>
      </w:r>
      <w:r w:rsidR="00A223EA" w:rsidRPr="00337743">
        <w:rPr>
          <w:rFonts w:ascii="Cambria" w:hAnsi="Cambria"/>
          <w:color w:val="000000"/>
          <w:sz w:val="20"/>
          <w:szCs w:val="20"/>
          <w:lang w:val="pt-BR"/>
        </w:rPr>
        <w:t xml:space="preserve">ser </w:t>
      </w:r>
      <w:r w:rsidR="009F4A05" w:rsidRPr="00337743">
        <w:rPr>
          <w:rFonts w:ascii="Cambria" w:hAnsi="Cambria"/>
          <w:color w:val="000000"/>
          <w:sz w:val="20"/>
          <w:szCs w:val="20"/>
          <w:lang w:val="pt-BR"/>
        </w:rPr>
        <w:t>extin</w:t>
      </w:r>
      <w:r w:rsidR="00E81481" w:rsidRPr="00337743">
        <w:rPr>
          <w:rFonts w:ascii="Cambria" w:hAnsi="Cambria"/>
          <w:color w:val="000000"/>
          <w:sz w:val="20"/>
          <w:szCs w:val="20"/>
          <w:lang w:val="pt-BR"/>
        </w:rPr>
        <w:t>t</w:t>
      </w:r>
      <w:r w:rsidR="009F4A05" w:rsidRPr="00337743">
        <w:rPr>
          <w:rFonts w:ascii="Cambria" w:hAnsi="Cambria"/>
          <w:color w:val="000000"/>
          <w:sz w:val="20"/>
          <w:szCs w:val="20"/>
          <w:lang w:val="pt-BR"/>
        </w:rPr>
        <w:t>a por completo</w:t>
      </w:r>
      <w:r w:rsidR="0094071D">
        <w:rPr>
          <w:rFonts w:ascii="Cambria" w:hAnsi="Cambria"/>
          <w:color w:val="000000"/>
          <w:sz w:val="20"/>
          <w:szCs w:val="20"/>
          <w:lang w:val="pt-BR"/>
        </w:rPr>
        <w:t xml:space="preserve"> como</w:t>
      </w:r>
      <w:r w:rsidR="00506331" w:rsidRPr="00337743">
        <w:rPr>
          <w:rFonts w:ascii="Cambria" w:hAnsi="Cambria"/>
          <w:color w:val="000000"/>
          <w:sz w:val="20"/>
          <w:szCs w:val="20"/>
          <w:lang w:val="pt-BR"/>
        </w:rPr>
        <w:t xml:space="preserve"> </w:t>
      </w:r>
      <w:r w:rsidR="009F4A05" w:rsidRPr="00337743">
        <w:rPr>
          <w:rFonts w:ascii="Cambria" w:hAnsi="Cambria"/>
          <w:color w:val="000000"/>
          <w:sz w:val="20"/>
          <w:szCs w:val="20"/>
          <w:lang w:val="pt-BR"/>
        </w:rPr>
        <w:t>única solu</w:t>
      </w:r>
      <w:r w:rsidR="00350E7E" w:rsidRPr="00337743">
        <w:rPr>
          <w:rFonts w:ascii="Cambria" w:hAnsi="Cambria"/>
          <w:color w:val="000000"/>
          <w:sz w:val="20"/>
          <w:szCs w:val="20"/>
          <w:lang w:val="pt-BR"/>
        </w:rPr>
        <w:t>ção</w:t>
      </w:r>
      <w:r w:rsidR="009F4A05" w:rsidRPr="00337743">
        <w:rPr>
          <w:rFonts w:ascii="Cambria" w:hAnsi="Cambria"/>
          <w:color w:val="000000"/>
          <w:sz w:val="20"/>
          <w:szCs w:val="20"/>
          <w:lang w:val="pt-BR"/>
        </w:rPr>
        <w:t xml:space="preserve"> capaz de garantir</w:t>
      </w:r>
      <w:r w:rsidR="00506331" w:rsidRPr="00337743">
        <w:rPr>
          <w:rFonts w:ascii="Cambria" w:hAnsi="Cambria"/>
          <w:color w:val="000000"/>
          <w:sz w:val="20"/>
          <w:szCs w:val="20"/>
          <w:lang w:val="pt-BR"/>
        </w:rPr>
        <w:t xml:space="preserve"> a </w:t>
      </w:r>
      <w:r w:rsidR="009F4A05" w:rsidRPr="00337743">
        <w:rPr>
          <w:rFonts w:ascii="Cambria" w:hAnsi="Cambria"/>
          <w:color w:val="000000"/>
          <w:sz w:val="20"/>
          <w:szCs w:val="20"/>
          <w:lang w:val="pt-BR"/>
        </w:rPr>
        <w:t>igual</w:t>
      </w:r>
      <w:r w:rsidR="00350E7E" w:rsidRPr="00337743">
        <w:rPr>
          <w:rFonts w:ascii="Cambria" w:hAnsi="Cambria"/>
          <w:color w:val="000000"/>
          <w:sz w:val="20"/>
          <w:szCs w:val="20"/>
          <w:lang w:val="pt-BR"/>
        </w:rPr>
        <w:t xml:space="preserve">dade </w:t>
      </w:r>
      <w:r w:rsidR="00060433" w:rsidRPr="00337743">
        <w:rPr>
          <w:rFonts w:ascii="Cambria" w:hAnsi="Cambria"/>
          <w:color w:val="000000"/>
          <w:sz w:val="20"/>
          <w:szCs w:val="20"/>
          <w:lang w:val="pt-BR"/>
        </w:rPr>
        <w:t>de todos, cidad</w:t>
      </w:r>
      <w:r w:rsidR="00E81481" w:rsidRPr="00337743">
        <w:rPr>
          <w:rFonts w:ascii="Cambria" w:hAnsi="Cambria"/>
          <w:color w:val="000000"/>
          <w:sz w:val="20"/>
          <w:szCs w:val="20"/>
          <w:lang w:val="pt-BR"/>
        </w:rPr>
        <w:t>ã</w:t>
      </w:r>
      <w:r w:rsidR="00060433" w:rsidRPr="00337743">
        <w:rPr>
          <w:rFonts w:ascii="Cambria" w:hAnsi="Cambria"/>
          <w:color w:val="000000"/>
          <w:sz w:val="20"/>
          <w:szCs w:val="20"/>
          <w:lang w:val="pt-BR"/>
        </w:rPr>
        <w:t>os</w:t>
      </w:r>
      <w:r w:rsidR="00506331" w:rsidRPr="00337743">
        <w:rPr>
          <w:rFonts w:ascii="Cambria" w:hAnsi="Cambria"/>
          <w:color w:val="000000"/>
          <w:sz w:val="20"/>
          <w:szCs w:val="20"/>
          <w:lang w:val="pt-BR"/>
        </w:rPr>
        <w:t xml:space="preserve"> e </w:t>
      </w:r>
      <w:r w:rsidR="00060433" w:rsidRPr="00337743">
        <w:rPr>
          <w:rFonts w:ascii="Cambria" w:hAnsi="Cambria"/>
          <w:color w:val="000000"/>
          <w:sz w:val="20"/>
          <w:szCs w:val="20"/>
          <w:lang w:val="pt-BR"/>
        </w:rPr>
        <w:t xml:space="preserve">políticos, </w:t>
      </w:r>
      <w:r w:rsidR="00BF72CE" w:rsidRPr="00337743">
        <w:rPr>
          <w:rFonts w:ascii="Cambria" w:hAnsi="Cambria"/>
          <w:color w:val="000000"/>
          <w:sz w:val="20"/>
          <w:szCs w:val="20"/>
          <w:lang w:val="pt-BR"/>
        </w:rPr>
        <w:t>per</w:t>
      </w:r>
      <w:r w:rsidR="00060433" w:rsidRPr="00337743">
        <w:rPr>
          <w:rFonts w:ascii="Cambria" w:hAnsi="Cambria"/>
          <w:color w:val="000000"/>
          <w:sz w:val="20"/>
          <w:szCs w:val="20"/>
          <w:lang w:val="pt-BR"/>
        </w:rPr>
        <w:t>ante</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lei</w:t>
      </w:r>
      <w:r w:rsidR="009F4A05" w:rsidRPr="00337743">
        <w:rPr>
          <w:rFonts w:ascii="Cambria" w:hAnsi="Cambria"/>
          <w:color w:val="000000"/>
          <w:sz w:val="20"/>
          <w:szCs w:val="20"/>
          <w:lang w:val="pt-BR"/>
        </w:rPr>
        <w:t>.</w:t>
      </w:r>
    </w:p>
    <w:p w14:paraId="0F37C3BC" w14:textId="77777777" w:rsidR="00050A26" w:rsidRPr="00337743" w:rsidRDefault="00050A26" w:rsidP="00050A2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color w:val="000000"/>
          <w:sz w:val="20"/>
          <w:szCs w:val="20"/>
          <w:lang w:val="pt-BR"/>
        </w:rPr>
      </w:pPr>
    </w:p>
    <w:p w14:paraId="695CAFCD" w14:textId="77777777" w:rsidR="00D00666" w:rsidRPr="00337743" w:rsidRDefault="0094071D" w:rsidP="0024699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r>
        <w:rPr>
          <w:rFonts w:ascii="Cambria" w:hAnsi="Cambria"/>
          <w:color w:val="000000"/>
          <w:sz w:val="20"/>
          <w:szCs w:val="20"/>
          <w:lang w:val="pt-BR"/>
        </w:rPr>
        <w:t>A parte peticionária apontou</w:t>
      </w:r>
      <w:r w:rsidR="00506331" w:rsidRPr="00337743">
        <w:rPr>
          <w:rFonts w:ascii="Cambria" w:hAnsi="Cambria"/>
          <w:color w:val="000000"/>
          <w:sz w:val="20"/>
          <w:szCs w:val="20"/>
          <w:lang w:val="pt-BR"/>
        </w:rPr>
        <w:t xml:space="preserve"> a </w:t>
      </w:r>
      <w:r w:rsidR="000A66C6" w:rsidRPr="00337743">
        <w:rPr>
          <w:rFonts w:ascii="Cambria" w:hAnsi="Cambria"/>
          <w:color w:val="000000"/>
          <w:sz w:val="20"/>
          <w:szCs w:val="20"/>
          <w:lang w:val="pt-BR"/>
        </w:rPr>
        <w:t>v</w:t>
      </w:r>
      <w:r w:rsidR="00E81481" w:rsidRPr="00337743">
        <w:rPr>
          <w:rFonts w:ascii="Cambria" w:hAnsi="Cambria"/>
          <w:color w:val="000000"/>
          <w:sz w:val="20"/>
          <w:szCs w:val="20"/>
          <w:lang w:val="pt-BR"/>
        </w:rPr>
        <w:t>iol</w:t>
      </w:r>
      <w:r w:rsidR="000A66C6" w:rsidRPr="00337743">
        <w:rPr>
          <w:rFonts w:ascii="Cambria" w:hAnsi="Cambria"/>
          <w:color w:val="000000"/>
          <w:sz w:val="20"/>
          <w:szCs w:val="20"/>
          <w:lang w:val="pt-BR"/>
        </w:rPr>
        <w:t>a</w:t>
      </w:r>
      <w:r w:rsidR="00350E7E" w:rsidRPr="00337743">
        <w:rPr>
          <w:rFonts w:ascii="Cambria" w:hAnsi="Cambria"/>
          <w:color w:val="000000"/>
          <w:sz w:val="20"/>
          <w:szCs w:val="20"/>
          <w:lang w:val="pt-BR"/>
        </w:rPr>
        <w:t>ção</w:t>
      </w:r>
      <w:r w:rsidR="00E96C24" w:rsidRPr="00337743">
        <w:rPr>
          <w:rFonts w:ascii="Cambria" w:hAnsi="Cambria"/>
          <w:color w:val="000000"/>
          <w:sz w:val="20"/>
          <w:szCs w:val="20"/>
          <w:lang w:val="pt-BR"/>
        </w:rPr>
        <w:t xml:space="preserve"> dos </w:t>
      </w:r>
      <w:r w:rsidR="00350E7E" w:rsidRPr="00337743">
        <w:rPr>
          <w:rFonts w:ascii="Cambria" w:hAnsi="Cambria"/>
          <w:color w:val="000000"/>
          <w:sz w:val="20"/>
          <w:szCs w:val="20"/>
          <w:lang w:val="pt-BR"/>
        </w:rPr>
        <w:t>direito</w:t>
      </w:r>
      <w:r w:rsidR="0000720D" w:rsidRPr="00337743">
        <w:rPr>
          <w:rFonts w:ascii="Cambria" w:hAnsi="Cambria"/>
          <w:color w:val="000000"/>
          <w:sz w:val="20"/>
          <w:szCs w:val="20"/>
          <w:lang w:val="pt-BR"/>
        </w:rPr>
        <w:t>s</w:t>
      </w:r>
      <w:r w:rsidR="007707E3" w:rsidRPr="00337743">
        <w:rPr>
          <w:rFonts w:ascii="Cambria" w:hAnsi="Cambria"/>
          <w:color w:val="000000"/>
          <w:sz w:val="20"/>
          <w:szCs w:val="20"/>
          <w:lang w:val="pt-BR"/>
        </w:rPr>
        <w:t xml:space="preserve"> às </w:t>
      </w:r>
      <w:r w:rsidR="000A66C6" w:rsidRPr="00337743">
        <w:rPr>
          <w:rFonts w:ascii="Cambria" w:hAnsi="Cambria"/>
          <w:color w:val="000000"/>
          <w:sz w:val="20"/>
          <w:szCs w:val="20"/>
          <w:lang w:val="pt-BR"/>
        </w:rPr>
        <w:t>garant</w:t>
      </w:r>
      <w:r w:rsidR="00BF72CE" w:rsidRPr="00337743">
        <w:rPr>
          <w:rFonts w:ascii="Cambria" w:hAnsi="Cambria"/>
          <w:color w:val="000000"/>
          <w:sz w:val="20"/>
          <w:szCs w:val="20"/>
          <w:lang w:val="pt-BR"/>
        </w:rPr>
        <w:t>ia</w:t>
      </w:r>
      <w:r w:rsidR="000A66C6" w:rsidRPr="00337743">
        <w:rPr>
          <w:rFonts w:ascii="Cambria" w:hAnsi="Cambria"/>
          <w:color w:val="000000"/>
          <w:sz w:val="20"/>
          <w:szCs w:val="20"/>
          <w:lang w:val="pt-BR"/>
        </w:rPr>
        <w:t>s judici</w:t>
      </w:r>
      <w:r w:rsidR="007707E3" w:rsidRPr="00337743">
        <w:rPr>
          <w:rFonts w:ascii="Cambria" w:hAnsi="Cambria"/>
          <w:color w:val="000000"/>
          <w:sz w:val="20"/>
          <w:szCs w:val="20"/>
          <w:lang w:val="pt-BR"/>
        </w:rPr>
        <w:t>ais</w:t>
      </w:r>
      <w:r w:rsidR="00506331" w:rsidRPr="00337743">
        <w:rPr>
          <w:rFonts w:ascii="Cambria" w:hAnsi="Cambria"/>
          <w:color w:val="000000"/>
          <w:sz w:val="20"/>
          <w:szCs w:val="20"/>
          <w:lang w:val="pt-BR"/>
        </w:rPr>
        <w:t xml:space="preserve"> e </w:t>
      </w:r>
      <w:r w:rsidR="000A66C6" w:rsidRPr="00337743">
        <w:rPr>
          <w:rFonts w:ascii="Cambria" w:hAnsi="Cambria"/>
          <w:color w:val="000000"/>
          <w:sz w:val="20"/>
          <w:szCs w:val="20"/>
          <w:lang w:val="pt-BR"/>
        </w:rPr>
        <w:t>prote</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0A66C6" w:rsidRPr="00337743">
        <w:rPr>
          <w:rFonts w:ascii="Cambria" w:hAnsi="Cambria"/>
          <w:color w:val="000000"/>
          <w:sz w:val="20"/>
          <w:szCs w:val="20"/>
          <w:lang w:val="pt-BR"/>
        </w:rPr>
        <w:t xml:space="preserve"> judicial, a</w:t>
      </w:r>
      <w:r w:rsidR="00E81481" w:rsidRPr="00337743">
        <w:rPr>
          <w:rFonts w:ascii="Cambria" w:hAnsi="Cambria"/>
          <w:color w:val="000000"/>
          <w:sz w:val="20"/>
          <w:szCs w:val="20"/>
          <w:lang w:val="pt-BR"/>
        </w:rPr>
        <w:t>lém</w:t>
      </w:r>
      <w:r w:rsidR="007707E3" w:rsidRPr="00337743">
        <w:rPr>
          <w:rFonts w:ascii="Cambria" w:hAnsi="Cambria"/>
          <w:color w:val="000000"/>
          <w:sz w:val="20"/>
          <w:szCs w:val="20"/>
          <w:lang w:val="pt-BR"/>
        </w:rPr>
        <w:t xml:space="preserve"> da </w:t>
      </w:r>
      <w:r w:rsidR="00B1530D" w:rsidRPr="00337743">
        <w:rPr>
          <w:rFonts w:ascii="Cambria" w:hAnsi="Cambria"/>
          <w:color w:val="000000"/>
          <w:sz w:val="20"/>
          <w:szCs w:val="20"/>
          <w:lang w:val="pt-BR"/>
        </w:rPr>
        <w:t>obrigação</w:t>
      </w:r>
      <w:r w:rsidR="00D00666" w:rsidRPr="00337743">
        <w:rPr>
          <w:rFonts w:ascii="Cambria" w:hAnsi="Cambria"/>
          <w:color w:val="000000"/>
          <w:sz w:val="20"/>
          <w:szCs w:val="20"/>
          <w:lang w:val="pt-BR"/>
        </w:rPr>
        <w:t xml:space="preserve"> de</w:t>
      </w:r>
      <w:r w:rsidR="00513AC6"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respeito</w:t>
      </w:r>
      <w:r w:rsidR="00506331" w:rsidRPr="00337743">
        <w:rPr>
          <w:rFonts w:ascii="Cambria" w:hAnsi="Cambria"/>
          <w:color w:val="000000"/>
          <w:sz w:val="20"/>
          <w:szCs w:val="20"/>
          <w:lang w:val="pt-BR"/>
        </w:rPr>
        <w:t xml:space="preserve"> e </w:t>
      </w:r>
      <w:r w:rsidR="00513AC6" w:rsidRPr="00337743">
        <w:rPr>
          <w:rFonts w:ascii="Cambria" w:hAnsi="Cambria"/>
          <w:color w:val="000000"/>
          <w:sz w:val="20"/>
          <w:szCs w:val="20"/>
          <w:lang w:val="pt-BR"/>
        </w:rPr>
        <w:t>garant</w:t>
      </w:r>
      <w:r w:rsidR="00BF72CE" w:rsidRPr="00337743">
        <w:rPr>
          <w:rFonts w:ascii="Cambria" w:hAnsi="Cambria"/>
          <w:color w:val="000000"/>
          <w:sz w:val="20"/>
          <w:szCs w:val="20"/>
          <w:lang w:val="pt-BR"/>
        </w:rPr>
        <w:t>ia</w:t>
      </w:r>
      <w:r w:rsidR="00D00666" w:rsidRPr="00337743">
        <w:rPr>
          <w:rFonts w:ascii="Cambria" w:hAnsi="Cambria"/>
          <w:color w:val="000000"/>
          <w:sz w:val="20"/>
          <w:szCs w:val="20"/>
          <w:lang w:val="pt-BR"/>
        </w:rPr>
        <w:t xml:space="preserve">, dado </w:t>
      </w:r>
      <w:r w:rsidR="000A66C6" w:rsidRPr="00337743">
        <w:rPr>
          <w:rFonts w:ascii="Cambria" w:hAnsi="Cambria"/>
          <w:color w:val="000000"/>
          <w:sz w:val="20"/>
          <w:szCs w:val="20"/>
          <w:lang w:val="pt-BR"/>
        </w:rPr>
        <w:t>que</w:t>
      </w:r>
      <w:r w:rsidR="00D00666"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im</w:t>
      </w:r>
      <w:r w:rsidR="00D00666"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00B1530D" w:rsidRPr="00337743">
        <w:rPr>
          <w:rFonts w:ascii="Cambria" w:hAnsi="Cambria"/>
          <w:color w:val="000000"/>
          <w:sz w:val="20"/>
          <w:szCs w:val="20"/>
          <w:lang w:val="pt-BR"/>
        </w:rPr>
        <w:t>impediu</w:t>
      </w:r>
      <w:r w:rsidR="00506331" w:rsidRPr="00337743">
        <w:rPr>
          <w:rFonts w:ascii="Cambria" w:hAnsi="Cambria"/>
          <w:color w:val="000000"/>
          <w:sz w:val="20"/>
          <w:szCs w:val="20"/>
          <w:lang w:val="pt-BR"/>
        </w:rPr>
        <w:t xml:space="preserve"> a</w:t>
      </w:r>
      <w:r w:rsidR="00E81481" w:rsidRPr="00337743">
        <w:rPr>
          <w:rFonts w:ascii="Cambria" w:hAnsi="Cambria"/>
          <w:color w:val="000000"/>
          <w:sz w:val="20"/>
          <w:szCs w:val="20"/>
          <w:lang w:val="pt-BR"/>
        </w:rPr>
        <w:t xml:space="preserve"> a</w:t>
      </w:r>
      <w:r w:rsidR="00D00666" w:rsidRPr="00337743">
        <w:rPr>
          <w:rFonts w:ascii="Cambria" w:hAnsi="Cambria"/>
          <w:color w:val="000000"/>
          <w:sz w:val="20"/>
          <w:szCs w:val="20"/>
          <w:lang w:val="pt-BR"/>
        </w:rPr>
        <w:t>presenta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da </w:t>
      </w:r>
      <w:r w:rsidR="00D00666"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D00666" w:rsidRPr="00337743">
        <w:rPr>
          <w:rFonts w:ascii="Cambria" w:hAnsi="Cambria"/>
          <w:color w:val="000000"/>
          <w:sz w:val="20"/>
          <w:szCs w:val="20"/>
          <w:lang w:val="pt-BR"/>
        </w:rPr>
        <w:t xml:space="preserve"> penal </w:t>
      </w:r>
      <w:r w:rsidR="00E81481" w:rsidRPr="00337743">
        <w:rPr>
          <w:rFonts w:ascii="Cambria" w:hAnsi="Cambria"/>
          <w:color w:val="000000"/>
          <w:sz w:val="20"/>
          <w:szCs w:val="20"/>
          <w:lang w:val="pt-BR"/>
        </w:rPr>
        <w:t>após</w:t>
      </w:r>
      <w:r w:rsidR="00506331" w:rsidRPr="00337743">
        <w:rPr>
          <w:rFonts w:ascii="Cambria" w:hAnsi="Cambria"/>
          <w:color w:val="000000"/>
          <w:sz w:val="20"/>
          <w:szCs w:val="20"/>
          <w:lang w:val="pt-BR"/>
        </w:rPr>
        <w:t xml:space="preserve"> a </w:t>
      </w:r>
      <w:r w:rsidR="00D00666" w:rsidRPr="00337743">
        <w:rPr>
          <w:rFonts w:ascii="Cambria" w:hAnsi="Cambria"/>
          <w:color w:val="000000"/>
          <w:sz w:val="20"/>
          <w:szCs w:val="20"/>
          <w:lang w:val="pt-BR"/>
        </w:rPr>
        <w:t>conclus</w:t>
      </w:r>
      <w:r w:rsidR="00E81481" w:rsidRPr="00337743">
        <w:rPr>
          <w:rFonts w:ascii="Cambria" w:hAnsi="Cambria"/>
          <w:color w:val="000000"/>
          <w:sz w:val="20"/>
          <w:szCs w:val="20"/>
          <w:lang w:val="pt-BR"/>
        </w:rPr>
        <w:t>ão</w:t>
      </w:r>
      <w:r w:rsidR="007707E3" w:rsidRPr="00337743">
        <w:rPr>
          <w:rFonts w:ascii="Cambria" w:hAnsi="Cambria"/>
          <w:color w:val="000000"/>
          <w:sz w:val="20"/>
          <w:szCs w:val="20"/>
          <w:lang w:val="pt-BR"/>
        </w:rPr>
        <w:t xml:space="preserve"> da </w:t>
      </w:r>
      <w:r w:rsidR="00D00666" w:rsidRPr="00337743">
        <w:rPr>
          <w:rFonts w:ascii="Cambria" w:hAnsi="Cambria"/>
          <w:color w:val="000000"/>
          <w:sz w:val="20"/>
          <w:szCs w:val="20"/>
          <w:lang w:val="pt-BR"/>
        </w:rPr>
        <w:t>investiga</w:t>
      </w:r>
      <w:r w:rsidR="00350E7E" w:rsidRPr="00337743">
        <w:rPr>
          <w:rFonts w:ascii="Cambria" w:hAnsi="Cambria"/>
          <w:color w:val="000000"/>
          <w:sz w:val="20"/>
          <w:szCs w:val="20"/>
          <w:lang w:val="pt-BR"/>
        </w:rPr>
        <w:t>ção</w:t>
      </w:r>
      <w:r w:rsidR="00D00666" w:rsidRPr="00337743">
        <w:rPr>
          <w:rFonts w:ascii="Cambria" w:hAnsi="Cambria"/>
          <w:color w:val="000000"/>
          <w:sz w:val="20"/>
          <w:szCs w:val="20"/>
          <w:lang w:val="pt-BR"/>
        </w:rPr>
        <w:t xml:space="preserve"> policial; e</w:t>
      </w:r>
      <w:r w:rsidR="00E81481" w:rsidRPr="00337743">
        <w:rPr>
          <w:rFonts w:ascii="Cambria" w:hAnsi="Cambria"/>
          <w:color w:val="000000"/>
          <w:sz w:val="20"/>
          <w:szCs w:val="20"/>
          <w:lang w:val="pt-BR"/>
        </w:rPr>
        <w:t>s</w:t>
      </w:r>
      <w:r w:rsidR="00D00666" w:rsidRPr="00337743">
        <w:rPr>
          <w:rFonts w:ascii="Cambria" w:hAnsi="Cambria"/>
          <w:color w:val="000000"/>
          <w:sz w:val="20"/>
          <w:szCs w:val="20"/>
          <w:lang w:val="pt-BR"/>
        </w:rPr>
        <w:t xml:space="preserve">sa </w:t>
      </w:r>
      <w:r w:rsidR="00B1530D" w:rsidRPr="00337743">
        <w:rPr>
          <w:rFonts w:ascii="Cambria" w:hAnsi="Cambria"/>
          <w:color w:val="000000"/>
          <w:sz w:val="20"/>
          <w:szCs w:val="20"/>
          <w:lang w:val="pt-BR"/>
        </w:rPr>
        <w:t>mesma</w:t>
      </w:r>
      <w:r w:rsidR="00D00666" w:rsidRPr="00337743">
        <w:rPr>
          <w:rFonts w:ascii="Cambria" w:hAnsi="Cambria"/>
          <w:color w:val="000000"/>
          <w:sz w:val="20"/>
          <w:szCs w:val="20"/>
          <w:lang w:val="pt-BR"/>
        </w:rPr>
        <w:t xml:space="preserve"> 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D00666" w:rsidRPr="00337743">
        <w:rPr>
          <w:rFonts w:ascii="Cambria" w:hAnsi="Cambria"/>
          <w:color w:val="000000"/>
          <w:sz w:val="20"/>
          <w:szCs w:val="20"/>
          <w:lang w:val="pt-BR"/>
        </w:rPr>
        <w:t xml:space="preserve"> só</w:t>
      </w:r>
      <w:r w:rsidR="00091880" w:rsidRPr="00337743">
        <w:rPr>
          <w:rFonts w:ascii="Cambria" w:hAnsi="Cambria"/>
          <w:color w:val="000000"/>
          <w:sz w:val="20"/>
          <w:szCs w:val="20"/>
          <w:lang w:val="pt-BR"/>
        </w:rPr>
        <w:t xml:space="preserve"> foi </w:t>
      </w:r>
      <w:r w:rsidR="00E81481" w:rsidRPr="00337743">
        <w:rPr>
          <w:rFonts w:ascii="Cambria" w:hAnsi="Cambria"/>
          <w:color w:val="000000"/>
          <w:sz w:val="20"/>
          <w:szCs w:val="20"/>
          <w:lang w:val="pt-BR"/>
        </w:rPr>
        <w:t>a</w:t>
      </w:r>
      <w:r w:rsidR="00D00666" w:rsidRPr="00337743">
        <w:rPr>
          <w:rFonts w:ascii="Cambria" w:hAnsi="Cambria"/>
          <w:color w:val="000000"/>
          <w:sz w:val="20"/>
          <w:szCs w:val="20"/>
          <w:lang w:val="pt-BR"/>
        </w:rPr>
        <w:t>presentada</w:t>
      </w:r>
      <w:r w:rsidR="00091880" w:rsidRPr="00337743">
        <w:rPr>
          <w:rFonts w:ascii="Cambria" w:hAnsi="Cambria"/>
          <w:color w:val="000000"/>
          <w:sz w:val="20"/>
          <w:szCs w:val="20"/>
          <w:lang w:val="pt-BR"/>
        </w:rPr>
        <w:t xml:space="preserve"> em </w:t>
      </w:r>
      <w:r w:rsidR="00D00666" w:rsidRPr="00337743">
        <w:rPr>
          <w:rFonts w:ascii="Cambria" w:hAnsi="Cambria"/>
          <w:color w:val="000000"/>
          <w:sz w:val="20"/>
          <w:szCs w:val="20"/>
          <w:lang w:val="pt-BR"/>
        </w:rPr>
        <w:t>2003,</w:t>
      </w:r>
      <w:r w:rsidR="00506331" w:rsidRPr="00337743">
        <w:rPr>
          <w:rFonts w:ascii="Cambria" w:hAnsi="Cambria"/>
          <w:color w:val="000000"/>
          <w:sz w:val="20"/>
          <w:szCs w:val="20"/>
          <w:lang w:val="pt-BR"/>
        </w:rPr>
        <w:t xml:space="preserve"> e </w:t>
      </w:r>
      <w:r w:rsidR="00E81481" w:rsidRPr="00337743">
        <w:rPr>
          <w:rFonts w:ascii="Cambria" w:hAnsi="Cambria"/>
          <w:color w:val="000000"/>
          <w:sz w:val="20"/>
          <w:szCs w:val="20"/>
          <w:lang w:val="pt-BR"/>
        </w:rPr>
        <w:t>is</w:t>
      </w:r>
      <w:r w:rsidR="00D00666" w:rsidRPr="00337743">
        <w:rPr>
          <w:rFonts w:ascii="Cambria" w:hAnsi="Cambria"/>
          <w:color w:val="000000"/>
          <w:sz w:val="20"/>
          <w:szCs w:val="20"/>
          <w:lang w:val="pt-BR"/>
        </w:rPr>
        <w:t>so oc</w:t>
      </w:r>
      <w:r w:rsidR="00B1530D" w:rsidRPr="00337743">
        <w:rPr>
          <w:rFonts w:ascii="Cambria" w:hAnsi="Cambria"/>
          <w:color w:val="000000"/>
          <w:sz w:val="20"/>
          <w:szCs w:val="20"/>
          <w:lang w:val="pt-BR"/>
        </w:rPr>
        <w:t>orreu</w:t>
      </w:r>
      <w:r w:rsidR="00091880" w:rsidRPr="00337743">
        <w:rPr>
          <w:rFonts w:ascii="Cambria" w:hAnsi="Cambria"/>
          <w:color w:val="000000"/>
          <w:sz w:val="20"/>
          <w:szCs w:val="20"/>
          <w:lang w:val="pt-BR"/>
        </w:rPr>
        <w:t xml:space="preserve"> não em </w:t>
      </w:r>
      <w:r w:rsidR="00D00666" w:rsidRPr="00337743">
        <w:rPr>
          <w:rFonts w:ascii="Cambria" w:hAnsi="Cambria"/>
          <w:color w:val="000000"/>
          <w:sz w:val="20"/>
          <w:szCs w:val="20"/>
          <w:lang w:val="pt-BR"/>
        </w:rPr>
        <w:t>fun</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w:t>
      </w:r>
      <w:r w:rsidR="00E81481" w:rsidRPr="00337743">
        <w:rPr>
          <w:rFonts w:ascii="Cambria" w:hAnsi="Cambria"/>
          <w:color w:val="000000"/>
          <w:sz w:val="20"/>
          <w:szCs w:val="20"/>
          <w:lang w:val="pt-BR"/>
        </w:rPr>
        <w:t xml:space="preserve">a </w:t>
      </w:r>
      <w:r w:rsidR="00A26FB7" w:rsidRPr="00337743">
        <w:rPr>
          <w:rFonts w:ascii="Cambria" w:hAnsi="Cambria"/>
          <w:color w:val="000000"/>
          <w:sz w:val="20"/>
          <w:szCs w:val="20"/>
          <w:lang w:val="pt-BR"/>
        </w:rPr>
        <w:t>alteração</w:t>
      </w:r>
      <w:r w:rsidR="007707E3" w:rsidRPr="00337743">
        <w:rPr>
          <w:rFonts w:ascii="Cambria" w:hAnsi="Cambria"/>
          <w:color w:val="000000"/>
          <w:sz w:val="20"/>
          <w:szCs w:val="20"/>
          <w:lang w:val="pt-BR"/>
        </w:rPr>
        <w:t xml:space="preserve"> do </w:t>
      </w:r>
      <w:r w:rsidR="00091880" w:rsidRPr="00337743">
        <w:rPr>
          <w:rFonts w:ascii="Cambria" w:hAnsi="Cambria"/>
          <w:color w:val="000000"/>
          <w:sz w:val="20"/>
          <w:szCs w:val="20"/>
          <w:lang w:val="pt-BR"/>
        </w:rPr>
        <w:t>artigo</w:t>
      </w:r>
      <w:r w:rsidR="00D00666" w:rsidRPr="00337743">
        <w:rPr>
          <w:rFonts w:ascii="Cambria" w:hAnsi="Cambria"/>
          <w:color w:val="000000"/>
          <w:sz w:val="20"/>
          <w:szCs w:val="20"/>
          <w:lang w:val="pt-BR"/>
        </w:rPr>
        <w:t xml:space="preserve"> 53</w:t>
      </w:r>
      <w:r w:rsidR="007707E3" w:rsidRPr="00337743">
        <w:rPr>
          <w:rFonts w:ascii="Cambria" w:hAnsi="Cambria"/>
          <w:color w:val="000000"/>
          <w:sz w:val="20"/>
          <w:szCs w:val="20"/>
          <w:lang w:val="pt-BR"/>
        </w:rPr>
        <w:t xml:space="preserve"> da </w:t>
      </w:r>
      <w:r w:rsidR="00B1530D" w:rsidRPr="00337743">
        <w:rPr>
          <w:rFonts w:ascii="Cambria" w:hAnsi="Cambria"/>
          <w:color w:val="000000"/>
          <w:sz w:val="20"/>
          <w:szCs w:val="20"/>
          <w:lang w:val="pt-BR"/>
        </w:rPr>
        <w:t>Constituição</w:t>
      </w:r>
      <w:r w:rsidR="00D00666"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mas</w:t>
      </w:r>
      <w:r w:rsidR="00D00666" w:rsidRPr="00337743">
        <w:rPr>
          <w:rFonts w:ascii="Cambria" w:hAnsi="Cambria"/>
          <w:color w:val="000000"/>
          <w:sz w:val="20"/>
          <w:szCs w:val="20"/>
          <w:lang w:val="pt-BR"/>
        </w:rPr>
        <w:t xml:space="preserve"> porque Aércio</w:t>
      </w:r>
      <w:r w:rsidR="001C0573" w:rsidRPr="00337743">
        <w:rPr>
          <w:rFonts w:ascii="Cambria" w:hAnsi="Cambria"/>
          <w:color w:val="000000"/>
          <w:sz w:val="20"/>
          <w:szCs w:val="20"/>
          <w:lang w:val="pt-BR"/>
        </w:rPr>
        <w:t xml:space="preserve"> Pereira de Lima</w:t>
      </w:r>
      <w:r w:rsidR="00091880" w:rsidRPr="00337743">
        <w:rPr>
          <w:rFonts w:ascii="Cambria" w:hAnsi="Cambria"/>
          <w:color w:val="000000"/>
          <w:sz w:val="20"/>
          <w:szCs w:val="20"/>
          <w:lang w:val="pt-BR"/>
        </w:rPr>
        <w:t xml:space="preserve"> não </w:t>
      </w:r>
      <w:r w:rsidR="00E81481" w:rsidRPr="00337743">
        <w:rPr>
          <w:rFonts w:ascii="Cambria" w:hAnsi="Cambria"/>
          <w:color w:val="000000"/>
          <w:sz w:val="20"/>
          <w:szCs w:val="20"/>
          <w:lang w:val="pt-BR"/>
        </w:rPr>
        <w:t xml:space="preserve">conseguiu se </w:t>
      </w:r>
      <w:r w:rsidR="00D00666" w:rsidRPr="00337743">
        <w:rPr>
          <w:rFonts w:ascii="Cambria" w:hAnsi="Cambria"/>
          <w:color w:val="000000"/>
          <w:sz w:val="20"/>
          <w:szCs w:val="20"/>
          <w:lang w:val="pt-BR"/>
        </w:rPr>
        <w:t>reeleg</w:t>
      </w:r>
      <w:r w:rsidR="00E81481" w:rsidRPr="00337743">
        <w:rPr>
          <w:rFonts w:ascii="Cambria" w:hAnsi="Cambria"/>
          <w:color w:val="000000"/>
          <w:sz w:val="20"/>
          <w:szCs w:val="20"/>
          <w:lang w:val="pt-BR"/>
        </w:rPr>
        <w:t>er</w:t>
      </w:r>
      <w:r w:rsidR="00D00666" w:rsidRPr="00337743">
        <w:rPr>
          <w:rFonts w:ascii="Cambria" w:hAnsi="Cambria"/>
          <w:color w:val="000000"/>
          <w:sz w:val="20"/>
          <w:szCs w:val="20"/>
          <w:lang w:val="pt-BR"/>
        </w:rPr>
        <w:t>; h</w:t>
      </w:r>
      <w:r w:rsidR="00E81481" w:rsidRPr="00337743">
        <w:rPr>
          <w:rFonts w:ascii="Cambria" w:hAnsi="Cambria"/>
          <w:color w:val="000000"/>
          <w:sz w:val="20"/>
          <w:szCs w:val="20"/>
          <w:lang w:val="pt-BR"/>
        </w:rPr>
        <w:t>ouve</w:t>
      </w:r>
      <w:r w:rsidR="00D00666"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a</w:t>
      </w:r>
      <w:r w:rsidR="00D00666" w:rsidRPr="00337743">
        <w:rPr>
          <w:rFonts w:ascii="Cambria" w:hAnsi="Cambria"/>
          <w:color w:val="000000"/>
          <w:sz w:val="20"/>
          <w:szCs w:val="20"/>
          <w:lang w:val="pt-BR"/>
        </w:rPr>
        <w:t>traso proces</w:t>
      </w:r>
      <w:r w:rsidR="00E81481" w:rsidRPr="00337743">
        <w:rPr>
          <w:rFonts w:ascii="Cambria" w:hAnsi="Cambria"/>
          <w:color w:val="000000"/>
          <w:sz w:val="20"/>
          <w:szCs w:val="20"/>
          <w:lang w:val="pt-BR"/>
        </w:rPr>
        <w:t>su</w:t>
      </w:r>
      <w:r w:rsidR="00D00666" w:rsidRPr="00337743">
        <w:rPr>
          <w:rFonts w:ascii="Cambria" w:hAnsi="Cambria"/>
          <w:color w:val="000000"/>
          <w:sz w:val="20"/>
          <w:szCs w:val="20"/>
          <w:lang w:val="pt-BR"/>
        </w:rPr>
        <w:t>al injustificado</w:t>
      </w:r>
      <w:r w:rsidR="00091880" w:rsidRPr="00337743">
        <w:rPr>
          <w:rFonts w:ascii="Cambria" w:hAnsi="Cambria"/>
          <w:color w:val="000000"/>
          <w:sz w:val="20"/>
          <w:szCs w:val="20"/>
          <w:lang w:val="pt-BR"/>
        </w:rPr>
        <w:t xml:space="preserve"> em </w:t>
      </w:r>
      <w:r w:rsidR="00D00666" w:rsidRPr="00337743">
        <w:rPr>
          <w:rFonts w:ascii="Cambria" w:hAnsi="Cambria"/>
          <w:color w:val="000000"/>
          <w:sz w:val="20"/>
          <w:szCs w:val="20"/>
          <w:lang w:val="pt-BR"/>
        </w:rPr>
        <w:t>fun</w:t>
      </w:r>
      <w:r w:rsidR="00350E7E" w:rsidRPr="00337743">
        <w:rPr>
          <w:rFonts w:ascii="Cambria" w:hAnsi="Cambria"/>
          <w:color w:val="000000"/>
          <w:sz w:val="20"/>
          <w:szCs w:val="20"/>
          <w:lang w:val="pt-BR"/>
        </w:rPr>
        <w:t>ção</w:t>
      </w:r>
      <w:r w:rsidR="00D00666" w:rsidRPr="00337743">
        <w:rPr>
          <w:rFonts w:ascii="Cambria" w:hAnsi="Cambria"/>
          <w:color w:val="000000"/>
          <w:sz w:val="20"/>
          <w:szCs w:val="20"/>
          <w:lang w:val="pt-BR"/>
        </w:rPr>
        <w:t xml:space="preserve"> de que</w:t>
      </w:r>
      <w:r w:rsidR="00506331" w:rsidRPr="00337743">
        <w:rPr>
          <w:rFonts w:ascii="Cambria" w:hAnsi="Cambria"/>
          <w:color w:val="000000"/>
          <w:sz w:val="20"/>
          <w:szCs w:val="20"/>
          <w:lang w:val="pt-BR"/>
        </w:rPr>
        <w:t xml:space="preserve"> a </w:t>
      </w:r>
      <w:r w:rsidR="00B1530D" w:rsidRPr="00337743">
        <w:rPr>
          <w:rFonts w:ascii="Cambria" w:hAnsi="Cambria"/>
          <w:color w:val="000000"/>
          <w:sz w:val="20"/>
          <w:szCs w:val="20"/>
          <w:lang w:val="pt-BR"/>
        </w:rPr>
        <w:t>vítima</w:t>
      </w:r>
      <w:r w:rsidR="00D00666" w:rsidRPr="00337743">
        <w:rPr>
          <w:rFonts w:ascii="Cambria" w:hAnsi="Cambria"/>
          <w:color w:val="000000"/>
          <w:sz w:val="20"/>
          <w:szCs w:val="20"/>
          <w:lang w:val="pt-BR"/>
        </w:rPr>
        <w:t xml:space="preserve"> </w:t>
      </w:r>
      <w:r w:rsidR="00920455" w:rsidRPr="00337743">
        <w:rPr>
          <w:rFonts w:ascii="Cambria" w:hAnsi="Cambria"/>
          <w:color w:val="000000"/>
          <w:sz w:val="20"/>
          <w:szCs w:val="20"/>
          <w:lang w:val="pt-BR"/>
        </w:rPr>
        <w:t>era</w:t>
      </w:r>
      <w:r w:rsidR="00091880" w:rsidRPr="00337743">
        <w:rPr>
          <w:rFonts w:ascii="Cambria" w:hAnsi="Cambria"/>
          <w:color w:val="000000"/>
          <w:sz w:val="20"/>
          <w:szCs w:val="20"/>
          <w:lang w:val="pt-BR"/>
        </w:rPr>
        <w:t xml:space="preserve"> uma </w:t>
      </w:r>
      <w:r w:rsidR="00DB5118" w:rsidRPr="00337743">
        <w:rPr>
          <w:rFonts w:ascii="Cambria" w:hAnsi="Cambria"/>
          <w:color w:val="000000"/>
          <w:sz w:val="20"/>
          <w:szCs w:val="20"/>
          <w:lang w:val="pt-BR"/>
        </w:rPr>
        <w:t>mulher</w:t>
      </w:r>
      <w:r w:rsidR="00D00666"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bem</w:t>
      </w:r>
      <w:r w:rsidR="00D00666" w:rsidRPr="00337743">
        <w:rPr>
          <w:rFonts w:ascii="Cambria" w:hAnsi="Cambria"/>
          <w:color w:val="000000"/>
          <w:sz w:val="20"/>
          <w:szCs w:val="20"/>
          <w:lang w:val="pt-BR"/>
        </w:rPr>
        <w:t xml:space="preserve"> como</w:t>
      </w:r>
      <w:r w:rsidR="007707E3" w:rsidRPr="00337743">
        <w:rPr>
          <w:rFonts w:ascii="Cambria" w:hAnsi="Cambria"/>
          <w:color w:val="000000"/>
          <w:sz w:val="20"/>
          <w:szCs w:val="20"/>
          <w:lang w:val="pt-BR"/>
        </w:rPr>
        <w:t xml:space="preserve"> do </w:t>
      </w:r>
      <w:r w:rsidR="00D00666" w:rsidRPr="00337743">
        <w:rPr>
          <w:rFonts w:ascii="Cambria" w:hAnsi="Cambria"/>
          <w:color w:val="000000"/>
          <w:sz w:val="20"/>
          <w:szCs w:val="20"/>
          <w:lang w:val="pt-BR"/>
        </w:rPr>
        <w:t>poder político</w:t>
      </w:r>
      <w:r w:rsidR="007707E3" w:rsidRPr="00337743">
        <w:rPr>
          <w:rFonts w:ascii="Cambria" w:hAnsi="Cambria"/>
          <w:color w:val="000000"/>
          <w:sz w:val="20"/>
          <w:szCs w:val="20"/>
          <w:lang w:val="pt-BR"/>
        </w:rPr>
        <w:t xml:space="preserve"> do </w:t>
      </w:r>
      <w:r w:rsidR="00D00666" w:rsidRPr="00337743">
        <w:rPr>
          <w:rFonts w:ascii="Cambria" w:hAnsi="Cambria"/>
          <w:color w:val="000000"/>
          <w:sz w:val="20"/>
          <w:szCs w:val="20"/>
          <w:lang w:val="pt-BR"/>
        </w:rPr>
        <w:t>acusado</w:t>
      </w:r>
      <w:r w:rsidR="00506331" w:rsidRPr="00337743">
        <w:rPr>
          <w:rFonts w:ascii="Cambria" w:hAnsi="Cambria"/>
          <w:color w:val="000000"/>
          <w:sz w:val="20"/>
          <w:szCs w:val="20"/>
          <w:lang w:val="pt-BR"/>
        </w:rPr>
        <w:t xml:space="preserve"> e </w:t>
      </w:r>
      <w:r w:rsidR="00D00666" w:rsidRPr="00337743">
        <w:rPr>
          <w:rFonts w:ascii="Cambria" w:hAnsi="Cambria"/>
          <w:color w:val="000000"/>
          <w:sz w:val="20"/>
          <w:szCs w:val="20"/>
          <w:lang w:val="pt-BR"/>
        </w:rPr>
        <w:t xml:space="preserve">de </w:t>
      </w:r>
      <w:r w:rsidR="00B1530D" w:rsidRPr="00337743">
        <w:rPr>
          <w:rFonts w:ascii="Cambria" w:hAnsi="Cambria"/>
          <w:color w:val="000000"/>
          <w:sz w:val="20"/>
          <w:szCs w:val="20"/>
          <w:lang w:val="pt-BR"/>
        </w:rPr>
        <w:t>sua</w:t>
      </w:r>
      <w:r w:rsidR="00D00666"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família</w:t>
      </w:r>
      <w:r w:rsidR="00D00666"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e o </w:t>
      </w:r>
      <w:r w:rsidR="00376BFB" w:rsidRPr="00337743">
        <w:rPr>
          <w:rFonts w:ascii="Cambria" w:hAnsi="Cambria"/>
          <w:color w:val="000000"/>
          <w:sz w:val="20"/>
          <w:szCs w:val="20"/>
          <w:lang w:val="pt-BR"/>
        </w:rPr>
        <w:t>espa</w:t>
      </w:r>
      <w:r w:rsidR="00E81481" w:rsidRPr="00337743">
        <w:rPr>
          <w:rFonts w:ascii="Cambria" w:hAnsi="Cambria"/>
          <w:color w:val="000000"/>
          <w:sz w:val="20"/>
          <w:szCs w:val="20"/>
          <w:lang w:val="pt-BR"/>
        </w:rPr>
        <w:t>ç</w:t>
      </w:r>
      <w:r w:rsidR="00376BFB" w:rsidRPr="00337743">
        <w:rPr>
          <w:rFonts w:ascii="Cambria" w:hAnsi="Cambria"/>
          <w:color w:val="000000"/>
          <w:sz w:val="20"/>
          <w:szCs w:val="20"/>
          <w:lang w:val="pt-BR"/>
        </w:rPr>
        <w:t>a</w:t>
      </w:r>
      <w:r w:rsidR="00D60ABE" w:rsidRPr="00337743">
        <w:rPr>
          <w:rFonts w:ascii="Cambria" w:hAnsi="Cambria"/>
          <w:color w:val="000000"/>
          <w:sz w:val="20"/>
          <w:szCs w:val="20"/>
          <w:lang w:val="pt-BR"/>
        </w:rPr>
        <w:t>mento</w:t>
      </w:r>
      <w:r w:rsidR="00376BFB" w:rsidRPr="00337743">
        <w:rPr>
          <w:rFonts w:ascii="Cambria" w:hAnsi="Cambria"/>
          <w:color w:val="000000"/>
          <w:sz w:val="20"/>
          <w:szCs w:val="20"/>
          <w:lang w:val="pt-BR"/>
        </w:rPr>
        <w:t xml:space="preserve"> </w:t>
      </w:r>
      <w:r w:rsidR="00D00666" w:rsidRPr="00337743">
        <w:rPr>
          <w:rFonts w:ascii="Cambria" w:hAnsi="Cambria"/>
          <w:color w:val="000000"/>
          <w:sz w:val="20"/>
          <w:szCs w:val="20"/>
          <w:lang w:val="pt-BR"/>
        </w:rPr>
        <w:t>cronológico entre</w:t>
      </w:r>
      <w:r w:rsidR="00506331" w:rsidRPr="00337743">
        <w:rPr>
          <w:rFonts w:ascii="Cambria" w:hAnsi="Cambria"/>
          <w:color w:val="000000"/>
          <w:sz w:val="20"/>
          <w:szCs w:val="20"/>
          <w:lang w:val="pt-BR"/>
        </w:rPr>
        <w:t xml:space="preserve"> o </w:t>
      </w:r>
      <w:r w:rsidR="00D00666" w:rsidRPr="00337743">
        <w:rPr>
          <w:rFonts w:ascii="Cambria" w:hAnsi="Cambria"/>
          <w:color w:val="000000"/>
          <w:sz w:val="20"/>
          <w:szCs w:val="20"/>
          <w:lang w:val="pt-BR"/>
        </w:rPr>
        <w:t>a</w:t>
      </w:r>
      <w:r w:rsidR="00E81481" w:rsidRPr="00337743">
        <w:rPr>
          <w:rFonts w:ascii="Cambria" w:hAnsi="Cambria"/>
          <w:color w:val="000000"/>
          <w:sz w:val="20"/>
          <w:szCs w:val="20"/>
          <w:lang w:val="pt-BR"/>
        </w:rPr>
        <w:t>s</w:t>
      </w:r>
      <w:r w:rsidR="00D00666" w:rsidRPr="00337743">
        <w:rPr>
          <w:rFonts w:ascii="Cambria" w:hAnsi="Cambria"/>
          <w:color w:val="000000"/>
          <w:sz w:val="20"/>
          <w:szCs w:val="20"/>
          <w:lang w:val="pt-BR"/>
        </w:rPr>
        <w:t>s</w:t>
      </w:r>
      <w:r w:rsidR="00E81481" w:rsidRPr="00337743">
        <w:rPr>
          <w:rFonts w:ascii="Cambria" w:hAnsi="Cambria"/>
          <w:color w:val="000000"/>
          <w:sz w:val="20"/>
          <w:szCs w:val="20"/>
          <w:lang w:val="pt-BR"/>
        </w:rPr>
        <w:t>as</w:t>
      </w:r>
      <w:r w:rsidR="00D00666" w:rsidRPr="00337743">
        <w:rPr>
          <w:rFonts w:ascii="Cambria" w:hAnsi="Cambria"/>
          <w:color w:val="000000"/>
          <w:sz w:val="20"/>
          <w:szCs w:val="20"/>
          <w:lang w:val="pt-BR"/>
        </w:rPr>
        <w:t>sinato</w:t>
      </w:r>
      <w:r w:rsidR="00506331" w:rsidRPr="00337743">
        <w:rPr>
          <w:rFonts w:ascii="Cambria" w:hAnsi="Cambria"/>
          <w:color w:val="000000"/>
          <w:sz w:val="20"/>
          <w:szCs w:val="20"/>
          <w:lang w:val="pt-BR"/>
        </w:rPr>
        <w:t xml:space="preserve"> e o </w:t>
      </w:r>
      <w:r w:rsidR="00B1530D" w:rsidRPr="00337743">
        <w:rPr>
          <w:rFonts w:ascii="Cambria" w:hAnsi="Cambria"/>
          <w:color w:val="000000"/>
          <w:sz w:val="20"/>
          <w:szCs w:val="20"/>
          <w:lang w:val="pt-BR"/>
        </w:rPr>
        <w:t>processo</w:t>
      </w:r>
      <w:r w:rsidR="001A46B8" w:rsidRPr="00337743">
        <w:rPr>
          <w:rFonts w:ascii="Cambria" w:hAnsi="Cambria"/>
          <w:color w:val="000000"/>
          <w:sz w:val="20"/>
          <w:szCs w:val="20"/>
          <w:lang w:val="pt-BR"/>
        </w:rPr>
        <w:t xml:space="preserve"> penal</w:t>
      </w:r>
      <w:r w:rsidR="00D00666" w:rsidRPr="00337743">
        <w:rPr>
          <w:rFonts w:ascii="Cambria" w:hAnsi="Cambria"/>
          <w:color w:val="000000"/>
          <w:sz w:val="20"/>
          <w:szCs w:val="20"/>
          <w:lang w:val="pt-BR"/>
        </w:rPr>
        <w:t xml:space="preserve"> dilu</w:t>
      </w:r>
      <w:r w:rsidR="00E81481" w:rsidRPr="00337743">
        <w:rPr>
          <w:rFonts w:ascii="Cambria" w:hAnsi="Cambria"/>
          <w:color w:val="000000"/>
          <w:sz w:val="20"/>
          <w:szCs w:val="20"/>
          <w:lang w:val="pt-BR"/>
        </w:rPr>
        <w:t>iu</w:t>
      </w:r>
      <w:r w:rsidR="00506331" w:rsidRPr="00337743">
        <w:rPr>
          <w:rFonts w:ascii="Cambria" w:hAnsi="Cambria"/>
          <w:color w:val="000000"/>
          <w:sz w:val="20"/>
          <w:szCs w:val="20"/>
          <w:lang w:val="pt-BR"/>
        </w:rPr>
        <w:t xml:space="preserve"> a </w:t>
      </w:r>
      <w:r w:rsidR="00D00666" w:rsidRPr="00337743">
        <w:rPr>
          <w:rFonts w:ascii="Cambria" w:hAnsi="Cambria"/>
          <w:color w:val="000000"/>
          <w:sz w:val="20"/>
          <w:szCs w:val="20"/>
          <w:lang w:val="pt-BR"/>
        </w:rPr>
        <w:t>rea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D00666" w:rsidRPr="00337743">
        <w:rPr>
          <w:rFonts w:ascii="Cambria" w:hAnsi="Cambria"/>
          <w:color w:val="000000"/>
          <w:sz w:val="20"/>
          <w:szCs w:val="20"/>
          <w:lang w:val="pt-BR"/>
        </w:rPr>
        <w:t xml:space="preserve"> social</w:t>
      </w:r>
      <w:r w:rsidR="00506331" w:rsidRPr="00337743">
        <w:rPr>
          <w:rFonts w:ascii="Cambria" w:hAnsi="Cambria"/>
          <w:color w:val="000000"/>
          <w:sz w:val="20"/>
          <w:szCs w:val="20"/>
          <w:lang w:val="pt-BR"/>
        </w:rPr>
        <w:t xml:space="preserve"> e </w:t>
      </w:r>
      <w:r w:rsidR="00D00666" w:rsidRPr="00337743">
        <w:rPr>
          <w:rFonts w:ascii="Cambria" w:hAnsi="Cambria"/>
          <w:color w:val="000000"/>
          <w:sz w:val="20"/>
          <w:szCs w:val="20"/>
          <w:lang w:val="pt-BR"/>
        </w:rPr>
        <w:t>dificult</w:t>
      </w:r>
      <w:r w:rsidR="00B1530D" w:rsidRPr="00337743">
        <w:rPr>
          <w:rFonts w:ascii="Cambria" w:hAnsi="Cambria"/>
          <w:color w:val="000000"/>
          <w:sz w:val="20"/>
          <w:szCs w:val="20"/>
          <w:lang w:val="pt-BR"/>
        </w:rPr>
        <w:t>ou</w:t>
      </w:r>
      <w:r w:rsidR="00506331" w:rsidRPr="00337743">
        <w:rPr>
          <w:rFonts w:ascii="Cambria" w:hAnsi="Cambria"/>
          <w:color w:val="000000"/>
          <w:sz w:val="20"/>
          <w:szCs w:val="20"/>
          <w:lang w:val="pt-BR"/>
        </w:rPr>
        <w:t xml:space="preserve"> a </w:t>
      </w:r>
      <w:r w:rsidR="00D00666" w:rsidRPr="00337743">
        <w:rPr>
          <w:rFonts w:ascii="Cambria" w:hAnsi="Cambria"/>
          <w:color w:val="000000"/>
          <w:sz w:val="20"/>
          <w:szCs w:val="20"/>
          <w:lang w:val="pt-BR"/>
        </w:rPr>
        <w:t>produ</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D00666" w:rsidRPr="00337743">
        <w:rPr>
          <w:rFonts w:ascii="Cambria" w:hAnsi="Cambria"/>
          <w:color w:val="000000"/>
          <w:sz w:val="20"/>
          <w:szCs w:val="20"/>
          <w:lang w:val="pt-BR"/>
        </w:rPr>
        <w:t xml:space="preserve"> de pr</w:t>
      </w:r>
      <w:r w:rsidR="00E81481" w:rsidRPr="00337743">
        <w:rPr>
          <w:rFonts w:ascii="Cambria" w:hAnsi="Cambria"/>
          <w:color w:val="000000"/>
          <w:sz w:val="20"/>
          <w:szCs w:val="20"/>
          <w:lang w:val="pt-BR"/>
        </w:rPr>
        <w:t>ov</w:t>
      </w:r>
      <w:r w:rsidR="00D00666" w:rsidRPr="00337743">
        <w:rPr>
          <w:rFonts w:ascii="Cambria" w:hAnsi="Cambria"/>
          <w:color w:val="000000"/>
          <w:sz w:val="20"/>
          <w:szCs w:val="20"/>
          <w:lang w:val="pt-BR"/>
        </w:rPr>
        <w:t>as.</w:t>
      </w:r>
    </w:p>
    <w:p w14:paraId="23D147A2" w14:textId="77777777" w:rsidR="00234F94" w:rsidRPr="00337743" w:rsidRDefault="00234F94" w:rsidP="00234F9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sz w:val="20"/>
          <w:szCs w:val="20"/>
          <w:lang w:val="pt-BR"/>
        </w:rPr>
      </w:pPr>
    </w:p>
    <w:p w14:paraId="2EB5C481" w14:textId="77777777" w:rsidR="00302617" w:rsidRPr="00337743" w:rsidRDefault="00302617" w:rsidP="00362D9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r w:rsidRPr="00337743">
        <w:rPr>
          <w:rFonts w:ascii="Cambria" w:hAnsi="Cambria"/>
          <w:color w:val="000000"/>
          <w:sz w:val="20"/>
          <w:szCs w:val="20"/>
          <w:lang w:val="pt-BR"/>
        </w:rPr>
        <w:t>A</w:t>
      </w:r>
      <w:r w:rsidR="0094071D">
        <w:rPr>
          <w:rFonts w:ascii="Cambria" w:hAnsi="Cambria"/>
          <w:color w:val="000000"/>
          <w:sz w:val="20"/>
          <w:szCs w:val="20"/>
          <w:lang w:val="pt-BR"/>
        </w:rPr>
        <w:t>demais, a</w:t>
      </w:r>
      <w:r w:rsidRPr="00337743">
        <w:rPr>
          <w:rFonts w:ascii="Cambria" w:hAnsi="Cambria"/>
          <w:color w:val="000000"/>
          <w:sz w:val="20"/>
          <w:szCs w:val="20"/>
          <w:lang w:val="pt-BR"/>
        </w:rPr>
        <w:t>leg</w:t>
      </w:r>
      <w:r w:rsidR="006F150F" w:rsidRPr="00337743">
        <w:rPr>
          <w:rFonts w:ascii="Cambria" w:hAnsi="Cambria"/>
          <w:color w:val="000000"/>
          <w:sz w:val="20"/>
          <w:szCs w:val="20"/>
          <w:lang w:val="pt-BR"/>
        </w:rPr>
        <w:t>ou</w:t>
      </w:r>
      <w:r w:rsidRPr="00337743">
        <w:rPr>
          <w:rFonts w:ascii="Cambria" w:hAnsi="Cambria"/>
          <w:color w:val="000000"/>
          <w:sz w:val="20"/>
          <w:szCs w:val="20"/>
          <w:lang w:val="pt-BR"/>
        </w:rPr>
        <w:t xml:space="preserve"> </w:t>
      </w:r>
      <w:r w:rsidR="000B2E9D" w:rsidRPr="00337743">
        <w:rPr>
          <w:rFonts w:ascii="Cambria" w:hAnsi="Cambria"/>
          <w:color w:val="000000"/>
          <w:sz w:val="20"/>
          <w:szCs w:val="20"/>
          <w:lang w:val="pt-BR"/>
        </w:rPr>
        <w:t>que</w:t>
      </w:r>
      <w:r w:rsidR="00506331" w:rsidRPr="00337743">
        <w:rPr>
          <w:rFonts w:ascii="Cambria" w:hAnsi="Cambria"/>
          <w:color w:val="000000"/>
          <w:sz w:val="20"/>
          <w:szCs w:val="20"/>
          <w:lang w:val="pt-BR"/>
        </w:rPr>
        <w:t xml:space="preserve"> a </w:t>
      </w:r>
      <w:r w:rsidR="000B2E9D" w:rsidRPr="00337743">
        <w:rPr>
          <w:rFonts w:ascii="Cambria" w:hAnsi="Cambria"/>
          <w:color w:val="000000"/>
          <w:sz w:val="20"/>
          <w:szCs w:val="20"/>
          <w:lang w:val="pt-BR"/>
        </w:rPr>
        <w:t>m</w:t>
      </w:r>
      <w:r w:rsidR="006F150F" w:rsidRPr="00337743">
        <w:rPr>
          <w:rFonts w:ascii="Cambria" w:hAnsi="Cambria"/>
          <w:color w:val="000000"/>
          <w:sz w:val="20"/>
          <w:szCs w:val="20"/>
          <w:lang w:val="pt-BR"/>
        </w:rPr>
        <w:t>o</w:t>
      </w:r>
      <w:r w:rsidR="000B2E9D" w:rsidRPr="00337743">
        <w:rPr>
          <w:rFonts w:ascii="Cambria" w:hAnsi="Cambria"/>
          <w:color w:val="000000"/>
          <w:sz w:val="20"/>
          <w:szCs w:val="20"/>
          <w:lang w:val="pt-BR"/>
        </w:rPr>
        <w:t>rte de Márcia</w:t>
      </w:r>
      <w:r w:rsidR="00D932ED" w:rsidRPr="00337743">
        <w:rPr>
          <w:rFonts w:ascii="Cambria" w:hAnsi="Cambria"/>
          <w:color w:val="000000"/>
          <w:sz w:val="20"/>
          <w:szCs w:val="20"/>
          <w:lang w:val="pt-BR"/>
        </w:rPr>
        <w:t xml:space="preserve"> Barbosa</w:t>
      </w:r>
      <w:r w:rsidR="00506331" w:rsidRPr="00337743">
        <w:rPr>
          <w:rFonts w:ascii="Cambria" w:hAnsi="Cambria"/>
          <w:color w:val="000000"/>
          <w:sz w:val="20"/>
          <w:szCs w:val="20"/>
          <w:lang w:val="pt-BR"/>
        </w:rPr>
        <w:t xml:space="preserve"> e a </w:t>
      </w:r>
      <w:r w:rsidR="000B2E9D" w:rsidRPr="00337743">
        <w:rPr>
          <w:rFonts w:ascii="Cambria" w:hAnsi="Cambria"/>
          <w:color w:val="000000"/>
          <w:sz w:val="20"/>
          <w:szCs w:val="20"/>
          <w:lang w:val="pt-BR"/>
        </w:rPr>
        <w:t>impuni</w:t>
      </w:r>
      <w:r w:rsidR="00350E7E" w:rsidRPr="00337743">
        <w:rPr>
          <w:rFonts w:ascii="Cambria" w:hAnsi="Cambria"/>
          <w:color w:val="000000"/>
          <w:sz w:val="20"/>
          <w:szCs w:val="20"/>
          <w:lang w:val="pt-BR"/>
        </w:rPr>
        <w:t xml:space="preserve">dade </w:t>
      </w:r>
      <w:r w:rsidR="000B2E9D" w:rsidRPr="00337743">
        <w:rPr>
          <w:rFonts w:ascii="Cambria" w:hAnsi="Cambria"/>
          <w:color w:val="000000"/>
          <w:sz w:val="20"/>
          <w:szCs w:val="20"/>
          <w:lang w:val="pt-BR"/>
        </w:rPr>
        <w:t>resultante</w:t>
      </w:r>
      <w:r w:rsidR="00E96C24" w:rsidRPr="00337743">
        <w:rPr>
          <w:rFonts w:ascii="Cambria" w:hAnsi="Cambria"/>
          <w:color w:val="000000"/>
          <w:sz w:val="20"/>
          <w:szCs w:val="20"/>
          <w:lang w:val="pt-BR"/>
        </w:rPr>
        <w:t xml:space="preserve"> dos </w:t>
      </w:r>
      <w:r w:rsidR="006F150F" w:rsidRPr="00337743">
        <w:rPr>
          <w:rFonts w:ascii="Cambria" w:hAnsi="Cambria"/>
          <w:color w:val="000000"/>
          <w:sz w:val="20"/>
          <w:szCs w:val="20"/>
          <w:lang w:val="pt-BR"/>
        </w:rPr>
        <w:t>fat</w:t>
      </w:r>
      <w:r w:rsidR="000B2E9D" w:rsidRPr="00337743">
        <w:rPr>
          <w:rFonts w:ascii="Cambria" w:hAnsi="Cambria"/>
          <w:color w:val="000000"/>
          <w:sz w:val="20"/>
          <w:szCs w:val="20"/>
          <w:lang w:val="pt-BR"/>
        </w:rPr>
        <w:t>os v</w:t>
      </w:r>
      <w:r w:rsidR="00D56D1B" w:rsidRPr="00337743">
        <w:rPr>
          <w:rFonts w:ascii="Cambria" w:hAnsi="Cambria"/>
          <w:color w:val="000000"/>
          <w:sz w:val="20"/>
          <w:szCs w:val="20"/>
          <w:lang w:val="pt-BR"/>
        </w:rPr>
        <w:t>iolam</w:t>
      </w:r>
      <w:r w:rsidR="000B2E9D" w:rsidRPr="00337743">
        <w:rPr>
          <w:rFonts w:ascii="Cambria" w:hAnsi="Cambria"/>
          <w:color w:val="000000"/>
          <w:sz w:val="20"/>
          <w:szCs w:val="20"/>
          <w:lang w:val="pt-BR"/>
        </w:rPr>
        <w:t xml:space="preserve"> </w:t>
      </w:r>
      <w:r w:rsidR="008E10A9" w:rsidRPr="00337743">
        <w:rPr>
          <w:rFonts w:ascii="Cambria" w:hAnsi="Cambria"/>
          <w:color w:val="000000"/>
          <w:sz w:val="20"/>
          <w:szCs w:val="20"/>
          <w:lang w:val="pt-BR"/>
        </w:rPr>
        <w:t>diversas disposi</w:t>
      </w:r>
      <w:r w:rsidR="00350E7E" w:rsidRPr="00337743">
        <w:rPr>
          <w:rFonts w:ascii="Cambria" w:hAnsi="Cambria"/>
          <w:color w:val="000000"/>
          <w:sz w:val="20"/>
          <w:szCs w:val="20"/>
          <w:lang w:val="pt-BR"/>
        </w:rPr>
        <w:t>ções</w:t>
      </w:r>
      <w:r w:rsidR="007707E3" w:rsidRPr="00337743">
        <w:rPr>
          <w:rFonts w:ascii="Cambria" w:hAnsi="Cambria"/>
          <w:color w:val="000000"/>
          <w:sz w:val="20"/>
          <w:szCs w:val="20"/>
          <w:lang w:val="pt-BR"/>
        </w:rPr>
        <w:t xml:space="preserve"> da </w:t>
      </w:r>
      <w:r w:rsidR="000B2E9D" w:rsidRPr="00337743">
        <w:rPr>
          <w:rFonts w:ascii="Cambria" w:hAnsi="Cambria"/>
          <w:color w:val="000000"/>
          <w:sz w:val="20"/>
          <w:szCs w:val="20"/>
          <w:lang w:val="pt-BR"/>
        </w:rPr>
        <w:t>Conven</w:t>
      </w:r>
      <w:r w:rsidR="00350E7E" w:rsidRPr="00337743">
        <w:rPr>
          <w:rFonts w:ascii="Cambria" w:hAnsi="Cambria"/>
          <w:color w:val="000000"/>
          <w:sz w:val="20"/>
          <w:szCs w:val="20"/>
          <w:lang w:val="pt-BR"/>
        </w:rPr>
        <w:t>ção</w:t>
      </w:r>
      <w:r w:rsidR="000B2E9D" w:rsidRPr="00337743">
        <w:rPr>
          <w:rFonts w:ascii="Cambria" w:hAnsi="Cambria"/>
          <w:color w:val="000000"/>
          <w:sz w:val="20"/>
          <w:szCs w:val="20"/>
          <w:lang w:val="pt-BR"/>
        </w:rPr>
        <w:t xml:space="preserve"> </w:t>
      </w:r>
      <w:r w:rsidR="00BF72CE" w:rsidRPr="00337743">
        <w:rPr>
          <w:rFonts w:ascii="Cambria" w:hAnsi="Cambria"/>
          <w:color w:val="000000"/>
          <w:sz w:val="20"/>
          <w:szCs w:val="20"/>
          <w:lang w:val="pt-BR"/>
        </w:rPr>
        <w:t>d</w:t>
      </w:r>
      <w:r w:rsidR="000B2E9D" w:rsidRPr="00337743">
        <w:rPr>
          <w:rFonts w:ascii="Cambria" w:hAnsi="Cambria"/>
          <w:color w:val="000000"/>
          <w:sz w:val="20"/>
          <w:szCs w:val="20"/>
          <w:lang w:val="pt-BR"/>
        </w:rPr>
        <w:t xml:space="preserve">e Belém </w:t>
      </w:r>
      <w:r w:rsidR="00BF72CE" w:rsidRPr="00337743">
        <w:rPr>
          <w:rFonts w:ascii="Cambria" w:hAnsi="Cambria"/>
          <w:color w:val="000000"/>
          <w:sz w:val="20"/>
          <w:szCs w:val="20"/>
          <w:lang w:val="pt-BR"/>
        </w:rPr>
        <w:t>d</w:t>
      </w:r>
      <w:r w:rsidR="000B2E9D" w:rsidRPr="00337743">
        <w:rPr>
          <w:rFonts w:ascii="Cambria" w:hAnsi="Cambria"/>
          <w:color w:val="000000"/>
          <w:sz w:val="20"/>
          <w:szCs w:val="20"/>
          <w:lang w:val="pt-BR"/>
        </w:rPr>
        <w:t>o Pará</w:t>
      </w:r>
      <w:r w:rsidR="008E10A9"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em </w:t>
      </w:r>
      <w:r w:rsidR="001336B4" w:rsidRPr="00337743">
        <w:rPr>
          <w:rFonts w:ascii="Cambria" w:hAnsi="Cambria"/>
          <w:color w:val="000000"/>
          <w:sz w:val="20"/>
          <w:szCs w:val="20"/>
          <w:lang w:val="pt-BR"/>
        </w:rPr>
        <w:t>especial</w:t>
      </w:r>
      <w:r w:rsidR="00506331" w:rsidRPr="00337743">
        <w:rPr>
          <w:rFonts w:ascii="Cambria" w:hAnsi="Cambria"/>
          <w:color w:val="000000"/>
          <w:sz w:val="20"/>
          <w:szCs w:val="20"/>
          <w:lang w:val="pt-BR"/>
        </w:rPr>
        <w:t xml:space="preserve"> o </w:t>
      </w:r>
      <w:bookmarkStart w:id="6" w:name="_Hlk528747518"/>
      <w:r w:rsidR="00350E7E" w:rsidRPr="00337743">
        <w:rPr>
          <w:rFonts w:ascii="Cambria" w:hAnsi="Cambria"/>
          <w:color w:val="000000"/>
          <w:sz w:val="20"/>
          <w:szCs w:val="20"/>
          <w:lang w:val="pt-BR"/>
        </w:rPr>
        <w:t>direito</w:t>
      </w:r>
      <w:r w:rsidR="00BF72CE" w:rsidRPr="00337743">
        <w:rPr>
          <w:rFonts w:ascii="Cambria" w:hAnsi="Cambria"/>
          <w:color w:val="000000"/>
          <w:sz w:val="20"/>
          <w:szCs w:val="20"/>
          <w:lang w:val="pt-BR"/>
        </w:rPr>
        <w:t xml:space="preserve"> ao </w:t>
      </w:r>
      <w:r w:rsidR="00B1530D" w:rsidRPr="00337743">
        <w:rPr>
          <w:rFonts w:ascii="Cambria" w:hAnsi="Cambria"/>
          <w:color w:val="000000"/>
          <w:sz w:val="20"/>
          <w:szCs w:val="20"/>
          <w:lang w:val="pt-BR"/>
        </w:rPr>
        <w:t>reconhecimento</w:t>
      </w:r>
      <w:r w:rsidR="001336B4" w:rsidRPr="00337743">
        <w:rPr>
          <w:rFonts w:ascii="Cambria" w:hAnsi="Cambria"/>
          <w:color w:val="000000"/>
          <w:sz w:val="20"/>
          <w:szCs w:val="20"/>
          <w:lang w:val="pt-BR"/>
        </w:rPr>
        <w:t>, go</w:t>
      </w:r>
      <w:r w:rsidR="00D56D1B" w:rsidRPr="00337743">
        <w:rPr>
          <w:rFonts w:ascii="Cambria" w:hAnsi="Cambria"/>
          <w:color w:val="000000"/>
          <w:sz w:val="20"/>
          <w:szCs w:val="20"/>
          <w:lang w:val="pt-BR"/>
        </w:rPr>
        <w:t>zo</w:t>
      </w:r>
      <w:r w:rsidR="001336B4"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exercício</w:t>
      </w:r>
      <w:r w:rsidR="00506331" w:rsidRPr="00337743">
        <w:rPr>
          <w:rFonts w:ascii="Cambria" w:hAnsi="Cambria"/>
          <w:color w:val="000000"/>
          <w:sz w:val="20"/>
          <w:szCs w:val="20"/>
          <w:lang w:val="pt-BR"/>
        </w:rPr>
        <w:t xml:space="preserve"> e </w:t>
      </w:r>
      <w:r w:rsidR="001336B4" w:rsidRPr="00337743">
        <w:rPr>
          <w:rFonts w:ascii="Cambria" w:hAnsi="Cambria"/>
          <w:color w:val="000000"/>
          <w:sz w:val="20"/>
          <w:szCs w:val="20"/>
          <w:lang w:val="pt-BR"/>
        </w:rPr>
        <w:t>prote</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1336B4" w:rsidRPr="00337743">
        <w:rPr>
          <w:rFonts w:ascii="Cambria" w:hAnsi="Cambria"/>
          <w:color w:val="000000"/>
          <w:sz w:val="20"/>
          <w:szCs w:val="20"/>
          <w:lang w:val="pt-BR"/>
        </w:rPr>
        <w:t xml:space="preserve"> de todos</w:t>
      </w:r>
      <w:r w:rsidR="007707E3" w:rsidRPr="00337743">
        <w:rPr>
          <w:rFonts w:ascii="Cambria" w:hAnsi="Cambria"/>
          <w:color w:val="000000"/>
          <w:sz w:val="20"/>
          <w:szCs w:val="20"/>
          <w:lang w:val="pt-BR"/>
        </w:rPr>
        <w:t xml:space="preserve"> os </w:t>
      </w:r>
      <w:r w:rsidR="00350E7E" w:rsidRPr="00337743">
        <w:rPr>
          <w:rFonts w:ascii="Cambria" w:hAnsi="Cambria"/>
          <w:color w:val="000000"/>
          <w:sz w:val="20"/>
          <w:szCs w:val="20"/>
          <w:lang w:val="pt-BR"/>
        </w:rPr>
        <w:t>direito</w:t>
      </w:r>
      <w:r w:rsidR="001336B4" w:rsidRPr="00337743">
        <w:rPr>
          <w:rFonts w:ascii="Cambria" w:hAnsi="Cambria"/>
          <w:color w:val="000000"/>
          <w:sz w:val="20"/>
          <w:szCs w:val="20"/>
          <w:lang w:val="pt-BR"/>
        </w:rPr>
        <w:t>s humanos,</w:t>
      </w:r>
      <w:r w:rsidR="00506331" w:rsidRPr="00337743">
        <w:rPr>
          <w:rFonts w:ascii="Cambria" w:hAnsi="Cambria"/>
          <w:color w:val="000000"/>
          <w:sz w:val="20"/>
          <w:szCs w:val="20"/>
          <w:lang w:val="pt-BR"/>
        </w:rPr>
        <w:t xml:space="preserve"> o </w:t>
      </w:r>
      <w:r w:rsidR="00350E7E" w:rsidRPr="00337743">
        <w:rPr>
          <w:rFonts w:ascii="Cambria" w:hAnsi="Cambria"/>
          <w:color w:val="000000"/>
          <w:sz w:val="20"/>
          <w:szCs w:val="20"/>
          <w:lang w:val="pt-BR"/>
        </w:rPr>
        <w:t>direito</w:t>
      </w:r>
      <w:r w:rsidR="001336B4" w:rsidRPr="00337743">
        <w:rPr>
          <w:rFonts w:ascii="Cambria" w:hAnsi="Cambria"/>
          <w:color w:val="000000"/>
          <w:sz w:val="20"/>
          <w:szCs w:val="20"/>
          <w:lang w:val="pt-BR"/>
        </w:rPr>
        <w:t xml:space="preserve"> a</w:t>
      </w:r>
      <w:r w:rsidR="00091880" w:rsidRPr="00337743">
        <w:rPr>
          <w:rFonts w:ascii="Cambria" w:hAnsi="Cambria"/>
          <w:color w:val="000000"/>
          <w:sz w:val="20"/>
          <w:szCs w:val="20"/>
          <w:lang w:val="pt-BR"/>
        </w:rPr>
        <w:t xml:space="preserve"> uma </w:t>
      </w:r>
      <w:r w:rsidR="001336B4" w:rsidRPr="00337743">
        <w:rPr>
          <w:rFonts w:ascii="Cambria" w:hAnsi="Cambria"/>
          <w:color w:val="000000"/>
          <w:sz w:val="20"/>
          <w:szCs w:val="20"/>
          <w:lang w:val="pt-BR"/>
        </w:rPr>
        <w:t>vida li</w:t>
      </w:r>
      <w:r w:rsidR="00A26FB7" w:rsidRPr="00337743">
        <w:rPr>
          <w:rFonts w:ascii="Cambria" w:hAnsi="Cambria"/>
          <w:color w:val="000000"/>
          <w:sz w:val="20"/>
          <w:szCs w:val="20"/>
          <w:lang w:val="pt-BR"/>
        </w:rPr>
        <w:t>v</w:t>
      </w:r>
      <w:r w:rsidR="001336B4" w:rsidRPr="00337743">
        <w:rPr>
          <w:rFonts w:ascii="Cambria" w:hAnsi="Cambria"/>
          <w:color w:val="000000"/>
          <w:sz w:val="20"/>
          <w:szCs w:val="20"/>
          <w:lang w:val="pt-BR"/>
        </w:rPr>
        <w:t xml:space="preserve">re de </w:t>
      </w:r>
      <w:r w:rsidR="00B1530D" w:rsidRPr="00337743">
        <w:rPr>
          <w:rFonts w:ascii="Cambria" w:hAnsi="Cambria"/>
          <w:color w:val="000000"/>
          <w:sz w:val="20"/>
          <w:szCs w:val="20"/>
          <w:lang w:val="pt-BR"/>
        </w:rPr>
        <w:t>violência</w:t>
      </w:r>
      <w:r w:rsidR="001336B4"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o </w:t>
      </w:r>
      <w:r w:rsidR="00350E7E" w:rsidRPr="00337743">
        <w:rPr>
          <w:rFonts w:ascii="Cambria" w:hAnsi="Cambria"/>
          <w:color w:val="000000"/>
          <w:sz w:val="20"/>
          <w:szCs w:val="20"/>
          <w:lang w:val="pt-BR"/>
        </w:rPr>
        <w:t>direito</w:t>
      </w:r>
      <w:r w:rsidR="00362D9E" w:rsidRPr="00337743">
        <w:rPr>
          <w:rFonts w:ascii="Cambria" w:hAnsi="Cambria"/>
          <w:color w:val="000000"/>
          <w:sz w:val="20"/>
          <w:szCs w:val="20"/>
          <w:lang w:val="pt-BR"/>
        </w:rPr>
        <w:t xml:space="preserve"> </w:t>
      </w:r>
      <w:r w:rsidR="00D56D1B" w:rsidRPr="00337743">
        <w:rPr>
          <w:rFonts w:ascii="Cambria" w:hAnsi="Cambria"/>
          <w:color w:val="000000"/>
          <w:sz w:val="20"/>
          <w:szCs w:val="20"/>
          <w:lang w:val="pt-BR"/>
        </w:rPr>
        <w:t>à</w:t>
      </w:r>
      <w:r w:rsidR="00362D9E" w:rsidRPr="00337743">
        <w:rPr>
          <w:rFonts w:ascii="Cambria" w:hAnsi="Cambria"/>
          <w:color w:val="000000"/>
          <w:sz w:val="20"/>
          <w:szCs w:val="20"/>
          <w:lang w:val="pt-BR"/>
        </w:rPr>
        <w:t xml:space="preserve"> igual</w:t>
      </w:r>
      <w:r w:rsidR="00350E7E" w:rsidRPr="00337743">
        <w:rPr>
          <w:rFonts w:ascii="Cambria" w:hAnsi="Cambria"/>
          <w:color w:val="000000"/>
          <w:sz w:val="20"/>
          <w:szCs w:val="20"/>
          <w:lang w:val="pt-BR"/>
        </w:rPr>
        <w:t xml:space="preserve">dade </w:t>
      </w:r>
      <w:r w:rsidR="00362D9E" w:rsidRPr="00337743">
        <w:rPr>
          <w:rFonts w:ascii="Cambria" w:hAnsi="Cambria"/>
          <w:color w:val="000000"/>
          <w:sz w:val="20"/>
          <w:szCs w:val="20"/>
          <w:lang w:val="pt-BR"/>
        </w:rPr>
        <w:t>de prote</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7707E3" w:rsidRPr="00337743">
        <w:rPr>
          <w:rFonts w:ascii="Cambria" w:hAnsi="Cambria"/>
          <w:color w:val="000000"/>
          <w:sz w:val="20"/>
          <w:szCs w:val="20"/>
          <w:lang w:val="pt-BR"/>
        </w:rPr>
        <w:t xml:space="preserve"> da </w:t>
      </w:r>
      <w:r w:rsidR="00DB5118" w:rsidRPr="00337743">
        <w:rPr>
          <w:rFonts w:ascii="Cambria" w:hAnsi="Cambria"/>
          <w:color w:val="000000"/>
          <w:sz w:val="20"/>
          <w:szCs w:val="20"/>
          <w:lang w:val="pt-BR"/>
        </w:rPr>
        <w:t>lei</w:t>
      </w:r>
      <w:r w:rsidR="00362D9E"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o </w:t>
      </w:r>
      <w:r w:rsidR="00350E7E" w:rsidRPr="00337743">
        <w:rPr>
          <w:rFonts w:ascii="Cambria" w:hAnsi="Cambria"/>
          <w:color w:val="000000"/>
          <w:sz w:val="20"/>
          <w:szCs w:val="20"/>
          <w:lang w:val="pt-BR"/>
        </w:rPr>
        <w:t>direito</w:t>
      </w:r>
      <w:r w:rsidR="00362D9E" w:rsidRPr="00337743">
        <w:rPr>
          <w:rFonts w:ascii="Cambria" w:hAnsi="Cambria"/>
          <w:color w:val="000000"/>
          <w:sz w:val="20"/>
          <w:szCs w:val="20"/>
          <w:lang w:val="pt-BR"/>
        </w:rPr>
        <w:t xml:space="preserve"> a</w:t>
      </w:r>
      <w:r w:rsidR="00091880" w:rsidRPr="00337743">
        <w:rPr>
          <w:rFonts w:ascii="Cambria" w:hAnsi="Cambria"/>
          <w:color w:val="000000"/>
          <w:sz w:val="20"/>
          <w:szCs w:val="20"/>
          <w:lang w:val="pt-BR"/>
        </w:rPr>
        <w:t xml:space="preserve"> um </w:t>
      </w:r>
      <w:r w:rsidR="00362D9E" w:rsidRPr="00337743">
        <w:rPr>
          <w:rFonts w:ascii="Cambria" w:hAnsi="Cambria"/>
          <w:color w:val="000000"/>
          <w:sz w:val="20"/>
          <w:szCs w:val="20"/>
          <w:lang w:val="pt-BR"/>
        </w:rPr>
        <w:t>recurso s</w:t>
      </w:r>
      <w:r w:rsidR="00D56D1B" w:rsidRPr="00337743">
        <w:rPr>
          <w:rFonts w:ascii="Cambria" w:hAnsi="Cambria"/>
          <w:color w:val="000000"/>
          <w:sz w:val="20"/>
          <w:szCs w:val="20"/>
          <w:lang w:val="pt-BR"/>
        </w:rPr>
        <w:t>imples</w:t>
      </w:r>
      <w:r w:rsidR="00506331" w:rsidRPr="00337743">
        <w:rPr>
          <w:rFonts w:ascii="Cambria" w:hAnsi="Cambria"/>
          <w:color w:val="000000"/>
          <w:sz w:val="20"/>
          <w:szCs w:val="20"/>
          <w:lang w:val="pt-BR"/>
        </w:rPr>
        <w:t xml:space="preserve"> e </w:t>
      </w:r>
      <w:r w:rsidR="00362D9E" w:rsidRPr="00337743">
        <w:rPr>
          <w:rFonts w:ascii="Cambria" w:hAnsi="Cambria"/>
          <w:color w:val="000000"/>
          <w:sz w:val="20"/>
          <w:szCs w:val="20"/>
          <w:lang w:val="pt-BR"/>
        </w:rPr>
        <w:t>rápido a</w:t>
      </w:r>
      <w:r w:rsidR="007707E3" w:rsidRPr="00337743">
        <w:rPr>
          <w:rFonts w:ascii="Cambria" w:hAnsi="Cambria"/>
          <w:color w:val="000000"/>
          <w:sz w:val="20"/>
          <w:szCs w:val="20"/>
          <w:lang w:val="pt-BR"/>
        </w:rPr>
        <w:t xml:space="preserve">os </w:t>
      </w:r>
      <w:r w:rsidR="00362D9E" w:rsidRPr="00337743">
        <w:rPr>
          <w:rFonts w:ascii="Cambria" w:hAnsi="Cambria"/>
          <w:color w:val="000000"/>
          <w:sz w:val="20"/>
          <w:szCs w:val="20"/>
          <w:lang w:val="pt-BR"/>
        </w:rPr>
        <w:t>tribun</w:t>
      </w:r>
      <w:r w:rsidR="007707E3" w:rsidRPr="00337743">
        <w:rPr>
          <w:rFonts w:ascii="Cambria" w:hAnsi="Cambria"/>
          <w:color w:val="000000"/>
          <w:sz w:val="20"/>
          <w:szCs w:val="20"/>
          <w:lang w:val="pt-BR"/>
        </w:rPr>
        <w:t>ais</w:t>
      </w:r>
      <w:r w:rsidR="00506331" w:rsidRPr="00337743">
        <w:rPr>
          <w:rFonts w:ascii="Cambria" w:hAnsi="Cambria"/>
          <w:color w:val="000000"/>
          <w:sz w:val="20"/>
          <w:szCs w:val="20"/>
          <w:lang w:val="pt-BR"/>
        </w:rPr>
        <w:t xml:space="preserve"> e o </w:t>
      </w:r>
      <w:r w:rsidR="00B1530D" w:rsidRPr="00337743">
        <w:rPr>
          <w:rFonts w:ascii="Cambria" w:hAnsi="Cambria"/>
          <w:color w:val="000000"/>
          <w:sz w:val="20"/>
          <w:szCs w:val="20"/>
          <w:lang w:val="pt-BR"/>
        </w:rPr>
        <w:t>dever</w:t>
      </w:r>
      <w:r w:rsidR="007707E3" w:rsidRPr="00337743">
        <w:rPr>
          <w:rFonts w:ascii="Cambria" w:hAnsi="Cambria"/>
          <w:color w:val="000000"/>
          <w:sz w:val="20"/>
          <w:szCs w:val="20"/>
          <w:lang w:val="pt-BR"/>
        </w:rPr>
        <w:t xml:space="preserve"> do </w:t>
      </w:r>
      <w:r w:rsidR="00362D9E" w:rsidRPr="00337743">
        <w:rPr>
          <w:rFonts w:ascii="Cambria" w:hAnsi="Cambria"/>
          <w:color w:val="000000"/>
          <w:sz w:val="20"/>
          <w:szCs w:val="20"/>
          <w:lang w:val="pt-BR"/>
        </w:rPr>
        <w:t xml:space="preserve">Estado </w:t>
      </w:r>
      <w:r w:rsidR="003C3F81" w:rsidRPr="00337743">
        <w:rPr>
          <w:rFonts w:ascii="Cambria" w:hAnsi="Cambria"/>
          <w:color w:val="000000"/>
          <w:sz w:val="20"/>
          <w:szCs w:val="20"/>
          <w:lang w:val="pt-BR"/>
        </w:rPr>
        <w:t xml:space="preserve">de </w:t>
      </w:r>
      <w:r w:rsidR="00362D9E" w:rsidRPr="00337743">
        <w:rPr>
          <w:rFonts w:ascii="Cambria" w:hAnsi="Cambria"/>
          <w:color w:val="000000"/>
          <w:sz w:val="20"/>
          <w:szCs w:val="20"/>
          <w:lang w:val="pt-BR"/>
        </w:rPr>
        <w:t xml:space="preserve">adotar, de </w:t>
      </w:r>
      <w:r w:rsidR="00B1530D" w:rsidRPr="00337743">
        <w:rPr>
          <w:rFonts w:ascii="Cambria" w:hAnsi="Cambria"/>
          <w:color w:val="000000"/>
          <w:sz w:val="20"/>
          <w:szCs w:val="20"/>
          <w:lang w:val="pt-BR"/>
        </w:rPr>
        <w:t>maneira</w:t>
      </w:r>
      <w:r w:rsidR="00362D9E"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apropriada</w:t>
      </w:r>
      <w:r w:rsidR="00506331" w:rsidRPr="00337743">
        <w:rPr>
          <w:rFonts w:ascii="Cambria" w:hAnsi="Cambria"/>
          <w:color w:val="000000"/>
          <w:sz w:val="20"/>
          <w:szCs w:val="20"/>
          <w:lang w:val="pt-BR"/>
        </w:rPr>
        <w:t xml:space="preserve"> e</w:t>
      </w:r>
      <w:r w:rsidR="00325DAC" w:rsidRPr="00337743">
        <w:rPr>
          <w:rFonts w:ascii="Cambria" w:hAnsi="Cambria"/>
          <w:color w:val="000000"/>
          <w:sz w:val="20"/>
          <w:szCs w:val="20"/>
          <w:lang w:val="pt-BR"/>
        </w:rPr>
        <w:t xml:space="preserve"> sem </w:t>
      </w:r>
      <w:r w:rsidR="00362D9E" w:rsidRPr="00337743">
        <w:rPr>
          <w:rFonts w:ascii="Cambria" w:hAnsi="Cambria"/>
          <w:color w:val="000000"/>
          <w:sz w:val="20"/>
          <w:szCs w:val="20"/>
          <w:lang w:val="pt-BR"/>
        </w:rPr>
        <w:t>dila</w:t>
      </w:r>
      <w:r w:rsidR="00350E7E" w:rsidRPr="00337743">
        <w:rPr>
          <w:rFonts w:ascii="Cambria" w:hAnsi="Cambria"/>
          <w:color w:val="000000"/>
          <w:sz w:val="20"/>
          <w:szCs w:val="20"/>
          <w:lang w:val="pt-BR"/>
        </w:rPr>
        <w:t>ções</w:t>
      </w:r>
      <w:r w:rsidR="00362D9E" w:rsidRPr="00337743">
        <w:rPr>
          <w:rFonts w:ascii="Cambria" w:hAnsi="Cambria"/>
          <w:color w:val="000000"/>
          <w:sz w:val="20"/>
          <w:szCs w:val="20"/>
          <w:lang w:val="pt-BR"/>
        </w:rPr>
        <w:t xml:space="preserve">, políticas orientadas a prevenir, </w:t>
      </w:r>
      <w:r w:rsidR="00D56D1B" w:rsidRPr="00337743">
        <w:rPr>
          <w:rFonts w:ascii="Cambria" w:hAnsi="Cambria"/>
          <w:color w:val="000000"/>
          <w:sz w:val="20"/>
          <w:szCs w:val="20"/>
          <w:lang w:val="pt-BR"/>
        </w:rPr>
        <w:t>punir</w:t>
      </w:r>
      <w:r w:rsidR="00506331" w:rsidRPr="00337743">
        <w:rPr>
          <w:rFonts w:ascii="Cambria" w:hAnsi="Cambria"/>
          <w:color w:val="000000"/>
          <w:sz w:val="20"/>
          <w:szCs w:val="20"/>
          <w:lang w:val="pt-BR"/>
        </w:rPr>
        <w:t xml:space="preserve"> e </w:t>
      </w:r>
      <w:r w:rsidR="00362D9E" w:rsidRPr="00337743">
        <w:rPr>
          <w:rFonts w:ascii="Cambria" w:hAnsi="Cambria"/>
          <w:color w:val="000000"/>
          <w:sz w:val="20"/>
          <w:szCs w:val="20"/>
          <w:lang w:val="pt-BR"/>
        </w:rPr>
        <w:t>erradicar</w:t>
      </w:r>
      <w:r w:rsidR="00506331" w:rsidRPr="00337743">
        <w:rPr>
          <w:rFonts w:ascii="Cambria" w:hAnsi="Cambria"/>
          <w:color w:val="000000"/>
          <w:sz w:val="20"/>
          <w:szCs w:val="20"/>
          <w:lang w:val="pt-BR"/>
        </w:rPr>
        <w:t xml:space="preserve"> a </w:t>
      </w:r>
      <w:r w:rsidR="00B1530D" w:rsidRPr="00337743">
        <w:rPr>
          <w:rFonts w:ascii="Cambria" w:hAnsi="Cambria"/>
          <w:color w:val="000000"/>
          <w:sz w:val="20"/>
          <w:szCs w:val="20"/>
          <w:lang w:val="pt-BR"/>
        </w:rPr>
        <w:t>violência</w:t>
      </w:r>
      <w:r w:rsidR="00362D9E" w:rsidRPr="00337743">
        <w:rPr>
          <w:rFonts w:ascii="Cambria" w:hAnsi="Cambria"/>
          <w:color w:val="000000"/>
          <w:sz w:val="20"/>
          <w:szCs w:val="20"/>
          <w:lang w:val="pt-BR"/>
        </w:rPr>
        <w:t xml:space="preserve"> contra</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mulher</w:t>
      </w:r>
      <w:r w:rsidR="00362D9E" w:rsidRPr="00337743">
        <w:rPr>
          <w:rFonts w:ascii="Cambria" w:hAnsi="Cambria"/>
          <w:color w:val="000000"/>
          <w:sz w:val="20"/>
          <w:szCs w:val="20"/>
          <w:lang w:val="pt-BR"/>
        </w:rPr>
        <w:t>.</w:t>
      </w:r>
    </w:p>
    <w:bookmarkEnd w:id="6"/>
    <w:p w14:paraId="0E405A9D" w14:textId="77777777" w:rsidR="00D4199A" w:rsidRPr="00337743" w:rsidRDefault="00D4199A" w:rsidP="00D4199A">
      <w:pPr>
        <w:pStyle w:val="GradeClara-nfase31"/>
        <w:rPr>
          <w:sz w:val="20"/>
          <w:szCs w:val="20"/>
          <w:lang w:val="pt-BR"/>
        </w:rPr>
      </w:pPr>
    </w:p>
    <w:p w14:paraId="55E0F307" w14:textId="77777777" w:rsidR="00D12193" w:rsidRPr="00337743" w:rsidRDefault="00F76A2E" w:rsidP="00472955">
      <w:pPr>
        <w:pStyle w:val="Heading2"/>
        <w:numPr>
          <w:ilvl w:val="0"/>
          <w:numId w:val="57"/>
        </w:numPr>
        <w:spacing w:before="0"/>
        <w:ind w:hanging="90"/>
        <w:rPr>
          <w:rFonts w:ascii="Cambria" w:hAnsi="Cambria"/>
          <w:i w:val="0"/>
          <w:sz w:val="20"/>
          <w:szCs w:val="20"/>
          <w:lang w:val="pt-BR"/>
        </w:rPr>
      </w:pPr>
      <w:bookmarkStart w:id="7" w:name="_Toc5890566"/>
      <w:r w:rsidRPr="00337743">
        <w:rPr>
          <w:rFonts w:ascii="Cambria" w:hAnsi="Cambria"/>
          <w:i w:val="0"/>
          <w:sz w:val="20"/>
          <w:szCs w:val="20"/>
          <w:lang w:val="pt-BR"/>
        </w:rPr>
        <w:t>Estado</w:t>
      </w:r>
      <w:bookmarkEnd w:id="7"/>
      <w:r w:rsidR="00CC63CF" w:rsidRPr="00337743">
        <w:rPr>
          <w:rFonts w:ascii="Cambria" w:hAnsi="Cambria"/>
          <w:i w:val="0"/>
          <w:sz w:val="20"/>
          <w:szCs w:val="20"/>
          <w:lang w:val="pt-BR"/>
        </w:rPr>
        <w:t xml:space="preserve"> </w:t>
      </w:r>
    </w:p>
    <w:p w14:paraId="31D84403" w14:textId="77777777" w:rsidR="007C756A" w:rsidRPr="00337743" w:rsidRDefault="007C756A" w:rsidP="00CC63CF">
      <w:pPr>
        <w:suppressAutoHyphens/>
        <w:rPr>
          <w:rFonts w:ascii="Cambria" w:hAnsi="Cambria"/>
          <w:sz w:val="20"/>
          <w:szCs w:val="20"/>
          <w:lang w:val="pt-BR"/>
        </w:rPr>
      </w:pPr>
    </w:p>
    <w:p w14:paraId="50B5F337" w14:textId="77777777" w:rsidR="0070611F" w:rsidRPr="00337743" w:rsidRDefault="00D56D1B" w:rsidP="00B7677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r w:rsidRPr="00337743">
        <w:rPr>
          <w:rFonts w:ascii="Cambria" w:hAnsi="Cambria"/>
          <w:color w:val="000000"/>
          <w:sz w:val="20"/>
          <w:szCs w:val="20"/>
          <w:lang w:val="pt-BR"/>
        </w:rPr>
        <w:t>Q</w:t>
      </w:r>
      <w:r w:rsidR="00D152EF" w:rsidRPr="00337743">
        <w:rPr>
          <w:rFonts w:ascii="Cambria" w:hAnsi="Cambria"/>
          <w:color w:val="000000"/>
          <w:sz w:val="20"/>
          <w:szCs w:val="20"/>
          <w:lang w:val="pt-BR"/>
        </w:rPr>
        <w:t>uanto</w:t>
      </w:r>
      <w:r w:rsidR="00F453EB" w:rsidRPr="00337743">
        <w:rPr>
          <w:rFonts w:ascii="Cambria" w:hAnsi="Cambria"/>
          <w:color w:val="000000"/>
          <w:sz w:val="20"/>
          <w:szCs w:val="20"/>
          <w:lang w:val="pt-BR"/>
        </w:rPr>
        <w:t xml:space="preserve"> aos </w:t>
      </w:r>
      <w:r w:rsidRPr="00337743">
        <w:rPr>
          <w:rFonts w:ascii="Cambria" w:hAnsi="Cambria"/>
          <w:color w:val="000000"/>
          <w:sz w:val="20"/>
          <w:szCs w:val="20"/>
          <w:lang w:val="pt-BR"/>
        </w:rPr>
        <w:t>fat</w:t>
      </w:r>
      <w:r w:rsidR="00D152EF" w:rsidRPr="00337743">
        <w:rPr>
          <w:rFonts w:ascii="Cambria" w:hAnsi="Cambria"/>
          <w:color w:val="000000"/>
          <w:sz w:val="20"/>
          <w:szCs w:val="20"/>
          <w:lang w:val="pt-BR"/>
        </w:rPr>
        <w:t>os,</w:t>
      </w:r>
      <w:r w:rsidR="00506331" w:rsidRPr="00337743">
        <w:rPr>
          <w:rFonts w:ascii="Cambria" w:hAnsi="Cambria"/>
          <w:color w:val="000000"/>
          <w:sz w:val="20"/>
          <w:szCs w:val="20"/>
          <w:lang w:val="pt-BR"/>
        </w:rPr>
        <w:t xml:space="preserve"> o </w:t>
      </w:r>
      <w:r w:rsidR="00D152EF" w:rsidRPr="00337743">
        <w:rPr>
          <w:rFonts w:ascii="Cambria" w:hAnsi="Cambria"/>
          <w:color w:val="000000"/>
          <w:sz w:val="20"/>
          <w:szCs w:val="20"/>
          <w:lang w:val="pt-BR"/>
        </w:rPr>
        <w:t>Estado</w:t>
      </w:r>
      <w:r w:rsidR="00091880" w:rsidRPr="00337743">
        <w:rPr>
          <w:rFonts w:ascii="Cambria" w:hAnsi="Cambria"/>
          <w:color w:val="000000"/>
          <w:sz w:val="20"/>
          <w:szCs w:val="20"/>
          <w:lang w:val="pt-BR"/>
        </w:rPr>
        <w:t xml:space="preserve"> não </w:t>
      </w:r>
      <w:r w:rsidR="00C23AEE" w:rsidRPr="00337743">
        <w:rPr>
          <w:rFonts w:ascii="Cambria" w:hAnsi="Cambria"/>
          <w:color w:val="000000"/>
          <w:sz w:val="20"/>
          <w:szCs w:val="20"/>
          <w:lang w:val="pt-BR"/>
        </w:rPr>
        <w:t>cont</w:t>
      </w:r>
      <w:r w:rsidRPr="00337743">
        <w:rPr>
          <w:rFonts w:ascii="Cambria" w:hAnsi="Cambria"/>
          <w:color w:val="000000"/>
          <w:sz w:val="20"/>
          <w:szCs w:val="20"/>
          <w:lang w:val="pt-BR"/>
        </w:rPr>
        <w:t>estou</w:t>
      </w:r>
      <w:r w:rsidR="00C23AEE" w:rsidRPr="00337743">
        <w:rPr>
          <w:rFonts w:ascii="Cambria" w:hAnsi="Cambria"/>
          <w:color w:val="000000"/>
          <w:sz w:val="20"/>
          <w:szCs w:val="20"/>
          <w:lang w:val="pt-BR"/>
        </w:rPr>
        <w:t xml:space="preserve"> </w:t>
      </w:r>
      <w:r w:rsidR="00A243A3" w:rsidRPr="00337743">
        <w:rPr>
          <w:rFonts w:ascii="Cambria" w:hAnsi="Cambria"/>
          <w:color w:val="000000"/>
          <w:sz w:val="20"/>
          <w:szCs w:val="20"/>
          <w:lang w:val="pt-BR"/>
        </w:rPr>
        <w:t>o</w:t>
      </w:r>
      <w:r w:rsidRPr="00337743">
        <w:rPr>
          <w:rFonts w:ascii="Cambria" w:hAnsi="Cambria"/>
          <w:color w:val="000000"/>
          <w:sz w:val="20"/>
          <w:szCs w:val="20"/>
          <w:lang w:val="pt-BR"/>
        </w:rPr>
        <w:t>s</w:t>
      </w:r>
      <w:r w:rsidR="00A243A3"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fatos </w:t>
      </w:r>
      <w:r w:rsidR="00A243A3" w:rsidRPr="00337743">
        <w:rPr>
          <w:rFonts w:ascii="Cambria" w:hAnsi="Cambria"/>
          <w:color w:val="000000"/>
          <w:sz w:val="20"/>
          <w:szCs w:val="20"/>
          <w:lang w:val="pt-BR"/>
        </w:rPr>
        <w:t>narrado</w:t>
      </w:r>
      <w:r w:rsidRPr="00337743">
        <w:rPr>
          <w:rFonts w:ascii="Cambria" w:hAnsi="Cambria"/>
          <w:color w:val="000000"/>
          <w:sz w:val="20"/>
          <w:szCs w:val="20"/>
          <w:lang w:val="pt-BR"/>
        </w:rPr>
        <w:t>s</w:t>
      </w:r>
      <w:r w:rsidR="00C6641C" w:rsidRPr="00337743">
        <w:rPr>
          <w:rFonts w:ascii="Cambria" w:hAnsi="Cambria"/>
          <w:color w:val="000000"/>
          <w:sz w:val="20"/>
          <w:szCs w:val="20"/>
          <w:lang w:val="pt-BR"/>
        </w:rPr>
        <w:t xml:space="preserve"> pela </w:t>
      </w:r>
      <w:r w:rsidR="006834E2" w:rsidRPr="00337743">
        <w:rPr>
          <w:rFonts w:ascii="Cambria" w:hAnsi="Cambria"/>
          <w:color w:val="000000"/>
          <w:sz w:val="20"/>
          <w:szCs w:val="20"/>
          <w:lang w:val="pt-BR"/>
        </w:rPr>
        <w:t xml:space="preserve">parte </w:t>
      </w:r>
      <w:r w:rsidR="007707E3" w:rsidRPr="00337743">
        <w:rPr>
          <w:rFonts w:ascii="Cambria" w:hAnsi="Cambria"/>
          <w:color w:val="000000"/>
          <w:sz w:val="20"/>
          <w:szCs w:val="20"/>
          <w:lang w:val="pt-BR"/>
        </w:rPr>
        <w:t>peticionária</w:t>
      </w:r>
      <w:r w:rsidR="006834E2" w:rsidRPr="00337743">
        <w:rPr>
          <w:rFonts w:ascii="Cambria" w:hAnsi="Cambria"/>
          <w:color w:val="000000"/>
          <w:sz w:val="20"/>
          <w:szCs w:val="20"/>
          <w:lang w:val="pt-BR"/>
        </w:rPr>
        <w:t>.</w:t>
      </w:r>
      <w:r w:rsidR="00325DAC" w:rsidRPr="00337743">
        <w:rPr>
          <w:rFonts w:ascii="Cambria" w:hAnsi="Cambria"/>
          <w:color w:val="000000"/>
          <w:sz w:val="20"/>
          <w:szCs w:val="20"/>
          <w:lang w:val="pt-BR"/>
        </w:rPr>
        <w:t xml:space="preserve"> </w:t>
      </w:r>
      <w:r w:rsidRPr="00337743">
        <w:rPr>
          <w:rFonts w:ascii="Cambria" w:hAnsi="Cambria"/>
          <w:color w:val="000000"/>
          <w:sz w:val="20"/>
          <w:szCs w:val="20"/>
          <w:lang w:val="pt-BR"/>
        </w:rPr>
        <w:t>Contudo</w:t>
      </w:r>
      <w:r w:rsidR="006834E2" w:rsidRPr="00337743">
        <w:rPr>
          <w:rFonts w:ascii="Cambria" w:hAnsi="Cambria"/>
          <w:color w:val="000000"/>
          <w:sz w:val="20"/>
          <w:szCs w:val="20"/>
          <w:lang w:val="pt-BR"/>
        </w:rPr>
        <w:t>, afirm</w:t>
      </w:r>
      <w:r w:rsidRPr="00337743">
        <w:rPr>
          <w:rFonts w:ascii="Cambria" w:hAnsi="Cambria"/>
          <w:color w:val="000000"/>
          <w:sz w:val="20"/>
          <w:szCs w:val="20"/>
          <w:lang w:val="pt-BR"/>
        </w:rPr>
        <w:t>ou</w:t>
      </w:r>
      <w:r w:rsidR="00A243A3"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o seguinte: </w:t>
      </w:r>
      <w:r w:rsidR="00091880" w:rsidRPr="00337743">
        <w:rPr>
          <w:rFonts w:ascii="Cambria" w:hAnsi="Cambria"/>
          <w:color w:val="000000"/>
          <w:sz w:val="20"/>
          <w:szCs w:val="20"/>
          <w:lang w:val="pt-BR"/>
        </w:rPr>
        <w:t xml:space="preserve">em </w:t>
      </w:r>
      <w:r w:rsidR="00A243A3" w:rsidRPr="00337743">
        <w:rPr>
          <w:rFonts w:ascii="Cambria" w:hAnsi="Cambria"/>
          <w:color w:val="000000"/>
          <w:sz w:val="20"/>
          <w:szCs w:val="20"/>
          <w:lang w:val="pt-BR"/>
        </w:rPr>
        <w:t>d</w:t>
      </w:r>
      <w:r w:rsidRPr="00337743">
        <w:rPr>
          <w:rFonts w:ascii="Cambria" w:hAnsi="Cambria"/>
          <w:color w:val="000000"/>
          <w:sz w:val="20"/>
          <w:szCs w:val="20"/>
          <w:lang w:val="pt-BR"/>
        </w:rPr>
        <w:t>ua</w:t>
      </w:r>
      <w:r w:rsidR="00A243A3" w:rsidRPr="00337743">
        <w:rPr>
          <w:rFonts w:ascii="Cambria" w:hAnsi="Cambria"/>
          <w:color w:val="000000"/>
          <w:sz w:val="20"/>
          <w:szCs w:val="20"/>
          <w:lang w:val="pt-BR"/>
        </w:rPr>
        <w:t>s oportunidades,</w:t>
      </w:r>
      <w:r w:rsidR="00506331" w:rsidRPr="00337743">
        <w:rPr>
          <w:rFonts w:ascii="Cambria" w:hAnsi="Cambria"/>
          <w:color w:val="000000"/>
          <w:sz w:val="20"/>
          <w:szCs w:val="20"/>
          <w:lang w:val="pt-BR"/>
        </w:rPr>
        <w:t xml:space="preserve"> </w:t>
      </w:r>
      <w:r w:rsidR="00A243A3" w:rsidRPr="00337743">
        <w:rPr>
          <w:rFonts w:ascii="Cambria" w:hAnsi="Cambria"/>
          <w:color w:val="000000"/>
          <w:sz w:val="20"/>
          <w:szCs w:val="20"/>
          <w:lang w:val="pt-BR"/>
        </w:rPr>
        <w:t xml:space="preserve">14 de </w:t>
      </w:r>
      <w:r w:rsidR="00B1530D" w:rsidRPr="00337743">
        <w:rPr>
          <w:rFonts w:ascii="Cambria" w:hAnsi="Cambria"/>
          <w:color w:val="000000"/>
          <w:sz w:val="20"/>
          <w:szCs w:val="20"/>
          <w:lang w:val="pt-BR"/>
        </w:rPr>
        <w:t>outubro</w:t>
      </w:r>
      <w:r w:rsidR="00A243A3" w:rsidRPr="00337743">
        <w:rPr>
          <w:rFonts w:ascii="Cambria" w:hAnsi="Cambria"/>
          <w:color w:val="000000"/>
          <w:sz w:val="20"/>
          <w:szCs w:val="20"/>
          <w:lang w:val="pt-BR"/>
        </w:rPr>
        <w:t xml:space="preserve"> de 1998</w:t>
      </w:r>
      <w:r w:rsidR="00506331" w:rsidRPr="00337743">
        <w:rPr>
          <w:rFonts w:ascii="Cambria" w:hAnsi="Cambria"/>
          <w:color w:val="000000"/>
          <w:sz w:val="20"/>
          <w:szCs w:val="20"/>
          <w:lang w:val="pt-BR"/>
        </w:rPr>
        <w:t xml:space="preserve"> e </w:t>
      </w:r>
      <w:r w:rsidR="00A243A3" w:rsidRPr="00337743">
        <w:rPr>
          <w:rFonts w:ascii="Cambria" w:hAnsi="Cambria"/>
          <w:color w:val="000000"/>
          <w:sz w:val="20"/>
          <w:szCs w:val="20"/>
          <w:lang w:val="pt-BR"/>
        </w:rPr>
        <w:t xml:space="preserve">31 de </w:t>
      </w:r>
      <w:r w:rsidR="00B1530D" w:rsidRPr="00337743">
        <w:rPr>
          <w:rFonts w:ascii="Cambria" w:hAnsi="Cambria"/>
          <w:color w:val="000000"/>
          <w:sz w:val="20"/>
          <w:szCs w:val="20"/>
          <w:lang w:val="pt-BR"/>
        </w:rPr>
        <w:t>março</w:t>
      </w:r>
      <w:r w:rsidR="00A243A3" w:rsidRPr="00337743">
        <w:rPr>
          <w:rFonts w:ascii="Cambria" w:hAnsi="Cambria"/>
          <w:color w:val="000000"/>
          <w:sz w:val="20"/>
          <w:szCs w:val="20"/>
          <w:lang w:val="pt-BR"/>
        </w:rPr>
        <w:t xml:space="preserve"> de 1999,</w:t>
      </w:r>
      <w:r w:rsidR="00506331" w:rsidRPr="00337743">
        <w:rPr>
          <w:rFonts w:ascii="Cambria" w:hAnsi="Cambria"/>
          <w:color w:val="000000"/>
          <w:sz w:val="20"/>
          <w:szCs w:val="20"/>
          <w:lang w:val="pt-BR"/>
        </w:rPr>
        <w:t xml:space="preserve"> o </w:t>
      </w:r>
      <w:r w:rsidR="00A243A3" w:rsidRPr="00337743">
        <w:rPr>
          <w:rFonts w:ascii="Cambria" w:hAnsi="Cambria"/>
          <w:color w:val="000000"/>
          <w:sz w:val="20"/>
          <w:szCs w:val="20"/>
          <w:lang w:val="pt-BR"/>
        </w:rPr>
        <w:t xml:space="preserve">Tribunal de </w:t>
      </w:r>
      <w:r w:rsidR="00E96C24" w:rsidRPr="00337743">
        <w:rPr>
          <w:rFonts w:ascii="Cambria" w:hAnsi="Cambria"/>
          <w:color w:val="000000"/>
          <w:sz w:val="20"/>
          <w:szCs w:val="20"/>
          <w:lang w:val="pt-BR"/>
        </w:rPr>
        <w:t>Justiça</w:t>
      </w:r>
      <w:r w:rsidR="00A243A3" w:rsidRPr="00337743">
        <w:rPr>
          <w:rFonts w:ascii="Cambria" w:hAnsi="Cambria"/>
          <w:color w:val="000000"/>
          <w:sz w:val="20"/>
          <w:szCs w:val="20"/>
          <w:lang w:val="pt-BR"/>
        </w:rPr>
        <w:t xml:space="preserve"> d</w:t>
      </w:r>
      <w:r w:rsidRPr="00337743">
        <w:rPr>
          <w:rFonts w:ascii="Cambria" w:hAnsi="Cambria"/>
          <w:color w:val="000000"/>
          <w:sz w:val="20"/>
          <w:szCs w:val="20"/>
          <w:lang w:val="pt-BR"/>
        </w:rPr>
        <w:t>a</w:t>
      </w:r>
      <w:r w:rsidR="00A243A3" w:rsidRPr="00337743">
        <w:rPr>
          <w:rFonts w:ascii="Cambria" w:hAnsi="Cambria"/>
          <w:color w:val="000000"/>
          <w:sz w:val="20"/>
          <w:szCs w:val="20"/>
          <w:lang w:val="pt-BR"/>
        </w:rPr>
        <w:t xml:space="preserve"> Paraíba solicit</w:t>
      </w:r>
      <w:r w:rsidR="00B1530D" w:rsidRPr="00337743">
        <w:rPr>
          <w:rFonts w:ascii="Cambria" w:hAnsi="Cambria"/>
          <w:color w:val="000000"/>
          <w:sz w:val="20"/>
          <w:szCs w:val="20"/>
          <w:lang w:val="pt-BR"/>
        </w:rPr>
        <w:t>ou</w:t>
      </w:r>
      <w:r w:rsidR="00F453EB" w:rsidRPr="00337743">
        <w:rPr>
          <w:rFonts w:ascii="Cambria" w:hAnsi="Cambria"/>
          <w:color w:val="000000"/>
          <w:sz w:val="20"/>
          <w:szCs w:val="20"/>
          <w:lang w:val="pt-BR"/>
        </w:rPr>
        <w:t xml:space="preserve"> à </w:t>
      </w:r>
      <w:r w:rsidR="00B1530D" w:rsidRPr="00337743">
        <w:rPr>
          <w:rFonts w:ascii="Cambria" w:hAnsi="Cambria"/>
          <w:color w:val="000000"/>
          <w:sz w:val="20"/>
          <w:szCs w:val="20"/>
          <w:lang w:val="pt-BR"/>
        </w:rPr>
        <w:t>Assembleia</w:t>
      </w:r>
      <w:r w:rsidR="00A243A3" w:rsidRPr="00337743">
        <w:rPr>
          <w:rFonts w:ascii="Cambria" w:hAnsi="Cambria"/>
          <w:color w:val="000000"/>
          <w:sz w:val="20"/>
          <w:szCs w:val="20"/>
          <w:lang w:val="pt-BR"/>
        </w:rPr>
        <w:t xml:space="preserve"> Legislativa</w:t>
      </w:r>
      <w:r w:rsidR="007707E3" w:rsidRPr="00337743">
        <w:rPr>
          <w:rFonts w:ascii="Cambria" w:hAnsi="Cambria"/>
          <w:color w:val="000000"/>
          <w:sz w:val="20"/>
          <w:szCs w:val="20"/>
          <w:lang w:val="pt-BR"/>
        </w:rPr>
        <w:t xml:space="preserve"> do </w:t>
      </w:r>
      <w:r w:rsidR="00A243A3" w:rsidRPr="00337743">
        <w:rPr>
          <w:rFonts w:ascii="Cambria" w:hAnsi="Cambria"/>
          <w:color w:val="000000"/>
          <w:sz w:val="20"/>
          <w:szCs w:val="20"/>
          <w:lang w:val="pt-BR"/>
        </w:rPr>
        <w:t>Estado autoriza</w:t>
      </w:r>
      <w:r w:rsidR="00350E7E" w:rsidRPr="00337743">
        <w:rPr>
          <w:rFonts w:ascii="Cambria" w:hAnsi="Cambria"/>
          <w:color w:val="000000"/>
          <w:sz w:val="20"/>
          <w:szCs w:val="20"/>
          <w:lang w:val="pt-BR"/>
        </w:rPr>
        <w:t>ção</w:t>
      </w:r>
      <w:r w:rsidR="00A243A3" w:rsidRPr="00337743">
        <w:rPr>
          <w:rFonts w:ascii="Cambria" w:hAnsi="Cambria"/>
          <w:color w:val="000000"/>
          <w:sz w:val="20"/>
          <w:szCs w:val="20"/>
          <w:lang w:val="pt-BR"/>
        </w:rPr>
        <w:t xml:space="preserve"> para instaurar 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A243A3" w:rsidRPr="00337743">
        <w:rPr>
          <w:rFonts w:ascii="Cambria" w:hAnsi="Cambria"/>
          <w:color w:val="000000"/>
          <w:sz w:val="20"/>
          <w:szCs w:val="20"/>
          <w:lang w:val="pt-BR"/>
        </w:rPr>
        <w:t xml:space="preserve"> penal contra</w:t>
      </w:r>
      <w:r w:rsidR="00506331" w:rsidRPr="00337743">
        <w:rPr>
          <w:rFonts w:ascii="Cambria" w:hAnsi="Cambria"/>
          <w:color w:val="000000"/>
          <w:sz w:val="20"/>
          <w:szCs w:val="20"/>
          <w:lang w:val="pt-BR"/>
        </w:rPr>
        <w:t xml:space="preserve"> o </w:t>
      </w:r>
      <w:r w:rsidR="00A243A3" w:rsidRPr="00337743">
        <w:rPr>
          <w:rFonts w:ascii="Cambria" w:hAnsi="Cambria"/>
          <w:color w:val="000000"/>
          <w:sz w:val="20"/>
          <w:szCs w:val="20"/>
          <w:lang w:val="pt-BR"/>
        </w:rPr>
        <w:t>parlamentar,</w:t>
      </w:r>
      <w:r w:rsidR="00506331" w:rsidRPr="00337743">
        <w:rPr>
          <w:rFonts w:ascii="Cambria" w:hAnsi="Cambria"/>
          <w:color w:val="000000"/>
          <w:sz w:val="20"/>
          <w:szCs w:val="20"/>
          <w:lang w:val="pt-BR"/>
        </w:rPr>
        <w:t xml:space="preserve"> e </w:t>
      </w:r>
      <w:r w:rsidR="00A243A3" w:rsidRPr="00337743">
        <w:rPr>
          <w:rFonts w:ascii="Cambria" w:hAnsi="Cambria"/>
          <w:color w:val="000000"/>
          <w:sz w:val="20"/>
          <w:szCs w:val="20"/>
          <w:lang w:val="pt-BR"/>
        </w:rPr>
        <w:t>que ambas f</w:t>
      </w:r>
      <w:r w:rsidRPr="00337743">
        <w:rPr>
          <w:rFonts w:ascii="Cambria" w:hAnsi="Cambria"/>
          <w:color w:val="000000"/>
          <w:sz w:val="20"/>
          <w:szCs w:val="20"/>
          <w:lang w:val="pt-BR"/>
        </w:rPr>
        <w:t>oram</w:t>
      </w:r>
      <w:r w:rsidR="00A243A3" w:rsidRPr="00337743">
        <w:rPr>
          <w:rFonts w:ascii="Cambria" w:hAnsi="Cambria"/>
          <w:color w:val="000000"/>
          <w:sz w:val="20"/>
          <w:szCs w:val="20"/>
          <w:lang w:val="pt-BR"/>
        </w:rPr>
        <w:t xml:space="preserve"> negadas</w:t>
      </w:r>
      <w:r w:rsidR="00C6641C" w:rsidRPr="00337743">
        <w:rPr>
          <w:rFonts w:ascii="Cambria" w:hAnsi="Cambria"/>
          <w:color w:val="000000"/>
          <w:sz w:val="20"/>
          <w:szCs w:val="20"/>
          <w:lang w:val="pt-BR"/>
        </w:rPr>
        <w:t xml:space="preserve"> pela </w:t>
      </w:r>
      <w:r w:rsidR="00A243A3" w:rsidRPr="00337743">
        <w:rPr>
          <w:rFonts w:ascii="Cambria" w:hAnsi="Cambria"/>
          <w:color w:val="000000"/>
          <w:sz w:val="20"/>
          <w:szCs w:val="20"/>
          <w:lang w:val="pt-BR"/>
        </w:rPr>
        <w:t xml:space="preserve">Casa Legislativa; </w:t>
      </w:r>
      <w:r w:rsidR="00506331" w:rsidRPr="00337743">
        <w:rPr>
          <w:rFonts w:ascii="Cambria" w:hAnsi="Cambria"/>
          <w:color w:val="000000"/>
          <w:sz w:val="20"/>
          <w:szCs w:val="20"/>
          <w:lang w:val="pt-BR"/>
        </w:rPr>
        <w:t xml:space="preserve">a </w:t>
      </w:r>
      <w:r w:rsidR="00A243A3" w:rsidRPr="00337743">
        <w:rPr>
          <w:rFonts w:ascii="Cambria" w:hAnsi="Cambria"/>
          <w:color w:val="000000"/>
          <w:sz w:val="20"/>
          <w:szCs w:val="20"/>
          <w:lang w:val="pt-BR"/>
        </w:rPr>
        <w:t>Secretar</w:t>
      </w:r>
      <w:r w:rsidR="00BF72CE" w:rsidRPr="00337743">
        <w:rPr>
          <w:rFonts w:ascii="Cambria" w:hAnsi="Cambria"/>
          <w:color w:val="000000"/>
          <w:sz w:val="20"/>
          <w:szCs w:val="20"/>
          <w:lang w:val="pt-BR"/>
        </w:rPr>
        <w:t>ia</w:t>
      </w:r>
      <w:r w:rsidR="00A243A3" w:rsidRPr="00337743">
        <w:rPr>
          <w:rFonts w:ascii="Cambria" w:hAnsi="Cambria"/>
          <w:color w:val="000000"/>
          <w:sz w:val="20"/>
          <w:szCs w:val="20"/>
          <w:lang w:val="pt-BR"/>
        </w:rPr>
        <w:t xml:space="preserve"> de Estado</w:t>
      </w:r>
      <w:r w:rsidR="00E96C24" w:rsidRPr="00337743">
        <w:rPr>
          <w:rFonts w:ascii="Cambria" w:hAnsi="Cambria"/>
          <w:color w:val="000000"/>
          <w:sz w:val="20"/>
          <w:szCs w:val="20"/>
          <w:lang w:val="pt-BR"/>
        </w:rPr>
        <w:t xml:space="preserve"> d</w:t>
      </w:r>
      <w:r w:rsidR="004D6553" w:rsidRPr="00337743">
        <w:rPr>
          <w:rFonts w:ascii="Cambria" w:hAnsi="Cambria"/>
          <w:color w:val="000000"/>
          <w:sz w:val="20"/>
          <w:szCs w:val="20"/>
          <w:lang w:val="pt-BR"/>
        </w:rPr>
        <w:t>e</w:t>
      </w:r>
      <w:r w:rsidR="00E96C24" w:rsidRPr="00337743">
        <w:rPr>
          <w:rFonts w:ascii="Cambria" w:hAnsi="Cambria"/>
          <w:color w:val="000000"/>
          <w:sz w:val="20"/>
          <w:szCs w:val="20"/>
          <w:lang w:val="pt-BR"/>
        </w:rPr>
        <w:t xml:space="preserve"> </w:t>
      </w:r>
      <w:r w:rsidR="00350E7E" w:rsidRPr="00337743">
        <w:rPr>
          <w:rFonts w:ascii="Cambria" w:hAnsi="Cambria"/>
          <w:color w:val="000000"/>
          <w:sz w:val="20"/>
          <w:szCs w:val="20"/>
          <w:lang w:val="pt-BR"/>
        </w:rPr>
        <w:t>Direito</w:t>
      </w:r>
      <w:r w:rsidR="00A243A3" w:rsidRPr="00337743">
        <w:rPr>
          <w:rFonts w:ascii="Cambria" w:hAnsi="Cambria"/>
          <w:color w:val="000000"/>
          <w:sz w:val="20"/>
          <w:szCs w:val="20"/>
          <w:lang w:val="pt-BR"/>
        </w:rPr>
        <w:t>s Humanos d</w:t>
      </w:r>
      <w:r w:rsidRPr="00337743">
        <w:rPr>
          <w:rFonts w:ascii="Cambria" w:hAnsi="Cambria"/>
          <w:color w:val="000000"/>
          <w:sz w:val="20"/>
          <w:szCs w:val="20"/>
          <w:lang w:val="pt-BR"/>
        </w:rPr>
        <w:t>a</w:t>
      </w:r>
      <w:r w:rsidR="00A243A3" w:rsidRPr="00337743">
        <w:rPr>
          <w:rFonts w:ascii="Cambria" w:hAnsi="Cambria"/>
          <w:color w:val="000000"/>
          <w:sz w:val="20"/>
          <w:szCs w:val="20"/>
          <w:lang w:val="pt-BR"/>
        </w:rPr>
        <w:t xml:space="preserve"> Paraíba pas</w:t>
      </w:r>
      <w:r w:rsidR="00B1530D" w:rsidRPr="00337743">
        <w:rPr>
          <w:rFonts w:ascii="Cambria" w:hAnsi="Cambria"/>
          <w:color w:val="000000"/>
          <w:sz w:val="20"/>
          <w:szCs w:val="20"/>
          <w:lang w:val="pt-BR"/>
        </w:rPr>
        <w:t>sou</w:t>
      </w:r>
      <w:r w:rsidR="00A243A3" w:rsidRPr="00337743">
        <w:rPr>
          <w:rFonts w:ascii="Cambria" w:hAnsi="Cambria"/>
          <w:color w:val="000000"/>
          <w:sz w:val="20"/>
          <w:szCs w:val="20"/>
          <w:lang w:val="pt-BR"/>
        </w:rPr>
        <w:t xml:space="preserve"> a </w:t>
      </w:r>
      <w:r w:rsidR="00B1530D" w:rsidRPr="00337743">
        <w:rPr>
          <w:rFonts w:ascii="Cambria" w:hAnsi="Cambria"/>
          <w:color w:val="000000"/>
          <w:sz w:val="20"/>
          <w:szCs w:val="20"/>
          <w:lang w:val="pt-BR"/>
        </w:rPr>
        <w:t>estudar</w:t>
      </w:r>
      <w:r w:rsidR="007707E3" w:rsidRPr="00337743">
        <w:rPr>
          <w:rFonts w:ascii="Cambria" w:hAnsi="Cambria"/>
          <w:color w:val="000000"/>
          <w:sz w:val="20"/>
          <w:szCs w:val="20"/>
          <w:lang w:val="pt-BR"/>
        </w:rPr>
        <w:t xml:space="preserve"> as </w:t>
      </w:r>
      <w:r w:rsidR="00A243A3" w:rsidRPr="00337743">
        <w:rPr>
          <w:rFonts w:ascii="Cambria" w:hAnsi="Cambria"/>
          <w:color w:val="000000"/>
          <w:sz w:val="20"/>
          <w:szCs w:val="20"/>
          <w:lang w:val="pt-BR"/>
        </w:rPr>
        <w:t>medidas adicion</w:t>
      </w:r>
      <w:r w:rsidR="007707E3" w:rsidRPr="00337743">
        <w:rPr>
          <w:rFonts w:ascii="Cambria" w:hAnsi="Cambria"/>
          <w:color w:val="000000"/>
          <w:sz w:val="20"/>
          <w:szCs w:val="20"/>
          <w:lang w:val="pt-BR"/>
        </w:rPr>
        <w:t>ais</w:t>
      </w:r>
      <w:r w:rsidR="00A243A3" w:rsidRPr="00337743">
        <w:rPr>
          <w:rFonts w:ascii="Cambria" w:hAnsi="Cambria"/>
          <w:color w:val="000000"/>
          <w:sz w:val="20"/>
          <w:szCs w:val="20"/>
          <w:lang w:val="pt-BR"/>
        </w:rPr>
        <w:t xml:space="preserve"> </w:t>
      </w:r>
      <w:r w:rsidR="00BA02BD" w:rsidRPr="00337743">
        <w:rPr>
          <w:rFonts w:ascii="Cambria" w:hAnsi="Cambria"/>
          <w:color w:val="000000"/>
          <w:sz w:val="20"/>
          <w:szCs w:val="20"/>
          <w:lang w:val="pt-BR"/>
        </w:rPr>
        <w:t xml:space="preserve">que </w:t>
      </w:r>
      <w:r w:rsidR="00B1530D" w:rsidRPr="00337743">
        <w:rPr>
          <w:rFonts w:ascii="Cambria" w:hAnsi="Cambria"/>
          <w:color w:val="000000"/>
          <w:sz w:val="20"/>
          <w:szCs w:val="20"/>
          <w:lang w:val="pt-BR"/>
        </w:rPr>
        <w:t>poderiam</w:t>
      </w:r>
      <w:r w:rsidR="00A243A3" w:rsidRPr="00337743">
        <w:rPr>
          <w:rFonts w:ascii="Cambria" w:hAnsi="Cambria"/>
          <w:color w:val="000000"/>
          <w:sz w:val="20"/>
          <w:szCs w:val="20"/>
          <w:lang w:val="pt-BR"/>
        </w:rPr>
        <w:t xml:space="preserve"> </w:t>
      </w:r>
      <w:r w:rsidR="004D6553" w:rsidRPr="00337743">
        <w:rPr>
          <w:rFonts w:ascii="Cambria" w:hAnsi="Cambria"/>
          <w:color w:val="000000"/>
          <w:sz w:val="20"/>
          <w:szCs w:val="20"/>
          <w:lang w:val="pt-BR"/>
        </w:rPr>
        <w:t xml:space="preserve">ser </w:t>
      </w:r>
      <w:r w:rsidR="00A243A3" w:rsidRPr="00337743">
        <w:rPr>
          <w:rFonts w:ascii="Cambria" w:hAnsi="Cambria"/>
          <w:color w:val="000000"/>
          <w:sz w:val="20"/>
          <w:szCs w:val="20"/>
          <w:lang w:val="pt-BR"/>
        </w:rPr>
        <w:t>toma</w:t>
      </w:r>
      <w:r w:rsidR="004D6553" w:rsidRPr="00337743">
        <w:rPr>
          <w:rFonts w:ascii="Cambria" w:hAnsi="Cambria"/>
          <w:color w:val="000000"/>
          <w:sz w:val="20"/>
          <w:szCs w:val="20"/>
          <w:lang w:val="pt-BR"/>
        </w:rPr>
        <w:t>das</w:t>
      </w:r>
      <w:r w:rsidR="00A243A3" w:rsidRPr="00337743">
        <w:rPr>
          <w:rFonts w:ascii="Cambria" w:hAnsi="Cambria"/>
          <w:color w:val="000000"/>
          <w:sz w:val="20"/>
          <w:szCs w:val="20"/>
          <w:lang w:val="pt-BR"/>
        </w:rPr>
        <w:t>; por suge</w:t>
      </w:r>
      <w:r w:rsidR="004D6553" w:rsidRPr="00337743">
        <w:rPr>
          <w:rFonts w:ascii="Cambria" w:hAnsi="Cambria"/>
          <w:color w:val="000000"/>
          <w:sz w:val="20"/>
          <w:szCs w:val="20"/>
          <w:lang w:val="pt-BR"/>
        </w:rPr>
        <w:t>stão</w:t>
      </w:r>
      <w:r w:rsidR="007707E3" w:rsidRPr="00337743">
        <w:rPr>
          <w:rFonts w:ascii="Cambria" w:hAnsi="Cambria"/>
          <w:color w:val="000000"/>
          <w:sz w:val="20"/>
          <w:szCs w:val="20"/>
          <w:lang w:val="pt-BR"/>
        </w:rPr>
        <w:t xml:space="preserve"> do </w:t>
      </w:r>
      <w:r w:rsidR="00A243A3" w:rsidRPr="00337743">
        <w:rPr>
          <w:rFonts w:ascii="Cambria" w:hAnsi="Cambria"/>
          <w:color w:val="000000"/>
          <w:sz w:val="20"/>
          <w:szCs w:val="20"/>
          <w:lang w:val="pt-BR"/>
        </w:rPr>
        <w:t>Secret</w:t>
      </w:r>
      <w:r w:rsidR="00A26FB7" w:rsidRPr="00337743">
        <w:rPr>
          <w:rFonts w:ascii="Cambria" w:hAnsi="Cambria"/>
          <w:color w:val="000000"/>
          <w:sz w:val="20"/>
          <w:szCs w:val="20"/>
          <w:lang w:val="pt-BR"/>
        </w:rPr>
        <w:t>á</w:t>
      </w:r>
      <w:r w:rsidR="00A243A3" w:rsidRPr="00337743">
        <w:rPr>
          <w:rFonts w:ascii="Cambria" w:hAnsi="Cambria"/>
          <w:color w:val="000000"/>
          <w:sz w:val="20"/>
          <w:szCs w:val="20"/>
          <w:lang w:val="pt-BR"/>
        </w:rPr>
        <w:t>rio de Estado</w:t>
      </w:r>
      <w:r w:rsidR="00E96C24" w:rsidRPr="00337743">
        <w:rPr>
          <w:rFonts w:ascii="Cambria" w:hAnsi="Cambria"/>
          <w:color w:val="000000"/>
          <w:sz w:val="20"/>
          <w:szCs w:val="20"/>
          <w:lang w:val="pt-BR"/>
        </w:rPr>
        <w:t xml:space="preserve"> d</w:t>
      </w:r>
      <w:r w:rsidR="004D6553" w:rsidRPr="00337743">
        <w:rPr>
          <w:rFonts w:ascii="Cambria" w:hAnsi="Cambria"/>
          <w:color w:val="000000"/>
          <w:sz w:val="20"/>
          <w:szCs w:val="20"/>
          <w:lang w:val="pt-BR"/>
        </w:rPr>
        <w:t>e</w:t>
      </w:r>
      <w:r w:rsidR="00E96C24" w:rsidRPr="00337743">
        <w:rPr>
          <w:rFonts w:ascii="Cambria" w:hAnsi="Cambria"/>
          <w:color w:val="000000"/>
          <w:sz w:val="20"/>
          <w:szCs w:val="20"/>
          <w:lang w:val="pt-BR"/>
        </w:rPr>
        <w:t xml:space="preserve"> </w:t>
      </w:r>
      <w:r w:rsidR="00350E7E" w:rsidRPr="00337743">
        <w:rPr>
          <w:rFonts w:ascii="Cambria" w:hAnsi="Cambria"/>
          <w:color w:val="000000"/>
          <w:sz w:val="20"/>
          <w:szCs w:val="20"/>
          <w:lang w:val="pt-BR"/>
        </w:rPr>
        <w:t>Direito</w:t>
      </w:r>
      <w:r w:rsidR="00A243A3" w:rsidRPr="00337743">
        <w:rPr>
          <w:rFonts w:ascii="Cambria" w:hAnsi="Cambria"/>
          <w:color w:val="000000"/>
          <w:sz w:val="20"/>
          <w:szCs w:val="20"/>
          <w:lang w:val="pt-BR"/>
        </w:rPr>
        <w:t xml:space="preserve">s Humanos, </w:t>
      </w:r>
      <w:r w:rsidR="004D6553" w:rsidRPr="00337743">
        <w:rPr>
          <w:rFonts w:ascii="Cambria" w:hAnsi="Cambria"/>
          <w:color w:val="000000"/>
          <w:sz w:val="20"/>
          <w:szCs w:val="20"/>
          <w:lang w:val="pt-BR"/>
        </w:rPr>
        <w:t xml:space="preserve">foram realizadas </w:t>
      </w:r>
      <w:r w:rsidR="00A243A3" w:rsidRPr="00337743">
        <w:rPr>
          <w:rFonts w:ascii="Cambria" w:hAnsi="Cambria"/>
          <w:color w:val="000000"/>
          <w:sz w:val="20"/>
          <w:szCs w:val="20"/>
          <w:lang w:val="pt-BR"/>
        </w:rPr>
        <w:t>gest</w:t>
      </w:r>
      <w:r w:rsidR="004D6553" w:rsidRPr="00337743">
        <w:rPr>
          <w:rFonts w:ascii="Cambria" w:hAnsi="Cambria"/>
          <w:color w:val="000000"/>
          <w:sz w:val="20"/>
          <w:szCs w:val="20"/>
          <w:lang w:val="pt-BR"/>
        </w:rPr>
        <w:t>õ</w:t>
      </w:r>
      <w:r w:rsidR="00A243A3" w:rsidRPr="00337743">
        <w:rPr>
          <w:rFonts w:ascii="Cambria" w:hAnsi="Cambria"/>
          <w:color w:val="000000"/>
          <w:sz w:val="20"/>
          <w:szCs w:val="20"/>
          <w:lang w:val="pt-BR"/>
        </w:rPr>
        <w:t xml:space="preserve">es </w:t>
      </w:r>
      <w:r w:rsidR="004D6553" w:rsidRPr="00337743">
        <w:rPr>
          <w:rFonts w:ascii="Cambria" w:hAnsi="Cambria"/>
          <w:color w:val="000000"/>
          <w:sz w:val="20"/>
          <w:szCs w:val="20"/>
          <w:lang w:val="pt-BR"/>
        </w:rPr>
        <w:t>junto</w:t>
      </w:r>
      <w:r w:rsidR="007707E3" w:rsidRPr="00337743">
        <w:rPr>
          <w:rFonts w:ascii="Cambria" w:hAnsi="Cambria"/>
          <w:color w:val="000000"/>
          <w:sz w:val="20"/>
          <w:szCs w:val="20"/>
          <w:lang w:val="pt-BR"/>
        </w:rPr>
        <w:t xml:space="preserve"> </w:t>
      </w:r>
      <w:r w:rsidR="004D6553" w:rsidRPr="00337743">
        <w:rPr>
          <w:rFonts w:ascii="Cambria" w:hAnsi="Cambria"/>
          <w:color w:val="000000"/>
          <w:sz w:val="20"/>
          <w:szCs w:val="20"/>
          <w:lang w:val="pt-BR"/>
        </w:rPr>
        <w:t>a</w:t>
      </w:r>
      <w:r w:rsidR="007707E3" w:rsidRPr="00337743">
        <w:rPr>
          <w:rFonts w:ascii="Cambria" w:hAnsi="Cambria"/>
          <w:color w:val="000000"/>
          <w:sz w:val="20"/>
          <w:szCs w:val="20"/>
          <w:lang w:val="pt-BR"/>
        </w:rPr>
        <w:t xml:space="preserve">os </w:t>
      </w:r>
      <w:r w:rsidR="00A243A3" w:rsidRPr="00337743">
        <w:rPr>
          <w:rFonts w:ascii="Cambria" w:hAnsi="Cambria"/>
          <w:color w:val="000000"/>
          <w:sz w:val="20"/>
          <w:szCs w:val="20"/>
          <w:lang w:val="pt-BR"/>
        </w:rPr>
        <w:t>Poderes</w:t>
      </w:r>
      <w:r w:rsidR="007707E3" w:rsidRPr="00337743">
        <w:rPr>
          <w:rFonts w:ascii="Cambria" w:hAnsi="Cambria"/>
          <w:color w:val="000000"/>
          <w:sz w:val="20"/>
          <w:szCs w:val="20"/>
          <w:lang w:val="pt-BR"/>
        </w:rPr>
        <w:t xml:space="preserve"> da </w:t>
      </w:r>
      <w:r w:rsidR="00B1530D" w:rsidRPr="00337743">
        <w:rPr>
          <w:rFonts w:ascii="Cambria" w:hAnsi="Cambria"/>
          <w:color w:val="000000"/>
          <w:sz w:val="20"/>
          <w:szCs w:val="20"/>
          <w:lang w:val="pt-BR"/>
        </w:rPr>
        <w:t>província</w:t>
      </w:r>
      <w:r w:rsidR="00A243A3" w:rsidRPr="00337743">
        <w:rPr>
          <w:rFonts w:ascii="Cambria" w:hAnsi="Cambria"/>
          <w:color w:val="000000"/>
          <w:sz w:val="20"/>
          <w:szCs w:val="20"/>
          <w:lang w:val="pt-BR"/>
        </w:rPr>
        <w:t xml:space="preserve"> a</w:t>
      </w:r>
      <w:r w:rsidR="00325DAC" w:rsidRPr="00337743">
        <w:rPr>
          <w:rFonts w:ascii="Cambria" w:hAnsi="Cambria"/>
          <w:color w:val="000000"/>
          <w:sz w:val="20"/>
          <w:szCs w:val="20"/>
          <w:lang w:val="pt-BR"/>
        </w:rPr>
        <w:t xml:space="preserve"> fim </w:t>
      </w:r>
      <w:r w:rsidR="00A243A3" w:rsidRPr="00337743">
        <w:rPr>
          <w:rFonts w:ascii="Cambria" w:hAnsi="Cambria"/>
          <w:color w:val="000000"/>
          <w:sz w:val="20"/>
          <w:szCs w:val="20"/>
          <w:lang w:val="pt-BR"/>
        </w:rPr>
        <w:t xml:space="preserve">de </w:t>
      </w:r>
      <w:r w:rsidR="00B1530D" w:rsidRPr="00337743">
        <w:rPr>
          <w:rFonts w:ascii="Cambria" w:hAnsi="Cambria"/>
          <w:color w:val="000000"/>
          <w:sz w:val="20"/>
          <w:szCs w:val="20"/>
          <w:lang w:val="pt-BR"/>
        </w:rPr>
        <w:t>ressaltar</w:t>
      </w:r>
      <w:r w:rsidR="00506331" w:rsidRPr="00337743">
        <w:rPr>
          <w:rFonts w:ascii="Cambria" w:hAnsi="Cambria"/>
          <w:color w:val="000000"/>
          <w:sz w:val="20"/>
          <w:szCs w:val="20"/>
          <w:lang w:val="pt-BR"/>
        </w:rPr>
        <w:t xml:space="preserve"> a </w:t>
      </w:r>
      <w:r w:rsidR="00A243A3" w:rsidRPr="00337743">
        <w:rPr>
          <w:rFonts w:ascii="Cambria" w:hAnsi="Cambria"/>
          <w:color w:val="000000"/>
          <w:sz w:val="20"/>
          <w:szCs w:val="20"/>
          <w:lang w:val="pt-BR"/>
        </w:rPr>
        <w:t>sensibili</w:t>
      </w:r>
      <w:r w:rsidR="00350E7E" w:rsidRPr="00337743">
        <w:rPr>
          <w:rFonts w:ascii="Cambria" w:hAnsi="Cambria"/>
          <w:color w:val="000000"/>
          <w:sz w:val="20"/>
          <w:szCs w:val="20"/>
          <w:lang w:val="pt-BR"/>
        </w:rPr>
        <w:t>dade</w:t>
      </w:r>
      <w:r w:rsidR="007707E3" w:rsidRPr="00337743">
        <w:rPr>
          <w:rFonts w:ascii="Cambria" w:hAnsi="Cambria"/>
          <w:color w:val="000000"/>
          <w:sz w:val="20"/>
          <w:szCs w:val="20"/>
          <w:lang w:val="pt-BR"/>
        </w:rPr>
        <w:t xml:space="preserve"> do </w:t>
      </w:r>
      <w:r w:rsidR="00A243A3" w:rsidRPr="00337743">
        <w:rPr>
          <w:rFonts w:ascii="Cambria" w:hAnsi="Cambria"/>
          <w:color w:val="000000"/>
          <w:sz w:val="20"/>
          <w:szCs w:val="20"/>
          <w:lang w:val="pt-BR"/>
        </w:rPr>
        <w:t>caso</w:t>
      </w:r>
      <w:r w:rsidR="00506331" w:rsidRPr="00337743">
        <w:rPr>
          <w:rFonts w:ascii="Cambria" w:hAnsi="Cambria"/>
          <w:color w:val="000000"/>
          <w:sz w:val="20"/>
          <w:szCs w:val="20"/>
          <w:lang w:val="pt-BR"/>
        </w:rPr>
        <w:t xml:space="preserve"> e a </w:t>
      </w:r>
      <w:r w:rsidR="00B1530D" w:rsidRPr="00337743">
        <w:rPr>
          <w:rFonts w:ascii="Cambria" w:hAnsi="Cambria"/>
          <w:color w:val="000000"/>
          <w:sz w:val="20"/>
          <w:szCs w:val="20"/>
          <w:lang w:val="pt-BR"/>
        </w:rPr>
        <w:t>importância</w:t>
      </w:r>
      <w:r w:rsidR="00A243A3" w:rsidRPr="00337743">
        <w:rPr>
          <w:rFonts w:ascii="Cambria" w:hAnsi="Cambria"/>
          <w:color w:val="000000"/>
          <w:sz w:val="20"/>
          <w:szCs w:val="20"/>
          <w:lang w:val="pt-BR"/>
        </w:rPr>
        <w:t xml:space="preserve"> </w:t>
      </w:r>
      <w:r w:rsidR="00320DBA" w:rsidRPr="00337743">
        <w:rPr>
          <w:rFonts w:ascii="Cambria" w:hAnsi="Cambria"/>
          <w:color w:val="000000"/>
          <w:sz w:val="20"/>
          <w:szCs w:val="20"/>
          <w:lang w:val="pt-BR"/>
        </w:rPr>
        <w:t>atribuída</w:t>
      </w:r>
      <w:r w:rsidR="00091880" w:rsidRPr="00337743">
        <w:rPr>
          <w:rFonts w:ascii="Cambria" w:hAnsi="Cambria"/>
          <w:color w:val="000000"/>
          <w:sz w:val="20"/>
          <w:szCs w:val="20"/>
          <w:lang w:val="pt-BR"/>
        </w:rPr>
        <w:t xml:space="preserve"> pelo </w:t>
      </w:r>
      <w:r w:rsidR="00A06E97" w:rsidRPr="00337743">
        <w:rPr>
          <w:rFonts w:ascii="Cambria" w:hAnsi="Cambria"/>
          <w:color w:val="000000"/>
          <w:sz w:val="20"/>
          <w:szCs w:val="20"/>
          <w:lang w:val="pt-BR"/>
        </w:rPr>
        <w:t>Governo</w:t>
      </w:r>
      <w:r w:rsidR="00A243A3" w:rsidRPr="00337743">
        <w:rPr>
          <w:rFonts w:ascii="Cambria" w:hAnsi="Cambria"/>
          <w:color w:val="000000"/>
          <w:sz w:val="20"/>
          <w:szCs w:val="20"/>
          <w:lang w:val="pt-BR"/>
        </w:rPr>
        <w:t xml:space="preserve"> Federal</w:t>
      </w:r>
      <w:r w:rsidR="00BF72CE" w:rsidRPr="00337743">
        <w:rPr>
          <w:rFonts w:ascii="Cambria" w:hAnsi="Cambria"/>
          <w:color w:val="000000"/>
          <w:sz w:val="20"/>
          <w:szCs w:val="20"/>
          <w:lang w:val="pt-BR"/>
        </w:rPr>
        <w:t xml:space="preserve"> ao </w:t>
      </w:r>
      <w:r w:rsidR="00A243A3" w:rsidRPr="00337743">
        <w:rPr>
          <w:rFonts w:ascii="Cambria" w:hAnsi="Cambria"/>
          <w:color w:val="000000"/>
          <w:sz w:val="20"/>
          <w:szCs w:val="20"/>
          <w:lang w:val="pt-BR"/>
        </w:rPr>
        <w:t xml:space="preserve">castigo </w:t>
      </w:r>
      <w:r w:rsidR="00B1530D" w:rsidRPr="00337743">
        <w:rPr>
          <w:rFonts w:ascii="Cambria" w:hAnsi="Cambria"/>
          <w:color w:val="000000"/>
          <w:sz w:val="20"/>
          <w:szCs w:val="20"/>
          <w:lang w:val="pt-BR"/>
        </w:rPr>
        <w:t>exemplar</w:t>
      </w:r>
      <w:r w:rsidR="00E96C24" w:rsidRPr="00337743">
        <w:rPr>
          <w:rFonts w:ascii="Cambria" w:hAnsi="Cambria"/>
          <w:color w:val="000000"/>
          <w:sz w:val="20"/>
          <w:szCs w:val="20"/>
          <w:lang w:val="pt-BR"/>
        </w:rPr>
        <w:t xml:space="preserve"> dos </w:t>
      </w:r>
      <w:r w:rsidR="00A243A3" w:rsidRPr="00337743">
        <w:rPr>
          <w:rFonts w:ascii="Cambria" w:hAnsi="Cambria"/>
          <w:color w:val="000000"/>
          <w:sz w:val="20"/>
          <w:szCs w:val="20"/>
          <w:lang w:val="pt-BR"/>
        </w:rPr>
        <w:t>respons</w:t>
      </w:r>
      <w:r w:rsidR="004D6553" w:rsidRPr="00337743">
        <w:rPr>
          <w:rFonts w:ascii="Cambria" w:hAnsi="Cambria"/>
          <w:color w:val="000000"/>
          <w:sz w:val="20"/>
          <w:szCs w:val="20"/>
          <w:lang w:val="pt-BR"/>
        </w:rPr>
        <w:t>ávei</w:t>
      </w:r>
      <w:r w:rsidR="00A243A3" w:rsidRPr="00337743">
        <w:rPr>
          <w:rFonts w:ascii="Cambria" w:hAnsi="Cambria"/>
          <w:color w:val="000000"/>
          <w:sz w:val="20"/>
          <w:szCs w:val="20"/>
          <w:lang w:val="pt-BR"/>
        </w:rPr>
        <w:t>s</w:t>
      </w:r>
      <w:r w:rsidR="007707E3" w:rsidRPr="00337743">
        <w:rPr>
          <w:rFonts w:ascii="Cambria" w:hAnsi="Cambria"/>
          <w:color w:val="000000"/>
          <w:sz w:val="20"/>
          <w:szCs w:val="20"/>
          <w:lang w:val="pt-BR"/>
        </w:rPr>
        <w:t xml:space="preserve"> </w:t>
      </w:r>
      <w:r w:rsidR="004D6553" w:rsidRPr="00337743">
        <w:rPr>
          <w:rFonts w:ascii="Cambria" w:hAnsi="Cambria"/>
          <w:color w:val="000000"/>
          <w:sz w:val="20"/>
          <w:szCs w:val="20"/>
          <w:lang w:val="pt-BR"/>
        </w:rPr>
        <w:t>pel</w:t>
      </w:r>
      <w:r w:rsidR="007707E3" w:rsidRPr="00337743">
        <w:rPr>
          <w:rFonts w:ascii="Cambria" w:hAnsi="Cambria"/>
          <w:color w:val="000000"/>
          <w:sz w:val="20"/>
          <w:szCs w:val="20"/>
          <w:lang w:val="pt-BR"/>
        </w:rPr>
        <w:t xml:space="preserve">o </w:t>
      </w:r>
      <w:r w:rsidR="00A243A3" w:rsidRPr="00337743">
        <w:rPr>
          <w:rFonts w:ascii="Cambria" w:hAnsi="Cambria"/>
          <w:color w:val="000000"/>
          <w:sz w:val="20"/>
          <w:szCs w:val="20"/>
          <w:lang w:val="pt-BR"/>
        </w:rPr>
        <w:t>crime</w:t>
      </w:r>
      <w:r w:rsidR="00506331" w:rsidRPr="00337743">
        <w:rPr>
          <w:rFonts w:ascii="Cambria" w:hAnsi="Cambria"/>
          <w:color w:val="000000"/>
          <w:sz w:val="20"/>
          <w:szCs w:val="20"/>
          <w:lang w:val="pt-BR"/>
        </w:rPr>
        <w:t xml:space="preserve"> e a </w:t>
      </w:r>
      <w:r w:rsidR="00A243A3" w:rsidRPr="00337743">
        <w:rPr>
          <w:rFonts w:ascii="Cambria" w:hAnsi="Cambria"/>
          <w:color w:val="000000"/>
          <w:sz w:val="20"/>
          <w:szCs w:val="20"/>
          <w:lang w:val="pt-BR"/>
        </w:rPr>
        <w:t>repara</w:t>
      </w:r>
      <w:r w:rsidR="00350E7E" w:rsidRPr="00337743">
        <w:rPr>
          <w:rFonts w:ascii="Cambria" w:hAnsi="Cambria"/>
          <w:color w:val="000000"/>
          <w:sz w:val="20"/>
          <w:szCs w:val="20"/>
          <w:lang w:val="pt-BR"/>
        </w:rPr>
        <w:t>ção</w:t>
      </w:r>
      <w:r w:rsidR="00E96C24" w:rsidRPr="00337743">
        <w:rPr>
          <w:rFonts w:ascii="Cambria" w:hAnsi="Cambria"/>
          <w:color w:val="000000"/>
          <w:sz w:val="20"/>
          <w:szCs w:val="20"/>
          <w:lang w:val="pt-BR"/>
        </w:rPr>
        <w:t xml:space="preserve"> dos </w:t>
      </w:r>
      <w:r w:rsidR="00B1530D" w:rsidRPr="00337743">
        <w:rPr>
          <w:rFonts w:ascii="Cambria" w:hAnsi="Cambria"/>
          <w:color w:val="000000"/>
          <w:sz w:val="20"/>
          <w:szCs w:val="20"/>
          <w:lang w:val="pt-BR"/>
        </w:rPr>
        <w:t>danos</w:t>
      </w:r>
      <w:r w:rsidR="00A243A3" w:rsidRPr="00337743">
        <w:rPr>
          <w:rFonts w:ascii="Cambria" w:hAnsi="Cambria"/>
          <w:color w:val="000000"/>
          <w:sz w:val="20"/>
          <w:szCs w:val="20"/>
          <w:lang w:val="pt-BR"/>
        </w:rPr>
        <w:t xml:space="preserve"> causados</w:t>
      </w:r>
      <w:r w:rsidR="00F453EB" w:rsidRPr="00337743">
        <w:rPr>
          <w:rFonts w:ascii="Cambria" w:hAnsi="Cambria"/>
          <w:color w:val="000000"/>
          <w:sz w:val="20"/>
          <w:szCs w:val="20"/>
          <w:lang w:val="pt-BR"/>
        </w:rPr>
        <w:t xml:space="preserve"> aos </w:t>
      </w:r>
      <w:r w:rsidR="00A243A3" w:rsidRPr="00337743">
        <w:rPr>
          <w:rFonts w:ascii="Cambria" w:hAnsi="Cambria"/>
          <w:color w:val="000000"/>
          <w:sz w:val="20"/>
          <w:szCs w:val="20"/>
          <w:lang w:val="pt-BR"/>
        </w:rPr>
        <w:t>familiares</w:t>
      </w:r>
      <w:r w:rsidR="007707E3" w:rsidRPr="00337743">
        <w:rPr>
          <w:rFonts w:ascii="Cambria" w:hAnsi="Cambria"/>
          <w:color w:val="000000"/>
          <w:sz w:val="20"/>
          <w:szCs w:val="20"/>
          <w:lang w:val="pt-BR"/>
        </w:rPr>
        <w:t xml:space="preserve"> da </w:t>
      </w:r>
      <w:r w:rsidR="00B1530D" w:rsidRPr="00337743">
        <w:rPr>
          <w:rFonts w:ascii="Cambria" w:hAnsi="Cambria"/>
          <w:color w:val="000000"/>
          <w:sz w:val="20"/>
          <w:szCs w:val="20"/>
          <w:lang w:val="pt-BR"/>
        </w:rPr>
        <w:t>vítima</w:t>
      </w:r>
      <w:r w:rsidR="00A243A3" w:rsidRPr="00337743">
        <w:rPr>
          <w:rFonts w:ascii="Cambria" w:hAnsi="Cambria"/>
          <w:color w:val="000000"/>
          <w:sz w:val="20"/>
          <w:szCs w:val="20"/>
          <w:lang w:val="pt-BR"/>
        </w:rPr>
        <w:t xml:space="preserve">; </w:t>
      </w:r>
      <w:r w:rsidR="00506331" w:rsidRPr="00337743">
        <w:rPr>
          <w:rFonts w:ascii="Cambria" w:hAnsi="Cambria"/>
          <w:color w:val="000000"/>
          <w:sz w:val="20"/>
          <w:szCs w:val="20"/>
          <w:lang w:val="pt-BR"/>
        </w:rPr>
        <w:t xml:space="preserve">o </w:t>
      </w:r>
      <w:r w:rsidR="00320DBA" w:rsidRPr="00337743">
        <w:rPr>
          <w:rFonts w:ascii="Cambria" w:hAnsi="Cambria"/>
          <w:color w:val="000000"/>
          <w:sz w:val="20"/>
          <w:szCs w:val="20"/>
          <w:lang w:val="pt-BR"/>
        </w:rPr>
        <w:t>processo</w:t>
      </w:r>
      <w:r w:rsidR="00A243A3" w:rsidRPr="00337743">
        <w:rPr>
          <w:rFonts w:ascii="Cambria" w:hAnsi="Cambria"/>
          <w:color w:val="000000"/>
          <w:sz w:val="20"/>
          <w:szCs w:val="20"/>
          <w:lang w:val="pt-BR"/>
        </w:rPr>
        <w:t xml:space="preserve"> criminal, </w:t>
      </w:r>
      <w:r w:rsidR="004D6553" w:rsidRPr="00337743">
        <w:rPr>
          <w:rFonts w:ascii="Cambria" w:hAnsi="Cambria"/>
          <w:color w:val="000000"/>
          <w:sz w:val="20"/>
          <w:szCs w:val="20"/>
          <w:lang w:val="pt-BR"/>
        </w:rPr>
        <w:t>embora</w:t>
      </w:r>
      <w:r w:rsidR="00A243A3"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paralisado</w:t>
      </w:r>
      <w:r w:rsidR="00A243A3" w:rsidRPr="00337743">
        <w:rPr>
          <w:rFonts w:ascii="Cambria" w:hAnsi="Cambria"/>
          <w:color w:val="000000"/>
          <w:sz w:val="20"/>
          <w:szCs w:val="20"/>
          <w:lang w:val="pt-BR"/>
        </w:rPr>
        <w:t xml:space="preserve"> </w:t>
      </w:r>
      <w:r w:rsidR="004D6553" w:rsidRPr="00337743">
        <w:rPr>
          <w:rFonts w:ascii="Cambria" w:hAnsi="Cambria"/>
          <w:color w:val="000000"/>
          <w:sz w:val="20"/>
          <w:szCs w:val="20"/>
          <w:lang w:val="pt-BR"/>
        </w:rPr>
        <w:t>enquanto</w:t>
      </w:r>
      <w:r w:rsidR="00506331" w:rsidRPr="00337743">
        <w:rPr>
          <w:rFonts w:ascii="Cambria" w:hAnsi="Cambria"/>
          <w:color w:val="000000"/>
          <w:sz w:val="20"/>
          <w:szCs w:val="20"/>
          <w:lang w:val="pt-BR"/>
        </w:rPr>
        <w:t xml:space="preserve"> o </w:t>
      </w:r>
      <w:r w:rsidR="00A243A3" w:rsidRPr="00337743">
        <w:rPr>
          <w:rFonts w:ascii="Cambria" w:hAnsi="Cambria"/>
          <w:color w:val="000000"/>
          <w:sz w:val="20"/>
          <w:szCs w:val="20"/>
          <w:lang w:val="pt-BR"/>
        </w:rPr>
        <w:t xml:space="preserve">acusado </w:t>
      </w:r>
      <w:r w:rsidR="00B1530D" w:rsidRPr="00337743">
        <w:rPr>
          <w:rFonts w:ascii="Cambria" w:hAnsi="Cambria"/>
          <w:color w:val="000000"/>
          <w:sz w:val="20"/>
          <w:szCs w:val="20"/>
          <w:lang w:val="pt-BR"/>
        </w:rPr>
        <w:t>exercia</w:t>
      </w:r>
      <w:r w:rsidR="00A243A3" w:rsidRPr="00337743">
        <w:rPr>
          <w:rFonts w:ascii="Cambria" w:hAnsi="Cambria"/>
          <w:color w:val="000000"/>
          <w:sz w:val="20"/>
          <w:szCs w:val="20"/>
          <w:lang w:val="pt-BR"/>
        </w:rPr>
        <w:t xml:space="preserve"> mandato parlamentar, retom</w:t>
      </w:r>
      <w:r w:rsidR="00320DBA" w:rsidRPr="00337743">
        <w:rPr>
          <w:rFonts w:ascii="Cambria" w:hAnsi="Cambria"/>
          <w:color w:val="000000"/>
          <w:sz w:val="20"/>
          <w:szCs w:val="20"/>
          <w:lang w:val="pt-BR"/>
        </w:rPr>
        <w:t>ou</w:t>
      </w:r>
      <w:r w:rsidR="00A243A3" w:rsidRPr="00337743">
        <w:rPr>
          <w:rFonts w:ascii="Cambria" w:hAnsi="Cambria"/>
          <w:color w:val="000000"/>
          <w:sz w:val="20"/>
          <w:szCs w:val="20"/>
          <w:lang w:val="pt-BR"/>
        </w:rPr>
        <w:t xml:space="preserve"> posteriormente s</w:t>
      </w:r>
      <w:r w:rsidR="00B1530D" w:rsidRPr="00337743">
        <w:rPr>
          <w:rFonts w:ascii="Cambria" w:hAnsi="Cambria"/>
          <w:color w:val="000000"/>
          <w:sz w:val="20"/>
          <w:szCs w:val="20"/>
          <w:lang w:val="pt-BR"/>
        </w:rPr>
        <w:t>e</w:t>
      </w:r>
      <w:r w:rsidR="00A243A3" w:rsidRPr="00337743">
        <w:rPr>
          <w:rFonts w:ascii="Cambria" w:hAnsi="Cambria"/>
          <w:color w:val="000000"/>
          <w:sz w:val="20"/>
          <w:szCs w:val="20"/>
          <w:lang w:val="pt-BR"/>
        </w:rPr>
        <w:t xml:space="preserve">u </w:t>
      </w:r>
      <w:r w:rsidR="00B1530D" w:rsidRPr="00337743">
        <w:rPr>
          <w:rFonts w:ascii="Cambria" w:hAnsi="Cambria"/>
          <w:color w:val="000000"/>
          <w:sz w:val="20"/>
          <w:szCs w:val="20"/>
          <w:lang w:val="pt-BR"/>
        </w:rPr>
        <w:t>trâmite</w:t>
      </w:r>
      <w:r w:rsidR="00506331" w:rsidRPr="00337743">
        <w:rPr>
          <w:rFonts w:ascii="Cambria" w:hAnsi="Cambria"/>
          <w:color w:val="000000"/>
          <w:sz w:val="20"/>
          <w:szCs w:val="20"/>
          <w:lang w:val="pt-BR"/>
        </w:rPr>
        <w:t xml:space="preserve"> e </w:t>
      </w:r>
      <w:r w:rsidR="00A243A3" w:rsidRPr="00337743">
        <w:rPr>
          <w:rFonts w:ascii="Cambria" w:hAnsi="Cambria"/>
          <w:color w:val="000000"/>
          <w:sz w:val="20"/>
          <w:szCs w:val="20"/>
          <w:lang w:val="pt-BR"/>
        </w:rPr>
        <w:t>alcan</w:t>
      </w:r>
      <w:r w:rsidR="00B1530D" w:rsidRPr="00337743">
        <w:rPr>
          <w:rFonts w:ascii="Cambria" w:hAnsi="Cambria"/>
          <w:color w:val="000000"/>
          <w:sz w:val="20"/>
          <w:szCs w:val="20"/>
          <w:lang w:val="pt-BR"/>
        </w:rPr>
        <w:t>çou</w:t>
      </w:r>
      <w:r w:rsidR="00091880" w:rsidRPr="00337743">
        <w:rPr>
          <w:rFonts w:ascii="Cambria" w:hAnsi="Cambria"/>
          <w:color w:val="000000"/>
          <w:sz w:val="20"/>
          <w:szCs w:val="20"/>
          <w:lang w:val="pt-BR"/>
        </w:rPr>
        <w:t xml:space="preserve"> uma </w:t>
      </w:r>
      <w:r w:rsidR="00B1530D" w:rsidRPr="00337743">
        <w:rPr>
          <w:rFonts w:ascii="Cambria" w:hAnsi="Cambria"/>
          <w:color w:val="000000"/>
          <w:sz w:val="20"/>
          <w:szCs w:val="20"/>
          <w:lang w:val="pt-BR"/>
        </w:rPr>
        <w:t>decisão</w:t>
      </w:r>
      <w:r w:rsidR="00A243A3" w:rsidRPr="00337743">
        <w:rPr>
          <w:rFonts w:ascii="Cambria" w:hAnsi="Cambria"/>
          <w:color w:val="000000"/>
          <w:sz w:val="20"/>
          <w:szCs w:val="20"/>
          <w:lang w:val="pt-BR"/>
        </w:rPr>
        <w:t xml:space="preserve"> de mérito; </w:t>
      </w:r>
      <w:r w:rsidR="007707E3" w:rsidRPr="00337743">
        <w:rPr>
          <w:rFonts w:ascii="Cambria" w:hAnsi="Cambria"/>
          <w:color w:val="000000"/>
          <w:sz w:val="20"/>
          <w:szCs w:val="20"/>
          <w:lang w:val="pt-BR"/>
        </w:rPr>
        <w:t xml:space="preserve">os </w:t>
      </w:r>
      <w:r w:rsidR="00A243A3" w:rsidRPr="00337743">
        <w:rPr>
          <w:rFonts w:ascii="Cambria" w:hAnsi="Cambria"/>
          <w:color w:val="000000"/>
          <w:sz w:val="20"/>
          <w:szCs w:val="20"/>
          <w:lang w:val="pt-BR"/>
        </w:rPr>
        <w:t>familiares</w:t>
      </w:r>
      <w:r w:rsidR="00DB5118" w:rsidRPr="00337743">
        <w:rPr>
          <w:rFonts w:ascii="Cambria" w:hAnsi="Cambria"/>
          <w:color w:val="000000"/>
          <w:sz w:val="20"/>
          <w:szCs w:val="20"/>
          <w:lang w:val="pt-BR"/>
        </w:rPr>
        <w:t xml:space="preserve"> das </w:t>
      </w:r>
      <w:r w:rsidR="00B1530D" w:rsidRPr="00337743">
        <w:rPr>
          <w:rFonts w:ascii="Cambria" w:hAnsi="Cambria"/>
          <w:color w:val="000000"/>
          <w:sz w:val="20"/>
          <w:szCs w:val="20"/>
          <w:lang w:val="pt-BR"/>
        </w:rPr>
        <w:t>vítimas</w:t>
      </w:r>
      <w:r w:rsidR="00091880" w:rsidRPr="00337743">
        <w:rPr>
          <w:rFonts w:ascii="Cambria" w:hAnsi="Cambria"/>
          <w:color w:val="000000"/>
          <w:sz w:val="20"/>
          <w:szCs w:val="20"/>
          <w:lang w:val="pt-BR"/>
        </w:rPr>
        <w:t xml:space="preserve"> não </w:t>
      </w:r>
      <w:r w:rsidR="00320DBA" w:rsidRPr="00337743">
        <w:rPr>
          <w:rFonts w:ascii="Cambria" w:hAnsi="Cambria"/>
          <w:color w:val="000000"/>
          <w:sz w:val="20"/>
          <w:szCs w:val="20"/>
          <w:lang w:val="pt-BR"/>
        </w:rPr>
        <w:t>estavam</w:t>
      </w:r>
      <w:r w:rsidR="00A243A3" w:rsidRPr="00337743">
        <w:rPr>
          <w:rFonts w:ascii="Cambria" w:hAnsi="Cambria"/>
          <w:color w:val="000000"/>
          <w:sz w:val="20"/>
          <w:szCs w:val="20"/>
          <w:lang w:val="pt-BR"/>
        </w:rPr>
        <w:t xml:space="preserve"> impedidos</w:t>
      </w:r>
      <w:r w:rsidR="00C6641C" w:rsidRPr="00337743">
        <w:rPr>
          <w:rFonts w:ascii="Cambria" w:hAnsi="Cambria"/>
          <w:color w:val="000000"/>
          <w:sz w:val="20"/>
          <w:szCs w:val="20"/>
          <w:lang w:val="pt-BR"/>
        </w:rPr>
        <w:t xml:space="preserve"> pela </w:t>
      </w:r>
      <w:r w:rsidR="00DB5118" w:rsidRPr="00337743">
        <w:rPr>
          <w:rFonts w:ascii="Cambria" w:hAnsi="Cambria"/>
          <w:color w:val="000000"/>
          <w:sz w:val="20"/>
          <w:szCs w:val="20"/>
          <w:lang w:val="pt-BR"/>
        </w:rPr>
        <w:t>im</w:t>
      </w:r>
      <w:r w:rsidR="00A243A3"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00A243A3" w:rsidRPr="00337743">
        <w:rPr>
          <w:rFonts w:ascii="Cambria" w:hAnsi="Cambria"/>
          <w:color w:val="000000"/>
          <w:sz w:val="20"/>
          <w:szCs w:val="20"/>
          <w:lang w:val="pt-BR"/>
        </w:rPr>
        <w:t>parlamentar, n</w:t>
      </w:r>
      <w:r w:rsidR="004D6553" w:rsidRPr="00337743">
        <w:rPr>
          <w:rFonts w:ascii="Cambria" w:hAnsi="Cambria"/>
          <w:color w:val="000000"/>
          <w:sz w:val="20"/>
          <w:szCs w:val="20"/>
          <w:lang w:val="pt-BR"/>
        </w:rPr>
        <w:t>em</w:t>
      </w:r>
      <w:r w:rsidR="00A243A3" w:rsidRPr="00337743">
        <w:rPr>
          <w:rFonts w:ascii="Cambria" w:hAnsi="Cambria"/>
          <w:color w:val="000000"/>
          <w:sz w:val="20"/>
          <w:szCs w:val="20"/>
          <w:lang w:val="pt-BR"/>
        </w:rPr>
        <w:t xml:space="preserve"> por </w:t>
      </w:r>
      <w:r w:rsidR="00B1530D" w:rsidRPr="00337743">
        <w:rPr>
          <w:rFonts w:ascii="Cambria" w:hAnsi="Cambria"/>
          <w:color w:val="000000"/>
          <w:sz w:val="20"/>
          <w:szCs w:val="20"/>
          <w:lang w:val="pt-BR"/>
        </w:rPr>
        <w:t>qualquer</w:t>
      </w:r>
      <w:r w:rsidR="00A243A3"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outr</w:t>
      </w:r>
      <w:r w:rsidR="00A243A3" w:rsidRPr="00337743">
        <w:rPr>
          <w:rFonts w:ascii="Cambria" w:hAnsi="Cambria"/>
          <w:color w:val="000000"/>
          <w:sz w:val="20"/>
          <w:szCs w:val="20"/>
          <w:lang w:val="pt-BR"/>
        </w:rPr>
        <w:t xml:space="preserve">a norma, de </w:t>
      </w:r>
      <w:r w:rsidR="004D6553" w:rsidRPr="00337743">
        <w:rPr>
          <w:rFonts w:ascii="Cambria" w:hAnsi="Cambria"/>
          <w:color w:val="000000"/>
          <w:sz w:val="20"/>
          <w:szCs w:val="20"/>
          <w:lang w:val="pt-BR"/>
        </w:rPr>
        <w:t>a</w:t>
      </w:r>
      <w:r w:rsidR="00A243A3" w:rsidRPr="00337743">
        <w:rPr>
          <w:rFonts w:ascii="Cambria" w:hAnsi="Cambria"/>
          <w:color w:val="000000"/>
          <w:sz w:val="20"/>
          <w:szCs w:val="20"/>
          <w:lang w:val="pt-BR"/>
        </w:rPr>
        <w:t>presentar 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A243A3" w:rsidRPr="00337743">
        <w:rPr>
          <w:rFonts w:ascii="Cambria" w:hAnsi="Cambria"/>
          <w:color w:val="000000"/>
          <w:sz w:val="20"/>
          <w:szCs w:val="20"/>
          <w:lang w:val="pt-BR"/>
        </w:rPr>
        <w:t xml:space="preserve"> civil</w:t>
      </w:r>
      <w:r w:rsidR="001D3BE3" w:rsidRPr="00337743">
        <w:rPr>
          <w:rFonts w:ascii="Cambria" w:hAnsi="Cambria"/>
          <w:color w:val="000000"/>
          <w:sz w:val="20"/>
          <w:szCs w:val="20"/>
          <w:lang w:val="pt-BR"/>
        </w:rPr>
        <w:t xml:space="preserve">; </w:t>
      </w:r>
      <w:r w:rsidR="00506331" w:rsidRPr="00337743">
        <w:rPr>
          <w:rFonts w:ascii="Cambria" w:hAnsi="Cambria"/>
          <w:color w:val="000000"/>
          <w:sz w:val="20"/>
          <w:szCs w:val="20"/>
          <w:lang w:val="pt-BR"/>
        </w:rPr>
        <w:t xml:space="preserve">o </w:t>
      </w:r>
      <w:r w:rsidR="0070611F" w:rsidRPr="00337743">
        <w:rPr>
          <w:rFonts w:ascii="Cambria" w:hAnsi="Cambria"/>
          <w:color w:val="000000"/>
          <w:sz w:val="20"/>
          <w:szCs w:val="20"/>
          <w:lang w:val="pt-BR"/>
        </w:rPr>
        <w:t xml:space="preserve">Estado </w:t>
      </w:r>
      <w:r w:rsidR="00B1530D" w:rsidRPr="00337743">
        <w:rPr>
          <w:rFonts w:ascii="Cambria" w:hAnsi="Cambria"/>
          <w:color w:val="000000"/>
          <w:sz w:val="20"/>
          <w:szCs w:val="20"/>
          <w:lang w:val="pt-BR"/>
        </w:rPr>
        <w:t>brasileir</w:t>
      </w:r>
      <w:r w:rsidR="0070611F" w:rsidRPr="00337743">
        <w:rPr>
          <w:rFonts w:ascii="Cambria" w:hAnsi="Cambria"/>
          <w:color w:val="000000"/>
          <w:sz w:val="20"/>
          <w:szCs w:val="20"/>
          <w:lang w:val="pt-BR"/>
        </w:rPr>
        <w:t xml:space="preserve">o </w:t>
      </w:r>
      <w:r w:rsidR="008E6DE4" w:rsidRPr="00337743">
        <w:rPr>
          <w:rFonts w:ascii="Cambria" w:hAnsi="Cambria"/>
          <w:color w:val="000000"/>
          <w:sz w:val="20"/>
          <w:szCs w:val="20"/>
          <w:lang w:val="pt-BR"/>
        </w:rPr>
        <w:t>adot</w:t>
      </w:r>
      <w:r w:rsidR="00B1530D" w:rsidRPr="00337743">
        <w:rPr>
          <w:rFonts w:ascii="Cambria" w:hAnsi="Cambria"/>
          <w:color w:val="000000"/>
          <w:sz w:val="20"/>
          <w:szCs w:val="20"/>
          <w:lang w:val="pt-BR"/>
        </w:rPr>
        <w:t>ou</w:t>
      </w:r>
      <w:r w:rsidR="0070611F" w:rsidRPr="00337743">
        <w:rPr>
          <w:rFonts w:ascii="Cambria" w:hAnsi="Cambria"/>
          <w:color w:val="000000"/>
          <w:sz w:val="20"/>
          <w:szCs w:val="20"/>
          <w:lang w:val="pt-BR"/>
        </w:rPr>
        <w:t xml:space="preserve"> medidas para promover</w:t>
      </w:r>
      <w:r w:rsidR="00506331" w:rsidRPr="00337743">
        <w:rPr>
          <w:rFonts w:ascii="Cambria" w:hAnsi="Cambria"/>
          <w:color w:val="000000"/>
          <w:sz w:val="20"/>
          <w:szCs w:val="20"/>
          <w:lang w:val="pt-BR"/>
        </w:rPr>
        <w:t xml:space="preserve"> a </w:t>
      </w:r>
      <w:r w:rsidR="0070611F" w:rsidRPr="00337743">
        <w:rPr>
          <w:rFonts w:ascii="Cambria" w:hAnsi="Cambria"/>
          <w:color w:val="000000"/>
          <w:sz w:val="20"/>
          <w:szCs w:val="20"/>
          <w:lang w:val="pt-BR"/>
        </w:rPr>
        <w:t>igual</w:t>
      </w:r>
      <w:r w:rsidR="00350E7E" w:rsidRPr="00337743">
        <w:rPr>
          <w:rFonts w:ascii="Cambria" w:hAnsi="Cambria"/>
          <w:color w:val="000000"/>
          <w:sz w:val="20"/>
          <w:szCs w:val="20"/>
          <w:lang w:val="pt-BR"/>
        </w:rPr>
        <w:t xml:space="preserve">dade </w:t>
      </w:r>
      <w:r w:rsidR="0070611F" w:rsidRPr="00337743">
        <w:rPr>
          <w:rFonts w:ascii="Cambria" w:hAnsi="Cambria"/>
          <w:color w:val="000000"/>
          <w:sz w:val="20"/>
          <w:szCs w:val="20"/>
          <w:lang w:val="pt-BR"/>
        </w:rPr>
        <w:t>de g</w:t>
      </w:r>
      <w:r w:rsidR="00A26FB7" w:rsidRPr="00337743">
        <w:rPr>
          <w:rFonts w:ascii="Cambria" w:hAnsi="Cambria"/>
          <w:color w:val="000000"/>
          <w:sz w:val="20"/>
          <w:szCs w:val="20"/>
          <w:lang w:val="pt-BR"/>
        </w:rPr>
        <w:t>ê</w:t>
      </w:r>
      <w:r w:rsidR="0070611F" w:rsidRPr="00337743">
        <w:rPr>
          <w:rFonts w:ascii="Cambria" w:hAnsi="Cambria"/>
          <w:color w:val="000000"/>
          <w:sz w:val="20"/>
          <w:szCs w:val="20"/>
          <w:lang w:val="pt-BR"/>
        </w:rPr>
        <w:t xml:space="preserve">nero que </w:t>
      </w:r>
      <w:r w:rsidR="00B1530D" w:rsidRPr="00337743">
        <w:rPr>
          <w:rFonts w:ascii="Cambria" w:hAnsi="Cambria"/>
          <w:color w:val="000000"/>
          <w:sz w:val="20"/>
          <w:szCs w:val="20"/>
          <w:lang w:val="pt-BR"/>
        </w:rPr>
        <w:t>incluem</w:t>
      </w:r>
      <w:r w:rsidR="00506331" w:rsidRPr="00337743">
        <w:rPr>
          <w:rFonts w:ascii="Cambria" w:hAnsi="Cambria"/>
          <w:color w:val="000000"/>
          <w:sz w:val="20"/>
          <w:szCs w:val="20"/>
          <w:lang w:val="pt-BR"/>
        </w:rPr>
        <w:t xml:space="preserve"> a </w:t>
      </w:r>
      <w:r w:rsidR="00B1530D" w:rsidRPr="00337743">
        <w:rPr>
          <w:rFonts w:ascii="Cambria" w:hAnsi="Cambria"/>
          <w:color w:val="000000"/>
          <w:sz w:val="20"/>
          <w:szCs w:val="20"/>
          <w:lang w:val="pt-BR"/>
        </w:rPr>
        <w:t>criação</w:t>
      </w:r>
      <w:r w:rsidR="007707E3" w:rsidRPr="00337743">
        <w:rPr>
          <w:rFonts w:ascii="Cambria" w:hAnsi="Cambria"/>
          <w:color w:val="000000"/>
          <w:sz w:val="20"/>
          <w:szCs w:val="20"/>
          <w:lang w:val="pt-BR"/>
        </w:rPr>
        <w:t xml:space="preserve"> da </w:t>
      </w:r>
      <w:r w:rsidR="00B76779" w:rsidRPr="00337743">
        <w:rPr>
          <w:rFonts w:ascii="Cambria" w:hAnsi="Cambria"/>
          <w:color w:val="000000"/>
          <w:sz w:val="20"/>
          <w:szCs w:val="20"/>
          <w:lang w:val="pt-BR"/>
        </w:rPr>
        <w:t>Secretar</w:t>
      </w:r>
      <w:r w:rsidR="00BF72CE" w:rsidRPr="00337743">
        <w:rPr>
          <w:rFonts w:ascii="Cambria" w:hAnsi="Cambria"/>
          <w:color w:val="000000"/>
          <w:sz w:val="20"/>
          <w:szCs w:val="20"/>
          <w:lang w:val="pt-BR"/>
        </w:rPr>
        <w:t>ia</w:t>
      </w:r>
      <w:r w:rsidR="00B76779" w:rsidRPr="00337743">
        <w:rPr>
          <w:rFonts w:ascii="Cambria" w:hAnsi="Cambria"/>
          <w:color w:val="000000"/>
          <w:sz w:val="20"/>
          <w:szCs w:val="20"/>
          <w:lang w:val="pt-BR"/>
        </w:rPr>
        <w:t xml:space="preserve"> Especial de Políticas para</w:t>
      </w:r>
      <w:r w:rsidR="007707E3" w:rsidRPr="00337743">
        <w:rPr>
          <w:rFonts w:ascii="Cambria" w:hAnsi="Cambria"/>
          <w:color w:val="000000"/>
          <w:sz w:val="20"/>
          <w:szCs w:val="20"/>
          <w:lang w:val="pt-BR"/>
        </w:rPr>
        <w:t xml:space="preserve"> as </w:t>
      </w:r>
      <w:r w:rsidR="004D6553" w:rsidRPr="00337743">
        <w:rPr>
          <w:rFonts w:ascii="Cambria" w:hAnsi="Cambria"/>
          <w:color w:val="000000"/>
          <w:sz w:val="20"/>
          <w:szCs w:val="20"/>
          <w:lang w:val="pt-BR"/>
        </w:rPr>
        <w:t>M</w:t>
      </w:r>
      <w:r w:rsidR="00DB5118" w:rsidRPr="00337743">
        <w:rPr>
          <w:rFonts w:ascii="Cambria" w:hAnsi="Cambria"/>
          <w:color w:val="000000"/>
          <w:sz w:val="20"/>
          <w:szCs w:val="20"/>
          <w:lang w:val="pt-BR"/>
        </w:rPr>
        <w:t>ulher</w:t>
      </w:r>
      <w:r w:rsidR="00B76779" w:rsidRPr="00337743">
        <w:rPr>
          <w:rFonts w:ascii="Cambria" w:hAnsi="Cambria"/>
          <w:color w:val="000000"/>
          <w:sz w:val="20"/>
          <w:szCs w:val="20"/>
          <w:lang w:val="pt-BR"/>
        </w:rPr>
        <w:t>es</w:t>
      </w:r>
      <w:r w:rsidR="00091880" w:rsidRPr="00337743">
        <w:rPr>
          <w:rFonts w:ascii="Cambria" w:hAnsi="Cambria"/>
          <w:color w:val="000000"/>
          <w:sz w:val="20"/>
          <w:szCs w:val="20"/>
          <w:lang w:val="pt-BR"/>
        </w:rPr>
        <w:t xml:space="preserve"> em </w:t>
      </w:r>
      <w:r w:rsidR="00B76779" w:rsidRPr="00337743">
        <w:rPr>
          <w:rFonts w:ascii="Cambria" w:hAnsi="Cambria"/>
          <w:color w:val="000000"/>
          <w:sz w:val="20"/>
          <w:szCs w:val="20"/>
          <w:lang w:val="pt-BR"/>
        </w:rPr>
        <w:t>2003,</w:t>
      </w:r>
      <w:r w:rsidR="00506331" w:rsidRPr="00337743">
        <w:rPr>
          <w:rFonts w:ascii="Cambria" w:hAnsi="Cambria"/>
          <w:color w:val="000000"/>
          <w:sz w:val="20"/>
          <w:szCs w:val="20"/>
          <w:lang w:val="pt-BR"/>
        </w:rPr>
        <w:t xml:space="preserve"> a </w:t>
      </w:r>
      <w:r w:rsidR="00B1530D" w:rsidRPr="00337743">
        <w:rPr>
          <w:rFonts w:ascii="Cambria" w:hAnsi="Cambria"/>
          <w:color w:val="000000"/>
          <w:sz w:val="20"/>
          <w:szCs w:val="20"/>
          <w:lang w:val="pt-BR"/>
        </w:rPr>
        <w:t>aprovação</w:t>
      </w:r>
      <w:r w:rsidR="0070611F" w:rsidRPr="00337743">
        <w:rPr>
          <w:rFonts w:ascii="Cambria" w:hAnsi="Cambria"/>
          <w:color w:val="000000"/>
          <w:sz w:val="20"/>
          <w:szCs w:val="20"/>
          <w:lang w:val="pt-BR"/>
        </w:rPr>
        <w:t xml:space="preserve"> de</w:t>
      </w:r>
      <w:r w:rsidR="00091880" w:rsidRPr="00337743">
        <w:rPr>
          <w:rFonts w:ascii="Cambria" w:hAnsi="Cambria"/>
          <w:color w:val="000000"/>
          <w:sz w:val="20"/>
          <w:szCs w:val="20"/>
          <w:lang w:val="pt-BR"/>
        </w:rPr>
        <w:t xml:space="preserve"> um </w:t>
      </w:r>
      <w:r w:rsidR="00B1530D" w:rsidRPr="00337743">
        <w:rPr>
          <w:rFonts w:ascii="Cambria" w:hAnsi="Cambria"/>
          <w:color w:val="000000"/>
          <w:sz w:val="20"/>
          <w:szCs w:val="20"/>
          <w:lang w:val="pt-BR"/>
        </w:rPr>
        <w:t>Plano</w:t>
      </w:r>
      <w:r w:rsidR="0070611F" w:rsidRPr="00337743">
        <w:rPr>
          <w:rFonts w:ascii="Cambria" w:hAnsi="Cambria"/>
          <w:color w:val="000000"/>
          <w:sz w:val="20"/>
          <w:szCs w:val="20"/>
          <w:lang w:val="pt-BR"/>
        </w:rPr>
        <w:t xml:space="preserve"> Nacional de Políticas para</w:t>
      </w:r>
      <w:r w:rsidR="007707E3" w:rsidRPr="00337743">
        <w:rPr>
          <w:rFonts w:ascii="Cambria" w:hAnsi="Cambria"/>
          <w:color w:val="000000"/>
          <w:sz w:val="20"/>
          <w:szCs w:val="20"/>
          <w:lang w:val="pt-BR"/>
        </w:rPr>
        <w:t xml:space="preserve"> as </w:t>
      </w:r>
      <w:r w:rsidR="004D6553" w:rsidRPr="00337743">
        <w:rPr>
          <w:rFonts w:ascii="Cambria" w:hAnsi="Cambria"/>
          <w:color w:val="000000"/>
          <w:sz w:val="20"/>
          <w:szCs w:val="20"/>
          <w:lang w:val="pt-BR"/>
        </w:rPr>
        <w:t>M</w:t>
      </w:r>
      <w:r w:rsidR="00DB5118" w:rsidRPr="00337743">
        <w:rPr>
          <w:rFonts w:ascii="Cambria" w:hAnsi="Cambria"/>
          <w:color w:val="000000"/>
          <w:sz w:val="20"/>
          <w:szCs w:val="20"/>
          <w:lang w:val="pt-BR"/>
        </w:rPr>
        <w:t>ulher</w:t>
      </w:r>
      <w:r w:rsidR="0070611F" w:rsidRPr="00337743">
        <w:rPr>
          <w:rFonts w:ascii="Cambria" w:hAnsi="Cambria"/>
          <w:color w:val="000000"/>
          <w:sz w:val="20"/>
          <w:szCs w:val="20"/>
          <w:lang w:val="pt-BR"/>
        </w:rPr>
        <w:t>es</w:t>
      </w:r>
      <w:r w:rsidR="00091880" w:rsidRPr="00337743">
        <w:rPr>
          <w:rFonts w:ascii="Cambria" w:hAnsi="Cambria"/>
          <w:color w:val="000000"/>
          <w:sz w:val="20"/>
          <w:szCs w:val="20"/>
          <w:lang w:val="pt-BR"/>
        </w:rPr>
        <w:t xml:space="preserve"> em </w:t>
      </w:r>
      <w:r w:rsidR="0070611F" w:rsidRPr="00337743">
        <w:rPr>
          <w:rFonts w:ascii="Cambria" w:hAnsi="Cambria"/>
          <w:color w:val="000000"/>
          <w:sz w:val="20"/>
          <w:szCs w:val="20"/>
          <w:lang w:val="pt-BR"/>
        </w:rPr>
        <w:t>2004</w:t>
      </w:r>
      <w:r w:rsidR="00506331" w:rsidRPr="00337743">
        <w:rPr>
          <w:rFonts w:ascii="Cambria" w:hAnsi="Cambria"/>
          <w:color w:val="000000"/>
          <w:sz w:val="20"/>
          <w:szCs w:val="20"/>
          <w:lang w:val="pt-BR"/>
        </w:rPr>
        <w:t xml:space="preserve"> e a </w:t>
      </w:r>
      <w:r w:rsidR="00B76779" w:rsidRPr="00337743">
        <w:rPr>
          <w:rFonts w:ascii="Cambria" w:hAnsi="Cambria"/>
          <w:color w:val="000000"/>
          <w:sz w:val="20"/>
          <w:szCs w:val="20"/>
          <w:lang w:val="pt-BR"/>
        </w:rPr>
        <w:t>edi</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da </w:t>
      </w:r>
      <w:r w:rsidR="00DB5118" w:rsidRPr="00337743">
        <w:rPr>
          <w:rFonts w:ascii="Cambria" w:hAnsi="Cambria"/>
          <w:color w:val="000000"/>
          <w:sz w:val="20"/>
          <w:szCs w:val="20"/>
          <w:lang w:val="pt-BR"/>
        </w:rPr>
        <w:t>Lei</w:t>
      </w:r>
      <w:r w:rsidR="0070611F" w:rsidRPr="00337743">
        <w:rPr>
          <w:rFonts w:ascii="Cambria" w:hAnsi="Cambria"/>
          <w:color w:val="000000"/>
          <w:sz w:val="20"/>
          <w:szCs w:val="20"/>
          <w:lang w:val="pt-BR"/>
        </w:rPr>
        <w:t xml:space="preserve"> nº 11.340, de 7 de agosto de 2006 (“</w:t>
      </w:r>
      <w:r w:rsidR="00DB5118" w:rsidRPr="00337743">
        <w:rPr>
          <w:rFonts w:ascii="Cambria" w:hAnsi="Cambria"/>
          <w:color w:val="000000"/>
          <w:sz w:val="20"/>
          <w:szCs w:val="20"/>
          <w:lang w:val="pt-BR"/>
        </w:rPr>
        <w:t>Lei</w:t>
      </w:r>
      <w:r w:rsidR="0070611F" w:rsidRPr="00337743">
        <w:rPr>
          <w:rFonts w:ascii="Cambria" w:hAnsi="Cambria"/>
          <w:color w:val="000000"/>
          <w:sz w:val="20"/>
          <w:szCs w:val="20"/>
          <w:lang w:val="pt-BR"/>
        </w:rPr>
        <w:t xml:space="preserve"> Maria da Penha”)</w:t>
      </w:r>
      <w:r w:rsidR="00B76779"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1F1302" w:rsidRPr="00337743">
        <w:rPr>
          <w:rFonts w:ascii="Cambria" w:hAnsi="Cambria"/>
          <w:color w:val="000000"/>
          <w:sz w:val="20"/>
          <w:szCs w:val="20"/>
          <w:lang w:val="pt-BR"/>
        </w:rPr>
        <w:t xml:space="preserve">Aércio </w:t>
      </w:r>
      <w:r w:rsidR="006A0968" w:rsidRPr="00337743">
        <w:rPr>
          <w:rFonts w:ascii="Cambria" w:hAnsi="Cambria"/>
          <w:color w:val="000000"/>
          <w:sz w:val="20"/>
          <w:szCs w:val="20"/>
          <w:lang w:val="pt-BR"/>
        </w:rPr>
        <w:t xml:space="preserve">Pereira de Lima </w:t>
      </w:r>
      <w:r w:rsidR="00B1530D" w:rsidRPr="00337743">
        <w:rPr>
          <w:rFonts w:ascii="Cambria" w:hAnsi="Cambria"/>
          <w:color w:val="000000"/>
          <w:sz w:val="20"/>
          <w:szCs w:val="20"/>
          <w:lang w:val="pt-BR"/>
        </w:rPr>
        <w:t>recorreu</w:t>
      </w:r>
      <w:r w:rsidR="00506331" w:rsidRPr="00337743">
        <w:rPr>
          <w:rFonts w:ascii="Cambria" w:hAnsi="Cambria"/>
          <w:color w:val="000000"/>
          <w:sz w:val="20"/>
          <w:szCs w:val="20"/>
          <w:lang w:val="pt-BR"/>
        </w:rPr>
        <w:t xml:space="preserve"> </w:t>
      </w:r>
      <w:r w:rsidR="00A6443F" w:rsidRPr="00337743">
        <w:rPr>
          <w:rFonts w:ascii="Cambria" w:hAnsi="Cambria"/>
          <w:color w:val="000000"/>
          <w:sz w:val="20"/>
          <w:szCs w:val="20"/>
          <w:lang w:val="pt-BR"/>
        </w:rPr>
        <w:t>d</w:t>
      </w:r>
      <w:r w:rsidR="00506331" w:rsidRPr="00337743">
        <w:rPr>
          <w:rFonts w:ascii="Cambria" w:hAnsi="Cambria"/>
          <w:color w:val="000000"/>
          <w:sz w:val="20"/>
          <w:szCs w:val="20"/>
          <w:lang w:val="pt-BR"/>
        </w:rPr>
        <w:t xml:space="preserve">a </w:t>
      </w:r>
      <w:r w:rsidR="001F1302" w:rsidRPr="00337743">
        <w:rPr>
          <w:rFonts w:ascii="Cambria" w:hAnsi="Cambria"/>
          <w:color w:val="000000"/>
          <w:sz w:val="20"/>
          <w:szCs w:val="20"/>
          <w:lang w:val="pt-BR"/>
        </w:rPr>
        <w:t>condena</w:t>
      </w:r>
      <w:r w:rsidR="004D6553" w:rsidRPr="00337743">
        <w:rPr>
          <w:rFonts w:ascii="Cambria" w:hAnsi="Cambria"/>
          <w:color w:val="000000"/>
          <w:sz w:val="20"/>
          <w:szCs w:val="20"/>
          <w:lang w:val="pt-BR"/>
        </w:rPr>
        <w:t>ção</w:t>
      </w:r>
      <w:r w:rsidR="00091880" w:rsidRPr="00337743">
        <w:rPr>
          <w:rFonts w:ascii="Cambria" w:hAnsi="Cambria"/>
          <w:color w:val="000000"/>
          <w:sz w:val="20"/>
          <w:szCs w:val="20"/>
          <w:lang w:val="pt-BR"/>
        </w:rPr>
        <w:t xml:space="preserve"> em </w:t>
      </w:r>
      <w:r w:rsidR="0006627A" w:rsidRPr="00337743">
        <w:rPr>
          <w:rFonts w:ascii="Cambria" w:hAnsi="Cambria"/>
          <w:color w:val="000000"/>
          <w:sz w:val="20"/>
          <w:szCs w:val="20"/>
          <w:lang w:val="pt-BR"/>
        </w:rPr>
        <w:t>liberdade</w:t>
      </w:r>
      <w:r w:rsidR="001F1302" w:rsidRPr="00337743">
        <w:rPr>
          <w:rFonts w:ascii="Cambria" w:hAnsi="Cambria"/>
          <w:color w:val="000000"/>
          <w:sz w:val="20"/>
          <w:szCs w:val="20"/>
          <w:lang w:val="pt-BR"/>
        </w:rPr>
        <w:t xml:space="preserve"> </w:t>
      </w:r>
      <w:r w:rsidR="00A736C5" w:rsidRPr="00337743">
        <w:rPr>
          <w:rFonts w:ascii="Cambria" w:hAnsi="Cambria"/>
          <w:color w:val="000000"/>
          <w:sz w:val="20"/>
          <w:szCs w:val="20"/>
          <w:lang w:val="pt-BR"/>
        </w:rPr>
        <w:t xml:space="preserve">por </w:t>
      </w:r>
      <w:r w:rsidR="00B1530D" w:rsidRPr="00337743">
        <w:rPr>
          <w:rFonts w:ascii="Cambria" w:hAnsi="Cambria"/>
          <w:color w:val="000000"/>
          <w:sz w:val="20"/>
          <w:szCs w:val="20"/>
          <w:lang w:val="pt-BR"/>
        </w:rPr>
        <w:t>cumprir</w:t>
      </w:r>
      <w:r w:rsidR="007707E3" w:rsidRPr="00337743">
        <w:rPr>
          <w:rFonts w:ascii="Cambria" w:hAnsi="Cambria"/>
          <w:color w:val="000000"/>
          <w:sz w:val="20"/>
          <w:szCs w:val="20"/>
          <w:lang w:val="pt-BR"/>
        </w:rPr>
        <w:t xml:space="preserve"> os </w:t>
      </w:r>
      <w:r w:rsidR="00A736C5" w:rsidRPr="00337743">
        <w:rPr>
          <w:rFonts w:ascii="Cambria" w:hAnsi="Cambria"/>
          <w:color w:val="000000"/>
          <w:sz w:val="20"/>
          <w:szCs w:val="20"/>
          <w:lang w:val="pt-BR"/>
        </w:rPr>
        <w:t>requisitos</w:t>
      </w:r>
      <w:r w:rsidR="007707E3" w:rsidRPr="00337743">
        <w:rPr>
          <w:rFonts w:ascii="Cambria" w:hAnsi="Cambria"/>
          <w:color w:val="000000"/>
          <w:sz w:val="20"/>
          <w:szCs w:val="20"/>
          <w:lang w:val="pt-BR"/>
        </w:rPr>
        <w:t xml:space="preserve"> do </w:t>
      </w:r>
      <w:r w:rsidR="00091880" w:rsidRPr="00337743">
        <w:rPr>
          <w:rFonts w:ascii="Cambria" w:hAnsi="Cambria"/>
          <w:color w:val="000000"/>
          <w:sz w:val="20"/>
          <w:szCs w:val="20"/>
          <w:lang w:val="pt-BR"/>
        </w:rPr>
        <w:t>artigo</w:t>
      </w:r>
      <w:r w:rsidR="001F1302" w:rsidRPr="00337743">
        <w:rPr>
          <w:rFonts w:ascii="Cambria" w:hAnsi="Cambria"/>
          <w:color w:val="000000"/>
          <w:sz w:val="20"/>
          <w:szCs w:val="20"/>
          <w:lang w:val="pt-BR"/>
        </w:rPr>
        <w:t xml:space="preserve"> 594</w:t>
      </w:r>
      <w:r w:rsidR="007707E3" w:rsidRPr="00337743">
        <w:rPr>
          <w:rFonts w:ascii="Cambria" w:hAnsi="Cambria"/>
          <w:color w:val="000000"/>
          <w:sz w:val="20"/>
          <w:szCs w:val="20"/>
          <w:lang w:val="pt-BR"/>
        </w:rPr>
        <w:t xml:space="preserve"> do </w:t>
      </w:r>
      <w:r w:rsidR="001F1302" w:rsidRPr="00337743">
        <w:rPr>
          <w:rFonts w:ascii="Cambria" w:hAnsi="Cambria"/>
          <w:color w:val="000000"/>
          <w:sz w:val="20"/>
          <w:szCs w:val="20"/>
          <w:lang w:val="pt-BR"/>
        </w:rPr>
        <w:t xml:space="preserve">Código de </w:t>
      </w:r>
      <w:r w:rsidR="00B1530D" w:rsidRPr="00337743">
        <w:rPr>
          <w:rFonts w:ascii="Cambria" w:hAnsi="Cambria"/>
          <w:color w:val="000000"/>
          <w:sz w:val="20"/>
          <w:szCs w:val="20"/>
          <w:lang w:val="pt-BR"/>
        </w:rPr>
        <w:t>Processo</w:t>
      </w:r>
      <w:r w:rsidR="001F1302" w:rsidRPr="00337743">
        <w:rPr>
          <w:rFonts w:ascii="Cambria" w:hAnsi="Cambria"/>
          <w:color w:val="000000"/>
          <w:sz w:val="20"/>
          <w:szCs w:val="20"/>
          <w:lang w:val="pt-BR"/>
        </w:rPr>
        <w:t xml:space="preserve"> Penal </w:t>
      </w:r>
      <w:r w:rsidR="00B1530D" w:rsidRPr="00337743">
        <w:rPr>
          <w:rFonts w:ascii="Cambria" w:hAnsi="Cambria"/>
          <w:color w:val="000000"/>
          <w:sz w:val="20"/>
          <w:szCs w:val="20"/>
          <w:lang w:val="pt-BR"/>
        </w:rPr>
        <w:t>Brasileir</w:t>
      </w:r>
      <w:r w:rsidR="001F1302" w:rsidRPr="00337743">
        <w:rPr>
          <w:rFonts w:ascii="Cambria" w:hAnsi="Cambria"/>
          <w:color w:val="000000"/>
          <w:sz w:val="20"/>
          <w:szCs w:val="20"/>
          <w:lang w:val="pt-BR"/>
        </w:rPr>
        <w:t>o.</w:t>
      </w:r>
    </w:p>
    <w:p w14:paraId="6F4073CC" w14:textId="77777777" w:rsidR="001F1302" w:rsidRPr="00337743" w:rsidRDefault="001F1302" w:rsidP="001F13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color w:val="000000"/>
          <w:sz w:val="20"/>
          <w:szCs w:val="20"/>
          <w:lang w:val="pt-BR"/>
        </w:rPr>
      </w:pPr>
    </w:p>
    <w:p w14:paraId="16A74BC1" w14:textId="77777777" w:rsidR="001F1302" w:rsidRPr="00337743" w:rsidRDefault="001F1302" w:rsidP="001F130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r w:rsidRPr="00337743">
        <w:rPr>
          <w:rFonts w:ascii="Cambria" w:hAnsi="Cambria"/>
          <w:color w:val="000000"/>
          <w:sz w:val="20"/>
          <w:szCs w:val="20"/>
          <w:lang w:val="pt-BR"/>
        </w:rPr>
        <w:t>Indic</w:t>
      </w:r>
      <w:r w:rsidR="00B1530D" w:rsidRPr="00337743">
        <w:rPr>
          <w:rFonts w:ascii="Cambria" w:hAnsi="Cambria"/>
          <w:color w:val="000000"/>
          <w:sz w:val="20"/>
          <w:szCs w:val="20"/>
          <w:lang w:val="pt-BR"/>
        </w:rPr>
        <w:t>ou</w:t>
      </w:r>
      <w:r w:rsidRPr="00337743">
        <w:rPr>
          <w:rFonts w:ascii="Cambria" w:hAnsi="Cambria"/>
          <w:color w:val="000000"/>
          <w:sz w:val="20"/>
          <w:szCs w:val="20"/>
          <w:lang w:val="pt-BR"/>
        </w:rPr>
        <w:t xml:space="preserve"> que</w:t>
      </w:r>
      <w:r w:rsidR="00091880" w:rsidRPr="00337743">
        <w:rPr>
          <w:rFonts w:ascii="Cambria" w:hAnsi="Cambria"/>
          <w:color w:val="000000"/>
          <w:sz w:val="20"/>
          <w:szCs w:val="20"/>
          <w:lang w:val="pt-BR"/>
        </w:rPr>
        <w:t xml:space="preserve"> não </w:t>
      </w:r>
      <w:r w:rsidRPr="00337743">
        <w:rPr>
          <w:rFonts w:ascii="Cambria" w:hAnsi="Cambria"/>
          <w:color w:val="000000"/>
          <w:sz w:val="20"/>
          <w:szCs w:val="20"/>
          <w:lang w:val="pt-BR"/>
        </w:rPr>
        <w:t>v</w:t>
      </w:r>
      <w:r w:rsidR="00A6443F" w:rsidRPr="00337743">
        <w:rPr>
          <w:rFonts w:ascii="Cambria" w:hAnsi="Cambria"/>
          <w:color w:val="000000"/>
          <w:sz w:val="20"/>
          <w:szCs w:val="20"/>
          <w:lang w:val="pt-BR"/>
        </w:rPr>
        <w:t>iolou</w:t>
      </w:r>
      <w:r w:rsidR="00506331" w:rsidRPr="00337743">
        <w:rPr>
          <w:rFonts w:ascii="Cambria" w:hAnsi="Cambria"/>
          <w:color w:val="000000"/>
          <w:sz w:val="20"/>
          <w:szCs w:val="20"/>
          <w:lang w:val="pt-BR"/>
        </w:rPr>
        <w:t xml:space="preserve"> o </w:t>
      </w:r>
      <w:r w:rsidR="00350E7E" w:rsidRPr="00337743">
        <w:rPr>
          <w:rFonts w:ascii="Cambria" w:hAnsi="Cambria"/>
          <w:color w:val="000000"/>
          <w:sz w:val="20"/>
          <w:szCs w:val="20"/>
          <w:lang w:val="pt-BR"/>
        </w:rPr>
        <w:t>direito</w:t>
      </w:r>
      <w:r w:rsidR="00F453EB" w:rsidRPr="00337743">
        <w:rPr>
          <w:rFonts w:ascii="Cambria" w:hAnsi="Cambria"/>
          <w:color w:val="000000"/>
          <w:sz w:val="20"/>
          <w:szCs w:val="20"/>
          <w:lang w:val="pt-BR"/>
        </w:rPr>
        <w:t xml:space="preserve"> à </w:t>
      </w:r>
      <w:r w:rsidR="00B1530D" w:rsidRPr="00337743">
        <w:rPr>
          <w:rFonts w:ascii="Cambria" w:hAnsi="Cambria"/>
          <w:color w:val="000000"/>
          <w:sz w:val="20"/>
          <w:szCs w:val="20"/>
          <w:lang w:val="pt-BR"/>
        </w:rPr>
        <w:t>igualdade</w:t>
      </w:r>
      <w:r w:rsidRPr="00337743">
        <w:rPr>
          <w:rFonts w:ascii="Cambria" w:hAnsi="Cambria"/>
          <w:color w:val="000000"/>
          <w:sz w:val="20"/>
          <w:szCs w:val="20"/>
          <w:lang w:val="pt-BR"/>
        </w:rPr>
        <w:t>, p</w:t>
      </w:r>
      <w:r w:rsidR="00A6443F" w:rsidRPr="00337743">
        <w:rPr>
          <w:rFonts w:ascii="Cambria" w:hAnsi="Cambria"/>
          <w:color w:val="000000"/>
          <w:sz w:val="20"/>
          <w:szCs w:val="20"/>
          <w:lang w:val="pt-BR"/>
        </w:rPr>
        <w:t>oi</w:t>
      </w:r>
      <w:r w:rsidRPr="00337743">
        <w:rPr>
          <w:rFonts w:ascii="Cambria" w:hAnsi="Cambria"/>
          <w:color w:val="000000"/>
          <w:sz w:val="20"/>
          <w:szCs w:val="20"/>
          <w:lang w:val="pt-BR"/>
        </w:rPr>
        <w:t>s</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im</w:t>
      </w:r>
      <w:r w:rsidR="007932AA" w:rsidRPr="00337743">
        <w:rPr>
          <w:rFonts w:ascii="Cambria" w:hAnsi="Cambria"/>
          <w:color w:val="000000"/>
          <w:sz w:val="20"/>
          <w:szCs w:val="20"/>
          <w:lang w:val="pt-BR"/>
        </w:rPr>
        <w:t>uni</w:t>
      </w:r>
      <w:r w:rsidR="00350E7E" w:rsidRPr="00337743">
        <w:rPr>
          <w:rFonts w:ascii="Cambria" w:hAnsi="Cambria"/>
          <w:color w:val="000000"/>
          <w:sz w:val="20"/>
          <w:szCs w:val="20"/>
          <w:lang w:val="pt-BR"/>
        </w:rPr>
        <w:t>dade</w:t>
      </w:r>
      <w:r w:rsidR="00A6443F" w:rsidRPr="00337743">
        <w:rPr>
          <w:rFonts w:ascii="Cambria" w:hAnsi="Cambria"/>
          <w:color w:val="000000"/>
          <w:sz w:val="20"/>
          <w:szCs w:val="20"/>
          <w:lang w:val="pt-BR"/>
        </w:rPr>
        <w:t xml:space="preserve"> é </w:t>
      </w:r>
      <w:r w:rsidR="00091880" w:rsidRPr="00337743">
        <w:rPr>
          <w:rFonts w:ascii="Cambria" w:hAnsi="Cambria"/>
          <w:color w:val="000000"/>
          <w:sz w:val="20"/>
          <w:szCs w:val="20"/>
          <w:lang w:val="pt-BR"/>
        </w:rPr>
        <w:t xml:space="preserve">uma </w:t>
      </w:r>
      <w:r w:rsidR="007932AA" w:rsidRPr="00337743">
        <w:rPr>
          <w:rFonts w:ascii="Cambria" w:hAnsi="Cambria"/>
          <w:color w:val="000000"/>
          <w:sz w:val="20"/>
          <w:szCs w:val="20"/>
          <w:lang w:val="pt-BR"/>
        </w:rPr>
        <w:t xml:space="preserve">“prerrogativa” </w:t>
      </w:r>
      <w:r w:rsidR="00B1530D" w:rsidRPr="00337743">
        <w:rPr>
          <w:rFonts w:ascii="Cambria" w:hAnsi="Cambria"/>
          <w:color w:val="000000"/>
          <w:sz w:val="20"/>
          <w:szCs w:val="20"/>
          <w:lang w:val="pt-BR"/>
        </w:rPr>
        <w:t>necessária</w:t>
      </w:r>
      <w:r w:rsidR="007932AA" w:rsidRPr="00337743">
        <w:rPr>
          <w:rFonts w:ascii="Cambria" w:hAnsi="Cambria"/>
          <w:color w:val="000000"/>
          <w:sz w:val="20"/>
          <w:szCs w:val="20"/>
          <w:lang w:val="pt-BR"/>
        </w:rPr>
        <w:t xml:space="preserve"> para que</w:t>
      </w:r>
      <w:r w:rsidR="007707E3" w:rsidRPr="00337743">
        <w:rPr>
          <w:rFonts w:ascii="Cambria" w:hAnsi="Cambria"/>
          <w:color w:val="000000"/>
          <w:sz w:val="20"/>
          <w:szCs w:val="20"/>
          <w:lang w:val="pt-BR"/>
        </w:rPr>
        <w:t xml:space="preserve"> os </w:t>
      </w:r>
      <w:r w:rsidR="007932AA" w:rsidRPr="00337743">
        <w:rPr>
          <w:rFonts w:ascii="Cambria" w:hAnsi="Cambria"/>
          <w:color w:val="000000"/>
          <w:sz w:val="20"/>
          <w:szCs w:val="20"/>
          <w:lang w:val="pt-BR"/>
        </w:rPr>
        <w:t>parlamentar</w:t>
      </w:r>
      <w:r w:rsidR="00A6443F" w:rsidRPr="00337743">
        <w:rPr>
          <w:rFonts w:ascii="Cambria" w:hAnsi="Cambria"/>
          <w:color w:val="000000"/>
          <w:sz w:val="20"/>
          <w:szCs w:val="20"/>
          <w:lang w:val="pt-BR"/>
        </w:rPr>
        <w:t>e</w:t>
      </w:r>
      <w:r w:rsidR="007932AA" w:rsidRPr="00337743">
        <w:rPr>
          <w:rFonts w:ascii="Cambria" w:hAnsi="Cambria"/>
          <w:color w:val="000000"/>
          <w:sz w:val="20"/>
          <w:szCs w:val="20"/>
          <w:lang w:val="pt-BR"/>
        </w:rPr>
        <w:t>s p</w:t>
      </w:r>
      <w:r w:rsidR="00A6443F" w:rsidRPr="00337743">
        <w:rPr>
          <w:rFonts w:ascii="Cambria" w:hAnsi="Cambria"/>
          <w:color w:val="000000"/>
          <w:sz w:val="20"/>
          <w:szCs w:val="20"/>
          <w:lang w:val="pt-BR"/>
        </w:rPr>
        <w:t>ossam</w:t>
      </w:r>
      <w:r w:rsidR="007932AA"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exercer</w:t>
      </w:r>
      <w:r w:rsidR="007932AA"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sua</w:t>
      </w:r>
      <w:r w:rsidR="007932AA" w:rsidRPr="00337743">
        <w:rPr>
          <w:rFonts w:ascii="Cambria" w:hAnsi="Cambria"/>
          <w:color w:val="000000"/>
          <w:sz w:val="20"/>
          <w:szCs w:val="20"/>
          <w:lang w:val="pt-BR"/>
        </w:rPr>
        <w:t xml:space="preserve"> </w:t>
      </w:r>
      <w:r w:rsidR="00BF068A" w:rsidRPr="00337743">
        <w:rPr>
          <w:rFonts w:ascii="Cambria" w:hAnsi="Cambria"/>
          <w:color w:val="000000"/>
          <w:sz w:val="20"/>
          <w:szCs w:val="20"/>
          <w:lang w:val="pt-BR"/>
        </w:rPr>
        <w:t>fun</w:t>
      </w:r>
      <w:r w:rsidR="00350E7E" w:rsidRPr="00337743">
        <w:rPr>
          <w:rFonts w:ascii="Cambria" w:hAnsi="Cambria"/>
          <w:color w:val="000000"/>
          <w:sz w:val="20"/>
          <w:szCs w:val="20"/>
          <w:lang w:val="pt-BR"/>
        </w:rPr>
        <w:t>ção</w:t>
      </w:r>
      <w:r w:rsidR="007932AA"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sobretudo</w:t>
      </w:r>
      <w:r w:rsidR="00506331" w:rsidRPr="00337743">
        <w:rPr>
          <w:rFonts w:ascii="Cambria" w:hAnsi="Cambria"/>
          <w:color w:val="000000"/>
          <w:sz w:val="20"/>
          <w:szCs w:val="20"/>
          <w:lang w:val="pt-BR"/>
        </w:rPr>
        <w:t xml:space="preserve"> o </w:t>
      </w:r>
      <w:r w:rsidR="00B1530D" w:rsidRPr="00337743">
        <w:rPr>
          <w:rFonts w:ascii="Cambria" w:hAnsi="Cambria"/>
          <w:color w:val="000000"/>
          <w:sz w:val="20"/>
          <w:szCs w:val="20"/>
          <w:lang w:val="pt-BR"/>
        </w:rPr>
        <w:t>exercício</w:t>
      </w:r>
      <w:r w:rsidR="007707E3" w:rsidRPr="00337743">
        <w:rPr>
          <w:rFonts w:ascii="Cambria" w:hAnsi="Cambria"/>
          <w:color w:val="000000"/>
          <w:sz w:val="20"/>
          <w:szCs w:val="20"/>
          <w:lang w:val="pt-BR"/>
        </w:rPr>
        <w:t xml:space="preserve"> da </w:t>
      </w:r>
      <w:r w:rsidR="0006627A" w:rsidRPr="00337743">
        <w:rPr>
          <w:rFonts w:ascii="Cambria" w:hAnsi="Cambria"/>
          <w:color w:val="000000"/>
          <w:sz w:val="20"/>
          <w:szCs w:val="20"/>
          <w:lang w:val="pt-BR"/>
        </w:rPr>
        <w:t>liberdade</w:t>
      </w:r>
      <w:r w:rsidR="007932AA" w:rsidRPr="00337743">
        <w:rPr>
          <w:rFonts w:ascii="Cambria" w:hAnsi="Cambria"/>
          <w:color w:val="000000"/>
          <w:sz w:val="20"/>
          <w:szCs w:val="20"/>
          <w:lang w:val="pt-BR"/>
        </w:rPr>
        <w:t xml:space="preserve"> de expres</w:t>
      </w:r>
      <w:r w:rsidR="00A6443F" w:rsidRPr="00337743">
        <w:rPr>
          <w:rFonts w:ascii="Cambria" w:hAnsi="Cambria"/>
          <w:color w:val="000000"/>
          <w:sz w:val="20"/>
          <w:szCs w:val="20"/>
          <w:lang w:val="pt-BR"/>
        </w:rPr>
        <w:t>são</w:t>
      </w:r>
      <w:r w:rsidR="00506331" w:rsidRPr="00337743">
        <w:rPr>
          <w:rFonts w:ascii="Cambria" w:hAnsi="Cambria"/>
          <w:color w:val="000000"/>
          <w:sz w:val="20"/>
          <w:szCs w:val="20"/>
          <w:lang w:val="pt-BR"/>
        </w:rPr>
        <w:t xml:space="preserve"> e </w:t>
      </w:r>
      <w:r w:rsidR="007932AA" w:rsidRPr="00337743">
        <w:rPr>
          <w:rFonts w:ascii="Cambria" w:hAnsi="Cambria"/>
          <w:color w:val="000000"/>
          <w:sz w:val="20"/>
          <w:szCs w:val="20"/>
          <w:lang w:val="pt-BR"/>
        </w:rPr>
        <w:t>de opini</w:t>
      </w:r>
      <w:r w:rsidR="00A6443F" w:rsidRPr="00337743">
        <w:rPr>
          <w:rFonts w:ascii="Cambria" w:hAnsi="Cambria"/>
          <w:color w:val="000000"/>
          <w:sz w:val="20"/>
          <w:szCs w:val="20"/>
          <w:lang w:val="pt-BR"/>
        </w:rPr>
        <w:t>ão</w:t>
      </w:r>
      <w:r w:rsidR="007932AA" w:rsidRPr="00337743">
        <w:rPr>
          <w:rFonts w:ascii="Cambria" w:hAnsi="Cambria"/>
          <w:color w:val="000000"/>
          <w:sz w:val="20"/>
          <w:szCs w:val="20"/>
          <w:lang w:val="pt-BR"/>
        </w:rPr>
        <w:t>,</w:t>
      </w:r>
      <w:r w:rsidR="00325DAC" w:rsidRPr="00337743">
        <w:rPr>
          <w:rFonts w:ascii="Cambria" w:hAnsi="Cambria"/>
          <w:color w:val="000000"/>
          <w:sz w:val="20"/>
          <w:szCs w:val="20"/>
          <w:lang w:val="pt-BR"/>
        </w:rPr>
        <w:t xml:space="preserve"> sem </w:t>
      </w:r>
      <w:r w:rsidR="007932AA" w:rsidRPr="00337743">
        <w:rPr>
          <w:rFonts w:ascii="Cambria" w:hAnsi="Cambria"/>
          <w:color w:val="000000"/>
          <w:sz w:val="20"/>
          <w:szCs w:val="20"/>
          <w:lang w:val="pt-BR"/>
        </w:rPr>
        <w:t>temor a perse</w:t>
      </w:r>
      <w:r w:rsidR="00A6443F" w:rsidRPr="00337743">
        <w:rPr>
          <w:rFonts w:ascii="Cambria" w:hAnsi="Cambria"/>
          <w:color w:val="000000"/>
          <w:sz w:val="20"/>
          <w:szCs w:val="20"/>
          <w:lang w:val="pt-BR"/>
        </w:rPr>
        <w:t>gui</w:t>
      </w:r>
      <w:r w:rsidR="00350E7E" w:rsidRPr="00337743">
        <w:rPr>
          <w:rFonts w:ascii="Cambria" w:hAnsi="Cambria"/>
          <w:color w:val="000000"/>
          <w:sz w:val="20"/>
          <w:szCs w:val="20"/>
          <w:lang w:val="pt-BR"/>
        </w:rPr>
        <w:t>ções</w:t>
      </w:r>
      <w:r w:rsidR="007932AA" w:rsidRPr="00337743">
        <w:rPr>
          <w:rFonts w:ascii="Cambria" w:hAnsi="Cambria"/>
          <w:color w:val="000000"/>
          <w:sz w:val="20"/>
          <w:szCs w:val="20"/>
          <w:lang w:val="pt-BR"/>
        </w:rPr>
        <w:t>, viola</w:t>
      </w:r>
      <w:r w:rsidR="00350E7E" w:rsidRPr="00337743">
        <w:rPr>
          <w:rFonts w:ascii="Cambria" w:hAnsi="Cambria"/>
          <w:color w:val="000000"/>
          <w:sz w:val="20"/>
          <w:szCs w:val="20"/>
          <w:lang w:val="pt-BR"/>
        </w:rPr>
        <w:t>ções</w:t>
      </w:r>
      <w:r w:rsidR="007932AA" w:rsidRPr="00337743">
        <w:rPr>
          <w:rFonts w:ascii="Cambria" w:hAnsi="Cambria"/>
          <w:color w:val="000000"/>
          <w:sz w:val="20"/>
          <w:szCs w:val="20"/>
          <w:lang w:val="pt-BR"/>
        </w:rPr>
        <w:t xml:space="preserve"> o</w:t>
      </w:r>
      <w:r w:rsidR="00A6443F" w:rsidRPr="00337743">
        <w:rPr>
          <w:rFonts w:ascii="Cambria" w:hAnsi="Cambria"/>
          <w:color w:val="000000"/>
          <w:sz w:val="20"/>
          <w:szCs w:val="20"/>
          <w:lang w:val="pt-BR"/>
        </w:rPr>
        <w:t>u</w:t>
      </w:r>
      <w:r w:rsidR="007932AA" w:rsidRPr="00337743">
        <w:rPr>
          <w:rFonts w:ascii="Cambria" w:hAnsi="Cambria"/>
          <w:color w:val="000000"/>
          <w:sz w:val="20"/>
          <w:szCs w:val="20"/>
          <w:lang w:val="pt-BR"/>
        </w:rPr>
        <w:t xml:space="preserve"> abusos, </w:t>
      </w:r>
      <w:r w:rsidR="00B1530D" w:rsidRPr="00337743">
        <w:rPr>
          <w:rFonts w:ascii="Cambria" w:hAnsi="Cambria"/>
          <w:color w:val="000000"/>
          <w:sz w:val="20"/>
          <w:szCs w:val="20"/>
          <w:lang w:val="pt-BR"/>
        </w:rPr>
        <w:t>servindo</w:t>
      </w:r>
      <w:r w:rsidR="007932AA" w:rsidRPr="00337743">
        <w:rPr>
          <w:rFonts w:ascii="Cambria" w:hAnsi="Cambria"/>
          <w:color w:val="000000"/>
          <w:sz w:val="20"/>
          <w:szCs w:val="20"/>
          <w:lang w:val="pt-BR"/>
        </w:rPr>
        <w:t xml:space="preserve"> as</w:t>
      </w:r>
      <w:r w:rsidR="00A6443F" w:rsidRPr="00337743">
        <w:rPr>
          <w:rFonts w:ascii="Cambria" w:hAnsi="Cambria"/>
          <w:color w:val="000000"/>
          <w:sz w:val="20"/>
          <w:szCs w:val="20"/>
          <w:lang w:val="pt-BR"/>
        </w:rPr>
        <w:t>sim</w:t>
      </w:r>
      <w:r w:rsidR="007932AA" w:rsidRPr="00337743">
        <w:rPr>
          <w:rFonts w:ascii="Cambria" w:hAnsi="Cambria"/>
          <w:color w:val="000000"/>
          <w:sz w:val="20"/>
          <w:szCs w:val="20"/>
          <w:lang w:val="pt-BR"/>
        </w:rPr>
        <w:t xml:space="preserve"> como garant</w:t>
      </w:r>
      <w:r w:rsidR="00BF72CE" w:rsidRPr="00337743">
        <w:rPr>
          <w:rFonts w:ascii="Cambria" w:hAnsi="Cambria"/>
          <w:color w:val="000000"/>
          <w:sz w:val="20"/>
          <w:szCs w:val="20"/>
          <w:lang w:val="pt-BR"/>
        </w:rPr>
        <w:t>ia</w:t>
      </w:r>
      <w:r w:rsidR="007932AA" w:rsidRPr="00337743">
        <w:rPr>
          <w:rFonts w:ascii="Cambria" w:hAnsi="Cambria"/>
          <w:color w:val="000000"/>
          <w:sz w:val="20"/>
          <w:szCs w:val="20"/>
          <w:lang w:val="pt-BR"/>
        </w:rPr>
        <w:t xml:space="preserve"> de </w:t>
      </w:r>
      <w:r w:rsidR="00B1530D" w:rsidRPr="00337743">
        <w:rPr>
          <w:rFonts w:ascii="Cambria" w:hAnsi="Cambria"/>
          <w:color w:val="000000"/>
          <w:sz w:val="20"/>
          <w:szCs w:val="20"/>
          <w:lang w:val="pt-BR"/>
        </w:rPr>
        <w:t>equilíbrio</w:t>
      </w:r>
      <w:r w:rsidR="007932AA" w:rsidRPr="00337743">
        <w:rPr>
          <w:rFonts w:ascii="Cambria" w:hAnsi="Cambria"/>
          <w:color w:val="000000"/>
          <w:sz w:val="20"/>
          <w:szCs w:val="20"/>
          <w:lang w:val="pt-BR"/>
        </w:rPr>
        <w:t xml:space="preserve"> entre</w:t>
      </w:r>
      <w:r w:rsidR="007707E3" w:rsidRPr="00337743">
        <w:rPr>
          <w:rFonts w:ascii="Cambria" w:hAnsi="Cambria"/>
          <w:color w:val="000000"/>
          <w:sz w:val="20"/>
          <w:szCs w:val="20"/>
          <w:lang w:val="pt-BR"/>
        </w:rPr>
        <w:t xml:space="preserve"> os </w:t>
      </w:r>
      <w:r w:rsidR="007932AA" w:rsidRPr="00337743">
        <w:rPr>
          <w:rFonts w:ascii="Cambria" w:hAnsi="Cambria"/>
          <w:color w:val="000000"/>
          <w:sz w:val="20"/>
          <w:szCs w:val="20"/>
          <w:lang w:val="pt-BR"/>
        </w:rPr>
        <w:t>poderes</w:t>
      </w:r>
      <w:r w:rsidR="00506331" w:rsidRPr="00337743">
        <w:rPr>
          <w:rFonts w:ascii="Cambria" w:hAnsi="Cambria"/>
          <w:color w:val="000000"/>
          <w:sz w:val="20"/>
          <w:szCs w:val="20"/>
          <w:lang w:val="pt-BR"/>
        </w:rPr>
        <w:t xml:space="preserve"> e </w:t>
      </w:r>
      <w:r w:rsidR="007932AA" w:rsidRPr="00337743">
        <w:rPr>
          <w:rFonts w:ascii="Cambria" w:hAnsi="Cambria"/>
          <w:color w:val="000000"/>
          <w:sz w:val="20"/>
          <w:szCs w:val="20"/>
          <w:lang w:val="pt-BR"/>
        </w:rPr>
        <w:t>como</w:t>
      </w:r>
      <w:r w:rsidR="00091880" w:rsidRPr="00337743">
        <w:rPr>
          <w:rFonts w:ascii="Cambria" w:hAnsi="Cambria"/>
          <w:color w:val="000000"/>
          <w:sz w:val="20"/>
          <w:szCs w:val="20"/>
          <w:lang w:val="pt-BR"/>
        </w:rPr>
        <w:t xml:space="preserve"> um </w:t>
      </w:r>
      <w:r w:rsidR="007932AA" w:rsidRPr="00337743">
        <w:rPr>
          <w:rFonts w:ascii="Cambria" w:hAnsi="Cambria"/>
          <w:color w:val="000000"/>
          <w:sz w:val="20"/>
          <w:szCs w:val="20"/>
          <w:lang w:val="pt-BR"/>
        </w:rPr>
        <w:t xml:space="preserve">instituto </w:t>
      </w:r>
      <w:r w:rsidR="00B1530D" w:rsidRPr="00337743">
        <w:rPr>
          <w:rFonts w:ascii="Cambria" w:hAnsi="Cambria"/>
          <w:color w:val="000000"/>
          <w:sz w:val="20"/>
          <w:szCs w:val="20"/>
          <w:lang w:val="pt-BR"/>
        </w:rPr>
        <w:t>inerente</w:t>
      </w:r>
      <w:r w:rsidR="00BF72CE" w:rsidRPr="00337743">
        <w:rPr>
          <w:rFonts w:ascii="Cambria" w:hAnsi="Cambria"/>
          <w:color w:val="000000"/>
          <w:sz w:val="20"/>
          <w:szCs w:val="20"/>
          <w:lang w:val="pt-BR"/>
        </w:rPr>
        <w:t xml:space="preserve"> ao </w:t>
      </w:r>
      <w:r w:rsidR="007932AA" w:rsidRPr="00337743">
        <w:rPr>
          <w:rFonts w:ascii="Cambria" w:hAnsi="Cambria"/>
          <w:color w:val="000000"/>
          <w:sz w:val="20"/>
          <w:szCs w:val="20"/>
          <w:lang w:val="pt-BR"/>
        </w:rPr>
        <w:t xml:space="preserve">Estado de </w:t>
      </w:r>
      <w:r w:rsidR="00350E7E" w:rsidRPr="00337743">
        <w:rPr>
          <w:rFonts w:ascii="Cambria" w:hAnsi="Cambria"/>
          <w:color w:val="000000"/>
          <w:sz w:val="20"/>
          <w:szCs w:val="20"/>
          <w:lang w:val="pt-BR"/>
        </w:rPr>
        <w:t>Direito</w:t>
      </w:r>
      <w:r w:rsidR="007932AA" w:rsidRPr="00337743">
        <w:rPr>
          <w:rFonts w:ascii="Cambria" w:hAnsi="Cambria"/>
          <w:color w:val="000000"/>
          <w:sz w:val="20"/>
          <w:szCs w:val="20"/>
          <w:lang w:val="pt-BR"/>
        </w:rPr>
        <w:t>.</w:t>
      </w:r>
    </w:p>
    <w:p w14:paraId="2B11DB4B" w14:textId="77777777" w:rsidR="001F1302" w:rsidRPr="00337743" w:rsidRDefault="001F1302" w:rsidP="001F13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color w:val="000000"/>
          <w:sz w:val="20"/>
          <w:szCs w:val="20"/>
          <w:lang w:val="pt-BR"/>
        </w:rPr>
      </w:pPr>
    </w:p>
    <w:p w14:paraId="67169E37" w14:textId="77777777" w:rsidR="00F97D48" w:rsidRPr="00337743" w:rsidRDefault="0094071D" w:rsidP="00F97D4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r>
        <w:rPr>
          <w:rFonts w:ascii="Cambria" w:hAnsi="Cambria"/>
          <w:color w:val="000000"/>
          <w:sz w:val="20"/>
          <w:szCs w:val="20"/>
          <w:lang w:val="pt-BR"/>
        </w:rPr>
        <w:t>O Estado a</w:t>
      </w:r>
      <w:r w:rsidR="00093BAD" w:rsidRPr="00337743">
        <w:rPr>
          <w:rFonts w:ascii="Cambria" w:hAnsi="Cambria"/>
          <w:color w:val="000000"/>
          <w:sz w:val="20"/>
          <w:szCs w:val="20"/>
          <w:lang w:val="pt-BR"/>
        </w:rPr>
        <w:t>leg</w:t>
      </w:r>
      <w:r w:rsidR="00A6443F" w:rsidRPr="00337743">
        <w:rPr>
          <w:rFonts w:ascii="Cambria" w:hAnsi="Cambria"/>
          <w:color w:val="000000"/>
          <w:sz w:val="20"/>
          <w:szCs w:val="20"/>
          <w:lang w:val="pt-BR"/>
        </w:rPr>
        <w:t>ou</w:t>
      </w:r>
      <w:r w:rsidR="00093BAD" w:rsidRPr="00337743">
        <w:rPr>
          <w:rFonts w:ascii="Cambria" w:hAnsi="Cambria"/>
          <w:color w:val="000000"/>
          <w:sz w:val="20"/>
          <w:szCs w:val="20"/>
          <w:lang w:val="pt-BR"/>
        </w:rPr>
        <w:t xml:space="preserve"> </w:t>
      </w:r>
      <w:r w:rsidR="00F97D48" w:rsidRPr="00337743">
        <w:rPr>
          <w:rFonts w:ascii="Cambria" w:hAnsi="Cambria"/>
          <w:color w:val="000000"/>
          <w:sz w:val="20"/>
          <w:szCs w:val="20"/>
          <w:lang w:val="pt-BR"/>
        </w:rPr>
        <w:t>que</w:t>
      </w:r>
      <w:r w:rsidR="00091880" w:rsidRPr="00337743">
        <w:rPr>
          <w:rFonts w:ascii="Cambria" w:hAnsi="Cambria"/>
          <w:color w:val="000000"/>
          <w:sz w:val="20"/>
          <w:szCs w:val="20"/>
          <w:lang w:val="pt-BR"/>
        </w:rPr>
        <w:t xml:space="preserve"> não </w:t>
      </w:r>
      <w:r w:rsidR="008023CF" w:rsidRPr="00337743">
        <w:rPr>
          <w:rFonts w:ascii="Cambria" w:hAnsi="Cambria"/>
          <w:color w:val="000000"/>
          <w:sz w:val="20"/>
          <w:szCs w:val="20"/>
          <w:lang w:val="pt-BR"/>
        </w:rPr>
        <w:t>v</w:t>
      </w:r>
      <w:r w:rsidR="00A6443F" w:rsidRPr="00337743">
        <w:rPr>
          <w:rFonts w:ascii="Cambria" w:hAnsi="Cambria"/>
          <w:color w:val="000000"/>
          <w:sz w:val="20"/>
          <w:szCs w:val="20"/>
          <w:lang w:val="pt-BR"/>
        </w:rPr>
        <w:t>iolou</w:t>
      </w:r>
      <w:r w:rsidR="00506331" w:rsidRPr="00337743">
        <w:rPr>
          <w:rFonts w:ascii="Cambria" w:hAnsi="Cambria"/>
          <w:color w:val="000000"/>
          <w:sz w:val="20"/>
          <w:szCs w:val="20"/>
          <w:lang w:val="pt-BR"/>
        </w:rPr>
        <w:t xml:space="preserve"> o </w:t>
      </w:r>
      <w:r w:rsidR="00350E7E" w:rsidRPr="00337743">
        <w:rPr>
          <w:rFonts w:ascii="Cambria" w:hAnsi="Cambria"/>
          <w:color w:val="000000"/>
          <w:sz w:val="20"/>
          <w:szCs w:val="20"/>
          <w:lang w:val="pt-BR"/>
        </w:rPr>
        <w:t>direito</w:t>
      </w:r>
      <w:r w:rsidR="00F453EB" w:rsidRPr="00337743">
        <w:rPr>
          <w:rFonts w:ascii="Cambria" w:hAnsi="Cambria"/>
          <w:color w:val="000000"/>
          <w:sz w:val="20"/>
          <w:szCs w:val="20"/>
          <w:lang w:val="pt-BR"/>
        </w:rPr>
        <w:t xml:space="preserve"> à </w:t>
      </w:r>
      <w:r w:rsidR="00F97D48" w:rsidRPr="00337743">
        <w:rPr>
          <w:rFonts w:ascii="Cambria" w:hAnsi="Cambria"/>
          <w:color w:val="000000"/>
          <w:sz w:val="20"/>
          <w:szCs w:val="20"/>
          <w:lang w:val="pt-BR"/>
        </w:rPr>
        <w:t>vida</w:t>
      </w:r>
      <w:r w:rsidR="00A6443F" w:rsidRPr="00337743">
        <w:rPr>
          <w:rFonts w:ascii="Cambria" w:hAnsi="Cambria"/>
          <w:color w:val="000000"/>
          <w:sz w:val="20"/>
          <w:szCs w:val="20"/>
          <w:lang w:val="pt-BR"/>
        </w:rPr>
        <w:t>,</w:t>
      </w:r>
      <w:r w:rsidR="00F97D48" w:rsidRPr="00337743">
        <w:rPr>
          <w:rFonts w:ascii="Cambria" w:hAnsi="Cambria"/>
          <w:color w:val="000000"/>
          <w:sz w:val="20"/>
          <w:szCs w:val="20"/>
          <w:lang w:val="pt-BR"/>
        </w:rPr>
        <w:t xml:space="preserve"> dado que Márcia</w:t>
      </w:r>
      <w:r w:rsidR="00201E63" w:rsidRPr="00337743">
        <w:rPr>
          <w:rFonts w:ascii="Cambria" w:hAnsi="Cambria"/>
          <w:color w:val="000000"/>
          <w:sz w:val="20"/>
          <w:szCs w:val="20"/>
          <w:lang w:val="pt-BR"/>
        </w:rPr>
        <w:t xml:space="preserve"> Barbosa</w:t>
      </w:r>
      <w:r w:rsidR="00F97D48" w:rsidRPr="00337743">
        <w:rPr>
          <w:rFonts w:ascii="Cambria" w:hAnsi="Cambria"/>
          <w:color w:val="000000"/>
          <w:sz w:val="20"/>
          <w:szCs w:val="20"/>
          <w:lang w:val="pt-BR"/>
        </w:rPr>
        <w:t xml:space="preserve"> perd</w:t>
      </w:r>
      <w:r w:rsidR="00B1530D" w:rsidRPr="00337743">
        <w:rPr>
          <w:rFonts w:ascii="Cambria" w:hAnsi="Cambria"/>
          <w:color w:val="000000"/>
          <w:sz w:val="20"/>
          <w:szCs w:val="20"/>
          <w:lang w:val="pt-BR"/>
        </w:rPr>
        <w:t>eu</w:t>
      </w:r>
      <w:r w:rsidR="00506331" w:rsidRPr="00337743">
        <w:rPr>
          <w:rFonts w:ascii="Cambria" w:hAnsi="Cambria"/>
          <w:color w:val="000000"/>
          <w:sz w:val="20"/>
          <w:szCs w:val="20"/>
          <w:lang w:val="pt-BR"/>
        </w:rPr>
        <w:t xml:space="preserve"> a </w:t>
      </w:r>
      <w:r w:rsidR="00F97D48" w:rsidRPr="00337743">
        <w:rPr>
          <w:rFonts w:ascii="Cambria" w:hAnsi="Cambria"/>
          <w:color w:val="000000"/>
          <w:sz w:val="20"/>
          <w:szCs w:val="20"/>
          <w:lang w:val="pt-BR"/>
        </w:rPr>
        <w:t>vida</w:t>
      </w:r>
      <w:r w:rsidR="00091880" w:rsidRPr="00337743">
        <w:rPr>
          <w:rFonts w:ascii="Cambria" w:hAnsi="Cambria"/>
          <w:color w:val="000000"/>
          <w:sz w:val="20"/>
          <w:szCs w:val="20"/>
          <w:lang w:val="pt-BR"/>
        </w:rPr>
        <w:t xml:space="preserve"> </w:t>
      </w:r>
      <w:r>
        <w:rPr>
          <w:rFonts w:ascii="Cambria" w:hAnsi="Cambria"/>
          <w:color w:val="000000"/>
          <w:sz w:val="20"/>
          <w:szCs w:val="20"/>
          <w:lang w:val="pt-BR"/>
        </w:rPr>
        <w:t>em</w:t>
      </w:r>
      <w:r w:rsidR="00A6443F" w:rsidRPr="00337743">
        <w:rPr>
          <w:rFonts w:ascii="Cambria" w:hAnsi="Cambria"/>
          <w:color w:val="000000"/>
          <w:sz w:val="20"/>
          <w:szCs w:val="20"/>
          <w:lang w:val="pt-BR"/>
        </w:rPr>
        <w:t xml:space="preserve"> </w:t>
      </w:r>
      <w:r w:rsidR="00091880" w:rsidRPr="00337743">
        <w:rPr>
          <w:rFonts w:ascii="Cambria" w:hAnsi="Cambria"/>
          <w:color w:val="000000"/>
          <w:sz w:val="20"/>
          <w:szCs w:val="20"/>
          <w:lang w:val="pt-BR"/>
        </w:rPr>
        <w:t xml:space="preserve">um </w:t>
      </w:r>
      <w:r w:rsidR="00B1530D" w:rsidRPr="00337743">
        <w:rPr>
          <w:rFonts w:ascii="Cambria" w:hAnsi="Cambria"/>
          <w:color w:val="000000"/>
          <w:sz w:val="20"/>
          <w:szCs w:val="20"/>
          <w:lang w:val="pt-BR"/>
        </w:rPr>
        <w:t>crime</w:t>
      </w:r>
      <w:r w:rsidR="00F97D48" w:rsidRPr="00337743">
        <w:rPr>
          <w:rFonts w:ascii="Cambria" w:hAnsi="Cambria"/>
          <w:color w:val="000000"/>
          <w:sz w:val="20"/>
          <w:szCs w:val="20"/>
          <w:lang w:val="pt-BR"/>
        </w:rPr>
        <w:t xml:space="preserve"> que</w:t>
      </w:r>
      <w:r w:rsidR="00091880" w:rsidRPr="00337743">
        <w:rPr>
          <w:rFonts w:ascii="Cambria" w:hAnsi="Cambria"/>
          <w:color w:val="000000"/>
          <w:sz w:val="20"/>
          <w:szCs w:val="20"/>
          <w:lang w:val="pt-BR"/>
        </w:rPr>
        <w:t xml:space="preserve"> não foi </w:t>
      </w:r>
      <w:r w:rsidR="00F97D48" w:rsidRPr="00337743">
        <w:rPr>
          <w:rFonts w:ascii="Cambria" w:hAnsi="Cambria"/>
          <w:color w:val="000000"/>
          <w:sz w:val="20"/>
          <w:szCs w:val="20"/>
          <w:lang w:val="pt-BR"/>
        </w:rPr>
        <w:t>cometido por</w:t>
      </w:r>
      <w:r w:rsidR="00091880" w:rsidRPr="00337743">
        <w:rPr>
          <w:rFonts w:ascii="Cambria" w:hAnsi="Cambria"/>
          <w:color w:val="000000"/>
          <w:sz w:val="20"/>
          <w:szCs w:val="20"/>
          <w:lang w:val="pt-BR"/>
        </w:rPr>
        <w:t xml:space="preserve"> um </w:t>
      </w:r>
      <w:r w:rsidR="00F97D48" w:rsidRPr="00337743">
        <w:rPr>
          <w:rFonts w:ascii="Cambria" w:hAnsi="Cambria"/>
          <w:color w:val="000000"/>
          <w:sz w:val="20"/>
          <w:szCs w:val="20"/>
          <w:lang w:val="pt-BR"/>
        </w:rPr>
        <w:t>agente estatal</w:t>
      </w:r>
      <w:r w:rsidR="00091880" w:rsidRPr="00337743">
        <w:rPr>
          <w:rFonts w:ascii="Cambria" w:hAnsi="Cambria"/>
          <w:color w:val="000000"/>
          <w:sz w:val="20"/>
          <w:szCs w:val="20"/>
          <w:lang w:val="pt-BR"/>
        </w:rPr>
        <w:t xml:space="preserve"> no </w:t>
      </w:r>
      <w:r w:rsidR="00B1530D" w:rsidRPr="00337743">
        <w:rPr>
          <w:rFonts w:ascii="Cambria" w:hAnsi="Cambria"/>
          <w:color w:val="000000"/>
          <w:sz w:val="20"/>
          <w:szCs w:val="20"/>
          <w:lang w:val="pt-BR"/>
        </w:rPr>
        <w:t>exercício</w:t>
      </w:r>
      <w:r w:rsidR="00F97D48" w:rsidRPr="00337743">
        <w:rPr>
          <w:rFonts w:ascii="Cambria" w:hAnsi="Cambria"/>
          <w:color w:val="000000"/>
          <w:sz w:val="20"/>
          <w:szCs w:val="20"/>
          <w:lang w:val="pt-BR"/>
        </w:rPr>
        <w:t xml:space="preserve"> de su</w:t>
      </w:r>
      <w:r w:rsidR="00D03F90" w:rsidRPr="00337743">
        <w:rPr>
          <w:rFonts w:ascii="Cambria" w:hAnsi="Cambria"/>
          <w:color w:val="000000"/>
          <w:sz w:val="20"/>
          <w:szCs w:val="20"/>
          <w:lang w:val="pt-BR"/>
        </w:rPr>
        <w:t>a</w:t>
      </w:r>
      <w:r w:rsidR="00F97D48" w:rsidRPr="00337743">
        <w:rPr>
          <w:rFonts w:ascii="Cambria" w:hAnsi="Cambria"/>
          <w:color w:val="000000"/>
          <w:sz w:val="20"/>
          <w:szCs w:val="20"/>
          <w:lang w:val="pt-BR"/>
        </w:rPr>
        <w:t>s fun</w:t>
      </w:r>
      <w:r w:rsidR="00350E7E" w:rsidRPr="00337743">
        <w:rPr>
          <w:rFonts w:ascii="Cambria" w:hAnsi="Cambria"/>
          <w:color w:val="000000"/>
          <w:sz w:val="20"/>
          <w:szCs w:val="20"/>
          <w:lang w:val="pt-BR"/>
        </w:rPr>
        <w:t>ções</w:t>
      </w:r>
      <w:r w:rsidR="00F97D48" w:rsidRPr="00337743">
        <w:rPr>
          <w:rFonts w:ascii="Cambria" w:hAnsi="Cambria"/>
          <w:color w:val="000000"/>
          <w:sz w:val="20"/>
          <w:szCs w:val="20"/>
          <w:lang w:val="pt-BR"/>
        </w:rPr>
        <w:t>.</w:t>
      </w:r>
    </w:p>
    <w:p w14:paraId="69C0993E" w14:textId="77777777" w:rsidR="00376132" w:rsidRPr="00337743" w:rsidRDefault="00376132" w:rsidP="00376132">
      <w:pPr>
        <w:pStyle w:val="ListParagraph"/>
        <w:rPr>
          <w:rFonts w:ascii="Cambria" w:hAnsi="Cambria"/>
          <w:color w:val="000000"/>
          <w:sz w:val="20"/>
          <w:szCs w:val="20"/>
          <w:lang w:val="pt-BR"/>
        </w:rPr>
      </w:pPr>
    </w:p>
    <w:p w14:paraId="1CC3C3A1" w14:textId="77777777" w:rsidR="00E651F5" w:rsidRPr="00337743" w:rsidRDefault="0094071D" w:rsidP="00E651F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000000"/>
          <w:sz w:val="20"/>
          <w:szCs w:val="20"/>
          <w:lang w:val="pt-BR"/>
        </w:rPr>
      </w:pPr>
      <w:r>
        <w:rPr>
          <w:rFonts w:ascii="Cambria" w:hAnsi="Cambria"/>
          <w:color w:val="000000"/>
          <w:sz w:val="20"/>
          <w:szCs w:val="20"/>
          <w:lang w:val="pt-BR"/>
        </w:rPr>
        <w:t>O Estado também a</w:t>
      </w:r>
      <w:r w:rsidR="00A6443F" w:rsidRPr="00337743">
        <w:rPr>
          <w:rFonts w:ascii="Cambria" w:hAnsi="Cambria"/>
          <w:color w:val="000000"/>
          <w:sz w:val="20"/>
          <w:szCs w:val="20"/>
          <w:lang w:val="pt-BR"/>
        </w:rPr>
        <w:t>ssinalou</w:t>
      </w:r>
      <w:r w:rsidR="00E651F5" w:rsidRPr="00337743">
        <w:rPr>
          <w:rFonts w:ascii="Cambria" w:hAnsi="Cambria"/>
          <w:color w:val="000000"/>
          <w:sz w:val="20"/>
          <w:szCs w:val="20"/>
          <w:lang w:val="pt-BR"/>
        </w:rPr>
        <w:t xml:space="preserve"> que</w:t>
      </w:r>
      <w:r w:rsidR="00091880" w:rsidRPr="00337743">
        <w:rPr>
          <w:rFonts w:ascii="Cambria" w:hAnsi="Cambria"/>
          <w:color w:val="000000"/>
          <w:sz w:val="20"/>
          <w:szCs w:val="20"/>
          <w:lang w:val="pt-BR"/>
        </w:rPr>
        <w:t xml:space="preserve"> não </w:t>
      </w:r>
      <w:r w:rsidR="00B1530D" w:rsidRPr="00337743">
        <w:rPr>
          <w:rFonts w:ascii="Cambria" w:hAnsi="Cambria"/>
          <w:color w:val="000000"/>
          <w:sz w:val="20"/>
          <w:szCs w:val="20"/>
          <w:lang w:val="pt-BR"/>
        </w:rPr>
        <w:t>violou</w:t>
      </w:r>
      <w:r w:rsidR="00E651F5" w:rsidRPr="00337743">
        <w:rPr>
          <w:rFonts w:ascii="Cambria" w:hAnsi="Cambria"/>
          <w:color w:val="000000"/>
          <w:sz w:val="20"/>
          <w:szCs w:val="20"/>
          <w:lang w:val="pt-BR"/>
        </w:rPr>
        <w:t xml:space="preserve"> n</w:t>
      </w:r>
      <w:r w:rsidR="00A6443F" w:rsidRPr="00337743">
        <w:rPr>
          <w:rFonts w:ascii="Cambria" w:hAnsi="Cambria"/>
          <w:color w:val="000000"/>
          <w:sz w:val="20"/>
          <w:szCs w:val="20"/>
          <w:lang w:val="pt-BR"/>
        </w:rPr>
        <w:t>enhum</w:t>
      </w:r>
      <w:r w:rsidR="00E651F5" w:rsidRPr="00337743">
        <w:rPr>
          <w:rFonts w:ascii="Cambria" w:hAnsi="Cambria"/>
          <w:color w:val="000000"/>
          <w:sz w:val="20"/>
          <w:szCs w:val="20"/>
          <w:lang w:val="pt-BR"/>
        </w:rPr>
        <w:t>a</w:t>
      </w:r>
      <w:r w:rsidR="00DB5118" w:rsidRPr="00337743">
        <w:rPr>
          <w:rFonts w:ascii="Cambria" w:hAnsi="Cambria"/>
          <w:color w:val="000000"/>
          <w:sz w:val="20"/>
          <w:szCs w:val="20"/>
          <w:lang w:val="pt-BR"/>
        </w:rPr>
        <w:t xml:space="preserve"> das </w:t>
      </w:r>
      <w:r w:rsidR="00E81481" w:rsidRPr="00337743">
        <w:rPr>
          <w:rFonts w:ascii="Cambria" w:hAnsi="Cambria"/>
          <w:color w:val="000000"/>
          <w:sz w:val="20"/>
          <w:szCs w:val="20"/>
          <w:lang w:val="pt-BR"/>
        </w:rPr>
        <w:t>outr</w:t>
      </w:r>
      <w:r w:rsidR="00E651F5" w:rsidRPr="00337743">
        <w:rPr>
          <w:rFonts w:ascii="Cambria" w:hAnsi="Cambria"/>
          <w:color w:val="000000"/>
          <w:sz w:val="20"/>
          <w:szCs w:val="20"/>
          <w:lang w:val="pt-BR"/>
        </w:rPr>
        <w:t>as normas alegadas</w:t>
      </w:r>
      <w:r w:rsidR="00C6641C" w:rsidRPr="00337743">
        <w:rPr>
          <w:rFonts w:ascii="Cambria" w:hAnsi="Cambria"/>
          <w:color w:val="000000"/>
          <w:sz w:val="20"/>
          <w:szCs w:val="20"/>
          <w:lang w:val="pt-BR"/>
        </w:rPr>
        <w:t xml:space="preserve"> pela </w:t>
      </w:r>
      <w:r w:rsidR="004637B9" w:rsidRPr="00337743">
        <w:rPr>
          <w:rFonts w:ascii="Cambria" w:hAnsi="Cambria"/>
          <w:color w:val="000000"/>
          <w:sz w:val="20"/>
          <w:szCs w:val="20"/>
          <w:lang w:val="pt-BR"/>
        </w:rPr>
        <w:t xml:space="preserve">parte </w:t>
      </w:r>
      <w:r w:rsidR="007707E3" w:rsidRPr="00337743">
        <w:rPr>
          <w:rFonts w:ascii="Cambria" w:hAnsi="Cambria"/>
          <w:color w:val="000000"/>
          <w:sz w:val="20"/>
          <w:szCs w:val="20"/>
          <w:lang w:val="pt-BR"/>
        </w:rPr>
        <w:t>peticionária</w:t>
      </w:r>
      <w:r w:rsidR="004637B9" w:rsidRPr="00337743">
        <w:rPr>
          <w:rFonts w:ascii="Cambria" w:hAnsi="Cambria"/>
          <w:color w:val="000000"/>
          <w:sz w:val="20"/>
          <w:szCs w:val="20"/>
          <w:lang w:val="pt-BR"/>
        </w:rPr>
        <w:t xml:space="preserve"> </w:t>
      </w:r>
      <w:r w:rsidR="00E651F5" w:rsidRPr="00337743">
        <w:rPr>
          <w:rFonts w:ascii="Cambria" w:hAnsi="Cambria"/>
          <w:color w:val="000000"/>
          <w:sz w:val="20"/>
          <w:szCs w:val="20"/>
          <w:lang w:val="pt-BR"/>
        </w:rPr>
        <w:t>porque</w:t>
      </w:r>
      <w:r w:rsidR="00091880" w:rsidRPr="00337743">
        <w:rPr>
          <w:rFonts w:ascii="Cambria" w:hAnsi="Cambria"/>
          <w:color w:val="000000"/>
          <w:sz w:val="20"/>
          <w:szCs w:val="20"/>
          <w:lang w:val="pt-BR"/>
        </w:rPr>
        <w:t xml:space="preserve"> não </w:t>
      </w:r>
      <w:r w:rsidR="00B1530D" w:rsidRPr="00337743">
        <w:rPr>
          <w:rFonts w:ascii="Cambria" w:hAnsi="Cambria"/>
          <w:color w:val="000000"/>
          <w:sz w:val="20"/>
          <w:szCs w:val="20"/>
          <w:lang w:val="pt-BR"/>
        </w:rPr>
        <w:t>existi</w:t>
      </w:r>
      <w:r>
        <w:rPr>
          <w:rFonts w:ascii="Cambria" w:hAnsi="Cambria"/>
          <w:color w:val="000000"/>
          <w:sz w:val="20"/>
          <w:szCs w:val="20"/>
          <w:lang w:val="pt-BR"/>
        </w:rPr>
        <w:t>r</w:t>
      </w:r>
      <w:r w:rsidR="00B1530D" w:rsidRPr="00337743">
        <w:rPr>
          <w:rFonts w:ascii="Cambria" w:hAnsi="Cambria"/>
          <w:color w:val="000000"/>
          <w:sz w:val="20"/>
          <w:szCs w:val="20"/>
          <w:lang w:val="pt-BR"/>
        </w:rPr>
        <w:t>am</w:t>
      </w:r>
      <w:r w:rsidR="00A779B0" w:rsidRPr="00337743">
        <w:rPr>
          <w:rFonts w:ascii="Cambria" w:hAnsi="Cambria"/>
          <w:color w:val="000000"/>
          <w:sz w:val="20"/>
          <w:szCs w:val="20"/>
          <w:lang w:val="pt-BR"/>
        </w:rPr>
        <w:t xml:space="preserve"> </w:t>
      </w:r>
      <w:r w:rsidR="00E651F5" w:rsidRPr="00337743">
        <w:rPr>
          <w:rFonts w:ascii="Cambria" w:hAnsi="Cambria"/>
          <w:color w:val="000000"/>
          <w:sz w:val="20"/>
          <w:szCs w:val="20"/>
          <w:lang w:val="pt-BR"/>
        </w:rPr>
        <w:t>obstáculo</w:t>
      </w:r>
      <w:r w:rsidR="00A779B0" w:rsidRPr="00337743">
        <w:rPr>
          <w:rFonts w:ascii="Cambria" w:hAnsi="Cambria"/>
          <w:color w:val="000000"/>
          <w:sz w:val="20"/>
          <w:szCs w:val="20"/>
          <w:lang w:val="pt-BR"/>
        </w:rPr>
        <w:t>s</w:t>
      </w:r>
      <w:r w:rsidR="00E651F5" w:rsidRPr="00337743">
        <w:rPr>
          <w:rFonts w:ascii="Cambria" w:hAnsi="Cambria"/>
          <w:color w:val="000000"/>
          <w:sz w:val="20"/>
          <w:szCs w:val="20"/>
          <w:lang w:val="pt-BR"/>
        </w:rPr>
        <w:t xml:space="preserve"> para que</w:t>
      </w:r>
      <w:r w:rsidR="007707E3" w:rsidRPr="00337743">
        <w:rPr>
          <w:rFonts w:ascii="Cambria" w:hAnsi="Cambria"/>
          <w:color w:val="000000"/>
          <w:sz w:val="20"/>
          <w:szCs w:val="20"/>
          <w:lang w:val="pt-BR"/>
        </w:rPr>
        <w:t xml:space="preserve"> os </w:t>
      </w:r>
      <w:r w:rsidR="00E651F5" w:rsidRPr="00337743">
        <w:rPr>
          <w:rFonts w:ascii="Cambria" w:hAnsi="Cambria"/>
          <w:color w:val="000000"/>
          <w:sz w:val="20"/>
          <w:szCs w:val="20"/>
          <w:lang w:val="pt-BR"/>
        </w:rPr>
        <w:t>familiares de Márcia</w:t>
      </w:r>
      <w:r w:rsidR="00A779B0" w:rsidRPr="00337743">
        <w:rPr>
          <w:rFonts w:ascii="Cambria" w:hAnsi="Cambria"/>
          <w:color w:val="000000"/>
          <w:sz w:val="20"/>
          <w:szCs w:val="20"/>
          <w:lang w:val="pt-BR"/>
        </w:rPr>
        <w:t xml:space="preserve"> Barbosa</w:t>
      </w:r>
      <w:r w:rsidR="00E651F5"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apresentassem</w:t>
      </w:r>
      <w:r w:rsidR="00091880" w:rsidRPr="00337743">
        <w:rPr>
          <w:rFonts w:ascii="Cambria" w:hAnsi="Cambria"/>
          <w:color w:val="000000"/>
          <w:sz w:val="20"/>
          <w:szCs w:val="20"/>
          <w:lang w:val="pt-BR"/>
        </w:rPr>
        <w:t xml:space="preserve"> uma </w:t>
      </w:r>
      <w:r w:rsidR="00E651F5"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E651F5" w:rsidRPr="00337743">
        <w:rPr>
          <w:rFonts w:ascii="Cambria" w:hAnsi="Cambria"/>
          <w:color w:val="000000"/>
          <w:sz w:val="20"/>
          <w:szCs w:val="20"/>
          <w:lang w:val="pt-BR"/>
        </w:rPr>
        <w:t xml:space="preserve"> civil de repara</w:t>
      </w:r>
      <w:r w:rsidR="00350E7E" w:rsidRPr="00337743">
        <w:rPr>
          <w:rFonts w:ascii="Cambria" w:hAnsi="Cambria"/>
          <w:color w:val="000000"/>
          <w:sz w:val="20"/>
          <w:szCs w:val="20"/>
          <w:lang w:val="pt-BR"/>
        </w:rPr>
        <w:t>ções</w:t>
      </w:r>
      <w:r w:rsidR="00F034D0" w:rsidRPr="00337743">
        <w:rPr>
          <w:rFonts w:ascii="Cambria" w:hAnsi="Cambria"/>
          <w:color w:val="000000"/>
          <w:sz w:val="20"/>
          <w:szCs w:val="20"/>
          <w:lang w:val="pt-BR"/>
        </w:rPr>
        <w:t>. Indic</w:t>
      </w:r>
      <w:r w:rsidR="00B1530D" w:rsidRPr="00337743">
        <w:rPr>
          <w:rFonts w:ascii="Cambria" w:hAnsi="Cambria"/>
          <w:color w:val="000000"/>
          <w:sz w:val="20"/>
          <w:szCs w:val="20"/>
          <w:lang w:val="pt-BR"/>
        </w:rPr>
        <w:t>ou</w:t>
      </w:r>
      <w:r w:rsidR="00F034D0"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a </w:t>
      </w:r>
      <w:r w:rsidR="00E651F5" w:rsidRPr="00337743">
        <w:rPr>
          <w:rFonts w:ascii="Cambria" w:hAnsi="Cambria"/>
          <w:color w:val="000000"/>
          <w:sz w:val="20"/>
          <w:szCs w:val="20"/>
          <w:lang w:val="pt-BR"/>
        </w:rPr>
        <w:t>reda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7707E3" w:rsidRPr="00337743">
        <w:rPr>
          <w:rFonts w:ascii="Cambria" w:hAnsi="Cambria"/>
          <w:color w:val="000000"/>
          <w:sz w:val="20"/>
          <w:szCs w:val="20"/>
          <w:lang w:val="pt-BR"/>
        </w:rPr>
        <w:t xml:space="preserve"> do </w:t>
      </w:r>
      <w:r w:rsidR="00091880" w:rsidRPr="00337743">
        <w:rPr>
          <w:rFonts w:ascii="Cambria" w:hAnsi="Cambria"/>
          <w:color w:val="000000"/>
          <w:sz w:val="20"/>
          <w:szCs w:val="20"/>
          <w:lang w:val="pt-BR"/>
        </w:rPr>
        <w:t>artigo</w:t>
      </w:r>
      <w:r w:rsidR="00E651F5" w:rsidRPr="00337743">
        <w:rPr>
          <w:rFonts w:ascii="Cambria" w:hAnsi="Cambria"/>
          <w:color w:val="000000"/>
          <w:sz w:val="20"/>
          <w:szCs w:val="20"/>
          <w:lang w:val="pt-BR"/>
        </w:rPr>
        <w:t xml:space="preserve"> 53</w:t>
      </w:r>
      <w:r w:rsidR="007707E3" w:rsidRPr="00337743">
        <w:rPr>
          <w:rFonts w:ascii="Cambria" w:hAnsi="Cambria"/>
          <w:color w:val="000000"/>
          <w:sz w:val="20"/>
          <w:szCs w:val="20"/>
          <w:lang w:val="pt-BR"/>
        </w:rPr>
        <w:t xml:space="preserve"> da </w:t>
      </w:r>
      <w:r w:rsidR="00B1530D" w:rsidRPr="00337743">
        <w:rPr>
          <w:rFonts w:ascii="Cambria" w:hAnsi="Cambria"/>
          <w:color w:val="000000"/>
          <w:sz w:val="20"/>
          <w:szCs w:val="20"/>
          <w:lang w:val="pt-BR"/>
        </w:rPr>
        <w:t>Constituição</w:t>
      </w:r>
      <w:r w:rsidR="00091880" w:rsidRPr="00337743">
        <w:rPr>
          <w:rFonts w:ascii="Cambria" w:hAnsi="Cambria"/>
          <w:color w:val="000000"/>
          <w:sz w:val="20"/>
          <w:szCs w:val="20"/>
          <w:lang w:val="pt-BR"/>
        </w:rPr>
        <w:t xml:space="preserve"> foi </w:t>
      </w:r>
      <w:r w:rsidR="00A6443F" w:rsidRPr="00337743">
        <w:rPr>
          <w:rFonts w:ascii="Cambria" w:hAnsi="Cambria"/>
          <w:color w:val="000000"/>
          <w:sz w:val="20"/>
          <w:szCs w:val="20"/>
          <w:lang w:val="pt-BR"/>
        </w:rPr>
        <w:t>alter</w:t>
      </w:r>
      <w:r w:rsidR="00E651F5" w:rsidRPr="00337743">
        <w:rPr>
          <w:rFonts w:ascii="Cambria" w:hAnsi="Cambria"/>
          <w:color w:val="000000"/>
          <w:sz w:val="20"/>
          <w:szCs w:val="20"/>
          <w:lang w:val="pt-BR"/>
        </w:rPr>
        <w:t xml:space="preserve">ada para </w:t>
      </w:r>
      <w:r w:rsidR="005504CB" w:rsidRPr="00337743">
        <w:rPr>
          <w:rFonts w:ascii="Cambria" w:hAnsi="Cambria"/>
          <w:color w:val="000000"/>
          <w:sz w:val="20"/>
          <w:szCs w:val="20"/>
          <w:lang w:val="pt-BR"/>
        </w:rPr>
        <w:t>de</w:t>
      </w:r>
      <w:r w:rsidR="00B1530D" w:rsidRPr="00337743">
        <w:rPr>
          <w:rFonts w:ascii="Cambria" w:hAnsi="Cambria"/>
          <w:color w:val="000000"/>
          <w:sz w:val="20"/>
          <w:szCs w:val="20"/>
          <w:lang w:val="pt-BR"/>
        </w:rPr>
        <w:t>ix</w:t>
      </w:r>
      <w:r w:rsidR="005504CB" w:rsidRPr="00337743">
        <w:rPr>
          <w:rFonts w:ascii="Cambria" w:hAnsi="Cambria"/>
          <w:color w:val="000000"/>
          <w:sz w:val="20"/>
          <w:szCs w:val="20"/>
          <w:lang w:val="pt-BR"/>
        </w:rPr>
        <w:t xml:space="preserve">ar de </w:t>
      </w:r>
      <w:r w:rsidR="00E651F5" w:rsidRPr="00337743">
        <w:rPr>
          <w:rFonts w:ascii="Cambria" w:hAnsi="Cambria"/>
          <w:color w:val="000000"/>
          <w:sz w:val="20"/>
          <w:szCs w:val="20"/>
          <w:lang w:val="pt-BR"/>
        </w:rPr>
        <w:t>condicionar</w:t>
      </w:r>
      <w:r w:rsidR="00506331" w:rsidRPr="00337743">
        <w:rPr>
          <w:rFonts w:ascii="Cambria" w:hAnsi="Cambria"/>
          <w:color w:val="000000"/>
          <w:sz w:val="20"/>
          <w:szCs w:val="20"/>
          <w:lang w:val="pt-BR"/>
        </w:rPr>
        <w:t xml:space="preserve"> a </w:t>
      </w:r>
      <w:r w:rsidR="00A6443F" w:rsidRPr="00337743">
        <w:rPr>
          <w:rFonts w:ascii="Cambria" w:hAnsi="Cambria"/>
          <w:color w:val="000000"/>
          <w:sz w:val="20"/>
          <w:szCs w:val="20"/>
          <w:lang w:val="pt-BR"/>
        </w:rPr>
        <w:t>a</w:t>
      </w:r>
      <w:r w:rsidR="00E651F5" w:rsidRPr="00337743">
        <w:rPr>
          <w:rFonts w:ascii="Cambria" w:hAnsi="Cambria"/>
          <w:color w:val="000000"/>
          <w:sz w:val="20"/>
          <w:szCs w:val="20"/>
          <w:lang w:val="pt-BR"/>
        </w:rPr>
        <w:t>presenta</w:t>
      </w:r>
      <w:r w:rsidR="00350E7E" w:rsidRPr="00337743">
        <w:rPr>
          <w:rFonts w:ascii="Cambria" w:hAnsi="Cambria"/>
          <w:color w:val="000000"/>
          <w:sz w:val="20"/>
          <w:szCs w:val="20"/>
          <w:lang w:val="pt-BR"/>
        </w:rPr>
        <w:t>ção</w:t>
      </w:r>
      <w:r w:rsidR="00506331" w:rsidRPr="00337743">
        <w:rPr>
          <w:rFonts w:ascii="Cambria" w:hAnsi="Cambria"/>
          <w:color w:val="000000"/>
          <w:sz w:val="20"/>
          <w:szCs w:val="20"/>
          <w:lang w:val="pt-BR"/>
        </w:rPr>
        <w:t xml:space="preserve"> e </w:t>
      </w:r>
      <w:r w:rsidR="00A6443F" w:rsidRPr="00337743">
        <w:rPr>
          <w:rFonts w:ascii="Cambria" w:hAnsi="Cambria"/>
          <w:color w:val="000000"/>
          <w:sz w:val="20"/>
          <w:szCs w:val="20"/>
          <w:lang w:val="pt-BR"/>
        </w:rPr>
        <w:t>início</w:t>
      </w:r>
      <w:r w:rsidR="007707E3" w:rsidRPr="00337743">
        <w:rPr>
          <w:rFonts w:ascii="Cambria" w:hAnsi="Cambria"/>
          <w:color w:val="000000"/>
          <w:sz w:val="20"/>
          <w:szCs w:val="20"/>
          <w:lang w:val="pt-BR"/>
        </w:rPr>
        <w:t xml:space="preserve"> da </w:t>
      </w:r>
      <w:r w:rsidR="00E651F5"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E651F5" w:rsidRPr="00337743">
        <w:rPr>
          <w:rFonts w:ascii="Cambria" w:hAnsi="Cambria"/>
          <w:color w:val="000000"/>
          <w:sz w:val="20"/>
          <w:szCs w:val="20"/>
          <w:lang w:val="pt-BR"/>
        </w:rPr>
        <w:t xml:space="preserve"> penal a</w:t>
      </w:r>
      <w:r w:rsidR="00091880" w:rsidRPr="00337743">
        <w:rPr>
          <w:rFonts w:ascii="Cambria" w:hAnsi="Cambria"/>
          <w:color w:val="000000"/>
          <w:sz w:val="20"/>
          <w:szCs w:val="20"/>
          <w:lang w:val="pt-BR"/>
        </w:rPr>
        <w:t xml:space="preserve"> uma </w:t>
      </w:r>
      <w:r w:rsidR="00E651F5" w:rsidRPr="00337743">
        <w:rPr>
          <w:rFonts w:ascii="Cambria" w:hAnsi="Cambria"/>
          <w:color w:val="000000"/>
          <w:sz w:val="20"/>
          <w:szCs w:val="20"/>
          <w:lang w:val="pt-BR"/>
        </w:rPr>
        <w:t>autoriza</w:t>
      </w:r>
      <w:r w:rsidR="00350E7E" w:rsidRPr="00337743">
        <w:rPr>
          <w:rFonts w:ascii="Cambria" w:hAnsi="Cambria"/>
          <w:color w:val="000000"/>
          <w:sz w:val="20"/>
          <w:szCs w:val="20"/>
          <w:lang w:val="pt-BR"/>
        </w:rPr>
        <w:t>ção</w:t>
      </w:r>
      <w:r w:rsidR="00E651F5" w:rsidRPr="00337743">
        <w:rPr>
          <w:rFonts w:ascii="Cambria" w:hAnsi="Cambria"/>
          <w:color w:val="000000"/>
          <w:sz w:val="20"/>
          <w:szCs w:val="20"/>
          <w:lang w:val="pt-BR"/>
        </w:rPr>
        <w:t xml:space="preserve"> legislativa</w:t>
      </w:r>
      <w:r w:rsidR="007F2A33" w:rsidRPr="00337743">
        <w:rPr>
          <w:rFonts w:ascii="Cambria" w:hAnsi="Cambria"/>
          <w:color w:val="000000"/>
          <w:sz w:val="20"/>
          <w:szCs w:val="20"/>
          <w:lang w:val="pt-BR"/>
        </w:rPr>
        <w:t>. A</w:t>
      </w:r>
      <w:r w:rsidR="00A6443F" w:rsidRPr="00337743">
        <w:rPr>
          <w:rFonts w:ascii="Cambria" w:hAnsi="Cambria"/>
          <w:color w:val="000000"/>
          <w:sz w:val="20"/>
          <w:szCs w:val="20"/>
          <w:lang w:val="pt-BR"/>
        </w:rPr>
        <w:t>crescentou</w:t>
      </w:r>
      <w:r w:rsidR="007F2A33"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o </w:t>
      </w:r>
      <w:r w:rsidR="00A6443F" w:rsidRPr="00337743">
        <w:rPr>
          <w:rFonts w:ascii="Cambria" w:hAnsi="Cambria"/>
          <w:color w:val="000000"/>
          <w:sz w:val="20"/>
          <w:szCs w:val="20"/>
          <w:lang w:val="pt-BR"/>
        </w:rPr>
        <w:t>a</w:t>
      </w:r>
      <w:r w:rsidR="00E651F5" w:rsidRPr="00337743">
        <w:rPr>
          <w:rFonts w:ascii="Cambria" w:hAnsi="Cambria"/>
          <w:color w:val="000000"/>
          <w:sz w:val="20"/>
          <w:szCs w:val="20"/>
          <w:lang w:val="pt-BR"/>
        </w:rPr>
        <w:t>traso se justifica</w:t>
      </w:r>
      <w:r w:rsidR="00091880" w:rsidRPr="00337743">
        <w:rPr>
          <w:rFonts w:ascii="Cambria" w:hAnsi="Cambria"/>
          <w:color w:val="000000"/>
          <w:sz w:val="20"/>
          <w:szCs w:val="20"/>
          <w:lang w:val="pt-BR"/>
        </w:rPr>
        <w:t xml:space="preserve"> em </w:t>
      </w:r>
      <w:r w:rsidR="00787D8F" w:rsidRPr="00337743">
        <w:rPr>
          <w:rFonts w:ascii="Cambria" w:hAnsi="Cambria"/>
          <w:color w:val="000000"/>
          <w:sz w:val="20"/>
          <w:szCs w:val="20"/>
          <w:lang w:val="pt-BR"/>
        </w:rPr>
        <w:t>virtude</w:t>
      </w:r>
      <w:r w:rsidR="007707E3" w:rsidRPr="00337743">
        <w:rPr>
          <w:rFonts w:ascii="Cambria" w:hAnsi="Cambria"/>
          <w:color w:val="000000"/>
          <w:sz w:val="20"/>
          <w:szCs w:val="20"/>
          <w:lang w:val="pt-BR"/>
        </w:rPr>
        <w:t xml:space="preserve"> da </w:t>
      </w:r>
      <w:r w:rsidR="00320DBA" w:rsidRPr="00337743">
        <w:rPr>
          <w:rFonts w:ascii="Cambria" w:hAnsi="Cambria"/>
          <w:color w:val="000000"/>
          <w:sz w:val="20"/>
          <w:szCs w:val="20"/>
          <w:lang w:val="pt-BR"/>
        </w:rPr>
        <w:t>complexidade</w:t>
      </w:r>
      <w:r w:rsidR="007707E3" w:rsidRPr="00337743">
        <w:rPr>
          <w:rFonts w:ascii="Cambria" w:hAnsi="Cambria"/>
          <w:color w:val="000000"/>
          <w:sz w:val="20"/>
          <w:szCs w:val="20"/>
          <w:lang w:val="pt-BR"/>
        </w:rPr>
        <w:t xml:space="preserve"> do </w:t>
      </w:r>
      <w:r w:rsidR="00E651F5" w:rsidRPr="00337743">
        <w:rPr>
          <w:rFonts w:ascii="Cambria" w:hAnsi="Cambria"/>
          <w:color w:val="000000"/>
          <w:sz w:val="20"/>
          <w:szCs w:val="20"/>
          <w:lang w:val="pt-BR"/>
        </w:rPr>
        <w:t>rito proces</w:t>
      </w:r>
      <w:r w:rsidR="00A6443F" w:rsidRPr="00337743">
        <w:rPr>
          <w:rFonts w:ascii="Cambria" w:hAnsi="Cambria"/>
          <w:color w:val="000000"/>
          <w:sz w:val="20"/>
          <w:szCs w:val="20"/>
          <w:lang w:val="pt-BR"/>
        </w:rPr>
        <w:t>su</w:t>
      </w:r>
      <w:r w:rsidR="00E651F5" w:rsidRPr="00337743">
        <w:rPr>
          <w:rFonts w:ascii="Cambria" w:hAnsi="Cambria"/>
          <w:color w:val="000000"/>
          <w:sz w:val="20"/>
          <w:szCs w:val="20"/>
          <w:lang w:val="pt-BR"/>
        </w:rPr>
        <w:t>al para</w:t>
      </w:r>
      <w:r w:rsidR="007707E3" w:rsidRPr="00337743">
        <w:rPr>
          <w:rFonts w:ascii="Cambria" w:hAnsi="Cambria"/>
          <w:color w:val="000000"/>
          <w:sz w:val="20"/>
          <w:szCs w:val="20"/>
          <w:lang w:val="pt-BR"/>
        </w:rPr>
        <w:t xml:space="preserve"> os </w:t>
      </w:r>
      <w:r w:rsidR="00787D8F" w:rsidRPr="00337743">
        <w:rPr>
          <w:rFonts w:ascii="Cambria" w:hAnsi="Cambria"/>
          <w:color w:val="000000"/>
          <w:sz w:val="20"/>
          <w:szCs w:val="20"/>
          <w:lang w:val="pt-BR"/>
        </w:rPr>
        <w:t>crimes</w:t>
      </w:r>
      <w:r w:rsidR="00E651F5" w:rsidRPr="00337743">
        <w:rPr>
          <w:rFonts w:ascii="Cambria" w:hAnsi="Cambria"/>
          <w:color w:val="000000"/>
          <w:sz w:val="20"/>
          <w:szCs w:val="20"/>
          <w:lang w:val="pt-BR"/>
        </w:rPr>
        <w:t xml:space="preserve"> dolosos contra</w:t>
      </w:r>
      <w:r w:rsidR="00506331" w:rsidRPr="00337743">
        <w:rPr>
          <w:rFonts w:ascii="Cambria" w:hAnsi="Cambria"/>
          <w:color w:val="000000"/>
          <w:sz w:val="20"/>
          <w:szCs w:val="20"/>
          <w:lang w:val="pt-BR"/>
        </w:rPr>
        <w:t xml:space="preserve"> a </w:t>
      </w:r>
      <w:r w:rsidR="00E651F5" w:rsidRPr="00337743">
        <w:rPr>
          <w:rFonts w:ascii="Cambria" w:hAnsi="Cambria"/>
          <w:color w:val="000000"/>
          <w:sz w:val="20"/>
          <w:szCs w:val="20"/>
          <w:lang w:val="pt-BR"/>
        </w:rPr>
        <w:t>vida,</w:t>
      </w:r>
      <w:r w:rsidR="00091880" w:rsidRPr="00337743">
        <w:rPr>
          <w:rFonts w:ascii="Cambria" w:hAnsi="Cambria"/>
          <w:color w:val="000000"/>
          <w:sz w:val="20"/>
          <w:szCs w:val="20"/>
          <w:lang w:val="pt-BR"/>
        </w:rPr>
        <w:t xml:space="preserve"> com </w:t>
      </w:r>
      <w:r w:rsidR="00E651F5" w:rsidRPr="00337743">
        <w:rPr>
          <w:rFonts w:ascii="Cambria" w:hAnsi="Cambria"/>
          <w:color w:val="000000"/>
          <w:sz w:val="20"/>
          <w:szCs w:val="20"/>
          <w:lang w:val="pt-BR"/>
        </w:rPr>
        <w:t>fases marcadas</w:t>
      </w:r>
      <w:r w:rsidR="00091880" w:rsidRPr="00337743">
        <w:rPr>
          <w:rFonts w:ascii="Cambria" w:hAnsi="Cambria"/>
          <w:color w:val="000000"/>
          <w:sz w:val="20"/>
          <w:szCs w:val="20"/>
          <w:lang w:val="pt-BR"/>
        </w:rPr>
        <w:t xml:space="preserve"> pelo </w:t>
      </w:r>
      <w:r w:rsidR="00A318EB" w:rsidRPr="00337743">
        <w:rPr>
          <w:rFonts w:ascii="Cambria" w:hAnsi="Cambria"/>
          <w:color w:val="000000"/>
          <w:sz w:val="20"/>
          <w:szCs w:val="20"/>
          <w:lang w:val="pt-BR"/>
        </w:rPr>
        <w:t>respeito</w:t>
      </w:r>
      <w:r w:rsidR="00F453EB" w:rsidRPr="00337743">
        <w:rPr>
          <w:rFonts w:ascii="Cambria" w:hAnsi="Cambria"/>
          <w:color w:val="000000"/>
          <w:sz w:val="20"/>
          <w:szCs w:val="20"/>
          <w:lang w:val="pt-BR"/>
        </w:rPr>
        <w:t xml:space="preserve"> aos </w:t>
      </w:r>
      <w:r w:rsidR="00A318EB" w:rsidRPr="00337743">
        <w:rPr>
          <w:rFonts w:ascii="Cambria" w:hAnsi="Cambria"/>
          <w:color w:val="000000"/>
          <w:sz w:val="20"/>
          <w:szCs w:val="20"/>
          <w:lang w:val="pt-BR"/>
        </w:rPr>
        <w:t>princípios</w:t>
      </w:r>
      <w:r w:rsidR="007707E3" w:rsidRPr="00337743">
        <w:rPr>
          <w:rFonts w:ascii="Cambria" w:hAnsi="Cambria"/>
          <w:color w:val="000000"/>
          <w:sz w:val="20"/>
          <w:szCs w:val="20"/>
          <w:lang w:val="pt-BR"/>
        </w:rPr>
        <w:t xml:space="preserve"> do </w:t>
      </w:r>
      <w:r w:rsidR="00A318EB" w:rsidRPr="00337743">
        <w:rPr>
          <w:rFonts w:ascii="Cambria" w:hAnsi="Cambria"/>
          <w:color w:val="000000"/>
          <w:sz w:val="20"/>
          <w:szCs w:val="20"/>
          <w:lang w:val="pt-BR"/>
        </w:rPr>
        <w:t>contraditório</w:t>
      </w:r>
      <w:r w:rsidR="00506331" w:rsidRPr="00337743">
        <w:rPr>
          <w:rFonts w:ascii="Cambria" w:hAnsi="Cambria"/>
          <w:color w:val="000000"/>
          <w:sz w:val="20"/>
          <w:szCs w:val="20"/>
          <w:lang w:val="pt-BR"/>
        </w:rPr>
        <w:t xml:space="preserve"> e </w:t>
      </w:r>
      <w:r w:rsidR="007707E3" w:rsidRPr="00337743">
        <w:rPr>
          <w:rFonts w:ascii="Cambria" w:hAnsi="Cambria"/>
          <w:color w:val="000000"/>
          <w:sz w:val="20"/>
          <w:szCs w:val="20"/>
          <w:lang w:val="pt-BR"/>
        </w:rPr>
        <w:t xml:space="preserve">da </w:t>
      </w:r>
      <w:r w:rsidR="00E651F5" w:rsidRPr="00337743">
        <w:rPr>
          <w:rFonts w:ascii="Cambria" w:hAnsi="Cambria"/>
          <w:color w:val="000000"/>
          <w:sz w:val="20"/>
          <w:szCs w:val="20"/>
          <w:lang w:val="pt-BR"/>
        </w:rPr>
        <w:t>ampla defesa</w:t>
      </w:r>
      <w:r w:rsidR="00A6443F" w:rsidRPr="00337743">
        <w:rPr>
          <w:rFonts w:ascii="Cambria" w:hAnsi="Cambria"/>
          <w:color w:val="000000"/>
          <w:sz w:val="20"/>
          <w:szCs w:val="20"/>
          <w:lang w:val="pt-BR"/>
        </w:rPr>
        <w:t>,</w:t>
      </w:r>
      <w:r w:rsidR="00E651F5" w:rsidRPr="00337743">
        <w:rPr>
          <w:rFonts w:ascii="Cambria" w:hAnsi="Cambria"/>
          <w:color w:val="000000"/>
          <w:sz w:val="20"/>
          <w:szCs w:val="20"/>
          <w:lang w:val="pt-BR"/>
        </w:rPr>
        <w:t xml:space="preserve"> </w:t>
      </w:r>
      <w:r w:rsidR="00A6443F" w:rsidRPr="00337743">
        <w:rPr>
          <w:rFonts w:ascii="Cambria" w:hAnsi="Cambria"/>
          <w:color w:val="000000"/>
          <w:sz w:val="20"/>
          <w:szCs w:val="20"/>
          <w:lang w:val="pt-BR"/>
        </w:rPr>
        <w:t>bem</w:t>
      </w:r>
      <w:r w:rsidR="00E651F5" w:rsidRPr="00337743">
        <w:rPr>
          <w:rFonts w:ascii="Cambria" w:hAnsi="Cambria"/>
          <w:color w:val="000000"/>
          <w:sz w:val="20"/>
          <w:szCs w:val="20"/>
          <w:lang w:val="pt-BR"/>
        </w:rPr>
        <w:t xml:space="preserve"> como</w:t>
      </w:r>
      <w:r w:rsidR="007707E3" w:rsidRPr="00337743">
        <w:rPr>
          <w:rFonts w:ascii="Cambria" w:hAnsi="Cambria"/>
          <w:color w:val="000000"/>
          <w:sz w:val="20"/>
          <w:szCs w:val="20"/>
          <w:lang w:val="pt-BR"/>
        </w:rPr>
        <w:t xml:space="preserve"> às </w:t>
      </w:r>
      <w:r w:rsidR="00E651F5" w:rsidRPr="00337743">
        <w:rPr>
          <w:rFonts w:ascii="Cambria" w:hAnsi="Cambria"/>
          <w:color w:val="000000"/>
          <w:sz w:val="20"/>
          <w:szCs w:val="20"/>
          <w:lang w:val="pt-BR"/>
        </w:rPr>
        <w:t>garant</w:t>
      </w:r>
      <w:r w:rsidR="00BF72CE" w:rsidRPr="00337743">
        <w:rPr>
          <w:rFonts w:ascii="Cambria" w:hAnsi="Cambria"/>
          <w:color w:val="000000"/>
          <w:sz w:val="20"/>
          <w:szCs w:val="20"/>
          <w:lang w:val="pt-BR"/>
        </w:rPr>
        <w:t>ia</w:t>
      </w:r>
      <w:r w:rsidR="00E651F5" w:rsidRPr="00337743">
        <w:rPr>
          <w:rFonts w:ascii="Cambria" w:hAnsi="Cambria"/>
          <w:color w:val="000000"/>
          <w:sz w:val="20"/>
          <w:szCs w:val="20"/>
          <w:lang w:val="pt-BR"/>
        </w:rPr>
        <w:t xml:space="preserve">s </w:t>
      </w:r>
      <w:r w:rsidR="00A318EB" w:rsidRPr="00337743">
        <w:rPr>
          <w:rFonts w:ascii="Cambria" w:hAnsi="Cambria"/>
          <w:color w:val="000000"/>
          <w:sz w:val="20"/>
          <w:szCs w:val="20"/>
          <w:lang w:val="pt-BR"/>
        </w:rPr>
        <w:t>inerentes</w:t>
      </w:r>
      <w:r w:rsidR="00BF72CE" w:rsidRPr="00337743">
        <w:rPr>
          <w:rFonts w:ascii="Cambria" w:hAnsi="Cambria"/>
          <w:color w:val="000000"/>
          <w:sz w:val="20"/>
          <w:szCs w:val="20"/>
          <w:lang w:val="pt-BR"/>
        </w:rPr>
        <w:t xml:space="preserve"> ao </w:t>
      </w:r>
      <w:r w:rsidR="00A318EB" w:rsidRPr="00337743">
        <w:rPr>
          <w:rFonts w:ascii="Cambria" w:hAnsi="Cambria"/>
          <w:color w:val="000000"/>
          <w:sz w:val="20"/>
          <w:szCs w:val="20"/>
          <w:lang w:val="pt-BR"/>
        </w:rPr>
        <w:t>devido</w:t>
      </w:r>
      <w:r w:rsidR="00E651F5" w:rsidRPr="00337743">
        <w:rPr>
          <w:rFonts w:ascii="Cambria" w:hAnsi="Cambria"/>
          <w:color w:val="000000"/>
          <w:sz w:val="20"/>
          <w:szCs w:val="20"/>
          <w:lang w:val="pt-BR"/>
        </w:rPr>
        <w:t xml:space="preserve"> </w:t>
      </w:r>
      <w:r w:rsidR="00A318EB" w:rsidRPr="00337743">
        <w:rPr>
          <w:rFonts w:ascii="Cambria" w:hAnsi="Cambria"/>
          <w:color w:val="000000"/>
          <w:sz w:val="20"/>
          <w:szCs w:val="20"/>
          <w:lang w:val="pt-BR"/>
        </w:rPr>
        <w:t>processo</w:t>
      </w:r>
      <w:r w:rsidR="00E651F5" w:rsidRPr="00337743">
        <w:rPr>
          <w:rFonts w:ascii="Cambria" w:hAnsi="Cambria"/>
          <w:color w:val="000000"/>
          <w:sz w:val="20"/>
          <w:szCs w:val="20"/>
          <w:lang w:val="pt-BR"/>
        </w:rPr>
        <w:t xml:space="preserve"> legal,</w:t>
      </w:r>
      <w:r w:rsidR="00325DAC" w:rsidRPr="00337743">
        <w:rPr>
          <w:rFonts w:ascii="Cambria" w:hAnsi="Cambria"/>
          <w:color w:val="000000"/>
          <w:sz w:val="20"/>
          <w:szCs w:val="20"/>
          <w:lang w:val="pt-BR"/>
        </w:rPr>
        <w:t xml:space="preserve"> sem </w:t>
      </w:r>
      <w:r w:rsidR="00E651F5" w:rsidRPr="00337743">
        <w:rPr>
          <w:rFonts w:ascii="Cambria" w:hAnsi="Cambria"/>
          <w:color w:val="000000"/>
          <w:sz w:val="20"/>
          <w:szCs w:val="20"/>
          <w:lang w:val="pt-BR"/>
        </w:rPr>
        <w:t xml:space="preserve">que </w:t>
      </w:r>
      <w:r w:rsidR="00A6443F" w:rsidRPr="00337743">
        <w:rPr>
          <w:rFonts w:ascii="Cambria" w:hAnsi="Cambria"/>
          <w:color w:val="000000"/>
          <w:sz w:val="20"/>
          <w:szCs w:val="20"/>
          <w:lang w:val="pt-BR"/>
        </w:rPr>
        <w:t>is</w:t>
      </w:r>
      <w:r w:rsidR="00E651F5" w:rsidRPr="00337743">
        <w:rPr>
          <w:rFonts w:ascii="Cambria" w:hAnsi="Cambria"/>
          <w:color w:val="000000"/>
          <w:sz w:val="20"/>
          <w:szCs w:val="20"/>
          <w:lang w:val="pt-BR"/>
        </w:rPr>
        <w:t xml:space="preserve">so </w:t>
      </w:r>
      <w:r w:rsidR="00944B98" w:rsidRPr="00337743">
        <w:rPr>
          <w:rFonts w:ascii="Cambria" w:hAnsi="Cambria"/>
          <w:color w:val="000000"/>
          <w:sz w:val="20"/>
          <w:szCs w:val="20"/>
          <w:lang w:val="pt-BR"/>
        </w:rPr>
        <w:t>p</w:t>
      </w:r>
      <w:r w:rsidR="00A6443F" w:rsidRPr="00337743">
        <w:rPr>
          <w:rFonts w:ascii="Cambria" w:hAnsi="Cambria"/>
          <w:color w:val="000000"/>
          <w:sz w:val="20"/>
          <w:szCs w:val="20"/>
          <w:lang w:val="pt-BR"/>
        </w:rPr>
        <w:t>oss</w:t>
      </w:r>
      <w:r w:rsidR="00944B98" w:rsidRPr="00337743">
        <w:rPr>
          <w:rFonts w:ascii="Cambria" w:hAnsi="Cambria"/>
          <w:color w:val="000000"/>
          <w:sz w:val="20"/>
          <w:szCs w:val="20"/>
          <w:lang w:val="pt-BR"/>
        </w:rPr>
        <w:t xml:space="preserve">a </w:t>
      </w:r>
      <w:r w:rsidR="00A6443F" w:rsidRPr="00337743">
        <w:rPr>
          <w:rFonts w:ascii="Cambria" w:hAnsi="Cambria"/>
          <w:color w:val="000000"/>
          <w:sz w:val="20"/>
          <w:szCs w:val="20"/>
          <w:lang w:val="pt-BR"/>
        </w:rPr>
        <w:t xml:space="preserve">ser </w:t>
      </w:r>
      <w:r w:rsidR="00E651F5" w:rsidRPr="00337743">
        <w:rPr>
          <w:rFonts w:ascii="Cambria" w:hAnsi="Cambria"/>
          <w:color w:val="000000"/>
          <w:sz w:val="20"/>
          <w:szCs w:val="20"/>
          <w:lang w:val="pt-BR"/>
        </w:rPr>
        <w:t>confund</w:t>
      </w:r>
      <w:r w:rsidR="00944B98" w:rsidRPr="00337743">
        <w:rPr>
          <w:rFonts w:ascii="Cambria" w:hAnsi="Cambria"/>
          <w:color w:val="000000"/>
          <w:sz w:val="20"/>
          <w:szCs w:val="20"/>
          <w:lang w:val="pt-BR"/>
        </w:rPr>
        <w:t>i</w:t>
      </w:r>
      <w:r w:rsidR="00A6443F" w:rsidRPr="00337743">
        <w:rPr>
          <w:rFonts w:ascii="Cambria" w:hAnsi="Cambria"/>
          <w:color w:val="000000"/>
          <w:sz w:val="20"/>
          <w:szCs w:val="20"/>
          <w:lang w:val="pt-BR"/>
        </w:rPr>
        <w:t>do</w:t>
      </w:r>
      <w:r w:rsidR="00091880" w:rsidRPr="00337743">
        <w:rPr>
          <w:rFonts w:ascii="Cambria" w:hAnsi="Cambria"/>
          <w:color w:val="000000"/>
          <w:sz w:val="20"/>
          <w:szCs w:val="20"/>
          <w:lang w:val="pt-BR"/>
        </w:rPr>
        <w:t xml:space="preserve"> com </w:t>
      </w:r>
      <w:r w:rsidR="00A318EB" w:rsidRPr="00337743">
        <w:rPr>
          <w:rFonts w:ascii="Cambria" w:hAnsi="Cambria"/>
          <w:color w:val="000000"/>
          <w:sz w:val="20"/>
          <w:szCs w:val="20"/>
          <w:lang w:val="pt-BR"/>
        </w:rPr>
        <w:t>impunidade</w:t>
      </w:r>
      <w:r w:rsidR="00944B98" w:rsidRPr="00337743">
        <w:rPr>
          <w:rFonts w:ascii="Cambria" w:hAnsi="Cambria"/>
          <w:color w:val="000000"/>
          <w:sz w:val="20"/>
          <w:szCs w:val="20"/>
          <w:lang w:val="pt-BR"/>
        </w:rPr>
        <w:t>. Reiter</w:t>
      </w:r>
      <w:r w:rsidR="00A6443F" w:rsidRPr="00337743">
        <w:rPr>
          <w:rFonts w:ascii="Cambria" w:hAnsi="Cambria"/>
          <w:color w:val="000000"/>
          <w:sz w:val="20"/>
          <w:szCs w:val="20"/>
          <w:lang w:val="pt-BR"/>
        </w:rPr>
        <w:t xml:space="preserve">ou </w:t>
      </w:r>
      <w:r w:rsidR="00944B98" w:rsidRPr="00337743">
        <w:rPr>
          <w:rFonts w:ascii="Cambria" w:hAnsi="Cambria"/>
          <w:color w:val="000000"/>
          <w:sz w:val="20"/>
          <w:szCs w:val="20"/>
          <w:lang w:val="pt-BR"/>
        </w:rPr>
        <w:t xml:space="preserve">que </w:t>
      </w:r>
      <w:r w:rsidR="008E6DE4" w:rsidRPr="00337743">
        <w:rPr>
          <w:rFonts w:ascii="Cambria" w:hAnsi="Cambria"/>
          <w:color w:val="000000"/>
          <w:sz w:val="20"/>
          <w:szCs w:val="20"/>
          <w:lang w:val="pt-BR"/>
        </w:rPr>
        <w:t>adot</w:t>
      </w:r>
      <w:r w:rsidR="00A6443F" w:rsidRPr="00337743">
        <w:rPr>
          <w:rFonts w:ascii="Cambria" w:hAnsi="Cambria"/>
          <w:color w:val="000000"/>
          <w:sz w:val="20"/>
          <w:szCs w:val="20"/>
          <w:lang w:val="pt-BR"/>
        </w:rPr>
        <w:t xml:space="preserve">ou </w:t>
      </w:r>
      <w:r w:rsidR="00E651F5" w:rsidRPr="00337743">
        <w:rPr>
          <w:rFonts w:ascii="Cambria" w:hAnsi="Cambria"/>
          <w:color w:val="000000"/>
          <w:sz w:val="20"/>
          <w:szCs w:val="20"/>
          <w:lang w:val="pt-BR"/>
        </w:rPr>
        <w:t xml:space="preserve">diferentes medidas orientadas a prevenir, </w:t>
      </w:r>
      <w:r w:rsidR="00D03F90" w:rsidRPr="00337743">
        <w:rPr>
          <w:rFonts w:ascii="Cambria" w:hAnsi="Cambria"/>
          <w:color w:val="000000"/>
          <w:sz w:val="20"/>
          <w:szCs w:val="20"/>
          <w:lang w:val="pt-BR"/>
        </w:rPr>
        <w:t>punir</w:t>
      </w:r>
      <w:r w:rsidR="00506331" w:rsidRPr="00337743">
        <w:rPr>
          <w:rFonts w:ascii="Cambria" w:hAnsi="Cambria"/>
          <w:color w:val="000000"/>
          <w:sz w:val="20"/>
          <w:szCs w:val="20"/>
          <w:lang w:val="pt-BR"/>
        </w:rPr>
        <w:t xml:space="preserve"> e </w:t>
      </w:r>
      <w:r w:rsidR="00E651F5" w:rsidRPr="00337743">
        <w:rPr>
          <w:rFonts w:ascii="Cambria" w:hAnsi="Cambria"/>
          <w:color w:val="000000"/>
          <w:sz w:val="20"/>
          <w:szCs w:val="20"/>
          <w:lang w:val="pt-BR"/>
        </w:rPr>
        <w:t>erradicar</w:t>
      </w:r>
      <w:r w:rsidR="00506331" w:rsidRPr="00337743">
        <w:rPr>
          <w:rFonts w:ascii="Cambria" w:hAnsi="Cambria"/>
          <w:color w:val="000000"/>
          <w:sz w:val="20"/>
          <w:szCs w:val="20"/>
          <w:lang w:val="pt-BR"/>
        </w:rPr>
        <w:t xml:space="preserve"> a </w:t>
      </w:r>
      <w:r w:rsidR="00A318EB" w:rsidRPr="00337743">
        <w:rPr>
          <w:rFonts w:ascii="Cambria" w:hAnsi="Cambria"/>
          <w:color w:val="000000"/>
          <w:sz w:val="20"/>
          <w:szCs w:val="20"/>
          <w:lang w:val="pt-BR"/>
        </w:rPr>
        <w:t>violência</w:t>
      </w:r>
      <w:r w:rsidR="00E651F5" w:rsidRPr="00337743">
        <w:rPr>
          <w:rFonts w:ascii="Cambria" w:hAnsi="Cambria"/>
          <w:color w:val="000000"/>
          <w:sz w:val="20"/>
          <w:szCs w:val="20"/>
          <w:lang w:val="pt-BR"/>
        </w:rPr>
        <w:t xml:space="preserve"> contra</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mulher</w:t>
      </w:r>
      <w:r w:rsidR="00E651F5" w:rsidRPr="00337743">
        <w:rPr>
          <w:rFonts w:ascii="Cambria" w:hAnsi="Cambria"/>
          <w:color w:val="000000"/>
          <w:sz w:val="20"/>
          <w:szCs w:val="20"/>
          <w:lang w:val="pt-BR"/>
        </w:rPr>
        <w:t>, como</w:t>
      </w:r>
      <w:r w:rsidR="00506331" w:rsidRPr="00337743">
        <w:rPr>
          <w:rFonts w:ascii="Cambria" w:hAnsi="Cambria"/>
          <w:color w:val="000000"/>
          <w:sz w:val="20"/>
          <w:szCs w:val="20"/>
          <w:lang w:val="pt-BR"/>
        </w:rPr>
        <w:t xml:space="preserve"> a </w:t>
      </w:r>
      <w:r w:rsidR="00E651F5" w:rsidRPr="00337743">
        <w:rPr>
          <w:rFonts w:ascii="Cambria" w:hAnsi="Cambria"/>
          <w:color w:val="000000"/>
          <w:sz w:val="20"/>
          <w:szCs w:val="20"/>
          <w:lang w:val="pt-BR"/>
        </w:rPr>
        <w:t>modifica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091880" w:rsidRPr="00337743">
        <w:rPr>
          <w:rFonts w:ascii="Cambria" w:hAnsi="Cambria"/>
          <w:color w:val="000000"/>
          <w:sz w:val="20"/>
          <w:szCs w:val="20"/>
          <w:lang w:val="pt-BR"/>
        </w:rPr>
        <w:t>artigo</w:t>
      </w:r>
      <w:r w:rsidR="00E651F5" w:rsidRPr="00337743">
        <w:rPr>
          <w:rFonts w:ascii="Cambria" w:hAnsi="Cambria"/>
          <w:color w:val="000000"/>
          <w:sz w:val="20"/>
          <w:szCs w:val="20"/>
          <w:lang w:val="pt-BR"/>
        </w:rPr>
        <w:t xml:space="preserve"> 53</w:t>
      </w:r>
      <w:r w:rsidR="007707E3" w:rsidRPr="00337743">
        <w:rPr>
          <w:rFonts w:ascii="Cambria" w:hAnsi="Cambria"/>
          <w:color w:val="000000"/>
          <w:sz w:val="20"/>
          <w:szCs w:val="20"/>
          <w:lang w:val="pt-BR"/>
        </w:rPr>
        <w:t xml:space="preserve"> da </w:t>
      </w:r>
      <w:r w:rsidR="00A318EB" w:rsidRPr="00337743">
        <w:rPr>
          <w:rFonts w:ascii="Cambria" w:hAnsi="Cambria"/>
          <w:color w:val="000000"/>
          <w:sz w:val="20"/>
          <w:szCs w:val="20"/>
          <w:lang w:val="pt-BR"/>
        </w:rPr>
        <w:t>Constituição</w:t>
      </w:r>
      <w:r w:rsidR="00506331" w:rsidRPr="00337743">
        <w:rPr>
          <w:rFonts w:ascii="Cambria" w:hAnsi="Cambria"/>
          <w:color w:val="000000"/>
          <w:sz w:val="20"/>
          <w:szCs w:val="20"/>
          <w:lang w:val="pt-BR"/>
        </w:rPr>
        <w:t xml:space="preserve"> e a </w:t>
      </w:r>
      <w:r w:rsidR="00A318EB" w:rsidRPr="00337743">
        <w:rPr>
          <w:rFonts w:ascii="Cambria" w:hAnsi="Cambria"/>
          <w:color w:val="000000"/>
          <w:sz w:val="20"/>
          <w:szCs w:val="20"/>
          <w:lang w:val="pt-BR"/>
        </w:rPr>
        <w:t>emissão</w:t>
      </w:r>
      <w:r w:rsidR="007707E3" w:rsidRPr="00337743">
        <w:rPr>
          <w:rFonts w:ascii="Cambria" w:hAnsi="Cambria"/>
          <w:color w:val="000000"/>
          <w:sz w:val="20"/>
          <w:szCs w:val="20"/>
          <w:lang w:val="pt-BR"/>
        </w:rPr>
        <w:t xml:space="preserve"> da </w:t>
      </w:r>
      <w:r w:rsidR="00DB5118" w:rsidRPr="00337743">
        <w:rPr>
          <w:rFonts w:ascii="Cambria" w:hAnsi="Cambria"/>
          <w:color w:val="000000"/>
          <w:sz w:val="20"/>
          <w:szCs w:val="20"/>
          <w:lang w:val="pt-BR"/>
        </w:rPr>
        <w:t>Lei</w:t>
      </w:r>
      <w:r w:rsidR="00E651F5" w:rsidRPr="00337743">
        <w:rPr>
          <w:rFonts w:ascii="Cambria" w:hAnsi="Cambria"/>
          <w:color w:val="000000"/>
          <w:sz w:val="20"/>
          <w:szCs w:val="20"/>
          <w:lang w:val="pt-BR"/>
        </w:rPr>
        <w:t xml:space="preserve"> Maria da Penha</w:t>
      </w:r>
      <w:r w:rsidR="002F43A3"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em </w:t>
      </w:r>
      <w:r w:rsidR="00E651F5" w:rsidRPr="00337743">
        <w:rPr>
          <w:rFonts w:ascii="Cambria" w:hAnsi="Cambria"/>
          <w:color w:val="000000"/>
          <w:sz w:val="20"/>
          <w:szCs w:val="20"/>
          <w:lang w:val="pt-BR"/>
        </w:rPr>
        <w:t xml:space="preserve">especial </w:t>
      </w:r>
      <w:r w:rsidR="004472F5" w:rsidRPr="00337743">
        <w:rPr>
          <w:rFonts w:ascii="Cambria" w:hAnsi="Cambria"/>
          <w:color w:val="000000"/>
          <w:sz w:val="20"/>
          <w:szCs w:val="20"/>
          <w:lang w:val="pt-BR"/>
        </w:rPr>
        <w:t>a parte</w:t>
      </w:r>
      <w:r w:rsidR="00944B98" w:rsidRPr="00337743">
        <w:rPr>
          <w:rFonts w:ascii="Cambria" w:hAnsi="Cambria"/>
          <w:color w:val="000000"/>
          <w:sz w:val="20"/>
          <w:szCs w:val="20"/>
          <w:lang w:val="pt-BR"/>
        </w:rPr>
        <w:t xml:space="preserve"> relativ</w:t>
      </w:r>
      <w:r w:rsidR="004472F5" w:rsidRPr="00337743">
        <w:rPr>
          <w:rFonts w:ascii="Cambria" w:hAnsi="Cambria"/>
          <w:color w:val="000000"/>
          <w:sz w:val="20"/>
          <w:szCs w:val="20"/>
          <w:lang w:val="pt-BR"/>
        </w:rPr>
        <w:t>a</w:t>
      </w:r>
      <w:r w:rsidR="00F453EB" w:rsidRPr="00337743">
        <w:rPr>
          <w:rFonts w:ascii="Cambria" w:hAnsi="Cambria"/>
          <w:color w:val="000000"/>
          <w:sz w:val="20"/>
          <w:szCs w:val="20"/>
          <w:lang w:val="pt-BR"/>
        </w:rPr>
        <w:t xml:space="preserve"> à </w:t>
      </w:r>
      <w:r w:rsidR="004472F5" w:rsidRPr="00337743">
        <w:rPr>
          <w:rFonts w:ascii="Cambria" w:hAnsi="Cambria"/>
          <w:color w:val="000000"/>
          <w:sz w:val="20"/>
          <w:szCs w:val="20"/>
          <w:lang w:val="pt-BR"/>
        </w:rPr>
        <w:t>criação</w:t>
      </w:r>
      <w:r w:rsidR="00E96C24" w:rsidRPr="00337743">
        <w:rPr>
          <w:rFonts w:ascii="Cambria" w:hAnsi="Cambria"/>
          <w:color w:val="000000"/>
          <w:sz w:val="20"/>
          <w:szCs w:val="20"/>
          <w:lang w:val="pt-BR"/>
        </w:rPr>
        <w:t xml:space="preserve"> dos </w:t>
      </w:r>
      <w:r w:rsidR="003A43A5" w:rsidRPr="00337743">
        <w:rPr>
          <w:rFonts w:ascii="Cambria" w:hAnsi="Cambria"/>
          <w:color w:val="000000"/>
          <w:sz w:val="20"/>
          <w:szCs w:val="20"/>
          <w:lang w:val="pt-BR"/>
        </w:rPr>
        <w:t>Juizados</w:t>
      </w:r>
      <w:r w:rsidR="00E651F5" w:rsidRPr="00337743">
        <w:rPr>
          <w:rFonts w:ascii="Cambria" w:hAnsi="Cambria"/>
          <w:color w:val="000000"/>
          <w:sz w:val="20"/>
          <w:szCs w:val="20"/>
          <w:lang w:val="pt-BR"/>
        </w:rPr>
        <w:t xml:space="preserve"> de </w:t>
      </w:r>
      <w:r w:rsidR="004472F5" w:rsidRPr="00337743">
        <w:rPr>
          <w:rFonts w:ascii="Cambria" w:hAnsi="Cambria"/>
          <w:color w:val="000000"/>
          <w:sz w:val="20"/>
          <w:szCs w:val="20"/>
          <w:lang w:val="pt-BR"/>
        </w:rPr>
        <w:t>Violência</w:t>
      </w:r>
      <w:r w:rsidR="00E651F5" w:rsidRPr="00337743">
        <w:rPr>
          <w:rFonts w:ascii="Cambria" w:hAnsi="Cambria"/>
          <w:color w:val="000000"/>
          <w:sz w:val="20"/>
          <w:szCs w:val="20"/>
          <w:lang w:val="pt-BR"/>
        </w:rPr>
        <w:t xml:space="preserve"> Doméstica</w:t>
      </w:r>
      <w:r w:rsidR="00506331" w:rsidRPr="00337743">
        <w:rPr>
          <w:rFonts w:ascii="Cambria" w:hAnsi="Cambria"/>
          <w:color w:val="000000"/>
          <w:sz w:val="20"/>
          <w:szCs w:val="20"/>
          <w:lang w:val="pt-BR"/>
        </w:rPr>
        <w:t xml:space="preserve"> e </w:t>
      </w:r>
      <w:r w:rsidR="00E651F5" w:rsidRPr="00337743">
        <w:rPr>
          <w:rFonts w:ascii="Cambria" w:hAnsi="Cambria"/>
          <w:color w:val="000000"/>
          <w:sz w:val="20"/>
          <w:szCs w:val="20"/>
          <w:lang w:val="pt-BR"/>
        </w:rPr>
        <w:t>Familiar contra</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Mulher</w:t>
      </w:r>
      <w:r w:rsidR="00506331" w:rsidRPr="00337743">
        <w:rPr>
          <w:rFonts w:ascii="Cambria" w:hAnsi="Cambria"/>
          <w:color w:val="000000"/>
          <w:sz w:val="20"/>
          <w:szCs w:val="20"/>
          <w:lang w:val="pt-BR"/>
        </w:rPr>
        <w:t xml:space="preserve"> e </w:t>
      </w:r>
      <w:r w:rsidR="00E651F5" w:rsidRPr="00337743">
        <w:rPr>
          <w:rFonts w:ascii="Cambria" w:hAnsi="Cambria"/>
          <w:color w:val="000000"/>
          <w:sz w:val="20"/>
          <w:szCs w:val="20"/>
          <w:lang w:val="pt-BR"/>
        </w:rPr>
        <w:t>implementa</w:t>
      </w:r>
      <w:r w:rsidR="00350E7E" w:rsidRPr="00337743">
        <w:rPr>
          <w:rFonts w:ascii="Cambria" w:hAnsi="Cambria"/>
          <w:color w:val="000000"/>
          <w:sz w:val="20"/>
          <w:szCs w:val="20"/>
          <w:lang w:val="pt-BR"/>
        </w:rPr>
        <w:t>ção</w:t>
      </w:r>
      <w:r w:rsidR="00E651F5" w:rsidRPr="00337743">
        <w:rPr>
          <w:rFonts w:ascii="Cambria" w:hAnsi="Cambria"/>
          <w:color w:val="000000"/>
          <w:sz w:val="20"/>
          <w:szCs w:val="20"/>
          <w:lang w:val="pt-BR"/>
        </w:rPr>
        <w:t xml:space="preserve"> de medidas de </w:t>
      </w:r>
      <w:r w:rsidR="004472F5" w:rsidRPr="00337743">
        <w:rPr>
          <w:rFonts w:ascii="Cambria" w:hAnsi="Cambria"/>
          <w:color w:val="000000"/>
          <w:sz w:val="20"/>
          <w:szCs w:val="20"/>
          <w:lang w:val="pt-BR"/>
        </w:rPr>
        <w:t>assistência</w:t>
      </w:r>
      <w:r w:rsidR="00506331" w:rsidRPr="00337743">
        <w:rPr>
          <w:rFonts w:ascii="Cambria" w:hAnsi="Cambria"/>
          <w:color w:val="000000"/>
          <w:sz w:val="20"/>
          <w:szCs w:val="20"/>
          <w:lang w:val="pt-BR"/>
        </w:rPr>
        <w:t xml:space="preserve"> e </w:t>
      </w:r>
      <w:r w:rsidR="00E651F5" w:rsidRPr="00337743">
        <w:rPr>
          <w:rFonts w:ascii="Cambria" w:hAnsi="Cambria"/>
          <w:color w:val="000000"/>
          <w:sz w:val="20"/>
          <w:szCs w:val="20"/>
          <w:lang w:val="pt-BR"/>
        </w:rPr>
        <w:t>prote</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7707E3" w:rsidRPr="00337743">
        <w:rPr>
          <w:rFonts w:ascii="Cambria" w:hAnsi="Cambria"/>
          <w:color w:val="000000"/>
          <w:sz w:val="20"/>
          <w:szCs w:val="20"/>
          <w:lang w:val="pt-BR"/>
        </w:rPr>
        <w:t xml:space="preserve"> às </w:t>
      </w:r>
      <w:r w:rsidR="00DB5118" w:rsidRPr="00337743">
        <w:rPr>
          <w:rFonts w:ascii="Cambria" w:hAnsi="Cambria"/>
          <w:color w:val="000000"/>
          <w:sz w:val="20"/>
          <w:szCs w:val="20"/>
          <w:lang w:val="pt-BR"/>
        </w:rPr>
        <w:t>mulher</w:t>
      </w:r>
      <w:r w:rsidR="00E651F5" w:rsidRPr="00337743">
        <w:rPr>
          <w:rFonts w:ascii="Cambria" w:hAnsi="Cambria"/>
          <w:color w:val="000000"/>
          <w:sz w:val="20"/>
          <w:szCs w:val="20"/>
          <w:lang w:val="pt-BR"/>
        </w:rPr>
        <w:t>es</w:t>
      </w:r>
      <w:r w:rsidR="00091880" w:rsidRPr="00337743">
        <w:rPr>
          <w:rFonts w:ascii="Cambria" w:hAnsi="Cambria"/>
          <w:color w:val="000000"/>
          <w:sz w:val="20"/>
          <w:szCs w:val="20"/>
          <w:lang w:val="pt-BR"/>
        </w:rPr>
        <w:t xml:space="preserve"> em </w:t>
      </w:r>
      <w:r w:rsidR="00E651F5" w:rsidRPr="00337743">
        <w:rPr>
          <w:rFonts w:ascii="Cambria" w:hAnsi="Cambria"/>
          <w:color w:val="000000"/>
          <w:sz w:val="20"/>
          <w:szCs w:val="20"/>
          <w:lang w:val="pt-BR"/>
        </w:rPr>
        <w:t>situa</w:t>
      </w:r>
      <w:r w:rsidR="00350E7E" w:rsidRPr="00337743">
        <w:rPr>
          <w:rFonts w:ascii="Cambria" w:hAnsi="Cambria"/>
          <w:color w:val="000000"/>
          <w:sz w:val="20"/>
          <w:szCs w:val="20"/>
          <w:lang w:val="pt-BR"/>
        </w:rPr>
        <w:t>ção</w:t>
      </w:r>
      <w:r w:rsidR="00E651F5" w:rsidRPr="00337743">
        <w:rPr>
          <w:rFonts w:ascii="Cambria" w:hAnsi="Cambria"/>
          <w:color w:val="000000"/>
          <w:sz w:val="20"/>
          <w:szCs w:val="20"/>
          <w:lang w:val="pt-BR"/>
        </w:rPr>
        <w:t xml:space="preserve"> de </w:t>
      </w:r>
      <w:r w:rsidR="004472F5" w:rsidRPr="00337743">
        <w:rPr>
          <w:rFonts w:ascii="Cambria" w:hAnsi="Cambria"/>
          <w:color w:val="000000"/>
          <w:sz w:val="20"/>
          <w:szCs w:val="20"/>
          <w:lang w:val="pt-BR"/>
        </w:rPr>
        <w:t>violência</w:t>
      </w:r>
      <w:r w:rsidR="00E651F5" w:rsidRPr="00337743">
        <w:rPr>
          <w:rFonts w:ascii="Cambria" w:hAnsi="Cambria"/>
          <w:color w:val="000000"/>
          <w:sz w:val="20"/>
          <w:szCs w:val="20"/>
          <w:lang w:val="pt-BR"/>
        </w:rPr>
        <w:t xml:space="preserve"> doméstica</w:t>
      </w:r>
      <w:r w:rsidR="00506331" w:rsidRPr="00337743">
        <w:rPr>
          <w:rFonts w:ascii="Cambria" w:hAnsi="Cambria"/>
          <w:color w:val="000000"/>
          <w:sz w:val="20"/>
          <w:szCs w:val="20"/>
          <w:lang w:val="pt-BR"/>
        </w:rPr>
        <w:t xml:space="preserve"> e </w:t>
      </w:r>
      <w:r w:rsidR="00E651F5" w:rsidRPr="00337743">
        <w:rPr>
          <w:rFonts w:ascii="Cambria" w:hAnsi="Cambria"/>
          <w:color w:val="000000"/>
          <w:sz w:val="20"/>
          <w:szCs w:val="20"/>
          <w:lang w:val="pt-BR"/>
        </w:rPr>
        <w:t>familiar.</w:t>
      </w:r>
    </w:p>
    <w:p w14:paraId="1D34C4BE" w14:textId="77777777" w:rsidR="00E651F5" w:rsidRPr="00337743" w:rsidRDefault="00E651F5" w:rsidP="00E651F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color w:val="000000"/>
          <w:sz w:val="20"/>
          <w:szCs w:val="20"/>
          <w:lang w:val="pt-BR"/>
        </w:rPr>
      </w:pPr>
    </w:p>
    <w:p w14:paraId="0C6C6AEB" w14:textId="77777777" w:rsidR="007C756A" w:rsidRPr="00337743" w:rsidRDefault="00D12193" w:rsidP="00F541B0">
      <w:pPr>
        <w:pStyle w:val="Heading1"/>
        <w:spacing w:before="0"/>
        <w:ind w:hanging="90"/>
        <w:rPr>
          <w:color w:val="auto"/>
          <w:sz w:val="20"/>
          <w:szCs w:val="20"/>
          <w:lang w:val="pt-BR"/>
        </w:rPr>
      </w:pPr>
      <w:bookmarkStart w:id="8" w:name="_Toc5890567"/>
      <w:r w:rsidRPr="00337743">
        <w:rPr>
          <w:color w:val="auto"/>
          <w:sz w:val="20"/>
          <w:szCs w:val="20"/>
          <w:lang w:val="pt-BR"/>
        </w:rPr>
        <w:t>DETERMINA</w:t>
      </w:r>
      <w:r w:rsidR="00350E7E" w:rsidRPr="00337743">
        <w:rPr>
          <w:color w:val="auto"/>
          <w:sz w:val="20"/>
          <w:szCs w:val="20"/>
          <w:lang w:val="pt-BR"/>
        </w:rPr>
        <w:t>ÇÕES</w:t>
      </w:r>
      <w:r w:rsidRPr="00337743">
        <w:rPr>
          <w:color w:val="auto"/>
          <w:sz w:val="20"/>
          <w:szCs w:val="20"/>
          <w:lang w:val="pt-BR"/>
        </w:rPr>
        <w:t xml:space="preserve"> DE</w:t>
      </w:r>
      <w:r w:rsidR="00D2620E" w:rsidRPr="00337743">
        <w:rPr>
          <w:color w:val="auto"/>
          <w:sz w:val="20"/>
          <w:szCs w:val="20"/>
          <w:lang w:val="pt-BR"/>
        </w:rPr>
        <w:t xml:space="preserve"> FAT</w:t>
      </w:r>
      <w:r w:rsidRPr="00337743">
        <w:rPr>
          <w:color w:val="auto"/>
          <w:sz w:val="20"/>
          <w:szCs w:val="20"/>
          <w:lang w:val="pt-BR"/>
        </w:rPr>
        <w:t>O</w:t>
      </w:r>
      <w:bookmarkEnd w:id="8"/>
    </w:p>
    <w:p w14:paraId="364E6E32" w14:textId="77777777" w:rsidR="00161489" w:rsidRPr="00337743" w:rsidRDefault="00161489" w:rsidP="00161489">
      <w:pPr>
        <w:rPr>
          <w:rFonts w:ascii="Cambria" w:hAnsi="Cambria"/>
          <w:sz w:val="20"/>
          <w:szCs w:val="20"/>
          <w:lang w:val="pt-BR"/>
        </w:rPr>
      </w:pPr>
    </w:p>
    <w:p w14:paraId="79E6502C" w14:textId="77777777" w:rsidR="00815021" w:rsidRPr="00337743" w:rsidRDefault="005D6673" w:rsidP="00161489">
      <w:pPr>
        <w:pStyle w:val="Heading2"/>
        <w:numPr>
          <w:ilvl w:val="0"/>
          <w:numId w:val="58"/>
        </w:numPr>
        <w:spacing w:before="0"/>
        <w:ind w:hanging="90"/>
        <w:rPr>
          <w:rFonts w:ascii="Cambria" w:hAnsi="Cambria"/>
          <w:i w:val="0"/>
          <w:sz w:val="20"/>
          <w:szCs w:val="20"/>
          <w:lang w:val="pt-BR"/>
        </w:rPr>
      </w:pPr>
      <w:bookmarkStart w:id="9" w:name="_Toc5890568"/>
      <w:r w:rsidRPr="00337743">
        <w:rPr>
          <w:rFonts w:ascii="Cambria" w:hAnsi="Cambria"/>
          <w:i w:val="0"/>
          <w:sz w:val="20"/>
          <w:szCs w:val="20"/>
          <w:lang w:val="pt-BR"/>
        </w:rPr>
        <w:t>Contexto</w:t>
      </w:r>
      <w:bookmarkEnd w:id="9"/>
    </w:p>
    <w:p w14:paraId="139EAA4A" w14:textId="77777777" w:rsidR="00AF25A6" w:rsidRPr="00337743" w:rsidRDefault="00AF25A6" w:rsidP="00AF25A6">
      <w:pPr>
        <w:pStyle w:val="GradeClara-nfase31"/>
        <w:ind w:left="1440"/>
        <w:rPr>
          <w:b/>
          <w:color w:val="auto"/>
          <w:sz w:val="20"/>
          <w:szCs w:val="20"/>
          <w:lang w:val="pt-BR"/>
        </w:rPr>
      </w:pPr>
    </w:p>
    <w:p w14:paraId="48F78790" w14:textId="77777777" w:rsidR="00AF25A6" w:rsidRPr="00337743" w:rsidRDefault="009D71DA" w:rsidP="00FA1D8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A</w:t>
      </w:r>
      <w:r w:rsidR="003549C9" w:rsidRPr="00337743">
        <w:rPr>
          <w:rFonts w:ascii="Cambria" w:hAnsi="Cambria"/>
          <w:sz w:val="20"/>
          <w:szCs w:val="20"/>
          <w:lang w:val="pt-BR"/>
        </w:rPr>
        <w:t xml:space="preserve"> parte </w:t>
      </w:r>
      <w:r w:rsidR="007707E3" w:rsidRPr="00337743">
        <w:rPr>
          <w:rFonts w:ascii="Cambria" w:hAnsi="Cambria"/>
          <w:sz w:val="20"/>
          <w:szCs w:val="20"/>
          <w:lang w:val="pt-BR"/>
        </w:rPr>
        <w:t>peticionária</w:t>
      </w:r>
      <w:r w:rsidR="009468EE" w:rsidRPr="00337743">
        <w:rPr>
          <w:rFonts w:ascii="Cambria" w:hAnsi="Cambria"/>
          <w:sz w:val="20"/>
          <w:szCs w:val="20"/>
          <w:lang w:val="pt-BR"/>
        </w:rPr>
        <w:t xml:space="preserve"> indic</w:t>
      </w:r>
      <w:r w:rsidR="00A6443F" w:rsidRPr="00337743">
        <w:rPr>
          <w:rFonts w:ascii="Cambria" w:hAnsi="Cambria"/>
          <w:sz w:val="20"/>
          <w:szCs w:val="20"/>
          <w:lang w:val="pt-BR"/>
        </w:rPr>
        <w:t xml:space="preserve">ou </w:t>
      </w:r>
      <w:r w:rsidR="009468EE" w:rsidRPr="00337743">
        <w:rPr>
          <w:rFonts w:ascii="Cambria" w:hAnsi="Cambria"/>
          <w:sz w:val="20"/>
          <w:szCs w:val="20"/>
          <w:lang w:val="pt-BR"/>
        </w:rPr>
        <w:t>que</w:t>
      </w:r>
      <w:r w:rsidR="00506331" w:rsidRPr="00337743">
        <w:rPr>
          <w:rFonts w:ascii="Cambria" w:hAnsi="Cambria"/>
          <w:sz w:val="20"/>
          <w:szCs w:val="20"/>
          <w:lang w:val="pt-BR"/>
        </w:rPr>
        <w:t xml:space="preserve"> o </w:t>
      </w:r>
      <w:r w:rsidR="00D56531" w:rsidRPr="00337743">
        <w:rPr>
          <w:rFonts w:ascii="Cambria" w:hAnsi="Cambria"/>
          <w:sz w:val="20"/>
          <w:szCs w:val="20"/>
          <w:lang w:val="pt-BR"/>
        </w:rPr>
        <w:t>as</w:t>
      </w:r>
      <w:r w:rsidRPr="00337743">
        <w:rPr>
          <w:rFonts w:ascii="Cambria" w:hAnsi="Cambria"/>
          <w:sz w:val="20"/>
          <w:szCs w:val="20"/>
          <w:lang w:val="pt-BR"/>
        </w:rPr>
        <w:t>sas</w:t>
      </w:r>
      <w:r w:rsidR="00D56531" w:rsidRPr="00337743">
        <w:rPr>
          <w:rFonts w:ascii="Cambria" w:hAnsi="Cambria"/>
          <w:sz w:val="20"/>
          <w:szCs w:val="20"/>
          <w:lang w:val="pt-BR"/>
        </w:rPr>
        <w:t xml:space="preserve">sinato de </w:t>
      </w:r>
      <w:r w:rsidR="009468EE" w:rsidRPr="00337743">
        <w:rPr>
          <w:rFonts w:ascii="Cambria" w:hAnsi="Cambria"/>
          <w:sz w:val="20"/>
          <w:szCs w:val="20"/>
          <w:lang w:val="pt-BR"/>
        </w:rPr>
        <w:t>Márcia Barbosa de Souza</w:t>
      </w:r>
      <w:r w:rsidR="00506331" w:rsidRPr="00337743">
        <w:rPr>
          <w:rFonts w:ascii="Cambria" w:hAnsi="Cambria"/>
          <w:sz w:val="20"/>
          <w:szCs w:val="20"/>
          <w:lang w:val="pt-BR"/>
        </w:rPr>
        <w:t xml:space="preserve"> e a </w:t>
      </w:r>
      <w:r w:rsidR="00D56531" w:rsidRPr="00337743">
        <w:rPr>
          <w:rFonts w:ascii="Cambria" w:hAnsi="Cambria"/>
          <w:sz w:val="20"/>
          <w:szCs w:val="20"/>
          <w:lang w:val="pt-BR"/>
        </w:rPr>
        <w:t>posterior impunidad</w:t>
      </w:r>
      <w:r w:rsidR="00DB5118" w:rsidRPr="00337743">
        <w:rPr>
          <w:rFonts w:ascii="Cambria" w:hAnsi="Cambria"/>
          <w:sz w:val="20"/>
          <w:szCs w:val="20"/>
          <w:lang w:val="pt-BR"/>
        </w:rPr>
        <w:t>e fazem</w:t>
      </w:r>
      <w:r w:rsidR="00D56531" w:rsidRPr="00337743">
        <w:rPr>
          <w:rFonts w:ascii="Cambria" w:hAnsi="Cambria"/>
          <w:sz w:val="20"/>
          <w:szCs w:val="20"/>
          <w:lang w:val="pt-BR"/>
        </w:rPr>
        <w:t xml:space="preserve"> </w:t>
      </w:r>
      <w:r w:rsidR="009468EE" w:rsidRPr="00337743">
        <w:rPr>
          <w:rFonts w:ascii="Cambria" w:hAnsi="Cambria"/>
          <w:sz w:val="20"/>
          <w:szCs w:val="20"/>
          <w:lang w:val="pt-BR"/>
        </w:rPr>
        <w:t>parte de</w:t>
      </w:r>
      <w:r w:rsidR="00091880" w:rsidRPr="00337743">
        <w:rPr>
          <w:rFonts w:ascii="Cambria" w:hAnsi="Cambria"/>
          <w:sz w:val="20"/>
          <w:szCs w:val="20"/>
          <w:lang w:val="pt-BR"/>
        </w:rPr>
        <w:t xml:space="preserve"> um </w:t>
      </w:r>
      <w:r w:rsidR="004472F5" w:rsidRPr="00337743">
        <w:rPr>
          <w:rFonts w:ascii="Cambria" w:hAnsi="Cambria"/>
          <w:sz w:val="20"/>
          <w:szCs w:val="20"/>
          <w:lang w:val="pt-BR"/>
        </w:rPr>
        <w:t>quadro</w:t>
      </w:r>
      <w:r w:rsidR="009468EE" w:rsidRPr="00337743">
        <w:rPr>
          <w:rFonts w:ascii="Cambria" w:hAnsi="Cambria"/>
          <w:sz w:val="20"/>
          <w:szCs w:val="20"/>
          <w:lang w:val="pt-BR"/>
        </w:rPr>
        <w:t xml:space="preserve"> de </w:t>
      </w:r>
      <w:r w:rsidR="0085363F" w:rsidRPr="00337743">
        <w:rPr>
          <w:rFonts w:ascii="Cambria" w:hAnsi="Cambria"/>
          <w:sz w:val="20"/>
          <w:szCs w:val="20"/>
          <w:lang w:val="pt-BR"/>
        </w:rPr>
        <w:t>discrimina</w:t>
      </w:r>
      <w:r w:rsidR="00350E7E" w:rsidRPr="00337743">
        <w:rPr>
          <w:rFonts w:ascii="Cambria" w:hAnsi="Cambria"/>
          <w:sz w:val="20"/>
          <w:szCs w:val="20"/>
          <w:lang w:val="pt-BR"/>
        </w:rPr>
        <w:t>ção</w:t>
      </w:r>
      <w:r w:rsidR="0085363F" w:rsidRPr="00337743">
        <w:rPr>
          <w:rFonts w:ascii="Cambria" w:hAnsi="Cambria"/>
          <w:sz w:val="20"/>
          <w:szCs w:val="20"/>
          <w:lang w:val="pt-BR"/>
        </w:rPr>
        <w:t xml:space="preserve"> por parte</w:t>
      </w:r>
      <w:r w:rsidR="00E96C24" w:rsidRPr="00337743">
        <w:rPr>
          <w:rFonts w:ascii="Cambria" w:hAnsi="Cambria"/>
          <w:sz w:val="20"/>
          <w:szCs w:val="20"/>
          <w:lang w:val="pt-BR"/>
        </w:rPr>
        <w:t xml:space="preserve"> dos </w:t>
      </w:r>
      <w:r w:rsidR="008E4855" w:rsidRPr="00337743">
        <w:rPr>
          <w:rFonts w:ascii="Cambria" w:hAnsi="Cambria"/>
          <w:sz w:val="20"/>
          <w:szCs w:val="20"/>
          <w:lang w:val="pt-BR"/>
        </w:rPr>
        <w:t>p</w:t>
      </w:r>
      <w:r w:rsidR="0085363F" w:rsidRPr="00337743">
        <w:rPr>
          <w:rFonts w:ascii="Cambria" w:hAnsi="Cambria"/>
          <w:sz w:val="20"/>
          <w:szCs w:val="20"/>
          <w:lang w:val="pt-BR"/>
        </w:rPr>
        <w:t>oderes estat</w:t>
      </w:r>
      <w:r w:rsidR="007707E3" w:rsidRPr="00337743">
        <w:rPr>
          <w:rFonts w:ascii="Cambria" w:hAnsi="Cambria"/>
          <w:sz w:val="20"/>
          <w:szCs w:val="20"/>
          <w:lang w:val="pt-BR"/>
        </w:rPr>
        <w:t>ais</w:t>
      </w:r>
      <w:r w:rsidR="0085363F" w:rsidRPr="00337743">
        <w:rPr>
          <w:rFonts w:ascii="Cambria" w:hAnsi="Cambria"/>
          <w:sz w:val="20"/>
          <w:szCs w:val="20"/>
          <w:lang w:val="pt-BR"/>
        </w:rPr>
        <w:t>,</w:t>
      </w:r>
      <w:r w:rsidR="00091880" w:rsidRPr="00337743">
        <w:rPr>
          <w:rFonts w:ascii="Cambria" w:hAnsi="Cambria"/>
          <w:sz w:val="20"/>
          <w:szCs w:val="20"/>
          <w:lang w:val="pt-BR"/>
        </w:rPr>
        <w:t xml:space="preserve"> em </w:t>
      </w:r>
      <w:r w:rsidR="0085363F" w:rsidRPr="00337743">
        <w:rPr>
          <w:rFonts w:ascii="Cambria" w:hAnsi="Cambria"/>
          <w:sz w:val="20"/>
          <w:szCs w:val="20"/>
          <w:lang w:val="pt-BR"/>
        </w:rPr>
        <w:t>especial</w:t>
      </w:r>
      <w:r w:rsidR="00506331" w:rsidRPr="00337743">
        <w:rPr>
          <w:rFonts w:ascii="Cambria" w:hAnsi="Cambria"/>
          <w:sz w:val="20"/>
          <w:szCs w:val="20"/>
          <w:lang w:val="pt-BR"/>
        </w:rPr>
        <w:t xml:space="preserve"> o </w:t>
      </w:r>
      <w:r w:rsidR="0085363F" w:rsidRPr="00337743">
        <w:rPr>
          <w:rFonts w:ascii="Cambria" w:hAnsi="Cambria"/>
          <w:sz w:val="20"/>
          <w:szCs w:val="20"/>
          <w:lang w:val="pt-BR"/>
        </w:rPr>
        <w:t>Poder Judici</w:t>
      </w:r>
      <w:r w:rsidR="00DB5118" w:rsidRPr="00337743">
        <w:rPr>
          <w:rFonts w:ascii="Cambria" w:hAnsi="Cambria"/>
          <w:sz w:val="20"/>
          <w:szCs w:val="20"/>
          <w:lang w:val="pt-BR"/>
        </w:rPr>
        <w:t>ário</w:t>
      </w:r>
      <w:r w:rsidR="008E4855" w:rsidRPr="00337743">
        <w:rPr>
          <w:rFonts w:ascii="Cambria" w:hAnsi="Cambria"/>
          <w:sz w:val="20"/>
          <w:szCs w:val="20"/>
          <w:lang w:val="pt-BR"/>
        </w:rPr>
        <w:t>,</w:t>
      </w:r>
      <w:r w:rsidR="00091880" w:rsidRPr="00337743">
        <w:rPr>
          <w:rFonts w:ascii="Cambria" w:hAnsi="Cambria"/>
          <w:sz w:val="20"/>
          <w:szCs w:val="20"/>
          <w:lang w:val="pt-BR"/>
        </w:rPr>
        <w:t xml:space="preserve"> em </w:t>
      </w:r>
      <w:r w:rsidR="0085363F" w:rsidRPr="00337743">
        <w:rPr>
          <w:rFonts w:ascii="Cambria" w:hAnsi="Cambria"/>
          <w:sz w:val="20"/>
          <w:szCs w:val="20"/>
          <w:lang w:val="pt-BR"/>
        </w:rPr>
        <w:t>casos de</w:t>
      </w:r>
      <w:r w:rsidR="001B4357" w:rsidRPr="00337743">
        <w:rPr>
          <w:rFonts w:ascii="Cambria" w:hAnsi="Cambria"/>
          <w:sz w:val="20"/>
          <w:szCs w:val="20"/>
          <w:lang w:val="pt-BR"/>
        </w:rPr>
        <w:t xml:space="preserve"> </w:t>
      </w:r>
      <w:r w:rsidR="004472F5" w:rsidRPr="00337743">
        <w:rPr>
          <w:rFonts w:ascii="Cambria" w:hAnsi="Cambria"/>
          <w:sz w:val="20"/>
          <w:szCs w:val="20"/>
          <w:lang w:val="pt-BR"/>
        </w:rPr>
        <w:t>violência</w:t>
      </w:r>
      <w:r w:rsidR="001B4357"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85363F" w:rsidRPr="00337743">
        <w:rPr>
          <w:rFonts w:ascii="Cambria" w:hAnsi="Cambria"/>
          <w:sz w:val="20"/>
          <w:szCs w:val="20"/>
          <w:vertAlign w:val="superscript"/>
          <w:lang w:val="pt-BR"/>
        </w:rPr>
        <w:footnoteReference w:id="3"/>
      </w:r>
      <w:r w:rsidR="001B4357" w:rsidRPr="00337743">
        <w:rPr>
          <w:rFonts w:ascii="Cambria" w:hAnsi="Cambria"/>
          <w:sz w:val="20"/>
          <w:szCs w:val="20"/>
          <w:lang w:val="pt-BR"/>
        </w:rPr>
        <w:t>.</w:t>
      </w:r>
      <w:r w:rsidR="00091880" w:rsidRPr="00337743">
        <w:rPr>
          <w:rFonts w:ascii="Cambria" w:hAnsi="Cambria"/>
          <w:sz w:val="20"/>
          <w:szCs w:val="20"/>
          <w:lang w:val="pt-BR"/>
        </w:rPr>
        <w:t xml:space="preserve"> </w:t>
      </w:r>
      <w:r w:rsidR="00DB5118" w:rsidRPr="00337743">
        <w:rPr>
          <w:rFonts w:ascii="Cambria" w:hAnsi="Cambria"/>
          <w:sz w:val="20"/>
          <w:szCs w:val="20"/>
          <w:lang w:val="pt-BR"/>
        </w:rPr>
        <w:t>Nas</w:t>
      </w:r>
      <w:r w:rsidR="00091880" w:rsidRPr="00337743">
        <w:rPr>
          <w:rFonts w:ascii="Cambria" w:hAnsi="Cambria"/>
          <w:sz w:val="20"/>
          <w:szCs w:val="20"/>
          <w:lang w:val="pt-BR"/>
        </w:rPr>
        <w:t xml:space="preserve"> </w:t>
      </w:r>
      <w:r w:rsidR="004472F5" w:rsidRPr="00337743">
        <w:rPr>
          <w:rFonts w:ascii="Cambria" w:hAnsi="Cambria"/>
          <w:sz w:val="20"/>
          <w:szCs w:val="20"/>
          <w:lang w:val="pt-BR"/>
        </w:rPr>
        <w:t>palavras</w:t>
      </w:r>
      <w:r w:rsidR="007707E3" w:rsidRPr="00337743">
        <w:rPr>
          <w:rFonts w:ascii="Cambria" w:hAnsi="Cambria"/>
          <w:sz w:val="20"/>
          <w:szCs w:val="20"/>
          <w:lang w:val="pt-BR"/>
        </w:rPr>
        <w:t xml:space="preserve"> da </w:t>
      </w:r>
      <w:r w:rsidR="001B4357" w:rsidRPr="00337743">
        <w:rPr>
          <w:rFonts w:ascii="Cambria" w:hAnsi="Cambria"/>
          <w:sz w:val="20"/>
          <w:szCs w:val="20"/>
          <w:lang w:val="pt-BR"/>
        </w:rPr>
        <w:t xml:space="preserve">parte </w:t>
      </w:r>
      <w:r w:rsidR="007707E3" w:rsidRPr="00337743">
        <w:rPr>
          <w:rFonts w:ascii="Cambria" w:hAnsi="Cambria"/>
          <w:sz w:val="20"/>
          <w:szCs w:val="20"/>
          <w:lang w:val="pt-BR"/>
        </w:rPr>
        <w:t>peticionária</w:t>
      </w:r>
      <w:r w:rsidR="001B4357" w:rsidRPr="00337743">
        <w:rPr>
          <w:rFonts w:ascii="Cambria" w:hAnsi="Cambria"/>
          <w:sz w:val="20"/>
          <w:szCs w:val="20"/>
          <w:lang w:val="pt-BR"/>
        </w:rPr>
        <w:t>,</w:t>
      </w:r>
      <w:r w:rsidR="00506331" w:rsidRPr="00337743">
        <w:rPr>
          <w:rFonts w:ascii="Cambria" w:hAnsi="Cambria"/>
          <w:sz w:val="20"/>
          <w:szCs w:val="20"/>
          <w:lang w:val="pt-BR"/>
        </w:rPr>
        <w:t xml:space="preserve"> a </w:t>
      </w:r>
      <w:r w:rsidR="00DB5118" w:rsidRPr="00337743">
        <w:rPr>
          <w:rFonts w:ascii="Cambria" w:hAnsi="Cambria"/>
          <w:sz w:val="20"/>
          <w:szCs w:val="20"/>
          <w:lang w:val="pt-BR"/>
        </w:rPr>
        <w:t>im</w:t>
      </w:r>
      <w:r w:rsidR="009D5ABA" w:rsidRPr="00337743">
        <w:rPr>
          <w:rFonts w:ascii="Cambria" w:hAnsi="Cambria"/>
          <w:sz w:val="20"/>
          <w:szCs w:val="20"/>
          <w:lang w:val="pt-BR"/>
        </w:rPr>
        <w:t>uni</w:t>
      </w:r>
      <w:r w:rsidR="00350E7E" w:rsidRPr="00337743">
        <w:rPr>
          <w:rFonts w:ascii="Cambria" w:hAnsi="Cambria"/>
          <w:sz w:val="20"/>
          <w:szCs w:val="20"/>
          <w:lang w:val="pt-BR"/>
        </w:rPr>
        <w:t xml:space="preserve">dade </w:t>
      </w:r>
      <w:r w:rsidR="009D5ABA" w:rsidRPr="00337743">
        <w:rPr>
          <w:rFonts w:ascii="Cambria" w:hAnsi="Cambria"/>
          <w:sz w:val="20"/>
          <w:szCs w:val="20"/>
          <w:lang w:val="pt-BR"/>
        </w:rPr>
        <w:t>parlamentar f</w:t>
      </w:r>
      <w:r w:rsidR="00DB5118" w:rsidRPr="00337743">
        <w:rPr>
          <w:rFonts w:ascii="Cambria" w:hAnsi="Cambria"/>
          <w:sz w:val="20"/>
          <w:szCs w:val="20"/>
          <w:lang w:val="pt-BR"/>
        </w:rPr>
        <w:t>az</w:t>
      </w:r>
      <w:r w:rsidR="009D5ABA" w:rsidRPr="00337743">
        <w:rPr>
          <w:rFonts w:ascii="Cambria" w:hAnsi="Cambria"/>
          <w:sz w:val="20"/>
          <w:szCs w:val="20"/>
          <w:lang w:val="pt-BR"/>
        </w:rPr>
        <w:t xml:space="preserve"> parte de</w:t>
      </w:r>
      <w:r w:rsidR="00091880" w:rsidRPr="00337743">
        <w:rPr>
          <w:rFonts w:ascii="Cambria" w:hAnsi="Cambria"/>
          <w:sz w:val="20"/>
          <w:szCs w:val="20"/>
          <w:lang w:val="pt-BR"/>
        </w:rPr>
        <w:t xml:space="preserve"> uma </w:t>
      </w:r>
      <w:r w:rsidR="009D5ABA" w:rsidRPr="00337743">
        <w:rPr>
          <w:rFonts w:ascii="Cambria" w:hAnsi="Cambria"/>
          <w:sz w:val="20"/>
          <w:szCs w:val="20"/>
          <w:lang w:val="pt-BR"/>
        </w:rPr>
        <w:t xml:space="preserve">“agenda de </w:t>
      </w:r>
      <w:r w:rsidR="004472F5" w:rsidRPr="00337743">
        <w:rPr>
          <w:rFonts w:ascii="Cambria" w:hAnsi="Cambria"/>
          <w:sz w:val="20"/>
          <w:szCs w:val="20"/>
          <w:lang w:val="pt-BR"/>
        </w:rPr>
        <w:t>impunidade</w:t>
      </w:r>
      <w:r w:rsidR="009D5ABA" w:rsidRPr="00337743">
        <w:rPr>
          <w:rFonts w:ascii="Cambria" w:hAnsi="Cambria"/>
          <w:sz w:val="20"/>
          <w:szCs w:val="20"/>
          <w:lang w:val="pt-BR"/>
        </w:rPr>
        <w:t>”</w:t>
      </w:r>
      <w:r w:rsidR="00DB5118" w:rsidRPr="00337743">
        <w:rPr>
          <w:rFonts w:ascii="Cambria" w:hAnsi="Cambria"/>
          <w:sz w:val="20"/>
          <w:szCs w:val="20"/>
          <w:lang w:val="pt-BR"/>
        </w:rPr>
        <w:t xml:space="preserve"> das </w:t>
      </w:r>
      <w:r w:rsidR="007C3BE6" w:rsidRPr="00337743">
        <w:rPr>
          <w:rFonts w:ascii="Cambria" w:hAnsi="Cambria"/>
          <w:sz w:val="20"/>
          <w:szCs w:val="20"/>
          <w:lang w:val="pt-BR"/>
        </w:rPr>
        <w:t>viola</w:t>
      </w:r>
      <w:r w:rsidR="00350E7E" w:rsidRPr="00337743">
        <w:rPr>
          <w:rFonts w:ascii="Cambria" w:hAnsi="Cambria"/>
          <w:sz w:val="20"/>
          <w:szCs w:val="20"/>
          <w:lang w:val="pt-BR"/>
        </w:rPr>
        <w:t>ções</w:t>
      </w:r>
      <w:r w:rsidR="007C3BE6" w:rsidRPr="00337743">
        <w:rPr>
          <w:rFonts w:ascii="Cambria" w:hAnsi="Cambria"/>
          <w:sz w:val="20"/>
          <w:szCs w:val="20"/>
          <w:lang w:val="pt-BR"/>
        </w:rPr>
        <w:t xml:space="preserve"> cometidas por políticos</w:t>
      </w:r>
      <w:r w:rsidR="009D5ABA" w:rsidRPr="00337743">
        <w:rPr>
          <w:rFonts w:ascii="Cambria" w:hAnsi="Cambria"/>
          <w:color w:val="000000"/>
          <w:sz w:val="20"/>
          <w:szCs w:val="20"/>
          <w:vertAlign w:val="superscript"/>
          <w:lang w:val="pt-BR"/>
        </w:rPr>
        <w:footnoteReference w:id="4"/>
      </w:r>
      <w:r w:rsidR="00677229" w:rsidRPr="00337743">
        <w:rPr>
          <w:rFonts w:ascii="Cambria" w:hAnsi="Cambria"/>
          <w:sz w:val="20"/>
          <w:szCs w:val="20"/>
          <w:lang w:val="pt-BR"/>
        </w:rPr>
        <w:t>.</w:t>
      </w:r>
      <w:r w:rsidR="009D5ABA" w:rsidRPr="00337743">
        <w:rPr>
          <w:rFonts w:ascii="Cambria" w:hAnsi="Cambria"/>
          <w:sz w:val="20"/>
          <w:szCs w:val="20"/>
          <w:lang w:val="pt-BR"/>
        </w:rPr>
        <w:t xml:space="preserve"> </w:t>
      </w:r>
      <w:r w:rsidR="00DB3272" w:rsidRPr="00337743">
        <w:rPr>
          <w:rFonts w:ascii="Cambria" w:hAnsi="Cambria"/>
          <w:sz w:val="20"/>
          <w:szCs w:val="20"/>
          <w:lang w:val="pt-BR"/>
        </w:rPr>
        <w:t>A</w:t>
      </w:r>
      <w:r w:rsidR="00DB5118" w:rsidRPr="00337743">
        <w:rPr>
          <w:rFonts w:ascii="Cambria" w:hAnsi="Cambria"/>
          <w:sz w:val="20"/>
          <w:szCs w:val="20"/>
          <w:lang w:val="pt-BR"/>
        </w:rPr>
        <w:t>diante</w:t>
      </w:r>
      <w:r w:rsidR="00DB3272" w:rsidRPr="00337743">
        <w:rPr>
          <w:rFonts w:ascii="Cambria" w:hAnsi="Cambria"/>
          <w:sz w:val="20"/>
          <w:szCs w:val="20"/>
          <w:lang w:val="pt-BR"/>
        </w:rPr>
        <w:t>,</w:t>
      </w:r>
      <w:r w:rsidR="00506331" w:rsidRPr="00337743">
        <w:rPr>
          <w:rFonts w:ascii="Cambria" w:hAnsi="Cambria"/>
          <w:sz w:val="20"/>
          <w:szCs w:val="20"/>
          <w:lang w:val="pt-BR"/>
        </w:rPr>
        <w:t xml:space="preserve"> a </w:t>
      </w:r>
      <w:r w:rsidR="00DB3272" w:rsidRPr="00337743">
        <w:rPr>
          <w:rFonts w:ascii="Cambria" w:hAnsi="Cambria"/>
          <w:sz w:val="20"/>
          <w:szCs w:val="20"/>
          <w:lang w:val="pt-BR"/>
        </w:rPr>
        <w:t>CIDH recapitula</w:t>
      </w:r>
      <w:r w:rsidR="00506331" w:rsidRPr="00337743">
        <w:rPr>
          <w:rFonts w:ascii="Cambria" w:hAnsi="Cambria"/>
          <w:sz w:val="20"/>
          <w:szCs w:val="20"/>
          <w:lang w:val="pt-BR"/>
        </w:rPr>
        <w:t xml:space="preserve"> a </w:t>
      </w:r>
      <w:r w:rsidR="00DB3272" w:rsidRPr="00337743">
        <w:rPr>
          <w:rFonts w:ascii="Cambria" w:hAnsi="Cambria"/>
          <w:sz w:val="20"/>
          <w:szCs w:val="20"/>
          <w:lang w:val="pt-BR"/>
        </w:rPr>
        <w:t>informa</w:t>
      </w:r>
      <w:r w:rsidR="00350E7E" w:rsidRPr="00337743">
        <w:rPr>
          <w:rFonts w:ascii="Cambria" w:hAnsi="Cambria"/>
          <w:sz w:val="20"/>
          <w:szCs w:val="20"/>
          <w:lang w:val="pt-BR"/>
        </w:rPr>
        <w:t>ção</w:t>
      </w:r>
      <w:r w:rsidR="00DB3272" w:rsidRPr="00337743">
        <w:rPr>
          <w:rFonts w:ascii="Cambria" w:hAnsi="Cambria"/>
          <w:sz w:val="20"/>
          <w:szCs w:val="20"/>
          <w:lang w:val="pt-BR"/>
        </w:rPr>
        <w:t xml:space="preserve"> dispon</w:t>
      </w:r>
      <w:r w:rsidR="00DB5118" w:rsidRPr="00337743">
        <w:rPr>
          <w:rFonts w:ascii="Cambria" w:hAnsi="Cambria"/>
          <w:sz w:val="20"/>
          <w:szCs w:val="20"/>
          <w:lang w:val="pt-BR"/>
        </w:rPr>
        <w:t>ível</w:t>
      </w:r>
      <w:r w:rsidR="00DB3272" w:rsidRPr="00337743">
        <w:rPr>
          <w:rFonts w:ascii="Cambria" w:hAnsi="Cambria"/>
          <w:sz w:val="20"/>
          <w:szCs w:val="20"/>
          <w:lang w:val="pt-BR"/>
        </w:rPr>
        <w:t xml:space="preserve"> sobre </w:t>
      </w:r>
      <w:r w:rsidR="00DB5118" w:rsidRPr="00337743">
        <w:rPr>
          <w:rFonts w:ascii="Cambria" w:hAnsi="Cambria"/>
          <w:sz w:val="20"/>
          <w:szCs w:val="20"/>
          <w:lang w:val="pt-BR"/>
        </w:rPr>
        <w:t xml:space="preserve">o </w:t>
      </w:r>
      <w:r w:rsidR="00DB3272" w:rsidRPr="00337743">
        <w:rPr>
          <w:rFonts w:ascii="Cambria" w:hAnsi="Cambria"/>
          <w:sz w:val="20"/>
          <w:szCs w:val="20"/>
          <w:lang w:val="pt-BR"/>
        </w:rPr>
        <w:t xml:space="preserve">contexto. </w:t>
      </w:r>
    </w:p>
    <w:p w14:paraId="5B187F5F" w14:textId="77777777" w:rsidR="00713F60" w:rsidRPr="00337743" w:rsidRDefault="00713F60" w:rsidP="00713F6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sz w:val="20"/>
          <w:szCs w:val="20"/>
          <w:lang w:val="pt-BR"/>
        </w:rPr>
      </w:pPr>
    </w:p>
    <w:p w14:paraId="55DB341B" w14:textId="77777777" w:rsidR="000919F2" w:rsidRPr="00337743" w:rsidRDefault="00E867BA" w:rsidP="002617B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Meses antes</w:t>
      </w:r>
      <w:r w:rsidR="007707E3" w:rsidRPr="00337743">
        <w:rPr>
          <w:rFonts w:ascii="Cambria" w:hAnsi="Cambria"/>
          <w:sz w:val="20"/>
          <w:szCs w:val="20"/>
          <w:lang w:val="pt-BR"/>
        </w:rPr>
        <w:t xml:space="preserve"> da </w:t>
      </w:r>
      <w:r w:rsidR="009D71DA" w:rsidRPr="00337743">
        <w:rPr>
          <w:rFonts w:ascii="Cambria" w:hAnsi="Cambria"/>
          <w:sz w:val="20"/>
          <w:szCs w:val="20"/>
          <w:lang w:val="pt-BR"/>
        </w:rPr>
        <w:t>mort</w:t>
      </w:r>
      <w:r w:rsidRPr="00337743">
        <w:rPr>
          <w:rFonts w:ascii="Cambria" w:hAnsi="Cambria"/>
          <w:sz w:val="20"/>
          <w:szCs w:val="20"/>
          <w:lang w:val="pt-BR"/>
        </w:rPr>
        <w:t>e de Márcia</w:t>
      </w:r>
      <w:r w:rsidR="00DB3272" w:rsidRPr="00337743">
        <w:rPr>
          <w:rFonts w:ascii="Cambria" w:hAnsi="Cambria"/>
          <w:sz w:val="20"/>
          <w:szCs w:val="20"/>
          <w:lang w:val="pt-BR"/>
        </w:rPr>
        <w:t xml:space="preserve"> Barbosa</w:t>
      </w:r>
      <w:r w:rsidR="00713F60" w:rsidRPr="00337743">
        <w:rPr>
          <w:rFonts w:ascii="Cambria" w:hAnsi="Cambria"/>
          <w:sz w:val="20"/>
          <w:szCs w:val="20"/>
          <w:lang w:val="pt-BR"/>
        </w:rPr>
        <w:t>,</w:t>
      </w:r>
      <w:r w:rsidR="00506331" w:rsidRPr="00337743">
        <w:rPr>
          <w:rFonts w:ascii="Cambria" w:hAnsi="Cambria"/>
          <w:sz w:val="20"/>
          <w:szCs w:val="20"/>
          <w:lang w:val="pt-BR"/>
        </w:rPr>
        <w:t xml:space="preserve"> a </w:t>
      </w:r>
      <w:r w:rsidR="00713F60" w:rsidRPr="00337743">
        <w:rPr>
          <w:rFonts w:ascii="Cambria" w:hAnsi="Cambria"/>
          <w:sz w:val="20"/>
          <w:szCs w:val="20"/>
          <w:lang w:val="pt-BR"/>
        </w:rPr>
        <w:t xml:space="preserve">CIDH </w:t>
      </w:r>
      <w:r w:rsidRPr="00337743">
        <w:rPr>
          <w:rFonts w:ascii="Cambria" w:hAnsi="Cambria"/>
          <w:sz w:val="20"/>
          <w:szCs w:val="20"/>
          <w:lang w:val="pt-BR"/>
        </w:rPr>
        <w:t>divulg</w:t>
      </w:r>
      <w:r w:rsidR="00A6443F" w:rsidRPr="00337743">
        <w:rPr>
          <w:rFonts w:ascii="Cambria" w:hAnsi="Cambria"/>
          <w:sz w:val="20"/>
          <w:szCs w:val="20"/>
          <w:lang w:val="pt-BR"/>
        </w:rPr>
        <w:t xml:space="preserve">ou </w:t>
      </w:r>
      <w:r w:rsidR="004472F5" w:rsidRPr="00337743">
        <w:rPr>
          <w:rFonts w:ascii="Cambria" w:hAnsi="Cambria"/>
          <w:sz w:val="20"/>
          <w:szCs w:val="20"/>
          <w:lang w:val="pt-BR"/>
        </w:rPr>
        <w:t>seu</w:t>
      </w:r>
      <w:r w:rsidR="00713F60" w:rsidRPr="00337743">
        <w:rPr>
          <w:rFonts w:ascii="Cambria" w:hAnsi="Cambria"/>
          <w:sz w:val="20"/>
          <w:szCs w:val="20"/>
          <w:lang w:val="pt-BR"/>
        </w:rPr>
        <w:t xml:space="preserve"> </w:t>
      </w:r>
      <w:r w:rsidR="00350E7E" w:rsidRPr="00337743">
        <w:rPr>
          <w:rFonts w:ascii="Cambria" w:hAnsi="Cambria"/>
          <w:sz w:val="20"/>
          <w:szCs w:val="20"/>
          <w:lang w:val="pt-BR"/>
        </w:rPr>
        <w:t>Relatório</w:t>
      </w:r>
      <w:r w:rsidRPr="00337743">
        <w:rPr>
          <w:rFonts w:ascii="Cambria" w:hAnsi="Cambria"/>
          <w:sz w:val="20"/>
          <w:szCs w:val="20"/>
          <w:lang w:val="pt-BR"/>
        </w:rPr>
        <w:t xml:space="preserve"> sobre</w:t>
      </w:r>
      <w:r w:rsidR="00506331" w:rsidRPr="00337743">
        <w:rPr>
          <w:rFonts w:ascii="Cambria" w:hAnsi="Cambria"/>
          <w:sz w:val="20"/>
          <w:szCs w:val="20"/>
          <w:lang w:val="pt-BR"/>
        </w:rPr>
        <w:t xml:space="preserve"> a </w:t>
      </w:r>
      <w:r w:rsidRPr="00337743">
        <w:rPr>
          <w:rFonts w:ascii="Cambria" w:hAnsi="Cambria"/>
          <w:sz w:val="20"/>
          <w:szCs w:val="20"/>
          <w:lang w:val="pt-BR"/>
        </w:rPr>
        <w:t>Situa</w:t>
      </w:r>
      <w:r w:rsidR="00350E7E" w:rsidRPr="00337743">
        <w:rPr>
          <w:rFonts w:ascii="Cambria" w:hAnsi="Cambria"/>
          <w:sz w:val="20"/>
          <w:szCs w:val="20"/>
          <w:lang w:val="pt-BR"/>
        </w:rPr>
        <w:t>ção</w:t>
      </w:r>
      <w:r w:rsidR="00E96C24" w:rsidRPr="00337743">
        <w:rPr>
          <w:rFonts w:ascii="Cambria" w:hAnsi="Cambria"/>
          <w:sz w:val="20"/>
          <w:szCs w:val="20"/>
          <w:lang w:val="pt-BR"/>
        </w:rPr>
        <w:t xml:space="preserve"> dos </w:t>
      </w:r>
      <w:r w:rsidR="00350E7E" w:rsidRPr="00337743">
        <w:rPr>
          <w:rFonts w:ascii="Cambria" w:hAnsi="Cambria"/>
          <w:sz w:val="20"/>
          <w:szCs w:val="20"/>
          <w:lang w:val="pt-BR"/>
        </w:rPr>
        <w:t>Direito</w:t>
      </w:r>
      <w:r w:rsidRPr="00337743">
        <w:rPr>
          <w:rFonts w:ascii="Cambria" w:hAnsi="Cambria"/>
          <w:sz w:val="20"/>
          <w:szCs w:val="20"/>
          <w:lang w:val="pt-BR"/>
        </w:rPr>
        <w:t>s Humanos</w:t>
      </w:r>
      <w:r w:rsidR="00091880" w:rsidRPr="00337743">
        <w:rPr>
          <w:rFonts w:ascii="Cambria" w:hAnsi="Cambria"/>
          <w:sz w:val="20"/>
          <w:szCs w:val="20"/>
          <w:lang w:val="pt-BR"/>
        </w:rPr>
        <w:t xml:space="preserve"> </w:t>
      </w:r>
      <w:r w:rsidR="00B70F49" w:rsidRPr="00337743">
        <w:rPr>
          <w:rFonts w:ascii="Cambria" w:hAnsi="Cambria"/>
          <w:sz w:val="20"/>
          <w:szCs w:val="20"/>
          <w:lang w:val="pt-BR"/>
        </w:rPr>
        <w:t>no</w:t>
      </w:r>
      <w:r w:rsidR="00091880" w:rsidRPr="00337743">
        <w:rPr>
          <w:rFonts w:ascii="Cambria" w:hAnsi="Cambria"/>
          <w:sz w:val="20"/>
          <w:szCs w:val="20"/>
          <w:lang w:val="pt-BR"/>
        </w:rPr>
        <w:t xml:space="preserve"> </w:t>
      </w:r>
      <w:r w:rsidRPr="00337743">
        <w:rPr>
          <w:rFonts w:ascii="Cambria" w:hAnsi="Cambria"/>
          <w:sz w:val="20"/>
          <w:szCs w:val="20"/>
          <w:lang w:val="pt-BR"/>
        </w:rPr>
        <w:t>Brasil.</w:t>
      </w:r>
      <w:r w:rsidR="00091880" w:rsidRPr="00337743">
        <w:rPr>
          <w:rFonts w:ascii="Cambria" w:hAnsi="Cambria"/>
          <w:sz w:val="20"/>
          <w:szCs w:val="20"/>
          <w:lang w:val="pt-BR"/>
        </w:rPr>
        <w:t xml:space="preserve"> </w:t>
      </w:r>
      <w:r w:rsidR="00730C60" w:rsidRPr="00337743">
        <w:rPr>
          <w:rFonts w:ascii="Cambria" w:hAnsi="Cambria"/>
          <w:sz w:val="20"/>
          <w:szCs w:val="20"/>
          <w:lang w:val="pt-BR"/>
        </w:rPr>
        <w:t>Nesse</w:t>
      </w:r>
      <w:r w:rsidR="00E33679" w:rsidRPr="00337743">
        <w:rPr>
          <w:rFonts w:ascii="Cambria" w:hAnsi="Cambria"/>
          <w:sz w:val="20"/>
          <w:szCs w:val="20"/>
          <w:lang w:val="pt-BR"/>
        </w:rPr>
        <w:t xml:space="preserve"> </w:t>
      </w:r>
      <w:r w:rsidR="00350E7E" w:rsidRPr="00337743">
        <w:rPr>
          <w:rFonts w:ascii="Cambria" w:hAnsi="Cambria"/>
          <w:sz w:val="20"/>
          <w:szCs w:val="20"/>
          <w:lang w:val="pt-BR"/>
        </w:rPr>
        <w:t>Relatório</w:t>
      </w:r>
      <w:r w:rsidRPr="00337743">
        <w:rPr>
          <w:rFonts w:ascii="Cambria" w:hAnsi="Cambria"/>
          <w:sz w:val="20"/>
          <w:szCs w:val="20"/>
          <w:lang w:val="pt-BR"/>
        </w:rPr>
        <w:t xml:space="preserve">, </w:t>
      </w:r>
      <w:r w:rsidR="006018D3">
        <w:rPr>
          <w:rFonts w:ascii="Cambria" w:hAnsi="Cambria"/>
          <w:sz w:val="20"/>
          <w:szCs w:val="20"/>
          <w:lang w:val="pt-BR"/>
        </w:rPr>
        <w:t>identificou a existência de</w:t>
      </w:r>
      <w:r w:rsidRPr="00337743">
        <w:rPr>
          <w:rFonts w:ascii="Cambria" w:hAnsi="Cambria"/>
          <w:sz w:val="20"/>
          <w:szCs w:val="20"/>
          <w:lang w:val="pt-BR"/>
        </w:rPr>
        <w:t xml:space="preserve"> discrimina</w:t>
      </w:r>
      <w:r w:rsidR="00350E7E" w:rsidRPr="00337743">
        <w:rPr>
          <w:rFonts w:ascii="Cambria" w:hAnsi="Cambria"/>
          <w:sz w:val="20"/>
          <w:szCs w:val="20"/>
          <w:lang w:val="pt-BR"/>
        </w:rPr>
        <w:t>ção</w:t>
      </w:r>
      <w:r w:rsidRPr="00337743">
        <w:rPr>
          <w:rFonts w:ascii="Cambria" w:hAnsi="Cambria"/>
          <w:sz w:val="20"/>
          <w:szCs w:val="20"/>
          <w:lang w:val="pt-BR"/>
        </w:rPr>
        <w:t xml:space="preserve"> contra </w:t>
      </w:r>
      <w:r w:rsidR="00DB5118" w:rsidRPr="00337743">
        <w:rPr>
          <w:rFonts w:ascii="Cambria" w:hAnsi="Cambria"/>
          <w:sz w:val="20"/>
          <w:szCs w:val="20"/>
          <w:lang w:val="pt-BR"/>
        </w:rPr>
        <w:t>mulher</w:t>
      </w:r>
      <w:r w:rsidRPr="00337743">
        <w:rPr>
          <w:rFonts w:ascii="Cambria" w:hAnsi="Cambria"/>
          <w:sz w:val="20"/>
          <w:szCs w:val="20"/>
          <w:lang w:val="pt-BR"/>
        </w:rPr>
        <w:t xml:space="preserve">es </w:t>
      </w:r>
      <w:r w:rsidR="00D343AC" w:rsidRPr="00337743">
        <w:rPr>
          <w:rFonts w:ascii="Cambria" w:hAnsi="Cambria"/>
          <w:sz w:val="20"/>
          <w:szCs w:val="20"/>
          <w:lang w:val="pt-BR"/>
        </w:rPr>
        <w:t>vítimas</w:t>
      </w:r>
      <w:r w:rsidRPr="00337743">
        <w:rPr>
          <w:rFonts w:ascii="Cambria" w:hAnsi="Cambria"/>
          <w:sz w:val="20"/>
          <w:szCs w:val="20"/>
          <w:lang w:val="pt-BR"/>
        </w:rPr>
        <w:t xml:space="preserve"> de </w:t>
      </w:r>
      <w:r w:rsidR="00320DBA" w:rsidRPr="00337743">
        <w:rPr>
          <w:rFonts w:ascii="Cambria" w:hAnsi="Cambria"/>
          <w:sz w:val="20"/>
          <w:szCs w:val="20"/>
          <w:lang w:val="pt-BR"/>
        </w:rPr>
        <w:t>violência</w:t>
      </w:r>
      <w:r w:rsidRPr="00337743">
        <w:rPr>
          <w:rFonts w:ascii="Cambria" w:hAnsi="Cambria"/>
          <w:sz w:val="20"/>
          <w:szCs w:val="20"/>
          <w:lang w:val="pt-BR"/>
        </w:rPr>
        <w:t xml:space="preserve"> como resultado</w:t>
      </w:r>
      <w:r w:rsidR="007707E3" w:rsidRPr="00337743">
        <w:rPr>
          <w:rFonts w:ascii="Cambria" w:hAnsi="Cambria"/>
          <w:sz w:val="20"/>
          <w:szCs w:val="20"/>
          <w:lang w:val="pt-BR"/>
        </w:rPr>
        <w:t xml:space="preserve"> da </w:t>
      </w:r>
      <w:r w:rsidR="00D343AC" w:rsidRPr="00337743">
        <w:rPr>
          <w:rFonts w:ascii="Cambria" w:hAnsi="Cambria"/>
          <w:sz w:val="20"/>
          <w:szCs w:val="20"/>
          <w:lang w:val="pt-BR"/>
        </w:rPr>
        <w:t>ineficácia</w:t>
      </w:r>
      <w:r w:rsidR="007707E3" w:rsidRPr="00337743">
        <w:rPr>
          <w:rFonts w:ascii="Cambria" w:hAnsi="Cambria"/>
          <w:sz w:val="20"/>
          <w:szCs w:val="20"/>
          <w:lang w:val="pt-BR"/>
        </w:rPr>
        <w:t xml:space="preserve"> do </w:t>
      </w:r>
      <w:r w:rsidRPr="00337743">
        <w:rPr>
          <w:rFonts w:ascii="Cambria" w:hAnsi="Cambria"/>
          <w:sz w:val="20"/>
          <w:szCs w:val="20"/>
          <w:lang w:val="pt-BR"/>
        </w:rPr>
        <w:t>sistema judicial</w:t>
      </w:r>
      <w:r w:rsidRPr="00337743">
        <w:rPr>
          <w:rFonts w:ascii="Cambria" w:hAnsi="Cambria"/>
          <w:color w:val="000000"/>
          <w:sz w:val="20"/>
          <w:szCs w:val="20"/>
          <w:vertAlign w:val="superscript"/>
          <w:lang w:val="pt-BR"/>
        </w:rPr>
        <w:footnoteReference w:id="5"/>
      </w:r>
      <w:r w:rsidRPr="00337743">
        <w:rPr>
          <w:rFonts w:ascii="Cambria" w:hAnsi="Cambria"/>
          <w:sz w:val="20"/>
          <w:szCs w:val="20"/>
          <w:lang w:val="pt-BR"/>
        </w:rPr>
        <w:t>.</w:t>
      </w:r>
      <w:r w:rsidR="00506331" w:rsidRPr="00337743">
        <w:rPr>
          <w:rFonts w:ascii="Cambria" w:hAnsi="Cambria"/>
          <w:sz w:val="20"/>
          <w:szCs w:val="20"/>
          <w:lang w:val="pt-BR"/>
        </w:rPr>
        <w:t xml:space="preserve"> </w:t>
      </w:r>
      <w:r w:rsidR="00B70F49" w:rsidRPr="00337743">
        <w:rPr>
          <w:rFonts w:ascii="Cambria" w:hAnsi="Cambria"/>
          <w:sz w:val="20"/>
          <w:szCs w:val="20"/>
          <w:lang w:val="pt-BR"/>
        </w:rPr>
        <w:t>Em</w:t>
      </w:r>
      <w:r w:rsidR="00506331" w:rsidRPr="00337743">
        <w:rPr>
          <w:rFonts w:ascii="Cambria" w:hAnsi="Cambria"/>
          <w:sz w:val="20"/>
          <w:szCs w:val="20"/>
          <w:lang w:val="pt-BR"/>
        </w:rPr>
        <w:t xml:space="preserve"> </w:t>
      </w:r>
      <w:r w:rsidR="00E8123F" w:rsidRPr="00337743">
        <w:rPr>
          <w:rFonts w:ascii="Cambria" w:hAnsi="Cambria"/>
          <w:sz w:val="20"/>
          <w:szCs w:val="20"/>
          <w:lang w:val="pt-BR"/>
        </w:rPr>
        <w:t>4 de abril de 2001</w:t>
      </w:r>
      <w:r w:rsidR="00EF0B71" w:rsidRPr="00337743">
        <w:rPr>
          <w:rFonts w:ascii="Cambria" w:hAnsi="Cambria"/>
          <w:sz w:val="20"/>
          <w:szCs w:val="20"/>
          <w:lang w:val="pt-BR"/>
        </w:rPr>
        <w:t>,</w:t>
      </w:r>
      <w:r w:rsidR="00506331" w:rsidRPr="00337743">
        <w:rPr>
          <w:rFonts w:ascii="Cambria" w:hAnsi="Cambria"/>
          <w:sz w:val="20"/>
          <w:szCs w:val="20"/>
          <w:lang w:val="pt-BR"/>
        </w:rPr>
        <w:t xml:space="preserve"> a </w:t>
      </w:r>
      <w:r w:rsidR="00350E7E" w:rsidRPr="00337743">
        <w:rPr>
          <w:rFonts w:ascii="Cambria" w:hAnsi="Cambria"/>
          <w:sz w:val="20"/>
          <w:szCs w:val="20"/>
          <w:lang w:val="pt-BR"/>
        </w:rPr>
        <w:t>Comissão</w:t>
      </w:r>
      <w:r w:rsidR="00EF0B71" w:rsidRPr="00337743">
        <w:rPr>
          <w:rFonts w:ascii="Cambria" w:hAnsi="Cambria"/>
          <w:sz w:val="20"/>
          <w:szCs w:val="20"/>
          <w:lang w:val="pt-BR"/>
        </w:rPr>
        <w:t xml:space="preserve"> Interamericana </w:t>
      </w:r>
      <w:r w:rsidR="00BD5EE7" w:rsidRPr="00337743">
        <w:rPr>
          <w:rFonts w:ascii="Cambria" w:hAnsi="Cambria"/>
          <w:sz w:val="20"/>
          <w:szCs w:val="20"/>
          <w:lang w:val="pt-BR"/>
        </w:rPr>
        <w:t>public</w:t>
      </w:r>
      <w:r w:rsidR="00A6443F" w:rsidRPr="00337743">
        <w:rPr>
          <w:rFonts w:ascii="Cambria" w:hAnsi="Cambria"/>
          <w:sz w:val="20"/>
          <w:szCs w:val="20"/>
          <w:lang w:val="pt-BR"/>
        </w:rPr>
        <w:t xml:space="preserve">ou </w:t>
      </w:r>
      <w:r w:rsidR="00D343AC" w:rsidRPr="00337743">
        <w:rPr>
          <w:rFonts w:ascii="Cambria" w:hAnsi="Cambria"/>
          <w:sz w:val="20"/>
          <w:szCs w:val="20"/>
          <w:lang w:val="pt-BR"/>
        </w:rPr>
        <w:t>seu</w:t>
      </w:r>
      <w:r w:rsidR="00BD5EE7" w:rsidRPr="00337743">
        <w:rPr>
          <w:rFonts w:ascii="Cambria" w:hAnsi="Cambria"/>
          <w:sz w:val="20"/>
          <w:szCs w:val="20"/>
          <w:lang w:val="pt-BR"/>
        </w:rPr>
        <w:t xml:space="preserve"> </w:t>
      </w:r>
      <w:r w:rsidR="00350E7E" w:rsidRPr="00337743">
        <w:rPr>
          <w:rFonts w:ascii="Cambria" w:hAnsi="Cambria"/>
          <w:sz w:val="20"/>
          <w:szCs w:val="20"/>
          <w:lang w:val="pt-BR"/>
        </w:rPr>
        <w:t>relatório</w:t>
      </w:r>
      <w:r w:rsidR="00BD5EE7" w:rsidRPr="00337743">
        <w:rPr>
          <w:rFonts w:ascii="Cambria" w:hAnsi="Cambria"/>
          <w:sz w:val="20"/>
          <w:szCs w:val="20"/>
          <w:lang w:val="pt-BR"/>
        </w:rPr>
        <w:t xml:space="preserve"> de </w:t>
      </w:r>
      <w:r w:rsidR="00350E7E" w:rsidRPr="00337743">
        <w:rPr>
          <w:rFonts w:ascii="Cambria" w:hAnsi="Cambria"/>
          <w:sz w:val="20"/>
          <w:szCs w:val="20"/>
          <w:lang w:val="pt-BR"/>
        </w:rPr>
        <w:t>mérito</w:t>
      </w:r>
      <w:r w:rsidR="00091880" w:rsidRPr="00337743">
        <w:rPr>
          <w:rFonts w:ascii="Cambria" w:hAnsi="Cambria"/>
          <w:sz w:val="20"/>
          <w:szCs w:val="20"/>
          <w:lang w:val="pt-BR"/>
        </w:rPr>
        <w:t xml:space="preserve"> no </w:t>
      </w:r>
      <w:r w:rsidR="00F8119E" w:rsidRPr="00337743">
        <w:rPr>
          <w:rFonts w:ascii="Cambria" w:hAnsi="Cambria"/>
          <w:sz w:val="20"/>
          <w:szCs w:val="20"/>
          <w:lang w:val="pt-BR"/>
        </w:rPr>
        <w:t xml:space="preserve">Caso </w:t>
      </w:r>
      <w:r w:rsidR="00EF0B71" w:rsidRPr="00337743">
        <w:rPr>
          <w:rFonts w:ascii="Cambria" w:hAnsi="Cambria"/>
          <w:sz w:val="20"/>
          <w:szCs w:val="20"/>
          <w:lang w:val="pt-BR"/>
        </w:rPr>
        <w:t>Maria da Penha</w:t>
      </w:r>
      <w:r w:rsidR="00F8119E" w:rsidRPr="00337743">
        <w:rPr>
          <w:rFonts w:ascii="Cambria" w:hAnsi="Cambria"/>
          <w:sz w:val="20"/>
          <w:szCs w:val="20"/>
          <w:lang w:val="pt-BR"/>
        </w:rPr>
        <w:t xml:space="preserve"> Maia Fernandes</w:t>
      </w:r>
      <w:r w:rsidR="00BD5EE7" w:rsidRPr="00337743">
        <w:rPr>
          <w:rFonts w:ascii="Cambria" w:hAnsi="Cambria"/>
          <w:sz w:val="20"/>
          <w:szCs w:val="20"/>
          <w:lang w:val="pt-BR"/>
        </w:rPr>
        <w:t xml:space="preserve">, </w:t>
      </w:r>
      <w:r w:rsidR="00D343AC" w:rsidRPr="00337743">
        <w:rPr>
          <w:rFonts w:ascii="Cambria" w:hAnsi="Cambria"/>
          <w:sz w:val="20"/>
          <w:szCs w:val="20"/>
          <w:lang w:val="pt-BR"/>
        </w:rPr>
        <w:t>também</w:t>
      </w:r>
      <w:r w:rsidR="00BD5EE7" w:rsidRPr="00337743">
        <w:rPr>
          <w:rFonts w:ascii="Cambria" w:hAnsi="Cambria"/>
          <w:sz w:val="20"/>
          <w:szCs w:val="20"/>
          <w:lang w:val="pt-BR"/>
        </w:rPr>
        <w:t xml:space="preserve"> sobre </w:t>
      </w:r>
      <w:r w:rsidR="00320DBA" w:rsidRPr="00337743">
        <w:rPr>
          <w:rFonts w:ascii="Cambria" w:hAnsi="Cambria"/>
          <w:sz w:val="20"/>
          <w:szCs w:val="20"/>
          <w:lang w:val="pt-BR"/>
        </w:rPr>
        <w:t>violência</w:t>
      </w:r>
      <w:r w:rsidR="00BD5EE7"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091880" w:rsidRPr="00337743">
        <w:rPr>
          <w:rFonts w:ascii="Cambria" w:hAnsi="Cambria"/>
          <w:sz w:val="20"/>
          <w:szCs w:val="20"/>
          <w:lang w:val="pt-BR"/>
        </w:rPr>
        <w:t xml:space="preserve"> </w:t>
      </w:r>
      <w:r w:rsidR="003038EB" w:rsidRPr="00337743">
        <w:rPr>
          <w:rFonts w:ascii="Cambria" w:hAnsi="Cambria"/>
          <w:sz w:val="20"/>
          <w:szCs w:val="20"/>
          <w:lang w:val="pt-BR"/>
        </w:rPr>
        <w:t>no</w:t>
      </w:r>
      <w:r w:rsidR="00091880" w:rsidRPr="00337743">
        <w:rPr>
          <w:rFonts w:ascii="Cambria" w:hAnsi="Cambria"/>
          <w:sz w:val="20"/>
          <w:szCs w:val="20"/>
          <w:lang w:val="pt-BR"/>
        </w:rPr>
        <w:t xml:space="preserve"> </w:t>
      </w:r>
      <w:r w:rsidR="00BD5EE7" w:rsidRPr="00337743">
        <w:rPr>
          <w:rFonts w:ascii="Cambria" w:hAnsi="Cambria"/>
          <w:sz w:val="20"/>
          <w:szCs w:val="20"/>
          <w:lang w:val="pt-BR"/>
        </w:rPr>
        <w:t xml:space="preserve">Brasil. </w:t>
      </w:r>
      <w:r w:rsidR="00091880" w:rsidRPr="00337743">
        <w:rPr>
          <w:rFonts w:ascii="Cambria" w:hAnsi="Cambria"/>
          <w:sz w:val="20"/>
          <w:szCs w:val="20"/>
          <w:lang w:val="pt-BR"/>
        </w:rPr>
        <w:t xml:space="preserve"> </w:t>
      </w:r>
      <w:r w:rsidR="003038EB" w:rsidRPr="00337743">
        <w:rPr>
          <w:rFonts w:ascii="Cambria" w:hAnsi="Cambria"/>
          <w:sz w:val="20"/>
          <w:szCs w:val="20"/>
          <w:lang w:val="pt-BR"/>
        </w:rPr>
        <w:t xml:space="preserve">Na parte </w:t>
      </w:r>
      <w:r w:rsidR="009512BA" w:rsidRPr="00337743">
        <w:rPr>
          <w:rFonts w:ascii="Cambria" w:hAnsi="Cambria"/>
          <w:sz w:val="20"/>
          <w:szCs w:val="20"/>
          <w:lang w:val="pt-BR"/>
        </w:rPr>
        <w:t>relevante para</w:t>
      </w:r>
      <w:r w:rsidR="00506331" w:rsidRPr="00337743">
        <w:rPr>
          <w:rFonts w:ascii="Cambria" w:hAnsi="Cambria"/>
          <w:sz w:val="20"/>
          <w:szCs w:val="20"/>
          <w:lang w:val="pt-BR"/>
        </w:rPr>
        <w:t xml:space="preserve"> o </w:t>
      </w:r>
      <w:r w:rsidR="009512BA" w:rsidRPr="00337743">
        <w:rPr>
          <w:rFonts w:ascii="Cambria" w:hAnsi="Cambria"/>
          <w:sz w:val="20"/>
          <w:szCs w:val="20"/>
          <w:lang w:val="pt-BR"/>
        </w:rPr>
        <w:t>contexto,</w:t>
      </w:r>
      <w:r w:rsidR="00091880" w:rsidRPr="00337743">
        <w:rPr>
          <w:rFonts w:ascii="Cambria" w:hAnsi="Cambria"/>
          <w:sz w:val="20"/>
          <w:szCs w:val="20"/>
          <w:lang w:val="pt-BR"/>
        </w:rPr>
        <w:t xml:space="preserve"> </w:t>
      </w:r>
      <w:r w:rsidR="00506331" w:rsidRPr="00337743">
        <w:rPr>
          <w:rFonts w:ascii="Cambria" w:hAnsi="Cambria"/>
          <w:sz w:val="20"/>
          <w:szCs w:val="20"/>
          <w:lang w:val="pt-BR"/>
        </w:rPr>
        <w:t xml:space="preserve">a </w:t>
      </w:r>
      <w:r w:rsidR="00A95ED8" w:rsidRPr="00337743">
        <w:rPr>
          <w:rFonts w:ascii="Cambria" w:hAnsi="Cambria"/>
          <w:sz w:val="20"/>
          <w:szCs w:val="20"/>
          <w:lang w:val="pt-BR"/>
        </w:rPr>
        <w:t>CIDH</w:t>
      </w:r>
      <w:r w:rsidR="00EF0B71" w:rsidRPr="00337743">
        <w:rPr>
          <w:rFonts w:ascii="Cambria" w:hAnsi="Cambria"/>
          <w:sz w:val="20"/>
          <w:szCs w:val="20"/>
          <w:lang w:val="pt-BR"/>
        </w:rPr>
        <w:t xml:space="preserve"> afirm</w:t>
      </w:r>
      <w:r w:rsidR="00A6443F" w:rsidRPr="00337743">
        <w:rPr>
          <w:rFonts w:ascii="Cambria" w:hAnsi="Cambria"/>
          <w:sz w:val="20"/>
          <w:szCs w:val="20"/>
          <w:lang w:val="pt-BR"/>
        </w:rPr>
        <w:t>ou</w:t>
      </w:r>
      <w:r w:rsidR="003038EB" w:rsidRPr="00337743">
        <w:rPr>
          <w:rFonts w:ascii="Cambria" w:hAnsi="Cambria"/>
          <w:sz w:val="20"/>
          <w:szCs w:val="20"/>
          <w:lang w:val="pt-BR"/>
        </w:rPr>
        <w:t>:</w:t>
      </w:r>
      <w:r w:rsidR="00EF0B71" w:rsidRPr="00337743">
        <w:rPr>
          <w:rFonts w:ascii="Cambria" w:hAnsi="Cambria"/>
          <w:sz w:val="20"/>
          <w:szCs w:val="20"/>
          <w:lang w:val="pt-BR"/>
        </w:rPr>
        <w:t xml:space="preserve"> “a falta de </w:t>
      </w:r>
      <w:r w:rsidR="00D343AC" w:rsidRPr="00337743">
        <w:rPr>
          <w:rFonts w:ascii="Cambria" w:hAnsi="Cambria"/>
          <w:sz w:val="20"/>
          <w:szCs w:val="20"/>
          <w:lang w:val="pt-BR"/>
        </w:rPr>
        <w:t>julgamento</w:t>
      </w:r>
      <w:r w:rsidR="00506331" w:rsidRPr="00337743">
        <w:rPr>
          <w:rFonts w:ascii="Cambria" w:hAnsi="Cambria"/>
          <w:sz w:val="20"/>
          <w:szCs w:val="20"/>
          <w:lang w:val="pt-BR"/>
        </w:rPr>
        <w:t xml:space="preserve"> e </w:t>
      </w:r>
      <w:r w:rsidR="00EF0B71" w:rsidRPr="00337743">
        <w:rPr>
          <w:rFonts w:ascii="Cambria" w:hAnsi="Cambria"/>
          <w:sz w:val="20"/>
          <w:szCs w:val="20"/>
          <w:lang w:val="pt-BR"/>
        </w:rPr>
        <w:t>condena</w:t>
      </w:r>
      <w:r w:rsidR="003038EB" w:rsidRPr="00337743">
        <w:rPr>
          <w:rFonts w:ascii="Cambria" w:hAnsi="Cambria"/>
          <w:sz w:val="20"/>
          <w:szCs w:val="20"/>
          <w:lang w:val="pt-BR"/>
        </w:rPr>
        <w:t>ção</w:t>
      </w:r>
      <w:r w:rsidR="007707E3" w:rsidRPr="00337743">
        <w:rPr>
          <w:rFonts w:ascii="Cambria" w:hAnsi="Cambria"/>
          <w:sz w:val="20"/>
          <w:szCs w:val="20"/>
          <w:lang w:val="pt-BR"/>
        </w:rPr>
        <w:t xml:space="preserve"> do </w:t>
      </w:r>
      <w:r w:rsidR="00EF0B71" w:rsidRPr="00337743">
        <w:rPr>
          <w:rFonts w:ascii="Cambria" w:hAnsi="Cambria"/>
          <w:sz w:val="20"/>
          <w:szCs w:val="20"/>
          <w:lang w:val="pt-BR"/>
        </w:rPr>
        <w:t>respons</w:t>
      </w:r>
      <w:r w:rsidR="003038EB" w:rsidRPr="00337743">
        <w:rPr>
          <w:rFonts w:ascii="Cambria" w:hAnsi="Cambria"/>
          <w:sz w:val="20"/>
          <w:szCs w:val="20"/>
          <w:lang w:val="pt-BR"/>
        </w:rPr>
        <w:t>ável</w:t>
      </w:r>
      <w:r w:rsidR="00091880" w:rsidRPr="00337743">
        <w:rPr>
          <w:rFonts w:ascii="Cambria" w:hAnsi="Cambria"/>
          <w:sz w:val="20"/>
          <w:szCs w:val="20"/>
          <w:lang w:val="pt-BR"/>
        </w:rPr>
        <w:t xml:space="preserve"> </w:t>
      </w:r>
      <w:r w:rsidR="003038EB" w:rsidRPr="00337743">
        <w:rPr>
          <w:rFonts w:ascii="Cambria" w:hAnsi="Cambria"/>
          <w:sz w:val="20"/>
          <w:szCs w:val="20"/>
          <w:lang w:val="pt-BR"/>
        </w:rPr>
        <w:t>n</w:t>
      </w:r>
      <w:r w:rsidR="00EF0B71" w:rsidRPr="00337743">
        <w:rPr>
          <w:rFonts w:ascii="Cambria" w:hAnsi="Cambria"/>
          <w:sz w:val="20"/>
          <w:szCs w:val="20"/>
          <w:lang w:val="pt-BR"/>
        </w:rPr>
        <w:t>estas circunst</w:t>
      </w:r>
      <w:r w:rsidR="00B70F49" w:rsidRPr="00337743">
        <w:rPr>
          <w:rFonts w:ascii="Cambria" w:hAnsi="Cambria"/>
          <w:sz w:val="20"/>
          <w:szCs w:val="20"/>
          <w:lang w:val="pt-BR"/>
        </w:rPr>
        <w:t>â</w:t>
      </w:r>
      <w:r w:rsidR="00EF0B71" w:rsidRPr="00337743">
        <w:rPr>
          <w:rFonts w:ascii="Cambria" w:hAnsi="Cambria"/>
          <w:sz w:val="20"/>
          <w:szCs w:val="20"/>
          <w:lang w:val="pt-BR"/>
        </w:rPr>
        <w:t>ncias constitu</w:t>
      </w:r>
      <w:r w:rsidR="003038EB" w:rsidRPr="00337743">
        <w:rPr>
          <w:rFonts w:ascii="Cambria" w:hAnsi="Cambria"/>
          <w:sz w:val="20"/>
          <w:szCs w:val="20"/>
          <w:lang w:val="pt-BR"/>
        </w:rPr>
        <w:t>i</w:t>
      </w:r>
      <w:r w:rsidR="00091880" w:rsidRPr="00337743">
        <w:rPr>
          <w:rFonts w:ascii="Cambria" w:hAnsi="Cambria"/>
          <w:sz w:val="20"/>
          <w:szCs w:val="20"/>
          <w:lang w:val="pt-BR"/>
        </w:rPr>
        <w:t xml:space="preserve"> um </w:t>
      </w:r>
      <w:r w:rsidR="00D343AC" w:rsidRPr="00337743">
        <w:rPr>
          <w:rFonts w:ascii="Cambria" w:hAnsi="Cambria"/>
          <w:sz w:val="20"/>
          <w:szCs w:val="20"/>
          <w:lang w:val="pt-BR"/>
        </w:rPr>
        <w:t>ato</w:t>
      </w:r>
      <w:r w:rsidR="00EF0B71" w:rsidRPr="00337743">
        <w:rPr>
          <w:rFonts w:ascii="Cambria" w:hAnsi="Cambria"/>
          <w:sz w:val="20"/>
          <w:szCs w:val="20"/>
          <w:lang w:val="pt-BR"/>
        </w:rPr>
        <w:t xml:space="preserve"> de </w:t>
      </w:r>
      <w:r w:rsidR="00320DBA" w:rsidRPr="00337743">
        <w:rPr>
          <w:rFonts w:ascii="Cambria" w:hAnsi="Cambria"/>
          <w:sz w:val="20"/>
          <w:szCs w:val="20"/>
          <w:lang w:val="pt-BR"/>
        </w:rPr>
        <w:t>tolerância</w:t>
      </w:r>
      <w:r w:rsidR="00EF0B71" w:rsidRPr="00337743">
        <w:rPr>
          <w:rFonts w:ascii="Cambria" w:hAnsi="Cambria"/>
          <w:sz w:val="20"/>
          <w:szCs w:val="20"/>
          <w:lang w:val="pt-BR"/>
        </w:rPr>
        <w:t xml:space="preserve"> por parte</w:t>
      </w:r>
      <w:r w:rsidR="007707E3" w:rsidRPr="00337743">
        <w:rPr>
          <w:rFonts w:ascii="Cambria" w:hAnsi="Cambria"/>
          <w:sz w:val="20"/>
          <w:szCs w:val="20"/>
          <w:lang w:val="pt-BR"/>
        </w:rPr>
        <w:t xml:space="preserve"> do </w:t>
      </w:r>
      <w:r w:rsidR="00EF0B71" w:rsidRPr="00337743">
        <w:rPr>
          <w:rFonts w:ascii="Cambria" w:hAnsi="Cambria"/>
          <w:sz w:val="20"/>
          <w:szCs w:val="20"/>
          <w:lang w:val="pt-BR"/>
        </w:rPr>
        <w:t>Estado</w:t>
      </w:r>
      <w:r w:rsidR="007707E3" w:rsidRPr="00337743">
        <w:rPr>
          <w:rFonts w:ascii="Cambria" w:hAnsi="Cambria"/>
          <w:sz w:val="20"/>
          <w:szCs w:val="20"/>
          <w:lang w:val="pt-BR"/>
        </w:rPr>
        <w:t xml:space="preserve"> da </w:t>
      </w:r>
      <w:r w:rsidR="00D343AC" w:rsidRPr="00337743">
        <w:rPr>
          <w:rFonts w:ascii="Cambria" w:hAnsi="Cambria"/>
          <w:sz w:val="20"/>
          <w:szCs w:val="20"/>
          <w:lang w:val="pt-BR"/>
        </w:rPr>
        <w:t>violência</w:t>
      </w:r>
      <w:r w:rsidR="00EF0B71" w:rsidRPr="00337743">
        <w:rPr>
          <w:rFonts w:ascii="Cambria" w:hAnsi="Cambria"/>
          <w:sz w:val="20"/>
          <w:szCs w:val="20"/>
          <w:lang w:val="pt-BR"/>
        </w:rPr>
        <w:t xml:space="preserve"> que Maria da Penha s</w:t>
      </w:r>
      <w:r w:rsidR="00B852BE" w:rsidRPr="00337743">
        <w:rPr>
          <w:rFonts w:ascii="Cambria" w:hAnsi="Cambria"/>
          <w:sz w:val="20"/>
          <w:szCs w:val="20"/>
          <w:lang w:val="pt-BR"/>
        </w:rPr>
        <w:t>ofreu</w:t>
      </w:r>
      <w:r w:rsidR="00EF0B71" w:rsidRPr="00337743">
        <w:rPr>
          <w:rFonts w:ascii="Cambria" w:hAnsi="Cambria"/>
          <w:sz w:val="20"/>
          <w:szCs w:val="20"/>
          <w:lang w:val="pt-BR"/>
        </w:rPr>
        <w:t>”;</w:t>
      </w:r>
      <w:r w:rsidR="00506331" w:rsidRPr="00337743">
        <w:rPr>
          <w:rFonts w:ascii="Cambria" w:hAnsi="Cambria"/>
          <w:sz w:val="20"/>
          <w:szCs w:val="20"/>
          <w:lang w:val="pt-BR"/>
        </w:rPr>
        <w:t xml:space="preserve"> </w:t>
      </w:r>
      <w:r w:rsidR="00EF0B71" w:rsidRPr="00337743">
        <w:rPr>
          <w:rFonts w:ascii="Cambria" w:hAnsi="Cambria"/>
          <w:sz w:val="20"/>
          <w:szCs w:val="20"/>
          <w:lang w:val="pt-BR"/>
        </w:rPr>
        <w:t>“</w:t>
      </w:r>
      <w:r w:rsidR="00D343AC" w:rsidRPr="00337743">
        <w:rPr>
          <w:rFonts w:ascii="Cambria" w:hAnsi="Cambria"/>
          <w:sz w:val="20"/>
          <w:szCs w:val="20"/>
          <w:lang w:val="pt-BR"/>
        </w:rPr>
        <w:t>essa</w:t>
      </w:r>
      <w:r w:rsidR="00EF0B71" w:rsidRPr="00337743">
        <w:rPr>
          <w:rFonts w:ascii="Cambria" w:hAnsi="Cambria"/>
          <w:sz w:val="20"/>
          <w:szCs w:val="20"/>
          <w:lang w:val="pt-BR"/>
        </w:rPr>
        <w:t xml:space="preserve"> </w:t>
      </w:r>
      <w:r w:rsidR="00320DBA" w:rsidRPr="00337743">
        <w:rPr>
          <w:rFonts w:ascii="Cambria" w:hAnsi="Cambria"/>
          <w:sz w:val="20"/>
          <w:szCs w:val="20"/>
          <w:lang w:val="pt-BR"/>
        </w:rPr>
        <w:t>tolerância</w:t>
      </w:r>
      <w:r w:rsidR="00BF72CE" w:rsidRPr="00337743">
        <w:rPr>
          <w:rFonts w:ascii="Cambria" w:hAnsi="Cambria"/>
          <w:sz w:val="20"/>
          <w:szCs w:val="20"/>
          <w:lang w:val="pt-BR"/>
        </w:rPr>
        <w:t xml:space="preserve"> </w:t>
      </w:r>
      <w:r w:rsidR="001E42F8">
        <w:rPr>
          <w:rFonts w:ascii="Cambria" w:hAnsi="Cambria"/>
          <w:sz w:val="20"/>
          <w:szCs w:val="20"/>
          <w:lang w:val="pt-BR"/>
        </w:rPr>
        <w:t>d</w:t>
      </w:r>
      <w:r w:rsidR="00BF72CE" w:rsidRPr="00337743">
        <w:rPr>
          <w:rFonts w:ascii="Cambria" w:hAnsi="Cambria"/>
          <w:sz w:val="20"/>
          <w:szCs w:val="20"/>
          <w:lang w:val="pt-BR"/>
        </w:rPr>
        <w:t xml:space="preserve">os </w:t>
      </w:r>
      <w:r w:rsidR="00EF0B71" w:rsidRPr="00337743">
        <w:rPr>
          <w:rFonts w:ascii="Cambria" w:hAnsi="Cambria"/>
          <w:sz w:val="20"/>
          <w:szCs w:val="20"/>
          <w:lang w:val="pt-BR"/>
        </w:rPr>
        <w:t>órg</w:t>
      </w:r>
      <w:r w:rsidR="003038EB" w:rsidRPr="00337743">
        <w:rPr>
          <w:rFonts w:ascii="Cambria" w:hAnsi="Cambria"/>
          <w:sz w:val="20"/>
          <w:szCs w:val="20"/>
          <w:lang w:val="pt-BR"/>
        </w:rPr>
        <w:t>ã</w:t>
      </w:r>
      <w:r w:rsidR="00EF0B71" w:rsidRPr="00337743">
        <w:rPr>
          <w:rFonts w:ascii="Cambria" w:hAnsi="Cambria"/>
          <w:sz w:val="20"/>
          <w:szCs w:val="20"/>
          <w:lang w:val="pt-BR"/>
        </w:rPr>
        <w:t>os</w:t>
      </w:r>
      <w:r w:rsidR="007707E3" w:rsidRPr="00337743">
        <w:rPr>
          <w:rFonts w:ascii="Cambria" w:hAnsi="Cambria"/>
          <w:sz w:val="20"/>
          <w:szCs w:val="20"/>
          <w:lang w:val="pt-BR"/>
        </w:rPr>
        <w:t xml:space="preserve"> do </w:t>
      </w:r>
      <w:r w:rsidR="00EF0B71" w:rsidRPr="00337743">
        <w:rPr>
          <w:rFonts w:ascii="Cambria" w:hAnsi="Cambria"/>
          <w:sz w:val="20"/>
          <w:szCs w:val="20"/>
          <w:lang w:val="pt-BR"/>
        </w:rPr>
        <w:t>Estado</w:t>
      </w:r>
      <w:r w:rsidR="00091880" w:rsidRPr="00337743">
        <w:rPr>
          <w:rFonts w:ascii="Cambria" w:hAnsi="Cambria"/>
          <w:sz w:val="20"/>
          <w:szCs w:val="20"/>
          <w:lang w:val="pt-BR"/>
        </w:rPr>
        <w:t xml:space="preserve"> não</w:t>
      </w:r>
      <w:r w:rsidR="00A6443F" w:rsidRPr="00337743">
        <w:rPr>
          <w:rFonts w:ascii="Cambria" w:hAnsi="Cambria"/>
          <w:sz w:val="20"/>
          <w:szCs w:val="20"/>
          <w:lang w:val="pt-BR"/>
        </w:rPr>
        <w:t xml:space="preserve"> é </w:t>
      </w:r>
      <w:r w:rsidR="00EF0B71" w:rsidRPr="00337743">
        <w:rPr>
          <w:rFonts w:ascii="Cambria" w:hAnsi="Cambria"/>
          <w:sz w:val="20"/>
          <w:szCs w:val="20"/>
          <w:lang w:val="pt-BR"/>
        </w:rPr>
        <w:t xml:space="preserve">exclusiva deste caso, </w:t>
      </w:r>
      <w:r w:rsidR="003038EB" w:rsidRPr="00337743">
        <w:rPr>
          <w:rFonts w:ascii="Cambria" w:hAnsi="Cambria"/>
          <w:sz w:val="20"/>
          <w:szCs w:val="20"/>
          <w:lang w:val="pt-BR"/>
        </w:rPr>
        <w:t>mas</w:t>
      </w:r>
      <w:r w:rsidR="00091880" w:rsidRPr="00337743">
        <w:rPr>
          <w:rFonts w:ascii="Cambria" w:hAnsi="Cambria"/>
          <w:sz w:val="20"/>
          <w:szCs w:val="20"/>
          <w:lang w:val="pt-BR"/>
        </w:rPr>
        <w:t xml:space="preserve"> uma </w:t>
      </w:r>
      <w:r w:rsidR="00EF0B71" w:rsidRPr="00337743">
        <w:rPr>
          <w:rFonts w:ascii="Cambria" w:hAnsi="Cambria"/>
          <w:sz w:val="20"/>
          <w:szCs w:val="20"/>
          <w:lang w:val="pt-BR"/>
        </w:rPr>
        <w:t>pauta sistemática.</w:t>
      </w:r>
      <w:r w:rsidR="00A6443F" w:rsidRPr="00337743">
        <w:rPr>
          <w:rFonts w:ascii="Cambria" w:hAnsi="Cambria"/>
          <w:sz w:val="20"/>
          <w:szCs w:val="20"/>
          <w:lang w:val="pt-BR"/>
        </w:rPr>
        <w:t xml:space="preserve"> </w:t>
      </w:r>
      <w:r w:rsidR="003038EB" w:rsidRPr="00337743">
        <w:rPr>
          <w:rFonts w:ascii="Cambria" w:hAnsi="Cambria"/>
          <w:sz w:val="20"/>
          <w:szCs w:val="20"/>
          <w:lang w:val="pt-BR"/>
        </w:rPr>
        <w:t>É</w:t>
      </w:r>
      <w:r w:rsidR="00A6443F" w:rsidRPr="00337743">
        <w:rPr>
          <w:rFonts w:ascii="Cambria" w:hAnsi="Cambria"/>
          <w:sz w:val="20"/>
          <w:szCs w:val="20"/>
          <w:lang w:val="pt-BR"/>
        </w:rPr>
        <w:t xml:space="preserve"> </w:t>
      </w:r>
      <w:r w:rsidR="00091880" w:rsidRPr="00337743">
        <w:rPr>
          <w:rFonts w:ascii="Cambria" w:hAnsi="Cambria"/>
          <w:sz w:val="20"/>
          <w:szCs w:val="20"/>
          <w:lang w:val="pt-BR"/>
        </w:rPr>
        <w:t xml:space="preserve">uma </w:t>
      </w:r>
      <w:r w:rsidR="00D343AC" w:rsidRPr="00337743">
        <w:rPr>
          <w:rFonts w:ascii="Cambria" w:hAnsi="Cambria"/>
          <w:sz w:val="20"/>
          <w:szCs w:val="20"/>
          <w:lang w:val="pt-BR"/>
        </w:rPr>
        <w:t>tolerância</w:t>
      </w:r>
      <w:r w:rsidR="00EF0B71" w:rsidRPr="00337743">
        <w:rPr>
          <w:rFonts w:ascii="Cambria" w:hAnsi="Cambria"/>
          <w:sz w:val="20"/>
          <w:szCs w:val="20"/>
          <w:lang w:val="pt-BR"/>
        </w:rPr>
        <w:t xml:space="preserve"> de todo</w:t>
      </w:r>
      <w:r w:rsidR="00506331" w:rsidRPr="00337743">
        <w:rPr>
          <w:rFonts w:ascii="Cambria" w:hAnsi="Cambria"/>
          <w:sz w:val="20"/>
          <w:szCs w:val="20"/>
          <w:lang w:val="pt-BR"/>
        </w:rPr>
        <w:t xml:space="preserve"> o </w:t>
      </w:r>
      <w:r w:rsidR="00EF0B71" w:rsidRPr="00337743">
        <w:rPr>
          <w:rFonts w:ascii="Cambria" w:hAnsi="Cambria"/>
          <w:sz w:val="20"/>
          <w:szCs w:val="20"/>
          <w:lang w:val="pt-BR"/>
        </w:rPr>
        <w:t>sistema, que</w:t>
      </w:r>
      <w:r w:rsidR="00091880" w:rsidRPr="00337743">
        <w:rPr>
          <w:rFonts w:ascii="Cambria" w:hAnsi="Cambria"/>
          <w:sz w:val="20"/>
          <w:szCs w:val="20"/>
          <w:lang w:val="pt-BR"/>
        </w:rPr>
        <w:t xml:space="preserve"> não </w:t>
      </w:r>
      <w:r w:rsidR="003038EB" w:rsidRPr="00337743">
        <w:rPr>
          <w:rFonts w:ascii="Cambria" w:hAnsi="Cambria"/>
          <w:sz w:val="20"/>
          <w:szCs w:val="20"/>
          <w:lang w:val="pt-BR"/>
        </w:rPr>
        <w:t>faz senão</w:t>
      </w:r>
      <w:r w:rsidR="00EF0B71" w:rsidRPr="00337743">
        <w:rPr>
          <w:rFonts w:ascii="Cambria" w:hAnsi="Cambria"/>
          <w:sz w:val="20"/>
          <w:szCs w:val="20"/>
          <w:lang w:val="pt-BR"/>
        </w:rPr>
        <w:t xml:space="preserve"> perpetuar</w:t>
      </w:r>
      <w:r w:rsidR="007707E3" w:rsidRPr="00337743">
        <w:rPr>
          <w:rFonts w:ascii="Cambria" w:hAnsi="Cambria"/>
          <w:sz w:val="20"/>
          <w:szCs w:val="20"/>
          <w:lang w:val="pt-BR"/>
        </w:rPr>
        <w:t xml:space="preserve"> as </w:t>
      </w:r>
      <w:r w:rsidR="00D343AC" w:rsidRPr="00337743">
        <w:rPr>
          <w:rFonts w:ascii="Cambria" w:hAnsi="Cambria"/>
          <w:sz w:val="20"/>
          <w:szCs w:val="20"/>
          <w:lang w:val="pt-BR"/>
        </w:rPr>
        <w:t>raízes</w:t>
      </w:r>
      <w:r w:rsidR="00506331" w:rsidRPr="00337743">
        <w:rPr>
          <w:rFonts w:ascii="Cambria" w:hAnsi="Cambria"/>
          <w:sz w:val="20"/>
          <w:szCs w:val="20"/>
          <w:lang w:val="pt-BR"/>
        </w:rPr>
        <w:t xml:space="preserve"> e </w:t>
      </w:r>
      <w:r w:rsidR="00320DBA" w:rsidRPr="00337743">
        <w:rPr>
          <w:rFonts w:ascii="Cambria" w:hAnsi="Cambria"/>
          <w:sz w:val="20"/>
          <w:szCs w:val="20"/>
          <w:lang w:val="pt-BR"/>
        </w:rPr>
        <w:t>fatores</w:t>
      </w:r>
      <w:r w:rsidR="00EF0B71" w:rsidRPr="00337743">
        <w:rPr>
          <w:rFonts w:ascii="Cambria" w:hAnsi="Cambria"/>
          <w:sz w:val="20"/>
          <w:szCs w:val="20"/>
          <w:lang w:val="pt-BR"/>
        </w:rPr>
        <w:t xml:space="preserve"> psicológicos, soci</w:t>
      </w:r>
      <w:r w:rsidR="007707E3" w:rsidRPr="00337743">
        <w:rPr>
          <w:rFonts w:ascii="Cambria" w:hAnsi="Cambria"/>
          <w:sz w:val="20"/>
          <w:szCs w:val="20"/>
          <w:lang w:val="pt-BR"/>
        </w:rPr>
        <w:t>ais</w:t>
      </w:r>
      <w:r w:rsidR="00EF0B71" w:rsidRPr="00337743">
        <w:rPr>
          <w:rFonts w:ascii="Cambria" w:hAnsi="Cambria"/>
          <w:sz w:val="20"/>
          <w:szCs w:val="20"/>
          <w:lang w:val="pt-BR"/>
        </w:rPr>
        <w:t xml:space="preserve"> e históricos que mant</w:t>
      </w:r>
      <w:r w:rsidR="003038EB" w:rsidRPr="00337743">
        <w:rPr>
          <w:rFonts w:ascii="Cambria" w:hAnsi="Cambria"/>
          <w:sz w:val="20"/>
          <w:szCs w:val="20"/>
          <w:lang w:val="pt-BR"/>
        </w:rPr>
        <w:t>êm</w:t>
      </w:r>
      <w:r w:rsidR="00506331" w:rsidRPr="00337743">
        <w:rPr>
          <w:rFonts w:ascii="Cambria" w:hAnsi="Cambria"/>
          <w:sz w:val="20"/>
          <w:szCs w:val="20"/>
          <w:lang w:val="pt-BR"/>
        </w:rPr>
        <w:t xml:space="preserve"> e </w:t>
      </w:r>
      <w:r w:rsidR="00D343AC" w:rsidRPr="00337743">
        <w:rPr>
          <w:rFonts w:ascii="Cambria" w:hAnsi="Cambria"/>
          <w:sz w:val="20"/>
          <w:szCs w:val="20"/>
          <w:lang w:val="pt-BR"/>
        </w:rPr>
        <w:t>alimentam</w:t>
      </w:r>
      <w:r w:rsidR="00506331" w:rsidRPr="00337743">
        <w:rPr>
          <w:rFonts w:ascii="Cambria" w:hAnsi="Cambria"/>
          <w:sz w:val="20"/>
          <w:szCs w:val="20"/>
          <w:lang w:val="pt-BR"/>
        </w:rPr>
        <w:t xml:space="preserve"> a </w:t>
      </w:r>
      <w:r w:rsidR="00320DBA" w:rsidRPr="00337743">
        <w:rPr>
          <w:rFonts w:ascii="Cambria" w:hAnsi="Cambria"/>
          <w:sz w:val="20"/>
          <w:szCs w:val="20"/>
          <w:lang w:val="pt-BR"/>
        </w:rPr>
        <w:t>violência</w:t>
      </w:r>
      <w:r w:rsidR="00EF0B71"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EF0B71" w:rsidRPr="00337743">
        <w:rPr>
          <w:rFonts w:ascii="Cambria" w:hAnsi="Cambria"/>
          <w:sz w:val="20"/>
          <w:szCs w:val="20"/>
          <w:lang w:val="pt-BR"/>
        </w:rPr>
        <w:t>”</w:t>
      </w:r>
      <w:r w:rsidR="00EF0B71" w:rsidRPr="00337743">
        <w:rPr>
          <w:rFonts w:ascii="Cambria" w:hAnsi="Cambria"/>
          <w:sz w:val="20"/>
          <w:szCs w:val="20"/>
          <w:vertAlign w:val="superscript"/>
          <w:lang w:val="pt-BR"/>
        </w:rPr>
        <w:footnoteReference w:id="6"/>
      </w:r>
      <w:r w:rsidR="00EA0796" w:rsidRPr="00337743">
        <w:rPr>
          <w:rFonts w:ascii="Cambria" w:hAnsi="Cambria"/>
          <w:sz w:val="20"/>
          <w:szCs w:val="20"/>
          <w:lang w:val="pt-BR"/>
        </w:rPr>
        <w:t>.</w:t>
      </w:r>
    </w:p>
    <w:p w14:paraId="556ACC6B" w14:textId="77777777" w:rsidR="000919F2" w:rsidRPr="00337743" w:rsidRDefault="000919F2" w:rsidP="000919F2">
      <w:pPr>
        <w:pStyle w:val="ListParagraph"/>
        <w:rPr>
          <w:rFonts w:ascii="Cambria" w:hAnsi="Cambria"/>
          <w:sz w:val="20"/>
          <w:szCs w:val="20"/>
          <w:lang w:val="pt-BR"/>
        </w:rPr>
      </w:pPr>
    </w:p>
    <w:p w14:paraId="7D311230" w14:textId="77777777" w:rsidR="00A5746E" w:rsidRPr="00337743" w:rsidRDefault="00AB769D" w:rsidP="00E1677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Posteriormente</w:t>
      </w:r>
      <w:r w:rsidR="002C14F7" w:rsidRPr="00337743">
        <w:rPr>
          <w:rFonts w:ascii="Cambria" w:hAnsi="Cambria"/>
          <w:sz w:val="20"/>
          <w:szCs w:val="20"/>
          <w:lang w:val="pt-BR"/>
        </w:rPr>
        <w:t>,</w:t>
      </w:r>
      <w:r w:rsidR="00506331" w:rsidRPr="00337743">
        <w:rPr>
          <w:rFonts w:ascii="Cambria" w:hAnsi="Cambria"/>
          <w:sz w:val="20"/>
          <w:szCs w:val="20"/>
          <w:lang w:val="pt-BR"/>
        </w:rPr>
        <w:t xml:space="preserve"> o </w:t>
      </w:r>
      <w:r w:rsidRPr="00337743">
        <w:rPr>
          <w:rFonts w:ascii="Cambria" w:hAnsi="Cambria"/>
          <w:sz w:val="20"/>
          <w:szCs w:val="20"/>
          <w:lang w:val="pt-BR"/>
        </w:rPr>
        <w:t xml:space="preserve">Estado </w:t>
      </w:r>
      <w:r w:rsidR="006018D3">
        <w:rPr>
          <w:rFonts w:ascii="Cambria" w:hAnsi="Cambria"/>
          <w:sz w:val="20"/>
          <w:szCs w:val="20"/>
          <w:lang w:val="pt-BR"/>
        </w:rPr>
        <w:t>aprovou</w:t>
      </w:r>
      <w:r w:rsidR="00506331" w:rsidRPr="00337743">
        <w:rPr>
          <w:rFonts w:ascii="Cambria" w:hAnsi="Cambria"/>
          <w:sz w:val="20"/>
          <w:szCs w:val="20"/>
          <w:lang w:val="pt-BR"/>
        </w:rPr>
        <w:t xml:space="preserve"> a </w:t>
      </w:r>
      <w:r w:rsidR="00B852BE" w:rsidRPr="00337743">
        <w:rPr>
          <w:rFonts w:ascii="Cambria" w:hAnsi="Cambria"/>
          <w:sz w:val="20"/>
          <w:szCs w:val="20"/>
          <w:lang w:val="pt-BR"/>
        </w:rPr>
        <w:t>ch</w:t>
      </w:r>
      <w:r w:rsidRPr="00337743">
        <w:rPr>
          <w:rFonts w:ascii="Cambria" w:hAnsi="Cambria"/>
          <w:sz w:val="20"/>
          <w:szCs w:val="20"/>
          <w:lang w:val="pt-BR"/>
        </w:rPr>
        <w:t xml:space="preserve">amada </w:t>
      </w:r>
      <w:r w:rsidR="00DB5118" w:rsidRPr="00337743">
        <w:rPr>
          <w:rFonts w:ascii="Cambria" w:hAnsi="Cambria"/>
          <w:color w:val="000000"/>
          <w:sz w:val="20"/>
          <w:szCs w:val="20"/>
          <w:lang w:val="pt-BR"/>
        </w:rPr>
        <w:t>Lei</w:t>
      </w:r>
      <w:r w:rsidRPr="00337743">
        <w:rPr>
          <w:rFonts w:ascii="Cambria" w:hAnsi="Cambria"/>
          <w:color w:val="000000"/>
          <w:sz w:val="20"/>
          <w:szCs w:val="20"/>
          <w:lang w:val="pt-BR"/>
        </w:rPr>
        <w:t xml:space="preserve"> Maria da Penha (</w:t>
      </w:r>
      <w:r w:rsidR="00DB5118" w:rsidRPr="00337743">
        <w:rPr>
          <w:rFonts w:ascii="Cambria" w:hAnsi="Cambria"/>
          <w:color w:val="000000"/>
          <w:sz w:val="20"/>
          <w:szCs w:val="20"/>
          <w:lang w:val="pt-BR"/>
        </w:rPr>
        <w:t>Lei</w:t>
      </w:r>
      <w:r w:rsidRPr="00337743">
        <w:rPr>
          <w:rFonts w:ascii="Cambria" w:hAnsi="Cambria"/>
          <w:color w:val="000000"/>
          <w:sz w:val="20"/>
          <w:szCs w:val="20"/>
          <w:lang w:val="pt-BR"/>
        </w:rPr>
        <w:t xml:space="preserve"> nº 11.340,</w:t>
      </w:r>
      <w:r w:rsidR="007707E3" w:rsidRPr="00337743">
        <w:rPr>
          <w:rFonts w:ascii="Cambria" w:hAnsi="Cambria"/>
          <w:color w:val="000000"/>
          <w:sz w:val="20"/>
          <w:szCs w:val="20"/>
          <w:lang w:val="pt-BR"/>
        </w:rPr>
        <w:t xml:space="preserve"> d</w:t>
      </w:r>
      <w:r w:rsidR="00B70F49" w:rsidRPr="00337743">
        <w:rPr>
          <w:rFonts w:ascii="Cambria" w:hAnsi="Cambria"/>
          <w:color w:val="000000"/>
          <w:sz w:val="20"/>
          <w:szCs w:val="20"/>
          <w:lang w:val="pt-BR"/>
        </w:rPr>
        <w:t>e</w:t>
      </w:r>
      <w:r w:rsidR="007707E3"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7 de agosto de 2006), </w:t>
      </w:r>
      <w:r w:rsidR="00D343AC" w:rsidRPr="00337743">
        <w:rPr>
          <w:rFonts w:ascii="Cambria" w:hAnsi="Cambria"/>
          <w:color w:val="000000"/>
          <w:sz w:val="20"/>
          <w:szCs w:val="20"/>
          <w:lang w:val="pt-BR"/>
        </w:rPr>
        <w:t>cujo</w:t>
      </w:r>
      <w:r w:rsidRPr="00337743">
        <w:rPr>
          <w:rFonts w:ascii="Cambria" w:hAnsi="Cambria"/>
          <w:color w:val="000000"/>
          <w:sz w:val="20"/>
          <w:szCs w:val="20"/>
          <w:lang w:val="pt-BR"/>
        </w:rPr>
        <w:t xml:space="preserve"> objetivo</w:t>
      </w:r>
      <w:r w:rsidR="00091880" w:rsidRPr="00337743">
        <w:rPr>
          <w:rFonts w:ascii="Cambria" w:hAnsi="Cambria"/>
          <w:color w:val="000000"/>
          <w:sz w:val="20"/>
          <w:szCs w:val="20"/>
          <w:lang w:val="pt-BR"/>
        </w:rPr>
        <w:t xml:space="preserve"> foi </w:t>
      </w:r>
      <w:r w:rsidRPr="00337743">
        <w:rPr>
          <w:rFonts w:ascii="Cambria" w:hAnsi="Cambria"/>
          <w:color w:val="000000"/>
          <w:sz w:val="20"/>
          <w:szCs w:val="20"/>
          <w:lang w:val="pt-BR"/>
        </w:rPr>
        <w:t>“[</w:t>
      </w:r>
      <w:r w:rsidR="00320DBA" w:rsidRPr="00337743">
        <w:rPr>
          <w:rFonts w:ascii="Cambria" w:hAnsi="Cambria"/>
          <w:color w:val="000000"/>
          <w:sz w:val="20"/>
          <w:szCs w:val="20"/>
          <w:lang w:val="pt-BR"/>
        </w:rPr>
        <w:t>criar</w:t>
      </w:r>
      <w:r w:rsidRPr="00337743">
        <w:rPr>
          <w:rFonts w:ascii="Cambria" w:hAnsi="Cambria"/>
          <w:color w:val="000000"/>
          <w:sz w:val="20"/>
          <w:szCs w:val="20"/>
          <w:lang w:val="pt-BR"/>
        </w:rPr>
        <w:t xml:space="preserve">] mecanismos para </w:t>
      </w:r>
      <w:r w:rsidR="00D343AC" w:rsidRPr="00337743">
        <w:rPr>
          <w:rFonts w:ascii="Cambria" w:hAnsi="Cambria"/>
          <w:color w:val="000000"/>
          <w:sz w:val="20"/>
          <w:szCs w:val="20"/>
          <w:lang w:val="pt-BR"/>
        </w:rPr>
        <w:t>coibir</w:t>
      </w:r>
      <w:r w:rsidR="00506331" w:rsidRPr="00337743">
        <w:rPr>
          <w:rFonts w:ascii="Cambria" w:hAnsi="Cambria"/>
          <w:color w:val="000000"/>
          <w:sz w:val="20"/>
          <w:szCs w:val="20"/>
          <w:lang w:val="pt-BR"/>
        </w:rPr>
        <w:t xml:space="preserve"> a </w:t>
      </w:r>
      <w:r w:rsidR="00320DBA" w:rsidRPr="00337743">
        <w:rPr>
          <w:rFonts w:ascii="Cambria" w:hAnsi="Cambria"/>
          <w:color w:val="000000"/>
          <w:sz w:val="20"/>
          <w:szCs w:val="20"/>
          <w:lang w:val="pt-BR"/>
        </w:rPr>
        <w:t>violência</w:t>
      </w:r>
      <w:r w:rsidRPr="00337743">
        <w:rPr>
          <w:rFonts w:ascii="Cambria" w:hAnsi="Cambria"/>
          <w:color w:val="000000"/>
          <w:sz w:val="20"/>
          <w:szCs w:val="20"/>
          <w:lang w:val="pt-BR"/>
        </w:rPr>
        <w:t xml:space="preserve"> doméstica</w:t>
      </w:r>
      <w:r w:rsidR="00506331" w:rsidRPr="00337743">
        <w:rPr>
          <w:rFonts w:ascii="Cambria" w:hAnsi="Cambria"/>
          <w:color w:val="000000"/>
          <w:sz w:val="20"/>
          <w:szCs w:val="20"/>
          <w:lang w:val="pt-BR"/>
        </w:rPr>
        <w:t xml:space="preserve"> e </w:t>
      </w:r>
      <w:r w:rsidRPr="00337743">
        <w:rPr>
          <w:rFonts w:ascii="Cambria" w:hAnsi="Cambria"/>
          <w:color w:val="000000"/>
          <w:sz w:val="20"/>
          <w:szCs w:val="20"/>
          <w:lang w:val="pt-BR"/>
        </w:rPr>
        <w:t>familiar contra</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mulher</w:t>
      </w:r>
      <w:r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B70F49"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00091880" w:rsidRPr="00337743">
        <w:rPr>
          <w:rFonts w:ascii="Cambria" w:hAnsi="Cambria"/>
          <w:color w:val="000000"/>
          <w:sz w:val="20"/>
          <w:szCs w:val="20"/>
          <w:lang w:val="pt-BR"/>
        </w:rPr>
        <w:t>artigo</w:t>
      </w:r>
      <w:r w:rsidR="00651437" w:rsidRPr="00337743">
        <w:rPr>
          <w:rFonts w:ascii="Cambria" w:hAnsi="Cambria"/>
          <w:color w:val="000000"/>
          <w:sz w:val="20"/>
          <w:szCs w:val="20"/>
          <w:lang w:val="pt-BR"/>
        </w:rPr>
        <w:t xml:space="preserve"> 5º desta </w:t>
      </w:r>
      <w:r w:rsidR="00DB5118" w:rsidRPr="00337743">
        <w:rPr>
          <w:rFonts w:ascii="Cambria" w:hAnsi="Cambria"/>
          <w:color w:val="000000"/>
          <w:sz w:val="20"/>
          <w:szCs w:val="20"/>
          <w:lang w:val="pt-BR"/>
        </w:rPr>
        <w:t>lei</w:t>
      </w:r>
      <w:r w:rsidR="00651437" w:rsidRPr="00337743">
        <w:rPr>
          <w:rFonts w:ascii="Cambria" w:hAnsi="Cambria"/>
          <w:color w:val="000000"/>
          <w:sz w:val="20"/>
          <w:szCs w:val="20"/>
          <w:lang w:val="pt-BR"/>
        </w:rPr>
        <w:t xml:space="preserve"> define</w:t>
      </w:r>
      <w:r w:rsidR="00506331" w:rsidRPr="00337743">
        <w:rPr>
          <w:rFonts w:ascii="Cambria" w:hAnsi="Cambria"/>
          <w:color w:val="000000"/>
          <w:sz w:val="20"/>
          <w:szCs w:val="20"/>
          <w:lang w:val="pt-BR"/>
        </w:rPr>
        <w:t xml:space="preserve"> a </w:t>
      </w:r>
      <w:r w:rsidR="00D343AC" w:rsidRPr="00337743">
        <w:rPr>
          <w:rFonts w:ascii="Cambria" w:hAnsi="Cambria"/>
          <w:color w:val="000000"/>
          <w:sz w:val="20"/>
          <w:szCs w:val="20"/>
          <w:lang w:val="pt-BR"/>
        </w:rPr>
        <w:t>violência</w:t>
      </w:r>
      <w:r w:rsidR="00651437" w:rsidRPr="00337743">
        <w:rPr>
          <w:rFonts w:ascii="Cambria" w:hAnsi="Cambria"/>
          <w:color w:val="000000"/>
          <w:sz w:val="20"/>
          <w:szCs w:val="20"/>
          <w:lang w:val="pt-BR"/>
        </w:rPr>
        <w:t xml:space="preserve"> doméstica</w:t>
      </w:r>
      <w:r w:rsidR="00506331" w:rsidRPr="00337743">
        <w:rPr>
          <w:rFonts w:ascii="Cambria" w:hAnsi="Cambria"/>
          <w:color w:val="000000"/>
          <w:sz w:val="20"/>
          <w:szCs w:val="20"/>
          <w:lang w:val="pt-BR"/>
        </w:rPr>
        <w:t xml:space="preserve"> e </w:t>
      </w:r>
      <w:r w:rsidR="00651437" w:rsidRPr="00337743">
        <w:rPr>
          <w:rFonts w:ascii="Cambria" w:hAnsi="Cambria"/>
          <w:color w:val="000000"/>
          <w:sz w:val="20"/>
          <w:szCs w:val="20"/>
          <w:lang w:val="pt-BR"/>
        </w:rPr>
        <w:t>familiar contra</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mulher</w:t>
      </w:r>
      <w:r w:rsidR="00651437" w:rsidRPr="00337743">
        <w:rPr>
          <w:rFonts w:ascii="Cambria" w:hAnsi="Cambria"/>
          <w:color w:val="000000"/>
          <w:sz w:val="20"/>
          <w:szCs w:val="20"/>
          <w:lang w:val="pt-BR"/>
        </w:rPr>
        <w:t xml:space="preserve"> como “</w:t>
      </w:r>
      <w:r w:rsidR="00B852BE" w:rsidRPr="00337743">
        <w:rPr>
          <w:rFonts w:ascii="Cambria" w:hAnsi="Cambria"/>
          <w:spacing w:val="2"/>
          <w:sz w:val="20"/>
          <w:szCs w:val="20"/>
          <w:shd w:val="clear" w:color="auto" w:fill="FFFFFF"/>
          <w:lang w:val="pt-BR"/>
        </w:rPr>
        <w:t>qualquer ação ou omissão baseada no gênero que lhe cause morte, lesão, sofrimento físico, sexual ou psicológico e dano moral ou patrimonial</w:t>
      </w:r>
      <w:r w:rsidR="00651437" w:rsidRPr="00337743">
        <w:rPr>
          <w:rFonts w:ascii="Cambria" w:hAnsi="Cambria"/>
          <w:color w:val="000000"/>
          <w:sz w:val="20"/>
          <w:szCs w:val="20"/>
          <w:lang w:val="pt-BR"/>
        </w:rPr>
        <w:t>”</w:t>
      </w:r>
      <w:r w:rsidR="00513361" w:rsidRPr="00337743">
        <w:rPr>
          <w:rFonts w:ascii="Cambria" w:hAnsi="Cambria"/>
          <w:color w:val="000000"/>
          <w:sz w:val="20"/>
          <w:szCs w:val="20"/>
          <w:lang w:val="pt-BR"/>
        </w:rPr>
        <w:t xml:space="preserve"> no </w:t>
      </w:r>
      <w:r w:rsidR="00D343AC" w:rsidRPr="00337743">
        <w:rPr>
          <w:rFonts w:ascii="Cambria" w:hAnsi="Cambria"/>
          <w:color w:val="000000"/>
          <w:sz w:val="20"/>
          <w:szCs w:val="20"/>
          <w:lang w:val="pt-BR"/>
        </w:rPr>
        <w:t>âmbito</w:t>
      </w:r>
      <w:r w:rsidR="007707E3" w:rsidRPr="00337743">
        <w:rPr>
          <w:rFonts w:ascii="Cambria" w:hAnsi="Cambria"/>
          <w:color w:val="000000"/>
          <w:sz w:val="20"/>
          <w:szCs w:val="20"/>
          <w:lang w:val="pt-BR"/>
        </w:rPr>
        <w:t xml:space="preserve"> da </w:t>
      </w:r>
      <w:r w:rsidR="00072F89" w:rsidRPr="00337743">
        <w:rPr>
          <w:rFonts w:ascii="Cambria" w:hAnsi="Cambria"/>
          <w:color w:val="000000"/>
          <w:sz w:val="20"/>
          <w:szCs w:val="20"/>
          <w:lang w:val="pt-BR"/>
        </w:rPr>
        <w:t>“</w:t>
      </w:r>
      <w:r w:rsidR="00651437"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00651437" w:rsidRPr="00337743">
        <w:rPr>
          <w:rFonts w:ascii="Cambria" w:hAnsi="Cambria"/>
          <w:color w:val="000000"/>
          <w:sz w:val="20"/>
          <w:szCs w:val="20"/>
          <w:lang w:val="pt-BR"/>
        </w:rPr>
        <w:t>doméstica</w:t>
      </w:r>
      <w:r w:rsidR="00072F89" w:rsidRPr="00337743">
        <w:rPr>
          <w:rFonts w:ascii="Cambria" w:hAnsi="Cambria"/>
          <w:color w:val="000000"/>
          <w:sz w:val="20"/>
          <w:szCs w:val="20"/>
          <w:lang w:val="pt-BR"/>
        </w:rPr>
        <w:t>”</w:t>
      </w:r>
      <w:r w:rsidR="00651437" w:rsidRPr="00337743">
        <w:rPr>
          <w:rFonts w:ascii="Cambria" w:hAnsi="Cambria"/>
          <w:color w:val="000000"/>
          <w:sz w:val="20"/>
          <w:szCs w:val="20"/>
          <w:lang w:val="pt-BR"/>
        </w:rPr>
        <w:t>,</w:t>
      </w:r>
      <w:r w:rsidR="007707E3" w:rsidRPr="00337743">
        <w:rPr>
          <w:rFonts w:ascii="Cambria" w:hAnsi="Cambria"/>
          <w:color w:val="000000"/>
          <w:sz w:val="20"/>
          <w:szCs w:val="20"/>
          <w:lang w:val="pt-BR"/>
        </w:rPr>
        <w:t xml:space="preserve"> da </w:t>
      </w:r>
      <w:r w:rsidR="00072F89" w:rsidRPr="00337743">
        <w:rPr>
          <w:rFonts w:ascii="Cambria" w:hAnsi="Cambria"/>
          <w:color w:val="000000"/>
          <w:sz w:val="20"/>
          <w:szCs w:val="20"/>
          <w:lang w:val="pt-BR"/>
        </w:rPr>
        <w:t>“</w:t>
      </w:r>
      <w:r w:rsidR="00D343AC" w:rsidRPr="00337743">
        <w:rPr>
          <w:rFonts w:ascii="Cambria" w:hAnsi="Cambria"/>
          <w:color w:val="000000"/>
          <w:sz w:val="20"/>
          <w:szCs w:val="20"/>
          <w:lang w:val="pt-BR"/>
        </w:rPr>
        <w:t>família</w:t>
      </w:r>
      <w:r w:rsidR="00072F89" w:rsidRPr="00337743">
        <w:rPr>
          <w:rFonts w:ascii="Cambria" w:hAnsi="Cambria"/>
          <w:color w:val="000000"/>
          <w:sz w:val="20"/>
          <w:szCs w:val="20"/>
          <w:lang w:val="pt-BR"/>
        </w:rPr>
        <w:t>”</w:t>
      </w:r>
      <w:r w:rsidR="00651437" w:rsidRPr="00337743">
        <w:rPr>
          <w:rFonts w:ascii="Cambria" w:hAnsi="Cambria"/>
          <w:color w:val="000000"/>
          <w:sz w:val="20"/>
          <w:szCs w:val="20"/>
          <w:lang w:val="pt-BR"/>
        </w:rPr>
        <w:t xml:space="preserve"> o</w:t>
      </w:r>
      <w:r w:rsidR="00B852BE" w:rsidRPr="00337743">
        <w:rPr>
          <w:rFonts w:ascii="Cambria" w:hAnsi="Cambria"/>
          <w:color w:val="000000"/>
          <w:sz w:val="20"/>
          <w:szCs w:val="20"/>
          <w:lang w:val="pt-BR"/>
        </w:rPr>
        <w:t>u</w:t>
      </w:r>
      <w:r w:rsidR="00651437" w:rsidRPr="00337743">
        <w:rPr>
          <w:rFonts w:ascii="Cambria" w:hAnsi="Cambria"/>
          <w:color w:val="000000"/>
          <w:sz w:val="20"/>
          <w:szCs w:val="20"/>
          <w:lang w:val="pt-BR"/>
        </w:rPr>
        <w:t xml:space="preserve"> “de </w:t>
      </w:r>
      <w:r w:rsidR="00587F80" w:rsidRPr="00337743">
        <w:rPr>
          <w:rFonts w:ascii="Cambria" w:hAnsi="Cambria"/>
          <w:color w:val="000000"/>
          <w:sz w:val="20"/>
          <w:szCs w:val="20"/>
          <w:lang w:val="pt-BR"/>
        </w:rPr>
        <w:t>qualquer</w:t>
      </w:r>
      <w:r w:rsidR="00651437" w:rsidRPr="00337743">
        <w:rPr>
          <w:rFonts w:ascii="Cambria" w:hAnsi="Cambria"/>
          <w:color w:val="000000"/>
          <w:sz w:val="20"/>
          <w:szCs w:val="20"/>
          <w:lang w:val="pt-BR"/>
        </w:rPr>
        <w:t xml:space="preserve"> rela</w:t>
      </w:r>
      <w:r w:rsidR="00350E7E" w:rsidRPr="00337743">
        <w:rPr>
          <w:rFonts w:ascii="Cambria" w:hAnsi="Cambria"/>
          <w:color w:val="000000"/>
          <w:sz w:val="20"/>
          <w:szCs w:val="20"/>
          <w:lang w:val="pt-BR"/>
        </w:rPr>
        <w:t>ção</w:t>
      </w:r>
      <w:r w:rsidR="00651437" w:rsidRPr="00337743">
        <w:rPr>
          <w:rFonts w:ascii="Cambria" w:hAnsi="Cambria"/>
          <w:color w:val="000000"/>
          <w:sz w:val="20"/>
          <w:szCs w:val="20"/>
          <w:lang w:val="pt-BR"/>
        </w:rPr>
        <w:t xml:space="preserve"> íntima de </w:t>
      </w:r>
      <w:r w:rsidR="00D343AC" w:rsidRPr="00337743">
        <w:rPr>
          <w:rFonts w:ascii="Cambria" w:hAnsi="Cambria"/>
          <w:color w:val="000000"/>
          <w:sz w:val="20"/>
          <w:szCs w:val="20"/>
          <w:lang w:val="pt-BR"/>
        </w:rPr>
        <w:t>afeto</w:t>
      </w:r>
      <w:r w:rsidR="00651437"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na </w:t>
      </w:r>
      <w:r w:rsidR="009D71DA" w:rsidRPr="00337743">
        <w:rPr>
          <w:rFonts w:ascii="Cambria" w:hAnsi="Cambria"/>
          <w:color w:val="000000"/>
          <w:sz w:val="20"/>
          <w:szCs w:val="20"/>
          <w:lang w:val="pt-BR"/>
        </w:rPr>
        <w:t>qual</w:t>
      </w:r>
      <w:r w:rsidR="00506331" w:rsidRPr="00337743">
        <w:rPr>
          <w:rFonts w:ascii="Cambria" w:hAnsi="Cambria"/>
          <w:color w:val="000000"/>
          <w:sz w:val="20"/>
          <w:szCs w:val="20"/>
          <w:lang w:val="pt-BR"/>
        </w:rPr>
        <w:t xml:space="preserve"> o </w:t>
      </w:r>
      <w:r w:rsidR="00D343AC" w:rsidRPr="00337743">
        <w:rPr>
          <w:rFonts w:ascii="Cambria" w:hAnsi="Cambria"/>
          <w:color w:val="000000"/>
          <w:sz w:val="20"/>
          <w:szCs w:val="20"/>
          <w:lang w:val="pt-BR"/>
        </w:rPr>
        <w:t>agressor</w:t>
      </w:r>
      <w:r w:rsidR="00651437" w:rsidRPr="00337743">
        <w:rPr>
          <w:rFonts w:ascii="Cambria" w:hAnsi="Cambria"/>
          <w:color w:val="000000"/>
          <w:sz w:val="20"/>
          <w:szCs w:val="20"/>
          <w:lang w:val="pt-BR"/>
        </w:rPr>
        <w:t xml:space="preserve"> conviv</w:t>
      </w:r>
      <w:r w:rsidR="00B70F49" w:rsidRPr="00337743">
        <w:rPr>
          <w:rFonts w:ascii="Cambria" w:hAnsi="Cambria"/>
          <w:color w:val="000000"/>
          <w:sz w:val="20"/>
          <w:szCs w:val="20"/>
          <w:lang w:val="pt-BR"/>
        </w:rPr>
        <w:t>i</w:t>
      </w:r>
      <w:r w:rsidR="00651437" w:rsidRPr="00337743">
        <w:rPr>
          <w:rFonts w:ascii="Cambria" w:hAnsi="Cambria"/>
          <w:color w:val="000000"/>
          <w:sz w:val="20"/>
          <w:szCs w:val="20"/>
          <w:lang w:val="pt-BR"/>
        </w:rPr>
        <w:t>a o</w:t>
      </w:r>
      <w:r w:rsidR="00B852BE" w:rsidRPr="00337743">
        <w:rPr>
          <w:rFonts w:ascii="Cambria" w:hAnsi="Cambria"/>
          <w:color w:val="000000"/>
          <w:sz w:val="20"/>
          <w:szCs w:val="20"/>
          <w:lang w:val="pt-BR"/>
        </w:rPr>
        <w:t>u</w:t>
      </w:r>
      <w:r w:rsidR="00651437" w:rsidRPr="00337743">
        <w:rPr>
          <w:rFonts w:ascii="Cambria" w:hAnsi="Cambria"/>
          <w:color w:val="000000"/>
          <w:sz w:val="20"/>
          <w:szCs w:val="20"/>
          <w:lang w:val="pt-BR"/>
        </w:rPr>
        <w:t xml:space="preserve"> </w:t>
      </w:r>
      <w:r w:rsidR="00B852BE" w:rsidRPr="00337743">
        <w:rPr>
          <w:rFonts w:ascii="Cambria" w:hAnsi="Cambria"/>
          <w:color w:val="000000"/>
          <w:sz w:val="20"/>
          <w:szCs w:val="20"/>
          <w:lang w:val="pt-BR"/>
        </w:rPr>
        <w:t>ten</w:t>
      </w:r>
      <w:r w:rsidR="00651437" w:rsidRPr="00337743">
        <w:rPr>
          <w:rFonts w:ascii="Cambria" w:hAnsi="Cambria"/>
          <w:color w:val="000000"/>
          <w:sz w:val="20"/>
          <w:szCs w:val="20"/>
          <w:lang w:val="pt-BR"/>
        </w:rPr>
        <w:t>ha convivido</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a </w:t>
      </w:r>
      <w:r w:rsidR="00651437" w:rsidRPr="00337743">
        <w:rPr>
          <w:rFonts w:ascii="Cambria" w:hAnsi="Cambria"/>
          <w:color w:val="000000"/>
          <w:sz w:val="20"/>
          <w:szCs w:val="20"/>
          <w:lang w:val="pt-BR"/>
        </w:rPr>
        <w:t xml:space="preserve">ofendida, </w:t>
      </w:r>
      <w:r w:rsidR="00D343AC" w:rsidRPr="00337743">
        <w:rPr>
          <w:rFonts w:ascii="Cambria" w:hAnsi="Cambria"/>
          <w:color w:val="000000"/>
          <w:sz w:val="20"/>
          <w:szCs w:val="20"/>
          <w:lang w:val="pt-BR"/>
        </w:rPr>
        <w:t>independentemente</w:t>
      </w:r>
      <w:r w:rsidR="007707E3" w:rsidRPr="00337743">
        <w:rPr>
          <w:rFonts w:ascii="Cambria" w:hAnsi="Cambria"/>
          <w:color w:val="000000"/>
          <w:sz w:val="20"/>
          <w:szCs w:val="20"/>
          <w:lang w:val="pt-BR"/>
        </w:rPr>
        <w:t xml:space="preserve"> da </w:t>
      </w:r>
      <w:r w:rsidR="00587F80" w:rsidRPr="00337743">
        <w:rPr>
          <w:rFonts w:ascii="Cambria" w:hAnsi="Cambria"/>
          <w:color w:val="000000"/>
          <w:sz w:val="20"/>
          <w:szCs w:val="20"/>
          <w:lang w:val="pt-BR"/>
        </w:rPr>
        <w:t>coabitação</w:t>
      </w:r>
      <w:r w:rsidR="00651437" w:rsidRPr="00337743">
        <w:rPr>
          <w:rFonts w:ascii="Cambria" w:hAnsi="Cambria"/>
          <w:color w:val="000000"/>
          <w:sz w:val="20"/>
          <w:szCs w:val="20"/>
          <w:lang w:val="pt-BR"/>
        </w:rPr>
        <w:t>”</w:t>
      </w:r>
      <w:r w:rsidR="00651437" w:rsidRPr="00337743">
        <w:rPr>
          <w:rFonts w:ascii="Cambria" w:hAnsi="Cambria"/>
          <w:sz w:val="20"/>
          <w:szCs w:val="20"/>
          <w:vertAlign w:val="superscript"/>
          <w:lang w:val="pt-BR"/>
        </w:rPr>
        <w:footnoteReference w:id="7"/>
      </w:r>
      <w:r w:rsidR="00651437" w:rsidRPr="00337743">
        <w:rPr>
          <w:rFonts w:ascii="Cambria" w:hAnsi="Cambria"/>
          <w:color w:val="000000"/>
          <w:sz w:val="20"/>
          <w:szCs w:val="20"/>
          <w:lang w:val="pt-BR"/>
        </w:rPr>
        <w:t>.</w:t>
      </w:r>
      <w:r w:rsidR="000919F2" w:rsidRPr="00337743">
        <w:rPr>
          <w:rFonts w:ascii="Cambria" w:hAnsi="Cambria"/>
          <w:color w:val="000000"/>
          <w:sz w:val="20"/>
          <w:szCs w:val="20"/>
          <w:lang w:val="pt-BR"/>
        </w:rPr>
        <w:t xml:space="preserve"> </w:t>
      </w:r>
    </w:p>
    <w:p w14:paraId="5E93BC2A" w14:textId="77777777" w:rsidR="00A5746E" w:rsidRPr="00337743" w:rsidRDefault="00A5746E" w:rsidP="000D6F25">
      <w:pPr>
        <w:pStyle w:val="ListParagraph"/>
        <w:rPr>
          <w:rFonts w:ascii="Cambria" w:hAnsi="Cambria"/>
          <w:sz w:val="20"/>
          <w:szCs w:val="20"/>
          <w:lang w:val="pt-BR"/>
        </w:rPr>
      </w:pPr>
    </w:p>
    <w:p w14:paraId="64A6737E" w14:textId="77777777" w:rsidR="00E7574E" w:rsidRPr="00337743" w:rsidRDefault="00D343AC" w:rsidP="00E7574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Em</w:t>
      </w:r>
      <w:r w:rsidR="00CF33D8" w:rsidRPr="00337743">
        <w:rPr>
          <w:rFonts w:ascii="Cambria" w:hAnsi="Cambria"/>
          <w:sz w:val="20"/>
          <w:szCs w:val="20"/>
          <w:lang w:val="pt-BR"/>
        </w:rPr>
        <w:t xml:space="preserve"> 2012,</w:t>
      </w:r>
      <w:r w:rsidR="00506331" w:rsidRPr="00337743">
        <w:rPr>
          <w:rFonts w:ascii="Cambria" w:hAnsi="Cambria"/>
          <w:sz w:val="20"/>
          <w:szCs w:val="20"/>
          <w:lang w:val="pt-BR"/>
        </w:rPr>
        <w:t xml:space="preserve"> o </w:t>
      </w:r>
      <w:r w:rsidR="00CF33D8" w:rsidRPr="00337743">
        <w:rPr>
          <w:rFonts w:ascii="Cambria" w:hAnsi="Cambria"/>
          <w:sz w:val="20"/>
          <w:szCs w:val="20"/>
          <w:lang w:val="pt-BR"/>
        </w:rPr>
        <w:t>Comit</w:t>
      </w:r>
      <w:r w:rsidR="00B70F49" w:rsidRPr="00337743">
        <w:rPr>
          <w:rFonts w:ascii="Cambria" w:hAnsi="Cambria"/>
          <w:sz w:val="20"/>
          <w:szCs w:val="20"/>
          <w:lang w:val="pt-BR"/>
        </w:rPr>
        <w:t>ê</w:t>
      </w:r>
      <w:r w:rsidR="00DB5118" w:rsidRPr="00337743">
        <w:rPr>
          <w:rFonts w:ascii="Cambria" w:hAnsi="Cambria"/>
          <w:sz w:val="20"/>
          <w:szCs w:val="20"/>
          <w:lang w:val="pt-BR"/>
        </w:rPr>
        <w:t xml:space="preserve"> das </w:t>
      </w:r>
      <w:r w:rsidR="00CF33D8" w:rsidRPr="00337743">
        <w:rPr>
          <w:rFonts w:ascii="Cambria" w:hAnsi="Cambria"/>
          <w:sz w:val="20"/>
          <w:szCs w:val="20"/>
          <w:lang w:val="pt-BR"/>
        </w:rPr>
        <w:t>Na</w:t>
      </w:r>
      <w:r w:rsidR="00350E7E" w:rsidRPr="00337743">
        <w:rPr>
          <w:rFonts w:ascii="Cambria" w:hAnsi="Cambria"/>
          <w:sz w:val="20"/>
          <w:szCs w:val="20"/>
          <w:lang w:val="pt-BR"/>
        </w:rPr>
        <w:t>ções</w:t>
      </w:r>
      <w:r w:rsidR="00CF33D8" w:rsidRPr="00337743">
        <w:rPr>
          <w:rFonts w:ascii="Cambria" w:hAnsi="Cambria"/>
          <w:sz w:val="20"/>
          <w:szCs w:val="20"/>
          <w:lang w:val="pt-BR"/>
        </w:rPr>
        <w:t xml:space="preserve"> Unidas para</w:t>
      </w:r>
      <w:r w:rsidR="00506331" w:rsidRPr="00337743">
        <w:rPr>
          <w:rFonts w:ascii="Cambria" w:hAnsi="Cambria"/>
          <w:sz w:val="20"/>
          <w:szCs w:val="20"/>
          <w:lang w:val="pt-BR"/>
        </w:rPr>
        <w:t xml:space="preserve"> a </w:t>
      </w:r>
      <w:r w:rsidR="00CF33D8" w:rsidRPr="00337743">
        <w:rPr>
          <w:rFonts w:ascii="Cambria" w:hAnsi="Cambria"/>
          <w:sz w:val="20"/>
          <w:szCs w:val="20"/>
          <w:lang w:val="pt-BR"/>
        </w:rPr>
        <w:t>Elimina</w:t>
      </w:r>
      <w:r w:rsidR="00350E7E" w:rsidRPr="00337743">
        <w:rPr>
          <w:rFonts w:ascii="Cambria" w:hAnsi="Cambria"/>
          <w:sz w:val="20"/>
          <w:szCs w:val="20"/>
          <w:lang w:val="pt-BR"/>
        </w:rPr>
        <w:t>ção</w:t>
      </w:r>
      <w:r w:rsidR="007707E3" w:rsidRPr="00337743">
        <w:rPr>
          <w:rFonts w:ascii="Cambria" w:hAnsi="Cambria"/>
          <w:sz w:val="20"/>
          <w:szCs w:val="20"/>
          <w:lang w:val="pt-BR"/>
        </w:rPr>
        <w:t xml:space="preserve"> da </w:t>
      </w:r>
      <w:r w:rsidR="00CF33D8" w:rsidRPr="00337743">
        <w:rPr>
          <w:rFonts w:ascii="Cambria" w:hAnsi="Cambria"/>
          <w:sz w:val="20"/>
          <w:szCs w:val="20"/>
          <w:lang w:val="pt-BR"/>
        </w:rPr>
        <w:t>Discrimina</w:t>
      </w:r>
      <w:r w:rsidR="00350E7E" w:rsidRPr="00337743">
        <w:rPr>
          <w:rFonts w:ascii="Cambria" w:hAnsi="Cambria"/>
          <w:sz w:val="20"/>
          <w:szCs w:val="20"/>
          <w:lang w:val="pt-BR"/>
        </w:rPr>
        <w:t>ção</w:t>
      </w:r>
      <w:r w:rsidR="00CF33D8"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CF33D8" w:rsidRPr="00337743">
        <w:rPr>
          <w:rFonts w:ascii="Cambria" w:hAnsi="Cambria"/>
          <w:sz w:val="20"/>
          <w:szCs w:val="20"/>
          <w:lang w:val="pt-BR"/>
        </w:rPr>
        <w:t xml:space="preserve"> manifest</w:t>
      </w:r>
      <w:r w:rsidR="00A6443F" w:rsidRPr="00337743">
        <w:rPr>
          <w:rFonts w:ascii="Cambria" w:hAnsi="Cambria"/>
          <w:sz w:val="20"/>
          <w:szCs w:val="20"/>
          <w:lang w:val="pt-BR"/>
        </w:rPr>
        <w:t xml:space="preserve">ou </w:t>
      </w:r>
      <w:r w:rsidRPr="00337743">
        <w:rPr>
          <w:rFonts w:ascii="Cambria" w:hAnsi="Cambria"/>
          <w:sz w:val="20"/>
          <w:szCs w:val="20"/>
          <w:lang w:val="pt-BR"/>
        </w:rPr>
        <w:t>sua</w:t>
      </w:r>
      <w:r w:rsidR="00CF33D8" w:rsidRPr="00337743">
        <w:rPr>
          <w:rFonts w:ascii="Cambria" w:hAnsi="Cambria"/>
          <w:sz w:val="20"/>
          <w:szCs w:val="20"/>
          <w:lang w:val="pt-BR"/>
        </w:rPr>
        <w:t xml:space="preserve"> preocupa</w:t>
      </w:r>
      <w:r w:rsidR="00350E7E" w:rsidRPr="00337743">
        <w:rPr>
          <w:rFonts w:ascii="Cambria" w:hAnsi="Cambria"/>
          <w:sz w:val="20"/>
          <w:szCs w:val="20"/>
          <w:lang w:val="pt-BR"/>
        </w:rPr>
        <w:t>ção</w:t>
      </w:r>
      <w:r w:rsidR="00091880" w:rsidRPr="00337743">
        <w:rPr>
          <w:rFonts w:ascii="Cambria" w:hAnsi="Cambria"/>
          <w:sz w:val="20"/>
          <w:szCs w:val="20"/>
          <w:lang w:val="pt-BR"/>
        </w:rPr>
        <w:t xml:space="preserve"> com </w:t>
      </w:r>
      <w:r w:rsidR="00506331" w:rsidRPr="00337743">
        <w:rPr>
          <w:rFonts w:ascii="Cambria" w:hAnsi="Cambria"/>
          <w:sz w:val="20"/>
          <w:szCs w:val="20"/>
          <w:lang w:val="pt-BR"/>
        </w:rPr>
        <w:t xml:space="preserve">o </w:t>
      </w:r>
      <w:r w:rsidR="00CF33D8" w:rsidRPr="00337743">
        <w:rPr>
          <w:rFonts w:ascii="Cambria" w:hAnsi="Cambria"/>
          <w:sz w:val="20"/>
          <w:szCs w:val="20"/>
          <w:lang w:val="pt-BR"/>
        </w:rPr>
        <w:t>tema</w:t>
      </w:r>
      <w:r w:rsidR="007707E3" w:rsidRPr="00337743">
        <w:rPr>
          <w:rFonts w:ascii="Cambria" w:hAnsi="Cambria"/>
          <w:sz w:val="20"/>
          <w:szCs w:val="20"/>
          <w:lang w:val="pt-BR"/>
        </w:rPr>
        <w:t xml:space="preserve"> da </w:t>
      </w:r>
      <w:r w:rsidRPr="00337743">
        <w:rPr>
          <w:rFonts w:ascii="Cambria" w:hAnsi="Cambria"/>
          <w:sz w:val="20"/>
          <w:szCs w:val="20"/>
          <w:lang w:val="pt-BR"/>
        </w:rPr>
        <w:t>violência</w:t>
      </w:r>
      <w:r w:rsidR="00CF33D8"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CF33D8" w:rsidRPr="00337743">
        <w:rPr>
          <w:rFonts w:ascii="Cambria" w:hAnsi="Cambria"/>
          <w:sz w:val="20"/>
          <w:szCs w:val="20"/>
          <w:lang w:val="pt-BR"/>
        </w:rPr>
        <w:t xml:space="preserve"> </w:t>
      </w:r>
      <w:r w:rsidR="00B70F49" w:rsidRPr="00337743">
        <w:rPr>
          <w:rFonts w:ascii="Cambria" w:hAnsi="Cambria"/>
          <w:sz w:val="20"/>
          <w:szCs w:val="20"/>
          <w:lang w:val="pt-BR"/>
        </w:rPr>
        <w:t>e</w:t>
      </w:r>
      <w:r w:rsidR="00CF33D8" w:rsidRPr="00337743">
        <w:rPr>
          <w:rFonts w:ascii="Cambria" w:hAnsi="Cambria"/>
          <w:sz w:val="20"/>
          <w:szCs w:val="20"/>
          <w:lang w:val="pt-BR"/>
        </w:rPr>
        <w:t>,</w:t>
      </w:r>
      <w:r w:rsidR="00091880" w:rsidRPr="00337743">
        <w:rPr>
          <w:rFonts w:ascii="Cambria" w:hAnsi="Cambria"/>
          <w:sz w:val="20"/>
          <w:szCs w:val="20"/>
          <w:lang w:val="pt-BR"/>
        </w:rPr>
        <w:t xml:space="preserve"> em </w:t>
      </w:r>
      <w:r w:rsidR="00CF33D8" w:rsidRPr="00337743">
        <w:rPr>
          <w:rFonts w:ascii="Cambria" w:hAnsi="Cambria"/>
          <w:sz w:val="20"/>
          <w:szCs w:val="20"/>
          <w:lang w:val="pt-BR"/>
        </w:rPr>
        <w:t>particular,</w:t>
      </w:r>
      <w:r w:rsidR="00091880" w:rsidRPr="00337743">
        <w:rPr>
          <w:rFonts w:ascii="Cambria" w:hAnsi="Cambria"/>
          <w:sz w:val="20"/>
          <w:szCs w:val="20"/>
          <w:lang w:val="pt-BR"/>
        </w:rPr>
        <w:t xml:space="preserve"> com </w:t>
      </w:r>
      <w:r w:rsidR="00506331" w:rsidRPr="00337743">
        <w:rPr>
          <w:rFonts w:ascii="Cambria" w:hAnsi="Cambria"/>
          <w:sz w:val="20"/>
          <w:szCs w:val="20"/>
          <w:lang w:val="pt-BR"/>
        </w:rPr>
        <w:t xml:space="preserve">a </w:t>
      </w:r>
      <w:r w:rsidR="00CF33D8" w:rsidRPr="00337743">
        <w:rPr>
          <w:rFonts w:ascii="Cambria" w:hAnsi="Cambria"/>
          <w:sz w:val="20"/>
          <w:szCs w:val="20"/>
          <w:lang w:val="pt-BR"/>
        </w:rPr>
        <w:t xml:space="preserve">falta de </w:t>
      </w:r>
      <w:r w:rsidRPr="00337743">
        <w:rPr>
          <w:rFonts w:ascii="Cambria" w:hAnsi="Cambria"/>
          <w:sz w:val="20"/>
          <w:szCs w:val="20"/>
          <w:lang w:val="pt-BR"/>
        </w:rPr>
        <w:t>cumprimento</w:t>
      </w:r>
      <w:r w:rsidR="00CF33D8" w:rsidRPr="00337743">
        <w:rPr>
          <w:rFonts w:ascii="Cambria" w:hAnsi="Cambria"/>
          <w:sz w:val="20"/>
          <w:szCs w:val="20"/>
          <w:lang w:val="pt-BR"/>
        </w:rPr>
        <w:t xml:space="preserve"> integral</w:t>
      </w:r>
      <w:r w:rsidR="007707E3" w:rsidRPr="00337743">
        <w:rPr>
          <w:rFonts w:ascii="Cambria" w:hAnsi="Cambria"/>
          <w:sz w:val="20"/>
          <w:szCs w:val="20"/>
          <w:lang w:val="pt-BR"/>
        </w:rPr>
        <w:t xml:space="preserve"> da </w:t>
      </w:r>
      <w:r w:rsidR="00DB5118" w:rsidRPr="00337743">
        <w:rPr>
          <w:rFonts w:ascii="Cambria" w:hAnsi="Cambria"/>
          <w:sz w:val="20"/>
          <w:szCs w:val="20"/>
          <w:lang w:val="pt-BR"/>
        </w:rPr>
        <w:t>Lei</w:t>
      </w:r>
      <w:r w:rsidR="00CF33D8" w:rsidRPr="00337743">
        <w:rPr>
          <w:rFonts w:ascii="Cambria" w:hAnsi="Cambria"/>
          <w:sz w:val="20"/>
          <w:szCs w:val="20"/>
          <w:lang w:val="pt-BR"/>
        </w:rPr>
        <w:t xml:space="preserve"> Maria da Penha</w:t>
      </w:r>
      <w:r w:rsidR="00B70F49" w:rsidRPr="00337743">
        <w:rPr>
          <w:rFonts w:ascii="Cambria" w:hAnsi="Cambria"/>
          <w:sz w:val="20"/>
          <w:szCs w:val="20"/>
          <w:lang w:val="pt-BR"/>
        </w:rPr>
        <w:t>,</w:t>
      </w:r>
      <w:r w:rsidR="00506331" w:rsidRPr="00337743">
        <w:rPr>
          <w:rFonts w:ascii="Cambria" w:hAnsi="Cambria"/>
          <w:sz w:val="20"/>
          <w:szCs w:val="20"/>
          <w:lang w:val="pt-BR"/>
        </w:rPr>
        <w:t xml:space="preserve"> </w:t>
      </w:r>
      <w:r w:rsidR="00CF33D8" w:rsidRPr="00337743">
        <w:rPr>
          <w:rFonts w:ascii="Cambria" w:hAnsi="Cambria"/>
          <w:sz w:val="20"/>
          <w:szCs w:val="20"/>
          <w:lang w:val="pt-BR"/>
        </w:rPr>
        <w:t>“a falta, dentro</w:t>
      </w:r>
      <w:r w:rsidR="007707E3" w:rsidRPr="00337743">
        <w:rPr>
          <w:rFonts w:ascii="Cambria" w:hAnsi="Cambria"/>
          <w:sz w:val="20"/>
          <w:szCs w:val="20"/>
          <w:lang w:val="pt-BR"/>
        </w:rPr>
        <w:t xml:space="preserve"> do </w:t>
      </w:r>
      <w:r w:rsidR="00CF33D8" w:rsidRPr="00337743">
        <w:rPr>
          <w:rFonts w:ascii="Cambria" w:hAnsi="Cambria"/>
          <w:sz w:val="20"/>
          <w:szCs w:val="20"/>
          <w:lang w:val="pt-BR"/>
        </w:rPr>
        <w:t>poder judici</w:t>
      </w:r>
      <w:r w:rsidR="00587F80" w:rsidRPr="00337743">
        <w:rPr>
          <w:rFonts w:ascii="Cambria" w:hAnsi="Cambria"/>
          <w:sz w:val="20"/>
          <w:szCs w:val="20"/>
          <w:lang w:val="pt-BR"/>
        </w:rPr>
        <w:t>ário</w:t>
      </w:r>
      <w:r w:rsidR="00CF33D8" w:rsidRPr="00337743">
        <w:rPr>
          <w:rFonts w:ascii="Cambria" w:hAnsi="Cambria"/>
          <w:sz w:val="20"/>
          <w:szCs w:val="20"/>
          <w:lang w:val="pt-BR"/>
        </w:rPr>
        <w:t xml:space="preserve">, de </w:t>
      </w:r>
      <w:r w:rsidR="00587F80" w:rsidRPr="00337743">
        <w:rPr>
          <w:rFonts w:ascii="Cambria" w:hAnsi="Cambria"/>
          <w:sz w:val="20"/>
          <w:szCs w:val="20"/>
          <w:lang w:val="pt-BR"/>
        </w:rPr>
        <w:t>pessoal</w:t>
      </w:r>
      <w:r w:rsidR="00CF33D8" w:rsidRPr="00337743">
        <w:rPr>
          <w:rFonts w:ascii="Cambria" w:hAnsi="Cambria"/>
          <w:sz w:val="20"/>
          <w:szCs w:val="20"/>
          <w:lang w:val="pt-BR"/>
        </w:rPr>
        <w:t xml:space="preserve"> especializado</w:t>
      </w:r>
      <w:r w:rsidR="00091880" w:rsidRPr="00337743">
        <w:rPr>
          <w:rFonts w:ascii="Cambria" w:hAnsi="Cambria"/>
          <w:sz w:val="20"/>
          <w:szCs w:val="20"/>
          <w:lang w:val="pt-BR"/>
        </w:rPr>
        <w:t xml:space="preserve"> em </w:t>
      </w:r>
      <w:r w:rsidR="00CF33D8" w:rsidRPr="00337743">
        <w:rPr>
          <w:rFonts w:ascii="Cambria" w:hAnsi="Cambria"/>
          <w:sz w:val="20"/>
          <w:szCs w:val="20"/>
          <w:lang w:val="pt-BR"/>
        </w:rPr>
        <w:t xml:space="preserve">casos de </w:t>
      </w:r>
      <w:r w:rsidR="00587F80" w:rsidRPr="00337743">
        <w:rPr>
          <w:rFonts w:ascii="Cambria" w:hAnsi="Cambria"/>
          <w:sz w:val="20"/>
          <w:szCs w:val="20"/>
          <w:lang w:val="pt-BR"/>
        </w:rPr>
        <w:t>violência</w:t>
      </w:r>
      <w:r w:rsidR="00CF33D8" w:rsidRPr="00337743">
        <w:rPr>
          <w:rFonts w:ascii="Cambria" w:hAnsi="Cambria"/>
          <w:sz w:val="20"/>
          <w:szCs w:val="20"/>
          <w:lang w:val="pt-BR"/>
        </w:rPr>
        <w:t xml:space="preserve"> doméstica</w:t>
      </w:r>
      <w:r w:rsidR="00506331" w:rsidRPr="00337743">
        <w:rPr>
          <w:rFonts w:ascii="Cambria" w:hAnsi="Cambria"/>
          <w:sz w:val="20"/>
          <w:szCs w:val="20"/>
          <w:lang w:val="pt-BR"/>
        </w:rPr>
        <w:t xml:space="preserve"> e </w:t>
      </w:r>
      <w:r w:rsidR="00CF33D8" w:rsidRPr="00337743">
        <w:rPr>
          <w:rFonts w:ascii="Cambria" w:hAnsi="Cambria"/>
          <w:sz w:val="20"/>
          <w:szCs w:val="20"/>
          <w:lang w:val="pt-BR"/>
        </w:rPr>
        <w:t>familiar</w:t>
      </w:r>
      <w:r w:rsidR="00506331" w:rsidRPr="00337743">
        <w:rPr>
          <w:rFonts w:ascii="Cambria" w:hAnsi="Cambria"/>
          <w:sz w:val="20"/>
          <w:szCs w:val="20"/>
          <w:lang w:val="pt-BR"/>
        </w:rPr>
        <w:t xml:space="preserve"> e a </w:t>
      </w:r>
      <w:r w:rsidR="00CF33D8" w:rsidRPr="00337743">
        <w:rPr>
          <w:rFonts w:ascii="Cambria" w:hAnsi="Cambria"/>
          <w:sz w:val="20"/>
          <w:szCs w:val="20"/>
          <w:lang w:val="pt-BR"/>
        </w:rPr>
        <w:t xml:space="preserve">falta de </w:t>
      </w:r>
      <w:r w:rsidR="00587F80" w:rsidRPr="00337743">
        <w:rPr>
          <w:rFonts w:ascii="Cambria" w:hAnsi="Cambria"/>
          <w:sz w:val="20"/>
          <w:szCs w:val="20"/>
          <w:lang w:val="pt-BR"/>
        </w:rPr>
        <w:t>dados</w:t>
      </w:r>
      <w:r w:rsidR="00CF33D8" w:rsidRPr="00337743">
        <w:rPr>
          <w:rFonts w:ascii="Cambria" w:hAnsi="Cambria"/>
          <w:sz w:val="20"/>
          <w:szCs w:val="20"/>
          <w:lang w:val="pt-BR"/>
        </w:rPr>
        <w:t xml:space="preserve"> precisos</w:t>
      </w:r>
      <w:r w:rsidR="00506331" w:rsidRPr="00337743">
        <w:rPr>
          <w:rFonts w:ascii="Cambria" w:hAnsi="Cambria"/>
          <w:sz w:val="20"/>
          <w:szCs w:val="20"/>
          <w:lang w:val="pt-BR"/>
        </w:rPr>
        <w:t xml:space="preserve"> e </w:t>
      </w:r>
      <w:r w:rsidR="00D20450" w:rsidRPr="00337743">
        <w:rPr>
          <w:rFonts w:ascii="Cambria" w:hAnsi="Cambria"/>
          <w:sz w:val="20"/>
          <w:szCs w:val="20"/>
          <w:lang w:val="pt-BR"/>
        </w:rPr>
        <w:t>coerentes</w:t>
      </w:r>
      <w:r w:rsidR="00CF33D8" w:rsidRPr="00337743">
        <w:rPr>
          <w:rFonts w:ascii="Cambria" w:hAnsi="Cambria"/>
          <w:sz w:val="20"/>
          <w:szCs w:val="20"/>
          <w:lang w:val="pt-BR"/>
        </w:rPr>
        <w:t xml:space="preserve"> sobre</w:t>
      </w:r>
      <w:r w:rsidR="00506331" w:rsidRPr="00337743">
        <w:rPr>
          <w:rFonts w:ascii="Cambria" w:hAnsi="Cambria"/>
          <w:sz w:val="20"/>
          <w:szCs w:val="20"/>
          <w:lang w:val="pt-BR"/>
        </w:rPr>
        <w:t xml:space="preserve"> a </w:t>
      </w:r>
      <w:r w:rsidR="00587F80" w:rsidRPr="00337743">
        <w:rPr>
          <w:rFonts w:ascii="Cambria" w:hAnsi="Cambria"/>
          <w:sz w:val="20"/>
          <w:szCs w:val="20"/>
          <w:lang w:val="pt-BR"/>
        </w:rPr>
        <w:t>violência</w:t>
      </w:r>
      <w:r w:rsidR="00CF33D8"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CF33D8" w:rsidRPr="00337743">
        <w:rPr>
          <w:rFonts w:ascii="Cambria" w:hAnsi="Cambria"/>
          <w:sz w:val="20"/>
          <w:szCs w:val="20"/>
          <w:lang w:val="pt-BR"/>
        </w:rPr>
        <w:t>”</w:t>
      </w:r>
      <w:r w:rsidR="00CF33D8" w:rsidRPr="00337743">
        <w:rPr>
          <w:rFonts w:ascii="Cambria" w:hAnsi="Cambria"/>
          <w:sz w:val="20"/>
          <w:szCs w:val="20"/>
          <w:vertAlign w:val="superscript"/>
          <w:lang w:val="pt-BR"/>
        </w:rPr>
        <w:footnoteReference w:id="8"/>
      </w:r>
      <w:r w:rsidR="00CF33D8" w:rsidRPr="00337743">
        <w:rPr>
          <w:rFonts w:ascii="Cambria" w:hAnsi="Cambria"/>
          <w:sz w:val="20"/>
          <w:szCs w:val="20"/>
          <w:lang w:val="pt-BR"/>
        </w:rPr>
        <w:t>.</w:t>
      </w:r>
      <w:r w:rsidR="00091880" w:rsidRPr="00337743">
        <w:rPr>
          <w:rFonts w:ascii="Cambria" w:hAnsi="Cambria"/>
          <w:sz w:val="20"/>
          <w:szCs w:val="20"/>
          <w:lang w:val="pt-BR"/>
        </w:rPr>
        <w:t xml:space="preserve"> </w:t>
      </w:r>
      <w:r w:rsidR="00B70F49" w:rsidRPr="00337743">
        <w:rPr>
          <w:rFonts w:ascii="Cambria" w:hAnsi="Cambria"/>
          <w:sz w:val="20"/>
          <w:szCs w:val="20"/>
          <w:lang w:val="pt-BR"/>
        </w:rPr>
        <w:t>E</w:t>
      </w:r>
      <w:r w:rsidR="00091880" w:rsidRPr="00337743">
        <w:rPr>
          <w:rFonts w:ascii="Cambria" w:hAnsi="Cambria"/>
          <w:sz w:val="20"/>
          <w:szCs w:val="20"/>
          <w:lang w:val="pt-BR"/>
        </w:rPr>
        <w:t xml:space="preserve">m </w:t>
      </w:r>
      <w:r w:rsidR="00702D3C" w:rsidRPr="00337743">
        <w:rPr>
          <w:rFonts w:ascii="Cambria" w:hAnsi="Cambria"/>
          <w:sz w:val="20"/>
          <w:szCs w:val="20"/>
          <w:lang w:val="pt-BR"/>
        </w:rPr>
        <w:t>2015,</w:t>
      </w:r>
      <w:r w:rsidR="00506331" w:rsidRPr="00337743">
        <w:rPr>
          <w:rFonts w:ascii="Cambria" w:hAnsi="Cambria"/>
          <w:sz w:val="20"/>
          <w:szCs w:val="20"/>
          <w:lang w:val="pt-BR"/>
        </w:rPr>
        <w:t xml:space="preserve"> o </w:t>
      </w:r>
      <w:r w:rsidR="00702D3C" w:rsidRPr="00337743">
        <w:rPr>
          <w:rFonts w:ascii="Cambria" w:hAnsi="Cambria"/>
          <w:sz w:val="20"/>
          <w:szCs w:val="20"/>
          <w:lang w:val="pt-BR"/>
        </w:rPr>
        <w:t>Senado d</w:t>
      </w:r>
      <w:r w:rsidR="00B70F49" w:rsidRPr="00337743">
        <w:rPr>
          <w:rFonts w:ascii="Cambria" w:hAnsi="Cambria"/>
          <w:sz w:val="20"/>
          <w:szCs w:val="20"/>
          <w:lang w:val="pt-BR"/>
        </w:rPr>
        <w:t>o</w:t>
      </w:r>
      <w:r w:rsidR="00702D3C" w:rsidRPr="00337743">
        <w:rPr>
          <w:rFonts w:ascii="Cambria" w:hAnsi="Cambria"/>
          <w:sz w:val="20"/>
          <w:szCs w:val="20"/>
          <w:lang w:val="pt-BR"/>
        </w:rPr>
        <w:t xml:space="preserve"> Brasil realiz</w:t>
      </w:r>
      <w:r w:rsidR="00A6443F" w:rsidRPr="00337743">
        <w:rPr>
          <w:rFonts w:ascii="Cambria" w:hAnsi="Cambria"/>
          <w:sz w:val="20"/>
          <w:szCs w:val="20"/>
          <w:lang w:val="pt-BR"/>
        </w:rPr>
        <w:t xml:space="preserve">ou </w:t>
      </w:r>
      <w:r w:rsidR="00091880" w:rsidRPr="00337743">
        <w:rPr>
          <w:rFonts w:ascii="Cambria" w:hAnsi="Cambria"/>
          <w:sz w:val="20"/>
          <w:szCs w:val="20"/>
          <w:lang w:val="pt-BR"/>
        </w:rPr>
        <w:t xml:space="preserve">uma </w:t>
      </w:r>
      <w:r w:rsidR="00587F80" w:rsidRPr="00337743">
        <w:rPr>
          <w:rFonts w:ascii="Cambria" w:hAnsi="Cambria"/>
          <w:sz w:val="20"/>
          <w:szCs w:val="20"/>
          <w:lang w:val="pt-BR"/>
        </w:rPr>
        <w:t>pesquis</w:t>
      </w:r>
      <w:r w:rsidR="00DE45F5" w:rsidRPr="00337743">
        <w:rPr>
          <w:rFonts w:ascii="Cambria" w:hAnsi="Cambria"/>
          <w:sz w:val="20"/>
          <w:szCs w:val="20"/>
          <w:lang w:val="pt-BR"/>
        </w:rPr>
        <w:t xml:space="preserve">a, </w:t>
      </w:r>
      <w:r w:rsidR="00587F80" w:rsidRPr="00337743">
        <w:rPr>
          <w:rFonts w:ascii="Cambria" w:hAnsi="Cambria"/>
          <w:sz w:val="20"/>
          <w:szCs w:val="20"/>
          <w:lang w:val="pt-BR"/>
        </w:rPr>
        <w:t xml:space="preserve">entre cujas </w:t>
      </w:r>
      <w:r w:rsidR="00702D3C" w:rsidRPr="00337743">
        <w:rPr>
          <w:rFonts w:ascii="Cambria" w:hAnsi="Cambria"/>
          <w:sz w:val="20"/>
          <w:szCs w:val="20"/>
          <w:lang w:val="pt-BR"/>
        </w:rPr>
        <w:t>conclus</w:t>
      </w:r>
      <w:r w:rsidR="00587F80" w:rsidRPr="00337743">
        <w:rPr>
          <w:rFonts w:ascii="Cambria" w:hAnsi="Cambria"/>
          <w:sz w:val="20"/>
          <w:szCs w:val="20"/>
          <w:lang w:val="pt-BR"/>
        </w:rPr>
        <w:t>õ</w:t>
      </w:r>
      <w:r w:rsidR="00702D3C" w:rsidRPr="00337743">
        <w:rPr>
          <w:rFonts w:ascii="Cambria" w:hAnsi="Cambria"/>
          <w:sz w:val="20"/>
          <w:szCs w:val="20"/>
          <w:lang w:val="pt-BR"/>
        </w:rPr>
        <w:t xml:space="preserve">es se </w:t>
      </w:r>
      <w:r w:rsidR="00587F80" w:rsidRPr="00337743">
        <w:rPr>
          <w:rFonts w:ascii="Cambria" w:hAnsi="Cambria"/>
          <w:sz w:val="20"/>
          <w:szCs w:val="20"/>
          <w:lang w:val="pt-BR"/>
        </w:rPr>
        <w:t>destacam</w:t>
      </w:r>
      <w:r w:rsidR="00702D3C" w:rsidRPr="00337743">
        <w:rPr>
          <w:rFonts w:ascii="Cambria" w:hAnsi="Cambria"/>
          <w:sz w:val="20"/>
          <w:szCs w:val="20"/>
          <w:lang w:val="pt-BR"/>
        </w:rPr>
        <w:t>: aproximadamente</w:t>
      </w:r>
      <w:r w:rsidR="00091880" w:rsidRPr="00337743">
        <w:rPr>
          <w:rFonts w:ascii="Cambria" w:hAnsi="Cambria"/>
          <w:sz w:val="20"/>
          <w:szCs w:val="20"/>
          <w:lang w:val="pt-BR"/>
        </w:rPr>
        <w:t xml:space="preserve"> uma </w:t>
      </w:r>
      <w:r w:rsidR="00702D3C" w:rsidRPr="00337743">
        <w:rPr>
          <w:rFonts w:ascii="Cambria" w:hAnsi="Cambria"/>
          <w:sz w:val="20"/>
          <w:szCs w:val="20"/>
          <w:lang w:val="pt-BR"/>
        </w:rPr>
        <w:t xml:space="preserve">de cada cinco </w:t>
      </w:r>
      <w:r w:rsidR="00B1530D" w:rsidRPr="00337743">
        <w:rPr>
          <w:rFonts w:ascii="Cambria" w:hAnsi="Cambria"/>
          <w:sz w:val="20"/>
          <w:szCs w:val="20"/>
          <w:lang w:val="pt-BR"/>
        </w:rPr>
        <w:t>brasileir</w:t>
      </w:r>
      <w:r w:rsidR="00702D3C" w:rsidRPr="00337743">
        <w:rPr>
          <w:rFonts w:ascii="Cambria" w:hAnsi="Cambria"/>
          <w:sz w:val="20"/>
          <w:szCs w:val="20"/>
          <w:lang w:val="pt-BR"/>
        </w:rPr>
        <w:t xml:space="preserve">as </w:t>
      </w:r>
      <w:r w:rsidR="00587F80" w:rsidRPr="00337743">
        <w:rPr>
          <w:rFonts w:ascii="Cambria" w:hAnsi="Cambria"/>
          <w:sz w:val="20"/>
          <w:szCs w:val="20"/>
          <w:lang w:val="pt-BR"/>
        </w:rPr>
        <w:t>já sofreu algum</w:t>
      </w:r>
      <w:r w:rsidR="00702D3C" w:rsidRPr="00337743">
        <w:rPr>
          <w:rFonts w:ascii="Cambria" w:hAnsi="Cambria"/>
          <w:sz w:val="20"/>
          <w:szCs w:val="20"/>
          <w:lang w:val="pt-BR"/>
        </w:rPr>
        <w:t xml:space="preserve"> tipo de </w:t>
      </w:r>
      <w:r w:rsidR="00D20450" w:rsidRPr="00337743">
        <w:rPr>
          <w:rFonts w:ascii="Cambria" w:hAnsi="Cambria"/>
          <w:sz w:val="20"/>
          <w:szCs w:val="20"/>
          <w:lang w:val="pt-BR"/>
        </w:rPr>
        <w:t>violência</w:t>
      </w:r>
      <w:r w:rsidR="00702D3C" w:rsidRPr="00337743">
        <w:rPr>
          <w:rFonts w:ascii="Cambria" w:hAnsi="Cambria"/>
          <w:sz w:val="20"/>
          <w:szCs w:val="20"/>
          <w:lang w:val="pt-BR"/>
        </w:rPr>
        <w:t xml:space="preserve"> doméstica o</w:t>
      </w:r>
      <w:r w:rsidR="00B70F49" w:rsidRPr="00337743">
        <w:rPr>
          <w:rFonts w:ascii="Cambria" w:hAnsi="Cambria"/>
          <w:sz w:val="20"/>
          <w:szCs w:val="20"/>
          <w:lang w:val="pt-BR"/>
        </w:rPr>
        <w:t>u</w:t>
      </w:r>
      <w:r w:rsidR="00702D3C" w:rsidRPr="00337743">
        <w:rPr>
          <w:rFonts w:ascii="Cambria" w:hAnsi="Cambria"/>
          <w:sz w:val="20"/>
          <w:szCs w:val="20"/>
          <w:lang w:val="pt-BR"/>
        </w:rPr>
        <w:t xml:space="preserve"> familiar;</w:t>
      </w:r>
      <w:r w:rsidR="007707E3" w:rsidRPr="00337743">
        <w:rPr>
          <w:rFonts w:ascii="Cambria" w:hAnsi="Cambria"/>
          <w:sz w:val="20"/>
          <w:szCs w:val="20"/>
          <w:lang w:val="pt-BR"/>
        </w:rPr>
        <w:t xml:space="preserve"> as </w:t>
      </w:r>
      <w:r w:rsidR="00DB5118" w:rsidRPr="00337743">
        <w:rPr>
          <w:rFonts w:ascii="Cambria" w:hAnsi="Cambria"/>
          <w:sz w:val="20"/>
          <w:szCs w:val="20"/>
          <w:lang w:val="pt-BR"/>
        </w:rPr>
        <w:t>mulher</w:t>
      </w:r>
      <w:r w:rsidR="00702D3C" w:rsidRPr="00337743">
        <w:rPr>
          <w:rFonts w:ascii="Cambria" w:hAnsi="Cambria"/>
          <w:sz w:val="20"/>
          <w:szCs w:val="20"/>
          <w:lang w:val="pt-BR"/>
        </w:rPr>
        <w:t>es</w:t>
      </w:r>
      <w:r w:rsidR="00091880" w:rsidRPr="00337743">
        <w:rPr>
          <w:rFonts w:ascii="Cambria" w:hAnsi="Cambria"/>
          <w:sz w:val="20"/>
          <w:szCs w:val="20"/>
          <w:lang w:val="pt-BR"/>
        </w:rPr>
        <w:t xml:space="preserve"> com </w:t>
      </w:r>
      <w:r w:rsidR="00702D3C" w:rsidRPr="00337743">
        <w:rPr>
          <w:rFonts w:ascii="Cambria" w:hAnsi="Cambria"/>
          <w:sz w:val="20"/>
          <w:szCs w:val="20"/>
          <w:lang w:val="pt-BR"/>
        </w:rPr>
        <w:t xml:space="preserve">menor </w:t>
      </w:r>
      <w:r w:rsidR="00587F80" w:rsidRPr="00337743">
        <w:rPr>
          <w:rFonts w:ascii="Cambria" w:hAnsi="Cambria"/>
          <w:sz w:val="20"/>
          <w:szCs w:val="20"/>
          <w:lang w:val="pt-BR"/>
        </w:rPr>
        <w:t>nível</w:t>
      </w:r>
      <w:r w:rsidR="00702D3C" w:rsidRPr="00337743">
        <w:rPr>
          <w:rFonts w:ascii="Cambria" w:hAnsi="Cambria"/>
          <w:sz w:val="20"/>
          <w:szCs w:val="20"/>
          <w:lang w:val="pt-BR"/>
        </w:rPr>
        <w:t xml:space="preserve"> de instru</w:t>
      </w:r>
      <w:r w:rsidR="007707E3" w:rsidRPr="00337743">
        <w:rPr>
          <w:rFonts w:ascii="Cambria" w:hAnsi="Cambria"/>
          <w:sz w:val="20"/>
          <w:szCs w:val="20"/>
          <w:lang w:val="pt-BR"/>
        </w:rPr>
        <w:t>ç</w:t>
      </w:r>
      <w:r w:rsidR="00350E7E" w:rsidRPr="00337743">
        <w:rPr>
          <w:rFonts w:ascii="Cambria" w:hAnsi="Cambria"/>
          <w:sz w:val="20"/>
          <w:szCs w:val="20"/>
          <w:lang w:val="pt-BR"/>
        </w:rPr>
        <w:t>ão</w:t>
      </w:r>
      <w:r w:rsidR="00D20450" w:rsidRPr="00337743">
        <w:rPr>
          <w:rFonts w:ascii="Cambria" w:hAnsi="Cambria"/>
          <w:sz w:val="20"/>
          <w:szCs w:val="20"/>
          <w:lang w:val="pt-BR"/>
        </w:rPr>
        <w:t xml:space="preserve"> são </w:t>
      </w:r>
      <w:r w:rsidR="007707E3" w:rsidRPr="00337743">
        <w:rPr>
          <w:rFonts w:ascii="Cambria" w:hAnsi="Cambria"/>
          <w:sz w:val="20"/>
          <w:szCs w:val="20"/>
          <w:lang w:val="pt-BR"/>
        </w:rPr>
        <w:t xml:space="preserve">as </w:t>
      </w:r>
      <w:r w:rsidR="00F304A8" w:rsidRPr="00337743">
        <w:rPr>
          <w:rFonts w:ascii="Cambria" w:hAnsi="Cambria"/>
          <w:sz w:val="20"/>
          <w:szCs w:val="20"/>
          <w:lang w:val="pt-BR"/>
        </w:rPr>
        <w:t>mais</w:t>
      </w:r>
      <w:r w:rsidR="00702D3C" w:rsidRPr="00337743">
        <w:rPr>
          <w:rFonts w:ascii="Cambria" w:hAnsi="Cambria"/>
          <w:sz w:val="20"/>
          <w:szCs w:val="20"/>
          <w:lang w:val="pt-BR"/>
        </w:rPr>
        <w:t xml:space="preserve"> </w:t>
      </w:r>
      <w:r w:rsidR="00587F80" w:rsidRPr="00337743">
        <w:rPr>
          <w:rFonts w:ascii="Cambria" w:hAnsi="Cambria"/>
          <w:sz w:val="20"/>
          <w:szCs w:val="20"/>
          <w:lang w:val="pt-BR"/>
        </w:rPr>
        <w:t>afetadas</w:t>
      </w:r>
      <w:r w:rsidR="00702D3C" w:rsidRPr="00337743">
        <w:rPr>
          <w:rFonts w:ascii="Cambria" w:hAnsi="Cambria"/>
          <w:sz w:val="20"/>
          <w:szCs w:val="20"/>
          <w:lang w:val="pt-BR"/>
        </w:rPr>
        <w:t>;</w:t>
      </w:r>
      <w:r w:rsidR="007707E3" w:rsidRPr="00337743">
        <w:rPr>
          <w:rFonts w:ascii="Cambria" w:hAnsi="Cambria"/>
          <w:sz w:val="20"/>
          <w:szCs w:val="20"/>
          <w:lang w:val="pt-BR"/>
        </w:rPr>
        <w:t xml:space="preserve"> as </w:t>
      </w:r>
      <w:r w:rsidR="00DB5118" w:rsidRPr="00337743">
        <w:rPr>
          <w:rFonts w:ascii="Cambria" w:hAnsi="Cambria"/>
          <w:sz w:val="20"/>
          <w:szCs w:val="20"/>
          <w:lang w:val="pt-BR"/>
        </w:rPr>
        <w:t>mulher</w:t>
      </w:r>
      <w:r w:rsidR="006D43E0" w:rsidRPr="00337743">
        <w:rPr>
          <w:rFonts w:ascii="Cambria" w:hAnsi="Cambria"/>
          <w:sz w:val="20"/>
          <w:szCs w:val="20"/>
          <w:lang w:val="pt-BR"/>
        </w:rPr>
        <w:t>es</w:t>
      </w:r>
      <w:r w:rsidR="00D20450" w:rsidRPr="00337743">
        <w:rPr>
          <w:rFonts w:ascii="Cambria" w:hAnsi="Cambria"/>
          <w:sz w:val="20"/>
          <w:szCs w:val="20"/>
          <w:lang w:val="pt-BR"/>
        </w:rPr>
        <w:t xml:space="preserve"> são </w:t>
      </w:r>
      <w:r w:rsidR="00F304A8" w:rsidRPr="00337743">
        <w:rPr>
          <w:rFonts w:ascii="Cambria" w:hAnsi="Cambria"/>
          <w:sz w:val="20"/>
          <w:szCs w:val="20"/>
          <w:lang w:val="pt-BR"/>
        </w:rPr>
        <w:t>mais</w:t>
      </w:r>
      <w:r w:rsidR="006D43E0" w:rsidRPr="00337743">
        <w:rPr>
          <w:rFonts w:ascii="Cambria" w:hAnsi="Cambria"/>
          <w:sz w:val="20"/>
          <w:szCs w:val="20"/>
          <w:lang w:val="pt-BR"/>
        </w:rPr>
        <w:t xml:space="preserve"> suscet</w:t>
      </w:r>
      <w:r w:rsidR="00D20450" w:rsidRPr="00337743">
        <w:rPr>
          <w:rFonts w:ascii="Cambria" w:hAnsi="Cambria"/>
          <w:sz w:val="20"/>
          <w:szCs w:val="20"/>
          <w:lang w:val="pt-BR"/>
        </w:rPr>
        <w:t>ívei</w:t>
      </w:r>
      <w:r w:rsidR="006D43E0" w:rsidRPr="00337743">
        <w:rPr>
          <w:rFonts w:ascii="Cambria" w:hAnsi="Cambria"/>
          <w:sz w:val="20"/>
          <w:szCs w:val="20"/>
          <w:lang w:val="pt-BR"/>
        </w:rPr>
        <w:t xml:space="preserve">s </w:t>
      </w:r>
      <w:r w:rsidR="00952F84" w:rsidRPr="00337743">
        <w:rPr>
          <w:rFonts w:ascii="Cambria" w:hAnsi="Cambria"/>
          <w:sz w:val="20"/>
          <w:szCs w:val="20"/>
          <w:lang w:val="pt-BR"/>
        </w:rPr>
        <w:t>de</w:t>
      </w:r>
      <w:r w:rsidR="006D43E0" w:rsidRPr="00337743">
        <w:rPr>
          <w:rFonts w:ascii="Cambria" w:hAnsi="Cambria"/>
          <w:sz w:val="20"/>
          <w:szCs w:val="20"/>
          <w:lang w:val="pt-BR"/>
        </w:rPr>
        <w:t xml:space="preserve"> </w:t>
      </w:r>
      <w:r w:rsidR="00D20450" w:rsidRPr="00337743">
        <w:rPr>
          <w:rFonts w:ascii="Cambria" w:hAnsi="Cambria"/>
          <w:sz w:val="20"/>
          <w:szCs w:val="20"/>
          <w:lang w:val="pt-BR"/>
        </w:rPr>
        <w:t>sofrer</w:t>
      </w:r>
      <w:r w:rsidR="006D43E0" w:rsidRPr="00337743">
        <w:rPr>
          <w:rFonts w:ascii="Cambria" w:hAnsi="Cambria"/>
          <w:sz w:val="20"/>
          <w:szCs w:val="20"/>
          <w:lang w:val="pt-BR"/>
        </w:rPr>
        <w:t xml:space="preserve"> </w:t>
      </w:r>
      <w:r w:rsidR="00320DBA" w:rsidRPr="00337743">
        <w:rPr>
          <w:rFonts w:ascii="Cambria" w:hAnsi="Cambria"/>
          <w:sz w:val="20"/>
          <w:szCs w:val="20"/>
          <w:lang w:val="pt-BR"/>
        </w:rPr>
        <w:t>violência</w:t>
      </w:r>
      <w:r w:rsidR="006D43E0" w:rsidRPr="00337743">
        <w:rPr>
          <w:rFonts w:ascii="Cambria" w:hAnsi="Cambria"/>
          <w:sz w:val="20"/>
          <w:szCs w:val="20"/>
          <w:lang w:val="pt-BR"/>
        </w:rPr>
        <w:t xml:space="preserve"> doméstica p</w:t>
      </w:r>
      <w:r w:rsidR="00952F84" w:rsidRPr="00337743">
        <w:rPr>
          <w:rFonts w:ascii="Cambria" w:hAnsi="Cambria"/>
          <w:sz w:val="20"/>
          <w:szCs w:val="20"/>
          <w:lang w:val="pt-BR"/>
        </w:rPr>
        <w:t>ela</w:t>
      </w:r>
      <w:r w:rsidR="006D43E0" w:rsidRPr="00337743">
        <w:rPr>
          <w:rFonts w:ascii="Cambria" w:hAnsi="Cambria"/>
          <w:sz w:val="20"/>
          <w:szCs w:val="20"/>
          <w:lang w:val="pt-BR"/>
        </w:rPr>
        <w:t xml:space="preserve"> </w:t>
      </w:r>
      <w:r w:rsidR="00D20450" w:rsidRPr="00337743">
        <w:rPr>
          <w:rFonts w:ascii="Cambria" w:hAnsi="Cambria"/>
          <w:sz w:val="20"/>
          <w:szCs w:val="20"/>
          <w:lang w:val="pt-BR"/>
        </w:rPr>
        <w:t>primeira</w:t>
      </w:r>
      <w:r w:rsidR="006D43E0" w:rsidRPr="00337743">
        <w:rPr>
          <w:rFonts w:ascii="Cambria" w:hAnsi="Cambria"/>
          <w:sz w:val="20"/>
          <w:szCs w:val="20"/>
          <w:lang w:val="pt-BR"/>
        </w:rPr>
        <w:t xml:space="preserve"> vez </w:t>
      </w:r>
      <w:r w:rsidR="00952F84" w:rsidRPr="00337743">
        <w:rPr>
          <w:rFonts w:ascii="Cambria" w:hAnsi="Cambria"/>
          <w:sz w:val="20"/>
          <w:szCs w:val="20"/>
          <w:lang w:val="pt-BR"/>
        </w:rPr>
        <w:t>q</w:t>
      </w:r>
      <w:r w:rsidR="00320DBA" w:rsidRPr="00337743">
        <w:rPr>
          <w:rFonts w:ascii="Cambria" w:hAnsi="Cambria"/>
          <w:sz w:val="20"/>
          <w:szCs w:val="20"/>
          <w:lang w:val="pt-BR"/>
        </w:rPr>
        <w:t>uando</w:t>
      </w:r>
      <w:r w:rsidR="006D43E0" w:rsidRPr="00337743">
        <w:rPr>
          <w:rFonts w:ascii="Cambria" w:hAnsi="Cambria"/>
          <w:sz w:val="20"/>
          <w:szCs w:val="20"/>
          <w:lang w:val="pt-BR"/>
        </w:rPr>
        <w:t xml:space="preserve"> t</w:t>
      </w:r>
      <w:r w:rsidR="00952F84" w:rsidRPr="00337743">
        <w:rPr>
          <w:rFonts w:ascii="Cambria" w:hAnsi="Cambria"/>
          <w:sz w:val="20"/>
          <w:szCs w:val="20"/>
          <w:lang w:val="pt-BR"/>
        </w:rPr>
        <w:t>êm</w:t>
      </w:r>
      <w:r w:rsidR="006D43E0" w:rsidRPr="00337743">
        <w:rPr>
          <w:rFonts w:ascii="Cambria" w:hAnsi="Cambria"/>
          <w:sz w:val="20"/>
          <w:szCs w:val="20"/>
          <w:lang w:val="pt-BR"/>
        </w:rPr>
        <w:t xml:space="preserve"> entre 20</w:t>
      </w:r>
      <w:r w:rsidR="00506331" w:rsidRPr="00337743">
        <w:rPr>
          <w:rFonts w:ascii="Cambria" w:hAnsi="Cambria"/>
          <w:sz w:val="20"/>
          <w:szCs w:val="20"/>
          <w:lang w:val="pt-BR"/>
        </w:rPr>
        <w:t xml:space="preserve"> e </w:t>
      </w:r>
      <w:r w:rsidR="006D43E0" w:rsidRPr="00337743">
        <w:rPr>
          <w:rFonts w:ascii="Cambria" w:hAnsi="Cambria"/>
          <w:sz w:val="20"/>
          <w:szCs w:val="20"/>
          <w:lang w:val="pt-BR"/>
        </w:rPr>
        <w:t xml:space="preserve">29 </w:t>
      </w:r>
      <w:r w:rsidR="00D20450" w:rsidRPr="00337743">
        <w:rPr>
          <w:rFonts w:ascii="Cambria" w:hAnsi="Cambria"/>
          <w:sz w:val="20"/>
          <w:szCs w:val="20"/>
          <w:lang w:val="pt-BR"/>
        </w:rPr>
        <w:t>anos</w:t>
      </w:r>
      <w:r w:rsidR="006D43E0" w:rsidRPr="00337743">
        <w:rPr>
          <w:rFonts w:ascii="Cambria" w:hAnsi="Cambria"/>
          <w:sz w:val="20"/>
          <w:szCs w:val="20"/>
          <w:lang w:val="pt-BR"/>
        </w:rPr>
        <w:t>;</w:t>
      </w:r>
      <w:r w:rsidR="00506331" w:rsidRPr="00337743">
        <w:rPr>
          <w:rFonts w:ascii="Cambria" w:hAnsi="Cambria"/>
          <w:sz w:val="20"/>
          <w:szCs w:val="20"/>
          <w:lang w:val="pt-BR"/>
        </w:rPr>
        <w:t xml:space="preserve"> </w:t>
      </w:r>
      <w:r w:rsidR="00141F5F" w:rsidRPr="00337743">
        <w:rPr>
          <w:rFonts w:ascii="Cambria" w:hAnsi="Cambria"/>
          <w:sz w:val="20"/>
          <w:szCs w:val="20"/>
          <w:lang w:val="pt-BR"/>
        </w:rPr>
        <w:t>21%</w:t>
      </w:r>
      <w:r w:rsidR="00DB5118" w:rsidRPr="00337743">
        <w:rPr>
          <w:rFonts w:ascii="Cambria" w:hAnsi="Cambria"/>
          <w:sz w:val="20"/>
          <w:szCs w:val="20"/>
          <w:lang w:val="pt-BR"/>
        </w:rPr>
        <w:t xml:space="preserve"> das mulher</w:t>
      </w:r>
      <w:r w:rsidR="00F052AD" w:rsidRPr="00337743">
        <w:rPr>
          <w:rFonts w:ascii="Cambria" w:hAnsi="Cambria"/>
          <w:sz w:val="20"/>
          <w:szCs w:val="20"/>
          <w:lang w:val="pt-BR"/>
        </w:rPr>
        <w:t xml:space="preserve">es </w:t>
      </w:r>
      <w:r w:rsidR="00141F5F" w:rsidRPr="00337743">
        <w:rPr>
          <w:rFonts w:ascii="Cambria" w:hAnsi="Cambria"/>
          <w:sz w:val="20"/>
          <w:szCs w:val="20"/>
          <w:lang w:val="pt-BR"/>
        </w:rPr>
        <w:t>agredidas</w:t>
      </w:r>
      <w:r w:rsidR="00091880" w:rsidRPr="00337743">
        <w:rPr>
          <w:rFonts w:ascii="Cambria" w:hAnsi="Cambria"/>
          <w:sz w:val="20"/>
          <w:szCs w:val="20"/>
          <w:lang w:val="pt-BR"/>
        </w:rPr>
        <w:t xml:space="preserve"> não </w:t>
      </w:r>
      <w:r w:rsidR="00D20450" w:rsidRPr="00337743">
        <w:rPr>
          <w:rFonts w:ascii="Cambria" w:hAnsi="Cambria"/>
          <w:sz w:val="20"/>
          <w:szCs w:val="20"/>
          <w:lang w:val="pt-BR"/>
        </w:rPr>
        <w:t>busca</w:t>
      </w:r>
      <w:r w:rsidR="00952F84" w:rsidRPr="00337743">
        <w:rPr>
          <w:rFonts w:ascii="Cambria" w:hAnsi="Cambria"/>
          <w:sz w:val="20"/>
          <w:szCs w:val="20"/>
          <w:lang w:val="pt-BR"/>
        </w:rPr>
        <w:t>r</w:t>
      </w:r>
      <w:r w:rsidR="00D20450" w:rsidRPr="00337743">
        <w:rPr>
          <w:rFonts w:ascii="Cambria" w:hAnsi="Cambria"/>
          <w:sz w:val="20"/>
          <w:szCs w:val="20"/>
          <w:lang w:val="pt-BR"/>
        </w:rPr>
        <w:t>am</w:t>
      </w:r>
      <w:r w:rsidR="00141F5F" w:rsidRPr="00337743">
        <w:rPr>
          <w:rFonts w:ascii="Cambria" w:hAnsi="Cambria"/>
          <w:sz w:val="20"/>
          <w:szCs w:val="20"/>
          <w:lang w:val="pt-BR"/>
        </w:rPr>
        <w:t xml:space="preserve"> </w:t>
      </w:r>
      <w:r w:rsidR="00AE6A05" w:rsidRPr="00337743">
        <w:rPr>
          <w:rFonts w:ascii="Cambria" w:hAnsi="Cambria"/>
          <w:sz w:val="20"/>
          <w:szCs w:val="20"/>
          <w:lang w:val="pt-BR"/>
        </w:rPr>
        <w:t>ajuda</w:t>
      </w:r>
      <w:r w:rsidR="00141F5F" w:rsidRPr="00337743">
        <w:rPr>
          <w:rFonts w:ascii="Cambria" w:hAnsi="Cambria"/>
          <w:sz w:val="20"/>
          <w:szCs w:val="20"/>
          <w:lang w:val="pt-BR"/>
        </w:rPr>
        <w:t xml:space="preserve"> de n</w:t>
      </w:r>
      <w:r w:rsidR="00952F84" w:rsidRPr="00337743">
        <w:rPr>
          <w:rFonts w:ascii="Cambria" w:hAnsi="Cambria"/>
          <w:sz w:val="20"/>
          <w:szCs w:val="20"/>
          <w:lang w:val="pt-BR"/>
        </w:rPr>
        <w:t>enhum</w:t>
      </w:r>
      <w:r w:rsidR="00141F5F" w:rsidRPr="00337743">
        <w:rPr>
          <w:rFonts w:ascii="Cambria" w:hAnsi="Cambria"/>
          <w:sz w:val="20"/>
          <w:szCs w:val="20"/>
          <w:lang w:val="pt-BR"/>
        </w:rPr>
        <w:t xml:space="preserve"> tipo,</w:t>
      </w:r>
      <w:r w:rsidR="007343F2" w:rsidRPr="00337743">
        <w:rPr>
          <w:rFonts w:ascii="Cambria" w:hAnsi="Cambria"/>
          <w:sz w:val="20"/>
          <w:szCs w:val="20"/>
          <w:lang w:val="pt-BR"/>
        </w:rPr>
        <w:t xml:space="preserve"> nem </w:t>
      </w:r>
      <w:r w:rsidR="00141F5F" w:rsidRPr="00337743">
        <w:rPr>
          <w:rFonts w:ascii="Cambria" w:hAnsi="Cambria"/>
          <w:sz w:val="20"/>
          <w:szCs w:val="20"/>
          <w:lang w:val="pt-BR"/>
        </w:rPr>
        <w:t>jurídica,</w:t>
      </w:r>
      <w:r w:rsidR="007343F2" w:rsidRPr="00337743">
        <w:rPr>
          <w:rFonts w:ascii="Cambria" w:hAnsi="Cambria"/>
          <w:sz w:val="20"/>
          <w:szCs w:val="20"/>
          <w:lang w:val="pt-BR"/>
        </w:rPr>
        <w:t xml:space="preserve"> nem </w:t>
      </w:r>
      <w:r w:rsidR="00141F5F" w:rsidRPr="00337743">
        <w:rPr>
          <w:rFonts w:ascii="Cambria" w:hAnsi="Cambria"/>
          <w:sz w:val="20"/>
          <w:szCs w:val="20"/>
          <w:lang w:val="pt-BR"/>
        </w:rPr>
        <w:t xml:space="preserve">social (como </w:t>
      </w:r>
      <w:r w:rsidR="008E6DE4" w:rsidRPr="00337743">
        <w:rPr>
          <w:rFonts w:ascii="Cambria" w:hAnsi="Cambria"/>
          <w:sz w:val="20"/>
          <w:szCs w:val="20"/>
          <w:lang w:val="pt-BR"/>
        </w:rPr>
        <w:t>apoi</w:t>
      </w:r>
      <w:r w:rsidR="00141F5F" w:rsidRPr="00337743">
        <w:rPr>
          <w:rFonts w:ascii="Cambria" w:hAnsi="Cambria"/>
          <w:sz w:val="20"/>
          <w:szCs w:val="20"/>
          <w:lang w:val="pt-BR"/>
        </w:rPr>
        <w:t>o de amigos o</w:t>
      </w:r>
      <w:r w:rsidR="00952F84" w:rsidRPr="00337743">
        <w:rPr>
          <w:rFonts w:ascii="Cambria" w:hAnsi="Cambria"/>
          <w:sz w:val="20"/>
          <w:szCs w:val="20"/>
          <w:lang w:val="pt-BR"/>
        </w:rPr>
        <w:t>u</w:t>
      </w:r>
      <w:r w:rsidR="00141F5F" w:rsidRPr="00337743">
        <w:rPr>
          <w:rFonts w:ascii="Cambria" w:hAnsi="Cambria"/>
          <w:sz w:val="20"/>
          <w:szCs w:val="20"/>
          <w:lang w:val="pt-BR"/>
        </w:rPr>
        <w:t xml:space="preserve"> familiares), </w:t>
      </w:r>
      <w:r w:rsidR="009F15B8" w:rsidRPr="00337743">
        <w:rPr>
          <w:rFonts w:ascii="Cambria" w:hAnsi="Cambria"/>
          <w:sz w:val="20"/>
          <w:szCs w:val="20"/>
          <w:lang w:val="pt-BR"/>
        </w:rPr>
        <w:t xml:space="preserve">entre outros </w:t>
      </w:r>
      <w:r w:rsidR="00141F5F" w:rsidRPr="00337743">
        <w:rPr>
          <w:rFonts w:ascii="Cambria" w:hAnsi="Cambria"/>
          <w:sz w:val="20"/>
          <w:szCs w:val="20"/>
          <w:lang w:val="pt-BR"/>
        </w:rPr>
        <w:t xml:space="preserve">motivos </w:t>
      </w:r>
      <w:r w:rsidR="009F15B8" w:rsidRPr="00337743">
        <w:rPr>
          <w:rFonts w:ascii="Cambria" w:hAnsi="Cambria"/>
          <w:sz w:val="20"/>
          <w:szCs w:val="20"/>
          <w:lang w:val="pt-BR"/>
        </w:rPr>
        <w:t>por</w:t>
      </w:r>
      <w:r w:rsidR="00141F5F" w:rsidRPr="00337743">
        <w:rPr>
          <w:rFonts w:ascii="Cambria" w:hAnsi="Cambria"/>
          <w:sz w:val="20"/>
          <w:szCs w:val="20"/>
          <w:lang w:val="pt-BR"/>
        </w:rPr>
        <w:t xml:space="preserve"> preocupa</w:t>
      </w:r>
      <w:r w:rsidR="00350E7E" w:rsidRPr="00337743">
        <w:rPr>
          <w:rFonts w:ascii="Cambria" w:hAnsi="Cambria"/>
          <w:sz w:val="20"/>
          <w:szCs w:val="20"/>
          <w:lang w:val="pt-BR"/>
        </w:rPr>
        <w:t>ção</w:t>
      </w:r>
      <w:r w:rsidR="00C6641C" w:rsidRPr="00337743">
        <w:rPr>
          <w:rFonts w:ascii="Cambria" w:hAnsi="Cambria"/>
          <w:sz w:val="20"/>
          <w:szCs w:val="20"/>
          <w:lang w:val="pt-BR"/>
        </w:rPr>
        <w:t xml:space="preserve"> </w:t>
      </w:r>
      <w:r w:rsidR="00952F84" w:rsidRPr="00337743">
        <w:rPr>
          <w:rFonts w:ascii="Cambria" w:hAnsi="Cambria"/>
          <w:sz w:val="20"/>
          <w:szCs w:val="20"/>
          <w:lang w:val="pt-BR"/>
        </w:rPr>
        <w:t xml:space="preserve">com </w:t>
      </w:r>
      <w:r w:rsidR="00C6641C" w:rsidRPr="00337743">
        <w:rPr>
          <w:rFonts w:ascii="Cambria" w:hAnsi="Cambria"/>
          <w:sz w:val="20"/>
          <w:szCs w:val="20"/>
          <w:lang w:val="pt-BR"/>
        </w:rPr>
        <w:t xml:space="preserve">a </w:t>
      </w:r>
      <w:r w:rsidR="00956D5C" w:rsidRPr="00337743">
        <w:rPr>
          <w:rFonts w:ascii="Cambria" w:hAnsi="Cambria"/>
          <w:sz w:val="20"/>
          <w:szCs w:val="20"/>
          <w:lang w:val="pt-BR"/>
        </w:rPr>
        <w:t>cria</w:t>
      </w:r>
      <w:r w:rsidR="00952F84" w:rsidRPr="00337743">
        <w:rPr>
          <w:rFonts w:ascii="Cambria" w:hAnsi="Cambria"/>
          <w:sz w:val="20"/>
          <w:szCs w:val="20"/>
          <w:lang w:val="pt-BR"/>
        </w:rPr>
        <w:t>ção</w:t>
      </w:r>
      <w:r w:rsidR="00E96C24" w:rsidRPr="00337743">
        <w:rPr>
          <w:rFonts w:ascii="Cambria" w:hAnsi="Cambria"/>
          <w:sz w:val="20"/>
          <w:szCs w:val="20"/>
          <w:lang w:val="pt-BR"/>
        </w:rPr>
        <w:t xml:space="preserve"> dos </w:t>
      </w:r>
      <w:r w:rsidR="00952F84" w:rsidRPr="00337743">
        <w:rPr>
          <w:rFonts w:ascii="Cambria" w:hAnsi="Cambria"/>
          <w:sz w:val="20"/>
          <w:szCs w:val="20"/>
          <w:lang w:val="pt-BR"/>
        </w:rPr>
        <w:t>f</w:t>
      </w:r>
      <w:r w:rsidR="00141F5F" w:rsidRPr="00337743">
        <w:rPr>
          <w:rFonts w:ascii="Cambria" w:hAnsi="Cambria"/>
          <w:sz w:val="20"/>
          <w:szCs w:val="20"/>
          <w:lang w:val="pt-BR"/>
        </w:rPr>
        <w:t>i</w:t>
      </w:r>
      <w:r w:rsidR="00AE6A05" w:rsidRPr="00337743">
        <w:rPr>
          <w:rFonts w:ascii="Cambria" w:hAnsi="Cambria"/>
          <w:sz w:val="20"/>
          <w:szCs w:val="20"/>
          <w:lang w:val="pt-BR"/>
        </w:rPr>
        <w:t>lh</w:t>
      </w:r>
      <w:r w:rsidR="00141F5F" w:rsidRPr="00337743">
        <w:rPr>
          <w:rFonts w:ascii="Cambria" w:hAnsi="Cambria"/>
          <w:sz w:val="20"/>
          <w:szCs w:val="20"/>
          <w:lang w:val="pt-BR"/>
        </w:rPr>
        <w:t xml:space="preserve">os, </w:t>
      </w:r>
      <w:r w:rsidR="00AE6A05" w:rsidRPr="00337743">
        <w:rPr>
          <w:rFonts w:ascii="Cambria" w:hAnsi="Cambria"/>
          <w:sz w:val="20"/>
          <w:szCs w:val="20"/>
          <w:lang w:val="pt-BR"/>
        </w:rPr>
        <w:t>medo</w:t>
      </w:r>
      <w:r w:rsidR="00F453EB" w:rsidRPr="00337743">
        <w:rPr>
          <w:rFonts w:ascii="Cambria" w:hAnsi="Cambria"/>
          <w:sz w:val="20"/>
          <w:szCs w:val="20"/>
          <w:lang w:val="pt-BR"/>
        </w:rPr>
        <w:t xml:space="preserve"> </w:t>
      </w:r>
      <w:r w:rsidR="00952F84" w:rsidRPr="00337743">
        <w:rPr>
          <w:rFonts w:ascii="Cambria" w:hAnsi="Cambria"/>
          <w:sz w:val="20"/>
          <w:szCs w:val="20"/>
          <w:lang w:val="pt-BR"/>
        </w:rPr>
        <w:t xml:space="preserve">de </w:t>
      </w:r>
      <w:r w:rsidR="00AE6A05" w:rsidRPr="00337743">
        <w:rPr>
          <w:rFonts w:ascii="Cambria" w:hAnsi="Cambria"/>
          <w:sz w:val="20"/>
          <w:szCs w:val="20"/>
          <w:lang w:val="pt-BR"/>
        </w:rPr>
        <w:t>vingança</w:t>
      </w:r>
      <w:r w:rsidR="007707E3" w:rsidRPr="00337743">
        <w:rPr>
          <w:rFonts w:ascii="Cambria" w:hAnsi="Cambria"/>
          <w:sz w:val="20"/>
          <w:szCs w:val="20"/>
          <w:lang w:val="pt-BR"/>
        </w:rPr>
        <w:t xml:space="preserve"> do </w:t>
      </w:r>
      <w:r w:rsidR="00AE6A05" w:rsidRPr="00337743">
        <w:rPr>
          <w:rFonts w:ascii="Cambria" w:hAnsi="Cambria"/>
          <w:sz w:val="20"/>
          <w:szCs w:val="20"/>
          <w:lang w:val="pt-BR"/>
        </w:rPr>
        <w:t>agressor</w:t>
      </w:r>
      <w:r w:rsidR="00141F5F" w:rsidRPr="00337743">
        <w:rPr>
          <w:rFonts w:ascii="Cambria" w:hAnsi="Cambria"/>
          <w:sz w:val="20"/>
          <w:szCs w:val="20"/>
          <w:lang w:val="pt-BR"/>
        </w:rPr>
        <w:t>, crer que ser</w:t>
      </w:r>
      <w:r w:rsidR="00BF72CE" w:rsidRPr="00337743">
        <w:rPr>
          <w:rFonts w:ascii="Cambria" w:hAnsi="Cambria"/>
          <w:sz w:val="20"/>
          <w:szCs w:val="20"/>
          <w:lang w:val="pt-BR"/>
        </w:rPr>
        <w:t>ia</w:t>
      </w:r>
      <w:r w:rsidR="00506331" w:rsidRPr="00337743">
        <w:rPr>
          <w:rFonts w:ascii="Cambria" w:hAnsi="Cambria"/>
          <w:sz w:val="20"/>
          <w:szCs w:val="20"/>
          <w:lang w:val="pt-BR"/>
        </w:rPr>
        <w:t xml:space="preserve"> a </w:t>
      </w:r>
      <w:r w:rsidR="00141F5F" w:rsidRPr="00337743">
        <w:rPr>
          <w:rFonts w:ascii="Cambria" w:hAnsi="Cambria"/>
          <w:sz w:val="20"/>
          <w:szCs w:val="20"/>
          <w:lang w:val="pt-BR"/>
        </w:rPr>
        <w:t xml:space="preserve">última vez </w:t>
      </w:r>
      <w:r w:rsidR="00506331" w:rsidRPr="00337743">
        <w:rPr>
          <w:rFonts w:ascii="Cambria" w:hAnsi="Cambria"/>
          <w:sz w:val="20"/>
          <w:szCs w:val="20"/>
          <w:lang w:val="pt-BR"/>
        </w:rPr>
        <w:t xml:space="preserve"> e </w:t>
      </w:r>
      <w:r w:rsidR="00141F5F" w:rsidRPr="00337743">
        <w:rPr>
          <w:rFonts w:ascii="Cambria" w:hAnsi="Cambria"/>
          <w:sz w:val="20"/>
          <w:szCs w:val="20"/>
          <w:lang w:val="pt-BR"/>
        </w:rPr>
        <w:t>crer</w:t>
      </w:r>
      <w:r w:rsidR="00091880" w:rsidRPr="00337743">
        <w:rPr>
          <w:rFonts w:ascii="Cambria" w:hAnsi="Cambria"/>
          <w:sz w:val="20"/>
          <w:szCs w:val="20"/>
          <w:lang w:val="pt-BR"/>
        </w:rPr>
        <w:t xml:space="preserve"> na </w:t>
      </w:r>
      <w:r w:rsidR="00141F5F" w:rsidRPr="00337743">
        <w:rPr>
          <w:rFonts w:ascii="Cambria" w:hAnsi="Cambria"/>
          <w:sz w:val="20"/>
          <w:szCs w:val="20"/>
          <w:lang w:val="pt-BR"/>
        </w:rPr>
        <w:t>impuni</w:t>
      </w:r>
      <w:r w:rsidR="00350E7E" w:rsidRPr="00337743">
        <w:rPr>
          <w:rFonts w:ascii="Cambria" w:hAnsi="Cambria"/>
          <w:sz w:val="20"/>
          <w:szCs w:val="20"/>
          <w:lang w:val="pt-BR"/>
        </w:rPr>
        <w:t>dade</w:t>
      </w:r>
      <w:r w:rsidR="007707E3" w:rsidRPr="00337743">
        <w:rPr>
          <w:rFonts w:ascii="Cambria" w:hAnsi="Cambria"/>
          <w:sz w:val="20"/>
          <w:szCs w:val="20"/>
          <w:lang w:val="pt-BR"/>
        </w:rPr>
        <w:t xml:space="preserve"> do </w:t>
      </w:r>
      <w:r w:rsidR="00AE6A05" w:rsidRPr="00337743">
        <w:rPr>
          <w:rFonts w:ascii="Cambria" w:hAnsi="Cambria"/>
          <w:sz w:val="20"/>
          <w:szCs w:val="20"/>
          <w:lang w:val="pt-BR"/>
        </w:rPr>
        <w:t>agressor</w:t>
      </w:r>
      <w:r w:rsidR="00141F5F" w:rsidRPr="00337743">
        <w:rPr>
          <w:rFonts w:ascii="Cambria" w:hAnsi="Cambria"/>
          <w:sz w:val="20"/>
          <w:szCs w:val="20"/>
          <w:lang w:val="pt-BR"/>
        </w:rPr>
        <w:t xml:space="preserve"> (</w:t>
      </w:r>
      <w:r w:rsidR="00AE6A05" w:rsidRPr="00337743">
        <w:rPr>
          <w:rFonts w:ascii="Cambria" w:hAnsi="Cambria"/>
          <w:sz w:val="20"/>
          <w:szCs w:val="20"/>
          <w:lang w:val="pt-BR"/>
        </w:rPr>
        <w:t>es</w:t>
      </w:r>
      <w:r w:rsidR="00B70F49" w:rsidRPr="00337743">
        <w:rPr>
          <w:rFonts w:ascii="Cambria" w:hAnsi="Cambria"/>
          <w:sz w:val="20"/>
          <w:szCs w:val="20"/>
          <w:lang w:val="pt-BR"/>
        </w:rPr>
        <w:t>t</w:t>
      </w:r>
      <w:r w:rsidR="00AE6A05" w:rsidRPr="00337743">
        <w:rPr>
          <w:rFonts w:ascii="Cambria" w:hAnsi="Cambria"/>
          <w:sz w:val="20"/>
          <w:szCs w:val="20"/>
          <w:lang w:val="pt-BR"/>
        </w:rPr>
        <w:t>e</w:t>
      </w:r>
      <w:r w:rsidR="00141F5F" w:rsidRPr="00337743">
        <w:rPr>
          <w:rFonts w:ascii="Cambria" w:hAnsi="Cambria"/>
          <w:sz w:val="20"/>
          <w:szCs w:val="20"/>
          <w:lang w:val="pt-BR"/>
        </w:rPr>
        <w:t xml:space="preserve"> último motivo</w:t>
      </w:r>
      <w:r w:rsidR="00091880" w:rsidRPr="00337743">
        <w:rPr>
          <w:rFonts w:ascii="Cambria" w:hAnsi="Cambria"/>
          <w:sz w:val="20"/>
          <w:szCs w:val="20"/>
          <w:lang w:val="pt-BR"/>
        </w:rPr>
        <w:t xml:space="preserve"> foi </w:t>
      </w:r>
      <w:r w:rsidR="00141F5F" w:rsidRPr="00337743">
        <w:rPr>
          <w:rFonts w:ascii="Cambria" w:hAnsi="Cambria"/>
          <w:sz w:val="20"/>
          <w:szCs w:val="20"/>
          <w:lang w:val="pt-BR"/>
        </w:rPr>
        <w:t>mencionado</w:t>
      </w:r>
      <w:r w:rsidR="00091880" w:rsidRPr="00337743">
        <w:rPr>
          <w:rFonts w:ascii="Cambria" w:hAnsi="Cambria"/>
          <w:sz w:val="20"/>
          <w:szCs w:val="20"/>
          <w:lang w:val="pt-BR"/>
        </w:rPr>
        <w:t xml:space="preserve"> em </w:t>
      </w:r>
      <w:r w:rsidR="00141F5F" w:rsidRPr="00337743">
        <w:rPr>
          <w:rFonts w:ascii="Cambria" w:hAnsi="Cambria"/>
          <w:sz w:val="20"/>
          <w:szCs w:val="20"/>
          <w:lang w:val="pt-BR"/>
        </w:rPr>
        <w:t>10%</w:t>
      </w:r>
      <w:r w:rsidR="00DB5118" w:rsidRPr="00337743">
        <w:rPr>
          <w:rFonts w:ascii="Cambria" w:hAnsi="Cambria"/>
          <w:sz w:val="20"/>
          <w:szCs w:val="20"/>
          <w:lang w:val="pt-BR"/>
        </w:rPr>
        <w:t xml:space="preserve"> das </w:t>
      </w:r>
      <w:r w:rsidR="00AE6A05" w:rsidRPr="00337743">
        <w:rPr>
          <w:rFonts w:ascii="Cambria" w:hAnsi="Cambria"/>
          <w:sz w:val="20"/>
          <w:szCs w:val="20"/>
          <w:lang w:val="pt-BR"/>
        </w:rPr>
        <w:t>respostas</w:t>
      </w:r>
      <w:r w:rsidR="00141F5F" w:rsidRPr="00337743">
        <w:rPr>
          <w:rFonts w:ascii="Cambria" w:hAnsi="Cambria"/>
          <w:sz w:val="20"/>
          <w:szCs w:val="20"/>
          <w:lang w:val="pt-BR"/>
        </w:rPr>
        <w:t>);</w:t>
      </w:r>
      <w:r w:rsidR="00506331" w:rsidRPr="00337743">
        <w:rPr>
          <w:rFonts w:ascii="Cambria" w:hAnsi="Cambria"/>
          <w:sz w:val="20"/>
          <w:szCs w:val="20"/>
          <w:lang w:val="pt-BR"/>
        </w:rPr>
        <w:t xml:space="preserve"> </w:t>
      </w:r>
      <w:r w:rsidR="006D43E0" w:rsidRPr="00337743">
        <w:rPr>
          <w:rFonts w:ascii="Cambria" w:hAnsi="Cambria"/>
          <w:sz w:val="20"/>
          <w:szCs w:val="20"/>
          <w:lang w:val="pt-BR"/>
        </w:rPr>
        <w:t>73% t</w:t>
      </w:r>
      <w:r w:rsidR="00952F84" w:rsidRPr="00337743">
        <w:rPr>
          <w:rFonts w:ascii="Cambria" w:hAnsi="Cambria"/>
          <w:sz w:val="20"/>
          <w:szCs w:val="20"/>
          <w:lang w:val="pt-BR"/>
        </w:rPr>
        <w:t>iveram</w:t>
      </w:r>
      <w:r w:rsidR="006D43E0" w:rsidRPr="00337743">
        <w:rPr>
          <w:rFonts w:ascii="Cambria" w:hAnsi="Cambria"/>
          <w:sz w:val="20"/>
          <w:szCs w:val="20"/>
          <w:lang w:val="pt-BR"/>
        </w:rPr>
        <w:t xml:space="preserve"> como </w:t>
      </w:r>
      <w:r w:rsidR="00AE6A05" w:rsidRPr="00337743">
        <w:rPr>
          <w:rFonts w:ascii="Cambria" w:hAnsi="Cambria"/>
          <w:sz w:val="20"/>
          <w:szCs w:val="20"/>
          <w:lang w:val="pt-BR"/>
        </w:rPr>
        <w:t>agressor</w:t>
      </w:r>
      <w:r w:rsidR="006D43E0" w:rsidRPr="00337743">
        <w:rPr>
          <w:rFonts w:ascii="Cambria" w:hAnsi="Cambria"/>
          <w:sz w:val="20"/>
          <w:szCs w:val="20"/>
          <w:lang w:val="pt-BR"/>
        </w:rPr>
        <w:t xml:space="preserve"> </w:t>
      </w:r>
      <w:r w:rsidR="00AE6A05" w:rsidRPr="00337743">
        <w:rPr>
          <w:rFonts w:ascii="Cambria" w:hAnsi="Cambria"/>
          <w:sz w:val="20"/>
          <w:szCs w:val="20"/>
          <w:lang w:val="pt-BR"/>
        </w:rPr>
        <w:t>pessoa</w:t>
      </w:r>
      <w:r w:rsidR="007707E3" w:rsidRPr="00337743">
        <w:rPr>
          <w:rFonts w:ascii="Cambria" w:hAnsi="Cambria"/>
          <w:sz w:val="20"/>
          <w:szCs w:val="20"/>
          <w:lang w:val="pt-BR"/>
        </w:rPr>
        <w:t xml:space="preserve"> do </w:t>
      </w:r>
      <w:r w:rsidR="006D43E0" w:rsidRPr="00337743">
        <w:rPr>
          <w:rFonts w:ascii="Cambria" w:hAnsi="Cambria"/>
          <w:sz w:val="20"/>
          <w:szCs w:val="20"/>
          <w:lang w:val="pt-BR"/>
        </w:rPr>
        <w:t xml:space="preserve">sexo </w:t>
      </w:r>
      <w:r w:rsidR="00AE6A05" w:rsidRPr="00337743">
        <w:rPr>
          <w:rFonts w:ascii="Cambria" w:hAnsi="Cambria"/>
          <w:sz w:val="20"/>
          <w:szCs w:val="20"/>
          <w:lang w:val="pt-BR"/>
        </w:rPr>
        <w:t>oposto</w:t>
      </w:r>
      <w:r w:rsidR="00325DAC" w:rsidRPr="00337743">
        <w:rPr>
          <w:rFonts w:ascii="Cambria" w:hAnsi="Cambria"/>
          <w:sz w:val="20"/>
          <w:szCs w:val="20"/>
          <w:lang w:val="pt-BR"/>
        </w:rPr>
        <w:t xml:space="preserve"> sem </w:t>
      </w:r>
      <w:r w:rsidR="006D43E0" w:rsidRPr="00337743">
        <w:rPr>
          <w:rFonts w:ascii="Cambria" w:hAnsi="Cambria"/>
          <w:sz w:val="20"/>
          <w:szCs w:val="20"/>
          <w:lang w:val="pt-BR"/>
        </w:rPr>
        <w:t>la</w:t>
      </w:r>
      <w:r w:rsidR="00AE6A05" w:rsidRPr="00337743">
        <w:rPr>
          <w:rFonts w:ascii="Cambria" w:hAnsi="Cambria"/>
          <w:sz w:val="20"/>
          <w:szCs w:val="20"/>
          <w:lang w:val="pt-BR"/>
        </w:rPr>
        <w:t>ç</w:t>
      </w:r>
      <w:r w:rsidR="006D43E0" w:rsidRPr="00337743">
        <w:rPr>
          <w:rFonts w:ascii="Cambria" w:hAnsi="Cambria"/>
          <w:sz w:val="20"/>
          <w:szCs w:val="20"/>
          <w:lang w:val="pt-BR"/>
        </w:rPr>
        <w:t>os consanguíneos</w:t>
      </w:r>
      <w:r w:rsidR="00506331" w:rsidRPr="00337743">
        <w:rPr>
          <w:rFonts w:ascii="Cambria" w:hAnsi="Cambria"/>
          <w:sz w:val="20"/>
          <w:szCs w:val="20"/>
          <w:lang w:val="pt-BR"/>
        </w:rPr>
        <w:t xml:space="preserve"> e </w:t>
      </w:r>
      <w:r w:rsidR="006D43E0" w:rsidRPr="00337743">
        <w:rPr>
          <w:rFonts w:ascii="Cambria" w:hAnsi="Cambria"/>
          <w:sz w:val="20"/>
          <w:szCs w:val="20"/>
          <w:lang w:val="pt-BR"/>
        </w:rPr>
        <w:t>esco</w:t>
      </w:r>
      <w:r w:rsidR="00AE6A05" w:rsidRPr="00337743">
        <w:rPr>
          <w:rFonts w:ascii="Cambria" w:hAnsi="Cambria"/>
          <w:sz w:val="20"/>
          <w:szCs w:val="20"/>
          <w:lang w:val="pt-BR"/>
        </w:rPr>
        <w:t>lh</w:t>
      </w:r>
      <w:r w:rsidR="006D43E0" w:rsidRPr="00337743">
        <w:rPr>
          <w:rFonts w:ascii="Cambria" w:hAnsi="Cambria"/>
          <w:sz w:val="20"/>
          <w:szCs w:val="20"/>
          <w:lang w:val="pt-BR"/>
        </w:rPr>
        <w:t xml:space="preserve">ida por elas para </w:t>
      </w:r>
      <w:r w:rsidR="00B80DA9" w:rsidRPr="00337743">
        <w:rPr>
          <w:rFonts w:ascii="Cambria" w:hAnsi="Cambria"/>
          <w:sz w:val="20"/>
          <w:szCs w:val="20"/>
          <w:lang w:val="pt-BR"/>
        </w:rPr>
        <w:t>conviver</w:t>
      </w:r>
      <w:r w:rsidR="006D43E0" w:rsidRPr="00337743">
        <w:rPr>
          <w:rFonts w:ascii="Cambria" w:hAnsi="Cambria"/>
          <w:sz w:val="20"/>
          <w:szCs w:val="20"/>
          <w:lang w:val="pt-BR"/>
        </w:rPr>
        <w:t xml:space="preserve"> </w:t>
      </w:r>
      <w:r w:rsidR="00A06E97" w:rsidRPr="00337743">
        <w:rPr>
          <w:rFonts w:ascii="Cambria" w:hAnsi="Cambria"/>
          <w:sz w:val="20"/>
          <w:szCs w:val="20"/>
          <w:lang w:val="pt-BR"/>
        </w:rPr>
        <w:t>intimamente</w:t>
      </w:r>
      <w:r w:rsidR="006D43E0" w:rsidRPr="00337743">
        <w:rPr>
          <w:rFonts w:ascii="Cambria" w:hAnsi="Cambria"/>
          <w:sz w:val="20"/>
          <w:szCs w:val="20"/>
          <w:lang w:val="pt-BR"/>
        </w:rPr>
        <w:t xml:space="preserve"> (marido, </w:t>
      </w:r>
      <w:r w:rsidR="00637003" w:rsidRPr="00337743">
        <w:rPr>
          <w:rFonts w:ascii="Cambria" w:hAnsi="Cambria"/>
          <w:sz w:val="20"/>
          <w:szCs w:val="20"/>
          <w:lang w:val="pt-BR"/>
        </w:rPr>
        <w:t>companheiro</w:t>
      </w:r>
      <w:r w:rsidR="006D43E0" w:rsidRPr="00337743">
        <w:rPr>
          <w:rFonts w:ascii="Cambria" w:hAnsi="Cambria"/>
          <w:sz w:val="20"/>
          <w:szCs w:val="20"/>
          <w:lang w:val="pt-BR"/>
        </w:rPr>
        <w:t>, n</w:t>
      </w:r>
      <w:r w:rsidR="00952F84" w:rsidRPr="00337743">
        <w:rPr>
          <w:rFonts w:ascii="Cambria" w:hAnsi="Cambria"/>
          <w:sz w:val="20"/>
          <w:szCs w:val="20"/>
          <w:lang w:val="pt-BR"/>
        </w:rPr>
        <w:t>amorad</w:t>
      </w:r>
      <w:r w:rsidR="006D43E0" w:rsidRPr="00337743">
        <w:rPr>
          <w:rFonts w:ascii="Cambria" w:hAnsi="Cambria"/>
          <w:sz w:val="20"/>
          <w:szCs w:val="20"/>
          <w:lang w:val="pt-BR"/>
        </w:rPr>
        <w:t>o</w:t>
      </w:r>
      <w:r w:rsidR="007603A0" w:rsidRPr="00337743">
        <w:rPr>
          <w:rFonts w:ascii="Cambria" w:hAnsi="Cambria"/>
          <w:sz w:val="20"/>
          <w:szCs w:val="20"/>
          <w:lang w:val="pt-BR"/>
        </w:rPr>
        <w:t>,</w:t>
      </w:r>
      <w:r w:rsidR="006D43E0" w:rsidRPr="00337743">
        <w:rPr>
          <w:rFonts w:ascii="Cambria" w:hAnsi="Cambria"/>
          <w:sz w:val="20"/>
          <w:szCs w:val="20"/>
          <w:lang w:val="pt-BR"/>
        </w:rPr>
        <w:t xml:space="preserve"> </w:t>
      </w:r>
      <w:r w:rsidR="00B80DA9" w:rsidRPr="00337743">
        <w:rPr>
          <w:rFonts w:ascii="Cambria" w:hAnsi="Cambria"/>
          <w:sz w:val="20"/>
          <w:szCs w:val="20"/>
          <w:lang w:val="pt-BR"/>
        </w:rPr>
        <w:t>atual</w:t>
      </w:r>
      <w:r w:rsidR="006D43E0" w:rsidRPr="00337743">
        <w:rPr>
          <w:rFonts w:ascii="Cambria" w:hAnsi="Cambria"/>
          <w:sz w:val="20"/>
          <w:szCs w:val="20"/>
          <w:lang w:val="pt-BR"/>
        </w:rPr>
        <w:t xml:space="preserve"> o</w:t>
      </w:r>
      <w:r w:rsidR="00952F84" w:rsidRPr="00337743">
        <w:rPr>
          <w:rFonts w:ascii="Cambria" w:hAnsi="Cambria"/>
          <w:sz w:val="20"/>
          <w:szCs w:val="20"/>
          <w:lang w:val="pt-BR"/>
        </w:rPr>
        <w:t>u</w:t>
      </w:r>
      <w:r w:rsidR="006D43E0" w:rsidRPr="00337743">
        <w:rPr>
          <w:rFonts w:ascii="Cambria" w:hAnsi="Cambria"/>
          <w:sz w:val="20"/>
          <w:szCs w:val="20"/>
          <w:lang w:val="pt-BR"/>
        </w:rPr>
        <w:t xml:space="preserve"> ex)</w:t>
      </w:r>
      <w:r w:rsidR="00CF047C" w:rsidRPr="00337743">
        <w:rPr>
          <w:rFonts w:ascii="Cambria" w:hAnsi="Cambria"/>
          <w:sz w:val="20"/>
          <w:szCs w:val="20"/>
          <w:lang w:val="pt-BR"/>
        </w:rPr>
        <w:t>.</w:t>
      </w:r>
      <w:r w:rsidR="00506331" w:rsidRPr="00337743">
        <w:rPr>
          <w:rFonts w:ascii="Cambria" w:hAnsi="Cambria"/>
          <w:sz w:val="20"/>
          <w:szCs w:val="20"/>
          <w:lang w:val="pt-BR"/>
        </w:rPr>
        <w:t xml:space="preserve"> </w:t>
      </w:r>
      <w:r w:rsidR="00DB5118" w:rsidRPr="00337743">
        <w:rPr>
          <w:rFonts w:ascii="Cambria" w:hAnsi="Cambria"/>
          <w:sz w:val="20"/>
          <w:szCs w:val="20"/>
          <w:lang w:val="pt-BR"/>
        </w:rPr>
        <w:t>A pesquisa</w:t>
      </w:r>
      <w:r w:rsidR="00CF047C" w:rsidRPr="00337743">
        <w:rPr>
          <w:rFonts w:ascii="Cambria" w:hAnsi="Cambria"/>
          <w:sz w:val="20"/>
          <w:szCs w:val="20"/>
          <w:lang w:val="pt-BR"/>
        </w:rPr>
        <w:t xml:space="preserve"> </w:t>
      </w:r>
      <w:r w:rsidR="00B80DA9" w:rsidRPr="00337743">
        <w:rPr>
          <w:rFonts w:ascii="Cambria" w:hAnsi="Cambria"/>
          <w:sz w:val="20"/>
          <w:szCs w:val="20"/>
          <w:lang w:val="pt-BR"/>
        </w:rPr>
        <w:t>também</w:t>
      </w:r>
      <w:r w:rsidR="00CF047C" w:rsidRPr="00337743">
        <w:rPr>
          <w:rFonts w:ascii="Cambria" w:hAnsi="Cambria"/>
          <w:sz w:val="20"/>
          <w:szCs w:val="20"/>
          <w:lang w:val="pt-BR"/>
        </w:rPr>
        <w:t xml:space="preserve"> </w:t>
      </w:r>
      <w:r w:rsidR="00A06E97" w:rsidRPr="00337743">
        <w:rPr>
          <w:rFonts w:ascii="Cambria" w:hAnsi="Cambria"/>
          <w:sz w:val="20"/>
          <w:szCs w:val="20"/>
          <w:lang w:val="pt-BR"/>
        </w:rPr>
        <w:t>avaliou</w:t>
      </w:r>
      <w:r w:rsidR="00A6443F" w:rsidRPr="00337743">
        <w:rPr>
          <w:rFonts w:ascii="Cambria" w:hAnsi="Cambria"/>
          <w:sz w:val="20"/>
          <w:szCs w:val="20"/>
          <w:lang w:val="pt-BR"/>
        </w:rPr>
        <w:t xml:space="preserve"> </w:t>
      </w:r>
      <w:r w:rsidR="00506331" w:rsidRPr="00337743">
        <w:rPr>
          <w:rFonts w:ascii="Cambria" w:hAnsi="Cambria"/>
          <w:sz w:val="20"/>
          <w:szCs w:val="20"/>
          <w:lang w:val="pt-BR"/>
        </w:rPr>
        <w:t xml:space="preserve">a </w:t>
      </w:r>
      <w:r w:rsidR="00DB5118" w:rsidRPr="00337743">
        <w:rPr>
          <w:rFonts w:ascii="Cambria" w:hAnsi="Cambria"/>
          <w:sz w:val="20"/>
          <w:szCs w:val="20"/>
          <w:lang w:val="pt-BR"/>
        </w:rPr>
        <w:t>qu</w:t>
      </w:r>
      <w:r w:rsidR="00CF047C" w:rsidRPr="00337743">
        <w:rPr>
          <w:rFonts w:ascii="Cambria" w:hAnsi="Cambria"/>
          <w:sz w:val="20"/>
          <w:szCs w:val="20"/>
          <w:lang w:val="pt-BR"/>
        </w:rPr>
        <w:t>ali</w:t>
      </w:r>
      <w:r w:rsidR="00350E7E" w:rsidRPr="00337743">
        <w:rPr>
          <w:rFonts w:ascii="Cambria" w:hAnsi="Cambria"/>
          <w:sz w:val="20"/>
          <w:szCs w:val="20"/>
          <w:lang w:val="pt-BR"/>
        </w:rPr>
        <w:t>dade</w:t>
      </w:r>
      <w:r w:rsidR="007707E3" w:rsidRPr="00337743">
        <w:rPr>
          <w:rFonts w:ascii="Cambria" w:hAnsi="Cambria"/>
          <w:sz w:val="20"/>
          <w:szCs w:val="20"/>
          <w:lang w:val="pt-BR"/>
        </w:rPr>
        <w:t xml:space="preserve"> da </w:t>
      </w:r>
      <w:r w:rsidR="00CF047C" w:rsidRPr="00337743">
        <w:rPr>
          <w:rFonts w:ascii="Cambria" w:hAnsi="Cambria"/>
          <w:sz w:val="20"/>
          <w:szCs w:val="20"/>
          <w:lang w:val="pt-BR"/>
        </w:rPr>
        <w:t>aten</w:t>
      </w:r>
      <w:r w:rsidR="00350E7E" w:rsidRPr="00337743">
        <w:rPr>
          <w:rFonts w:ascii="Cambria" w:hAnsi="Cambria"/>
          <w:sz w:val="20"/>
          <w:szCs w:val="20"/>
          <w:lang w:val="pt-BR"/>
        </w:rPr>
        <w:t>ção</w:t>
      </w:r>
      <w:r w:rsidR="007707E3" w:rsidRPr="00337743">
        <w:rPr>
          <w:rFonts w:ascii="Cambria" w:hAnsi="Cambria"/>
          <w:sz w:val="20"/>
          <w:szCs w:val="20"/>
          <w:lang w:val="pt-BR"/>
        </w:rPr>
        <w:t xml:space="preserve"> às </w:t>
      </w:r>
      <w:r w:rsidR="00B80DA9" w:rsidRPr="00337743">
        <w:rPr>
          <w:rFonts w:ascii="Cambria" w:hAnsi="Cambria"/>
          <w:sz w:val="20"/>
          <w:szCs w:val="20"/>
          <w:lang w:val="pt-BR"/>
        </w:rPr>
        <w:t>vítimas</w:t>
      </w:r>
      <w:r w:rsidR="00CF047C" w:rsidRPr="00337743">
        <w:rPr>
          <w:rFonts w:ascii="Cambria" w:hAnsi="Cambria"/>
          <w:sz w:val="20"/>
          <w:szCs w:val="20"/>
          <w:lang w:val="pt-BR"/>
        </w:rPr>
        <w:t xml:space="preserve"> de </w:t>
      </w:r>
      <w:r w:rsidR="00A06E97" w:rsidRPr="00337743">
        <w:rPr>
          <w:rFonts w:ascii="Cambria" w:hAnsi="Cambria"/>
          <w:sz w:val="20"/>
          <w:szCs w:val="20"/>
          <w:lang w:val="pt-BR"/>
        </w:rPr>
        <w:t>violência</w:t>
      </w:r>
      <w:r w:rsidR="00091880" w:rsidRPr="00337743">
        <w:rPr>
          <w:rFonts w:ascii="Cambria" w:hAnsi="Cambria"/>
          <w:sz w:val="20"/>
          <w:szCs w:val="20"/>
          <w:lang w:val="pt-BR"/>
        </w:rPr>
        <w:t xml:space="preserve"> </w:t>
      </w:r>
      <w:r w:rsidR="00DB5118" w:rsidRPr="00337743">
        <w:rPr>
          <w:rFonts w:ascii="Cambria" w:hAnsi="Cambria"/>
          <w:sz w:val="20"/>
          <w:szCs w:val="20"/>
          <w:lang w:val="pt-BR"/>
        </w:rPr>
        <w:t>n</w:t>
      </w:r>
      <w:r w:rsidR="007707E3" w:rsidRPr="00337743">
        <w:rPr>
          <w:rFonts w:ascii="Cambria" w:hAnsi="Cambria"/>
          <w:sz w:val="20"/>
          <w:szCs w:val="20"/>
          <w:lang w:val="pt-BR"/>
        </w:rPr>
        <w:t xml:space="preserve">as </w:t>
      </w:r>
      <w:r w:rsidR="00DB5118" w:rsidRPr="00337743">
        <w:rPr>
          <w:rFonts w:ascii="Cambria" w:hAnsi="Cambria"/>
          <w:sz w:val="20"/>
          <w:szCs w:val="20"/>
          <w:lang w:val="pt-BR"/>
        </w:rPr>
        <w:t>delegac</w:t>
      </w:r>
      <w:r w:rsidR="00BF72CE" w:rsidRPr="00337743">
        <w:rPr>
          <w:rFonts w:ascii="Cambria" w:hAnsi="Cambria"/>
          <w:sz w:val="20"/>
          <w:szCs w:val="20"/>
          <w:lang w:val="pt-BR"/>
        </w:rPr>
        <w:t>ia</w:t>
      </w:r>
      <w:r w:rsidR="00CF047C" w:rsidRPr="00337743">
        <w:rPr>
          <w:rFonts w:ascii="Cambria" w:hAnsi="Cambria"/>
          <w:sz w:val="20"/>
          <w:szCs w:val="20"/>
          <w:lang w:val="pt-BR"/>
        </w:rPr>
        <w:t>s:</w:t>
      </w:r>
      <w:r w:rsidR="00506331" w:rsidRPr="00337743">
        <w:rPr>
          <w:rFonts w:ascii="Cambria" w:hAnsi="Cambria"/>
          <w:sz w:val="20"/>
          <w:szCs w:val="20"/>
          <w:lang w:val="pt-BR"/>
        </w:rPr>
        <w:t xml:space="preserve"> </w:t>
      </w:r>
      <w:r w:rsidR="00CF047C" w:rsidRPr="00337743">
        <w:rPr>
          <w:rFonts w:ascii="Cambria" w:hAnsi="Cambria"/>
          <w:sz w:val="20"/>
          <w:szCs w:val="20"/>
          <w:lang w:val="pt-BR"/>
        </w:rPr>
        <w:t xml:space="preserve">48% </w:t>
      </w:r>
      <w:r w:rsidR="00DB5118" w:rsidRPr="00337743">
        <w:rPr>
          <w:rFonts w:ascii="Cambria" w:hAnsi="Cambria"/>
          <w:sz w:val="20"/>
          <w:szCs w:val="20"/>
          <w:lang w:val="pt-BR"/>
        </w:rPr>
        <w:t>a</w:t>
      </w:r>
      <w:r w:rsidR="00CF047C" w:rsidRPr="00337743">
        <w:rPr>
          <w:rFonts w:ascii="Cambria" w:hAnsi="Cambria"/>
          <w:sz w:val="20"/>
          <w:szCs w:val="20"/>
          <w:lang w:val="pt-BR"/>
        </w:rPr>
        <w:t xml:space="preserve"> </w:t>
      </w:r>
      <w:r w:rsidR="00DB5118" w:rsidRPr="00337743">
        <w:rPr>
          <w:rFonts w:ascii="Cambria" w:hAnsi="Cambria"/>
          <w:sz w:val="20"/>
          <w:szCs w:val="20"/>
          <w:lang w:val="pt-BR"/>
        </w:rPr>
        <w:t xml:space="preserve">qualificaram </w:t>
      </w:r>
      <w:r w:rsidR="00CF047C" w:rsidRPr="00337743">
        <w:rPr>
          <w:rFonts w:ascii="Cambria" w:hAnsi="Cambria"/>
          <w:sz w:val="20"/>
          <w:szCs w:val="20"/>
          <w:lang w:val="pt-BR"/>
        </w:rPr>
        <w:t>como ótim</w:t>
      </w:r>
      <w:r w:rsidR="00DB5118" w:rsidRPr="00337743">
        <w:rPr>
          <w:rFonts w:ascii="Cambria" w:hAnsi="Cambria"/>
          <w:sz w:val="20"/>
          <w:szCs w:val="20"/>
          <w:lang w:val="pt-BR"/>
        </w:rPr>
        <w:t>a</w:t>
      </w:r>
      <w:r w:rsidR="00CF047C" w:rsidRPr="00337743">
        <w:rPr>
          <w:rFonts w:ascii="Cambria" w:hAnsi="Cambria"/>
          <w:sz w:val="20"/>
          <w:szCs w:val="20"/>
          <w:lang w:val="pt-BR"/>
        </w:rPr>
        <w:t xml:space="preserve"> o</w:t>
      </w:r>
      <w:r w:rsidR="00DB5118" w:rsidRPr="00337743">
        <w:rPr>
          <w:rFonts w:ascii="Cambria" w:hAnsi="Cambria"/>
          <w:sz w:val="20"/>
          <w:szCs w:val="20"/>
          <w:lang w:val="pt-BR"/>
        </w:rPr>
        <w:t>u</w:t>
      </w:r>
      <w:r w:rsidR="00CF047C" w:rsidRPr="00337743">
        <w:rPr>
          <w:rFonts w:ascii="Cambria" w:hAnsi="Cambria"/>
          <w:sz w:val="20"/>
          <w:szCs w:val="20"/>
          <w:lang w:val="pt-BR"/>
        </w:rPr>
        <w:t xml:space="preserve"> b</w:t>
      </w:r>
      <w:r w:rsidR="00DB5118" w:rsidRPr="00337743">
        <w:rPr>
          <w:rFonts w:ascii="Cambria" w:hAnsi="Cambria"/>
          <w:sz w:val="20"/>
          <w:szCs w:val="20"/>
          <w:lang w:val="pt-BR"/>
        </w:rPr>
        <w:t>oa,</w:t>
      </w:r>
      <w:r w:rsidR="00CF047C" w:rsidRPr="00337743">
        <w:rPr>
          <w:rFonts w:ascii="Cambria" w:hAnsi="Cambria"/>
          <w:sz w:val="20"/>
          <w:szCs w:val="20"/>
          <w:lang w:val="pt-BR"/>
        </w:rPr>
        <w:t xml:space="preserve"> 14% como regular</w:t>
      </w:r>
      <w:r w:rsidR="00506331" w:rsidRPr="00337743">
        <w:rPr>
          <w:rFonts w:ascii="Cambria" w:hAnsi="Cambria"/>
          <w:sz w:val="20"/>
          <w:szCs w:val="20"/>
          <w:lang w:val="pt-BR"/>
        </w:rPr>
        <w:t xml:space="preserve"> e </w:t>
      </w:r>
      <w:r w:rsidR="00CF047C" w:rsidRPr="00337743">
        <w:rPr>
          <w:rFonts w:ascii="Cambria" w:hAnsi="Cambria"/>
          <w:sz w:val="20"/>
          <w:szCs w:val="20"/>
          <w:lang w:val="pt-BR"/>
        </w:rPr>
        <w:t>38% como m</w:t>
      </w:r>
      <w:r w:rsidR="00DB5118" w:rsidRPr="00337743">
        <w:rPr>
          <w:rFonts w:ascii="Cambria" w:hAnsi="Cambria"/>
          <w:sz w:val="20"/>
          <w:szCs w:val="20"/>
          <w:lang w:val="pt-BR"/>
        </w:rPr>
        <w:t>á</w:t>
      </w:r>
      <w:r w:rsidR="00CF047C" w:rsidRPr="00337743">
        <w:rPr>
          <w:rFonts w:ascii="Cambria" w:hAnsi="Cambria"/>
          <w:sz w:val="20"/>
          <w:szCs w:val="20"/>
          <w:lang w:val="pt-BR"/>
        </w:rPr>
        <w:t xml:space="preserve"> o</w:t>
      </w:r>
      <w:r w:rsidR="00DB5118" w:rsidRPr="00337743">
        <w:rPr>
          <w:rFonts w:ascii="Cambria" w:hAnsi="Cambria"/>
          <w:sz w:val="20"/>
          <w:szCs w:val="20"/>
          <w:lang w:val="pt-BR"/>
        </w:rPr>
        <w:t>u</w:t>
      </w:r>
      <w:r w:rsidR="00CF047C" w:rsidRPr="00337743">
        <w:rPr>
          <w:rFonts w:ascii="Cambria" w:hAnsi="Cambria"/>
          <w:sz w:val="20"/>
          <w:szCs w:val="20"/>
          <w:lang w:val="pt-BR"/>
        </w:rPr>
        <w:t xml:space="preserve"> </w:t>
      </w:r>
      <w:r w:rsidR="00B80DA9" w:rsidRPr="00337743">
        <w:rPr>
          <w:rFonts w:ascii="Cambria" w:hAnsi="Cambria"/>
          <w:sz w:val="20"/>
          <w:szCs w:val="20"/>
          <w:lang w:val="pt-BR"/>
        </w:rPr>
        <w:t>péssima</w:t>
      </w:r>
      <w:r w:rsidR="006D43E0" w:rsidRPr="00337743">
        <w:rPr>
          <w:rFonts w:ascii="Cambria" w:hAnsi="Cambria"/>
          <w:sz w:val="20"/>
          <w:szCs w:val="20"/>
          <w:vertAlign w:val="superscript"/>
          <w:lang w:val="pt-BR"/>
        </w:rPr>
        <w:footnoteReference w:id="9"/>
      </w:r>
      <w:r w:rsidR="006D43E0" w:rsidRPr="00337743">
        <w:rPr>
          <w:rFonts w:ascii="Cambria" w:hAnsi="Cambria"/>
          <w:sz w:val="20"/>
          <w:szCs w:val="20"/>
          <w:lang w:val="pt-BR"/>
        </w:rPr>
        <w:t>.</w:t>
      </w:r>
      <w:r w:rsidR="009E5D8F" w:rsidRPr="00337743">
        <w:rPr>
          <w:rFonts w:ascii="Cambria" w:hAnsi="Cambria"/>
          <w:sz w:val="20"/>
          <w:szCs w:val="20"/>
          <w:lang w:val="pt-BR"/>
        </w:rPr>
        <w:t xml:space="preserve"> </w:t>
      </w:r>
    </w:p>
    <w:p w14:paraId="60A9999D" w14:textId="77777777" w:rsidR="00E7574E" w:rsidRPr="00337743" w:rsidRDefault="00E7574E" w:rsidP="00E7574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sz w:val="20"/>
          <w:szCs w:val="20"/>
          <w:lang w:val="pt-BR"/>
        </w:rPr>
      </w:pPr>
    </w:p>
    <w:p w14:paraId="65770B01" w14:textId="77777777" w:rsidR="00CF33D8" w:rsidRPr="00337743" w:rsidRDefault="00E16779" w:rsidP="00E7574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A</w:t>
      </w:r>
      <w:r w:rsidR="00DB5118" w:rsidRPr="00337743">
        <w:rPr>
          <w:rFonts w:ascii="Cambria" w:hAnsi="Cambria"/>
          <w:sz w:val="20"/>
          <w:szCs w:val="20"/>
          <w:lang w:val="pt-BR"/>
        </w:rPr>
        <w:t xml:space="preserve">lém </w:t>
      </w:r>
      <w:r w:rsidR="007707E3" w:rsidRPr="00337743">
        <w:rPr>
          <w:rFonts w:ascii="Cambria" w:hAnsi="Cambria"/>
          <w:sz w:val="20"/>
          <w:szCs w:val="20"/>
          <w:lang w:val="pt-BR"/>
        </w:rPr>
        <w:t xml:space="preserve">da </w:t>
      </w:r>
      <w:r w:rsidR="00DB5118" w:rsidRPr="00337743">
        <w:rPr>
          <w:rFonts w:ascii="Cambria" w:hAnsi="Cambria"/>
          <w:sz w:val="20"/>
          <w:szCs w:val="20"/>
          <w:lang w:val="pt-BR"/>
        </w:rPr>
        <w:t>Lei</w:t>
      </w:r>
      <w:r w:rsidRPr="00337743">
        <w:rPr>
          <w:rFonts w:ascii="Cambria" w:hAnsi="Cambria"/>
          <w:sz w:val="20"/>
          <w:szCs w:val="20"/>
          <w:lang w:val="pt-BR"/>
        </w:rPr>
        <w:t xml:space="preserve"> Maria da Penha, </w:t>
      </w:r>
      <w:r w:rsidR="00DB5118" w:rsidRPr="00337743">
        <w:rPr>
          <w:rFonts w:ascii="Cambria" w:hAnsi="Cambria"/>
          <w:sz w:val="20"/>
          <w:szCs w:val="20"/>
          <w:lang w:val="pt-BR"/>
        </w:rPr>
        <w:t xml:space="preserve">o </w:t>
      </w:r>
      <w:r w:rsidRPr="00337743">
        <w:rPr>
          <w:rFonts w:ascii="Cambria" w:hAnsi="Cambria"/>
          <w:sz w:val="20"/>
          <w:szCs w:val="20"/>
          <w:lang w:val="pt-BR"/>
        </w:rPr>
        <w:t xml:space="preserve">Brasil </w:t>
      </w:r>
      <w:r w:rsidR="00B80DA9" w:rsidRPr="00337743">
        <w:rPr>
          <w:rFonts w:ascii="Cambria" w:hAnsi="Cambria"/>
          <w:sz w:val="20"/>
          <w:szCs w:val="20"/>
          <w:lang w:val="pt-BR"/>
        </w:rPr>
        <w:t>também</w:t>
      </w:r>
      <w:r w:rsidRPr="00337743">
        <w:rPr>
          <w:rFonts w:ascii="Cambria" w:hAnsi="Cambria"/>
          <w:sz w:val="20"/>
          <w:szCs w:val="20"/>
          <w:lang w:val="pt-BR"/>
        </w:rPr>
        <w:t xml:space="preserve"> </w:t>
      </w:r>
      <w:r w:rsidR="008E6DE4" w:rsidRPr="00337743">
        <w:rPr>
          <w:rFonts w:ascii="Cambria" w:hAnsi="Cambria"/>
          <w:sz w:val="20"/>
          <w:szCs w:val="20"/>
          <w:lang w:val="pt-BR"/>
        </w:rPr>
        <w:t>adot</w:t>
      </w:r>
      <w:r w:rsidR="00A6443F" w:rsidRPr="00337743">
        <w:rPr>
          <w:rFonts w:ascii="Cambria" w:hAnsi="Cambria"/>
          <w:sz w:val="20"/>
          <w:szCs w:val="20"/>
          <w:lang w:val="pt-BR"/>
        </w:rPr>
        <w:t xml:space="preserve">ou </w:t>
      </w:r>
      <w:r w:rsidR="00506331" w:rsidRPr="00337743">
        <w:rPr>
          <w:rFonts w:ascii="Cambria" w:hAnsi="Cambria"/>
          <w:sz w:val="20"/>
          <w:szCs w:val="20"/>
          <w:lang w:val="pt-BR"/>
        </w:rPr>
        <w:t xml:space="preserve">a </w:t>
      </w:r>
      <w:r w:rsidR="00DB5118" w:rsidRPr="00337743">
        <w:rPr>
          <w:rFonts w:ascii="Cambria" w:hAnsi="Cambria"/>
          <w:sz w:val="20"/>
          <w:szCs w:val="20"/>
          <w:lang w:val="pt-BR"/>
        </w:rPr>
        <w:t>Lei</w:t>
      </w:r>
      <w:r w:rsidRPr="00337743">
        <w:rPr>
          <w:rFonts w:ascii="Cambria" w:hAnsi="Cambria"/>
          <w:sz w:val="20"/>
          <w:szCs w:val="20"/>
          <w:lang w:val="pt-BR"/>
        </w:rPr>
        <w:t xml:space="preserve"> Nº 13.104,</w:t>
      </w:r>
      <w:r w:rsidR="007707E3" w:rsidRPr="00337743">
        <w:rPr>
          <w:rFonts w:ascii="Cambria" w:hAnsi="Cambria"/>
          <w:sz w:val="20"/>
          <w:szCs w:val="20"/>
          <w:lang w:val="pt-BR"/>
        </w:rPr>
        <w:t xml:space="preserve"> d</w:t>
      </w:r>
      <w:r w:rsidR="00B70F49" w:rsidRPr="00337743">
        <w:rPr>
          <w:rFonts w:ascii="Cambria" w:hAnsi="Cambria"/>
          <w:sz w:val="20"/>
          <w:szCs w:val="20"/>
          <w:lang w:val="pt-BR"/>
        </w:rPr>
        <w:t>e</w:t>
      </w:r>
      <w:r w:rsidR="007707E3" w:rsidRPr="00337743">
        <w:rPr>
          <w:rFonts w:ascii="Cambria" w:hAnsi="Cambria"/>
          <w:sz w:val="20"/>
          <w:szCs w:val="20"/>
          <w:lang w:val="pt-BR"/>
        </w:rPr>
        <w:t xml:space="preserve"> </w:t>
      </w:r>
      <w:r w:rsidRPr="00337743">
        <w:rPr>
          <w:rFonts w:ascii="Cambria" w:hAnsi="Cambria"/>
          <w:sz w:val="20"/>
          <w:szCs w:val="20"/>
          <w:lang w:val="pt-BR"/>
        </w:rPr>
        <w:t xml:space="preserve">9 de </w:t>
      </w:r>
      <w:r w:rsidR="00320DBA" w:rsidRPr="00337743">
        <w:rPr>
          <w:rFonts w:ascii="Cambria" w:hAnsi="Cambria"/>
          <w:sz w:val="20"/>
          <w:szCs w:val="20"/>
          <w:lang w:val="pt-BR"/>
        </w:rPr>
        <w:t>março</w:t>
      </w:r>
      <w:r w:rsidRPr="00337743">
        <w:rPr>
          <w:rFonts w:ascii="Cambria" w:hAnsi="Cambria"/>
          <w:sz w:val="20"/>
          <w:szCs w:val="20"/>
          <w:lang w:val="pt-BR"/>
        </w:rPr>
        <w:t xml:space="preserve"> de 2015, </w:t>
      </w:r>
      <w:r w:rsidR="00072F89" w:rsidRPr="00337743">
        <w:rPr>
          <w:rFonts w:ascii="Cambria" w:hAnsi="Cambria"/>
          <w:sz w:val="20"/>
          <w:szCs w:val="20"/>
          <w:lang w:val="pt-BR"/>
        </w:rPr>
        <w:t xml:space="preserve">que </w:t>
      </w:r>
      <w:r w:rsidR="0086792B" w:rsidRPr="00337743">
        <w:rPr>
          <w:rFonts w:ascii="Cambria" w:hAnsi="Cambria"/>
          <w:sz w:val="20"/>
          <w:szCs w:val="20"/>
          <w:lang w:val="pt-BR"/>
        </w:rPr>
        <w:t>modific</w:t>
      </w:r>
      <w:r w:rsidR="00A6443F" w:rsidRPr="00337743">
        <w:rPr>
          <w:rFonts w:ascii="Cambria" w:hAnsi="Cambria"/>
          <w:sz w:val="20"/>
          <w:szCs w:val="20"/>
          <w:lang w:val="pt-BR"/>
        </w:rPr>
        <w:t xml:space="preserve">ou </w:t>
      </w:r>
      <w:r w:rsidR="00506331" w:rsidRPr="00337743">
        <w:rPr>
          <w:rFonts w:ascii="Cambria" w:hAnsi="Cambria"/>
          <w:sz w:val="20"/>
          <w:szCs w:val="20"/>
          <w:lang w:val="pt-BR"/>
        </w:rPr>
        <w:t xml:space="preserve">o </w:t>
      </w:r>
      <w:r w:rsidR="0086792B" w:rsidRPr="00337743">
        <w:rPr>
          <w:rFonts w:ascii="Cambria" w:hAnsi="Cambria"/>
          <w:sz w:val="20"/>
          <w:szCs w:val="20"/>
          <w:lang w:val="pt-BR"/>
        </w:rPr>
        <w:t xml:space="preserve">Código Penal </w:t>
      </w:r>
      <w:r w:rsidRPr="00337743">
        <w:rPr>
          <w:rFonts w:ascii="Cambria" w:hAnsi="Cambria"/>
          <w:sz w:val="20"/>
          <w:szCs w:val="20"/>
          <w:lang w:val="pt-BR"/>
        </w:rPr>
        <w:t xml:space="preserve">para incluir </w:t>
      </w:r>
      <w:r w:rsidR="00E81481" w:rsidRPr="00337743">
        <w:rPr>
          <w:rFonts w:ascii="Cambria" w:hAnsi="Cambria"/>
          <w:sz w:val="20"/>
          <w:szCs w:val="20"/>
          <w:lang w:val="pt-BR"/>
        </w:rPr>
        <w:t>outr</w:t>
      </w:r>
      <w:r w:rsidRPr="00337743">
        <w:rPr>
          <w:rFonts w:ascii="Cambria" w:hAnsi="Cambria"/>
          <w:sz w:val="20"/>
          <w:szCs w:val="20"/>
          <w:lang w:val="pt-BR"/>
        </w:rPr>
        <w:t>a categor</w:t>
      </w:r>
      <w:r w:rsidR="00BF72CE" w:rsidRPr="00337743">
        <w:rPr>
          <w:rFonts w:ascii="Cambria" w:hAnsi="Cambria"/>
          <w:sz w:val="20"/>
          <w:szCs w:val="20"/>
          <w:lang w:val="pt-BR"/>
        </w:rPr>
        <w:t>ia</w:t>
      </w:r>
      <w:r w:rsidRPr="00337743">
        <w:rPr>
          <w:rFonts w:ascii="Cambria" w:hAnsi="Cambria"/>
          <w:sz w:val="20"/>
          <w:szCs w:val="20"/>
          <w:lang w:val="pt-BR"/>
        </w:rPr>
        <w:t xml:space="preserve"> de </w:t>
      </w:r>
      <w:r w:rsidR="00B80DA9" w:rsidRPr="00337743">
        <w:rPr>
          <w:rFonts w:ascii="Cambria" w:hAnsi="Cambria"/>
          <w:sz w:val="20"/>
          <w:szCs w:val="20"/>
          <w:lang w:val="pt-BR"/>
        </w:rPr>
        <w:t>homicídio</w:t>
      </w:r>
      <w:r w:rsidRPr="00337743">
        <w:rPr>
          <w:rFonts w:ascii="Cambria" w:hAnsi="Cambria"/>
          <w:sz w:val="20"/>
          <w:szCs w:val="20"/>
          <w:lang w:val="pt-BR"/>
        </w:rPr>
        <w:t xml:space="preserve"> </w:t>
      </w:r>
      <w:r w:rsidR="00B735B9" w:rsidRPr="00337743">
        <w:rPr>
          <w:rFonts w:ascii="Cambria" w:hAnsi="Cambria"/>
          <w:sz w:val="20"/>
          <w:szCs w:val="20"/>
          <w:lang w:val="pt-BR"/>
        </w:rPr>
        <w:t>qu</w:t>
      </w:r>
      <w:r w:rsidRPr="00337743">
        <w:rPr>
          <w:rFonts w:ascii="Cambria" w:hAnsi="Cambria"/>
          <w:sz w:val="20"/>
          <w:szCs w:val="20"/>
          <w:lang w:val="pt-BR"/>
        </w:rPr>
        <w:t>alificado,</w:t>
      </w:r>
      <w:r w:rsidR="00506331" w:rsidRPr="00337743">
        <w:rPr>
          <w:rFonts w:ascii="Cambria" w:hAnsi="Cambria"/>
          <w:sz w:val="20"/>
          <w:szCs w:val="20"/>
          <w:lang w:val="pt-BR"/>
        </w:rPr>
        <w:t xml:space="preserve"> o </w:t>
      </w:r>
      <w:r w:rsidRPr="00337743">
        <w:rPr>
          <w:rFonts w:ascii="Cambria" w:hAnsi="Cambria"/>
          <w:sz w:val="20"/>
          <w:szCs w:val="20"/>
          <w:lang w:val="pt-BR"/>
        </w:rPr>
        <w:t xml:space="preserve">que se </w:t>
      </w:r>
      <w:r w:rsidR="00B80DA9" w:rsidRPr="00337743">
        <w:rPr>
          <w:rFonts w:ascii="Cambria" w:hAnsi="Cambria"/>
          <w:sz w:val="20"/>
          <w:szCs w:val="20"/>
          <w:lang w:val="pt-BR"/>
        </w:rPr>
        <w:t>pratica</w:t>
      </w:r>
      <w:r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Pr="00337743">
        <w:rPr>
          <w:rFonts w:ascii="Cambria" w:hAnsi="Cambria"/>
          <w:sz w:val="20"/>
          <w:szCs w:val="20"/>
          <w:lang w:val="pt-BR"/>
        </w:rPr>
        <w:t xml:space="preserve"> por raz</w:t>
      </w:r>
      <w:r w:rsidR="00B735B9" w:rsidRPr="00337743">
        <w:rPr>
          <w:rFonts w:ascii="Cambria" w:hAnsi="Cambria"/>
          <w:sz w:val="20"/>
          <w:szCs w:val="20"/>
          <w:lang w:val="pt-BR"/>
        </w:rPr>
        <w:t>õ</w:t>
      </w:r>
      <w:r w:rsidRPr="00337743">
        <w:rPr>
          <w:rFonts w:ascii="Cambria" w:hAnsi="Cambria"/>
          <w:sz w:val="20"/>
          <w:szCs w:val="20"/>
          <w:lang w:val="pt-BR"/>
        </w:rPr>
        <w:t>es</w:t>
      </w:r>
      <w:r w:rsidR="007707E3" w:rsidRPr="00337743">
        <w:rPr>
          <w:rFonts w:ascii="Cambria" w:hAnsi="Cambria"/>
          <w:sz w:val="20"/>
          <w:szCs w:val="20"/>
          <w:lang w:val="pt-BR"/>
        </w:rPr>
        <w:t xml:space="preserve"> da </w:t>
      </w:r>
      <w:r w:rsidRPr="00337743">
        <w:rPr>
          <w:rFonts w:ascii="Cambria" w:hAnsi="Cambria"/>
          <w:sz w:val="20"/>
          <w:szCs w:val="20"/>
          <w:lang w:val="pt-BR"/>
        </w:rPr>
        <w:t>condi</w:t>
      </w:r>
      <w:r w:rsidR="00350E7E" w:rsidRPr="00337743">
        <w:rPr>
          <w:rFonts w:ascii="Cambria" w:hAnsi="Cambria"/>
          <w:sz w:val="20"/>
          <w:szCs w:val="20"/>
          <w:lang w:val="pt-BR"/>
        </w:rPr>
        <w:t>ção</w:t>
      </w:r>
      <w:r w:rsidRPr="00337743">
        <w:rPr>
          <w:rFonts w:ascii="Cambria" w:hAnsi="Cambria"/>
          <w:sz w:val="20"/>
          <w:szCs w:val="20"/>
          <w:lang w:val="pt-BR"/>
        </w:rPr>
        <w:t xml:space="preserve"> </w:t>
      </w:r>
      <w:r w:rsidR="00B80DA9" w:rsidRPr="00337743">
        <w:rPr>
          <w:rFonts w:ascii="Cambria" w:hAnsi="Cambria"/>
          <w:sz w:val="20"/>
          <w:szCs w:val="20"/>
          <w:lang w:val="pt-BR"/>
        </w:rPr>
        <w:t>feminina</w:t>
      </w:r>
      <w:r w:rsidRPr="00337743">
        <w:rPr>
          <w:rFonts w:ascii="Cambria" w:hAnsi="Cambria"/>
          <w:sz w:val="20"/>
          <w:szCs w:val="20"/>
          <w:lang w:val="pt-BR"/>
        </w:rPr>
        <w:t xml:space="preserve">". </w:t>
      </w:r>
      <w:r w:rsidR="00072F89" w:rsidRPr="00337743">
        <w:rPr>
          <w:rFonts w:ascii="Cambria" w:hAnsi="Cambria"/>
          <w:sz w:val="20"/>
          <w:szCs w:val="20"/>
          <w:lang w:val="pt-BR"/>
        </w:rPr>
        <w:t>E</w:t>
      </w:r>
      <w:r w:rsidRPr="00337743">
        <w:rPr>
          <w:rFonts w:ascii="Cambria" w:hAnsi="Cambria"/>
          <w:sz w:val="20"/>
          <w:szCs w:val="20"/>
          <w:lang w:val="pt-BR"/>
        </w:rPr>
        <w:t xml:space="preserve">sta </w:t>
      </w:r>
      <w:r w:rsidR="00DB5118" w:rsidRPr="00337743">
        <w:rPr>
          <w:rFonts w:ascii="Cambria" w:hAnsi="Cambria"/>
          <w:sz w:val="20"/>
          <w:szCs w:val="20"/>
          <w:lang w:val="pt-BR"/>
        </w:rPr>
        <w:t>lei</w:t>
      </w:r>
      <w:r w:rsidR="000054F1" w:rsidRPr="00337743">
        <w:rPr>
          <w:rFonts w:ascii="Cambria" w:hAnsi="Cambria"/>
          <w:sz w:val="20"/>
          <w:szCs w:val="20"/>
          <w:lang w:val="pt-BR"/>
        </w:rPr>
        <w:t xml:space="preserve"> – </w:t>
      </w:r>
      <w:r w:rsidR="00B80DA9" w:rsidRPr="00337743">
        <w:rPr>
          <w:rFonts w:ascii="Cambria" w:hAnsi="Cambria"/>
          <w:sz w:val="20"/>
          <w:szCs w:val="20"/>
          <w:lang w:val="pt-BR"/>
        </w:rPr>
        <w:t>comumente</w:t>
      </w:r>
      <w:r w:rsidR="000054F1" w:rsidRPr="00337743">
        <w:rPr>
          <w:rFonts w:ascii="Cambria" w:hAnsi="Cambria"/>
          <w:sz w:val="20"/>
          <w:szCs w:val="20"/>
          <w:lang w:val="pt-BR"/>
        </w:rPr>
        <w:t xml:space="preserve"> </w:t>
      </w:r>
      <w:r w:rsidR="00B735B9" w:rsidRPr="00337743">
        <w:rPr>
          <w:rFonts w:ascii="Cambria" w:hAnsi="Cambria"/>
          <w:sz w:val="20"/>
          <w:szCs w:val="20"/>
          <w:lang w:val="pt-BR"/>
        </w:rPr>
        <w:t>ch</w:t>
      </w:r>
      <w:r w:rsidR="000054F1" w:rsidRPr="00337743">
        <w:rPr>
          <w:rFonts w:ascii="Cambria" w:hAnsi="Cambria"/>
          <w:sz w:val="20"/>
          <w:szCs w:val="20"/>
          <w:lang w:val="pt-BR"/>
        </w:rPr>
        <w:t>amada de “</w:t>
      </w:r>
      <w:r w:rsidR="00DB5118" w:rsidRPr="00337743">
        <w:rPr>
          <w:rFonts w:ascii="Cambria" w:hAnsi="Cambria"/>
          <w:sz w:val="20"/>
          <w:szCs w:val="20"/>
          <w:lang w:val="pt-BR"/>
        </w:rPr>
        <w:t>Lei</w:t>
      </w:r>
      <w:r w:rsidR="007707E3" w:rsidRPr="00337743">
        <w:rPr>
          <w:rFonts w:ascii="Cambria" w:hAnsi="Cambria"/>
          <w:sz w:val="20"/>
          <w:szCs w:val="20"/>
          <w:lang w:val="pt-BR"/>
        </w:rPr>
        <w:t xml:space="preserve"> do </w:t>
      </w:r>
      <w:r w:rsidR="000054F1" w:rsidRPr="00337743">
        <w:rPr>
          <w:rFonts w:ascii="Cambria" w:hAnsi="Cambria"/>
          <w:sz w:val="20"/>
          <w:szCs w:val="20"/>
          <w:lang w:val="pt-BR"/>
        </w:rPr>
        <w:t>Feminicídio” –</w:t>
      </w:r>
      <w:r w:rsidRPr="00337743">
        <w:rPr>
          <w:rFonts w:ascii="Cambria" w:hAnsi="Cambria"/>
          <w:sz w:val="20"/>
          <w:szCs w:val="20"/>
          <w:lang w:val="pt-BR"/>
        </w:rPr>
        <w:t xml:space="preserve"> transform</w:t>
      </w:r>
      <w:r w:rsidR="00A6443F" w:rsidRPr="00337743">
        <w:rPr>
          <w:rFonts w:ascii="Cambria" w:hAnsi="Cambria"/>
          <w:sz w:val="20"/>
          <w:szCs w:val="20"/>
          <w:lang w:val="pt-BR"/>
        </w:rPr>
        <w:t xml:space="preserve">ou </w:t>
      </w:r>
      <w:r w:rsidR="00091880" w:rsidRPr="00337743">
        <w:rPr>
          <w:rFonts w:ascii="Cambria" w:hAnsi="Cambria"/>
          <w:sz w:val="20"/>
          <w:szCs w:val="20"/>
          <w:lang w:val="pt-BR"/>
        </w:rPr>
        <w:t xml:space="preserve">em </w:t>
      </w:r>
      <w:r w:rsidR="00C7696E" w:rsidRPr="00337743">
        <w:rPr>
          <w:rFonts w:ascii="Cambria" w:hAnsi="Cambria"/>
          <w:sz w:val="20"/>
          <w:szCs w:val="20"/>
          <w:lang w:val="pt-BR"/>
        </w:rPr>
        <w:t>“</w:t>
      </w:r>
      <w:r w:rsidR="00B80DA9" w:rsidRPr="00337743">
        <w:rPr>
          <w:rFonts w:ascii="Cambria" w:hAnsi="Cambria"/>
          <w:sz w:val="20"/>
          <w:szCs w:val="20"/>
          <w:lang w:val="pt-BR"/>
        </w:rPr>
        <w:t>crime</w:t>
      </w:r>
      <w:r w:rsidRPr="00337743">
        <w:rPr>
          <w:rFonts w:ascii="Cambria" w:hAnsi="Cambria"/>
          <w:sz w:val="20"/>
          <w:szCs w:val="20"/>
          <w:lang w:val="pt-BR"/>
        </w:rPr>
        <w:t xml:space="preserve"> hediondo</w:t>
      </w:r>
      <w:r w:rsidR="00C7696E" w:rsidRPr="00337743">
        <w:rPr>
          <w:rFonts w:ascii="Cambria" w:hAnsi="Cambria"/>
          <w:sz w:val="20"/>
          <w:szCs w:val="20"/>
          <w:lang w:val="pt-BR"/>
        </w:rPr>
        <w:t>”</w:t>
      </w:r>
      <w:r w:rsidR="00506331" w:rsidRPr="00337743">
        <w:rPr>
          <w:rFonts w:ascii="Cambria" w:hAnsi="Cambria"/>
          <w:sz w:val="20"/>
          <w:szCs w:val="20"/>
          <w:lang w:val="pt-BR"/>
        </w:rPr>
        <w:t xml:space="preserve"> o </w:t>
      </w:r>
      <w:r w:rsidRPr="00337743">
        <w:rPr>
          <w:rFonts w:ascii="Cambria" w:hAnsi="Cambria"/>
          <w:sz w:val="20"/>
          <w:szCs w:val="20"/>
          <w:lang w:val="pt-BR"/>
        </w:rPr>
        <w:t>a</w:t>
      </w:r>
      <w:r w:rsidR="00B735B9" w:rsidRPr="00337743">
        <w:rPr>
          <w:rFonts w:ascii="Cambria" w:hAnsi="Cambria"/>
          <w:sz w:val="20"/>
          <w:szCs w:val="20"/>
          <w:lang w:val="pt-BR"/>
        </w:rPr>
        <w:t>s</w:t>
      </w:r>
      <w:r w:rsidRPr="00337743">
        <w:rPr>
          <w:rFonts w:ascii="Cambria" w:hAnsi="Cambria"/>
          <w:sz w:val="20"/>
          <w:szCs w:val="20"/>
          <w:lang w:val="pt-BR"/>
        </w:rPr>
        <w:t>s</w:t>
      </w:r>
      <w:r w:rsidR="00B735B9" w:rsidRPr="00337743">
        <w:rPr>
          <w:rFonts w:ascii="Cambria" w:hAnsi="Cambria"/>
          <w:sz w:val="20"/>
          <w:szCs w:val="20"/>
          <w:lang w:val="pt-BR"/>
        </w:rPr>
        <w:t>as</w:t>
      </w:r>
      <w:r w:rsidRPr="00337743">
        <w:rPr>
          <w:rFonts w:ascii="Cambria" w:hAnsi="Cambria"/>
          <w:sz w:val="20"/>
          <w:szCs w:val="20"/>
          <w:lang w:val="pt-BR"/>
        </w:rPr>
        <w:t xml:space="preserve">sinato de </w:t>
      </w:r>
      <w:r w:rsidR="00DB5118" w:rsidRPr="00337743">
        <w:rPr>
          <w:rFonts w:ascii="Cambria" w:hAnsi="Cambria"/>
          <w:sz w:val="20"/>
          <w:szCs w:val="20"/>
          <w:lang w:val="pt-BR"/>
        </w:rPr>
        <w:t>mulher</w:t>
      </w:r>
      <w:r w:rsidRPr="00337743">
        <w:rPr>
          <w:rFonts w:ascii="Cambria" w:hAnsi="Cambria"/>
          <w:sz w:val="20"/>
          <w:szCs w:val="20"/>
          <w:lang w:val="pt-BR"/>
        </w:rPr>
        <w:t xml:space="preserve">es por </w:t>
      </w:r>
      <w:r w:rsidR="00D23D6A" w:rsidRPr="00337743">
        <w:rPr>
          <w:rFonts w:ascii="Cambria" w:hAnsi="Cambria"/>
          <w:sz w:val="20"/>
          <w:szCs w:val="20"/>
          <w:lang w:val="pt-BR"/>
        </w:rPr>
        <w:t>raz</w:t>
      </w:r>
      <w:r w:rsidR="00B735B9" w:rsidRPr="00337743">
        <w:rPr>
          <w:rFonts w:ascii="Cambria" w:hAnsi="Cambria"/>
          <w:sz w:val="20"/>
          <w:szCs w:val="20"/>
          <w:lang w:val="pt-BR"/>
        </w:rPr>
        <w:t>õ</w:t>
      </w:r>
      <w:r w:rsidR="00D23D6A" w:rsidRPr="00337743">
        <w:rPr>
          <w:rFonts w:ascii="Cambria" w:hAnsi="Cambria"/>
          <w:sz w:val="20"/>
          <w:szCs w:val="20"/>
          <w:lang w:val="pt-BR"/>
        </w:rPr>
        <w:t xml:space="preserve">es </w:t>
      </w:r>
      <w:r w:rsidRPr="00337743">
        <w:rPr>
          <w:rFonts w:ascii="Cambria" w:hAnsi="Cambria"/>
          <w:sz w:val="20"/>
          <w:szCs w:val="20"/>
          <w:lang w:val="pt-BR"/>
        </w:rPr>
        <w:t>de g</w:t>
      </w:r>
      <w:r w:rsidR="00B70F49" w:rsidRPr="00337743">
        <w:rPr>
          <w:rFonts w:ascii="Cambria" w:hAnsi="Cambria"/>
          <w:sz w:val="20"/>
          <w:szCs w:val="20"/>
          <w:lang w:val="pt-BR"/>
        </w:rPr>
        <w:t>ê</w:t>
      </w:r>
      <w:r w:rsidRPr="00337743">
        <w:rPr>
          <w:rFonts w:ascii="Cambria" w:hAnsi="Cambria"/>
          <w:sz w:val="20"/>
          <w:szCs w:val="20"/>
          <w:lang w:val="pt-BR"/>
        </w:rPr>
        <w:t>nero</w:t>
      </w:r>
      <w:r w:rsidRPr="00337743">
        <w:rPr>
          <w:vertAlign w:val="superscript"/>
          <w:lang w:val="pt-BR"/>
        </w:rPr>
        <w:footnoteReference w:id="10"/>
      </w:r>
      <w:r w:rsidR="00B83F64" w:rsidRPr="00337743">
        <w:rPr>
          <w:rFonts w:ascii="Cambria" w:hAnsi="Cambria"/>
          <w:sz w:val="20"/>
          <w:szCs w:val="20"/>
          <w:lang w:val="pt-BR"/>
        </w:rPr>
        <w:t>.</w:t>
      </w:r>
      <w:r w:rsidR="00091880" w:rsidRPr="00337743">
        <w:rPr>
          <w:rFonts w:ascii="Cambria" w:hAnsi="Cambria"/>
          <w:sz w:val="20"/>
          <w:szCs w:val="20"/>
          <w:lang w:val="pt-BR"/>
        </w:rPr>
        <w:t xml:space="preserve"> </w:t>
      </w:r>
      <w:r w:rsidR="00B735B9" w:rsidRPr="00337743">
        <w:rPr>
          <w:rFonts w:ascii="Cambria" w:hAnsi="Cambria"/>
          <w:sz w:val="20"/>
          <w:szCs w:val="20"/>
          <w:lang w:val="pt-BR"/>
        </w:rPr>
        <w:t>N</w:t>
      </w:r>
      <w:r w:rsidR="00D23D6A" w:rsidRPr="00337743">
        <w:rPr>
          <w:rFonts w:ascii="Cambria" w:hAnsi="Cambria"/>
          <w:sz w:val="20"/>
          <w:szCs w:val="20"/>
          <w:lang w:val="pt-BR"/>
        </w:rPr>
        <w:t>e</w:t>
      </w:r>
      <w:r w:rsidR="00B735B9" w:rsidRPr="00337743">
        <w:rPr>
          <w:rFonts w:ascii="Cambria" w:hAnsi="Cambria"/>
          <w:sz w:val="20"/>
          <w:szCs w:val="20"/>
          <w:lang w:val="pt-BR"/>
        </w:rPr>
        <w:t>s</w:t>
      </w:r>
      <w:r w:rsidR="00D23D6A" w:rsidRPr="00337743">
        <w:rPr>
          <w:rFonts w:ascii="Cambria" w:hAnsi="Cambria"/>
          <w:sz w:val="20"/>
          <w:szCs w:val="20"/>
          <w:lang w:val="pt-BR"/>
        </w:rPr>
        <w:t xml:space="preserve">se </w:t>
      </w:r>
      <w:r w:rsidR="00B80DA9" w:rsidRPr="00337743">
        <w:rPr>
          <w:rFonts w:ascii="Cambria" w:hAnsi="Cambria"/>
          <w:sz w:val="20"/>
          <w:szCs w:val="20"/>
          <w:lang w:val="pt-BR"/>
        </w:rPr>
        <w:t>mesmo</w:t>
      </w:r>
      <w:r w:rsidR="00D23D6A" w:rsidRPr="00337743">
        <w:rPr>
          <w:rFonts w:ascii="Cambria" w:hAnsi="Cambria"/>
          <w:sz w:val="20"/>
          <w:szCs w:val="20"/>
          <w:lang w:val="pt-BR"/>
        </w:rPr>
        <w:t xml:space="preserve"> </w:t>
      </w:r>
      <w:r w:rsidR="00A06E97" w:rsidRPr="00337743">
        <w:rPr>
          <w:rFonts w:ascii="Cambria" w:hAnsi="Cambria"/>
          <w:sz w:val="20"/>
          <w:szCs w:val="20"/>
          <w:lang w:val="pt-BR"/>
        </w:rPr>
        <w:t>ano</w:t>
      </w:r>
      <w:r w:rsidR="00D23D6A" w:rsidRPr="00337743">
        <w:rPr>
          <w:rFonts w:ascii="Cambria" w:hAnsi="Cambria"/>
          <w:sz w:val="20"/>
          <w:szCs w:val="20"/>
          <w:lang w:val="pt-BR"/>
        </w:rPr>
        <w:t>,</w:t>
      </w:r>
      <w:r w:rsidR="00506331" w:rsidRPr="00337743">
        <w:rPr>
          <w:rFonts w:ascii="Cambria" w:hAnsi="Cambria"/>
          <w:sz w:val="20"/>
          <w:szCs w:val="20"/>
          <w:lang w:val="pt-BR"/>
        </w:rPr>
        <w:t xml:space="preserve"> o </w:t>
      </w:r>
      <w:r w:rsidR="00D23D6A" w:rsidRPr="00337743">
        <w:rPr>
          <w:rFonts w:ascii="Cambria" w:hAnsi="Cambria"/>
          <w:sz w:val="20"/>
          <w:szCs w:val="20"/>
          <w:lang w:val="pt-BR"/>
        </w:rPr>
        <w:t>“Mapa</w:t>
      </w:r>
      <w:r w:rsidR="007707E3" w:rsidRPr="00337743">
        <w:rPr>
          <w:rFonts w:ascii="Cambria" w:hAnsi="Cambria"/>
          <w:sz w:val="20"/>
          <w:szCs w:val="20"/>
          <w:lang w:val="pt-BR"/>
        </w:rPr>
        <w:t xml:space="preserve"> da </w:t>
      </w:r>
      <w:r w:rsidR="00B80DA9" w:rsidRPr="00337743">
        <w:rPr>
          <w:rFonts w:ascii="Cambria" w:hAnsi="Cambria"/>
          <w:sz w:val="20"/>
          <w:szCs w:val="20"/>
          <w:lang w:val="pt-BR"/>
        </w:rPr>
        <w:t>Violência</w:t>
      </w:r>
      <w:r w:rsidR="00D23D6A" w:rsidRPr="00337743">
        <w:rPr>
          <w:rFonts w:ascii="Cambria" w:hAnsi="Cambria"/>
          <w:sz w:val="20"/>
          <w:szCs w:val="20"/>
          <w:lang w:val="pt-BR"/>
        </w:rPr>
        <w:t xml:space="preserve">: </w:t>
      </w:r>
      <w:r w:rsidR="00A06E97" w:rsidRPr="00337743">
        <w:rPr>
          <w:rFonts w:ascii="Cambria" w:hAnsi="Cambria"/>
          <w:sz w:val="20"/>
          <w:szCs w:val="20"/>
          <w:lang w:val="pt-BR"/>
        </w:rPr>
        <w:t>Homicídio</w:t>
      </w:r>
      <w:r w:rsidR="00D23D6A" w:rsidRPr="00337743">
        <w:rPr>
          <w:rFonts w:ascii="Cambria" w:hAnsi="Cambria"/>
          <w:sz w:val="20"/>
          <w:szCs w:val="20"/>
          <w:lang w:val="pt-BR"/>
        </w:rPr>
        <w:t xml:space="preserve"> de </w:t>
      </w:r>
      <w:r w:rsidR="00DB5118" w:rsidRPr="00337743">
        <w:rPr>
          <w:rFonts w:ascii="Cambria" w:hAnsi="Cambria"/>
          <w:sz w:val="20"/>
          <w:szCs w:val="20"/>
          <w:lang w:val="pt-BR"/>
        </w:rPr>
        <w:t>Mulher</w:t>
      </w:r>
      <w:r w:rsidR="00D23D6A" w:rsidRPr="00337743">
        <w:rPr>
          <w:rFonts w:ascii="Cambria" w:hAnsi="Cambria"/>
          <w:sz w:val="20"/>
          <w:szCs w:val="20"/>
          <w:lang w:val="pt-BR"/>
        </w:rPr>
        <w:t>es</w:t>
      </w:r>
      <w:r w:rsidR="00091880" w:rsidRPr="00337743">
        <w:rPr>
          <w:rFonts w:ascii="Cambria" w:hAnsi="Cambria"/>
          <w:sz w:val="20"/>
          <w:szCs w:val="20"/>
          <w:lang w:val="pt-BR"/>
        </w:rPr>
        <w:t xml:space="preserve"> </w:t>
      </w:r>
      <w:r w:rsidR="00B735B9" w:rsidRPr="00337743">
        <w:rPr>
          <w:rFonts w:ascii="Cambria" w:hAnsi="Cambria"/>
          <w:sz w:val="20"/>
          <w:szCs w:val="20"/>
          <w:lang w:val="pt-BR"/>
        </w:rPr>
        <w:t>no</w:t>
      </w:r>
      <w:r w:rsidR="00091880" w:rsidRPr="00337743">
        <w:rPr>
          <w:rFonts w:ascii="Cambria" w:hAnsi="Cambria"/>
          <w:sz w:val="20"/>
          <w:szCs w:val="20"/>
          <w:lang w:val="pt-BR"/>
        </w:rPr>
        <w:t xml:space="preserve"> </w:t>
      </w:r>
      <w:r w:rsidR="00D23D6A" w:rsidRPr="00337743">
        <w:rPr>
          <w:rFonts w:ascii="Cambria" w:hAnsi="Cambria"/>
          <w:sz w:val="20"/>
          <w:szCs w:val="20"/>
          <w:lang w:val="pt-BR"/>
        </w:rPr>
        <w:t>Brasil”</w:t>
      </w:r>
      <w:r w:rsidR="007707E3" w:rsidRPr="00337743">
        <w:rPr>
          <w:rFonts w:ascii="Cambria" w:hAnsi="Cambria"/>
          <w:sz w:val="20"/>
          <w:szCs w:val="20"/>
          <w:lang w:val="pt-BR"/>
        </w:rPr>
        <w:t xml:space="preserve"> da </w:t>
      </w:r>
      <w:r w:rsidR="00D23D6A" w:rsidRPr="00337743">
        <w:rPr>
          <w:rFonts w:ascii="Cambria" w:hAnsi="Cambria"/>
          <w:sz w:val="20"/>
          <w:szCs w:val="20"/>
          <w:lang w:val="pt-BR"/>
        </w:rPr>
        <w:t>Facul</w:t>
      </w:r>
      <w:r w:rsidR="00B80DA9" w:rsidRPr="00337743">
        <w:rPr>
          <w:rFonts w:ascii="Cambria" w:hAnsi="Cambria"/>
          <w:sz w:val="20"/>
          <w:szCs w:val="20"/>
          <w:lang w:val="pt-BR"/>
        </w:rPr>
        <w:t>d</w:t>
      </w:r>
      <w:r w:rsidR="00D23D6A" w:rsidRPr="00337743">
        <w:rPr>
          <w:rFonts w:ascii="Cambria" w:hAnsi="Cambria"/>
          <w:sz w:val="20"/>
          <w:szCs w:val="20"/>
          <w:lang w:val="pt-BR"/>
        </w:rPr>
        <w:t>ad</w:t>
      </w:r>
      <w:r w:rsidR="00B80DA9" w:rsidRPr="00337743">
        <w:rPr>
          <w:rFonts w:ascii="Cambria" w:hAnsi="Cambria"/>
          <w:sz w:val="20"/>
          <w:szCs w:val="20"/>
          <w:lang w:val="pt-BR"/>
        </w:rPr>
        <w:t>e</w:t>
      </w:r>
      <w:r w:rsidR="00D23D6A" w:rsidRPr="00337743">
        <w:rPr>
          <w:rFonts w:ascii="Cambria" w:hAnsi="Cambria"/>
          <w:sz w:val="20"/>
          <w:szCs w:val="20"/>
          <w:lang w:val="pt-BR"/>
        </w:rPr>
        <w:t xml:space="preserve"> Latino</w:t>
      </w:r>
      <w:r w:rsidR="00B735B9" w:rsidRPr="00337743">
        <w:rPr>
          <w:rFonts w:ascii="Cambria" w:hAnsi="Cambria"/>
          <w:sz w:val="20"/>
          <w:szCs w:val="20"/>
          <w:lang w:val="pt-BR"/>
        </w:rPr>
        <w:t>-A</w:t>
      </w:r>
      <w:r w:rsidR="00D23D6A" w:rsidRPr="00337743">
        <w:rPr>
          <w:rFonts w:ascii="Cambria" w:hAnsi="Cambria"/>
          <w:sz w:val="20"/>
          <w:szCs w:val="20"/>
          <w:lang w:val="pt-BR"/>
        </w:rPr>
        <w:t xml:space="preserve">mericana de </w:t>
      </w:r>
      <w:r w:rsidR="00B80DA9" w:rsidRPr="00337743">
        <w:rPr>
          <w:rFonts w:ascii="Cambria" w:hAnsi="Cambria"/>
          <w:sz w:val="20"/>
          <w:szCs w:val="20"/>
          <w:lang w:val="pt-BR"/>
        </w:rPr>
        <w:t>Ciências</w:t>
      </w:r>
      <w:r w:rsidR="00D23D6A" w:rsidRPr="00337743">
        <w:rPr>
          <w:rFonts w:ascii="Cambria" w:hAnsi="Cambria"/>
          <w:sz w:val="20"/>
          <w:szCs w:val="20"/>
          <w:lang w:val="pt-BR"/>
        </w:rPr>
        <w:t xml:space="preserve"> Soci</w:t>
      </w:r>
      <w:r w:rsidR="007707E3" w:rsidRPr="00337743">
        <w:rPr>
          <w:rFonts w:ascii="Cambria" w:hAnsi="Cambria"/>
          <w:sz w:val="20"/>
          <w:szCs w:val="20"/>
          <w:lang w:val="pt-BR"/>
        </w:rPr>
        <w:t>ais</w:t>
      </w:r>
      <w:r w:rsidR="00D23D6A" w:rsidRPr="00337743">
        <w:rPr>
          <w:rFonts w:ascii="Cambria" w:hAnsi="Cambria"/>
          <w:sz w:val="20"/>
          <w:szCs w:val="20"/>
          <w:lang w:val="pt-BR"/>
        </w:rPr>
        <w:t xml:space="preserve"> (FLACSO) indic</w:t>
      </w:r>
      <w:r w:rsidR="00A6443F" w:rsidRPr="00337743">
        <w:rPr>
          <w:rFonts w:ascii="Cambria" w:hAnsi="Cambria"/>
          <w:sz w:val="20"/>
          <w:szCs w:val="20"/>
          <w:lang w:val="pt-BR"/>
        </w:rPr>
        <w:t xml:space="preserve">ou </w:t>
      </w:r>
      <w:r w:rsidR="00D23D6A" w:rsidRPr="00337743">
        <w:rPr>
          <w:rFonts w:ascii="Cambria" w:hAnsi="Cambria"/>
          <w:sz w:val="20"/>
          <w:szCs w:val="20"/>
          <w:lang w:val="pt-BR"/>
        </w:rPr>
        <w:t xml:space="preserve">que </w:t>
      </w:r>
      <w:r w:rsidR="00B735B9" w:rsidRPr="00337743">
        <w:rPr>
          <w:rFonts w:ascii="Cambria" w:hAnsi="Cambria"/>
          <w:sz w:val="20"/>
          <w:szCs w:val="20"/>
          <w:lang w:val="pt-BR"/>
        </w:rPr>
        <w:t xml:space="preserve">o </w:t>
      </w:r>
      <w:r w:rsidR="00D23D6A" w:rsidRPr="00337743">
        <w:rPr>
          <w:rFonts w:ascii="Cambria" w:hAnsi="Cambria"/>
          <w:sz w:val="20"/>
          <w:szCs w:val="20"/>
          <w:lang w:val="pt-BR"/>
        </w:rPr>
        <w:t>Brasil pos</w:t>
      </w:r>
      <w:r w:rsidR="00B735B9" w:rsidRPr="00337743">
        <w:rPr>
          <w:rFonts w:ascii="Cambria" w:hAnsi="Cambria"/>
          <w:sz w:val="20"/>
          <w:szCs w:val="20"/>
          <w:lang w:val="pt-BR"/>
        </w:rPr>
        <w:t>sui</w:t>
      </w:r>
      <w:r w:rsidR="00506331" w:rsidRPr="00337743">
        <w:rPr>
          <w:rFonts w:ascii="Cambria" w:hAnsi="Cambria"/>
          <w:sz w:val="20"/>
          <w:szCs w:val="20"/>
          <w:lang w:val="pt-BR"/>
        </w:rPr>
        <w:t xml:space="preserve"> a </w:t>
      </w:r>
      <w:r w:rsidR="00D23D6A" w:rsidRPr="00337743">
        <w:rPr>
          <w:rFonts w:ascii="Cambria" w:hAnsi="Cambria"/>
          <w:sz w:val="20"/>
          <w:szCs w:val="20"/>
          <w:lang w:val="pt-BR"/>
        </w:rPr>
        <w:t xml:space="preserve">quinta </w:t>
      </w:r>
      <w:r w:rsidR="00B80DA9" w:rsidRPr="00337743">
        <w:rPr>
          <w:rFonts w:ascii="Cambria" w:hAnsi="Cambria"/>
          <w:sz w:val="20"/>
          <w:szCs w:val="20"/>
          <w:lang w:val="pt-BR"/>
        </w:rPr>
        <w:t>taxa</w:t>
      </w:r>
      <w:r w:rsidR="00D23D6A" w:rsidRPr="00337743">
        <w:rPr>
          <w:rFonts w:ascii="Cambria" w:hAnsi="Cambria"/>
          <w:sz w:val="20"/>
          <w:szCs w:val="20"/>
          <w:lang w:val="pt-BR"/>
        </w:rPr>
        <w:t xml:space="preserve"> de as</w:t>
      </w:r>
      <w:r w:rsidR="00B735B9" w:rsidRPr="00337743">
        <w:rPr>
          <w:rFonts w:ascii="Cambria" w:hAnsi="Cambria"/>
          <w:sz w:val="20"/>
          <w:szCs w:val="20"/>
          <w:lang w:val="pt-BR"/>
        </w:rPr>
        <w:t>sas</w:t>
      </w:r>
      <w:r w:rsidR="00D23D6A" w:rsidRPr="00337743">
        <w:rPr>
          <w:rFonts w:ascii="Cambria" w:hAnsi="Cambria"/>
          <w:sz w:val="20"/>
          <w:szCs w:val="20"/>
          <w:lang w:val="pt-BR"/>
        </w:rPr>
        <w:t xml:space="preserve">sinatos de </w:t>
      </w:r>
      <w:r w:rsidR="00DB5118" w:rsidRPr="00337743">
        <w:rPr>
          <w:rFonts w:ascii="Cambria" w:hAnsi="Cambria"/>
          <w:sz w:val="20"/>
          <w:szCs w:val="20"/>
          <w:lang w:val="pt-BR"/>
        </w:rPr>
        <w:t>mulher</w:t>
      </w:r>
      <w:r w:rsidR="00D23D6A" w:rsidRPr="00337743">
        <w:rPr>
          <w:rFonts w:ascii="Cambria" w:hAnsi="Cambria"/>
          <w:sz w:val="20"/>
          <w:szCs w:val="20"/>
          <w:lang w:val="pt-BR"/>
        </w:rPr>
        <w:t>es</w:t>
      </w:r>
      <w:r w:rsidR="00091880" w:rsidRPr="00337743">
        <w:rPr>
          <w:rFonts w:ascii="Cambria" w:hAnsi="Cambria"/>
          <w:sz w:val="20"/>
          <w:szCs w:val="20"/>
          <w:lang w:val="pt-BR"/>
        </w:rPr>
        <w:t xml:space="preserve"> em </w:t>
      </w:r>
      <w:r w:rsidR="00D23D6A" w:rsidRPr="00337743">
        <w:rPr>
          <w:rFonts w:ascii="Cambria" w:hAnsi="Cambria"/>
          <w:sz w:val="20"/>
          <w:szCs w:val="20"/>
          <w:lang w:val="pt-BR"/>
        </w:rPr>
        <w:t>raz</w:t>
      </w:r>
      <w:r w:rsidR="00B735B9" w:rsidRPr="00337743">
        <w:rPr>
          <w:rFonts w:ascii="Cambria" w:hAnsi="Cambria"/>
          <w:sz w:val="20"/>
          <w:szCs w:val="20"/>
          <w:lang w:val="pt-BR"/>
        </w:rPr>
        <w:t>ão</w:t>
      </w:r>
      <w:r w:rsidR="00D23D6A" w:rsidRPr="00337743">
        <w:rPr>
          <w:rFonts w:ascii="Cambria" w:hAnsi="Cambria"/>
          <w:sz w:val="20"/>
          <w:szCs w:val="20"/>
          <w:lang w:val="pt-BR"/>
        </w:rPr>
        <w:t xml:space="preserve"> de g</w:t>
      </w:r>
      <w:r w:rsidR="00B70F49" w:rsidRPr="00337743">
        <w:rPr>
          <w:rFonts w:ascii="Cambria" w:hAnsi="Cambria"/>
          <w:sz w:val="20"/>
          <w:szCs w:val="20"/>
          <w:lang w:val="pt-BR"/>
        </w:rPr>
        <w:t>ê</w:t>
      </w:r>
      <w:r w:rsidR="00D23D6A" w:rsidRPr="00337743">
        <w:rPr>
          <w:rFonts w:ascii="Cambria" w:hAnsi="Cambria"/>
          <w:sz w:val="20"/>
          <w:szCs w:val="20"/>
          <w:lang w:val="pt-BR"/>
        </w:rPr>
        <w:t>nero m</w:t>
      </w:r>
      <w:r w:rsidR="00B735B9" w:rsidRPr="00337743">
        <w:rPr>
          <w:rFonts w:ascii="Cambria" w:hAnsi="Cambria"/>
          <w:sz w:val="20"/>
          <w:szCs w:val="20"/>
          <w:lang w:val="pt-BR"/>
        </w:rPr>
        <w:t>ai</w:t>
      </w:r>
      <w:r w:rsidR="00D23D6A" w:rsidRPr="00337743">
        <w:rPr>
          <w:rFonts w:ascii="Cambria" w:hAnsi="Cambria"/>
          <w:sz w:val="20"/>
          <w:szCs w:val="20"/>
          <w:lang w:val="pt-BR"/>
        </w:rPr>
        <w:t>s alta</w:t>
      </w:r>
      <w:r w:rsidR="007707E3" w:rsidRPr="00337743">
        <w:rPr>
          <w:rFonts w:ascii="Cambria" w:hAnsi="Cambria"/>
          <w:sz w:val="20"/>
          <w:szCs w:val="20"/>
          <w:lang w:val="pt-BR"/>
        </w:rPr>
        <w:t xml:space="preserve"> do </w:t>
      </w:r>
      <w:r w:rsidR="00D23D6A" w:rsidRPr="00337743">
        <w:rPr>
          <w:rFonts w:ascii="Cambria" w:hAnsi="Cambria"/>
          <w:sz w:val="20"/>
          <w:szCs w:val="20"/>
          <w:lang w:val="pt-BR"/>
        </w:rPr>
        <w:t>mundo</w:t>
      </w:r>
      <w:r w:rsidR="00D23D6A" w:rsidRPr="00337743">
        <w:rPr>
          <w:rStyle w:val="FootnoteReference"/>
          <w:rFonts w:ascii="Cambria" w:hAnsi="Cambria"/>
          <w:sz w:val="20"/>
          <w:szCs w:val="20"/>
          <w:lang w:val="pt-BR"/>
        </w:rPr>
        <w:footnoteReference w:id="11"/>
      </w:r>
      <w:r w:rsidR="00D23D6A" w:rsidRPr="00337743">
        <w:rPr>
          <w:rFonts w:ascii="Cambria" w:hAnsi="Cambria"/>
          <w:sz w:val="20"/>
          <w:szCs w:val="20"/>
          <w:lang w:val="pt-BR"/>
        </w:rPr>
        <w:t>.</w:t>
      </w:r>
      <w:r w:rsidR="00D23D6A" w:rsidRPr="00337743">
        <w:rPr>
          <w:rFonts w:ascii="FreeSans" w:eastAsia="Times New Roman" w:hAnsi="FreeSans"/>
          <w:color w:val="404040"/>
          <w:bdr w:val="none" w:sz="0" w:space="0" w:color="auto"/>
          <w:lang w:val="pt-BR" w:eastAsia="es-ES_tradnl"/>
        </w:rPr>
        <w:t xml:space="preserve"> </w:t>
      </w:r>
      <w:r w:rsidR="00D23D6A" w:rsidRPr="00337743">
        <w:rPr>
          <w:rFonts w:ascii="Cambria" w:hAnsi="Cambria"/>
          <w:sz w:val="20"/>
          <w:szCs w:val="20"/>
          <w:lang w:val="pt-BR"/>
        </w:rPr>
        <w:t>De ac</w:t>
      </w:r>
      <w:r w:rsidR="00B735B9" w:rsidRPr="00337743">
        <w:rPr>
          <w:rFonts w:ascii="Cambria" w:hAnsi="Cambria"/>
          <w:sz w:val="20"/>
          <w:szCs w:val="20"/>
          <w:lang w:val="pt-BR"/>
        </w:rPr>
        <w:t>o</w:t>
      </w:r>
      <w:r w:rsidR="00D23D6A" w:rsidRPr="00337743">
        <w:rPr>
          <w:rFonts w:ascii="Cambria" w:hAnsi="Cambria"/>
          <w:sz w:val="20"/>
          <w:szCs w:val="20"/>
          <w:lang w:val="pt-BR"/>
        </w:rPr>
        <w:t xml:space="preserve">rdo </w:t>
      </w:r>
      <w:r w:rsidR="00B735B9" w:rsidRPr="00337743">
        <w:rPr>
          <w:rFonts w:ascii="Cambria" w:hAnsi="Cambria"/>
          <w:sz w:val="20"/>
          <w:szCs w:val="20"/>
          <w:lang w:val="pt-BR"/>
        </w:rPr>
        <w:t>com</w:t>
      </w:r>
      <w:r w:rsidR="00D23D6A" w:rsidRPr="00337743">
        <w:rPr>
          <w:rFonts w:ascii="Cambria" w:hAnsi="Cambria"/>
          <w:sz w:val="20"/>
          <w:szCs w:val="20"/>
          <w:lang w:val="pt-BR"/>
        </w:rPr>
        <w:t xml:space="preserve"> investiga</w:t>
      </w:r>
      <w:r w:rsidR="00350E7E" w:rsidRPr="00337743">
        <w:rPr>
          <w:rFonts w:ascii="Cambria" w:hAnsi="Cambria"/>
          <w:sz w:val="20"/>
          <w:szCs w:val="20"/>
          <w:lang w:val="pt-BR"/>
        </w:rPr>
        <w:t>ções</w:t>
      </w:r>
      <w:r w:rsidR="00D23D6A" w:rsidRPr="00337743">
        <w:rPr>
          <w:rFonts w:ascii="Cambria" w:hAnsi="Cambria"/>
          <w:sz w:val="20"/>
          <w:szCs w:val="20"/>
          <w:lang w:val="pt-BR"/>
        </w:rPr>
        <w:t xml:space="preserve"> relativas</w:t>
      </w:r>
      <w:r w:rsidR="00F453EB" w:rsidRPr="00337743">
        <w:rPr>
          <w:rFonts w:ascii="Cambria" w:hAnsi="Cambria"/>
          <w:sz w:val="20"/>
          <w:szCs w:val="20"/>
          <w:lang w:val="pt-BR"/>
        </w:rPr>
        <w:t xml:space="preserve"> à </w:t>
      </w:r>
      <w:r w:rsidR="00D23D6A" w:rsidRPr="00337743">
        <w:rPr>
          <w:rFonts w:ascii="Cambria" w:hAnsi="Cambria"/>
          <w:sz w:val="20"/>
          <w:szCs w:val="20"/>
          <w:lang w:val="pt-BR"/>
        </w:rPr>
        <w:t>evolu</w:t>
      </w:r>
      <w:r w:rsidR="00350E7E" w:rsidRPr="00337743">
        <w:rPr>
          <w:rFonts w:ascii="Cambria" w:hAnsi="Cambria"/>
          <w:sz w:val="20"/>
          <w:szCs w:val="20"/>
          <w:lang w:val="pt-BR"/>
        </w:rPr>
        <w:t>ção</w:t>
      </w:r>
      <w:r w:rsidR="007707E3" w:rsidRPr="00337743">
        <w:rPr>
          <w:rFonts w:ascii="Cambria" w:hAnsi="Cambria"/>
          <w:sz w:val="20"/>
          <w:szCs w:val="20"/>
          <w:lang w:val="pt-BR"/>
        </w:rPr>
        <w:t xml:space="preserve"> da </w:t>
      </w:r>
      <w:r w:rsidR="00B80DA9" w:rsidRPr="00337743">
        <w:rPr>
          <w:rFonts w:ascii="Cambria" w:hAnsi="Cambria"/>
          <w:sz w:val="20"/>
          <w:szCs w:val="20"/>
          <w:lang w:val="pt-BR"/>
        </w:rPr>
        <w:t>violência</w:t>
      </w:r>
      <w:r w:rsidR="00091880" w:rsidRPr="00337743">
        <w:rPr>
          <w:rFonts w:ascii="Cambria" w:hAnsi="Cambria"/>
          <w:sz w:val="20"/>
          <w:szCs w:val="20"/>
          <w:lang w:val="pt-BR"/>
        </w:rPr>
        <w:t xml:space="preserve"> no </w:t>
      </w:r>
      <w:r w:rsidR="00D23D6A" w:rsidRPr="00337743">
        <w:rPr>
          <w:rFonts w:ascii="Cambria" w:hAnsi="Cambria"/>
          <w:sz w:val="20"/>
          <w:szCs w:val="20"/>
          <w:lang w:val="pt-BR"/>
        </w:rPr>
        <w:t>país,</w:t>
      </w:r>
      <w:r w:rsidR="007707E3" w:rsidRPr="00337743">
        <w:rPr>
          <w:rFonts w:ascii="Cambria" w:hAnsi="Cambria"/>
          <w:sz w:val="20"/>
          <w:szCs w:val="20"/>
          <w:lang w:val="pt-BR"/>
        </w:rPr>
        <w:t xml:space="preserve"> os </w:t>
      </w:r>
      <w:r w:rsidR="00D23D6A" w:rsidRPr="00337743">
        <w:rPr>
          <w:rFonts w:ascii="Cambria" w:hAnsi="Cambria"/>
          <w:sz w:val="20"/>
          <w:szCs w:val="20"/>
          <w:lang w:val="pt-BR"/>
        </w:rPr>
        <w:t>as</w:t>
      </w:r>
      <w:r w:rsidR="00B735B9" w:rsidRPr="00337743">
        <w:rPr>
          <w:rFonts w:ascii="Cambria" w:hAnsi="Cambria"/>
          <w:sz w:val="20"/>
          <w:szCs w:val="20"/>
          <w:lang w:val="pt-BR"/>
        </w:rPr>
        <w:t>sas</w:t>
      </w:r>
      <w:r w:rsidR="00D23D6A" w:rsidRPr="00337743">
        <w:rPr>
          <w:rFonts w:ascii="Cambria" w:hAnsi="Cambria"/>
          <w:sz w:val="20"/>
          <w:szCs w:val="20"/>
          <w:lang w:val="pt-BR"/>
        </w:rPr>
        <w:t xml:space="preserve">sinatos de </w:t>
      </w:r>
      <w:r w:rsidR="00DB5118" w:rsidRPr="00337743">
        <w:rPr>
          <w:rFonts w:ascii="Cambria" w:hAnsi="Cambria"/>
          <w:sz w:val="20"/>
          <w:szCs w:val="20"/>
          <w:lang w:val="pt-BR"/>
        </w:rPr>
        <w:t>mulher</w:t>
      </w:r>
      <w:r w:rsidR="00D23D6A" w:rsidRPr="00337743">
        <w:rPr>
          <w:rFonts w:ascii="Cambria" w:hAnsi="Cambria"/>
          <w:sz w:val="20"/>
          <w:szCs w:val="20"/>
          <w:lang w:val="pt-BR"/>
        </w:rPr>
        <w:t>es </w:t>
      </w:r>
      <w:r w:rsidR="00B80DA9" w:rsidRPr="00337743">
        <w:rPr>
          <w:rFonts w:ascii="Cambria" w:hAnsi="Cambria"/>
          <w:sz w:val="20"/>
          <w:szCs w:val="20"/>
          <w:lang w:val="pt-BR"/>
        </w:rPr>
        <w:t>aumentaram</w:t>
      </w:r>
      <w:r w:rsidR="00091880" w:rsidRPr="00337743">
        <w:rPr>
          <w:rFonts w:ascii="Cambria" w:hAnsi="Cambria"/>
          <w:sz w:val="20"/>
          <w:szCs w:val="20"/>
          <w:lang w:val="pt-BR"/>
        </w:rPr>
        <w:t xml:space="preserve"> </w:t>
      </w:r>
      <w:r w:rsidR="00D23D6A" w:rsidRPr="00337743">
        <w:rPr>
          <w:rFonts w:ascii="Cambria" w:hAnsi="Cambria"/>
          <w:sz w:val="20"/>
          <w:szCs w:val="20"/>
          <w:lang w:val="pt-BR"/>
        </w:rPr>
        <w:t>4,6% entre 2006</w:t>
      </w:r>
      <w:r w:rsidR="00506331" w:rsidRPr="00337743">
        <w:rPr>
          <w:rFonts w:ascii="Cambria" w:hAnsi="Cambria"/>
          <w:sz w:val="20"/>
          <w:szCs w:val="20"/>
          <w:lang w:val="pt-BR"/>
        </w:rPr>
        <w:t xml:space="preserve"> e </w:t>
      </w:r>
      <w:r w:rsidR="00D23D6A" w:rsidRPr="00337743">
        <w:rPr>
          <w:rFonts w:ascii="Cambria" w:hAnsi="Cambria"/>
          <w:sz w:val="20"/>
          <w:szCs w:val="20"/>
          <w:lang w:val="pt-BR"/>
        </w:rPr>
        <w:t>2016</w:t>
      </w:r>
      <w:r w:rsidR="00D23D6A" w:rsidRPr="00337743">
        <w:rPr>
          <w:rStyle w:val="FootnoteReference"/>
          <w:rFonts w:ascii="Cambria" w:hAnsi="Cambria"/>
          <w:sz w:val="20"/>
          <w:szCs w:val="20"/>
          <w:lang w:val="pt-BR"/>
        </w:rPr>
        <w:footnoteReference w:id="12"/>
      </w:r>
      <w:r w:rsidR="00D23D6A" w:rsidRPr="00337743">
        <w:rPr>
          <w:rFonts w:ascii="Cambria" w:hAnsi="Cambria"/>
          <w:sz w:val="20"/>
          <w:szCs w:val="20"/>
          <w:lang w:val="pt-BR"/>
        </w:rPr>
        <w:t xml:space="preserve">. De igual forma, </w:t>
      </w:r>
      <w:r w:rsidR="00B80DA9" w:rsidRPr="00337743">
        <w:rPr>
          <w:rFonts w:ascii="Cambria" w:hAnsi="Cambria"/>
          <w:sz w:val="20"/>
          <w:szCs w:val="20"/>
          <w:lang w:val="pt-BR"/>
        </w:rPr>
        <w:t>segundo</w:t>
      </w:r>
      <w:r w:rsidR="00091880" w:rsidRPr="00337743">
        <w:rPr>
          <w:rFonts w:ascii="Cambria" w:hAnsi="Cambria"/>
          <w:sz w:val="20"/>
          <w:szCs w:val="20"/>
          <w:lang w:val="pt-BR"/>
        </w:rPr>
        <w:t xml:space="preserve"> um </w:t>
      </w:r>
      <w:r w:rsidR="009B6B66" w:rsidRPr="00337743">
        <w:rPr>
          <w:rFonts w:ascii="Cambria" w:hAnsi="Cambria"/>
          <w:sz w:val="20"/>
          <w:szCs w:val="20"/>
          <w:lang w:val="pt-BR"/>
        </w:rPr>
        <w:t>levanta</w:t>
      </w:r>
      <w:r w:rsidR="00D60ABE" w:rsidRPr="00337743">
        <w:rPr>
          <w:rFonts w:ascii="Cambria" w:hAnsi="Cambria"/>
          <w:sz w:val="20"/>
          <w:szCs w:val="20"/>
          <w:lang w:val="pt-BR"/>
        </w:rPr>
        <w:t>mento</w:t>
      </w:r>
      <w:r w:rsidR="009B6B66" w:rsidRPr="00337743">
        <w:rPr>
          <w:rFonts w:ascii="Cambria" w:hAnsi="Cambria"/>
          <w:sz w:val="20"/>
          <w:szCs w:val="20"/>
          <w:lang w:val="pt-BR"/>
        </w:rPr>
        <w:t xml:space="preserve"> </w:t>
      </w:r>
      <w:r w:rsidR="00D23D6A" w:rsidRPr="00337743">
        <w:rPr>
          <w:rFonts w:ascii="Cambria" w:hAnsi="Cambria"/>
          <w:sz w:val="20"/>
          <w:szCs w:val="20"/>
          <w:lang w:val="pt-BR"/>
        </w:rPr>
        <w:t xml:space="preserve">realizado </w:t>
      </w:r>
      <w:r w:rsidR="009B6B66" w:rsidRPr="00337743">
        <w:rPr>
          <w:rFonts w:ascii="Cambria" w:hAnsi="Cambria"/>
          <w:sz w:val="20"/>
          <w:szCs w:val="20"/>
          <w:lang w:val="pt-BR"/>
        </w:rPr>
        <w:t>por</w:t>
      </w:r>
      <w:r w:rsidR="00091880" w:rsidRPr="00337743">
        <w:rPr>
          <w:rFonts w:ascii="Cambria" w:hAnsi="Cambria"/>
          <w:sz w:val="20"/>
          <w:szCs w:val="20"/>
          <w:lang w:val="pt-BR"/>
        </w:rPr>
        <w:t xml:space="preserve"> um </w:t>
      </w:r>
      <w:r w:rsidR="003439C5" w:rsidRPr="00337743">
        <w:rPr>
          <w:rFonts w:ascii="Cambria" w:hAnsi="Cambria"/>
          <w:sz w:val="20"/>
          <w:szCs w:val="20"/>
          <w:lang w:val="pt-BR"/>
        </w:rPr>
        <w:t>site de notícias</w:t>
      </w:r>
      <w:r w:rsidR="00115B5A" w:rsidRPr="00337743">
        <w:rPr>
          <w:rFonts w:ascii="Cambria" w:hAnsi="Cambria"/>
          <w:sz w:val="20"/>
          <w:szCs w:val="20"/>
          <w:lang w:val="pt-BR"/>
        </w:rPr>
        <w:t xml:space="preserve"> </w:t>
      </w:r>
      <w:r w:rsidR="009B6B66" w:rsidRPr="00337743">
        <w:rPr>
          <w:rFonts w:ascii="Cambria" w:hAnsi="Cambria"/>
          <w:sz w:val="20"/>
          <w:szCs w:val="20"/>
          <w:lang w:val="pt-BR"/>
        </w:rPr>
        <w:t>a partir</w:t>
      </w:r>
      <w:r w:rsidR="00E96C24" w:rsidRPr="00337743">
        <w:rPr>
          <w:rFonts w:ascii="Cambria" w:hAnsi="Cambria"/>
          <w:sz w:val="20"/>
          <w:szCs w:val="20"/>
          <w:lang w:val="pt-BR"/>
        </w:rPr>
        <w:t xml:space="preserve"> dos </w:t>
      </w:r>
      <w:r w:rsidR="00B80DA9" w:rsidRPr="00337743">
        <w:rPr>
          <w:rFonts w:ascii="Cambria" w:hAnsi="Cambria"/>
          <w:sz w:val="20"/>
          <w:szCs w:val="20"/>
          <w:lang w:val="pt-BR"/>
        </w:rPr>
        <w:t>dados</w:t>
      </w:r>
      <w:r w:rsidR="009B6B66" w:rsidRPr="00337743">
        <w:rPr>
          <w:rFonts w:ascii="Cambria" w:hAnsi="Cambria"/>
          <w:sz w:val="20"/>
          <w:szCs w:val="20"/>
          <w:lang w:val="pt-BR"/>
        </w:rPr>
        <w:t xml:space="preserve"> ofici</w:t>
      </w:r>
      <w:r w:rsidR="007707E3" w:rsidRPr="00337743">
        <w:rPr>
          <w:rFonts w:ascii="Cambria" w:hAnsi="Cambria"/>
          <w:sz w:val="20"/>
          <w:szCs w:val="20"/>
          <w:lang w:val="pt-BR"/>
        </w:rPr>
        <w:t>ais</w:t>
      </w:r>
      <w:r w:rsidR="00E96C24" w:rsidRPr="00337743">
        <w:rPr>
          <w:rFonts w:ascii="Cambria" w:hAnsi="Cambria"/>
          <w:sz w:val="20"/>
          <w:szCs w:val="20"/>
          <w:lang w:val="pt-BR"/>
        </w:rPr>
        <w:t xml:space="preserve"> dos </w:t>
      </w:r>
      <w:r w:rsidR="00B80DA9" w:rsidRPr="00337743">
        <w:rPr>
          <w:rFonts w:ascii="Cambria" w:hAnsi="Cambria"/>
          <w:sz w:val="20"/>
          <w:szCs w:val="20"/>
          <w:lang w:val="pt-BR"/>
        </w:rPr>
        <w:t>homicídios</w:t>
      </w:r>
      <w:r w:rsidR="00513361" w:rsidRPr="00337743">
        <w:rPr>
          <w:rFonts w:ascii="Cambria" w:hAnsi="Cambria"/>
          <w:sz w:val="20"/>
          <w:szCs w:val="20"/>
          <w:lang w:val="pt-BR"/>
        </w:rPr>
        <w:t xml:space="preserve"> nos </w:t>
      </w:r>
      <w:r w:rsidR="009B6B66" w:rsidRPr="00337743">
        <w:rPr>
          <w:rFonts w:ascii="Cambria" w:hAnsi="Cambria"/>
          <w:sz w:val="20"/>
          <w:szCs w:val="20"/>
          <w:lang w:val="pt-BR"/>
        </w:rPr>
        <w:t xml:space="preserve">estados, 4.473 </w:t>
      </w:r>
      <w:r w:rsidR="00DB5118" w:rsidRPr="00337743">
        <w:rPr>
          <w:rFonts w:ascii="Cambria" w:hAnsi="Cambria"/>
          <w:sz w:val="20"/>
          <w:szCs w:val="20"/>
          <w:lang w:val="pt-BR"/>
        </w:rPr>
        <w:t>mulher</w:t>
      </w:r>
      <w:r w:rsidR="009B6B66" w:rsidRPr="00337743">
        <w:rPr>
          <w:rFonts w:ascii="Cambria" w:hAnsi="Cambria"/>
          <w:sz w:val="20"/>
          <w:szCs w:val="20"/>
          <w:lang w:val="pt-BR"/>
        </w:rPr>
        <w:t>es f</w:t>
      </w:r>
      <w:r w:rsidR="00B80DA9" w:rsidRPr="00337743">
        <w:rPr>
          <w:rFonts w:ascii="Cambria" w:hAnsi="Cambria"/>
          <w:sz w:val="20"/>
          <w:szCs w:val="20"/>
          <w:lang w:val="pt-BR"/>
        </w:rPr>
        <w:t>oram</w:t>
      </w:r>
      <w:r w:rsidR="009B6B66" w:rsidRPr="00337743">
        <w:rPr>
          <w:rFonts w:ascii="Cambria" w:hAnsi="Cambria"/>
          <w:sz w:val="20"/>
          <w:szCs w:val="20"/>
          <w:lang w:val="pt-BR"/>
        </w:rPr>
        <w:t xml:space="preserve"> </w:t>
      </w:r>
      <w:r w:rsidR="00BA1D19" w:rsidRPr="00337743">
        <w:rPr>
          <w:rFonts w:ascii="Cambria" w:hAnsi="Cambria"/>
          <w:sz w:val="20"/>
          <w:szCs w:val="20"/>
          <w:lang w:val="pt-BR"/>
        </w:rPr>
        <w:t>assassina</w:t>
      </w:r>
      <w:r w:rsidR="00BA1833" w:rsidRPr="00337743">
        <w:rPr>
          <w:rFonts w:ascii="Cambria" w:hAnsi="Cambria"/>
          <w:sz w:val="20"/>
          <w:szCs w:val="20"/>
          <w:lang w:val="pt-BR"/>
        </w:rPr>
        <w:t>das</w:t>
      </w:r>
      <w:r w:rsidR="00091880" w:rsidRPr="00337743">
        <w:rPr>
          <w:rFonts w:ascii="Cambria" w:hAnsi="Cambria"/>
          <w:sz w:val="20"/>
          <w:szCs w:val="20"/>
          <w:lang w:val="pt-BR"/>
        </w:rPr>
        <w:t xml:space="preserve"> em </w:t>
      </w:r>
      <w:r w:rsidR="009B6B66" w:rsidRPr="00337743">
        <w:rPr>
          <w:rFonts w:ascii="Cambria" w:hAnsi="Cambria"/>
          <w:sz w:val="20"/>
          <w:szCs w:val="20"/>
          <w:lang w:val="pt-BR"/>
        </w:rPr>
        <w:t>2017</w:t>
      </w:r>
      <w:r w:rsidR="00BA1833" w:rsidRPr="00337743">
        <w:rPr>
          <w:rFonts w:ascii="Cambria" w:hAnsi="Cambria"/>
          <w:sz w:val="20"/>
          <w:szCs w:val="20"/>
          <w:lang w:val="pt-BR"/>
        </w:rPr>
        <w:t xml:space="preserve"> (</w:t>
      </w:r>
      <w:r w:rsidR="00B80DA9" w:rsidRPr="00337743">
        <w:rPr>
          <w:rFonts w:ascii="Cambria" w:hAnsi="Cambria"/>
          <w:sz w:val="20"/>
          <w:szCs w:val="20"/>
          <w:lang w:val="pt-BR"/>
        </w:rPr>
        <w:t>sendo</w:t>
      </w:r>
      <w:r w:rsidR="00BA1833" w:rsidRPr="00337743">
        <w:rPr>
          <w:rFonts w:ascii="Cambria" w:hAnsi="Cambria"/>
          <w:sz w:val="20"/>
          <w:szCs w:val="20"/>
          <w:lang w:val="pt-BR"/>
        </w:rPr>
        <w:t xml:space="preserve"> </w:t>
      </w:r>
      <w:r w:rsidR="00921675" w:rsidRPr="00337743">
        <w:rPr>
          <w:rFonts w:ascii="Cambria" w:hAnsi="Cambria"/>
          <w:sz w:val="20"/>
          <w:szCs w:val="20"/>
          <w:lang w:val="pt-BR"/>
        </w:rPr>
        <w:t>p</w:t>
      </w:r>
      <w:r w:rsidR="00B735B9" w:rsidRPr="00337743">
        <w:rPr>
          <w:rFonts w:ascii="Cambria" w:hAnsi="Cambria"/>
          <w:sz w:val="20"/>
          <w:szCs w:val="20"/>
          <w:lang w:val="pt-BR"/>
        </w:rPr>
        <w:t>e</w:t>
      </w:r>
      <w:r w:rsidR="00921675" w:rsidRPr="00337743">
        <w:rPr>
          <w:rFonts w:ascii="Cambria" w:hAnsi="Cambria"/>
          <w:sz w:val="20"/>
          <w:szCs w:val="20"/>
          <w:lang w:val="pt-BR"/>
        </w:rPr>
        <w:t xml:space="preserve">lo menos </w:t>
      </w:r>
      <w:r w:rsidR="00BA1833" w:rsidRPr="00337743">
        <w:rPr>
          <w:rFonts w:ascii="Cambria" w:hAnsi="Cambria"/>
          <w:sz w:val="20"/>
          <w:szCs w:val="20"/>
          <w:lang w:val="pt-BR"/>
        </w:rPr>
        <w:t xml:space="preserve">946 casos de </w:t>
      </w:r>
      <w:r w:rsidR="00BA1D19" w:rsidRPr="00337743">
        <w:rPr>
          <w:rFonts w:ascii="Cambria" w:hAnsi="Cambria"/>
          <w:sz w:val="20"/>
          <w:szCs w:val="20"/>
          <w:lang w:val="pt-BR"/>
        </w:rPr>
        <w:t>assassina</w:t>
      </w:r>
      <w:r w:rsidR="00921675" w:rsidRPr="00337743">
        <w:rPr>
          <w:rFonts w:ascii="Cambria" w:hAnsi="Cambria"/>
          <w:sz w:val="20"/>
          <w:szCs w:val="20"/>
          <w:lang w:val="pt-BR"/>
        </w:rPr>
        <w:t xml:space="preserve">to por </w:t>
      </w:r>
      <w:r w:rsidR="00B80DA9" w:rsidRPr="00337743">
        <w:rPr>
          <w:rFonts w:ascii="Cambria" w:hAnsi="Cambria"/>
          <w:sz w:val="20"/>
          <w:szCs w:val="20"/>
          <w:lang w:val="pt-BR"/>
        </w:rPr>
        <w:t>violência</w:t>
      </w:r>
      <w:r w:rsidR="00921675" w:rsidRPr="00337743">
        <w:rPr>
          <w:rFonts w:ascii="Cambria" w:hAnsi="Cambria"/>
          <w:sz w:val="20"/>
          <w:szCs w:val="20"/>
          <w:lang w:val="pt-BR"/>
        </w:rPr>
        <w:t xml:space="preserve"> de g</w:t>
      </w:r>
      <w:r w:rsidR="00B70F49" w:rsidRPr="00337743">
        <w:rPr>
          <w:rFonts w:ascii="Cambria" w:hAnsi="Cambria"/>
          <w:sz w:val="20"/>
          <w:szCs w:val="20"/>
          <w:lang w:val="pt-BR"/>
        </w:rPr>
        <w:t>ê</w:t>
      </w:r>
      <w:r w:rsidR="00921675" w:rsidRPr="00337743">
        <w:rPr>
          <w:rFonts w:ascii="Cambria" w:hAnsi="Cambria"/>
          <w:sz w:val="20"/>
          <w:szCs w:val="20"/>
          <w:lang w:val="pt-BR"/>
        </w:rPr>
        <w:t>nero</w:t>
      </w:r>
      <w:r w:rsidR="00BA1833" w:rsidRPr="00337743">
        <w:rPr>
          <w:rFonts w:ascii="Cambria" w:hAnsi="Cambria"/>
          <w:sz w:val="20"/>
          <w:szCs w:val="20"/>
          <w:lang w:val="pt-BR"/>
        </w:rPr>
        <w:t>)</w:t>
      </w:r>
      <w:r w:rsidR="00BA1833" w:rsidRPr="00337743">
        <w:rPr>
          <w:vertAlign w:val="superscript"/>
          <w:lang w:val="pt-BR"/>
        </w:rPr>
        <w:footnoteReference w:id="13"/>
      </w:r>
      <w:r w:rsidR="00EA3918" w:rsidRPr="00337743">
        <w:rPr>
          <w:rFonts w:ascii="Cambria" w:hAnsi="Cambria"/>
          <w:sz w:val="20"/>
          <w:szCs w:val="20"/>
          <w:lang w:val="pt-BR"/>
        </w:rPr>
        <w:t>.</w:t>
      </w:r>
      <w:r w:rsidR="00091880" w:rsidRPr="00337743">
        <w:rPr>
          <w:rFonts w:ascii="Cambria" w:hAnsi="Cambria"/>
          <w:sz w:val="20"/>
          <w:szCs w:val="20"/>
          <w:lang w:val="pt-BR"/>
        </w:rPr>
        <w:t xml:space="preserve"> </w:t>
      </w:r>
      <w:r w:rsidR="003439C5" w:rsidRPr="00337743">
        <w:rPr>
          <w:rFonts w:ascii="Cambria" w:hAnsi="Cambria"/>
          <w:sz w:val="20"/>
          <w:szCs w:val="20"/>
          <w:lang w:val="pt-BR"/>
        </w:rPr>
        <w:t>E</w:t>
      </w:r>
      <w:r w:rsidR="00091880" w:rsidRPr="00337743">
        <w:rPr>
          <w:rFonts w:ascii="Cambria" w:hAnsi="Cambria"/>
          <w:sz w:val="20"/>
          <w:szCs w:val="20"/>
          <w:lang w:val="pt-BR"/>
        </w:rPr>
        <w:t xml:space="preserve">m </w:t>
      </w:r>
      <w:r w:rsidR="00D23D6A" w:rsidRPr="00337743">
        <w:rPr>
          <w:rFonts w:ascii="Cambria" w:hAnsi="Cambria"/>
          <w:sz w:val="20"/>
          <w:szCs w:val="20"/>
          <w:lang w:val="pt-BR"/>
        </w:rPr>
        <w:t>v</w:t>
      </w:r>
      <w:r w:rsidR="00B70F49" w:rsidRPr="00337743">
        <w:rPr>
          <w:rFonts w:ascii="Cambria" w:hAnsi="Cambria"/>
          <w:sz w:val="20"/>
          <w:szCs w:val="20"/>
          <w:lang w:val="pt-BR"/>
        </w:rPr>
        <w:t>á</w:t>
      </w:r>
      <w:r w:rsidR="00D23D6A" w:rsidRPr="00337743">
        <w:rPr>
          <w:rFonts w:ascii="Cambria" w:hAnsi="Cambria"/>
          <w:sz w:val="20"/>
          <w:szCs w:val="20"/>
          <w:lang w:val="pt-BR"/>
        </w:rPr>
        <w:t>rias ocasi</w:t>
      </w:r>
      <w:r w:rsidR="00B70F49" w:rsidRPr="00337743">
        <w:rPr>
          <w:rFonts w:ascii="Cambria" w:hAnsi="Cambria"/>
          <w:sz w:val="20"/>
          <w:szCs w:val="20"/>
          <w:lang w:val="pt-BR"/>
        </w:rPr>
        <w:t>õ</w:t>
      </w:r>
      <w:r w:rsidR="00D23D6A" w:rsidRPr="00337743">
        <w:rPr>
          <w:rFonts w:ascii="Cambria" w:hAnsi="Cambria"/>
          <w:sz w:val="20"/>
          <w:szCs w:val="20"/>
          <w:lang w:val="pt-BR"/>
        </w:rPr>
        <w:t>es,</w:t>
      </w:r>
      <w:r w:rsidR="00506331" w:rsidRPr="00337743">
        <w:rPr>
          <w:rFonts w:ascii="Cambria" w:hAnsi="Cambria"/>
          <w:sz w:val="20"/>
          <w:szCs w:val="20"/>
          <w:lang w:val="pt-BR"/>
        </w:rPr>
        <w:t xml:space="preserve"> a </w:t>
      </w:r>
      <w:r w:rsidR="006018D3">
        <w:rPr>
          <w:rFonts w:ascii="Cambria" w:hAnsi="Cambria"/>
          <w:sz w:val="20"/>
          <w:szCs w:val="20"/>
          <w:lang w:val="pt-BR"/>
        </w:rPr>
        <w:t>CIDH</w:t>
      </w:r>
      <w:r w:rsidR="00D23D6A" w:rsidRPr="00337743">
        <w:rPr>
          <w:rFonts w:ascii="Cambria" w:hAnsi="Cambria"/>
          <w:sz w:val="20"/>
          <w:szCs w:val="20"/>
          <w:lang w:val="pt-BR"/>
        </w:rPr>
        <w:t xml:space="preserve"> expres</w:t>
      </w:r>
      <w:r w:rsidR="003439C5" w:rsidRPr="00337743">
        <w:rPr>
          <w:rFonts w:ascii="Cambria" w:hAnsi="Cambria"/>
          <w:sz w:val="20"/>
          <w:szCs w:val="20"/>
          <w:lang w:val="pt-BR"/>
        </w:rPr>
        <w:t>sou</w:t>
      </w:r>
      <w:r w:rsidR="00D23D6A" w:rsidRPr="00337743">
        <w:rPr>
          <w:rFonts w:ascii="Cambria" w:hAnsi="Cambria"/>
          <w:sz w:val="20"/>
          <w:szCs w:val="20"/>
          <w:lang w:val="pt-BR"/>
        </w:rPr>
        <w:t xml:space="preserve"> </w:t>
      </w:r>
      <w:r w:rsidR="00B80DA9" w:rsidRPr="00337743">
        <w:rPr>
          <w:rFonts w:ascii="Cambria" w:hAnsi="Cambria"/>
          <w:sz w:val="20"/>
          <w:szCs w:val="20"/>
          <w:lang w:val="pt-BR"/>
        </w:rPr>
        <w:t>sua</w:t>
      </w:r>
      <w:r w:rsidR="00D23D6A" w:rsidRPr="00337743">
        <w:rPr>
          <w:rFonts w:ascii="Cambria" w:hAnsi="Cambria"/>
          <w:sz w:val="20"/>
          <w:szCs w:val="20"/>
          <w:lang w:val="pt-BR"/>
        </w:rPr>
        <w:t xml:space="preserve"> preocupa</w:t>
      </w:r>
      <w:r w:rsidR="00350E7E" w:rsidRPr="00337743">
        <w:rPr>
          <w:rFonts w:ascii="Cambria" w:hAnsi="Cambria"/>
          <w:sz w:val="20"/>
          <w:szCs w:val="20"/>
          <w:lang w:val="pt-BR"/>
        </w:rPr>
        <w:t>ção</w:t>
      </w:r>
      <w:r w:rsidR="00D23D6A" w:rsidRPr="00337743">
        <w:rPr>
          <w:rFonts w:ascii="Cambria" w:hAnsi="Cambria"/>
          <w:sz w:val="20"/>
          <w:szCs w:val="20"/>
          <w:lang w:val="pt-BR"/>
        </w:rPr>
        <w:t xml:space="preserve"> </w:t>
      </w:r>
      <w:r w:rsidR="00B70F49" w:rsidRPr="00337743">
        <w:rPr>
          <w:rFonts w:ascii="Cambria" w:hAnsi="Cambria"/>
          <w:sz w:val="20"/>
          <w:szCs w:val="20"/>
          <w:lang w:val="pt-BR"/>
        </w:rPr>
        <w:t>com</w:t>
      </w:r>
      <w:r w:rsidR="00506331" w:rsidRPr="00337743">
        <w:rPr>
          <w:rFonts w:ascii="Cambria" w:hAnsi="Cambria"/>
          <w:sz w:val="20"/>
          <w:szCs w:val="20"/>
          <w:lang w:val="pt-BR"/>
        </w:rPr>
        <w:t xml:space="preserve"> a </w:t>
      </w:r>
      <w:r w:rsidR="00B80DA9" w:rsidRPr="00337743">
        <w:rPr>
          <w:rFonts w:ascii="Cambria" w:hAnsi="Cambria"/>
          <w:sz w:val="20"/>
          <w:szCs w:val="20"/>
          <w:lang w:val="pt-BR"/>
        </w:rPr>
        <w:t>prevalência</w:t>
      </w:r>
      <w:r w:rsidR="00D23D6A" w:rsidRPr="00337743">
        <w:rPr>
          <w:rFonts w:ascii="Cambria" w:hAnsi="Cambria"/>
          <w:sz w:val="20"/>
          <w:szCs w:val="20"/>
          <w:lang w:val="pt-BR"/>
        </w:rPr>
        <w:t xml:space="preserve"> de as</w:t>
      </w:r>
      <w:r w:rsidR="003439C5" w:rsidRPr="00337743">
        <w:rPr>
          <w:rFonts w:ascii="Cambria" w:hAnsi="Cambria"/>
          <w:sz w:val="20"/>
          <w:szCs w:val="20"/>
          <w:lang w:val="pt-BR"/>
        </w:rPr>
        <w:t>sas</w:t>
      </w:r>
      <w:r w:rsidR="00D23D6A" w:rsidRPr="00337743">
        <w:rPr>
          <w:rFonts w:ascii="Cambria" w:hAnsi="Cambria"/>
          <w:sz w:val="20"/>
          <w:szCs w:val="20"/>
          <w:lang w:val="pt-BR"/>
        </w:rPr>
        <w:t>sinatos</w:t>
      </w:r>
      <w:r w:rsidR="00506331" w:rsidRPr="00337743">
        <w:rPr>
          <w:rFonts w:ascii="Cambria" w:hAnsi="Cambria"/>
          <w:sz w:val="20"/>
          <w:szCs w:val="20"/>
          <w:lang w:val="pt-BR"/>
        </w:rPr>
        <w:t xml:space="preserve"> e </w:t>
      </w:r>
      <w:r w:rsidR="00D23D6A" w:rsidRPr="00337743">
        <w:rPr>
          <w:rFonts w:ascii="Cambria" w:hAnsi="Cambria"/>
          <w:sz w:val="20"/>
          <w:szCs w:val="20"/>
          <w:lang w:val="pt-BR"/>
        </w:rPr>
        <w:t xml:space="preserve">tentativas de </w:t>
      </w:r>
      <w:r w:rsidR="00BA1D19" w:rsidRPr="00337743">
        <w:rPr>
          <w:rFonts w:ascii="Cambria" w:hAnsi="Cambria"/>
          <w:sz w:val="20"/>
          <w:szCs w:val="20"/>
          <w:lang w:val="pt-BR"/>
        </w:rPr>
        <w:t>assassina</w:t>
      </w:r>
      <w:r w:rsidR="00D23D6A" w:rsidRPr="00337743">
        <w:rPr>
          <w:rFonts w:ascii="Cambria" w:hAnsi="Cambria"/>
          <w:sz w:val="20"/>
          <w:szCs w:val="20"/>
          <w:lang w:val="pt-BR"/>
        </w:rPr>
        <w:t xml:space="preserve">to de </w:t>
      </w:r>
      <w:r w:rsidR="00DB5118" w:rsidRPr="00337743">
        <w:rPr>
          <w:rFonts w:ascii="Cambria" w:hAnsi="Cambria"/>
          <w:sz w:val="20"/>
          <w:szCs w:val="20"/>
          <w:lang w:val="pt-BR"/>
        </w:rPr>
        <w:t>mulher</w:t>
      </w:r>
      <w:r w:rsidR="00D23D6A" w:rsidRPr="00337743">
        <w:rPr>
          <w:rFonts w:ascii="Cambria" w:hAnsi="Cambria"/>
          <w:sz w:val="20"/>
          <w:szCs w:val="20"/>
          <w:lang w:val="pt-BR"/>
        </w:rPr>
        <w:t>es</w:t>
      </w:r>
      <w:r w:rsidR="00091880" w:rsidRPr="00337743">
        <w:rPr>
          <w:rFonts w:ascii="Cambria" w:hAnsi="Cambria"/>
          <w:sz w:val="20"/>
          <w:szCs w:val="20"/>
          <w:lang w:val="pt-BR"/>
        </w:rPr>
        <w:t xml:space="preserve"> </w:t>
      </w:r>
      <w:r w:rsidR="00DD281A" w:rsidRPr="00337743">
        <w:rPr>
          <w:rFonts w:ascii="Cambria" w:hAnsi="Cambria"/>
          <w:sz w:val="20"/>
          <w:szCs w:val="20"/>
          <w:lang w:val="pt-BR"/>
        </w:rPr>
        <w:t>no</w:t>
      </w:r>
      <w:r w:rsidR="00091880" w:rsidRPr="00337743">
        <w:rPr>
          <w:rFonts w:ascii="Cambria" w:hAnsi="Cambria"/>
          <w:sz w:val="20"/>
          <w:szCs w:val="20"/>
          <w:lang w:val="pt-BR"/>
        </w:rPr>
        <w:t xml:space="preserve"> </w:t>
      </w:r>
      <w:r w:rsidR="00D23D6A" w:rsidRPr="00337743">
        <w:rPr>
          <w:rFonts w:ascii="Cambria" w:hAnsi="Cambria"/>
          <w:sz w:val="20"/>
          <w:szCs w:val="20"/>
          <w:lang w:val="pt-BR"/>
        </w:rPr>
        <w:t>Brasil</w:t>
      </w:r>
      <w:r w:rsidR="00D23D6A" w:rsidRPr="00337743">
        <w:rPr>
          <w:vertAlign w:val="superscript"/>
          <w:lang w:val="pt-BR"/>
        </w:rPr>
        <w:footnoteReference w:id="14"/>
      </w:r>
      <w:r w:rsidR="00D23D6A" w:rsidRPr="00337743">
        <w:rPr>
          <w:rFonts w:ascii="Cambria" w:hAnsi="Cambria"/>
          <w:sz w:val="20"/>
          <w:szCs w:val="20"/>
          <w:lang w:val="pt-BR"/>
        </w:rPr>
        <w:t xml:space="preserve">.  </w:t>
      </w:r>
    </w:p>
    <w:p w14:paraId="22EDFF94" w14:textId="77777777" w:rsidR="00CF33D8" w:rsidRPr="00337743" w:rsidRDefault="00CF33D8" w:rsidP="000D6F2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Cambria" w:hAnsi="Cambria"/>
          <w:sz w:val="20"/>
          <w:szCs w:val="20"/>
          <w:lang w:val="pt-BR"/>
        </w:rPr>
      </w:pPr>
    </w:p>
    <w:p w14:paraId="1F729EEB" w14:textId="77777777" w:rsidR="007B1365" w:rsidRPr="00337743" w:rsidRDefault="003439C5" w:rsidP="003C079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N</w:t>
      </w:r>
      <w:r w:rsidR="007707E3" w:rsidRPr="00337743">
        <w:rPr>
          <w:rFonts w:ascii="Cambria" w:hAnsi="Cambria"/>
          <w:sz w:val="20"/>
          <w:szCs w:val="20"/>
          <w:lang w:val="pt-BR"/>
        </w:rPr>
        <w:t xml:space="preserve">as </w:t>
      </w:r>
      <w:r w:rsidR="003C0795" w:rsidRPr="00337743">
        <w:rPr>
          <w:rFonts w:ascii="Cambria" w:hAnsi="Cambria"/>
          <w:sz w:val="20"/>
          <w:szCs w:val="20"/>
          <w:lang w:val="pt-BR"/>
        </w:rPr>
        <w:t>circunst</w:t>
      </w:r>
      <w:r w:rsidR="00B70F49" w:rsidRPr="00337743">
        <w:rPr>
          <w:rFonts w:ascii="Cambria" w:hAnsi="Cambria"/>
          <w:sz w:val="20"/>
          <w:szCs w:val="20"/>
          <w:lang w:val="pt-BR"/>
        </w:rPr>
        <w:t>â</w:t>
      </w:r>
      <w:r w:rsidR="003C0795" w:rsidRPr="00337743">
        <w:rPr>
          <w:rFonts w:ascii="Cambria" w:hAnsi="Cambria"/>
          <w:sz w:val="20"/>
          <w:szCs w:val="20"/>
          <w:lang w:val="pt-BR"/>
        </w:rPr>
        <w:t>ncias específicas</w:t>
      </w:r>
      <w:r w:rsidR="007707E3" w:rsidRPr="00337743">
        <w:rPr>
          <w:rFonts w:ascii="Cambria" w:hAnsi="Cambria"/>
          <w:sz w:val="20"/>
          <w:szCs w:val="20"/>
          <w:lang w:val="pt-BR"/>
        </w:rPr>
        <w:t xml:space="preserve"> da </w:t>
      </w:r>
      <w:r w:rsidR="00DB5118" w:rsidRPr="00337743">
        <w:rPr>
          <w:rFonts w:ascii="Cambria" w:hAnsi="Cambria"/>
          <w:sz w:val="20"/>
          <w:szCs w:val="20"/>
          <w:lang w:val="pt-BR"/>
        </w:rPr>
        <w:t>im</w:t>
      </w:r>
      <w:r w:rsidR="003C0795" w:rsidRPr="00337743">
        <w:rPr>
          <w:rFonts w:ascii="Cambria" w:hAnsi="Cambria"/>
          <w:sz w:val="20"/>
          <w:szCs w:val="20"/>
          <w:lang w:val="pt-BR"/>
        </w:rPr>
        <w:t>uni</w:t>
      </w:r>
      <w:r w:rsidR="00350E7E" w:rsidRPr="00337743">
        <w:rPr>
          <w:rFonts w:ascii="Cambria" w:hAnsi="Cambria"/>
          <w:sz w:val="20"/>
          <w:szCs w:val="20"/>
          <w:lang w:val="pt-BR"/>
        </w:rPr>
        <w:t xml:space="preserve">dade </w:t>
      </w:r>
      <w:r w:rsidR="003C0795" w:rsidRPr="00337743">
        <w:rPr>
          <w:rFonts w:ascii="Cambria" w:hAnsi="Cambria"/>
          <w:sz w:val="20"/>
          <w:szCs w:val="20"/>
          <w:lang w:val="pt-BR"/>
        </w:rPr>
        <w:t>parlamentar vigente</w:t>
      </w:r>
      <w:r w:rsidR="00091880" w:rsidRPr="00337743">
        <w:rPr>
          <w:rFonts w:ascii="Cambria" w:hAnsi="Cambria"/>
          <w:sz w:val="20"/>
          <w:szCs w:val="20"/>
          <w:lang w:val="pt-BR"/>
        </w:rPr>
        <w:t xml:space="preserve"> na </w:t>
      </w:r>
      <w:r w:rsidR="003C0795" w:rsidRPr="00337743">
        <w:rPr>
          <w:rFonts w:ascii="Cambria" w:hAnsi="Cambria"/>
          <w:sz w:val="20"/>
          <w:szCs w:val="20"/>
          <w:lang w:val="pt-BR"/>
        </w:rPr>
        <w:t>época</w:t>
      </w:r>
      <w:r w:rsidR="007707E3" w:rsidRPr="00337743">
        <w:rPr>
          <w:rFonts w:ascii="Cambria" w:hAnsi="Cambria"/>
          <w:sz w:val="20"/>
          <w:szCs w:val="20"/>
          <w:lang w:val="pt-BR"/>
        </w:rPr>
        <w:t xml:space="preserve"> da </w:t>
      </w:r>
      <w:r w:rsidR="009D71DA" w:rsidRPr="00337743">
        <w:rPr>
          <w:rFonts w:ascii="Cambria" w:hAnsi="Cambria"/>
          <w:sz w:val="20"/>
          <w:szCs w:val="20"/>
          <w:lang w:val="pt-BR"/>
        </w:rPr>
        <w:t>mort</w:t>
      </w:r>
      <w:r w:rsidR="003C0795" w:rsidRPr="00337743">
        <w:rPr>
          <w:rFonts w:ascii="Cambria" w:hAnsi="Cambria"/>
          <w:sz w:val="20"/>
          <w:szCs w:val="20"/>
          <w:lang w:val="pt-BR"/>
        </w:rPr>
        <w:t>e de Márcia,</w:t>
      </w:r>
      <w:r w:rsidR="00091880" w:rsidRPr="00337743">
        <w:rPr>
          <w:rFonts w:ascii="Cambria" w:hAnsi="Cambria"/>
          <w:sz w:val="20"/>
          <w:szCs w:val="20"/>
          <w:lang w:val="pt-BR"/>
        </w:rPr>
        <w:t xml:space="preserve"> uma </w:t>
      </w:r>
      <w:r w:rsidR="003C0795" w:rsidRPr="00337743">
        <w:rPr>
          <w:rFonts w:ascii="Cambria" w:hAnsi="Cambria"/>
          <w:sz w:val="20"/>
          <w:szCs w:val="20"/>
          <w:lang w:val="pt-BR"/>
        </w:rPr>
        <w:t>investiga</w:t>
      </w:r>
      <w:r w:rsidR="00350E7E" w:rsidRPr="00337743">
        <w:rPr>
          <w:rFonts w:ascii="Cambria" w:hAnsi="Cambria"/>
          <w:sz w:val="20"/>
          <w:szCs w:val="20"/>
          <w:lang w:val="pt-BR"/>
        </w:rPr>
        <w:t>ção</w:t>
      </w:r>
      <w:r w:rsidR="003C0795" w:rsidRPr="00337743">
        <w:rPr>
          <w:rFonts w:ascii="Cambria" w:hAnsi="Cambria"/>
          <w:sz w:val="20"/>
          <w:szCs w:val="20"/>
          <w:lang w:val="pt-BR"/>
        </w:rPr>
        <w:t xml:space="preserve"> </w:t>
      </w:r>
      <w:r w:rsidRPr="00337743">
        <w:rPr>
          <w:rFonts w:ascii="Cambria" w:hAnsi="Cambria"/>
          <w:sz w:val="20"/>
          <w:szCs w:val="20"/>
          <w:lang w:val="pt-BR"/>
        </w:rPr>
        <w:t xml:space="preserve">feita </w:t>
      </w:r>
      <w:r w:rsidR="00091880" w:rsidRPr="00337743">
        <w:rPr>
          <w:rFonts w:ascii="Cambria" w:hAnsi="Cambria"/>
          <w:sz w:val="20"/>
          <w:szCs w:val="20"/>
          <w:lang w:val="pt-BR"/>
        </w:rPr>
        <w:t xml:space="preserve">pelo </w:t>
      </w:r>
      <w:r w:rsidR="00B80DA9" w:rsidRPr="00337743">
        <w:rPr>
          <w:rFonts w:ascii="Cambria" w:hAnsi="Cambria"/>
          <w:sz w:val="20"/>
          <w:szCs w:val="20"/>
          <w:lang w:val="pt-BR"/>
        </w:rPr>
        <w:t>então</w:t>
      </w:r>
      <w:r w:rsidRPr="00337743">
        <w:rPr>
          <w:rFonts w:ascii="Cambria" w:hAnsi="Cambria"/>
          <w:sz w:val="20"/>
          <w:szCs w:val="20"/>
          <w:lang w:val="pt-BR"/>
        </w:rPr>
        <w:t xml:space="preserve"> </w:t>
      </w:r>
      <w:r w:rsidR="003C0795" w:rsidRPr="00337743">
        <w:rPr>
          <w:rFonts w:ascii="Cambria" w:hAnsi="Cambria"/>
          <w:sz w:val="20"/>
          <w:szCs w:val="20"/>
          <w:lang w:val="pt-BR"/>
        </w:rPr>
        <w:t>presidente</w:t>
      </w:r>
      <w:r w:rsidR="007707E3" w:rsidRPr="00337743">
        <w:rPr>
          <w:rFonts w:ascii="Cambria" w:hAnsi="Cambria"/>
          <w:sz w:val="20"/>
          <w:szCs w:val="20"/>
          <w:lang w:val="pt-BR"/>
        </w:rPr>
        <w:t xml:space="preserve"> da </w:t>
      </w:r>
      <w:r w:rsidR="00350E7E" w:rsidRPr="00337743">
        <w:rPr>
          <w:rFonts w:ascii="Cambria" w:hAnsi="Cambria"/>
          <w:sz w:val="20"/>
          <w:szCs w:val="20"/>
          <w:lang w:val="pt-BR"/>
        </w:rPr>
        <w:t>Comissão</w:t>
      </w:r>
      <w:r w:rsidR="003C0795" w:rsidRPr="00337743">
        <w:rPr>
          <w:rFonts w:ascii="Cambria" w:hAnsi="Cambria"/>
          <w:sz w:val="20"/>
          <w:szCs w:val="20"/>
          <w:lang w:val="pt-BR"/>
        </w:rPr>
        <w:t xml:space="preserve"> de </w:t>
      </w:r>
      <w:r w:rsidR="00350E7E" w:rsidRPr="00337743">
        <w:rPr>
          <w:rFonts w:ascii="Cambria" w:hAnsi="Cambria"/>
          <w:sz w:val="20"/>
          <w:szCs w:val="20"/>
          <w:lang w:val="pt-BR"/>
        </w:rPr>
        <w:t>Direito</w:t>
      </w:r>
      <w:r w:rsidR="003C0795" w:rsidRPr="00337743">
        <w:rPr>
          <w:rFonts w:ascii="Cambria" w:hAnsi="Cambria"/>
          <w:sz w:val="20"/>
          <w:szCs w:val="20"/>
          <w:lang w:val="pt-BR"/>
        </w:rPr>
        <w:t>s Humanos</w:t>
      </w:r>
      <w:r w:rsidR="007707E3" w:rsidRPr="00337743">
        <w:rPr>
          <w:rFonts w:ascii="Cambria" w:hAnsi="Cambria"/>
          <w:sz w:val="20"/>
          <w:szCs w:val="20"/>
          <w:lang w:val="pt-BR"/>
        </w:rPr>
        <w:t xml:space="preserve"> da </w:t>
      </w:r>
      <w:r w:rsidR="00B80DA9" w:rsidRPr="00337743">
        <w:rPr>
          <w:rFonts w:ascii="Cambria" w:hAnsi="Cambria"/>
          <w:sz w:val="20"/>
          <w:szCs w:val="20"/>
          <w:lang w:val="pt-BR"/>
        </w:rPr>
        <w:t>Câmara</w:t>
      </w:r>
      <w:r w:rsidR="003C0795" w:rsidRPr="00337743">
        <w:rPr>
          <w:rFonts w:ascii="Cambria" w:hAnsi="Cambria"/>
          <w:sz w:val="20"/>
          <w:szCs w:val="20"/>
          <w:lang w:val="pt-BR"/>
        </w:rPr>
        <w:t xml:space="preserve"> de </w:t>
      </w:r>
      <w:r w:rsidR="00114C2E" w:rsidRPr="00337743">
        <w:rPr>
          <w:rFonts w:ascii="Cambria" w:hAnsi="Cambria"/>
          <w:sz w:val="20"/>
          <w:szCs w:val="20"/>
          <w:lang w:val="pt-BR"/>
        </w:rPr>
        <w:t>Deputado</w:t>
      </w:r>
      <w:r w:rsidR="003C0795" w:rsidRPr="00337743">
        <w:rPr>
          <w:rFonts w:ascii="Cambria" w:hAnsi="Cambria"/>
          <w:sz w:val="20"/>
          <w:szCs w:val="20"/>
          <w:lang w:val="pt-BR"/>
        </w:rPr>
        <w:t>s</w:t>
      </w:r>
      <w:r w:rsidR="007707E3" w:rsidRPr="00337743">
        <w:rPr>
          <w:rFonts w:ascii="Cambria" w:hAnsi="Cambria"/>
          <w:sz w:val="20"/>
          <w:szCs w:val="20"/>
          <w:lang w:val="pt-BR"/>
        </w:rPr>
        <w:t xml:space="preserve"> do </w:t>
      </w:r>
      <w:r w:rsidR="00B80DA9" w:rsidRPr="00337743">
        <w:rPr>
          <w:rFonts w:ascii="Cambria" w:hAnsi="Cambria"/>
          <w:sz w:val="20"/>
          <w:szCs w:val="20"/>
          <w:lang w:val="pt-BR"/>
        </w:rPr>
        <w:t>Congresso</w:t>
      </w:r>
      <w:r w:rsidR="003C0795" w:rsidRPr="00337743">
        <w:rPr>
          <w:rFonts w:ascii="Cambria" w:hAnsi="Cambria"/>
          <w:sz w:val="20"/>
          <w:szCs w:val="20"/>
          <w:lang w:val="pt-BR"/>
        </w:rPr>
        <w:t xml:space="preserve"> Nacional </w:t>
      </w:r>
      <w:r w:rsidR="00B1530D" w:rsidRPr="00337743">
        <w:rPr>
          <w:rFonts w:ascii="Cambria" w:hAnsi="Cambria"/>
          <w:sz w:val="20"/>
          <w:szCs w:val="20"/>
          <w:lang w:val="pt-BR"/>
        </w:rPr>
        <w:t>brasileir</w:t>
      </w:r>
      <w:r w:rsidR="003C0795" w:rsidRPr="00337743">
        <w:rPr>
          <w:rFonts w:ascii="Cambria" w:hAnsi="Cambria"/>
          <w:sz w:val="20"/>
          <w:szCs w:val="20"/>
          <w:lang w:val="pt-BR"/>
        </w:rPr>
        <w:t>o conclu</w:t>
      </w:r>
      <w:r w:rsidRPr="00337743">
        <w:rPr>
          <w:rFonts w:ascii="Cambria" w:hAnsi="Cambria"/>
          <w:sz w:val="20"/>
          <w:szCs w:val="20"/>
          <w:lang w:val="pt-BR"/>
        </w:rPr>
        <w:t>iu</w:t>
      </w:r>
      <w:r w:rsidR="003C0795" w:rsidRPr="00337743">
        <w:rPr>
          <w:rFonts w:ascii="Cambria" w:hAnsi="Cambria"/>
          <w:sz w:val="20"/>
          <w:szCs w:val="20"/>
          <w:lang w:val="pt-BR"/>
        </w:rPr>
        <w:t xml:space="preserve"> que entre 1995</w:t>
      </w:r>
      <w:r w:rsidR="00506331" w:rsidRPr="00337743">
        <w:rPr>
          <w:rFonts w:ascii="Cambria" w:hAnsi="Cambria"/>
          <w:sz w:val="20"/>
          <w:szCs w:val="20"/>
          <w:lang w:val="pt-BR"/>
        </w:rPr>
        <w:t xml:space="preserve"> e </w:t>
      </w:r>
      <w:r w:rsidR="003C0795" w:rsidRPr="00337743">
        <w:rPr>
          <w:rFonts w:ascii="Cambria" w:hAnsi="Cambria"/>
          <w:sz w:val="20"/>
          <w:szCs w:val="20"/>
          <w:lang w:val="pt-BR"/>
        </w:rPr>
        <w:t>1998 f</w:t>
      </w:r>
      <w:r w:rsidRPr="00337743">
        <w:rPr>
          <w:rFonts w:ascii="Cambria" w:hAnsi="Cambria"/>
          <w:sz w:val="20"/>
          <w:szCs w:val="20"/>
          <w:lang w:val="pt-BR"/>
        </w:rPr>
        <w:t>oram</w:t>
      </w:r>
      <w:r w:rsidR="003C0795" w:rsidRPr="00337743">
        <w:rPr>
          <w:rFonts w:ascii="Cambria" w:hAnsi="Cambria"/>
          <w:sz w:val="20"/>
          <w:szCs w:val="20"/>
          <w:lang w:val="pt-BR"/>
        </w:rPr>
        <w:t xml:space="preserve"> recusad</w:t>
      </w:r>
      <w:r w:rsidR="00B70F49" w:rsidRPr="00337743">
        <w:rPr>
          <w:rFonts w:ascii="Cambria" w:hAnsi="Cambria"/>
          <w:sz w:val="20"/>
          <w:szCs w:val="20"/>
          <w:lang w:val="pt-BR"/>
        </w:rPr>
        <w:t>o</w:t>
      </w:r>
      <w:r w:rsidR="003C0795" w:rsidRPr="00337743">
        <w:rPr>
          <w:rFonts w:ascii="Cambria" w:hAnsi="Cambria"/>
          <w:sz w:val="20"/>
          <w:szCs w:val="20"/>
          <w:lang w:val="pt-BR"/>
        </w:rPr>
        <w:t>s 109 de</w:t>
      </w:r>
      <w:r w:rsidR="00091880" w:rsidRPr="00337743">
        <w:rPr>
          <w:rFonts w:ascii="Cambria" w:hAnsi="Cambria"/>
          <w:sz w:val="20"/>
          <w:szCs w:val="20"/>
          <w:lang w:val="pt-BR"/>
        </w:rPr>
        <w:t xml:space="preserve"> um </w:t>
      </w:r>
      <w:r w:rsidR="003C0795" w:rsidRPr="00337743">
        <w:rPr>
          <w:rFonts w:ascii="Cambria" w:hAnsi="Cambria"/>
          <w:sz w:val="20"/>
          <w:szCs w:val="20"/>
          <w:lang w:val="pt-BR"/>
        </w:rPr>
        <w:t xml:space="preserve">total de 137 </w:t>
      </w:r>
      <w:r w:rsidRPr="00337743">
        <w:rPr>
          <w:rFonts w:ascii="Cambria" w:hAnsi="Cambria"/>
          <w:sz w:val="20"/>
          <w:szCs w:val="20"/>
          <w:lang w:val="pt-BR"/>
        </w:rPr>
        <w:t>pedidos</w:t>
      </w:r>
      <w:r w:rsidR="003C0795" w:rsidRPr="00337743">
        <w:rPr>
          <w:rFonts w:ascii="Cambria" w:hAnsi="Cambria"/>
          <w:sz w:val="20"/>
          <w:szCs w:val="20"/>
          <w:lang w:val="pt-BR"/>
        </w:rPr>
        <w:t xml:space="preserve"> de licen</w:t>
      </w:r>
      <w:r w:rsidR="00B70F49" w:rsidRPr="00337743">
        <w:rPr>
          <w:rFonts w:ascii="Cambria" w:hAnsi="Cambria"/>
          <w:sz w:val="20"/>
          <w:szCs w:val="20"/>
          <w:lang w:val="pt-BR"/>
        </w:rPr>
        <w:t>ç</w:t>
      </w:r>
      <w:r w:rsidR="003C0795" w:rsidRPr="00337743">
        <w:rPr>
          <w:rFonts w:ascii="Cambria" w:hAnsi="Cambria"/>
          <w:sz w:val="20"/>
          <w:szCs w:val="20"/>
          <w:lang w:val="pt-BR"/>
        </w:rPr>
        <w:t xml:space="preserve">a para </w:t>
      </w:r>
      <w:r w:rsidR="00637003" w:rsidRPr="00337743">
        <w:rPr>
          <w:rFonts w:ascii="Cambria" w:hAnsi="Cambria"/>
          <w:sz w:val="20"/>
          <w:szCs w:val="20"/>
          <w:lang w:val="pt-BR"/>
        </w:rPr>
        <w:t>processa</w:t>
      </w:r>
      <w:r w:rsidR="00341DAD" w:rsidRPr="00337743">
        <w:rPr>
          <w:rFonts w:ascii="Cambria" w:hAnsi="Cambria"/>
          <w:sz w:val="20"/>
          <w:szCs w:val="20"/>
          <w:lang w:val="pt-BR"/>
        </w:rPr>
        <w:t>r</w:t>
      </w:r>
      <w:r w:rsidR="003C0795" w:rsidRPr="00337743">
        <w:rPr>
          <w:rFonts w:ascii="Cambria" w:hAnsi="Cambria"/>
          <w:sz w:val="20"/>
          <w:szCs w:val="20"/>
          <w:lang w:val="pt-BR"/>
        </w:rPr>
        <w:t xml:space="preserve"> criminal</w:t>
      </w:r>
      <w:r w:rsidR="00341DAD" w:rsidRPr="00337743">
        <w:rPr>
          <w:rFonts w:ascii="Cambria" w:hAnsi="Cambria"/>
          <w:sz w:val="20"/>
          <w:szCs w:val="20"/>
          <w:lang w:val="pt-BR"/>
        </w:rPr>
        <w:t>mente</w:t>
      </w:r>
      <w:r w:rsidR="003C0795" w:rsidRPr="00337743">
        <w:rPr>
          <w:rFonts w:ascii="Cambria" w:hAnsi="Cambria"/>
          <w:sz w:val="20"/>
          <w:szCs w:val="20"/>
          <w:lang w:val="pt-BR"/>
        </w:rPr>
        <w:t xml:space="preserve"> parlamentar</w:t>
      </w:r>
      <w:r w:rsidRPr="00337743">
        <w:rPr>
          <w:rFonts w:ascii="Cambria" w:hAnsi="Cambria"/>
          <w:sz w:val="20"/>
          <w:szCs w:val="20"/>
          <w:lang w:val="pt-BR"/>
        </w:rPr>
        <w:t>e</w:t>
      </w:r>
      <w:r w:rsidR="004113DE" w:rsidRPr="00337743">
        <w:rPr>
          <w:rFonts w:ascii="Cambria" w:hAnsi="Cambria"/>
          <w:sz w:val="20"/>
          <w:szCs w:val="20"/>
          <w:lang w:val="pt-BR"/>
        </w:rPr>
        <w:t>s</w:t>
      </w:r>
      <w:r w:rsidR="003C0795" w:rsidRPr="00337743">
        <w:rPr>
          <w:rFonts w:ascii="Cambria" w:hAnsi="Cambria"/>
          <w:sz w:val="20"/>
          <w:szCs w:val="20"/>
          <w:vertAlign w:val="superscript"/>
          <w:lang w:val="pt-BR"/>
        </w:rPr>
        <w:footnoteReference w:id="15"/>
      </w:r>
      <w:r w:rsidR="00296BA5" w:rsidRPr="00337743">
        <w:rPr>
          <w:rFonts w:ascii="Cambria" w:hAnsi="Cambria"/>
          <w:sz w:val="20"/>
          <w:szCs w:val="20"/>
          <w:lang w:val="pt-BR"/>
        </w:rPr>
        <w:t>.</w:t>
      </w:r>
      <w:r w:rsidR="003C0795" w:rsidRPr="00337743">
        <w:rPr>
          <w:rFonts w:ascii="Cambria" w:hAnsi="Cambria"/>
          <w:sz w:val="20"/>
          <w:szCs w:val="20"/>
          <w:lang w:val="pt-BR"/>
        </w:rPr>
        <w:t xml:space="preserve"> </w:t>
      </w:r>
    </w:p>
    <w:p w14:paraId="0B476229" w14:textId="77777777" w:rsidR="003C0795" w:rsidRPr="00337743" w:rsidRDefault="003C0795" w:rsidP="003C079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1260"/>
        <w:jc w:val="both"/>
        <w:rPr>
          <w:rFonts w:ascii="Cambria" w:hAnsi="Cambria"/>
          <w:sz w:val="20"/>
          <w:szCs w:val="20"/>
          <w:lang w:val="pt-BR"/>
        </w:rPr>
      </w:pPr>
    </w:p>
    <w:p w14:paraId="4C8D68A1" w14:textId="77777777" w:rsidR="00575155" w:rsidRPr="00337743" w:rsidRDefault="003439C5" w:rsidP="007B13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Nesses</w:t>
      </w:r>
      <w:r w:rsidR="00EF36A9" w:rsidRPr="00337743">
        <w:rPr>
          <w:rFonts w:ascii="Cambria" w:hAnsi="Cambria"/>
          <w:sz w:val="20"/>
          <w:szCs w:val="20"/>
          <w:lang w:val="pt-BR"/>
        </w:rPr>
        <w:t xml:space="preserve"> </w:t>
      </w:r>
      <w:r w:rsidR="00E01589" w:rsidRPr="00337743">
        <w:rPr>
          <w:rFonts w:ascii="Cambria" w:hAnsi="Cambria"/>
          <w:sz w:val="20"/>
          <w:szCs w:val="20"/>
          <w:lang w:val="pt-BR"/>
        </w:rPr>
        <w:t>termos</w:t>
      </w:r>
      <w:r w:rsidR="006018D3">
        <w:rPr>
          <w:rFonts w:ascii="Cambria" w:hAnsi="Cambria"/>
          <w:sz w:val="20"/>
          <w:szCs w:val="20"/>
          <w:lang w:val="pt-BR"/>
        </w:rPr>
        <w:t>,</w:t>
      </w:r>
      <w:r w:rsidR="00506331" w:rsidRPr="00337743">
        <w:rPr>
          <w:rFonts w:ascii="Cambria" w:hAnsi="Cambria"/>
          <w:sz w:val="20"/>
          <w:szCs w:val="20"/>
          <w:lang w:val="pt-BR"/>
        </w:rPr>
        <w:t xml:space="preserve"> a </w:t>
      </w:r>
      <w:r w:rsidR="00EF36A9" w:rsidRPr="00337743">
        <w:rPr>
          <w:rFonts w:ascii="Cambria" w:hAnsi="Cambria"/>
          <w:sz w:val="20"/>
          <w:szCs w:val="20"/>
          <w:lang w:val="pt-BR"/>
        </w:rPr>
        <w:t xml:space="preserve">CIDH </w:t>
      </w:r>
      <w:r w:rsidR="00B363F3" w:rsidRPr="00337743">
        <w:rPr>
          <w:rFonts w:ascii="Cambria" w:hAnsi="Cambria"/>
          <w:sz w:val="20"/>
          <w:szCs w:val="20"/>
          <w:lang w:val="pt-BR"/>
        </w:rPr>
        <w:t xml:space="preserve">considera </w:t>
      </w:r>
      <w:r w:rsidR="00EF36A9" w:rsidRPr="00337743">
        <w:rPr>
          <w:rFonts w:ascii="Cambria" w:hAnsi="Cambria"/>
          <w:sz w:val="20"/>
          <w:szCs w:val="20"/>
          <w:lang w:val="pt-BR"/>
        </w:rPr>
        <w:t>que</w:t>
      </w:r>
      <w:r w:rsidR="00506331" w:rsidRPr="00337743">
        <w:rPr>
          <w:rFonts w:ascii="Cambria" w:hAnsi="Cambria"/>
          <w:sz w:val="20"/>
          <w:szCs w:val="20"/>
          <w:lang w:val="pt-BR"/>
        </w:rPr>
        <w:t xml:space="preserve"> a </w:t>
      </w:r>
      <w:r w:rsidR="009D71DA" w:rsidRPr="00337743">
        <w:rPr>
          <w:rFonts w:ascii="Cambria" w:hAnsi="Cambria"/>
          <w:sz w:val="20"/>
          <w:szCs w:val="20"/>
          <w:lang w:val="pt-BR"/>
        </w:rPr>
        <w:t>mort</w:t>
      </w:r>
      <w:r w:rsidR="00EF36A9" w:rsidRPr="00337743">
        <w:rPr>
          <w:rFonts w:ascii="Cambria" w:hAnsi="Cambria"/>
          <w:sz w:val="20"/>
          <w:szCs w:val="20"/>
          <w:lang w:val="pt-BR"/>
        </w:rPr>
        <w:t xml:space="preserve">e de </w:t>
      </w:r>
      <w:r w:rsidR="009468EE" w:rsidRPr="00337743">
        <w:rPr>
          <w:rFonts w:ascii="Cambria" w:hAnsi="Cambria"/>
          <w:sz w:val="20"/>
          <w:szCs w:val="20"/>
          <w:lang w:val="pt-BR"/>
        </w:rPr>
        <w:t>Márcia Barbosa de Souza</w:t>
      </w:r>
      <w:r w:rsidR="00506331" w:rsidRPr="00337743">
        <w:rPr>
          <w:rFonts w:ascii="Cambria" w:hAnsi="Cambria"/>
          <w:sz w:val="20"/>
          <w:szCs w:val="20"/>
          <w:lang w:val="pt-BR"/>
        </w:rPr>
        <w:t xml:space="preserve"> e </w:t>
      </w:r>
      <w:r w:rsidR="007707E3" w:rsidRPr="00337743">
        <w:rPr>
          <w:rFonts w:ascii="Cambria" w:hAnsi="Cambria"/>
          <w:sz w:val="20"/>
          <w:szCs w:val="20"/>
          <w:lang w:val="pt-BR"/>
        </w:rPr>
        <w:t xml:space="preserve">as </w:t>
      </w:r>
      <w:r w:rsidR="00212F49" w:rsidRPr="00337743">
        <w:rPr>
          <w:rFonts w:ascii="Cambria" w:hAnsi="Cambria"/>
          <w:sz w:val="20"/>
          <w:szCs w:val="20"/>
          <w:lang w:val="pt-BR"/>
        </w:rPr>
        <w:t xml:space="preserve">alegadas </w:t>
      </w:r>
      <w:r w:rsidR="00EF36A9" w:rsidRPr="00337743">
        <w:rPr>
          <w:rFonts w:ascii="Cambria" w:hAnsi="Cambria"/>
          <w:sz w:val="20"/>
          <w:szCs w:val="20"/>
          <w:lang w:val="pt-BR"/>
        </w:rPr>
        <w:t>agres</w:t>
      </w:r>
      <w:r w:rsidRPr="00337743">
        <w:rPr>
          <w:rFonts w:ascii="Cambria" w:hAnsi="Cambria"/>
          <w:sz w:val="20"/>
          <w:szCs w:val="20"/>
          <w:lang w:val="pt-BR"/>
        </w:rPr>
        <w:t>sõ</w:t>
      </w:r>
      <w:r w:rsidR="00EF36A9" w:rsidRPr="00337743">
        <w:rPr>
          <w:rFonts w:ascii="Cambria" w:hAnsi="Cambria"/>
          <w:sz w:val="20"/>
          <w:szCs w:val="20"/>
          <w:lang w:val="pt-BR"/>
        </w:rPr>
        <w:t>es</w:t>
      </w:r>
      <w:r w:rsidR="00506331" w:rsidRPr="00337743">
        <w:rPr>
          <w:rFonts w:ascii="Cambria" w:hAnsi="Cambria"/>
          <w:sz w:val="20"/>
          <w:szCs w:val="20"/>
          <w:lang w:val="pt-BR"/>
        </w:rPr>
        <w:t xml:space="preserve"> e </w:t>
      </w:r>
      <w:r w:rsidR="00EF36A9" w:rsidRPr="00337743">
        <w:rPr>
          <w:rFonts w:ascii="Cambria" w:hAnsi="Cambria"/>
          <w:sz w:val="20"/>
          <w:szCs w:val="20"/>
          <w:lang w:val="pt-BR"/>
        </w:rPr>
        <w:t>v</w:t>
      </w:r>
      <w:r w:rsidRPr="00337743">
        <w:rPr>
          <w:rFonts w:ascii="Cambria" w:hAnsi="Cambria"/>
          <w:sz w:val="20"/>
          <w:szCs w:val="20"/>
          <w:lang w:val="pt-BR"/>
        </w:rPr>
        <w:t>iol</w:t>
      </w:r>
      <w:r w:rsidR="00EF36A9" w:rsidRPr="00337743">
        <w:rPr>
          <w:rFonts w:ascii="Cambria" w:hAnsi="Cambria"/>
          <w:sz w:val="20"/>
          <w:szCs w:val="20"/>
          <w:lang w:val="pt-BR"/>
        </w:rPr>
        <w:t>a</w:t>
      </w:r>
      <w:r w:rsidR="00350E7E" w:rsidRPr="00337743">
        <w:rPr>
          <w:rFonts w:ascii="Cambria" w:hAnsi="Cambria"/>
          <w:sz w:val="20"/>
          <w:szCs w:val="20"/>
          <w:lang w:val="pt-BR"/>
        </w:rPr>
        <w:t>ções</w:t>
      </w:r>
      <w:r w:rsidR="00F453EB" w:rsidRPr="00337743">
        <w:rPr>
          <w:rFonts w:ascii="Cambria" w:hAnsi="Cambria"/>
          <w:sz w:val="20"/>
          <w:szCs w:val="20"/>
          <w:lang w:val="pt-BR"/>
        </w:rPr>
        <w:t xml:space="preserve"> </w:t>
      </w:r>
      <w:r w:rsidRPr="00337743">
        <w:rPr>
          <w:rFonts w:ascii="Cambria" w:hAnsi="Cambria"/>
          <w:sz w:val="20"/>
          <w:szCs w:val="20"/>
          <w:lang w:val="pt-BR"/>
        </w:rPr>
        <w:t>de</w:t>
      </w:r>
      <w:r w:rsidR="00F453EB" w:rsidRPr="00337743">
        <w:rPr>
          <w:rFonts w:ascii="Cambria" w:hAnsi="Cambria"/>
          <w:sz w:val="20"/>
          <w:szCs w:val="20"/>
          <w:lang w:val="pt-BR"/>
        </w:rPr>
        <w:t xml:space="preserve"> </w:t>
      </w:r>
      <w:r w:rsidR="00350E7E" w:rsidRPr="00337743">
        <w:rPr>
          <w:rFonts w:ascii="Cambria" w:hAnsi="Cambria"/>
          <w:sz w:val="20"/>
          <w:szCs w:val="20"/>
          <w:lang w:val="pt-BR"/>
        </w:rPr>
        <w:t>direito</w:t>
      </w:r>
      <w:r w:rsidR="005B71ED" w:rsidRPr="00337743">
        <w:rPr>
          <w:rFonts w:ascii="Cambria" w:hAnsi="Cambria"/>
          <w:sz w:val="20"/>
          <w:szCs w:val="20"/>
          <w:lang w:val="pt-BR"/>
        </w:rPr>
        <w:t xml:space="preserve">s humanos </w:t>
      </w:r>
      <w:r w:rsidR="009468EE" w:rsidRPr="00337743">
        <w:rPr>
          <w:rFonts w:ascii="Cambria" w:hAnsi="Cambria"/>
          <w:sz w:val="20"/>
          <w:szCs w:val="20"/>
          <w:lang w:val="pt-BR"/>
        </w:rPr>
        <w:t>relacionadas</w:t>
      </w:r>
      <w:r w:rsidR="00BF72CE" w:rsidRPr="00337743">
        <w:rPr>
          <w:rFonts w:ascii="Cambria" w:hAnsi="Cambria"/>
          <w:sz w:val="20"/>
          <w:szCs w:val="20"/>
          <w:lang w:val="pt-BR"/>
        </w:rPr>
        <w:t xml:space="preserve"> </w:t>
      </w:r>
      <w:r w:rsidR="00341DAD" w:rsidRPr="00337743">
        <w:rPr>
          <w:rFonts w:ascii="Cambria" w:hAnsi="Cambria"/>
          <w:sz w:val="20"/>
          <w:szCs w:val="20"/>
          <w:lang w:val="pt-BR"/>
        </w:rPr>
        <w:t>à</w:t>
      </w:r>
      <w:r w:rsidR="00BF72CE" w:rsidRPr="00337743">
        <w:rPr>
          <w:rFonts w:ascii="Cambria" w:hAnsi="Cambria"/>
          <w:sz w:val="20"/>
          <w:szCs w:val="20"/>
          <w:lang w:val="pt-BR"/>
        </w:rPr>
        <w:t xml:space="preserve"> </w:t>
      </w:r>
      <w:r w:rsidR="00341DAD" w:rsidRPr="00337743">
        <w:rPr>
          <w:rFonts w:ascii="Cambria" w:hAnsi="Cambria"/>
          <w:sz w:val="20"/>
          <w:szCs w:val="20"/>
          <w:lang w:val="pt-BR"/>
        </w:rPr>
        <w:t>persecução criminal</w:t>
      </w:r>
      <w:r w:rsidR="007707E3" w:rsidRPr="00337743">
        <w:rPr>
          <w:rFonts w:ascii="Cambria" w:hAnsi="Cambria"/>
          <w:sz w:val="20"/>
          <w:szCs w:val="20"/>
          <w:lang w:val="pt-BR"/>
        </w:rPr>
        <w:t xml:space="preserve"> do </w:t>
      </w:r>
      <w:r w:rsidR="009468EE" w:rsidRPr="00337743">
        <w:rPr>
          <w:rFonts w:ascii="Cambria" w:hAnsi="Cambria"/>
          <w:sz w:val="20"/>
          <w:szCs w:val="20"/>
          <w:lang w:val="pt-BR"/>
        </w:rPr>
        <w:t>respons</w:t>
      </w:r>
      <w:r w:rsidRPr="00337743">
        <w:rPr>
          <w:rFonts w:ascii="Cambria" w:hAnsi="Cambria"/>
          <w:sz w:val="20"/>
          <w:szCs w:val="20"/>
          <w:lang w:val="pt-BR"/>
        </w:rPr>
        <w:t>ável</w:t>
      </w:r>
      <w:r w:rsidR="00EF36A9" w:rsidRPr="00337743">
        <w:rPr>
          <w:rFonts w:ascii="Cambria" w:hAnsi="Cambria"/>
          <w:sz w:val="20"/>
          <w:szCs w:val="20"/>
          <w:lang w:val="pt-BR"/>
        </w:rPr>
        <w:t xml:space="preserve"> </w:t>
      </w:r>
      <w:r w:rsidR="006018D3">
        <w:rPr>
          <w:rFonts w:ascii="Cambria" w:hAnsi="Cambria"/>
          <w:sz w:val="20"/>
          <w:szCs w:val="20"/>
          <w:lang w:val="pt-BR"/>
        </w:rPr>
        <w:t>estão ligadas a</w:t>
      </w:r>
      <w:r w:rsidR="00091880" w:rsidRPr="00337743">
        <w:rPr>
          <w:rFonts w:ascii="Cambria" w:hAnsi="Cambria"/>
          <w:sz w:val="20"/>
          <w:szCs w:val="20"/>
          <w:lang w:val="pt-BR"/>
        </w:rPr>
        <w:t xml:space="preserve"> um </w:t>
      </w:r>
      <w:r w:rsidR="00B363F3" w:rsidRPr="00337743">
        <w:rPr>
          <w:rFonts w:ascii="Cambria" w:hAnsi="Cambria"/>
          <w:sz w:val="20"/>
          <w:szCs w:val="20"/>
          <w:lang w:val="pt-BR"/>
        </w:rPr>
        <w:t>contexto</w:t>
      </w:r>
      <w:r w:rsidR="00D62531" w:rsidRPr="00337743">
        <w:rPr>
          <w:rFonts w:ascii="Cambria" w:hAnsi="Cambria"/>
          <w:sz w:val="20"/>
          <w:szCs w:val="20"/>
          <w:lang w:val="pt-BR"/>
        </w:rPr>
        <w:t xml:space="preserve"> </w:t>
      </w:r>
      <w:r w:rsidR="00E01589" w:rsidRPr="00337743">
        <w:rPr>
          <w:rFonts w:ascii="Cambria" w:hAnsi="Cambria"/>
          <w:sz w:val="20"/>
          <w:szCs w:val="20"/>
          <w:lang w:val="pt-BR"/>
        </w:rPr>
        <w:t>estrutural</w:t>
      </w:r>
      <w:r w:rsidR="00D23D6A" w:rsidRPr="00337743">
        <w:rPr>
          <w:rFonts w:ascii="Cambria" w:hAnsi="Cambria"/>
          <w:sz w:val="20"/>
          <w:szCs w:val="20"/>
          <w:lang w:val="pt-BR"/>
        </w:rPr>
        <w:t xml:space="preserve"> de</w:t>
      </w:r>
      <w:r w:rsidR="00E56BE0" w:rsidRPr="00337743">
        <w:rPr>
          <w:rFonts w:ascii="Cambria" w:hAnsi="Cambria"/>
          <w:sz w:val="20"/>
          <w:szCs w:val="20"/>
          <w:lang w:val="pt-BR"/>
        </w:rPr>
        <w:t xml:space="preserve"> </w:t>
      </w:r>
      <w:r w:rsidR="00E01589" w:rsidRPr="00337743">
        <w:rPr>
          <w:rFonts w:ascii="Cambria" w:hAnsi="Cambria"/>
          <w:sz w:val="20"/>
          <w:szCs w:val="20"/>
          <w:lang w:val="pt-BR"/>
        </w:rPr>
        <w:t>violência</w:t>
      </w:r>
      <w:r w:rsidR="00ED09C9"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070650" w:rsidRPr="00337743">
        <w:rPr>
          <w:rFonts w:ascii="Cambria" w:hAnsi="Cambria"/>
          <w:sz w:val="20"/>
          <w:szCs w:val="20"/>
          <w:lang w:val="pt-BR"/>
        </w:rPr>
        <w:t xml:space="preserve"> que </w:t>
      </w:r>
      <w:r w:rsidR="001C1A35" w:rsidRPr="00337743">
        <w:rPr>
          <w:rFonts w:ascii="Cambria" w:hAnsi="Cambria"/>
          <w:sz w:val="20"/>
          <w:szCs w:val="20"/>
          <w:lang w:val="pt-BR"/>
        </w:rPr>
        <w:t>parec</w:t>
      </w:r>
      <w:r w:rsidRPr="00337743">
        <w:rPr>
          <w:rFonts w:ascii="Cambria" w:hAnsi="Cambria"/>
          <w:sz w:val="20"/>
          <w:szCs w:val="20"/>
          <w:lang w:val="pt-BR"/>
        </w:rPr>
        <w:t>e</w:t>
      </w:r>
      <w:r w:rsidR="001C1A35" w:rsidRPr="00337743">
        <w:rPr>
          <w:rFonts w:ascii="Cambria" w:hAnsi="Cambria"/>
          <w:sz w:val="20"/>
          <w:szCs w:val="20"/>
          <w:lang w:val="pt-BR"/>
        </w:rPr>
        <w:t xml:space="preserve"> </w:t>
      </w:r>
      <w:r w:rsidR="000054F1" w:rsidRPr="00337743">
        <w:rPr>
          <w:rFonts w:ascii="Cambria" w:hAnsi="Cambria"/>
          <w:sz w:val="20"/>
          <w:szCs w:val="20"/>
          <w:lang w:val="pt-BR"/>
        </w:rPr>
        <w:t>persist</w:t>
      </w:r>
      <w:r w:rsidR="001C1A35" w:rsidRPr="00337743">
        <w:rPr>
          <w:rFonts w:ascii="Cambria" w:hAnsi="Cambria"/>
          <w:sz w:val="20"/>
          <w:szCs w:val="20"/>
          <w:lang w:val="pt-BR"/>
        </w:rPr>
        <w:t>ir</w:t>
      </w:r>
      <w:r w:rsidR="000054F1" w:rsidRPr="00337743">
        <w:rPr>
          <w:rFonts w:ascii="Cambria" w:hAnsi="Cambria"/>
          <w:sz w:val="20"/>
          <w:szCs w:val="20"/>
          <w:lang w:val="pt-BR"/>
        </w:rPr>
        <w:t xml:space="preserve"> </w:t>
      </w:r>
      <w:r w:rsidRPr="00337743">
        <w:rPr>
          <w:rFonts w:ascii="Cambria" w:hAnsi="Cambria"/>
          <w:sz w:val="20"/>
          <w:szCs w:val="20"/>
          <w:lang w:val="pt-BR"/>
        </w:rPr>
        <w:t>até</w:t>
      </w:r>
      <w:r w:rsidR="00506331" w:rsidRPr="00337743">
        <w:rPr>
          <w:rFonts w:ascii="Cambria" w:hAnsi="Cambria"/>
          <w:sz w:val="20"/>
          <w:szCs w:val="20"/>
          <w:lang w:val="pt-BR"/>
        </w:rPr>
        <w:t xml:space="preserve"> o </w:t>
      </w:r>
      <w:r w:rsidR="000054F1" w:rsidRPr="00337743">
        <w:rPr>
          <w:rFonts w:ascii="Cambria" w:hAnsi="Cambria"/>
          <w:sz w:val="20"/>
          <w:szCs w:val="20"/>
          <w:lang w:val="pt-BR"/>
        </w:rPr>
        <w:t>presente</w:t>
      </w:r>
      <w:r w:rsidR="00B01973" w:rsidRPr="00337743">
        <w:rPr>
          <w:rFonts w:ascii="Cambria" w:hAnsi="Cambria"/>
          <w:sz w:val="20"/>
          <w:szCs w:val="20"/>
          <w:lang w:val="pt-BR"/>
        </w:rPr>
        <w:t xml:space="preserve">, </w:t>
      </w:r>
      <w:r w:rsidR="006018D3">
        <w:rPr>
          <w:rFonts w:ascii="Cambria" w:hAnsi="Cambria"/>
          <w:sz w:val="20"/>
          <w:szCs w:val="20"/>
          <w:lang w:val="pt-BR"/>
        </w:rPr>
        <w:t>assim</w:t>
      </w:r>
      <w:r w:rsidR="00B01973" w:rsidRPr="00337743">
        <w:rPr>
          <w:rFonts w:ascii="Cambria" w:hAnsi="Cambria"/>
          <w:sz w:val="20"/>
          <w:szCs w:val="20"/>
          <w:lang w:val="pt-BR"/>
        </w:rPr>
        <w:t xml:space="preserve"> como</w:t>
      </w:r>
      <w:r w:rsidR="00091880" w:rsidRPr="00337743">
        <w:rPr>
          <w:rFonts w:ascii="Cambria" w:hAnsi="Cambria"/>
          <w:sz w:val="20"/>
          <w:szCs w:val="20"/>
          <w:lang w:val="pt-BR"/>
        </w:rPr>
        <w:t xml:space="preserve"> </w:t>
      </w:r>
      <w:r w:rsidR="006018D3">
        <w:rPr>
          <w:rFonts w:ascii="Cambria" w:hAnsi="Cambria"/>
          <w:sz w:val="20"/>
          <w:szCs w:val="20"/>
          <w:lang w:val="pt-BR"/>
        </w:rPr>
        <w:t xml:space="preserve">a </w:t>
      </w:r>
      <w:r w:rsidR="00091880" w:rsidRPr="00337743">
        <w:rPr>
          <w:rFonts w:ascii="Cambria" w:hAnsi="Cambria"/>
          <w:sz w:val="20"/>
          <w:szCs w:val="20"/>
          <w:lang w:val="pt-BR"/>
        </w:rPr>
        <w:t xml:space="preserve">um </w:t>
      </w:r>
      <w:r w:rsidR="006018D3">
        <w:rPr>
          <w:rFonts w:ascii="Cambria" w:hAnsi="Cambria"/>
          <w:sz w:val="20"/>
          <w:szCs w:val="20"/>
          <w:lang w:val="pt-BR"/>
        </w:rPr>
        <w:t xml:space="preserve">preocupante </w:t>
      </w:r>
      <w:r w:rsidR="00B01973" w:rsidRPr="00337743">
        <w:rPr>
          <w:rFonts w:ascii="Cambria" w:hAnsi="Cambria"/>
          <w:sz w:val="20"/>
          <w:szCs w:val="20"/>
          <w:lang w:val="pt-BR"/>
        </w:rPr>
        <w:t>contexto</w:t>
      </w:r>
      <w:r w:rsidR="00D62531" w:rsidRPr="00337743">
        <w:rPr>
          <w:rFonts w:ascii="Cambria" w:hAnsi="Cambria"/>
          <w:sz w:val="20"/>
          <w:szCs w:val="20"/>
          <w:lang w:val="pt-BR"/>
        </w:rPr>
        <w:t xml:space="preserve"> geral</w:t>
      </w:r>
      <w:r w:rsidR="00B01973" w:rsidRPr="00337743">
        <w:rPr>
          <w:rFonts w:ascii="Cambria" w:hAnsi="Cambria"/>
          <w:sz w:val="20"/>
          <w:szCs w:val="20"/>
          <w:lang w:val="pt-BR"/>
        </w:rPr>
        <w:t xml:space="preserve"> de </w:t>
      </w:r>
      <w:r w:rsidR="00E01589" w:rsidRPr="00337743">
        <w:rPr>
          <w:rFonts w:ascii="Cambria" w:hAnsi="Cambria"/>
          <w:sz w:val="20"/>
          <w:szCs w:val="20"/>
          <w:lang w:val="pt-BR"/>
        </w:rPr>
        <w:t>impunidade</w:t>
      </w:r>
      <w:r w:rsidR="00B01973" w:rsidRPr="00337743">
        <w:rPr>
          <w:rFonts w:ascii="Cambria" w:hAnsi="Cambria"/>
          <w:sz w:val="20"/>
          <w:szCs w:val="20"/>
          <w:lang w:val="pt-BR"/>
        </w:rPr>
        <w:t>.</w:t>
      </w:r>
    </w:p>
    <w:p w14:paraId="67F3C8FE" w14:textId="77777777" w:rsidR="00472955" w:rsidRPr="00337743" w:rsidRDefault="00472955" w:rsidP="007B13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firstLine="630"/>
        <w:jc w:val="both"/>
        <w:rPr>
          <w:rFonts w:ascii="Cambria" w:hAnsi="Cambria"/>
          <w:color w:val="000000"/>
          <w:sz w:val="20"/>
          <w:szCs w:val="20"/>
          <w:lang w:val="pt-BR"/>
        </w:rPr>
      </w:pPr>
    </w:p>
    <w:p w14:paraId="0E72B6AE" w14:textId="77777777" w:rsidR="005D6673" w:rsidRPr="00337743" w:rsidRDefault="005D6673" w:rsidP="007B1365">
      <w:pPr>
        <w:pStyle w:val="Heading2"/>
        <w:numPr>
          <w:ilvl w:val="0"/>
          <w:numId w:val="58"/>
        </w:numPr>
        <w:spacing w:before="0"/>
        <w:ind w:left="0" w:firstLine="630"/>
        <w:rPr>
          <w:rFonts w:ascii="Cambria" w:hAnsi="Cambria"/>
          <w:i w:val="0"/>
          <w:sz w:val="20"/>
          <w:szCs w:val="20"/>
          <w:lang w:val="pt-BR"/>
        </w:rPr>
      </w:pPr>
      <w:bookmarkStart w:id="10" w:name="_Toc5890569"/>
      <w:r w:rsidRPr="00337743">
        <w:rPr>
          <w:rFonts w:ascii="Cambria" w:hAnsi="Cambria"/>
          <w:i w:val="0"/>
          <w:sz w:val="20"/>
          <w:szCs w:val="20"/>
          <w:lang w:val="pt-BR"/>
        </w:rPr>
        <w:t>Informa</w:t>
      </w:r>
      <w:r w:rsidR="00350E7E" w:rsidRPr="00337743">
        <w:rPr>
          <w:rFonts w:ascii="Cambria" w:hAnsi="Cambria"/>
          <w:i w:val="0"/>
          <w:sz w:val="20"/>
          <w:szCs w:val="20"/>
          <w:lang w:val="pt-BR"/>
        </w:rPr>
        <w:t>ção</w:t>
      </w:r>
      <w:r w:rsidRPr="00337743">
        <w:rPr>
          <w:rFonts w:ascii="Cambria" w:hAnsi="Cambria"/>
          <w:i w:val="0"/>
          <w:sz w:val="20"/>
          <w:szCs w:val="20"/>
          <w:lang w:val="pt-BR"/>
        </w:rPr>
        <w:t xml:space="preserve"> dispon</w:t>
      </w:r>
      <w:r w:rsidR="00A6443F" w:rsidRPr="00337743">
        <w:rPr>
          <w:rFonts w:ascii="Cambria" w:hAnsi="Cambria"/>
          <w:i w:val="0"/>
          <w:sz w:val="20"/>
          <w:szCs w:val="20"/>
          <w:lang w:val="pt-BR"/>
        </w:rPr>
        <w:t xml:space="preserve">ível </w:t>
      </w:r>
      <w:r w:rsidRPr="00337743">
        <w:rPr>
          <w:rFonts w:ascii="Cambria" w:hAnsi="Cambria"/>
          <w:i w:val="0"/>
          <w:sz w:val="20"/>
          <w:szCs w:val="20"/>
          <w:lang w:val="pt-BR"/>
        </w:rPr>
        <w:t>sobre</w:t>
      </w:r>
      <w:r w:rsidR="00506331" w:rsidRPr="00337743">
        <w:rPr>
          <w:rFonts w:ascii="Cambria" w:hAnsi="Cambria"/>
          <w:i w:val="0"/>
          <w:sz w:val="20"/>
          <w:szCs w:val="20"/>
          <w:lang w:val="pt-BR"/>
        </w:rPr>
        <w:t xml:space="preserve"> </w:t>
      </w:r>
      <w:r w:rsidR="006018D3">
        <w:rPr>
          <w:rFonts w:ascii="Cambria" w:hAnsi="Cambria"/>
          <w:i w:val="0"/>
          <w:sz w:val="20"/>
          <w:szCs w:val="20"/>
          <w:lang w:val="pt-BR"/>
        </w:rPr>
        <w:t>Márcia</w:t>
      </w:r>
      <w:r w:rsidR="00506331" w:rsidRPr="00337743">
        <w:rPr>
          <w:rFonts w:ascii="Cambria" w:hAnsi="Cambria"/>
          <w:i w:val="0"/>
          <w:sz w:val="20"/>
          <w:szCs w:val="20"/>
          <w:lang w:val="pt-BR"/>
        </w:rPr>
        <w:t xml:space="preserve"> e </w:t>
      </w:r>
      <w:r w:rsidRPr="00337743">
        <w:rPr>
          <w:rFonts w:ascii="Cambria" w:hAnsi="Cambria"/>
          <w:i w:val="0"/>
          <w:sz w:val="20"/>
          <w:szCs w:val="20"/>
          <w:lang w:val="pt-BR"/>
        </w:rPr>
        <w:t>s</w:t>
      </w:r>
      <w:r w:rsidR="00B70F49" w:rsidRPr="00337743">
        <w:rPr>
          <w:rFonts w:ascii="Cambria" w:hAnsi="Cambria"/>
          <w:i w:val="0"/>
          <w:sz w:val="20"/>
          <w:szCs w:val="20"/>
          <w:lang w:val="pt-BR"/>
        </w:rPr>
        <w:t>e</w:t>
      </w:r>
      <w:r w:rsidRPr="00337743">
        <w:rPr>
          <w:rFonts w:ascii="Cambria" w:hAnsi="Cambria"/>
          <w:i w:val="0"/>
          <w:sz w:val="20"/>
          <w:szCs w:val="20"/>
          <w:lang w:val="pt-BR"/>
        </w:rPr>
        <w:t>us familiares</w:t>
      </w:r>
      <w:bookmarkEnd w:id="10"/>
    </w:p>
    <w:p w14:paraId="61D6F518" w14:textId="77777777" w:rsidR="00581F7B" w:rsidRPr="00337743" w:rsidRDefault="00581F7B" w:rsidP="007B1365">
      <w:pPr>
        <w:pStyle w:val="GradeClara-nfase31"/>
        <w:ind w:left="1440" w:firstLine="630"/>
        <w:jc w:val="both"/>
        <w:rPr>
          <w:b/>
          <w:color w:val="auto"/>
          <w:sz w:val="20"/>
          <w:szCs w:val="20"/>
          <w:lang w:val="pt-BR"/>
        </w:rPr>
      </w:pPr>
    </w:p>
    <w:p w14:paraId="0E85894A" w14:textId="77777777" w:rsidR="00EB0524" w:rsidRPr="00337743" w:rsidRDefault="002B0536" w:rsidP="007B13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sz w:val="20"/>
          <w:szCs w:val="20"/>
          <w:lang w:val="pt-BR"/>
        </w:rPr>
      </w:pPr>
      <w:r w:rsidRPr="00337743">
        <w:rPr>
          <w:rFonts w:ascii="Cambria" w:hAnsi="Cambria"/>
          <w:sz w:val="20"/>
          <w:szCs w:val="20"/>
          <w:lang w:val="pt-BR"/>
        </w:rPr>
        <w:t>Márcia Barbosa de Souza t</w:t>
      </w:r>
      <w:r w:rsidR="003439C5" w:rsidRPr="00337743">
        <w:rPr>
          <w:rFonts w:ascii="Cambria" w:hAnsi="Cambria"/>
          <w:sz w:val="20"/>
          <w:szCs w:val="20"/>
          <w:lang w:val="pt-BR"/>
        </w:rPr>
        <w:t>inh</w:t>
      </w:r>
      <w:r w:rsidR="00BF72CE" w:rsidRPr="00337743">
        <w:rPr>
          <w:rFonts w:ascii="Cambria" w:hAnsi="Cambria"/>
          <w:sz w:val="20"/>
          <w:szCs w:val="20"/>
          <w:lang w:val="pt-BR"/>
        </w:rPr>
        <w:t>a</w:t>
      </w:r>
      <w:r w:rsidRPr="00337743">
        <w:rPr>
          <w:rFonts w:ascii="Cambria" w:hAnsi="Cambria"/>
          <w:sz w:val="20"/>
          <w:szCs w:val="20"/>
          <w:lang w:val="pt-BR"/>
        </w:rPr>
        <w:t xml:space="preserve"> 20 </w:t>
      </w:r>
      <w:r w:rsidR="00E01589" w:rsidRPr="00337743">
        <w:rPr>
          <w:rFonts w:ascii="Cambria" w:hAnsi="Cambria"/>
          <w:sz w:val="20"/>
          <w:szCs w:val="20"/>
          <w:lang w:val="pt-BR"/>
        </w:rPr>
        <w:t>anos</w:t>
      </w:r>
      <w:r w:rsidRPr="00337743">
        <w:rPr>
          <w:rFonts w:ascii="Cambria" w:hAnsi="Cambria"/>
          <w:sz w:val="20"/>
          <w:szCs w:val="20"/>
          <w:lang w:val="pt-BR"/>
        </w:rPr>
        <w:t xml:space="preserve"> de </w:t>
      </w:r>
      <w:r w:rsidR="00E01589" w:rsidRPr="00337743">
        <w:rPr>
          <w:rFonts w:ascii="Cambria" w:hAnsi="Cambria"/>
          <w:sz w:val="20"/>
          <w:szCs w:val="20"/>
          <w:lang w:val="pt-BR"/>
        </w:rPr>
        <w:t>idade</w:t>
      </w:r>
      <w:r w:rsidR="00350E7E" w:rsidRPr="00337743">
        <w:rPr>
          <w:rFonts w:ascii="Cambria" w:hAnsi="Cambria"/>
          <w:sz w:val="20"/>
          <w:szCs w:val="20"/>
          <w:lang w:val="pt-BR"/>
        </w:rPr>
        <w:t xml:space="preserve"> </w:t>
      </w:r>
      <w:r w:rsidR="003439C5" w:rsidRPr="00337743">
        <w:rPr>
          <w:rFonts w:ascii="Cambria" w:hAnsi="Cambria"/>
          <w:sz w:val="20"/>
          <w:szCs w:val="20"/>
          <w:lang w:val="pt-BR"/>
        </w:rPr>
        <w:t>q</w:t>
      </w:r>
      <w:r w:rsidRPr="00337743">
        <w:rPr>
          <w:rFonts w:ascii="Cambria" w:hAnsi="Cambria"/>
          <w:sz w:val="20"/>
          <w:szCs w:val="20"/>
          <w:lang w:val="pt-BR"/>
        </w:rPr>
        <w:t xml:space="preserve">uando </w:t>
      </w:r>
      <w:r w:rsidR="00E01589" w:rsidRPr="00337743">
        <w:rPr>
          <w:rFonts w:ascii="Cambria" w:hAnsi="Cambria"/>
          <w:sz w:val="20"/>
          <w:szCs w:val="20"/>
          <w:lang w:val="pt-BR"/>
        </w:rPr>
        <w:t>faleceu</w:t>
      </w:r>
      <w:r w:rsidR="003439C5" w:rsidRPr="00337743">
        <w:rPr>
          <w:rFonts w:ascii="Cambria" w:hAnsi="Cambria"/>
          <w:sz w:val="20"/>
          <w:szCs w:val="20"/>
          <w:lang w:val="pt-BR"/>
        </w:rPr>
        <w:t xml:space="preserve"> em</w:t>
      </w:r>
      <w:r w:rsidR="00506331" w:rsidRPr="00337743">
        <w:rPr>
          <w:rFonts w:ascii="Cambria" w:hAnsi="Cambria"/>
          <w:sz w:val="20"/>
          <w:szCs w:val="20"/>
          <w:lang w:val="pt-BR"/>
        </w:rPr>
        <w:t xml:space="preserve"> </w:t>
      </w:r>
      <w:r w:rsidR="00244C61" w:rsidRPr="00337743">
        <w:rPr>
          <w:rFonts w:ascii="Cambria" w:hAnsi="Cambria"/>
          <w:sz w:val="20"/>
          <w:szCs w:val="20"/>
          <w:lang w:val="pt-BR"/>
        </w:rPr>
        <w:t xml:space="preserve">17 de </w:t>
      </w:r>
      <w:r w:rsidR="00E01589" w:rsidRPr="00337743">
        <w:rPr>
          <w:rFonts w:ascii="Cambria" w:hAnsi="Cambria"/>
          <w:sz w:val="20"/>
          <w:szCs w:val="20"/>
          <w:lang w:val="pt-BR"/>
        </w:rPr>
        <w:t>junho</w:t>
      </w:r>
      <w:r w:rsidR="00244C61" w:rsidRPr="00337743">
        <w:rPr>
          <w:rFonts w:ascii="Cambria" w:hAnsi="Cambria"/>
          <w:sz w:val="20"/>
          <w:szCs w:val="20"/>
          <w:lang w:val="pt-BR"/>
        </w:rPr>
        <w:t xml:space="preserve"> de 1998</w:t>
      </w:r>
      <w:r w:rsidR="00091880" w:rsidRPr="00337743">
        <w:rPr>
          <w:rFonts w:ascii="Cambria" w:hAnsi="Cambria"/>
          <w:sz w:val="20"/>
          <w:szCs w:val="20"/>
          <w:lang w:val="pt-BR"/>
        </w:rPr>
        <w:t xml:space="preserve"> em </w:t>
      </w:r>
      <w:r w:rsidR="00244C61" w:rsidRPr="00337743">
        <w:rPr>
          <w:rFonts w:ascii="Cambria" w:hAnsi="Cambria"/>
          <w:sz w:val="20"/>
          <w:szCs w:val="20"/>
          <w:lang w:val="pt-BR"/>
        </w:rPr>
        <w:t>João Pessoa</w:t>
      </w:r>
      <w:r w:rsidRPr="00337743">
        <w:rPr>
          <w:rFonts w:ascii="Cambria" w:hAnsi="Cambria"/>
          <w:sz w:val="20"/>
          <w:szCs w:val="20"/>
          <w:lang w:val="pt-BR"/>
        </w:rPr>
        <w:t>,</w:t>
      </w:r>
      <w:r w:rsidR="00244C61" w:rsidRPr="00337743">
        <w:rPr>
          <w:rFonts w:ascii="Cambria" w:hAnsi="Cambria"/>
          <w:sz w:val="20"/>
          <w:szCs w:val="20"/>
          <w:lang w:val="pt-BR"/>
        </w:rPr>
        <w:t xml:space="preserve"> capital</w:t>
      </w:r>
      <w:r w:rsidR="007707E3" w:rsidRPr="00337743">
        <w:rPr>
          <w:rFonts w:ascii="Cambria" w:hAnsi="Cambria"/>
          <w:sz w:val="20"/>
          <w:szCs w:val="20"/>
          <w:lang w:val="pt-BR"/>
        </w:rPr>
        <w:t xml:space="preserve"> do </w:t>
      </w:r>
      <w:r w:rsidR="00244C61" w:rsidRPr="00337743">
        <w:rPr>
          <w:rFonts w:ascii="Cambria" w:hAnsi="Cambria"/>
          <w:sz w:val="20"/>
          <w:szCs w:val="20"/>
          <w:lang w:val="pt-BR"/>
        </w:rPr>
        <w:t>Estado d</w:t>
      </w:r>
      <w:r w:rsidR="003439C5" w:rsidRPr="00337743">
        <w:rPr>
          <w:rFonts w:ascii="Cambria" w:hAnsi="Cambria"/>
          <w:sz w:val="20"/>
          <w:szCs w:val="20"/>
          <w:lang w:val="pt-BR"/>
        </w:rPr>
        <w:t>a</w:t>
      </w:r>
      <w:r w:rsidR="00244C61" w:rsidRPr="00337743">
        <w:rPr>
          <w:rFonts w:ascii="Cambria" w:hAnsi="Cambria"/>
          <w:sz w:val="20"/>
          <w:szCs w:val="20"/>
          <w:lang w:val="pt-BR"/>
        </w:rPr>
        <w:t xml:space="preserve"> Paraíba. E</w:t>
      </w:r>
      <w:r w:rsidRPr="00337743">
        <w:rPr>
          <w:rFonts w:ascii="Cambria" w:hAnsi="Cambria"/>
          <w:sz w:val="20"/>
          <w:szCs w:val="20"/>
          <w:lang w:val="pt-BR"/>
        </w:rPr>
        <w:t xml:space="preserve">ra </w:t>
      </w:r>
      <w:r w:rsidR="00E01589" w:rsidRPr="00337743">
        <w:rPr>
          <w:rFonts w:ascii="Cambria" w:hAnsi="Cambria"/>
          <w:sz w:val="20"/>
          <w:szCs w:val="20"/>
          <w:lang w:val="pt-BR"/>
        </w:rPr>
        <w:t>estudante</w:t>
      </w:r>
      <w:r w:rsidR="00506331" w:rsidRPr="00337743">
        <w:rPr>
          <w:rFonts w:ascii="Cambria" w:hAnsi="Cambria"/>
          <w:sz w:val="20"/>
          <w:szCs w:val="20"/>
          <w:lang w:val="pt-BR"/>
        </w:rPr>
        <w:t xml:space="preserve"> e </w:t>
      </w:r>
      <w:r w:rsidR="003439C5" w:rsidRPr="00337743">
        <w:rPr>
          <w:rFonts w:ascii="Cambria" w:hAnsi="Cambria"/>
          <w:sz w:val="20"/>
          <w:szCs w:val="20"/>
          <w:lang w:val="pt-BR"/>
        </w:rPr>
        <w:t xml:space="preserve">estava </w:t>
      </w:r>
      <w:r w:rsidR="00E01589" w:rsidRPr="00337743">
        <w:rPr>
          <w:rFonts w:ascii="Cambria" w:hAnsi="Cambria"/>
          <w:sz w:val="20"/>
          <w:szCs w:val="20"/>
          <w:lang w:val="pt-BR"/>
        </w:rPr>
        <w:t>desempregada</w:t>
      </w:r>
      <w:r w:rsidR="00244C61" w:rsidRPr="00337743">
        <w:rPr>
          <w:rFonts w:ascii="Cambria" w:hAnsi="Cambria"/>
          <w:sz w:val="20"/>
          <w:szCs w:val="20"/>
          <w:lang w:val="pt-BR"/>
        </w:rPr>
        <w:t>. S</w:t>
      </w:r>
      <w:r w:rsidR="003439C5" w:rsidRPr="00337743">
        <w:rPr>
          <w:rFonts w:ascii="Cambria" w:hAnsi="Cambria"/>
          <w:sz w:val="20"/>
          <w:szCs w:val="20"/>
          <w:lang w:val="pt-BR"/>
        </w:rPr>
        <w:t>e</w:t>
      </w:r>
      <w:r w:rsidR="00244C61" w:rsidRPr="00337743">
        <w:rPr>
          <w:rFonts w:ascii="Cambria" w:hAnsi="Cambria"/>
          <w:sz w:val="20"/>
          <w:szCs w:val="20"/>
          <w:lang w:val="pt-BR"/>
        </w:rPr>
        <w:t xml:space="preserve">us </w:t>
      </w:r>
      <w:r w:rsidR="00E01589" w:rsidRPr="00337743">
        <w:rPr>
          <w:rFonts w:ascii="Cambria" w:hAnsi="Cambria"/>
          <w:sz w:val="20"/>
          <w:szCs w:val="20"/>
          <w:lang w:val="pt-BR"/>
        </w:rPr>
        <w:t>pais</w:t>
      </w:r>
      <w:r w:rsidR="00244C61" w:rsidRPr="00337743">
        <w:rPr>
          <w:rFonts w:ascii="Cambria" w:hAnsi="Cambria"/>
          <w:sz w:val="20"/>
          <w:szCs w:val="20"/>
          <w:lang w:val="pt-BR"/>
        </w:rPr>
        <w:t xml:space="preserve"> s</w:t>
      </w:r>
      <w:r w:rsidR="003439C5" w:rsidRPr="00337743">
        <w:rPr>
          <w:rFonts w:ascii="Cambria" w:hAnsi="Cambria"/>
          <w:sz w:val="20"/>
          <w:szCs w:val="20"/>
          <w:lang w:val="pt-BR"/>
        </w:rPr>
        <w:t>ã</w:t>
      </w:r>
      <w:r w:rsidR="00244C61" w:rsidRPr="00337743">
        <w:rPr>
          <w:rFonts w:ascii="Cambria" w:hAnsi="Cambria"/>
          <w:sz w:val="20"/>
          <w:szCs w:val="20"/>
          <w:lang w:val="pt-BR"/>
        </w:rPr>
        <w:t>o Severino Reinaldo de Souza</w:t>
      </w:r>
      <w:r w:rsidR="00506331" w:rsidRPr="00337743">
        <w:rPr>
          <w:rFonts w:ascii="Cambria" w:hAnsi="Cambria"/>
          <w:sz w:val="20"/>
          <w:szCs w:val="20"/>
          <w:lang w:val="pt-BR"/>
        </w:rPr>
        <w:t xml:space="preserve"> e </w:t>
      </w:r>
      <w:r w:rsidR="00244C61" w:rsidRPr="00337743">
        <w:rPr>
          <w:rFonts w:ascii="Cambria" w:hAnsi="Cambria"/>
          <w:sz w:val="20"/>
          <w:szCs w:val="20"/>
          <w:lang w:val="pt-BR"/>
        </w:rPr>
        <w:t xml:space="preserve">Marineide </w:t>
      </w:r>
      <w:r w:rsidR="00DB00E6" w:rsidRPr="00337743">
        <w:rPr>
          <w:rFonts w:ascii="Cambria" w:hAnsi="Cambria"/>
          <w:sz w:val="20"/>
          <w:szCs w:val="20"/>
          <w:lang w:val="pt-BR"/>
        </w:rPr>
        <w:t>Barbosa</w:t>
      </w:r>
      <w:r w:rsidR="00244C61" w:rsidRPr="00337743">
        <w:rPr>
          <w:rFonts w:ascii="Cambria" w:hAnsi="Cambria"/>
          <w:sz w:val="20"/>
          <w:szCs w:val="20"/>
          <w:lang w:val="pt-BR"/>
        </w:rPr>
        <w:t xml:space="preserve"> de Souza. </w:t>
      </w:r>
      <w:r w:rsidR="00E01589" w:rsidRPr="00337743">
        <w:rPr>
          <w:rFonts w:ascii="Cambria" w:hAnsi="Cambria"/>
          <w:sz w:val="20"/>
          <w:szCs w:val="20"/>
          <w:lang w:val="pt-BR"/>
        </w:rPr>
        <w:t>Residem</w:t>
      </w:r>
      <w:r w:rsidR="00091880" w:rsidRPr="00337743">
        <w:rPr>
          <w:rFonts w:ascii="Cambria" w:hAnsi="Cambria"/>
          <w:sz w:val="20"/>
          <w:szCs w:val="20"/>
          <w:lang w:val="pt-BR"/>
        </w:rPr>
        <w:t xml:space="preserve"> na </w:t>
      </w:r>
      <w:r w:rsidR="00E01589" w:rsidRPr="00337743">
        <w:rPr>
          <w:rFonts w:ascii="Cambria" w:hAnsi="Cambria"/>
          <w:sz w:val="20"/>
          <w:szCs w:val="20"/>
          <w:lang w:val="pt-BR"/>
        </w:rPr>
        <w:t>cidade</w:t>
      </w:r>
      <w:r w:rsidR="00350E7E" w:rsidRPr="00337743">
        <w:rPr>
          <w:rFonts w:ascii="Cambria" w:hAnsi="Cambria"/>
          <w:sz w:val="20"/>
          <w:szCs w:val="20"/>
          <w:lang w:val="pt-BR"/>
        </w:rPr>
        <w:t xml:space="preserve"> </w:t>
      </w:r>
      <w:r w:rsidR="00244C61" w:rsidRPr="00337743">
        <w:rPr>
          <w:rFonts w:ascii="Cambria" w:hAnsi="Cambria"/>
          <w:sz w:val="20"/>
          <w:szCs w:val="20"/>
          <w:lang w:val="pt-BR"/>
        </w:rPr>
        <w:t>de Cajazeiras, Estado d</w:t>
      </w:r>
      <w:r w:rsidR="003439C5" w:rsidRPr="00337743">
        <w:rPr>
          <w:rFonts w:ascii="Cambria" w:hAnsi="Cambria"/>
          <w:sz w:val="20"/>
          <w:szCs w:val="20"/>
          <w:lang w:val="pt-BR"/>
        </w:rPr>
        <w:t>a</w:t>
      </w:r>
      <w:r w:rsidR="00244C61" w:rsidRPr="00337743">
        <w:rPr>
          <w:rFonts w:ascii="Cambria" w:hAnsi="Cambria"/>
          <w:sz w:val="20"/>
          <w:szCs w:val="20"/>
          <w:lang w:val="pt-BR"/>
        </w:rPr>
        <w:t xml:space="preserve"> Paraíba.</w:t>
      </w:r>
      <w:r w:rsidR="00506331" w:rsidRPr="00337743">
        <w:rPr>
          <w:rFonts w:ascii="Cambria" w:hAnsi="Cambria"/>
          <w:sz w:val="20"/>
          <w:szCs w:val="20"/>
          <w:lang w:val="pt-BR"/>
        </w:rPr>
        <w:t xml:space="preserve"> </w:t>
      </w:r>
      <w:r w:rsidR="003439C5" w:rsidRPr="00337743">
        <w:rPr>
          <w:rFonts w:ascii="Cambria" w:hAnsi="Cambria"/>
          <w:sz w:val="20"/>
          <w:szCs w:val="20"/>
          <w:lang w:val="pt-BR"/>
        </w:rPr>
        <w:t>A</w:t>
      </w:r>
      <w:r w:rsidR="00506331" w:rsidRPr="00337743">
        <w:rPr>
          <w:rFonts w:ascii="Cambria" w:hAnsi="Cambria"/>
          <w:sz w:val="20"/>
          <w:szCs w:val="20"/>
          <w:lang w:val="pt-BR"/>
        </w:rPr>
        <w:t xml:space="preserve"> </w:t>
      </w:r>
      <w:r w:rsidR="0079440C" w:rsidRPr="00337743">
        <w:rPr>
          <w:rFonts w:ascii="Cambria" w:hAnsi="Cambria"/>
          <w:sz w:val="20"/>
          <w:szCs w:val="20"/>
          <w:lang w:val="pt-BR"/>
        </w:rPr>
        <w:t xml:space="preserve">CIDH </w:t>
      </w:r>
      <w:r w:rsidR="00E01589" w:rsidRPr="00337743">
        <w:rPr>
          <w:rFonts w:ascii="Cambria" w:hAnsi="Cambria"/>
          <w:sz w:val="20"/>
          <w:szCs w:val="20"/>
          <w:lang w:val="pt-BR"/>
        </w:rPr>
        <w:t>entende</w:t>
      </w:r>
      <w:r w:rsidR="0079440C" w:rsidRPr="00337743">
        <w:rPr>
          <w:rFonts w:ascii="Cambria" w:hAnsi="Cambria"/>
          <w:sz w:val="20"/>
          <w:szCs w:val="20"/>
          <w:lang w:val="pt-BR"/>
        </w:rPr>
        <w:t xml:space="preserve"> que</w:t>
      </w:r>
      <w:r w:rsidR="00506331" w:rsidRPr="00337743">
        <w:rPr>
          <w:rFonts w:ascii="Cambria" w:hAnsi="Cambria"/>
          <w:sz w:val="20"/>
          <w:szCs w:val="20"/>
          <w:lang w:val="pt-BR"/>
        </w:rPr>
        <w:t xml:space="preserve"> a </w:t>
      </w:r>
      <w:r w:rsidR="006018D3">
        <w:rPr>
          <w:rFonts w:ascii="Cambria" w:hAnsi="Cambria"/>
          <w:sz w:val="20"/>
          <w:szCs w:val="20"/>
          <w:lang w:val="pt-BR"/>
        </w:rPr>
        <w:t>Márci</w:t>
      </w:r>
      <w:r w:rsidR="00E01589" w:rsidRPr="00337743">
        <w:rPr>
          <w:rFonts w:ascii="Cambria" w:hAnsi="Cambria"/>
          <w:sz w:val="20"/>
          <w:szCs w:val="20"/>
          <w:lang w:val="pt-BR"/>
        </w:rPr>
        <w:t>a</w:t>
      </w:r>
      <w:r w:rsidR="00506331" w:rsidRPr="00337743">
        <w:rPr>
          <w:rFonts w:ascii="Cambria" w:hAnsi="Cambria"/>
          <w:sz w:val="20"/>
          <w:szCs w:val="20"/>
          <w:lang w:val="pt-BR"/>
        </w:rPr>
        <w:t xml:space="preserve"> e </w:t>
      </w:r>
      <w:r w:rsidR="006560D6" w:rsidRPr="00337743">
        <w:rPr>
          <w:rFonts w:ascii="Cambria" w:hAnsi="Cambria"/>
          <w:sz w:val="20"/>
          <w:szCs w:val="20"/>
          <w:lang w:val="pt-BR"/>
        </w:rPr>
        <w:t>s</w:t>
      </w:r>
      <w:r w:rsidR="00B70F49" w:rsidRPr="00337743">
        <w:rPr>
          <w:rFonts w:ascii="Cambria" w:hAnsi="Cambria"/>
          <w:sz w:val="20"/>
          <w:szCs w:val="20"/>
          <w:lang w:val="pt-BR"/>
        </w:rPr>
        <w:t>e</w:t>
      </w:r>
      <w:r w:rsidR="006560D6" w:rsidRPr="00337743">
        <w:rPr>
          <w:rFonts w:ascii="Cambria" w:hAnsi="Cambria"/>
          <w:sz w:val="20"/>
          <w:szCs w:val="20"/>
          <w:lang w:val="pt-BR"/>
        </w:rPr>
        <w:t>us familiares s</w:t>
      </w:r>
      <w:r w:rsidR="003439C5" w:rsidRPr="00337743">
        <w:rPr>
          <w:rFonts w:ascii="Cambria" w:hAnsi="Cambria"/>
          <w:sz w:val="20"/>
          <w:szCs w:val="20"/>
          <w:lang w:val="pt-BR"/>
        </w:rPr>
        <w:t>ã</w:t>
      </w:r>
      <w:r w:rsidR="006560D6" w:rsidRPr="00337743">
        <w:rPr>
          <w:rFonts w:ascii="Cambria" w:hAnsi="Cambria"/>
          <w:sz w:val="20"/>
          <w:szCs w:val="20"/>
          <w:lang w:val="pt-BR"/>
        </w:rPr>
        <w:t xml:space="preserve">o </w:t>
      </w:r>
      <w:r w:rsidR="00E01589" w:rsidRPr="00337743">
        <w:rPr>
          <w:rFonts w:ascii="Cambria" w:hAnsi="Cambria"/>
          <w:sz w:val="20"/>
          <w:szCs w:val="20"/>
          <w:lang w:val="pt-BR"/>
        </w:rPr>
        <w:t>pessoas</w:t>
      </w:r>
      <w:r w:rsidR="006560D6" w:rsidRPr="00337743">
        <w:rPr>
          <w:rFonts w:ascii="Cambria" w:hAnsi="Cambria"/>
          <w:sz w:val="20"/>
          <w:szCs w:val="20"/>
          <w:lang w:val="pt-BR"/>
        </w:rPr>
        <w:t xml:space="preserve"> de </w:t>
      </w:r>
      <w:r w:rsidR="00E01589" w:rsidRPr="00337743">
        <w:rPr>
          <w:rFonts w:ascii="Cambria" w:hAnsi="Cambria"/>
          <w:sz w:val="20"/>
          <w:szCs w:val="20"/>
          <w:lang w:val="pt-BR"/>
        </w:rPr>
        <w:t>escassos</w:t>
      </w:r>
      <w:r w:rsidR="006560D6" w:rsidRPr="00337743">
        <w:rPr>
          <w:rFonts w:ascii="Cambria" w:hAnsi="Cambria"/>
          <w:sz w:val="20"/>
          <w:szCs w:val="20"/>
          <w:lang w:val="pt-BR"/>
        </w:rPr>
        <w:t xml:space="preserve"> recursos econ</w:t>
      </w:r>
      <w:r w:rsidR="00B70F49" w:rsidRPr="00337743">
        <w:rPr>
          <w:rFonts w:ascii="Cambria" w:hAnsi="Cambria"/>
          <w:sz w:val="20"/>
          <w:szCs w:val="20"/>
          <w:lang w:val="pt-BR"/>
        </w:rPr>
        <w:t>ô</w:t>
      </w:r>
      <w:r w:rsidR="006560D6" w:rsidRPr="00337743">
        <w:rPr>
          <w:rFonts w:ascii="Cambria" w:hAnsi="Cambria"/>
          <w:sz w:val="20"/>
          <w:szCs w:val="20"/>
          <w:lang w:val="pt-BR"/>
        </w:rPr>
        <w:t>micos</w:t>
      </w:r>
      <w:r w:rsidR="00244C61" w:rsidRPr="00337743">
        <w:rPr>
          <w:rFonts w:ascii="Cambria" w:hAnsi="Cambria"/>
          <w:sz w:val="20"/>
          <w:szCs w:val="20"/>
          <w:vertAlign w:val="superscript"/>
          <w:lang w:val="pt-BR"/>
        </w:rPr>
        <w:footnoteReference w:id="16"/>
      </w:r>
      <w:r w:rsidR="00846B43" w:rsidRPr="00337743">
        <w:rPr>
          <w:rFonts w:ascii="Cambria" w:hAnsi="Cambria"/>
          <w:sz w:val="20"/>
          <w:szCs w:val="20"/>
          <w:lang w:val="pt-BR"/>
        </w:rPr>
        <w:t>.</w:t>
      </w:r>
      <w:r w:rsidR="00244C61" w:rsidRPr="00337743">
        <w:rPr>
          <w:rFonts w:ascii="Cambria" w:hAnsi="Cambria"/>
          <w:sz w:val="20"/>
          <w:szCs w:val="20"/>
          <w:lang w:val="pt-BR"/>
        </w:rPr>
        <w:t xml:space="preserve"> </w:t>
      </w:r>
    </w:p>
    <w:p w14:paraId="33F0A11E" w14:textId="77777777" w:rsidR="00472955" w:rsidRPr="00337743" w:rsidRDefault="00472955" w:rsidP="007B13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firstLine="709"/>
        <w:jc w:val="both"/>
        <w:rPr>
          <w:rFonts w:ascii="Cambria" w:hAnsi="Cambria"/>
          <w:color w:val="000000"/>
          <w:sz w:val="20"/>
          <w:szCs w:val="20"/>
          <w:lang w:val="pt-BR"/>
        </w:rPr>
      </w:pPr>
    </w:p>
    <w:p w14:paraId="3161CF72" w14:textId="77777777" w:rsidR="00AF25A6" w:rsidRPr="00337743" w:rsidRDefault="009D71DA" w:rsidP="007B1365">
      <w:pPr>
        <w:pStyle w:val="Heading2"/>
        <w:numPr>
          <w:ilvl w:val="0"/>
          <w:numId w:val="58"/>
        </w:numPr>
        <w:spacing w:before="0"/>
        <w:ind w:left="0" w:firstLine="709"/>
        <w:rPr>
          <w:rFonts w:ascii="Cambria" w:hAnsi="Cambria"/>
          <w:i w:val="0"/>
          <w:sz w:val="20"/>
          <w:szCs w:val="20"/>
          <w:lang w:val="pt-BR"/>
        </w:rPr>
      </w:pPr>
      <w:bookmarkStart w:id="11" w:name="_Toc5890570"/>
      <w:r w:rsidRPr="00337743">
        <w:rPr>
          <w:rFonts w:ascii="Cambria" w:hAnsi="Cambria"/>
          <w:i w:val="0"/>
          <w:sz w:val="20"/>
          <w:szCs w:val="20"/>
          <w:lang w:val="pt-BR"/>
        </w:rPr>
        <w:t>Fat</w:t>
      </w:r>
      <w:r w:rsidR="00252827" w:rsidRPr="00337743">
        <w:rPr>
          <w:rFonts w:ascii="Cambria" w:hAnsi="Cambria"/>
          <w:i w:val="0"/>
          <w:sz w:val="20"/>
          <w:szCs w:val="20"/>
          <w:lang w:val="pt-BR"/>
        </w:rPr>
        <w:t>os</w:t>
      </w:r>
      <w:r w:rsidR="007707E3" w:rsidRPr="00337743">
        <w:rPr>
          <w:rFonts w:ascii="Cambria" w:hAnsi="Cambria"/>
          <w:i w:val="0"/>
          <w:sz w:val="20"/>
          <w:szCs w:val="20"/>
          <w:lang w:val="pt-BR"/>
        </w:rPr>
        <w:t xml:space="preserve"> do </w:t>
      </w:r>
      <w:r w:rsidR="00252827" w:rsidRPr="00337743">
        <w:rPr>
          <w:rFonts w:ascii="Cambria" w:hAnsi="Cambria"/>
          <w:i w:val="0"/>
          <w:sz w:val="20"/>
          <w:szCs w:val="20"/>
          <w:lang w:val="pt-BR"/>
        </w:rPr>
        <w:t>caso</w:t>
      </w:r>
      <w:bookmarkEnd w:id="11"/>
    </w:p>
    <w:p w14:paraId="10601033" w14:textId="77777777" w:rsidR="00472955" w:rsidRPr="00337743" w:rsidRDefault="00472955" w:rsidP="007B1365">
      <w:pPr>
        <w:ind w:firstLine="709"/>
        <w:rPr>
          <w:rFonts w:ascii="Cambria" w:hAnsi="Cambria"/>
          <w:sz w:val="20"/>
          <w:szCs w:val="20"/>
          <w:lang w:val="pt-BR"/>
        </w:rPr>
      </w:pPr>
    </w:p>
    <w:p w14:paraId="505A2874" w14:textId="77777777" w:rsidR="00AF25A6" w:rsidRPr="00337743" w:rsidRDefault="003439C5" w:rsidP="007B1365">
      <w:pPr>
        <w:pStyle w:val="Heading3"/>
        <w:numPr>
          <w:ilvl w:val="0"/>
          <w:numId w:val="59"/>
        </w:numPr>
        <w:spacing w:before="0"/>
        <w:ind w:left="0" w:firstLine="709"/>
        <w:rPr>
          <w:rFonts w:ascii="Cambria" w:hAnsi="Cambria"/>
          <w:sz w:val="20"/>
          <w:szCs w:val="20"/>
          <w:lang w:val="pt-BR"/>
        </w:rPr>
      </w:pPr>
      <w:bookmarkStart w:id="12" w:name="_Toc5890571"/>
      <w:r w:rsidRPr="00337743">
        <w:rPr>
          <w:rFonts w:ascii="Cambria" w:hAnsi="Cambria"/>
          <w:sz w:val="20"/>
          <w:szCs w:val="20"/>
          <w:lang w:val="pt-BR"/>
        </w:rPr>
        <w:t>A</w:t>
      </w:r>
      <w:r w:rsidR="0052643A" w:rsidRPr="00337743">
        <w:rPr>
          <w:rFonts w:ascii="Cambria" w:hAnsi="Cambria"/>
          <w:sz w:val="20"/>
          <w:szCs w:val="20"/>
          <w:lang w:val="pt-BR"/>
        </w:rPr>
        <w:t xml:space="preserve"> </w:t>
      </w:r>
      <w:r w:rsidR="009D71DA" w:rsidRPr="00337743">
        <w:rPr>
          <w:rFonts w:ascii="Cambria" w:hAnsi="Cambria"/>
          <w:sz w:val="20"/>
          <w:szCs w:val="20"/>
          <w:lang w:val="pt-BR"/>
        </w:rPr>
        <w:t>mort</w:t>
      </w:r>
      <w:r w:rsidR="0052643A" w:rsidRPr="00337743">
        <w:rPr>
          <w:rFonts w:ascii="Cambria" w:hAnsi="Cambria"/>
          <w:sz w:val="20"/>
          <w:szCs w:val="20"/>
          <w:lang w:val="pt-BR"/>
        </w:rPr>
        <w:t>e de Márcia Barbosa de Souza</w:t>
      </w:r>
      <w:r w:rsidR="00506331" w:rsidRPr="00337743">
        <w:rPr>
          <w:rFonts w:ascii="Cambria" w:hAnsi="Cambria"/>
          <w:sz w:val="20"/>
          <w:szCs w:val="20"/>
          <w:lang w:val="pt-BR"/>
        </w:rPr>
        <w:t xml:space="preserve"> e a </w:t>
      </w:r>
      <w:r w:rsidR="00EA374D" w:rsidRPr="00337743">
        <w:rPr>
          <w:rFonts w:ascii="Cambria" w:hAnsi="Cambria"/>
          <w:sz w:val="20"/>
          <w:szCs w:val="20"/>
          <w:lang w:val="pt-BR"/>
        </w:rPr>
        <w:t>respectiva investiga</w:t>
      </w:r>
      <w:r w:rsidR="00350E7E" w:rsidRPr="00337743">
        <w:rPr>
          <w:rFonts w:ascii="Cambria" w:hAnsi="Cambria"/>
          <w:sz w:val="20"/>
          <w:szCs w:val="20"/>
          <w:lang w:val="pt-BR"/>
        </w:rPr>
        <w:t>ção</w:t>
      </w:r>
      <w:r w:rsidR="00EA374D" w:rsidRPr="00337743">
        <w:rPr>
          <w:rFonts w:ascii="Cambria" w:hAnsi="Cambria"/>
          <w:sz w:val="20"/>
          <w:szCs w:val="20"/>
          <w:lang w:val="pt-BR"/>
        </w:rPr>
        <w:t xml:space="preserve"> policial</w:t>
      </w:r>
      <w:bookmarkEnd w:id="12"/>
    </w:p>
    <w:p w14:paraId="2DCEBF43" w14:textId="77777777" w:rsidR="000F6DB3" w:rsidRPr="00337743" w:rsidRDefault="000F6DB3" w:rsidP="007B13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firstLine="709"/>
        <w:jc w:val="both"/>
        <w:rPr>
          <w:rFonts w:ascii="Cambria" w:hAnsi="Cambria"/>
          <w:b/>
          <w:sz w:val="20"/>
          <w:szCs w:val="20"/>
          <w:lang w:val="pt-BR"/>
        </w:rPr>
      </w:pPr>
    </w:p>
    <w:p w14:paraId="6F8C2E00" w14:textId="77777777" w:rsidR="00F1290D" w:rsidRPr="00337743" w:rsidRDefault="003439C5" w:rsidP="002B36C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O</w:t>
      </w:r>
      <w:r w:rsidR="00F1290D" w:rsidRPr="00337743">
        <w:rPr>
          <w:rFonts w:ascii="Cambria" w:hAnsi="Cambria"/>
          <w:color w:val="000000"/>
          <w:sz w:val="20"/>
          <w:szCs w:val="20"/>
          <w:lang w:val="pt-BR"/>
        </w:rPr>
        <w:t xml:space="preserve"> c</w:t>
      </w:r>
      <w:r w:rsidRPr="00337743">
        <w:rPr>
          <w:rFonts w:ascii="Cambria" w:hAnsi="Cambria"/>
          <w:color w:val="000000"/>
          <w:sz w:val="20"/>
          <w:szCs w:val="20"/>
          <w:lang w:val="pt-BR"/>
        </w:rPr>
        <w:t>o</w:t>
      </w:r>
      <w:r w:rsidR="00F1290D" w:rsidRPr="00337743">
        <w:rPr>
          <w:rFonts w:ascii="Cambria" w:hAnsi="Cambria"/>
          <w:color w:val="000000"/>
          <w:sz w:val="20"/>
          <w:szCs w:val="20"/>
          <w:lang w:val="pt-BR"/>
        </w:rPr>
        <w:t>rpo de M</w:t>
      </w:r>
      <w:r w:rsidR="00180B7C" w:rsidRPr="00337743">
        <w:rPr>
          <w:rFonts w:ascii="Cambria" w:hAnsi="Cambria"/>
          <w:color w:val="000000"/>
          <w:sz w:val="20"/>
          <w:szCs w:val="20"/>
          <w:lang w:val="pt-BR"/>
        </w:rPr>
        <w:t>á</w:t>
      </w:r>
      <w:r w:rsidR="00F1290D" w:rsidRPr="00337743">
        <w:rPr>
          <w:rFonts w:ascii="Cambria" w:hAnsi="Cambria"/>
          <w:color w:val="000000"/>
          <w:sz w:val="20"/>
          <w:szCs w:val="20"/>
          <w:lang w:val="pt-BR"/>
        </w:rPr>
        <w:t>rcia Barbosa de Souza</w:t>
      </w:r>
      <w:r w:rsidR="00091880" w:rsidRPr="00337743">
        <w:rPr>
          <w:rFonts w:ascii="Cambria" w:hAnsi="Cambria"/>
          <w:color w:val="000000"/>
          <w:sz w:val="20"/>
          <w:szCs w:val="20"/>
          <w:lang w:val="pt-BR"/>
        </w:rPr>
        <w:t xml:space="preserve"> foi </w:t>
      </w:r>
      <w:r w:rsidR="00F1290D" w:rsidRPr="00337743">
        <w:rPr>
          <w:rFonts w:ascii="Cambria" w:hAnsi="Cambria"/>
          <w:color w:val="000000"/>
          <w:sz w:val="20"/>
          <w:szCs w:val="20"/>
          <w:lang w:val="pt-BR"/>
        </w:rPr>
        <w:t>encontrado</w:t>
      </w:r>
      <w:r w:rsidR="00091880" w:rsidRPr="00337743">
        <w:rPr>
          <w:rFonts w:ascii="Cambria" w:hAnsi="Cambria"/>
          <w:color w:val="000000"/>
          <w:sz w:val="20"/>
          <w:szCs w:val="20"/>
          <w:lang w:val="pt-BR"/>
        </w:rPr>
        <w:t xml:space="preserve"> </w:t>
      </w:r>
      <w:r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um </w:t>
      </w:r>
      <w:r w:rsidR="00F1290D" w:rsidRPr="00337743">
        <w:rPr>
          <w:rFonts w:ascii="Cambria" w:hAnsi="Cambria"/>
          <w:color w:val="000000"/>
          <w:sz w:val="20"/>
          <w:szCs w:val="20"/>
          <w:lang w:val="pt-BR"/>
        </w:rPr>
        <w:t xml:space="preserve">terreno </w:t>
      </w:r>
      <w:r w:rsidR="00E01589" w:rsidRPr="00337743">
        <w:rPr>
          <w:rFonts w:ascii="Cambria" w:hAnsi="Cambria"/>
          <w:color w:val="000000"/>
          <w:sz w:val="20"/>
          <w:szCs w:val="20"/>
          <w:lang w:val="pt-BR"/>
        </w:rPr>
        <w:t>baldio</w:t>
      </w:r>
      <w:r w:rsidR="00513361" w:rsidRPr="00337743">
        <w:rPr>
          <w:rFonts w:ascii="Cambria" w:hAnsi="Cambria"/>
          <w:color w:val="000000"/>
          <w:sz w:val="20"/>
          <w:szCs w:val="20"/>
          <w:lang w:val="pt-BR"/>
        </w:rPr>
        <w:t xml:space="preserve"> nas </w:t>
      </w:r>
      <w:r w:rsidR="00E01589" w:rsidRPr="00337743">
        <w:rPr>
          <w:rFonts w:ascii="Cambria" w:hAnsi="Cambria"/>
          <w:color w:val="000000"/>
          <w:sz w:val="20"/>
          <w:szCs w:val="20"/>
          <w:lang w:val="pt-BR"/>
        </w:rPr>
        <w:t>proximidades</w:t>
      </w:r>
      <w:r w:rsidR="007707E3" w:rsidRPr="00337743">
        <w:rPr>
          <w:rFonts w:ascii="Cambria" w:hAnsi="Cambria"/>
          <w:color w:val="000000"/>
          <w:sz w:val="20"/>
          <w:szCs w:val="20"/>
          <w:lang w:val="pt-BR"/>
        </w:rPr>
        <w:t xml:space="preserve"> da </w:t>
      </w:r>
      <w:r w:rsidR="00E01589" w:rsidRPr="00337743">
        <w:rPr>
          <w:rFonts w:ascii="Cambria" w:hAnsi="Cambria"/>
          <w:color w:val="000000"/>
          <w:sz w:val="20"/>
          <w:szCs w:val="20"/>
          <w:lang w:val="pt-BR"/>
        </w:rPr>
        <w:t>cidade</w:t>
      </w:r>
      <w:r w:rsidR="00350E7E" w:rsidRPr="00337743">
        <w:rPr>
          <w:rFonts w:ascii="Cambria" w:hAnsi="Cambria"/>
          <w:color w:val="000000"/>
          <w:sz w:val="20"/>
          <w:szCs w:val="20"/>
          <w:lang w:val="pt-BR"/>
        </w:rPr>
        <w:t xml:space="preserve"> </w:t>
      </w:r>
      <w:r w:rsidR="00F1290D" w:rsidRPr="00337743">
        <w:rPr>
          <w:rFonts w:ascii="Cambria" w:hAnsi="Cambria"/>
          <w:color w:val="000000"/>
          <w:sz w:val="20"/>
          <w:szCs w:val="20"/>
          <w:lang w:val="pt-BR"/>
        </w:rPr>
        <w:t xml:space="preserve">de João Pessoa, </w:t>
      </w:r>
      <w:r w:rsidR="00DD281A" w:rsidRPr="00337743">
        <w:rPr>
          <w:rFonts w:ascii="Cambria" w:hAnsi="Cambria"/>
          <w:color w:val="000000"/>
          <w:sz w:val="20"/>
          <w:szCs w:val="20"/>
          <w:lang w:val="pt-BR"/>
        </w:rPr>
        <w:t>c</w:t>
      </w:r>
      <w:r w:rsidR="00F1290D" w:rsidRPr="00337743">
        <w:rPr>
          <w:rFonts w:ascii="Cambria" w:hAnsi="Cambria"/>
          <w:color w:val="000000"/>
          <w:sz w:val="20"/>
          <w:szCs w:val="20"/>
          <w:lang w:val="pt-BR"/>
        </w:rPr>
        <w:t>apital</w:t>
      </w:r>
      <w:r w:rsidR="007707E3" w:rsidRPr="00337743">
        <w:rPr>
          <w:rFonts w:ascii="Cambria" w:hAnsi="Cambria"/>
          <w:color w:val="000000"/>
          <w:sz w:val="20"/>
          <w:szCs w:val="20"/>
          <w:lang w:val="pt-BR"/>
        </w:rPr>
        <w:t xml:space="preserve"> do </w:t>
      </w:r>
      <w:r w:rsidR="00F1290D" w:rsidRPr="00337743">
        <w:rPr>
          <w:rFonts w:ascii="Cambria" w:hAnsi="Cambria"/>
          <w:color w:val="000000"/>
          <w:sz w:val="20"/>
          <w:szCs w:val="20"/>
          <w:lang w:val="pt-BR"/>
        </w:rPr>
        <w:t>Estado d</w:t>
      </w:r>
      <w:r w:rsidRPr="00337743">
        <w:rPr>
          <w:rFonts w:ascii="Cambria" w:hAnsi="Cambria"/>
          <w:color w:val="000000"/>
          <w:sz w:val="20"/>
          <w:szCs w:val="20"/>
          <w:lang w:val="pt-BR"/>
        </w:rPr>
        <w:t>a</w:t>
      </w:r>
      <w:r w:rsidR="00F1290D" w:rsidRPr="00337743">
        <w:rPr>
          <w:rFonts w:ascii="Cambria" w:hAnsi="Cambria"/>
          <w:color w:val="000000"/>
          <w:sz w:val="20"/>
          <w:szCs w:val="20"/>
          <w:lang w:val="pt-BR"/>
        </w:rPr>
        <w:t xml:space="preserve"> </w:t>
      </w:r>
      <w:r w:rsidR="0060000A" w:rsidRPr="00337743">
        <w:rPr>
          <w:rFonts w:ascii="Cambria" w:hAnsi="Cambria"/>
          <w:color w:val="000000"/>
          <w:sz w:val="20"/>
          <w:szCs w:val="20"/>
          <w:lang w:val="pt-BR"/>
        </w:rPr>
        <w:t>Paraíba</w:t>
      </w:r>
      <w:r w:rsidR="00F1290D"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F1290D" w:rsidRPr="00337743">
        <w:rPr>
          <w:rFonts w:ascii="Cambria" w:hAnsi="Cambria"/>
          <w:color w:val="000000"/>
          <w:sz w:val="20"/>
          <w:szCs w:val="20"/>
          <w:lang w:val="pt-BR"/>
        </w:rPr>
        <w:t xml:space="preserve">18 de </w:t>
      </w:r>
      <w:r w:rsidR="00E01589" w:rsidRPr="00337743">
        <w:rPr>
          <w:rFonts w:ascii="Cambria" w:hAnsi="Cambria"/>
          <w:color w:val="000000"/>
          <w:sz w:val="20"/>
          <w:szCs w:val="20"/>
          <w:lang w:val="pt-BR"/>
        </w:rPr>
        <w:t>junho</w:t>
      </w:r>
      <w:r w:rsidR="00F1290D" w:rsidRPr="00337743">
        <w:rPr>
          <w:rFonts w:ascii="Cambria" w:hAnsi="Cambria"/>
          <w:color w:val="000000"/>
          <w:sz w:val="20"/>
          <w:szCs w:val="20"/>
          <w:lang w:val="pt-BR"/>
        </w:rPr>
        <w:t xml:space="preserve"> de 1998. </w:t>
      </w:r>
      <w:r w:rsidR="006018D3">
        <w:rPr>
          <w:rFonts w:ascii="Cambria" w:hAnsi="Cambria"/>
          <w:color w:val="000000"/>
          <w:sz w:val="20"/>
          <w:szCs w:val="20"/>
          <w:lang w:val="pt-BR"/>
        </w:rPr>
        <w:t>Logo na sequência</w:t>
      </w:r>
      <w:r w:rsidR="00F1290D"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a </w:t>
      </w:r>
      <w:r w:rsidR="00F1290D" w:rsidRPr="00337743">
        <w:rPr>
          <w:rFonts w:ascii="Cambria" w:hAnsi="Cambria"/>
          <w:color w:val="000000"/>
          <w:sz w:val="20"/>
          <w:szCs w:val="20"/>
          <w:lang w:val="pt-BR"/>
        </w:rPr>
        <w:t>Polic</w:t>
      </w:r>
      <w:r w:rsidR="00BF72CE" w:rsidRPr="00337743">
        <w:rPr>
          <w:rFonts w:ascii="Cambria" w:hAnsi="Cambria"/>
          <w:color w:val="000000"/>
          <w:sz w:val="20"/>
          <w:szCs w:val="20"/>
          <w:lang w:val="pt-BR"/>
        </w:rPr>
        <w:t>ia</w:t>
      </w:r>
      <w:r w:rsidR="00F1290D" w:rsidRPr="00337743">
        <w:rPr>
          <w:rFonts w:ascii="Cambria" w:hAnsi="Cambria"/>
          <w:color w:val="000000"/>
          <w:sz w:val="20"/>
          <w:szCs w:val="20"/>
          <w:lang w:val="pt-BR"/>
        </w:rPr>
        <w:t xml:space="preserve"> Civil</w:t>
      </w:r>
      <w:r w:rsidR="007707E3" w:rsidRPr="00337743">
        <w:rPr>
          <w:rFonts w:ascii="Cambria" w:hAnsi="Cambria"/>
          <w:color w:val="000000"/>
          <w:sz w:val="20"/>
          <w:szCs w:val="20"/>
          <w:lang w:val="pt-BR"/>
        </w:rPr>
        <w:t xml:space="preserve"> do </w:t>
      </w:r>
      <w:r w:rsidR="00F1290D" w:rsidRPr="00337743">
        <w:rPr>
          <w:rFonts w:ascii="Cambria" w:hAnsi="Cambria"/>
          <w:color w:val="000000"/>
          <w:sz w:val="20"/>
          <w:szCs w:val="20"/>
          <w:lang w:val="pt-BR"/>
        </w:rPr>
        <w:t>Estado d</w:t>
      </w:r>
      <w:r w:rsidRPr="00337743">
        <w:rPr>
          <w:rFonts w:ascii="Cambria" w:hAnsi="Cambria"/>
          <w:color w:val="000000"/>
          <w:sz w:val="20"/>
          <w:szCs w:val="20"/>
          <w:lang w:val="pt-BR"/>
        </w:rPr>
        <w:t>a</w:t>
      </w:r>
      <w:r w:rsidR="00F1290D" w:rsidRPr="00337743">
        <w:rPr>
          <w:rFonts w:ascii="Cambria" w:hAnsi="Cambria"/>
          <w:color w:val="000000"/>
          <w:sz w:val="20"/>
          <w:szCs w:val="20"/>
          <w:lang w:val="pt-BR"/>
        </w:rPr>
        <w:t xml:space="preserve"> </w:t>
      </w:r>
      <w:r w:rsidR="0060000A" w:rsidRPr="00337743">
        <w:rPr>
          <w:rFonts w:ascii="Cambria" w:hAnsi="Cambria"/>
          <w:color w:val="000000"/>
          <w:sz w:val="20"/>
          <w:szCs w:val="20"/>
          <w:lang w:val="pt-BR"/>
        </w:rPr>
        <w:t>Paraíba</w:t>
      </w:r>
      <w:r w:rsidR="00F1290D" w:rsidRPr="00337743">
        <w:rPr>
          <w:rFonts w:ascii="Cambria" w:hAnsi="Cambria"/>
          <w:color w:val="000000"/>
          <w:sz w:val="20"/>
          <w:szCs w:val="20"/>
          <w:lang w:val="pt-BR"/>
        </w:rPr>
        <w:t xml:space="preserve"> inici</w:t>
      </w:r>
      <w:r w:rsidR="00E01589" w:rsidRPr="00337743">
        <w:rPr>
          <w:rFonts w:ascii="Cambria" w:hAnsi="Cambria"/>
          <w:color w:val="000000"/>
          <w:sz w:val="20"/>
          <w:szCs w:val="20"/>
          <w:lang w:val="pt-BR"/>
        </w:rPr>
        <w:t>ou</w:t>
      </w:r>
      <w:r w:rsidR="00506331" w:rsidRPr="00337743">
        <w:rPr>
          <w:rFonts w:ascii="Cambria" w:hAnsi="Cambria"/>
          <w:color w:val="000000"/>
          <w:sz w:val="20"/>
          <w:szCs w:val="20"/>
          <w:lang w:val="pt-BR"/>
        </w:rPr>
        <w:t xml:space="preserve"> a </w:t>
      </w:r>
      <w:r w:rsidR="00F1290D" w:rsidRPr="00337743">
        <w:rPr>
          <w:rFonts w:ascii="Cambria" w:hAnsi="Cambria"/>
          <w:color w:val="000000"/>
          <w:sz w:val="20"/>
          <w:szCs w:val="20"/>
          <w:lang w:val="pt-BR"/>
        </w:rPr>
        <w:t>investiga</w:t>
      </w:r>
      <w:r w:rsidR="00350E7E" w:rsidRPr="00337743">
        <w:rPr>
          <w:rFonts w:ascii="Cambria" w:hAnsi="Cambria"/>
          <w:color w:val="000000"/>
          <w:sz w:val="20"/>
          <w:szCs w:val="20"/>
          <w:lang w:val="pt-BR"/>
        </w:rPr>
        <w:t>ção</w:t>
      </w:r>
      <w:r w:rsidR="002349C7" w:rsidRPr="00337743">
        <w:rPr>
          <w:rFonts w:ascii="Cambria" w:hAnsi="Cambria"/>
          <w:color w:val="000000"/>
          <w:sz w:val="20"/>
          <w:szCs w:val="20"/>
          <w:vertAlign w:val="superscript"/>
          <w:lang w:val="pt-BR"/>
        </w:rPr>
        <w:footnoteReference w:id="17"/>
      </w:r>
      <w:r w:rsidR="00F45BC9" w:rsidRPr="00337743">
        <w:rPr>
          <w:rFonts w:ascii="Cambria" w:hAnsi="Cambria"/>
          <w:color w:val="000000"/>
          <w:sz w:val="20"/>
          <w:szCs w:val="20"/>
          <w:lang w:val="pt-BR"/>
        </w:rPr>
        <w:t>.</w:t>
      </w:r>
    </w:p>
    <w:p w14:paraId="6FCDACD5" w14:textId="77777777" w:rsidR="002B36CF" w:rsidRPr="00337743" w:rsidRDefault="002B36CF" w:rsidP="002B36C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ind w:firstLine="709"/>
        <w:jc w:val="both"/>
        <w:rPr>
          <w:rFonts w:ascii="Cambria" w:hAnsi="Cambria"/>
          <w:color w:val="000000"/>
          <w:sz w:val="20"/>
          <w:szCs w:val="20"/>
          <w:lang w:val="pt-BR"/>
        </w:rPr>
      </w:pPr>
    </w:p>
    <w:p w14:paraId="406C6AE1" w14:textId="77777777" w:rsidR="002650F8" w:rsidRPr="00337743" w:rsidRDefault="00C640DA" w:rsidP="002617B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Conforme</w:t>
      </w:r>
      <w:r w:rsidR="00F453EB"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a</w:t>
      </w:r>
      <w:r w:rsidR="00F453EB" w:rsidRPr="00337743">
        <w:rPr>
          <w:rFonts w:ascii="Cambria" w:hAnsi="Cambria"/>
          <w:color w:val="000000"/>
          <w:sz w:val="20"/>
          <w:szCs w:val="20"/>
          <w:lang w:val="pt-BR"/>
        </w:rPr>
        <w:t xml:space="preserve"> </w:t>
      </w:r>
      <w:r w:rsidRPr="00337743">
        <w:rPr>
          <w:rFonts w:ascii="Cambria" w:hAnsi="Cambria"/>
          <w:color w:val="000000"/>
          <w:sz w:val="20"/>
          <w:szCs w:val="20"/>
          <w:lang w:val="pt-BR"/>
        </w:rPr>
        <w:t>declara</w:t>
      </w:r>
      <w:r w:rsidR="00350E7E" w:rsidRPr="00337743">
        <w:rPr>
          <w:rFonts w:ascii="Cambria" w:hAnsi="Cambria"/>
          <w:color w:val="000000"/>
          <w:sz w:val="20"/>
          <w:szCs w:val="20"/>
          <w:lang w:val="pt-BR"/>
        </w:rPr>
        <w:t>ção</w:t>
      </w:r>
      <w:r w:rsidRPr="00337743">
        <w:rPr>
          <w:rFonts w:ascii="Cambria" w:hAnsi="Cambria"/>
          <w:color w:val="000000"/>
          <w:sz w:val="20"/>
          <w:szCs w:val="20"/>
          <w:lang w:val="pt-BR"/>
        </w:rPr>
        <w:t xml:space="preserve"> de </w:t>
      </w:r>
      <w:r w:rsidR="00E01589" w:rsidRPr="00337743">
        <w:rPr>
          <w:rFonts w:ascii="Cambria" w:hAnsi="Cambria"/>
          <w:color w:val="000000"/>
          <w:sz w:val="20"/>
          <w:szCs w:val="20"/>
          <w:lang w:val="pt-BR"/>
        </w:rPr>
        <w:t>seu</w:t>
      </w:r>
      <w:r w:rsidRPr="00337743">
        <w:rPr>
          <w:rFonts w:ascii="Cambria" w:hAnsi="Cambria"/>
          <w:color w:val="000000"/>
          <w:sz w:val="20"/>
          <w:szCs w:val="20"/>
          <w:lang w:val="pt-BR"/>
        </w:rPr>
        <w:t xml:space="preserve"> pa</w:t>
      </w:r>
      <w:r w:rsidR="003439C5" w:rsidRPr="00337743">
        <w:rPr>
          <w:rFonts w:ascii="Cambria" w:hAnsi="Cambria"/>
          <w:color w:val="000000"/>
          <w:sz w:val="20"/>
          <w:szCs w:val="20"/>
          <w:lang w:val="pt-BR"/>
        </w:rPr>
        <w:t>i</w:t>
      </w:r>
      <w:r w:rsidRPr="00337743">
        <w:rPr>
          <w:rFonts w:ascii="Cambria" w:hAnsi="Cambria"/>
          <w:color w:val="000000"/>
          <w:sz w:val="20"/>
          <w:szCs w:val="20"/>
          <w:lang w:val="pt-BR"/>
        </w:rPr>
        <w:t xml:space="preserve">, </w:t>
      </w:r>
      <w:r w:rsidR="002B36CF" w:rsidRPr="00337743">
        <w:rPr>
          <w:rFonts w:ascii="Cambria" w:hAnsi="Cambria"/>
          <w:color w:val="000000"/>
          <w:sz w:val="20"/>
          <w:szCs w:val="20"/>
          <w:lang w:val="pt-BR"/>
        </w:rPr>
        <w:t>Márcia viaj</w:t>
      </w:r>
      <w:r w:rsidR="003439C5" w:rsidRPr="00337743">
        <w:rPr>
          <w:rFonts w:ascii="Cambria" w:hAnsi="Cambria"/>
          <w:color w:val="000000"/>
          <w:sz w:val="20"/>
          <w:szCs w:val="20"/>
          <w:lang w:val="pt-BR"/>
        </w:rPr>
        <w:t>ou</w:t>
      </w:r>
      <w:r w:rsidR="002B36CF"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par</w:t>
      </w:r>
      <w:r w:rsidR="002B36CF" w:rsidRPr="00337743">
        <w:rPr>
          <w:rFonts w:ascii="Cambria" w:hAnsi="Cambria"/>
          <w:color w:val="000000"/>
          <w:sz w:val="20"/>
          <w:szCs w:val="20"/>
          <w:lang w:val="pt-BR"/>
        </w:rPr>
        <w:t>a João Pessoa</w:t>
      </w:r>
      <w:r w:rsidR="00506331"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2B36CF" w:rsidRPr="00337743">
        <w:rPr>
          <w:rFonts w:ascii="Cambria" w:hAnsi="Cambria"/>
          <w:color w:val="000000"/>
          <w:sz w:val="20"/>
          <w:szCs w:val="20"/>
          <w:lang w:val="pt-BR"/>
        </w:rPr>
        <w:t xml:space="preserve">13 de </w:t>
      </w:r>
      <w:r w:rsidR="00E01589" w:rsidRPr="00337743">
        <w:rPr>
          <w:rFonts w:ascii="Cambria" w:hAnsi="Cambria"/>
          <w:color w:val="000000"/>
          <w:sz w:val="20"/>
          <w:szCs w:val="20"/>
          <w:lang w:val="pt-BR"/>
        </w:rPr>
        <w:t>junho</w:t>
      </w:r>
      <w:r w:rsidR="002B36CF" w:rsidRPr="00337743">
        <w:rPr>
          <w:rFonts w:ascii="Cambria" w:hAnsi="Cambria"/>
          <w:color w:val="000000"/>
          <w:sz w:val="20"/>
          <w:szCs w:val="20"/>
          <w:lang w:val="pt-BR"/>
        </w:rPr>
        <w:t xml:space="preserve"> de 1998</w:t>
      </w:r>
      <w:r w:rsidR="0093150F" w:rsidRPr="00337743">
        <w:rPr>
          <w:rFonts w:ascii="Cambria" w:hAnsi="Cambria"/>
          <w:color w:val="000000"/>
          <w:sz w:val="20"/>
          <w:szCs w:val="20"/>
          <w:vertAlign w:val="superscript"/>
          <w:lang w:val="pt-BR"/>
        </w:rPr>
        <w:footnoteReference w:id="18"/>
      </w:r>
      <w:r w:rsidR="002B36CF"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ão </w:t>
      </w:r>
      <w:r w:rsidR="005F11CC" w:rsidRPr="00337743">
        <w:rPr>
          <w:rFonts w:ascii="Cambria" w:hAnsi="Cambria"/>
          <w:color w:val="000000"/>
          <w:sz w:val="20"/>
          <w:szCs w:val="20"/>
          <w:lang w:val="pt-BR"/>
        </w:rPr>
        <w:t>era</w:t>
      </w:r>
      <w:r w:rsidR="00506331" w:rsidRPr="00337743">
        <w:rPr>
          <w:rFonts w:ascii="Cambria" w:hAnsi="Cambria"/>
          <w:color w:val="000000"/>
          <w:sz w:val="20"/>
          <w:szCs w:val="20"/>
          <w:lang w:val="pt-BR"/>
        </w:rPr>
        <w:t xml:space="preserve"> a </w:t>
      </w:r>
      <w:r w:rsidR="00E01589" w:rsidRPr="00337743">
        <w:rPr>
          <w:rFonts w:ascii="Cambria" w:hAnsi="Cambria"/>
          <w:color w:val="000000"/>
          <w:sz w:val="20"/>
          <w:szCs w:val="20"/>
          <w:lang w:val="pt-BR"/>
        </w:rPr>
        <w:t>primeira</w:t>
      </w:r>
      <w:r w:rsidR="005F11CC" w:rsidRPr="00337743">
        <w:rPr>
          <w:rFonts w:ascii="Cambria" w:hAnsi="Cambria"/>
          <w:color w:val="000000"/>
          <w:sz w:val="20"/>
          <w:szCs w:val="20"/>
          <w:lang w:val="pt-BR"/>
        </w:rPr>
        <w:t xml:space="preserve"> vez que o </w:t>
      </w:r>
      <w:r w:rsidR="003439C5" w:rsidRPr="00337743">
        <w:rPr>
          <w:rFonts w:ascii="Cambria" w:hAnsi="Cambria"/>
          <w:color w:val="000000"/>
          <w:sz w:val="20"/>
          <w:szCs w:val="20"/>
          <w:lang w:val="pt-BR"/>
        </w:rPr>
        <w:t>faz</w:t>
      </w:r>
      <w:r w:rsidR="00BF72CE" w:rsidRPr="00337743">
        <w:rPr>
          <w:rFonts w:ascii="Cambria" w:hAnsi="Cambria"/>
          <w:color w:val="000000"/>
          <w:sz w:val="20"/>
          <w:szCs w:val="20"/>
          <w:lang w:val="pt-BR"/>
        </w:rPr>
        <w:t>ia</w:t>
      </w:r>
      <w:r w:rsidR="005F11CC"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em </w:t>
      </w:r>
      <w:r w:rsidR="00E81481" w:rsidRPr="00337743">
        <w:rPr>
          <w:rFonts w:ascii="Cambria" w:hAnsi="Cambria"/>
          <w:color w:val="000000"/>
          <w:sz w:val="20"/>
          <w:szCs w:val="20"/>
          <w:lang w:val="pt-BR"/>
        </w:rPr>
        <w:t>outr</w:t>
      </w:r>
      <w:r w:rsidR="005F11CC" w:rsidRPr="00337743">
        <w:rPr>
          <w:rFonts w:ascii="Cambria" w:hAnsi="Cambria"/>
          <w:color w:val="000000"/>
          <w:sz w:val="20"/>
          <w:szCs w:val="20"/>
          <w:lang w:val="pt-BR"/>
        </w:rPr>
        <w:t>as ocasi</w:t>
      </w:r>
      <w:r w:rsidR="00421ACD" w:rsidRPr="00337743">
        <w:rPr>
          <w:rFonts w:ascii="Cambria" w:hAnsi="Cambria"/>
          <w:color w:val="000000"/>
          <w:sz w:val="20"/>
          <w:szCs w:val="20"/>
          <w:lang w:val="pt-BR"/>
        </w:rPr>
        <w:t>õ</w:t>
      </w:r>
      <w:r w:rsidR="005F11CC" w:rsidRPr="00337743">
        <w:rPr>
          <w:rFonts w:ascii="Cambria" w:hAnsi="Cambria"/>
          <w:color w:val="000000"/>
          <w:sz w:val="20"/>
          <w:szCs w:val="20"/>
          <w:lang w:val="pt-BR"/>
        </w:rPr>
        <w:t>es,</w:t>
      </w:r>
      <w:r w:rsidR="00091880" w:rsidRPr="00337743">
        <w:rPr>
          <w:rFonts w:ascii="Cambria" w:hAnsi="Cambria"/>
          <w:color w:val="000000"/>
          <w:sz w:val="20"/>
          <w:szCs w:val="20"/>
          <w:lang w:val="pt-BR"/>
        </w:rPr>
        <w:t xml:space="preserve"> foi </w:t>
      </w:r>
      <w:r w:rsidR="002B36CF" w:rsidRPr="00337743">
        <w:rPr>
          <w:rFonts w:ascii="Cambria" w:hAnsi="Cambria"/>
          <w:color w:val="000000"/>
          <w:sz w:val="20"/>
          <w:szCs w:val="20"/>
          <w:lang w:val="pt-BR"/>
        </w:rPr>
        <w:t xml:space="preserve">hospedada por </w:t>
      </w:r>
      <w:r w:rsidR="00E01589" w:rsidRPr="00337743">
        <w:rPr>
          <w:rFonts w:ascii="Cambria" w:hAnsi="Cambria"/>
          <w:color w:val="000000"/>
          <w:sz w:val="20"/>
          <w:szCs w:val="20"/>
          <w:lang w:val="pt-BR"/>
        </w:rPr>
        <w:t>sua</w:t>
      </w:r>
      <w:r w:rsidR="002B36CF" w:rsidRPr="00337743">
        <w:rPr>
          <w:rFonts w:ascii="Cambria" w:hAnsi="Cambria"/>
          <w:color w:val="000000"/>
          <w:sz w:val="20"/>
          <w:szCs w:val="20"/>
          <w:lang w:val="pt-BR"/>
        </w:rPr>
        <w:t xml:space="preserve"> amiga Márcia Santos Cavalcante</w:t>
      </w:r>
      <w:r w:rsidR="00506331" w:rsidRPr="00337743">
        <w:rPr>
          <w:rFonts w:ascii="Cambria" w:hAnsi="Cambria"/>
          <w:color w:val="000000"/>
          <w:sz w:val="20"/>
          <w:szCs w:val="20"/>
          <w:lang w:val="pt-BR"/>
        </w:rPr>
        <w:t xml:space="preserve"> e </w:t>
      </w:r>
      <w:r w:rsidR="00E01589" w:rsidRPr="00337743">
        <w:rPr>
          <w:rFonts w:ascii="Cambria" w:hAnsi="Cambria"/>
          <w:color w:val="000000"/>
          <w:sz w:val="20"/>
          <w:szCs w:val="20"/>
          <w:lang w:val="pt-BR"/>
        </w:rPr>
        <w:t>seu</w:t>
      </w:r>
      <w:r w:rsidR="002B36CF" w:rsidRPr="00337743">
        <w:rPr>
          <w:rFonts w:ascii="Cambria" w:hAnsi="Cambria"/>
          <w:color w:val="000000"/>
          <w:sz w:val="20"/>
          <w:szCs w:val="20"/>
          <w:lang w:val="pt-BR"/>
        </w:rPr>
        <w:t xml:space="preserve"> marido Uilson Martins de Souza. </w:t>
      </w:r>
      <w:r w:rsidR="00E01589" w:rsidRPr="00337743">
        <w:rPr>
          <w:rFonts w:ascii="Cambria" w:hAnsi="Cambria"/>
          <w:color w:val="000000"/>
          <w:sz w:val="20"/>
          <w:szCs w:val="20"/>
          <w:lang w:val="pt-BR"/>
        </w:rPr>
        <w:t>Segundo</w:t>
      </w:r>
      <w:r w:rsidR="00B277D6" w:rsidRPr="00337743">
        <w:rPr>
          <w:rFonts w:ascii="Cambria" w:hAnsi="Cambria"/>
          <w:color w:val="000000"/>
          <w:sz w:val="20"/>
          <w:szCs w:val="20"/>
          <w:lang w:val="pt-BR"/>
        </w:rPr>
        <w:t xml:space="preserve"> </w:t>
      </w:r>
      <w:r w:rsidR="00E01589" w:rsidRPr="00337743">
        <w:rPr>
          <w:rFonts w:ascii="Cambria" w:hAnsi="Cambria"/>
          <w:color w:val="000000"/>
          <w:sz w:val="20"/>
          <w:szCs w:val="20"/>
          <w:lang w:val="pt-BR"/>
        </w:rPr>
        <w:t>sua</w:t>
      </w:r>
      <w:r w:rsidR="00B277D6" w:rsidRPr="00337743">
        <w:rPr>
          <w:rFonts w:ascii="Cambria" w:hAnsi="Cambria"/>
          <w:color w:val="000000"/>
          <w:sz w:val="20"/>
          <w:szCs w:val="20"/>
          <w:lang w:val="pt-BR"/>
        </w:rPr>
        <w:t xml:space="preserve"> amiga,</w:t>
      </w:r>
      <w:r w:rsidR="00091880" w:rsidRPr="00337743">
        <w:rPr>
          <w:rFonts w:ascii="Cambria" w:hAnsi="Cambria"/>
          <w:color w:val="000000"/>
          <w:sz w:val="20"/>
          <w:szCs w:val="20"/>
          <w:lang w:val="pt-BR"/>
        </w:rPr>
        <w:t xml:space="preserve"> em</w:t>
      </w:r>
      <w:r w:rsidR="00BF72CE"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pel</w:t>
      </w:r>
      <w:r w:rsidR="00BF72CE" w:rsidRPr="00337743">
        <w:rPr>
          <w:rFonts w:ascii="Cambria" w:hAnsi="Cambria"/>
          <w:color w:val="000000"/>
          <w:sz w:val="20"/>
          <w:szCs w:val="20"/>
          <w:lang w:val="pt-BR"/>
        </w:rPr>
        <w:t xml:space="preserve">o </w:t>
      </w:r>
      <w:r w:rsidR="002B36CF" w:rsidRPr="00337743">
        <w:rPr>
          <w:rFonts w:ascii="Cambria" w:hAnsi="Cambria"/>
          <w:color w:val="000000"/>
          <w:sz w:val="20"/>
          <w:szCs w:val="20"/>
          <w:lang w:val="pt-BR"/>
        </w:rPr>
        <w:t>menos d</w:t>
      </w:r>
      <w:r w:rsidR="003439C5" w:rsidRPr="00337743">
        <w:rPr>
          <w:rFonts w:ascii="Cambria" w:hAnsi="Cambria"/>
          <w:color w:val="000000"/>
          <w:sz w:val="20"/>
          <w:szCs w:val="20"/>
          <w:lang w:val="pt-BR"/>
        </w:rPr>
        <w:t>ua</w:t>
      </w:r>
      <w:r w:rsidR="002B36CF" w:rsidRPr="00337743">
        <w:rPr>
          <w:rFonts w:ascii="Cambria" w:hAnsi="Cambria"/>
          <w:color w:val="000000"/>
          <w:sz w:val="20"/>
          <w:szCs w:val="20"/>
          <w:lang w:val="pt-BR"/>
        </w:rPr>
        <w:t xml:space="preserve">s </w:t>
      </w:r>
      <w:r w:rsidR="00E01589" w:rsidRPr="00337743">
        <w:rPr>
          <w:rFonts w:ascii="Cambria" w:hAnsi="Cambria"/>
          <w:color w:val="000000"/>
          <w:sz w:val="20"/>
          <w:szCs w:val="20"/>
          <w:lang w:val="pt-BR"/>
        </w:rPr>
        <w:t>dessas</w:t>
      </w:r>
      <w:r w:rsidR="002B36CF" w:rsidRPr="00337743">
        <w:rPr>
          <w:rFonts w:ascii="Cambria" w:hAnsi="Cambria"/>
          <w:color w:val="000000"/>
          <w:sz w:val="20"/>
          <w:szCs w:val="20"/>
          <w:lang w:val="pt-BR"/>
        </w:rPr>
        <w:t xml:space="preserve"> oportunidades </w:t>
      </w:r>
      <w:r w:rsidR="00D23D6A" w:rsidRPr="00337743">
        <w:rPr>
          <w:rFonts w:ascii="Cambria" w:hAnsi="Cambria"/>
          <w:color w:val="000000"/>
          <w:sz w:val="20"/>
          <w:szCs w:val="20"/>
          <w:lang w:val="pt-BR"/>
        </w:rPr>
        <w:t xml:space="preserve">Márcia Santos </w:t>
      </w:r>
      <w:r w:rsidR="00E01589" w:rsidRPr="00337743">
        <w:rPr>
          <w:rFonts w:ascii="Cambria" w:hAnsi="Cambria"/>
          <w:color w:val="000000"/>
          <w:sz w:val="20"/>
          <w:szCs w:val="20"/>
          <w:lang w:val="pt-BR"/>
        </w:rPr>
        <w:t>teve</w:t>
      </w:r>
      <w:r w:rsidR="001A320E" w:rsidRPr="00337743">
        <w:rPr>
          <w:rFonts w:ascii="Cambria" w:hAnsi="Cambria"/>
          <w:color w:val="000000"/>
          <w:sz w:val="20"/>
          <w:szCs w:val="20"/>
          <w:lang w:val="pt-BR"/>
        </w:rPr>
        <w:t xml:space="preserve"> </w:t>
      </w:r>
      <w:r w:rsidR="00E01589" w:rsidRPr="00337743">
        <w:rPr>
          <w:rFonts w:ascii="Cambria" w:hAnsi="Cambria"/>
          <w:color w:val="000000"/>
          <w:sz w:val="20"/>
          <w:szCs w:val="20"/>
          <w:lang w:val="pt-BR"/>
        </w:rPr>
        <w:t>contato</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o </w:t>
      </w:r>
      <w:r w:rsidR="002B36CF" w:rsidRPr="00337743">
        <w:rPr>
          <w:rFonts w:ascii="Cambria" w:hAnsi="Cambria"/>
          <w:color w:val="000000"/>
          <w:sz w:val="20"/>
          <w:szCs w:val="20"/>
          <w:lang w:val="pt-BR"/>
        </w:rPr>
        <w:t>ent</w:t>
      </w:r>
      <w:r w:rsidR="003439C5" w:rsidRPr="00337743">
        <w:rPr>
          <w:rFonts w:ascii="Cambria" w:hAnsi="Cambria"/>
          <w:color w:val="000000"/>
          <w:sz w:val="20"/>
          <w:szCs w:val="20"/>
          <w:lang w:val="pt-BR"/>
        </w:rPr>
        <w:t>ã</w:t>
      </w:r>
      <w:r w:rsidR="002B36CF" w:rsidRPr="00337743">
        <w:rPr>
          <w:rFonts w:ascii="Cambria" w:hAnsi="Cambria"/>
          <w:color w:val="000000"/>
          <w:sz w:val="20"/>
          <w:szCs w:val="20"/>
          <w:lang w:val="pt-BR"/>
        </w:rPr>
        <w:t>o</w:t>
      </w:r>
      <w:r w:rsidR="003439C5" w:rsidRPr="00337743">
        <w:rPr>
          <w:rFonts w:ascii="Cambria" w:hAnsi="Cambria"/>
          <w:color w:val="000000"/>
          <w:sz w:val="20"/>
          <w:szCs w:val="20"/>
          <w:lang w:val="pt-BR"/>
        </w:rPr>
        <w:t xml:space="preserve"> </w:t>
      </w:r>
      <w:r w:rsidR="00114C2E" w:rsidRPr="00337743">
        <w:rPr>
          <w:rFonts w:ascii="Cambria" w:hAnsi="Cambria"/>
          <w:color w:val="000000"/>
          <w:sz w:val="20"/>
          <w:szCs w:val="20"/>
          <w:lang w:val="pt-BR"/>
        </w:rPr>
        <w:t>Deputado</w:t>
      </w:r>
      <w:r w:rsidR="002B36CF" w:rsidRPr="00337743">
        <w:rPr>
          <w:rFonts w:ascii="Cambria" w:hAnsi="Cambria"/>
          <w:color w:val="000000"/>
          <w:sz w:val="20"/>
          <w:szCs w:val="20"/>
          <w:lang w:val="pt-BR"/>
        </w:rPr>
        <w:t xml:space="preserve"> Aércio Pereira de Lima</w:t>
      </w:r>
      <w:r w:rsidR="002B36CF" w:rsidRPr="00337743">
        <w:rPr>
          <w:rFonts w:ascii="Cambria" w:hAnsi="Cambria"/>
          <w:color w:val="000000"/>
          <w:sz w:val="20"/>
          <w:szCs w:val="20"/>
          <w:vertAlign w:val="superscript"/>
          <w:lang w:val="pt-BR"/>
        </w:rPr>
        <w:footnoteReference w:id="19"/>
      </w:r>
      <w:r w:rsidR="00491659"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Na</w:t>
      </w:r>
      <w:r w:rsidR="00F122A6" w:rsidRPr="00337743">
        <w:rPr>
          <w:rFonts w:ascii="Cambria" w:hAnsi="Cambria"/>
          <w:color w:val="000000"/>
          <w:sz w:val="20"/>
          <w:szCs w:val="20"/>
          <w:lang w:val="pt-BR"/>
        </w:rPr>
        <w:t>quela</w:t>
      </w:r>
      <w:r w:rsidR="00091880" w:rsidRPr="00337743">
        <w:rPr>
          <w:rFonts w:ascii="Cambria" w:hAnsi="Cambria"/>
          <w:color w:val="000000"/>
          <w:sz w:val="20"/>
          <w:szCs w:val="20"/>
          <w:lang w:val="pt-BR"/>
        </w:rPr>
        <w:t xml:space="preserve"> </w:t>
      </w:r>
      <w:r w:rsidR="002B36CF" w:rsidRPr="00337743">
        <w:rPr>
          <w:rFonts w:ascii="Cambria" w:hAnsi="Cambria"/>
          <w:color w:val="000000"/>
          <w:sz w:val="20"/>
          <w:szCs w:val="20"/>
          <w:lang w:val="pt-BR"/>
        </w:rPr>
        <w:t>que ser</w:t>
      </w:r>
      <w:r w:rsidR="00BF72CE" w:rsidRPr="00337743">
        <w:rPr>
          <w:rFonts w:ascii="Cambria" w:hAnsi="Cambria"/>
          <w:color w:val="000000"/>
          <w:sz w:val="20"/>
          <w:szCs w:val="20"/>
          <w:lang w:val="pt-BR"/>
        </w:rPr>
        <w:t>ia</w:t>
      </w:r>
      <w:r w:rsidR="002B36CF" w:rsidRPr="00337743">
        <w:rPr>
          <w:rFonts w:ascii="Cambria" w:hAnsi="Cambria"/>
          <w:color w:val="000000"/>
          <w:sz w:val="20"/>
          <w:szCs w:val="20"/>
          <w:lang w:val="pt-BR"/>
        </w:rPr>
        <w:t xml:space="preserve"> su</w:t>
      </w:r>
      <w:r w:rsidR="003439C5" w:rsidRPr="00337743">
        <w:rPr>
          <w:rFonts w:ascii="Cambria" w:hAnsi="Cambria"/>
          <w:color w:val="000000"/>
          <w:sz w:val="20"/>
          <w:szCs w:val="20"/>
          <w:lang w:val="pt-BR"/>
        </w:rPr>
        <w:t>a</w:t>
      </w:r>
      <w:r w:rsidR="002B36CF" w:rsidRPr="00337743">
        <w:rPr>
          <w:rFonts w:ascii="Cambria" w:hAnsi="Cambria"/>
          <w:color w:val="000000"/>
          <w:sz w:val="20"/>
          <w:szCs w:val="20"/>
          <w:lang w:val="pt-BR"/>
        </w:rPr>
        <w:t xml:space="preserve"> últim</w:t>
      </w:r>
      <w:r w:rsidR="00F122A6" w:rsidRPr="00337743">
        <w:rPr>
          <w:rFonts w:ascii="Cambria" w:hAnsi="Cambria"/>
          <w:color w:val="000000"/>
          <w:sz w:val="20"/>
          <w:szCs w:val="20"/>
          <w:lang w:val="pt-BR"/>
        </w:rPr>
        <w:t>a</w:t>
      </w:r>
      <w:r w:rsidR="002B36CF" w:rsidRPr="00337743">
        <w:rPr>
          <w:rFonts w:ascii="Cambria" w:hAnsi="Cambria"/>
          <w:color w:val="000000"/>
          <w:sz w:val="20"/>
          <w:szCs w:val="20"/>
          <w:lang w:val="pt-BR"/>
        </w:rPr>
        <w:t xml:space="preserve"> via</w:t>
      </w:r>
      <w:r w:rsidR="003439C5" w:rsidRPr="00337743">
        <w:rPr>
          <w:rFonts w:ascii="Cambria" w:hAnsi="Cambria"/>
          <w:color w:val="000000"/>
          <w:sz w:val="20"/>
          <w:szCs w:val="20"/>
          <w:lang w:val="pt-BR"/>
        </w:rPr>
        <w:t>gem</w:t>
      </w:r>
      <w:r w:rsidR="002B36CF" w:rsidRPr="00337743">
        <w:rPr>
          <w:rFonts w:ascii="Cambria" w:hAnsi="Cambria"/>
          <w:color w:val="000000"/>
          <w:sz w:val="20"/>
          <w:szCs w:val="20"/>
          <w:lang w:val="pt-BR"/>
        </w:rPr>
        <w:t xml:space="preserve"> a João Pessoa, </w:t>
      </w:r>
      <w:r w:rsidR="00526147" w:rsidRPr="00337743">
        <w:rPr>
          <w:rFonts w:ascii="Cambria" w:hAnsi="Cambria"/>
          <w:color w:val="000000"/>
          <w:sz w:val="20"/>
          <w:szCs w:val="20"/>
          <w:lang w:val="pt-BR"/>
        </w:rPr>
        <w:t>Márcia</w:t>
      </w:r>
      <w:r w:rsidR="00F1290D" w:rsidRPr="00337743">
        <w:rPr>
          <w:rFonts w:ascii="Cambria" w:hAnsi="Cambria"/>
          <w:color w:val="000000"/>
          <w:sz w:val="20"/>
          <w:szCs w:val="20"/>
          <w:lang w:val="pt-BR"/>
        </w:rPr>
        <w:t xml:space="preserve"> est</w:t>
      </w:r>
      <w:r w:rsidR="00E01589" w:rsidRPr="00337743">
        <w:rPr>
          <w:rFonts w:ascii="Cambria" w:hAnsi="Cambria"/>
          <w:color w:val="000000"/>
          <w:sz w:val="20"/>
          <w:szCs w:val="20"/>
          <w:lang w:val="pt-BR"/>
        </w:rPr>
        <w:t>eve</w:t>
      </w:r>
      <w:r w:rsidR="00F1290D" w:rsidRPr="00337743">
        <w:rPr>
          <w:rFonts w:ascii="Cambria" w:hAnsi="Cambria"/>
          <w:color w:val="000000"/>
          <w:sz w:val="20"/>
          <w:szCs w:val="20"/>
          <w:lang w:val="pt-BR"/>
        </w:rPr>
        <w:t xml:space="preserve"> hospedada</w:t>
      </w:r>
      <w:r w:rsidR="00091880"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a </w:t>
      </w:r>
      <w:r w:rsidR="00F1290D" w:rsidRPr="00337743">
        <w:rPr>
          <w:rFonts w:ascii="Cambria" w:hAnsi="Cambria"/>
          <w:color w:val="000000"/>
          <w:sz w:val="20"/>
          <w:szCs w:val="20"/>
          <w:lang w:val="pt-BR"/>
        </w:rPr>
        <w:t>po</w:t>
      </w:r>
      <w:r w:rsidR="00E01589" w:rsidRPr="00337743">
        <w:rPr>
          <w:rFonts w:ascii="Cambria" w:hAnsi="Cambria"/>
          <w:color w:val="000000"/>
          <w:sz w:val="20"/>
          <w:szCs w:val="20"/>
          <w:lang w:val="pt-BR"/>
        </w:rPr>
        <w:t>u</w:t>
      </w:r>
      <w:r w:rsidR="00F1290D" w:rsidRPr="00337743">
        <w:rPr>
          <w:rFonts w:ascii="Cambria" w:hAnsi="Cambria"/>
          <w:color w:val="000000"/>
          <w:sz w:val="20"/>
          <w:szCs w:val="20"/>
          <w:lang w:val="pt-BR"/>
        </w:rPr>
        <w:t>sada “Canta Maré”.</w:t>
      </w:r>
      <w:r w:rsidR="00506331"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N</w:t>
      </w:r>
      <w:r w:rsidR="00506331" w:rsidRPr="00337743">
        <w:rPr>
          <w:rFonts w:ascii="Cambria" w:hAnsi="Cambria"/>
          <w:color w:val="000000"/>
          <w:sz w:val="20"/>
          <w:szCs w:val="20"/>
          <w:lang w:val="pt-BR"/>
        </w:rPr>
        <w:t xml:space="preserve">o </w:t>
      </w:r>
      <w:r w:rsidR="00F1290D" w:rsidRPr="00337743">
        <w:rPr>
          <w:rFonts w:ascii="Cambria" w:hAnsi="Cambria"/>
          <w:color w:val="000000"/>
          <w:sz w:val="20"/>
          <w:szCs w:val="20"/>
          <w:lang w:val="pt-BR"/>
        </w:rPr>
        <w:t>d</w:t>
      </w:r>
      <w:r w:rsidR="00BF72CE" w:rsidRPr="00337743">
        <w:rPr>
          <w:rFonts w:ascii="Cambria" w:hAnsi="Cambria"/>
          <w:color w:val="000000"/>
          <w:sz w:val="20"/>
          <w:szCs w:val="20"/>
          <w:lang w:val="pt-BR"/>
        </w:rPr>
        <w:t>ia</w:t>
      </w:r>
      <w:r w:rsidR="00F1290D" w:rsidRPr="00337743">
        <w:rPr>
          <w:rFonts w:ascii="Cambria" w:hAnsi="Cambria"/>
          <w:color w:val="000000"/>
          <w:sz w:val="20"/>
          <w:szCs w:val="20"/>
          <w:lang w:val="pt-BR"/>
        </w:rPr>
        <w:t xml:space="preserve"> 17 de </w:t>
      </w:r>
      <w:r w:rsidR="00E01589" w:rsidRPr="00337743">
        <w:rPr>
          <w:rFonts w:ascii="Cambria" w:hAnsi="Cambria"/>
          <w:color w:val="000000"/>
          <w:sz w:val="20"/>
          <w:szCs w:val="20"/>
          <w:lang w:val="pt-BR"/>
        </w:rPr>
        <w:t>junho</w:t>
      </w:r>
      <w:r w:rsidR="00F1290D" w:rsidRPr="00337743">
        <w:rPr>
          <w:rFonts w:ascii="Cambria" w:hAnsi="Cambria"/>
          <w:color w:val="000000"/>
          <w:sz w:val="20"/>
          <w:szCs w:val="20"/>
          <w:lang w:val="pt-BR"/>
        </w:rPr>
        <w:t xml:space="preserve"> de 1998, de</w:t>
      </w:r>
      <w:r w:rsidR="003439C5" w:rsidRPr="00337743">
        <w:rPr>
          <w:rFonts w:ascii="Cambria" w:hAnsi="Cambria"/>
          <w:color w:val="000000"/>
          <w:sz w:val="20"/>
          <w:szCs w:val="20"/>
          <w:lang w:val="pt-BR"/>
        </w:rPr>
        <w:t>pois</w:t>
      </w:r>
      <w:r w:rsidR="00F1290D" w:rsidRPr="00337743">
        <w:rPr>
          <w:rFonts w:ascii="Cambria" w:hAnsi="Cambria"/>
          <w:color w:val="000000"/>
          <w:sz w:val="20"/>
          <w:szCs w:val="20"/>
          <w:lang w:val="pt-BR"/>
        </w:rPr>
        <w:t xml:space="preserve"> de </w:t>
      </w:r>
      <w:r w:rsidR="00E01589" w:rsidRPr="00337743">
        <w:rPr>
          <w:rFonts w:ascii="Cambria" w:hAnsi="Cambria"/>
          <w:color w:val="000000"/>
          <w:sz w:val="20"/>
          <w:szCs w:val="20"/>
          <w:lang w:val="pt-BR"/>
        </w:rPr>
        <w:t>receber</w:t>
      </w:r>
      <w:r w:rsidR="00091880" w:rsidRPr="00337743">
        <w:rPr>
          <w:rFonts w:ascii="Cambria" w:hAnsi="Cambria"/>
          <w:color w:val="000000"/>
          <w:sz w:val="20"/>
          <w:szCs w:val="20"/>
          <w:lang w:val="pt-BR"/>
        </w:rPr>
        <w:t xml:space="preserve"> um</w:t>
      </w:r>
      <w:r w:rsidR="003439C5" w:rsidRPr="00337743">
        <w:rPr>
          <w:rFonts w:ascii="Cambria" w:hAnsi="Cambria"/>
          <w:color w:val="000000"/>
          <w:sz w:val="20"/>
          <w:szCs w:val="20"/>
          <w:lang w:val="pt-BR"/>
        </w:rPr>
        <w:t>a</w:t>
      </w:r>
      <w:r w:rsidR="00091880" w:rsidRPr="00337743">
        <w:rPr>
          <w:rFonts w:ascii="Cambria" w:hAnsi="Cambria"/>
          <w:color w:val="000000"/>
          <w:sz w:val="20"/>
          <w:szCs w:val="20"/>
          <w:lang w:val="pt-BR"/>
        </w:rPr>
        <w:t xml:space="preserve"> </w:t>
      </w:r>
      <w:r w:rsidR="00F1290D" w:rsidRPr="00337743">
        <w:rPr>
          <w:rFonts w:ascii="Cambria" w:hAnsi="Cambria"/>
          <w:color w:val="000000"/>
          <w:sz w:val="20"/>
          <w:szCs w:val="20"/>
          <w:lang w:val="pt-BR"/>
        </w:rPr>
        <w:t>últim</w:t>
      </w:r>
      <w:r w:rsidR="003439C5" w:rsidRPr="00337743">
        <w:rPr>
          <w:rFonts w:ascii="Cambria" w:hAnsi="Cambria"/>
          <w:color w:val="000000"/>
          <w:sz w:val="20"/>
          <w:szCs w:val="20"/>
          <w:lang w:val="pt-BR"/>
        </w:rPr>
        <w:t>a</w:t>
      </w:r>
      <w:r w:rsidR="00F1290D" w:rsidRPr="00337743">
        <w:rPr>
          <w:rFonts w:ascii="Cambria" w:hAnsi="Cambria"/>
          <w:color w:val="000000"/>
          <w:sz w:val="20"/>
          <w:szCs w:val="20"/>
          <w:lang w:val="pt-BR"/>
        </w:rPr>
        <w:t xml:space="preserve"> </w:t>
      </w:r>
      <w:r w:rsidR="003439C5" w:rsidRPr="00337743">
        <w:rPr>
          <w:rFonts w:ascii="Cambria" w:hAnsi="Cambria"/>
          <w:color w:val="000000"/>
          <w:sz w:val="20"/>
          <w:szCs w:val="20"/>
          <w:lang w:val="pt-BR"/>
        </w:rPr>
        <w:t>ch</w:t>
      </w:r>
      <w:r w:rsidR="00F1290D" w:rsidRPr="00337743">
        <w:rPr>
          <w:rFonts w:ascii="Cambria" w:hAnsi="Cambria"/>
          <w:color w:val="000000"/>
          <w:sz w:val="20"/>
          <w:szCs w:val="20"/>
          <w:lang w:val="pt-BR"/>
        </w:rPr>
        <w:t>amad</w:t>
      </w:r>
      <w:r w:rsidR="00421ACD" w:rsidRPr="00337743">
        <w:rPr>
          <w:rFonts w:ascii="Cambria" w:hAnsi="Cambria"/>
          <w:color w:val="000000"/>
          <w:sz w:val="20"/>
          <w:szCs w:val="20"/>
          <w:lang w:val="pt-BR"/>
        </w:rPr>
        <w:t>a</w:t>
      </w:r>
      <w:r w:rsidR="007707E3" w:rsidRPr="00337743">
        <w:rPr>
          <w:rFonts w:ascii="Cambria" w:hAnsi="Cambria"/>
          <w:color w:val="000000"/>
          <w:sz w:val="20"/>
          <w:szCs w:val="20"/>
          <w:lang w:val="pt-BR"/>
        </w:rPr>
        <w:t xml:space="preserve"> do </w:t>
      </w:r>
      <w:r w:rsidR="00114C2E" w:rsidRPr="00337743">
        <w:rPr>
          <w:rFonts w:ascii="Cambria" w:hAnsi="Cambria"/>
          <w:color w:val="000000"/>
          <w:sz w:val="20"/>
          <w:szCs w:val="20"/>
          <w:lang w:val="pt-BR"/>
        </w:rPr>
        <w:t>Deputado</w:t>
      </w:r>
      <w:r w:rsidR="00526147" w:rsidRPr="00337743">
        <w:rPr>
          <w:rFonts w:ascii="Cambria" w:hAnsi="Cambria"/>
          <w:color w:val="000000"/>
          <w:sz w:val="20"/>
          <w:szCs w:val="20"/>
          <w:lang w:val="pt-BR"/>
        </w:rPr>
        <w:t xml:space="preserve"> Aércio Pereira de Lima</w:t>
      </w:r>
      <w:r w:rsidR="00DC15C5" w:rsidRPr="00337743">
        <w:rPr>
          <w:rFonts w:ascii="Cambria" w:hAnsi="Cambria"/>
          <w:color w:val="000000"/>
          <w:sz w:val="20"/>
          <w:szCs w:val="20"/>
          <w:lang w:val="pt-BR"/>
        </w:rPr>
        <w:t xml:space="preserve"> – confirmad</w:t>
      </w:r>
      <w:r w:rsidR="00421ACD" w:rsidRPr="00337743">
        <w:rPr>
          <w:rFonts w:ascii="Cambria" w:hAnsi="Cambria"/>
          <w:color w:val="000000"/>
          <w:sz w:val="20"/>
          <w:szCs w:val="20"/>
          <w:lang w:val="pt-BR"/>
        </w:rPr>
        <w:t>a</w:t>
      </w:r>
      <w:r w:rsidR="00091880" w:rsidRPr="00337743">
        <w:rPr>
          <w:rFonts w:ascii="Cambria" w:hAnsi="Cambria"/>
          <w:color w:val="000000"/>
          <w:sz w:val="20"/>
          <w:szCs w:val="20"/>
          <w:lang w:val="pt-BR"/>
        </w:rPr>
        <w:t xml:space="preserve"> pelo </w:t>
      </w:r>
      <w:r w:rsidR="00E01589" w:rsidRPr="00337743">
        <w:rPr>
          <w:rFonts w:ascii="Cambria" w:hAnsi="Cambria"/>
          <w:color w:val="000000"/>
          <w:sz w:val="20"/>
          <w:szCs w:val="20"/>
          <w:lang w:val="pt-BR"/>
        </w:rPr>
        <w:t>testemunho</w:t>
      </w:r>
      <w:r w:rsidR="007707E3" w:rsidRPr="00337743">
        <w:rPr>
          <w:rFonts w:ascii="Cambria" w:hAnsi="Cambria"/>
          <w:color w:val="000000"/>
          <w:sz w:val="20"/>
          <w:szCs w:val="20"/>
          <w:lang w:val="pt-BR"/>
        </w:rPr>
        <w:t xml:space="preserve"> do </w:t>
      </w:r>
      <w:r w:rsidR="00E01589" w:rsidRPr="00337743">
        <w:rPr>
          <w:rFonts w:ascii="Cambria" w:hAnsi="Cambria"/>
          <w:color w:val="000000"/>
          <w:sz w:val="20"/>
          <w:szCs w:val="20"/>
          <w:lang w:val="pt-BR"/>
        </w:rPr>
        <w:t>porteiro</w:t>
      </w:r>
      <w:r w:rsidR="007707E3" w:rsidRPr="00337743">
        <w:rPr>
          <w:rFonts w:ascii="Cambria" w:hAnsi="Cambria"/>
          <w:color w:val="000000"/>
          <w:sz w:val="20"/>
          <w:szCs w:val="20"/>
          <w:lang w:val="pt-BR"/>
        </w:rPr>
        <w:t xml:space="preserve"> da </w:t>
      </w:r>
      <w:r w:rsidR="00DC15C5" w:rsidRPr="00337743">
        <w:rPr>
          <w:rFonts w:ascii="Cambria" w:hAnsi="Cambria"/>
          <w:color w:val="000000"/>
          <w:sz w:val="20"/>
          <w:szCs w:val="20"/>
          <w:lang w:val="pt-BR"/>
        </w:rPr>
        <w:t>po</w:t>
      </w:r>
      <w:r w:rsidR="00421ACD" w:rsidRPr="00337743">
        <w:rPr>
          <w:rFonts w:ascii="Cambria" w:hAnsi="Cambria"/>
          <w:color w:val="000000"/>
          <w:sz w:val="20"/>
          <w:szCs w:val="20"/>
          <w:lang w:val="pt-BR"/>
        </w:rPr>
        <w:t>u</w:t>
      </w:r>
      <w:r w:rsidR="00DC15C5" w:rsidRPr="00337743">
        <w:rPr>
          <w:rFonts w:ascii="Cambria" w:hAnsi="Cambria"/>
          <w:color w:val="000000"/>
          <w:sz w:val="20"/>
          <w:szCs w:val="20"/>
          <w:lang w:val="pt-BR"/>
        </w:rPr>
        <w:t>sada</w:t>
      </w:r>
      <w:r w:rsidR="00506331" w:rsidRPr="00337743">
        <w:rPr>
          <w:rFonts w:ascii="Cambria" w:hAnsi="Cambria"/>
          <w:color w:val="000000"/>
          <w:sz w:val="20"/>
          <w:szCs w:val="20"/>
          <w:lang w:val="pt-BR"/>
        </w:rPr>
        <w:t xml:space="preserve"> e </w:t>
      </w:r>
      <w:r w:rsidR="00DC15C5" w:rsidRPr="00337743">
        <w:rPr>
          <w:rFonts w:ascii="Cambria" w:hAnsi="Cambria"/>
          <w:color w:val="000000"/>
          <w:sz w:val="20"/>
          <w:szCs w:val="20"/>
          <w:lang w:val="pt-BR"/>
        </w:rPr>
        <w:t>por pr</w:t>
      </w:r>
      <w:r w:rsidR="003439C5" w:rsidRPr="00337743">
        <w:rPr>
          <w:rFonts w:ascii="Cambria" w:hAnsi="Cambria"/>
          <w:color w:val="000000"/>
          <w:sz w:val="20"/>
          <w:szCs w:val="20"/>
          <w:lang w:val="pt-BR"/>
        </w:rPr>
        <w:t>ov</w:t>
      </w:r>
      <w:r w:rsidR="00DC15C5" w:rsidRPr="00337743">
        <w:rPr>
          <w:rFonts w:ascii="Cambria" w:hAnsi="Cambria"/>
          <w:color w:val="000000"/>
          <w:sz w:val="20"/>
          <w:szCs w:val="20"/>
          <w:lang w:val="pt-BR"/>
        </w:rPr>
        <w:t xml:space="preserve">a técnica </w:t>
      </w:r>
      <w:r w:rsidR="00E01589" w:rsidRPr="00337743">
        <w:rPr>
          <w:rFonts w:ascii="Cambria" w:hAnsi="Cambria"/>
          <w:color w:val="000000"/>
          <w:sz w:val="20"/>
          <w:szCs w:val="20"/>
          <w:lang w:val="pt-BR"/>
        </w:rPr>
        <w:t>segundo</w:t>
      </w:r>
      <w:r w:rsidR="00506331" w:rsidRPr="00337743">
        <w:rPr>
          <w:rFonts w:ascii="Cambria" w:hAnsi="Cambria"/>
          <w:color w:val="000000"/>
          <w:sz w:val="20"/>
          <w:szCs w:val="20"/>
          <w:lang w:val="pt-BR"/>
        </w:rPr>
        <w:t xml:space="preserve"> a </w:t>
      </w:r>
      <w:r w:rsidR="009D71DA" w:rsidRPr="00337743">
        <w:rPr>
          <w:rFonts w:ascii="Cambria" w:hAnsi="Cambria"/>
          <w:color w:val="000000"/>
          <w:sz w:val="20"/>
          <w:szCs w:val="20"/>
          <w:lang w:val="pt-BR"/>
        </w:rPr>
        <w:t>qual</w:t>
      </w:r>
      <w:r w:rsidR="007707E3" w:rsidRPr="00337743">
        <w:rPr>
          <w:rFonts w:ascii="Cambria" w:hAnsi="Cambria"/>
          <w:color w:val="000000"/>
          <w:sz w:val="20"/>
          <w:szCs w:val="20"/>
          <w:lang w:val="pt-BR"/>
        </w:rPr>
        <w:t xml:space="preserve"> às </w:t>
      </w:r>
      <w:r w:rsidR="00DC15C5" w:rsidRPr="00337743">
        <w:rPr>
          <w:rFonts w:ascii="Cambria" w:hAnsi="Cambria"/>
          <w:color w:val="000000"/>
          <w:sz w:val="20"/>
          <w:szCs w:val="20"/>
          <w:lang w:val="pt-BR"/>
        </w:rPr>
        <w:t>18 horas, 48 minutos</w:t>
      </w:r>
      <w:r w:rsidR="00506331" w:rsidRPr="00337743">
        <w:rPr>
          <w:rFonts w:ascii="Cambria" w:hAnsi="Cambria"/>
          <w:color w:val="000000"/>
          <w:sz w:val="20"/>
          <w:szCs w:val="20"/>
          <w:lang w:val="pt-BR"/>
        </w:rPr>
        <w:t xml:space="preserve"> e </w:t>
      </w:r>
      <w:r w:rsidR="00DC15C5" w:rsidRPr="00337743">
        <w:rPr>
          <w:rFonts w:ascii="Cambria" w:hAnsi="Cambria"/>
          <w:color w:val="000000"/>
          <w:sz w:val="20"/>
          <w:szCs w:val="20"/>
          <w:lang w:val="pt-BR"/>
        </w:rPr>
        <w:t xml:space="preserve">28 segundos </w:t>
      </w:r>
      <w:r w:rsidR="00F304A8" w:rsidRPr="00337743">
        <w:rPr>
          <w:rFonts w:ascii="Cambria" w:hAnsi="Cambria"/>
          <w:color w:val="000000"/>
          <w:sz w:val="20"/>
          <w:szCs w:val="20"/>
          <w:lang w:val="pt-BR"/>
        </w:rPr>
        <w:t>foi gerada</w:t>
      </w:r>
      <w:r w:rsidR="00091880" w:rsidRPr="00337743">
        <w:rPr>
          <w:rFonts w:ascii="Cambria" w:hAnsi="Cambria"/>
          <w:color w:val="000000"/>
          <w:sz w:val="20"/>
          <w:szCs w:val="20"/>
          <w:lang w:val="pt-BR"/>
        </w:rPr>
        <w:t xml:space="preserve"> uma </w:t>
      </w:r>
      <w:r w:rsidR="00DC15C5" w:rsidRPr="00337743">
        <w:rPr>
          <w:rFonts w:ascii="Cambria" w:hAnsi="Cambria"/>
          <w:color w:val="000000"/>
          <w:sz w:val="20"/>
          <w:szCs w:val="20"/>
          <w:lang w:val="pt-BR"/>
        </w:rPr>
        <w:t>conex</w:t>
      </w:r>
      <w:r w:rsidR="00F304A8" w:rsidRPr="00337743">
        <w:rPr>
          <w:rFonts w:ascii="Cambria" w:hAnsi="Cambria"/>
          <w:color w:val="000000"/>
          <w:sz w:val="20"/>
          <w:szCs w:val="20"/>
          <w:lang w:val="pt-BR"/>
        </w:rPr>
        <w:t>ão</w:t>
      </w:r>
      <w:r w:rsidR="007707E3" w:rsidRPr="00337743">
        <w:rPr>
          <w:rFonts w:ascii="Cambria" w:hAnsi="Cambria"/>
          <w:color w:val="000000"/>
          <w:sz w:val="20"/>
          <w:szCs w:val="20"/>
          <w:lang w:val="pt-BR"/>
        </w:rPr>
        <w:t xml:space="preserve"> do </w:t>
      </w:r>
      <w:r w:rsidR="00E01589" w:rsidRPr="00337743">
        <w:rPr>
          <w:rFonts w:ascii="Cambria" w:hAnsi="Cambria"/>
          <w:color w:val="000000"/>
          <w:sz w:val="20"/>
          <w:szCs w:val="20"/>
          <w:lang w:val="pt-BR"/>
        </w:rPr>
        <w:t>telefone</w:t>
      </w:r>
      <w:r w:rsidR="00DC15C5" w:rsidRPr="00337743">
        <w:rPr>
          <w:rFonts w:ascii="Cambria" w:hAnsi="Cambria"/>
          <w:color w:val="000000"/>
          <w:sz w:val="20"/>
          <w:szCs w:val="20"/>
          <w:lang w:val="pt-BR"/>
        </w:rPr>
        <w:t xml:space="preserve"> celular usado por Aércio</w:t>
      </w:r>
      <w:r w:rsidR="00091880" w:rsidRPr="00337743">
        <w:rPr>
          <w:rFonts w:ascii="Cambria" w:hAnsi="Cambria"/>
          <w:color w:val="000000"/>
          <w:sz w:val="20"/>
          <w:szCs w:val="20"/>
          <w:lang w:val="pt-BR"/>
        </w:rPr>
        <w:t xml:space="preserve"> com </w:t>
      </w:r>
      <w:r w:rsidR="00DC15C5" w:rsidRPr="00337743">
        <w:rPr>
          <w:rFonts w:ascii="Cambria" w:hAnsi="Cambria"/>
          <w:color w:val="000000"/>
          <w:sz w:val="20"/>
          <w:szCs w:val="20"/>
          <w:lang w:val="pt-BR"/>
        </w:rPr>
        <w:t>destino</w:t>
      </w:r>
      <w:r w:rsidR="00BF72CE" w:rsidRPr="00337743">
        <w:rPr>
          <w:rFonts w:ascii="Cambria" w:hAnsi="Cambria"/>
          <w:color w:val="000000"/>
          <w:sz w:val="20"/>
          <w:szCs w:val="20"/>
          <w:lang w:val="pt-BR"/>
        </w:rPr>
        <w:t xml:space="preserve"> ao </w:t>
      </w:r>
      <w:r w:rsidR="00E01589" w:rsidRPr="00337743">
        <w:rPr>
          <w:rFonts w:ascii="Cambria" w:hAnsi="Cambria"/>
          <w:color w:val="000000"/>
          <w:sz w:val="20"/>
          <w:szCs w:val="20"/>
          <w:lang w:val="pt-BR"/>
        </w:rPr>
        <w:t>telefone</w:t>
      </w:r>
      <w:r w:rsidR="007707E3" w:rsidRPr="00337743">
        <w:rPr>
          <w:rFonts w:ascii="Cambria" w:hAnsi="Cambria"/>
          <w:color w:val="000000"/>
          <w:sz w:val="20"/>
          <w:szCs w:val="20"/>
          <w:lang w:val="pt-BR"/>
        </w:rPr>
        <w:t xml:space="preserve"> da </w:t>
      </w:r>
      <w:r w:rsidR="00DC15C5" w:rsidRPr="00337743">
        <w:rPr>
          <w:rFonts w:ascii="Cambria" w:hAnsi="Cambria"/>
          <w:color w:val="000000"/>
          <w:sz w:val="20"/>
          <w:szCs w:val="20"/>
          <w:lang w:val="pt-BR"/>
        </w:rPr>
        <w:t>mencionada po</w:t>
      </w:r>
      <w:r w:rsidR="00421ACD" w:rsidRPr="00337743">
        <w:rPr>
          <w:rFonts w:ascii="Cambria" w:hAnsi="Cambria"/>
          <w:color w:val="000000"/>
          <w:sz w:val="20"/>
          <w:szCs w:val="20"/>
          <w:lang w:val="pt-BR"/>
        </w:rPr>
        <w:t>u</w:t>
      </w:r>
      <w:r w:rsidR="00DC15C5" w:rsidRPr="00337743">
        <w:rPr>
          <w:rFonts w:ascii="Cambria" w:hAnsi="Cambria"/>
          <w:color w:val="000000"/>
          <w:sz w:val="20"/>
          <w:szCs w:val="20"/>
          <w:lang w:val="pt-BR"/>
        </w:rPr>
        <w:t>sada –</w:t>
      </w:r>
      <w:r w:rsidR="00506331" w:rsidRPr="00337743">
        <w:rPr>
          <w:rFonts w:ascii="Cambria" w:hAnsi="Cambria"/>
          <w:color w:val="000000"/>
          <w:sz w:val="20"/>
          <w:szCs w:val="20"/>
          <w:lang w:val="pt-BR"/>
        </w:rPr>
        <w:t xml:space="preserve"> a </w:t>
      </w:r>
      <w:r w:rsidR="00E01589" w:rsidRPr="00337743">
        <w:rPr>
          <w:rFonts w:ascii="Cambria" w:hAnsi="Cambria"/>
          <w:color w:val="000000"/>
          <w:sz w:val="20"/>
          <w:szCs w:val="20"/>
          <w:lang w:val="pt-BR"/>
        </w:rPr>
        <w:t>vítima</w:t>
      </w:r>
      <w:r w:rsidR="00F1290D" w:rsidRPr="00337743">
        <w:rPr>
          <w:rFonts w:ascii="Cambria" w:hAnsi="Cambria"/>
          <w:color w:val="000000"/>
          <w:sz w:val="20"/>
          <w:szCs w:val="20"/>
          <w:lang w:val="pt-BR"/>
        </w:rPr>
        <w:t xml:space="preserve"> de</w:t>
      </w:r>
      <w:r w:rsidR="00E01589" w:rsidRPr="00337743">
        <w:rPr>
          <w:rFonts w:ascii="Cambria" w:hAnsi="Cambria"/>
          <w:color w:val="000000"/>
          <w:sz w:val="20"/>
          <w:szCs w:val="20"/>
          <w:lang w:val="pt-BR"/>
        </w:rPr>
        <w:t>ixou</w:t>
      </w:r>
      <w:r w:rsidR="00506331" w:rsidRPr="00337743">
        <w:rPr>
          <w:rFonts w:ascii="Cambria" w:hAnsi="Cambria"/>
          <w:color w:val="000000"/>
          <w:sz w:val="20"/>
          <w:szCs w:val="20"/>
          <w:lang w:val="pt-BR"/>
        </w:rPr>
        <w:t xml:space="preserve"> a </w:t>
      </w:r>
      <w:r w:rsidR="00F1290D" w:rsidRPr="00337743">
        <w:rPr>
          <w:rFonts w:ascii="Cambria" w:hAnsi="Cambria"/>
          <w:color w:val="000000"/>
          <w:sz w:val="20"/>
          <w:szCs w:val="20"/>
          <w:lang w:val="pt-BR"/>
        </w:rPr>
        <w:t>po</w:t>
      </w:r>
      <w:r w:rsidR="00E01589" w:rsidRPr="00337743">
        <w:rPr>
          <w:rFonts w:ascii="Cambria" w:hAnsi="Cambria"/>
          <w:color w:val="000000"/>
          <w:sz w:val="20"/>
          <w:szCs w:val="20"/>
          <w:lang w:val="pt-BR"/>
        </w:rPr>
        <w:t>u</w:t>
      </w:r>
      <w:r w:rsidR="00F1290D" w:rsidRPr="00337743">
        <w:rPr>
          <w:rFonts w:ascii="Cambria" w:hAnsi="Cambria"/>
          <w:color w:val="000000"/>
          <w:sz w:val="20"/>
          <w:szCs w:val="20"/>
          <w:lang w:val="pt-BR"/>
        </w:rPr>
        <w:t>sada para ir a</w:t>
      </w:r>
      <w:r w:rsidR="00E01589" w:rsidRPr="00337743">
        <w:rPr>
          <w:rFonts w:ascii="Cambria" w:hAnsi="Cambria"/>
          <w:color w:val="000000"/>
          <w:sz w:val="20"/>
          <w:szCs w:val="20"/>
          <w:lang w:val="pt-BR"/>
        </w:rPr>
        <w:t>o</w:t>
      </w:r>
      <w:r w:rsidR="00F1290D" w:rsidRPr="00337743">
        <w:rPr>
          <w:rFonts w:ascii="Cambria" w:hAnsi="Cambria"/>
          <w:color w:val="000000"/>
          <w:sz w:val="20"/>
          <w:szCs w:val="20"/>
          <w:lang w:val="pt-BR"/>
        </w:rPr>
        <w:t xml:space="preserve"> s</w:t>
      </w:r>
      <w:r w:rsidR="00E01589" w:rsidRPr="00337743">
        <w:rPr>
          <w:rFonts w:ascii="Cambria" w:hAnsi="Cambria"/>
          <w:color w:val="000000"/>
          <w:sz w:val="20"/>
          <w:szCs w:val="20"/>
          <w:lang w:val="pt-BR"/>
        </w:rPr>
        <w:t>e</w:t>
      </w:r>
      <w:r w:rsidR="00F1290D" w:rsidRPr="00337743">
        <w:rPr>
          <w:rFonts w:ascii="Cambria" w:hAnsi="Cambria"/>
          <w:color w:val="000000"/>
          <w:sz w:val="20"/>
          <w:szCs w:val="20"/>
          <w:lang w:val="pt-BR"/>
        </w:rPr>
        <w:t xml:space="preserve">u </w:t>
      </w:r>
      <w:r w:rsidR="00E01589" w:rsidRPr="00337743">
        <w:rPr>
          <w:rFonts w:ascii="Cambria" w:hAnsi="Cambria"/>
          <w:color w:val="000000"/>
          <w:sz w:val="20"/>
          <w:szCs w:val="20"/>
          <w:lang w:val="pt-BR"/>
        </w:rPr>
        <w:t>encontro</w:t>
      </w:r>
      <w:r w:rsidR="00F1290D" w:rsidRPr="00337743">
        <w:rPr>
          <w:rFonts w:ascii="Cambria" w:hAnsi="Cambria"/>
          <w:color w:val="000000"/>
          <w:sz w:val="20"/>
          <w:szCs w:val="20"/>
          <w:lang w:val="pt-BR"/>
        </w:rPr>
        <w:t>. Horas de</w:t>
      </w:r>
      <w:r w:rsidR="00F304A8" w:rsidRPr="00337743">
        <w:rPr>
          <w:rFonts w:ascii="Cambria" w:hAnsi="Cambria"/>
          <w:color w:val="000000"/>
          <w:sz w:val="20"/>
          <w:szCs w:val="20"/>
          <w:lang w:val="pt-BR"/>
        </w:rPr>
        <w:t>pois</w:t>
      </w:r>
      <w:r w:rsidR="00DC15C5" w:rsidRPr="00337743">
        <w:rPr>
          <w:rFonts w:ascii="Cambria" w:hAnsi="Cambria"/>
          <w:color w:val="000000"/>
          <w:sz w:val="20"/>
          <w:szCs w:val="20"/>
          <w:lang w:val="pt-BR"/>
        </w:rPr>
        <w:t xml:space="preserve"> – </w:t>
      </w:r>
      <w:r w:rsidR="00F304A8" w:rsidRPr="00337743">
        <w:rPr>
          <w:rFonts w:ascii="Cambria" w:hAnsi="Cambria"/>
          <w:color w:val="000000"/>
          <w:sz w:val="20"/>
          <w:szCs w:val="20"/>
          <w:lang w:val="pt-BR"/>
        </w:rPr>
        <w:t>mais</w:t>
      </w:r>
      <w:r w:rsidR="00DC15C5" w:rsidRPr="00337743">
        <w:rPr>
          <w:rFonts w:ascii="Cambria" w:hAnsi="Cambria"/>
          <w:color w:val="000000"/>
          <w:sz w:val="20"/>
          <w:szCs w:val="20"/>
          <w:lang w:val="pt-BR"/>
        </w:rPr>
        <w:t xml:space="preserve"> precisamente</w:t>
      </w:r>
      <w:r w:rsidR="007707E3" w:rsidRPr="00337743">
        <w:rPr>
          <w:rFonts w:ascii="Cambria" w:hAnsi="Cambria"/>
          <w:color w:val="000000"/>
          <w:sz w:val="20"/>
          <w:szCs w:val="20"/>
          <w:lang w:val="pt-BR"/>
        </w:rPr>
        <w:t xml:space="preserve"> às </w:t>
      </w:r>
      <w:r w:rsidR="00DC15C5" w:rsidRPr="00337743">
        <w:rPr>
          <w:rFonts w:ascii="Cambria" w:hAnsi="Cambria"/>
          <w:color w:val="000000"/>
          <w:sz w:val="20"/>
          <w:szCs w:val="20"/>
          <w:lang w:val="pt-BR"/>
        </w:rPr>
        <w:t>21 horas, 11 minutos</w:t>
      </w:r>
      <w:r w:rsidR="00506331" w:rsidRPr="00337743">
        <w:rPr>
          <w:rFonts w:ascii="Cambria" w:hAnsi="Cambria"/>
          <w:color w:val="000000"/>
          <w:sz w:val="20"/>
          <w:szCs w:val="20"/>
          <w:lang w:val="pt-BR"/>
        </w:rPr>
        <w:t xml:space="preserve"> e </w:t>
      </w:r>
      <w:r w:rsidR="00DC15C5" w:rsidRPr="00337743">
        <w:rPr>
          <w:rFonts w:ascii="Cambria" w:hAnsi="Cambria"/>
          <w:color w:val="000000"/>
          <w:sz w:val="20"/>
          <w:szCs w:val="20"/>
          <w:lang w:val="pt-BR"/>
        </w:rPr>
        <w:t>22 segundos, conforme pr</w:t>
      </w:r>
      <w:r w:rsidR="00C77010" w:rsidRPr="00337743">
        <w:rPr>
          <w:rFonts w:ascii="Cambria" w:hAnsi="Cambria"/>
          <w:color w:val="000000"/>
          <w:sz w:val="20"/>
          <w:szCs w:val="20"/>
          <w:lang w:val="pt-BR"/>
        </w:rPr>
        <w:t>ov</w:t>
      </w:r>
      <w:r w:rsidR="00DC15C5" w:rsidRPr="00337743">
        <w:rPr>
          <w:rFonts w:ascii="Cambria" w:hAnsi="Cambria"/>
          <w:color w:val="000000"/>
          <w:sz w:val="20"/>
          <w:szCs w:val="20"/>
          <w:lang w:val="pt-BR"/>
        </w:rPr>
        <w:t>a técnica –</w:t>
      </w:r>
      <w:r w:rsidR="00F1290D" w:rsidRPr="00337743">
        <w:rPr>
          <w:rFonts w:ascii="Cambria" w:hAnsi="Cambria"/>
          <w:color w:val="000000"/>
          <w:sz w:val="20"/>
          <w:szCs w:val="20"/>
          <w:lang w:val="pt-BR"/>
        </w:rPr>
        <w:t>,</w:t>
      </w:r>
      <w:r w:rsidR="00526147" w:rsidRPr="00337743">
        <w:rPr>
          <w:rFonts w:ascii="Cambria" w:hAnsi="Cambria"/>
          <w:color w:val="000000"/>
          <w:sz w:val="20"/>
          <w:szCs w:val="20"/>
          <w:lang w:val="pt-BR"/>
        </w:rPr>
        <w:t xml:space="preserve"> </w:t>
      </w:r>
      <w:r w:rsidR="00AE63A3" w:rsidRPr="00337743">
        <w:rPr>
          <w:rFonts w:ascii="Cambria" w:hAnsi="Cambria"/>
          <w:color w:val="000000"/>
          <w:sz w:val="20"/>
          <w:szCs w:val="20"/>
          <w:lang w:val="pt-BR"/>
        </w:rPr>
        <w:t>houve</w:t>
      </w:r>
      <w:r w:rsidR="00091880" w:rsidRPr="00337743">
        <w:rPr>
          <w:rFonts w:ascii="Cambria" w:hAnsi="Cambria"/>
          <w:color w:val="000000"/>
          <w:sz w:val="20"/>
          <w:szCs w:val="20"/>
          <w:lang w:val="pt-BR"/>
        </w:rPr>
        <w:t xml:space="preserve"> uma </w:t>
      </w:r>
      <w:r w:rsidR="00C77010" w:rsidRPr="00337743">
        <w:rPr>
          <w:rFonts w:ascii="Cambria" w:hAnsi="Cambria"/>
          <w:color w:val="000000"/>
          <w:sz w:val="20"/>
          <w:szCs w:val="20"/>
          <w:lang w:val="pt-BR"/>
        </w:rPr>
        <w:t>ch</w:t>
      </w:r>
      <w:r w:rsidR="00526147" w:rsidRPr="00337743">
        <w:rPr>
          <w:rFonts w:ascii="Cambria" w:hAnsi="Cambria"/>
          <w:color w:val="000000"/>
          <w:sz w:val="20"/>
          <w:szCs w:val="20"/>
          <w:lang w:val="pt-BR"/>
        </w:rPr>
        <w:t>amada telef</w:t>
      </w:r>
      <w:r w:rsidR="00421ACD" w:rsidRPr="00337743">
        <w:rPr>
          <w:rFonts w:ascii="Cambria" w:hAnsi="Cambria"/>
          <w:color w:val="000000"/>
          <w:sz w:val="20"/>
          <w:szCs w:val="20"/>
          <w:lang w:val="pt-BR"/>
        </w:rPr>
        <w:t>ô</w:t>
      </w:r>
      <w:r w:rsidR="00526147" w:rsidRPr="00337743">
        <w:rPr>
          <w:rFonts w:ascii="Cambria" w:hAnsi="Cambria"/>
          <w:color w:val="000000"/>
          <w:sz w:val="20"/>
          <w:szCs w:val="20"/>
          <w:lang w:val="pt-BR"/>
        </w:rPr>
        <w:t>nica</w:t>
      </w:r>
      <w:r w:rsidR="007707E3" w:rsidRPr="00337743">
        <w:rPr>
          <w:rFonts w:ascii="Cambria" w:hAnsi="Cambria"/>
          <w:color w:val="000000"/>
          <w:sz w:val="20"/>
          <w:szCs w:val="20"/>
          <w:lang w:val="pt-BR"/>
        </w:rPr>
        <w:t xml:space="preserve"> do </w:t>
      </w:r>
      <w:r w:rsidR="00AE63A3" w:rsidRPr="00337743">
        <w:rPr>
          <w:rFonts w:ascii="Cambria" w:hAnsi="Cambria"/>
          <w:color w:val="000000"/>
          <w:sz w:val="20"/>
          <w:szCs w:val="20"/>
          <w:lang w:val="pt-BR"/>
        </w:rPr>
        <w:t xml:space="preserve">celular </w:t>
      </w:r>
      <w:r w:rsidR="00526147" w:rsidRPr="00337743">
        <w:rPr>
          <w:rFonts w:ascii="Cambria" w:hAnsi="Cambria"/>
          <w:color w:val="000000"/>
          <w:sz w:val="20"/>
          <w:szCs w:val="20"/>
          <w:lang w:val="pt-BR"/>
        </w:rPr>
        <w:t xml:space="preserve">que </w:t>
      </w:r>
      <w:r w:rsidR="00E01589" w:rsidRPr="00337743">
        <w:rPr>
          <w:rFonts w:ascii="Cambria" w:hAnsi="Cambria"/>
          <w:color w:val="000000"/>
          <w:sz w:val="20"/>
          <w:szCs w:val="20"/>
          <w:lang w:val="pt-BR"/>
        </w:rPr>
        <w:t>estava</w:t>
      </w:r>
      <w:r w:rsidR="00526147" w:rsidRPr="00337743">
        <w:rPr>
          <w:rFonts w:ascii="Cambria" w:hAnsi="Cambria"/>
          <w:color w:val="000000"/>
          <w:sz w:val="20"/>
          <w:szCs w:val="20"/>
          <w:lang w:val="pt-BR"/>
        </w:rPr>
        <w:t xml:space="preserve"> </w:t>
      </w:r>
      <w:r w:rsidR="00A06E97" w:rsidRPr="00337743">
        <w:rPr>
          <w:rFonts w:ascii="Cambria" w:hAnsi="Cambria"/>
          <w:color w:val="000000"/>
          <w:sz w:val="20"/>
          <w:szCs w:val="20"/>
          <w:lang w:val="pt-BR"/>
        </w:rPr>
        <w:t>sendo</w:t>
      </w:r>
      <w:r w:rsidR="00526147" w:rsidRPr="00337743">
        <w:rPr>
          <w:rFonts w:ascii="Cambria" w:hAnsi="Cambria"/>
          <w:color w:val="000000"/>
          <w:sz w:val="20"/>
          <w:szCs w:val="20"/>
          <w:lang w:val="pt-BR"/>
        </w:rPr>
        <w:t xml:space="preserve"> utilizado</w:t>
      </w:r>
      <w:r w:rsidR="00091880" w:rsidRPr="00337743">
        <w:rPr>
          <w:rFonts w:ascii="Cambria" w:hAnsi="Cambria"/>
          <w:color w:val="000000"/>
          <w:sz w:val="20"/>
          <w:szCs w:val="20"/>
          <w:lang w:val="pt-BR"/>
        </w:rPr>
        <w:t xml:space="preserve"> pelo </w:t>
      </w:r>
      <w:r w:rsidR="00114C2E" w:rsidRPr="00337743">
        <w:rPr>
          <w:rFonts w:ascii="Cambria" w:hAnsi="Cambria"/>
          <w:color w:val="000000"/>
          <w:sz w:val="20"/>
          <w:szCs w:val="20"/>
          <w:lang w:val="pt-BR"/>
        </w:rPr>
        <w:t>Deputado</w:t>
      </w:r>
      <w:r w:rsidR="00091880" w:rsidRPr="00337743">
        <w:rPr>
          <w:rFonts w:ascii="Cambria" w:hAnsi="Cambria"/>
          <w:color w:val="000000"/>
          <w:sz w:val="20"/>
          <w:szCs w:val="20"/>
          <w:lang w:val="pt-BR"/>
        </w:rPr>
        <w:t xml:space="preserve"> com </w:t>
      </w:r>
      <w:r w:rsidR="00526147" w:rsidRPr="00337743">
        <w:rPr>
          <w:rFonts w:ascii="Cambria" w:hAnsi="Cambria"/>
          <w:color w:val="000000"/>
          <w:sz w:val="20"/>
          <w:szCs w:val="20"/>
          <w:lang w:val="pt-BR"/>
        </w:rPr>
        <w:t>destino a</w:t>
      </w:r>
      <w:r w:rsidR="00091880" w:rsidRPr="00337743">
        <w:rPr>
          <w:rFonts w:ascii="Cambria" w:hAnsi="Cambria"/>
          <w:color w:val="000000"/>
          <w:sz w:val="20"/>
          <w:szCs w:val="20"/>
          <w:lang w:val="pt-BR"/>
        </w:rPr>
        <w:t xml:space="preserve"> uma </w:t>
      </w:r>
      <w:r w:rsidR="00E01589" w:rsidRPr="00337743">
        <w:rPr>
          <w:rFonts w:ascii="Cambria" w:hAnsi="Cambria"/>
          <w:color w:val="000000"/>
          <w:sz w:val="20"/>
          <w:szCs w:val="20"/>
          <w:lang w:val="pt-BR"/>
        </w:rPr>
        <w:t>residência</w:t>
      </w:r>
      <w:r w:rsidR="00091880" w:rsidRPr="00337743">
        <w:rPr>
          <w:rFonts w:ascii="Cambria" w:hAnsi="Cambria"/>
          <w:color w:val="000000"/>
          <w:sz w:val="20"/>
          <w:szCs w:val="20"/>
          <w:lang w:val="pt-BR"/>
        </w:rPr>
        <w:t xml:space="preserve"> na </w:t>
      </w:r>
      <w:r w:rsidR="00A06E97" w:rsidRPr="00337743">
        <w:rPr>
          <w:rFonts w:ascii="Cambria" w:hAnsi="Cambria"/>
          <w:color w:val="000000"/>
          <w:sz w:val="20"/>
          <w:szCs w:val="20"/>
          <w:lang w:val="pt-BR"/>
        </w:rPr>
        <w:t>cidade</w:t>
      </w:r>
      <w:r w:rsidR="00350E7E" w:rsidRPr="00337743">
        <w:rPr>
          <w:rFonts w:ascii="Cambria" w:hAnsi="Cambria"/>
          <w:color w:val="000000"/>
          <w:sz w:val="20"/>
          <w:szCs w:val="20"/>
          <w:lang w:val="pt-BR"/>
        </w:rPr>
        <w:t xml:space="preserve"> </w:t>
      </w:r>
      <w:r w:rsidR="00526147" w:rsidRPr="00337743">
        <w:rPr>
          <w:rFonts w:ascii="Cambria" w:hAnsi="Cambria"/>
          <w:color w:val="000000"/>
          <w:sz w:val="20"/>
          <w:szCs w:val="20"/>
          <w:lang w:val="pt-BR"/>
        </w:rPr>
        <w:t>de Cajazeiras</w:t>
      </w:r>
      <w:r w:rsidR="00D23D6A" w:rsidRPr="00337743">
        <w:rPr>
          <w:rFonts w:ascii="Cambria" w:hAnsi="Cambria"/>
          <w:color w:val="000000"/>
          <w:sz w:val="20"/>
          <w:szCs w:val="20"/>
          <w:lang w:val="pt-BR"/>
        </w:rPr>
        <w:t>,</w:t>
      </w:r>
      <w:r w:rsidR="00526147" w:rsidRPr="00337743">
        <w:rPr>
          <w:rFonts w:ascii="Cambria" w:hAnsi="Cambria"/>
          <w:color w:val="000000"/>
          <w:sz w:val="20"/>
          <w:szCs w:val="20"/>
          <w:lang w:val="pt-BR"/>
        </w:rPr>
        <w:t xml:space="preserve"> </w:t>
      </w:r>
      <w:r w:rsidR="00AE63A3" w:rsidRPr="00337743">
        <w:rPr>
          <w:rFonts w:ascii="Cambria" w:hAnsi="Cambria"/>
          <w:color w:val="000000"/>
          <w:sz w:val="20"/>
          <w:szCs w:val="20"/>
          <w:lang w:val="pt-BR"/>
        </w:rPr>
        <w:t>próxima da</w:t>
      </w:r>
      <w:r w:rsidR="00F453EB" w:rsidRPr="00337743">
        <w:rPr>
          <w:rFonts w:ascii="Cambria" w:hAnsi="Cambria"/>
          <w:color w:val="000000"/>
          <w:sz w:val="20"/>
          <w:szCs w:val="20"/>
          <w:lang w:val="pt-BR"/>
        </w:rPr>
        <w:t xml:space="preserve"> </w:t>
      </w:r>
      <w:r w:rsidR="00526147" w:rsidRPr="00337743">
        <w:rPr>
          <w:rFonts w:ascii="Cambria" w:hAnsi="Cambria"/>
          <w:color w:val="000000"/>
          <w:sz w:val="20"/>
          <w:szCs w:val="20"/>
          <w:lang w:val="pt-BR"/>
        </w:rPr>
        <w:t>casa</w:t>
      </w:r>
      <w:r w:rsidR="00E96C24" w:rsidRPr="00337743">
        <w:rPr>
          <w:rFonts w:ascii="Cambria" w:hAnsi="Cambria"/>
          <w:color w:val="000000"/>
          <w:sz w:val="20"/>
          <w:szCs w:val="20"/>
          <w:lang w:val="pt-BR"/>
        </w:rPr>
        <w:t xml:space="preserve"> dos </w:t>
      </w:r>
      <w:r w:rsidR="00526147" w:rsidRPr="00337743">
        <w:rPr>
          <w:rFonts w:ascii="Cambria" w:hAnsi="Cambria"/>
          <w:color w:val="000000"/>
          <w:sz w:val="20"/>
          <w:szCs w:val="20"/>
          <w:lang w:val="pt-BR"/>
        </w:rPr>
        <w:t>familiares</w:t>
      </w:r>
      <w:r w:rsidR="007707E3" w:rsidRPr="00337743">
        <w:rPr>
          <w:rFonts w:ascii="Cambria" w:hAnsi="Cambria"/>
          <w:color w:val="000000"/>
          <w:sz w:val="20"/>
          <w:szCs w:val="20"/>
          <w:lang w:val="pt-BR"/>
        </w:rPr>
        <w:t xml:space="preserve"> da </w:t>
      </w:r>
      <w:r w:rsidR="00E01589" w:rsidRPr="00337743">
        <w:rPr>
          <w:rFonts w:ascii="Cambria" w:hAnsi="Cambria"/>
          <w:color w:val="000000"/>
          <w:sz w:val="20"/>
          <w:szCs w:val="20"/>
          <w:lang w:val="pt-BR"/>
        </w:rPr>
        <w:t>vítima</w:t>
      </w:r>
      <w:r w:rsidR="00526147" w:rsidRPr="00337743">
        <w:rPr>
          <w:rFonts w:ascii="Cambria" w:hAnsi="Cambria"/>
          <w:color w:val="000000"/>
          <w:sz w:val="20"/>
          <w:szCs w:val="20"/>
          <w:lang w:val="pt-BR"/>
        </w:rPr>
        <w:t xml:space="preserve">. Márcia </w:t>
      </w:r>
      <w:r w:rsidR="00AE63A3" w:rsidRPr="00337743">
        <w:rPr>
          <w:rFonts w:ascii="Cambria" w:hAnsi="Cambria"/>
          <w:color w:val="000000"/>
          <w:sz w:val="20"/>
          <w:szCs w:val="20"/>
          <w:lang w:val="pt-BR"/>
        </w:rPr>
        <w:t>estava</w:t>
      </w:r>
      <w:r w:rsidR="00526147" w:rsidRPr="00337743">
        <w:rPr>
          <w:rFonts w:ascii="Cambria" w:hAnsi="Cambria"/>
          <w:color w:val="000000"/>
          <w:sz w:val="20"/>
          <w:szCs w:val="20"/>
          <w:lang w:val="pt-BR"/>
        </w:rPr>
        <w:t xml:space="preserve"> </w:t>
      </w:r>
      <w:r w:rsidR="00091880" w:rsidRPr="00337743">
        <w:rPr>
          <w:rFonts w:ascii="Cambria" w:hAnsi="Cambria"/>
          <w:color w:val="000000"/>
          <w:sz w:val="20"/>
          <w:szCs w:val="20"/>
          <w:lang w:val="pt-BR"/>
        </w:rPr>
        <w:t xml:space="preserve">no </w:t>
      </w:r>
      <w:r w:rsidR="00526147" w:rsidRPr="00337743">
        <w:rPr>
          <w:rFonts w:ascii="Cambria" w:hAnsi="Cambria"/>
          <w:color w:val="000000"/>
          <w:sz w:val="20"/>
          <w:szCs w:val="20"/>
          <w:lang w:val="pt-BR"/>
        </w:rPr>
        <w:t>Motel Trevo</w:t>
      </w:r>
      <w:r w:rsidR="00091880" w:rsidRPr="00337743">
        <w:rPr>
          <w:rFonts w:ascii="Cambria" w:hAnsi="Cambria"/>
          <w:color w:val="000000"/>
          <w:sz w:val="20"/>
          <w:szCs w:val="20"/>
          <w:lang w:val="pt-BR"/>
        </w:rPr>
        <w:t xml:space="preserve"> em </w:t>
      </w:r>
      <w:r w:rsidR="00E01589" w:rsidRPr="00337743">
        <w:rPr>
          <w:rFonts w:ascii="Cambria" w:hAnsi="Cambria"/>
          <w:color w:val="000000"/>
          <w:sz w:val="20"/>
          <w:szCs w:val="20"/>
          <w:lang w:val="pt-BR"/>
        </w:rPr>
        <w:t>companhia</w:t>
      </w:r>
      <w:r w:rsidR="007707E3" w:rsidRPr="00337743">
        <w:rPr>
          <w:rFonts w:ascii="Cambria" w:hAnsi="Cambria"/>
          <w:color w:val="000000"/>
          <w:sz w:val="20"/>
          <w:szCs w:val="20"/>
          <w:lang w:val="pt-BR"/>
        </w:rPr>
        <w:t xml:space="preserve"> do </w:t>
      </w:r>
      <w:r w:rsidR="00114C2E" w:rsidRPr="00337743">
        <w:rPr>
          <w:rFonts w:ascii="Cambria" w:hAnsi="Cambria"/>
          <w:color w:val="000000"/>
          <w:sz w:val="20"/>
          <w:szCs w:val="20"/>
          <w:lang w:val="pt-BR"/>
        </w:rPr>
        <w:t>Deputado</w:t>
      </w:r>
      <w:r w:rsidR="00526147" w:rsidRPr="00337743">
        <w:rPr>
          <w:rFonts w:ascii="Cambria" w:hAnsi="Cambria"/>
          <w:color w:val="000000"/>
          <w:sz w:val="20"/>
          <w:szCs w:val="20"/>
          <w:lang w:val="pt-BR"/>
        </w:rPr>
        <w:t xml:space="preserve"> Aércio Pereira</w:t>
      </w:r>
      <w:r w:rsidR="00560D99"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AE63A3"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AE63A3" w:rsidRPr="00337743">
        <w:rPr>
          <w:rFonts w:ascii="Cambria" w:hAnsi="Cambria"/>
          <w:color w:val="000000"/>
          <w:sz w:val="20"/>
          <w:szCs w:val="20"/>
          <w:lang w:val="pt-BR"/>
        </w:rPr>
        <w:t>ch</w:t>
      </w:r>
      <w:r w:rsidR="00560D99" w:rsidRPr="00337743">
        <w:rPr>
          <w:rFonts w:ascii="Cambria" w:hAnsi="Cambria"/>
          <w:color w:val="000000"/>
          <w:sz w:val="20"/>
          <w:szCs w:val="20"/>
          <w:lang w:val="pt-BR"/>
        </w:rPr>
        <w:t>amada telef</w:t>
      </w:r>
      <w:r w:rsidR="00421ACD" w:rsidRPr="00337743">
        <w:rPr>
          <w:rFonts w:ascii="Cambria" w:hAnsi="Cambria"/>
          <w:color w:val="000000"/>
          <w:sz w:val="20"/>
          <w:szCs w:val="20"/>
          <w:lang w:val="pt-BR"/>
        </w:rPr>
        <w:t>ô</w:t>
      </w:r>
      <w:r w:rsidR="00560D99" w:rsidRPr="00337743">
        <w:rPr>
          <w:rFonts w:ascii="Cambria" w:hAnsi="Cambria"/>
          <w:color w:val="000000"/>
          <w:sz w:val="20"/>
          <w:szCs w:val="20"/>
          <w:lang w:val="pt-BR"/>
        </w:rPr>
        <w:t>nica</w:t>
      </w:r>
      <w:r w:rsidR="00526147" w:rsidRPr="00337743">
        <w:rPr>
          <w:rFonts w:ascii="Cambria" w:hAnsi="Cambria"/>
          <w:color w:val="000000"/>
          <w:sz w:val="20"/>
          <w:szCs w:val="20"/>
          <w:lang w:val="pt-BR"/>
        </w:rPr>
        <w:t xml:space="preserve">, </w:t>
      </w:r>
      <w:r w:rsidR="00E01589" w:rsidRPr="00337743">
        <w:rPr>
          <w:rFonts w:ascii="Cambria" w:hAnsi="Cambria"/>
          <w:color w:val="000000"/>
          <w:sz w:val="20"/>
          <w:szCs w:val="20"/>
          <w:lang w:val="pt-BR"/>
        </w:rPr>
        <w:t>segundo</w:t>
      </w:r>
      <w:r w:rsidR="00506331" w:rsidRPr="00337743">
        <w:rPr>
          <w:rFonts w:ascii="Cambria" w:hAnsi="Cambria"/>
          <w:color w:val="000000"/>
          <w:sz w:val="20"/>
          <w:szCs w:val="20"/>
          <w:lang w:val="pt-BR"/>
        </w:rPr>
        <w:t xml:space="preserve"> a </w:t>
      </w:r>
      <w:r w:rsidR="00AE63A3" w:rsidRPr="00337743">
        <w:rPr>
          <w:rFonts w:ascii="Cambria" w:hAnsi="Cambria"/>
          <w:color w:val="000000"/>
          <w:sz w:val="20"/>
          <w:szCs w:val="20"/>
          <w:lang w:val="pt-BR"/>
        </w:rPr>
        <w:t>prov</w:t>
      </w:r>
      <w:r w:rsidR="00526147" w:rsidRPr="00337743">
        <w:rPr>
          <w:rFonts w:ascii="Cambria" w:hAnsi="Cambria"/>
          <w:color w:val="000000"/>
          <w:sz w:val="20"/>
          <w:szCs w:val="20"/>
          <w:lang w:val="pt-BR"/>
        </w:rPr>
        <w:t>a técnica, dur</w:t>
      </w:r>
      <w:r w:rsidR="00E01589" w:rsidRPr="00337743">
        <w:rPr>
          <w:rFonts w:ascii="Cambria" w:hAnsi="Cambria"/>
          <w:color w:val="000000"/>
          <w:sz w:val="20"/>
          <w:szCs w:val="20"/>
          <w:lang w:val="pt-BR"/>
        </w:rPr>
        <w:t>ou</w:t>
      </w:r>
      <w:r w:rsidR="00526147" w:rsidRPr="00337743">
        <w:rPr>
          <w:rFonts w:ascii="Cambria" w:hAnsi="Cambria"/>
          <w:color w:val="000000"/>
          <w:sz w:val="20"/>
          <w:szCs w:val="20"/>
          <w:lang w:val="pt-BR"/>
        </w:rPr>
        <w:t xml:space="preserve"> 17 minutos</w:t>
      </w:r>
      <w:r w:rsidR="00506331" w:rsidRPr="00337743">
        <w:rPr>
          <w:rFonts w:ascii="Cambria" w:hAnsi="Cambria"/>
          <w:color w:val="000000"/>
          <w:sz w:val="20"/>
          <w:szCs w:val="20"/>
          <w:lang w:val="pt-BR"/>
        </w:rPr>
        <w:t xml:space="preserve"> e </w:t>
      </w:r>
      <w:r w:rsidR="00526147" w:rsidRPr="00337743">
        <w:rPr>
          <w:rFonts w:ascii="Cambria" w:hAnsi="Cambria"/>
          <w:color w:val="000000"/>
          <w:sz w:val="20"/>
          <w:szCs w:val="20"/>
          <w:lang w:val="pt-BR"/>
        </w:rPr>
        <w:t>7 segundos</w:t>
      </w:r>
      <w:r w:rsidR="006018D3">
        <w:rPr>
          <w:rFonts w:ascii="Cambria" w:hAnsi="Cambria"/>
          <w:color w:val="000000"/>
          <w:sz w:val="20"/>
          <w:szCs w:val="20"/>
          <w:lang w:val="pt-BR"/>
        </w:rPr>
        <w:t>.</w:t>
      </w:r>
      <w:r w:rsidR="00526147" w:rsidRPr="00337743">
        <w:rPr>
          <w:rFonts w:ascii="Cambria" w:hAnsi="Cambria"/>
          <w:color w:val="000000"/>
          <w:sz w:val="20"/>
          <w:szCs w:val="20"/>
          <w:lang w:val="pt-BR"/>
        </w:rPr>
        <w:t xml:space="preserve"> </w:t>
      </w:r>
      <w:r w:rsidR="006018D3">
        <w:rPr>
          <w:rFonts w:ascii="Cambria" w:hAnsi="Cambria"/>
          <w:color w:val="000000"/>
          <w:sz w:val="20"/>
          <w:szCs w:val="20"/>
          <w:lang w:val="pt-BR"/>
        </w:rPr>
        <w:t>S</w:t>
      </w:r>
      <w:r w:rsidR="00E01589" w:rsidRPr="00337743">
        <w:rPr>
          <w:rFonts w:ascii="Cambria" w:hAnsi="Cambria"/>
          <w:color w:val="000000"/>
          <w:sz w:val="20"/>
          <w:szCs w:val="20"/>
          <w:lang w:val="pt-BR"/>
        </w:rPr>
        <w:t>egundo</w:t>
      </w:r>
      <w:r w:rsidR="00526147" w:rsidRPr="00337743">
        <w:rPr>
          <w:rFonts w:ascii="Cambria" w:hAnsi="Cambria"/>
          <w:color w:val="000000"/>
          <w:sz w:val="20"/>
          <w:szCs w:val="20"/>
          <w:lang w:val="pt-BR"/>
        </w:rPr>
        <w:t xml:space="preserve"> test</w:t>
      </w:r>
      <w:r w:rsidR="00AE63A3" w:rsidRPr="00337743">
        <w:rPr>
          <w:rFonts w:ascii="Cambria" w:hAnsi="Cambria"/>
          <w:color w:val="000000"/>
          <w:sz w:val="20"/>
          <w:szCs w:val="20"/>
          <w:lang w:val="pt-BR"/>
        </w:rPr>
        <w:t>emunh</w:t>
      </w:r>
      <w:r w:rsidR="00526147" w:rsidRPr="00337743">
        <w:rPr>
          <w:rFonts w:ascii="Cambria" w:hAnsi="Cambria"/>
          <w:color w:val="000000"/>
          <w:sz w:val="20"/>
          <w:szCs w:val="20"/>
          <w:lang w:val="pt-BR"/>
        </w:rPr>
        <w:t>os,</w:t>
      </w:r>
      <w:r w:rsidR="00506331" w:rsidRPr="00337743">
        <w:rPr>
          <w:rFonts w:ascii="Cambria" w:hAnsi="Cambria"/>
          <w:color w:val="000000"/>
          <w:sz w:val="20"/>
          <w:szCs w:val="20"/>
          <w:lang w:val="pt-BR"/>
        </w:rPr>
        <w:t xml:space="preserve"> a </w:t>
      </w:r>
      <w:r w:rsidR="00E01589" w:rsidRPr="00337743">
        <w:rPr>
          <w:rFonts w:ascii="Cambria" w:hAnsi="Cambria"/>
          <w:color w:val="000000"/>
          <w:sz w:val="20"/>
          <w:szCs w:val="20"/>
          <w:lang w:val="pt-BR"/>
        </w:rPr>
        <w:t>vítima</w:t>
      </w:r>
      <w:r w:rsidR="00526147" w:rsidRPr="00337743">
        <w:rPr>
          <w:rFonts w:ascii="Cambria" w:hAnsi="Cambria"/>
          <w:color w:val="000000"/>
          <w:sz w:val="20"/>
          <w:szCs w:val="20"/>
          <w:lang w:val="pt-BR"/>
        </w:rPr>
        <w:t xml:space="preserve"> convers</w:t>
      </w:r>
      <w:r w:rsidR="00E01589" w:rsidRPr="00337743">
        <w:rPr>
          <w:rFonts w:ascii="Cambria" w:hAnsi="Cambria"/>
          <w:color w:val="000000"/>
          <w:sz w:val="20"/>
          <w:szCs w:val="20"/>
          <w:lang w:val="pt-BR"/>
        </w:rPr>
        <w:t>ou</w:t>
      </w:r>
      <w:r w:rsidR="00526147" w:rsidRPr="00337743">
        <w:rPr>
          <w:rFonts w:ascii="Cambria" w:hAnsi="Cambria"/>
          <w:color w:val="000000"/>
          <w:sz w:val="20"/>
          <w:szCs w:val="20"/>
          <w:lang w:val="pt-BR"/>
        </w:rPr>
        <w:t xml:space="preserve"> </w:t>
      </w:r>
      <w:r w:rsidR="00091880" w:rsidRPr="00337743">
        <w:rPr>
          <w:rFonts w:ascii="Cambria" w:hAnsi="Cambria"/>
          <w:color w:val="000000"/>
          <w:sz w:val="20"/>
          <w:szCs w:val="20"/>
          <w:lang w:val="pt-BR"/>
        </w:rPr>
        <w:t xml:space="preserve">com </w:t>
      </w:r>
      <w:r w:rsidR="00F122A6" w:rsidRPr="00337743">
        <w:rPr>
          <w:rFonts w:ascii="Cambria" w:hAnsi="Cambria"/>
          <w:color w:val="000000"/>
          <w:sz w:val="20"/>
          <w:szCs w:val="20"/>
          <w:lang w:val="pt-BR"/>
        </w:rPr>
        <w:t>várias</w:t>
      </w:r>
      <w:r w:rsidR="00526147" w:rsidRPr="00337743">
        <w:rPr>
          <w:rFonts w:ascii="Cambria" w:hAnsi="Cambria"/>
          <w:color w:val="000000"/>
          <w:sz w:val="20"/>
          <w:szCs w:val="20"/>
          <w:lang w:val="pt-BR"/>
        </w:rPr>
        <w:t xml:space="preserve"> pe</w:t>
      </w:r>
      <w:r w:rsidR="00421ACD" w:rsidRPr="00337743">
        <w:rPr>
          <w:rFonts w:ascii="Cambria" w:hAnsi="Cambria"/>
          <w:color w:val="000000"/>
          <w:sz w:val="20"/>
          <w:szCs w:val="20"/>
          <w:lang w:val="pt-BR"/>
        </w:rPr>
        <w:t>s</w:t>
      </w:r>
      <w:r w:rsidR="00526147" w:rsidRPr="00337743">
        <w:rPr>
          <w:rFonts w:ascii="Cambria" w:hAnsi="Cambria"/>
          <w:color w:val="000000"/>
          <w:sz w:val="20"/>
          <w:szCs w:val="20"/>
          <w:lang w:val="pt-BR"/>
        </w:rPr>
        <w:t xml:space="preserve">soas que </w:t>
      </w:r>
      <w:r w:rsidR="00E01589" w:rsidRPr="00337743">
        <w:rPr>
          <w:rFonts w:ascii="Cambria" w:hAnsi="Cambria"/>
          <w:color w:val="000000"/>
          <w:sz w:val="20"/>
          <w:szCs w:val="20"/>
          <w:lang w:val="pt-BR"/>
        </w:rPr>
        <w:t>confirmaram</w:t>
      </w:r>
      <w:r w:rsidR="00506331" w:rsidRPr="00337743">
        <w:rPr>
          <w:rFonts w:ascii="Cambria" w:hAnsi="Cambria"/>
          <w:color w:val="000000"/>
          <w:sz w:val="20"/>
          <w:szCs w:val="20"/>
          <w:lang w:val="pt-BR"/>
        </w:rPr>
        <w:t xml:space="preserve"> o </w:t>
      </w:r>
      <w:r w:rsidR="00526147" w:rsidRPr="00337743">
        <w:rPr>
          <w:rFonts w:ascii="Cambria" w:hAnsi="Cambria"/>
          <w:color w:val="000000"/>
          <w:sz w:val="20"/>
          <w:szCs w:val="20"/>
          <w:lang w:val="pt-BR"/>
        </w:rPr>
        <w:t>conte</w:t>
      </w:r>
      <w:r w:rsidR="00AE63A3" w:rsidRPr="00337743">
        <w:rPr>
          <w:rFonts w:ascii="Cambria" w:hAnsi="Cambria"/>
          <w:color w:val="000000"/>
          <w:sz w:val="20"/>
          <w:szCs w:val="20"/>
          <w:lang w:val="pt-BR"/>
        </w:rPr>
        <w:t>ú</w:t>
      </w:r>
      <w:r w:rsidR="00526147" w:rsidRPr="00337743">
        <w:rPr>
          <w:rFonts w:ascii="Cambria" w:hAnsi="Cambria"/>
          <w:color w:val="000000"/>
          <w:sz w:val="20"/>
          <w:szCs w:val="20"/>
          <w:lang w:val="pt-BR"/>
        </w:rPr>
        <w:t>do</w:t>
      </w:r>
      <w:r w:rsidR="007707E3" w:rsidRPr="00337743">
        <w:rPr>
          <w:rFonts w:ascii="Cambria" w:hAnsi="Cambria"/>
          <w:color w:val="000000"/>
          <w:sz w:val="20"/>
          <w:szCs w:val="20"/>
          <w:lang w:val="pt-BR"/>
        </w:rPr>
        <w:t xml:space="preserve"> da </w:t>
      </w:r>
      <w:r w:rsidR="00526147" w:rsidRPr="00337743">
        <w:rPr>
          <w:rFonts w:ascii="Cambria" w:hAnsi="Cambria"/>
          <w:color w:val="000000"/>
          <w:sz w:val="20"/>
          <w:szCs w:val="20"/>
          <w:lang w:val="pt-BR"/>
        </w:rPr>
        <w:t>conversa: inclus</w:t>
      </w:r>
      <w:r w:rsidR="00AE63A3" w:rsidRPr="00337743">
        <w:rPr>
          <w:rFonts w:ascii="Cambria" w:hAnsi="Cambria"/>
          <w:color w:val="000000"/>
          <w:sz w:val="20"/>
          <w:szCs w:val="20"/>
          <w:lang w:val="pt-BR"/>
        </w:rPr>
        <w:t>ive</w:t>
      </w:r>
      <w:r w:rsidR="00526147" w:rsidRPr="00337743">
        <w:rPr>
          <w:rFonts w:ascii="Cambria" w:hAnsi="Cambria"/>
          <w:color w:val="000000"/>
          <w:sz w:val="20"/>
          <w:szCs w:val="20"/>
          <w:lang w:val="pt-BR"/>
        </w:rPr>
        <w:t>, u</w:t>
      </w:r>
      <w:r w:rsidR="00AE63A3" w:rsidRPr="00337743">
        <w:rPr>
          <w:rFonts w:ascii="Cambria" w:hAnsi="Cambria"/>
          <w:color w:val="000000"/>
          <w:sz w:val="20"/>
          <w:szCs w:val="20"/>
          <w:lang w:val="pt-BR"/>
        </w:rPr>
        <w:t>ma das testemunhas chegou</w:t>
      </w:r>
      <w:r w:rsidR="00526147" w:rsidRPr="00337743">
        <w:rPr>
          <w:rFonts w:ascii="Cambria" w:hAnsi="Cambria"/>
          <w:color w:val="000000"/>
          <w:sz w:val="20"/>
          <w:szCs w:val="20"/>
          <w:lang w:val="pt-BR"/>
        </w:rPr>
        <w:t xml:space="preserve"> a conversar </w:t>
      </w:r>
      <w:r w:rsidR="00E01589" w:rsidRPr="00337743">
        <w:rPr>
          <w:rFonts w:ascii="Cambria" w:hAnsi="Cambria"/>
          <w:color w:val="000000"/>
          <w:sz w:val="20"/>
          <w:szCs w:val="20"/>
          <w:lang w:val="pt-BR"/>
        </w:rPr>
        <w:t>diretamente</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o </w:t>
      </w:r>
      <w:r w:rsidR="00114C2E" w:rsidRPr="00337743">
        <w:rPr>
          <w:rFonts w:ascii="Cambria" w:hAnsi="Cambria"/>
          <w:color w:val="000000"/>
          <w:sz w:val="20"/>
          <w:szCs w:val="20"/>
          <w:lang w:val="pt-BR"/>
        </w:rPr>
        <w:t>Deputado</w:t>
      </w:r>
      <w:r w:rsidR="00526147"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AE63A3"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AE63A3" w:rsidRPr="00337743">
        <w:rPr>
          <w:rFonts w:ascii="Cambria" w:hAnsi="Cambria"/>
          <w:color w:val="000000"/>
          <w:sz w:val="20"/>
          <w:szCs w:val="20"/>
          <w:lang w:val="pt-BR"/>
        </w:rPr>
        <w:t>prov</w:t>
      </w:r>
      <w:r w:rsidR="00526147" w:rsidRPr="00337743">
        <w:rPr>
          <w:rFonts w:ascii="Cambria" w:hAnsi="Cambria"/>
          <w:color w:val="000000"/>
          <w:sz w:val="20"/>
          <w:szCs w:val="20"/>
          <w:lang w:val="pt-BR"/>
        </w:rPr>
        <w:t>a técnica confirma que</w:t>
      </w:r>
      <w:r w:rsidR="00506331" w:rsidRPr="00337743">
        <w:rPr>
          <w:rFonts w:ascii="Cambria" w:hAnsi="Cambria"/>
          <w:color w:val="000000"/>
          <w:sz w:val="20"/>
          <w:szCs w:val="20"/>
          <w:lang w:val="pt-BR"/>
        </w:rPr>
        <w:t xml:space="preserve"> a </w:t>
      </w:r>
      <w:r w:rsidR="00526147" w:rsidRPr="00337743">
        <w:rPr>
          <w:rFonts w:ascii="Cambria" w:hAnsi="Cambria"/>
          <w:color w:val="000000"/>
          <w:sz w:val="20"/>
          <w:szCs w:val="20"/>
          <w:lang w:val="pt-BR"/>
        </w:rPr>
        <w:t>conex</w:t>
      </w:r>
      <w:r w:rsidR="00E01589" w:rsidRPr="00337743">
        <w:rPr>
          <w:rFonts w:ascii="Cambria" w:hAnsi="Cambria"/>
          <w:color w:val="000000"/>
          <w:sz w:val="20"/>
          <w:szCs w:val="20"/>
          <w:lang w:val="pt-BR"/>
        </w:rPr>
        <w:t>ão</w:t>
      </w:r>
      <w:r w:rsidR="00526147" w:rsidRPr="00337743">
        <w:rPr>
          <w:rFonts w:ascii="Cambria" w:hAnsi="Cambria"/>
          <w:color w:val="000000"/>
          <w:sz w:val="20"/>
          <w:szCs w:val="20"/>
          <w:lang w:val="pt-BR"/>
        </w:rPr>
        <w:t xml:space="preserve"> </w:t>
      </w:r>
      <w:r w:rsidR="00F122A6" w:rsidRPr="00337743">
        <w:rPr>
          <w:rFonts w:ascii="Cambria" w:hAnsi="Cambria"/>
          <w:color w:val="000000"/>
          <w:sz w:val="20"/>
          <w:szCs w:val="20"/>
          <w:lang w:val="pt-BR"/>
        </w:rPr>
        <w:t>se originou</w:t>
      </w:r>
      <w:r w:rsidR="00AE63A3" w:rsidRPr="00337743">
        <w:rPr>
          <w:rFonts w:ascii="Cambria" w:hAnsi="Cambria"/>
          <w:color w:val="000000"/>
          <w:sz w:val="20"/>
          <w:szCs w:val="20"/>
          <w:lang w:val="pt-BR"/>
        </w:rPr>
        <w:t xml:space="preserve"> </w:t>
      </w:r>
      <w:r w:rsidR="006018D3">
        <w:rPr>
          <w:rFonts w:ascii="Cambria" w:hAnsi="Cambria"/>
          <w:color w:val="000000"/>
          <w:sz w:val="20"/>
          <w:szCs w:val="20"/>
          <w:lang w:val="pt-BR"/>
        </w:rPr>
        <w:t>d</w:t>
      </w:r>
      <w:r w:rsidR="00AE63A3" w:rsidRPr="00337743">
        <w:rPr>
          <w:rFonts w:ascii="Cambria" w:hAnsi="Cambria"/>
          <w:color w:val="000000"/>
          <w:sz w:val="20"/>
          <w:szCs w:val="20"/>
          <w:lang w:val="pt-BR"/>
        </w:rPr>
        <w:t>a</w:t>
      </w:r>
      <w:r w:rsidR="007707E3" w:rsidRPr="00337743">
        <w:rPr>
          <w:rFonts w:ascii="Cambria" w:hAnsi="Cambria"/>
          <w:color w:val="000000"/>
          <w:sz w:val="20"/>
          <w:szCs w:val="20"/>
          <w:lang w:val="pt-BR"/>
        </w:rPr>
        <w:t xml:space="preserve"> </w:t>
      </w:r>
      <w:r w:rsidR="00526147" w:rsidRPr="00337743">
        <w:rPr>
          <w:rFonts w:ascii="Cambria" w:hAnsi="Cambria"/>
          <w:color w:val="000000"/>
          <w:sz w:val="20"/>
          <w:szCs w:val="20"/>
          <w:lang w:val="pt-BR"/>
        </w:rPr>
        <w:t xml:space="preserve">área </w:t>
      </w:r>
      <w:r w:rsidR="00AE63A3" w:rsidRPr="00337743">
        <w:rPr>
          <w:rFonts w:ascii="Cambria" w:hAnsi="Cambria"/>
          <w:color w:val="000000"/>
          <w:sz w:val="20"/>
          <w:szCs w:val="20"/>
          <w:lang w:val="pt-BR"/>
        </w:rPr>
        <w:t>d</w:t>
      </w:r>
      <w:r w:rsidR="00506331" w:rsidRPr="00337743">
        <w:rPr>
          <w:rFonts w:ascii="Cambria" w:hAnsi="Cambria"/>
          <w:color w:val="000000"/>
          <w:sz w:val="20"/>
          <w:szCs w:val="20"/>
          <w:lang w:val="pt-BR"/>
        </w:rPr>
        <w:t xml:space="preserve">o </w:t>
      </w:r>
      <w:r w:rsidR="00A45BF8" w:rsidRPr="00337743">
        <w:rPr>
          <w:rFonts w:ascii="Cambria" w:hAnsi="Cambria"/>
          <w:color w:val="000000"/>
          <w:sz w:val="20"/>
          <w:szCs w:val="20"/>
          <w:lang w:val="pt-BR"/>
        </w:rPr>
        <w:t xml:space="preserve">referido </w:t>
      </w:r>
      <w:r w:rsidR="00526147" w:rsidRPr="00337743">
        <w:rPr>
          <w:rFonts w:ascii="Cambria" w:hAnsi="Cambria"/>
          <w:color w:val="000000"/>
          <w:sz w:val="20"/>
          <w:szCs w:val="20"/>
          <w:lang w:val="pt-BR"/>
        </w:rPr>
        <w:t>Motel</w:t>
      </w:r>
      <w:r w:rsidR="00C54DC8" w:rsidRPr="00337743">
        <w:rPr>
          <w:rFonts w:ascii="Cambria" w:hAnsi="Cambria"/>
          <w:color w:val="000000"/>
          <w:sz w:val="20"/>
          <w:szCs w:val="20"/>
          <w:vertAlign w:val="superscript"/>
          <w:lang w:val="pt-BR"/>
        </w:rPr>
        <w:footnoteReference w:id="20"/>
      </w:r>
      <w:r w:rsidR="00526147" w:rsidRPr="00337743">
        <w:rPr>
          <w:rFonts w:ascii="Cambria" w:hAnsi="Cambria"/>
          <w:color w:val="000000"/>
          <w:sz w:val="20"/>
          <w:szCs w:val="20"/>
          <w:lang w:val="pt-BR"/>
        </w:rPr>
        <w:t>.</w:t>
      </w:r>
      <w:r w:rsidR="00BB6F44" w:rsidRPr="00337743">
        <w:rPr>
          <w:rFonts w:ascii="Cambria" w:hAnsi="Cambria"/>
          <w:color w:val="000000"/>
          <w:sz w:val="20"/>
          <w:szCs w:val="20"/>
          <w:lang w:val="pt-BR"/>
        </w:rPr>
        <w:t xml:space="preserve"> </w:t>
      </w:r>
    </w:p>
    <w:p w14:paraId="1A4D0B30" w14:textId="77777777" w:rsidR="002650F8" w:rsidRPr="00337743" w:rsidRDefault="002650F8" w:rsidP="007B13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firstLine="709"/>
        <w:jc w:val="both"/>
        <w:rPr>
          <w:rFonts w:ascii="Cambria" w:hAnsi="Cambria"/>
          <w:color w:val="000000"/>
          <w:sz w:val="20"/>
          <w:szCs w:val="20"/>
          <w:lang w:val="pt-BR"/>
        </w:rPr>
      </w:pPr>
    </w:p>
    <w:p w14:paraId="18B2F4ED" w14:textId="77777777" w:rsidR="00AF61C3" w:rsidRPr="00337743" w:rsidRDefault="00AE63A3" w:rsidP="0002569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Na</w:t>
      </w:r>
      <w:r w:rsidR="00506331" w:rsidRPr="00337743">
        <w:rPr>
          <w:rFonts w:ascii="Cambria" w:hAnsi="Cambria"/>
          <w:color w:val="000000"/>
          <w:sz w:val="20"/>
          <w:szCs w:val="20"/>
          <w:lang w:val="pt-BR"/>
        </w:rPr>
        <w:t xml:space="preserve"> </w:t>
      </w:r>
      <w:r w:rsidR="00E01589" w:rsidRPr="00337743">
        <w:rPr>
          <w:rFonts w:ascii="Cambria" w:hAnsi="Cambria"/>
          <w:color w:val="000000"/>
          <w:sz w:val="20"/>
          <w:szCs w:val="20"/>
          <w:lang w:val="pt-BR"/>
        </w:rPr>
        <w:t>manhã</w:t>
      </w:r>
      <w:r w:rsidR="007707E3" w:rsidRPr="00337743">
        <w:rPr>
          <w:rFonts w:ascii="Cambria" w:hAnsi="Cambria"/>
          <w:color w:val="000000"/>
          <w:sz w:val="20"/>
          <w:szCs w:val="20"/>
          <w:lang w:val="pt-BR"/>
        </w:rPr>
        <w:t xml:space="preserve"> d</w:t>
      </w:r>
      <w:r w:rsidRPr="00337743">
        <w:rPr>
          <w:rFonts w:ascii="Cambria" w:hAnsi="Cambria"/>
          <w:color w:val="000000"/>
          <w:sz w:val="20"/>
          <w:szCs w:val="20"/>
          <w:lang w:val="pt-BR"/>
        </w:rPr>
        <w:t>e</w:t>
      </w:r>
      <w:r w:rsidR="007707E3" w:rsidRPr="00337743">
        <w:rPr>
          <w:rFonts w:ascii="Cambria" w:hAnsi="Cambria"/>
          <w:color w:val="000000"/>
          <w:sz w:val="20"/>
          <w:szCs w:val="20"/>
          <w:lang w:val="pt-BR"/>
        </w:rPr>
        <w:t xml:space="preserve"> </w:t>
      </w:r>
      <w:r w:rsidR="00BB6F44" w:rsidRPr="00337743">
        <w:rPr>
          <w:rFonts w:ascii="Cambria" w:hAnsi="Cambria"/>
          <w:color w:val="000000"/>
          <w:sz w:val="20"/>
          <w:szCs w:val="20"/>
          <w:lang w:val="pt-BR"/>
        </w:rPr>
        <w:t xml:space="preserve">18 de </w:t>
      </w:r>
      <w:r w:rsidR="00E01589" w:rsidRPr="00337743">
        <w:rPr>
          <w:rFonts w:ascii="Cambria" w:hAnsi="Cambria"/>
          <w:color w:val="000000"/>
          <w:sz w:val="20"/>
          <w:szCs w:val="20"/>
          <w:lang w:val="pt-BR"/>
        </w:rPr>
        <w:t>junho</w:t>
      </w:r>
      <w:r w:rsidR="00BB6F44" w:rsidRPr="00337743">
        <w:rPr>
          <w:rFonts w:ascii="Cambria" w:hAnsi="Cambria"/>
          <w:color w:val="000000"/>
          <w:sz w:val="20"/>
          <w:szCs w:val="20"/>
          <w:lang w:val="pt-BR"/>
        </w:rPr>
        <w:t xml:space="preserve"> de 1998,</w:t>
      </w:r>
      <w:r w:rsidR="00091880" w:rsidRPr="00337743">
        <w:rPr>
          <w:rFonts w:ascii="Cambria" w:hAnsi="Cambria"/>
          <w:color w:val="000000"/>
          <w:sz w:val="20"/>
          <w:szCs w:val="20"/>
          <w:lang w:val="pt-BR"/>
        </w:rPr>
        <w:t xml:space="preserve"> um </w:t>
      </w:r>
      <w:r w:rsidR="00E01589" w:rsidRPr="00337743">
        <w:rPr>
          <w:rFonts w:ascii="Cambria" w:hAnsi="Cambria"/>
          <w:color w:val="000000"/>
          <w:sz w:val="20"/>
          <w:szCs w:val="20"/>
          <w:lang w:val="pt-BR"/>
        </w:rPr>
        <w:t>transeunte</w:t>
      </w:r>
      <w:r w:rsidR="00BB6F44" w:rsidRPr="00337743">
        <w:rPr>
          <w:rFonts w:ascii="Cambria" w:hAnsi="Cambria"/>
          <w:color w:val="000000"/>
          <w:sz w:val="20"/>
          <w:szCs w:val="20"/>
          <w:lang w:val="pt-BR"/>
        </w:rPr>
        <w:t xml:space="preserve"> vi</w:t>
      </w:r>
      <w:r w:rsidR="00E01589" w:rsidRPr="00337743">
        <w:rPr>
          <w:rFonts w:ascii="Cambria" w:hAnsi="Cambria"/>
          <w:color w:val="000000"/>
          <w:sz w:val="20"/>
          <w:szCs w:val="20"/>
          <w:lang w:val="pt-BR"/>
        </w:rPr>
        <w:t>u</w:t>
      </w:r>
      <w:r w:rsidR="00091880" w:rsidRPr="00337743">
        <w:rPr>
          <w:rFonts w:ascii="Cambria" w:hAnsi="Cambria"/>
          <w:color w:val="000000"/>
          <w:sz w:val="20"/>
          <w:szCs w:val="20"/>
          <w:lang w:val="pt-BR"/>
        </w:rPr>
        <w:t xml:space="preserve"> um </w:t>
      </w:r>
      <w:r w:rsidR="00E01589" w:rsidRPr="00337743">
        <w:rPr>
          <w:rFonts w:ascii="Cambria" w:hAnsi="Cambria"/>
          <w:color w:val="000000"/>
          <w:sz w:val="20"/>
          <w:szCs w:val="20"/>
          <w:lang w:val="pt-BR"/>
        </w:rPr>
        <w:t>veículo</w:t>
      </w:r>
      <w:r w:rsidR="00BB6F44" w:rsidRPr="00337743">
        <w:rPr>
          <w:rFonts w:ascii="Cambria" w:hAnsi="Cambria"/>
          <w:color w:val="000000"/>
          <w:sz w:val="20"/>
          <w:szCs w:val="20"/>
          <w:lang w:val="pt-BR"/>
        </w:rPr>
        <w:t xml:space="preserve"> </w:t>
      </w:r>
      <w:r w:rsidRPr="00337743">
        <w:rPr>
          <w:rFonts w:ascii="Cambria" w:hAnsi="Cambria"/>
          <w:color w:val="000000"/>
          <w:sz w:val="20"/>
          <w:szCs w:val="20"/>
          <w:lang w:val="pt-BR"/>
        </w:rPr>
        <w:t>lanç</w:t>
      </w:r>
      <w:r w:rsidR="00BB6F44" w:rsidRPr="00337743">
        <w:rPr>
          <w:rFonts w:ascii="Cambria" w:hAnsi="Cambria"/>
          <w:color w:val="000000"/>
          <w:sz w:val="20"/>
          <w:szCs w:val="20"/>
          <w:lang w:val="pt-BR"/>
        </w:rPr>
        <w:t>ar “algo”</w:t>
      </w:r>
      <w:r w:rsidR="00091880" w:rsidRPr="00337743">
        <w:rPr>
          <w:rFonts w:ascii="Cambria" w:hAnsi="Cambria"/>
          <w:color w:val="000000"/>
          <w:sz w:val="20"/>
          <w:szCs w:val="20"/>
          <w:lang w:val="pt-BR"/>
        </w:rPr>
        <w:t xml:space="preserve"> </w:t>
      </w:r>
      <w:r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um </w:t>
      </w:r>
      <w:r w:rsidR="00BB6F44" w:rsidRPr="00337743">
        <w:rPr>
          <w:rFonts w:ascii="Cambria" w:hAnsi="Cambria"/>
          <w:color w:val="000000"/>
          <w:sz w:val="20"/>
          <w:szCs w:val="20"/>
          <w:lang w:val="pt-BR"/>
        </w:rPr>
        <w:t xml:space="preserve">terreno </w:t>
      </w:r>
      <w:r w:rsidR="00E01589" w:rsidRPr="00337743">
        <w:rPr>
          <w:rFonts w:ascii="Cambria" w:hAnsi="Cambria"/>
          <w:color w:val="000000"/>
          <w:sz w:val="20"/>
          <w:szCs w:val="20"/>
          <w:lang w:val="pt-BR"/>
        </w:rPr>
        <w:t>baldio</w:t>
      </w:r>
      <w:r w:rsidR="00506331" w:rsidRPr="00337743">
        <w:rPr>
          <w:rFonts w:ascii="Cambria" w:hAnsi="Cambria"/>
          <w:color w:val="000000"/>
          <w:sz w:val="20"/>
          <w:szCs w:val="20"/>
          <w:lang w:val="pt-BR"/>
        </w:rPr>
        <w:t xml:space="preserve"> e</w:t>
      </w:r>
      <w:r w:rsidR="0039503E" w:rsidRPr="00337743">
        <w:rPr>
          <w:rFonts w:ascii="Cambria" w:hAnsi="Cambria"/>
          <w:color w:val="000000"/>
          <w:sz w:val="20"/>
          <w:szCs w:val="20"/>
          <w:lang w:val="pt-BR"/>
        </w:rPr>
        <w:t>,</w:t>
      </w:r>
      <w:r w:rsidR="00BF72CE" w:rsidRPr="00337743">
        <w:rPr>
          <w:rFonts w:ascii="Cambria" w:hAnsi="Cambria"/>
          <w:color w:val="000000"/>
          <w:sz w:val="20"/>
          <w:szCs w:val="20"/>
          <w:lang w:val="pt-BR"/>
        </w:rPr>
        <w:t xml:space="preserve"> ao </w:t>
      </w:r>
      <w:r w:rsidR="00BA0F29" w:rsidRPr="00337743">
        <w:rPr>
          <w:rFonts w:ascii="Cambria" w:hAnsi="Cambria"/>
          <w:color w:val="000000"/>
          <w:sz w:val="20"/>
          <w:szCs w:val="20"/>
          <w:lang w:val="pt-BR"/>
        </w:rPr>
        <w:t xml:space="preserve">acudir </w:t>
      </w:r>
      <w:r w:rsidR="0039503E" w:rsidRPr="00337743">
        <w:rPr>
          <w:rFonts w:ascii="Cambria" w:hAnsi="Cambria"/>
          <w:color w:val="000000"/>
          <w:sz w:val="20"/>
          <w:szCs w:val="20"/>
          <w:lang w:val="pt-BR"/>
        </w:rPr>
        <w:t>par</w:t>
      </w:r>
      <w:r w:rsidR="00BA0F29" w:rsidRPr="00337743">
        <w:rPr>
          <w:rFonts w:ascii="Cambria" w:hAnsi="Cambria"/>
          <w:color w:val="000000"/>
          <w:sz w:val="20"/>
          <w:szCs w:val="20"/>
          <w:lang w:val="pt-BR"/>
        </w:rPr>
        <w:t xml:space="preserve">a </w:t>
      </w:r>
      <w:r w:rsidR="00BB6F44" w:rsidRPr="00337743">
        <w:rPr>
          <w:rFonts w:ascii="Cambria" w:hAnsi="Cambria"/>
          <w:color w:val="000000"/>
          <w:sz w:val="20"/>
          <w:szCs w:val="20"/>
          <w:lang w:val="pt-BR"/>
        </w:rPr>
        <w:t xml:space="preserve">ver de </w:t>
      </w:r>
      <w:r w:rsidR="00E01589" w:rsidRPr="00337743">
        <w:rPr>
          <w:rFonts w:ascii="Cambria" w:hAnsi="Cambria"/>
          <w:color w:val="000000"/>
          <w:sz w:val="20"/>
          <w:szCs w:val="20"/>
          <w:lang w:val="pt-BR"/>
        </w:rPr>
        <w:t>que</w:t>
      </w:r>
      <w:r w:rsidR="00BB6F44" w:rsidRPr="00337743">
        <w:rPr>
          <w:rFonts w:ascii="Cambria" w:hAnsi="Cambria"/>
          <w:color w:val="000000"/>
          <w:sz w:val="20"/>
          <w:szCs w:val="20"/>
          <w:lang w:val="pt-BR"/>
        </w:rPr>
        <w:t xml:space="preserve"> se </w:t>
      </w:r>
      <w:r w:rsidR="000723B9" w:rsidRPr="00337743">
        <w:rPr>
          <w:rFonts w:ascii="Cambria" w:hAnsi="Cambria"/>
          <w:color w:val="000000"/>
          <w:sz w:val="20"/>
          <w:szCs w:val="20"/>
          <w:lang w:val="pt-BR"/>
        </w:rPr>
        <w:t>tratava</w:t>
      </w:r>
      <w:r w:rsidR="0039503E" w:rsidRPr="00337743">
        <w:rPr>
          <w:rFonts w:ascii="Cambria" w:hAnsi="Cambria"/>
          <w:color w:val="000000"/>
          <w:sz w:val="20"/>
          <w:szCs w:val="20"/>
          <w:lang w:val="pt-BR"/>
        </w:rPr>
        <w:t>,</w:t>
      </w:r>
      <w:r w:rsidR="00BB6F44" w:rsidRPr="00337743">
        <w:rPr>
          <w:rFonts w:ascii="Cambria" w:hAnsi="Cambria"/>
          <w:color w:val="000000"/>
          <w:sz w:val="20"/>
          <w:szCs w:val="20"/>
          <w:lang w:val="pt-BR"/>
        </w:rPr>
        <w:t xml:space="preserve"> encontr</w:t>
      </w:r>
      <w:r w:rsidR="000723B9" w:rsidRPr="00337743">
        <w:rPr>
          <w:rFonts w:ascii="Cambria" w:hAnsi="Cambria"/>
          <w:color w:val="000000"/>
          <w:sz w:val="20"/>
          <w:szCs w:val="20"/>
          <w:lang w:val="pt-BR"/>
        </w:rPr>
        <w:t>ou</w:t>
      </w:r>
      <w:r w:rsidR="00091880" w:rsidRPr="00337743">
        <w:rPr>
          <w:rFonts w:ascii="Cambria" w:hAnsi="Cambria"/>
          <w:color w:val="000000"/>
          <w:sz w:val="20"/>
          <w:szCs w:val="20"/>
          <w:lang w:val="pt-BR"/>
        </w:rPr>
        <w:t xml:space="preserve"> </w:t>
      </w:r>
      <w:r w:rsidR="00506331" w:rsidRPr="00337743">
        <w:rPr>
          <w:rFonts w:ascii="Cambria" w:hAnsi="Cambria"/>
          <w:color w:val="000000"/>
          <w:sz w:val="20"/>
          <w:szCs w:val="20"/>
          <w:lang w:val="pt-BR"/>
        </w:rPr>
        <w:t xml:space="preserve">o </w:t>
      </w:r>
      <w:r w:rsidR="00BB6F44" w:rsidRPr="00337743">
        <w:rPr>
          <w:rFonts w:ascii="Cambria" w:hAnsi="Cambria"/>
          <w:color w:val="000000"/>
          <w:sz w:val="20"/>
          <w:szCs w:val="20"/>
          <w:lang w:val="pt-BR"/>
        </w:rPr>
        <w:t>cadáver</w:t>
      </w:r>
      <w:r w:rsidR="007707E3" w:rsidRPr="00337743">
        <w:rPr>
          <w:rFonts w:ascii="Cambria" w:hAnsi="Cambria"/>
          <w:color w:val="000000"/>
          <w:sz w:val="20"/>
          <w:szCs w:val="20"/>
          <w:lang w:val="pt-BR"/>
        </w:rPr>
        <w:t xml:space="preserve"> da </w:t>
      </w:r>
      <w:r w:rsidR="00E01589" w:rsidRPr="00337743">
        <w:rPr>
          <w:rFonts w:ascii="Cambria" w:hAnsi="Cambria"/>
          <w:color w:val="000000"/>
          <w:sz w:val="20"/>
          <w:szCs w:val="20"/>
          <w:lang w:val="pt-BR"/>
        </w:rPr>
        <w:t>vítima</w:t>
      </w:r>
      <w:r w:rsidR="00BB6F44" w:rsidRPr="00337743">
        <w:rPr>
          <w:rFonts w:ascii="Cambria" w:hAnsi="Cambria"/>
          <w:color w:val="000000"/>
          <w:sz w:val="20"/>
          <w:szCs w:val="20"/>
          <w:lang w:val="pt-BR"/>
        </w:rPr>
        <w:t>.</w:t>
      </w:r>
      <w:r w:rsidR="002650F8" w:rsidRPr="00337743">
        <w:rPr>
          <w:rFonts w:ascii="Cambria" w:hAnsi="Cambria"/>
          <w:color w:val="000000"/>
          <w:sz w:val="20"/>
          <w:szCs w:val="20"/>
          <w:lang w:val="pt-BR"/>
        </w:rPr>
        <w:t xml:space="preserve"> </w:t>
      </w:r>
      <w:r w:rsidRPr="00337743">
        <w:rPr>
          <w:rFonts w:ascii="Cambria" w:hAnsi="Cambria"/>
          <w:color w:val="000000"/>
          <w:sz w:val="20"/>
          <w:szCs w:val="20"/>
          <w:lang w:val="pt-BR"/>
        </w:rPr>
        <w:t>Constatou-se</w:t>
      </w:r>
      <w:r w:rsidR="002650F8" w:rsidRPr="00337743">
        <w:rPr>
          <w:rFonts w:ascii="Cambria" w:hAnsi="Cambria"/>
          <w:color w:val="000000"/>
          <w:sz w:val="20"/>
          <w:szCs w:val="20"/>
          <w:lang w:val="pt-BR"/>
        </w:rPr>
        <w:t xml:space="preserve">, através de </w:t>
      </w:r>
      <w:r w:rsidRPr="00337743">
        <w:rPr>
          <w:rFonts w:ascii="Cambria" w:hAnsi="Cambria"/>
          <w:color w:val="000000"/>
          <w:sz w:val="20"/>
          <w:szCs w:val="20"/>
          <w:lang w:val="pt-BR"/>
        </w:rPr>
        <w:t>prov</w:t>
      </w:r>
      <w:r w:rsidR="002650F8" w:rsidRPr="00337743">
        <w:rPr>
          <w:rFonts w:ascii="Cambria" w:hAnsi="Cambria"/>
          <w:color w:val="000000"/>
          <w:sz w:val="20"/>
          <w:szCs w:val="20"/>
          <w:lang w:val="pt-BR"/>
        </w:rPr>
        <w:t>a test</w:t>
      </w:r>
      <w:r w:rsidR="00E01589" w:rsidRPr="00337743">
        <w:rPr>
          <w:rFonts w:ascii="Cambria" w:hAnsi="Cambria"/>
          <w:color w:val="000000"/>
          <w:sz w:val="20"/>
          <w:szCs w:val="20"/>
          <w:lang w:val="pt-BR"/>
        </w:rPr>
        <w:t>e</w:t>
      </w:r>
      <w:r w:rsidR="002650F8" w:rsidRPr="00337743">
        <w:rPr>
          <w:rFonts w:ascii="Cambria" w:hAnsi="Cambria"/>
          <w:color w:val="000000"/>
          <w:sz w:val="20"/>
          <w:szCs w:val="20"/>
          <w:lang w:val="pt-BR"/>
        </w:rPr>
        <w:t>m</w:t>
      </w:r>
      <w:r w:rsidR="00E01589" w:rsidRPr="00337743">
        <w:rPr>
          <w:rFonts w:ascii="Cambria" w:hAnsi="Cambria"/>
          <w:color w:val="000000"/>
          <w:sz w:val="20"/>
          <w:szCs w:val="20"/>
          <w:lang w:val="pt-BR"/>
        </w:rPr>
        <w:t>u</w:t>
      </w:r>
      <w:r w:rsidR="002650F8" w:rsidRPr="00337743">
        <w:rPr>
          <w:rFonts w:ascii="Cambria" w:hAnsi="Cambria"/>
          <w:color w:val="000000"/>
          <w:sz w:val="20"/>
          <w:szCs w:val="20"/>
          <w:lang w:val="pt-BR"/>
        </w:rPr>
        <w:t>n</w:t>
      </w:r>
      <w:r w:rsidR="00E01589" w:rsidRPr="00337743">
        <w:rPr>
          <w:rFonts w:ascii="Cambria" w:hAnsi="Cambria"/>
          <w:color w:val="000000"/>
          <w:sz w:val="20"/>
          <w:szCs w:val="20"/>
          <w:lang w:val="pt-BR"/>
        </w:rPr>
        <w:t>h</w:t>
      </w:r>
      <w:r w:rsidR="002650F8" w:rsidRPr="00337743">
        <w:rPr>
          <w:rFonts w:ascii="Cambria" w:hAnsi="Cambria"/>
          <w:color w:val="000000"/>
          <w:sz w:val="20"/>
          <w:szCs w:val="20"/>
          <w:lang w:val="pt-BR"/>
        </w:rPr>
        <w:t>al</w:t>
      </w:r>
      <w:r w:rsidR="00506331" w:rsidRPr="00337743">
        <w:rPr>
          <w:rFonts w:ascii="Cambria" w:hAnsi="Cambria"/>
          <w:color w:val="000000"/>
          <w:sz w:val="20"/>
          <w:szCs w:val="20"/>
          <w:lang w:val="pt-BR"/>
        </w:rPr>
        <w:t xml:space="preserve"> e </w:t>
      </w:r>
      <w:r w:rsidR="002650F8" w:rsidRPr="00337743">
        <w:rPr>
          <w:rFonts w:ascii="Cambria" w:hAnsi="Cambria"/>
          <w:color w:val="000000"/>
          <w:sz w:val="20"/>
          <w:szCs w:val="20"/>
          <w:lang w:val="pt-BR"/>
        </w:rPr>
        <w:t>pronuncia</w:t>
      </w:r>
      <w:r w:rsidR="00D60ABE" w:rsidRPr="00337743">
        <w:rPr>
          <w:rFonts w:ascii="Cambria" w:hAnsi="Cambria"/>
          <w:color w:val="000000"/>
          <w:sz w:val="20"/>
          <w:szCs w:val="20"/>
          <w:lang w:val="pt-BR"/>
        </w:rPr>
        <w:t>mento</w:t>
      </w:r>
      <w:r w:rsidR="007707E3" w:rsidRPr="00337743">
        <w:rPr>
          <w:rFonts w:ascii="Cambria" w:hAnsi="Cambria"/>
          <w:color w:val="000000"/>
          <w:sz w:val="20"/>
          <w:szCs w:val="20"/>
          <w:lang w:val="pt-BR"/>
        </w:rPr>
        <w:t xml:space="preserve"> do </w:t>
      </w:r>
      <w:r w:rsidR="000723B9" w:rsidRPr="00337743">
        <w:rPr>
          <w:rFonts w:ascii="Cambria" w:hAnsi="Cambria"/>
          <w:color w:val="000000"/>
          <w:sz w:val="20"/>
          <w:szCs w:val="20"/>
          <w:lang w:val="pt-BR"/>
        </w:rPr>
        <w:t>próprio</w:t>
      </w:r>
      <w:r w:rsidR="002650F8" w:rsidRPr="00337743">
        <w:rPr>
          <w:rFonts w:ascii="Cambria" w:hAnsi="Cambria"/>
          <w:color w:val="000000"/>
          <w:sz w:val="20"/>
          <w:szCs w:val="20"/>
          <w:lang w:val="pt-BR"/>
        </w:rPr>
        <w:t xml:space="preserve"> Aércio, que</w:t>
      </w:r>
      <w:r w:rsidR="00506331" w:rsidRPr="00337743">
        <w:rPr>
          <w:rFonts w:ascii="Cambria" w:hAnsi="Cambria"/>
          <w:color w:val="000000"/>
          <w:sz w:val="20"/>
          <w:szCs w:val="20"/>
          <w:lang w:val="pt-BR"/>
        </w:rPr>
        <w:t xml:space="preserve"> o </w:t>
      </w:r>
      <w:r w:rsidR="000723B9" w:rsidRPr="00337743">
        <w:rPr>
          <w:rFonts w:ascii="Cambria" w:hAnsi="Cambria"/>
          <w:color w:val="000000"/>
          <w:sz w:val="20"/>
          <w:szCs w:val="20"/>
          <w:lang w:val="pt-BR"/>
        </w:rPr>
        <w:t>veículo</w:t>
      </w:r>
      <w:r w:rsidR="00091880" w:rsidRPr="00337743">
        <w:rPr>
          <w:rFonts w:ascii="Cambria" w:hAnsi="Cambria"/>
          <w:color w:val="000000"/>
          <w:sz w:val="20"/>
          <w:szCs w:val="20"/>
          <w:lang w:val="pt-BR"/>
        </w:rPr>
        <w:t xml:space="preserve"> </w:t>
      </w:r>
      <w:r w:rsidR="006018D3">
        <w:rPr>
          <w:rFonts w:ascii="Cambria" w:hAnsi="Cambria"/>
          <w:color w:val="000000"/>
          <w:sz w:val="20"/>
          <w:szCs w:val="20"/>
          <w:lang w:val="pt-BR"/>
        </w:rPr>
        <w:t>visto</w:t>
      </w:r>
      <w:r w:rsidR="002650F8"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estava </w:t>
      </w:r>
      <w:r w:rsidR="00091880" w:rsidRPr="00337743">
        <w:rPr>
          <w:rFonts w:ascii="Cambria" w:hAnsi="Cambria"/>
          <w:color w:val="000000"/>
          <w:sz w:val="20"/>
          <w:szCs w:val="20"/>
          <w:lang w:val="pt-BR"/>
        </w:rPr>
        <w:t xml:space="preserve">em </w:t>
      </w:r>
      <w:r w:rsidR="000723B9" w:rsidRPr="00337743">
        <w:rPr>
          <w:rFonts w:ascii="Cambria" w:hAnsi="Cambria"/>
          <w:color w:val="000000"/>
          <w:sz w:val="20"/>
          <w:szCs w:val="20"/>
          <w:lang w:val="pt-BR"/>
        </w:rPr>
        <w:t>seu</w:t>
      </w:r>
      <w:r w:rsidR="002650F8" w:rsidRPr="00337743">
        <w:rPr>
          <w:rFonts w:ascii="Cambria" w:hAnsi="Cambria"/>
          <w:color w:val="000000"/>
          <w:sz w:val="20"/>
          <w:szCs w:val="20"/>
          <w:lang w:val="pt-BR"/>
        </w:rPr>
        <w:t xml:space="preserve"> poder</w:t>
      </w:r>
      <w:r w:rsidR="00025694" w:rsidRPr="00337743">
        <w:rPr>
          <w:rFonts w:ascii="Cambria" w:hAnsi="Cambria"/>
          <w:color w:val="000000"/>
          <w:sz w:val="20"/>
          <w:szCs w:val="20"/>
          <w:vertAlign w:val="superscript"/>
          <w:lang w:val="pt-BR"/>
        </w:rPr>
        <w:footnoteReference w:id="21"/>
      </w:r>
      <w:r w:rsidR="00C54DC8"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Pr="00337743">
        <w:rPr>
          <w:rFonts w:ascii="Cambria" w:hAnsi="Cambria"/>
          <w:color w:val="000000"/>
          <w:sz w:val="20"/>
          <w:szCs w:val="20"/>
          <w:lang w:val="pt-BR"/>
        </w:rPr>
        <w:t>U</w:t>
      </w:r>
      <w:r w:rsidR="00091880" w:rsidRPr="00337743">
        <w:rPr>
          <w:rFonts w:ascii="Cambria" w:hAnsi="Cambria"/>
          <w:color w:val="000000"/>
          <w:sz w:val="20"/>
          <w:szCs w:val="20"/>
          <w:lang w:val="pt-BR"/>
        </w:rPr>
        <w:t xml:space="preserve">ma </w:t>
      </w:r>
      <w:r w:rsidR="00F1290D" w:rsidRPr="00337743">
        <w:rPr>
          <w:rFonts w:ascii="Cambria" w:hAnsi="Cambria"/>
          <w:color w:val="000000"/>
          <w:sz w:val="20"/>
          <w:szCs w:val="20"/>
          <w:lang w:val="pt-BR"/>
        </w:rPr>
        <w:t>vez avisada</w:t>
      </w:r>
      <w:r w:rsidR="00506331" w:rsidRPr="00337743">
        <w:rPr>
          <w:rFonts w:ascii="Cambria" w:hAnsi="Cambria"/>
          <w:color w:val="000000"/>
          <w:sz w:val="20"/>
          <w:szCs w:val="20"/>
          <w:lang w:val="pt-BR"/>
        </w:rPr>
        <w:t xml:space="preserve"> a </w:t>
      </w:r>
      <w:r w:rsidR="00F122A6" w:rsidRPr="00337743">
        <w:rPr>
          <w:rFonts w:ascii="Cambria" w:hAnsi="Cambria"/>
          <w:color w:val="000000"/>
          <w:sz w:val="20"/>
          <w:szCs w:val="20"/>
          <w:lang w:val="pt-BR"/>
        </w:rPr>
        <w:t>polícia</w:t>
      </w:r>
      <w:r w:rsidR="00F1290D" w:rsidRPr="00337743">
        <w:rPr>
          <w:rFonts w:ascii="Cambria" w:hAnsi="Cambria"/>
          <w:color w:val="000000"/>
          <w:sz w:val="20"/>
          <w:szCs w:val="20"/>
          <w:lang w:val="pt-BR"/>
        </w:rPr>
        <w:t xml:space="preserve">, </w:t>
      </w:r>
      <w:r w:rsidR="0039503E" w:rsidRPr="00337743">
        <w:rPr>
          <w:rFonts w:ascii="Cambria" w:hAnsi="Cambria"/>
          <w:color w:val="000000"/>
          <w:sz w:val="20"/>
          <w:szCs w:val="20"/>
          <w:lang w:val="pt-BR"/>
        </w:rPr>
        <w:t>foram iniciadas</w:t>
      </w:r>
      <w:r w:rsidR="007707E3" w:rsidRPr="00337743">
        <w:rPr>
          <w:rFonts w:ascii="Cambria" w:hAnsi="Cambria"/>
          <w:color w:val="000000"/>
          <w:sz w:val="20"/>
          <w:szCs w:val="20"/>
          <w:lang w:val="pt-BR"/>
        </w:rPr>
        <w:t xml:space="preserve"> as </w:t>
      </w:r>
      <w:r w:rsidR="00F1290D" w:rsidRPr="00337743">
        <w:rPr>
          <w:rFonts w:ascii="Cambria" w:hAnsi="Cambria"/>
          <w:color w:val="000000"/>
          <w:sz w:val="20"/>
          <w:szCs w:val="20"/>
          <w:lang w:val="pt-BR"/>
        </w:rPr>
        <w:t>investiga</w:t>
      </w:r>
      <w:r w:rsidR="00350E7E" w:rsidRPr="00337743">
        <w:rPr>
          <w:rFonts w:ascii="Cambria" w:hAnsi="Cambria"/>
          <w:color w:val="000000"/>
          <w:sz w:val="20"/>
          <w:szCs w:val="20"/>
          <w:lang w:val="pt-BR"/>
        </w:rPr>
        <w:t>ções</w:t>
      </w:r>
      <w:r w:rsidR="00F1290D" w:rsidRPr="00337743">
        <w:rPr>
          <w:rFonts w:ascii="Cambria" w:hAnsi="Cambria"/>
          <w:color w:val="000000"/>
          <w:sz w:val="20"/>
          <w:szCs w:val="20"/>
          <w:lang w:val="pt-BR"/>
        </w:rPr>
        <w:t xml:space="preserve"> </w:t>
      </w:r>
      <w:r w:rsidR="000723B9" w:rsidRPr="00337743">
        <w:rPr>
          <w:rFonts w:ascii="Cambria" w:hAnsi="Cambria"/>
          <w:color w:val="000000"/>
          <w:sz w:val="20"/>
          <w:szCs w:val="20"/>
          <w:lang w:val="pt-BR"/>
        </w:rPr>
        <w:t>correspondentes</w:t>
      </w:r>
      <w:r w:rsidR="006018D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6018D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F122A6" w:rsidRPr="00337743">
        <w:rPr>
          <w:rFonts w:ascii="Cambria" w:hAnsi="Cambria"/>
          <w:color w:val="000000"/>
          <w:sz w:val="20"/>
          <w:szCs w:val="20"/>
          <w:lang w:val="pt-BR"/>
        </w:rPr>
        <w:t>perícia</w:t>
      </w:r>
      <w:r w:rsidR="00F1290D" w:rsidRPr="00337743">
        <w:rPr>
          <w:rFonts w:ascii="Cambria" w:hAnsi="Cambria"/>
          <w:color w:val="000000"/>
          <w:sz w:val="20"/>
          <w:szCs w:val="20"/>
          <w:lang w:val="pt-BR"/>
        </w:rPr>
        <w:t xml:space="preserve"> tanatoscópica </w:t>
      </w:r>
      <w:r w:rsidR="0039503E" w:rsidRPr="00337743">
        <w:rPr>
          <w:rFonts w:ascii="Cambria" w:hAnsi="Cambria"/>
          <w:color w:val="000000"/>
          <w:sz w:val="20"/>
          <w:szCs w:val="20"/>
          <w:lang w:val="pt-BR"/>
        </w:rPr>
        <w:t xml:space="preserve">indicou </w:t>
      </w:r>
      <w:r w:rsidR="00F1290D" w:rsidRPr="00337743">
        <w:rPr>
          <w:rFonts w:ascii="Cambria" w:hAnsi="Cambria"/>
          <w:color w:val="000000"/>
          <w:sz w:val="20"/>
          <w:szCs w:val="20"/>
          <w:lang w:val="pt-BR"/>
        </w:rPr>
        <w:t>que</w:t>
      </w:r>
      <w:r w:rsidR="00506331" w:rsidRPr="00337743">
        <w:rPr>
          <w:rFonts w:ascii="Cambria" w:hAnsi="Cambria"/>
          <w:color w:val="000000"/>
          <w:sz w:val="20"/>
          <w:szCs w:val="20"/>
          <w:lang w:val="pt-BR"/>
        </w:rPr>
        <w:t xml:space="preserve"> a </w:t>
      </w:r>
      <w:r w:rsidR="009D71DA" w:rsidRPr="00337743">
        <w:rPr>
          <w:rFonts w:ascii="Cambria" w:hAnsi="Cambria"/>
          <w:color w:val="000000"/>
          <w:sz w:val="20"/>
          <w:szCs w:val="20"/>
          <w:lang w:val="pt-BR"/>
        </w:rPr>
        <w:t>mort</w:t>
      </w:r>
      <w:r w:rsidR="00F1290D" w:rsidRPr="00337743">
        <w:rPr>
          <w:rFonts w:ascii="Cambria" w:hAnsi="Cambria"/>
          <w:color w:val="000000"/>
          <w:sz w:val="20"/>
          <w:szCs w:val="20"/>
          <w:lang w:val="pt-BR"/>
        </w:rPr>
        <w:t>e t</w:t>
      </w:r>
      <w:r w:rsidR="000723B9" w:rsidRPr="00337743">
        <w:rPr>
          <w:rFonts w:ascii="Cambria" w:hAnsi="Cambria"/>
          <w:color w:val="000000"/>
          <w:sz w:val="20"/>
          <w:szCs w:val="20"/>
          <w:lang w:val="pt-BR"/>
        </w:rPr>
        <w:t>eve</w:t>
      </w:r>
      <w:r w:rsidR="00F1290D" w:rsidRPr="00337743">
        <w:rPr>
          <w:rFonts w:ascii="Cambria" w:hAnsi="Cambria"/>
          <w:color w:val="000000"/>
          <w:sz w:val="20"/>
          <w:szCs w:val="20"/>
          <w:lang w:val="pt-BR"/>
        </w:rPr>
        <w:t xml:space="preserve"> lugar </w:t>
      </w:r>
      <w:r w:rsidR="0039503E" w:rsidRPr="00337743">
        <w:rPr>
          <w:rFonts w:ascii="Cambria" w:hAnsi="Cambria"/>
          <w:color w:val="000000"/>
          <w:sz w:val="20"/>
          <w:szCs w:val="20"/>
          <w:lang w:val="pt-BR"/>
        </w:rPr>
        <w:t>por</w:t>
      </w:r>
      <w:r w:rsidR="00D23D6A" w:rsidRPr="00337743">
        <w:rPr>
          <w:rFonts w:ascii="Cambria" w:hAnsi="Cambria"/>
          <w:color w:val="000000"/>
          <w:sz w:val="20"/>
          <w:szCs w:val="20"/>
          <w:lang w:val="pt-BR"/>
        </w:rPr>
        <w:t xml:space="preserve"> </w:t>
      </w:r>
      <w:r w:rsidR="00F1290D" w:rsidRPr="00337743">
        <w:rPr>
          <w:rFonts w:ascii="Cambria" w:hAnsi="Cambria"/>
          <w:color w:val="000000"/>
          <w:sz w:val="20"/>
          <w:szCs w:val="20"/>
          <w:lang w:val="pt-BR"/>
        </w:rPr>
        <w:t>asfixia provocada por s</w:t>
      </w:r>
      <w:r w:rsidR="001375E8" w:rsidRPr="00337743">
        <w:rPr>
          <w:rFonts w:ascii="Cambria" w:hAnsi="Cambria"/>
          <w:color w:val="000000"/>
          <w:sz w:val="20"/>
          <w:szCs w:val="20"/>
          <w:lang w:val="pt-BR"/>
        </w:rPr>
        <w:t>u</w:t>
      </w:r>
      <w:r w:rsidR="00F1290D" w:rsidRPr="00337743">
        <w:rPr>
          <w:rFonts w:ascii="Cambria" w:hAnsi="Cambria"/>
          <w:color w:val="000000"/>
          <w:sz w:val="20"/>
          <w:szCs w:val="20"/>
          <w:lang w:val="pt-BR"/>
        </w:rPr>
        <w:t>foca</w:t>
      </w:r>
      <w:r w:rsidR="001375E8" w:rsidRPr="00337743">
        <w:rPr>
          <w:rFonts w:ascii="Cambria" w:hAnsi="Cambria"/>
          <w:color w:val="000000"/>
          <w:sz w:val="20"/>
          <w:szCs w:val="20"/>
          <w:lang w:val="pt-BR"/>
        </w:rPr>
        <w:t>ção</w:t>
      </w:r>
      <w:r w:rsidR="00025694" w:rsidRPr="00337743">
        <w:rPr>
          <w:rFonts w:ascii="Cambria" w:hAnsi="Cambria"/>
          <w:color w:val="000000"/>
          <w:sz w:val="20"/>
          <w:szCs w:val="20"/>
          <w:vertAlign w:val="superscript"/>
          <w:lang w:val="pt-BR"/>
        </w:rPr>
        <w:footnoteReference w:id="22"/>
      </w:r>
      <w:r w:rsidR="00AE01FE" w:rsidRPr="00337743">
        <w:rPr>
          <w:rFonts w:ascii="Cambria" w:hAnsi="Cambria"/>
          <w:color w:val="000000"/>
          <w:sz w:val="20"/>
          <w:szCs w:val="20"/>
          <w:lang w:val="pt-BR"/>
        </w:rPr>
        <w:t>.</w:t>
      </w:r>
      <w:r w:rsidR="00025694" w:rsidRPr="00337743">
        <w:rPr>
          <w:rFonts w:ascii="Cambria" w:hAnsi="Cambria"/>
          <w:color w:val="000000"/>
          <w:sz w:val="20"/>
          <w:szCs w:val="20"/>
          <w:lang w:val="pt-BR"/>
        </w:rPr>
        <w:t xml:space="preserve"> A</w:t>
      </w:r>
      <w:r w:rsidR="001375E8" w:rsidRPr="00337743">
        <w:rPr>
          <w:rFonts w:ascii="Cambria" w:hAnsi="Cambria"/>
          <w:color w:val="000000"/>
          <w:sz w:val="20"/>
          <w:szCs w:val="20"/>
          <w:lang w:val="pt-BR"/>
        </w:rPr>
        <w:t xml:space="preserve">lém </w:t>
      </w:r>
      <w:r w:rsidR="00025694" w:rsidRPr="00337743">
        <w:rPr>
          <w:rFonts w:ascii="Cambria" w:hAnsi="Cambria"/>
          <w:color w:val="000000"/>
          <w:sz w:val="20"/>
          <w:szCs w:val="20"/>
          <w:lang w:val="pt-BR"/>
        </w:rPr>
        <w:t xml:space="preserve">de </w:t>
      </w:r>
      <w:r w:rsidR="001375E8" w:rsidRPr="00337743">
        <w:rPr>
          <w:rFonts w:ascii="Cambria" w:hAnsi="Cambria"/>
          <w:color w:val="000000"/>
          <w:sz w:val="20"/>
          <w:szCs w:val="20"/>
          <w:lang w:val="pt-BR"/>
        </w:rPr>
        <w:t>indic</w:t>
      </w:r>
      <w:r w:rsidR="00025694" w:rsidRPr="00337743">
        <w:rPr>
          <w:rFonts w:ascii="Cambria" w:hAnsi="Cambria"/>
          <w:color w:val="000000"/>
          <w:sz w:val="20"/>
          <w:szCs w:val="20"/>
          <w:lang w:val="pt-BR"/>
        </w:rPr>
        <w:t>ar</w:t>
      </w:r>
      <w:r w:rsidR="00506331" w:rsidRPr="00337743">
        <w:rPr>
          <w:rFonts w:ascii="Cambria" w:hAnsi="Cambria"/>
          <w:color w:val="000000"/>
          <w:sz w:val="20"/>
          <w:szCs w:val="20"/>
          <w:lang w:val="pt-BR"/>
        </w:rPr>
        <w:t xml:space="preserve"> a </w:t>
      </w:r>
      <w:r w:rsidR="009D71DA" w:rsidRPr="00337743">
        <w:rPr>
          <w:rFonts w:ascii="Cambria" w:hAnsi="Cambria"/>
          <w:color w:val="000000"/>
          <w:sz w:val="20"/>
          <w:szCs w:val="20"/>
          <w:lang w:val="pt-BR"/>
        </w:rPr>
        <w:t>mort</w:t>
      </w:r>
      <w:r w:rsidR="00025694" w:rsidRPr="00337743">
        <w:rPr>
          <w:rFonts w:ascii="Cambria" w:hAnsi="Cambria"/>
          <w:color w:val="000000"/>
          <w:sz w:val="20"/>
          <w:szCs w:val="20"/>
          <w:lang w:val="pt-BR"/>
        </w:rPr>
        <w:t xml:space="preserve">e por </w:t>
      </w:r>
      <w:r w:rsidR="0039503E" w:rsidRPr="00337743">
        <w:rPr>
          <w:rFonts w:ascii="Cambria" w:hAnsi="Cambria"/>
          <w:color w:val="000000"/>
          <w:sz w:val="20"/>
          <w:szCs w:val="20"/>
          <w:lang w:val="pt-BR"/>
        </w:rPr>
        <w:t>sufocação</w:t>
      </w:r>
      <w:r w:rsidR="00025694"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o </w:t>
      </w:r>
      <w:r w:rsidR="00025694" w:rsidRPr="00337743">
        <w:rPr>
          <w:rFonts w:ascii="Cambria" w:hAnsi="Cambria"/>
          <w:color w:val="000000"/>
          <w:sz w:val="20"/>
          <w:szCs w:val="20"/>
          <w:lang w:val="pt-BR"/>
        </w:rPr>
        <w:t xml:space="preserve">Laudo de </w:t>
      </w:r>
      <w:r w:rsidR="0039503E" w:rsidRPr="00337743">
        <w:rPr>
          <w:rFonts w:ascii="Cambria" w:hAnsi="Cambria"/>
          <w:color w:val="000000"/>
          <w:sz w:val="20"/>
          <w:szCs w:val="20"/>
          <w:lang w:val="pt-BR"/>
        </w:rPr>
        <w:t>Exame</w:t>
      </w:r>
      <w:r w:rsidR="00025694" w:rsidRPr="00337743">
        <w:rPr>
          <w:rFonts w:ascii="Cambria" w:hAnsi="Cambria"/>
          <w:color w:val="000000"/>
          <w:sz w:val="20"/>
          <w:szCs w:val="20"/>
          <w:lang w:val="pt-BR"/>
        </w:rPr>
        <w:t xml:space="preserve"> Cadavérico afirm</w:t>
      </w:r>
      <w:r w:rsidR="0039503E" w:rsidRPr="00337743">
        <w:rPr>
          <w:rFonts w:ascii="Cambria" w:hAnsi="Cambria"/>
          <w:color w:val="000000"/>
          <w:sz w:val="20"/>
          <w:szCs w:val="20"/>
          <w:lang w:val="pt-BR"/>
        </w:rPr>
        <w:t>ou</w:t>
      </w:r>
      <w:r w:rsidR="00025694" w:rsidRPr="00337743">
        <w:rPr>
          <w:rFonts w:ascii="Cambria" w:hAnsi="Cambria"/>
          <w:color w:val="000000"/>
          <w:sz w:val="20"/>
          <w:szCs w:val="20"/>
          <w:lang w:val="pt-BR"/>
        </w:rPr>
        <w:t xml:space="preserve"> que Márcia</w:t>
      </w:r>
      <w:r w:rsidR="00091880" w:rsidRPr="00337743">
        <w:rPr>
          <w:rFonts w:ascii="Cambria" w:hAnsi="Cambria"/>
          <w:color w:val="000000"/>
          <w:sz w:val="20"/>
          <w:szCs w:val="20"/>
          <w:lang w:val="pt-BR"/>
        </w:rPr>
        <w:t xml:space="preserve"> foi </w:t>
      </w:r>
      <w:r w:rsidR="00025694" w:rsidRPr="00337743">
        <w:rPr>
          <w:rFonts w:ascii="Cambria" w:hAnsi="Cambria"/>
          <w:color w:val="000000"/>
          <w:sz w:val="20"/>
          <w:szCs w:val="20"/>
          <w:lang w:val="pt-BR"/>
        </w:rPr>
        <w:t>golpeada</w:t>
      </w:r>
      <w:r w:rsidR="00025694" w:rsidRPr="00337743">
        <w:rPr>
          <w:rFonts w:ascii="Cambria" w:hAnsi="Cambria"/>
          <w:color w:val="000000"/>
          <w:sz w:val="20"/>
          <w:szCs w:val="20"/>
          <w:vertAlign w:val="superscript"/>
          <w:lang w:val="pt-BR"/>
        </w:rPr>
        <w:footnoteReference w:id="23"/>
      </w:r>
      <w:r w:rsidR="00312A9C" w:rsidRPr="00337743">
        <w:rPr>
          <w:rFonts w:ascii="Cambria" w:hAnsi="Cambria"/>
          <w:color w:val="000000"/>
          <w:sz w:val="20"/>
          <w:szCs w:val="20"/>
          <w:lang w:val="pt-BR"/>
        </w:rPr>
        <w:t>.</w:t>
      </w:r>
      <w:r w:rsidR="00025694" w:rsidRPr="00337743">
        <w:rPr>
          <w:rFonts w:ascii="Cambria" w:hAnsi="Cambria"/>
          <w:color w:val="000000"/>
          <w:sz w:val="20"/>
          <w:szCs w:val="20"/>
          <w:lang w:val="pt-BR"/>
        </w:rPr>
        <w:t xml:space="preserve"> </w:t>
      </w:r>
      <w:r w:rsidR="0039503E" w:rsidRPr="00337743">
        <w:rPr>
          <w:rFonts w:ascii="Cambria" w:hAnsi="Cambria"/>
          <w:color w:val="000000"/>
          <w:sz w:val="20"/>
          <w:szCs w:val="20"/>
          <w:lang w:val="pt-BR"/>
        </w:rPr>
        <w:t>Segundo</w:t>
      </w:r>
      <w:r w:rsidR="00506331" w:rsidRPr="00337743">
        <w:rPr>
          <w:rFonts w:ascii="Cambria" w:hAnsi="Cambria"/>
          <w:color w:val="000000"/>
          <w:sz w:val="20"/>
          <w:szCs w:val="20"/>
          <w:lang w:val="pt-BR"/>
        </w:rPr>
        <w:t xml:space="preserve"> a </w:t>
      </w:r>
      <w:r w:rsidR="00025694" w:rsidRPr="00337743">
        <w:rPr>
          <w:rFonts w:ascii="Cambria" w:hAnsi="Cambria"/>
          <w:color w:val="000000"/>
          <w:sz w:val="20"/>
          <w:szCs w:val="20"/>
          <w:lang w:val="pt-BR"/>
        </w:rPr>
        <w:t>declara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025694" w:rsidRPr="00337743">
        <w:rPr>
          <w:rFonts w:ascii="Cambria" w:hAnsi="Cambria"/>
          <w:color w:val="000000"/>
          <w:sz w:val="20"/>
          <w:szCs w:val="20"/>
          <w:lang w:val="pt-BR"/>
        </w:rPr>
        <w:t>per</w:t>
      </w:r>
      <w:r w:rsidR="001375E8" w:rsidRPr="00337743">
        <w:rPr>
          <w:rFonts w:ascii="Cambria" w:hAnsi="Cambria"/>
          <w:color w:val="000000"/>
          <w:sz w:val="20"/>
          <w:szCs w:val="20"/>
          <w:lang w:val="pt-BR"/>
        </w:rPr>
        <w:t>i</w:t>
      </w:r>
      <w:r w:rsidR="00025694" w:rsidRPr="00337743">
        <w:rPr>
          <w:rFonts w:ascii="Cambria" w:hAnsi="Cambria"/>
          <w:color w:val="000000"/>
          <w:sz w:val="20"/>
          <w:szCs w:val="20"/>
          <w:lang w:val="pt-BR"/>
        </w:rPr>
        <w:t>to médico-legal,</w:t>
      </w:r>
      <w:r w:rsidR="00506331" w:rsidRPr="00337743">
        <w:rPr>
          <w:rFonts w:ascii="Cambria" w:hAnsi="Cambria"/>
          <w:color w:val="000000"/>
          <w:sz w:val="20"/>
          <w:szCs w:val="20"/>
          <w:lang w:val="pt-BR"/>
        </w:rPr>
        <w:t xml:space="preserve"> a </w:t>
      </w:r>
      <w:r w:rsidR="00025694" w:rsidRPr="00337743">
        <w:rPr>
          <w:rFonts w:ascii="Cambria" w:hAnsi="Cambria"/>
          <w:color w:val="000000"/>
          <w:sz w:val="20"/>
          <w:szCs w:val="20"/>
          <w:lang w:val="pt-BR"/>
        </w:rPr>
        <w:t xml:space="preserve">asfixia de Márcia </w:t>
      </w:r>
      <w:r w:rsidR="0039503E" w:rsidRPr="00337743">
        <w:rPr>
          <w:rFonts w:ascii="Cambria" w:hAnsi="Cambria"/>
          <w:color w:val="000000"/>
          <w:sz w:val="20"/>
          <w:szCs w:val="20"/>
          <w:lang w:val="pt-BR"/>
        </w:rPr>
        <w:t>ocorreu</w:t>
      </w:r>
      <w:r w:rsidR="00025694" w:rsidRPr="00337743">
        <w:rPr>
          <w:rFonts w:ascii="Cambria" w:hAnsi="Cambria"/>
          <w:color w:val="000000"/>
          <w:sz w:val="20"/>
          <w:szCs w:val="20"/>
          <w:lang w:val="pt-BR"/>
        </w:rPr>
        <w:t xml:space="preserve"> por 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025694" w:rsidRPr="00337743">
        <w:rPr>
          <w:rFonts w:ascii="Cambria" w:hAnsi="Cambria"/>
          <w:color w:val="000000"/>
          <w:sz w:val="20"/>
          <w:szCs w:val="20"/>
          <w:lang w:val="pt-BR"/>
        </w:rPr>
        <w:t xml:space="preserve"> </w:t>
      </w:r>
      <w:r w:rsidR="0039503E" w:rsidRPr="00337743">
        <w:rPr>
          <w:rFonts w:ascii="Cambria" w:hAnsi="Cambria"/>
          <w:color w:val="000000"/>
          <w:sz w:val="20"/>
          <w:szCs w:val="20"/>
          <w:lang w:val="pt-BR"/>
        </w:rPr>
        <w:t>mecânica</w:t>
      </w:r>
      <w:r w:rsidR="00025694" w:rsidRPr="00337743">
        <w:rPr>
          <w:rFonts w:ascii="Cambria" w:hAnsi="Cambria"/>
          <w:color w:val="000000"/>
          <w:sz w:val="20"/>
          <w:szCs w:val="20"/>
          <w:lang w:val="pt-BR"/>
        </w:rPr>
        <w:t xml:space="preserve">, como </w:t>
      </w:r>
      <w:r w:rsidR="00A06E97" w:rsidRPr="00337743">
        <w:rPr>
          <w:rFonts w:ascii="Cambria" w:hAnsi="Cambria"/>
          <w:color w:val="000000"/>
          <w:sz w:val="20"/>
          <w:szCs w:val="20"/>
          <w:lang w:val="pt-BR"/>
        </w:rPr>
        <w:t>demonstram</w:t>
      </w:r>
      <w:r w:rsidR="007707E3" w:rsidRPr="00337743">
        <w:rPr>
          <w:rFonts w:ascii="Cambria" w:hAnsi="Cambria"/>
          <w:color w:val="000000"/>
          <w:sz w:val="20"/>
          <w:szCs w:val="20"/>
          <w:lang w:val="pt-BR"/>
        </w:rPr>
        <w:t xml:space="preserve"> as </w:t>
      </w:r>
      <w:r w:rsidR="00025694" w:rsidRPr="00337743">
        <w:rPr>
          <w:rFonts w:ascii="Cambria" w:hAnsi="Cambria"/>
          <w:color w:val="000000"/>
          <w:sz w:val="20"/>
          <w:szCs w:val="20"/>
          <w:lang w:val="pt-BR"/>
        </w:rPr>
        <w:t>"</w:t>
      </w:r>
      <w:r w:rsidR="0039503E" w:rsidRPr="00337743">
        <w:rPr>
          <w:rFonts w:ascii="Cambria" w:hAnsi="Cambria"/>
          <w:color w:val="000000"/>
          <w:sz w:val="20"/>
          <w:szCs w:val="20"/>
          <w:lang w:val="pt-BR"/>
        </w:rPr>
        <w:t>escoriações</w:t>
      </w:r>
      <w:r w:rsidR="00091880" w:rsidRPr="00337743">
        <w:rPr>
          <w:rFonts w:ascii="Cambria" w:hAnsi="Cambria"/>
          <w:color w:val="000000"/>
          <w:sz w:val="20"/>
          <w:szCs w:val="20"/>
          <w:lang w:val="pt-BR"/>
        </w:rPr>
        <w:t xml:space="preserve"> na </w:t>
      </w:r>
      <w:r w:rsidR="00025694" w:rsidRPr="00337743">
        <w:rPr>
          <w:rFonts w:ascii="Cambria" w:hAnsi="Cambria"/>
          <w:color w:val="000000"/>
          <w:sz w:val="20"/>
          <w:szCs w:val="20"/>
          <w:lang w:val="pt-BR"/>
        </w:rPr>
        <w:t>regi</w:t>
      </w:r>
      <w:r w:rsidR="00A06E97" w:rsidRPr="00337743">
        <w:rPr>
          <w:rFonts w:ascii="Cambria" w:hAnsi="Cambria"/>
          <w:color w:val="000000"/>
          <w:sz w:val="20"/>
          <w:szCs w:val="20"/>
          <w:lang w:val="pt-BR"/>
        </w:rPr>
        <w:t>ão</w:t>
      </w:r>
      <w:r w:rsidR="00025694" w:rsidRPr="00337743">
        <w:rPr>
          <w:rFonts w:ascii="Cambria" w:hAnsi="Cambria"/>
          <w:color w:val="000000"/>
          <w:sz w:val="20"/>
          <w:szCs w:val="20"/>
          <w:lang w:val="pt-BR"/>
        </w:rPr>
        <w:t xml:space="preserve"> frontal, nasal</w:t>
      </w:r>
      <w:r w:rsidR="00506331" w:rsidRPr="00337743">
        <w:rPr>
          <w:rFonts w:ascii="Cambria" w:hAnsi="Cambria"/>
          <w:color w:val="000000"/>
          <w:sz w:val="20"/>
          <w:szCs w:val="20"/>
          <w:lang w:val="pt-BR"/>
        </w:rPr>
        <w:t xml:space="preserve"> e </w:t>
      </w:r>
      <w:r w:rsidR="00025694" w:rsidRPr="00337743">
        <w:rPr>
          <w:rFonts w:ascii="Cambria" w:hAnsi="Cambria"/>
          <w:color w:val="000000"/>
          <w:sz w:val="20"/>
          <w:szCs w:val="20"/>
          <w:lang w:val="pt-BR"/>
        </w:rPr>
        <w:t>labial</w:t>
      </w:r>
      <w:r w:rsidR="00506331" w:rsidRPr="00337743">
        <w:rPr>
          <w:rFonts w:ascii="Cambria" w:hAnsi="Cambria"/>
          <w:color w:val="000000"/>
          <w:sz w:val="20"/>
          <w:szCs w:val="20"/>
          <w:lang w:val="pt-BR"/>
        </w:rPr>
        <w:t xml:space="preserve"> e </w:t>
      </w:r>
      <w:r w:rsidR="0039503E" w:rsidRPr="00337743">
        <w:rPr>
          <w:rFonts w:ascii="Cambria" w:hAnsi="Cambria"/>
          <w:color w:val="000000"/>
          <w:sz w:val="20"/>
          <w:szCs w:val="20"/>
          <w:lang w:val="pt-BR"/>
        </w:rPr>
        <w:t>hematomas</w:t>
      </w:r>
      <w:r w:rsidR="00025694" w:rsidRPr="00337743">
        <w:rPr>
          <w:rFonts w:ascii="Cambria" w:hAnsi="Cambria"/>
          <w:color w:val="000000"/>
          <w:sz w:val="20"/>
          <w:szCs w:val="20"/>
          <w:lang w:val="pt-BR"/>
        </w:rPr>
        <w:t xml:space="preserve"> </w:t>
      </w:r>
      <w:r w:rsidR="001375E8" w:rsidRPr="00337743">
        <w:rPr>
          <w:rFonts w:ascii="Cambria" w:hAnsi="Cambria"/>
          <w:color w:val="000000"/>
          <w:sz w:val="20"/>
          <w:szCs w:val="20"/>
          <w:lang w:val="pt-BR"/>
        </w:rPr>
        <w:t xml:space="preserve">de tom </w:t>
      </w:r>
      <w:r w:rsidR="00025694" w:rsidRPr="00337743">
        <w:rPr>
          <w:rFonts w:ascii="Cambria" w:hAnsi="Cambria"/>
          <w:color w:val="000000"/>
          <w:sz w:val="20"/>
          <w:szCs w:val="20"/>
          <w:lang w:val="pt-BR"/>
        </w:rPr>
        <w:t>azul-violáce</w:t>
      </w:r>
      <w:r w:rsidR="001375E8" w:rsidRPr="00337743">
        <w:rPr>
          <w:rFonts w:ascii="Cambria" w:hAnsi="Cambria"/>
          <w:color w:val="000000"/>
          <w:sz w:val="20"/>
          <w:szCs w:val="20"/>
          <w:lang w:val="pt-BR"/>
        </w:rPr>
        <w:t>o</w:t>
      </w:r>
      <w:r w:rsidR="00025694" w:rsidRPr="00337743">
        <w:rPr>
          <w:rFonts w:ascii="Cambria" w:hAnsi="Cambria"/>
          <w:color w:val="000000"/>
          <w:sz w:val="20"/>
          <w:szCs w:val="20"/>
          <w:lang w:val="pt-BR"/>
        </w:rPr>
        <w:t xml:space="preserve"> </w:t>
      </w:r>
      <w:r w:rsidR="0039503E" w:rsidRPr="00337743">
        <w:rPr>
          <w:rFonts w:ascii="Cambria" w:hAnsi="Cambria"/>
          <w:color w:val="000000"/>
          <w:sz w:val="20"/>
          <w:szCs w:val="20"/>
          <w:lang w:val="pt-BR"/>
        </w:rPr>
        <w:t>distribuídas</w:t>
      </w:r>
      <w:r w:rsidR="00C6641C" w:rsidRPr="00337743">
        <w:rPr>
          <w:rFonts w:ascii="Cambria" w:hAnsi="Cambria"/>
          <w:color w:val="000000"/>
          <w:sz w:val="20"/>
          <w:szCs w:val="20"/>
          <w:lang w:val="pt-BR"/>
        </w:rPr>
        <w:t xml:space="preserve"> pela </w:t>
      </w:r>
      <w:r w:rsidR="00025694" w:rsidRPr="00337743">
        <w:rPr>
          <w:rFonts w:ascii="Cambria" w:hAnsi="Cambria"/>
          <w:color w:val="000000"/>
          <w:sz w:val="20"/>
          <w:szCs w:val="20"/>
          <w:lang w:val="pt-BR"/>
        </w:rPr>
        <w:t>regi</w:t>
      </w:r>
      <w:r w:rsidR="00A06E97" w:rsidRPr="00337743">
        <w:rPr>
          <w:rFonts w:ascii="Cambria" w:hAnsi="Cambria"/>
          <w:color w:val="000000"/>
          <w:sz w:val="20"/>
          <w:szCs w:val="20"/>
          <w:lang w:val="pt-BR"/>
        </w:rPr>
        <w:t>ão</w:t>
      </w:r>
      <w:r w:rsidR="00025694" w:rsidRPr="00337743">
        <w:rPr>
          <w:rFonts w:ascii="Cambria" w:hAnsi="Cambria"/>
          <w:color w:val="000000"/>
          <w:sz w:val="20"/>
          <w:szCs w:val="20"/>
          <w:lang w:val="pt-BR"/>
        </w:rPr>
        <w:t xml:space="preserve"> orbital, nasal</w:t>
      </w:r>
      <w:r w:rsidR="00506331" w:rsidRPr="00337743">
        <w:rPr>
          <w:rFonts w:ascii="Cambria" w:hAnsi="Cambria"/>
          <w:color w:val="000000"/>
          <w:sz w:val="20"/>
          <w:szCs w:val="20"/>
          <w:lang w:val="pt-BR"/>
        </w:rPr>
        <w:t xml:space="preserve"> e </w:t>
      </w:r>
      <w:r w:rsidR="00025694" w:rsidRPr="00337743">
        <w:rPr>
          <w:rFonts w:ascii="Cambria" w:hAnsi="Cambria"/>
          <w:color w:val="000000"/>
          <w:sz w:val="20"/>
          <w:szCs w:val="20"/>
          <w:lang w:val="pt-BR"/>
        </w:rPr>
        <w:t xml:space="preserve">labial" que se </w:t>
      </w:r>
      <w:r w:rsidR="00934282" w:rsidRPr="00337743">
        <w:rPr>
          <w:rFonts w:ascii="Cambria" w:hAnsi="Cambria"/>
          <w:color w:val="000000"/>
          <w:sz w:val="20"/>
          <w:szCs w:val="20"/>
          <w:lang w:val="pt-BR"/>
        </w:rPr>
        <w:t>examinam</w:t>
      </w:r>
      <w:r w:rsidR="00025694" w:rsidRPr="00337743">
        <w:rPr>
          <w:rFonts w:ascii="Cambria" w:hAnsi="Cambria"/>
          <w:color w:val="000000"/>
          <w:sz w:val="20"/>
          <w:szCs w:val="20"/>
          <w:vertAlign w:val="superscript"/>
          <w:lang w:val="pt-BR"/>
        </w:rPr>
        <w:footnoteReference w:id="24"/>
      </w:r>
      <w:r w:rsidR="007470FF"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1375E8"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156C05" w:rsidRPr="00337743">
        <w:rPr>
          <w:rFonts w:ascii="Cambria" w:hAnsi="Cambria"/>
          <w:color w:val="000000"/>
          <w:sz w:val="20"/>
          <w:szCs w:val="20"/>
          <w:lang w:val="pt-BR"/>
        </w:rPr>
        <w:t>reprodu</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156C05" w:rsidRPr="00337743">
        <w:rPr>
          <w:rFonts w:ascii="Cambria" w:hAnsi="Cambria"/>
          <w:color w:val="000000"/>
          <w:sz w:val="20"/>
          <w:szCs w:val="20"/>
          <w:lang w:val="pt-BR"/>
        </w:rPr>
        <w:t xml:space="preserve"> simulada</w:t>
      </w:r>
      <w:r w:rsidR="007707E3" w:rsidRPr="00337743">
        <w:rPr>
          <w:rFonts w:ascii="Cambria" w:hAnsi="Cambria"/>
          <w:color w:val="000000"/>
          <w:sz w:val="20"/>
          <w:szCs w:val="20"/>
          <w:lang w:val="pt-BR"/>
        </w:rPr>
        <w:t xml:space="preserve"> do </w:t>
      </w:r>
      <w:r w:rsidR="001375E8" w:rsidRPr="00337743">
        <w:rPr>
          <w:rFonts w:ascii="Cambria" w:hAnsi="Cambria"/>
          <w:color w:val="000000"/>
          <w:sz w:val="20"/>
          <w:szCs w:val="20"/>
          <w:lang w:val="pt-BR"/>
        </w:rPr>
        <w:t>percurso</w:t>
      </w:r>
      <w:r w:rsidR="00156C05" w:rsidRPr="00337743">
        <w:rPr>
          <w:rFonts w:ascii="Cambria" w:hAnsi="Cambria"/>
          <w:color w:val="000000"/>
          <w:sz w:val="20"/>
          <w:szCs w:val="20"/>
          <w:lang w:val="pt-BR"/>
        </w:rPr>
        <w:t xml:space="preserve"> realizado por Aércio</w:t>
      </w:r>
      <w:r w:rsidR="00506331" w:rsidRPr="00337743">
        <w:rPr>
          <w:rFonts w:ascii="Cambria" w:hAnsi="Cambria"/>
          <w:color w:val="000000"/>
          <w:sz w:val="20"/>
          <w:szCs w:val="20"/>
          <w:lang w:val="pt-BR"/>
        </w:rPr>
        <w:t xml:space="preserve"> e </w:t>
      </w:r>
      <w:r w:rsidR="00C6641C" w:rsidRPr="00337743">
        <w:rPr>
          <w:rFonts w:ascii="Cambria" w:hAnsi="Cambria"/>
          <w:color w:val="000000"/>
          <w:sz w:val="20"/>
          <w:szCs w:val="20"/>
          <w:lang w:val="pt-BR"/>
        </w:rPr>
        <w:t xml:space="preserve">pela </w:t>
      </w:r>
      <w:r w:rsidR="00E01589" w:rsidRPr="00337743">
        <w:rPr>
          <w:rFonts w:ascii="Cambria" w:hAnsi="Cambria"/>
          <w:color w:val="000000"/>
          <w:sz w:val="20"/>
          <w:szCs w:val="20"/>
          <w:lang w:val="pt-BR"/>
        </w:rPr>
        <w:t>vítima</w:t>
      </w:r>
      <w:r w:rsidR="00091880" w:rsidRPr="00337743">
        <w:rPr>
          <w:rFonts w:ascii="Cambria" w:hAnsi="Cambria"/>
          <w:color w:val="000000"/>
          <w:sz w:val="20"/>
          <w:szCs w:val="20"/>
          <w:lang w:val="pt-BR"/>
        </w:rPr>
        <w:t xml:space="preserve"> não foi </w:t>
      </w:r>
      <w:r w:rsidR="00156C05" w:rsidRPr="00337743">
        <w:rPr>
          <w:rFonts w:ascii="Cambria" w:hAnsi="Cambria"/>
          <w:color w:val="000000"/>
          <w:sz w:val="20"/>
          <w:szCs w:val="20"/>
          <w:lang w:val="pt-BR"/>
        </w:rPr>
        <w:t>realizada porque</w:t>
      </w:r>
      <w:r w:rsidR="00506331" w:rsidRPr="00337743">
        <w:rPr>
          <w:rFonts w:ascii="Cambria" w:hAnsi="Cambria"/>
          <w:color w:val="000000"/>
          <w:sz w:val="20"/>
          <w:szCs w:val="20"/>
          <w:lang w:val="pt-BR"/>
        </w:rPr>
        <w:t xml:space="preserve"> o </w:t>
      </w:r>
      <w:r w:rsidR="00114C2E" w:rsidRPr="00337743">
        <w:rPr>
          <w:rFonts w:ascii="Cambria" w:hAnsi="Cambria"/>
          <w:color w:val="000000"/>
          <w:sz w:val="20"/>
          <w:szCs w:val="20"/>
          <w:lang w:val="pt-BR"/>
        </w:rPr>
        <w:t>deputado</w:t>
      </w:r>
      <w:r w:rsidR="00091880" w:rsidRPr="00337743">
        <w:rPr>
          <w:rFonts w:ascii="Cambria" w:hAnsi="Cambria"/>
          <w:color w:val="000000"/>
          <w:sz w:val="20"/>
          <w:szCs w:val="20"/>
          <w:lang w:val="pt-BR"/>
        </w:rPr>
        <w:t xml:space="preserve"> não </w:t>
      </w:r>
      <w:r w:rsidR="00156C05" w:rsidRPr="00337743">
        <w:rPr>
          <w:rFonts w:ascii="Cambria" w:hAnsi="Cambria"/>
          <w:color w:val="000000"/>
          <w:sz w:val="20"/>
          <w:szCs w:val="20"/>
          <w:lang w:val="pt-BR"/>
        </w:rPr>
        <w:t>atend</w:t>
      </w:r>
      <w:r w:rsidR="00934282" w:rsidRPr="00337743">
        <w:rPr>
          <w:rFonts w:ascii="Cambria" w:hAnsi="Cambria"/>
          <w:color w:val="000000"/>
          <w:sz w:val="20"/>
          <w:szCs w:val="20"/>
          <w:lang w:val="pt-BR"/>
        </w:rPr>
        <w:t>eu</w:t>
      </w:r>
      <w:r w:rsidR="00BF72CE" w:rsidRPr="00337743">
        <w:rPr>
          <w:rFonts w:ascii="Cambria" w:hAnsi="Cambria"/>
          <w:color w:val="000000"/>
          <w:sz w:val="20"/>
          <w:szCs w:val="20"/>
          <w:lang w:val="pt-BR"/>
        </w:rPr>
        <w:t xml:space="preserve"> ao </w:t>
      </w:r>
      <w:r w:rsidR="001375E8" w:rsidRPr="00337743">
        <w:rPr>
          <w:rFonts w:ascii="Cambria" w:hAnsi="Cambria"/>
          <w:color w:val="000000"/>
          <w:sz w:val="20"/>
          <w:szCs w:val="20"/>
          <w:lang w:val="pt-BR"/>
        </w:rPr>
        <w:t>ch</w:t>
      </w:r>
      <w:r w:rsidR="00E91C21" w:rsidRPr="00337743">
        <w:rPr>
          <w:rFonts w:ascii="Cambria" w:hAnsi="Cambria"/>
          <w:color w:val="000000"/>
          <w:sz w:val="20"/>
          <w:szCs w:val="20"/>
          <w:lang w:val="pt-BR"/>
        </w:rPr>
        <w:t>amado</w:t>
      </w:r>
      <w:r w:rsidR="007707E3" w:rsidRPr="00337743">
        <w:rPr>
          <w:rFonts w:ascii="Cambria" w:hAnsi="Cambria"/>
          <w:color w:val="000000"/>
          <w:sz w:val="20"/>
          <w:szCs w:val="20"/>
          <w:lang w:val="pt-BR"/>
        </w:rPr>
        <w:t xml:space="preserve"> da </w:t>
      </w:r>
      <w:r w:rsidR="00F122A6" w:rsidRPr="00337743">
        <w:rPr>
          <w:rFonts w:ascii="Cambria" w:hAnsi="Cambria"/>
          <w:color w:val="000000"/>
          <w:sz w:val="20"/>
          <w:szCs w:val="20"/>
          <w:lang w:val="pt-BR"/>
        </w:rPr>
        <w:t>Polícia</w:t>
      </w:r>
      <w:r w:rsidR="00156C05"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1375E8"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00350E7E" w:rsidRPr="00337743">
        <w:rPr>
          <w:rFonts w:ascii="Cambria" w:hAnsi="Cambria"/>
          <w:color w:val="000000"/>
          <w:sz w:val="20"/>
          <w:szCs w:val="20"/>
          <w:lang w:val="pt-BR"/>
        </w:rPr>
        <w:t>Relatório</w:t>
      </w:r>
      <w:r w:rsidR="00156C05" w:rsidRPr="00337743">
        <w:rPr>
          <w:rFonts w:ascii="Cambria" w:hAnsi="Cambria"/>
          <w:color w:val="000000"/>
          <w:sz w:val="20"/>
          <w:szCs w:val="20"/>
          <w:lang w:val="pt-BR"/>
        </w:rPr>
        <w:t xml:space="preserve"> Final </w:t>
      </w:r>
      <w:r w:rsidR="001375E8" w:rsidRPr="00337743">
        <w:rPr>
          <w:rFonts w:ascii="Cambria" w:hAnsi="Cambria"/>
          <w:color w:val="000000"/>
          <w:sz w:val="20"/>
          <w:szCs w:val="20"/>
          <w:lang w:val="pt-BR"/>
        </w:rPr>
        <w:t>indicou</w:t>
      </w:r>
      <w:r w:rsidR="00156DD0"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em </w:t>
      </w:r>
      <w:r w:rsidR="00934282" w:rsidRPr="00337743">
        <w:rPr>
          <w:rFonts w:ascii="Cambria" w:hAnsi="Cambria"/>
          <w:color w:val="000000"/>
          <w:sz w:val="20"/>
          <w:szCs w:val="20"/>
          <w:lang w:val="pt-BR"/>
        </w:rPr>
        <w:t>síntese</w:t>
      </w:r>
      <w:r w:rsidR="001375E8" w:rsidRPr="00337743">
        <w:rPr>
          <w:rFonts w:ascii="Cambria" w:hAnsi="Cambria"/>
          <w:color w:val="000000"/>
          <w:sz w:val="20"/>
          <w:szCs w:val="20"/>
          <w:lang w:val="pt-BR"/>
        </w:rPr>
        <w:t>:</w:t>
      </w:r>
      <w:r w:rsidR="00156C05" w:rsidRPr="00337743">
        <w:rPr>
          <w:rFonts w:ascii="Cambria" w:hAnsi="Cambria"/>
          <w:color w:val="000000"/>
          <w:sz w:val="20"/>
          <w:szCs w:val="20"/>
          <w:lang w:val="pt-BR"/>
        </w:rPr>
        <w:t xml:space="preserve"> “n</w:t>
      </w:r>
      <w:r w:rsidR="00506331" w:rsidRPr="00337743">
        <w:rPr>
          <w:rFonts w:ascii="Cambria" w:hAnsi="Cambria"/>
          <w:color w:val="000000"/>
          <w:sz w:val="20"/>
          <w:szCs w:val="20"/>
          <w:lang w:val="pt-BR"/>
        </w:rPr>
        <w:t xml:space="preserve">a </w:t>
      </w:r>
      <w:r w:rsidR="00156C05" w:rsidRPr="00337743">
        <w:rPr>
          <w:rFonts w:ascii="Cambria" w:hAnsi="Cambria"/>
          <w:color w:val="000000"/>
          <w:sz w:val="20"/>
          <w:szCs w:val="20"/>
          <w:lang w:val="pt-BR"/>
        </w:rPr>
        <w:t>no</w:t>
      </w:r>
      <w:r w:rsidR="001375E8" w:rsidRPr="00337743">
        <w:rPr>
          <w:rFonts w:ascii="Cambria" w:hAnsi="Cambria"/>
          <w:color w:val="000000"/>
          <w:sz w:val="20"/>
          <w:szCs w:val="20"/>
          <w:lang w:val="pt-BR"/>
        </w:rPr>
        <w:t>it</w:t>
      </w:r>
      <w:r w:rsidR="00156C05" w:rsidRPr="00337743">
        <w:rPr>
          <w:rFonts w:ascii="Cambria" w:hAnsi="Cambria"/>
          <w:color w:val="000000"/>
          <w:sz w:val="20"/>
          <w:szCs w:val="20"/>
          <w:lang w:val="pt-BR"/>
        </w:rPr>
        <w:t>e</w:t>
      </w:r>
      <w:r w:rsidR="007707E3" w:rsidRPr="00337743">
        <w:rPr>
          <w:rFonts w:ascii="Cambria" w:hAnsi="Cambria"/>
          <w:color w:val="000000"/>
          <w:sz w:val="20"/>
          <w:szCs w:val="20"/>
          <w:lang w:val="pt-BR"/>
        </w:rPr>
        <w:t xml:space="preserve"> do </w:t>
      </w:r>
      <w:r w:rsidR="001375E8" w:rsidRPr="00337743">
        <w:rPr>
          <w:rFonts w:ascii="Cambria" w:hAnsi="Cambria"/>
          <w:color w:val="000000"/>
          <w:sz w:val="20"/>
          <w:szCs w:val="20"/>
          <w:lang w:val="pt-BR"/>
        </w:rPr>
        <w:t>at</w:t>
      </w:r>
      <w:r w:rsidR="00156C05" w:rsidRPr="00337743">
        <w:rPr>
          <w:rFonts w:ascii="Cambria" w:hAnsi="Cambria"/>
          <w:color w:val="000000"/>
          <w:sz w:val="20"/>
          <w:szCs w:val="20"/>
          <w:lang w:val="pt-BR"/>
        </w:rPr>
        <w:t>o crimin</w:t>
      </w:r>
      <w:r w:rsidR="00482D54" w:rsidRPr="00337743">
        <w:rPr>
          <w:rFonts w:ascii="Cambria" w:hAnsi="Cambria"/>
          <w:color w:val="000000"/>
          <w:sz w:val="20"/>
          <w:szCs w:val="20"/>
          <w:lang w:val="pt-BR"/>
        </w:rPr>
        <w:t>oso</w:t>
      </w:r>
      <w:r w:rsidR="00506331" w:rsidRPr="00337743">
        <w:rPr>
          <w:rFonts w:ascii="Cambria" w:hAnsi="Cambria"/>
          <w:color w:val="000000"/>
          <w:sz w:val="20"/>
          <w:szCs w:val="20"/>
          <w:lang w:val="pt-BR"/>
        </w:rPr>
        <w:t xml:space="preserve"> a </w:t>
      </w:r>
      <w:r w:rsidR="00E01589" w:rsidRPr="00337743">
        <w:rPr>
          <w:rFonts w:ascii="Cambria" w:hAnsi="Cambria"/>
          <w:color w:val="000000"/>
          <w:sz w:val="20"/>
          <w:szCs w:val="20"/>
          <w:lang w:val="pt-BR"/>
        </w:rPr>
        <w:t>vítima</w:t>
      </w:r>
      <w:r w:rsidR="00156C05" w:rsidRPr="00337743">
        <w:rPr>
          <w:rFonts w:ascii="Cambria" w:hAnsi="Cambria"/>
          <w:color w:val="000000"/>
          <w:sz w:val="20"/>
          <w:szCs w:val="20"/>
          <w:lang w:val="pt-BR"/>
        </w:rPr>
        <w:t xml:space="preserve"> est</w:t>
      </w:r>
      <w:r w:rsidR="00934282" w:rsidRPr="00337743">
        <w:rPr>
          <w:rFonts w:ascii="Cambria" w:hAnsi="Cambria"/>
          <w:color w:val="000000"/>
          <w:sz w:val="20"/>
          <w:szCs w:val="20"/>
          <w:lang w:val="pt-BR"/>
        </w:rPr>
        <w:t>eve</w:t>
      </w:r>
      <w:r w:rsidR="00156C05" w:rsidRPr="00337743">
        <w:rPr>
          <w:rFonts w:ascii="Cambria" w:hAnsi="Cambria"/>
          <w:color w:val="000000"/>
          <w:sz w:val="20"/>
          <w:szCs w:val="20"/>
          <w:lang w:val="pt-BR"/>
        </w:rPr>
        <w:t xml:space="preserve"> </w:t>
      </w:r>
      <w:r w:rsidR="00637003" w:rsidRPr="00337743">
        <w:rPr>
          <w:rFonts w:ascii="Cambria" w:hAnsi="Cambria"/>
          <w:color w:val="000000"/>
          <w:sz w:val="20"/>
          <w:szCs w:val="20"/>
          <w:lang w:val="pt-BR"/>
        </w:rPr>
        <w:t>diretamente</w:t>
      </w:r>
      <w:r w:rsidR="00091880" w:rsidRPr="00337743">
        <w:rPr>
          <w:rFonts w:ascii="Cambria" w:hAnsi="Cambria"/>
          <w:color w:val="000000"/>
          <w:sz w:val="20"/>
          <w:szCs w:val="20"/>
          <w:lang w:val="pt-BR"/>
        </w:rPr>
        <w:t xml:space="preserve"> em </w:t>
      </w:r>
      <w:r w:rsidR="00934282" w:rsidRPr="00337743">
        <w:rPr>
          <w:rFonts w:ascii="Cambria" w:hAnsi="Cambria"/>
          <w:color w:val="000000"/>
          <w:sz w:val="20"/>
          <w:szCs w:val="20"/>
          <w:lang w:val="pt-BR"/>
        </w:rPr>
        <w:t>companhia</w:t>
      </w:r>
      <w:r w:rsidR="007707E3" w:rsidRPr="00337743">
        <w:rPr>
          <w:rFonts w:ascii="Cambria" w:hAnsi="Cambria"/>
          <w:color w:val="000000"/>
          <w:sz w:val="20"/>
          <w:szCs w:val="20"/>
          <w:lang w:val="pt-BR"/>
        </w:rPr>
        <w:t xml:space="preserve"> do </w:t>
      </w:r>
      <w:r w:rsidR="00114C2E" w:rsidRPr="00337743">
        <w:rPr>
          <w:rFonts w:ascii="Cambria" w:hAnsi="Cambria"/>
          <w:color w:val="000000"/>
          <w:sz w:val="20"/>
          <w:szCs w:val="20"/>
          <w:lang w:val="pt-BR"/>
        </w:rPr>
        <w:t>Deputado</w:t>
      </w:r>
      <w:r w:rsidR="00156C05" w:rsidRPr="00337743">
        <w:rPr>
          <w:rFonts w:ascii="Cambria" w:hAnsi="Cambria"/>
          <w:color w:val="000000"/>
          <w:sz w:val="20"/>
          <w:szCs w:val="20"/>
          <w:lang w:val="pt-BR"/>
        </w:rPr>
        <w:t xml:space="preserve"> Aércio, </w:t>
      </w:r>
      <w:r w:rsidR="003531C8" w:rsidRPr="00337743">
        <w:rPr>
          <w:rFonts w:ascii="Cambria" w:hAnsi="Cambria"/>
          <w:color w:val="000000"/>
          <w:sz w:val="20"/>
          <w:szCs w:val="20"/>
          <w:lang w:val="pt-BR"/>
        </w:rPr>
        <w:t>f</w:t>
      </w:r>
      <w:r w:rsidR="00156C05" w:rsidRPr="00337743">
        <w:rPr>
          <w:rFonts w:ascii="Cambria" w:hAnsi="Cambria"/>
          <w:color w:val="000000"/>
          <w:sz w:val="20"/>
          <w:szCs w:val="20"/>
          <w:lang w:val="pt-BR"/>
        </w:rPr>
        <w:t>a</w:t>
      </w:r>
      <w:r w:rsidR="003531C8" w:rsidRPr="00337743">
        <w:rPr>
          <w:rFonts w:ascii="Cambria" w:hAnsi="Cambria"/>
          <w:color w:val="000000"/>
          <w:sz w:val="20"/>
          <w:szCs w:val="20"/>
          <w:lang w:val="pt-BR"/>
        </w:rPr>
        <w:t>z</w:t>
      </w:r>
      <w:r w:rsidR="00156C05" w:rsidRPr="00337743">
        <w:rPr>
          <w:rFonts w:ascii="Cambria" w:hAnsi="Cambria"/>
          <w:color w:val="000000"/>
          <w:sz w:val="20"/>
          <w:szCs w:val="20"/>
          <w:lang w:val="pt-BR"/>
        </w:rPr>
        <w:t>endo uso de s</w:t>
      </w:r>
      <w:r w:rsidR="003531C8" w:rsidRPr="00337743">
        <w:rPr>
          <w:rFonts w:ascii="Cambria" w:hAnsi="Cambria"/>
          <w:color w:val="000000"/>
          <w:sz w:val="20"/>
          <w:szCs w:val="20"/>
          <w:lang w:val="pt-BR"/>
        </w:rPr>
        <w:t>e</w:t>
      </w:r>
      <w:r w:rsidR="00156C05" w:rsidRPr="00337743">
        <w:rPr>
          <w:rFonts w:ascii="Cambria" w:hAnsi="Cambria"/>
          <w:color w:val="000000"/>
          <w:sz w:val="20"/>
          <w:szCs w:val="20"/>
          <w:lang w:val="pt-BR"/>
        </w:rPr>
        <w:t xml:space="preserve">u </w:t>
      </w:r>
      <w:r w:rsidR="00E01589" w:rsidRPr="00337743">
        <w:rPr>
          <w:rFonts w:ascii="Cambria" w:hAnsi="Cambria"/>
          <w:color w:val="000000"/>
          <w:sz w:val="20"/>
          <w:szCs w:val="20"/>
          <w:lang w:val="pt-BR"/>
        </w:rPr>
        <w:t>telefone</w:t>
      </w:r>
      <w:r w:rsidR="00156C05" w:rsidRPr="00337743">
        <w:rPr>
          <w:rFonts w:ascii="Cambria" w:hAnsi="Cambria"/>
          <w:color w:val="000000"/>
          <w:sz w:val="20"/>
          <w:szCs w:val="20"/>
          <w:lang w:val="pt-BR"/>
        </w:rPr>
        <w:t xml:space="preserve"> </w:t>
      </w:r>
      <w:r w:rsidR="003531C8" w:rsidRPr="00337743">
        <w:rPr>
          <w:rFonts w:ascii="Cambria" w:hAnsi="Cambria"/>
          <w:color w:val="000000"/>
          <w:sz w:val="20"/>
          <w:szCs w:val="20"/>
          <w:lang w:val="pt-BR"/>
        </w:rPr>
        <w:t>celular</w:t>
      </w:r>
      <w:r w:rsidR="00156C05"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e </w:t>
      </w:r>
      <w:r w:rsidR="00156C05" w:rsidRPr="00337743">
        <w:rPr>
          <w:rFonts w:ascii="Cambria" w:hAnsi="Cambria"/>
          <w:color w:val="000000"/>
          <w:sz w:val="20"/>
          <w:szCs w:val="20"/>
          <w:lang w:val="pt-BR"/>
        </w:rPr>
        <w:t>horas de</w:t>
      </w:r>
      <w:r w:rsidR="003531C8" w:rsidRPr="00337743">
        <w:rPr>
          <w:rFonts w:ascii="Cambria" w:hAnsi="Cambria"/>
          <w:color w:val="000000"/>
          <w:sz w:val="20"/>
          <w:szCs w:val="20"/>
          <w:lang w:val="pt-BR"/>
        </w:rPr>
        <w:t>poi</w:t>
      </w:r>
      <w:r w:rsidR="00156C05" w:rsidRPr="00337743">
        <w:rPr>
          <w:rFonts w:ascii="Cambria" w:hAnsi="Cambria"/>
          <w:color w:val="000000"/>
          <w:sz w:val="20"/>
          <w:szCs w:val="20"/>
          <w:lang w:val="pt-BR"/>
        </w:rPr>
        <w:t>s</w:t>
      </w:r>
      <w:r w:rsidR="00091880" w:rsidRPr="00337743">
        <w:rPr>
          <w:rFonts w:ascii="Cambria" w:hAnsi="Cambria"/>
          <w:color w:val="000000"/>
          <w:sz w:val="20"/>
          <w:szCs w:val="20"/>
          <w:lang w:val="pt-BR"/>
        </w:rPr>
        <w:t xml:space="preserve"> foi </w:t>
      </w:r>
      <w:r w:rsidR="00156C05" w:rsidRPr="00337743">
        <w:rPr>
          <w:rFonts w:ascii="Cambria" w:hAnsi="Cambria"/>
          <w:color w:val="000000"/>
          <w:sz w:val="20"/>
          <w:szCs w:val="20"/>
          <w:lang w:val="pt-BR"/>
        </w:rPr>
        <w:t xml:space="preserve">encontrada </w:t>
      </w:r>
      <w:r w:rsidR="009D71DA" w:rsidRPr="00337743">
        <w:rPr>
          <w:rFonts w:ascii="Cambria" w:hAnsi="Cambria"/>
          <w:color w:val="000000"/>
          <w:sz w:val="20"/>
          <w:szCs w:val="20"/>
          <w:lang w:val="pt-BR"/>
        </w:rPr>
        <w:t>mort</w:t>
      </w:r>
      <w:r w:rsidR="00156C05" w:rsidRPr="00337743">
        <w:rPr>
          <w:rFonts w:ascii="Cambria" w:hAnsi="Cambria"/>
          <w:color w:val="000000"/>
          <w:sz w:val="20"/>
          <w:szCs w:val="20"/>
          <w:lang w:val="pt-BR"/>
        </w:rPr>
        <w:t xml:space="preserve">a, </w:t>
      </w:r>
      <w:r w:rsidR="00E01589" w:rsidRPr="00337743">
        <w:rPr>
          <w:rFonts w:ascii="Cambria" w:hAnsi="Cambria"/>
          <w:color w:val="000000"/>
          <w:sz w:val="20"/>
          <w:szCs w:val="20"/>
          <w:lang w:val="pt-BR"/>
        </w:rPr>
        <w:t>vítima</w:t>
      </w:r>
      <w:r w:rsidR="00156C05" w:rsidRPr="00337743">
        <w:rPr>
          <w:rFonts w:ascii="Cambria" w:hAnsi="Cambria"/>
          <w:color w:val="000000"/>
          <w:sz w:val="20"/>
          <w:szCs w:val="20"/>
          <w:lang w:val="pt-BR"/>
        </w:rPr>
        <w:t xml:space="preserve"> de </w:t>
      </w:r>
      <w:r w:rsidR="009D71DA" w:rsidRPr="00337743">
        <w:rPr>
          <w:rFonts w:ascii="Cambria" w:hAnsi="Cambria"/>
          <w:color w:val="000000"/>
          <w:sz w:val="20"/>
          <w:szCs w:val="20"/>
          <w:lang w:val="pt-BR"/>
        </w:rPr>
        <w:t>mort</w:t>
      </w:r>
      <w:r w:rsidR="00156C05" w:rsidRPr="00337743">
        <w:rPr>
          <w:rFonts w:ascii="Cambria" w:hAnsi="Cambria"/>
          <w:color w:val="000000"/>
          <w:sz w:val="20"/>
          <w:szCs w:val="20"/>
          <w:lang w:val="pt-BR"/>
        </w:rPr>
        <w:t>e violenta,</w:t>
      </w:r>
      <w:r w:rsidR="00091880" w:rsidRPr="00337743">
        <w:rPr>
          <w:rFonts w:ascii="Cambria" w:hAnsi="Cambria"/>
          <w:color w:val="000000"/>
          <w:sz w:val="20"/>
          <w:szCs w:val="20"/>
          <w:lang w:val="pt-BR"/>
        </w:rPr>
        <w:t xml:space="preserve"> </w:t>
      </w:r>
      <w:r w:rsidR="001375E8"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um </w:t>
      </w:r>
      <w:r w:rsidR="00156C05" w:rsidRPr="00337743">
        <w:rPr>
          <w:rFonts w:ascii="Cambria" w:hAnsi="Cambria"/>
          <w:color w:val="000000"/>
          <w:sz w:val="20"/>
          <w:szCs w:val="20"/>
          <w:lang w:val="pt-BR"/>
        </w:rPr>
        <w:t>mat</w:t>
      </w:r>
      <w:r w:rsidR="001375E8" w:rsidRPr="00337743">
        <w:rPr>
          <w:rFonts w:ascii="Cambria" w:hAnsi="Cambria"/>
          <w:color w:val="000000"/>
          <w:sz w:val="20"/>
          <w:szCs w:val="20"/>
          <w:lang w:val="pt-BR"/>
        </w:rPr>
        <w:t>ag</w:t>
      </w:r>
      <w:r w:rsidR="00156C05" w:rsidRPr="00337743">
        <w:rPr>
          <w:rFonts w:ascii="Cambria" w:hAnsi="Cambria"/>
          <w:color w:val="000000"/>
          <w:sz w:val="20"/>
          <w:szCs w:val="20"/>
          <w:lang w:val="pt-BR"/>
        </w:rPr>
        <w:t>al</w:t>
      </w:r>
      <w:r w:rsidR="00091880" w:rsidRPr="00337743">
        <w:rPr>
          <w:rFonts w:ascii="Cambria" w:hAnsi="Cambria"/>
          <w:color w:val="000000"/>
          <w:sz w:val="20"/>
          <w:szCs w:val="20"/>
          <w:lang w:val="pt-BR"/>
        </w:rPr>
        <w:t xml:space="preserve"> no </w:t>
      </w:r>
      <w:r w:rsidR="00156C05" w:rsidRPr="00337743">
        <w:rPr>
          <w:rFonts w:ascii="Cambria" w:hAnsi="Cambria"/>
          <w:color w:val="000000"/>
          <w:sz w:val="20"/>
          <w:szCs w:val="20"/>
          <w:lang w:val="pt-BR"/>
        </w:rPr>
        <w:t>Altiplano Cabo B</w:t>
      </w:r>
      <w:r w:rsidR="001375E8" w:rsidRPr="00337743">
        <w:rPr>
          <w:rFonts w:ascii="Cambria" w:hAnsi="Cambria"/>
          <w:color w:val="000000"/>
          <w:sz w:val="20"/>
          <w:szCs w:val="20"/>
          <w:lang w:val="pt-BR"/>
        </w:rPr>
        <w:t>r</w:t>
      </w:r>
      <w:r w:rsidR="00156C05" w:rsidRPr="00337743">
        <w:rPr>
          <w:rFonts w:ascii="Cambria" w:hAnsi="Cambria"/>
          <w:color w:val="000000"/>
          <w:sz w:val="20"/>
          <w:szCs w:val="20"/>
          <w:lang w:val="pt-BR"/>
        </w:rPr>
        <w:t xml:space="preserve">anco, </w:t>
      </w:r>
      <w:r w:rsidR="003531C8" w:rsidRPr="00337743">
        <w:rPr>
          <w:rFonts w:ascii="Cambria" w:hAnsi="Cambria"/>
          <w:color w:val="000000"/>
          <w:sz w:val="20"/>
          <w:szCs w:val="20"/>
          <w:lang w:val="pt-BR"/>
        </w:rPr>
        <w:t>cujo</w:t>
      </w:r>
      <w:r w:rsidR="00156C05" w:rsidRPr="00337743">
        <w:rPr>
          <w:rFonts w:ascii="Cambria" w:hAnsi="Cambria"/>
          <w:color w:val="000000"/>
          <w:sz w:val="20"/>
          <w:szCs w:val="20"/>
          <w:lang w:val="pt-BR"/>
        </w:rPr>
        <w:t xml:space="preserve"> </w:t>
      </w:r>
      <w:r w:rsidR="00637003" w:rsidRPr="00337743">
        <w:rPr>
          <w:rFonts w:ascii="Cambria" w:hAnsi="Cambria"/>
          <w:color w:val="000000"/>
          <w:sz w:val="20"/>
          <w:szCs w:val="20"/>
          <w:lang w:val="pt-BR"/>
        </w:rPr>
        <w:t>corpo</w:t>
      </w:r>
      <w:r w:rsidR="00091880" w:rsidRPr="00337743">
        <w:rPr>
          <w:rFonts w:ascii="Cambria" w:hAnsi="Cambria"/>
          <w:color w:val="000000"/>
          <w:sz w:val="20"/>
          <w:szCs w:val="20"/>
          <w:lang w:val="pt-BR"/>
        </w:rPr>
        <w:t xml:space="preserve"> foi </w:t>
      </w:r>
      <w:r w:rsidR="00156C05" w:rsidRPr="00337743">
        <w:rPr>
          <w:rFonts w:ascii="Cambria" w:hAnsi="Cambria"/>
          <w:color w:val="000000"/>
          <w:sz w:val="20"/>
          <w:szCs w:val="20"/>
          <w:lang w:val="pt-BR"/>
        </w:rPr>
        <w:t xml:space="preserve">levado </w:t>
      </w:r>
      <w:r w:rsidR="001375E8" w:rsidRPr="00337743">
        <w:rPr>
          <w:rFonts w:ascii="Cambria" w:hAnsi="Cambria"/>
          <w:color w:val="000000"/>
          <w:sz w:val="20"/>
          <w:szCs w:val="20"/>
          <w:lang w:val="pt-BR"/>
        </w:rPr>
        <w:t>até</w:t>
      </w:r>
      <w:r w:rsidR="00156C05" w:rsidRPr="00337743">
        <w:rPr>
          <w:rFonts w:ascii="Cambria" w:hAnsi="Cambria"/>
          <w:color w:val="000000"/>
          <w:sz w:val="20"/>
          <w:szCs w:val="20"/>
          <w:lang w:val="pt-BR"/>
        </w:rPr>
        <w:t xml:space="preserve"> </w:t>
      </w:r>
      <w:r w:rsidR="003531C8" w:rsidRPr="00337743">
        <w:rPr>
          <w:rFonts w:ascii="Cambria" w:hAnsi="Cambria"/>
          <w:color w:val="000000"/>
          <w:sz w:val="20"/>
          <w:szCs w:val="20"/>
          <w:lang w:val="pt-BR"/>
        </w:rPr>
        <w:t>aquele</w:t>
      </w:r>
      <w:r w:rsidR="00156C05" w:rsidRPr="00337743">
        <w:rPr>
          <w:rFonts w:ascii="Cambria" w:hAnsi="Cambria"/>
          <w:color w:val="000000"/>
          <w:sz w:val="20"/>
          <w:szCs w:val="20"/>
          <w:lang w:val="pt-BR"/>
        </w:rPr>
        <w:t xml:space="preserve"> lugar</w:t>
      </w:r>
      <w:r w:rsidR="00091880" w:rsidRPr="00337743">
        <w:rPr>
          <w:rFonts w:ascii="Cambria" w:hAnsi="Cambria"/>
          <w:color w:val="000000"/>
          <w:sz w:val="20"/>
          <w:szCs w:val="20"/>
          <w:lang w:val="pt-BR"/>
        </w:rPr>
        <w:t xml:space="preserve"> </w:t>
      </w:r>
      <w:r w:rsidR="001375E8"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um </w:t>
      </w:r>
      <w:r w:rsidR="00637003" w:rsidRPr="00337743">
        <w:rPr>
          <w:rFonts w:ascii="Cambria" w:hAnsi="Cambria"/>
          <w:color w:val="000000"/>
          <w:sz w:val="20"/>
          <w:szCs w:val="20"/>
          <w:lang w:val="pt-BR"/>
        </w:rPr>
        <w:t>veículo</w:t>
      </w:r>
      <w:r w:rsidR="00156C05" w:rsidRPr="00337743">
        <w:rPr>
          <w:rFonts w:ascii="Cambria" w:hAnsi="Cambria"/>
          <w:color w:val="000000"/>
          <w:sz w:val="20"/>
          <w:szCs w:val="20"/>
          <w:lang w:val="pt-BR"/>
        </w:rPr>
        <w:t xml:space="preserve"> que </w:t>
      </w:r>
      <w:r w:rsidR="003531C8" w:rsidRPr="00337743">
        <w:rPr>
          <w:rFonts w:ascii="Cambria" w:hAnsi="Cambria"/>
          <w:color w:val="000000"/>
          <w:sz w:val="20"/>
          <w:szCs w:val="20"/>
          <w:lang w:val="pt-BR"/>
        </w:rPr>
        <w:t>comprovadamente</w:t>
      </w:r>
      <w:r w:rsidR="00156C05" w:rsidRPr="00337743">
        <w:rPr>
          <w:rFonts w:ascii="Cambria" w:hAnsi="Cambria"/>
          <w:color w:val="000000"/>
          <w:sz w:val="20"/>
          <w:szCs w:val="20"/>
          <w:lang w:val="pt-BR"/>
        </w:rPr>
        <w:t xml:space="preserve"> </w:t>
      </w:r>
      <w:r w:rsidR="00637003" w:rsidRPr="00337743">
        <w:rPr>
          <w:rFonts w:ascii="Cambria" w:hAnsi="Cambria"/>
          <w:color w:val="000000"/>
          <w:sz w:val="20"/>
          <w:szCs w:val="20"/>
          <w:lang w:val="pt-BR"/>
        </w:rPr>
        <w:t>estava</w:t>
      </w:r>
      <w:r w:rsidR="00091880" w:rsidRPr="00337743">
        <w:rPr>
          <w:rFonts w:ascii="Cambria" w:hAnsi="Cambria"/>
          <w:color w:val="000000"/>
          <w:sz w:val="20"/>
          <w:szCs w:val="20"/>
          <w:lang w:val="pt-BR"/>
        </w:rPr>
        <w:t xml:space="preserve"> em </w:t>
      </w:r>
      <w:r w:rsidR="00156C05" w:rsidRPr="00337743">
        <w:rPr>
          <w:rFonts w:ascii="Cambria" w:hAnsi="Cambria"/>
          <w:color w:val="000000"/>
          <w:sz w:val="20"/>
          <w:szCs w:val="20"/>
          <w:lang w:val="pt-BR"/>
        </w:rPr>
        <w:t>poder</w:t>
      </w:r>
      <w:r w:rsidR="007707E3" w:rsidRPr="00337743">
        <w:rPr>
          <w:rFonts w:ascii="Cambria" w:hAnsi="Cambria"/>
          <w:color w:val="000000"/>
          <w:sz w:val="20"/>
          <w:szCs w:val="20"/>
          <w:lang w:val="pt-BR"/>
        </w:rPr>
        <w:t xml:space="preserve"> do </w:t>
      </w:r>
      <w:r w:rsidR="00156C05" w:rsidRPr="00337743">
        <w:rPr>
          <w:rFonts w:ascii="Cambria" w:hAnsi="Cambria"/>
          <w:color w:val="000000"/>
          <w:sz w:val="20"/>
          <w:szCs w:val="20"/>
          <w:lang w:val="pt-BR"/>
        </w:rPr>
        <w:t>Sr. Aércio Pereira”</w:t>
      </w:r>
      <w:r w:rsidR="00034785"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03413C"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00114C2E" w:rsidRPr="00337743">
        <w:rPr>
          <w:rFonts w:ascii="Cambria" w:hAnsi="Cambria"/>
          <w:color w:val="000000"/>
          <w:sz w:val="20"/>
          <w:szCs w:val="20"/>
          <w:lang w:val="pt-BR"/>
        </w:rPr>
        <w:t>Deputado</w:t>
      </w:r>
      <w:r w:rsidR="00156DD0" w:rsidRPr="00337743">
        <w:rPr>
          <w:rFonts w:ascii="Cambria" w:hAnsi="Cambria"/>
          <w:color w:val="000000"/>
          <w:sz w:val="20"/>
          <w:szCs w:val="20"/>
          <w:lang w:val="pt-BR"/>
        </w:rPr>
        <w:t xml:space="preserve"> Aércio</w:t>
      </w:r>
      <w:r w:rsidR="00091880" w:rsidRPr="00337743">
        <w:rPr>
          <w:rFonts w:ascii="Cambria" w:hAnsi="Cambria"/>
          <w:color w:val="000000"/>
          <w:sz w:val="20"/>
          <w:szCs w:val="20"/>
          <w:lang w:val="pt-BR"/>
        </w:rPr>
        <w:t xml:space="preserve"> foi </w:t>
      </w:r>
      <w:r w:rsidR="0003413C" w:rsidRPr="00337743">
        <w:rPr>
          <w:rFonts w:ascii="Cambria" w:hAnsi="Cambria"/>
          <w:color w:val="000000"/>
          <w:sz w:val="20"/>
          <w:szCs w:val="20"/>
          <w:lang w:val="pt-BR"/>
        </w:rPr>
        <w:t>apont</w:t>
      </w:r>
      <w:r w:rsidR="001F4E93" w:rsidRPr="00337743">
        <w:rPr>
          <w:rFonts w:ascii="Cambria" w:hAnsi="Cambria"/>
          <w:color w:val="000000"/>
          <w:sz w:val="20"/>
          <w:szCs w:val="20"/>
          <w:lang w:val="pt-BR"/>
        </w:rPr>
        <w:t xml:space="preserve">ado </w:t>
      </w:r>
      <w:r w:rsidR="00156DD0" w:rsidRPr="00337743">
        <w:rPr>
          <w:rFonts w:ascii="Cambria" w:hAnsi="Cambria"/>
          <w:color w:val="000000"/>
          <w:sz w:val="20"/>
          <w:szCs w:val="20"/>
          <w:lang w:val="pt-BR"/>
        </w:rPr>
        <w:t>como autor</w:t>
      </w:r>
      <w:r w:rsidR="00E96C24" w:rsidRPr="00337743">
        <w:rPr>
          <w:rFonts w:ascii="Cambria" w:hAnsi="Cambria"/>
          <w:color w:val="000000"/>
          <w:sz w:val="20"/>
          <w:szCs w:val="20"/>
          <w:lang w:val="pt-BR"/>
        </w:rPr>
        <w:t xml:space="preserve"> dos </w:t>
      </w:r>
      <w:r w:rsidR="00787D8F" w:rsidRPr="00337743">
        <w:rPr>
          <w:rFonts w:ascii="Cambria" w:hAnsi="Cambria"/>
          <w:color w:val="000000"/>
          <w:sz w:val="20"/>
          <w:szCs w:val="20"/>
          <w:lang w:val="pt-BR"/>
        </w:rPr>
        <w:t>crimes</w:t>
      </w:r>
      <w:r w:rsidR="00156DD0" w:rsidRPr="00337743">
        <w:rPr>
          <w:rFonts w:ascii="Cambria" w:hAnsi="Cambria"/>
          <w:color w:val="000000"/>
          <w:sz w:val="20"/>
          <w:szCs w:val="20"/>
          <w:lang w:val="pt-BR"/>
        </w:rPr>
        <w:t xml:space="preserve"> de </w:t>
      </w:r>
      <w:r w:rsidR="003531C8" w:rsidRPr="00337743">
        <w:rPr>
          <w:rFonts w:ascii="Cambria" w:hAnsi="Cambria"/>
          <w:color w:val="000000"/>
          <w:sz w:val="20"/>
          <w:szCs w:val="20"/>
          <w:lang w:val="pt-BR"/>
        </w:rPr>
        <w:t>homicídio</w:t>
      </w:r>
      <w:r w:rsidR="00156DD0" w:rsidRPr="00337743">
        <w:rPr>
          <w:rFonts w:ascii="Cambria" w:hAnsi="Cambria"/>
          <w:color w:val="000000"/>
          <w:sz w:val="20"/>
          <w:szCs w:val="20"/>
          <w:lang w:val="pt-BR"/>
        </w:rPr>
        <w:t xml:space="preserve"> d</w:t>
      </w:r>
      <w:r w:rsidR="0003413C" w:rsidRPr="00337743">
        <w:rPr>
          <w:rFonts w:ascii="Cambria" w:hAnsi="Cambria"/>
          <w:color w:val="000000"/>
          <w:sz w:val="20"/>
          <w:szCs w:val="20"/>
          <w:lang w:val="pt-BR"/>
        </w:rPr>
        <w:t>upla</w:t>
      </w:r>
      <w:r w:rsidR="00C10092" w:rsidRPr="00337743">
        <w:rPr>
          <w:rFonts w:ascii="Cambria" w:hAnsi="Cambria"/>
          <w:color w:val="000000"/>
          <w:sz w:val="20"/>
          <w:szCs w:val="20"/>
          <w:lang w:val="pt-BR"/>
        </w:rPr>
        <w:t>mente</w:t>
      </w:r>
      <w:r w:rsidR="00156DD0" w:rsidRPr="00337743">
        <w:rPr>
          <w:rFonts w:ascii="Cambria" w:hAnsi="Cambria"/>
          <w:color w:val="000000"/>
          <w:sz w:val="20"/>
          <w:szCs w:val="20"/>
          <w:lang w:val="pt-BR"/>
        </w:rPr>
        <w:t xml:space="preserve"> </w:t>
      </w:r>
      <w:r w:rsidR="0003413C" w:rsidRPr="00337743">
        <w:rPr>
          <w:rFonts w:ascii="Cambria" w:hAnsi="Cambria"/>
          <w:color w:val="000000"/>
          <w:sz w:val="20"/>
          <w:szCs w:val="20"/>
          <w:lang w:val="pt-BR"/>
        </w:rPr>
        <w:t>qu</w:t>
      </w:r>
      <w:r w:rsidR="00156DD0" w:rsidRPr="00337743">
        <w:rPr>
          <w:rFonts w:ascii="Cambria" w:hAnsi="Cambria"/>
          <w:color w:val="000000"/>
          <w:sz w:val="20"/>
          <w:szCs w:val="20"/>
          <w:lang w:val="pt-BR"/>
        </w:rPr>
        <w:t>alificado</w:t>
      </w:r>
      <w:r w:rsidR="00506331" w:rsidRPr="00337743">
        <w:rPr>
          <w:rFonts w:ascii="Cambria" w:hAnsi="Cambria"/>
          <w:color w:val="000000"/>
          <w:sz w:val="20"/>
          <w:szCs w:val="20"/>
          <w:lang w:val="pt-BR"/>
        </w:rPr>
        <w:t xml:space="preserve"> e </w:t>
      </w:r>
      <w:r w:rsidR="00156DD0" w:rsidRPr="00337743">
        <w:rPr>
          <w:rFonts w:ascii="Cambria" w:hAnsi="Cambria"/>
          <w:color w:val="000000"/>
          <w:sz w:val="20"/>
          <w:szCs w:val="20"/>
          <w:lang w:val="pt-BR"/>
        </w:rPr>
        <w:t>oculta</w:t>
      </w:r>
      <w:r w:rsidR="00350E7E" w:rsidRPr="00337743">
        <w:rPr>
          <w:rFonts w:ascii="Cambria" w:hAnsi="Cambria"/>
          <w:color w:val="000000"/>
          <w:sz w:val="20"/>
          <w:szCs w:val="20"/>
          <w:lang w:val="pt-BR"/>
        </w:rPr>
        <w:t>ção</w:t>
      </w:r>
      <w:r w:rsidR="00156DD0" w:rsidRPr="00337743">
        <w:rPr>
          <w:rFonts w:ascii="Cambria" w:hAnsi="Cambria"/>
          <w:color w:val="000000"/>
          <w:sz w:val="20"/>
          <w:szCs w:val="20"/>
          <w:lang w:val="pt-BR"/>
        </w:rPr>
        <w:t xml:space="preserve"> de cadáver</w:t>
      </w:r>
      <w:r w:rsidR="006018D3">
        <w:rPr>
          <w:rFonts w:ascii="Cambria" w:hAnsi="Cambria"/>
          <w:color w:val="000000"/>
          <w:sz w:val="20"/>
          <w:szCs w:val="20"/>
          <w:lang w:val="pt-BR"/>
        </w:rPr>
        <w:t>.</w:t>
      </w:r>
      <w:r w:rsidR="00156DD0" w:rsidRPr="00337743">
        <w:rPr>
          <w:rFonts w:ascii="Cambria" w:hAnsi="Cambria"/>
          <w:color w:val="000000"/>
          <w:sz w:val="20"/>
          <w:szCs w:val="20"/>
          <w:lang w:val="pt-BR"/>
        </w:rPr>
        <w:t xml:space="preserve"> Douglas Domingos Pedrosa de Mendonça, Luciana Barbosa de Sá, André Glauco de Almeida Menezes</w:t>
      </w:r>
      <w:r w:rsidR="00506331" w:rsidRPr="00337743">
        <w:rPr>
          <w:rFonts w:ascii="Cambria" w:hAnsi="Cambria"/>
          <w:color w:val="000000"/>
          <w:sz w:val="20"/>
          <w:szCs w:val="20"/>
          <w:lang w:val="pt-BR"/>
        </w:rPr>
        <w:t xml:space="preserve"> e </w:t>
      </w:r>
      <w:r w:rsidR="00156DD0" w:rsidRPr="00337743">
        <w:rPr>
          <w:rFonts w:ascii="Cambria" w:hAnsi="Cambria"/>
          <w:color w:val="000000"/>
          <w:sz w:val="20"/>
          <w:szCs w:val="20"/>
          <w:lang w:val="pt-BR"/>
        </w:rPr>
        <w:t>Maria Diva de Medeiros f</w:t>
      </w:r>
      <w:r w:rsidR="003531C8" w:rsidRPr="00337743">
        <w:rPr>
          <w:rFonts w:ascii="Cambria" w:hAnsi="Cambria"/>
          <w:color w:val="000000"/>
          <w:sz w:val="20"/>
          <w:szCs w:val="20"/>
          <w:lang w:val="pt-BR"/>
        </w:rPr>
        <w:t>oram</w:t>
      </w:r>
      <w:r w:rsidR="00156DD0" w:rsidRPr="00337743">
        <w:rPr>
          <w:rFonts w:ascii="Cambria" w:hAnsi="Cambria"/>
          <w:color w:val="000000"/>
          <w:sz w:val="20"/>
          <w:szCs w:val="20"/>
          <w:lang w:val="pt-BR"/>
        </w:rPr>
        <w:t xml:space="preserve"> indiciados por participar</w:t>
      </w:r>
      <w:r w:rsidR="00E96C24" w:rsidRPr="00337743">
        <w:rPr>
          <w:rFonts w:ascii="Cambria" w:hAnsi="Cambria"/>
          <w:color w:val="000000"/>
          <w:sz w:val="20"/>
          <w:szCs w:val="20"/>
          <w:lang w:val="pt-BR"/>
        </w:rPr>
        <w:t xml:space="preserve"> dos </w:t>
      </w:r>
      <w:r w:rsidR="00156DD0" w:rsidRPr="00337743">
        <w:rPr>
          <w:rFonts w:ascii="Cambria" w:hAnsi="Cambria"/>
          <w:color w:val="000000"/>
          <w:sz w:val="20"/>
          <w:szCs w:val="20"/>
          <w:lang w:val="pt-BR"/>
        </w:rPr>
        <w:t xml:space="preserve">mencionados </w:t>
      </w:r>
      <w:r w:rsidR="00787D8F" w:rsidRPr="00337743">
        <w:rPr>
          <w:rFonts w:ascii="Cambria" w:hAnsi="Cambria"/>
          <w:color w:val="000000"/>
          <w:sz w:val="20"/>
          <w:szCs w:val="20"/>
          <w:lang w:val="pt-BR"/>
        </w:rPr>
        <w:t>crimes</w:t>
      </w:r>
      <w:r w:rsidR="00156DD0" w:rsidRPr="00337743">
        <w:rPr>
          <w:rFonts w:ascii="Cambria" w:hAnsi="Cambria"/>
          <w:color w:val="000000"/>
          <w:sz w:val="20"/>
          <w:szCs w:val="20"/>
          <w:lang w:val="pt-BR"/>
        </w:rPr>
        <w:t>.</w:t>
      </w:r>
      <w:r w:rsidR="002650F8" w:rsidRPr="00337743">
        <w:rPr>
          <w:rFonts w:ascii="Cambria" w:hAnsi="Cambria"/>
          <w:color w:val="000000"/>
          <w:sz w:val="20"/>
          <w:szCs w:val="20"/>
          <w:vertAlign w:val="superscript"/>
          <w:lang w:val="pt-BR"/>
        </w:rPr>
        <w:footnoteReference w:id="25"/>
      </w:r>
      <w:r w:rsidR="009E751B" w:rsidRPr="00337743">
        <w:rPr>
          <w:rFonts w:ascii="Cambria" w:hAnsi="Cambria"/>
          <w:color w:val="000000"/>
          <w:sz w:val="20"/>
          <w:szCs w:val="20"/>
          <w:lang w:val="pt-BR"/>
        </w:rPr>
        <w:t xml:space="preserve"> </w:t>
      </w:r>
    </w:p>
    <w:p w14:paraId="246ADC53" w14:textId="77777777" w:rsidR="00AF61C3" w:rsidRPr="00337743" w:rsidRDefault="00AF61C3" w:rsidP="00AF61C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color w:val="000000"/>
          <w:sz w:val="20"/>
          <w:szCs w:val="20"/>
          <w:lang w:val="pt-BR"/>
        </w:rPr>
      </w:pPr>
    </w:p>
    <w:p w14:paraId="329326C8" w14:textId="77777777" w:rsidR="00EA374D" w:rsidRPr="00337743" w:rsidRDefault="001F4E93" w:rsidP="0002569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A</w:t>
      </w:r>
      <w:r w:rsidR="00482D54" w:rsidRPr="00337743">
        <w:rPr>
          <w:rFonts w:ascii="Cambria" w:hAnsi="Cambria"/>
          <w:color w:val="000000"/>
          <w:sz w:val="20"/>
          <w:szCs w:val="20"/>
          <w:lang w:val="pt-BR"/>
        </w:rPr>
        <w:t>o contrário</w:t>
      </w:r>
      <w:r w:rsidRPr="00337743">
        <w:rPr>
          <w:rFonts w:ascii="Cambria" w:hAnsi="Cambria"/>
          <w:color w:val="000000"/>
          <w:sz w:val="20"/>
          <w:szCs w:val="20"/>
          <w:lang w:val="pt-BR"/>
        </w:rPr>
        <w:t xml:space="preserve"> </w:t>
      </w:r>
      <w:r w:rsidR="009E751B" w:rsidRPr="00337743">
        <w:rPr>
          <w:rFonts w:ascii="Cambria" w:hAnsi="Cambria"/>
          <w:color w:val="000000"/>
          <w:sz w:val="20"/>
          <w:szCs w:val="20"/>
          <w:lang w:val="pt-BR"/>
        </w:rPr>
        <w:t>de Aércio,</w:t>
      </w:r>
      <w:r w:rsidR="007707E3" w:rsidRPr="00337743">
        <w:rPr>
          <w:rFonts w:ascii="Cambria" w:hAnsi="Cambria"/>
          <w:color w:val="000000"/>
          <w:sz w:val="20"/>
          <w:szCs w:val="20"/>
          <w:lang w:val="pt-BR"/>
        </w:rPr>
        <w:t xml:space="preserve"> os</w:t>
      </w:r>
      <w:r w:rsidR="006018D3">
        <w:rPr>
          <w:rFonts w:ascii="Cambria" w:hAnsi="Cambria"/>
          <w:color w:val="000000"/>
          <w:sz w:val="20"/>
          <w:szCs w:val="20"/>
          <w:lang w:val="pt-BR"/>
        </w:rPr>
        <w:t xml:space="preserve"> demais</w:t>
      </w:r>
      <w:r w:rsidR="007707E3" w:rsidRPr="00337743">
        <w:rPr>
          <w:rFonts w:ascii="Cambria" w:hAnsi="Cambria"/>
          <w:color w:val="000000"/>
          <w:sz w:val="20"/>
          <w:szCs w:val="20"/>
          <w:lang w:val="pt-BR"/>
        </w:rPr>
        <w:t xml:space="preserve"> </w:t>
      </w:r>
      <w:r w:rsidR="009E751B" w:rsidRPr="00337743">
        <w:rPr>
          <w:rFonts w:ascii="Cambria" w:hAnsi="Cambria"/>
          <w:color w:val="000000"/>
          <w:sz w:val="20"/>
          <w:szCs w:val="20"/>
          <w:lang w:val="pt-BR"/>
        </w:rPr>
        <w:t>indic</w:t>
      </w:r>
      <w:r w:rsidR="00482D54" w:rsidRPr="00337743">
        <w:rPr>
          <w:rFonts w:ascii="Cambria" w:hAnsi="Cambria"/>
          <w:color w:val="000000"/>
          <w:sz w:val="20"/>
          <w:szCs w:val="20"/>
          <w:lang w:val="pt-BR"/>
        </w:rPr>
        <w:t>i</w:t>
      </w:r>
      <w:r w:rsidR="009E751B" w:rsidRPr="00337743">
        <w:rPr>
          <w:rFonts w:ascii="Cambria" w:hAnsi="Cambria"/>
          <w:color w:val="000000"/>
          <w:sz w:val="20"/>
          <w:szCs w:val="20"/>
          <w:lang w:val="pt-BR"/>
        </w:rPr>
        <w:t>ados</w:t>
      </w:r>
      <w:r w:rsidR="00091880" w:rsidRPr="00337743">
        <w:rPr>
          <w:rFonts w:ascii="Cambria" w:hAnsi="Cambria"/>
          <w:color w:val="000000"/>
          <w:sz w:val="20"/>
          <w:szCs w:val="20"/>
          <w:lang w:val="pt-BR"/>
        </w:rPr>
        <w:t xml:space="preserve"> não </w:t>
      </w:r>
      <w:r w:rsidR="00AF61C3" w:rsidRPr="00337743">
        <w:rPr>
          <w:rFonts w:ascii="Cambria" w:hAnsi="Cambria"/>
          <w:color w:val="000000"/>
          <w:sz w:val="20"/>
          <w:szCs w:val="20"/>
          <w:lang w:val="pt-BR"/>
        </w:rPr>
        <w:t>t</w:t>
      </w:r>
      <w:r w:rsidR="00667E8A" w:rsidRPr="00337743">
        <w:rPr>
          <w:rFonts w:ascii="Cambria" w:hAnsi="Cambria"/>
          <w:color w:val="000000"/>
          <w:sz w:val="20"/>
          <w:szCs w:val="20"/>
          <w:lang w:val="pt-BR"/>
        </w:rPr>
        <w:t>inham</w:t>
      </w:r>
      <w:r w:rsidR="00AF61C3" w:rsidRPr="00337743">
        <w:rPr>
          <w:rFonts w:ascii="Cambria" w:hAnsi="Cambria"/>
          <w:color w:val="000000"/>
          <w:sz w:val="20"/>
          <w:szCs w:val="20"/>
          <w:lang w:val="pt-BR"/>
        </w:rPr>
        <w:t xml:space="preserve"> prerrogativa parlamentar. Por </w:t>
      </w:r>
      <w:r w:rsidR="00125D8F" w:rsidRPr="00337743">
        <w:rPr>
          <w:rFonts w:ascii="Cambria" w:hAnsi="Cambria"/>
          <w:color w:val="000000"/>
          <w:sz w:val="20"/>
          <w:szCs w:val="20"/>
          <w:lang w:val="pt-BR"/>
        </w:rPr>
        <w:t>essa</w:t>
      </w:r>
      <w:r w:rsidR="00AF61C3" w:rsidRPr="00337743">
        <w:rPr>
          <w:rFonts w:ascii="Cambria" w:hAnsi="Cambria"/>
          <w:color w:val="000000"/>
          <w:sz w:val="20"/>
          <w:szCs w:val="20"/>
          <w:lang w:val="pt-BR"/>
        </w:rPr>
        <w:t xml:space="preserve"> raz</w:t>
      </w:r>
      <w:r w:rsidR="00667E8A" w:rsidRPr="00337743">
        <w:rPr>
          <w:rFonts w:ascii="Cambria" w:hAnsi="Cambria"/>
          <w:color w:val="000000"/>
          <w:sz w:val="20"/>
          <w:szCs w:val="20"/>
          <w:lang w:val="pt-BR"/>
        </w:rPr>
        <w:t>ão</w:t>
      </w:r>
      <w:r w:rsidR="00AF61C3"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a </w:t>
      </w:r>
      <w:r w:rsidR="00AF61C3" w:rsidRPr="00337743">
        <w:rPr>
          <w:rFonts w:ascii="Cambria" w:hAnsi="Cambria"/>
          <w:color w:val="000000"/>
          <w:sz w:val="20"/>
          <w:szCs w:val="20"/>
          <w:lang w:val="pt-BR"/>
        </w:rPr>
        <w:t>Investiga</w:t>
      </w:r>
      <w:r w:rsidR="00350E7E" w:rsidRPr="00337743">
        <w:rPr>
          <w:rFonts w:ascii="Cambria" w:hAnsi="Cambria"/>
          <w:color w:val="000000"/>
          <w:sz w:val="20"/>
          <w:szCs w:val="20"/>
          <w:lang w:val="pt-BR"/>
        </w:rPr>
        <w:t>ção</w:t>
      </w:r>
      <w:r w:rsidR="00AF61C3" w:rsidRPr="00337743">
        <w:rPr>
          <w:rFonts w:ascii="Cambria" w:hAnsi="Cambria"/>
          <w:color w:val="000000"/>
          <w:sz w:val="20"/>
          <w:szCs w:val="20"/>
          <w:lang w:val="pt-BR"/>
        </w:rPr>
        <w:t xml:space="preserve"> Policial concernente a el</w:t>
      </w:r>
      <w:r w:rsidR="00667E8A" w:rsidRPr="00337743">
        <w:rPr>
          <w:rFonts w:ascii="Cambria" w:hAnsi="Cambria"/>
          <w:color w:val="000000"/>
          <w:sz w:val="20"/>
          <w:szCs w:val="20"/>
          <w:lang w:val="pt-BR"/>
        </w:rPr>
        <w:t>e</w:t>
      </w:r>
      <w:r w:rsidR="00AF61C3" w:rsidRPr="00337743">
        <w:rPr>
          <w:rFonts w:ascii="Cambria" w:hAnsi="Cambria"/>
          <w:color w:val="000000"/>
          <w:sz w:val="20"/>
          <w:szCs w:val="20"/>
          <w:lang w:val="pt-BR"/>
        </w:rPr>
        <w:t>s continu</w:t>
      </w:r>
      <w:r w:rsidR="00482D54" w:rsidRPr="00337743">
        <w:rPr>
          <w:rFonts w:ascii="Cambria" w:hAnsi="Cambria"/>
          <w:color w:val="000000"/>
          <w:sz w:val="20"/>
          <w:szCs w:val="20"/>
          <w:lang w:val="pt-BR"/>
        </w:rPr>
        <w:t>ou</w:t>
      </w:r>
      <w:r w:rsidR="00AF61C3" w:rsidRPr="00337743">
        <w:rPr>
          <w:rFonts w:ascii="Cambria" w:hAnsi="Cambria"/>
          <w:color w:val="000000"/>
          <w:sz w:val="20"/>
          <w:szCs w:val="20"/>
          <w:lang w:val="pt-BR"/>
        </w:rPr>
        <w:t xml:space="preserve"> </w:t>
      </w:r>
      <w:r w:rsidR="006018D3">
        <w:rPr>
          <w:rFonts w:ascii="Cambria" w:hAnsi="Cambria"/>
          <w:color w:val="000000"/>
          <w:sz w:val="20"/>
          <w:szCs w:val="20"/>
          <w:lang w:val="pt-BR"/>
        </w:rPr>
        <w:t>em separado</w:t>
      </w:r>
      <w:r w:rsidR="00AF61C3" w:rsidRPr="00337743">
        <w:rPr>
          <w:rFonts w:ascii="Cambria" w:hAnsi="Cambria"/>
          <w:color w:val="000000"/>
          <w:sz w:val="20"/>
          <w:szCs w:val="20"/>
          <w:lang w:val="pt-BR"/>
        </w:rPr>
        <w:t>.</w:t>
      </w:r>
      <w:r w:rsidR="00E83FAD" w:rsidRPr="00337743">
        <w:rPr>
          <w:rFonts w:ascii="Cambria" w:hAnsi="Cambria"/>
          <w:color w:val="000000"/>
          <w:sz w:val="20"/>
          <w:szCs w:val="20"/>
          <w:lang w:val="pt-BR"/>
        </w:rPr>
        <w:t xml:space="preserve"> Entre o</w:t>
      </w:r>
      <w:r w:rsidR="00482D54" w:rsidRPr="00337743">
        <w:rPr>
          <w:rFonts w:ascii="Cambria" w:hAnsi="Cambria"/>
          <w:color w:val="000000"/>
          <w:sz w:val="20"/>
          <w:szCs w:val="20"/>
          <w:lang w:val="pt-BR"/>
        </w:rPr>
        <w:t>u</w:t>
      </w:r>
      <w:r w:rsidR="00E83FAD" w:rsidRPr="00337743">
        <w:rPr>
          <w:rFonts w:ascii="Cambria" w:hAnsi="Cambria"/>
          <w:color w:val="000000"/>
          <w:sz w:val="20"/>
          <w:szCs w:val="20"/>
          <w:lang w:val="pt-BR"/>
        </w:rPr>
        <w:t>tubr</w:t>
      </w:r>
      <w:r w:rsidR="00482D54" w:rsidRPr="00337743">
        <w:rPr>
          <w:rFonts w:ascii="Cambria" w:hAnsi="Cambria"/>
          <w:color w:val="000000"/>
          <w:sz w:val="20"/>
          <w:szCs w:val="20"/>
          <w:lang w:val="pt-BR"/>
        </w:rPr>
        <w:t>o</w:t>
      </w:r>
      <w:r w:rsidR="00E83FAD" w:rsidRPr="00337743">
        <w:rPr>
          <w:rFonts w:ascii="Cambria" w:hAnsi="Cambria"/>
          <w:color w:val="000000"/>
          <w:sz w:val="20"/>
          <w:szCs w:val="20"/>
          <w:lang w:val="pt-BR"/>
        </w:rPr>
        <w:t xml:space="preserve"> de 1998</w:t>
      </w:r>
      <w:r w:rsidR="00506331" w:rsidRPr="00337743">
        <w:rPr>
          <w:rFonts w:ascii="Cambria" w:hAnsi="Cambria"/>
          <w:color w:val="000000"/>
          <w:sz w:val="20"/>
          <w:szCs w:val="20"/>
          <w:lang w:val="pt-BR"/>
        </w:rPr>
        <w:t xml:space="preserve"> e </w:t>
      </w:r>
      <w:r w:rsidR="008F4787" w:rsidRPr="00337743">
        <w:rPr>
          <w:rFonts w:ascii="Cambria" w:hAnsi="Cambria"/>
          <w:color w:val="000000"/>
          <w:sz w:val="20"/>
          <w:szCs w:val="20"/>
          <w:lang w:val="pt-BR"/>
        </w:rPr>
        <w:t>dezembro</w:t>
      </w:r>
      <w:r w:rsidR="00E83FAD" w:rsidRPr="00337743">
        <w:rPr>
          <w:rFonts w:ascii="Cambria" w:hAnsi="Cambria"/>
          <w:color w:val="000000"/>
          <w:sz w:val="20"/>
          <w:szCs w:val="20"/>
          <w:lang w:val="pt-BR"/>
        </w:rPr>
        <w:t xml:space="preserve"> de 2001 </w:t>
      </w:r>
      <w:r w:rsidR="00667E8A" w:rsidRPr="00337743">
        <w:rPr>
          <w:rFonts w:ascii="Cambria" w:hAnsi="Cambria"/>
          <w:color w:val="000000"/>
          <w:sz w:val="20"/>
          <w:szCs w:val="20"/>
          <w:lang w:val="pt-BR"/>
        </w:rPr>
        <w:t xml:space="preserve">houve </w:t>
      </w:r>
      <w:r w:rsidR="00E83FAD" w:rsidRPr="00337743">
        <w:rPr>
          <w:rFonts w:ascii="Cambria" w:hAnsi="Cambria"/>
          <w:color w:val="000000"/>
          <w:sz w:val="20"/>
          <w:szCs w:val="20"/>
          <w:lang w:val="pt-BR"/>
        </w:rPr>
        <w:t>m</w:t>
      </w:r>
      <w:r w:rsidR="00595F25" w:rsidRPr="00337743">
        <w:rPr>
          <w:rFonts w:ascii="Cambria" w:hAnsi="Cambria"/>
          <w:color w:val="000000"/>
          <w:sz w:val="20"/>
          <w:szCs w:val="20"/>
          <w:lang w:val="pt-BR"/>
        </w:rPr>
        <w:t>últipl</w:t>
      </w:r>
      <w:r w:rsidR="00667E8A" w:rsidRPr="00337743">
        <w:rPr>
          <w:rFonts w:ascii="Cambria" w:hAnsi="Cambria"/>
          <w:color w:val="000000"/>
          <w:sz w:val="20"/>
          <w:szCs w:val="20"/>
          <w:lang w:val="pt-BR"/>
        </w:rPr>
        <w:t>o</w:t>
      </w:r>
      <w:r w:rsidR="00595F25" w:rsidRPr="00337743">
        <w:rPr>
          <w:rFonts w:ascii="Cambria" w:hAnsi="Cambria"/>
          <w:color w:val="000000"/>
          <w:sz w:val="20"/>
          <w:szCs w:val="20"/>
          <w:lang w:val="pt-BR"/>
        </w:rPr>
        <w:t>s</w:t>
      </w:r>
      <w:r w:rsidR="00E83FAD" w:rsidRPr="00337743">
        <w:rPr>
          <w:rFonts w:ascii="Cambria" w:hAnsi="Cambria"/>
          <w:color w:val="000000"/>
          <w:sz w:val="20"/>
          <w:szCs w:val="20"/>
          <w:lang w:val="pt-BR"/>
        </w:rPr>
        <w:t xml:space="preserve"> </w:t>
      </w:r>
      <w:r w:rsidR="00667E8A" w:rsidRPr="00337743">
        <w:rPr>
          <w:rFonts w:ascii="Cambria" w:hAnsi="Cambria"/>
          <w:color w:val="000000"/>
          <w:sz w:val="20"/>
          <w:szCs w:val="20"/>
          <w:lang w:val="pt-BR"/>
        </w:rPr>
        <w:t xml:space="preserve">pedidos </w:t>
      </w:r>
      <w:r w:rsidR="00E83FAD" w:rsidRPr="00337743">
        <w:rPr>
          <w:rFonts w:ascii="Cambria" w:hAnsi="Cambria"/>
          <w:color w:val="000000"/>
          <w:sz w:val="20"/>
          <w:szCs w:val="20"/>
          <w:lang w:val="pt-BR"/>
        </w:rPr>
        <w:t>de dilig</w:t>
      </w:r>
      <w:r w:rsidR="00482D54" w:rsidRPr="00337743">
        <w:rPr>
          <w:rFonts w:ascii="Cambria" w:hAnsi="Cambria"/>
          <w:color w:val="000000"/>
          <w:sz w:val="20"/>
          <w:szCs w:val="20"/>
          <w:lang w:val="pt-BR"/>
        </w:rPr>
        <w:t>ê</w:t>
      </w:r>
      <w:r w:rsidR="00E83FAD" w:rsidRPr="00337743">
        <w:rPr>
          <w:rFonts w:ascii="Cambria" w:hAnsi="Cambria"/>
          <w:color w:val="000000"/>
          <w:sz w:val="20"/>
          <w:szCs w:val="20"/>
          <w:lang w:val="pt-BR"/>
        </w:rPr>
        <w:t>ncias a ser</w:t>
      </w:r>
      <w:r w:rsidR="00667E8A" w:rsidRPr="00337743">
        <w:rPr>
          <w:rFonts w:ascii="Cambria" w:hAnsi="Cambria"/>
          <w:color w:val="000000"/>
          <w:sz w:val="20"/>
          <w:szCs w:val="20"/>
          <w:lang w:val="pt-BR"/>
        </w:rPr>
        <w:t>em</w:t>
      </w:r>
      <w:r w:rsidR="00E83FAD" w:rsidRPr="00337743">
        <w:rPr>
          <w:rFonts w:ascii="Cambria" w:hAnsi="Cambria"/>
          <w:color w:val="000000"/>
          <w:sz w:val="20"/>
          <w:szCs w:val="20"/>
          <w:lang w:val="pt-BR"/>
        </w:rPr>
        <w:t xml:space="preserve"> cump</w:t>
      </w:r>
      <w:r w:rsidR="00482D54" w:rsidRPr="00337743">
        <w:rPr>
          <w:rFonts w:ascii="Cambria" w:hAnsi="Cambria"/>
          <w:color w:val="000000"/>
          <w:sz w:val="20"/>
          <w:szCs w:val="20"/>
          <w:lang w:val="pt-BR"/>
        </w:rPr>
        <w:t>r</w:t>
      </w:r>
      <w:r w:rsidR="00E83FAD" w:rsidRPr="00337743">
        <w:rPr>
          <w:rFonts w:ascii="Cambria" w:hAnsi="Cambria"/>
          <w:color w:val="000000"/>
          <w:sz w:val="20"/>
          <w:szCs w:val="20"/>
          <w:lang w:val="pt-BR"/>
        </w:rPr>
        <w:t>idas</w:t>
      </w:r>
      <w:r w:rsidR="00091880" w:rsidRPr="00337743">
        <w:rPr>
          <w:rFonts w:ascii="Cambria" w:hAnsi="Cambria"/>
          <w:color w:val="000000"/>
          <w:sz w:val="20"/>
          <w:szCs w:val="20"/>
          <w:lang w:val="pt-BR"/>
        </w:rPr>
        <w:t xml:space="preserve"> pelo </w:t>
      </w:r>
      <w:r w:rsidR="00E83FAD" w:rsidRPr="00337743">
        <w:rPr>
          <w:rFonts w:ascii="Cambria" w:hAnsi="Cambria"/>
          <w:color w:val="000000"/>
          <w:sz w:val="20"/>
          <w:szCs w:val="20"/>
          <w:lang w:val="pt-BR"/>
        </w:rPr>
        <w:t xml:space="preserve">Delegado de </w:t>
      </w:r>
      <w:r w:rsidR="008E1B27" w:rsidRPr="00337743">
        <w:rPr>
          <w:rFonts w:ascii="Cambria" w:hAnsi="Cambria"/>
          <w:color w:val="000000"/>
          <w:sz w:val="20"/>
          <w:szCs w:val="20"/>
          <w:lang w:val="pt-BR"/>
        </w:rPr>
        <w:t>Polícia</w:t>
      </w:r>
      <w:r w:rsidR="00E83FAD" w:rsidRPr="00337743">
        <w:rPr>
          <w:rFonts w:ascii="Cambria" w:hAnsi="Cambria"/>
          <w:color w:val="000000"/>
          <w:sz w:val="20"/>
          <w:szCs w:val="20"/>
          <w:lang w:val="pt-BR"/>
        </w:rPr>
        <w:t xml:space="preserve"> respons</w:t>
      </w:r>
      <w:r w:rsidR="00667E8A" w:rsidRPr="00337743">
        <w:rPr>
          <w:rFonts w:ascii="Cambria" w:hAnsi="Cambria"/>
          <w:color w:val="000000"/>
          <w:sz w:val="20"/>
          <w:szCs w:val="20"/>
          <w:lang w:val="pt-BR"/>
        </w:rPr>
        <w:t>ável</w:t>
      </w:r>
      <w:r w:rsidR="00E83FAD" w:rsidRPr="00337743">
        <w:rPr>
          <w:rFonts w:ascii="Cambria" w:hAnsi="Cambria"/>
          <w:color w:val="000000"/>
          <w:sz w:val="20"/>
          <w:szCs w:val="20"/>
          <w:vertAlign w:val="superscript"/>
          <w:lang w:val="pt-BR"/>
        </w:rPr>
        <w:footnoteReference w:id="26"/>
      </w:r>
      <w:r w:rsidR="00E83FAD" w:rsidRPr="00337743">
        <w:rPr>
          <w:rFonts w:ascii="Cambria" w:hAnsi="Cambria"/>
          <w:color w:val="000000"/>
          <w:sz w:val="20"/>
          <w:szCs w:val="20"/>
          <w:lang w:val="pt-BR"/>
        </w:rPr>
        <w:t>. De ac</w:t>
      </w:r>
      <w:r w:rsidR="00482D54" w:rsidRPr="00337743">
        <w:rPr>
          <w:rFonts w:ascii="Cambria" w:hAnsi="Cambria"/>
          <w:color w:val="000000"/>
          <w:sz w:val="20"/>
          <w:szCs w:val="20"/>
          <w:lang w:val="pt-BR"/>
        </w:rPr>
        <w:t>o</w:t>
      </w:r>
      <w:r w:rsidR="00E83FAD" w:rsidRPr="00337743">
        <w:rPr>
          <w:rFonts w:ascii="Cambria" w:hAnsi="Cambria"/>
          <w:color w:val="000000"/>
          <w:sz w:val="20"/>
          <w:szCs w:val="20"/>
          <w:lang w:val="pt-BR"/>
        </w:rPr>
        <w:t>rdo</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o </w:t>
      </w:r>
      <w:r w:rsidR="00FC5F09" w:rsidRPr="00337743">
        <w:rPr>
          <w:rFonts w:ascii="Cambria" w:hAnsi="Cambria"/>
          <w:color w:val="000000"/>
          <w:sz w:val="20"/>
          <w:szCs w:val="20"/>
          <w:lang w:val="pt-BR"/>
        </w:rPr>
        <w:t>Minist</w:t>
      </w:r>
      <w:r w:rsidR="00482D54" w:rsidRPr="00337743">
        <w:rPr>
          <w:rFonts w:ascii="Cambria" w:hAnsi="Cambria"/>
          <w:color w:val="000000"/>
          <w:sz w:val="20"/>
          <w:szCs w:val="20"/>
          <w:lang w:val="pt-BR"/>
        </w:rPr>
        <w:t>é</w:t>
      </w:r>
      <w:r w:rsidR="00FC5F09" w:rsidRPr="00337743">
        <w:rPr>
          <w:rFonts w:ascii="Cambria" w:hAnsi="Cambria"/>
          <w:color w:val="000000"/>
          <w:sz w:val="20"/>
          <w:szCs w:val="20"/>
          <w:lang w:val="pt-BR"/>
        </w:rPr>
        <w:t>rio Público</w:t>
      </w:r>
      <w:r w:rsidR="00E83FAD" w:rsidRPr="00337743">
        <w:rPr>
          <w:rFonts w:ascii="Cambria" w:hAnsi="Cambria"/>
          <w:color w:val="000000"/>
          <w:sz w:val="20"/>
          <w:szCs w:val="20"/>
          <w:lang w:val="pt-BR"/>
        </w:rPr>
        <w:t>,</w:t>
      </w:r>
      <w:r w:rsidR="007707E3" w:rsidRPr="00337743">
        <w:rPr>
          <w:rFonts w:ascii="Cambria" w:hAnsi="Cambria"/>
          <w:color w:val="000000"/>
          <w:sz w:val="20"/>
          <w:szCs w:val="20"/>
          <w:lang w:val="pt-BR"/>
        </w:rPr>
        <w:t xml:space="preserve"> as </w:t>
      </w:r>
      <w:r w:rsidR="00E83FAD" w:rsidRPr="00337743">
        <w:rPr>
          <w:rFonts w:ascii="Cambria" w:hAnsi="Cambria"/>
          <w:color w:val="000000"/>
          <w:sz w:val="20"/>
          <w:szCs w:val="20"/>
          <w:lang w:val="pt-BR"/>
        </w:rPr>
        <w:t>investiga</w:t>
      </w:r>
      <w:r w:rsidR="00350E7E" w:rsidRPr="00337743">
        <w:rPr>
          <w:rFonts w:ascii="Cambria" w:hAnsi="Cambria"/>
          <w:color w:val="000000"/>
          <w:sz w:val="20"/>
          <w:szCs w:val="20"/>
          <w:lang w:val="pt-BR"/>
        </w:rPr>
        <w:t>ções</w:t>
      </w:r>
      <w:r w:rsidR="00E83FAD" w:rsidRPr="00337743">
        <w:rPr>
          <w:rFonts w:ascii="Cambria" w:hAnsi="Cambria"/>
          <w:color w:val="000000"/>
          <w:sz w:val="20"/>
          <w:szCs w:val="20"/>
          <w:lang w:val="pt-BR"/>
        </w:rPr>
        <w:t xml:space="preserve"> </w:t>
      </w:r>
      <w:r w:rsidR="008E1B27" w:rsidRPr="00337743">
        <w:rPr>
          <w:rFonts w:ascii="Cambria" w:hAnsi="Cambria"/>
          <w:color w:val="000000"/>
          <w:sz w:val="20"/>
          <w:szCs w:val="20"/>
          <w:lang w:val="pt-BR"/>
        </w:rPr>
        <w:t>deveriam</w:t>
      </w:r>
      <w:r w:rsidR="00E83FAD" w:rsidRPr="00337743">
        <w:rPr>
          <w:rFonts w:ascii="Cambria" w:hAnsi="Cambria"/>
          <w:color w:val="000000"/>
          <w:sz w:val="20"/>
          <w:szCs w:val="20"/>
          <w:lang w:val="pt-BR"/>
        </w:rPr>
        <w:t xml:space="preserve"> </w:t>
      </w:r>
      <w:r w:rsidR="00667E8A" w:rsidRPr="00337743">
        <w:rPr>
          <w:rFonts w:ascii="Cambria" w:hAnsi="Cambria"/>
          <w:color w:val="000000"/>
          <w:sz w:val="20"/>
          <w:szCs w:val="20"/>
          <w:lang w:val="pt-BR"/>
        </w:rPr>
        <w:t>ser a</w:t>
      </w:r>
      <w:r w:rsidR="00E83FAD" w:rsidRPr="00337743">
        <w:rPr>
          <w:rFonts w:ascii="Cambria" w:hAnsi="Cambria"/>
          <w:color w:val="000000"/>
          <w:sz w:val="20"/>
          <w:szCs w:val="20"/>
          <w:lang w:val="pt-BR"/>
        </w:rPr>
        <w:t>profund</w:t>
      </w:r>
      <w:r w:rsidR="00667E8A" w:rsidRPr="00337743">
        <w:rPr>
          <w:rFonts w:ascii="Cambria" w:hAnsi="Cambria"/>
          <w:color w:val="000000"/>
          <w:sz w:val="20"/>
          <w:szCs w:val="20"/>
          <w:lang w:val="pt-BR"/>
        </w:rPr>
        <w:t>adas</w:t>
      </w:r>
      <w:r w:rsidR="00E83FAD" w:rsidRPr="00337743">
        <w:rPr>
          <w:rFonts w:ascii="Cambria" w:hAnsi="Cambria"/>
          <w:color w:val="000000"/>
          <w:sz w:val="20"/>
          <w:szCs w:val="20"/>
          <w:lang w:val="pt-BR"/>
        </w:rPr>
        <w:t xml:space="preserve"> "buscando</w:t>
      </w:r>
      <w:r w:rsidR="00091880" w:rsidRPr="00337743">
        <w:rPr>
          <w:rFonts w:ascii="Cambria" w:hAnsi="Cambria"/>
          <w:color w:val="000000"/>
          <w:sz w:val="20"/>
          <w:szCs w:val="20"/>
          <w:lang w:val="pt-BR"/>
        </w:rPr>
        <w:t xml:space="preserve"> um </w:t>
      </w:r>
      <w:r w:rsidR="008E1B27" w:rsidRPr="00337743">
        <w:rPr>
          <w:rFonts w:ascii="Cambria" w:hAnsi="Cambria"/>
          <w:color w:val="000000"/>
          <w:sz w:val="20"/>
          <w:szCs w:val="20"/>
          <w:lang w:val="pt-BR"/>
        </w:rPr>
        <w:t>perfeito</w:t>
      </w:r>
      <w:r w:rsidR="00667E8A" w:rsidRPr="00337743">
        <w:rPr>
          <w:rFonts w:ascii="Cambria" w:hAnsi="Cambria"/>
          <w:color w:val="000000"/>
          <w:sz w:val="20"/>
          <w:szCs w:val="20"/>
          <w:lang w:val="pt-BR"/>
        </w:rPr>
        <w:t xml:space="preserve"> esclarecimento </w:t>
      </w:r>
      <w:r w:rsidR="00E83FAD" w:rsidRPr="00337743">
        <w:rPr>
          <w:rFonts w:ascii="Cambria" w:hAnsi="Cambria"/>
          <w:color w:val="000000"/>
          <w:sz w:val="20"/>
          <w:szCs w:val="20"/>
          <w:lang w:val="pt-BR"/>
        </w:rPr>
        <w:t>de todos</w:t>
      </w:r>
      <w:r w:rsidR="007707E3" w:rsidRPr="00337743">
        <w:rPr>
          <w:rFonts w:ascii="Cambria" w:hAnsi="Cambria"/>
          <w:color w:val="000000"/>
          <w:sz w:val="20"/>
          <w:szCs w:val="20"/>
          <w:lang w:val="pt-BR"/>
        </w:rPr>
        <w:t xml:space="preserve"> os </w:t>
      </w:r>
      <w:r w:rsidR="00667E8A" w:rsidRPr="00337743">
        <w:rPr>
          <w:rFonts w:ascii="Cambria" w:hAnsi="Cambria"/>
          <w:color w:val="000000"/>
          <w:sz w:val="20"/>
          <w:szCs w:val="20"/>
          <w:lang w:val="pt-BR"/>
        </w:rPr>
        <w:t>fat</w:t>
      </w:r>
      <w:r w:rsidR="00E83FAD" w:rsidRPr="00337743">
        <w:rPr>
          <w:rFonts w:ascii="Cambria" w:hAnsi="Cambria"/>
          <w:color w:val="000000"/>
          <w:sz w:val="20"/>
          <w:szCs w:val="20"/>
          <w:lang w:val="pt-BR"/>
        </w:rPr>
        <w:t xml:space="preserve">os que </w:t>
      </w:r>
      <w:r w:rsidR="008E1B27" w:rsidRPr="00337743">
        <w:rPr>
          <w:rFonts w:ascii="Cambria" w:hAnsi="Cambria"/>
          <w:color w:val="000000"/>
          <w:sz w:val="20"/>
          <w:szCs w:val="20"/>
          <w:lang w:val="pt-BR"/>
        </w:rPr>
        <w:t>envolvem</w:t>
      </w:r>
      <w:r w:rsidR="00506331" w:rsidRPr="00337743">
        <w:rPr>
          <w:rFonts w:ascii="Cambria" w:hAnsi="Cambria"/>
          <w:color w:val="000000"/>
          <w:sz w:val="20"/>
          <w:szCs w:val="20"/>
          <w:lang w:val="pt-BR"/>
        </w:rPr>
        <w:t xml:space="preserve"> a </w:t>
      </w:r>
      <w:r w:rsidR="009D71DA" w:rsidRPr="00337743">
        <w:rPr>
          <w:rFonts w:ascii="Cambria" w:hAnsi="Cambria"/>
          <w:color w:val="000000"/>
          <w:sz w:val="20"/>
          <w:szCs w:val="20"/>
          <w:lang w:val="pt-BR"/>
        </w:rPr>
        <w:t>mort</w:t>
      </w:r>
      <w:r w:rsidR="00E83FAD" w:rsidRPr="00337743">
        <w:rPr>
          <w:rFonts w:ascii="Cambria" w:hAnsi="Cambria"/>
          <w:color w:val="000000"/>
          <w:sz w:val="20"/>
          <w:szCs w:val="20"/>
          <w:lang w:val="pt-BR"/>
        </w:rPr>
        <w:t>e de Márcia</w:t>
      </w:r>
      <w:r w:rsidR="00506331" w:rsidRPr="00337743">
        <w:rPr>
          <w:rFonts w:ascii="Cambria" w:hAnsi="Cambria"/>
          <w:color w:val="000000"/>
          <w:sz w:val="20"/>
          <w:szCs w:val="20"/>
          <w:lang w:val="pt-BR"/>
        </w:rPr>
        <w:t xml:space="preserve"> e a </w:t>
      </w:r>
      <w:r w:rsidR="008E1B27" w:rsidRPr="00337743">
        <w:rPr>
          <w:rFonts w:ascii="Cambria" w:hAnsi="Cambria"/>
          <w:color w:val="000000"/>
          <w:sz w:val="20"/>
          <w:szCs w:val="20"/>
          <w:lang w:val="pt-BR"/>
        </w:rPr>
        <w:t>conse</w:t>
      </w:r>
      <w:r w:rsidR="000F3F6E" w:rsidRPr="00337743">
        <w:rPr>
          <w:rFonts w:ascii="Cambria" w:hAnsi="Cambria"/>
          <w:color w:val="000000"/>
          <w:sz w:val="20"/>
          <w:szCs w:val="20"/>
          <w:lang w:val="pt-BR"/>
        </w:rPr>
        <w:t>que</w:t>
      </w:r>
      <w:r w:rsidR="008E1B27" w:rsidRPr="00337743">
        <w:rPr>
          <w:rFonts w:ascii="Cambria" w:hAnsi="Cambria"/>
          <w:color w:val="000000"/>
          <w:sz w:val="20"/>
          <w:szCs w:val="20"/>
          <w:lang w:val="pt-BR"/>
        </w:rPr>
        <w:t>nte</w:t>
      </w:r>
      <w:r w:rsidR="00E83FAD" w:rsidRPr="00337743">
        <w:rPr>
          <w:rFonts w:ascii="Cambria" w:hAnsi="Cambria"/>
          <w:color w:val="000000"/>
          <w:sz w:val="20"/>
          <w:szCs w:val="20"/>
          <w:lang w:val="pt-BR"/>
        </w:rPr>
        <w:t xml:space="preserve"> oculta</w:t>
      </w:r>
      <w:r w:rsidR="00350E7E" w:rsidRPr="00337743">
        <w:rPr>
          <w:rFonts w:ascii="Cambria" w:hAnsi="Cambria"/>
          <w:color w:val="000000"/>
          <w:sz w:val="20"/>
          <w:szCs w:val="20"/>
          <w:lang w:val="pt-BR"/>
        </w:rPr>
        <w:t>ção</w:t>
      </w:r>
      <w:r w:rsidR="00E83FAD" w:rsidRPr="00337743">
        <w:rPr>
          <w:rFonts w:ascii="Cambria" w:hAnsi="Cambria"/>
          <w:color w:val="000000"/>
          <w:sz w:val="20"/>
          <w:szCs w:val="20"/>
          <w:lang w:val="pt-BR"/>
        </w:rPr>
        <w:t xml:space="preserve"> de s</w:t>
      </w:r>
      <w:r w:rsidR="00125D8F" w:rsidRPr="00337743">
        <w:rPr>
          <w:rFonts w:ascii="Cambria" w:hAnsi="Cambria"/>
          <w:color w:val="000000"/>
          <w:sz w:val="20"/>
          <w:szCs w:val="20"/>
          <w:lang w:val="pt-BR"/>
        </w:rPr>
        <w:t>e</w:t>
      </w:r>
      <w:r w:rsidR="00E83FAD" w:rsidRPr="00337743">
        <w:rPr>
          <w:rFonts w:ascii="Cambria" w:hAnsi="Cambria"/>
          <w:color w:val="000000"/>
          <w:sz w:val="20"/>
          <w:szCs w:val="20"/>
          <w:lang w:val="pt-BR"/>
        </w:rPr>
        <w:t>u cadáver"</w:t>
      </w:r>
      <w:r w:rsidR="006018D3">
        <w:rPr>
          <w:rFonts w:ascii="Cambria" w:hAnsi="Cambria"/>
          <w:color w:val="000000"/>
          <w:sz w:val="20"/>
          <w:szCs w:val="20"/>
          <w:lang w:val="pt-BR"/>
        </w:rPr>
        <w:t>,</w:t>
      </w:r>
      <w:r w:rsidR="00506331" w:rsidRPr="00337743">
        <w:rPr>
          <w:rFonts w:ascii="Cambria" w:hAnsi="Cambria"/>
          <w:color w:val="000000"/>
          <w:sz w:val="20"/>
          <w:szCs w:val="20"/>
          <w:lang w:val="pt-BR"/>
        </w:rPr>
        <w:t xml:space="preserve"> e </w:t>
      </w:r>
      <w:r w:rsidR="00E83FAD" w:rsidRPr="00337743">
        <w:rPr>
          <w:rFonts w:ascii="Cambria" w:hAnsi="Cambria"/>
          <w:color w:val="000000"/>
          <w:sz w:val="20"/>
          <w:szCs w:val="20"/>
          <w:lang w:val="pt-BR"/>
        </w:rPr>
        <w:t>que "t</w:t>
      </w:r>
      <w:r w:rsidR="007707E3" w:rsidRPr="00337743">
        <w:rPr>
          <w:rFonts w:ascii="Cambria" w:hAnsi="Cambria"/>
          <w:color w:val="000000"/>
          <w:sz w:val="20"/>
          <w:szCs w:val="20"/>
          <w:lang w:val="pt-BR"/>
        </w:rPr>
        <w:t>ais</w:t>
      </w:r>
      <w:r w:rsidR="00E83FAD" w:rsidRPr="00337743">
        <w:rPr>
          <w:rFonts w:ascii="Cambria" w:hAnsi="Cambria"/>
          <w:color w:val="000000"/>
          <w:sz w:val="20"/>
          <w:szCs w:val="20"/>
          <w:lang w:val="pt-BR"/>
        </w:rPr>
        <w:t xml:space="preserve"> provid</w:t>
      </w:r>
      <w:r w:rsidR="00125D8F" w:rsidRPr="00337743">
        <w:rPr>
          <w:rFonts w:ascii="Cambria" w:hAnsi="Cambria"/>
          <w:color w:val="000000"/>
          <w:sz w:val="20"/>
          <w:szCs w:val="20"/>
          <w:lang w:val="pt-BR"/>
        </w:rPr>
        <w:t>ê</w:t>
      </w:r>
      <w:r w:rsidR="00E83FAD" w:rsidRPr="00337743">
        <w:rPr>
          <w:rFonts w:ascii="Cambria" w:hAnsi="Cambria"/>
          <w:color w:val="000000"/>
          <w:sz w:val="20"/>
          <w:szCs w:val="20"/>
          <w:lang w:val="pt-BR"/>
        </w:rPr>
        <w:t>ncias s</w:t>
      </w:r>
      <w:r w:rsidR="00667E8A" w:rsidRPr="00337743">
        <w:rPr>
          <w:rFonts w:ascii="Cambria" w:hAnsi="Cambria"/>
          <w:color w:val="000000"/>
          <w:sz w:val="20"/>
          <w:szCs w:val="20"/>
          <w:lang w:val="pt-BR"/>
        </w:rPr>
        <w:t>ã</w:t>
      </w:r>
      <w:r w:rsidR="00E83FAD" w:rsidRPr="00337743">
        <w:rPr>
          <w:rFonts w:ascii="Cambria" w:hAnsi="Cambria"/>
          <w:color w:val="000000"/>
          <w:sz w:val="20"/>
          <w:szCs w:val="20"/>
          <w:lang w:val="pt-BR"/>
        </w:rPr>
        <w:t>o reputadas</w:t>
      </w:r>
      <w:r w:rsidR="00091880" w:rsidRPr="00337743">
        <w:rPr>
          <w:rFonts w:ascii="Cambria" w:hAnsi="Cambria"/>
          <w:color w:val="000000"/>
          <w:sz w:val="20"/>
          <w:szCs w:val="20"/>
          <w:lang w:val="pt-BR"/>
        </w:rPr>
        <w:t xml:space="preserve"> pelo </w:t>
      </w:r>
      <w:r w:rsidR="008E1B27" w:rsidRPr="00337743">
        <w:rPr>
          <w:rFonts w:ascii="Cambria" w:hAnsi="Cambria"/>
          <w:color w:val="000000"/>
          <w:sz w:val="20"/>
          <w:szCs w:val="20"/>
          <w:lang w:val="pt-BR"/>
        </w:rPr>
        <w:t>Ministério</w:t>
      </w:r>
      <w:r w:rsidR="00E83FAD" w:rsidRPr="00337743">
        <w:rPr>
          <w:rFonts w:ascii="Cambria" w:hAnsi="Cambria"/>
          <w:color w:val="000000"/>
          <w:sz w:val="20"/>
          <w:szCs w:val="20"/>
          <w:lang w:val="pt-BR"/>
        </w:rPr>
        <w:t xml:space="preserve"> Público como indispens</w:t>
      </w:r>
      <w:r w:rsidR="00667E8A" w:rsidRPr="00337743">
        <w:rPr>
          <w:rFonts w:ascii="Cambria" w:hAnsi="Cambria"/>
          <w:color w:val="000000"/>
          <w:sz w:val="20"/>
          <w:szCs w:val="20"/>
          <w:lang w:val="pt-BR"/>
        </w:rPr>
        <w:t>ávei</w:t>
      </w:r>
      <w:r w:rsidR="00E83FAD" w:rsidRPr="00337743">
        <w:rPr>
          <w:rFonts w:ascii="Cambria" w:hAnsi="Cambria"/>
          <w:color w:val="000000"/>
          <w:sz w:val="20"/>
          <w:szCs w:val="20"/>
          <w:lang w:val="pt-BR"/>
        </w:rPr>
        <w:t>s,</w:t>
      </w:r>
      <w:r w:rsidR="00091880" w:rsidRPr="00337743">
        <w:rPr>
          <w:rFonts w:ascii="Cambria" w:hAnsi="Cambria"/>
          <w:color w:val="000000"/>
          <w:sz w:val="20"/>
          <w:szCs w:val="20"/>
          <w:lang w:val="pt-BR"/>
        </w:rPr>
        <w:t xml:space="preserve"> uma </w:t>
      </w:r>
      <w:r w:rsidR="00E83FAD" w:rsidRPr="00337743">
        <w:rPr>
          <w:rFonts w:ascii="Cambria" w:hAnsi="Cambria"/>
          <w:color w:val="000000"/>
          <w:sz w:val="20"/>
          <w:szCs w:val="20"/>
          <w:lang w:val="pt-BR"/>
        </w:rPr>
        <w:t xml:space="preserve">vez que a </w:t>
      </w:r>
      <w:r w:rsidR="008E1B27" w:rsidRPr="00337743">
        <w:rPr>
          <w:rFonts w:ascii="Cambria" w:hAnsi="Cambria"/>
          <w:color w:val="000000"/>
          <w:sz w:val="20"/>
          <w:szCs w:val="20"/>
          <w:lang w:val="pt-BR"/>
        </w:rPr>
        <w:t>ele</w:t>
      </w:r>
      <w:r w:rsidR="00E83FAD" w:rsidRPr="00337743">
        <w:rPr>
          <w:rFonts w:ascii="Cambria" w:hAnsi="Cambria"/>
          <w:color w:val="000000"/>
          <w:sz w:val="20"/>
          <w:szCs w:val="20"/>
          <w:lang w:val="pt-BR"/>
        </w:rPr>
        <w:t xml:space="preserve"> </w:t>
      </w:r>
      <w:r w:rsidR="00667E8A" w:rsidRPr="00337743">
        <w:rPr>
          <w:rFonts w:ascii="Cambria" w:hAnsi="Cambria"/>
          <w:color w:val="000000"/>
          <w:sz w:val="20"/>
          <w:szCs w:val="20"/>
          <w:lang w:val="pt-BR"/>
        </w:rPr>
        <w:t>só</w:t>
      </w:r>
      <w:r w:rsidR="00E83FAD" w:rsidRPr="00337743">
        <w:rPr>
          <w:rFonts w:ascii="Cambria" w:hAnsi="Cambria"/>
          <w:color w:val="000000"/>
          <w:sz w:val="20"/>
          <w:szCs w:val="20"/>
          <w:lang w:val="pt-BR"/>
        </w:rPr>
        <w:t xml:space="preserve"> intere</w:t>
      </w:r>
      <w:r w:rsidR="00125D8F" w:rsidRPr="00337743">
        <w:rPr>
          <w:rFonts w:ascii="Cambria" w:hAnsi="Cambria"/>
          <w:color w:val="000000"/>
          <w:sz w:val="20"/>
          <w:szCs w:val="20"/>
          <w:lang w:val="pt-BR"/>
        </w:rPr>
        <w:t>s</w:t>
      </w:r>
      <w:r w:rsidR="00E83FAD" w:rsidRPr="00337743">
        <w:rPr>
          <w:rFonts w:ascii="Cambria" w:hAnsi="Cambria"/>
          <w:color w:val="000000"/>
          <w:sz w:val="20"/>
          <w:szCs w:val="20"/>
          <w:lang w:val="pt-BR"/>
        </w:rPr>
        <w:t>sa</w:t>
      </w:r>
      <w:r w:rsidR="00A6443F" w:rsidRPr="00337743">
        <w:rPr>
          <w:rFonts w:ascii="Cambria" w:hAnsi="Cambria"/>
          <w:color w:val="000000"/>
          <w:sz w:val="20"/>
          <w:szCs w:val="20"/>
          <w:lang w:val="pt-BR"/>
        </w:rPr>
        <w:t xml:space="preserve"> </w:t>
      </w:r>
      <w:r w:rsidR="00506331" w:rsidRPr="00337743">
        <w:rPr>
          <w:rFonts w:ascii="Cambria" w:hAnsi="Cambria"/>
          <w:color w:val="000000"/>
          <w:sz w:val="20"/>
          <w:szCs w:val="20"/>
          <w:lang w:val="pt-BR"/>
        </w:rPr>
        <w:t xml:space="preserve">a </w:t>
      </w:r>
      <w:r w:rsidR="00E83FAD" w:rsidRPr="00337743">
        <w:rPr>
          <w:rFonts w:ascii="Cambria" w:hAnsi="Cambria"/>
          <w:color w:val="000000"/>
          <w:sz w:val="20"/>
          <w:szCs w:val="20"/>
          <w:lang w:val="pt-BR"/>
        </w:rPr>
        <w:t>ver</w:t>
      </w:r>
      <w:r w:rsidR="00350E7E" w:rsidRPr="00337743">
        <w:rPr>
          <w:rFonts w:ascii="Cambria" w:hAnsi="Cambria"/>
          <w:color w:val="000000"/>
          <w:sz w:val="20"/>
          <w:szCs w:val="20"/>
          <w:lang w:val="pt-BR"/>
        </w:rPr>
        <w:t xml:space="preserve">dade </w:t>
      </w:r>
      <w:r w:rsidR="008E1B27" w:rsidRPr="00337743">
        <w:rPr>
          <w:rFonts w:ascii="Cambria" w:hAnsi="Cambria"/>
          <w:color w:val="000000"/>
          <w:sz w:val="20"/>
          <w:szCs w:val="20"/>
          <w:lang w:val="pt-BR"/>
        </w:rPr>
        <w:t>exata</w:t>
      </w:r>
      <w:r w:rsidR="00E83FAD" w:rsidRPr="00337743">
        <w:rPr>
          <w:rFonts w:ascii="Cambria" w:hAnsi="Cambria"/>
          <w:color w:val="000000"/>
          <w:sz w:val="20"/>
          <w:szCs w:val="20"/>
          <w:lang w:val="pt-BR"/>
        </w:rPr>
        <w:t xml:space="preserve"> para que </w:t>
      </w:r>
      <w:r w:rsidR="00667E8A" w:rsidRPr="00337743">
        <w:rPr>
          <w:rFonts w:ascii="Cambria" w:hAnsi="Cambria"/>
          <w:color w:val="000000"/>
          <w:sz w:val="20"/>
          <w:szCs w:val="20"/>
          <w:lang w:val="pt-BR"/>
        </w:rPr>
        <w:t xml:space="preserve">se </w:t>
      </w:r>
      <w:r w:rsidR="00E83FAD" w:rsidRPr="00337743">
        <w:rPr>
          <w:rFonts w:ascii="Cambria" w:hAnsi="Cambria"/>
          <w:color w:val="000000"/>
          <w:sz w:val="20"/>
          <w:szCs w:val="20"/>
          <w:lang w:val="pt-BR"/>
        </w:rPr>
        <w:t>p</w:t>
      </w:r>
      <w:r w:rsidR="00667E8A" w:rsidRPr="00337743">
        <w:rPr>
          <w:rFonts w:ascii="Cambria" w:hAnsi="Cambria"/>
          <w:color w:val="000000"/>
          <w:sz w:val="20"/>
          <w:szCs w:val="20"/>
          <w:lang w:val="pt-BR"/>
        </w:rPr>
        <w:t>oss</w:t>
      </w:r>
      <w:r w:rsidR="00E83FAD" w:rsidRPr="00337743">
        <w:rPr>
          <w:rFonts w:ascii="Cambria" w:hAnsi="Cambria"/>
          <w:color w:val="000000"/>
          <w:sz w:val="20"/>
          <w:szCs w:val="20"/>
          <w:lang w:val="pt-BR"/>
        </w:rPr>
        <w:t>a promover</w:t>
      </w:r>
      <w:r w:rsidR="00506331" w:rsidRPr="00337743">
        <w:rPr>
          <w:rFonts w:ascii="Cambria" w:hAnsi="Cambria"/>
          <w:color w:val="000000"/>
          <w:sz w:val="20"/>
          <w:szCs w:val="20"/>
          <w:lang w:val="pt-BR"/>
        </w:rPr>
        <w:t xml:space="preserve"> o </w:t>
      </w:r>
      <w:r w:rsidR="00E83FAD" w:rsidRPr="00337743">
        <w:rPr>
          <w:rFonts w:ascii="Cambria" w:hAnsi="Cambria"/>
          <w:color w:val="000000"/>
          <w:sz w:val="20"/>
          <w:szCs w:val="20"/>
          <w:lang w:val="pt-BR"/>
        </w:rPr>
        <w:t xml:space="preserve">castigo de </w:t>
      </w:r>
      <w:r w:rsidR="008E1B27" w:rsidRPr="00337743">
        <w:rPr>
          <w:rFonts w:ascii="Cambria" w:hAnsi="Cambria"/>
          <w:color w:val="000000"/>
          <w:sz w:val="20"/>
          <w:szCs w:val="20"/>
          <w:lang w:val="pt-BR"/>
        </w:rPr>
        <w:t>quem</w:t>
      </w:r>
      <w:r w:rsidR="00E83FAD" w:rsidRPr="00337743">
        <w:rPr>
          <w:rFonts w:ascii="Cambria" w:hAnsi="Cambria"/>
          <w:color w:val="000000"/>
          <w:sz w:val="20"/>
          <w:szCs w:val="20"/>
          <w:lang w:val="pt-BR"/>
        </w:rPr>
        <w:t xml:space="preserve"> se enc</w:t>
      </w:r>
      <w:r w:rsidR="00125D8F" w:rsidRPr="00337743">
        <w:rPr>
          <w:rFonts w:ascii="Cambria" w:hAnsi="Cambria"/>
          <w:color w:val="000000"/>
          <w:sz w:val="20"/>
          <w:szCs w:val="20"/>
          <w:lang w:val="pt-BR"/>
        </w:rPr>
        <w:t>o</w:t>
      </w:r>
      <w:r w:rsidR="00E83FAD" w:rsidRPr="00337743">
        <w:rPr>
          <w:rFonts w:ascii="Cambria" w:hAnsi="Cambria"/>
          <w:color w:val="000000"/>
          <w:sz w:val="20"/>
          <w:szCs w:val="20"/>
          <w:lang w:val="pt-BR"/>
        </w:rPr>
        <w:t>ntre</w:t>
      </w:r>
      <w:r w:rsidR="00091880" w:rsidRPr="00337743">
        <w:rPr>
          <w:rFonts w:ascii="Cambria" w:hAnsi="Cambria"/>
          <w:color w:val="000000"/>
          <w:sz w:val="20"/>
          <w:szCs w:val="20"/>
          <w:lang w:val="pt-BR"/>
        </w:rPr>
        <w:t xml:space="preserve"> em </w:t>
      </w:r>
      <w:r w:rsidR="00E83FAD" w:rsidRPr="00337743">
        <w:rPr>
          <w:rFonts w:ascii="Cambria" w:hAnsi="Cambria"/>
          <w:color w:val="000000"/>
          <w:sz w:val="20"/>
          <w:szCs w:val="20"/>
          <w:lang w:val="pt-BR"/>
        </w:rPr>
        <w:t>culpa”</w:t>
      </w:r>
      <w:r w:rsidR="00E83FAD" w:rsidRPr="00337743">
        <w:rPr>
          <w:rFonts w:ascii="Cambria" w:hAnsi="Cambria"/>
          <w:color w:val="000000"/>
          <w:sz w:val="20"/>
          <w:szCs w:val="20"/>
          <w:vertAlign w:val="superscript"/>
          <w:lang w:val="pt-BR"/>
        </w:rPr>
        <w:footnoteReference w:id="27"/>
      </w:r>
      <w:r w:rsidR="00E83FAD"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F6081F"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a </w:t>
      </w:r>
      <w:r w:rsidR="008E1B27" w:rsidRPr="00337743">
        <w:rPr>
          <w:rFonts w:ascii="Cambria" w:hAnsi="Cambria"/>
          <w:color w:val="000000"/>
          <w:sz w:val="20"/>
          <w:szCs w:val="20"/>
          <w:lang w:val="pt-BR"/>
        </w:rPr>
        <w:t>resposta</w:t>
      </w:r>
      <w:r w:rsidR="00E83FAD" w:rsidRPr="00337743">
        <w:rPr>
          <w:rFonts w:ascii="Cambria" w:hAnsi="Cambria"/>
          <w:color w:val="000000"/>
          <w:sz w:val="20"/>
          <w:szCs w:val="20"/>
          <w:lang w:val="pt-BR"/>
        </w:rPr>
        <w:t xml:space="preserve"> a</w:t>
      </w:r>
      <w:r w:rsidR="00091880" w:rsidRPr="00337743">
        <w:rPr>
          <w:rFonts w:ascii="Cambria" w:hAnsi="Cambria"/>
          <w:color w:val="000000"/>
          <w:sz w:val="20"/>
          <w:szCs w:val="20"/>
          <w:lang w:val="pt-BR"/>
        </w:rPr>
        <w:t xml:space="preserve"> um</w:t>
      </w:r>
      <w:r w:rsidR="00F6081F" w:rsidRPr="00337743">
        <w:rPr>
          <w:rFonts w:ascii="Cambria" w:hAnsi="Cambria"/>
          <w:color w:val="000000"/>
          <w:sz w:val="20"/>
          <w:szCs w:val="20"/>
          <w:lang w:val="pt-BR"/>
        </w:rPr>
        <w:t xml:space="preserve"> dos pedidos</w:t>
      </w:r>
      <w:r w:rsidR="007707E3" w:rsidRPr="00337743">
        <w:rPr>
          <w:rFonts w:ascii="Cambria" w:hAnsi="Cambria"/>
          <w:color w:val="000000"/>
          <w:sz w:val="20"/>
          <w:szCs w:val="20"/>
          <w:lang w:val="pt-BR"/>
        </w:rPr>
        <w:t xml:space="preserve"> do </w:t>
      </w:r>
      <w:r w:rsidR="008E1B27" w:rsidRPr="00337743">
        <w:rPr>
          <w:rFonts w:ascii="Cambria" w:hAnsi="Cambria"/>
          <w:color w:val="000000"/>
          <w:sz w:val="20"/>
          <w:szCs w:val="20"/>
          <w:lang w:val="pt-BR"/>
        </w:rPr>
        <w:t>Ministério</w:t>
      </w:r>
      <w:r w:rsidR="00E83FAD" w:rsidRPr="00337743">
        <w:rPr>
          <w:rFonts w:ascii="Cambria" w:hAnsi="Cambria"/>
          <w:color w:val="000000"/>
          <w:sz w:val="20"/>
          <w:szCs w:val="20"/>
          <w:lang w:val="pt-BR"/>
        </w:rPr>
        <w:t xml:space="preserve"> Público,</w:t>
      </w:r>
      <w:r w:rsidR="00506331" w:rsidRPr="00337743">
        <w:rPr>
          <w:rFonts w:ascii="Cambria" w:hAnsi="Cambria"/>
          <w:color w:val="000000"/>
          <w:sz w:val="20"/>
          <w:szCs w:val="20"/>
          <w:lang w:val="pt-BR"/>
        </w:rPr>
        <w:t xml:space="preserve"> o </w:t>
      </w:r>
      <w:r w:rsidR="00E83FAD" w:rsidRPr="00337743">
        <w:rPr>
          <w:rFonts w:ascii="Cambria" w:hAnsi="Cambria"/>
          <w:color w:val="000000"/>
          <w:sz w:val="20"/>
          <w:szCs w:val="20"/>
          <w:lang w:val="pt-BR"/>
        </w:rPr>
        <w:t>Delegado Manoel Carlos da Silva Neto afirm</w:t>
      </w:r>
      <w:r w:rsidR="008E1B27" w:rsidRPr="00337743">
        <w:rPr>
          <w:rFonts w:ascii="Cambria" w:hAnsi="Cambria"/>
          <w:color w:val="000000"/>
          <w:sz w:val="20"/>
          <w:szCs w:val="20"/>
          <w:lang w:val="pt-BR"/>
        </w:rPr>
        <w:t>ou</w:t>
      </w:r>
      <w:r w:rsidR="00E83FAD" w:rsidRPr="00337743">
        <w:rPr>
          <w:rFonts w:ascii="Cambria" w:hAnsi="Cambria"/>
          <w:color w:val="000000"/>
          <w:sz w:val="20"/>
          <w:szCs w:val="20"/>
          <w:lang w:val="pt-BR"/>
        </w:rPr>
        <w:t xml:space="preserve"> que</w:t>
      </w:r>
      <w:r w:rsidR="00091880" w:rsidRPr="00337743">
        <w:rPr>
          <w:rFonts w:ascii="Cambria" w:hAnsi="Cambria"/>
          <w:color w:val="000000"/>
          <w:sz w:val="20"/>
          <w:szCs w:val="20"/>
          <w:lang w:val="pt-BR"/>
        </w:rPr>
        <w:t xml:space="preserve"> não </w:t>
      </w:r>
      <w:r w:rsidR="00F6081F" w:rsidRPr="00337743">
        <w:rPr>
          <w:rFonts w:ascii="Cambria" w:hAnsi="Cambria"/>
          <w:color w:val="000000"/>
          <w:sz w:val="20"/>
          <w:szCs w:val="20"/>
          <w:lang w:val="pt-BR"/>
        </w:rPr>
        <w:t xml:space="preserve">atendeu a </w:t>
      </w:r>
      <w:r w:rsidR="008E1B27" w:rsidRPr="00337743">
        <w:rPr>
          <w:rFonts w:ascii="Cambria" w:hAnsi="Cambria"/>
          <w:color w:val="000000"/>
          <w:sz w:val="20"/>
          <w:szCs w:val="20"/>
          <w:lang w:val="pt-BR"/>
        </w:rPr>
        <w:t>vários</w:t>
      </w:r>
      <w:r w:rsidR="00F6081F" w:rsidRPr="00337743">
        <w:rPr>
          <w:rFonts w:ascii="Cambria" w:hAnsi="Cambria"/>
          <w:color w:val="000000"/>
          <w:sz w:val="20"/>
          <w:szCs w:val="20"/>
          <w:lang w:val="pt-BR"/>
        </w:rPr>
        <w:t xml:space="preserve"> pedidos feitos, </w:t>
      </w:r>
      <w:r w:rsidR="00E83FAD" w:rsidRPr="00337743">
        <w:rPr>
          <w:rFonts w:ascii="Cambria" w:hAnsi="Cambria"/>
          <w:color w:val="000000"/>
          <w:sz w:val="20"/>
          <w:szCs w:val="20"/>
          <w:lang w:val="pt-BR"/>
        </w:rPr>
        <w:t>"como</w:t>
      </w:r>
      <w:r w:rsidR="00506331" w:rsidRPr="00337743">
        <w:rPr>
          <w:rFonts w:ascii="Cambria" w:hAnsi="Cambria"/>
          <w:color w:val="000000"/>
          <w:sz w:val="20"/>
          <w:szCs w:val="20"/>
          <w:lang w:val="pt-BR"/>
        </w:rPr>
        <w:t xml:space="preserve"> a </w:t>
      </w:r>
      <w:r w:rsidR="00F6081F" w:rsidRPr="00337743">
        <w:rPr>
          <w:rFonts w:ascii="Cambria" w:hAnsi="Cambria"/>
          <w:color w:val="000000"/>
          <w:sz w:val="20"/>
          <w:szCs w:val="20"/>
          <w:lang w:val="pt-BR"/>
        </w:rPr>
        <w:t>qu</w:t>
      </w:r>
      <w:r w:rsidR="00E83FAD" w:rsidRPr="00337743">
        <w:rPr>
          <w:rFonts w:ascii="Cambria" w:hAnsi="Cambria"/>
          <w:color w:val="000000"/>
          <w:sz w:val="20"/>
          <w:szCs w:val="20"/>
          <w:lang w:val="pt-BR"/>
        </w:rPr>
        <w:t>alifica</w:t>
      </w:r>
      <w:r w:rsidR="00350E7E" w:rsidRPr="00337743">
        <w:rPr>
          <w:rFonts w:ascii="Cambria" w:hAnsi="Cambria"/>
          <w:color w:val="000000"/>
          <w:sz w:val="20"/>
          <w:szCs w:val="20"/>
          <w:lang w:val="pt-BR"/>
        </w:rPr>
        <w:t>ção</w:t>
      </w:r>
      <w:r w:rsidR="00E83FAD" w:rsidRPr="00337743">
        <w:rPr>
          <w:rFonts w:ascii="Cambria" w:hAnsi="Cambria"/>
          <w:color w:val="000000"/>
          <w:sz w:val="20"/>
          <w:szCs w:val="20"/>
          <w:lang w:val="pt-BR"/>
        </w:rPr>
        <w:t xml:space="preserve"> e </w:t>
      </w:r>
      <w:r w:rsidR="008E1B27" w:rsidRPr="00337743">
        <w:rPr>
          <w:rFonts w:ascii="Cambria" w:hAnsi="Cambria"/>
          <w:color w:val="000000"/>
          <w:sz w:val="20"/>
          <w:szCs w:val="20"/>
          <w:lang w:val="pt-BR"/>
        </w:rPr>
        <w:t>interrogatório</w:t>
      </w:r>
      <w:r w:rsidR="007707E3" w:rsidRPr="00337743">
        <w:rPr>
          <w:rFonts w:ascii="Cambria" w:hAnsi="Cambria"/>
          <w:color w:val="000000"/>
          <w:sz w:val="20"/>
          <w:szCs w:val="20"/>
          <w:lang w:val="pt-BR"/>
        </w:rPr>
        <w:t xml:space="preserve"> do </w:t>
      </w:r>
      <w:r w:rsidR="008E1B27" w:rsidRPr="00337743">
        <w:rPr>
          <w:rFonts w:ascii="Cambria" w:hAnsi="Cambria"/>
          <w:color w:val="000000"/>
          <w:sz w:val="20"/>
          <w:szCs w:val="20"/>
          <w:lang w:val="pt-BR"/>
        </w:rPr>
        <w:t>dono</w:t>
      </w:r>
      <w:r w:rsidR="007707E3" w:rsidRPr="00337743">
        <w:rPr>
          <w:rFonts w:ascii="Cambria" w:hAnsi="Cambria"/>
          <w:color w:val="000000"/>
          <w:sz w:val="20"/>
          <w:szCs w:val="20"/>
          <w:lang w:val="pt-BR"/>
        </w:rPr>
        <w:t xml:space="preserve"> do </w:t>
      </w:r>
      <w:r w:rsidR="00E83FAD" w:rsidRPr="00337743">
        <w:rPr>
          <w:rFonts w:ascii="Cambria" w:hAnsi="Cambria"/>
          <w:color w:val="000000"/>
          <w:sz w:val="20"/>
          <w:szCs w:val="20"/>
          <w:lang w:val="pt-BR"/>
        </w:rPr>
        <w:t>Motel Trevo,</w:t>
      </w:r>
      <w:r w:rsidR="00506331" w:rsidRPr="00337743">
        <w:rPr>
          <w:rFonts w:ascii="Cambria" w:hAnsi="Cambria"/>
          <w:color w:val="000000"/>
          <w:sz w:val="20"/>
          <w:szCs w:val="20"/>
          <w:lang w:val="pt-BR"/>
        </w:rPr>
        <w:t xml:space="preserve"> a </w:t>
      </w:r>
      <w:r w:rsidR="00B1363B" w:rsidRPr="00337743">
        <w:rPr>
          <w:rFonts w:ascii="Cambria" w:hAnsi="Cambria"/>
          <w:color w:val="000000"/>
          <w:sz w:val="20"/>
          <w:szCs w:val="20"/>
          <w:lang w:val="pt-BR"/>
        </w:rPr>
        <w:t>declara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da </w:t>
      </w:r>
      <w:r w:rsidR="008E1B27" w:rsidRPr="00337743">
        <w:rPr>
          <w:rFonts w:ascii="Cambria" w:hAnsi="Cambria"/>
          <w:color w:val="000000"/>
          <w:sz w:val="20"/>
          <w:szCs w:val="20"/>
          <w:lang w:val="pt-BR"/>
        </w:rPr>
        <w:t>pessoa</w:t>
      </w:r>
      <w:r w:rsidR="00E83FAD" w:rsidRPr="00337743">
        <w:rPr>
          <w:rFonts w:ascii="Cambria" w:hAnsi="Cambria"/>
          <w:color w:val="000000"/>
          <w:sz w:val="20"/>
          <w:szCs w:val="20"/>
          <w:lang w:val="pt-BR"/>
        </w:rPr>
        <w:t xml:space="preserve"> respons</w:t>
      </w:r>
      <w:r w:rsidR="00F6081F" w:rsidRPr="00337743">
        <w:rPr>
          <w:rFonts w:ascii="Cambria" w:hAnsi="Cambria"/>
          <w:color w:val="000000"/>
          <w:sz w:val="20"/>
          <w:szCs w:val="20"/>
          <w:lang w:val="pt-BR"/>
        </w:rPr>
        <w:t>ável pelo</w:t>
      </w:r>
      <w:r w:rsidR="007707E3" w:rsidRPr="00337743">
        <w:rPr>
          <w:rFonts w:ascii="Cambria" w:hAnsi="Cambria"/>
          <w:color w:val="000000"/>
          <w:sz w:val="20"/>
          <w:szCs w:val="20"/>
          <w:lang w:val="pt-BR"/>
        </w:rPr>
        <w:t xml:space="preserve"> </w:t>
      </w:r>
      <w:r w:rsidR="008E1B27" w:rsidRPr="00337743">
        <w:rPr>
          <w:rFonts w:ascii="Cambria" w:hAnsi="Cambria"/>
          <w:color w:val="000000"/>
          <w:sz w:val="20"/>
          <w:szCs w:val="20"/>
          <w:lang w:val="pt-BR"/>
        </w:rPr>
        <w:t>serviço</w:t>
      </w:r>
      <w:r w:rsidR="00E83FAD" w:rsidRPr="00337743">
        <w:rPr>
          <w:rFonts w:ascii="Cambria" w:hAnsi="Cambria"/>
          <w:color w:val="000000"/>
          <w:sz w:val="20"/>
          <w:szCs w:val="20"/>
          <w:lang w:val="pt-BR"/>
        </w:rPr>
        <w:t xml:space="preserve"> informático</w:t>
      </w:r>
      <w:r w:rsidR="007707E3" w:rsidRPr="00337743">
        <w:rPr>
          <w:rFonts w:ascii="Cambria" w:hAnsi="Cambria"/>
          <w:color w:val="000000"/>
          <w:sz w:val="20"/>
          <w:szCs w:val="20"/>
          <w:lang w:val="pt-BR"/>
        </w:rPr>
        <w:t xml:space="preserve"> do </w:t>
      </w:r>
      <w:r w:rsidR="00E83FAD" w:rsidRPr="00337743">
        <w:rPr>
          <w:rFonts w:ascii="Cambria" w:hAnsi="Cambria"/>
          <w:color w:val="000000"/>
          <w:sz w:val="20"/>
          <w:szCs w:val="20"/>
          <w:lang w:val="pt-BR"/>
        </w:rPr>
        <w:t xml:space="preserve">motel, </w:t>
      </w:r>
      <w:r w:rsidR="00F6081F" w:rsidRPr="00337743">
        <w:rPr>
          <w:rFonts w:ascii="Cambria" w:hAnsi="Cambria"/>
          <w:color w:val="000000"/>
          <w:sz w:val="20"/>
          <w:szCs w:val="20"/>
          <w:lang w:val="pt-BR"/>
        </w:rPr>
        <w:t>bem</w:t>
      </w:r>
      <w:r w:rsidR="00E83FAD" w:rsidRPr="00337743">
        <w:rPr>
          <w:rFonts w:ascii="Cambria" w:hAnsi="Cambria"/>
          <w:color w:val="000000"/>
          <w:sz w:val="20"/>
          <w:szCs w:val="20"/>
          <w:lang w:val="pt-BR"/>
        </w:rPr>
        <w:t xml:space="preserve"> como solicitar</w:t>
      </w:r>
      <w:r w:rsidR="00506331" w:rsidRPr="00337743">
        <w:rPr>
          <w:rFonts w:ascii="Cambria" w:hAnsi="Cambria"/>
          <w:color w:val="000000"/>
          <w:sz w:val="20"/>
          <w:szCs w:val="20"/>
          <w:lang w:val="pt-BR"/>
        </w:rPr>
        <w:t xml:space="preserve"> a </w:t>
      </w:r>
      <w:r w:rsidR="00E83FAD" w:rsidRPr="00337743">
        <w:rPr>
          <w:rFonts w:ascii="Cambria" w:hAnsi="Cambria"/>
          <w:color w:val="000000"/>
          <w:sz w:val="20"/>
          <w:szCs w:val="20"/>
          <w:lang w:val="pt-BR"/>
        </w:rPr>
        <w:t>lista</w:t>
      </w:r>
      <w:r w:rsidR="007707E3" w:rsidRPr="00337743">
        <w:rPr>
          <w:rFonts w:ascii="Cambria" w:hAnsi="Cambria"/>
          <w:color w:val="000000"/>
          <w:sz w:val="20"/>
          <w:szCs w:val="20"/>
          <w:lang w:val="pt-BR"/>
        </w:rPr>
        <w:t xml:space="preserve"> da </w:t>
      </w:r>
      <w:r w:rsidR="00E83FAD" w:rsidRPr="00337743">
        <w:rPr>
          <w:rFonts w:ascii="Cambria" w:hAnsi="Cambria"/>
          <w:color w:val="000000"/>
          <w:sz w:val="20"/>
          <w:szCs w:val="20"/>
          <w:lang w:val="pt-BR"/>
        </w:rPr>
        <w:t>circula</w:t>
      </w:r>
      <w:r w:rsidR="00350E7E" w:rsidRPr="00337743">
        <w:rPr>
          <w:rFonts w:ascii="Cambria" w:hAnsi="Cambria"/>
          <w:color w:val="000000"/>
          <w:sz w:val="20"/>
          <w:szCs w:val="20"/>
          <w:lang w:val="pt-BR"/>
        </w:rPr>
        <w:t>ção</w:t>
      </w:r>
      <w:r w:rsidR="00E83FAD" w:rsidRPr="00337743">
        <w:rPr>
          <w:rFonts w:ascii="Cambria" w:hAnsi="Cambria"/>
          <w:color w:val="000000"/>
          <w:sz w:val="20"/>
          <w:szCs w:val="20"/>
          <w:lang w:val="pt-BR"/>
        </w:rPr>
        <w:t xml:space="preserve"> </w:t>
      </w:r>
      <w:r w:rsidR="008E1B27" w:rsidRPr="00337743">
        <w:rPr>
          <w:rFonts w:ascii="Cambria" w:hAnsi="Cambria"/>
          <w:color w:val="000000"/>
          <w:sz w:val="20"/>
          <w:szCs w:val="20"/>
          <w:lang w:val="pt-BR"/>
        </w:rPr>
        <w:t>diária</w:t>
      </w:r>
      <w:r w:rsidR="00E83FAD" w:rsidRPr="00337743">
        <w:rPr>
          <w:rFonts w:ascii="Cambria" w:hAnsi="Cambria"/>
          <w:color w:val="000000"/>
          <w:sz w:val="20"/>
          <w:szCs w:val="20"/>
          <w:lang w:val="pt-BR"/>
        </w:rPr>
        <w:t xml:space="preserve"> d</w:t>
      </w:r>
      <w:r w:rsidR="00F6081F" w:rsidRPr="00337743">
        <w:rPr>
          <w:rFonts w:ascii="Cambria" w:hAnsi="Cambria"/>
          <w:color w:val="000000"/>
          <w:sz w:val="20"/>
          <w:szCs w:val="20"/>
          <w:lang w:val="pt-BR"/>
        </w:rPr>
        <w:t>o</w:t>
      </w:r>
      <w:r w:rsidR="00E83FAD" w:rsidRPr="00337743">
        <w:rPr>
          <w:rFonts w:ascii="Cambria" w:hAnsi="Cambria"/>
          <w:color w:val="000000"/>
          <w:sz w:val="20"/>
          <w:szCs w:val="20"/>
          <w:lang w:val="pt-BR"/>
        </w:rPr>
        <w:t xml:space="preserve"> hotel"</w:t>
      </w:r>
      <w:r w:rsidR="00E83FAD" w:rsidRPr="00337743">
        <w:rPr>
          <w:rFonts w:ascii="Cambria" w:hAnsi="Cambria"/>
          <w:color w:val="000000"/>
          <w:sz w:val="20"/>
          <w:szCs w:val="20"/>
          <w:vertAlign w:val="superscript"/>
          <w:lang w:val="pt-BR"/>
        </w:rPr>
        <w:footnoteReference w:id="28"/>
      </w:r>
      <w:r w:rsidR="00E83FAD" w:rsidRPr="00337743">
        <w:rPr>
          <w:rFonts w:ascii="Cambria" w:hAnsi="Cambria"/>
          <w:color w:val="000000"/>
          <w:sz w:val="20"/>
          <w:szCs w:val="20"/>
          <w:lang w:val="pt-BR"/>
        </w:rPr>
        <w:t xml:space="preserve">. </w:t>
      </w:r>
      <w:r w:rsidR="00506331" w:rsidRPr="00337743">
        <w:rPr>
          <w:rFonts w:ascii="Cambria" w:hAnsi="Cambria"/>
          <w:color w:val="000000"/>
          <w:sz w:val="20"/>
          <w:szCs w:val="20"/>
          <w:lang w:val="pt-BR"/>
        </w:rPr>
        <w:t xml:space="preserve"> </w:t>
      </w:r>
      <w:r w:rsidR="00F6081F"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E83FAD" w:rsidRPr="00337743">
        <w:rPr>
          <w:rFonts w:ascii="Cambria" w:hAnsi="Cambria"/>
          <w:color w:val="000000"/>
          <w:sz w:val="20"/>
          <w:szCs w:val="20"/>
          <w:lang w:val="pt-BR"/>
        </w:rPr>
        <w:t xml:space="preserve">12 de </w:t>
      </w:r>
      <w:r w:rsidR="00320DBA" w:rsidRPr="00337743">
        <w:rPr>
          <w:rFonts w:ascii="Cambria" w:hAnsi="Cambria"/>
          <w:color w:val="000000"/>
          <w:sz w:val="20"/>
          <w:szCs w:val="20"/>
          <w:lang w:val="pt-BR"/>
        </w:rPr>
        <w:t>março</w:t>
      </w:r>
      <w:r w:rsidR="00E83FAD" w:rsidRPr="00337743">
        <w:rPr>
          <w:rFonts w:ascii="Cambria" w:hAnsi="Cambria"/>
          <w:color w:val="000000"/>
          <w:sz w:val="20"/>
          <w:szCs w:val="20"/>
          <w:lang w:val="pt-BR"/>
        </w:rPr>
        <w:t xml:space="preserve"> de 2003,</w:t>
      </w:r>
      <w:r w:rsidR="00506331" w:rsidRPr="00337743">
        <w:rPr>
          <w:rFonts w:ascii="Cambria" w:hAnsi="Cambria"/>
          <w:color w:val="000000"/>
          <w:sz w:val="20"/>
          <w:szCs w:val="20"/>
          <w:lang w:val="pt-BR"/>
        </w:rPr>
        <w:t xml:space="preserve"> o </w:t>
      </w:r>
      <w:r w:rsidR="008E1B27" w:rsidRPr="00337743">
        <w:rPr>
          <w:rFonts w:ascii="Cambria" w:hAnsi="Cambria"/>
          <w:color w:val="000000"/>
          <w:sz w:val="20"/>
          <w:szCs w:val="20"/>
          <w:lang w:val="pt-BR"/>
        </w:rPr>
        <w:t>Ministério</w:t>
      </w:r>
      <w:r w:rsidR="00E83FAD" w:rsidRPr="00337743">
        <w:rPr>
          <w:rFonts w:ascii="Cambria" w:hAnsi="Cambria"/>
          <w:color w:val="000000"/>
          <w:sz w:val="20"/>
          <w:szCs w:val="20"/>
          <w:lang w:val="pt-BR"/>
        </w:rPr>
        <w:t xml:space="preserve"> Público </w:t>
      </w:r>
      <w:r w:rsidR="008E1B27" w:rsidRPr="00337743">
        <w:rPr>
          <w:rFonts w:ascii="Cambria" w:hAnsi="Cambria"/>
          <w:color w:val="000000"/>
          <w:sz w:val="20"/>
          <w:szCs w:val="20"/>
          <w:lang w:val="pt-BR"/>
        </w:rPr>
        <w:t>emitiu</w:t>
      </w:r>
      <w:r w:rsidR="00091880" w:rsidRPr="00337743">
        <w:rPr>
          <w:rFonts w:ascii="Cambria" w:hAnsi="Cambria"/>
          <w:color w:val="000000"/>
          <w:sz w:val="20"/>
          <w:szCs w:val="20"/>
          <w:lang w:val="pt-BR"/>
        </w:rPr>
        <w:t xml:space="preserve"> um </w:t>
      </w:r>
      <w:r w:rsidR="00F6081F" w:rsidRPr="00337743">
        <w:rPr>
          <w:rFonts w:ascii="Cambria" w:hAnsi="Cambria"/>
          <w:color w:val="000000"/>
          <w:sz w:val="20"/>
          <w:szCs w:val="20"/>
          <w:lang w:val="pt-BR"/>
        </w:rPr>
        <w:t>parecer</w:t>
      </w:r>
      <w:r w:rsidR="00E83FAD" w:rsidRPr="00337743">
        <w:rPr>
          <w:rFonts w:ascii="Cambria" w:hAnsi="Cambria"/>
          <w:color w:val="000000"/>
          <w:sz w:val="20"/>
          <w:szCs w:val="20"/>
          <w:lang w:val="pt-BR"/>
        </w:rPr>
        <w:t xml:space="preserve"> </w:t>
      </w:r>
      <w:r w:rsidR="00011DEF">
        <w:rPr>
          <w:rFonts w:ascii="Cambria" w:hAnsi="Cambria"/>
          <w:color w:val="000000"/>
          <w:sz w:val="20"/>
          <w:szCs w:val="20"/>
          <w:lang w:val="pt-BR"/>
        </w:rPr>
        <w:t>recomendando</w:t>
      </w:r>
      <w:r w:rsidR="000448F8" w:rsidRPr="00337743">
        <w:rPr>
          <w:rFonts w:ascii="Cambria" w:hAnsi="Cambria"/>
          <w:color w:val="000000"/>
          <w:sz w:val="20"/>
          <w:szCs w:val="20"/>
          <w:lang w:val="pt-BR"/>
        </w:rPr>
        <w:t xml:space="preserve"> </w:t>
      </w:r>
      <w:r w:rsidR="00506331" w:rsidRPr="00337743">
        <w:rPr>
          <w:rFonts w:ascii="Cambria" w:hAnsi="Cambria"/>
          <w:color w:val="000000"/>
          <w:sz w:val="20"/>
          <w:szCs w:val="20"/>
          <w:lang w:val="pt-BR"/>
        </w:rPr>
        <w:t xml:space="preserve">o </w:t>
      </w:r>
      <w:r w:rsidR="008E1B27" w:rsidRPr="00337743">
        <w:rPr>
          <w:rFonts w:ascii="Cambria" w:hAnsi="Cambria"/>
          <w:color w:val="000000"/>
          <w:sz w:val="20"/>
          <w:szCs w:val="20"/>
          <w:lang w:val="pt-BR"/>
        </w:rPr>
        <w:t>arquivamento</w:t>
      </w:r>
      <w:r w:rsidR="007707E3" w:rsidRPr="00337743">
        <w:rPr>
          <w:rFonts w:ascii="Cambria" w:hAnsi="Cambria"/>
          <w:color w:val="000000"/>
          <w:sz w:val="20"/>
          <w:szCs w:val="20"/>
          <w:lang w:val="pt-BR"/>
        </w:rPr>
        <w:t xml:space="preserve"> do </w:t>
      </w:r>
      <w:r w:rsidR="00E83FAD" w:rsidRPr="00337743">
        <w:rPr>
          <w:rFonts w:ascii="Cambria" w:hAnsi="Cambria"/>
          <w:color w:val="000000"/>
          <w:sz w:val="20"/>
          <w:szCs w:val="20"/>
          <w:lang w:val="pt-BR"/>
        </w:rPr>
        <w:t xml:space="preserve">caso por </w:t>
      </w:r>
      <w:r w:rsidR="008E1B27" w:rsidRPr="00337743">
        <w:rPr>
          <w:rFonts w:ascii="Cambria" w:hAnsi="Cambria"/>
          <w:color w:val="000000"/>
          <w:sz w:val="20"/>
          <w:szCs w:val="20"/>
          <w:lang w:val="pt-BR"/>
        </w:rPr>
        <w:t>insuficiência</w:t>
      </w:r>
      <w:r w:rsidR="00E83FAD" w:rsidRPr="00337743">
        <w:rPr>
          <w:rFonts w:ascii="Cambria" w:hAnsi="Cambria"/>
          <w:color w:val="000000"/>
          <w:sz w:val="20"/>
          <w:szCs w:val="20"/>
          <w:lang w:val="pt-BR"/>
        </w:rPr>
        <w:t xml:space="preserve"> de </w:t>
      </w:r>
      <w:r w:rsidR="00AE63A3" w:rsidRPr="00337743">
        <w:rPr>
          <w:rFonts w:ascii="Cambria" w:hAnsi="Cambria"/>
          <w:color w:val="000000"/>
          <w:sz w:val="20"/>
          <w:szCs w:val="20"/>
          <w:lang w:val="pt-BR"/>
        </w:rPr>
        <w:t>prov</w:t>
      </w:r>
      <w:r w:rsidR="00E83FAD" w:rsidRPr="00337743">
        <w:rPr>
          <w:rFonts w:ascii="Cambria" w:hAnsi="Cambria"/>
          <w:color w:val="000000"/>
          <w:sz w:val="20"/>
          <w:szCs w:val="20"/>
          <w:lang w:val="pt-BR"/>
        </w:rPr>
        <w:t>as.</w:t>
      </w:r>
      <w:r w:rsidR="00091880" w:rsidRPr="00337743">
        <w:rPr>
          <w:rFonts w:ascii="Cambria" w:hAnsi="Cambria"/>
          <w:color w:val="000000"/>
          <w:sz w:val="20"/>
          <w:szCs w:val="20"/>
          <w:lang w:val="pt-BR"/>
        </w:rPr>
        <w:t xml:space="preserve"> </w:t>
      </w:r>
      <w:r w:rsidR="00F6081F" w:rsidRPr="00337743">
        <w:rPr>
          <w:rFonts w:ascii="Cambria" w:hAnsi="Cambria"/>
          <w:color w:val="000000"/>
          <w:sz w:val="20"/>
          <w:szCs w:val="20"/>
          <w:lang w:val="pt-BR"/>
        </w:rPr>
        <w:t>E</w:t>
      </w:r>
      <w:r w:rsidR="00091880" w:rsidRPr="00337743">
        <w:rPr>
          <w:rFonts w:ascii="Cambria" w:hAnsi="Cambria"/>
          <w:color w:val="000000"/>
          <w:sz w:val="20"/>
          <w:szCs w:val="20"/>
          <w:lang w:val="pt-BR"/>
        </w:rPr>
        <w:t xml:space="preserve">m </w:t>
      </w:r>
      <w:r w:rsidR="00E83FAD" w:rsidRPr="00337743">
        <w:rPr>
          <w:rFonts w:ascii="Cambria" w:hAnsi="Cambria"/>
          <w:color w:val="000000"/>
          <w:sz w:val="20"/>
          <w:szCs w:val="20"/>
          <w:lang w:val="pt-BR"/>
        </w:rPr>
        <w:t>su</w:t>
      </w:r>
      <w:r w:rsidR="00125D8F" w:rsidRPr="00337743">
        <w:rPr>
          <w:rFonts w:ascii="Cambria" w:hAnsi="Cambria"/>
          <w:color w:val="000000"/>
          <w:sz w:val="20"/>
          <w:szCs w:val="20"/>
          <w:lang w:val="pt-BR"/>
        </w:rPr>
        <w:t>a</w:t>
      </w:r>
      <w:r w:rsidR="00E83FAD" w:rsidRPr="00337743">
        <w:rPr>
          <w:rFonts w:ascii="Cambria" w:hAnsi="Cambria"/>
          <w:color w:val="000000"/>
          <w:sz w:val="20"/>
          <w:szCs w:val="20"/>
          <w:lang w:val="pt-BR"/>
        </w:rPr>
        <w:t xml:space="preserve">s </w:t>
      </w:r>
      <w:r w:rsidR="008E1B27" w:rsidRPr="00337743">
        <w:rPr>
          <w:rFonts w:ascii="Cambria" w:hAnsi="Cambria"/>
          <w:color w:val="000000"/>
          <w:sz w:val="20"/>
          <w:szCs w:val="20"/>
          <w:lang w:val="pt-BR"/>
        </w:rPr>
        <w:t>palavras</w:t>
      </w:r>
      <w:r w:rsidR="00E83FAD" w:rsidRPr="00337743">
        <w:rPr>
          <w:rFonts w:ascii="Cambria" w:hAnsi="Cambria"/>
          <w:color w:val="000000"/>
          <w:sz w:val="20"/>
          <w:szCs w:val="20"/>
          <w:lang w:val="pt-BR"/>
        </w:rPr>
        <w:t>, "</w:t>
      </w:r>
      <w:r w:rsidR="00E83FAD" w:rsidRPr="000C6DCC">
        <w:rPr>
          <w:rFonts w:ascii="Cambria" w:hAnsi="Cambria"/>
          <w:color w:val="000000"/>
          <w:sz w:val="20"/>
          <w:szCs w:val="20"/>
          <w:lang w:val="pt-BR"/>
        </w:rPr>
        <w:t>a s</w:t>
      </w:r>
      <w:r w:rsidR="00F6081F" w:rsidRPr="000C6DCC">
        <w:rPr>
          <w:rFonts w:ascii="Cambria" w:hAnsi="Cambria"/>
          <w:color w:val="000000"/>
          <w:sz w:val="20"/>
          <w:szCs w:val="20"/>
          <w:lang w:val="pt-BR"/>
        </w:rPr>
        <w:t>uspeita</w:t>
      </w:r>
      <w:r w:rsidR="00560D99" w:rsidRPr="000C6DCC">
        <w:rPr>
          <w:rFonts w:ascii="Cambria" w:hAnsi="Cambria"/>
          <w:color w:val="000000"/>
          <w:sz w:val="20"/>
          <w:szCs w:val="20"/>
          <w:lang w:val="pt-BR"/>
        </w:rPr>
        <w:t xml:space="preserve"> </w:t>
      </w:r>
      <w:r w:rsidR="00F6081F" w:rsidRPr="000C6DCC">
        <w:rPr>
          <w:rFonts w:ascii="Cambria" w:hAnsi="Cambria"/>
          <w:color w:val="000000"/>
          <w:sz w:val="20"/>
          <w:szCs w:val="20"/>
          <w:lang w:val="pt-BR"/>
        </w:rPr>
        <w:t xml:space="preserve">lançada </w:t>
      </w:r>
      <w:r w:rsidR="00E83FAD" w:rsidRPr="000C6DCC">
        <w:rPr>
          <w:rFonts w:ascii="Cambria" w:hAnsi="Cambria"/>
          <w:color w:val="000000"/>
          <w:sz w:val="20"/>
          <w:szCs w:val="20"/>
          <w:lang w:val="pt-BR"/>
        </w:rPr>
        <w:t>sobre</w:t>
      </w:r>
      <w:r w:rsidR="007707E3" w:rsidRPr="000C6DCC">
        <w:rPr>
          <w:rFonts w:ascii="Cambria" w:hAnsi="Cambria"/>
          <w:color w:val="000000"/>
          <w:sz w:val="20"/>
          <w:szCs w:val="20"/>
          <w:lang w:val="pt-BR"/>
        </w:rPr>
        <w:t xml:space="preserve"> os </w:t>
      </w:r>
      <w:r w:rsidR="00E83FAD" w:rsidRPr="000C6DCC">
        <w:rPr>
          <w:rFonts w:ascii="Cambria" w:hAnsi="Cambria"/>
          <w:color w:val="000000"/>
          <w:sz w:val="20"/>
          <w:szCs w:val="20"/>
          <w:lang w:val="pt-BR"/>
        </w:rPr>
        <w:t xml:space="preserve">indiciados </w:t>
      </w:r>
      <w:r w:rsidR="008E1B27" w:rsidRPr="000C6DCC">
        <w:rPr>
          <w:rFonts w:ascii="Cambria" w:hAnsi="Cambria"/>
          <w:color w:val="000000"/>
          <w:sz w:val="20"/>
          <w:szCs w:val="20"/>
          <w:lang w:val="pt-BR"/>
        </w:rPr>
        <w:t>sempre</w:t>
      </w:r>
      <w:r w:rsidR="00091880" w:rsidRPr="000C6DCC">
        <w:rPr>
          <w:rFonts w:ascii="Cambria" w:hAnsi="Cambria"/>
          <w:color w:val="000000"/>
          <w:sz w:val="20"/>
          <w:szCs w:val="20"/>
          <w:lang w:val="pt-BR"/>
        </w:rPr>
        <w:t xml:space="preserve"> foi </w:t>
      </w:r>
      <w:r w:rsidR="00E83FAD" w:rsidRPr="000C6DCC">
        <w:rPr>
          <w:rFonts w:ascii="Cambria" w:hAnsi="Cambria"/>
          <w:color w:val="000000"/>
          <w:sz w:val="20"/>
          <w:szCs w:val="20"/>
          <w:lang w:val="pt-BR"/>
        </w:rPr>
        <w:t xml:space="preserve">justa, porque </w:t>
      </w:r>
      <w:r w:rsidR="008E1B27" w:rsidRPr="000C6DCC">
        <w:rPr>
          <w:rFonts w:ascii="Cambria" w:hAnsi="Cambria"/>
          <w:color w:val="000000"/>
          <w:sz w:val="20"/>
          <w:szCs w:val="20"/>
          <w:lang w:val="pt-BR"/>
        </w:rPr>
        <w:t>baseada</w:t>
      </w:r>
      <w:r w:rsidR="00091880" w:rsidRPr="000C6DCC">
        <w:rPr>
          <w:rFonts w:ascii="Cambria" w:hAnsi="Cambria"/>
          <w:color w:val="000000"/>
          <w:sz w:val="20"/>
          <w:szCs w:val="20"/>
          <w:lang w:val="pt-BR"/>
        </w:rPr>
        <w:t xml:space="preserve"> em </w:t>
      </w:r>
      <w:r w:rsidR="00E83FAD" w:rsidRPr="000C6DCC">
        <w:rPr>
          <w:rFonts w:ascii="Cambria" w:hAnsi="Cambria"/>
          <w:color w:val="000000"/>
          <w:sz w:val="20"/>
          <w:szCs w:val="20"/>
          <w:lang w:val="pt-BR"/>
        </w:rPr>
        <w:t>ind</w:t>
      </w:r>
      <w:r w:rsidR="008E1B27" w:rsidRPr="000C6DCC">
        <w:rPr>
          <w:rFonts w:ascii="Cambria" w:hAnsi="Cambria"/>
          <w:color w:val="000000"/>
          <w:sz w:val="20"/>
          <w:szCs w:val="20"/>
          <w:lang w:val="pt-BR"/>
        </w:rPr>
        <w:t>í</w:t>
      </w:r>
      <w:r w:rsidR="00E83FAD" w:rsidRPr="000C6DCC">
        <w:rPr>
          <w:rFonts w:ascii="Cambria" w:hAnsi="Cambria"/>
          <w:color w:val="000000"/>
          <w:sz w:val="20"/>
          <w:szCs w:val="20"/>
          <w:lang w:val="pt-BR"/>
        </w:rPr>
        <w:t>cios que</w:t>
      </w:r>
      <w:r w:rsidR="00125D8F" w:rsidRPr="000C6DCC">
        <w:rPr>
          <w:rFonts w:ascii="Cambria" w:hAnsi="Cambria"/>
          <w:color w:val="000000"/>
          <w:sz w:val="20"/>
          <w:szCs w:val="20"/>
          <w:lang w:val="pt-BR"/>
        </w:rPr>
        <w:t>,</w:t>
      </w:r>
      <w:r w:rsidR="00154564" w:rsidRPr="000C6DCC">
        <w:rPr>
          <w:rFonts w:ascii="Cambria" w:hAnsi="Cambria"/>
          <w:color w:val="000000"/>
          <w:sz w:val="20"/>
          <w:szCs w:val="20"/>
          <w:lang w:val="pt-BR"/>
        </w:rPr>
        <w:t xml:space="preserve"> </w:t>
      </w:r>
      <w:r w:rsidR="00F6081F" w:rsidRPr="000C6DCC">
        <w:rPr>
          <w:rFonts w:ascii="Cambria" w:hAnsi="Cambria"/>
          <w:color w:val="000000"/>
          <w:sz w:val="20"/>
          <w:szCs w:val="20"/>
          <w:lang w:val="pt-BR"/>
        </w:rPr>
        <w:t>embora</w:t>
      </w:r>
      <w:r w:rsidR="00E83FAD" w:rsidRPr="000C6DCC">
        <w:rPr>
          <w:rFonts w:ascii="Cambria" w:hAnsi="Cambria"/>
          <w:color w:val="000000"/>
          <w:sz w:val="20"/>
          <w:szCs w:val="20"/>
          <w:lang w:val="pt-BR"/>
        </w:rPr>
        <w:t xml:space="preserve"> leves</w:t>
      </w:r>
      <w:r w:rsidR="00506331" w:rsidRPr="000C6DCC">
        <w:rPr>
          <w:rFonts w:ascii="Cambria" w:hAnsi="Cambria"/>
          <w:color w:val="000000"/>
          <w:sz w:val="20"/>
          <w:szCs w:val="20"/>
          <w:lang w:val="pt-BR"/>
        </w:rPr>
        <w:t xml:space="preserve"> e </w:t>
      </w:r>
      <w:r w:rsidR="008E1B27" w:rsidRPr="000C6DCC">
        <w:rPr>
          <w:rFonts w:ascii="Cambria" w:hAnsi="Cambria"/>
          <w:color w:val="000000"/>
          <w:sz w:val="20"/>
          <w:szCs w:val="20"/>
          <w:lang w:val="pt-BR"/>
        </w:rPr>
        <w:t>dependentes</w:t>
      </w:r>
      <w:r w:rsidR="00E83FAD" w:rsidRPr="000C6DCC">
        <w:rPr>
          <w:rFonts w:ascii="Cambria" w:hAnsi="Cambria"/>
          <w:color w:val="000000"/>
          <w:sz w:val="20"/>
          <w:szCs w:val="20"/>
          <w:lang w:val="pt-BR"/>
        </w:rPr>
        <w:t xml:space="preserve"> de compro</w:t>
      </w:r>
      <w:r w:rsidR="00125D8F" w:rsidRPr="000C6DCC">
        <w:rPr>
          <w:rFonts w:ascii="Cambria" w:hAnsi="Cambria"/>
          <w:color w:val="000000"/>
          <w:sz w:val="20"/>
          <w:szCs w:val="20"/>
          <w:lang w:val="pt-BR"/>
        </w:rPr>
        <w:t>v</w:t>
      </w:r>
      <w:r w:rsidR="00E83FAD" w:rsidRPr="000C6DCC">
        <w:rPr>
          <w:rFonts w:ascii="Cambria" w:hAnsi="Cambria"/>
          <w:color w:val="000000"/>
          <w:sz w:val="20"/>
          <w:szCs w:val="20"/>
          <w:lang w:val="pt-BR"/>
        </w:rPr>
        <w:t>a</w:t>
      </w:r>
      <w:r w:rsidR="00350E7E" w:rsidRPr="000C6DCC">
        <w:rPr>
          <w:rFonts w:ascii="Cambria" w:hAnsi="Cambria"/>
          <w:color w:val="000000"/>
          <w:sz w:val="20"/>
          <w:szCs w:val="20"/>
          <w:lang w:val="pt-BR"/>
        </w:rPr>
        <w:t>ção</w:t>
      </w:r>
      <w:r w:rsidR="00E83FAD" w:rsidRPr="000C6DCC">
        <w:rPr>
          <w:rFonts w:ascii="Cambria" w:hAnsi="Cambria"/>
          <w:color w:val="000000"/>
          <w:sz w:val="20"/>
          <w:szCs w:val="20"/>
          <w:lang w:val="pt-BR"/>
        </w:rPr>
        <w:t xml:space="preserve">, </w:t>
      </w:r>
      <w:r w:rsidR="00F6081F" w:rsidRPr="000C6DCC">
        <w:rPr>
          <w:rFonts w:ascii="Cambria" w:hAnsi="Cambria"/>
          <w:color w:val="000000"/>
          <w:sz w:val="20"/>
          <w:szCs w:val="20"/>
          <w:lang w:val="pt-BR"/>
        </w:rPr>
        <w:t>tornavam</w:t>
      </w:r>
      <w:r w:rsidR="00E83FAD" w:rsidRPr="000C6DCC">
        <w:rPr>
          <w:rFonts w:ascii="Cambria" w:hAnsi="Cambria"/>
          <w:color w:val="000000"/>
          <w:sz w:val="20"/>
          <w:szCs w:val="20"/>
          <w:lang w:val="pt-BR"/>
        </w:rPr>
        <w:t xml:space="preserve"> indispens</w:t>
      </w:r>
      <w:r w:rsidR="00F6081F" w:rsidRPr="000C6DCC">
        <w:rPr>
          <w:rFonts w:ascii="Cambria" w:hAnsi="Cambria"/>
          <w:color w:val="000000"/>
          <w:sz w:val="20"/>
          <w:szCs w:val="20"/>
          <w:lang w:val="pt-BR"/>
        </w:rPr>
        <w:t xml:space="preserve">ável </w:t>
      </w:r>
      <w:r w:rsidR="00091880" w:rsidRPr="000C6DCC">
        <w:rPr>
          <w:rFonts w:ascii="Cambria" w:hAnsi="Cambria"/>
          <w:color w:val="000000"/>
          <w:sz w:val="20"/>
          <w:szCs w:val="20"/>
          <w:lang w:val="pt-BR"/>
        </w:rPr>
        <w:t xml:space="preserve">uma </w:t>
      </w:r>
      <w:r w:rsidR="000C6DCC" w:rsidRPr="000C6DCC">
        <w:rPr>
          <w:rFonts w:ascii="Cambria" w:hAnsi="Cambria"/>
          <w:color w:val="000000"/>
          <w:sz w:val="20"/>
          <w:szCs w:val="20"/>
          <w:lang w:val="pt-BR"/>
        </w:rPr>
        <w:t xml:space="preserve">investigação </w:t>
      </w:r>
      <w:r w:rsidR="00E83FAD" w:rsidRPr="000C6DCC">
        <w:rPr>
          <w:rFonts w:ascii="Cambria" w:hAnsi="Cambria"/>
          <w:color w:val="000000"/>
          <w:sz w:val="20"/>
          <w:szCs w:val="20"/>
          <w:lang w:val="pt-BR"/>
        </w:rPr>
        <w:t>b</w:t>
      </w:r>
      <w:r w:rsidR="00F6081F" w:rsidRPr="000C6DCC">
        <w:rPr>
          <w:rFonts w:ascii="Cambria" w:hAnsi="Cambria"/>
          <w:color w:val="000000"/>
          <w:sz w:val="20"/>
          <w:szCs w:val="20"/>
          <w:lang w:val="pt-BR"/>
        </w:rPr>
        <w:t>o</w:t>
      </w:r>
      <w:r w:rsidR="00E83FAD" w:rsidRPr="000C6DCC">
        <w:rPr>
          <w:rFonts w:ascii="Cambria" w:hAnsi="Cambria"/>
          <w:color w:val="000000"/>
          <w:sz w:val="20"/>
          <w:szCs w:val="20"/>
          <w:lang w:val="pt-BR"/>
        </w:rPr>
        <w:t>a</w:t>
      </w:r>
      <w:r w:rsidR="00506331" w:rsidRPr="000C6DCC">
        <w:rPr>
          <w:rFonts w:ascii="Cambria" w:hAnsi="Cambria"/>
          <w:color w:val="000000"/>
          <w:sz w:val="20"/>
          <w:szCs w:val="20"/>
          <w:lang w:val="pt-BR"/>
        </w:rPr>
        <w:t xml:space="preserve"> e </w:t>
      </w:r>
      <w:r w:rsidR="00E83FAD" w:rsidRPr="000C6DCC">
        <w:rPr>
          <w:rFonts w:ascii="Cambria" w:hAnsi="Cambria"/>
          <w:color w:val="000000"/>
          <w:sz w:val="20"/>
          <w:szCs w:val="20"/>
          <w:lang w:val="pt-BR"/>
        </w:rPr>
        <w:t xml:space="preserve">competente </w:t>
      </w:r>
      <w:r w:rsidR="000C6DCC" w:rsidRPr="000C6DCC">
        <w:rPr>
          <w:rFonts w:ascii="Cambria" w:hAnsi="Cambria"/>
          <w:color w:val="000000"/>
          <w:sz w:val="20"/>
          <w:szCs w:val="20"/>
          <w:lang w:val="pt-BR"/>
        </w:rPr>
        <w:t xml:space="preserve">[...]. [C] </w:t>
      </w:r>
      <w:r w:rsidR="00F6081F" w:rsidRPr="000C6DCC">
        <w:rPr>
          <w:rFonts w:ascii="Cambria" w:hAnsi="Cambria"/>
          <w:color w:val="000000"/>
          <w:sz w:val="20"/>
          <w:szCs w:val="20"/>
          <w:lang w:val="pt-BR"/>
        </w:rPr>
        <w:t xml:space="preserve">om </w:t>
      </w:r>
      <w:r w:rsidR="00E83FAD" w:rsidRPr="000C6DCC">
        <w:rPr>
          <w:rFonts w:ascii="Cambria" w:hAnsi="Cambria"/>
          <w:color w:val="000000"/>
          <w:sz w:val="20"/>
          <w:szCs w:val="20"/>
          <w:lang w:val="pt-BR"/>
        </w:rPr>
        <w:t>base</w:t>
      </w:r>
      <w:r w:rsidR="00DB5118" w:rsidRPr="000C6DCC">
        <w:rPr>
          <w:rFonts w:ascii="Cambria" w:hAnsi="Cambria"/>
          <w:color w:val="000000"/>
          <w:sz w:val="20"/>
          <w:szCs w:val="20"/>
          <w:lang w:val="pt-BR"/>
        </w:rPr>
        <w:t xml:space="preserve"> </w:t>
      </w:r>
      <w:r w:rsidR="00F6081F" w:rsidRPr="000C6DCC">
        <w:rPr>
          <w:rFonts w:ascii="Cambria" w:hAnsi="Cambria"/>
          <w:color w:val="000000"/>
          <w:sz w:val="20"/>
          <w:szCs w:val="20"/>
          <w:lang w:val="pt-BR"/>
        </w:rPr>
        <w:t>n</w:t>
      </w:r>
      <w:r w:rsidR="00DB5118" w:rsidRPr="000C6DCC">
        <w:rPr>
          <w:rFonts w:ascii="Cambria" w:hAnsi="Cambria"/>
          <w:color w:val="000000"/>
          <w:sz w:val="20"/>
          <w:szCs w:val="20"/>
          <w:lang w:val="pt-BR"/>
        </w:rPr>
        <w:t xml:space="preserve">as </w:t>
      </w:r>
      <w:r w:rsidR="00AE63A3" w:rsidRPr="000C6DCC">
        <w:rPr>
          <w:rFonts w:ascii="Cambria" w:hAnsi="Cambria"/>
          <w:color w:val="000000"/>
          <w:sz w:val="20"/>
          <w:szCs w:val="20"/>
          <w:lang w:val="pt-BR"/>
        </w:rPr>
        <w:t>prov</w:t>
      </w:r>
      <w:r w:rsidR="00E83FAD" w:rsidRPr="000C6DCC">
        <w:rPr>
          <w:rFonts w:ascii="Cambria" w:hAnsi="Cambria"/>
          <w:color w:val="000000"/>
          <w:sz w:val="20"/>
          <w:szCs w:val="20"/>
          <w:lang w:val="pt-BR"/>
        </w:rPr>
        <w:t>as</w:t>
      </w:r>
      <w:r w:rsidR="007707E3" w:rsidRPr="000C6DCC">
        <w:rPr>
          <w:rFonts w:ascii="Cambria" w:hAnsi="Cambria"/>
          <w:color w:val="000000"/>
          <w:sz w:val="20"/>
          <w:szCs w:val="20"/>
          <w:lang w:val="pt-BR"/>
        </w:rPr>
        <w:t xml:space="preserve"> da </w:t>
      </w:r>
      <w:r w:rsidR="00E83FAD" w:rsidRPr="000C6DCC">
        <w:rPr>
          <w:rFonts w:ascii="Cambria" w:hAnsi="Cambria"/>
          <w:color w:val="000000"/>
          <w:sz w:val="20"/>
          <w:szCs w:val="20"/>
          <w:lang w:val="pt-BR"/>
        </w:rPr>
        <w:t>presente investiga</w:t>
      </w:r>
      <w:r w:rsidR="00350E7E" w:rsidRPr="000C6DCC">
        <w:rPr>
          <w:rFonts w:ascii="Cambria" w:hAnsi="Cambria"/>
          <w:color w:val="000000"/>
          <w:sz w:val="20"/>
          <w:szCs w:val="20"/>
          <w:lang w:val="pt-BR"/>
        </w:rPr>
        <w:t>ção</w:t>
      </w:r>
      <w:r w:rsidR="00E83FAD" w:rsidRPr="000C6DCC">
        <w:rPr>
          <w:rFonts w:ascii="Cambria" w:hAnsi="Cambria"/>
          <w:color w:val="000000"/>
          <w:sz w:val="20"/>
          <w:szCs w:val="20"/>
          <w:lang w:val="pt-BR"/>
        </w:rPr>
        <w:t>,</w:t>
      </w:r>
      <w:r w:rsidR="00325DAC" w:rsidRPr="000C6DCC">
        <w:rPr>
          <w:rFonts w:ascii="Cambria" w:hAnsi="Cambria"/>
          <w:color w:val="000000"/>
          <w:sz w:val="20"/>
          <w:szCs w:val="20"/>
          <w:lang w:val="pt-BR"/>
        </w:rPr>
        <w:t xml:space="preserve"> </w:t>
      </w:r>
      <w:r w:rsidR="00F6081F" w:rsidRPr="000C6DCC">
        <w:rPr>
          <w:rFonts w:ascii="Cambria" w:hAnsi="Cambria"/>
          <w:color w:val="000000"/>
          <w:sz w:val="20"/>
          <w:szCs w:val="20"/>
          <w:lang w:val="pt-BR"/>
        </w:rPr>
        <w:t>contudo</w:t>
      </w:r>
      <w:r w:rsidR="00E83FAD" w:rsidRPr="000C6DCC">
        <w:rPr>
          <w:rFonts w:ascii="Cambria" w:hAnsi="Cambria"/>
          <w:color w:val="000000"/>
          <w:sz w:val="20"/>
          <w:szCs w:val="20"/>
          <w:lang w:val="pt-BR"/>
        </w:rPr>
        <w:t>,</w:t>
      </w:r>
      <w:r w:rsidR="00091880" w:rsidRPr="000C6DCC">
        <w:rPr>
          <w:rFonts w:ascii="Cambria" w:hAnsi="Cambria"/>
          <w:color w:val="000000"/>
          <w:sz w:val="20"/>
          <w:szCs w:val="20"/>
          <w:lang w:val="pt-BR"/>
        </w:rPr>
        <w:t xml:space="preserve"> não </w:t>
      </w:r>
      <w:r w:rsidR="00E83FAD" w:rsidRPr="000C6DCC">
        <w:rPr>
          <w:rFonts w:ascii="Cambria" w:hAnsi="Cambria"/>
          <w:color w:val="000000"/>
          <w:sz w:val="20"/>
          <w:szCs w:val="20"/>
          <w:lang w:val="pt-BR"/>
        </w:rPr>
        <w:t xml:space="preserve">se </w:t>
      </w:r>
      <w:r w:rsidR="008E1B27" w:rsidRPr="000C6DCC">
        <w:rPr>
          <w:rFonts w:ascii="Cambria" w:hAnsi="Cambria"/>
          <w:color w:val="000000"/>
          <w:sz w:val="20"/>
          <w:szCs w:val="20"/>
          <w:lang w:val="pt-BR"/>
        </w:rPr>
        <w:t>encontra</w:t>
      </w:r>
      <w:r w:rsidR="00E83FAD" w:rsidRPr="000C6DCC">
        <w:rPr>
          <w:rFonts w:ascii="Cambria" w:hAnsi="Cambria"/>
          <w:color w:val="000000"/>
          <w:sz w:val="20"/>
          <w:szCs w:val="20"/>
          <w:lang w:val="pt-BR"/>
        </w:rPr>
        <w:t xml:space="preserve"> justa causa para</w:t>
      </w:r>
      <w:r w:rsidR="00506331" w:rsidRPr="000C6DCC">
        <w:rPr>
          <w:rFonts w:ascii="Cambria" w:hAnsi="Cambria"/>
          <w:color w:val="000000"/>
          <w:sz w:val="20"/>
          <w:szCs w:val="20"/>
          <w:lang w:val="pt-BR"/>
        </w:rPr>
        <w:t xml:space="preserve"> o </w:t>
      </w:r>
      <w:r w:rsidR="008E1B27" w:rsidRPr="000C6DCC">
        <w:rPr>
          <w:rFonts w:ascii="Cambria" w:hAnsi="Cambria"/>
          <w:color w:val="000000"/>
          <w:sz w:val="20"/>
          <w:szCs w:val="20"/>
          <w:lang w:val="pt-BR"/>
        </w:rPr>
        <w:t>oferecimento</w:t>
      </w:r>
      <w:r w:rsidR="00E83FAD" w:rsidRPr="000C6DCC">
        <w:rPr>
          <w:rFonts w:ascii="Cambria" w:hAnsi="Cambria"/>
          <w:color w:val="000000"/>
          <w:sz w:val="20"/>
          <w:szCs w:val="20"/>
          <w:lang w:val="pt-BR"/>
        </w:rPr>
        <w:t xml:space="preserve"> de</w:t>
      </w:r>
      <w:r w:rsidR="00091880" w:rsidRPr="000C6DCC">
        <w:rPr>
          <w:rFonts w:ascii="Cambria" w:hAnsi="Cambria"/>
          <w:color w:val="000000"/>
          <w:sz w:val="20"/>
          <w:szCs w:val="20"/>
          <w:lang w:val="pt-BR"/>
        </w:rPr>
        <w:t xml:space="preserve"> uma </w:t>
      </w:r>
      <w:r w:rsidR="00E83FAD" w:rsidRPr="000C6DCC">
        <w:rPr>
          <w:rFonts w:ascii="Cambria" w:hAnsi="Cambria"/>
          <w:color w:val="000000"/>
          <w:sz w:val="20"/>
          <w:szCs w:val="20"/>
          <w:lang w:val="pt-BR"/>
        </w:rPr>
        <w:t>den</w:t>
      </w:r>
      <w:r w:rsidR="008E1B27" w:rsidRPr="000C6DCC">
        <w:rPr>
          <w:rFonts w:ascii="Cambria" w:hAnsi="Cambria"/>
          <w:color w:val="000000"/>
          <w:sz w:val="20"/>
          <w:szCs w:val="20"/>
          <w:lang w:val="pt-BR"/>
        </w:rPr>
        <w:t>ú</w:t>
      </w:r>
      <w:r w:rsidR="00E83FAD" w:rsidRPr="000C6DCC">
        <w:rPr>
          <w:rFonts w:ascii="Cambria" w:hAnsi="Cambria"/>
          <w:color w:val="000000"/>
          <w:sz w:val="20"/>
          <w:szCs w:val="20"/>
          <w:lang w:val="pt-BR"/>
        </w:rPr>
        <w:t>ncia</w:t>
      </w:r>
      <w:r w:rsidR="00E83FAD" w:rsidRPr="00337743">
        <w:rPr>
          <w:rFonts w:ascii="Cambria" w:hAnsi="Cambria"/>
          <w:color w:val="000000"/>
          <w:sz w:val="20"/>
          <w:szCs w:val="20"/>
          <w:lang w:val="pt-BR"/>
        </w:rPr>
        <w:t>"</w:t>
      </w:r>
      <w:r w:rsidR="00E83FAD" w:rsidRPr="00337743">
        <w:rPr>
          <w:rFonts w:ascii="Cambria" w:hAnsi="Cambria"/>
          <w:color w:val="000000"/>
          <w:sz w:val="20"/>
          <w:szCs w:val="20"/>
          <w:vertAlign w:val="superscript"/>
          <w:lang w:val="pt-BR"/>
        </w:rPr>
        <w:footnoteReference w:id="29"/>
      </w:r>
      <w:r w:rsidR="00E83FAD" w:rsidRPr="00337743">
        <w:rPr>
          <w:rFonts w:ascii="Cambria" w:hAnsi="Cambria"/>
          <w:color w:val="000000"/>
          <w:sz w:val="20"/>
          <w:szCs w:val="20"/>
          <w:lang w:val="pt-BR"/>
        </w:rPr>
        <w:t xml:space="preserve">.  </w:t>
      </w:r>
    </w:p>
    <w:p w14:paraId="52439D33" w14:textId="77777777" w:rsidR="00025694" w:rsidRPr="00337743" w:rsidRDefault="00025694" w:rsidP="0002569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color w:val="000000"/>
          <w:sz w:val="20"/>
          <w:szCs w:val="20"/>
          <w:lang w:val="pt-BR"/>
        </w:rPr>
      </w:pPr>
    </w:p>
    <w:p w14:paraId="06F27F81" w14:textId="77777777" w:rsidR="00EA374D" w:rsidRPr="00337743" w:rsidRDefault="00F6081F" w:rsidP="007B1365">
      <w:pPr>
        <w:pStyle w:val="Heading3"/>
        <w:numPr>
          <w:ilvl w:val="0"/>
          <w:numId w:val="59"/>
        </w:numPr>
        <w:spacing w:before="0"/>
        <w:ind w:left="0" w:firstLine="709"/>
        <w:rPr>
          <w:rFonts w:ascii="Cambria" w:hAnsi="Cambria"/>
          <w:sz w:val="20"/>
          <w:szCs w:val="20"/>
          <w:lang w:val="pt-BR"/>
        </w:rPr>
      </w:pPr>
      <w:bookmarkStart w:id="13" w:name="_Toc5890572"/>
      <w:r w:rsidRPr="00337743">
        <w:rPr>
          <w:rFonts w:ascii="Cambria" w:hAnsi="Cambria"/>
          <w:sz w:val="20"/>
          <w:szCs w:val="20"/>
          <w:lang w:val="pt-BR"/>
        </w:rPr>
        <w:t>A</w:t>
      </w:r>
      <w:r w:rsidR="00EA374D" w:rsidRPr="00337743">
        <w:rPr>
          <w:rFonts w:ascii="Cambria" w:hAnsi="Cambria"/>
          <w:sz w:val="20"/>
          <w:szCs w:val="20"/>
          <w:lang w:val="pt-BR"/>
        </w:rPr>
        <w:t xml:space="preserve">s tentativas </w:t>
      </w:r>
      <w:r w:rsidR="008E1B27" w:rsidRPr="00337743">
        <w:rPr>
          <w:rFonts w:ascii="Cambria" w:hAnsi="Cambria"/>
          <w:sz w:val="20"/>
          <w:szCs w:val="20"/>
          <w:lang w:val="pt-BR"/>
        </w:rPr>
        <w:t>fracassadas</w:t>
      </w:r>
      <w:r w:rsidR="00EA374D" w:rsidRPr="00337743">
        <w:rPr>
          <w:rFonts w:ascii="Cambria" w:hAnsi="Cambria"/>
          <w:sz w:val="20"/>
          <w:szCs w:val="20"/>
          <w:lang w:val="pt-BR"/>
        </w:rPr>
        <w:t xml:space="preserve"> de a</w:t>
      </w:r>
      <w:r w:rsidR="00125D8F" w:rsidRPr="00337743">
        <w:rPr>
          <w:rFonts w:ascii="Cambria" w:hAnsi="Cambria"/>
          <w:sz w:val="20"/>
          <w:szCs w:val="20"/>
          <w:lang w:val="pt-BR"/>
        </w:rPr>
        <w:t>b</w:t>
      </w:r>
      <w:r w:rsidR="00EA374D" w:rsidRPr="00337743">
        <w:rPr>
          <w:rFonts w:ascii="Cambria" w:hAnsi="Cambria"/>
          <w:sz w:val="20"/>
          <w:szCs w:val="20"/>
          <w:lang w:val="pt-BR"/>
        </w:rPr>
        <w:t>ertura de a</w:t>
      </w:r>
      <w:r w:rsidR="007707E3" w:rsidRPr="00337743">
        <w:rPr>
          <w:rFonts w:ascii="Cambria" w:hAnsi="Cambria"/>
          <w:sz w:val="20"/>
          <w:szCs w:val="20"/>
          <w:lang w:val="pt-BR"/>
        </w:rPr>
        <w:t>ç</w:t>
      </w:r>
      <w:r w:rsidR="00350E7E" w:rsidRPr="00337743">
        <w:rPr>
          <w:rFonts w:ascii="Cambria" w:hAnsi="Cambria"/>
          <w:sz w:val="20"/>
          <w:szCs w:val="20"/>
          <w:lang w:val="pt-BR"/>
        </w:rPr>
        <w:t>ão</w:t>
      </w:r>
      <w:r w:rsidR="00EA374D" w:rsidRPr="00337743">
        <w:rPr>
          <w:rFonts w:ascii="Cambria" w:hAnsi="Cambria"/>
          <w:sz w:val="20"/>
          <w:szCs w:val="20"/>
          <w:lang w:val="pt-BR"/>
        </w:rPr>
        <w:t xml:space="preserve"> criminal contra</w:t>
      </w:r>
      <w:r w:rsidR="00506331" w:rsidRPr="00337743">
        <w:rPr>
          <w:rFonts w:ascii="Cambria" w:hAnsi="Cambria"/>
          <w:sz w:val="20"/>
          <w:szCs w:val="20"/>
          <w:lang w:val="pt-BR"/>
        </w:rPr>
        <w:t xml:space="preserve"> o </w:t>
      </w:r>
      <w:r w:rsidR="00114C2E" w:rsidRPr="00337743">
        <w:rPr>
          <w:rFonts w:ascii="Cambria" w:hAnsi="Cambria"/>
          <w:sz w:val="20"/>
          <w:szCs w:val="20"/>
          <w:lang w:val="pt-BR"/>
        </w:rPr>
        <w:t>Deputado</w:t>
      </w:r>
      <w:r w:rsidR="00EA374D" w:rsidRPr="00337743">
        <w:rPr>
          <w:rFonts w:ascii="Cambria" w:hAnsi="Cambria"/>
          <w:sz w:val="20"/>
          <w:szCs w:val="20"/>
          <w:lang w:val="pt-BR"/>
        </w:rPr>
        <w:t xml:space="preserve"> Aércio</w:t>
      </w:r>
      <w:bookmarkEnd w:id="13"/>
    </w:p>
    <w:p w14:paraId="20122067" w14:textId="77777777" w:rsidR="00542F30" w:rsidRPr="00337743" w:rsidRDefault="00542F30" w:rsidP="007B1365">
      <w:pPr>
        <w:pStyle w:val="ListParagraph"/>
        <w:ind w:left="0" w:firstLine="709"/>
        <w:rPr>
          <w:rFonts w:ascii="Cambria" w:hAnsi="Cambria"/>
          <w:color w:val="000000"/>
          <w:sz w:val="20"/>
          <w:szCs w:val="20"/>
          <w:lang w:val="pt-BR"/>
        </w:rPr>
      </w:pPr>
    </w:p>
    <w:p w14:paraId="7271CD28" w14:textId="77777777" w:rsidR="003B662F" w:rsidRPr="00337743" w:rsidRDefault="00F6081F" w:rsidP="00287D5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A</w:t>
      </w:r>
      <w:r w:rsidR="00542F30" w:rsidRPr="00337743">
        <w:rPr>
          <w:rFonts w:ascii="Cambria" w:hAnsi="Cambria"/>
          <w:color w:val="000000"/>
          <w:sz w:val="20"/>
          <w:szCs w:val="20"/>
          <w:lang w:val="pt-BR"/>
        </w:rPr>
        <w:t xml:space="preserve"> </w:t>
      </w:r>
      <w:r w:rsidR="008E1B27" w:rsidRPr="00337743">
        <w:rPr>
          <w:rFonts w:ascii="Cambria" w:hAnsi="Cambria"/>
          <w:color w:val="000000"/>
          <w:sz w:val="20"/>
          <w:szCs w:val="20"/>
          <w:lang w:val="pt-BR"/>
        </w:rPr>
        <w:t>polícia</w:t>
      </w:r>
      <w:r w:rsidR="00542F30" w:rsidRPr="00337743">
        <w:rPr>
          <w:rFonts w:ascii="Cambria" w:hAnsi="Cambria"/>
          <w:color w:val="000000"/>
          <w:sz w:val="20"/>
          <w:szCs w:val="20"/>
          <w:lang w:val="pt-BR"/>
        </w:rPr>
        <w:t xml:space="preserve"> d</w:t>
      </w:r>
      <w:r w:rsidR="00DD281A" w:rsidRPr="00337743">
        <w:rPr>
          <w:rFonts w:ascii="Cambria" w:hAnsi="Cambria"/>
          <w:color w:val="000000"/>
          <w:sz w:val="20"/>
          <w:szCs w:val="20"/>
          <w:lang w:val="pt-BR"/>
        </w:rPr>
        <w:t>a</w:t>
      </w:r>
      <w:r w:rsidR="00542F30" w:rsidRPr="00337743">
        <w:rPr>
          <w:rFonts w:ascii="Cambria" w:hAnsi="Cambria"/>
          <w:color w:val="000000"/>
          <w:sz w:val="20"/>
          <w:szCs w:val="20"/>
          <w:lang w:val="pt-BR"/>
        </w:rPr>
        <w:t xml:space="preserve"> </w:t>
      </w:r>
      <w:r w:rsidR="00830891" w:rsidRPr="00337743">
        <w:rPr>
          <w:rFonts w:ascii="Cambria" w:hAnsi="Cambria"/>
          <w:color w:val="000000"/>
          <w:sz w:val="20"/>
          <w:szCs w:val="20"/>
          <w:lang w:val="pt-BR"/>
        </w:rPr>
        <w:t>Paraíba</w:t>
      </w:r>
      <w:r w:rsidR="00542F30" w:rsidRPr="00337743">
        <w:rPr>
          <w:rFonts w:ascii="Cambria" w:hAnsi="Cambria"/>
          <w:color w:val="000000"/>
          <w:sz w:val="20"/>
          <w:szCs w:val="20"/>
          <w:lang w:val="pt-BR"/>
        </w:rPr>
        <w:t xml:space="preserve"> </w:t>
      </w:r>
      <w:r w:rsidRPr="00337743">
        <w:rPr>
          <w:rFonts w:ascii="Cambria" w:hAnsi="Cambria"/>
          <w:color w:val="000000"/>
          <w:sz w:val="20"/>
          <w:szCs w:val="20"/>
          <w:lang w:val="pt-BR"/>
        </w:rPr>
        <w:t>enviou</w:t>
      </w:r>
      <w:r w:rsidR="007707E3" w:rsidRPr="00337743">
        <w:rPr>
          <w:rFonts w:ascii="Cambria" w:hAnsi="Cambria"/>
          <w:color w:val="000000"/>
          <w:sz w:val="20"/>
          <w:szCs w:val="20"/>
          <w:lang w:val="pt-BR"/>
        </w:rPr>
        <w:t xml:space="preserve"> os </w:t>
      </w:r>
      <w:r w:rsidR="00542F30" w:rsidRPr="00337743">
        <w:rPr>
          <w:rFonts w:ascii="Cambria" w:hAnsi="Cambria"/>
          <w:color w:val="000000"/>
          <w:sz w:val="20"/>
          <w:szCs w:val="20"/>
          <w:lang w:val="pt-BR"/>
        </w:rPr>
        <w:t>autos</w:t>
      </w:r>
      <w:r w:rsidR="00BF72CE" w:rsidRPr="00337743">
        <w:rPr>
          <w:rFonts w:ascii="Cambria" w:hAnsi="Cambria"/>
          <w:color w:val="000000"/>
          <w:sz w:val="20"/>
          <w:szCs w:val="20"/>
          <w:lang w:val="pt-BR"/>
        </w:rPr>
        <w:t xml:space="preserve"> ao </w:t>
      </w:r>
      <w:r w:rsidR="008E1B27" w:rsidRPr="00337743">
        <w:rPr>
          <w:rFonts w:ascii="Cambria" w:hAnsi="Cambria"/>
          <w:color w:val="000000"/>
          <w:sz w:val="20"/>
          <w:szCs w:val="20"/>
          <w:lang w:val="pt-BR"/>
        </w:rPr>
        <w:t>Ministério</w:t>
      </w:r>
      <w:r w:rsidR="00542F30" w:rsidRPr="00337743">
        <w:rPr>
          <w:rFonts w:ascii="Cambria" w:hAnsi="Cambria"/>
          <w:color w:val="000000"/>
          <w:sz w:val="20"/>
          <w:szCs w:val="20"/>
          <w:lang w:val="pt-BR"/>
        </w:rPr>
        <w:t xml:space="preserve"> Público</w:t>
      </w:r>
      <w:r w:rsidR="007707E3" w:rsidRPr="00337743">
        <w:rPr>
          <w:rFonts w:ascii="Cambria" w:hAnsi="Cambria"/>
          <w:color w:val="000000"/>
          <w:sz w:val="20"/>
          <w:szCs w:val="20"/>
          <w:lang w:val="pt-BR"/>
        </w:rPr>
        <w:t xml:space="preserve"> do </w:t>
      </w:r>
      <w:r w:rsidR="00542F30" w:rsidRPr="00337743">
        <w:rPr>
          <w:rFonts w:ascii="Cambria" w:hAnsi="Cambria"/>
          <w:color w:val="000000"/>
          <w:sz w:val="20"/>
          <w:szCs w:val="20"/>
          <w:lang w:val="pt-BR"/>
        </w:rPr>
        <w:t>Estado</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4343B8" w:rsidRPr="00337743">
        <w:rPr>
          <w:rFonts w:ascii="Cambria" w:hAnsi="Cambria"/>
          <w:color w:val="000000"/>
          <w:sz w:val="20"/>
          <w:szCs w:val="20"/>
          <w:lang w:val="pt-BR"/>
        </w:rPr>
        <w:t xml:space="preserve">23 de </w:t>
      </w:r>
      <w:r w:rsidR="008E1B27" w:rsidRPr="00337743">
        <w:rPr>
          <w:rFonts w:ascii="Cambria" w:hAnsi="Cambria"/>
          <w:color w:val="000000"/>
          <w:sz w:val="20"/>
          <w:szCs w:val="20"/>
          <w:lang w:val="pt-BR"/>
        </w:rPr>
        <w:t>julho</w:t>
      </w:r>
      <w:r w:rsidR="004343B8" w:rsidRPr="00337743">
        <w:rPr>
          <w:rFonts w:ascii="Cambria" w:hAnsi="Cambria"/>
          <w:color w:val="000000"/>
          <w:sz w:val="20"/>
          <w:szCs w:val="20"/>
          <w:lang w:val="pt-BR"/>
        </w:rPr>
        <w:t xml:space="preserve"> de 1998</w:t>
      </w:r>
      <w:r w:rsidR="00DC7063"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e </w:t>
      </w:r>
      <w:r w:rsidR="00DC7063" w:rsidRPr="00337743">
        <w:rPr>
          <w:rFonts w:ascii="Cambria" w:hAnsi="Cambria"/>
          <w:color w:val="000000"/>
          <w:sz w:val="20"/>
          <w:szCs w:val="20"/>
          <w:lang w:val="pt-BR"/>
        </w:rPr>
        <w:t>este último solicit</w:t>
      </w:r>
      <w:r w:rsidR="008E1B27" w:rsidRPr="00337743">
        <w:rPr>
          <w:rFonts w:ascii="Cambria" w:hAnsi="Cambria"/>
          <w:color w:val="000000"/>
          <w:sz w:val="20"/>
          <w:szCs w:val="20"/>
          <w:lang w:val="pt-BR"/>
        </w:rPr>
        <w:t>ou</w:t>
      </w:r>
      <w:r w:rsidR="00DC7063"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nov</w:t>
      </w:r>
      <w:r w:rsidR="00DC7063" w:rsidRPr="00337743">
        <w:rPr>
          <w:rFonts w:ascii="Cambria" w:hAnsi="Cambria"/>
          <w:color w:val="000000"/>
          <w:sz w:val="20"/>
          <w:szCs w:val="20"/>
          <w:lang w:val="pt-BR"/>
        </w:rPr>
        <w:t xml:space="preserve">as </w:t>
      </w:r>
      <w:r w:rsidR="008E1B27" w:rsidRPr="00337743">
        <w:rPr>
          <w:rFonts w:ascii="Cambria" w:hAnsi="Cambria"/>
          <w:color w:val="000000"/>
          <w:sz w:val="20"/>
          <w:szCs w:val="20"/>
          <w:lang w:val="pt-BR"/>
        </w:rPr>
        <w:t>diligências</w:t>
      </w:r>
      <w:r w:rsidR="00DC7063" w:rsidRPr="00337743">
        <w:rPr>
          <w:rFonts w:ascii="Cambria" w:hAnsi="Cambria"/>
          <w:color w:val="000000"/>
          <w:sz w:val="20"/>
          <w:szCs w:val="20"/>
          <w:lang w:val="pt-BR"/>
        </w:rPr>
        <w:t xml:space="preserve"> por parte</w:t>
      </w:r>
      <w:r w:rsidR="007707E3" w:rsidRPr="00337743">
        <w:rPr>
          <w:rFonts w:ascii="Cambria" w:hAnsi="Cambria"/>
          <w:color w:val="000000"/>
          <w:sz w:val="20"/>
          <w:szCs w:val="20"/>
          <w:lang w:val="pt-BR"/>
        </w:rPr>
        <w:t xml:space="preserve"> da </w:t>
      </w:r>
      <w:r w:rsidR="00DC7063" w:rsidRPr="00337743">
        <w:rPr>
          <w:rFonts w:ascii="Cambria" w:hAnsi="Cambria"/>
          <w:color w:val="000000"/>
          <w:sz w:val="20"/>
          <w:szCs w:val="20"/>
          <w:lang w:val="pt-BR"/>
        </w:rPr>
        <w:t>autori</w:t>
      </w:r>
      <w:r w:rsidR="00350E7E" w:rsidRPr="00337743">
        <w:rPr>
          <w:rFonts w:ascii="Cambria" w:hAnsi="Cambria"/>
          <w:color w:val="000000"/>
          <w:sz w:val="20"/>
          <w:szCs w:val="20"/>
          <w:lang w:val="pt-BR"/>
        </w:rPr>
        <w:t xml:space="preserve">dade </w:t>
      </w:r>
      <w:r w:rsidR="00DC7063" w:rsidRPr="00337743">
        <w:rPr>
          <w:rFonts w:ascii="Cambria" w:hAnsi="Cambria"/>
          <w:color w:val="000000"/>
          <w:sz w:val="20"/>
          <w:szCs w:val="20"/>
          <w:lang w:val="pt-BR"/>
        </w:rPr>
        <w:t>policial</w:t>
      </w:r>
      <w:r w:rsidR="00542F30" w:rsidRPr="00337743">
        <w:rPr>
          <w:rFonts w:ascii="Cambria" w:hAnsi="Cambria"/>
          <w:color w:val="000000"/>
          <w:sz w:val="20"/>
          <w:szCs w:val="20"/>
          <w:vertAlign w:val="superscript"/>
          <w:lang w:val="pt-BR"/>
        </w:rPr>
        <w:footnoteReference w:id="30"/>
      </w:r>
      <w:r w:rsidR="00287D5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6835C5" w:rsidRPr="00337743">
        <w:rPr>
          <w:rFonts w:ascii="Cambria" w:hAnsi="Cambria"/>
          <w:color w:val="000000"/>
          <w:sz w:val="20"/>
          <w:szCs w:val="20"/>
          <w:lang w:val="pt-BR"/>
        </w:rPr>
        <w:t xml:space="preserve">28 de </w:t>
      </w:r>
      <w:r w:rsidR="008E1B27" w:rsidRPr="00337743">
        <w:rPr>
          <w:rFonts w:ascii="Cambria" w:hAnsi="Cambria"/>
          <w:color w:val="000000"/>
          <w:sz w:val="20"/>
          <w:szCs w:val="20"/>
          <w:lang w:val="pt-BR"/>
        </w:rPr>
        <w:t>julho</w:t>
      </w:r>
      <w:r w:rsidR="006835C5" w:rsidRPr="00337743">
        <w:rPr>
          <w:rFonts w:ascii="Cambria" w:hAnsi="Cambria"/>
          <w:color w:val="000000"/>
          <w:sz w:val="20"/>
          <w:szCs w:val="20"/>
          <w:lang w:val="pt-BR"/>
        </w:rPr>
        <w:t xml:space="preserve"> de 1998,</w:t>
      </w:r>
      <w:r w:rsidR="00506331" w:rsidRPr="00337743">
        <w:rPr>
          <w:rFonts w:ascii="Cambria" w:hAnsi="Cambria"/>
          <w:color w:val="000000"/>
          <w:sz w:val="20"/>
          <w:szCs w:val="20"/>
          <w:lang w:val="pt-BR"/>
        </w:rPr>
        <w:t xml:space="preserve"> o </w:t>
      </w:r>
      <w:r w:rsidRPr="00337743">
        <w:rPr>
          <w:rFonts w:ascii="Cambria" w:hAnsi="Cambria"/>
          <w:color w:val="000000"/>
          <w:sz w:val="20"/>
          <w:szCs w:val="20"/>
          <w:lang w:val="pt-BR"/>
        </w:rPr>
        <w:t>processo</w:t>
      </w:r>
      <w:r w:rsidR="00091880" w:rsidRPr="00337743">
        <w:rPr>
          <w:rFonts w:ascii="Cambria" w:hAnsi="Cambria"/>
          <w:color w:val="000000"/>
          <w:sz w:val="20"/>
          <w:szCs w:val="20"/>
          <w:lang w:val="pt-BR"/>
        </w:rPr>
        <w:t xml:space="preserve"> foi </w:t>
      </w:r>
      <w:r w:rsidRPr="00337743">
        <w:rPr>
          <w:rFonts w:ascii="Cambria" w:hAnsi="Cambria"/>
          <w:color w:val="000000"/>
          <w:sz w:val="20"/>
          <w:szCs w:val="20"/>
          <w:lang w:val="pt-BR"/>
        </w:rPr>
        <w:t xml:space="preserve">enviado </w:t>
      </w:r>
      <w:r w:rsidR="006835C5" w:rsidRPr="00337743">
        <w:rPr>
          <w:rFonts w:ascii="Cambria" w:hAnsi="Cambria"/>
          <w:color w:val="000000"/>
          <w:sz w:val="20"/>
          <w:szCs w:val="20"/>
          <w:lang w:val="pt-BR"/>
        </w:rPr>
        <w:t>a</w:t>
      </w:r>
      <w:r w:rsidR="00627064" w:rsidRPr="00337743">
        <w:rPr>
          <w:rFonts w:ascii="Cambria" w:hAnsi="Cambria"/>
          <w:color w:val="000000"/>
          <w:sz w:val="20"/>
          <w:szCs w:val="20"/>
          <w:lang w:val="pt-BR"/>
        </w:rPr>
        <w:t xml:space="preserve"> </w:t>
      </w:r>
      <w:r w:rsidRPr="00337743">
        <w:rPr>
          <w:rFonts w:ascii="Cambria" w:hAnsi="Cambria"/>
          <w:color w:val="000000"/>
          <w:sz w:val="20"/>
          <w:szCs w:val="20"/>
          <w:lang w:val="pt-BR"/>
        </w:rPr>
        <w:t>ess</w:t>
      </w:r>
      <w:r w:rsidR="00627064" w:rsidRPr="00337743">
        <w:rPr>
          <w:rFonts w:ascii="Cambria" w:hAnsi="Cambria"/>
          <w:color w:val="000000"/>
          <w:sz w:val="20"/>
          <w:szCs w:val="20"/>
          <w:lang w:val="pt-BR"/>
        </w:rPr>
        <w:t xml:space="preserve">a </w:t>
      </w:r>
      <w:r w:rsidR="008E1B27" w:rsidRPr="00337743">
        <w:rPr>
          <w:rFonts w:ascii="Cambria" w:hAnsi="Cambria"/>
          <w:color w:val="000000"/>
          <w:sz w:val="20"/>
          <w:szCs w:val="20"/>
          <w:lang w:val="pt-BR"/>
        </w:rPr>
        <w:t>autoridade</w:t>
      </w:r>
      <w:r w:rsidR="006835C5" w:rsidRPr="00337743">
        <w:rPr>
          <w:rFonts w:ascii="Cambria" w:hAnsi="Cambria"/>
          <w:color w:val="000000"/>
          <w:sz w:val="20"/>
          <w:szCs w:val="20"/>
          <w:vertAlign w:val="superscript"/>
          <w:lang w:val="pt-BR"/>
        </w:rPr>
        <w:footnoteReference w:id="31"/>
      </w:r>
      <w:r w:rsidR="00287D5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287D51" w:rsidRPr="00337743">
        <w:rPr>
          <w:rFonts w:ascii="Cambria" w:hAnsi="Cambria"/>
          <w:color w:val="000000"/>
          <w:sz w:val="20"/>
          <w:szCs w:val="20"/>
          <w:lang w:val="pt-BR"/>
        </w:rPr>
        <w:t>19 de agosto de 1998, por meio</w:t>
      </w:r>
      <w:r w:rsidR="007707E3" w:rsidRPr="00337743">
        <w:rPr>
          <w:rFonts w:ascii="Cambria" w:hAnsi="Cambria"/>
          <w:color w:val="000000"/>
          <w:sz w:val="20"/>
          <w:szCs w:val="20"/>
          <w:lang w:val="pt-BR"/>
        </w:rPr>
        <w:t xml:space="preserve"> do </w:t>
      </w:r>
      <w:r w:rsidR="00E0662A" w:rsidRPr="00337743">
        <w:rPr>
          <w:rFonts w:ascii="Cambria" w:hAnsi="Cambria"/>
          <w:color w:val="000000"/>
          <w:sz w:val="20"/>
          <w:szCs w:val="20"/>
          <w:lang w:val="pt-BR"/>
        </w:rPr>
        <w:t xml:space="preserve">Documento </w:t>
      </w:r>
      <w:r w:rsidR="00287D51" w:rsidRPr="00337743">
        <w:rPr>
          <w:rFonts w:ascii="Cambria" w:hAnsi="Cambria"/>
          <w:color w:val="000000"/>
          <w:sz w:val="20"/>
          <w:szCs w:val="20"/>
          <w:lang w:val="pt-BR"/>
        </w:rPr>
        <w:t>Nº 005/98,</w:t>
      </w:r>
      <w:r w:rsidR="00506331" w:rsidRPr="00337743">
        <w:rPr>
          <w:rFonts w:ascii="Cambria" w:hAnsi="Cambria"/>
          <w:color w:val="000000"/>
          <w:sz w:val="20"/>
          <w:szCs w:val="20"/>
          <w:lang w:val="pt-BR"/>
        </w:rPr>
        <w:t xml:space="preserve"> o </w:t>
      </w:r>
      <w:r w:rsidR="00287D51" w:rsidRPr="00337743">
        <w:rPr>
          <w:rFonts w:ascii="Cambria" w:hAnsi="Cambria"/>
          <w:color w:val="000000"/>
          <w:sz w:val="20"/>
          <w:szCs w:val="20"/>
          <w:lang w:val="pt-BR"/>
        </w:rPr>
        <w:t xml:space="preserve">Delegado de </w:t>
      </w:r>
      <w:r w:rsidR="008E1B27" w:rsidRPr="00337743">
        <w:rPr>
          <w:rFonts w:ascii="Cambria" w:hAnsi="Cambria"/>
          <w:color w:val="000000"/>
          <w:sz w:val="20"/>
          <w:szCs w:val="20"/>
          <w:lang w:val="pt-BR"/>
        </w:rPr>
        <w:t>Polícia</w:t>
      </w:r>
      <w:r w:rsidR="00506331" w:rsidRPr="00337743">
        <w:rPr>
          <w:rFonts w:ascii="Cambria" w:hAnsi="Cambria"/>
          <w:color w:val="000000"/>
          <w:sz w:val="20"/>
          <w:szCs w:val="20"/>
          <w:lang w:val="pt-BR"/>
        </w:rPr>
        <w:t xml:space="preserve"> e o </w:t>
      </w:r>
      <w:r w:rsidRPr="00337743">
        <w:rPr>
          <w:rFonts w:ascii="Cambria" w:hAnsi="Cambria"/>
          <w:color w:val="000000"/>
          <w:sz w:val="20"/>
          <w:szCs w:val="20"/>
          <w:lang w:val="pt-BR"/>
        </w:rPr>
        <w:t>Oficial</w:t>
      </w:r>
      <w:r w:rsidR="00287D51" w:rsidRPr="00337743">
        <w:rPr>
          <w:rFonts w:ascii="Cambria" w:hAnsi="Cambria"/>
          <w:color w:val="000000"/>
          <w:sz w:val="20"/>
          <w:szCs w:val="20"/>
          <w:lang w:val="pt-BR"/>
        </w:rPr>
        <w:t xml:space="preserve"> de </w:t>
      </w:r>
      <w:r w:rsidR="00E96C24" w:rsidRPr="00337743">
        <w:rPr>
          <w:rFonts w:ascii="Cambria" w:hAnsi="Cambria"/>
          <w:color w:val="000000"/>
          <w:sz w:val="20"/>
          <w:szCs w:val="20"/>
          <w:lang w:val="pt-BR"/>
        </w:rPr>
        <w:t>Justiça</w:t>
      </w:r>
      <w:r w:rsidR="00287D51" w:rsidRPr="00337743">
        <w:rPr>
          <w:rFonts w:ascii="Cambria" w:hAnsi="Cambria"/>
          <w:color w:val="000000"/>
          <w:sz w:val="20"/>
          <w:szCs w:val="20"/>
          <w:lang w:val="pt-BR"/>
        </w:rPr>
        <w:t xml:space="preserve"> </w:t>
      </w:r>
      <w:r w:rsidR="008E1B27" w:rsidRPr="00337743">
        <w:rPr>
          <w:rFonts w:ascii="Cambria" w:hAnsi="Cambria"/>
          <w:color w:val="000000"/>
          <w:sz w:val="20"/>
          <w:szCs w:val="20"/>
          <w:lang w:val="pt-BR"/>
        </w:rPr>
        <w:t>solicitaram</w:t>
      </w:r>
      <w:r w:rsidR="00506331" w:rsidRPr="00337743">
        <w:rPr>
          <w:rFonts w:ascii="Cambria" w:hAnsi="Cambria"/>
          <w:color w:val="000000"/>
          <w:sz w:val="20"/>
          <w:szCs w:val="20"/>
          <w:lang w:val="pt-BR"/>
        </w:rPr>
        <w:t xml:space="preserve"> a </w:t>
      </w:r>
      <w:r w:rsidR="00287D51" w:rsidRPr="00337743">
        <w:rPr>
          <w:rFonts w:ascii="Cambria" w:hAnsi="Cambria"/>
          <w:color w:val="000000"/>
          <w:sz w:val="20"/>
          <w:szCs w:val="20"/>
          <w:lang w:val="pt-BR"/>
        </w:rPr>
        <w:t>presen</w:t>
      </w:r>
      <w:r w:rsidRPr="00337743">
        <w:rPr>
          <w:rFonts w:ascii="Cambria" w:hAnsi="Cambria"/>
          <w:color w:val="000000"/>
          <w:sz w:val="20"/>
          <w:szCs w:val="20"/>
          <w:lang w:val="pt-BR"/>
        </w:rPr>
        <w:t>ç</w:t>
      </w:r>
      <w:r w:rsidR="00287D51" w:rsidRPr="00337743">
        <w:rPr>
          <w:rFonts w:ascii="Cambria" w:hAnsi="Cambria"/>
          <w:color w:val="000000"/>
          <w:sz w:val="20"/>
          <w:szCs w:val="20"/>
          <w:lang w:val="pt-BR"/>
        </w:rPr>
        <w:t xml:space="preserve">a de Aércio para </w:t>
      </w:r>
      <w:r w:rsidR="00DD281A" w:rsidRPr="00337743">
        <w:rPr>
          <w:rFonts w:ascii="Cambria" w:hAnsi="Cambria"/>
          <w:color w:val="000000"/>
          <w:sz w:val="20"/>
          <w:szCs w:val="20"/>
          <w:lang w:val="pt-BR"/>
        </w:rPr>
        <w:t>prest</w:t>
      </w:r>
      <w:r w:rsidR="00287D51" w:rsidRPr="00337743">
        <w:rPr>
          <w:rFonts w:ascii="Cambria" w:hAnsi="Cambria"/>
          <w:color w:val="000000"/>
          <w:sz w:val="20"/>
          <w:szCs w:val="20"/>
          <w:lang w:val="pt-BR"/>
        </w:rPr>
        <w:t xml:space="preserve">ar </w:t>
      </w:r>
      <w:r w:rsidR="00E01589" w:rsidRPr="00337743">
        <w:rPr>
          <w:rFonts w:ascii="Cambria" w:hAnsi="Cambria"/>
          <w:color w:val="000000"/>
          <w:sz w:val="20"/>
          <w:szCs w:val="20"/>
          <w:lang w:val="pt-BR"/>
        </w:rPr>
        <w:t>testemunho</w:t>
      </w:r>
      <w:r w:rsidR="00287D51" w:rsidRPr="00337743">
        <w:rPr>
          <w:rFonts w:ascii="Cambria" w:hAnsi="Cambria"/>
          <w:color w:val="000000"/>
          <w:sz w:val="20"/>
          <w:szCs w:val="20"/>
          <w:vertAlign w:val="superscript"/>
          <w:lang w:val="pt-BR"/>
        </w:rPr>
        <w:footnoteReference w:id="32"/>
      </w:r>
      <w:r w:rsidR="00287D5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287D51" w:rsidRPr="00337743">
        <w:rPr>
          <w:rFonts w:ascii="Cambria" w:hAnsi="Cambria"/>
          <w:color w:val="000000"/>
          <w:sz w:val="20"/>
          <w:szCs w:val="20"/>
          <w:lang w:val="pt-BR"/>
        </w:rPr>
        <w:t>24 de agosto de 1998, Aércio respond</w:t>
      </w:r>
      <w:r w:rsidR="008E1B27" w:rsidRPr="00337743">
        <w:rPr>
          <w:rFonts w:ascii="Cambria" w:hAnsi="Cambria"/>
          <w:color w:val="000000"/>
          <w:sz w:val="20"/>
          <w:szCs w:val="20"/>
          <w:lang w:val="pt-BR"/>
        </w:rPr>
        <w:t>eu</w:t>
      </w:r>
      <w:r w:rsidR="00287D51" w:rsidRPr="00337743">
        <w:rPr>
          <w:rFonts w:ascii="Cambria" w:hAnsi="Cambria"/>
          <w:color w:val="000000"/>
          <w:sz w:val="20"/>
          <w:szCs w:val="20"/>
          <w:lang w:val="pt-BR"/>
        </w:rPr>
        <w:t>, por meio de s</w:t>
      </w:r>
      <w:r w:rsidR="008E1B27" w:rsidRPr="00337743">
        <w:rPr>
          <w:rFonts w:ascii="Cambria" w:hAnsi="Cambria"/>
          <w:color w:val="000000"/>
          <w:sz w:val="20"/>
          <w:szCs w:val="20"/>
          <w:lang w:val="pt-BR"/>
        </w:rPr>
        <w:t>e</w:t>
      </w:r>
      <w:r w:rsidR="00287D51" w:rsidRPr="00337743">
        <w:rPr>
          <w:rFonts w:ascii="Cambria" w:hAnsi="Cambria"/>
          <w:color w:val="000000"/>
          <w:sz w:val="20"/>
          <w:szCs w:val="20"/>
          <w:lang w:val="pt-BR"/>
        </w:rPr>
        <w:t>u a</w:t>
      </w:r>
      <w:r w:rsidR="008E1B27" w:rsidRPr="00337743">
        <w:rPr>
          <w:rFonts w:ascii="Cambria" w:hAnsi="Cambria"/>
          <w:color w:val="000000"/>
          <w:sz w:val="20"/>
          <w:szCs w:val="20"/>
          <w:lang w:val="pt-BR"/>
        </w:rPr>
        <w:t>dv</w:t>
      </w:r>
      <w:r w:rsidR="00287D51" w:rsidRPr="00337743">
        <w:rPr>
          <w:rFonts w:ascii="Cambria" w:hAnsi="Cambria"/>
          <w:color w:val="000000"/>
          <w:sz w:val="20"/>
          <w:szCs w:val="20"/>
          <w:lang w:val="pt-BR"/>
        </w:rPr>
        <w:t>ogado, que</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o pedido </w:t>
      </w:r>
      <w:r w:rsidR="008E1B27" w:rsidRPr="00337743">
        <w:rPr>
          <w:rFonts w:ascii="Cambria" w:hAnsi="Cambria"/>
          <w:color w:val="000000"/>
          <w:sz w:val="20"/>
          <w:szCs w:val="20"/>
          <w:lang w:val="pt-BR"/>
        </w:rPr>
        <w:t>devia</w:t>
      </w:r>
      <w:r w:rsidR="00287D51" w:rsidRPr="00337743">
        <w:rPr>
          <w:rFonts w:ascii="Cambria" w:hAnsi="Cambria"/>
          <w:color w:val="000000"/>
          <w:sz w:val="20"/>
          <w:szCs w:val="20"/>
          <w:lang w:val="pt-BR"/>
        </w:rPr>
        <w:t xml:space="preserve"> ser </w:t>
      </w:r>
      <w:r w:rsidRPr="00337743">
        <w:rPr>
          <w:rFonts w:ascii="Cambria" w:hAnsi="Cambria"/>
          <w:color w:val="000000"/>
          <w:sz w:val="20"/>
          <w:szCs w:val="20"/>
          <w:lang w:val="pt-BR"/>
        </w:rPr>
        <w:t>feito</w:t>
      </w:r>
      <w:r w:rsidR="00F453EB" w:rsidRPr="00337743">
        <w:rPr>
          <w:rFonts w:ascii="Cambria" w:hAnsi="Cambria"/>
          <w:color w:val="000000"/>
          <w:sz w:val="20"/>
          <w:szCs w:val="20"/>
          <w:lang w:val="pt-BR"/>
        </w:rPr>
        <w:t xml:space="preserve"> à </w:t>
      </w:r>
      <w:r w:rsidR="008E1B27" w:rsidRPr="00337743">
        <w:rPr>
          <w:rFonts w:ascii="Cambria" w:hAnsi="Cambria"/>
          <w:color w:val="000000"/>
          <w:sz w:val="20"/>
          <w:szCs w:val="20"/>
          <w:lang w:val="pt-BR"/>
        </w:rPr>
        <w:t>Assembleia</w:t>
      </w:r>
      <w:r w:rsidR="00287D51" w:rsidRPr="00337743">
        <w:rPr>
          <w:rFonts w:ascii="Cambria" w:hAnsi="Cambria"/>
          <w:color w:val="000000"/>
          <w:sz w:val="20"/>
          <w:szCs w:val="20"/>
          <w:lang w:val="pt-BR"/>
        </w:rPr>
        <w:t xml:space="preserve"> Legislativa</w:t>
      </w:r>
      <w:r w:rsidR="007707E3" w:rsidRPr="00337743">
        <w:rPr>
          <w:rFonts w:ascii="Cambria" w:hAnsi="Cambria"/>
          <w:color w:val="000000"/>
          <w:sz w:val="20"/>
          <w:szCs w:val="20"/>
          <w:lang w:val="pt-BR"/>
        </w:rPr>
        <w:t xml:space="preserve"> do </w:t>
      </w:r>
      <w:r w:rsidR="00287D51" w:rsidRPr="00337743">
        <w:rPr>
          <w:rFonts w:ascii="Cambria" w:hAnsi="Cambria"/>
          <w:color w:val="000000"/>
          <w:sz w:val="20"/>
          <w:szCs w:val="20"/>
          <w:lang w:val="pt-BR"/>
        </w:rPr>
        <w:t>Estado d</w:t>
      </w:r>
      <w:r w:rsidRPr="00337743">
        <w:rPr>
          <w:rFonts w:ascii="Cambria" w:hAnsi="Cambria"/>
          <w:color w:val="000000"/>
          <w:sz w:val="20"/>
          <w:szCs w:val="20"/>
          <w:lang w:val="pt-BR"/>
        </w:rPr>
        <w:t>a</w:t>
      </w:r>
      <w:r w:rsidR="00287D51" w:rsidRPr="00337743">
        <w:rPr>
          <w:rFonts w:ascii="Cambria" w:hAnsi="Cambria"/>
          <w:color w:val="000000"/>
          <w:sz w:val="20"/>
          <w:szCs w:val="20"/>
          <w:lang w:val="pt-BR"/>
        </w:rPr>
        <w:t xml:space="preserve"> Paraíba</w:t>
      </w:r>
      <w:r w:rsidR="00287D51" w:rsidRPr="00337743">
        <w:rPr>
          <w:rFonts w:ascii="Cambria" w:hAnsi="Cambria"/>
          <w:color w:val="000000"/>
          <w:sz w:val="20"/>
          <w:szCs w:val="20"/>
          <w:vertAlign w:val="superscript"/>
          <w:lang w:val="pt-BR"/>
        </w:rPr>
        <w:footnoteReference w:id="33"/>
      </w:r>
      <w:r w:rsidR="00287D5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287D51" w:rsidRPr="00337743">
        <w:rPr>
          <w:rFonts w:ascii="Cambria" w:hAnsi="Cambria"/>
          <w:color w:val="000000"/>
          <w:sz w:val="20"/>
          <w:szCs w:val="20"/>
          <w:lang w:val="pt-BR"/>
        </w:rPr>
        <w:t>27 de agosto de 1998,</w:t>
      </w:r>
      <w:r w:rsidR="00506331" w:rsidRPr="00337743">
        <w:rPr>
          <w:rFonts w:ascii="Cambria" w:hAnsi="Cambria"/>
          <w:color w:val="000000"/>
          <w:sz w:val="20"/>
          <w:szCs w:val="20"/>
          <w:lang w:val="pt-BR"/>
        </w:rPr>
        <w:t xml:space="preserve"> o </w:t>
      </w:r>
      <w:r w:rsidR="00287D51" w:rsidRPr="00337743">
        <w:rPr>
          <w:rFonts w:ascii="Cambria" w:hAnsi="Cambria"/>
          <w:color w:val="000000"/>
          <w:sz w:val="20"/>
          <w:szCs w:val="20"/>
          <w:lang w:val="pt-BR"/>
        </w:rPr>
        <w:t>Delegado respons</w:t>
      </w:r>
      <w:r w:rsidRPr="00337743">
        <w:rPr>
          <w:rFonts w:ascii="Cambria" w:hAnsi="Cambria"/>
          <w:color w:val="000000"/>
          <w:sz w:val="20"/>
          <w:szCs w:val="20"/>
          <w:lang w:val="pt-BR"/>
        </w:rPr>
        <w:t>ável</w:t>
      </w:r>
      <w:r w:rsidR="00287D51" w:rsidRPr="00337743">
        <w:rPr>
          <w:rFonts w:ascii="Cambria" w:hAnsi="Cambria"/>
          <w:color w:val="000000"/>
          <w:sz w:val="20"/>
          <w:szCs w:val="20"/>
          <w:lang w:val="pt-BR"/>
        </w:rPr>
        <w:t xml:space="preserve"> elabor</w:t>
      </w:r>
      <w:r w:rsidR="008E1B27" w:rsidRPr="00337743">
        <w:rPr>
          <w:rFonts w:ascii="Cambria" w:hAnsi="Cambria"/>
          <w:color w:val="000000"/>
          <w:sz w:val="20"/>
          <w:szCs w:val="20"/>
          <w:lang w:val="pt-BR"/>
        </w:rPr>
        <w:t>ou</w:t>
      </w:r>
      <w:r w:rsidR="00287D51" w:rsidRPr="00337743">
        <w:rPr>
          <w:rFonts w:ascii="Cambria" w:hAnsi="Cambria"/>
          <w:color w:val="000000"/>
          <w:sz w:val="20"/>
          <w:szCs w:val="20"/>
          <w:lang w:val="pt-BR"/>
        </w:rPr>
        <w:t xml:space="preserve"> ​​</w:t>
      </w:r>
      <w:r w:rsidR="008E1B27" w:rsidRPr="00337743">
        <w:rPr>
          <w:rFonts w:ascii="Cambria" w:hAnsi="Cambria"/>
          <w:color w:val="000000"/>
          <w:sz w:val="20"/>
          <w:szCs w:val="20"/>
          <w:lang w:val="pt-BR"/>
        </w:rPr>
        <w:t>um</w:t>
      </w:r>
      <w:r w:rsidR="00287D51"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nov</w:t>
      </w:r>
      <w:r w:rsidR="00287D51" w:rsidRPr="00337743">
        <w:rPr>
          <w:rFonts w:ascii="Cambria" w:hAnsi="Cambria"/>
          <w:color w:val="000000"/>
          <w:sz w:val="20"/>
          <w:szCs w:val="20"/>
          <w:lang w:val="pt-BR"/>
        </w:rPr>
        <w:t xml:space="preserve">o </w:t>
      </w:r>
      <w:r w:rsidR="00350E7E" w:rsidRPr="00337743">
        <w:rPr>
          <w:rFonts w:ascii="Cambria" w:hAnsi="Cambria"/>
          <w:color w:val="000000"/>
          <w:sz w:val="20"/>
          <w:szCs w:val="20"/>
          <w:lang w:val="pt-BR"/>
        </w:rPr>
        <w:t>relatório</w:t>
      </w:r>
      <w:r w:rsidR="00287D51" w:rsidRPr="00337743">
        <w:rPr>
          <w:rFonts w:ascii="Cambria" w:hAnsi="Cambria"/>
          <w:color w:val="000000"/>
          <w:sz w:val="20"/>
          <w:szCs w:val="20"/>
          <w:lang w:val="pt-BR"/>
        </w:rPr>
        <w:t xml:space="preserve"> ratificando</w:t>
      </w:r>
      <w:r w:rsidR="00506331" w:rsidRPr="00337743">
        <w:rPr>
          <w:rFonts w:ascii="Cambria" w:hAnsi="Cambria"/>
          <w:color w:val="000000"/>
          <w:sz w:val="20"/>
          <w:szCs w:val="20"/>
          <w:lang w:val="pt-BR"/>
        </w:rPr>
        <w:t xml:space="preserve"> o </w:t>
      </w:r>
      <w:r w:rsidR="00350E7E" w:rsidRPr="00337743">
        <w:rPr>
          <w:rFonts w:ascii="Cambria" w:hAnsi="Cambria"/>
          <w:color w:val="000000"/>
          <w:sz w:val="20"/>
          <w:szCs w:val="20"/>
          <w:lang w:val="pt-BR"/>
        </w:rPr>
        <w:t>relatório</w:t>
      </w:r>
      <w:r w:rsidR="00287D51" w:rsidRPr="00337743">
        <w:rPr>
          <w:rFonts w:ascii="Cambria" w:hAnsi="Cambria"/>
          <w:color w:val="000000"/>
          <w:sz w:val="20"/>
          <w:szCs w:val="20"/>
          <w:lang w:val="pt-BR"/>
        </w:rPr>
        <w:t xml:space="preserve"> anterior</w:t>
      </w:r>
      <w:r w:rsidR="00287D51" w:rsidRPr="00337743">
        <w:rPr>
          <w:rFonts w:ascii="Cambria" w:hAnsi="Cambria"/>
          <w:color w:val="000000"/>
          <w:sz w:val="20"/>
          <w:szCs w:val="20"/>
          <w:vertAlign w:val="superscript"/>
          <w:lang w:val="pt-BR"/>
        </w:rPr>
        <w:footnoteReference w:id="34"/>
      </w:r>
      <w:r w:rsidR="00287D5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4C1CA1" w:rsidRPr="00337743">
        <w:rPr>
          <w:rFonts w:ascii="Cambria" w:hAnsi="Cambria"/>
          <w:color w:val="000000"/>
          <w:sz w:val="20"/>
          <w:szCs w:val="20"/>
          <w:lang w:val="pt-BR"/>
        </w:rPr>
        <w:t xml:space="preserve">4 de </w:t>
      </w:r>
      <w:r w:rsidR="00F9139C" w:rsidRPr="00337743">
        <w:rPr>
          <w:rFonts w:ascii="Cambria" w:hAnsi="Cambria"/>
          <w:color w:val="000000"/>
          <w:sz w:val="20"/>
          <w:szCs w:val="20"/>
          <w:lang w:val="pt-BR"/>
        </w:rPr>
        <w:t>setembro</w:t>
      </w:r>
      <w:r w:rsidR="004C1CA1" w:rsidRPr="00337743">
        <w:rPr>
          <w:rFonts w:ascii="Cambria" w:hAnsi="Cambria"/>
          <w:color w:val="000000"/>
          <w:sz w:val="20"/>
          <w:szCs w:val="20"/>
          <w:lang w:val="pt-BR"/>
        </w:rPr>
        <w:t xml:space="preserve"> de 1998,</w:t>
      </w:r>
      <w:r w:rsidR="00506331" w:rsidRPr="00337743">
        <w:rPr>
          <w:rFonts w:ascii="Cambria" w:hAnsi="Cambria"/>
          <w:color w:val="000000"/>
          <w:sz w:val="20"/>
          <w:szCs w:val="20"/>
          <w:lang w:val="pt-BR"/>
        </w:rPr>
        <w:t xml:space="preserve"> o </w:t>
      </w:r>
      <w:r w:rsidR="008E1B27" w:rsidRPr="00337743">
        <w:rPr>
          <w:rFonts w:ascii="Cambria" w:hAnsi="Cambria"/>
          <w:color w:val="000000"/>
          <w:sz w:val="20"/>
          <w:szCs w:val="20"/>
          <w:lang w:val="pt-BR"/>
        </w:rPr>
        <w:t>Ministério</w:t>
      </w:r>
      <w:r w:rsidR="004C1CA1" w:rsidRPr="00337743">
        <w:rPr>
          <w:rFonts w:ascii="Cambria" w:hAnsi="Cambria"/>
          <w:color w:val="000000"/>
          <w:sz w:val="20"/>
          <w:szCs w:val="20"/>
          <w:lang w:val="pt-BR"/>
        </w:rPr>
        <w:t xml:space="preserve"> Público requ</w:t>
      </w:r>
      <w:r w:rsidR="005E7F79" w:rsidRPr="00337743">
        <w:rPr>
          <w:rFonts w:ascii="Cambria" w:hAnsi="Cambria"/>
          <w:color w:val="000000"/>
          <w:sz w:val="20"/>
          <w:szCs w:val="20"/>
          <w:lang w:val="pt-BR"/>
        </w:rPr>
        <w:t>ereu</w:t>
      </w:r>
      <w:r w:rsidR="00BF72CE" w:rsidRPr="00337743">
        <w:rPr>
          <w:rFonts w:ascii="Cambria" w:hAnsi="Cambria"/>
          <w:color w:val="000000"/>
          <w:sz w:val="20"/>
          <w:szCs w:val="20"/>
          <w:lang w:val="pt-BR"/>
        </w:rPr>
        <w:t xml:space="preserve"> ao </w:t>
      </w:r>
      <w:r w:rsidR="004C1CA1" w:rsidRPr="00337743">
        <w:rPr>
          <w:rFonts w:ascii="Cambria" w:hAnsi="Cambria"/>
          <w:color w:val="000000"/>
          <w:sz w:val="20"/>
          <w:szCs w:val="20"/>
          <w:lang w:val="pt-BR"/>
        </w:rPr>
        <w:t>Ju</w:t>
      </w:r>
      <w:r w:rsidRPr="00337743">
        <w:rPr>
          <w:rFonts w:ascii="Cambria" w:hAnsi="Cambria"/>
          <w:color w:val="000000"/>
          <w:sz w:val="20"/>
          <w:szCs w:val="20"/>
          <w:lang w:val="pt-BR"/>
        </w:rPr>
        <w:t>i</w:t>
      </w:r>
      <w:r w:rsidR="004C1CA1" w:rsidRPr="00337743">
        <w:rPr>
          <w:rFonts w:ascii="Cambria" w:hAnsi="Cambria"/>
          <w:color w:val="000000"/>
          <w:sz w:val="20"/>
          <w:szCs w:val="20"/>
          <w:lang w:val="pt-BR"/>
        </w:rPr>
        <w:t>z</w:t>
      </w:r>
      <w:r w:rsidR="00506331" w:rsidRPr="00337743">
        <w:rPr>
          <w:rFonts w:ascii="Cambria" w:hAnsi="Cambria"/>
          <w:color w:val="000000"/>
          <w:sz w:val="20"/>
          <w:szCs w:val="20"/>
          <w:lang w:val="pt-BR"/>
        </w:rPr>
        <w:t xml:space="preserve"> o </w:t>
      </w:r>
      <w:r w:rsidR="008E1B27" w:rsidRPr="00337743">
        <w:rPr>
          <w:rFonts w:ascii="Cambria" w:hAnsi="Cambria"/>
          <w:color w:val="000000"/>
          <w:sz w:val="20"/>
          <w:szCs w:val="20"/>
          <w:lang w:val="pt-BR"/>
        </w:rPr>
        <w:t>envio</w:t>
      </w:r>
      <w:r w:rsidR="007707E3" w:rsidRPr="00337743">
        <w:rPr>
          <w:rFonts w:ascii="Cambria" w:hAnsi="Cambria"/>
          <w:color w:val="000000"/>
          <w:sz w:val="20"/>
          <w:szCs w:val="20"/>
          <w:lang w:val="pt-BR"/>
        </w:rPr>
        <w:t xml:space="preserve"> do </w:t>
      </w:r>
      <w:r w:rsidRPr="00337743">
        <w:rPr>
          <w:rFonts w:ascii="Cambria" w:hAnsi="Cambria"/>
          <w:color w:val="000000"/>
          <w:sz w:val="20"/>
          <w:szCs w:val="20"/>
          <w:lang w:val="pt-BR"/>
        </w:rPr>
        <w:t>processo</w:t>
      </w:r>
      <w:r w:rsidR="00F453EB" w:rsidRPr="00337743">
        <w:rPr>
          <w:rFonts w:ascii="Cambria" w:hAnsi="Cambria"/>
          <w:color w:val="000000"/>
          <w:sz w:val="20"/>
          <w:szCs w:val="20"/>
          <w:lang w:val="pt-BR"/>
        </w:rPr>
        <w:t xml:space="preserve"> à </w:t>
      </w:r>
      <w:r w:rsidR="008E1B27" w:rsidRPr="00337743">
        <w:rPr>
          <w:rFonts w:ascii="Cambria" w:hAnsi="Cambria"/>
          <w:color w:val="000000"/>
          <w:sz w:val="20"/>
          <w:szCs w:val="20"/>
          <w:lang w:val="pt-BR"/>
        </w:rPr>
        <w:t>Procuradoria-</w:t>
      </w:r>
      <w:r w:rsidR="005E7F79" w:rsidRPr="00337743">
        <w:rPr>
          <w:rFonts w:ascii="Cambria" w:hAnsi="Cambria"/>
          <w:color w:val="000000"/>
          <w:sz w:val="20"/>
          <w:szCs w:val="20"/>
          <w:lang w:val="pt-BR"/>
        </w:rPr>
        <w:t>G</w:t>
      </w:r>
      <w:r w:rsidR="008E1B27" w:rsidRPr="00337743">
        <w:rPr>
          <w:rFonts w:ascii="Cambria" w:hAnsi="Cambria"/>
          <w:color w:val="000000"/>
          <w:sz w:val="20"/>
          <w:szCs w:val="20"/>
          <w:lang w:val="pt-BR"/>
        </w:rPr>
        <w:t>eral</w:t>
      </w:r>
      <w:r w:rsidR="004C1CA1" w:rsidRPr="00337743">
        <w:rPr>
          <w:rFonts w:ascii="Cambria" w:hAnsi="Cambria"/>
          <w:color w:val="000000"/>
          <w:sz w:val="20"/>
          <w:szCs w:val="20"/>
          <w:lang w:val="pt-BR"/>
        </w:rPr>
        <w:t xml:space="preserve"> de </w:t>
      </w:r>
      <w:r w:rsidR="00E96C24" w:rsidRPr="00337743">
        <w:rPr>
          <w:rFonts w:ascii="Cambria" w:hAnsi="Cambria"/>
          <w:color w:val="000000"/>
          <w:sz w:val="20"/>
          <w:szCs w:val="20"/>
          <w:lang w:val="pt-BR"/>
        </w:rPr>
        <w:t>Justiça</w:t>
      </w:r>
      <w:r w:rsidR="004C1CA1" w:rsidRPr="00337743">
        <w:rPr>
          <w:rFonts w:ascii="Cambria" w:hAnsi="Cambria"/>
          <w:color w:val="000000"/>
          <w:sz w:val="20"/>
          <w:szCs w:val="20"/>
          <w:lang w:val="pt-BR"/>
        </w:rPr>
        <w:t xml:space="preserve"> para que ela </w:t>
      </w:r>
      <w:r w:rsidR="008E1B27" w:rsidRPr="00337743">
        <w:rPr>
          <w:rFonts w:ascii="Cambria" w:hAnsi="Cambria"/>
          <w:color w:val="000000"/>
          <w:sz w:val="20"/>
          <w:szCs w:val="20"/>
          <w:lang w:val="pt-BR"/>
        </w:rPr>
        <w:t>tramitasse</w:t>
      </w:r>
      <w:r w:rsidR="00506331" w:rsidRPr="00337743">
        <w:rPr>
          <w:rFonts w:ascii="Cambria" w:hAnsi="Cambria"/>
          <w:color w:val="000000"/>
          <w:sz w:val="20"/>
          <w:szCs w:val="20"/>
          <w:lang w:val="pt-BR"/>
        </w:rPr>
        <w:t xml:space="preserve"> o </w:t>
      </w:r>
      <w:r w:rsidR="004C1CA1" w:rsidRPr="00337743">
        <w:rPr>
          <w:rFonts w:ascii="Cambria" w:hAnsi="Cambria"/>
          <w:color w:val="000000"/>
          <w:sz w:val="20"/>
          <w:szCs w:val="20"/>
          <w:lang w:val="pt-BR"/>
        </w:rPr>
        <w:t>procedi</w:t>
      </w:r>
      <w:r w:rsidR="00D60ABE" w:rsidRPr="00337743">
        <w:rPr>
          <w:rFonts w:ascii="Cambria" w:hAnsi="Cambria"/>
          <w:color w:val="000000"/>
          <w:sz w:val="20"/>
          <w:szCs w:val="20"/>
          <w:lang w:val="pt-BR"/>
        </w:rPr>
        <w:t>mento</w:t>
      </w:r>
      <w:r w:rsidR="004C1CA1" w:rsidRPr="00337743">
        <w:rPr>
          <w:rFonts w:ascii="Cambria" w:hAnsi="Cambria"/>
          <w:color w:val="000000"/>
          <w:sz w:val="20"/>
          <w:szCs w:val="20"/>
          <w:vertAlign w:val="superscript"/>
          <w:lang w:val="pt-BR"/>
        </w:rPr>
        <w:footnoteReference w:id="35"/>
      </w:r>
      <w:r w:rsidR="004C1CA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4C1CA1" w:rsidRPr="00337743">
        <w:rPr>
          <w:rFonts w:ascii="Cambria" w:hAnsi="Cambria"/>
          <w:color w:val="000000"/>
          <w:sz w:val="20"/>
          <w:szCs w:val="20"/>
          <w:lang w:val="pt-BR"/>
        </w:rPr>
        <w:t xml:space="preserve">10 de </w:t>
      </w:r>
      <w:r w:rsidR="00F9139C" w:rsidRPr="00337743">
        <w:rPr>
          <w:rFonts w:ascii="Cambria" w:hAnsi="Cambria"/>
          <w:color w:val="000000"/>
          <w:sz w:val="20"/>
          <w:szCs w:val="20"/>
          <w:lang w:val="pt-BR"/>
        </w:rPr>
        <w:t>setembro</w:t>
      </w:r>
      <w:r w:rsidR="004C1CA1" w:rsidRPr="00337743">
        <w:rPr>
          <w:rFonts w:ascii="Cambria" w:hAnsi="Cambria"/>
          <w:color w:val="000000"/>
          <w:sz w:val="20"/>
          <w:szCs w:val="20"/>
          <w:lang w:val="pt-BR"/>
        </w:rPr>
        <w:t xml:space="preserve"> de 1998</w:t>
      </w:r>
      <w:r w:rsidR="00506331" w:rsidRPr="00337743">
        <w:rPr>
          <w:rFonts w:ascii="Cambria" w:hAnsi="Cambria"/>
          <w:color w:val="000000"/>
          <w:sz w:val="20"/>
          <w:szCs w:val="20"/>
          <w:lang w:val="pt-BR"/>
        </w:rPr>
        <w:t xml:space="preserve"> o </w:t>
      </w:r>
      <w:r w:rsidR="004C1CA1" w:rsidRPr="00337743">
        <w:rPr>
          <w:rFonts w:ascii="Cambria" w:hAnsi="Cambria"/>
          <w:color w:val="000000"/>
          <w:sz w:val="20"/>
          <w:szCs w:val="20"/>
          <w:lang w:val="pt-BR"/>
        </w:rPr>
        <w:t>Ju</w:t>
      </w:r>
      <w:r w:rsidRPr="00337743">
        <w:rPr>
          <w:rFonts w:ascii="Cambria" w:hAnsi="Cambria"/>
          <w:color w:val="000000"/>
          <w:sz w:val="20"/>
          <w:szCs w:val="20"/>
          <w:lang w:val="pt-BR"/>
        </w:rPr>
        <w:t>i</w:t>
      </w:r>
      <w:r w:rsidR="004C1CA1" w:rsidRPr="00337743">
        <w:rPr>
          <w:rFonts w:ascii="Cambria" w:hAnsi="Cambria"/>
          <w:color w:val="000000"/>
          <w:sz w:val="20"/>
          <w:szCs w:val="20"/>
          <w:lang w:val="pt-BR"/>
        </w:rPr>
        <w:t xml:space="preserve">z </w:t>
      </w:r>
      <w:r w:rsidR="008E1B27" w:rsidRPr="00337743">
        <w:rPr>
          <w:rFonts w:ascii="Cambria" w:hAnsi="Cambria"/>
          <w:color w:val="000000"/>
          <w:sz w:val="20"/>
          <w:szCs w:val="20"/>
          <w:lang w:val="pt-BR"/>
        </w:rPr>
        <w:t>deferiu</w:t>
      </w:r>
      <w:r w:rsidR="00506331" w:rsidRPr="00337743">
        <w:rPr>
          <w:rFonts w:ascii="Cambria" w:hAnsi="Cambria"/>
          <w:color w:val="000000"/>
          <w:sz w:val="20"/>
          <w:szCs w:val="20"/>
          <w:lang w:val="pt-BR"/>
        </w:rPr>
        <w:t xml:space="preserve"> o </w:t>
      </w:r>
      <w:r w:rsidR="004C1CA1" w:rsidRPr="00337743">
        <w:rPr>
          <w:rFonts w:ascii="Cambria" w:hAnsi="Cambria"/>
          <w:color w:val="000000"/>
          <w:sz w:val="20"/>
          <w:szCs w:val="20"/>
          <w:lang w:val="pt-BR"/>
        </w:rPr>
        <w:t>pedido</w:t>
      </w:r>
      <w:r w:rsidR="00506331" w:rsidRPr="00337743">
        <w:rPr>
          <w:rFonts w:ascii="Cambria" w:hAnsi="Cambria"/>
          <w:color w:val="000000"/>
          <w:sz w:val="20"/>
          <w:szCs w:val="20"/>
          <w:lang w:val="pt-BR"/>
        </w:rPr>
        <w:t xml:space="preserve"> e </w:t>
      </w:r>
      <w:r w:rsidRPr="00337743">
        <w:rPr>
          <w:rFonts w:ascii="Cambria" w:hAnsi="Cambria"/>
          <w:color w:val="000000"/>
          <w:sz w:val="20"/>
          <w:szCs w:val="20"/>
          <w:lang w:val="pt-BR"/>
        </w:rPr>
        <w:t>enviou</w:t>
      </w:r>
      <w:r w:rsidR="007707E3" w:rsidRPr="00337743">
        <w:rPr>
          <w:rFonts w:ascii="Cambria" w:hAnsi="Cambria"/>
          <w:color w:val="000000"/>
          <w:sz w:val="20"/>
          <w:szCs w:val="20"/>
          <w:lang w:val="pt-BR"/>
        </w:rPr>
        <w:t xml:space="preserve"> os </w:t>
      </w:r>
      <w:r w:rsidR="004C1CA1" w:rsidRPr="00337743">
        <w:rPr>
          <w:rFonts w:ascii="Cambria" w:hAnsi="Cambria"/>
          <w:color w:val="000000"/>
          <w:sz w:val="20"/>
          <w:szCs w:val="20"/>
          <w:lang w:val="pt-BR"/>
        </w:rPr>
        <w:t>autos</w:t>
      </w:r>
      <w:r w:rsidR="00F453EB" w:rsidRPr="00337743">
        <w:rPr>
          <w:rFonts w:ascii="Cambria" w:hAnsi="Cambria"/>
          <w:color w:val="000000"/>
          <w:sz w:val="20"/>
          <w:szCs w:val="20"/>
          <w:lang w:val="pt-BR"/>
        </w:rPr>
        <w:t xml:space="preserve"> à </w:t>
      </w:r>
      <w:r w:rsidR="008E1B27" w:rsidRPr="00337743">
        <w:rPr>
          <w:rFonts w:ascii="Cambria" w:hAnsi="Cambria"/>
          <w:color w:val="000000"/>
          <w:sz w:val="20"/>
          <w:szCs w:val="20"/>
          <w:lang w:val="pt-BR"/>
        </w:rPr>
        <w:t>Procuradoria-</w:t>
      </w:r>
      <w:r w:rsidR="005E7F79" w:rsidRPr="00337743">
        <w:rPr>
          <w:rFonts w:ascii="Cambria" w:hAnsi="Cambria"/>
          <w:color w:val="000000"/>
          <w:sz w:val="20"/>
          <w:szCs w:val="20"/>
          <w:lang w:val="pt-BR"/>
        </w:rPr>
        <w:t>G</w:t>
      </w:r>
      <w:r w:rsidR="008E1B27" w:rsidRPr="00337743">
        <w:rPr>
          <w:rFonts w:ascii="Cambria" w:hAnsi="Cambria"/>
          <w:color w:val="000000"/>
          <w:sz w:val="20"/>
          <w:szCs w:val="20"/>
          <w:lang w:val="pt-BR"/>
        </w:rPr>
        <w:t>eral</w:t>
      </w:r>
      <w:r w:rsidR="004C1CA1" w:rsidRPr="00337743">
        <w:rPr>
          <w:rFonts w:ascii="Cambria" w:hAnsi="Cambria"/>
          <w:color w:val="000000"/>
          <w:sz w:val="20"/>
          <w:szCs w:val="20"/>
          <w:lang w:val="pt-BR"/>
        </w:rPr>
        <w:t xml:space="preserve"> de </w:t>
      </w:r>
      <w:r w:rsidR="00E96C24" w:rsidRPr="00337743">
        <w:rPr>
          <w:rFonts w:ascii="Cambria" w:hAnsi="Cambria"/>
          <w:color w:val="000000"/>
          <w:sz w:val="20"/>
          <w:szCs w:val="20"/>
          <w:lang w:val="pt-BR"/>
        </w:rPr>
        <w:t>Justiça</w:t>
      </w:r>
      <w:r w:rsidR="004C1CA1" w:rsidRPr="00337743">
        <w:rPr>
          <w:rFonts w:ascii="Cambria" w:hAnsi="Cambria"/>
          <w:color w:val="000000"/>
          <w:sz w:val="20"/>
          <w:szCs w:val="20"/>
          <w:vertAlign w:val="superscript"/>
          <w:lang w:val="pt-BR"/>
        </w:rPr>
        <w:footnoteReference w:id="36"/>
      </w:r>
      <w:r w:rsidR="004C1CA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4C1CA1" w:rsidRPr="00337743">
        <w:rPr>
          <w:rFonts w:ascii="Cambria" w:hAnsi="Cambria"/>
          <w:color w:val="000000"/>
          <w:sz w:val="20"/>
          <w:szCs w:val="20"/>
          <w:lang w:val="pt-BR"/>
        </w:rPr>
        <w:t xml:space="preserve">24 de </w:t>
      </w:r>
      <w:r w:rsidR="00F9139C" w:rsidRPr="00337743">
        <w:rPr>
          <w:rFonts w:ascii="Cambria" w:hAnsi="Cambria"/>
          <w:color w:val="000000"/>
          <w:sz w:val="20"/>
          <w:szCs w:val="20"/>
          <w:lang w:val="pt-BR"/>
        </w:rPr>
        <w:t>setembro</w:t>
      </w:r>
      <w:r w:rsidR="004C1CA1" w:rsidRPr="00337743">
        <w:rPr>
          <w:rFonts w:ascii="Cambria" w:hAnsi="Cambria"/>
          <w:color w:val="000000"/>
          <w:sz w:val="20"/>
          <w:szCs w:val="20"/>
          <w:lang w:val="pt-BR"/>
        </w:rPr>
        <w:t xml:space="preserve"> de 1998, Aércio prest</w:t>
      </w:r>
      <w:r w:rsidR="005E7F79" w:rsidRPr="00337743">
        <w:rPr>
          <w:rFonts w:ascii="Cambria" w:hAnsi="Cambria"/>
          <w:color w:val="000000"/>
          <w:sz w:val="20"/>
          <w:szCs w:val="20"/>
          <w:lang w:val="pt-BR"/>
        </w:rPr>
        <w:t>ou</w:t>
      </w:r>
      <w:r w:rsidR="004C1CA1" w:rsidRPr="00337743">
        <w:rPr>
          <w:rFonts w:ascii="Cambria" w:hAnsi="Cambria"/>
          <w:color w:val="000000"/>
          <w:sz w:val="20"/>
          <w:szCs w:val="20"/>
          <w:lang w:val="pt-BR"/>
        </w:rPr>
        <w:t xml:space="preserve"> </w:t>
      </w:r>
      <w:r w:rsidR="005E7F79" w:rsidRPr="00337743">
        <w:rPr>
          <w:rFonts w:ascii="Cambria" w:hAnsi="Cambria"/>
          <w:color w:val="000000"/>
          <w:sz w:val="20"/>
          <w:szCs w:val="20"/>
          <w:lang w:val="pt-BR"/>
        </w:rPr>
        <w:t>espontaneamente</w:t>
      </w:r>
      <w:r w:rsidR="004C1CA1" w:rsidRPr="00337743">
        <w:rPr>
          <w:rFonts w:ascii="Cambria" w:hAnsi="Cambria"/>
          <w:color w:val="000000"/>
          <w:sz w:val="20"/>
          <w:szCs w:val="20"/>
          <w:lang w:val="pt-BR"/>
        </w:rPr>
        <w:t xml:space="preserve"> declara</w:t>
      </w:r>
      <w:r w:rsidR="00350E7E" w:rsidRPr="00337743">
        <w:rPr>
          <w:rFonts w:ascii="Cambria" w:hAnsi="Cambria"/>
          <w:color w:val="000000"/>
          <w:sz w:val="20"/>
          <w:szCs w:val="20"/>
          <w:lang w:val="pt-BR"/>
        </w:rPr>
        <w:t>ções</w:t>
      </w:r>
      <w:r w:rsidR="004C1CA1" w:rsidRPr="00337743">
        <w:rPr>
          <w:rFonts w:ascii="Cambria" w:hAnsi="Cambria"/>
          <w:color w:val="000000"/>
          <w:sz w:val="20"/>
          <w:szCs w:val="20"/>
          <w:lang w:val="pt-BR"/>
        </w:rPr>
        <w:t xml:space="preserve"> </w:t>
      </w:r>
      <w:r w:rsidRPr="00337743">
        <w:rPr>
          <w:rFonts w:ascii="Cambria" w:hAnsi="Cambria"/>
          <w:color w:val="000000"/>
          <w:sz w:val="20"/>
          <w:szCs w:val="20"/>
          <w:lang w:val="pt-BR"/>
        </w:rPr>
        <w:t>à Procuradoria-</w:t>
      </w:r>
      <w:r w:rsidR="004C1CA1" w:rsidRPr="00337743">
        <w:rPr>
          <w:rFonts w:ascii="Cambria" w:hAnsi="Cambria"/>
          <w:color w:val="000000"/>
          <w:sz w:val="20"/>
          <w:szCs w:val="20"/>
          <w:lang w:val="pt-BR"/>
        </w:rPr>
        <w:t xml:space="preserve">Geral de </w:t>
      </w:r>
      <w:r w:rsidR="00E96C24" w:rsidRPr="00337743">
        <w:rPr>
          <w:rFonts w:ascii="Cambria" w:hAnsi="Cambria"/>
          <w:color w:val="000000"/>
          <w:sz w:val="20"/>
          <w:szCs w:val="20"/>
          <w:lang w:val="pt-BR"/>
        </w:rPr>
        <w:t>Justiça</w:t>
      </w:r>
      <w:r w:rsidR="00506331" w:rsidRPr="00337743">
        <w:rPr>
          <w:rFonts w:ascii="Cambria" w:hAnsi="Cambria"/>
          <w:color w:val="000000"/>
          <w:sz w:val="20"/>
          <w:szCs w:val="20"/>
          <w:lang w:val="pt-BR"/>
        </w:rPr>
        <w:t xml:space="preserve"> e </w:t>
      </w:r>
      <w:r w:rsidR="004C1CA1" w:rsidRPr="00337743">
        <w:rPr>
          <w:rFonts w:ascii="Cambria" w:hAnsi="Cambria"/>
          <w:color w:val="000000"/>
          <w:sz w:val="20"/>
          <w:szCs w:val="20"/>
          <w:lang w:val="pt-BR"/>
        </w:rPr>
        <w:t>afirm</w:t>
      </w:r>
      <w:r w:rsidR="005E7F79" w:rsidRPr="00337743">
        <w:rPr>
          <w:rFonts w:ascii="Cambria" w:hAnsi="Cambria"/>
          <w:color w:val="000000"/>
          <w:sz w:val="20"/>
          <w:szCs w:val="20"/>
          <w:lang w:val="pt-BR"/>
        </w:rPr>
        <w:t>ou</w:t>
      </w:r>
      <w:r w:rsidR="004C1CA1" w:rsidRPr="00337743">
        <w:rPr>
          <w:rFonts w:ascii="Cambria" w:hAnsi="Cambria"/>
          <w:color w:val="000000"/>
          <w:sz w:val="20"/>
          <w:szCs w:val="20"/>
          <w:lang w:val="pt-BR"/>
        </w:rPr>
        <w:t xml:space="preserve"> que só con</w:t>
      </w:r>
      <w:r w:rsidR="005E7F79" w:rsidRPr="00337743">
        <w:rPr>
          <w:rFonts w:ascii="Cambria" w:hAnsi="Cambria"/>
          <w:color w:val="000000"/>
          <w:sz w:val="20"/>
          <w:szCs w:val="20"/>
          <w:lang w:val="pt-BR"/>
        </w:rPr>
        <w:t>heceu</w:t>
      </w:r>
      <w:r w:rsidR="00F453EB" w:rsidRPr="00337743">
        <w:rPr>
          <w:rFonts w:ascii="Cambria" w:hAnsi="Cambria"/>
          <w:color w:val="000000"/>
          <w:sz w:val="20"/>
          <w:szCs w:val="20"/>
          <w:lang w:val="pt-BR"/>
        </w:rPr>
        <w:t xml:space="preserve"> à </w:t>
      </w:r>
      <w:r w:rsidR="00E01589" w:rsidRPr="00337743">
        <w:rPr>
          <w:rFonts w:ascii="Cambria" w:hAnsi="Cambria"/>
          <w:color w:val="000000"/>
          <w:sz w:val="20"/>
          <w:szCs w:val="20"/>
          <w:lang w:val="pt-BR"/>
        </w:rPr>
        <w:t>vítima</w:t>
      </w:r>
      <w:r w:rsidR="00506331" w:rsidRPr="00337743">
        <w:rPr>
          <w:rFonts w:ascii="Cambria" w:hAnsi="Cambria"/>
          <w:color w:val="000000"/>
          <w:sz w:val="20"/>
          <w:szCs w:val="20"/>
          <w:lang w:val="pt-BR"/>
        </w:rPr>
        <w:t xml:space="preserve"> </w:t>
      </w:r>
      <w:r w:rsidR="005E7F79"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4C1CA1" w:rsidRPr="00337743">
        <w:rPr>
          <w:rFonts w:ascii="Cambria" w:hAnsi="Cambria"/>
          <w:color w:val="000000"/>
          <w:sz w:val="20"/>
          <w:szCs w:val="20"/>
          <w:lang w:val="pt-BR"/>
        </w:rPr>
        <w:t xml:space="preserve">17 de </w:t>
      </w:r>
      <w:r w:rsidR="005E7F79" w:rsidRPr="00337743">
        <w:rPr>
          <w:rFonts w:ascii="Cambria" w:hAnsi="Cambria"/>
          <w:color w:val="000000"/>
          <w:sz w:val="20"/>
          <w:szCs w:val="20"/>
          <w:lang w:val="pt-BR"/>
        </w:rPr>
        <w:t>junho</w:t>
      </w:r>
      <w:r w:rsidR="004C1CA1" w:rsidRPr="00337743">
        <w:rPr>
          <w:rFonts w:ascii="Cambria" w:hAnsi="Cambria"/>
          <w:color w:val="000000"/>
          <w:sz w:val="20"/>
          <w:szCs w:val="20"/>
          <w:lang w:val="pt-BR"/>
        </w:rPr>
        <w:t xml:space="preserve"> de 1998, ocasi</w:t>
      </w:r>
      <w:r w:rsidR="005E7F79" w:rsidRPr="00337743">
        <w:rPr>
          <w:rFonts w:ascii="Cambria" w:hAnsi="Cambria"/>
          <w:color w:val="000000"/>
          <w:sz w:val="20"/>
          <w:szCs w:val="20"/>
          <w:lang w:val="pt-BR"/>
        </w:rPr>
        <w:t>ão</w:t>
      </w:r>
      <w:r w:rsidR="00091880" w:rsidRPr="00337743">
        <w:rPr>
          <w:rFonts w:ascii="Cambria" w:hAnsi="Cambria"/>
          <w:color w:val="000000"/>
          <w:sz w:val="20"/>
          <w:szCs w:val="20"/>
          <w:lang w:val="pt-BR"/>
        </w:rPr>
        <w:t xml:space="preserve"> na </w:t>
      </w:r>
      <w:r w:rsidR="004C1CA1" w:rsidRPr="00337743">
        <w:rPr>
          <w:rFonts w:ascii="Cambria" w:hAnsi="Cambria"/>
          <w:color w:val="000000"/>
          <w:sz w:val="20"/>
          <w:szCs w:val="20"/>
          <w:lang w:val="pt-BR"/>
        </w:rPr>
        <w:t>qu</w:t>
      </w:r>
      <w:r w:rsidR="005E7F79" w:rsidRPr="00337743">
        <w:rPr>
          <w:rFonts w:ascii="Cambria" w:hAnsi="Cambria"/>
          <w:color w:val="000000"/>
          <w:sz w:val="20"/>
          <w:szCs w:val="20"/>
          <w:lang w:val="pt-BR"/>
        </w:rPr>
        <w:t>al</w:t>
      </w:r>
      <w:r w:rsidR="004C1CA1" w:rsidRPr="00337743">
        <w:rPr>
          <w:rFonts w:ascii="Cambria" w:hAnsi="Cambria"/>
          <w:color w:val="000000"/>
          <w:sz w:val="20"/>
          <w:szCs w:val="20"/>
          <w:lang w:val="pt-BR"/>
        </w:rPr>
        <w:t xml:space="preserve"> ela </w:t>
      </w:r>
      <w:r w:rsidR="005E7F79" w:rsidRPr="00337743">
        <w:rPr>
          <w:rFonts w:ascii="Cambria" w:hAnsi="Cambria"/>
          <w:color w:val="000000"/>
          <w:sz w:val="20"/>
          <w:szCs w:val="20"/>
          <w:lang w:val="pt-BR"/>
        </w:rPr>
        <w:t>te</w:t>
      </w:r>
      <w:r w:rsidR="004C1CA1" w:rsidRPr="00337743">
        <w:rPr>
          <w:rFonts w:ascii="Cambria" w:hAnsi="Cambria"/>
          <w:color w:val="000000"/>
          <w:sz w:val="20"/>
          <w:szCs w:val="20"/>
          <w:lang w:val="pt-BR"/>
        </w:rPr>
        <w:t>r</w:t>
      </w:r>
      <w:r w:rsidR="00BF72CE" w:rsidRPr="00337743">
        <w:rPr>
          <w:rFonts w:ascii="Cambria" w:hAnsi="Cambria"/>
          <w:color w:val="000000"/>
          <w:sz w:val="20"/>
          <w:szCs w:val="20"/>
          <w:lang w:val="pt-BR"/>
        </w:rPr>
        <w:t>ia</w:t>
      </w:r>
      <w:r w:rsidR="004C1CA1" w:rsidRPr="00337743">
        <w:rPr>
          <w:rFonts w:ascii="Cambria" w:hAnsi="Cambria"/>
          <w:color w:val="000000"/>
          <w:sz w:val="20"/>
          <w:szCs w:val="20"/>
          <w:lang w:val="pt-BR"/>
        </w:rPr>
        <w:t xml:space="preserve"> estado</w:t>
      </w:r>
      <w:r w:rsidR="00091880" w:rsidRPr="00337743">
        <w:rPr>
          <w:rFonts w:ascii="Cambria" w:hAnsi="Cambria"/>
          <w:color w:val="000000"/>
          <w:sz w:val="20"/>
          <w:szCs w:val="20"/>
          <w:lang w:val="pt-BR"/>
        </w:rPr>
        <w:t xml:space="preserve"> em </w:t>
      </w:r>
      <w:r w:rsidR="004C1CA1" w:rsidRPr="00337743">
        <w:rPr>
          <w:rFonts w:ascii="Cambria" w:hAnsi="Cambria"/>
          <w:color w:val="000000"/>
          <w:sz w:val="20"/>
          <w:szCs w:val="20"/>
          <w:lang w:val="pt-BR"/>
        </w:rPr>
        <w:t>su</w:t>
      </w:r>
      <w:r w:rsidR="005E7F79" w:rsidRPr="00337743">
        <w:rPr>
          <w:rFonts w:ascii="Cambria" w:hAnsi="Cambria"/>
          <w:color w:val="000000"/>
          <w:sz w:val="20"/>
          <w:szCs w:val="20"/>
          <w:lang w:val="pt-BR"/>
        </w:rPr>
        <w:t>a</w:t>
      </w:r>
      <w:r w:rsidR="004C1CA1" w:rsidRPr="00337743">
        <w:rPr>
          <w:rFonts w:ascii="Cambria" w:hAnsi="Cambria"/>
          <w:color w:val="000000"/>
          <w:sz w:val="20"/>
          <w:szCs w:val="20"/>
          <w:lang w:val="pt-BR"/>
        </w:rPr>
        <w:t xml:space="preserve"> casa</w:t>
      </w:r>
      <w:r w:rsidR="00091880" w:rsidRPr="00337743">
        <w:rPr>
          <w:rFonts w:ascii="Cambria" w:hAnsi="Cambria"/>
          <w:color w:val="000000"/>
          <w:sz w:val="20"/>
          <w:szCs w:val="20"/>
          <w:lang w:val="pt-BR"/>
        </w:rPr>
        <w:t xml:space="preserve"> em </w:t>
      </w:r>
      <w:r w:rsidR="004C1CA1" w:rsidRPr="00337743">
        <w:rPr>
          <w:rFonts w:ascii="Cambria" w:hAnsi="Cambria"/>
          <w:color w:val="000000"/>
          <w:sz w:val="20"/>
          <w:szCs w:val="20"/>
          <w:lang w:val="pt-BR"/>
        </w:rPr>
        <w:t>busca de a</w:t>
      </w:r>
      <w:r w:rsidR="005E7F79" w:rsidRPr="00337743">
        <w:rPr>
          <w:rFonts w:ascii="Cambria" w:hAnsi="Cambria"/>
          <w:color w:val="000000"/>
          <w:sz w:val="20"/>
          <w:szCs w:val="20"/>
          <w:lang w:val="pt-BR"/>
        </w:rPr>
        <w:t>j</w:t>
      </w:r>
      <w:r w:rsidR="004C1CA1" w:rsidRPr="00337743">
        <w:rPr>
          <w:rFonts w:ascii="Cambria" w:hAnsi="Cambria"/>
          <w:color w:val="000000"/>
          <w:sz w:val="20"/>
          <w:szCs w:val="20"/>
          <w:lang w:val="pt-BR"/>
        </w:rPr>
        <w:t>uda financ</w:t>
      </w:r>
      <w:r w:rsidR="005E7F79" w:rsidRPr="00337743">
        <w:rPr>
          <w:rFonts w:ascii="Cambria" w:hAnsi="Cambria"/>
          <w:color w:val="000000"/>
          <w:sz w:val="20"/>
          <w:szCs w:val="20"/>
          <w:lang w:val="pt-BR"/>
        </w:rPr>
        <w:t>e</w:t>
      </w:r>
      <w:r w:rsidR="004C1CA1" w:rsidRPr="00337743">
        <w:rPr>
          <w:rFonts w:ascii="Cambria" w:hAnsi="Cambria"/>
          <w:color w:val="000000"/>
          <w:sz w:val="20"/>
          <w:szCs w:val="20"/>
          <w:lang w:val="pt-BR"/>
        </w:rPr>
        <w:t>ira</w:t>
      </w:r>
      <w:r w:rsidR="00506331" w:rsidRPr="00337743">
        <w:rPr>
          <w:rFonts w:ascii="Cambria" w:hAnsi="Cambria"/>
          <w:color w:val="000000"/>
          <w:sz w:val="20"/>
          <w:szCs w:val="20"/>
          <w:lang w:val="pt-BR"/>
        </w:rPr>
        <w:t xml:space="preserve"> e </w:t>
      </w:r>
      <w:r w:rsidR="00E01589" w:rsidRPr="00337743">
        <w:rPr>
          <w:rFonts w:ascii="Cambria" w:hAnsi="Cambria"/>
          <w:color w:val="000000"/>
          <w:sz w:val="20"/>
          <w:szCs w:val="20"/>
          <w:lang w:val="pt-BR"/>
        </w:rPr>
        <w:t>telefone</w:t>
      </w:r>
      <w:r w:rsidR="004C1CA1" w:rsidRPr="00337743">
        <w:rPr>
          <w:rFonts w:ascii="Cambria" w:hAnsi="Cambria"/>
          <w:color w:val="000000"/>
          <w:sz w:val="20"/>
          <w:szCs w:val="20"/>
          <w:lang w:val="pt-BR"/>
        </w:rPr>
        <w:t xml:space="preserve"> </w:t>
      </w:r>
      <w:r w:rsidR="005E7F79" w:rsidRPr="00337743">
        <w:rPr>
          <w:rFonts w:ascii="Cambria" w:hAnsi="Cambria"/>
          <w:color w:val="000000"/>
          <w:sz w:val="20"/>
          <w:szCs w:val="20"/>
          <w:lang w:val="pt-BR"/>
        </w:rPr>
        <w:t>celular</w:t>
      </w:r>
      <w:r w:rsidR="004C1CA1" w:rsidRPr="00337743">
        <w:rPr>
          <w:rFonts w:ascii="Cambria" w:hAnsi="Cambria"/>
          <w:color w:val="000000"/>
          <w:sz w:val="20"/>
          <w:szCs w:val="20"/>
          <w:lang w:val="pt-BR"/>
        </w:rPr>
        <w:t xml:space="preserve"> para </w:t>
      </w:r>
      <w:r w:rsidR="005E7F79" w:rsidRPr="00337743">
        <w:rPr>
          <w:rFonts w:ascii="Cambria" w:hAnsi="Cambria"/>
          <w:color w:val="000000"/>
          <w:sz w:val="20"/>
          <w:szCs w:val="20"/>
          <w:lang w:val="pt-BR"/>
        </w:rPr>
        <w:t>f</w:t>
      </w:r>
      <w:r w:rsidR="004C1CA1" w:rsidRPr="00337743">
        <w:rPr>
          <w:rFonts w:ascii="Cambria" w:hAnsi="Cambria"/>
          <w:color w:val="000000"/>
          <w:sz w:val="20"/>
          <w:szCs w:val="20"/>
          <w:lang w:val="pt-BR"/>
        </w:rPr>
        <w:t>a</w:t>
      </w:r>
      <w:r w:rsidR="005E7F79" w:rsidRPr="00337743">
        <w:rPr>
          <w:rFonts w:ascii="Cambria" w:hAnsi="Cambria"/>
          <w:color w:val="000000"/>
          <w:sz w:val="20"/>
          <w:szCs w:val="20"/>
          <w:lang w:val="pt-BR"/>
        </w:rPr>
        <w:t>z</w:t>
      </w:r>
      <w:r w:rsidR="004C1CA1" w:rsidRPr="00337743">
        <w:rPr>
          <w:rFonts w:ascii="Cambria" w:hAnsi="Cambria"/>
          <w:color w:val="000000"/>
          <w:sz w:val="20"/>
          <w:szCs w:val="20"/>
          <w:lang w:val="pt-BR"/>
        </w:rPr>
        <w:t>er</w:t>
      </w:r>
      <w:r w:rsidR="00091880" w:rsidRPr="00337743">
        <w:rPr>
          <w:rFonts w:ascii="Cambria" w:hAnsi="Cambria"/>
          <w:color w:val="000000"/>
          <w:sz w:val="20"/>
          <w:szCs w:val="20"/>
          <w:lang w:val="pt-BR"/>
        </w:rPr>
        <w:t xml:space="preserve"> uma </w:t>
      </w:r>
      <w:r w:rsidR="005E7F79" w:rsidRPr="00337743">
        <w:rPr>
          <w:rFonts w:ascii="Cambria" w:hAnsi="Cambria"/>
          <w:color w:val="000000"/>
          <w:sz w:val="20"/>
          <w:szCs w:val="20"/>
          <w:lang w:val="pt-BR"/>
        </w:rPr>
        <w:t>ch</w:t>
      </w:r>
      <w:r w:rsidR="004C1CA1" w:rsidRPr="00337743">
        <w:rPr>
          <w:rFonts w:ascii="Cambria" w:hAnsi="Cambria"/>
          <w:color w:val="000000"/>
          <w:sz w:val="20"/>
          <w:szCs w:val="20"/>
          <w:lang w:val="pt-BR"/>
        </w:rPr>
        <w:t>amada,</w:t>
      </w:r>
      <w:r w:rsidR="00325DAC" w:rsidRPr="00337743">
        <w:rPr>
          <w:rFonts w:ascii="Cambria" w:hAnsi="Cambria"/>
          <w:color w:val="000000"/>
          <w:sz w:val="20"/>
          <w:szCs w:val="20"/>
          <w:lang w:val="pt-BR"/>
        </w:rPr>
        <w:t xml:space="preserve"> sem </w:t>
      </w:r>
      <w:r w:rsidR="00111355" w:rsidRPr="00337743">
        <w:rPr>
          <w:rFonts w:ascii="Cambria" w:hAnsi="Cambria"/>
          <w:color w:val="000000"/>
          <w:sz w:val="20"/>
          <w:szCs w:val="20"/>
          <w:lang w:val="pt-BR"/>
        </w:rPr>
        <w:t>que</w:t>
      </w:r>
      <w:r w:rsidR="00506331" w:rsidRPr="00337743">
        <w:rPr>
          <w:rFonts w:ascii="Cambria" w:hAnsi="Cambria"/>
          <w:color w:val="000000"/>
          <w:sz w:val="20"/>
          <w:szCs w:val="20"/>
          <w:lang w:val="pt-BR"/>
        </w:rPr>
        <w:t xml:space="preserve"> </w:t>
      </w:r>
      <w:r w:rsidR="005E7F79" w:rsidRPr="00337743">
        <w:rPr>
          <w:rFonts w:ascii="Cambria" w:hAnsi="Cambria"/>
          <w:color w:val="000000"/>
          <w:sz w:val="20"/>
          <w:szCs w:val="20"/>
          <w:lang w:val="pt-BR"/>
        </w:rPr>
        <w:t>tivesse voltado a vê-la</w:t>
      </w:r>
      <w:r w:rsidR="004C1CA1" w:rsidRPr="00337743">
        <w:rPr>
          <w:rFonts w:ascii="Cambria" w:hAnsi="Cambria"/>
          <w:color w:val="000000"/>
          <w:sz w:val="20"/>
          <w:szCs w:val="20"/>
          <w:vertAlign w:val="superscript"/>
          <w:lang w:val="pt-BR"/>
        </w:rPr>
        <w:footnoteReference w:id="37"/>
      </w:r>
      <w:r w:rsidR="004C1CA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5E7F79"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4C1CA1" w:rsidRPr="00337743">
        <w:rPr>
          <w:rFonts w:ascii="Cambria" w:hAnsi="Cambria"/>
          <w:color w:val="000000"/>
          <w:sz w:val="20"/>
          <w:szCs w:val="20"/>
          <w:lang w:val="pt-BR"/>
        </w:rPr>
        <w:t xml:space="preserve">2 de </w:t>
      </w:r>
      <w:r w:rsidR="005E7F79" w:rsidRPr="00337743">
        <w:rPr>
          <w:rFonts w:ascii="Cambria" w:hAnsi="Cambria"/>
          <w:color w:val="000000"/>
          <w:sz w:val="20"/>
          <w:szCs w:val="20"/>
          <w:lang w:val="pt-BR"/>
        </w:rPr>
        <w:t>outubro</w:t>
      </w:r>
      <w:r w:rsidR="004C1CA1" w:rsidRPr="00337743">
        <w:rPr>
          <w:rFonts w:ascii="Cambria" w:hAnsi="Cambria"/>
          <w:color w:val="000000"/>
          <w:sz w:val="20"/>
          <w:szCs w:val="20"/>
          <w:lang w:val="pt-BR"/>
        </w:rPr>
        <w:t xml:space="preserve"> de 1998,</w:t>
      </w:r>
      <w:r w:rsidR="00506331" w:rsidRPr="00337743">
        <w:rPr>
          <w:rFonts w:ascii="Cambria" w:hAnsi="Cambria"/>
          <w:color w:val="000000"/>
          <w:sz w:val="20"/>
          <w:szCs w:val="20"/>
          <w:lang w:val="pt-BR"/>
        </w:rPr>
        <w:t xml:space="preserve"> o </w:t>
      </w:r>
      <w:r w:rsidR="004C1CA1" w:rsidRPr="00337743">
        <w:rPr>
          <w:rFonts w:ascii="Cambria" w:hAnsi="Cambria"/>
          <w:color w:val="000000"/>
          <w:sz w:val="20"/>
          <w:szCs w:val="20"/>
          <w:lang w:val="pt-BR"/>
        </w:rPr>
        <w:t xml:space="preserve">Procurador de </w:t>
      </w:r>
      <w:r w:rsidR="00E96C24" w:rsidRPr="00337743">
        <w:rPr>
          <w:rFonts w:ascii="Cambria" w:hAnsi="Cambria"/>
          <w:color w:val="000000"/>
          <w:sz w:val="20"/>
          <w:szCs w:val="20"/>
          <w:lang w:val="pt-BR"/>
        </w:rPr>
        <w:t>Justiça</w:t>
      </w:r>
      <w:r w:rsidR="004C1CA1" w:rsidRPr="00337743">
        <w:rPr>
          <w:rFonts w:ascii="Cambria" w:hAnsi="Cambria"/>
          <w:color w:val="000000"/>
          <w:sz w:val="20"/>
          <w:szCs w:val="20"/>
          <w:lang w:val="pt-BR"/>
        </w:rPr>
        <w:t xml:space="preserve"> solicit</w:t>
      </w:r>
      <w:r w:rsidR="005E7F79" w:rsidRPr="00337743">
        <w:rPr>
          <w:rFonts w:ascii="Cambria" w:hAnsi="Cambria"/>
          <w:color w:val="000000"/>
          <w:sz w:val="20"/>
          <w:szCs w:val="20"/>
          <w:lang w:val="pt-BR"/>
        </w:rPr>
        <w:t>ou</w:t>
      </w:r>
      <w:r w:rsidR="004C1CA1"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nov</w:t>
      </w:r>
      <w:r w:rsidR="004C1CA1" w:rsidRPr="00337743">
        <w:rPr>
          <w:rFonts w:ascii="Cambria" w:hAnsi="Cambria"/>
          <w:color w:val="000000"/>
          <w:sz w:val="20"/>
          <w:szCs w:val="20"/>
          <w:lang w:val="pt-BR"/>
        </w:rPr>
        <w:t xml:space="preserve">as </w:t>
      </w:r>
      <w:r w:rsidR="009A6882" w:rsidRPr="00337743">
        <w:rPr>
          <w:rFonts w:ascii="Cambria" w:hAnsi="Cambria"/>
          <w:color w:val="000000"/>
          <w:sz w:val="20"/>
          <w:szCs w:val="20"/>
          <w:lang w:val="pt-BR"/>
        </w:rPr>
        <w:t>diligências</w:t>
      </w:r>
      <w:r w:rsidR="007707E3" w:rsidRPr="00337743">
        <w:rPr>
          <w:rFonts w:ascii="Cambria" w:hAnsi="Cambria"/>
          <w:color w:val="000000"/>
          <w:sz w:val="20"/>
          <w:szCs w:val="20"/>
          <w:lang w:val="pt-BR"/>
        </w:rPr>
        <w:t xml:space="preserve"> às </w:t>
      </w:r>
      <w:r w:rsidR="004C1CA1" w:rsidRPr="00337743">
        <w:rPr>
          <w:rFonts w:ascii="Cambria" w:hAnsi="Cambria"/>
          <w:color w:val="000000"/>
          <w:sz w:val="20"/>
          <w:szCs w:val="20"/>
          <w:lang w:val="pt-BR"/>
        </w:rPr>
        <w:t>autoridades polici</w:t>
      </w:r>
      <w:r w:rsidR="007707E3" w:rsidRPr="00337743">
        <w:rPr>
          <w:rFonts w:ascii="Cambria" w:hAnsi="Cambria"/>
          <w:color w:val="000000"/>
          <w:sz w:val="20"/>
          <w:szCs w:val="20"/>
          <w:lang w:val="pt-BR"/>
        </w:rPr>
        <w:t>ais</w:t>
      </w:r>
      <w:r w:rsidR="004C1CA1" w:rsidRPr="00337743">
        <w:rPr>
          <w:rFonts w:ascii="Cambria" w:hAnsi="Cambria"/>
          <w:color w:val="000000"/>
          <w:sz w:val="20"/>
          <w:szCs w:val="20"/>
          <w:vertAlign w:val="superscript"/>
          <w:lang w:val="pt-BR"/>
        </w:rPr>
        <w:footnoteReference w:id="38"/>
      </w:r>
      <w:r w:rsidR="004C1CA1" w:rsidRPr="00337743">
        <w:rPr>
          <w:rFonts w:ascii="Cambria" w:hAnsi="Cambria"/>
          <w:color w:val="000000"/>
          <w:sz w:val="20"/>
          <w:szCs w:val="20"/>
          <w:lang w:val="pt-BR"/>
        </w:rPr>
        <w:t>.</w:t>
      </w:r>
      <w:r w:rsidR="002617BE" w:rsidRPr="00337743">
        <w:rPr>
          <w:rFonts w:ascii="Cambria" w:hAnsi="Cambria"/>
          <w:color w:val="000000"/>
          <w:sz w:val="20"/>
          <w:szCs w:val="20"/>
          <w:lang w:val="pt-BR"/>
        </w:rPr>
        <w:t xml:space="preserve"> </w:t>
      </w:r>
    </w:p>
    <w:p w14:paraId="12D86B26" w14:textId="77777777" w:rsidR="003B662F" w:rsidRPr="00337743" w:rsidRDefault="003B662F" w:rsidP="000D6F2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color w:val="000000"/>
          <w:sz w:val="20"/>
          <w:szCs w:val="20"/>
          <w:lang w:val="pt-BR"/>
        </w:rPr>
      </w:pPr>
    </w:p>
    <w:p w14:paraId="13934EC6" w14:textId="77777777" w:rsidR="00F1290D" w:rsidRPr="00337743" w:rsidRDefault="00542F30" w:rsidP="00287D5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Como privil</w:t>
      </w:r>
      <w:r w:rsidR="00125D8F" w:rsidRPr="00337743">
        <w:rPr>
          <w:rFonts w:ascii="Cambria" w:hAnsi="Cambria"/>
          <w:color w:val="000000"/>
          <w:sz w:val="20"/>
          <w:szCs w:val="20"/>
          <w:lang w:val="pt-BR"/>
        </w:rPr>
        <w:t>é</w:t>
      </w:r>
      <w:r w:rsidRPr="00337743">
        <w:rPr>
          <w:rFonts w:ascii="Cambria" w:hAnsi="Cambria"/>
          <w:color w:val="000000"/>
          <w:sz w:val="20"/>
          <w:szCs w:val="20"/>
          <w:lang w:val="pt-BR"/>
        </w:rPr>
        <w:t>gio inerente a s</w:t>
      </w:r>
      <w:r w:rsidR="003E7207" w:rsidRPr="00337743">
        <w:rPr>
          <w:rFonts w:ascii="Cambria" w:hAnsi="Cambria"/>
          <w:color w:val="000000"/>
          <w:sz w:val="20"/>
          <w:szCs w:val="20"/>
          <w:lang w:val="pt-BR"/>
        </w:rPr>
        <w:t>e</w:t>
      </w:r>
      <w:r w:rsidRPr="00337743">
        <w:rPr>
          <w:rFonts w:ascii="Cambria" w:hAnsi="Cambria"/>
          <w:color w:val="000000"/>
          <w:sz w:val="20"/>
          <w:szCs w:val="20"/>
          <w:lang w:val="pt-BR"/>
        </w:rPr>
        <w:t>u cargo,</w:t>
      </w:r>
      <w:r w:rsidR="00506331" w:rsidRPr="00337743">
        <w:rPr>
          <w:rFonts w:ascii="Cambria" w:hAnsi="Cambria"/>
          <w:color w:val="000000"/>
          <w:sz w:val="20"/>
          <w:szCs w:val="20"/>
          <w:lang w:val="pt-BR"/>
        </w:rPr>
        <w:t xml:space="preserve"> o </w:t>
      </w:r>
      <w:r w:rsidRPr="00337743">
        <w:rPr>
          <w:rFonts w:ascii="Cambria" w:hAnsi="Cambria"/>
          <w:color w:val="000000"/>
          <w:sz w:val="20"/>
          <w:szCs w:val="20"/>
          <w:lang w:val="pt-BR"/>
        </w:rPr>
        <w:t>ent</w:t>
      </w:r>
      <w:r w:rsidR="003E7207" w:rsidRPr="00337743">
        <w:rPr>
          <w:rFonts w:ascii="Cambria" w:hAnsi="Cambria"/>
          <w:color w:val="000000"/>
          <w:sz w:val="20"/>
          <w:szCs w:val="20"/>
          <w:lang w:val="pt-BR"/>
        </w:rPr>
        <w:t>ã</w:t>
      </w:r>
      <w:r w:rsidRPr="00337743">
        <w:rPr>
          <w:rFonts w:ascii="Cambria" w:hAnsi="Cambria"/>
          <w:color w:val="000000"/>
          <w:sz w:val="20"/>
          <w:szCs w:val="20"/>
          <w:lang w:val="pt-BR"/>
        </w:rPr>
        <w:t>o</w:t>
      </w:r>
      <w:r w:rsidR="003E7207" w:rsidRPr="00337743">
        <w:rPr>
          <w:rFonts w:ascii="Cambria" w:hAnsi="Cambria"/>
          <w:color w:val="000000"/>
          <w:sz w:val="20"/>
          <w:szCs w:val="20"/>
          <w:lang w:val="pt-BR"/>
        </w:rPr>
        <w:t xml:space="preserve"> </w:t>
      </w:r>
      <w:r w:rsidR="00114C2E" w:rsidRPr="00337743">
        <w:rPr>
          <w:rFonts w:ascii="Cambria" w:hAnsi="Cambria"/>
          <w:color w:val="000000"/>
          <w:sz w:val="20"/>
          <w:szCs w:val="20"/>
          <w:lang w:val="pt-BR"/>
        </w:rPr>
        <w:t>Deputado</w:t>
      </w:r>
      <w:r w:rsidRPr="00337743">
        <w:rPr>
          <w:rFonts w:ascii="Cambria" w:hAnsi="Cambria"/>
          <w:color w:val="000000"/>
          <w:sz w:val="20"/>
          <w:szCs w:val="20"/>
          <w:lang w:val="pt-BR"/>
        </w:rPr>
        <w:t xml:space="preserve"> goza</w:t>
      </w:r>
      <w:r w:rsidR="003E7207" w:rsidRPr="00337743">
        <w:rPr>
          <w:rFonts w:ascii="Cambria" w:hAnsi="Cambria"/>
          <w:color w:val="000000"/>
          <w:sz w:val="20"/>
          <w:szCs w:val="20"/>
          <w:lang w:val="pt-BR"/>
        </w:rPr>
        <w:t>v</w:t>
      </w:r>
      <w:r w:rsidRPr="00337743">
        <w:rPr>
          <w:rFonts w:ascii="Cambria" w:hAnsi="Cambria"/>
          <w:color w:val="000000"/>
          <w:sz w:val="20"/>
          <w:szCs w:val="20"/>
          <w:lang w:val="pt-BR"/>
        </w:rPr>
        <w:t>a</w:t>
      </w:r>
      <w:r w:rsidR="007707E3" w:rsidRPr="00337743">
        <w:rPr>
          <w:rFonts w:ascii="Cambria" w:hAnsi="Cambria"/>
          <w:color w:val="000000"/>
          <w:sz w:val="20"/>
          <w:szCs w:val="20"/>
          <w:lang w:val="pt-BR"/>
        </w:rPr>
        <w:t xml:space="preserve"> da </w:t>
      </w:r>
      <w:r w:rsidR="00DB5118" w:rsidRPr="00337743">
        <w:rPr>
          <w:rFonts w:ascii="Cambria" w:hAnsi="Cambria"/>
          <w:color w:val="000000"/>
          <w:sz w:val="20"/>
          <w:szCs w:val="20"/>
          <w:lang w:val="pt-BR"/>
        </w:rPr>
        <w:t>im</w:t>
      </w:r>
      <w:r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Pr="00337743">
        <w:rPr>
          <w:rFonts w:ascii="Cambria" w:hAnsi="Cambria"/>
          <w:color w:val="000000"/>
          <w:sz w:val="20"/>
          <w:szCs w:val="20"/>
          <w:lang w:val="pt-BR"/>
        </w:rPr>
        <w:t xml:space="preserve">parlamentar </w:t>
      </w:r>
      <w:r w:rsidR="00EA374D" w:rsidRPr="00337743">
        <w:rPr>
          <w:rFonts w:ascii="Cambria" w:hAnsi="Cambria"/>
          <w:color w:val="000000"/>
          <w:sz w:val="20"/>
          <w:szCs w:val="20"/>
          <w:lang w:val="pt-BR"/>
        </w:rPr>
        <w:t>prevista</w:t>
      </w:r>
      <w:r w:rsidR="00091880" w:rsidRPr="00337743">
        <w:rPr>
          <w:rFonts w:ascii="Cambria" w:hAnsi="Cambria"/>
          <w:color w:val="000000"/>
          <w:sz w:val="20"/>
          <w:szCs w:val="20"/>
          <w:lang w:val="pt-BR"/>
        </w:rPr>
        <w:t xml:space="preserve"> no artigo</w:t>
      </w:r>
      <w:r w:rsidR="00EA374D" w:rsidRPr="00337743">
        <w:rPr>
          <w:rFonts w:ascii="Cambria" w:hAnsi="Cambria"/>
          <w:color w:val="000000"/>
          <w:sz w:val="20"/>
          <w:szCs w:val="20"/>
          <w:lang w:val="pt-BR"/>
        </w:rPr>
        <w:t xml:space="preserve"> 53</w:t>
      </w:r>
      <w:r w:rsidR="007707E3" w:rsidRPr="00337743">
        <w:rPr>
          <w:rFonts w:ascii="Cambria" w:hAnsi="Cambria"/>
          <w:color w:val="000000"/>
          <w:sz w:val="20"/>
          <w:szCs w:val="20"/>
          <w:lang w:val="pt-BR"/>
        </w:rPr>
        <w:t xml:space="preserve"> da </w:t>
      </w:r>
      <w:r w:rsidR="00EA374D" w:rsidRPr="00337743">
        <w:rPr>
          <w:rFonts w:ascii="Cambria" w:hAnsi="Cambria"/>
          <w:color w:val="000000"/>
          <w:sz w:val="20"/>
          <w:szCs w:val="20"/>
          <w:lang w:val="pt-BR"/>
        </w:rPr>
        <w:t>Constitu</w:t>
      </w:r>
      <w:r w:rsidR="003E7207" w:rsidRPr="00337743">
        <w:rPr>
          <w:rFonts w:ascii="Cambria" w:hAnsi="Cambria"/>
          <w:color w:val="000000"/>
          <w:sz w:val="20"/>
          <w:szCs w:val="20"/>
          <w:lang w:val="pt-BR"/>
        </w:rPr>
        <w:t>i</w:t>
      </w:r>
      <w:r w:rsidR="00350E7E" w:rsidRPr="00337743">
        <w:rPr>
          <w:rFonts w:ascii="Cambria" w:hAnsi="Cambria"/>
          <w:color w:val="000000"/>
          <w:sz w:val="20"/>
          <w:szCs w:val="20"/>
          <w:lang w:val="pt-BR"/>
        </w:rPr>
        <w:t>ção</w:t>
      </w:r>
      <w:r w:rsidR="00EA374D" w:rsidRPr="00337743">
        <w:rPr>
          <w:rFonts w:ascii="Cambria" w:hAnsi="Cambria"/>
          <w:color w:val="000000"/>
          <w:sz w:val="20"/>
          <w:szCs w:val="20"/>
          <w:lang w:val="pt-BR"/>
        </w:rPr>
        <w:t xml:space="preserve"> </w:t>
      </w:r>
      <w:r w:rsidR="00B1530D" w:rsidRPr="00337743">
        <w:rPr>
          <w:rFonts w:ascii="Cambria" w:hAnsi="Cambria"/>
          <w:color w:val="000000"/>
          <w:sz w:val="20"/>
          <w:szCs w:val="20"/>
          <w:lang w:val="pt-BR"/>
        </w:rPr>
        <w:t>brasileir</w:t>
      </w:r>
      <w:r w:rsidR="00EA374D" w:rsidRPr="00337743">
        <w:rPr>
          <w:rFonts w:ascii="Cambria" w:hAnsi="Cambria"/>
          <w:color w:val="000000"/>
          <w:sz w:val="20"/>
          <w:szCs w:val="20"/>
          <w:lang w:val="pt-BR"/>
        </w:rPr>
        <w:t>a</w:t>
      </w:r>
      <w:r w:rsidR="00692771" w:rsidRPr="00337743">
        <w:rPr>
          <w:rFonts w:ascii="Cambria" w:hAnsi="Cambria"/>
          <w:color w:val="000000"/>
          <w:sz w:val="20"/>
          <w:szCs w:val="20"/>
          <w:vertAlign w:val="superscript"/>
          <w:lang w:val="pt-BR"/>
        </w:rPr>
        <w:footnoteReference w:id="39"/>
      </w:r>
      <w:r w:rsidR="00EA374D" w:rsidRPr="00337743">
        <w:rPr>
          <w:rFonts w:ascii="Cambria" w:hAnsi="Cambria"/>
          <w:color w:val="000000"/>
          <w:sz w:val="20"/>
          <w:szCs w:val="20"/>
          <w:lang w:val="pt-BR"/>
        </w:rPr>
        <w:t>. Por es</w:t>
      </w:r>
      <w:r w:rsidR="003E7207" w:rsidRPr="00337743">
        <w:rPr>
          <w:rFonts w:ascii="Cambria" w:hAnsi="Cambria"/>
          <w:color w:val="000000"/>
          <w:sz w:val="20"/>
          <w:szCs w:val="20"/>
          <w:lang w:val="pt-BR"/>
        </w:rPr>
        <w:t>s</w:t>
      </w:r>
      <w:r w:rsidR="00EA374D" w:rsidRPr="00337743">
        <w:rPr>
          <w:rFonts w:ascii="Cambria" w:hAnsi="Cambria"/>
          <w:color w:val="000000"/>
          <w:sz w:val="20"/>
          <w:szCs w:val="20"/>
          <w:lang w:val="pt-BR"/>
        </w:rPr>
        <w:t>a raz</w:t>
      </w:r>
      <w:r w:rsidR="003E7207" w:rsidRPr="00337743">
        <w:rPr>
          <w:rFonts w:ascii="Cambria" w:hAnsi="Cambria"/>
          <w:color w:val="000000"/>
          <w:sz w:val="20"/>
          <w:szCs w:val="20"/>
          <w:lang w:val="pt-BR"/>
        </w:rPr>
        <w:t>ão</w:t>
      </w:r>
      <w:r w:rsidR="00EA374D"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o </w:t>
      </w:r>
      <w:r w:rsidR="003E7207" w:rsidRPr="00337743">
        <w:rPr>
          <w:rFonts w:ascii="Cambria" w:hAnsi="Cambria"/>
          <w:color w:val="000000"/>
          <w:sz w:val="20"/>
          <w:szCs w:val="20"/>
          <w:lang w:val="pt-BR"/>
        </w:rPr>
        <w:t>processo</w:t>
      </w:r>
      <w:r w:rsidR="00091880" w:rsidRPr="00337743">
        <w:rPr>
          <w:rFonts w:ascii="Cambria" w:hAnsi="Cambria"/>
          <w:color w:val="000000"/>
          <w:sz w:val="20"/>
          <w:szCs w:val="20"/>
          <w:lang w:val="pt-BR"/>
        </w:rPr>
        <w:t xml:space="preserve"> foi </w:t>
      </w:r>
      <w:r w:rsidRPr="00337743">
        <w:rPr>
          <w:rFonts w:ascii="Cambria" w:hAnsi="Cambria"/>
          <w:color w:val="000000"/>
          <w:sz w:val="20"/>
          <w:szCs w:val="20"/>
          <w:lang w:val="pt-BR"/>
        </w:rPr>
        <w:t>entreg</w:t>
      </w:r>
      <w:r w:rsidR="003E7207" w:rsidRPr="00337743">
        <w:rPr>
          <w:rFonts w:ascii="Cambria" w:hAnsi="Cambria"/>
          <w:color w:val="000000"/>
          <w:sz w:val="20"/>
          <w:szCs w:val="20"/>
          <w:lang w:val="pt-BR"/>
        </w:rPr>
        <w:t>ue</w:t>
      </w:r>
      <w:r w:rsidR="00BF72CE" w:rsidRPr="00337743">
        <w:rPr>
          <w:rFonts w:ascii="Cambria" w:hAnsi="Cambria"/>
          <w:color w:val="000000"/>
          <w:sz w:val="20"/>
          <w:szCs w:val="20"/>
          <w:lang w:val="pt-BR"/>
        </w:rPr>
        <w:t xml:space="preserve"> ao </w:t>
      </w:r>
      <w:r w:rsidR="003E7207" w:rsidRPr="00A02D3A">
        <w:rPr>
          <w:rFonts w:ascii="Cambria" w:hAnsi="Cambria"/>
          <w:color w:val="000000"/>
          <w:sz w:val="20"/>
          <w:szCs w:val="20"/>
          <w:lang w:val="pt-BR"/>
        </w:rPr>
        <w:t>Ministério</w:t>
      </w:r>
      <w:r w:rsidRPr="00A02D3A">
        <w:rPr>
          <w:rFonts w:ascii="Cambria" w:hAnsi="Cambria"/>
          <w:color w:val="000000"/>
          <w:sz w:val="20"/>
          <w:szCs w:val="20"/>
          <w:lang w:val="pt-BR"/>
        </w:rPr>
        <w:t xml:space="preserve"> Público</w:t>
      </w:r>
      <w:r w:rsidRPr="00337743">
        <w:rPr>
          <w:rFonts w:ascii="Cambria" w:hAnsi="Cambria"/>
          <w:color w:val="000000"/>
          <w:sz w:val="20"/>
          <w:szCs w:val="20"/>
          <w:lang w:val="pt-BR"/>
        </w:rPr>
        <w:t>, qu</w:t>
      </w:r>
      <w:r w:rsidR="003E7207" w:rsidRPr="00337743">
        <w:rPr>
          <w:rFonts w:ascii="Cambria" w:hAnsi="Cambria"/>
          <w:color w:val="000000"/>
          <w:sz w:val="20"/>
          <w:szCs w:val="20"/>
          <w:lang w:val="pt-BR"/>
        </w:rPr>
        <w:t>e</w:t>
      </w:r>
      <w:r w:rsidRPr="00337743">
        <w:rPr>
          <w:rFonts w:ascii="Cambria" w:hAnsi="Cambria"/>
          <w:color w:val="000000"/>
          <w:sz w:val="20"/>
          <w:szCs w:val="20"/>
          <w:lang w:val="pt-BR"/>
        </w:rPr>
        <w:t xml:space="preserve"> </w:t>
      </w:r>
      <w:r w:rsidR="003E7207" w:rsidRPr="00337743">
        <w:rPr>
          <w:rFonts w:ascii="Cambria" w:hAnsi="Cambria"/>
          <w:color w:val="000000"/>
          <w:sz w:val="20"/>
          <w:szCs w:val="20"/>
          <w:lang w:val="pt-BR"/>
        </w:rPr>
        <w:t>denunci</w:t>
      </w:r>
      <w:r w:rsidR="000F3F6E" w:rsidRPr="00337743">
        <w:rPr>
          <w:rFonts w:ascii="Cambria" w:hAnsi="Cambria"/>
          <w:color w:val="000000"/>
          <w:sz w:val="20"/>
          <w:szCs w:val="20"/>
          <w:lang w:val="pt-BR"/>
        </w:rPr>
        <w:t>ou</w:t>
      </w:r>
      <w:r w:rsidR="00506331" w:rsidRPr="00337743">
        <w:rPr>
          <w:rFonts w:ascii="Cambria" w:hAnsi="Cambria"/>
          <w:color w:val="000000"/>
          <w:sz w:val="20"/>
          <w:szCs w:val="20"/>
          <w:lang w:val="pt-BR"/>
        </w:rPr>
        <w:t xml:space="preserve"> o </w:t>
      </w:r>
      <w:r w:rsidRPr="00337743">
        <w:rPr>
          <w:rFonts w:ascii="Cambria" w:hAnsi="Cambria"/>
          <w:color w:val="000000"/>
          <w:sz w:val="20"/>
          <w:szCs w:val="20"/>
          <w:lang w:val="pt-BR"/>
        </w:rPr>
        <w:t>caso</w:t>
      </w:r>
      <w:r w:rsidR="00506331" w:rsidRPr="00337743">
        <w:rPr>
          <w:rFonts w:ascii="Cambria" w:hAnsi="Cambria"/>
          <w:color w:val="000000"/>
          <w:sz w:val="20"/>
          <w:szCs w:val="20"/>
          <w:lang w:val="pt-BR"/>
        </w:rPr>
        <w:t xml:space="preserve"> </w:t>
      </w:r>
      <w:r w:rsidR="003E7207"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6B248E" w:rsidRPr="00337743">
        <w:rPr>
          <w:rFonts w:ascii="Cambria" w:hAnsi="Cambria"/>
          <w:color w:val="000000"/>
          <w:sz w:val="20"/>
          <w:szCs w:val="20"/>
          <w:lang w:val="pt-BR"/>
        </w:rPr>
        <w:t xml:space="preserve">8 de </w:t>
      </w:r>
      <w:r w:rsidR="003E7207" w:rsidRPr="00337743">
        <w:rPr>
          <w:rFonts w:ascii="Cambria" w:hAnsi="Cambria"/>
          <w:color w:val="000000"/>
          <w:sz w:val="20"/>
          <w:szCs w:val="20"/>
          <w:lang w:val="pt-BR"/>
        </w:rPr>
        <w:t>outubro</w:t>
      </w:r>
      <w:r w:rsidR="002617BE" w:rsidRPr="00337743">
        <w:rPr>
          <w:rFonts w:ascii="Cambria" w:hAnsi="Cambria"/>
          <w:color w:val="000000"/>
          <w:sz w:val="20"/>
          <w:szCs w:val="20"/>
          <w:lang w:val="pt-BR"/>
        </w:rPr>
        <w:t xml:space="preserve"> de 1998</w:t>
      </w:r>
      <w:r w:rsidRPr="00337743">
        <w:rPr>
          <w:rFonts w:ascii="Cambria" w:hAnsi="Cambria"/>
          <w:color w:val="000000"/>
          <w:sz w:val="20"/>
          <w:szCs w:val="20"/>
          <w:lang w:val="pt-BR"/>
        </w:rPr>
        <w:t xml:space="preserve">, </w:t>
      </w:r>
      <w:r w:rsidR="007373D2">
        <w:rPr>
          <w:rFonts w:ascii="Cambria" w:hAnsi="Cambria"/>
          <w:color w:val="000000"/>
          <w:sz w:val="20"/>
          <w:szCs w:val="20"/>
          <w:lang w:val="pt-BR"/>
        </w:rPr>
        <w:t>nela constando</w:t>
      </w:r>
      <w:r w:rsidR="00091880" w:rsidRPr="00337743">
        <w:rPr>
          <w:rFonts w:ascii="Cambria" w:hAnsi="Cambria"/>
          <w:color w:val="000000"/>
          <w:sz w:val="20"/>
          <w:szCs w:val="20"/>
          <w:lang w:val="pt-BR"/>
        </w:rPr>
        <w:t xml:space="preserve"> a </w:t>
      </w:r>
      <w:r w:rsidRPr="00337743">
        <w:rPr>
          <w:rFonts w:ascii="Cambria" w:hAnsi="Cambria"/>
          <w:color w:val="000000"/>
          <w:sz w:val="20"/>
          <w:szCs w:val="20"/>
          <w:lang w:val="pt-BR"/>
        </w:rPr>
        <w:t>res</w:t>
      </w:r>
      <w:r w:rsidR="00830891" w:rsidRPr="00337743">
        <w:rPr>
          <w:rFonts w:ascii="Cambria" w:hAnsi="Cambria"/>
          <w:color w:val="000000"/>
          <w:sz w:val="20"/>
          <w:szCs w:val="20"/>
          <w:lang w:val="pt-BR"/>
        </w:rPr>
        <w:t xml:space="preserve">erva </w:t>
      </w:r>
      <w:r w:rsidRPr="00337743">
        <w:rPr>
          <w:rFonts w:ascii="Cambria" w:hAnsi="Cambria"/>
          <w:color w:val="000000"/>
          <w:sz w:val="20"/>
          <w:szCs w:val="20"/>
          <w:lang w:val="pt-BR"/>
        </w:rPr>
        <w:t>de que</w:t>
      </w:r>
      <w:r w:rsidR="00506331" w:rsidRPr="00337743">
        <w:rPr>
          <w:rFonts w:ascii="Cambria" w:hAnsi="Cambria"/>
          <w:color w:val="000000"/>
          <w:sz w:val="20"/>
          <w:szCs w:val="20"/>
          <w:lang w:val="pt-BR"/>
        </w:rPr>
        <w:t xml:space="preserve"> </w:t>
      </w:r>
      <w:r w:rsidR="000F3F6E" w:rsidRPr="00337743">
        <w:rPr>
          <w:rFonts w:ascii="Cambria" w:hAnsi="Cambria"/>
          <w:color w:val="000000"/>
          <w:sz w:val="20"/>
          <w:szCs w:val="20"/>
          <w:lang w:val="pt-BR"/>
        </w:rPr>
        <w:t xml:space="preserve">a </w:t>
      </w:r>
      <w:r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Pr="00337743">
        <w:rPr>
          <w:rFonts w:ascii="Cambria" w:hAnsi="Cambria"/>
          <w:color w:val="000000"/>
          <w:sz w:val="20"/>
          <w:szCs w:val="20"/>
          <w:lang w:val="pt-BR"/>
        </w:rPr>
        <w:t xml:space="preserve"> penal s</w:t>
      </w:r>
      <w:r w:rsidR="000F3F6E" w:rsidRPr="00337743">
        <w:rPr>
          <w:rFonts w:ascii="Cambria" w:hAnsi="Cambria"/>
          <w:color w:val="000000"/>
          <w:sz w:val="20"/>
          <w:szCs w:val="20"/>
          <w:lang w:val="pt-BR"/>
        </w:rPr>
        <w:t xml:space="preserve">ó poderia ter início </w:t>
      </w:r>
      <w:r w:rsidR="00091880" w:rsidRPr="00337743">
        <w:rPr>
          <w:rFonts w:ascii="Cambria" w:hAnsi="Cambria"/>
          <w:color w:val="000000"/>
          <w:sz w:val="20"/>
          <w:szCs w:val="20"/>
          <w:lang w:val="pt-BR"/>
        </w:rPr>
        <w:t xml:space="preserve">com </w:t>
      </w:r>
      <w:r w:rsidR="00506331" w:rsidRPr="00337743">
        <w:rPr>
          <w:rFonts w:ascii="Cambria" w:hAnsi="Cambria"/>
          <w:color w:val="000000"/>
          <w:sz w:val="20"/>
          <w:szCs w:val="20"/>
          <w:lang w:val="pt-BR"/>
        </w:rPr>
        <w:t xml:space="preserve">a </w:t>
      </w:r>
      <w:r w:rsidR="002617BE" w:rsidRPr="00337743">
        <w:rPr>
          <w:rFonts w:ascii="Cambria" w:hAnsi="Cambria"/>
          <w:color w:val="000000"/>
          <w:sz w:val="20"/>
          <w:szCs w:val="20"/>
          <w:lang w:val="pt-BR"/>
        </w:rPr>
        <w:t>neces</w:t>
      </w:r>
      <w:r w:rsidR="000F3F6E" w:rsidRPr="00337743">
        <w:rPr>
          <w:rFonts w:ascii="Cambria" w:hAnsi="Cambria"/>
          <w:color w:val="000000"/>
          <w:sz w:val="20"/>
          <w:szCs w:val="20"/>
          <w:lang w:val="pt-BR"/>
        </w:rPr>
        <w:t>sá</w:t>
      </w:r>
      <w:r w:rsidR="002617BE" w:rsidRPr="00337743">
        <w:rPr>
          <w:rFonts w:ascii="Cambria" w:hAnsi="Cambria"/>
          <w:color w:val="000000"/>
          <w:sz w:val="20"/>
          <w:szCs w:val="20"/>
          <w:lang w:val="pt-BR"/>
        </w:rPr>
        <w:t xml:space="preserve">ria </w:t>
      </w:r>
      <w:r w:rsidR="00A02D3A">
        <w:rPr>
          <w:rFonts w:ascii="Cambria" w:hAnsi="Cambria"/>
          <w:color w:val="000000"/>
          <w:sz w:val="20"/>
          <w:szCs w:val="20"/>
          <w:lang w:val="pt-BR"/>
        </w:rPr>
        <w:t>licença</w:t>
      </w:r>
      <w:r w:rsidR="00F453EB" w:rsidRPr="00337743">
        <w:rPr>
          <w:rFonts w:ascii="Cambria" w:hAnsi="Cambria"/>
          <w:color w:val="000000"/>
          <w:sz w:val="20"/>
          <w:szCs w:val="20"/>
          <w:lang w:val="pt-BR"/>
        </w:rPr>
        <w:t xml:space="preserve"> </w:t>
      </w:r>
      <w:r w:rsidR="000F3F6E" w:rsidRPr="00337743">
        <w:rPr>
          <w:rFonts w:ascii="Cambria" w:hAnsi="Cambria"/>
          <w:color w:val="000000"/>
          <w:sz w:val="20"/>
          <w:szCs w:val="20"/>
          <w:lang w:val="pt-BR"/>
        </w:rPr>
        <w:t>da</w:t>
      </w:r>
      <w:r w:rsidR="00F453EB" w:rsidRPr="00337743">
        <w:rPr>
          <w:rFonts w:ascii="Cambria" w:hAnsi="Cambria"/>
          <w:color w:val="000000"/>
          <w:sz w:val="20"/>
          <w:szCs w:val="20"/>
          <w:lang w:val="pt-BR"/>
        </w:rPr>
        <w:t xml:space="preserve"> </w:t>
      </w:r>
      <w:r w:rsidR="000F3F6E" w:rsidRPr="00337743">
        <w:rPr>
          <w:rFonts w:ascii="Cambria" w:hAnsi="Cambria"/>
          <w:color w:val="000000"/>
          <w:sz w:val="20"/>
          <w:szCs w:val="20"/>
          <w:lang w:val="pt-BR"/>
        </w:rPr>
        <w:t>Assembleia</w:t>
      </w:r>
      <w:r w:rsidR="002617BE" w:rsidRPr="00337743">
        <w:rPr>
          <w:rFonts w:ascii="Cambria" w:hAnsi="Cambria"/>
          <w:color w:val="000000"/>
          <w:sz w:val="20"/>
          <w:szCs w:val="20"/>
          <w:lang w:val="pt-BR"/>
        </w:rPr>
        <w:t xml:space="preserve"> Legislativa</w:t>
      </w:r>
      <w:r w:rsidR="007707E3" w:rsidRPr="00337743">
        <w:rPr>
          <w:rFonts w:ascii="Cambria" w:hAnsi="Cambria"/>
          <w:color w:val="000000"/>
          <w:sz w:val="20"/>
          <w:szCs w:val="20"/>
          <w:lang w:val="pt-BR"/>
        </w:rPr>
        <w:t xml:space="preserve"> do </w:t>
      </w:r>
      <w:r w:rsidR="002617BE" w:rsidRPr="00337743">
        <w:rPr>
          <w:rFonts w:ascii="Cambria" w:hAnsi="Cambria"/>
          <w:color w:val="000000"/>
          <w:sz w:val="20"/>
          <w:szCs w:val="20"/>
          <w:lang w:val="pt-BR"/>
        </w:rPr>
        <w:t>Estado d</w:t>
      </w:r>
      <w:r w:rsidR="000F3F6E" w:rsidRPr="00337743">
        <w:rPr>
          <w:rFonts w:ascii="Cambria" w:hAnsi="Cambria"/>
          <w:color w:val="000000"/>
          <w:sz w:val="20"/>
          <w:szCs w:val="20"/>
          <w:lang w:val="pt-BR"/>
        </w:rPr>
        <w:t>a</w:t>
      </w:r>
      <w:r w:rsidR="002617BE" w:rsidRPr="00337743">
        <w:rPr>
          <w:rFonts w:ascii="Cambria" w:hAnsi="Cambria"/>
          <w:color w:val="000000"/>
          <w:sz w:val="20"/>
          <w:szCs w:val="20"/>
          <w:lang w:val="pt-BR"/>
        </w:rPr>
        <w:t xml:space="preserve"> Paraíba </w:t>
      </w:r>
      <w:r w:rsidRPr="00337743">
        <w:rPr>
          <w:rFonts w:ascii="Cambria" w:hAnsi="Cambria"/>
          <w:color w:val="000000"/>
          <w:sz w:val="20"/>
          <w:szCs w:val="20"/>
          <w:lang w:val="pt-BR"/>
        </w:rPr>
        <w:t>para que</w:t>
      </w:r>
      <w:r w:rsidR="00506331" w:rsidRPr="00337743">
        <w:rPr>
          <w:rFonts w:ascii="Cambria" w:hAnsi="Cambria"/>
          <w:color w:val="000000"/>
          <w:sz w:val="20"/>
          <w:szCs w:val="20"/>
          <w:lang w:val="pt-BR"/>
        </w:rPr>
        <w:t xml:space="preserve"> o </w:t>
      </w:r>
      <w:r w:rsidR="00114C2E" w:rsidRPr="00337743">
        <w:rPr>
          <w:rFonts w:ascii="Cambria" w:hAnsi="Cambria"/>
          <w:color w:val="000000"/>
          <w:sz w:val="20"/>
          <w:szCs w:val="20"/>
          <w:lang w:val="pt-BR"/>
        </w:rPr>
        <w:t>Deputado</w:t>
      </w:r>
      <w:r w:rsidRPr="00337743">
        <w:rPr>
          <w:rFonts w:ascii="Cambria" w:hAnsi="Cambria"/>
          <w:color w:val="000000"/>
          <w:sz w:val="20"/>
          <w:szCs w:val="20"/>
          <w:lang w:val="pt-BR"/>
        </w:rPr>
        <w:t xml:space="preserve"> f</w:t>
      </w:r>
      <w:r w:rsidR="00FD7FD0" w:rsidRPr="00337743">
        <w:rPr>
          <w:rFonts w:ascii="Cambria" w:hAnsi="Cambria"/>
          <w:color w:val="000000"/>
          <w:sz w:val="20"/>
          <w:szCs w:val="20"/>
          <w:lang w:val="pt-BR"/>
        </w:rPr>
        <w:t>oss</w:t>
      </w:r>
      <w:r w:rsidRPr="00337743">
        <w:rPr>
          <w:rFonts w:ascii="Cambria" w:hAnsi="Cambria"/>
          <w:color w:val="000000"/>
          <w:sz w:val="20"/>
          <w:szCs w:val="20"/>
          <w:lang w:val="pt-BR"/>
        </w:rPr>
        <w:t>e proces</w:t>
      </w:r>
      <w:r w:rsidR="00FD7FD0" w:rsidRPr="00337743">
        <w:rPr>
          <w:rFonts w:ascii="Cambria" w:hAnsi="Cambria"/>
          <w:color w:val="000000"/>
          <w:sz w:val="20"/>
          <w:szCs w:val="20"/>
          <w:lang w:val="pt-BR"/>
        </w:rPr>
        <w:t>s</w:t>
      </w:r>
      <w:r w:rsidRPr="00337743">
        <w:rPr>
          <w:rFonts w:ascii="Cambria" w:hAnsi="Cambria"/>
          <w:color w:val="000000"/>
          <w:sz w:val="20"/>
          <w:szCs w:val="20"/>
          <w:lang w:val="pt-BR"/>
        </w:rPr>
        <w:t>ado</w:t>
      </w:r>
      <w:r w:rsidR="002617BE" w:rsidRPr="00337743">
        <w:rPr>
          <w:rFonts w:ascii="Cambria" w:hAnsi="Cambria"/>
          <w:color w:val="000000"/>
          <w:sz w:val="20"/>
          <w:szCs w:val="20"/>
          <w:vertAlign w:val="superscript"/>
          <w:lang w:val="pt-BR"/>
        </w:rPr>
        <w:footnoteReference w:id="40"/>
      </w:r>
      <w:r w:rsidR="002617BE"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FD7FD0"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830891" w:rsidRPr="00337743">
        <w:rPr>
          <w:rFonts w:ascii="Cambria" w:hAnsi="Cambria"/>
          <w:color w:val="000000"/>
          <w:sz w:val="20"/>
          <w:szCs w:val="20"/>
          <w:lang w:val="pt-BR"/>
        </w:rPr>
        <w:t xml:space="preserve">9 de </w:t>
      </w:r>
      <w:r w:rsidR="003E7207" w:rsidRPr="00337743">
        <w:rPr>
          <w:rFonts w:ascii="Cambria" w:hAnsi="Cambria"/>
          <w:color w:val="000000"/>
          <w:sz w:val="20"/>
          <w:szCs w:val="20"/>
          <w:lang w:val="pt-BR"/>
        </w:rPr>
        <w:t>outubro</w:t>
      </w:r>
      <w:r w:rsidR="00830891" w:rsidRPr="00337743">
        <w:rPr>
          <w:rFonts w:ascii="Cambria" w:hAnsi="Cambria"/>
          <w:color w:val="000000"/>
          <w:sz w:val="20"/>
          <w:szCs w:val="20"/>
          <w:lang w:val="pt-BR"/>
        </w:rPr>
        <w:t xml:space="preserve"> d</w:t>
      </w:r>
      <w:r w:rsidR="007373D2">
        <w:rPr>
          <w:rFonts w:ascii="Cambria" w:hAnsi="Cambria"/>
          <w:color w:val="000000"/>
          <w:sz w:val="20"/>
          <w:szCs w:val="20"/>
          <w:lang w:val="pt-BR"/>
        </w:rPr>
        <w:t>aquele</w:t>
      </w:r>
      <w:r w:rsidR="00830891" w:rsidRPr="00337743">
        <w:rPr>
          <w:rFonts w:ascii="Cambria" w:hAnsi="Cambria"/>
          <w:color w:val="000000"/>
          <w:sz w:val="20"/>
          <w:szCs w:val="20"/>
          <w:lang w:val="pt-BR"/>
        </w:rPr>
        <w:t xml:space="preserve"> </w:t>
      </w:r>
      <w:r w:rsidR="003F7A65" w:rsidRPr="00337743">
        <w:rPr>
          <w:rFonts w:ascii="Cambria" w:hAnsi="Cambria"/>
          <w:color w:val="000000"/>
          <w:sz w:val="20"/>
          <w:szCs w:val="20"/>
          <w:lang w:val="pt-BR"/>
        </w:rPr>
        <w:t>ano</w:t>
      </w:r>
      <w:r w:rsidR="0083089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0C6DCC">
        <w:rPr>
          <w:rFonts w:ascii="Cambria" w:hAnsi="Cambria"/>
          <w:color w:val="000000"/>
          <w:sz w:val="20"/>
          <w:szCs w:val="20"/>
          <w:lang w:val="pt-BR"/>
        </w:rPr>
        <w:t>a autoridade judicial responsável pelo</w:t>
      </w:r>
      <w:r w:rsidR="007707E3" w:rsidRPr="00337743">
        <w:rPr>
          <w:rFonts w:ascii="Cambria" w:hAnsi="Cambria"/>
          <w:color w:val="000000"/>
          <w:sz w:val="20"/>
          <w:szCs w:val="20"/>
          <w:lang w:val="pt-BR"/>
        </w:rPr>
        <w:t xml:space="preserve"> </w:t>
      </w:r>
      <w:r w:rsidR="00830891" w:rsidRPr="00337743">
        <w:rPr>
          <w:rFonts w:ascii="Cambria" w:hAnsi="Cambria"/>
          <w:color w:val="000000"/>
          <w:sz w:val="20"/>
          <w:szCs w:val="20"/>
          <w:lang w:val="pt-BR"/>
        </w:rPr>
        <w:t>caso orden</w:t>
      </w:r>
      <w:r w:rsidR="00FD7FD0" w:rsidRPr="00337743">
        <w:rPr>
          <w:rFonts w:ascii="Cambria" w:hAnsi="Cambria"/>
          <w:color w:val="000000"/>
          <w:sz w:val="20"/>
          <w:szCs w:val="20"/>
          <w:lang w:val="pt-BR"/>
        </w:rPr>
        <w:t xml:space="preserve">ou </w:t>
      </w:r>
      <w:r w:rsidR="00830891" w:rsidRPr="00337743">
        <w:rPr>
          <w:rFonts w:ascii="Cambria" w:hAnsi="Cambria"/>
          <w:color w:val="000000"/>
          <w:sz w:val="20"/>
          <w:szCs w:val="20"/>
          <w:lang w:val="pt-BR"/>
        </w:rPr>
        <w:t>s</w:t>
      </w:r>
      <w:r w:rsidR="00FD7FD0" w:rsidRPr="00337743">
        <w:rPr>
          <w:rFonts w:ascii="Cambria" w:hAnsi="Cambria"/>
          <w:color w:val="000000"/>
          <w:sz w:val="20"/>
          <w:szCs w:val="20"/>
          <w:lang w:val="pt-BR"/>
        </w:rPr>
        <w:t>e</w:t>
      </w:r>
      <w:r w:rsidR="00830891" w:rsidRPr="00337743">
        <w:rPr>
          <w:rFonts w:ascii="Cambria" w:hAnsi="Cambria"/>
          <w:color w:val="000000"/>
          <w:sz w:val="20"/>
          <w:szCs w:val="20"/>
          <w:lang w:val="pt-BR"/>
        </w:rPr>
        <w:t xml:space="preserve">u </w:t>
      </w:r>
      <w:r w:rsidR="00FD7FD0" w:rsidRPr="00337743">
        <w:rPr>
          <w:rFonts w:ascii="Cambria" w:hAnsi="Cambria"/>
          <w:color w:val="000000"/>
          <w:sz w:val="20"/>
          <w:szCs w:val="20"/>
          <w:lang w:val="pt-BR"/>
        </w:rPr>
        <w:t>envio</w:t>
      </w:r>
      <w:r w:rsidR="00F453EB" w:rsidRPr="00337743">
        <w:rPr>
          <w:rFonts w:ascii="Cambria" w:hAnsi="Cambria"/>
          <w:color w:val="000000"/>
          <w:sz w:val="20"/>
          <w:szCs w:val="20"/>
          <w:lang w:val="pt-BR"/>
        </w:rPr>
        <w:t xml:space="preserve"> à </w:t>
      </w:r>
      <w:r w:rsidR="00830891" w:rsidRPr="00337743">
        <w:rPr>
          <w:rFonts w:ascii="Cambria" w:hAnsi="Cambria"/>
          <w:color w:val="000000"/>
          <w:sz w:val="20"/>
          <w:szCs w:val="20"/>
          <w:lang w:val="pt-BR"/>
        </w:rPr>
        <w:t>Coord</w:t>
      </w:r>
      <w:r w:rsidR="00FD7FD0" w:rsidRPr="00337743">
        <w:rPr>
          <w:rFonts w:ascii="Cambria" w:hAnsi="Cambria"/>
          <w:color w:val="000000"/>
          <w:sz w:val="20"/>
          <w:szCs w:val="20"/>
          <w:lang w:val="pt-BR"/>
        </w:rPr>
        <w:t>e</w:t>
      </w:r>
      <w:r w:rsidR="00830891" w:rsidRPr="00337743">
        <w:rPr>
          <w:rFonts w:ascii="Cambria" w:hAnsi="Cambria"/>
          <w:color w:val="000000"/>
          <w:sz w:val="20"/>
          <w:szCs w:val="20"/>
          <w:lang w:val="pt-BR"/>
        </w:rPr>
        <w:t>na</w:t>
      </w:r>
      <w:r w:rsidR="00DD281A" w:rsidRPr="00337743">
        <w:rPr>
          <w:rFonts w:ascii="Cambria" w:hAnsi="Cambria"/>
          <w:color w:val="000000"/>
          <w:sz w:val="20"/>
          <w:szCs w:val="20"/>
          <w:lang w:val="pt-BR"/>
        </w:rPr>
        <w:t>doria</w:t>
      </w:r>
      <w:r w:rsidR="00830891" w:rsidRPr="00337743">
        <w:rPr>
          <w:rFonts w:ascii="Cambria" w:hAnsi="Cambria"/>
          <w:color w:val="000000"/>
          <w:sz w:val="20"/>
          <w:szCs w:val="20"/>
          <w:lang w:val="pt-BR"/>
        </w:rPr>
        <w:t xml:space="preserve"> Judicial</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o </w:t>
      </w:r>
      <w:r w:rsidR="00830891" w:rsidRPr="00337743">
        <w:rPr>
          <w:rFonts w:ascii="Cambria" w:hAnsi="Cambria"/>
          <w:color w:val="000000"/>
          <w:sz w:val="20"/>
          <w:szCs w:val="20"/>
          <w:lang w:val="pt-BR"/>
        </w:rPr>
        <w:t>objet</w:t>
      </w:r>
      <w:r w:rsidR="00FD7FD0" w:rsidRPr="00337743">
        <w:rPr>
          <w:rFonts w:ascii="Cambria" w:hAnsi="Cambria"/>
          <w:color w:val="000000"/>
          <w:sz w:val="20"/>
          <w:szCs w:val="20"/>
          <w:lang w:val="pt-BR"/>
        </w:rPr>
        <w:t>iv</w:t>
      </w:r>
      <w:r w:rsidR="00830891" w:rsidRPr="00337743">
        <w:rPr>
          <w:rFonts w:ascii="Cambria" w:hAnsi="Cambria"/>
          <w:color w:val="000000"/>
          <w:sz w:val="20"/>
          <w:szCs w:val="20"/>
          <w:lang w:val="pt-BR"/>
        </w:rPr>
        <w:t xml:space="preserve">o de </w:t>
      </w:r>
      <w:r w:rsidR="007373D2">
        <w:rPr>
          <w:rFonts w:ascii="Cambria" w:hAnsi="Cambria"/>
          <w:color w:val="000000"/>
          <w:sz w:val="20"/>
          <w:szCs w:val="20"/>
          <w:lang w:val="pt-BR"/>
        </w:rPr>
        <w:t>oficiar</w:t>
      </w:r>
      <w:r w:rsidR="00A02D3A">
        <w:rPr>
          <w:rFonts w:ascii="Cambria" w:hAnsi="Cambria"/>
          <w:color w:val="000000"/>
          <w:sz w:val="20"/>
          <w:szCs w:val="20"/>
          <w:lang w:val="pt-BR"/>
        </w:rPr>
        <w:t xml:space="preserve"> o pedido de licença</w:t>
      </w:r>
      <w:r w:rsidR="00F453EB" w:rsidRPr="00337743">
        <w:rPr>
          <w:rFonts w:ascii="Cambria" w:hAnsi="Cambria"/>
          <w:color w:val="000000"/>
          <w:sz w:val="20"/>
          <w:szCs w:val="20"/>
          <w:lang w:val="pt-BR"/>
        </w:rPr>
        <w:t xml:space="preserve"> à </w:t>
      </w:r>
      <w:r w:rsidR="000F3F6E" w:rsidRPr="00337743">
        <w:rPr>
          <w:rFonts w:ascii="Cambria" w:hAnsi="Cambria"/>
          <w:color w:val="000000"/>
          <w:sz w:val="20"/>
          <w:szCs w:val="20"/>
          <w:lang w:val="pt-BR"/>
        </w:rPr>
        <w:t>Assembleia</w:t>
      </w:r>
      <w:r w:rsidR="00830891" w:rsidRPr="00337743">
        <w:rPr>
          <w:rFonts w:ascii="Cambria" w:hAnsi="Cambria"/>
          <w:color w:val="000000"/>
          <w:sz w:val="20"/>
          <w:szCs w:val="20"/>
          <w:lang w:val="pt-BR"/>
        </w:rPr>
        <w:t xml:space="preserve"> Legislativa</w:t>
      </w:r>
      <w:r w:rsidR="00F1164A" w:rsidRPr="00337743">
        <w:rPr>
          <w:rFonts w:ascii="Cambria" w:hAnsi="Cambria"/>
          <w:color w:val="000000"/>
          <w:sz w:val="20"/>
          <w:szCs w:val="20"/>
          <w:vertAlign w:val="superscript"/>
          <w:lang w:val="pt-BR"/>
        </w:rPr>
        <w:footnoteReference w:id="41"/>
      </w:r>
      <w:r w:rsidR="00830891" w:rsidRPr="00337743">
        <w:rPr>
          <w:rFonts w:ascii="Cambria" w:hAnsi="Cambria"/>
          <w:color w:val="000000"/>
          <w:sz w:val="20"/>
          <w:szCs w:val="20"/>
          <w:lang w:val="pt-BR"/>
        </w:rPr>
        <w:t xml:space="preserve">, sendo </w:t>
      </w:r>
      <w:r w:rsidR="003F7A65" w:rsidRPr="00337743">
        <w:rPr>
          <w:rFonts w:ascii="Cambria" w:hAnsi="Cambria"/>
          <w:color w:val="000000"/>
          <w:sz w:val="20"/>
          <w:szCs w:val="20"/>
          <w:lang w:val="pt-BR"/>
        </w:rPr>
        <w:t>esta</w:t>
      </w:r>
      <w:r w:rsidR="00830891" w:rsidRPr="00337743">
        <w:rPr>
          <w:rFonts w:ascii="Cambria" w:hAnsi="Cambria"/>
          <w:color w:val="000000"/>
          <w:sz w:val="20"/>
          <w:szCs w:val="20"/>
          <w:lang w:val="pt-BR"/>
        </w:rPr>
        <w:t xml:space="preserve"> </w:t>
      </w:r>
      <w:r w:rsidR="00FD7FD0" w:rsidRPr="00337743">
        <w:rPr>
          <w:rFonts w:ascii="Cambria" w:hAnsi="Cambria"/>
          <w:color w:val="000000"/>
          <w:sz w:val="20"/>
          <w:szCs w:val="20"/>
          <w:lang w:val="pt-BR"/>
        </w:rPr>
        <w:t>enviada</w:t>
      </w:r>
      <w:r w:rsidR="00BF72CE" w:rsidRPr="00337743">
        <w:rPr>
          <w:rFonts w:ascii="Cambria" w:hAnsi="Cambria"/>
          <w:color w:val="000000"/>
          <w:sz w:val="20"/>
          <w:szCs w:val="20"/>
          <w:lang w:val="pt-BR"/>
        </w:rPr>
        <w:t xml:space="preserve"> ao </w:t>
      </w:r>
      <w:r w:rsidR="00830891" w:rsidRPr="000C6DCC">
        <w:rPr>
          <w:rFonts w:ascii="Cambria" w:hAnsi="Cambria"/>
          <w:sz w:val="20"/>
          <w:szCs w:val="20"/>
          <w:lang w:val="pt-BR"/>
        </w:rPr>
        <w:t>Presidente de</w:t>
      </w:r>
      <w:r w:rsidR="00FD7FD0" w:rsidRPr="000C6DCC">
        <w:rPr>
          <w:rFonts w:ascii="Cambria" w:hAnsi="Cambria"/>
          <w:sz w:val="20"/>
          <w:szCs w:val="20"/>
          <w:lang w:val="pt-BR"/>
        </w:rPr>
        <w:t>sse</w:t>
      </w:r>
      <w:r w:rsidR="00830891" w:rsidRPr="000C6DCC">
        <w:rPr>
          <w:rFonts w:ascii="Cambria" w:hAnsi="Cambria"/>
          <w:sz w:val="20"/>
          <w:szCs w:val="20"/>
          <w:lang w:val="pt-BR"/>
        </w:rPr>
        <w:t xml:space="preserve"> </w:t>
      </w:r>
      <w:r w:rsidR="003F7A65" w:rsidRPr="000C6DCC">
        <w:rPr>
          <w:rFonts w:ascii="Cambria" w:hAnsi="Cambria"/>
          <w:sz w:val="20"/>
          <w:szCs w:val="20"/>
          <w:lang w:val="pt-BR"/>
        </w:rPr>
        <w:t>órgão</w:t>
      </w:r>
      <w:r w:rsidR="00506331" w:rsidRPr="000C6DCC">
        <w:rPr>
          <w:rFonts w:ascii="Cambria" w:hAnsi="Cambria"/>
          <w:sz w:val="20"/>
          <w:szCs w:val="20"/>
          <w:lang w:val="pt-BR"/>
        </w:rPr>
        <w:t xml:space="preserve"> </w:t>
      </w:r>
      <w:r w:rsidR="00FD7FD0" w:rsidRPr="000C6DCC">
        <w:rPr>
          <w:rFonts w:ascii="Cambria" w:hAnsi="Cambria"/>
          <w:sz w:val="20"/>
          <w:szCs w:val="20"/>
          <w:lang w:val="pt-BR"/>
        </w:rPr>
        <w:t>em</w:t>
      </w:r>
      <w:r w:rsidR="00506331" w:rsidRPr="000C6DCC">
        <w:rPr>
          <w:rFonts w:ascii="Cambria" w:hAnsi="Cambria"/>
          <w:sz w:val="20"/>
          <w:szCs w:val="20"/>
          <w:lang w:val="pt-BR"/>
        </w:rPr>
        <w:t xml:space="preserve"> </w:t>
      </w:r>
      <w:r w:rsidR="00830891" w:rsidRPr="000C6DCC">
        <w:rPr>
          <w:rFonts w:ascii="Cambria" w:hAnsi="Cambria"/>
          <w:sz w:val="20"/>
          <w:szCs w:val="20"/>
          <w:lang w:val="pt-BR"/>
        </w:rPr>
        <w:t xml:space="preserve">14 de </w:t>
      </w:r>
      <w:r w:rsidR="003E7207" w:rsidRPr="000C6DCC">
        <w:rPr>
          <w:rFonts w:ascii="Cambria" w:hAnsi="Cambria"/>
          <w:sz w:val="20"/>
          <w:szCs w:val="20"/>
          <w:lang w:val="pt-BR"/>
        </w:rPr>
        <w:t>outubro</w:t>
      </w:r>
      <w:r w:rsidR="00830891" w:rsidRPr="000C6DCC">
        <w:rPr>
          <w:rFonts w:ascii="Cambria" w:hAnsi="Cambria"/>
          <w:sz w:val="20"/>
          <w:szCs w:val="20"/>
          <w:lang w:val="pt-BR"/>
        </w:rPr>
        <w:t xml:space="preserve"> de 1998</w:t>
      </w:r>
      <w:r w:rsidR="00830891" w:rsidRPr="000C6DCC">
        <w:rPr>
          <w:rFonts w:ascii="Cambria" w:hAnsi="Cambria"/>
          <w:sz w:val="20"/>
          <w:szCs w:val="20"/>
          <w:vertAlign w:val="superscript"/>
          <w:lang w:val="pt-BR"/>
        </w:rPr>
        <w:footnoteReference w:id="42"/>
      </w:r>
      <w:r w:rsidR="00830891" w:rsidRPr="000C6DCC">
        <w:rPr>
          <w:rFonts w:ascii="Cambria" w:hAnsi="Cambria"/>
          <w:sz w:val="20"/>
          <w:szCs w:val="20"/>
          <w:lang w:val="pt-BR"/>
        </w:rPr>
        <w:t>.</w:t>
      </w:r>
      <w:r w:rsidR="00506331" w:rsidRPr="000C6DCC">
        <w:rPr>
          <w:rFonts w:ascii="Cambria" w:hAnsi="Cambria"/>
          <w:sz w:val="20"/>
          <w:szCs w:val="20"/>
          <w:lang w:val="pt-BR"/>
        </w:rPr>
        <w:t xml:space="preserve"> </w:t>
      </w:r>
      <w:r w:rsidR="00FD7FD0" w:rsidRPr="000C6DCC">
        <w:rPr>
          <w:rFonts w:ascii="Cambria" w:hAnsi="Cambria"/>
          <w:sz w:val="20"/>
          <w:szCs w:val="20"/>
          <w:lang w:val="pt-BR"/>
        </w:rPr>
        <w:t>Em</w:t>
      </w:r>
      <w:r w:rsidR="00506331" w:rsidRPr="000C6DCC">
        <w:rPr>
          <w:rFonts w:ascii="Cambria" w:hAnsi="Cambria"/>
          <w:sz w:val="20"/>
          <w:szCs w:val="20"/>
          <w:lang w:val="pt-BR"/>
        </w:rPr>
        <w:t xml:space="preserve"> </w:t>
      </w:r>
      <w:r w:rsidR="00830891" w:rsidRPr="000C6DCC">
        <w:rPr>
          <w:rFonts w:ascii="Cambria" w:hAnsi="Cambria"/>
          <w:sz w:val="20"/>
          <w:szCs w:val="20"/>
          <w:lang w:val="pt-BR"/>
        </w:rPr>
        <w:t xml:space="preserve">17 de </w:t>
      </w:r>
      <w:r w:rsidR="008F4787" w:rsidRPr="000C6DCC">
        <w:rPr>
          <w:rFonts w:ascii="Cambria" w:hAnsi="Cambria"/>
          <w:sz w:val="20"/>
          <w:szCs w:val="20"/>
          <w:lang w:val="pt-BR"/>
        </w:rPr>
        <w:t>dezembro</w:t>
      </w:r>
      <w:r w:rsidR="00830891" w:rsidRPr="000C6DCC">
        <w:rPr>
          <w:rFonts w:ascii="Cambria" w:hAnsi="Cambria"/>
          <w:sz w:val="20"/>
          <w:szCs w:val="20"/>
          <w:lang w:val="pt-BR"/>
        </w:rPr>
        <w:t xml:space="preserve"> de 1998,</w:t>
      </w:r>
      <w:r w:rsidR="00506331" w:rsidRPr="000C6DCC">
        <w:rPr>
          <w:rFonts w:ascii="Cambria" w:hAnsi="Cambria"/>
          <w:sz w:val="20"/>
          <w:szCs w:val="20"/>
          <w:lang w:val="pt-BR"/>
        </w:rPr>
        <w:t xml:space="preserve"> a </w:t>
      </w:r>
      <w:r w:rsidR="000F3F6E" w:rsidRPr="000C6DCC">
        <w:rPr>
          <w:rFonts w:ascii="Cambria" w:hAnsi="Cambria"/>
          <w:sz w:val="20"/>
          <w:szCs w:val="20"/>
          <w:lang w:val="pt-BR"/>
        </w:rPr>
        <w:t>Assembleia</w:t>
      </w:r>
      <w:r w:rsidR="00830891" w:rsidRPr="000C6DCC">
        <w:rPr>
          <w:rFonts w:ascii="Cambria" w:hAnsi="Cambria"/>
          <w:sz w:val="20"/>
          <w:szCs w:val="20"/>
          <w:lang w:val="pt-BR"/>
        </w:rPr>
        <w:t xml:space="preserve"> </w:t>
      </w:r>
      <w:r w:rsidR="00315B14" w:rsidRPr="000C6DCC">
        <w:rPr>
          <w:rFonts w:ascii="Cambria" w:hAnsi="Cambria"/>
          <w:sz w:val="20"/>
          <w:szCs w:val="20"/>
          <w:lang w:val="pt-BR"/>
        </w:rPr>
        <w:t>emiti</w:t>
      </w:r>
      <w:r w:rsidR="00506A7C" w:rsidRPr="000C6DCC">
        <w:rPr>
          <w:rFonts w:ascii="Cambria" w:hAnsi="Cambria"/>
          <w:sz w:val="20"/>
          <w:szCs w:val="20"/>
          <w:lang w:val="pt-BR"/>
        </w:rPr>
        <w:t>u</w:t>
      </w:r>
      <w:r w:rsidR="00506331" w:rsidRPr="000C6DCC">
        <w:rPr>
          <w:rFonts w:ascii="Cambria" w:hAnsi="Cambria"/>
          <w:sz w:val="20"/>
          <w:szCs w:val="20"/>
          <w:lang w:val="pt-BR"/>
        </w:rPr>
        <w:t xml:space="preserve"> a </w:t>
      </w:r>
      <w:r w:rsidR="00830891" w:rsidRPr="000C6DCC">
        <w:rPr>
          <w:rFonts w:ascii="Cambria" w:hAnsi="Cambria"/>
          <w:sz w:val="20"/>
          <w:szCs w:val="20"/>
          <w:lang w:val="pt-BR"/>
        </w:rPr>
        <w:t>Resolu</w:t>
      </w:r>
      <w:r w:rsidR="00350E7E" w:rsidRPr="000C6DCC">
        <w:rPr>
          <w:rFonts w:ascii="Cambria" w:hAnsi="Cambria"/>
          <w:sz w:val="20"/>
          <w:szCs w:val="20"/>
          <w:lang w:val="pt-BR"/>
        </w:rPr>
        <w:t>ção</w:t>
      </w:r>
      <w:r w:rsidR="00830891" w:rsidRPr="000C6DCC">
        <w:rPr>
          <w:rFonts w:ascii="Cambria" w:hAnsi="Cambria"/>
          <w:sz w:val="20"/>
          <w:szCs w:val="20"/>
          <w:lang w:val="pt-BR"/>
        </w:rPr>
        <w:t xml:space="preserve"> Nº 614/98 negando</w:t>
      </w:r>
      <w:r w:rsidR="00506331" w:rsidRPr="000C6DCC">
        <w:rPr>
          <w:rFonts w:ascii="Cambria" w:hAnsi="Cambria"/>
          <w:sz w:val="20"/>
          <w:szCs w:val="20"/>
          <w:lang w:val="pt-BR"/>
        </w:rPr>
        <w:t xml:space="preserve"> o </w:t>
      </w:r>
      <w:r w:rsidR="00830891" w:rsidRPr="000C6DCC">
        <w:rPr>
          <w:rFonts w:ascii="Cambria" w:hAnsi="Cambria"/>
          <w:sz w:val="20"/>
          <w:szCs w:val="20"/>
          <w:lang w:val="pt-BR"/>
        </w:rPr>
        <w:t xml:space="preserve">pedido de </w:t>
      </w:r>
      <w:r w:rsidR="00A02D3A" w:rsidRPr="000C6DCC">
        <w:rPr>
          <w:rFonts w:ascii="Cambria" w:hAnsi="Cambria"/>
          <w:sz w:val="20"/>
          <w:szCs w:val="20"/>
          <w:lang w:val="pt-BR"/>
        </w:rPr>
        <w:t>licença para</w:t>
      </w:r>
      <w:r w:rsidR="00F453EB" w:rsidRPr="000C6DCC">
        <w:rPr>
          <w:rFonts w:ascii="Cambria" w:hAnsi="Cambria"/>
          <w:sz w:val="20"/>
          <w:szCs w:val="20"/>
          <w:lang w:val="pt-BR"/>
        </w:rPr>
        <w:t xml:space="preserve"> </w:t>
      </w:r>
      <w:r w:rsidR="00830891" w:rsidRPr="000C6DCC">
        <w:rPr>
          <w:rFonts w:ascii="Cambria" w:hAnsi="Cambria"/>
          <w:sz w:val="20"/>
          <w:szCs w:val="20"/>
          <w:lang w:val="pt-BR"/>
        </w:rPr>
        <w:t>instaura</w:t>
      </w:r>
      <w:r w:rsidR="00350E7E" w:rsidRPr="000C6DCC">
        <w:rPr>
          <w:rFonts w:ascii="Cambria" w:hAnsi="Cambria"/>
          <w:sz w:val="20"/>
          <w:szCs w:val="20"/>
          <w:lang w:val="pt-BR"/>
        </w:rPr>
        <w:t>ção</w:t>
      </w:r>
      <w:r w:rsidR="007707E3" w:rsidRPr="000C6DCC">
        <w:rPr>
          <w:rFonts w:ascii="Cambria" w:hAnsi="Cambria"/>
          <w:sz w:val="20"/>
          <w:szCs w:val="20"/>
          <w:lang w:val="pt-BR"/>
        </w:rPr>
        <w:t xml:space="preserve"> </w:t>
      </w:r>
      <w:r w:rsidR="00A02D3A" w:rsidRPr="000C6DCC">
        <w:rPr>
          <w:rFonts w:ascii="Cambria" w:hAnsi="Cambria"/>
          <w:sz w:val="20"/>
          <w:szCs w:val="20"/>
          <w:lang w:val="pt-BR"/>
        </w:rPr>
        <w:t>de processo</w:t>
      </w:r>
      <w:r w:rsidR="00830891" w:rsidRPr="000C6DCC">
        <w:rPr>
          <w:rFonts w:ascii="Cambria" w:hAnsi="Cambria"/>
          <w:sz w:val="20"/>
          <w:szCs w:val="20"/>
          <w:lang w:val="pt-BR"/>
        </w:rPr>
        <w:t xml:space="preserve"> criminal contra</w:t>
      </w:r>
      <w:r w:rsidR="00506331" w:rsidRPr="000C6DCC">
        <w:rPr>
          <w:rFonts w:ascii="Cambria" w:hAnsi="Cambria"/>
          <w:sz w:val="20"/>
          <w:szCs w:val="20"/>
          <w:lang w:val="pt-BR"/>
        </w:rPr>
        <w:t xml:space="preserve"> o </w:t>
      </w:r>
      <w:r w:rsidR="00114C2E" w:rsidRPr="000C6DCC">
        <w:rPr>
          <w:rFonts w:ascii="Cambria" w:hAnsi="Cambria"/>
          <w:sz w:val="20"/>
          <w:szCs w:val="20"/>
          <w:lang w:val="pt-BR"/>
        </w:rPr>
        <w:t>Deputado</w:t>
      </w:r>
      <w:r w:rsidR="00830891" w:rsidRPr="000C6DCC">
        <w:rPr>
          <w:rFonts w:ascii="Cambria" w:hAnsi="Cambria"/>
          <w:sz w:val="20"/>
          <w:szCs w:val="20"/>
          <w:lang w:val="pt-BR"/>
        </w:rPr>
        <w:t xml:space="preserve"> Estadual, </w:t>
      </w:r>
      <w:r w:rsidR="003F7A65" w:rsidRPr="000C6DCC">
        <w:rPr>
          <w:rFonts w:ascii="Cambria" w:hAnsi="Cambria"/>
          <w:sz w:val="20"/>
          <w:szCs w:val="20"/>
          <w:lang w:val="pt-BR"/>
        </w:rPr>
        <w:t>sendo</w:t>
      </w:r>
      <w:r w:rsidR="00830891" w:rsidRPr="000C6DCC">
        <w:rPr>
          <w:rFonts w:ascii="Cambria" w:hAnsi="Cambria"/>
          <w:sz w:val="20"/>
          <w:szCs w:val="20"/>
          <w:lang w:val="pt-BR"/>
        </w:rPr>
        <w:t xml:space="preserve"> esta </w:t>
      </w:r>
      <w:r w:rsidR="003F7A65" w:rsidRPr="00337743">
        <w:rPr>
          <w:rFonts w:ascii="Cambria" w:hAnsi="Cambria"/>
          <w:color w:val="000000"/>
          <w:sz w:val="20"/>
          <w:szCs w:val="20"/>
          <w:lang w:val="pt-BR"/>
        </w:rPr>
        <w:t>decisão</w:t>
      </w:r>
      <w:r w:rsidR="00830891" w:rsidRPr="00337743">
        <w:rPr>
          <w:rFonts w:ascii="Cambria" w:hAnsi="Cambria"/>
          <w:color w:val="000000"/>
          <w:sz w:val="20"/>
          <w:szCs w:val="20"/>
          <w:lang w:val="pt-BR"/>
        </w:rPr>
        <w:t xml:space="preserve"> publicada</w:t>
      </w:r>
      <w:r w:rsidR="00091880" w:rsidRPr="00337743">
        <w:rPr>
          <w:rFonts w:ascii="Cambria" w:hAnsi="Cambria"/>
          <w:color w:val="000000"/>
          <w:sz w:val="20"/>
          <w:szCs w:val="20"/>
          <w:lang w:val="pt-BR"/>
        </w:rPr>
        <w:t xml:space="preserve"> no </w:t>
      </w:r>
      <w:r w:rsidR="003F7A65" w:rsidRPr="00337743">
        <w:rPr>
          <w:rFonts w:ascii="Cambria" w:hAnsi="Cambria"/>
          <w:color w:val="000000"/>
          <w:sz w:val="20"/>
          <w:szCs w:val="20"/>
          <w:lang w:val="pt-BR"/>
        </w:rPr>
        <w:t>Diário</w:t>
      </w:r>
      <w:r w:rsidR="007707E3" w:rsidRPr="00337743">
        <w:rPr>
          <w:rFonts w:ascii="Cambria" w:hAnsi="Cambria"/>
          <w:color w:val="000000"/>
          <w:sz w:val="20"/>
          <w:szCs w:val="20"/>
          <w:lang w:val="pt-BR"/>
        </w:rPr>
        <w:t xml:space="preserve"> do </w:t>
      </w:r>
      <w:r w:rsidR="00830891" w:rsidRPr="00337743">
        <w:rPr>
          <w:rFonts w:ascii="Cambria" w:hAnsi="Cambria"/>
          <w:color w:val="000000"/>
          <w:sz w:val="20"/>
          <w:szCs w:val="20"/>
          <w:lang w:val="pt-BR"/>
        </w:rPr>
        <w:t>Poder Legislativo</w:t>
      </w:r>
      <w:r w:rsidR="00506331" w:rsidRPr="00337743">
        <w:rPr>
          <w:rFonts w:ascii="Cambria" w:hAnsi="Cambria"/>
          <w:color w:val="000000"/>
          <w:sz w:val="20"/>
          <w:szCs w:val="20"/>
          <w:lang w:val="pt-BR"/>
        </w:rPr>
        <w:t xml:space="preserve"> </w:t>
      </w:r>
      <w:r w:rsidR="00506A7C"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830891" w:rsidRPr="00337743">
        <w:rPr>
          <w:rFonts w:ascii="Cambria" w:hAnsi="Cambria"/>
          <w:color w:val="000000"/>
          <w:sz w:val="20"/>
          <w:szCs w:val="20"/>
          <w:lang w:val="pt-BR"/>
        </w:rPr>
        <w:t xml:space="preserve">18 de </w:t>
      </w:r>
      <w:r w:rsidR="008F4787" w:rsidRPr="00337743">
        <w:rPr>
          <w:rFonts w:ascii="Cambria" w:hAnsi="Cambria"/>
          <w:color w:val="000000"/>
          <w:sz w:val="20"/>
          <w:szCs w:val="20"/>
          <w:lang w:val="pt-BR"/>
        </w:rPr>
        <w:t>dezembro</w:t>
      </w:r>
      <w:r w:rsidR="00830891" w:rsidRPr="00337743">
        <w:rPr>
          <w:rFonts w:ascii="Cambria" w:hAnsi="Cambria"/>
          <w:color w:val="000000"/>
          <w:sz w:val="20"/>
          <w:szCs w:val="20"/>
          <w:lang w:val="pt-BR"/>
        </w:rPr>
        <w:t xml:space="preserve"> de 1998</w:t>
      </w:r>
      <w:r w:rsidR="00DA781C" w:rsidRPr="00337743">
        <w:rPr>
          <w:rFonts w:ascii="Cambria" w:hAnsi="Cambria"/>
          <w:color w:val="000000"/>
          <w:sz w:val="20"/>
          <w:szCs w:val="20"/>
          <w:vertAlign w:val="superscript"/>
          <w:lang w:val="pt-BR"/>
        </w:rPr>
        <w:footnoteReference w:id="43"/>
      </w:r>
      <w:r w:rsidR="0083089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506A7C"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9F228F" w:rsidRPr="00337743">
        <w:rPr>
          <w:rFonts w:ascii="Cambria" w:hAnsi="Cambria"/>
          <w:color w:val="000000"/>
          <w:sz w:val="20"/>
          <w:szCs w:val="20"/>
          <w:lang w:val="pt-BR"/>
        </w:rPr>
        <w:t>decis</w:t>
      </w:r>
      <w:r w:rsidR="00506A7C" w:rsidRPr="00337743">
        <w:rPr>
          <w:rFonts w:ascii="Cambria" w:hAnsi="Cambria"/>
          <w:color w:val="000000"/>
          <w:sz w:val="20"/>
          <w:szCs w:val="20"/>
          <w:lang w:val="pt-BR"/>
        </w:rPr>
        <w:t>ão</w:t>
      </w:r>
      <w:r w:rsidR="00091880" w:rsidRPr="00337743">
        <w:rPr>
          <w:rFonts w:ascii="Cambria" w:hAnsi="Cambria"/>
          <w:color w:val="000000"/>
          <w:sz w:val="20"/>
          <w:szCs w:val="20"/>
          <w:lang w:val="pt-BR"/>
        </w:rPr>
        <w:t xml:space="preserve"> não foi </w:t>
      </w:r>
      <w:r w:rsidR="009F228F" w:rsidRPr="00337743">
        <w:rPr>
          <w:rFonts w:ascii="Cambria" w:hAnsi="Cambria"/>
          <w:color w:val="000000"/>
          <w:sz w:val="20"/>
          <w:szCs w:val="20"/>
          <w:lang w:val="pt-BR"/>
        </w:rPr>
        <w:t>motivada.</w:t>
      </w:r>
      <w:r w:rsidR="00506331" w:rsidRPr="00337743">
        <w:rPr>
          <w:rFonts w:ascii="Cambria" w:hAnsi="Cambria"/>
          <w:color w:val="000000"/>
          <w:sz w:val="20"/>
          <w:szCs w:val="20"/>
          <w:lang w:val="pt-BR"/>
        </w:rPr>
        <w:t xml:space="preserve"> </w:t>
      </w:r>
      <w:r w:rsidR="00506A7C"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905424" w:rsidRPr="00337743">
        <w:rPr>
          <w:rFonts w:ascii="Cambria" w:hAnsi="Cambria"/>
          <w:color w:val="000000"/>
          <w:sz w:val="20"/>
          <w:szCs w:val="20"/>
          <w:lang w:val="pt-BR"/>
        </w:rPr>
        <w:t xml:space="preserve">31 de </w:t>
      </w:r>
      <w:r w:rsidR="00320DBA" w:rsidRPr="00337743">
        <w:rPr>
          <w:rFonts w:ascii="Cambria" w:hAnsi="Cambria"/>
          <w:color w:val="000000"/>
          <w:sz w:val="20"/>
          <w:szCs w:val="20"/>
          <w:lang w:val="pt-BR"/>
        </w:rPr>
        <w:t>março</w:t>
      </w:r>
      <w:r w:rsidR="00830891" w:rsidRPr="00337743">
        <w:rPr>
          <w:rFonts w:ascii="Cambria" w:hAnsi="Cambria"/>
          <w:color w:val="000000"/>
          <w:sz w:val="20"/>
          <w:szCs w:val="20"/>
          <w:lang w:val="pt-BR"/>
        </w:rPr>
        <w:t xml:space="preserve"> de 1999, </w:t>
      </w:r>
      <w:r w:rsidR="003F7A65" w:rsidRPr="00337743">
        <w:rPr>
          <w:rFonts w:ascii="Cambria" w:hAnsi="Cambria"/>
          <w:color w:val="000000"/>
          <w:sz w:val="20"/>
          <w:szCs w:val="20"/>
          <w:lang w:val="pt-BR"/>
        </w:rPr>
        <w:t>devido</w:t>
      </w:r>
      <w:r w:rsidR="00BF72CE" w:rsidRPr="00337743">
        <w:rPr>
          <w:rFonts w:ascii="Cambria" w:hAnsi="Cambria"/>
          <w:color w:val="000000"/>
          <w:sz w:val="20"/>
          <w:szCs w:val="20"/>
          <w:lang w:val="pt-BR"/>
        </w:rPr>
        <w:t xml:space="preserve"> ao </w:t>
      </w:r>
      <w:r w:rsidR="009F15B8" w:rsidRPr="00337743">
        <w:rPr>
          <w:rFonts w:ascii="Cambria" w:hAnsi="Cambria"/>
          <w:color w:val="000000"/>
          <w:sz w:val="20"/>
          <w:szCs w:val="20"/>
          <w:lang w:val="pt-BR"/>
        </w:rPr>
        <w:t>início</w:t>
      </w:r>
      <w:r w:rsidR="00D82E20" w:rsidRPr="00337743">
        <w:rPr>
          <w:rFonts w:ascii="Cambria" w:hAnsi="Cambria"/>
          <w:color w:val="000000"/>
          <w:sz w:val="20"/>
          <w:szCs w:val="20"/>
          <w:lang w:val="pt-BR"/>
        </w:rPr>
        <w:t xml:space="preserve"> de</w:t>
      </w:r>
      <w:r w:rsidR="00091880" w:rsidRPr="00337743">
        <w:rPr>
          <w:rFonts w:ascii="Cambria" w:hAnsi="Cambria"/>
          <w:color w:val="000000"/>
          <w:sz w:val="20"/>
          <w:szCs w:val="20"/>
          <w:lang w:val="pt-BR"/>
        </w:rPr>
        <w:t xml:space="preserve"> um </w:t>
      </w:r>
      <w:r w:rsidR="00E81481" w:rsidRPr="00337743">
        <w:rPr>
          <w:rFonts w:ascii="Cambria" w:hAnsi="Cambria"/>
          <w:color w:val="000000"/>
          <w:sz w:val="20"/>
          <w:szCs w:val="20"/>
          <w:lang w:val="pt-BR"/>
        </w:rPr>
        <w:t>nov</w:t>
      </w:r>
      <w:r w:rsidR="00830891" w:rsidRPr="00337743">
        <w:rPr>
          <w:rFonts w:ascii="Cambria" w:hAnsi="Cambria"/>
          <w:color w:val="000000"/>
          <w:sz w:val="20"/>
          <w:szCs w:val="20"/>
          <w:lang w:val="pt-BR"/>
        </w:rPr>
        <w:t xml:space="preserve">o </w:t>
      </w:r>
      <w:r w:rsidR="003F7A65" w:rsidRPr="00337743">
        <w:rPr>
          <w:rFonts w:ascii="Cambria" w:hAnsi="Cambria"/>
          <w:color w:val="000000"/>
          <w:sz w:val="20"/>
          <w:szCs w:val="20"/>
          <w:lang w:val="pt-BR"/>
        </w:rPr>
        <w:t>período</w:t>
      </w:r>
      <w:r w:rsidR="00830891" w:rsidRPr="00337743">
        <w:rPr>
          <w:rFonts w:ascii="Cambria" w:hAnsi="Cambria"/>
          <w:color w:val="000000"/>
          <w:sz w:val="20"/>
          <w:szCs w:val="20"/>
          <w:lang w:val="pt-BR"/>
        </w:rPr>
        <w:t xml:space="preserve"> parlamentar,</w:t>
      </w:r>
      <w:r w:rsidR="00506331" w:rsidRPr="00337743">
        <w:rPr>
          <w:rFonts w:ascii="Cambria" w:hAnsi="Cambria"/>
          <w:color w:val="000000"/>
          <w:sz w:val="20"/>
          <w:szCs w:val="20"/>
          <w:lang w:val="pt-BR"/>
        </w:rPr>
        <w:t xml:space="preserve"> o </w:t>
      </w:r>
      <w:r w:rsidR="00830891" w:rsidRPr="00337743">
        <w:rPr>
          <w:rFonts w:ascii="Cambria" w:hAnsi="Cambria"/>
          <w:color w:val="000000"/>
          <w:sz w:val="20"/>
          <w:szCs w:val="20"/>
          <w:lang w:val="pt-BR"/>
        </w:rPr>
        <w:t>Poder Judici</w:t>
      </w:r>
      <w:r w:rsidR="00506A7C" w:rsidRPr="00337743">
        <w:rPr>
          <w:rFonts w:ascii="Cambria" w:hAnsi="Cambria"/>
          <w:color w:val="000000"/>
          <w:sz w:val="20"/>
          <w:szCs w:val="20"/>
          <w:lang w:val="pt-BR"/>
        </w:rPr>
        <w:t>ário</w:t>
      </w:r>
      <w:r w:rsidR="007707E3" w:rsidRPr="00337743">
        <w:rPr>
          <w:rFonts w:ascii="Cambria" w:hAnsi="Cambria"/>
          <w:color w:val="000000"/>
          <w:sz w:val="20"/>
          <w:szCs w:val="20"/>
          <w:lang w:val="pt-BR"/>
        </w:rPr>
        <w:t xml:space="preserve"> do </w:t>
      </w:r>
      <w:r w:rsidR="00830891" w:rsidRPr="00337743">
        <w:rPr>
          <w:rFonts w:ascii="Cambria" w:hAnsi="Cambria"/>
          <w:color w:val="000000"/>
          <w:sz w:val="20"/>
          <w:szCs w:val="20"/>
          <w:lang w:val="pt-BR"/>
        </w:rPr>
        <w:t>Estado d</w:t>
      </w:r>
      <w:r w:rsidR="00506A7C" w:rsidRPr="00337743">
        <w:rPr>
          <w:rFonts w:ascii="Cambria" w:hAnsi="Cambria"/>
          <w:color w:val="000000"/>
          <w:sz w:val="20"/>
          <w:szCs w:val="20"/>
          <w:lang w:val="pt-BR"/>
        </w:rPr>
        <w:t>a</w:t>
      </w:r>
      <w:r w:rsidR="00830891" w:rsidRPr="00337743">
        <w:rPr>
          <w:rFonts w:ascii="Cambria" w:hAnsi="Cambria"/>
          <w:color w:val="000000"/>
          <w:sz w:val="20"/>
          <w:szCs w:val="20"/>
          <w:lang w:val="pt-BR"/>
        </w:rPr>
        <w:t xml:space="preserve"> </w:t>
      </w:r>
      <w:r w:rsidR="00D159A4" w:rsidRPr="00337743">
        <w:rPr>
          <w:rFonts w:ascii="Cambria" w:hAnsi="Cambria"/>
          <w:color w:val="000000"/>
          <w:sz w:val="20"/>
          <w:szCs w:val="20"/>
          <w:lang w:val="pt-BR"/>
        </w:rPr>
        <w:t>Paraíba</w:t>
      </w:r>
      <w:r w:rsidR="00830891" w:rsidRPr="00337743">
        <w:rPr>
          <w:rFonts w:ascii="Cambria" w:hAnsi="Cambria"/>
          <w:color w:val="000000"/>
          <w:sz w:val="20"/>
          <w:szCs w:val="20"/>
          <w:lang w:val="pt-BR"/>
        </w:rPr>
        <w:t xml:space="preserve"> </w:t>
      </w:r>
      <w:r w:rsidR="00506A7C" w:rsidRPr="00337743">
        <w:rPr>
          <w:rFonts w:ascii="Cambria" w:hAnsi="Cambria"/>
          <w:color w:val="000000"/>
          <w:sz w:val="20"/>
          <w:szCs w:val="20"/>
          <w:lang w:val="pt-BR"/>
        </w:rPr>
        <w:t>a</w:t>
      </w:r>
      <w:r w:rsidR="00830891" w:rsidRPr="00337743">
        <w:rPr>
          <w:rFonts w:ascii="Cambria" w:hAnsi="Cambria"/>
          <w:color w:val="000000"/>
          <w:sz w:val="20"/>
          <w:szCs w:val="20"/>
          <w:lang w:val="pt-BR"/>
        </w:rPr>
        <w:t>present</w:t>
      </w:r>
      <w:r w:rsidR="00506A7C" w:rsidRPr="00337743">
        <w:rPr>
          <w:rFonts w:ascii="Cambria" w:hAnsi="Cambria"/>
          <w:color w:val="000000"/>
          <w:sz w:val="20"/>
          <w:szCs w:val="20"/>
          <w:lang w:val="pt-BR"/>
        </w:rPr>
        <w:t>ou à</w:t>
      </w:r>
      <w:r w:rsidR="00506331" w:rsidRPr="00337743">
        <w:rPr>
          <w:rFonts w:ascii="Cambria" w:hAnsi="Cambria"/>
          <w:color w:val="000000"/>
          <w:sz w:val="20"/>
          <w:szCs w:val="20"/>
          <w:lang w:val="pt-BR"/>
        </w:rPr>
        <w:t xml:space="preserve"> </w:t>
      </w:r>
      <w:r w:rsidR="000F3F6E" w:rsidRPr="00337743">
        <w:rPr>
          <w:rFonts w:ascii="Cambria" w:hAnsi="Cambria"/>
          <w:color w:val="000000"/>
          <w:sz w:val="20"/>
          <w:szCs w:val="20"/>
          <w:lang w:val="pt-BR"/>
        </w:rPr>
        <w:t>Assembleia</w:t>
      </w:r>
      <w:r w:rsidR="00830891" w:rsidRPr="00337743">
        <w:rPr>
          <w:rFonts w:ascii="Cambria" w:hAnsi="Cambria"/>
          <w:color w:val="000000"/>
          <w:sz w:val="20"/>
          <w:szCs w:val="20"/>
          <w:lang w:val="pt-BR"/>
        </w:rPr>
        <w:t xml:space="preserve"> Legislativa</w:t>
      </w:r>
      <w:r w:rsidR="00091880" w:rsidRPr="00337743">
        <w:rPr>
          <w:rFonts w:ascii="Cambria" w:hAnsi="Cambria"/>
          <w:color w:val="000000"/>
          <w:sz w:val="20"/>
          <w:szCs w:val="20"/>
          <w:lang w:val="pt-BR"/>
        </w:rPr>
        <w:t xml:space="preserve"> um </w:t>
      </w:r>
      <w:r w:rsidR="00E81481" w:rsidRPr="00337743">
        <w:rPr>
          <w:rFonts w:ascii="Cambria" w:hAnsi="Cambria"/>
          <w:color w:val="000000"/>
          <w:sz w:val="20"/>
          <w:szCs w:val="20"/>
          <w:lang w:val="pt-BR"/>
        </w:rPr>
        <w:t>nov</w:t>
      </w:r>
      <w:r w:rsidR="00830891" w:rsidRPr="00337743">
        <w:rPr>
          <w:rFonts w:ascii="Cambria" w:hAnsi="Cambria"/>
          <w:color w:val="000000"/>
          <w:sz w:val="20"/>
          <w:szCs w:val="20"/>
          <w:lang w:val="pt-BR"/>
        </w:rPr>
        <w:t>o pedido de desaf</w:t>
      </w:r>
      <w:r w:rsidR="00532CC3" w:rsidRPr="00337743">
        <w:rPr>
          <w:rFonts w:ascii="Cambria" w:hAnsi="Cambria"/>
          <w:color w:val="000000"/>
          <w:sz w:val="20"/>
          <w:szCs w:val="20"/>
          <w:lang w:val="pt-BR"/>
        </w:rPr>
        <w:t>or</w:t>
      </w:r>
      <w:r w:rsidR="00506A7C" w:rsidRPr="00337743">
        <w:rPr>
          <w:rFonts w:ascii="Cambria" w:hAnsi="Cambria"/>
          <w:color w:val="000000"/>
          <w:sz w:val="20"/>
          <w:szCs w:val="20"/>
          <w:lang w:val="pt-BR"/>
        </w:rPr>
        <w:t>a</w:t>
      </w:r>
      <w:r w:rsidR="00532CC3" w:rsidRPr="00337743">
        <w:rPr>
          <w:rFonts w:ascii="Cambria" w:hAnsi="Cambria"/>
          <w:color w:val="000000"/>
          <w:sz w:val="20"/>
          <w:szCs w:val="20"/>
          <w:lang w:val="pt-BR"/>
        </w:rPr>
        <w:t>ment</w:t>
      </w:r>
      <w:r w:rsidR="00830891" w:rsidRPr="00337743">
        <w:rPr>
          <w:rFonts w:ascii="Cambria" w:hAnsi="Cambria"/>
          <w:color w:val="000000"/>
          <w:sz w:val="20"/>
          <w:szCs w:val="20"/>
          <w:lang w:val="pt-BR"/>
        </w:rPr>
        <w:t>o para</w:t>
      </w:r>
      <w:r w:rsidR="00506331" w:rsidRPr="00337743">
        <w:rPr>
          <w:rFonts w:ascii="Cambria" w:hAnsi="Cambria"/>
          <w:color w:val="000000"/>
          <w:sz w:val="20"/>
          <w:szCs w:val="20"/>
          <w:lang w:val="pt-BR"/>
        </w:rPr>
        <w:t xml:space="preserve"> o </w:t>
      </w:r>
      <w:r w:rsidR="00114C2E" w:rsidRPr="00337743">
        <w:rPr>
          <w:rFonts w:ascii="Cambria" w:hAnsi="Cambria"/>
          <w:color w:val="000000"/>
          <w:sz w:val="20"/>
          <w:szCs w:val="20"/>
          <w:lang w:val="pt-BR"/>
        </w:rPr>
        <w:t>Deputado</w:t>
      </w:r>
      <w:r w:rsidR="00091880" w:rsidRPr="00337743">
        <w:rPr>
          <w:rFonts w:ascii="Cambria" w:hAnsi="Cambria"/>
          <w:color w:val="000000"/>
          <w:sz w:val="20"/>
          <w:szCs w:val="20"/>
          <w:lang w:val="pt-BR"/>
        </w:rPr>
        <w:t xml:space="preserve"> em </w:t>
      </w:r>
      <w:r w:rsidR="00532CC3" w:rsidRPr="00337743">
        <w:rPr>
          <w:rFonts w:ascii="Cambria" w:hAnsi="Cambria"/>
          <w:color w:val="000000"/>
          <w:sz w:val="20"/>
          <w:szCs w:val="20"/>
          <w:lang w:val="pt-BR"/>
        </w:rPr>
        <w:t>q</w:t>
      </w:r>
      <w:r w:rsidR="00830891" w:rsidRPr="00337743">
        <w:rPr>
          <w:rFonts w:ascii="Cambria" w:hAnsi="Cambria"/>
          <w:color w:val="000000"/>
          <w:sz w:val="20"/>
          <w:szCs w:val="20"/>
          <w:lang w:val="pt-BR"/>
        </w:rPr>
        <w:t>uest</w:t>
      </w:r>
      <w:r w:rsidR="00506A7C" w:rsidRPr="00337743">
        <w:rPr>
          <w:rFonts w:ascii="Cambria" w:hAnsi="Cambria"/>
          <w:color w:val="000000"/>
          <w:sz w:val="20"/>
          <w:szCs w:val="20"/>
          <w:lang w:val="pt-BR"/>
        </w:rPr>
        <w:t>ão</w:t>
      </w:r>
      <w:r w:rsidR="00D159A4" w:rsidRPr="00337743">
        <w:rPr>
          <w:rFonts w:ascii="Cambria" w:hAnsi="Cambria"/>
          <w:color w:val="000000"/>
          <w:sz w:val="20"/>
          <w:szCs w:val="20"/>
          <w:vertAlign w:val="superscript"/>
          <w:lang w:val="pt-BR"/>
        </w:rPr>
        <w:footnoteReference w:id="44"/>
      </w:r>
      <w:r w:rsidR="00905424"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506A7C" w:rsidRPr="00337743">
        <w:rPr>
          <w:rFonts w:ascii="Cambria" w:hAnsi="Cambria"/>
          <w:color w:val="000000"/>
          <w:sz w:val="20"/>
          <w:szCs w:val="20"/>
          <w:lang w:val="pt-BR"/>
        </w:rPr>
        <w:t>E</w:t>
      </w:r>
      <w:r w:rsidR="00091880" w:rsidRPr="00337743">
        <w:rPr>
          <w:rFonts w:ascii="Cambria" w:hAnsi="Cambria"/>
          <w:color w:val="000000"/>
          <w:sz w:val="20"/>
          <w:szCs w:val="20"/>
          <w:lang w:val="pt-BR"/>
        </w:rPr>
        <w:t xml:space="preserve">m </w:t>
      </w:r>
      <w:r w:rsidR="00905424" w:rsidRPr="00337743">
        <w:rPr>
          <w:rFonts w:ascii="Cambria" w:hAnsi="Cambria"/>
          <w:color w:val="000000"/>
          <w:sz w:val="20"/>
          <w:szCs w:val="20"/>
          <w:lang w:val="pt-BR"/>
        </w:rPr>
        <w:t xml:space="preserve">29 de </w:t>
      </w:r>
      <w:r w:rsidR="00F9139C" w:rsidRPr="00337743">
        <w:rPr>
          <w:rFonts w:ascii="Cambria" w:hAnsi="Cambria"/>
          <w:color w:val="000000"/>
          <w:sz w:val="20"/>
          <w:szCs w:val="20"/>
          <w:lang w:val="pt-BR"/>
        </w:rPr>
        <w:t>setembro</w:t>
      </w:r>
      <w:r w:rsidR="00905424" w:rsidRPr="00337743">
        <w:rPr>
          <w:rFonts w:ascii="Cambria" w:hAnsi="Cambria"/>
          <w:color w:val="000000"/>
          <w:sz w:val="20"/>
          <w:szCs w:val="20"/>
          <w:lang w:val="pt-BR"/>
        </w:rPr>
        <w:t xml:space="preserve"> de 1999,</w:t>
      </w:r>
      <w:r w:rsidR="00506331" w:rsidRPr="00337743">
        <w:rPr>
          <w:rFonts w:ascii="Cambria" w:hAnsi="Cambria"/>
          <w:color w:val="000000"/>
          <w:sz w:val="20"/>
          <w:szCs w:val="20"/>
          <w:lang w:val="pt-BR"/>
        </w:rPr>
        <w:t xml:space="preserve"> o </w:t>
      </w:r>
      <w:r w:rsidR="00905424" w:rsidRPr="00337743">
        <w:rPr>
          <w:rFonts w:ascii="Cambria" w:hAnsi="Cambria"/>
          <w:color w:val="000000"/>
          <w:sz w:val="20"/>
          <w:szCs w:val="20"/>
          <w:lang w:val="pt-BR"/>
        </w:rPr>
        <w:t>Presidente</w:t>
      </w:r>
      <w:r w:rsidR="007707E3" w:rsidRPr="00337743">
        <w:rPr>
          <w:rFonts w:ascii="Cambria" w:hAnsi="Cambria"/>
          <w:color w:val="000000"/>
          <w:sz w:val="20"/>
          <w:szCs w:val="20"/>
          <w:lang w:val="pt-BR"/>
        </w:rPr>
        <w:t xml:space="preserve"> da </w:t>
      </w:r>
      <w:r w:rsidR="000F3F6E" w:rsidRPr="00337743">
        <w:rPr>
          <w:rFonts w:ascii="Cambria" w:hAnsi="Cambria"/>
          <w:color w:val="000000"/>
          <w:sz w:val="20"/>
          <w:szCs w:val="20"/>
          <w:lang w:val="pt-BR"/>
        </w:rPr>
        <w:t>Assembleia</w:t>
      </w:r>
      <w:r w:rsidR="00905424" w:rsidRPr="00337743">
        <w:rPr>
          <w:rFonts w:ascii="Cambria" w:hAnsi="Cambria"/>
          <w:color w:val="000000"/>
          <w:sz w:val="20"/>
          <w:szCs w:val="20"/>
          <w:lang w:val="pt-BR"/>
        </w:rPr>
        <w:t xml:space="preserve"> </w:t>
      </w:r>
      <w:r w:rsidR="006E0C23" w:rsidRPr="00337743">
        <w:rPr>
          <w:rFonts w:ascii="Cambria" w:hAnsi="Cambria"/>
          <w:color w:val="000000"/>
          <w:sz w:val="20"/>
          <w:szCs w:val="20"/>
          <w:lang w:val="pt-BR"/>
        </w:rPr>
        <w:t>inform</w:t>
      </w:r>
      <w:r w:rsidR="00506A7C" w:rsidRPr="00337743">
        <w:rPr>
          <w:rFonts w:ascii="Cambria" w:hAnsi="Cambria"/>
          <w:color w:val="000000"/>
          <w:sz w:val="20"/>
          <w:szCs w:val="20"/>
          <w:lang w:val="pt-BR"/>
        </w:rPr>
        <w:t>ou</w:t>
      </w:r>
      <w:r w:rsidR="00BF72CE" w:rsidRPr="00337743">
        <w:rPr>
          <w:rFonts w:ascii="Cambria" w:hAnsi="Cambria"/>
          <w:color w:val="000000"/>
          <w:sz w:val="20"/>
          <w:szCs w:val="20"/>
          <w:lang w:val="pt-BR"/>
        </w:rPr>
        <w:t xml:space="preserve"> ao </w:t>
      </w:r>
      <w:r w:rsidR="006E0C23" w:rsidRPr="00337743">
        <w:rPr>
          <w:rFonts w:ascii="Cambria" w:hAnsi="Cambria"/>
          <w:color w:val="000000"/>
          <w:sz w:val="20"/>
          <w:szCs w:val="20"/>
          <w:lang w:val="pt-BR"/>
        </w:rPr>
        <w:t xml:space="preserve">Tribunal de </w:t>
      </w:r>
      <w:r w:rsidR="00E96C24" w:rsidRPr="00337743">
        <w:rPr>
          <w:rFonts w:ascii="Cambria" w:hAnsi="Cambria"/>
          <w:color w:val="000000"/>
          <w:sz w:val="20"/>
          <w:szCs w:val="20"/>
          <w:lang w:val="pt-BR"/>
        </w:rPr>
        <w:t>Justiça</w:t>
      </w:r>
      <w:r w:rsidR="006E0C23"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o </w:t>
      </w:r>
      <w:r w:rsidR="006E0C23" w:rsidRPr="000C6DCC">
        <w:rPr>
          <w:rFonts w:ascii="Cambria" w:hAnsi="Cambria"/>
          <w:color w:val="000000"/>
          <w:sz w:val="20"/>
          <w:szCs w:val="20"/>
          <w:lang w:val="pt-BR"/>
        </w:rPr>
        <w:t>Conse</w:t>
      </w:r>
      <w:r w:rsidR="003F7A65" w:rsidRPr="000C6DCC">
        <w:rPr>
          <w:rFonts w:ascii="Cambria" w:hAnsi="Cambria"/>
          <w:color w:val="000000"/>
          <w:sz w:val="20"/>
          <w:szCs w:val="20"/>
          <w:lang w:val="pt-BR"/>
        </w:rPr>
        <w:t>lh</w:t>
      </w:r>
      <w:r w:rsidR="006E0C23" w:rsidRPr="000C6DCC">
        <w:rPr>
          <w:rFonts w:ascii="Cambria" w:hAnsi="Cambria"/>
          <w:color w:val="000000"/>
          <w:sz w:val="20"/>
          <w:szCs w:val="20"/>
          <w:lang w:val="pt-BR"/>
        </w:rPr>
        <w:t>o de Ética</w:t>
      </w:r>
      <w:r w:rsidR="00506331" w:rsidRPr="000C6DCC">
        <w:rPr>
          <w:rFonts w:ascii="Cambria" w:hAnsi="Cambria"/>
          <w:color w:val="000000"/>
          <w:sz w:val="20"/>
          <w:szCs w:val="20"/>
          <w:lang w:val="pt-BR"/>
        </w:rPr>
        <w:t xml:space="preserve"> e </w:t>
      </w:r>
      <w:r w:rsidR="006E0C23" w:rsidRPr="000C6DCC">
        <w:rPr>
          <w:rFonts w:ascii="Cambria" w:hAnsi="Cambria"/>
          <w:color w:val="000000"/>
          <w:sz w:val="20"/>
          <w:szCs w:val="20"/>
          <w:lang w:val="pt-BR"/>
        </w:rPr>
        <w:t>Decoro Parlamentar</w:t>
      </w:r>
      <w:r w:rsidR="006E0C23" w:rsidRPr="00337743">
        <w:rPr>
          <w:rFonts w:ascii="Cambria" w:hAnsi="Cambria"/>
          <w:color w:val="000000"/>
          <w:sz w:val="20"/>
          <w:szCs w:val="20"/>
          <w:lang w:val="pt-BR"/>
        </w:rPr>
        <w:t xml:space="preserve"> </w:t>
      </w:r>
      <w:r w:rsidR="003F7A65" w:rsidRPr="00337743">
        <w:rPr>
          <w:rFonts w:ascii="Cambria" w:hAnsi="Cambria"/>
          <w:color w:val="000000"/>
          <w:sz w:val="20"/>
          <w:szCs w:val="20"/>
          <w:lang w:val="pt-BR"/>
        </w:rPr>
        <w:t>havia</w:t>
      </w:r>
      <w:r w:rsidR="006E0C23" w:rsidRPr="00337743">
        <w:rPr>
          <w:rFonts w:ascii="Cambria" w:hAnsi="Cambria"/>
          <w:color w:val="000000"/>
          <w:sz w:val="20"/>
          <w:szCs w:val="20"/>
          <w:lang w:val="pt-BR"/>
        </w:rPr>
        <w:t xml:space="preserve"> negado</w:t>
      </w:r>
      <w:r w:rsidR="00506331" w:rsidRPr="00337743">
        <w:rPr>
          <w:rFonts w:ascii="Cambria" w:hAnsi="Cambria"/>
          <w:color w:val="000000"/>
          <w:sz w:val="20"/>
          <w:szCs w:val="20"/>
          <w:lang w:val="pt-BR"/>
        </w:rPr>
        <w:t xml:space="preserve"> o </w:t>
      </w:r>
      <w:r w:rsidR="006E0C23" w:rsidRPr="00337743">
        <w:rPr>
          <w:rFonts w:ascii="Cambria" w:hAnsi="Cambria"/>
          <w:color w:val="000000"/>
          <w:sz w:val="20"/>
          <w:szCs w:val="20"/>
          <w:lang w:val="pt-BR"/>
        </w:rPr>
        <w:t>pedido de licen</w:t>
      </w:r>
      <w:r w:rsidR="00506A7C" w:rsidRPr="00337743">
        <w:rPr>
          <w:rFonts w:ascii="Cambria" w:hAnsi="Cambria"/>
          <w:color w:val="000000"/>
          <w:sz w:val="20"/>
          <w:szCs w:val="20"/>
          <w:lang w:val="pt-BR"/>
        </w:rPr>
        <w:t>ç</w:t>
      </w:r>
      <w:r w:rsidR="006E0C23"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e </w:t>
      </w:r>
      <w:r w:rsidR="006E0C23" w:rsidRPr="00337743">
        <w:rPr>
          <w:rFonts w:ascii="Cambria" w:hAnsi="Cambria"/>
          <w:color w:val="000000"/>
          <w:sz w:val="20"/>
          <w:szCs w:val="20"/>
          <w:lang w:val="pt-BR"/>
        </w:rPr>
        <w:t xml:space="preserve">decidido por </w:t>
      </w:r>
      <w:r w:rsidR="003F7A65" w:rsidRPr="00337743">
        <w:rPr>
          <w:rFonts w:ascii="Cambria" w:hAnsi="Cambria"/>
          <w:color w:val="000000"/>
          <w:sz w:val="20"/>
          <w:szCs w:val="20"/>
          <w:lang w:val="pt-BR"/>
        </w:rPr>
        <w:t>seu</w:t>
      </w:r>
      <w:r w:rsidR="006E0C23" w:rsidRPr="00337743">
        <w:rPr>
          <w:rFonts w:ascii="Cambria" w:hAnsi="Cambria"/>
          <w:color w:val="000000"/>
          <w:sz w:val="20"/>
          <w:szCs w:val="20"/>
          <w:lang w:val="pt-BR"/>
        </w:rPr>
        <w:t xml:space="preserve"> ar</w:t>
      </w:r>
      <w:r w:rsidR="00506A7C" w:rsidRPr="00337743">
        <w:rPr>
          <w:rFonts w:ascii="Cambria" w:hAnsi="Cambria"/>
          <w:color w:val="000000"/>
          <w:sz w:val="20"/>
          <w:szCs w:val="20"/>
          <w:lang w:val="pt-BR"/>
        </w:rPr>
        <w:t>qu</w:t>
      </w:r>
      <w:r w:rsidR="006E0C23" w:rsidRPr="00337743">
        <w:rPr>
          <w:rFonts w:ascii="Cambria" w:hAnsi="Cambria"/>
          <w:color w:val="000000"/>
          <w:sz w:val="20"/>
          <w:szCs w:val="20"/>
          <w:lang w:val="pt-BR"/>
        </w:rPr>
        <w:t>iva</w:t>
      </w:r>
      <w:r w:rsidR="00D60ABE" w:rsidRPr="00337743">
        <w:rPr>
          <w:rFonts w:ascii="Cambria" w:hAnsi="Cambria"/>
          <w:color w:val="000000"/>
          <w:sz w:val="20"/>
          <w:szCs w:val="20"/>
          <w:lang w:val="pt-BR"/>
        </w:rPr>
        <w:t>mento</w:t>
      </w:r>
      <w:r w:rsidR="006E0C23" w:rsidRPr="00337743">
        <w:rPr>
          <w:rFonts w:ascii="Cambria" w:hAnsi="Cambria"/>
          <w:color w:val="000000"/>
          <w:sz w:val="20"/>
          <w:szCs w:val="20"/>
          <w:vertAlign w:val="superscript"/>
          <w:lang w:val="pt-BR"/>
        </w:rPr>
        <w:footnoteReference w:id="45"/>
      </w:r>
      <w:r w:rsidR="006E0C23"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506A7C"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E81481" w:rsidRPr="00337743">
        <w:rPr>
          <w:rFonts w:ascii="Cambria" w:hAnsi="Cambria"/>
          <w:color w:val="000000"/>
          <w:sz w:val="20"/>
          <w:szCs w:val="20"/>
          <w:lang w:val="pt-BR"/>
        </w:rPr>
        <w:t>nov</w:t>
      </w:r>
      <w:r w:rsidR="009F228F" w:rsidRPr="00337743">
        <w:rPr>
          <w:rFonts w:ascii="Cambria" w:hAnsi="Cambria"/>
          <w:color w:val="000000"/>
          <w:sz w:val="20"/>
          <w:szCs w:val="20"/>
          <w:lang w:val="pt-BR"/>
        </w:rPr>
        <w:t>a decis</w:t>
      </w:r>
      <w:r w:rsidR="00506A7C" w:rsidRPr="00337743">
        <w:rPr>
          <w:rFonts w:ascii="Cambria" w:hAnsi="Cambria"/>
          <w:color w:val="000000"/>
          <w:sz w:val="20"/>
          <w:szCs w:val="20"/>
          <w:lang w:val="pt-BR"/>
        </w:rPr>
        <w:t>ão</w:t>
      </w:r>
      <w:r w:rsidR="009F228F" w:rsidRPr="00337743">
        <w:rPr>
          <w:rFonts w:ascii="Cambria" w:hAnsi="Cambria"/>
          <w:color w:val="000000"/>
          <w:sz w:val="20"/>
          <w:szCs w:val="20"/>
          <w:lang w:val="pt-BR"/>
        </w:rPr>
        <w:t xml:space="preserve"> </w:t>
      </w:r>
      <w:r w:rsidR="00506A7C" w:rsidRPr="00337743">
        <w:rPr>
          <w:rFonts w:ascii="Cambria" w:hAnsi="Cambria"/>
          <w:color w:val="000000"/>
          <w:sz w:val="20"/>
          <w:szCs w:val="20"/>
          <w:lang w:val="pt-BR"/>
        </w:rPr>
        <w:t>f</w:t>
      </w:r>
      <w:r w:rsidR="00C01154">
        <w:rPr>
          <w:rFonts w:ascii="Cambria" w:hAnsi="Cambria"/>
          <w:color w:val="000000"/>
          <w:sz w:val="20"/>
          <w:szCs w:val="20"/>
          <w:lang w:val="pt-BR"/>
        </w:rPr>
        <w:t>e</w:t>
      </w:r>
      <w:r w:rsidR="00506A7C" w:rsidRPr="00337743">
        <w:rPr>
          <w:rFonts w:ascii="Cambria" w:hAnsi="Cambria"/>
          <w:color w:val="000000"/>
          <w:sz w:val="20"/>
          <w:szCs w:val="20"/>
          <w:lang w:val="pt-BR"/>
        </w:rPr>
        <w:t>z</w:t>
      </w:r>
      <w:r w:rsidR="009F228F" w:rsidRPr="00337743">
        <w:rPr>
          <w:rFonts w:ascii="Cambria" w:hAnsi="Cambria"/>
          <w:color w:val="000000"/>
          <w:sz w:val="20"/>
          <w:szCs w:val="20"/>
          <w:lang w:val="pt-BR"/>
        </w:rPr>
        <w:t xml:space="preserve"> men</w:t>
      </w:r>
      <w:r w:rsidR="00350E7E" w:rsidRPr="00337743">
        <w:rPr>
          <w:rFonts w:ascii="Cambria" w:hAnsi="Cambria"/>
          <w:color w:val="000000"/>
          <w:sz w:val="20"/>
          <w:szCs w:val="20"/>
          <w:lang w:val="pt-BR"/>
        </w:rPr>
        <w:t>ção</w:t>
      </w:r>
      <w:r w:rsidR="00F453EB" w:rsidRPr="00337743">
        <w:rPr>
          <w:rFonts w:ascii="Cambria" w:hAnsi="Cambria"/>
          <w:color w:val="000000"/>
          <w:sz w:val="20"/>
          <w:szCs w:val="20"/>
          <w:lang w:val="pt-BR"/>
        </w:rPr>
        <w:t xml:space="preserve"> à </w:t>
      </w:r>
      <w:r w:rsidR="009F228F" w:rsidRPr="00337743">
        <w:rPr>
          <w:rFonts w:ascii="Cambria" w:hAnsi="Cambria"/>
          <w:color w:val="000000"/>
          <w:sz w:val="20"/>
          <w:szCs w:val="20"/>
          <w:lang w:val="pt-BR"/>
        </w:rPr>
        <w:t>decis</w:t>
      </w:r>
      <w:r w:rsidR="00506A7C" w:rsidRPr="00337743">
        <w:rPr>
          <w:rFonts w:ascii="Cambria" w:hAnsi="Cambria"/>
          <w:color w:val="000000"/>
          <w:sz w:val="20"/>
          <w:szCs w:val="20"/>
          <w:lang w:val="pt-BR"/>
        </w:rPr>
        <w:t>ão</w:t>
      </w:r>
      <w:r w:rsidR="009F228F" w:rsidRPr="00337743">
        <w:rPr>
          <w:rFonts w:ascii="Cambria" w:hAnsi="Cambria"/>
          <w:color w:val="000000"/>
          <w:sz w:val="20"/>
          <w:szCs w:val="20"/>
          <w:lang w:val="pt-BR"/>
        </w:rPr>
        <w:t xml:space="preserve"> de re</w:t>
      </w:r>
      <w:r w:rsidR="00506A7C" w:rsidRPr="00337743">
        <w:rPr>
          <w:rFonts w:ascii="Cambria" w:hAnsi="Cambria"/>
          <w:color w:val="000000"/>
          <w:sz w:val="20"/>
          <w:szCs w:val="20"/>
          <w:lang w:val="pt-BR"/>
        </w:rPr>
        <w:t>jeição</w:t>
      </w:r>
      <w:r w:rsidR="009F228F" w:rsidRPr="00337743">
        <w:rPr>
          <w:rFonts w:ascii="Cambria" w:hAnsi="Cambria"/>
          <w:color w:val="000000"/>
          <w:sz w:val="20"/>
          <w:szCs w:val="20"/>
          <w:lang w:val="pt-BR"/>
        </w:rPr>
        <w:t xml:space="preserve"> anterior</w:t>
      </w:r>
      <w:r w:rsidR="00C01154">
        <w:rPr>
          <w:rFonts w:ascii="Cambria" w:hAnsi="Cambria"/>
          <w:color w:val="000000"/>
          <w:sz w:val="20"/>
          <w:szCs w:val="20"/>
          <w:lang w:val="pt-BR"/>
        </w:rPr>
        <w:t xml:space="preserve"> </w:t>
      </w:r>
      <w:r w:rsidR="009F228F" w:rsidRPr="00337743">
        <w:rPr>
          <w:rFonts w:ascii="Cambria" w:hAnsi="Cambria"/>
          <w:color w:val="000000"/>
          <w:sz w:val="20"/>
          <w:szCs w:val="20"/>
          <w:lang w:val="pt-BR"/>
        </w:rPr>
        <w:t>que</w:t>
      </w:r>
      <w:r w:rsidR="006D33EB" w:rsidRPr="00337743">
        <w:rPr>
          <w:rFonts w:ascii="Cambria" w:hAnsi="Cambria"/>
          <w:color w:val="000000"/>
          <w:sz w:val="20"/>
          <w:szCs w:val="20"/>
          <w:lang w:val="pt-BR"/>
        </w:rPr>
        <w:t>, co</w:t>
      </w:r>
      <w:r w:rsidR="00506A7C" w:rsidRPr="00337743">
        <w:rPr>
          <w:rFonts w:ascii="Cambria" w:hAnsi="Cambria"/>
          <w:color w:val="000000"/>
          <w:sz w:val="20"/>
          <w:szCs w:val="20"/>
          <w:lang w:val="pt-BR"/>
        </w:rPr>
        <w:t xml:space="preserve">nforme </w:t>
      </w:r>
      <w:r w:rsidR="006D33EB" w:rsidRPr="00337743">
        <w:rPr>
          <w:rFonts w:ascii="Cambria" w:hAnsi="Cambria"/>
          <w:color w:val="000000"/>
          <w:sz w:val="20"/>
          <w:szCs w:val="20"/>
          <w:lang w:val="pt-BR"/>
        </w:rPr>
        <w:t>indic</w:t>
      </w:r>
      <w:r w:rsidR="00506A7C" w:rsidRPr="00337743">
        <w:rPr>
          <w:rFonts w:ascii="Cambria" w:hAnsi="Cambria"/>
          <w:color w:val="000000"/>
          <w:sz w:val="20"/>
          <w:szCs w:val="20"/>
          <w:lang w:val="pt-BR"/>
        </w:rPr>
        <w:t>ado</w:t>
      </w:r>
      <w:r w:rsidR="006D33EB"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não foi </w:t>
      </w:r>
      <w:r w:rsidR="006D33EB" w:rsidRPr="00337743">
        <w:rPr>
          <w:rFonts w:ascii="Cambria" w:hAnsi="Cambria"/>
          <w:color w:val="000000"/>
          <w:sz w:val="20"/>
          <w:szCs w:val="20"/>
          <w:lang w:val="pt-BR"/>
        </w:rPr>
        <w:t>motivada</w:t>
      </w:r>
      <w:r w:rsidR="009F228F" w:rsidRPr="00337743">
        <w:rPr>
          <w:rFonts w:ascii="Cambria" w:hAnsi="Cambria"/>
          <w:color w:val="000000"/>
          <w:sz w:val="20"/>
          <w:szCs w:val="20"/>
          <w:lang w:val="pt-BR"/>
        </w:rPr>
        <w:t>.</w:t>
      </w:r>
    </w:p>
    <w:p w14:paraId="1541BDBA" w14:textId="77777777" w:rsidR="00F1290D" w:rsidRPr="00337743" w:rsidRDefault="00F1290D" w:rsidP="007B13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firstLine="709"/>
        <w:jc w:val="both"/>
        <w:rPr>
          <w:rFonts w:ascii="Cambria" w:hAnsi="Cambria"/>
          <w:color w:val="000000"/>
          <w:sz w:val="20"/>
          <w:szCs w:val="20"/>
          <w:lang w:val="pt-BR"/>
        </w:rPr>
      </w:pPr>
    </w:p>
    <w:p w14:paraId="16183A1A" w14:textId="77777777" w:rsidR="00A010F9" w:rsidRPr="00337743" w:rsidRDefault="00F6081F" w:rsidP="007B1365">
      <w:pPr>
        <w:pStyle w:val="Heading3"/>
        <w:numPr>
          <w:ilvl w:val="0"/>
          <w:numId w:val="59"/>
        </w:numPr>
        <w:spacing w:before="0"/>
        <w:ind w:left="0" w:firstLine="709"/>
        <w:rPr>
          <w:rFonts w:ascii="Cambria" w:hAnsi="Cambria"/>
          <w:sz w:val="20"/>
          <w:szCs w:val="20"/>
          <w:lang w:val="pt-BR"/>
        </w:rPr>
      </w:pPr>
      <w:bookmarkStart w:id="15" w:name="_Toc5890573"/>
      <w:r w:rsidRPr="00337743">
        <w:rPr>
          <w:rFonts w:ascii="Cambria" w:hAnsi="Cambria"/>
          <w:sz w:val="20"/>
          <w:szCs w:val="20"/>
          <w:lang w:val="pt-BR"/>
        </w:rPr>
        <w:t>A</w:t>
      </w:r>
      <w:r w:rsidR="007707E3" w:rsidRPr="00337743">
        <w:rPr>
          <w:rFonts w:ascii="Cambria" w:hAnsi="Cambria"/>
          <w:sz w:val="20"/>
          <w:szCs w:val="20"/>
          <w:lang w:val="pt-BR"/>
        </w:rPr>
        <w:t>ç</w:t>
      </w:r>
      <w:r w:rsidR="00350E7E" w:rsidRPr="00337743">
        <w:rPr>
          <w:rFonts w:ascii="Cambria" w:hAnsi="Cambria"/>
          <w:sz w:val="20"/>
          <w:szCs w:val="20"/>
          <w:lang w:val="pt-BR"/>
        </w:rPr>
        <w:t>ão</w:t>
      </w:r>
      <w:r w:rsidR="00A010F9" w:rsidRPr="00337743">
        <w:rPr>
          <w:rFonts w:ascii="Cambria" w:hAnsi="Cambria"/>
          <w:sz w:val="20"/>
          <w:szCs w:val="20"/>
          <w:lang w:val="pt-BR"/>
        </w:rPr>
        <w:t xml:space="preserve"> criminal</w:t>
      </w:r>
      <w:r w:rsidR="00506331" w:rsidRPr="00337743">
        <w:rPr>
          <w:rFonts w:ascii="Cambria" w:hAnsi="Cambria"/>
          <w:sz w:val="20"/>
          <w:szCs w:val="20"/>
          <w:lang w:val="pt-BR"/>
        </w:rPr>
        <w:t xml:space="preserve"> e a </w:t>
      </w:r>
      <w:r w:rsidR="009D71DA" w:rsidRPr="00337743">
        <w:rPr>
          <w:rFonts w:ascii="Cambria" w:hAnsi="Cambria"/>
          <w:sz w:val="20"/>
          <w:szCs w:val="20"/>
          <w:lang w:val="pt-BR"/>
        </w:rPr>
        <w:t>mort</w:t>
      </w:r>
      <w:r w:rsidR="00C72DCE" w:rsidRPr="00337743">
        <w:rPr>
          <w:rFonts w:ascii="Cambria" w:hAnsi="Cambria"/>
          <w:sz w:val="20"/>
          <w:szCs w:val="20"/>
          <w:lang w:val="pt-BR"/>
        </w:rPr>
        <w:t>e de Aércio Pereira de Lima</w:t>
      </w:r>
      <w:bookmarkEnd w:id="15"/>
    </w:p>
    <w:p w14:paraId="3A79AD65" w14:textId="77777777" w:rsidR="00254B93" w:rsidRPr="00337743" w:rsidRDefault="00254B93" w:rsidP="007B13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firstLine="709"/>
        <w:jc w:val="both"/>
        <w:rPr>
          <w:rFonts w:ascii="Cambria" w:hAnsi="Cambria"/>
          <w:color w:val="000000"/>
          <w:sz w:val="20"/>
          <w:szCs w:val="20"/>
          <w:lang w:val="pt-BR"/>
        </w:rPr>
      </w:pPr>
    </w:p>
    <w:p w14:paraId="68FDCD23" w14:textId="77777777" w:rsidR="00735E5E" w:rsidRPr="00337743" w:rsidRDefault="00F6081F" w:rsidP="000D6F2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O</w:t>
      </w:r>
      <w:r w:rsidR="003D23F1" w:rsidRPr="00337743">
        <w:rPr>
          <w:rFonts w:ascii="Cambria" w:hAnsi="Cambria"/>
          <w:color w:val="000000"/>
          <w:sz w:val="20"/>
          <w:szCs w:val="20"/>
          <w:lang w:val="pt-BR"/>
        </w:rPr>
        <w:t xml:space="preserve"> </w:t>
      </w:r>
      <w:r w:rsidR="00FD6942" w:rsidRPr="00337743">
        <w:rPr>
          <w:rFonts w:ascii="Cambria" w:hAnsi="Cambria"/>
          <w:color w:val="000000"/>
          <w:sz w:val="20"/>
          <w:szCs w:val="20"/>
          <w:lang w:val="pt-BR"/>
        </w:rPr>
        <w:t>processo</w:t>
      </w:r>
      <w:r w:rsidR="003D23F1" w:rsidRPr="00337743">
        <w:rPr>
          <w:rFonts w:ascii="Cambria" w:hAnsi="Cambria"/>
          <w:color w:val="000000"/>
          <w:sz w:val="20"/>
          <w:szCs w:val="20"/>
          <w:lang w:val="pt-BR"/>
        </w:rPr>
        <w:t xml:space="preserve"> </w:t>
      </w:r>
      <w:r w:rsidRPr="00337743">
        <w:rPr>
          <w:rFonts w:ascii="Cambria" w:hAnsi="Cambria"/>
          <w:color w:val="000000"/>
          <w:sz w:val="20"/>
          <w:szCs w:val="20"/>
          <w:lang w:val="pt-BR"/>
        </w:rPr>
        <w:t>ficou</w:t>
      </w:r>
      <w:r w:rsidR="003D23F1" w:rsidRPr="00337743">
        <w:rPr>
          <w:rFonts w:ascii="Cambria" w:hAnsi="Cambria"/>
          <w:color w:val="000000"/>
          <w:sz w:val="20"/>
          <w:szCs w:val="20"/>
          <w:lang w:val="pt-BR"/>
        </w:rPr>
        <w:t xml:space="preserve"> </w:t>
      </w:r>
      <w:r w:rsidR="003F7A65" w:rsidRPr="00337743">
        <w:rPr>
          <w:rFonts w:ascii="Cambria" w:hAnsi="Cambria"/>
          <w:color w:val="000000"/>
          <w:sz w:val="20"/>
          <w:szCs w:val="20"/>
          <w:lang w:val="pt-BR"/>
        </w:rPr>
        <w:t>paralisado</w:t>
      </w:r>
      <w:r w:rsidR="003D23F1" w:rsidRPr="00337743">
        <w:rPr>
          <w:rFonts w:ascii="Cambria" w:hAnsi="Cambria"/>
          <w:color w:val="000000"/>
          <w:sz w:val="20"/>
          <w:szCs w:val="20"/>
          <w:lang w:val="pt-BR"/>
        </w:rPr>
        <w:t xml:space="preserve"> por 26 meses </w:t>
      </w:r>
      <w:r w:rsidRPr="00337743">
        <w:rPr>
          <w:rFonts w:ascii="Cambria" w:hAnsi="Cambria"/>
          <w:color w:val="000000"/>
          <w:sz w:val="20"/>
          <w:szCs w:val="20"/>
          <w:lang w:val="pt-BR"/>
        </w:rPr>
        <w:t>até</w:t>
      </w:r>
      <w:r w:rsidR="003D23F1"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3D23F1" w:rsidRPr="00337743">
        <w:rPr>
          <w:rFonts w:ascii="Cambria" w:hAnsi="Cambria"/>
          <w:color w:val="000000"/>
          <w:sz w:val="20"/>
          <w:szCs w:val="20"/>
          <w:lang w:val="pt-BR"/>
        </w:rPr>
        <w:t>12 de abril de 2002</w:t>
      </w:r>
      <w:r w:rsidR="00506331" w:rsidRPr="00337743">
        <w:rPr>
          <w:rFonts w:ascii="Cambria" w:hAnsi="Cambria"/>
          <w:color w:val="000000"/>
          <w:sz w:val="20"/>
          <w:szCs w:val="20"/>
          <w:lang w:val="pt-BR"/>
        </w:rPr>
        <w:t xml:space="preserve"> a </w:t>
      </w:r>
      <w:r w:rsidR="003F7A65" w:rsidRPr="00337743">
        <w:rPr>
          <w:rFonts w:ascii="Cambria" w:hAnsi="Cambria"/>
          <w:color w:val="000000"/>
          <w:sz w:val="20"/>
          <w:szCs w:val="20"/>
          <w:lang w:val="pt-BR"/>
        </w:rPr>
        <w:t>Coordenador</w:t>
      </w:r>
      <w:r w:rsidR="00DD281A" w:rsidRPr="00337743">
        <w:rPr>
          <w:rFonts w:ascii="Cambria" w:hAnsi="Cambria"/>
          <w:color w:val="000000"/>
          <w:sz w:val="20"/>
          <w:szCs w:val="20"/>
          <w:lang w:val="pt-BR"/>
        </w:rPr>
        <w:t>i</w:t>
      </w:r>
      <w:r w:rsidR="003F7A65" w:rsidRPr="00337743">
        <w:rPr>
          <w:rFonts w:ascii="Cambria" w:hAnsi="Cambria"/>
          <w:color w:val="000000"/>
          <w:sz w:val="20"/>
          <w:szCs w:val="20"/>
          <w:lang w:val="pt-BR"/>
        </w:rPr>
        <w:t>a</w:t>
      </w:r>
      <w:r w:rsidR="003D23F1" w:rsidRPr="00337743">
        <w:rPr>
          <w:rFonts w:ascii="Cambria" w:hAnsi="Cambria"/>
          <w:color w:val="000000"/>
          <w:sz w:val="20"/>
          <w:szCs w:val="20"/>
          <w:lang w:val="pt-BR"/>
        </w:rPr>
        <w:t xml:space="preserve"> </w:t>
      </w:r>
      <w:r w:rsidR="004B43F6" w:rsidRPr="00337743">
        <w:rPr>
          <w:rFonts w:ascii="Cambria" w:hAnsi="Cambria"/>
          <w:color w:val="000000"/>
          <w:sz w:val="20"/>
          <w:szCs w:val="20"/>
          <w:lang w:val="pt-BR"/>
        </w:rPr>
        <w:t>Judicia</w:t>
      </w:r>
      <w:r w:rsidR="00DD281A" w:rsidRPr="00337743">
        <w:rPr>
          <w:rFonts w:ascii="Cambria" w:hAnsi="Cambria"/>
          <w:color w:val="000000"/>
          <w:sz w:val="20"/>
          <w:szCs w:val="20"/>
          <w:lang w:val="pt-BR"/>
        </w:rPr>
        <w:t>l</w:t>
      </w:r>
      <w:r w:rsidR="007707E3" w:rsidRPr="00337743">
        <w:rPr>
          <w:rFonts w:ascii="Cambria" w:hAnsi="Cambria"/>
          <w:color w:val="000000"/>
          <w:sz w:val="20"/>
          <w:szCs w:val="20"/>
          <w:lang w:val="pt-BR"/>
        </w:rPr>
        <w:t xml:space="preserve"> do </w:t>
      </w:r>
      <w:r w:rsidR="003D23F1" w:rsidRPr="00337743">
        <w:rPr>
          <w:rFonts w:ascii="Cambria" w:hAnsi="Cambria"/>
          <w:color w:val="000000"/>
          <w:sz w:val="20"/>
          <w:szCs w:val="20"/>
          <w:lang w:val="pt-BR"/>
        </w:rPr>
        <w:t xml:space="preserve">Tribunal de </w:t>
      </w:r>
      <w:r w:rsidR="00E96C24" w:rsidRPr="00337743">
        <w:rPr>
          <w:rFonts w:ascii="Cambria" w:hAnsi="Cambria"/>
          <w:color w:val="000000"/>
          <w:sz w:val="20"/>
          <w:szCs w:val="20"/>
          <w:lang w:val="pt-BR"/>
        </w:rPr>
        <w:t>Justiça</w:t>
      </w:r>
      <w:r w:rsidR="003D23F1" w:rsidRPr="00337743">
        <w:rPr>
          <w:rFonts w:ascii="Cambria" w:hAnsi="Cambria"/>
          <w:color w:val="000000"/>
          <w:sz w:val="20"/>
          <w:szCs w:val="20"/>
          <w:lang w:val="pt-BR"/>
        </w:rPr>
        <w:t xml:space="preserve"> </w:t>
      </w:r>
      <w:r w:rsidR="0026132C">
        <w:rPr>
          <w:rFonts w:ascii="Cambria" w:hAnsi="Cambria"/>
          <w:color w:val="000000"/>
          <w:sz w:val="20"/>
          <w:szCs w:val="20"/>
          <w:lang w:val="pt-BR"/>
        </w:rPr>
        <w:t xml:space="preserve">o </w:t>
      </w:r>
      <w:r w:rsidRPr="00337743">
        <w:rPr>
          <w:rFonts w:ascii="Cambria" w:hAnsi="Cambria"/>
          <w:color w:val="000000"/>
          <w:sz w:val="20"/>
          <w:szCs w:val="20"/>
          <w:lang w:val="pt-BR"/>
        </w:rPr>
        <w:t xml:space="preserve">enviou </w:t>
      </w:r>
      <w:r w:rsidR="00F453EB" w:rsidRPr="00337743">
        <w:rPr>
          <w:rFonts w:ascii="Cambria" w:hAnsi="Cambria"/>
          <w:color w:val="000000"/>
          <w:sz w:val="20"/>
          <w:szCs w:val="20"/>
          <w:lang w:val="pt-BR"/>
        </w:rPr>
        <w:t xml:space="preserve">à </w:t>
      </w:r>
      <w:r w:rsidR="003F7A65" w:rsidRPr="00337743">
        <w:rPr>
          <w:rFonts w:ascii="Cambria" w:hAnsi="Cambria"/>
          <w:color w:val="000000"/>
          <w:sz w:val="20"/>
          <w:szCs w:val="20"/>
          <w:lang w:val="pt-BR"/>
        </w:rPr>
        <w:t>Presidência</w:t>
      </w:r>
      <w:r w:rsidR="007707E3" w:rsidRPr="00337743">
        <w:rPr>
          <w:rFonts w:ascii="Cambria" w:hAnsi="Cambria"/>
          <w:color w:val="000000"/>
          <w:sz w:val="20"/>
          <w:szCs w:val="20"/>
          <w:lang w:val="pt-BR"/>
        </w:rPr>
        <w:t xml:space="preserve"> do </w:t>
      </w:r>
      <w:r w:rsidR="003D23F1" w:rsidRPr="00337743">
        <w:rPr>
          <w:rFonts w:ascii="Cambria" w:hAnsi="Cambria"/>
          <w:color w:val="000000"/>
          <w:sz w:val="20"/>
          <w:szCs w:val="20"/>
          <w:lang w:val="pt-BR"/>
        </w:rPr>
        <w:t>Tribunal</w:t>
      </w:r>
      <w:r w:rsidR="00091880" w:rsidRPr="00337743">
        <w:rPr>
          <w:rFonts w:ascii="Cambria" w:hAnsi="Cambria"/>
          <w:color w:val="000000"/>
          <w:sz w:val="20"/>
          <w:szCs w:val="20"/>
          <w:lang w:val="pt-BR"/>
        </w:rPr>
        <w:t xml:space="preserve"> em </w:t>
      </w:r>
      <w:r w:rsidR="003F7A65" w:rsidRPr="00337743">
        <w:rPr>
          <w:rFonts w:ascii="Cambria" w:hAnsi="Cambria"/>
          <w:color w:val="000000"/>
          <w:sz w:val="20"/>
          <w:szCs w:val="20"/>
          <w:lang w:val="pt-BR"/>
        </w:rPr>
        <w:t>virtude</w:t>
      </w:r>
      <w:r w:rsidR="003D23F1" w:rsidRPr="00337743">
        <w:rPr>
          <w:rFonts w:ascii="Cambria" w:hAnsi="Cambria"/>
          <w:color w:val="000000"/>
          <w:sz w:val="20"/>
          <w:szCs w:val="20"/>
          <w:lang w:val="pt-BR"/>
        </w:rPr>
        <w:t xml:space="preserve"> de</w:t>
      </w:r>
      <w:r w:rsidR="00091880" w:rsidRPr="00337743">
        <w:rPr>
          <w:rFonts w:ascii="Cambria" w:hAnsi="Cambria"/>
          <w:color w:val="000000"/>
          <w:sz w:val="20"/>
          <w:szCs w:val="20"/>
          <w:lang w:val="pt-BR"/>
        </w:rPr>
        <w:t xml:space="preserve"> um</w:t>
      </w:r>
      <w:r w:rsidRPr="00337743">
        <w:rPr>
          <w:rFonts w:ascii="Cambria" w:hAnsi="Cambria"/>
          <w:color w:val="000000"/>
          <w:sz w:val="20"/>
          <w:szCs w:val="20"/>
          <w:lang w:val="pt-BR"/>
        </w:rPr>
        <w:t>a</w:t>
      </w:r>
      <w:r w:rsidR="00091880" w:rsidRPr="00337743">
        <w:rPr>
          <w:rFonts w:ascii="Cambria" w:hAnsi="Cambria"/>
          <w:color w:val="000000"/>
          <w:sz w:val="20"/>
          <w:szCs w:val="20"/>
          <w:lang w:val="pt-BR"/>
        </w:rPr>
        <w:t xml:space="preserve"> </w:t>
      </w:r>
      <w:r w:rsidRPr="00337743">
        <w:rPr>
          <w:rFonts w:ascii="Cambria" w:hAnsi="Cambria"/>
          <w:color w:val="000000"/>
          <w:sz w:val="20"/>
          <w:szCs w:val="20"/>
          <w:lang w:val="pt-BR"/>
        </w:rPr>
        <w:t>alteração</w:t>
      </w:r>
      <w:r w:rsidR="003D23F1" w:rsidRPr="00337743">
        <w:rPr>
          <w:rFonts w:ascii="Cambria" w:hAnsi="Cambria"/>
          <w:color w:val="000000"/>
          <w:sz w:val="20"/>
          <w:szCs w:val="20"/>
          <w:lang w:val="pt-BR"/>
        </w:rPr>
        <w:t xml:space="preserve"> legislativ</w:t>
      </w:r>
      <w:r w:rsidRPr="00337743">
        <w:rPr>
          <w:rFonts w:ascii="Cambria" w:hAnsi="Cambria"/>
          <w:color w:val="000000"/>
          <w:sz w:val="20"/>
          <w:szCs w:val="20"/>
          <w:lang w:val="pt-BR"/>
        </w:rPr>
        <w:t>a</w:t>
      </w:r>
      <w:r w:rsidR="003D23F1" w:rsidRPr="00337743">
        <w:rPr>
          <w:rFonts w:ascii="Cambria" w:hAnsi="Cambria"/>
          <w:color w:val="000000"/>
          <w:sz w:val="20"/>
          <w:szCs w:val="20"/>
          <w:vertAlign w:val="superscript"/>
          <w:lang w:val="pt-BR"/>
        </w:rPr>
        <w:footnoteReference w:id="46"/>
      </w:r>
      <w:r w:rsidR="003D23F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A010F9" w:rsidRPr="00337743">
        <w:rPr>
          <w:rFonts w:ascii="Cambria" w:hAnsi="Cambria"/>
          <w:color w:val="000000"/>
          <w:sz w:val="20"/>
          <w:szCs w:val="20"/>
          <w:lang w:val="pt-BR"/>
        </w:rPr>
        <w:t xml:space="preserve">20 de </w:t>
      </w:r>
      <w:r w:rsidR="008F4787" w:rsidRPr="00337743">
        <w:rPr>
          <w:rFonts w:ascii="Cambria" w:hAnsi="Cambria"/>
          <w:color w:val="000000"/>
          <w:sz w:val="20"/>
          <w:szCs w:val="20"/>
          <w:lang w:val="pt-BR"/>
        </w:rPr>
        <w:t>dezembro</w:t>
      </w:r>
      <w:r w:rsidR="00A010F9" w:rsidRPr="00337743">
        <w:rPr>
          <w:rFonts w:ascii="Cambria" w:hAnsi="Cambria"/>
          <w:color w:val="000000"/>
          <w:sz w:val="20"/>
          <w:szCs w:val="20"/>
          <w:lang w:val="pt-BR"/>
        </w:rPr>
        <w:t xml:space="preserve"> de 2001</w:t>
      </w:r>
      <w:r w:rsidR="0026132C">
        <w:rPr>
          <w:rFonts w:ascii="Cambria" w:hAnsi="Cambria"/>
          <w:color w:val="000000"/>
          <w:sz w:val="20"/>
          <w:szCs w:val="20"/>
          <w:lang w:val="pt-BR"/>
        </w:rPr>
        <w:t>, havia ocorrido</w:t>
      </w:r>
      <w:r w:rsidR="00091880" w:rsidRPr="00337743">
        <w:rPr>
          <w:rFonts w:ascii="Cambria" w:hAnsi="Cambria"/>
          <w:color w:val="000000"/>
          <w:sz w:val="20"/>
          <w:szCs w:val="20"/>
          <w:lang w:val="pt-BR"/>
        </w:rPr>
        <w:t xml:space="preserve"> no </w:t>
      </w:r>
      <w:r w:rsidR="00A010F9" w:rsidRPr="00337743">
        <w:rPr>
          <w:rFonts w:ascii="Cambria" w:hAnsi="Cambria"/>
          <w:color w:val="000000"/>
          <w:sz w:val="20"/>
          <w:szCs w:val="20"/>
          <w:lang w:val="pt-BR"/>
        </w:rPr>
        <w:t>Estado</w:t>
      </w:r>
      <w:r w:rsidR="00091880" w:rsidRPr="00337743">
        <w:rPr>
          <w:rFonts w:ascii="Cambria" w:hAnsi="Cambria"/>
          <w:color w:val="000000"/>
          <w:sz w:val="20"/>
          <w:szCs w:val="20"/>
          <w:lang w:val="pt-BR"/>
        </w:rPr>
        <w:t xml:space="preserve"> uma </w:t>
      </w:r>
      <w:r w:rsidR="00A010F9" w:rsidRPr="00337743">
        <w:rPr>
          <w:rFonts w:ascii="Cambria" w:hAnsi="Cambria"/>
          <w:color w:val="000000"/>
          <w:sz w:val="20"/>
          <w:szCs w:val="20"/>
          <w:lang w:val="pt-BR"/>
        </w:rPr>
        <w:t>altera</w:t>
      </w:r>
      <w:r w:rsidR="00350E7E" w:rsidRPr="00337743">
        <w:rPr>
          <w:rFonts w:ascii="Cambria" w:hAnsi="Cambria"/>
          <w:color w:val="000000"/>
          <w:sz w:val="20"/>
          <w:szCs w:val="20"/>
          <w:lang w:val="pt-BR"/>
        </w:rPr>
        <w:t>ção</w:t>
      </w:r>
      <w:r w:rsidR="00A010F9" w:rsidRPr="00337743">
        <w:rPr>
          <w:rFonts w:ascii="Cambria" w:hAnsi="Cambria"/>
          <w:color w:val="000000"/>
          <w:sz w:val="20"/>
          <w:szCs w:val="20"/>
          <w:lang w:val="pt-BR"/>
        </w:rPr>
        <w:t xml:space="preserve"> legislativa</w:t>
      </w:r>
      <w:r w:rsidR="00091880" w:rsidRPr="00337743">
        <w:rPr>
          <w:rFonts w:ascii="Cambria" w:hAnsi="Cambria"/>
          <w:color w:val="000000"/>
          <w:sz w:val="20"/>
          <w:szCs w:val="20"/>
          <w:lang w:val="pt-BR"/>
        </w:rPr>
        <w:t xml:space="preserve"> em </w:t>
      </w:r>
      <w:r w:rsidR="00A010F9" w:rsidRPr="00337743">
        <w:rPr>
          <w:rFonts w:ascii="Cambria" w:hAnsi="Cambria"/>
          <w:color w:val="000000"/>
          <w:sz w:val="20"/>
          <w:szCs w:val="20"/>
          <w:lang w:val="pt-BR"/>
        </w:rPr>
        <w:t>rela</w:t>
      </w:r>
      <w:r w:rsidR="00350E7E" w:rsidRPr="00337743">
        <w:rPr>
          <w:rFonts w:ascii="Cambria" w:hAnsi="Cambria"/>
          <w:color w:val="000000"/>
          <w:sz w:val="20"/>
          <w:szCs w:val="20"/>
          <w:lang w:val="pt-BR"/>
        </w:rPr>
        <w:t>ção</w:t>
      </w:r>
      <w:r w:rsidR="00F453EB" w:rsidRPr="00337743">
        <w:rPr>
          <w:rFonts w:ascii="Cambria" w:hAnsi="Cambria"/>
          <w:color w:val="000000"/>
          <w:sz w:val="20"/>
          <w:szCs w:val="20"/>
          <w:lang w:val="pt-BR"/>
        </w:rPr>
        <w:t xml:space="preserve"> à </w:t>
      </w:r>
      <w:r w:rsidR="00DB5118" w:rsidRPr="00337743">
        <w:rPr>
          <w:rFonts w:ascii="Cambria" w:hAnsi="Cambria"/>
          <w:color w:val="000000"/>
          <w:sz w:val="20"/>
          <w:szCs w:val="20"/>
          <w:lang w:val="pt-BR"/>
        </w:rPr>
        <w:t>im</w:t>
      </w:r>
      <w:r w:rsidR="00A010F9"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00A010F9" w:rsidRPr="00337743">
        <w:rPr>
          <w:rFonts w:ascii="Cambria" w:hAnsi="Cambria"/>
          <w:color w:val="000000"/>
          <w:sz w:val="20"/>
          <w:szCs w:val="20"/>
          <w:lang w:val="pt-BR"/>
        </w:rPr>
        <w:t>parlamentar,</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a </w:t>
      </w:r>
      <w:r w:rsidR="003F7A65" w:rsidRPr="00337743">
        <w:rPr>
          <w:rFonts w:ascii="Cambria" w:hAnsi="Cambria"/>
          <w:color w:val="000000"/>
          <w:sz w:val="20"/>
          <w:szCs w:val="20"/>
          <w:lang w:val="pt-BR"/>
        </w:rPr>
        <w:t>aprovação</w:t>
      </w:r>
      <w:r w:rsidR="00091880" w:rsidRPr="00337743">
        <w:rPr>
          <w:rFonts w:ascii="Cambria" w:hAnsi="Cambria"/>
          <w:color w:val="000000"/>
          <w:sz w:val="20"/>
          <w:szCs w:val="20"/>
          <w:lang w:val="pt-BR"/>
        </w:rPr>
        <w:t xml:space="preserve"> pelo </w:t>
      </w:r>
      <w:r w:rsidR="003F7A65" w:rsidRPr="00337743">
        <w:rPr>
          <w:rFonts w:ascii="Cambria" w:hAnsi="Cambria"/>
          <w:color w:val="000000"/>
          <w:sz w:val="20"/>
          <w:szCs w:val="20"/>
          <w:lang w:val="pt-BR"/>
        </w:rPr>
        <w:t>Congresso</w:t>
      </w:r>
      <w:r w:rsidR="00A010F9" w:rsidRPr="00337743">
        <w:rPr>
          <w:rFonts w:ascii="Cambria" w:hAnsi="Cambria"/>
          <w:color w:val="000000"/>
          <w:sz w:val="20"/>
          <w:szCs w:val="20"/>
          <w:lang w:val="pt-BR"/>
        </w:rPr>
        <w:t xml:space="preserve"> Nacional</w:t>
      </w:r>
      <w:r w:rsidR="007707E3" w:rsidRPr="00337743">
        <w:rPr>
          <w:rFonts w:ascii="Cambria" w:hAnsi="Cambria"/>
          <w:color w:val="000000"/>
          <w:sz w:val="20"/>
          <w:szCs w:val="20"/>
          <w:lang w:val="pt-BR"/>
        </w:rPr>
        <w:t xml:space="preserve"> da </w:t>
      </w:r>
      <w:r w:rsidR="003F7A65" w:rsidRPr="00337743">
        <w:rPr>
          <w:rFonts w:ascii="Cambria" w:hAnsi="Cambria"/>
          <w:color w:val="000000"/>
          <w:sz w:val="20"/>
          <w:szCs w:val="20"/>
          <w:lang w:val="pt-BR"/>
        </w:rPr>
        <w:t>Emenda</w:t>
      </w:r>
      <w:r w:rsidR="00A010F9" w:rsidRPr="00337743">
        <w:rPr>
          <w:rFonts w:ascii="Cambria" w:hAnsi="Cambria"/>
          <w:color w:val="000000"/>
          <w:sz w:val="20"/>
          <w:szCs w:val="20"/>
          <w:lang w:val="pt-BR"/>
        </w:rPr>
        <w:t xml:space="preserve"> Constitucional Nº 35/2001, que determin</w:t>
      </w:r>
      <w:r w:rsidR="00333E01" w:rsidRPr="00337743">
        <w:rPr>
          <w:rFonts w:ascii="Cambria" w:hAnsi="Cambria"/>
          <w:color w:val="000000"/>
          <w:sz w:val="20"/>
          <w:szCs w:val="20"/>
          <w:lang w:val="pt-BR"/>
        </w:rPr>
        <w:t>ou</w:t>
      </w:r>
      <w:r w:rsidR="00A010F9"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a </w:t>
      </w:r>
      <w:r w:rsidR="00A010F9"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A010F9" w:rsidRPr="00337743">
        <w:rPr>
          <w:rFonts w:ascii="Cambria" w:hAnsi="Cambria"/>
          <w:color w:val="000000"/>
          <w:sz w:val="20"/>
          <w:szCs w:val="20"/>
          <w:lang w:val="pt-BR"/>
        </w:rPr>
        <w:t xml:space="preserve"> penal contra parlamentar</w:t>
      </w:r>
      <w:r w:rsidR="003E7207" w:rsidRPr="00337743">
        <w:rPr>
          <w:rFonts w:ascii="Cambria" w:hAnsi="Cambria"/>
          <w:color w:val="000000"/>
          <w:sz w:val="20"/>
          <w:szCs w:val="20"/>
          <w:lang w:val="pt-BR"/>
        </w:rPr>
        <w:t>e</w:t>
      </w:r>
      <w:r w:rsidR="00A010F9" w:rsidRPr="00337743">
        <w:rPr>
          <w:rFonts w:ascii="Cambria" w:hAnsi="Cambria"/>
          <w:color w:val="000000"/>
          <w:sz w:val="20"/>
          <w:szCs w:val="20"/>
          <w:lang w:val="pt-BR"/>
        </w:rPr>
        <w:t xml:space="preserve">s </w:t>
      </w:r>
      <w:r w:rsidR="003F7A65" w:rsidRPr="00337743">
        <w:rPr>
          <w:rFonts w:ascii="Cambria" w:hAnsi="Cambria"/>
          <w:color w:val="000000"/>
          <w:sz w:val="20"/>
          <w:szCs w:val="20"/>
          <w:lang w:val="pt-BR"/>
        </w:rPr>
        <w:t>poderia</w:t>
      </w:r>
      <w:r w:rsidR="00A010F9" w:rsidRPr="00337743">
        <w:rPr>
          <w:rFonts w:ascii="Cambria" w:hAnsi="Cambria"/>
          <w:color w:val="000000"/>
          <w:sz w:val="20"/>
          <w:szCs w:val="20"/>
          <w:lang w:val="pt-BR"/>
        </w:rPr>
        <w:t xml:space="preserve"> ser admitida</w:t>
      </w:r>
      <w:r w:rsidR="00325DAC" w:rsidRPr="00337743">
        <w:rPr>
          <w:rFonts w:ascii="Cambria" w:hAnsi="Cambria"/>
          <w:color w:val="000000"/>
          <w:sz w:val="20"/>
          <w:szCs w:val="20"/>
          <w:lang w:val="pt-BR"/>
        </w:rPr>
        <w:t xml:space="preserve"> sem </w:t>
      </w:r>
      <w:r w:rsidR="00A010F9" w:rsidRPr="00337743">
        <w:rPr>
          <w:rFonts w:ascii="Cambria" w:hAnsi="Cambria"/>
          <w:color w:val="000000"/>
          <w:sz w:val="20"/>
          <w:szCs w:val="20"/>
          <w:lang w:val="pt-BR"/>
        </w:rPr>
        <w:t>pr</w:t>
      </w:r>
      <w:r w:rsidR="00343F7B" w:rsidRPr="00337743">
        <w:rPr>
          <w:rFonts w:ascii="Cambria" w:hAnsi="Cambria"/>
          <w:color w:val="000000"/>
          <w:sz w:val="20"/>
          <w:szCs w:val="20"/>
          <w:lang w:val="pt-BR"/>
        </w:rPr>
        <w:t>é</w:t>
      </w:r>
      <w:r w:rsidR="00A010F9" w:rsidRPr="00337743">
        <w:rPr>
          <w:rFonts w:ascii="Cambria" w:hAnsi="Cambria"/>
          <w:color w:val="000000"/>
          <w:sz w:val="20"/>
          <w:szCs w:val="20"/>
          <w:lang w:val="pt-BR"/>
        </w:rPr>
        <w:t>via autoriza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da </w:t>
      </w:r>
      <w:r w:rsidR="003F7A65" w:rsidRPr="00337743">
        <w:rPr>
          <w:rFonts w:ascii="Cambria" w:hAnsi="Cambria"/>
          <w:color w:val="000000"/>
          <w:sz w:val="20"/>
          <w:szCs w:val="20"/>
          <w:lang w:val="pt-BR"/>
        </w:rPr>
        <w:t>Câmara</w:t>
      </w:r>
      <w:r w:rsidR="00A010F9" w:rsidRPr="00337743">
        <w:rPr>
          <w:rFonts w:ascii="Cambria" w:hAnsi="Cambria"/>
          <w:color w:val="000000"/>
          <w:sz w:val="20"/>
          <w:szCs w:val="20"/>
          <w:lang w:val="pt-BR"/>
        </w:rPr>
        <w:t xml:space="preserve"> Legislativa a que </w:t>
      </w:r>
      <w:r w:rsidR="00F56946" w:rsidRPr="00337743">
        <w:rPr>
          <w:rFonts w:ascii="Cambria" w:hAnsi="Cambria"/>
          <w:color w:val="000000"/>
          <w:sz w:val="20"/>
          <w:szCs w:val="20"/>
          <w:lang w:val="pt-BR"/>
        </w:rPr>
        <w:t>pertencem</w:t>
      </w:r>
      <w:r w:rsidR="00A010F9"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Pr="00337743">
        <w:rPr>
          <w:rFonts w:ascii="Cambria" w:hAnsi="Cambria"/>
          <w:color w:val="000000"/>
          <w:sz w:val="20"/>
          <w:szCs w:val="20"/>
          <w:lang w:val="pt-BR"/>
        </w:rPr>
        <w:t>C</w:t>
      </w:r>
      <w:r w:rsidR="00091880" w:rsidRPr="00337743">
        <w:rPr>
          <w:rFonts w:ascii="Cambria" w:hAnsi="Cambria"/>
          <w:color w:val="000000"/>
          <w:sz w:val="20"/>
          <w:szCs w:val="20"/>
          <w:lang w:val="pt-BR"/>
        </w:rPr>
        <w:t xml:space="preserve">om </w:t>
      </w:r>
      <w:r w:rsidR="00A010F9" w:rsidRPr="00337743">
        <w:rPr>
          <w:rFonts w:ascii="Cambria" w:hAnsi="Cambria"/>
          <w:color w:val="000000"/>
          <w:sz w:val="20"/>
          <w:szCs w:val="20"/>
          <w:lang w:val="pt-BR"/>
        </w:rPr>
        <w:t>es</w:t>
      </w:r>
      <w:r w:rsidR="00942E69" w:rsidRPr="00337743">
        <w:rPr>
          <w:rFonts w:ascii="Cambria" w:hAnsi="Cambria"/>
          <w:color w:val="000000"/>
          <w:sz w:val="20"/>
          <w:szCs w:val="20"/>
          <w:lang w:val="pt-BR"/>
        </w:rPr>
        <w:t>t</w:t>
      </w:r>
      <w:r w:rsidRPr="00337743">
        <w:rPr>
          <w:rFonts w:ascii="Cambria" w:hAnsi="Cambria"/>
          <w:color w:val="000000"/>
          <w:sz w:val="20"/>
          <w:szCs w:val="20"/>
          <w:lang w:val="pt-BR"/>
        </w:rPr>
        <w:t>a alteração</w:t>
      </w:r>
      <w:r w:rsidR="00A010F9" w:rsidRPr="00337743">
        <w:rPr>
          <w:rFonts w:ascii="Cambria" w:hAnsi="Cambria"/>
          <w:color w:val="000000"/>
          <w:sz w:val="20"/>
          <w:szCs w:val="20"/>
          <w:lang w:val="pt-BR"/>
        </w:rPr>
        <w:t xml:space="preserve">, </w:t>
      </w:r>
      <w:r w:rsidR="00333E01" w:rsidRPr="00337743">
        <w:rPr>
          <w:rFonts w:ascii="Cambria" w:hAnsi="Cambria"/>
          <w:color w:val="000000"/>
          <w:sz w:val="20"/>
          <w:szCs w:val="20"/>
          <w:lang w:val="pt-BR"/>
        </w:rPr>
        <w:t>após</w:t>
      </w:r>
      <w:r w:rsidR="00A010F9" w:rsidRPr="00337743">
        <w:rPr>
          <w:rFonts w:ascii="Cambria" w:hAnsi="Cambria"/>
          <w:color w:val="000000"/>
          <w:sz w:val="20"/>
          <w:szCs w:val="20"/>
          <w:lang w:val="pt-BR"/>
        </w:rPr>
        <w:t xml:space="preserve"> iniciado</w:t>
      </w:r>
      <w:r w:rsidR="00506331" w:rsidRPr="00337743">
        <w:rPr>
          <w:rFonts w:ascii="Cambria" w:hAnsi="Cambria"/>
          <w:color w:val="000000"/>
          <w:sz w:val="20"/>
          <w:szCs w:val="20"/>
          <w:lang w:val="pt-BR"/>
        </w:rPr>
        <w:t xml:space="preserve"> o </w:t>
      </w:r>
      <w:r w:rsidR="00FD6942" w:rsidRPr="00337743">
        <w:rPr>
          <w:rFonts w:ascii="Cambria" w:hAnsi="Cambria"/>
          <w:color w:val="000000"/>
          <w:sz w:val="20"/>
          <w:szCs w:val="20"/>
          <w:lang w:val="pt-BR"/>
        </w:rPr>
        <w:t>processo</w:t>
      </w:r>
      <w:r w:rsidR="00A010F9"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o </w:t>
      </w:r>
      <w:r w:rsidR="00F56946" w:rsidRPr="00337743">
        <w:rPr>
          <w:rFonts w:ascii="Cambria" w:hAnsi="Cambria"/>
          <w:color w:val="000000"/>
          <w:sz w:val="20"/>
          <w:szCs w:val="20"/>
          <w:lang w:val="pt-BR"/>
        </w:rPr>
        <w:t>mesmo</w:t>
      </w:r>
      <w:r w:rsidR="00A010F9" w:rsidRPr="00337743">
        <w:rPr>
          <w:rFonts w:ascii="Cambria" w:hAnsi="Cambria"/>
          <w:color w:val="000000"/>
          <w:sz w:val="20"/>
          <w:szCs w:val="20"/>
          <w:lang w:val="pt-BR"/>
        </w:rPr>
        <w:t xml:space="preserve"> </w:t>
      </w:r>
      <w:r w:rsidR="00F56946" w:rsidRPr="00337743">
        <w:rPr>
          <w:rFonts w:ascii="Cambria" w:hAnsi="Cambria"/>
          <w:color w:val="000000"/>
          <w:sz w:val="20"/>
          <w:szCs w:val="20"/>
          <w:lang w:val="pt-BR"/>
        </w:rPr>
        <w:t>deve</w:t>
      </w:r>
      <w:r w:rsidR="00A010F9" w:rsidRPr="00337743">
        <w:rPr>
          <w:rFonts w:ascii="Cambria" w:hAnsi="Cambria"/>
          <w:color w:val="000000"/>
          <w:sz w:val="20"/>
          <w:szCs w:val="20"/>
          <w:lang w:val="pt-BR"/>
        </w:rPr>
        <w:t xml:space="preserve"> ser comunicado</w:t>
      </w:r>
      <w:r w:rsidR="00BF72CE" w:rsidRPr="00337743">
        <w:rPr>
          <w:rFonts w:ascii="Cambria" w:hAnsi="Cambria"/>
          <w:color w:val="000000"/>
          <w:sz w:val="20"/>
          <w:szCs w:val="20"/>
          <w:lang w:val="pt-BR"/>
        </w:rPr>
        <w:t xml:space="preserve"> ao </w:t>
      </w:r>
      <w:r w:rsidR="00F56946" w:rsidRPr="00337743">
        <w:rPr>
          <w:rFonts w:ascii="Cambria" w:hAnsi="Cambria"/>
          <w:color w:val="000000"/>
          <w:sz w:val="20"/>
          <w:szCs w:val="20"/>
          <w:lang w:val="pt-BR"/>
        </w:rPr>
        <w:t>órgão</w:t>
      </w:r>
      <w:r w:rsidR="007707E3" w:rsidRPr="00337743">
        <w:rPr>
          <w:rFonts w:ascii="Cambria" w:hAnsi="Cambria"/>
          <w:color w:val="000000"/>
          <w:sz w:val="20"/>
          <w:szCs w:val="20"/>
          <w:lang w:val="pt-BR"/>
        </w:rPr>
        <w:t xml:space="preserve"> do </w:t>
      </w:r>
      <w:r w:rsidR="009D71DA" w:rsidRPr="00337743">
        <w:rPr>
          <w:rFonts w:ascii="Cambria" w:hAnsi="Cambria"/>
          <w:color w:val="000000"/>
          <w:sz w:val="20"/>
          <w:szCs w:val="20"/>
          <w:lang w:val="pt-BR"/>
        </w:rPr>
        <w:t>qual</w:t>
      </w:r>
      <w:r w:rsidR="00506331" w:rsidRPr="00337743">
        <w:rPr>
          <w:rFonts w:ascii="Cambria" w:hAnsi="Cambria"/>
          <w:color w:val="000000"/>
          <w:sz w:val="20"/>
          <w:szCs w:val="20"/>
          <w:lang w:val="pt-BR"/>
        </w:rPr>
        <w:t xml:space="preserve"> o </w:t>
      </w:r>
      <w:r w:rsidR="00A010F9" w:rsidRPr="00337743">
        <w:rPr>
          <w:rFonts w:ascii="Cambria" w:hAnsi="Cambria"/>
          <w:color w:val="000000"/>
          <w:sz w:val="20"/>
          <w:szCs w:val="20"/>
          <w:lang w:val="pt-BR"/>
        </w:rPr>
        <w:t>acusado</w:t>
      </w:r>
      <w:r w:rsidR="00A6443F" w:rsidRPr="00337743">
        <w:rPr>
          <w:rFonts w:ascii="Cambria" w:hAnsi="Cambria"/>
          <w:color w:val="000000"/>
          <w:sz w:val="20"/>
          <w:szCs w:val="20"/>
          <w:lang w:val="pt-BR"/>
        </w:rPr>
        <w:t xml:space="preserve"> é </w:t>
      </w:r>
      <w:r w:rsidR="00F56946" w:rsidRPr="00337743">
        <w:rPr>
          <w:rFonts w:ascii="Cambria" w:hAnsi="Cambria"/>
          <w:color w:val="000000"/>
          <w:sz w:val="20"/>
          <w:szCs w:val="20"/>
          <w:lang w:val="pt-BR"/>
        </w:rPr>
        <w:t>membro</w:t>
      </w:r>
      <w:r w:rsidR="00A010F9" w:rsidRPr="00337743">
        <w:rPr>
          <w:rFonts w:ascii="Cambria" w:hAnsi="Cambria"/>
          <w:color w:val="000000"/>
          <w:sz w:val="20"/>
          <w:szCs w:val="20"/>
          <w:lang w:val="pt-BR"/>
        </w:rPr>
        <w:t>, qu</w:t>
      </w:r>
      <w:r w:rsidR="00333E01" w:rsidRPr="00337743">
        <w:rPr>
          <w:rFonts w:ascii="Cambria" w:hAnsi="Cambria"/>
          <w:color w:val="000000"/>
          <w:sz w:val="20"/>
          <w:szCs w:val="20"/>
          <w:lang w:val="pt-BR"/>
        </w:rPr>
        <w:t>e</w:t>
      </w:r>
      <w:r w:rsidR="00A010F9" w:rsidRPr="00337743">
        <w:rPr>
          <w:rFonts w:ascii="Cambria" w:hAnsi="Cambria"/>
          <w:color w:val="000000"/>
          <w:sz w:val="20"/>
          <w:szCs w:val="20"/>
          <w:lang w:val="pt-BR"/>
        </w:rPr>
        <w:t xml:space="preserve"> p</w:t>
      </w:r>
      <w:r w:rsidR="00333E01" w:rsidRPr="00337743">
        <w:rPr>
          <w:rFonts w:ascii="Cambria" w:hAnsi="Cambria"/>
          <w:color w:val="000000"/>
          <w:sz w:val="20"/>
          <w:szCs w:val="20"/>
          <w:lang w:val="pt-BR"/>
        </w:rPr>
        <w:t>o</w:t>
      </w:r>
      <w:r w:rsidR="00A010F9" w:rsidRPr="00337743">
        <w:rPr>
          <w:rFonts w:ascii="Cambria" w:hAnsi="Cambria"/>
          <w:color w:val="000000"/>
          <w:sz w:val="20"/>
          <w:szCs w:val="20"/>
          <w:lang w:val="pt-BR"/>
        </w:rPr>
        <w:t>de suspender</w:t>
      </w:r>
      <w:r w:rsidR="00506331" w:rsidRPr="00337743">
        <w:rPr>
          <w:rFonts w:ascii="Cambria" w:hAnsi="Cambria"/>
          <w:color w:val="000000"/>
          <w:sz w:val="20"/>
          <w:szCs w:val="20"/>
          <w:lang w:val="pt-BR"/>
        </w:rPr>
        <w:t xml:space="preserve"> o </w:t>
      </w:r>
      <w:r w:rsidR="00A010F9" w:rsidRPr="00337743">
        <w:rPr>
          <w:rFonts w:ascii="Cambria" w:hAnsi="Cambria"/>
          <w:color w:val="000000"/>
          <w:sz w:val="20"/>
          <w:szCs w:val="20"/>
          <w:lang w:val="pt-BR"/>
        </w:rPr>
        <w:t>curso</w:t>
      </w:r>
      <w:r w:rsidR="007707E3" w:rsidRPr="00337743">
        <w:rPr>
          <w:rFonts w:ascii="Cambria" w:hAnsi="Cambria"/>
          <w:color w:val="000000"/>
          <w:sz w:val="20"/>
          <w:szCs w:val="20"/>
          <w:lang w:val="pt-BR"/>
        </w:rPr>
        <w:t xml:space="preserve"> da </w:t>
      </w:r>
      <w:r w:rsidR="00A010F9"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A010F9" w:rsidRPr="00337743">
        <w:rPr>
          <w:rFonts w:ascii="Cambria" w:hAnsi="Cambria"/>
          <w:color w:val="000000"/>
          <w:sz w:val="20"/>
          <w:szCs w:val="20"/>
          <w:lang w:val="pt-BR"/>
        </w:rPr>
        <w:t xml:space="preserve"> penal, s</w:t>
      </w:r>
      <w:r w:rsidR="00333E01" w:rsidRPr="00337743">
        <w:rPr>
          <w:rFonts w:ascii="Cambria" w:hAnsi="Cambria"/>
          <w:color w:val="000000"/>
          <w:sz w:val="20"/>
          <w:szCs w:val="20"/>
          <w:lang w:val="pt-BR"/>
        </w:rPr>
        <w:t>e</w:t>
      </w:r>
      <w:r w:rsidR="00A010F9" w:rsidRPr="00337743">
        <w:rPr>
          <w:rFonts w:ascii="Cambria" w:hAnsi="Cambria"/>
          <w:color w:val="000000"/>
          <w:sz w:val="20"/>
          <w:szCs w:val="20"/>
          <w:lang w:val="pt-BR"/>
        </w:rPr>
        <w:t xml:space="preserve"> ju</w:t>
      </w:r>
      <w:r w:rsidR="00333E01" w:rsidRPr="00337743">
        <w:rPr>
          <w:rFonts w:ascii="Cambria" w:hAnsi="Cambria"/>
          <w:color w:val="000000"/>
          <w:sz w:val="20"/>
          <w:szCs w:val="20"/>
          <w:lang w:val="pt-BR"/>
        </w:rPr>
        <w:t>l</w:t>
      </w:r>
      <w:r w:rsidR="00A010F9" w:rsidRPr="00337743">
        <w:rPr>
          <w:rFonts w:ascii="Cambria" w:hAnsi="Cambria"/>
          <w:color w:val="000000"/>
          <w:sz w:val="20"/>
          <w:szCs w:val="20"/>
          <w:lang w:val="pt-BR"/>
        </w:rPr>
        <w:t>ga</w:t>
      </w:r>
      <w:r w:rsidR="00333E01" w:rsidRPr="00337743">
        <w:rPr>
          <w:rFonts w:ascii="Cambria" w:hAnsi="Cambria"/>
          <w:color w:val="000000"/>
          <w:sz w:val="20"/>
          <w:szCs w:val="20"/>
          <w:lang w:val="pt-BR"/>
        </w:rPr>
        <w:t>r</w:t>
      </w:r>
      <w:r w:rsidR="00A010F9" w:rsidRPr="00337743">
        <w:rPr>
          <w:rFonts w:ascii="Cambria" w:hAnsi="Cambria"/>
          <w:color w:val="000000"/>
          <w:sz w:val="20"/>
          <w:szCs w:val="20"/>
          <w:lang w:val="pt-BR"/>
        </w:rPr>
        <w:t xml:space="preserve"> conveniente,</w:t>
      </w:r>
      <w:r w:rsidR="00091880" w:rsidRPr="00337743">
        <w:rPr>
          <w:rFonts w:ascii="Cambria" w:hAnsi="Cambria"/>
          <w:color w:val="000000"/>
          <w:sz w:val="20"/>
          <w:szCs w:val="20"/>
          <w:lang w:val="pt-BR"/>
        </w:rPr>
        <w:t xml:space="preserve"> pelo </w:t>
      </w:r>
      <w:r w:rsidR="00A010F9" w:rsidRPr="00337743">
        <w:rPr>
          <w:rFonts w:ascii="Cambria" w:hAnsi="Cambria"/>
          <w:color w:val="000000"/>
          <w:sz w:val="20"/>
          <w:szCs w:val="20"/>
          <w:lang w:val="pt-BR"/>
        </w:rPr>
        <w:t>voto</w:t>
      </w:r>
      <w:r w:rsidR="007707E3" w:rsidRPr="00337743">
        <w:rPr>
          <w:rFonts w:ascii="Cambria" w:hAnsi="Cambria"/>
          <w:color w:val="000000"/>
          <w:sz w:val="20"/>
          <w:szCs w:val="20"/>
          <w:lang w:val="pt-BR"/>
        </w:rPr>
        <w:t xml:space="preserve"> da </w:t>
      </w:r>
      <w:r w:rsidR="00F56946" w:rsidRPr="00337743">
        <w:rPr>
          <w:rFonts w:ascii="Cambria" w:hAnsi="Cambria"/>
          <w:color w:val="000000"/>
          <w:sz w:val="20"/>
          <w:szCs w:val="20"/>
          <w:lang w:val="pt-BR"/>
        </w:rPr>
        <w:t>maioria</w:t>
      </w:r>
      <w:r w:rsidR="00A010F9" w:rsidRPr="00337743">
        <w:rPr>
          <w:rFonts w:ascii="Cambria" w:hAnsi="Cambria"/>
          <w:color w:val="000000"/>
          <w:sz w:val="20"/>
          <w:szCs w:val="20"/>
          <w:lang w:val="pt-BR"/>
        </w:rPr>
        <w:t xml:space="preserve"> de s</w:t>
      </w:r>
      <w:r w:rsidR="00343F7B" w:rsidRPr="00337743">
        <w:rPr>
          <w:rFonts w:ascii="Cambria" w:hAnsi="Cambria"/>
          <w:color w:val="000000"/>
          <w:sz w:val="20"/>
          <w:szCs w:val="20"/>
          <w:lang w:val="pt-BR"/>
        </w:rPr>
        <w:t>e</w:t>
      </w:r>
      <w:r w:rsidR="00A010F9" w:rsidRPr="00337743">
        <w:rPr>
          <w:rFonts w:ascii="Cambria" w:hAnsi="Cambria"/>
          <w:color w:val="000000"/>
          <w:sz w:val="20"/>
          <w:szCs w:val="20"/>
          <w:lang w:val="pt-BR"/>
        </w:rPr>
        <w:t>us</w:t>
      </w:r>
      <w:r w:rsidR="0083184C" w:rsidRPr="00337743">
        <w:rPr>
          <w:rFonts w:ascii="Cambria" w:hAnsi="Cambria"/>
          <w:color w:val="000000"/>
          <w:sz w:val="20"/>
          <w:szCs w:val="20"/>
          <w:lang w:val="pt-BR"/>
        </w:rPr>
        <w:t xml:space="preserve"> </w:t>
      </w:r>
      <w:r w:rsidR="00F56946" w:rsidRPr="00337743">
        <w:rPr>
          <w:rFonts w:ascii="Cambria" w:hAnsi="Cambria"/>
          <w:color w:val="000000"/>
          <w:sz w:val="20"/>
          <w:szCs w:val="20"/>
          <w:lang w:val="pt-BR"/>
        </w:rPr>
        <w:t>membros</w:t>
      </w:r>
      <w:r w:rsidR="005F60E1" w:rsidRPr="00337743">
        <w:rPr>
          <w:rFonts w:ascii="Cambria" w:hAnsi="Cambria"/>
          <w:color w:val="000000"/>
          <w:sz w:val="20"/>
          <w:szCs w:val="20"/>
          <w:vertAlign w:val="superscript"/>
          <w:lang w:val="pt-BR"/>
        </w:rPr>
        <w:footnoteReference w:id="47"/>
      </w:r>
      <w:r w:rsidR="000311E0" w:rsidRPr="00337743">
        <w:rPr>
          <w:rFonts w:ascii="Cambria" w:hAnsi="Cambria"/>
          <w:color w:val="000000"/>
          <w:sz w:val="20"/>
          <w:szCs w:val="20"/>
          <w:lang w:val="pt-BR"/>
        </w:rPr>
        <w:t>.</w:t>
      </w:r>
    </w:p>
    <w:p w14:paraId="6BB3A28F" w14:textId="77777777" w:rsidR="00A23A43" w:rsidRPr="00337743" w:rsidRDefault="00A23A43" w:rsidP="00A23A4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color w:val="000000"/>
          <w:sz w:val="20"/>
          <w:szCs w:val="20"/>
          <w:lang w:val="pt-BR"/>
        </w:rPr>
      </w:pPr>
    </w:p>
    <w:p w14:paraId="657048E6" w14:textId="77777777" w:rsidR="00C66BFB" w:rsidRPr="00337743" w:rsidRDefault="00333E01" w:rsidP="00060BF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Após a aposentadoria</w:t>
      </w:r>
      <w:r w:rsidR="007707E3" w:rsidRPr="00337743">
        <w:rPr>
          <w:rFonts w:ascii="Cambria" w:hAnsi="Cambria"/>
          <w:color w:val="000000"/>
          <w:sz w:val="20"/>
          <w:szCs w:val="20"/>
          <w:lang w:val="pt-BR"/>
        </w:rPr>
        <w:t xml:space="preserve"> do </w:t>
      </w:r>
      <w:r w:rsidR="0026132C">
        <w:rPr>
          <w:rFonts w:ascii="Cambria" w:hAnsi="Cambria"/>
          <w:color w:val="000000"/>
          <w:sz w:val="20"/>
          <w:szCs w:val="20"/>
          <w:lang w:val="pt-BR"/>
        </w:rPr>
        <w:t>magistrado</w:t>
      </w:r>
      <w:r w:rsidR="00A23A43" w:rsidRPr="00337743">
        <w:rPr>
          <w:rFonts w:ascii="Cambria" w:hAnsi="Cambria"/>
          <w:color w:val="000000"/>
          <w:sz w:val="20"/>
          <w:szCs w:val="20"/>
          <w:lang w:val="pt-BR"/>
        </w:rPr>
        <w:t xml:space="preserve"> </w:t>
      </w:r>
      <w:r w:rsidR="0026132C">
        <w:rPr>
          <w:rFonts w:ascii="Cambria" w:hAnsi="Cambria"/>
          <w:color w:val="000000"/>
          <w:sz w:val="20"/>
          <w:szCs w:val="20"/>
          <w:lang w:val="pt-BR"/>
        </w:rPr>
        <w:t>responsável,</w:t>
      </w:r>
      <w:r w:rsidR="00506331" w:rsidRPr="00337743">
        <w:rPr>
          <w:rFonts w:ascii="Cambria" w:hAnsi="Cambria"/>
          <w:color w:val="000000"/>
          <w:sz w:val="20"/>
          <w:szCs w:val="20"/>
          <w:lang w:val="pt-BR"/>
        </w:rPr>
        <w:t xml:space="preserve"> o </w:t>
      </w:r>
      <w:r w:rsidR="00FD6942" w:rsidRPr="00337743">
        <w:rPr>
          <w:rFonts w:ascii="Cambria" w:hAnsi="Cambria"/>
          <w:color w:val="000000"/>
          <w:sz w:val="20"/>
          <w:szCs w:val="20"/>
          <w:lang w:val="pt-BR"/>
        </w:rPr>
        <w:t>processo</w:t>
      </w:r>
      <w:r w:rsidR="00091880" w:rsidRPr="00337743">
        <w:rPr>
          <w:rFonts w:ascii="Cambria" w:hAnsi="Cambria"/>
          <w:color w:val="000000"/>
          <w:sz w:val="20"/>
          <w:szCs w:val="20"/>
          <w:lang w:val="pt-BR"/>
        </w:rPr>
        <w:t xml:space="preserve"> foi </w:t>
      </w:r>
      <w:r w:rsidR="00F56946" w:rsidRPr="00337743">
        <w:rPr>
          <w:rFonts w:ascii="Cambria" w:hAnsi="Cambria"/>
          <w:color w:val="000000"/>
          <w:sz w:val="20"/>
          <w:szCs w:val="20"/>
          <w:lang w:val="pt-BR"/>
        </w:rPr>
        <w:t>redistribuído</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A23A43" w:rsidRPr="00337743">
        <w:rPr>
          <w:rFonts w:ascii="Cambria" w:hAnsi="Cambria"/>
          <w:color w:val="000000"/>
          <w:sz w:val="20"/>
          <w:szCs w:val="20"/>
          <w:lang w:val="pt-BR"/>
        </w:rPr>
        <w:t>16 de abril de 2002.</w:t>
      </w:r>
      <w:r w:rsidR="00091880" w:rsidRPr="00337743">
        <w:rPr>
          <w:rFonts w:ascii="Cambria" w:hAnsi="Cambria"/>
          <w:color w:val="000000"/>
          <w:sz w:val="20"/>
          <w:szCs w:val="20"/>
          <w:lang w:val="pt-BR"/>
        </w:rPr>
        <w:t xml:space="preserve"> </w:t>
      </w:r>
      <w:r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a </w:t>
      </w:r>
      <w:r w:rsidR="00F56946" w:rsidRPr="00337743">
        <w:rPr>
          <w:rFonts w:ascii="Cambria" w:hAnsi="Cambria"/>
          <w:color w:val="000000"/>
          <w:sz w:val="20"/>
          <w:szCs w:val="20"/>
          <w:lang w:val="pt-BR"/>
        </w:rPr>
        <w:t>mesma</w:t>
      </w:r>
      <w:r w:rsidR="00A23A43" w:rsidRPr="00337743">
        <w:rPr>
          <w:rFonts w:ascii="Cambria" w:hAnsi="Cambria"/>
          <w:color w:val="000000"/>
          <w:sz w:val="20"/>
          <w:szCs w:val="20"/>
          <w:lang w:val="pt-BR"/>
        </w:rPr>
        <w:t xml:space="preserve"> </w:t>
      </w:r>
      <w:r w:rsidRPr="00337743">
        <w:rPr>
          <w:rFonts w:ascii="Cambria" w:hAnsi="Cambria"/>
          <w:color w:val="000000"/>
          <w:sz w:val="20"/>
          <w:szCs w:val="20"/>
          <w:lang w:val="pt-BR"/>
        </w:rPr>
        <w:t>dat</w:t>
      </w:r>
      <w:r w:rsidR="00B55DC6" w:rsidRPr="00337743">
        <w:rPr>
          <w:rFonts w:ascii="Cambria" w:hAnsi="Cambria"/>
          <w:color w:val="000000"/>
          <w:sz w:val="20"/>
          <w:szCs w:val="20"/>
          <w:lang w:val="pt-BR"/>
        </w:rPr>
        <w:t>a</w:t>
      </w:r>
      <w:r w:rsidR="00A23A43"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a </w:t>
      </w:r>
      <w:r w:rsidR="00A23A43" w:rsidRPr="00337743">
        <w:rPr>
          <w:rFonts w:ascii="Cambria" w:hAnsi="Cambria"/>
          <w:color w:val="000000"/>
          <w:sz w:val="20"/>
          <w:szCs w:val="20"/>
          <w:lang w:val="pt-BR"/>
        </w:rPr>
        <w:t>Procurad</w:t>
      </w:r>
      <w:r w:rsidRPr="00337743">
        <w:rPr>
          <w:rFonts w:ascii="Cambria" w:hAnsi="Cambria"/>
          <w:color w:val="000000"/>
          <w:sz w:val="20"/>
          <w:szCs w:val="20"/>
          <w:lang w:val="pt-BR"/>
        </w:rPr>
        <w:t>o</w:t>
      </w:r>
      <w:r w:rsidR="00A23A43" w:rsidRPr="00337743">
        <w:rPr>
          <w:rFonts w:ascii="Cambria" w:hAnsi="Cambria"/>
          <w:color w:val="000000"/>
          <w:sz w:val="20"/>
          <w:szCs w:val="20"/>
          <w:lang w:val="pt-BR"/>
        </w:rPr>
        <w:t>r</w:t>
      </w:r>
      <w:r w:rsidR="00BF72CE" w:rsidRPr="00337743">
        <w:rPr>
          <w:rFonts w:ascii="Cambria" w:hAnsi="Cambria"/>
          <w:color w:val="000000"/>
          <w:sz w:val="20"/>
          <w:szCs w:val="20"/>
          <w:lang w:val="pt-BR"/>
        </w:rPr>
        <w:t>ia</w:t>
      </w:r>
      <w:r w:rsidRPr="00337743">
        <w:rPr>
          <w:rFonts w:ascii="Cambria" w:hAnsi="Cambria"/>
          <w:color w:val="000000"/>
          <w:sz w:val="20"/>
          <w:szCs w:val="20"/>
          <w:lang w:val="pt-BR"/>
        </w:rPr>
        <w:t>-</w:t>
      </w:r>
      <w:r w:rsidR="00A23A43" w:rsidRPr="00337743">
        <w:rPr>
          <w:rFonts w:ascii="Cambria" w:hAnsi="Cambria"/>
          <w:color w:val="000000"/>
          <w:sz w:val="20"/>
          <w:szCs w:val="20"/>
          <w:lang w:val="pt-BR"/>
        </w:rPr>
        <w:t xml:space="preserve">Geral de </w:t>
      </w:r>
      <w:r w:rsidR="00E96C24" w:rsidRPr="00337743">
        <w:rPr>
          <w:rFonts w:ascii="Cambria" w:hAnsi="Cambria"/>
          <w:color w:val="000000"/>
          <w:sz w:val="20"/>
          <w:szCs w:val="20"/>
          <w:lang w:val="pt-BR"/>
        </w:rPr>
        <w:t>Justiça</w:t>
      </w:r>
      <w:r w:rsidR="00091880" w:rsidRPr="00337743">
        <w:rPr>
          <w:rFonts w:ascii="Cambria" w:hAnsi="Cambria"/>
          <w:color w:val="000000"/>
          <w:sz w:val="20"/>
          <w:szCs w:val="20"/>
          <w:lang w:val="pt-BR"/>
        </w:rPr>
        <w:t xml:space="preserve"> foi </w:t>
      </w:r>
      <w:r w:rsidR="00A23A43" w:rsidRPr="00337743">
        <w:rPr>
          <w:rFonts w:ascii="Cambria" w:hAnsi="Cambria"/>
          <w:color w:val="000000"/>
          <w:sz w:val="20"/>
          <w:szCs w:val="20"/>
          <w:lang w:val="pt-BR"/>
        </w:rPr>
        <w:t>notificada</w:t>
      </w:r>
      <w:r w:rsidR="00A23A43" w:rsidRPr="00337743">
        <w:rPr>
          <w:rFonts w:ascii="Cambria" w:hAnsi="Cambria"/>
          <w:color w:val="000000"/>
          <w:sz w:val="20"/>
          <w:szCs w:val="20"/>
          <w:vertAlign w:val="superscript"/>
          <w:lang w:val="pt-BR"/>
        </w:rPr>
        <w:footnoteReference w:id="48"/>
      </w:r>
      <w:r w:rsidR="00A23A43" w:rsidRPr="00337743">
        <w:rPr>
          <w:rFonts w:ascii="Cambria" w:hAnsi="Cambria"/>
          <w:color w:val="000000"/>
          <w:sz w:val="20"/>
          <w:szCs w:val="20"/>
          <w:lang w:val="pt-BR"/>
        </w:rPr>
        <w:t xml:space="preserve">, </w:t>
      </w:r>
      <w:r w:rsidR="00FF754F" w:rsidRPr="00337743">
        <w:rPr>
          <w:rFonts w:ascii="Cambria" w:hAnsi="Cambria"/>
          <w:color w:val="000000"/>
          <w:sz w:val="20"/>
          <w:szCs w:val="20"/>
          <w:lang w:val="pt-BR"/>
        </w:rPr>
        <w:t>mas</w:t>
      </w:r>
      <w:r w:rsidR="00A23A43" w:rsidRPr="00337743">
        <w:rPr>
          <w:rFonts w:ascii="Cambria" w:hAnsi="Cambria"/>
          <w:color w:val="000000"/>
          <w:sz w:val="20"/>
          <w:szCs w:val="20"/>
          <w:lang w:val="pt-BR"/>
        </w:rPr>
        <w:t xml:space="preserve"> </w:t>
      </w:r>
      <w:r w:rsidR="0050711F" w:rsidRPr="00337743">
        <w:rPr>
          <w:rFonts w:ascii="Cambria" w:hAnsi="Cambria"/>
          <w:color w:val="000000"/>
          <w:sz w:val="20"/>
          <w:szCs w:val="20"/>
          <w:lang w:val="pt-BR"/>
        </w:rPr>
        <w:t>su</w:t>
      </w:r>
      <w:r w:rsidR="00FF754F" w:rsidRPr="00337743">
        <w:rPr>
          <w:rFonts w:ascii="Cambria" w:hAnsi="Cambria"/>
          <w:color w:val="000000"/>
          <w:sz w:val="20"/>
          <w:szCs w:val="20"/>
          <w:lang w:val="pt-BR"/>
        </w:rPr>
        <w:t>a</w:t>
      </w:r>
      <w:r w:rsidR="0050711F" w:rsidRPr="00337743">
        <w:rPr>
          <w:rFonts w:ascii="Cambria" w:hAnsi="Cambria"/>
          <w:color w:val="000000"/>
          <w:sz w:val="20"/>
          <w:szCs w:val="20"/>
          <w:lang w:val="pt-BR"/>
        </w:rPr>
        <w:t xml:space="preserve"> s</w:t>
      </w:r>
      <w:r w:rsidR="00FF754F" w:rsidRPr="00337743">
        <w:rPr>
          <w:rFonts w:ascii="Cambria" w:hAnsi="Cambria"/>
          <w:color w:val="000000"/>
          <w:sz w:val="20"/>
          <w:szCs w:val="20"/>
          <w:lang w:val="pt-BR"/>
        </w:rPr>
        <w:t>e</w:t>
      </w:r>
      <w:r w:rsidR="0050711F" w:rsidRPr="00337743">
        <w:rPr>
          <w:rFonts w:ascii="Cambria" w:hAnsi="Cambria"/>
          <w:color w:val="000000"/>
          <w:sz w:val="20"/>
          <w:szCs w:val="20"/>
          <w:lang w:val="pt-BR"/>
        </w:rPr>
        <w:t>guinte atua</w:t>
      </w:r>
      <w:r w:rsidR="00350E7E" w:rsidRPr="00337743">
        <w:rPr>
          <w:rFonts w:ascii="Cambria" w:hAnsi="Cambria"/>
          <w:color w:val="000000"/>
          <w:sz w:val="20"/>
          <w:szCs w:val="20"/>
          <w:lang w:val="pt-BR"/>
        </w:rPr>
        <w:t>ção</w:t>
      </w:r>
      <w:r w:rsidR="0050711F" w:rsidRPr="00337743">
        <w:rPr>
          <w:rFonts w:ascii="Cambria" w:hAnsi="Cambria"/>
          <w:color w:val="000000"/>
          <w:sz w:val="20"/>
          <w:szCs w:val="20"/>
          <w:lang w:val="pt-BR"/>
        </w:rPr>
        <w:t xml:space="preserve"> só </w:t>
      </w:r>
      <w:r w:rsidR="00FF754F" w:rsidRPr="00337743">
        <w:rPr>
          <w:rFonts w:ascii="Cambria" w:hAnsi="Cambria"/>
          <w:color w:val="000000"/>
          <w:sz w:val="20"/>
          <w:szCs w:val="20"/>
          <w:lang w:val="pt-BR"/>
        </w:rPr>
        <w:t xml:space="preserve">ocorreu em </w:t>
      </w:r>
      <w:r w:rsidR="00753AF9" w:rsidRPr="00337743">
        <w:rPr>
          <w:rFonts w:ascii="Cambria" w:hAnsi="Cambria"/>
          <w:color w:val="000000"/>
          <w:sz w:val="20"/>
          <w:szCs w:val="20"/>
          <w:lang w:val="pt-BR"/>
        </w:rPr>
        <w:t xml:space="preserve">21 de </w:t>
      </w:r>
      <w:r w:rsidR="003E7207" w:rsidRPr="00337743">
        <w:rPr>
          <w:rFonts w:ascii="Cambria" w:hAnsi="Cambria"/>
          <w:color w:val="000000"/>
          <w:sz w:val="20"/>
          <w:szCs w:val="20"/>
          <w:lang w:val="pt-BR"/>
        </w:rPr>
        <w:t>outubro</w:t>
      </w:r>
      <w:r w:rsidR="00753AF9" w:rsidRPr="00337743">
        <w:rPr>
          <w:rFonts w:ascii="Cambria" w:hAnsi="Cambria"/>
          <w:color w:val="000000"/>
          <w:sz w:val="20"/>
          <w:szCs w:val="20"/>
          <w:lang w:val="pt-BR"/>
        </w:rPr>
        <w:t xml:space="preserve"> de 2002</w:t>
      </w:r>
      <w:r w:rsidR="00A23A43" w:rsidRPr="00337743">
        <w:rPr>
          <w:rFonts w:ascii="Cambria" w:hAnsi="Cambria"/>
          <w:color w:val="000000"/>
          <w:sz w:val="20"/>
          <w:szCs w:val="20"/>
          <w:lang w:val="pt-BR"/>
        </w:rPr>
        <w:t>, afirmando</w:t>
      </w:r>
      <w:r w:rsidR="00506331" w:rsidRPr="00337743">
        <w:rPr>
          <w:rFonts w:ascii="Cambria" w:hAnsi="Cambria"/>
          <w:color w:val="000000"/>
          <w:sz w:val="20"/>
          <w:szCs w:val="20"/>
          <w:lang w:val="pt-BR"/>
        </w:rPr>
        <w:t xml:space="preserve"> a </w:t>
      </w:r>
      <w:r w:rsidR="00154B3C" w:rsidRPr="00337743">
        <w:rPr>
          <w:rFonts w:ascii="Cambria" w:hAnsi="Cambria"/>
          <w:color w:val="000000"/>
          <w:sz w:val="20"/>
          <w:szCs w:val="20"/>
          <w:lang w:val="pt-BR"/>
        </w:rPr>
        <w:t>competência</w:t>
      </w:r>
      <w:r w:rsidR="007707E3" w:rsidRPr="00337743">
        <w:rPr>
          <w:rFonts w:ascii="Cambria" w:hAnsi="Cambria"/>
          <w:color w:val="000000"/>
          <w:sz w:val="20"/>
          <w:szCs w:val="20"/>
          <w:lang w:val="pt-BR"/>
        </w:rPr>
        <w:t xml:space="preserve"> do </w:t>
      </w:r>
      <w:r w:rsidR="00A23A43" w:rsidRPr="00337743">
        <w:rPr>
          <w:rFonts w:ascii="Cambria" w:hAnsi="Cambria"/>
          <w:color w:val="000000"/>
          <w:sz w:val="20"/>
          <w:szCs w:val="20"/>
          <w:lang w:val="pt-BR"/>
        </w:rPr>
        <w:t>Poder Judici</w:t>
      </w:r>
      <w:r w:rsidR="00894152" w:rsidRPr="00337743">
        <w:rPr>
          <w:rFonts w:ascii="Cambria" w:hAnsi="Cambria"/>
          <w:color w:val="000000"/>
          <w:sz w:val="20"/>
          <w:szCs w:val="20"/>
          <w:lang w:val="pt-BR"/>
        </w:rPr>
        <w:t>ário</w:t>
      </w:r>
      <w:r w:rsidR="0096716D" w:rsidRPr="00337743">
        <w:rPr>
          <w:rFonts w:ascii="Cambria" w:hAnsi="Cambria"/>
          <w:color w:val="000000"/>
          <w:sz w:val="20"/>
          <w:szCs w:val="20"/>
          <w:lang w:val="pt-BR"/>
        </w:rPr>
        <w:t xml:space="preserve"> </w:t>
      </w:r>
      <w:r w:rsidR="00A23A43" w:rsidRPr="00337743">
        <w:rPr>
          <w:rFonts w:ascii="Cambria" w:hAnsi="Cambria"/>
          <w:color w:val="000000"/>
          <w:sz w:val="20"/>
          <w:szCs w:val="20"/>
          <w:lang w:val="pt-BR"/>
        </w:rPr>
        <w:t>para tramitar</w:t>
      </w:r>
      <w:r w:rsidR="00506331" w:rsidRPr="00337743">
        <w:rPr>
          <w:rFonts w:ascii="Cambria" w:hAnsi="Cambria"/>
          <w:color w:val="000000"/>
          <w:sz w:val="20"/>
          <w:szCs w:val="20"/>
          <w:lang w:val="pt-BR"/>
        </w:rPr>
        <w:t xml:space="preserve"> o </w:t>
      </w:r>
      <w:r w:rsidR="00FD6942" w:rsidRPr="00337743">
        <w:rPr>
          <w:rFonts w:ascii="Cambria" w:hAnsi="Cambria"/>
          <w:color w:val="000000"/>
          <w:sz w:val="20"/>
          <w:szCs w:val="20"/>
          <w:lang w:val="pt-BR"/>
        </w:rPr>
        <w:t>processo</w:t>
      </w:r>
      <w:r w:rsidR="00A23A43" w:rsidRPr="00337743">
        <w:rPr>
          <w:rFonts w:ascii="Cambria" w:hAnsi="Cambria"/>
          <w:color w:val="000000"/>
          <w:sz w:val="20"/>
          <w:szCs w:val="20"/>
          <w:vertAlign w:val="superscript"/>
          <w:lang w:val="pt-BR"/>
        </w:rPr>
        <w:footnoteReference w:id="49"/>
      </w:r>
      <w:r w:rsidR="00A23A43"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CE08D5"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B7291" w:rsidRPr="00337743">
        <w:rPr>
          <w:rFonts w:ascii="Cambria" w:hAnsi="Cambria"/>
          <w:color w:val="000000"/>
          <w:sz w:val="20"/>
          <w:szCs w:val="20"/>
          <w:lang w:val="pt-BR"/>
        </w:rPr>
        <w:t xml:space="preserve">25 de </w:t>
      </w:r>
      <w:r w:rsidR="003E7207" w:rsidRPr="00337743">
        <w:rPr>
          <w:rFonts w:ascii="Cambria" w:hAnsi="Cambria"/>
          <w:color w:val="000000"/>
          <w:sz w:val="20"/>
          <w:szCs w:val="20"/>
          <w:lang w:val="pt-BR"/>
        </w:rPr>
        <w:t>outubro</w:t>
      </w:r>
      <w:r w:rsidR="000B7291" w:rsidRPr="00337743">
        <w:rPr>
          <w:rFonts w:ascii="Cambria" w:hAnsi="Cambria"/>
          <w:color w:val="000000"/>
          <w:sz w:val="20"/>
          <w:szCs w:val="20"/>
          <w:lang w:val="pt-BR"/>
        </w:rPr>
        <w:t xml:space="preserve"> de 2002,</w:t>
      </w:r>
      <w:r w:rsidR="00506331" w:rsidRPr="00337743">
        <w:rPr>
          <w:rFonts w:ascii="Cambria" w:hAnsi="Cambria"/>
          <w:color w:val="000000"/>
          <w:sz w:val="20"/>
          <w:szCs w:val="20"/>
          <w:lang w:val="pt-BR"/>
        </w:rPr>
        <w:t xml:space="preserve"> o </w:t>
      </w:r>
      <w:r w:rsidR="00E81481" w:rsidRPr="00337743">
        <w:rPr>
          <w:rFonts w:ascii="Cambria" w:hAnsi="Cambria"/>
          <w:color w:val="000000"/>
          <w:sz w:val="20"/>
          <w:szCs w:val="20"/>
          <w:lang w:val="pt-BR"/>
        </w:rPr>
        <w:t>nov</w:t>
      </w:r>
      <w:r w:rsidR="000B7291" w:rsidRPr="00337743">
        <w:rPr>
          <w:rFonts w:ascii="Cambria" w:hAnsi="Cambria"/>
          <w:color w:val="000000"/>
          <w:sz w:val="20"/>
          <w:szCs w:val="20"/>
          <w:lang w:val="pt-BR"/>
        </w:rPr>
        <w:t xml:space="preserve">o </w:t>
      </w:r>
      <w:r w:rsidR="0026132C">
        <w:rPr>
          <w:rFonts w:ascii="Cambria" w:hAnsi="Cambria"/>
          <w:color w:val="000000"/>
          <w:sz w:val="20"/>
          <w:szCs w:val="20"/>
          <w:lang w:val="pt-BR"/>
        </w:rPr>
        <w:t>magistrado responsável pelo caso</w:t>
      </w:r>
      <w:r w:rsidR="000B7291" w:rsidRPr="00337743">
        <w:rPr>
          <w:rFonts w:ascii="Cambria" w:hAnsi="Cambria"/>
          <w:color w:val="000000"/>
          <w:sz w:val="20"/>
          <w:szCs w:val="20"/>
          <w:lang w:val="pt-BR"/>
        </w:rPr>
        <w:t xml:space="preserve"> determin</w:t>
      </w:r>
      <w:r w:rsidR="003E7207" w:rsidRPr="00337743">
        <w:rPr>
          <w:rFonts w:ascii="Cambria" w:hAnsi="Cambria"/>
          <w:color w:val="000000"/>
          <w:sz w:val="20"/>
          <w:szCs w:val="20"/>
          <w:lang w:val="pt-BR"/>
        </w:rPr>
        <w:t xml:space="preserve">ou </w:t>
      </w:r>
      <w:r w:rsidR="00506331" w:rsidRPr="00337743">
        <w:rPr>
          <w:rFonts w:ascii="Cambria" w:hAnsi="Cambria"/>
          <w:color w:val="000000"/>
          <w:sz w:val="20"/>
          <w:szCs w:val="20"/>
          <w:lang w:val="pt-BR"/>
        </w:rPr>
        <w:t xml:space="preserve">a </w:t>
      </w:r>
      <w:r w:rsidR="000B7291" w:rsidRPr="00337743">
        <w:rPr>
          <w:rFonts w:ascii="Cambria" w:hAnsi="Cambria"/>
          <w:color w:val="000000"/>
          <w:sz w:val="20"/>
          <w:szCs w:val="20"/>
          <w:lang w:val="pt-BR"/>
        </w:rPr>
        <w:t>notifica</w:t>
      </w:r>
      <w:r w:rsidR="00350E7E" w:rsidRPr="00337743">
        <w:rPr>
          <w:rFonts w:ascii="Cambria" w:hAnsi="Cambria"/>
          <w:color w:val="000000"/>
          <w:sz w:val="20"/>
          <w:szCs w:val="20"/>
          <w:lang w:val="pt-BR"/>
        </w:rPr>
        <w:t>ção</w:t>
      </w:r>
      <w:r w:rsidR="000B7291" w:rsidRPr="00337743">
        <w:rPr>
          <w:rFonts w:ascii="Cambria" w:hAnsi="Cambria"/>
          <w:color w:val="000000"/>
          <w:sz w:val="20"/>
          <w:szCs w:val="20"/>
          <w:lang w:val="pt-BR"/>
        </w:rPr>
        <w:t xml:space="preserve"> de Aércio Pereira de Lima para </w:t>
      </w:r>
      <w:r w:rsidR="00CE08D5" w:rsidRPr="00337743">
        <w:rPr>
          <w:rFonts w:ascii="Cambria" w:hAnsi="Cambria"/>
          <w:color w:val="000000"/>
          <w:sz w:val="20"/>
          <w:szCs w:val="20"/>
          <w:lang w:val="pt-BR"/>
        </w:rPr>
        <w:t>a</w:t>
      </w:r>
      <w:r w:rsidR="000B7291" w:rsidRPr="00337743">
        <w:rPr>
          <w:rFonts w:ascii="Cambria" w:hAnsi="Cambria"/>
          <w:color w:val="000000"/>
          <w:sz w:val="20"/>
          <w:szCs w:val="20"/>
          <w:lang w:val="pt-BR"/>
        </w:rPr>
        <w:t>presentar su</w:t>
      </w:r>
      <w:r w:rsidR="00894152" w:rsidRPr="00337743">
        <w:rPr>
          <w:rFonts w:ascii="Cambria" w:hAnsi="Cambria"/>
          <w:color w:val="000000"/>
          <w:sz w:val="20"/>
          <w:szCs w:val="20"/>
          <w:lang w:val="pt-BR"/>
        </w:rPr>
        <w:t>a</w:t>
      </w:r>
      <w:r w:rsidR="000B7291" w:rsidRPr="00337743">
        <w:rPr>
          <w:rFonts w:ascii="Cambria" w:hAnsi="Cambria"/>
          <w:color w:val="000000"/>
          <w:sz w:val="20"/>
          <w:szCs w:val="20"/>
          <w:lang w:val="pt-BR"/>
        </w:rPr>
        <w:t>s considera</w:t>
      </w:r>
      <w:r w:rsidR="00350E7E" w:rsidRPr="00337743">
        <w:rPr>
          <w:rFonts w:ascii="Cambria" w:hAnsi="Cambria"/>
          <w:color w:val="000000"/>
          <w:sz w:val="20"/>
          <w:szCs w:val="20"/>
          <w:lang w:val="pt-BR"/>
        </w:rPr>
        <w:t>ções</w:t>
      </w:r>
      <w:r w:rsidR="009E43CB" w:rsidRPr="00337743">
        <w:rPr>
          <w:rFonts w:ascii="Cambria" w:hAnsi="Cambria"/>
          <w:color w:val="000000"/>
          <w:sz w:val="20"/>
          <w:szCs w:val="20"/>
          <w:lang w:val="pt-BR"/>
        </w:rPr>
        <w:t xml:space="preserve"> por escrito</w:t>
      </w:r>
      <w:r w:rsidR="000B7291"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CE08D5"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ão </w:t>
      </w:r>
      <w:r w:rsidR="000B7291" w:rsidRPr="00337743">
        <w:rPr>
          <w:rFonts w:ascii="Cambria" w:hAnsi="Cambria"/>
          <w:color w:val="000000"/>
          <w:sz w:val="20"/>
          <w:szCs w:val="20"/>
          <w:lang w:val="pt-BR"/>
        </w:rPr>
        <w:t>h</w:t>
      </w:r>
      <w:r w:rsidR="00CE08D5" w:rsidRPr="00337743">
        <w:rPr>
          <w:rFonts w:ascii="Cambria" w:hAnsi="Cambria"/>
          <w:color w:val="000000"/>
          <w:sz w:val="20"/>
          <w:szCs w:val="20"/>
          <w:lang w:val="pt-BR"/>
        </w:rPr>
        <w:t>ouve</w:t>
      </w:r>
      <w:r w:rsidR="000B7291" w:rsidRPr="00337743">
        <w:rPr>
          <w:rFonts w:ascii="Cambria" w:hAnsi="Cambria"/>
          <w:color w:val="000000"/>
          <w:sz w:val="20"/>
          <w:szCs w:val="20"/>
          <w:lang w:val="pt-BR"/>
        </w:rPr>
        <w:t xml:space="preserve"> manifesta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0B7291" w:rsidRPr="00337743">
        <w:rPr>
          <w:rFonts w:ascii="Cambria" w:hAnsi="Cambria"/>
          <w:color w:val="000000"/>
          <w:sz w:val="20"/>
          <w:szCs w:val="20"/>
          <w:lang w:val="pt-BR"/>
        </w:rPr>
        <w:t xml:space="preserve">acusado. </w:t>
      </w:r>
      <w:r w:rsidR="00CE08D5" w:rsidRPr="00337743">
        <w:rPr>
          <w:rFonts w:ascii="Cambria" w:hAnsi="Cambria"/>
          <w:color w:val="000000"/>
          <w:sz w:val="20"/>
          <w:szCs w:val="20"/>
          <w:lang w:val="pt-BR"/>
        </w:rPr>
        <w:t>Em s</w:t>
      </w:r>
      <w:r w:rsidR="00080E69" w:rsidRPr="00337743">
        <w:rPr>
          <w:rFonts w:ascii="Cambria" w:hAnsi="Cambria"/>
          <w:color w:val="000000"/>
          <w:sz w:val="20"/>
          <w:szCs w:val="20"/>
          <w:lang w:val="pt-BR"/>
        </w:rPr>
        <w:t>eguida,</w:t>
      </w:r>
      <w:r w:rsidR="00506331" w:rsidRPr="00337743">
        <w:rPr>
          <w:rFonts w:ascii="Cambria" w:hAnsi="Cambria"/>
          <w:color w:val="000000"/>
          <w:sz w:val="20"/>
          <w:szCs w:val="20"/>
          <w:lang w:val="pt-BR"/>
        </w:rPr>
        <w:t xml:space="preserve"> o</w:t>
      </w:r>
      <w:r w:rsidR="0026132C">
        <w:rPr>
          <w:rFonts w:ascii="Cambria" w:hAnsi="Cambria"/>
          <w:color w:val="000000"/>
          <w:sz w:val="20"/>
          <w:szCs w:val="20"/>
          <w:lang w:val="pt-BR"/>
        </w:rPr>
        <w:t xml:space="preserve"> magistrado</w:t>
      </w:r>
      <w:r w:rsidR="000B7291" w:rsidRPr="00337743">
        <w:rPr>
          <w:rFonts w:ascii="Cambria" w:hAnsi="Cambria"/>
          <w:color w:val="000000"/>
          <w:sz w:val="20"/>
          <w:szCs w:val="20"/>
          <w:lang w:val="pt-BR"/>
        </w:rPr>
        <w:t xml:space="preserve"> orden</w:t>
      </w:r>
      <w:r w:rsidR="003E7207" w:rsidRPr="00337743">
        <w:rPr>
          <w:rFonts w:ascii="Cambria" w:hAnsi="Cambria"/>
          <w:color w:val="000000"/>
          <w:sz w:val="20"/>
          <w:szCs w:val="20"/>
          <w:lang w:val="pt-BR"/>
        </w:rPr>
        <w:t>ou</w:t>
      </w:r>
      <w:r w:rsidR="0026132C">
        <w:rPr>
          <w:rFonts w:ascii="Cambria" w:hAnsi="Cambria"/>
          <w:color w:val="000000"/>
          <w:sz w:val="20"/>
          <w:szCs w:val="20"/>
          <w:lang w:val="pt-BR"/>
        </w:rPr>
        <w:t>,</w:t>
      </w:r>
      <w:r w:rsidR="003E7207" w:rsidRPr="00337743">
        <w:rPr>
          <w:rFonts w:ascii="Cambria" w:hAnsi="Cambria"/>
          <w:color w:val="000000"/>
          <w:sz w:val="20"/>
          <w:szCs w:val="20"/>
          <w:lang w:val="pt-BR"/>
        </w:rPr>
        <w:t xml:space="preserve"> </w:t>
      </w:r>
      <w:r w:rsidR="00CE08D5"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B7291" w:rsidRPr="00337743">
        <w:rPr>
          <w:rFonts w:ascii="Cambria" w:hAnsi="Cambria"/>
          <w:color w:val="000000"/>
          <w:sz w:val="20"/>
          <w:szCs w:val="20"/>
          <w:lang w:val="pt-BR"/>
        </w:rPr>
        <w:t xml:space="preserve">20 de </w:t>
      </w:r>
      <w:r w:rsidR="008F4787" w:rsidRPr="00337743">
        <w:rPr>
          <w:rFonts w:ascii="Cambria" w:hAnsi="Cambria"/>
          <w:color w:val="000000"/>
          <w:sz w:val="20"/>
          <w:szCs w:val="20"/>
          <w:lang w:val="pt-BR"/>
        </w:rPr>
        <w:t>dezembro</w:t>
      </w:r>
      <w:r w:rsidR="000B7291" w:rsidRPr="00337743">
        <w:rPr>
          <w:rFonts w:ascii="Cambria" w:hAnsi="Cambria"/>
          <w:color w:val="000000"/>
          <w:sz w:val="20"/>
          <w:szCs w:val="20"/>
          <w:lang w:val="pt-BR"/>
        </w:rPr>
        <w:t xml:space="preserve"> de 2002</w:t>
      </w:r>
      <w:r w:rsidR="0026132C">
        <w:rPr>
          <w:rFonts w:ascii="Cambria" w:hAnsi="Cambria"/>
          <w:color w:val="000000"/>
          <w:sz w:val="20"/>
          <w:szCs w:val="20"/>
          <w:lang w:val="pt-BR"/>
        </w:rPr>
        <w:t>,</w:t>
      </w:r>
      <w:r w:rsidR="00506331" w:rsidRPr="00337743">
        <w:rPr>
          <w:rFonts w:ascii="Cambria" w:hAnsi="Cambria"/>
          <w:color w:val="000000"/>
          <w:sz w:val="20"/>
          <w:szCs w:val="20"/>
          <w:lang w:val="pt-BR"/>
        </w:rPr>
        <w:t xml:space="preserve"> o </w:t>
      </w:r>
      <w:r w:rsidR="000B7291" w:rsidRPr="00337743">
        <w:rPr>
          <w:rFonts w:ascii="Cambria" w:hAnsi="Cambria"/>
          <w:color w:val="000000"/>
          <w:sz w:val="20"/>
          <w:szCs w:val="20"/>
          <w:lang w:val="pt-BR"/>
        </w:rPr>
        <w:t>retorno</w:t>
      </w:r>
      <w:r w:rsidR="007707E3" w:rsidRPr="00337743">
        <w:rPr>
          <w:rFonts w:ascii="Cambria" w:hAnsi="Cambria"/>
          <w:color w:val="000000"/>
          <w:sz w:val="20"/>
          <w:szCs w:val="20"/>
          <w:lang w:val="pt-BR"/>
        </w:rPr>
        <w:t xml:space="preserve"> do </w:t>
      </w:r>
      <w:r w:rsidR="00FD6942" w:rsidRPr="00337743">
        <w:rPr>
          <w:rFonts w:ascii="Cambria" w:hAnsi="Cambria"/>
          <w:color w:val="000000"/>
          <w:sz w:val="20"/>
          <w:szCs w:val="20"/>
          <w:lang w:val="pt-BR"/>
        </w:rPr>
        <w:t>processo</w:t>
      </w:r>
      <w:r w:rsidR="000B7291" w:rsidRPr="00337743">
        <w:rPr>
          <w:rFonts w:ascii="Cambria" w:hAnsi="Cambria"/>
          <w:color w:val="000000"/>
          <w:sz w:val="20"/>
          <w:szCs w:val="20"/>
          <w:lang w:val="pt-BR"/>
        </w:rPr>
        <w:t xml:space="preserve"> para </w:t>
      </w:r>
      <w:r w:rsidR="00E81481" w:rsidRPr="00337743">
        <w:rPr>
          <w:rFonts w:ascii="Cambria" w:hAnsi="Cambria"/>
          <w:color w:val="000000"/>
          <w:sz w:val="20"/>
          <w:szCs w:val="20"/>
          <w:lang w:val="pt-BR"/>
        </w:rPr>
        <w:t>nov</w:t>
      </w:r>
      <w:r w:rsidR="000B7291" w:rsidRPr="00337743">
        <w:rPr>
          <w:rFonts w:ascii="Cambria" w:hAnsi="Cambria"/>
          <w:color w:val="000000"/>
          <w:sz w:val="20"/>
          <w:szCs w:val="20"/>
          <w:lang w:val="pt-BR"/>
        </w:rPr>
        <w:t xml:space="preserve">a </w:t>
      </w:r>
      <w:r w:rsidR="00154B3C" w:rsidRPr="00337743">
        <w:rPr>
          <w:rFonts w:ascii="Cambria" w:hAnsi="Cambria"/>
          <w:color w:val="000000"/>
          <w:sz w:val="20"/>
          <w:szCs w:val="20"/>
          <w:lang w:val="pt-BR"/>
        </w:rPr>
        <w:t>ordem</w:t>
      </w:r>
      <w:r w:rsidR="000B7291" w:rsidRPr="00337743">
        <w:rPr>
          <w:rFonts w:ascii="Cambria" w:hAnsi="Cambria"/>
          <w:color w:val="000000"/>
          <w:sz w:val="20"/>
          <w:szCs w:val="20"/>
          <w:lang w:val="pt-BR"/>
        </w:rPr>
        <w:t xml:space="preserve"> desp</w:t>
      </w:r>
      <w:r w:rsidR="00CE08D5" w:rsidRPr="00337743">
        <w:rPr>
          <w:rFonts w:ascii="Cambria" w:hAnsi="Cambria"/>
          <w:color w:val="000000"/>
          <w:sz w:val="20"/>
          <w:szCs w:val="20"/>
          <w:lang w:val="pt-BR"/>
        </w:rPr>
        <w:t>oi</w:t>
      </w:r>
      <w:r w:rsidR="000B7291" w:rsidRPr="00337743">
        <w:rPr>
          <w:rFonts w:ascii="Cambria" w:hAnsi="Cambria"/>
          <w:color w:val="000000"/>
          <w:sz w:val="20"/>
          <w:szCs w:val="20"/>
          <w:lang w:val="pt-BR"/>
        </w:rPr>
        <w:t>s</w:t>
      </w:r>
      <w:r w:rsidR="00DB5118" w:rsidRPr="00337743">
        <w:rPr>
          <w:rFonts w:ascii="Cambria" w:hAnsi="Cambria"/>
          <w:color w:val="000000"/>
          <w:sz w:val="20"/>
          <w:szCs w:val="20"/>
          <w:lang w:val="pt-BR"/>
        </w:rPr>
        <w:t xml:space="preserve"> das </w:t>
      </w:r>
      <w:r w:rsidR="00CE08D5" w:rsidRPr="00337743">
        <w:rPr>
          <w:rFonts w:ascii="Cambria" w:hAnsi="Cambria"/>
          <w:color w:val="000000"/>
          <w:sz w:val="20"/>
          <w:szCs w:val="20"/>
          <w:lang w:val="pt-BR"/>
        </w:rPr>
        <w:t>férias</w:t>
      </w:r>
      <w:r w:rsidR="000B7291" w:rsidRPr="00337743">
        <w:rPr>
          <w:rFonts w:ascii="Cambria" w:hAnsi="Cambria"/>
          <w:color w:val="000000"/>
          <w:sz w:val="20"/>
          <w:szCs w:val="20"/>
          <w:lang w:val="pt-BR"/>
        </w:rPr>
        <w:t xml:space="preserve"> forenses</w:t>
      </w:r>
      <w:r w:rsidR="009E43CB" w:rsidRPr="00337743">
        <w:rPr>
          <w:rFonts w:ascii="Cambria" w:hAnsi="Cambria"/>
          <w:color w:val="000000"/>
          <w:sz w:val="20"/>
          <w:szCs w:val="20"/>
          <w:vertAlign w:val="superscript"/>
          <w:lang w:val="pt-BR"/>
        </w:rPr>
        <w:footnoteReference w:id="50"/>
      </w:r>
      <w:r w:rsidR="009E43CB"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CE08D5"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9E43CB" w:rsidRPr="00337743">
        <w:rPr>
          <w:rFonts w:ascii="Cambria" w:hAnsi="Cambria"/>
          <w:color w:val="000000"/>
          <w:sz w:val="20"/>
          <w:szCs w:val="20"/>
          <w:lang w:val="pt-BR"/>
        </w:rPr>
        <w:t xml:space="preserve">3 de </w:t>
      </w:r>
      <w:r w:rsidR="00154B3C" w:rsidRPr="00337743">
        <w:rPr>
          <w:rFonts w:ascii="Cambria" w:hAnsi="Cambria"/>
          <w:color w:val="000000"/>
          <w:sz w:val="20"/>
          <w:szCs w:val="20"/>
          <w:lang w:val="pt-BR"/>
        </w:rPr>
        <w:t>fevereiro</w:t>
      </w:r>
      <w:r w:rsidR="009E43CB" w:rsidRPr="00337743">
        <w:rPr>
          <w:rFonts w:ascii="Cambria" w:hAnsi="Cambria"/>
          <w:color w:val="000000"/>
          <w:sz w:val="20"/>
          <w:szCs w:val="20"/>
          <w:lang w:val="pt-BR"/>
        </w:rPr>
        <w:t xml:space="preserve"> de 2003,</w:t>
      </w:r>
      <w:r w:rsidR="00506331" w:rsidRPr="00337743">
        <w:rPr>
          <w:rFonts w:ascii="Cambria" w:hAnsi="Cambria"/>
          <w:color w:val="000000"/>
          <w:sz w:val="20"/>
          <w:szCs w:val="20"/>
          <w:lang w:val="pt-BR"/>
        </w:rPr>
        <w:t xml:space="preserve"> </w:t>
      </w:r>
      <w:r w:rsidR="009E43CB" w:rsidRPr="00337743">
        <w:rPr>
          <w:rFonts w:ascii="Cambria" w:hAnsi="Cambria"/>
          <w:color w:val="000000"/>
          <w:sz w:val="20"/>
          <w:szCs w:val="20"/>
          <w:lang w:val="pt-BR"/>
        </w:rPr>
        <w:t>orden</w:t>
      </w:r>
      <w:r w:rsidR="003E7207" w:rsidRPr="00337743">
        <w:rPr>
          <w:rFonts w:ascii="Cambria" w:hAnsi="Cambria"/>
          <w:color w:val="000000"/>
          <w:sz w:val="20"/>
          <w:szCs w:val="20"/>
          <w:lang w:val="pt-BR"/>
        </w:rPr>
        <w:t xml:space="preserve">ou </w:t>
      </w:r>
      <w:r w:rsidR="009E43CB" w:rsidRPr="00337743">
        <w:rPr>
          <w:rFonts w:ascii="Cambria" w:hAnsi="Cambria"/>
          <w:color w:val="000000"/>
          <w:sz w:val="20"/>
          <w:szCs w:val="20"/>
          <w:lang w:val="pt-BR"/>
        </w:rPr>
        <w:t>notifica</w:t>
      </w:r>
      <w:r w:rsidR="00350E7E" w:rsidRPr="00337743">
        <w:rPr>
          <w:rFonts w:ascii="Cambria" w:hAnsi="Cambria"/>
          <w:color w:val="000000"/>
          <w:sz w:val="20"/>
          <w:szCs w:val="20"/>
          <w:lang w:val="pt-BR"/>
        </w:rPr>
        <w:t>ção</w:t>
      </w:r>
      <w:r w:rsidR="00BF72CE" w:rsidRPr="00337743">
        <w:rPr>
          <w:rFonts w:ascii="Cambria" w:hAnsi="Cambria"/>
          <w:color w:val="000000"/>
          <w:sz w:val="20"/>
          <w:szCs w:val="20"/>
          <w:lang w:val="pt-BR"/>
        </w:rPr>
        <w:t xml:space="preserve"> ao </w:t>
      </w:r>
      <w:r w:rsidR="009E43CB" w:rsidRPr="00337743">
        <w:rPr>
          <w:rFonts w:ascii="Cambria" w:hAnsi="Cambria"/>
          <w:color w:val="000000"/>
          <w:sz w:val="20"/>
          <w:szCs w:val="20"/>
          <w:lang w:val="pt-BR"/>
        </w:rPr>
        <w:t xml:space="preserve">Tribunal Regional </w:t>
      </w:r>
      <w:r w:rsidR="00154B3C" w:rsidRPr="00337743">
        <w:rPr>
          <w:rFonts w:ascii="Cambria" w:hAnsi="Cambria"/>
          <w:color w:val="000000"/>
          <w:sz w:val="20"/>
          <w:szCs w:val="20"/>
          <w:lang w:val="pt-BR"/>
        </w:rPr>
        <w:t>Eleitoral</w:t>
      </w:r>
      <w:r w:rsidR="009E43CB" w:rsidRPr="00337743">
        <w:rPr>
          <w:rFonts w:ascii="Cambria" w:hAnsi="Cambria"/>
          <w:color w:val="000000"/>
          <w:sz w:val="20"/>
          <w:szCs w:val="20"/>
          <w:lang w:val="pt-BR"/>
        </w:rPr>
        <w:t xml:space="preserve"> “a</w:t>
      </w:r>
      <w:r w:rsidR="00325DAC" w:rsidRPr="00337743">
        <w:rPr>
          <w:rFonts w:ascii="Cambria" w:hAnsi="Cambria"/>
          <w:color w:val="000000"/>
          <w:sz w:val="20"/>
          <w:szCs w:val="20"/>
          <w:lang w:val="pt-BR"/>
        </w:rPr>
        <w:t xml:space="preserve"> fim </w:t>
      </w:r>
      <w:r w:rsidR="009E43CB" w:rsidRPr="00337743">
        <w:rPr>
          <w:rFonts w:ascii="Cambria" w:hAnsi="Cambria"/>
          <w:color w:val="000000"/>
          <w:sz w:val="20"/>
          <w:szCs w:val="20"/>
          <w:lang w:val="pt-BR"/>
        </w:rPr>
        <w:t xml:space="preserve">de que </w:t>
      </w:r>
      <w:r w:rsidR="00154B3C" w:rsidRPr="00337743">
        <w:rPr>
          <w:rFonts w:ascii="Cambria" w:hAnsi="Cambria"/>
          <w:color w:val="000000"/>
          <w:sz w:val="20"/>
          <w:szCs w:val="20"/>
          <w:lang w:val="pt-BR"/>
        </w:rPr>
        <w:t>seja</w:t>
      </w:r>
      <w:r w:rsidR="009E43CB" w:rsidRPr="00337743">
        <w:rPr>
          <w:rFonts w:ascii="Cambria" w:hAnsi="Cambria"/>
          <w:color w:val="000000"/>
          <w:sz w:val="20"/>
          <w:szCs w:val="20"/>
          <w:lang w:val="pt-BR"/>
        </w:rPr>
        <w:t xml:space="preserve"> informado s</w:t>
      </w:r>
      <w:r w:rsidR="00CE08D5" w:rsidRPr="00337743">
        <w:rPr>
          <w:rFonts w:ascii="Cambria" w:hAnsi="Cambria"/>
          <w:color w:val="000000"/>
          <w:sz w:val="20"/>
          <w:szCs w:val="20"/>
          <w:lang w:val="pt-BR"/>
        </w:rPr>
        <w:t>e</w:t>
      </w:r>
      <w:r w:rsidR="00506331" w:rsidRPr="00337743">
        <w:rPr>
          <w:rFonts w:ascii="Cambria" w:hAnsi="Cambria"/>
          <w:color w:val="000000"/>
          <w:sz w:val="20"/>
          <w:szCs w:val="20"/>
          <w:lang w:val="pt-BR"/>
        </w:rPr>
        <w:t xml:space="preserve"> o </w:t>
      </w:r>
      <w:r w:rsidR="009E43CB" w:rsidRPr="00337743">
        <w:rPr>
          <w:rFonts w:ascii="Cambria" w:hAnsi="Cambria"/>
          <w:color w:val="000000"/>
          <w:sz w:val="20"/>
          <w:szCs w:val="20"/>
          <w:lang w:val="pt-BR"/>
        </w:rPr>
        <w:t>Sr. Aércio Pereira de Lima</w:t>
      </w:r>
      <w:r w:rsidR="00091880" w:rsidRPr="00337743">
        <w:rPr>
          <w:rFonts w:ascii="Cambria" w:hAnsi="Cambria"/>
          <w:color w:val="000000"/>
          <w:sz w:val="20"/>
          <w:szCs w:val="20"/>
          <w:lang w:val="pt-BR"/>
        </w:rPr>
        <w:t xml:space="preserve"> foi </w:t>
      </w:r>
      <w:r w:rsidR="00154B3C" w:rsidRPr="00337743">
        <w:rPr>
          <w:rFonts w:ascii="Cambria" w:hAnsi="Cambria"/>
          <w:color w:val="000000"/>
          <w:sz w:val="20"/>
          <w:szCs w:val="20"/>
          <w:lang w:val="pt-BR"/>
        </w:rPr>
        <w:t>eleito</w:t>
      </w:r>
      <w:r w:rsidR="009E43CB" w:rsidRPr="00337743">
        <w:rPr>
          <w:rFonts w:ascii="Cambria" w:hAnsi="Cambria"/>
          <w:color w:val="000000"/>
          <w:sz w:val="20"/>
          <w:szCs w:val="20"/>
          <w:lang w:val="pt-BR"/>
        </w:rPr>
        <w:t xml:space="preserve"> para </w:t>
      </w:r>
      <w:r w:rsidR="009F15B8" w:rsidRPr="00337743">
        <w:rPr>
          <w:rFonts w:ascii="Cambria" w:hAnsi="Cambria"/>
          <w:color w:val="000000"/>
          <w:sz w:val="20"/>
          <w:szCs w:val="20"/>
          <w:lang w:val="pt-BR"/>
        </w:rPr>
        <w:t>algum</w:t>
      </w:r>
      <w:r w:rsidR="009E43CB" w:rsidRPr="00337743">
        <w:rPr>
          <w:rFonts w:ascii="Cambria" w:hAnsi="Cambria"/>
          <w:color w:val="000000"/>
          <w:sz w:val="20"/>
          <w:szCs w:val="20"/>
          <w:lang w:val="pt-BR"/>
        </w:rPr>
        <w:t xml:space="preserve"> cargo </w:t>
      </w:r>
      <w:r w:rsidR="00154B3C" w:rsidRPr="00337743">
        <w:rPr>
          <w:rFonts w:ascii="Cambria" w:hAnsi="Cambria"/>
          <w:color w:val="000000"/>
          <w:sz w:val="20"/>
          <w:szCs w:val="20"/>
          <w:lang w:val="pt-BR"/>
        </w:rPr>
        <w:t>eletivo</w:t>
      </w:r>
      <w:r w:rsidR="00513361" w:rsidRPr="00337743">
        <w:rPr>
          <w:rFonts w:ascii="Cambria" w:hAnsi="Cambria"/>
          <w:color w:val="000000"/>
          <w:sz w:val="20"/>
          <w:szCs w:val="20"/>
          <w:lang w:val="pt-BR"/>
        </w:rPr>
        <w:t xml:space="preserve"> nas </w:t>
      </w:r>
      <w:r w:rsidR="009F15B8" w:rsidRPr="00337743">
        <w:rPr>
          <w:rFonts w:ascii="Cambria" w:hAnsi="Cambria"/>
          <w:color w:val="000000"/>
          <w:sz w:val="20"/>
          <w:szCs w:val="20"/>
          <w:lang w:val="pt-BR"/>
        </w:rPr>
        <w:t>eleições</w:t>
      </w:r>
      <w:r w:rsidR="009E43CB" w:rsidRPr="00337743">
        <w:rPr>
          <w:rFonts w:ascii="Cambria" w:hAnsi="Cambria"/>
          <w:color w:val="000000"/>
          <w:sz w:val="20"/>
          <w:szCs w:val="20"/>
          <w:lang w:val="pt-BR"/>
        </w:rPr>
        <w:t xml:space="preserve"> de 2002”</w:t>
      </w:r>
      <w:r w:rsidR="009E43CB" w:rsidRPr="00337743">
        <w:rPr>
          <w:rFonts w:ascii="Cambria" w:hAnsi="Cambria"/>
          <w:color w:val="000000"/>
          <w:sz w:val="20"/>
          <w:szCs w:val="20"/>
          <w:vertAlign w:val="superscript"/>
          <w:lang w:val="pt-BR"/>
        </w:rPr>
        <w:t xml:space="preserve"> </w:t>
      </w:r>
      <w:r w:rsidR="009E43CB" w:rsidRPr="00337743">
        <w:rPr>
          <w:rFonts w:ascii="Cambria" w:hAnsi="Cambria"/>
          <w:color w:val="000000"/>
          <w:sz w:val="20"/>
          <w:szCs w:val="20"/>
          <w:vertAlign w:val="superscript"/>
          <w:lang w:val="pt-BR"/>
        </w:rPr>
        <w:footnoteReference w:id="51"/>
      </w:r>
      <w:r w:rsidR="009E43CB"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CE08D5"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9E43CB" w:rsidRPr="00337743">
        <w:rPr>
          <w:rFonts w:ascii="Cambria" w:hAnsi="Cambria"/>
          <w:color w:val="000000"/>
          <w:sz w:val="20"/>
          <w:szCs w:val="20"/>
          <w:lang w:val="pt-BR"/>
        </w:rPr>
        <w:t xml:space="preserve">11 de </w:t>
      </w:r>
      <w:r w:rsidR="00154B3C" w:rsidRPr="00337743">
        <w:rPr>
          <w:rFonts w:ascii="Cambria" w:hAnsi="Cambria"/>
          <w:color w:val="000000"/>
          <w:sz w:val="20"/>
          <w:szCs w:val="20"/>
          <w:lang w:val="pt-BR"/>
        </w:rPr>
        <w:t>fevereiro</w:t>
      </w:r>
      <w:r w:rsidR="009E43CB" w:rsidRPr="00337743">
        <w:rPr>
          <w:rFonts w:ascii="Cambria" w:hAnsi="Cambria"/>
          <w:color w:val="000000"/>
          <w:sz w:val="20"/>
          <w:szCs w:val="20"/>
          <w:lang w:val="pt-BR"/>
        </w:rPr>
        <w:t xml:space="preserve"> de 2003</w:t>
      </w:r>
      <w:r w:rsidR="00506331" w:rsidRPr="00337743">
        <w:rPr>
          <w:rFonts w:ascii="Cambria" w:hAnsi="Cambria"/>
          <w:color w:val="000000"/>
          <w:sz w:val="20"/>
          <w:szCs w:val="20"/>
          <w:lang w:val="pt-BR"/>
        </w:rPr>
        <w:t xml:space="preserve"> o </w:t>
      </w:r>
      <w:r w:rsidR="009E43CB" w:rsidRPr="00337743">
        <w:rPr>
          <w:rFonts w:ascii="Cambria" w:hAnsi="Cambria"/>
          <w:color w:val="000000"/>
          <w:sz w:val="20"/>
          <w:szCs w:val="20"/>
          <w:lang w:val="pt-BR"/>
        </w:rPr>
        <w:t xml:space="preserve">Tribunal Regional </w:t>
      </w:r>
      <w:r w:rsidR="00154B3C" w:rsidRPr="00337743">
        <w:rPr>
          <w:rFonts w:ascii="Cambria" w:hAnsi="Cambria"/>
          <w:color w:val="000000"/>
          <w:sz w:val="20"/>
          <w:szCs w:val="20"/>
          <w:lang w:val="pt-BR"/>
        </w:rPr>
        <w:t>Eleitoral</w:t>
      </w:r>
      <w:r w:rsidR="009E43CB" w:rsidRPr="00337743">
        <w:rPr>
          <w:rFonts w:ascii="Cambria" w:hAnsi="Cambria"/>
          <w:color w:val="000000"/>
          <w:sz w:val="20"/>
          <w:szCs w:val="20"/>
          <w:lang w:val="pt-BR"/>
        </w:rPr>
        <w:t xml:space="preserve"> firm</w:t>
      </w:r>
      <w:r w:rsidR="003E7207" w:rsidRPr="00337743">
        <w:rPr>
          <w:rFonts w:ascii="Cambria" w:hAnsi="Cambria"/>
          <w:color w:val="000000"/>
          <w:sz w:val="20"/>
          <w:szCs w:val="20"/>
          <w:lang w:val="pt-BR"/>
        </w:rPr>
        <w:t xml:space="preserve">ou </w:t>
      </w:r>
      <w:r w:rsidR="009E43CB" w:rsidRPr="00337743">
        <w:rPr>
          <w:rFonts w:ascii="Cambria" w:hAnsi="Cambria"/>
          <w:color w:val="000000"/>
          <w:sz w:val="20"/>
          <w:szCs w:val="20"/>
          <w:lang w:val="pt-BR"/>
        </w:rPr>
        <w:t>Of</w:t>
      </w:r>
      <w:r w:rsidR="00894152" w:rsidRPr="00337743">
        <w:rPr>
          <w:rFonts w:ascii="Cambria" w:hAnsi="Cambria"/>
          <w:color w:val="000000"/>
          <w:sz w:val="20"/>
          <w:szCs w:val="20"/>
          <w:lang w:val="pt-BR"/>
        </w:rPr>
        <w:t>í</w:t>
      </w:r>
      <w:r w:rsidR="009E43CB" w:rsidRPr="00337743">
        <w:rPr>
          <w:rFonts w:ascii="Cambria" w:hAnsi="Cambria"/>
          <w:color w:val="000000"/>
          <w:sz w:val="20"/>
          <w:szCs w:val="20"/>
          <w:lang w:val="pt-BR"/>
        </w:rPr>
        <w:t xml:space="preserve">cio de </w:t>
      </w:r>
      <w:r w:rsidR="003E7207" w:rsidRPr="00337743">
        <w:rPr>
          <w:rFonts w:ascii="Cambria" w:hAnsi="Cambria"/>
          <w:color w:val="000000"/>
          <w:sz w:val="20"/>
          <w:szCs w:val="20"/>
          <w:lang w:val="pt-BR"/>
        </w:rPr>
        <w:t>resposta</w:t>
      </w:r>
      <w:r w:rsidR="009E43CB" w:rsidRPr="00337743">
        <w:rPr>
          <w:rFonts w:ascii="Cambria" w:hAnsi="Cambria"/>
          <w:color w:val="000000"/>
          <w:sz w:val="20"/>
          <w:szCs w:val="20"/>
          <w:lang w:val="pt-BR"/>
        </w:rPr>
        <w:t xml:space="preserve"> afirmando que Aércio</w:t>
      </w:r>
      <w:r w:rsidR="00091880" w:rsidRPr="00337743">
        <w:rPr>
          <w:rFonts w:ascii="Cambria" w:hAnsi="Cambria"/>
          <w:color w:val="000000"/>
          <w:sz w:val="20"/>
          <w:szCs w:val="20"/>
          <w:lang w:val="pt-BR"/>
        </w:rPr>
        <w:t xml:space="preserve"> não </w:t>
      </w:r>
      <w:r w:rsidR="00154B3C" w:rsidRPr="00337743">
        <w:rPr>
          <w:rFonts w:ascii="Cambria" w:hAnsi="Cambria"/>
          <w:color w:val="000000"/>
          <w:sz w:val="20"/>
          <w:szCs w:val="20"/>
          <w:lang w:val="pt-BR"/>
        </w:rPr>
        <w:t>havia</w:t>
      </w:r>
      <w:r w:rsidR="009E43CB" w:rsidRPr="00337743">
        <w:rPr>
          <w:rFonts w:ascii="Cambria" w:hAnsi="Cambria"/>
          <w:color w:val="000000"/>
          <w:sz w:val="20"/>
          <w:szCs w:val="20"/>
          <w:lang w:val="pt-BR"/>
        </w:rPr>
        <w:t xml:space="preserve"> sido </w:t>
      </w:r>
      <w:r w:rsidR="009F15B8" w:rsidRPr="00337743">
        <w:rPr>
          <w:rFonts w:ascii="Cambria" w:hAnsi="Cambria"/>
          <w:color w:val="000000"/>
          <w:sz w:val="20"/>
          <w:szCs w:val="20"/>
          <w:lang w:val="pt-BR"/>
        </w:rPr>
        <w:t>eleito</w:t>
      </w:r>
      <w:r w:rsidR="00091880" w:rsidRPr="00337743">
        <w:rPr>
          <w:rFonts w:ascii="Cambria" w:hAnsi="Cambria"/>
          <w:color w:val="000000"/>
          <w:sz w:val="20"/>
          <w:szCs w:val="20"/>
          <w:lang w:val="pt-BR"/>
        </w:rPr>
        <w:t xml:space="preserve"> na </w:t>
      </w:r>
      <w:r w:rsidR="009E43CB" w:rsidRPr="00337743">
        <w:rPr>
          <w:rFonts w:ascii="Cambria" w:hAnsi="Cambria"/>
          <w:color w:val="000000"/>
          <w:sz w:val="20"/>
          <w:szCs w:val="20"/>
          <w:lang w:val="pt-BR"/>
        </w:rPr>
        <w:t>ocasi</w:t>
      </w:r>
      <w:r w:rsidR="00CE08D5" w:rsidRPr="00337743">
        <w:rPr>
          <w:rFonts w:ascii="Cambria" w:hAnsi="Cambria"/>
          <w:color w:val="000000"/>
          <w:sz w:val="20"/>
          <w:szCs w:val="20"/>
          <w:lang w:val="pt-BR"/>
        </w:rPr>
        <w:t>ão</w:t>
      </w:r>
      <w:r w:rsidR="009E43CB" w:rsidRPr="00337743">
        <w:rPr>
          <w:rFonts w:ascii="Cambria" w:hAnsi="Cambria"/>
          <w:color w:val="000000"/>
          <w:sz w:val="20"/>
          <w:szCs w:val="20"/>
          <w:vertAlign w:val="superscript"/>
          <w:lang w:val="pt-BR"/>
        </w:rPr>
        <w:footnoteReference w:id="52"/>
      </w:r>
      <w:r w:rsidR="009E43CB"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CE08D5" w:rsidRPr="00337743">
        <w:rPr>
          <w:rFonts w:ascii="Cambria" w:hAnsi="Cambria"/>
          <w:color w:val="000000"/>
          <w:sz w:val="20"/>
          <w:szCs w:val="20"/>
          <w:lang w:val="pt-BR"/>
        </w:rPr>
        <w:t>E</w:t>
      </w:r>
      <w:r w:rsidR="00091880" w:rsidRPr="00337743">
        <w:rPr>
          <w:rFonts w:ascii="Cambria" w:hAnsi="Cambria"/>
          <w:color w:val="000000"/>
          <w:sz w:val="20"/>
          <w:szCs w:val="20"/>
          <w:lang w:val="pt-BR"/>
        </w:rPr>
        <w:t xml:space="preserve">m </w:t>
      </w:r>
      <w:r w:rsidR="00D65184" w:rsidRPr="00337743">
        <w:rPr>
          <w:rFonts w:ascii="Cambria" w:hAnsi="Cambria"/>
          <w:color w:val="000000"/>
          <w:sz w:val="20"/>
          <w:szCs w:val="20"/>
          <w:lang w:val="pt-BR"/>
        </w:rPr>
        <w:t>segui</w:t>
      </w:r>
      <w:r w:rsidR="00D60ABE" w:rsidRPr="00337743">
        <w:rPr>
          <w:rFonts w:ascii="Cambria" w:hAnsi="Cambria"/>
          <w:color w:val="000000"/>
          <w:sz w:val="20"/>
          <w:szCs w:val="20"/>
          <w:lang w:val="pt-BR"/>
        </w:rPr>
        <w:t>mento</w:t>
      </w:r>
      <w:r w:rsidR="00F453EB" w:rsidRPr="00337743">
        <w:rPr>
          <w:rFonts w:ascii="Cambria" w:hAnsi="Cambria"/>
          <w:color w:val="000000"/>
          <w:sz w:val="20"/>
          <w:szCs w:val="20"/>
          <w:lang w:val="pt-BR"/>
        </w:rPr>
        <w:t xml:space="preserve"> à </w:t>
      </w:r>
      <w:r w:rsidR="009153DA" w:rsidRPr="00337743">
        <w:rPr>
          <w:rFonts w:ascii="Cambria" w:hAnsi="Cambria"/>
          <w:color w:val="000000"/>
          <w:sz w:val="20"/>
          <w:szCs w:val="20"/>
          <w:lang w:val="pt-BR"/>
        </w:rPr>
        <w:t>informa</w:t>
      </w:r>
      <w:r w:rsidR="00350E7E" w:rsidRPr="00337743">
        <w:rPr>
          <w:rFonts w:ascii="Cambria" w:hAnsi="Cambria"/>
          <w:color w:val="000000"/>
          <w:sz w:val="20"/>
          <w:szCs w:val="20"/>
          <w:lang w:val="pt-BR"/>
        </w:rPr>
        <w:t>ção</w:t>
      </w:r>
      <w:r w:rsidR="00D65184" w:rsidRPr="00337743">
        <w:rPr>
          <w:rFonts w:ascii="Cambria" w:hAnsi="Cambria"/>
          <w:color w:val="000000"/>
          <w:sz w:val="20"/>
          <w:szCs w:val="20"/>
          <w:lang w:val="pt-BR"/>
        </w:rPr>
        <w:t xml:space="preserve"> sobre</w:t>
      </w:r>
      <w:r w:rsidR="00506331" w:rsidRPr="00337743">
        <w:rPr>
          <w:rFonts w:ascii="Cambria" w:hAnsi="Cambria"/>
          <w:color w:val="000000"/>
          <w:sz w:val="20"/>
          <w:szCs w:val="20"/>
          <w:lang w:val="pt-BR"/>
        </w:rPr>
        <w:t xml:space="preserve"> </w:t>
      </w:r>
      <w:r w:rsidR="00CE08D5"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D65184" w:rsidRPr="00337743">
        <w:rPr>
          <w:rFonts w:ascii="Cambria" w:hAnsi="Cambria"/>
          <w:color w:val="000000"/>
          <w:sz w:val="20"/>
          <w:szCs w:val="20"/>
          <w:lang w:val="pt-BR"/>
        </w:rPr>
        <w:t>ces</w:t>
      </w:r>
      <w:r w:rsidR="00CE08D5" w:rsidRPr="00337743">
        <w:rPr>
          <w:rFonts w:ascii="Cambria" w:hAnsi="Cambria"/>
          <w:color w:val="000000"/>
          <w:sz w:val="20"/>
          <w:szCs w:val="20"/>
          <w:lang w:val="pt-BR"/>
        </w:rPr>
        <w:t>sação</w:t>
      </w:r>
      <w:r w:rsidR="00DB5118" w:rsidRPr="00337743">
        <w:rPr>
          <w:rFonts w:ascii="Cambria" w:hAnsi="Cambria"/>
          <w:color w:val="000000"/>
          <w:sz w:val="20"/>
          <w:szCs w:val="20"/>
          <w:lang w:val="pt-BR"/>
        </w:rPr>
        <w:t xml:space="preserve"> das </w:t>
      </w:r>
      <w:r w:rsidR="009153DA" w:rsidRPr="00337743">
        <w:rPr>
          <w:rFonts w:ascii="Cambria" w:hAnsi="Cambria"/>
          <w:color w:val="000000"/>
          <w:sz w:val="20"/>
          <w:szCs w:val="20"/>
          <w:lang w:val="pt-BR"/>
        </w:rPr>
        <w:t>prerrogativas parlamentar</w:t>
      </w:r>
      <w:r w:rsidR="00CE08D5" w:rsidRPr="00337743">
        <w:rPr>
          <w:rFonts w:ascii="Cambria" w:hAnsi="Cambria"/>
          <w:color w:val="000000"/>
          <w:sz w:val="20"/>
          <w:szCs w:val="20"/>
          <w:lang w:val="pt-BR"/>
        </w:rPr>
        <w:t>e</w:t>
      </w:r>
      <w:r w:rsidR="009153DA" w:rsidRPr="00337743">
        <w:rPr>
          <w:rFonts w:ascii="Cambria" w:hAnsi="Cambria"/>
          <w:color w:val="000000"/>
          <w:sz w:val="20"/>
          <w:szCs w:val="20"/>
          <w:lang w:val="pt-BR"/>
        </w:rPr>
        <w:t>s</w:t>
      </w:r>
      <w:r w:rsidR="007707E3" w:rsidRPr="00337743">
        <w:rPr>
          <w:rFonts w:ascii="Cambria" w:hAnsi="Cambria"/>
          <w:color w:val="000000"/>
          <w:sz w:val="20"/>
          <w:szCs w:val="20"/>
          <w:lang w:val="pt-BR"/>
        </w:rPr>
        <w:t xml:space="preserve"> do </w:t>
      </w:r>
      <w:r w:rsidR="009153DA" w:rsidRPr="00337743">
        <w:rPr>
          <w:rFonts w:ascii="Cambria" w:hAnsi="Cambria"/>
          <w:color w:val="000000"/>
          <w:sz w:val="20"/>
          <w:szCs w:val="20"/>
          <w:lang w:val="pt-BR"/>
        </w:rPr>
        <w:t>acusado</w:t>
      </w:r>
      <w:r w:rsidR="009E43CB"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o </w:t>
      </w:r>
      <w:r w:rsidR="0026132C">
        <w:rPr>
          <w:rFonts w:ascii="Cambria" w:hAnsi="Cambria"/>
          <w:color w:val="000000"/>
          <w:sz w:val="20"/>
          <w:szCs w:val="20"/>
          <w:lang w:val="pt-BR"/>
        </w:rPr>
        <w:t>magistrado responsável</w:t>
      </w:r>
      <w:r w:rsidR="00091880" w:rsidRPr="00337743">
        <w:rPr>
          <w:rFonts w:ascii="Cambria" w:hAnsi="Cambria"/>
          <w:color w:val="000000"/>
          <w:sz w:val="20"/>
          <w:szCs w:val="20"/>
          <w:lang w:val="pt-BR"/>
        </w:rPr>
        <w:t xml:space="preserve"> no </w:t>
      </w:r>
      <w:r w:rsidR="009E43CB" w:rsidRPr="00337743">
        <w:rPr>
          <w:rFonts w:ascii="Cambria" w:hAnsi="Cambria"/>
          <w:color w:val="000000"/>
          <w:sz w:val="20"/>
          <w:szCs w:val="20"/>
          <w:lang w:val="pt-BR"/>
        </w:rPr>
        <w:t xml:space="preserve">Tribunal de </w:t>
      </w:r>
      <w:r w:rsidR="00E96C24" w:rsidRPr="00337743">
        <w:rPr>
          <w:rFonts w:ascii="Cambria" w:hAnsi="Cambria"/>
          <w:color w:val="000000"/>
          <w:sz w:val="20"/>
          <w:szCs w:val="20"/>
          <w:lang w:val="pt-BR"/>
        </w:rPr>
        <w:t>Justiça</w:t>
      </w:r>
      <w:r w:rsidR="009E43CB" w:rsidRPr="00337743">
        <w:rPr>
          <w:rFonts w:ascii="Cambria" w:hAnsi="Cambria"/>
          <w:color w:val="000000"/>
          <w:sz w:val="20"/>
          <w:szCs w:val="20"/>
          <w:lang w:val="pt-BR"/>
        </w:rPr>
        <w:t xml:space="preserve"> (</w:t>
      </w:r>
      <w:r w:rsidR="009153DA" w:rsidRPr="00337743">
        <w:rPr>
          <w:rFonts w:ascii="Cambria" w:hAnsi="Cambria"/>
          <w:color w:val="000000"/>
          <w:sz w:val="20"/>
          <w:szCs w:val="20"/>
          <w:lang w:val="pt-BR"/>
        </w:rPr>
        <w:t>Segunda Inst</w:t>
      </w:r>
      <w:r w:rsidR="00894152" w:rsidRPr="00337743">
        <w:rPr>
          <w:rFonts w:ascii="Cambria" w:hAnsi="Cambria"/>
          <w:color w:val="000000"/>
          <w:sz w:val="20"/>
          <w:szCs w:val="20"/>
          <w:lang w:val="pt-BR"/>
        </w:rPr>
        <w:t>â</w:t>
      </w:r>
      <w:r w:rsidR="009153DA" w:rsidRPr="00337743">
        <w:rPr>
          <w:rFonts w:ascii="Cambria" w:hAnsi="Cambria"/>
          <w:color w:val="000000"/>
          <w:sz w:val="20"/>
          <w:szCs w:val="20"/>
          <w:lang w:val="pt-BR"/>
        </w:rPr>
        <w:t xml:space="preserve">ncia) </w:t>
      </w:r>
      <w:r w:rsidR="00CE08D5" w:rsidRPr="00337743">
        <w:rPr>
          <w:rFonts w:ascii="Cambria" w:hAnsi="Cambria"/>
          <w:color w:val="000000"/>
          <w:sz w:val="20"/>
          <w:szCs w:val="20"/>
          <w:lang w:val="pt-BR"/>
        </w:rPr>
        <w:t>enviou</w:t>
      </w:r>
      <w:r w:rsidR="00506331" w:rsidRPr="00337743">
        <w:rPr>
          <w:rFonts w:ascii="Cambria" w:hAnsi="Cambria"/>
          <w:color w:val="000000"/>
          <w:sz w:val="20"/>
          <w:szCs w:val="20"/>
          <w:lang w:val="pt-BR"/>
        </w:rPr>
        <w:t xml:space="preserve"> o </w:t>
      </w:r>
      <w:r w:rsidR="003E7207" w:rsidRPr="00337743">
        <w:rPr>
          <w:rFonts w:ascii="Cambria" w:hAnsi="Cambria"/>
          <w:color w:val="000000"/>
          <w:sz w:val="20"/>
          <w:szCs w:val="20"/>
          <w:lang w:val="pt-BR"/>
        </w:rPr>
        <w:t>processo</w:t>
      </w:r>
      <w:r w:rsidR="00BF72CE" w:rsidRPr="00337743">
        <w:rPr>
          <w:rFonts w:ascii="Cambria" w:hAnsi="Cambria"/>
          <w:color w:val="000000"/>
          <w:sz w:val="20"/>
          <w:szCs w:val="20"/>
          <w:lang w:val="pt-BR"/>
        </w:rPr>
        <w:t xml:space="preserve"> ao </w:t>
      </w:r>
      <w:r w:rsidR="0026132C">
        <w:rPr>
          <w:rFonts w:ascii="Cambria" w:hAnsi="Cambria"/>
          <w:color w:val="000000"/>
          <w:sz w:val="20"/>
          <w:szCs w:val="20"/>
          <w:lang w:val="pt-BR"/>
        </w:rPr>
        <w:t>Juízo</w:t>
      </w:r>
      <w:r w:rsidR="009153DA" w:rsidRPr="00337743">
        <w:rPr>
          <w:rFonts w:ascii="Cambria" w:hAnsi="Cambria"/>
          <w:color w:val="000000"/>
          <w:sz w:val="20"/>
          <w:szCs w:val="20"/>
          <w:lang w:val="pt-BR"/>
        </w:rPr>
        <w:t xml:space="preserve"> de </w:t>
      </w:r>
      <w:r w:rsidR="00154B3C" w:rsidRPr="00337743">
        <w:rPr>
          <w:rFonts w:ascii="Cambria" w:hAnsi="Cambria"/>
          <w:color w:val="000000"/>
          <w:sz w:val="20"/>
          <w:szCs w:val="20"/>
          <w:lang w:val="pt-BR"/>
        </w:rPr>
        <w:t>Primeira</w:t>
      </w:r>
      <w:r w:rsidR="009153DA" w:rsidRPr="00337743">
        <w:rPr>
          <w:rFonts w:ascii="Cambria" w:hAnsi="Cambria"/>
          <w:color w:val="000000"/>
          <w:sz w:val="20"/>
          <w:szCs w:val="20"/>
          <w:lang w:val="pt-BR"/>
        </w:rPr>
        <w:t xml:space="preserve"> Instancia</w:t>
      </w:r>
      <w:r w:rsidR="0026132C">
        <w:rPr>
          <w:rFonts w:ascii="Cambria" w:hAnsi="Cambria"/>
          <w:color w:val="000000"/>
          <w:sz w:val="20"/>
          <w:szCs w:val="20"/>
          <w:lang w:val="pt-BR"/>
        </w:rPr>
        <w:t xml:space="preserve"> –</w:t>
      </w:r>
      <w:r w:rsidR="009153DA" w:rsidRPr="00337743">
        <w:rPr>
          <w:rFonts w:ascii="Cambria" w:hAnsi="Cambria"/>
          <w:color w:val="000000"/>
          <w:sz w:val="20"/>
          <w:szCs w:val="20"/>
          <w:lang w:val="pt-BR"/>
        </w:rPr>
        <w:t>u</w:t>
      </w:r>
      <w:r w:rsidR="00CE08D5" w:rsidRPr="00337743">
        <w:rPr>
          <w:rFonts w:ascii="Cambria" w:hAnsi="Cambria"/>
          <w:color w:val="000000"/>
          <w:sz w:val="20"/>
          <w:szCs w:val="20"/>
          <w:lang w:val="pt-BR"/>
        </w:rPr>
        <w:t>m</w:t>
      </w:r>
      <w:r w:rsidR="00E96C24" w:rsidRPr="00337743">
        <w:rPr>
          <w:rFonts w:ascii="Cambria" w:hAnsi="Cambria"/>
          <w:color w:val="000000"/>
          <w:sz w:val="20"/>
          <w:szCs w:val="20"/>
          <w:lang w:val="pt-BR"/>
        </w:rPr>
        <w:t xml:space="preserve"> dos </w:t>
      </w:r>
      <w:r w:rsidR="009153DA" w:rsidRPr="00337743">
        <w:rPr>
          <w:rFonts w:ascii="Cambria" w:hAnsi="Cambria"/>
          <w:color w:val="000000"/>
          <w:sz w:val="20"/>
          <w:szCs w:val="20"/>
          <w:lang w:val="pt-BR"/>
        </w:rPr>
        <w:t>Tribun</w:t>
      </w:r>
      <w:r w:rsidR="007707E3" w:rsidRPr="00337743">
        <w:rPr>
          <w:rFonts w:ascii="Cambria" w:hAnsi="Cambria"/>
          <w:color w:val="000000"/>
          <w:sz w:val="20"/>
          <w:szCs w:val="20"/>
          <w:lang w:val="pt-BR"/>
        </w:rPr>
        <w:t>ais</w:t>
      </w:r>
      <w:r w:rsidR="009153DA" w:rsidRPr="00337743">
        <w:rPr>
          <w:rFonts w:ascii="Cambria" w:hAnsi="Cambria"/>
          <w:color w:val="000000"/>
          <w:sz w:val="20"/>
          <w:szCs w:val="20"/>
          <w:lang w:val="pt-BR"/>
        </w:rPr>
        <w:t xml:space="preserve"> de J</w:t>
      </w:r>
      <w:r w:rsidR="00DD225F" w:rsidRPr="00337743">
        <w:rPr>
          <w:rFonts w:ascii="Cambria" w:hAnsi="Cambria"/>
          <w:color w:val="000000"/>
          <w:sz w:val="20"/>
          <w:szCs w:val="20"/>
          <w:lang w:val="pt-BR"/>
        </w:rPr>
        <w:t>úri</w:t>
      </w:r>
      <w:r w:rsidR="007707E3" w:rsidRPr="00337743">
        <w:rPr>
          <w:rFonts w:ascii="Cambria" w:hAnsi="Cambria"/>
          <w:color w:val="000000"/>
          <w:sz w:val="20"/>
          <w:szCs w:val="20"/>
          <w:lang w:val="pt-BR"/>
        </w:rPr>
        <w:t xml:space="preserve"> da </w:t>
      </w:r>
      <w:r w:rsidR="009153DA" w:rsidRPr="00337743">
        <w:rPr>
          <w:rFonts w:ascii="Cambria" w:hAnsi="Cambria"/>
          <w:color w:val="000000"/>
          <w:sz w:val="20"/>
          <w:szCs w:val="20"/>
          <w:lang w:val="pt-BR"/>
        </w:rPr>
        <w:t>comarca de João Pessoa.</w:t>
      </w:r>
      <w:r w:rsidR="00091880" w:rsidRPr="00337743">
        <w:rPr>
          <w:rFonts w:ascii="Cambria" w:hAnsi="Cambria"/>
          <w:color w:val="000000"/>
          <w:sz w:val="20"/>
          <w:szCs w:val="20"/>
          <w:lang w:val="pt-BR"/>
        </w:rPr>
        <w:t xml:space="preserve"> </w:t>
      </w:r>
      <w:r w:rsidR="00DD225F" w:rsidRPr="00337743">
        <w:rPr>
          <w:rFonts w:ascii="Cambria" w:hAnsi="Cambria"/>
          <w:color w:val="000000"/>
          <w:sz w:val="20"/>
          <w:szCs w:val="20"/>
          <w:lang w:val="pt-BR"/>
        </w:rPr>
        <w:t>N</w:t>
      </w:r>
      <w:r w:rsidR="00091880" w:rsidRPr="00337743">
        <w:rPr>
          <w:rFonts w:ascii="Cambria" w:hAnsi="Cambria"/>
          <w:color w:val="000000"/>
          <w:sz w:val="20"/>
          <w:szCs w:val="20"/>
          <w:lang w:val="pt-BR"/>
        </w:rPr>
        <w:t xml:space="preserve">a </w:t>
      </w:r>
      <w:r w:rsidR="00154B3C" w:rsidRPr="00337743">
        <w:rPr>
          <w:rFonts w:ascii="Cambria" w:hAnsi="Cambria"/>
          <w:color w:val="000000"/>
          <w:sz w:val="20"/>
          <w:szCs w:val="20"/>
          <w:lang w:val="pt-BR"/>
        </w:rPr>
        <w:t>ordem</w:t>
      </w:r>
      <w:r w:rsidR="009153DA" w:rsidRPr="00337743">
        <w:rPr>
          <w:rFonts w:ascii="Cambria" w:hAnsi="Cambria"/>
          <w:color w:val="000000"/>
          <w:sz w:val="20"/>
          <w:szCs w:val="20"/>
          <w:lang w:val="pt-BR"/>
        </w:rPr>
        <w:t xml:space="preserve">, </w:t>
      </w:r>
      <w:r w:rsidR="00DD225F" w:rsidRPr="00337743">
        <w:rPr>
          <w:rFonts w:ascii="Cambria" w:hAnsi="Cambria"/>
          <w:color w:val="000000"/>
          <w:sz w:val="20"/>
          <w:szCs w:val="20"/>
          <w:lang w:val="pt-BR"/>
        </w:rPr>
        <w:t>indicou</w:t>
      </w:r>
      <w:r w:rsidR="009153DA"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o </w:t>
      </w:r>
      <w:r w:rsidR="00154B3C" w:rsidRPr="00337743">
        <w:rPr>
          <w:rFonts w:ascii="Cambria" w:hAnsi="Cambria"/>
          <w:color w:val="000000"/>
          <w:sz w:val="20"/>
          <w:szCs w:val="20"/>
          <w:lang w:val="pt-BR"/>
        </w:rPr>
        <w:t>envio</w:t>
      </w:r>
      <w:r w:rsidR="007707E3" w:rsidRPr="00337743">
        <w:rPr>
          <w:rFonts w:ascii="Cambria" w:hAnsi="Cambria"/>
          <w:color w:val="000000"/>
          <w:sz w:val="20"/>
          <w:szCs w:val="20"/>
          <w:lang w:val="pt-BR"/>
        </w:rPr>
        <w:t xml:space="preserve"> do </w:t>
      </w:r>
      <w:r w:rsidR="00FD6942" w:rsidRPr="00337743">
        <w:rPr>
          <w:rFonts w:ascii="Cambria" w:hAnsi="Cambria"/>
          <w:color w:val="000000"/>
          <w:sz w:val="20"/>
          <w:szCs w:val="20"/>
          <w:lang w:val="pt-BR"/>
        </w:rPr>
        <w:t>processo</w:t>
      </w:r>
      <w:r w:rsidR="009153DA" w:rsidRPr="00337743">
        <w:rPr>
          <w:rFonts w:ascii="Cambria" w:hAnsi="Cambria"/>
          <w:color w:val="000000"/>
          <w:sz w:val="20"/>
          <w:szCs w:val="20"/>
          <w:lang w:val="pt-BR"/>
        </w:rPr>
        <w:t xml:space="preserve"> se </w:t>
      </w:r>
      <w:r w:rsidR="00154B3C" w:rsidRPr="00337743">
        <w:rPr>
          <w:rFonts w:ascii="Cambria" w:hAnsi="Cambria"/>
          <w:color w:val="000000"/>
          <w:sz w:val="20"/>
          <w:szCs w:val="20"/>
          <w:lang w:val="pt-BR"/>
        </w:rPr>
        <w:t>d</w:t>
      </w:r>
      <w:r w:rsidR="0026132C">
        <w:rPr>
          <w:rFonts w:ascii="Cambria" w:hAnsi="Cambria"/>
          <w:color w:val="000000"/>
          <w:sz w:val="20"/>
          <w:szCs w:val="20"/>
          <w:lang w:val="pt-BR"/>
        </w:rPr>
        <w:t>eu</w:t>
      </w:r>
      <w:r w:rsidR="009153DA" w:rsidRPr="00337743">
        <w:rPr>
          <w:rFonts w:ascii="Cambria" w:hAnsi="Cambria"/>
          <w:color w:val="000000"/>
          <w:sz w:val="20"/>
          <w:szCs w:val="20"/>
          <w:lang w:val="pt-BR"/>
        </w:rPr>
        <w:t xml:space="preserve"> “</w:t>
      </w:r>
      <w:r w:rsidR="009F15B8" w:rsidRPr="00337743">
        <w:rPr>
          <w:rFonts w:ascii="Cambria" w:hAnsi="Cambria"/>
          <w:color w:val="000000"/>
          <w:sz w:val="20"/>
          <w:szCs w:val="20"/>
          <w:lang w:val="pt-BR"/>
        </w:rPr>
        <w:t>em</w:t>
      </w:r>
      <w:r w:rsidR="009153DA" w:rsidRPr="00337743">
        <w:rPr>
          <w:rFonts w:ascii="Cambria" w:hAnsi="Cambria"/>
          <w:color w:val="000000"/>
          <w:sz w:val="20"/>
          <w:szCs w:val="20"/>
          <w:lang w:val="pt-BR"/>
        </w:rPr>
        <w:t xml:space="preserve"> vista”</w:t>
      </w:r>
      <w:r w:rsidR="007707E3" w:rsidRPr="00337743">
        <w:rPr>
          <w:rFonts w:ascii="Cambria" w:hAnsi="Cambria"/>
          <w:color w:val="000000"/>
          <w:sz w:val="20"/>
          <w:szCs w:val="20"/>
          <w:lang w:val="pt-BR"/>
        </w:rPr>
        <w:t xml:space="preserve"> do </w:t>
      </w:r>
      <w:r w:rsidR="009153DA" w:rsidRPr="00337743">
        <w:rPr>
          <w:rFonts w:ascii="Cambria" w:hAnsi="Cambria"/>
          <w:color w:val="000000"/>
          <w:sz w:val="20"/>
          <w:szCs w:val="20"/>
          <w:lang w:val="pt-BR"/>
        </w:rPr>
        <w:t>of</w:t>
      </w:r>
      <w:r w:rsidR="00894152" w:rsidRPr="00337743">
        <w:rPr>
          <w:rFonts w:ascii="Cambria" w:hAnsi="Cambria"/>
          <w:color w:val="000000"/>
          <w:sz w:val="20"/>
          <w:szCs w:val="20"/>
          <w:lang w:val="pt-BR"/>
        </w:rPr>
        <w:t>í</w:t>
      </w:r>
      <w:r w:rsidR="009153DA" w:rsidRPr="00337743">
        <w:rPr>
          <w:rFonts w:ascii="Cambria" w:hAnsi="Cambria"/>
          <w:color w:val="000000"/>
          <w:sz w:val="20"/>
          <w:szCs w:val="20"/>
          <w:lang w:val="pt-BR"/>
        </w:rPr>
        <w:t xml:space="preserve">cio de </w:t>
      </w:r>
      <w:r w:rsidR="003E7207" w:rsidRPr="00337743">
        <w:rPr>
          <w:rFonts w:ascii="Cambria" w:hAnsi="Cambria"/>
          <w:color w:val="000000"/>
          <w:sz w:val="20"/>
          <w:szCs w:val="20"/>
          <w:lang w:val="pt-BR"/>
        </w:rPr>
        <w:t>resposta</w:t>
      </w:r>
      <w:r w:rsidR="007707E3" w:rsidRPr="00337743">
        <w:rPr>
          <w:rFonts w:ascii="Cambria" w:hAnsi="Cambria"/>
          <w:color w:val="000000"/>
          <w:sz w:val="20"/>
          <w:szCs w:val="20"/>
          <w:lang w:val="pt-BR"/>
        </w:rPr>
        <w:t xml:space="preserve"> do </w:t>
      </w:r>
      <w:r w:rsidR="009153DA" w:rsidRPr="00337743">
        <w:rPr>
          <w:rFonts w:ascii="Cambria" w:hAnsi="Cambria"/>
          <w:color w:val="000000"/>
          <w:sz w:val="20"/>
          <w:szCs w:val="20"/>
          <w:lang w:val="pt-BR"/>
        </w:rPr>
        <w:t xml:space="preserve">Tribunal Regional </w:t>
      </w:r>
      <w:r w:rsidR="009F15B8" w:rsidRPr="00337743">
        <w:rPr>
          <w:rFonts w:ascii="Cambria" w:hAnsi="Cambria"/>
          <w:color w:val="000000"/>
          <w:sz w:val="20"/>
          <w:szCs w:val="20"/>
          <w:lang w:val="pt-BR"/>
        </w:rPr>
        <w:t>Eleitoral</w:t>
      </w:r>
      <w:r w:rsidR="009153DA" w:rsidRPr="00337743">
        <w:rPr>
          <w:rFonts w:ascii="Cambria" w:hAnsi="Cambria"/>
          <w:color w:val="000000"/>
          <w:sz w:val="20"/>
          <w:szCs w:val="20"/>
          <w:vertAlign w:val="superscript"/>
          <w:lang w:val="pt-BR"/>
        </w:rPr>
        <w:footnoteReference w:id="53"/>
      </w:r>
      <w:r w:rsidR="002A2E7F"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DD225F" w:rsidRPr="00337743">
        <w:rPr>
          <w:rFonts w:ascii="Cambria" w:hAnsi="Cambria"/>
          <w:color w:val="000000"/>
          <w:sz w:val="20"/>
          <w:szCs w:val="20"/>
          <w:lang w:val="pt-BR"/>
        </w:rPr>
        <w:t>C</w:t>
      </w:r>
      <w:r w:rsidR="00091880" w:rsidRPr="00337743">
        <w:rPr>
          <w:rFonts w:ascii="Cambria" w:hAnsi="Cambria"/>
          <w:color w:val="000000"/>
          <w:sz w:val="20"/>
          <w:szCs w:val="20"/>
          <w:lang w:val="pt-BR"/>
        </w:rPr>
        <w:t xml:space="preserve">om </w:t>
      </w:r>
      <w:r w:rsidR="00DD225F" w:rsidRPr="00337743">
        <w:rPr>
          <w:rFonts w:ascii="Cambria" w:hAnsi="Cambria"/>
          <w:color w:val="000000"/>
          <w:sz w:val="20"/>
          <w:szCs w:val="20"/>
          <w:lang w:val="pt-BR"/>
        </w:rPr>
        <w:t>iss</w:t>
      </w:r>
      <w:r w:rsidR="005E0CEB"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a </w:t>
      </w:r>
      <w:r w:rsidR="00C55A42" w:rsidRPr="00337743">
        <w:rPr>
          <w:rFonts w:ascii="Cambria" w:hAnsi="Cambria"/>
          <w:color w:val="000000"/>
          <w:sz w:val="20"/>
          <w:szCs w:val="20"/>
          <w:lang w:val="pt-BR"/>
        </w:rPr>
        <w:t>a</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091880" w:rsidRPr="00337743">
        <w:rPr>
          <w:rFonts w:ascii="Cambria" w:hAnsi="Cambria"/>
          <w:color w:val="000000"/>
          <w:sz w:val="20"/>
          <w:szCs w:val="20"/>
          <w:lang w:val="pt-BR"/>
        </w:rPr>
        <w:t xml:space="preserve"> foi </w:t>
      </w:r>
      <w:r w:rsidR="005E0CEB" w:rsidRPr="00337743">
        <w:rPr>
          <w:rFonts w:ascii="Cambria" w:hAnsi="Cambria"/>
          <w:color w:val="000000"/>
          <w:sz w:val="20"/>
          <w:szCs w:val="20"/>
          <w:lang w:val="pt-BR"/>
        </w:rPr>
        <w:t>finalmente</w:t>
      </w:r>
      <w:r w:rsidR="00C55A42" w:rsidRPr="00337743">
        <w:rPr>
          <w:rFonts w:ascii="Cambria" w:hAnsi="Cambria"/>
          <w:color w:val="000000"/>
          <w:sz w:val="20"/>
          <w:szCs w:val="20"/>
          <w:lang w:val="pt-BR"/>
        </w:rPr>
        <w:t xml:space="preserve"> </w:t>
      </w:r>
      <w:r w:rsidR="00DD225F" w:rsidRPr="00337743">
        <w:rPr>
          <w:rFonts w:ascii="Cambria" w:hAnsi="Cambria"/>
          <w:color w:val="000000"/>
          <w:sz w:val="20"/>
          <w:szCs w:val="20"/>
          <w:lang w:val="pt-BR"/>
        </w:rPr>
        <w:t>a</w:t>
      </w:r>
      <w:r w:rsidR="00C55A42" w:rsidRPr="00337743">
        <w:rPr>
          <w:rFonts w:ascii="Cambria" w:hAnsi="Cambria"/>
          <w:color w:val="000000"/>
          <w:sz w:val="20"/>
          <w:szCs w:val="20"/>
          <w:lang w:val="pt-BR"/>
        </w:rPr>
        <w:t>presentada</w:t>
      </w:r>
      <w:r w:rsidR="00506331" w:rsidRPr="00337743">
        <w:rPr>
          <w:rFonts w:ascii="Cambria" w:hAnsi="Cambria"/>
          <w:color w:val="000000"/>
          <w:sz w:val="20"/>
          <w:szCs w:val="20"/>
          <w:lang w:val="pt-BR"/>
        </w:rPr>
        <w:t xml:space="preserve"> </w:t>
      </w:r>
      <w:r w:rsidR="00DD225F"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C55A42" w:rsidRPr="00337743">
        <w:rPr>
          <w:rFonts w:ascii="Cambria" w:hAnsi="Cambria"/>
          <w:color w:val="000000"/>
          <w:sz w:val="20"/>
          <w:szCs w:val="20"/>
          <w:lang w:val="pt-BR"/>
        </w:rPr>
        <w:t xml:space="preserve">26 de </w:t>
      </w:r>
      <w:r w:rsidR="009F15B8" w:rsidRPr="00337743">
        <w:rPr>
          <w:rFonts w:ascii="Cambria" w:hAnsi="Cambria"/>
          <w:color w:val="000000"/>
          <w:sz w:val="20"/>
          <w:szCs w:val="20"/>
          <w:lang w:val="pt-BR"/>
        </w:rPr>
        <w:t>fevereiro</w:t>
      </w:r>
      <w:r w:rsidR="00C55A42" w:rsidRPr="00337743">
        <w:rPr>
          <w:rFonts w:ascii="Cambria" w:hAnsi="Cambria"/>
          <w:color w:val="000000"/>
          <w:sz w:val="20"/>
          <w:szCs w:val="20"/>
          <w:lang w:val="pt-BR"/>
        </w:rPr>
        <w:t xml:space="preserve"> de 2003</w:t>
      </w:r>
      <w:r w:rsidR="00506331" w:rsidRPr="00337743">
        <w:rPr>
          <w:rFonts w:ascii="Cambria" w:hAnsi="Cambria"/>
          <w:color w:val="000000"/>
          <w:sz w:val="20"/>
          <w:szCs w:val="20"/>
          <w:lang w:val="pt-BR"/>
        </w:rPr>
        <w:t xml:space="preserve"> e o </w:t>
      </w:r>
      <w:r w:rsidR="00FD6942" w:rsidRPr="00337743">
        <w:rPr>
          <w:rFonts w:ascii="Cambria" w:hAnsi="Cambria"/>
          <w:color w:val="000000"/>
          <w:sz w:val="20"/>
          <w:szCs w:val="20"/>
          <w:lang w:val="pt-BR"/>
        </w:rPr>
        <w:t>processo</w:t>
      </w:r>
      <w:r w:rsidR="006D7B0B" w:rsidRPr="00337743">
        <w:rPr>
          <w:rFonts w:ascii="Cambria" w:hAnsi="Cambria"/>
          <w:color w:val="000000"/>
          <w:sz w:val="20"/>
          <w:szCs w:val="20"/>
          <w:lang w:val="pt-BR"/>
        </w:rPr>
        <w:t xml:space="preserve"> penal</w:t>
      </w:r>
      <w:r w:rsidR="005E0CEB" w:rsidRPr="00337743">
        <w:rPr>
          <w:rFonts w:ascii="Cambria" w:hAnsi="Cambria"/>
          <w:color w:val="000000"/>
          <w:sz w:val="20"/>
          <w:szCs w:val="20"/>
          <w:lang w:val="pt-BR"/>
        </w:rPr>
        <w:t xml:space="preserve"> </w:t>
      </w:r>
      <w:r w:rsidR="00DD225F" w:rsidRPr="00337743">
        <w:rPr>
          <w:rFonts w:ascii="Cambria" w:hAnsi="Cambria"/>
          <w:color w:val="000000"/>
          <w:sz w:val="20"/>
          <w:szCs w:val="20"/>
          <w:lang w:val="pt-BR"/>
        </w:rPr>
        <w:t xml:space="preserve">teve </w:t>
      </w:r>
      <w:r w:rsidR="009F15B8" w:rsidRPr="00337743">
        <w:rPr>
          <w:rFonts w:ascii="Cambria" w:hAnsi="Cambria"/>
          <w:color w:val="000000"/>
          <w:sz w:val="20"/>
          <w:szCs w:val="20"/>
          <w:lang w:val="pt-BR"/>
        </w:rPr>
        <w:t>início</w:t>
      </w:r>
      <w:r w:rsidR="00506331" w:rsidRPr="00337743">
        <w:rPr>
          <w:rFonts w:ascii="Cambria" w:hAnsi="Cambria"/>
          <w:color w:val="000000"/>
          <w:sz w:val="20"/>
          <w:szCs w:val="20"/>
          <w:lang w:val="pt-BR"/>
        </w:rPr>
        <w:t xml:space="preserve"> </w:t>
      </w:r>
      <w:r w:rsidR="00DD225F"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C55A42" w:rsidRPr="00337743">
        <w:rPr>
          <w:rFonts w:ascii="Cambria" w:hAnsi="Cambria"/>
          <w:color w:val="000000"/>
          <w:sz w:val="20"/>
          <w:szCs w:val="20"/>
          <w:lang w:val="pt-BR"/>
        </w:rPr>
        <w:t xml:space="preserve">14 de </w:t>
      </w:r>
      <w:r w:rsidR="00320DBA" w:rsidRPr="00337743">
        <w:rPr>
          <w:rFonts w:ascii="Cambria" w:hAnsi="Cambria"/>
          <w:color w:val="000000"/>
          <w:sz w:val="20"/>
          <w:szCs w:val="20"/>
          <w:lang w:val="pt-BR"/>
        </w:rPr>
        <w:t>março</w:t>
      </w:r>
      <w:r w:rsidR="00C55A42" w:rsidRPr="00337743">
        <w:rPr>
          <w:rFonts w:ascii="Cambria" w:hAnsi="Cambria"/>
          <w:color w:val="000000"/>
          <w:sz w:val="20"/>
          <w:szCs w:val="20"/>
          <w:lang w:val="pt-BR"/>
        </w:rPr>
        <w:t xml:space="preserve"> de 2003, </w:t>
      </w:r>
      <w:r w:rsidR="00DD225F" w:rsidRPr="00337743">
        <w:rPr>
          <w:rFonts w:ascii="Cambria" w:hAnsi="Cambria"/>
          <w:color w:val="000000"/>
          <w:sz w:val="20"/>
          <w:szCs w:val="20"/>
          <w:lang w:val="pt-BR"/>
        </w:rPr>
        <w:t>dat</w:t>
      </w:r>
      <w:r w:rsidR="00C55A42" w:rsidRPr="00337743">
        <w:rPr>
          <w:rFonts w:ascii="Cambria" w:hAnsi="Cambria"/>
          <w:color w:val="000000"/>
          <w:sz w:val="20"/>
          <w:szCs w:val="20"/>
          <w:lang w:val="pt-BR"/>
        </w:rPr>
        <w:t>a</w:t>
      </w:r>
      <w:r w:rsidR="007707E3" w:rsidRPr="00337743">
        <w:rPr>
          <w:rFonts w:ascii="Cambria" w:hAnsi="Cambria"/>
          <w:color w:val="000000"/>
          <w:sz w:val="20"/>
          <w:szCs w:val="20"/>
          <w:lang w:val="pt-BR"/>
        </w:rPr>
        <w:t xml:space="preserve"> d</w:t>
      </w:r>
      <w:r w:rsidR="00DD225F" w:rsidRPr="00337743">
        <w:rPr>
          <w:rFonts w:ascii="Cambria" w:hAnsi="Cambria"/>
          <w:color w:val="000000"/>
          <w:sz w:val="20"/>
          <w:szCs w:val="20"/>
          <w:lang w:val="pt-BR"/>
        </w:rPr>
        <w:t>e recebimento</w:t>
      </w:r>
      <w:r w:rsidR="007707E3" w:rsidRPr="00337743">
        <w:rPr>
          <w:rFonts w:ascii="Cambria" w:hAnsi="Cambria"/>
          <w:color w:val="000000"/>
          <w:sz w:val="20"/>
          <w:szCs w:val="20"/>
          <w:lang w:val="pt-BR"/>
        </w:rPr>
        <w:t xml:space="preserve"> da </w:t>
      </w:r>
      <w:r w:rsidR="003E7207" w:rsidRPr="00337743">
        <w:rPr>
          <w:rFonts w:ascii="Cambria" w:hAnsi="Cambria"/>
          <w:color w:val="000000"/>
          <w:sz w:val="20"/>
          <w:szCs w:val="20"/>
          <w:lang w:val="pt-BR"/>
        </w:rPr>
        <w:t>denúncia</w:t>
      </w:r>
      <w:r w:rsidR="00543182" w:rsidRPr="00337743">
        <w:rPr>
          <w:rFonts w:ascii="Cambria" w:hAnsi="Cambria"/>
          <w:color w:val="000000"/>
          <w:sz w:val="20"/>
          <w:szCs w:val="20"/>
          <w:vertAlign w:val="superscript"/>
          <w:lang w:val="pt-BR"/>
        </w:rPr>
        <w:footnoteReference w:id="54"/>
      </w:r>
      <w:r w:rsidR="0085590A" w:rsidRPr="00337743">
        <w:rPr>
          <w:rFonts w:ascii="Cambria" w:hAnsi="Cambria"/>
          <w:color w:val="000000"/>
          <w:sz w:val="20"/>
          <w:szCs w:val="20"/>
          <w:lang w:val="pt-BR"/>
        </w:rPr>
        <w:t>.</w:t>
      </w:r>
      <w:r w:rsidR="00C55A42" w:rsidRPr="00337743">
        <w:rPr>
          <w:rFonts w:ascii="Cambria" w:hAnsi="Cambria"/>
          <w:color w:val="000000"/>
          <w:sz w:val="20"/>
          <w:szCs w:val="20"/>
          <w:lang w:val="pt-BR"/>
        </w:rPr>
        <w:t xml:space="preserve"> </w:t>
      </w:r>
    </w:p>
    <w:p w14:paraId="1FA990A0" w14:textId="77777777" w:rsidR="00C66BFB" w:rsidRPr="00337743" w:rsidRDefault="00C66BFB" w:rsidP="007B1365">
      <w:pPr>
        <w:pStyle w:val="ListParagraph"/>
        <w:ind w:left="0" w:firstLine="709"/>
        <w:rPr>
          <w:rFonts w:ascii="Cambria" w:hAnsi="Cambria"/>
          <w:color w:val="000000"/>
          <w:sz w:val="20"/>
          <w:szCs w:val="20"/>
          <w:lang w:val="pt-BR"/>
        </w:rPr>
      </w:pPr>
    </w:p>
    <w:p w14:paraId="471E0146" w14:textId="77777777" w:rsidR="00DB7EC9" w:rsidRPr="00337743" w:rsidRDefault="000974C6" w:rsidP="00EF603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E</w:t>
      </w:r>
      <w:r w:rsidR="003E7207" w:rsidRPr="00337743">
        <w:rPr>
          <w:rFonts w:ascii="Cambria" w:hAnsi="Cambria"/>
          <w:color w:val="000000"/>
          <w:sz w:val="20"/>
          <w:szCs w:val="20"/>
          <w:lang w:val="pt-BR"/>
        </w:rPr>
        <w:t>m</w:t>
      </w:r>
      <w:r w:rsidRPr="00337743">
        <w:rPr>
          <w:rFonts w:ascii="Cambria" w:hAnsi="Cambria"/>
          <w:color w:val="000000"/>
          <w:sz w:val="20"/>
          <w:szCs w:val="20"/>
          <w:lang w:val="pt-BR"/>
        </w:rPr>
        <w:t xml:space="preserve"> 7 de abril de 2003 </w:t>
      </w:r>
      <w:r w:rsidR="009F15B8" w:rsidRPr="00337743">
        <w:rPr>
          <w:rFonts w:ascii="Cambria" w:hAnsi="Cambria"/>
          <w:color w:val="000000"/>
          <w:sz w:val="20"/>
          <w:szCs w:val="20"/>
          <w:lang w:val="pt-BR"/>
        </w:rPr>
        <w:t>teve</w:t>
      </w:r>
      <w:r w:rsidR="00C716C3" w:rsidRPr="00337743">
        <w:rPr>
          <w:rFonts w:ascii="Cambria" w:hAnsi="Cambria"/>
          <w:color w:val="000000"/>
          <w:sz w:val="20"/>
          <w:szCs w:val="20"/>
          <w:lang w:val="pt-BR"/>
        </w:rPr>
        <w:t xml:space="preserve"> lugar</w:t>
      </w:r>
      <w:r w:rsidR="00506331" w:rsidRPr="00337743">
        <w:rPr>
          <w:rFonts w:ascii="Cambria" w:hAnsi="Cambria"/>
          <w:color w:val="000000"/>
          <w:sz w:val="20"/>
          <w:szCs w:val="20"/>
          <w:lang w:val="pt-BR"/>
        </w:rPr>
        <w:t xml:space="preserve"> a </w:t>
      </w:r>
      <w:r w:rsidR="009F15B8" w:rsidRPr="00337743">
        <w:rPr>
          <w:rFonts w:ascii="Cambria" w:hAnsi="Cambria"/>
          <w:color w:val="000000"/>
          <w:sz w:val="20"/>
          <w:szCs w:val="20"/>
          <w:lang w:val="pt-BR"/>
        </w:rPr>
        <w:t>primeira</w:t>
      </w:r>
      <w:r w:rsidRPr="00337743">
        <w:rPr>
          <w:rFonts w:ascii="Cambria" w:hAnsi="Cambria"/>
          <w:color w:val="000000"/>
          <w:sz w:val="20"/>
          <w:szCs w:val="20"/>
          <w:lang w:val="pt-BR"/>
        </w:rPr>
        <w:t xml:space="preserve"> </w:t>
      </w:r>
      <w:r w:rsidR="003E7207" w:rsidRPr="00337743">
        <w:rPr>
          <w:rFonts w:ascii="Cambria" w:hAnsi="Cambria"/>
          <w:color w:val="000000"/>
          <w:sz w:val="20"/>
          <w:szCs w:val="20"/>
          <w:lang w:val="pt-BR"/>
        </w:rPr>
        <w:t>audiência</w:t>
      </w:r>
      <w:r w:rsidRPr="00337743">
        <w:rPr>
          <w:rFonts w:ascii="Cambria" w:hAnsi="Cambria"/>
          <w:color w:val="000000"/>
          <w:sz w:val="20"/>
          <w:szCs w:val="20"/>
          <w:lang w:val="pt-BR"/>
        </w:rPr>
        <w:t xml:space="preserve"> de instru</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FD6942"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acusado</w:t>
      </w:r>
      <w:r w:rsidR="00091880" w:rsidRPr="00337743">
        <w:rPr>
          <w:rFonts w:ascii="Cambria" w:hAnsi="Cambria"/>
          <w:color w:val="000000"/>
          <w:sz w:val="20"/>
          <w:szCs w:val="20"/>
          <w:lang w:val="pt-BR"/>
        </w:rPr>
        <w:t xml:space="preserve"> foi </w:t>
      </w:r>
      <w:r w:rsidRPr="00337743">
        <w:rPr>
          <w:rFonts w:ascii="Cambria" w:hAnsi="Cambria"/>
          <w:color w:val="000000"/>
          <w:sz w:val="20"/>
          <w:szCs w:val="20"/>
          <w:lang w:val="pt-BR"/>
        </w:rPr>
        <w:t>interrogado</w:t>
      </w:r>
      <w:r w:rsidR="00506331" w:rsidRPr="00337743">
        <w:rPr>
          <w:rFonts w:ascii="Cambria" w:hAnsi="Cambria"/>
          <w:color w:val="000000"/>
          <w:sz w:val="20"/>
          <w:szCs w:val="20"/>
          <w:lang w:val="pt-BR"/>
        </w:rPr>
        <w:t xml:space="preserve"> e </w:t>
      </w:r>
      <w:r w:rsidRPr="00337743">
        <w:rPr>
          <w:rFonts w:ascii="Cambria" w:hAnsi="Cambria"/>
          <w:color w:val="000000"/>
          <w:sz w:val="20"/>
          <w:szCs w:val="20"/>
          <w:lang w:val="pt-BR"/>
        </w:rPr>
        <w:t>neg</w:t>
      </w:r>
      <w:r w:rsidR="00FD6942" w:rsidRPr="00337743">
        <w:rPr>
          <w:rFonts w:ascii="Cambria" w:hAnsi="Cambria"/>
          <w:color w:val="000000"/>
          <w:sz w:val="20"/>
          <w:szCs w:val="20"/>
          <w:lang w:val="pt-BR"/>
        </w:rPr>
        <w:t>ou</w:t>
      </w:r>
      <w:r w:rsidRPr="00337743">
        <w:rPr>
          <w:rFonts w:ascii="Cambria" w:hAnsi="Cambria"/>
          <w:color w:val="000000"/>
          <w:sz w:val="20"/>
          <w:szCs w:val="20"/>
          <w:lang w:val="pt-BR"/>
        </w:rPr>
        <w:t xml:space="preserve"> todas</w:t>
      </w:r>
      <w:r w:rsidR="007707E3" w:rsidRPr="00337743">
        <w:rPr>
          <w:rFonts w:ascii="Cambria" w:hAnsi="Cambria"/>
          <w:color w:val="000000"/>
          <w:sz w:val="20"/>
          <w:szCs w:val="20"/>
          <w:lang w:val="pt-BR"/>
        </w:rPr>
        <w:t xml:space="preserve"> as </w:t>
      </w:r>
      <w:r w:rsidRPr="00337743">
        <w:rPr>
          <w:rFonts w:ascii="Cambria" w:hAnsi="Cambria"/>
          <w:color w:val="000000"/>
          <w:sz w:val="20"/>
          <w:szCs w:val="20"/>
          <w:lang w:val="pt-BR"/>
        </w:rPr>
        <w:t>acusa</w:t>
      </w:r>
      <w:r w:rsidR="00350E7E" w:rsidRPr="00337743">
        <w:rPr>
          <w:rFonts w:ascii="Cambria" w:hAnsi="Cambria"/>
          <w:color w:val="000000"/>
          <w:sz w:val="20"/>
          <w:szCs w:val="20"/>
          <w:lang w:val="pt-BR"/>
        </w:rPr>
        <w:t>ções</w:t>
      </w:r>
      <w:r w:rsidRPr="00337743">
        <w:rPr>
          <w:rFonts w:ascii="Cambria" w:hAnsi="Cambria"/>
          <w:color w:val="000000"/>
          <w:sz w:val="20"/>
          <w:szCs w:val="20"/>
          <w:vertAlign w:val="superscript"/>
          <w:lang w:val="pt-BR"/>
        </w:rPr>
        <w:footnoteReference w:id="55"/>
      </w:r>
      <w:r w:rsidRPr="00337743">
        <w:rPr>
          <w:rFonts w:ascii="Cambria" w:hAnsi="Cambria"/>
          <w:color w:val="000000"/>
          <w:sz w:val="20"/>
          <w:szCs w:val="20"/>
          <w:lang w:val="pt-BR"/>
        </w:rPr>
        <w:t>. Entre 7 de abril de 2003</w:t>
      </w:r>
      <w:r w:rsidR="00506331" w:rsidRPr="00337743">
        <w:rPr>
          <w:rFonts w:ascii="Cambria" w:hAnsi="Cambria"/>
          <w:color w:val="000000"/>
          <w:sz w:val="20"/>
          <w:szCs w:val="20"/>
          <w:lang w:val="pt-BR"/>
        </w:rPr>
        <w:t xml:space="preserve"> e </w:t>
      </w:r>
      <w:r w:rsidRPr="00337743">
        <w:rPr>
          <w:rFonts w:ascii="Cambria" w:hAnsi="Cambria"/>
          <w:color w:val="000000"/>
          <w:sz w:val="20"/>
          <w:szCs w:val="20"/>
          <w:lang w:val="pt-BR"/>
        </w:rPr>
        <w:t xml:space="preserve">27 de </w:t>
      </w:r>
      <w:r w:rsidR="003E7207" w:rsidRPr="00337743">
        <w:rPr>
          <w:rFonts w:ascii="Cambria" w:hAnsi="Cambria"/>
          <w:color w:val="000000"/>
          <w:sz w:val="20"/>
          <w:szCs w:val="20"/>
          <w:lang w:val="pt-BR"/>
        </w:rPr>
        <w:t>julho</w:t>
      </w:r>
      <w:r w:rsidRPr="00337743">
        <w:rPr>
          <w:rFonts w:ascii="Cambria" w:hAnsi="Cambria"/>
          <w:color w:val="000000"/>
          <w:sz w:val="20"/>
          <w:szCs w:val="20"/>
          <w:lang w:val="pt-BR"/>
        </w:rPr>
        <w:t xml:space="preserve"> de 2005, </w:t>
      </w:r>
      <w:r w:rsidR="00FD6942" w:rsidRPr="00337743">
        <w:rPr>
          <w:rFonts w:ascii="Cambria" w:hAnsi="Cambria"/>
          <w:color w:val="000000"/>
          <w:sz w:val="20"/>
          <w:szCs w:val="20"/>
          <w:lang w:val="pt-BR"/>
        </w:rPr>
        <w:t>foram</w:t>
      </w:r>
      <w:r w:rsidR="008C0345" w:rsidRPr="00337743">
        <w:rPr>
          <w:rFonts w:ascii="Cambria" w:hAnsi="Cambria"/>
          <w:color w:val="000000"/>
          <w:sz w:val="20"/>
          <w:szCs w:val="20"/>
          <w:lang w:val="pt-BR"/>
        </w:rPr>
        <w:t xml:space="preserve"> realiza</w:t>
      </w:r>
      <w:r w:rsidR="00FD6942" w:rsidRPr="00337743">
        <w:rPr>
          <w:rFonts w:ascii="Cambria" w:hAnsi="Cambria"/>
          <w:color w:val="000000"/>
          <w:sz w:val="20"/>
          <w:szCs w:val="20"/>
          <w:lang w:val="pt-BR"/>
        </w:rPr>
        <w:t>das</w:t>
      </w:r>
      <w:r w:rsidR="008C0345" w:rsidRPr="00337743">
        <w:rPr>
          <w:rFonts w:ascii="Cambria" w:hAnsi="Cambria"/>
          <w:color w:val="000000"/>
          <w:sz w:val="20"/>
          <w:szCs w:val="20"/>
          <w:lang w:val="pt-BR"/>
        </w:rPr>
        <w:t xml:space="preserve"> cinco </w:t>
      </w:r>
      <w:r w:rsidR="003E7207" w:rsidRPr="00337743">
        <w:rPr>
          <w:rFonts w:ascii="Cambria" w:hAnsi="Cambria"/>
          <w:color w:val="000000"/>
          <w:sz w:val="20"/>
          <w:szCs w:val="20"/>
          <w:lang w:val="pt-BR"/>
        </w:rPr>
        <w:t>audiência</w:t>
      </w:r>
      <w:r w:rsidR="002E0F77" w:rsidRPr="00337743">
        <w:rPr>
          <w:rFonts w:ascii="Cambria" w:hAnsi="Cambria"/>
          <w:color w:val="000000"/>
          <w:sz w:val="20"/>
          <w:szCs w:val="20"/>
          <w:lang w:val="pt-BR"/>
        </w:rPr>
        <w:t>s</w:t>
      </w:r>
      <w:r w:rsidR="00091880" w:rsidRPr="00337743">
        <w:rPr>
          <w:rFonts w:ascii="Cambria" w:hAnsi="Cambria"/>
          <w:color w:val="000000"/>
          <w:sz w:val="20"/>
          <w:szCs w:val="20"/>
          <w:lang w:val="pt-BR"/>
        </w:rPr>
        <w:t xml:space="preserve"> com </w:t>
      </w:r>
      <w:r w:rsidR="002E0F77" w:rsidRPr="00337743">
        <w:rPr>
          <w:rFonts w:ascii="Cambria" w:hAnsi="Cambria"/>
          <w:color w:val="000000"/>
          <w:sz w:val="20"/>
          <w:szCs w:val="20"/>
          <w:lang w:val="pt-BR"/>
        </w:rPr>
        <w:t>test</w:t>
      </w:r>
      <w:r w:rsidR="00FD6942" w:rsidRPr="00337743">
        <w:rPr>
          <w:rFonts w:ascii="Cambria" w:hAnsi="Cambria"/>
          <w:color w:val="000000"/>
          <w:sz w:val="20"/>
          <w:szCs w:val="20"/>
          <w:lang w:val="pt-BR"/>
        </w:rPr>
        <w:t>emunha</w:t>
      </w:r>
      <w:r w:rsidR="002E0F77" w:rsidRPr="00337743">
        <w:rPr>
          <w:rFonts w:ascii="Cambria" w:hAnsi="Cambria"/>
          <w:color w:val="000000"/>
          <w:sz w:val="20"/>
          <w:szCs w:val="20"/>
          <w:lang w:val="pt-BR"/>
        </w:rPr>
        <w:t>s indicad</w:t>
      </w:r>
      <w:r w:rsidR="00FD6942" w:rsidRPr="00337743">
        <w:rPr>
          <w:rFonts w:ascii="Cambria" w:hAnsi="Cambria"/>
          <w:color w:val="000000"/>
          <w:sz w:val="20"/>
          <w:szCs w:val="20"/>
          <w:lang w:val="pt-BR"/>
        </w:rPr>
        <w:t>a</w:t>
      </w:r>
      <w:r w:rsidR="002E0F77" w:rsidRPr="00337743">
        <w:rPr>
          <w:rFonts w:ascii="Cambria" w:hAnsi="Cambria"/>
          <w:color w:val="000000"/>
          <w:sz w:val="20"/>
          <w:szCs w:val="20"/>
          <w:lang w:val="pt-BR"/>
        </w:rPr>
        <w:t>s</w:t>
      </w:r>
      <w:r w:rsidR="00091880" w:rsidRPr="00337743">
        <w:rPr>
          <w:rFonts w:ascii="Cambria" w:hAnsi="Cambria"/>
          <w:color w:val="000000"/>
          <w:sz w:val="20"/>
          <w:szCs w:val="20"/>
          <w:lang w:val="pt-BR"/>
        </w:rPr>
        <w:t xml:space="preserve"> pelo </w:t>
      </w:r>
      <w:r w:rsidR="003E7207" w:rsidRPr="00337743">
        <w:rPr>
          <w:rFonts w:ascii="Cambria" w:hAnsi="Cambria"/>
          <w:color w:val="000000"/>
          <w:sz w:val="20"/>
          <w:szCs w:val="20"/>
          <w:lang w:val="pt-BR"/>
        </w:rPr>
        <w:t>Ministério</w:t>
      </w:r>
      <w:r w:rsidR="002E0F77" w:rsidRPr="00337743">
        <w:rPr>
          <w:rFonts w:ascii="Cambria" w:hAnsi="Cambria"/>
          <w:color w:val="000000"/>
          <w:sz w:val="20"/>
          <w:szCs w:val="20"/>
          <w:lang w:val="pt-BR"/>
        </w:rPr>
        <w:t xml:space="preserve"> Público</w:t>
      </w:r>
      <w:r w:rsidR="00506331" w:rsidRPr="00337743">
        <w:rPr>
          <w:rFonts w:ascii="Cambria" w:hAnsi="Cambria"/>
          <w:color w:val="000000"/>
          <w:sz w:val="20"/>
          <w:szCs w:val="20"/>
          <w:lang w:val="pt-BR"/>
        </w:rPr>
        <w:t xml:space="preserve"> e </w:t>
      </w:r>
      <w:r w:rsidR="00C6641C" w:rsidRPr="00337743">
        <w:rPr>
          <w:rFonts w:ascii="Cambria" w:hAnsi="Cambria"/>
          <w:color w:val="000000"/>
          <w:sz w:val="20"/>
          <w:szCs w:val="20"/>
          <w:lang w:val="pt-BR"/>
        </w:rPr>
        <w:t xml:space="preserve">pela </w:t>
      </w:r>
      <w:r w:rsidR="002E0F77" w:rsidRPr="00337743">
        <w:rPr>
          <w:rFonts w:ascii="Cambria" w:hAnsi="Cambria"/>
          <w:color w:val="000000"/>
          <w:sz w:val="20"/>
          <w:szCs w:val="20"/>
          <w:lang w:val="pt-BR"/>
        </w:rPr>
        <w:t>defesa</w:t>
      </w:r>
      <w:r w:rsidR="007707E3" w:rsidRPr="00337743">
        <w:rPr>
          <w:rFonts w:ascii="Cambria" w:hAnsi="Cambria"/>
          <w:color w:val="000000"/>
          <w:sz w:val="20"/>
          <w:szCs w:val="20"/>
          <w:lang w:val="pt-BR"/>
        </w:rPr>
        <w:t xml:space="preserve"> do </w:t>
      </w:r>
      <w:r w:rsidR="002E0F77" w:rsidRPr="00337743">
        <w:rPr>
          <w:rFonts w:ascii="Cambria" w:hAnsi="Cambria"/>
          <w:color w:val="000000"/>
          <w:sz w:val="20"/>
          <w:szCs w:val="20"/>
          <w:lang w:val="pt-BR"/>
        </w:rPr>
        <w:t>r</w:t>
      </w:r>
      <w:r w:rsidR="00FD6942" w:rsidRPr="00337743">
        <w:rPr>
          <w:rFonts w:ascii="Cambria" w:hAnsi="Cambria"/>
          <w:color w:val="000000"/>
          <w:sz w:val="20"/>
          <w:szCs w:val="20"/>
          <w:lang w:val="pt-BR"/>
        </w:rPr>
        <w:t>éu</w:t>
      </w:r>
      <w:r w:rsidR="002E0F77" w:rsidRPr="00337743">
        <w:rPr>
          <w:rFonts w:ascii="Cambria" w:hAnsi="Cambria"/>
          <w:color w:val="000000"/>
          <w:sz w:val="20"/>
          <w:szCs w:val="20"/>
          <w:vertAlign w:val="superscript"/>
          <w:lang w:val="pt-BR"/>
        </w:rPr>
        <w:footnoteReference w:id="56"/>
      </w:r>
      <w:r w:rsidR="002E0F77" w:rsidRPr="00337743">
        <w:rPr>
          <w:rFonts w:ascii="Cambria" w:hAnsi="Cambria"/>
          <w:color w:val="000000"/>
          <w:sz w:val="20"/>
          <w:szCs w:val="20"/>
          <w:lang w:val="pt-BR"/>
        </w:rPr>
        <w:t xml:space="preserve">, </w:t>
      </w:r>
      <w:r w:rsidR="00FD6942" w:rsidRPr="00337743">
        <w:rPr>
          <w:rFonts w:ascii="Cambria" w:hAnsi="Cambria"/>
          <w:color w:val="000000"/>
          <w:sz w:val="20"/>
          <w:szCs w:val="20"/>
          <w:lang w:val="pt-BR"/>
        </w:rPr>
        <w:t>mas</w:t>
      </w:r>
      <w:r w:rsidR="002E0F77" w:rsidRPr="00337743">
        <w:rPr>
          <w:rFonts w:ascii="Cambria" w:hAnsi="Cambria"/>
          <w:color w:val="000000"/>
          <w:sz w:val="20"/>
          <w:szCs w:val="20"/>
          <w:lang w:val="pt-BR"/>
        </w:rPr>
        <w:t xml:space="preserve"> h</w:t>
      </w:r>
      <w:r w:rsidR="00FD6942" w:rsidRPr="00337743">
        <w:rPr>
          <w:rFonts w:ascii="Cambria" w:hAnsi="Cambria"/>
          <w:color w:val="000000"/>
          <w:sz w:val="20"/>
          <w:szCs w:val="20"/>
          <w:lang w:val="pt-BR"/>
        </w:rPr>
        <w:t>ouve</w:t>
      </w:r>
      <w:r w:rsidR="002E0F77" w:rsidRPr="00337743">
        <w:rPr>
          <w:rFonts w:ascii="Cambria" w:hAnsi="Cambria"/>
          <w:color w:val="000000"/>
          <w:sz w:val="20"/>
          <w:szCs w:val="20"/>
          <w:lang w:val="pt-BR"/>
        </w:rPr>
        <w:t xml:space="preserve"> </w:t>
      </w:r>
      <w:r w:rsidR="00FD6942" w:rsidRPr="00337743">
        <w:rPr>
          <w:rFonts w:ascii="Cambria" w:hAnsi="Cambria"/>
          <w:color w:val="000000"/>
          <w:sz w:val="20"/>
          <w:szCs w:val="20"/>
          <w:lang w:val="pt-BR"/>
        </w:rPr>
        <w:t>a</w:t>
      </w:r>
      <w:r w:rsidR="002E0F77" w:rsidRPr="00337743">
        <w:rPr>
          <w:rFonts w:ascii="Cambria" w:hAnsi="Cambria"/>
          <w:color w:val="000000"/>
          <w:sz w:val="20"/>
          <w:szCs w:val="20"/>
          <w:lang w:val="pt-BR"/>
        </w:rPr>
        <w:t>traso</w:t>
      </w:r>
      <w:r w:rsidR="00091880" w:rsidRPr="00337743">
        <w:rPr>
          <w:rFonts w:ascii="Cambria" w:hAnsi="Cambria"/>
          <w:color w:val="000000"/>
          <w:sz w:val="20"/>
          <w:szCs w:val="20"/>
          <w:lang w:val="pt-BR"/>
        </w:rPr>
        <w:t xml:space="preserve"> em </w:t>
      </w:r>
      <w:r w:rsidR="002E0F77" w:rsidRPr="00337743">
        <w:rPr>
          <w:rFonts w:ascii="Cambria" w:hAnsi="Cambria"/>
          <w:color w:val="000000"/>
          <w:sz w:val="20"/>
          <w:szCs w:val="20"/>
          <w:lang w:val="pt-BR"/>
        </w:rPr>
        <w:t>fun</w:t>
      </w:r>
      <w:r w:rsidR="00350E7E" w:rsidRPr="00337743">
        <w:rPr>
          <w:rFonts w:ascii="Cambria" w:hAnsi="Cambria"/>
          <w:color w:val="000000"/>
          <w:sz w:val="20"/>
          <w:szCs w:val="20"/>
          <w:lang w:val="pt-BR"/>
        </w:rPr>
        <w:t>ção</w:t>
      </w:r>
      <w:r w:rsidR="002E0F77" w:rsidRPr="00337743">
        <w:rPr>
          <w:rFonts w:ascii="Cambria" w:hAnsi="Cambria"/>
          <w:color w:val="000000"/>
          <w:sz w:val="20"/>
          <w:szCs w:val="20"/>
          <w:lang w:val="pt-BR"/>
        </w:rPr>
        <w:t xml:space="preserve"> de </w:t>
      </w:r>
      <w:r w:rsidR="009F15B8" w:rsidRPr="00337743">
        <w:rPr>
          <w:rFonts w:ascii="Cambria" w:hAnsi="Cambria"/>
          <w:color w:val="000000"/>
          <w:sz w:val="20"/>
          <w:szCs w:val="20"/>
          <w:lang w:val="pt-BR"/>
        </w:rPr>
        <w:t>prorrogações</w:t>
      </w:r>
      <w:r w:rsidR="002E0F77" w:rsidRPr="00337743">
        <w:rPr>
          <w:rFonts w:ascii="Cambria" w:hAnsi="Cambria"/>
          <w:color w:val="000000"/>
          <w:sz w:val="20"/>
          <w:szCs w:val="20"/>
          <w:lang w:val="pt-BR"/>
        </w:rPr>
        <w:t xml:space="preserve"> </w:t>
      </w:r>
      <w:r w:rsidR="0098217D" w:rsidRPr="00337743">
        <w:rPr>
          <w:rFonts w:ascii="Cambria" w:hAnsi="Cambria"/>
          <w:color w:val="000000"/>
          <w:sz w:val="20"/>
          <w:szCs w:val="20"/>
          <w:lang w:val="pt-BR"/>
        </w:rPr>
        <w:t>solicitadas</w:t>
      </w:r>
      <w:r w:rsidR="00C6641C" w:rsidRPr="00337743">
        <w:rPr>
          <w:rFonts w:ascii="Cambria" w:hAnsi="Cambria"/>
          <w:color w:val="000000"/>
          <w:sz w:val="20"/>
          <w:szCs w:val="20"/>
          <w:lang w:val="pt-BR"/>
        </w:rPr>
        <w:t xml:space="preserve"> pela </w:t>
      </w:r>
      <w:r w:rsidR="002E0F77" w:rsidRPr="00337743">
        <w:rPr>
          <w:rFonts w:ascii="Cambria" w:hAnsi="Cambria"/>
          <w:color w:val="000000"/>
          <w:sz w:val="20"/>
          <w:szCs w:val="20"/>
          <w:lang w:val="pt-BR"/>
        </w:rPr>
        <w:t>defesa</w:t>
      </w:r>
      <w:r w:rsidR="00605068" w:rsidRPr="00337743">
        <w:rPr>
          <w:rFonts w:ascii="Cambria" w:hAnsi="Cambria"/>
          <w:color w:val="000000"/>
          <w:sz w:val="20"/>
          <w:szCs w:val="20"/>
          <w:vertAlign w:val="superscript"/>
          <w:lang w:val="pt-BR"/>
        </w:rPr>
        <w:footnoteReference w:id="57"/>
      </w:r>
      <w:r w:rsidR="00605068" w:rsidRPr="00337743">
        <w:rPr>
          <w:rFonts w:ascii="Cambria" w:hAnsi="Cambria"/>
          <w:color w:val="000000"/>
          <w:sz w:val="20"/>
          <w:szCs w:val="20"/>
          <w:lang w:val="pt-BR"/>
        </w:rPr>
        <w:t>.</w:t>
      </w:r>
    </w:p>
    <w:p w14:paraId="6523A847" w14:textId="77777777" w:rsidR="00DB7EC9" w:rsidRPr="00337743" w:rsidRDefault="00DB7EC9" w:rsidP="000D6F2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color w:val="000000"/>
          <w:sz w:val="20"/>
          <w:szCs w:val="20"/>
          <w:lang w:val="pt-BR"/>
        </w:rPr>
      </w:pPr>
    </w:p>
    <w:p w14:paraId="23FBA16F" w14:textId="77777777" w:rsidR="00EF6036" w:rsidRPr="00337743" w:rsidRDefault="002B6457" w:rsidP="00EF603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E</w:t>
      </w:r>
      <w:r w:rsidR="003E7207" w:rsidRPr="00337743">
        <w:rPr>
          <w:rFonts w:ascii="Cambria" w:hAnsi="Cambria"/>
          <w:color w:val="000000"/>
          <w:sz w:val="20"/>
          <w:szCs w:val="20"/>
          <w:lang w:val="pt-BR"/>
        </w:rPr>
        <w:t>m</w:t>
      </w:r>
      <w:r w:rsidRPr="00337743">
        <w:rPr>
          <w:rFonts w:ascii="Cambria" w:hAnsi="Cambria"/>
          <w:color w:val="000000"/>
          <w:sz w:val="20"/>
          <w:szCs w:val="20"/>
          <w:lang w:val="pt-BR"/>
        </w:rPr>
        <w:t xml:space="preserve"> 28 de </w:t>
      </w:r>
      <w:r w:rsidR="00A97ED4" w:rsidRPr="00337743">
        <w:rPr>
          <w:rFonts w:ascii="Cambria" w:hAnsi="Cambria"/>
          <w:color w:val="000000"/>
          <w:sz w:val="20"/>
          <w:szCs w:val="20"/>
          <w:lang w:val="pt-BR"/>
        </w:rPr>
        <w:t>junho</w:t>
      </w:r>
      <w:r w:rsidRPr="00337743">
        <w:rPr>
          <w:rFonts w:ascii="Cambria" w:hAnsi="Cambria"/>
          <w:color w:val="000000"/>
          <w:sz w:val="20"/>
          <w:szCs w:val="20"/>
          <w:lang w:val="pt-BR"/>
        </w:rPr>
        <w:t xml:space="preserve"> de 2005,</w:t>
      </w:r>
      <w:r w:rsidR="00506331" w:rsidRPr="00337743">
        <w:rPr>
          <w:rFonts w:ascii="Cambria" w:hAnsi="Cambria"/>
          <w:color w:val="000000"/>
          <w:sz w:val="20"/>
          <w:szCs w:val="20"/>
          <w:lang w:val="pt-BR"/>
        </w:rPr>
        <w:t xml:space="preserve"> o </w:t>
      </w:r>
      <w:r w:rsidR="003E7207" w:rsidRPr="00337743">
        <w:rPr>
          <w:rFonts w:ascii="Cambria" w:hAnsi="Cambria"/>
          <w:color w:val="000000"/>
          <w:sz w:val="20"/>
          <w:szCs w:val="20"/>
          <w:lang w:val="pt-BR"/>
        </w:rPr>
        <w:t>Ministério</w:t>
      </w:r>
      <w:r w:rsidRPr="00337743">
        <w:rPr>
          <w:rFonts w:ascii="Cambria" w:hAnsi="Cambria"/>
          <w:color w:val="000000"/>
          <w:sz w:val="20"/>
          <w:szCs w:val="20"/>
          <w:lang w:val="pt-BR"/>
        </w:rPr>
        <w:t xml:space="preserve"> Público </w:t>
      </w:r>
      <w:r w:rsidR="00FD6942" w:rsidRPr="00337743">
        <w:rPr>
          <w:rFonts w:ascii="Cambria" w:hAnsi="Cambria"/>
          <w:color w:val="000000"/>
          <w:sz w:val="20"/>
          <w:szCs w:val="20"/>
          <w:lang w:val="pt-BR"/>
        </w:rPr>
        <w:t>a</w:t>
      </w:r>
      <w:r w:rsidRPr="00337743">
        <w:rPr>
          <w:rFonts w:ascii="Cambria" w:hAnsi="Cambria"/>
          <w:color w:val="000000"/>
          <w:sz w:val="20"/>
          <w:szCs w:val="20"/>
          <w:lang w:val="pt-BR"/>
        </w:rPr>
        <w:t>present</w:t>
      </w:r>
      <w:r w:rsidR="00FD6942" w:rsidRPr="00337743">
        <w:rPr>
          <w:rFonts w:ascii="Cambria" w:hAnsi="Cambria"/>
          <w:color w:val="000000"/>
          <w:sz w:val="20"/>
          <w:szCs w:val="20"/>
          <w:lang w:val="pt-BR"/>
        </w:rPr>
        <w:t>ou</w:t>
      </w:r>
      <w:r w:rsidRPr="00337743">
        <w:rPr>
          <w:rFonts w:ascii="Cambria" w:hAnsi="Cambria"/>
          <w:color w:val="000000"/>
          <w:sz w:val="20"/>
          <w:szCs w:val="20"/>
          <w:lang w:val="pt-BR"/>
        </w:rPr>
        <w:t xml:space="preserve"> sus alega</w:t>
      </w:r>
      <w:r w:rsidR="00350E7E" w:rsidRPr="00337743">
        <w:rPr>
          <w:rFonts w:ascii="Cambria" w:hAnsi="Cambria"/>
          <w:color w:val="000000"/>
          <w:sz w:val="20"/>
          <w:szCs w:val="20"/>
          <w:lang w:val="pt-BR"/>
        </w:rPr>
        <w:t>ções</w:t>
      </w:r>
      <w:r w:rsidR="00034407" w:rsidRPr="00337743">
        <w:rPr>
          <w:rFonts w:ascii="Cambria" w:hAnsi="Cambria"/>
          <w:color w:val="000000"/>
          <w:sz w:val="20"/>
          <w:szCs w:val="20"/>
          <w:vertAlign w:val="superscript"/>
          <w:lang w:val="pt-BR"/>
        </w:rPr>
        <w:footnoteReference w:id="58"/>
      </w:r>
      <w:r w:rsidR="00034407"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FD6942"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1</w:t>
      </w:r>
      <w:r w:rsidR="002731A2" w:rsidRPr="00337743">
        <w:rPr>
          <w:rFonts w:ascii="Cambria" w:hAnsi="Cambria"/>
          <w:color w:val="000000"/>
          <w:sz w:val="20"/>
          <w:szCs w:val="20"/>
          <w:lang w:val="pt-BR"/>
        </w:rPr>
        <w:t>º</w:t>
      </w:r>
      <w:r w:rsidRPr="00337743">
        <w:rPr>
          <w:rFonts w:ascii="Cambria" w:hAnsi="Cambria"/>
          <w:color w:val="000000"/>
          <w:sz w:val="20"/>
          <w:szCs w:val="20"/>
          <w:lang w:val="pt-BR"/>
        </w:rPr>
        <w:t xml:space="preserve"> de </w:t>
      </w:r>
      <w:r w:rsidR="003E7207" w:rsidRPr="00337743">
        <w:rPr>
          <w:rFonts w:ascii="Cambria" w:hAnsi="Cambria"/>
          <w:color w:val="000000"/>
          <w:sz w:val="20"/>
          <w:szCs w:val="20"/>
          <w:lang w:val="pt-BR"/>
        </w:rPr>
        <w:t>julho</w:t>
      </w:r>
      <w:r w:rsidRPr="00337743">
        <w:rPr>
          <w:rFonts w:ascii="Cambria" w:hAnsi="Cambria"/>
          <w:color w:val="000000"/>
          <w:sz w:val="20"/>
          <w:szCs w:val="20"/>
          <w:lang w:val="pt-BR"/>
        </w:rPr>
        <w:t xml:space="preserve"> de 2005,</w:t>
      </w:r>
      <w:r w:rsidR="007707E3" w:rsidRPr="00337743">
        <w:rPr>
          <w:rFonts w:ascii="Cambria" w:hAnsi="Cambria"/>
          <w:color w:val="000000"/>
          <w:sz w:val="20"/>
          <w:szCs w:val="20"/>
          <w:lang w:val="pt-BR"/>
        </w:rPr>
        <w:t xml:space="preserve"> os </w:t>
      </w:r>
      <w:r w:rsidR="00FD6942" w:rsidRPr="00337743">
        <w:rPr>
          <w:rFonts w:ascii="Cambria" w:hAnsi="Cambria"/>
          <w:color w:val="000000"/>
          <w:sz w:val="20"/>
          <w:szCs w:val="20"/>
          <w:lang w:val="pt-BR"/>
        </w:rPr>
        <w:t>advog</w:t>
      </w:r>
      <w:r w:rsidRPr="00337743">
        <w:rPr>
          <w:rFonts w:ascii="Cambria" w:hAnsi="Cambria"/>
          <w:color w:val="000000"/>
          <w:sz w:val="20"/>
          <w:szCs w:val="20"/>
          <w:lang w:val="pt-BR"/>
        </w:rPr>
        <w:t>ados</w:t>
      </w:r>
      <w:r w:rsidR="007707E3" w:rsidRPr="00337743">
        <w:rPr>
          <w:rFonts w:ascii="Cambria" w:hAnsi="Cambria"/>
          <w:color w:val="000000"/>
          <w:sz w:val="20"/>
          <w:szCs w:val="20"/>
          <w:lang w:val="pt-BR"/>
        </w:rPr>
        <w:t xml:space="preserve"> do</w:t>
      </w:r>
      <w:r w:rsidR="00FD6942" w:rsidRPr="00337743">
        <w:rPr>
          <w:rFonts w:ascii="Cambria" w:hAnsi="Cambria"/>
          <w:color w:val="000000"/>
          <w:sz w:val="20"/>
          <w:szCs w:val="20"/>
          <w:lang w:val="pt-BR"/>
        </w:rPr>
        <w:t xml:space="preserve"> réu </w:t>
      </w:r>
      <w:r w:rsidRPr="00337743">
        <w:rPr>
          <w:rFonts w:ascii="Cambria" w:hAnsi="Cambria"/>
          <w:color w:val="000000"/>
          <w:sz w:val="20"/>
          <w:szCs w:val="20"/>
          <w:lang w:val="pt-BR"/>
        </w:rPr>
        <w:t>p</w:t>
      </w:r>
      <w:r w:rsidR="00336B6F" w:rsidRPr="00337743">
        <w:rPr>
          <w:rFonts w:ascii="Cambria" w:hAnsi="Cambria"/>
          <w:color w:val="000000"/>
          <w:sz w:val="20"/>
          <w:szCs w:val="20"/>
          <w:lang w:val="pt-BR"/>
        </w:rPr>
        <w:t>e</w:t>
      </w:r>
      <w:r w:rsidRPr="00337743">
        <w:rPr>
          <w:rFonts w:ascii="Cambria" w:hAnsi="Cambria"/>
          <w:color w:val="000000"/>
          <w:sz w:val="20"/>
          <w:szCs w:val="20"/>
          <w:lang w:val="pt-BR"/>
        </w:rPr>
        <w:t>di</w:t>
      </w:r>
      <w:r w:rsidR="00336B6F" w:rsidRPr="00337743">
        <w:rPr>
          <w:rFonts w:ascii="Cambria" w:hAnsi="Cambria"/>
          <w:color w:val="000000"/>
          <w:sz w:val="20"/>
          <w:szCs w:val="20"/>
          <w:lang w:val="pt-BR"/>
        </w:rPr>
        <w:t>ram</w:t>
      </w:r>
      <w:r w:rsidRPr="00337743">
        <w:rPr>
          <w:rFonts w:ascii="Cambria" w:hAnsi="Cambria"/>
          <w:color w:val="000000"/>
          <w:sz w:val="20"/>
          <w:szCs w:val="20"/>
          <w:lang w:val="pt-BR"/>
        </w:rPr>
        <w:t xml:space="preserve"> que</w:t>
      </w:r>
      <w:r w:rsidR="00506331" w:rsidRPr="00337743">
        <w:rPr>
          <w:rFonts w:ascii="Cambria" w:hAnsi="Cambria"/>
          <w:color w:val="000000"/>
          <w:sz w:val="20"/>
          <w:szCs w:val="20"/>
          <w:lang w:val="pt-BR"/>
        </w:rPr>
        <w:t xml:space="preserve"> o </w:t>
      </w:r>
      <w:r w:rsidR="003E7207" w:rsidRPr="00337743">
        <w:rPr>
          <w:rFonts w:ascii="Cambria" w:hAnsi="Cambria"/>
          <w:color w:val="000000"/>
          <w:sz w:val="20"/>
          <w:szCs w:val="20"/>
          <w:lang w:val="pt-BR"/>
        </w:rPr>
        <w:t>Juiz</w:t>
      </w:r>
      <w:r w:rsidRPr="00337743">
        <w:rPr>
          <w:rFonts w:ascii="Cambria" w:hAnsi="Cambria"/>
          <w:color w:val="000000"/>
          <w:sz w:val="20"/>
          <w:szCs w:val="20"/>
          <w:lang w:val="pt-BR"/>
        </w:rPr>
        <w:t xml:space="preserve"> aguarda</w:t>
      </w:r>
      <w:r w:rsidR="00336B6F" w:rsidRPr="00337743">
        <w:rPr>
          <w:rFonts w:ascii="Cambria" w:hAnsi="Cambria"/>
          <w:color w:val="000000"/>
          <w:sz w:val="20"/>
          <w:szCs w:val="20"/>
          <w:lang w:val="pt-BR"/>
        </w:rPr>
        <w:t>sse</w:t>
      </w:r>
      <w:r w:rsidR="00506331" w:rsidRPr="00337743">
        <w:rPr>
          <w:rFonts w:ascii="Cambria" w:hAnsi="Cambria"/>
          <w:color w:val="000000"/>
          <w:sz w:val="20"/>
          <w:szCs w:val="20"/>
          <w:lang w:val="pt-BR"/>
        </w:rPr>
        <w:t xml:space="preserve"> o </w:t>
      </w:r>
      <w:r w:rsidR="00A97ED4" w:rsidRPr="00337743">
        <w:rPr>
          <w:rFonts w:ascii="Cambria" w:hAnsi="Cambria"/>
          <w:color w:val="000000"/>
          <w:sz w:val="20"/>
          <w:szCs w:val="20"/>
          <w:lang w:val="pt-BR"/>
        </w:rPr>
        <w:t>cumprimento</w:t>
      </w:r>
      <w:r w:rsidR="007707E3" w:rsidRPr="00337743">
        <w:rPr>
          <w:rFonts w:ascii="Cambria" w:hAnsi="Cambria"/>
          <w:color w:val="000000"/>
          <w:sz w:val="20"/>
          <w:szCs w:val="20"/>
          <w:lang w:val="pt-BR"/>
        </w:rPr>
        <w:t xml:space="preserve"> da </w:t>
      </w:r>
      <w:r w:rsidRPr="00337743">
        <w:rPr>
          <w:rFonts w:ascii="Cambria" w:hAnsi="Cambria"/>
          <w:color w:val="000000"/>
          <w:sz w:val="20"/>
          <w:szCs w:val="20"/>
          <w:lang w:val="pt-BR"/>
        </w:rPr>
        <w:t xml:space="preserve">carta </w:t>
      </w:r>
      <w:r w:rsidR="006234FC" w:rsidRPr="00337743">
        <w:rPr>
          <w:rFonts w:ascii="Cambria" w:hAnsi="Cambria"/>
          <w:color w:val="000000"/>
          <w:sz w:val="20"/>
          <w:szCs w:val="20"/>
          <w:lang w:val="pt-BR"/>
        </w:rPr>
        <w:t>precatória</w:t>
      </w:r>
      <w:r w:rsidR="00034407"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a </w:t>
      </w:r>
      <w:r w:rsidRPr="00337743">
        <w:rPr>
          <w:rFonts w:ascii="Cambria" w:hAnsi="Cambria"/>
          <w:color w:val="000000"/>
          <w:sz w:val="20"/>
          <w:szCs w:val="20"/>
          <w:lang w:val="pt-BR"/>
        </w:rPr>
        <w:t>peti</w:t>
      </w:r>
      <w:r w:rsidR="00350E7E" w:rsidRPr="00337743">
        <w:rPr>
          <w:rFonts w:ascii="Cambria" w:hAnsi="Cambria"/>
          <w:color w:val="000000"/>
          <w:sz w:val="20"/>
          <w:szCs w:val="20"/>
          <w:lang w:val="pt-BR"/>
        </w:rPr>
        <w:t>ção</w:t>
      </w:r>
      <w:r w:rsidR="00091880" w:rsidRPr="00337743">
        <w:rPr>
          <w:rFonts w:ascii="Cambria" w:hAnsi="Cambria"/>
          <w:color w:val="000000"/>
          <w:sz w:val="20"/>
          <w:szCs w:val="20"/>
          <w:lang w:val="pt-BR"/>
        </w:rPr>
        <w:t xml:space="preserve"> foi </w:t>
      </w:r>
      <w:r w:rsidRPr="00337743">
        <w:rPr>
          <w:rFonts w:ascii="Cambria" w:hAnsi="Cambria"/>
          <w:color w:val="000000"/>
          <w:sz w:val="20"/>
          <w:szCs w:val="20"/>
          <w:lang w:val="pt-BR"/>
        </w:rPr>
        <w:t>re</w:t>
      </w:r>
      <w:r w:rsidR="00336B6F" w:rsidRPr="00337743">
        <w:rPr>
          <w:rFonts w:ascii="Cambria" w:hAnsi="Cambria"/>
          <w:color w:val="000000"/>
          <w:sz w:val="20"/>
          <w:szCs w:val="20"/>
          <w:lang w:val="pt-BR"/>
        </w:rPr>
        <w:t>jeit</w:t>
      </w:r>
      <w:r w:rsidRPr="00337743">
        <w:rPr>
          <w:rFonts w:ascii="Cambria" w:hAnsi="Cambria"/>
          <w:color w:val="000000"/>
          <w:sz w:val="20"/>
          <w:szCs w:val="20"/>
          <w:lang w:val="pt-BR"/>
        </w:rPr>
        <w:t>ada</w:t>
      </w:r>
      <w:r w:rsidR="00034407" w:rsidRPr="00337743">
        <w:rPr>
          <w:rFonts w:ascii="Cambria" w:hAnsi="Cambria"/>
          <w:color w:val="000000"/>
          <w:sz w:val="20"/>
          <w:szCs w:val="20"/>
          <w:vertAlign w:val="superscript"/>
          <w:lang w:val="pt-BR"/>
        </w:rPr>
        <w:footnoteReference w:id="59"/>
      </w:r>
      <w:r w:rsidR="00034407" w:rsidRPr="00337743">
        <w:rPr>
          <w:rFonts w:ascii="Cambria" w:hAnsi="Cambria"/>
          <w:color w:val="000000"/>
          <w:sz w:val="20"/>
          <w:szCs w:val="20"/>
          <w:lang w:val="pt-BR"/>
        </w:rPr>
        <w:t>.</w:t>
      </w:r>
      <w:r w:rsidR="007707E3" w:rsidRPr="00337743">
        <w:rPr>
          <w:rFonts w:ascii="Cambria" w:hAnsi="Cambria"/>
          <w:color w:val="000000"/>
          <w:sz w:val="20"/>
          <w:szCs w:val="20"/>
          <w:lang w:val="pt-BR"/>
        </w:rPr>
        <w:t xml:space="preserve"> </w:t>
      </w:r>
      <w:r w:rsidR="00336B6F" w:rsidRPr="00337743">
        <w:rPr>
          <w:rFonts w:ascii="Cambria" w:hAnsi="Cambria"/>
          <w:color w:val="000000"/>
          <w:sz w:val="20"/>
          <w:szCs w:val="20"/>
          <w:lang w:val="pt-BR"/>
        </w:rPr>
        <w:t>O</w:t>
      </w:r>
      <w:r w:rsidR="007707E3" w:rsidRPr="00337743">
        <w:rPr>
          <w:rFonts w:ascii="Cambria" w:hAnsi="Cambria"/>
          <w:color w:val="000000"/>
          <w:sz w:val="20"/>
          <w:szCs w:val="20"/>
          <w:lang w:val="pt-BR"/>
        </w:rPr>
        <w:t xml:space="preserve">s </w:t>
      </w:r>
      <w:r w:rsidR="00FD6942" w:rsidRPr="00337743">
        <w:rPr>
          <w:rFonts w:ascii="Cambria" w:hAnsi="Cambria"/>
          <w:color w:val="000000"/>
          <w:sz w:val="20"/>
          <w:szCs w:val="20"/>
          <w:lang w:val="pt-BR"/>
        </w:rPr>
        <w:t>advog</w:t>
      </w:r>
      <w:r w:rsidRPr="00337743">
        <w:rPr>
          <w:rFonts w:ascii="Cambria" w:hAnsi="Cambria"/>
          <w:color w:val="000000"/>
          <w:sz w:val="20"/>
          <w:szCs w:val="20"/>
          <w:lang w:val="pt-BR"/>
        </w:rPr>
        <w:t xml:space="preserve">ados </w:t>
      </w:r>
      <w:r w:rsidR="00094ACE" w:rsidRPr="00337743">
        <w:rPr>
          <w:rFonts w:ascii="Cambria" w:hAnsi="Cambria"/>
          <w:color w:val="000000"/>
          <w:sz w:val="20"/>
          <w:szCs w:val="20"/>
          <w:lang w:val="pt-BR"/>
        </w:rPr>
        <w:t xml:space="preserve">de </w:t>
      </w:r>
      <w:r w:rsidR="00894152" w:rsidRPr="00337743">
        <w:rPr>
          <w:rFonts w:ascii="Cambria" w:hAnsi="Cambria"/>
          <w:color w:val="000000"/>
          <w:sz w:val="20"/>
          <w:szCs w:val="20"/>
          <w:lang w:val="pt-BR"/>
        </w:rPr>
        <w:t>defesa</w:t>
      </w:r>
      <w:r w:rsidR="00094ACE" w:rsidRPr="00337743">
        <w:rPr>
          <w:rFonts w:ascii="Cambria" w:hAnsi="Cambria"/>
          <w:color w:val="000000"/>
          <w:sz w:val="20"/>
          <w:szCs w:val="20"/>
          <w:lang w:val="pt-BR"/>
        </w:rPr>
        <w:t xml:space="preserve"> </w:t>
      </w:r>
      <w:r w:rsidR="00A97ED4" w:rsidRPr="00337743">
        <w:rPr>
          <w:rFonts w:ascii="Cambria" w:hAnsi="Cambria"/>
          <w:color w:val="000000"/>
          <w:sz w:val="20"/>
          <w:szCs w:val="20"/>
          <w:lang w:val="pt-BR"/>
        </w:rPr>
        <w:t>apresentaram</w:t>
      </w:r>
      <w:r w:rsidRPr="00337743">
        <w:rPr>
          <w:rFonts w:ascii="Cambria" w:hAnsi="Cambria"/>
          <w:color w:val="000000"/>
          <w:sz w:val="20"/>
          <w:szCs w:val="20"/>
          <w:lang w:val="pt-BR"/>
        </w:rPr>
        <w:t xml:space="preserve"> su</w:t>
      </w:r>
      <w:r w:rsidR="00336B6F" w:rsidRPr="00337743">
        <w:rPr>
          <w:rFonts w:ascii="Cambria" w:hAnsi="Cambria"/>
          <w:color w:val="000000"/>
          <w:sz w:val="20"/>
          <w:szCs w:val="20"/>
          <w:lang w:val="pt-BR"/>
        </w:rPr>
        <w:t>a</w:t>
      </w:r>
      <w:r w:rsidRPr="00337743">
        <w:rPr>
          <w:rFonts w:ascii="Cambria" w:hAnsi="Cambria"/>
          <w:color w:val="000000"/>
          <w:sz w:val="20"/>
          <w:szCs w:val="20"/>
          <w:lang w:val="pt-BR"/>
        </w:rPr>
        <w:t xml:space="preserve">s </w:t>
      </w:r>
      <w:r w:rsidR="00094ACE" w:rsidRPr="00337743">
        <w:rPr>
          <w:rFonts w:ascii="Cambria" w:hAnsi="Cambria"/>
          <w:color w:val="000000"/>
          <w:sz w:val="20"/>
          <w:szCs w:val="20"/>
          <w:lang w:val="pt-BR"/>
        </w:rPr>
        <w:t>alega</w:t>
      </w:r>
      <w:r w:rsidR="00336B6F" w:rsidRPr="00337743">
        <w:rPr>
          <w:rFonts w:ascii="Cambria" w:hAnsi="Cambria"/>
          <w:color w:val="000000"/>
          <w:sz w:val="20"/>
          <w:szCs w:val="20"/>
          <w:lang w:val="pt-BR"/>
        </w:rPr>
        <w:t>çõe</w:t>
      </w:r>
      <w:r w:rsidR="00094ACE" w:rsidRPr="00337743">
        <w:rPr>
          <w:rFonts w:ascii="Cambria" w:hAnsi="Cambria"/>
          <w:color w:val="000000"/>
          <w:sz w:val="20"/>
          <w:szCs w:val="20"/>
          <w:lang w:val="pt-BR"/>
        </w:rPr>
        <w:t>s</w:t>
      </w:r>
      <w:r w:rsidRPr="00337743">
        <w:rPr>
          <w:rFonts w:ascii="Cambria" w:hAnsi="Cambria"/>
          <w:color w:val="000000"/>
          <w:sz w:val="20"/>
          <w:szCs w:val="20"/>
          <w:lang w:val="pt-BR"/>
        </w:rPr>
        <w:t xml:space="preserve"> fin</w:t>
      </w:r>
      <w:r w:rsidR="007707E3" w:rsidRPr="00337743">
        <w:rPr>
          <w:rFonts w:ascii="Cambria" w:hAnsi="Cambria"/>
          <w:color w:val="000000"/>
          <w:sz w:val="20"/>
          <w:szCs w:val="20"/>
          <w:lang w:val="pt-BR"/>
        </w:rPr>
        <w:t>ais</w:t>
      </w:r>
      <w:r w:rsidR="00506331" w:rsidRPr="00337743">
        <w:rPr>
          <w:rFonts w:ascii="Cambria" w:hAnsi="Cambria"/>
          <w:color w:val="000000"/>
          <w:sz w:val="20"/>
          <w:szCs w:val="20"/>
          <w:lang w:val="pt-BR"/>
        </w:rPr>
        <w:t xml:space="preserve"> </w:t>
      </w:r>
      <w:r w:rsidR="00336B6F"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18 de </w:t>
      </w:r>
      <w:r w:rsidR="003E7207" w:rsidRPr="00337743">
        <w:rPr>
          <w:rFonts w:ascii="Cambria" w:hAnsi="Cambria"/>
          <w:color w:val="000000"/>
          <w:sz w:val="20"/>
          <w:szCs w:val="20"/>
          <w:lang w:val="pt-BR"/>
        </w:rPr>
        <w:t>julho</w:t>
      </w:r>
      <w:r w:rsidRPr="00337743">
        <w:rPr>
          <w:rFonts w:ascii="Cambria" w:hAnsi="Cambria"/>
          <w:color w:val="000000"/>
          <w:sz w:val="20"/>
          <w:szCs w:val="20"/>
          <w:lang w:val="pt-BR"/>
        </w:rPr>
        <w:t xml:space="preserve"> de 2005</w:t>
      </w:r>
      <w:r w:rsidR="00034407" w:rsidRPr="00337743">
        <w:rPr>
          <w:rFonts w:ascii="Cambria" w:hAnsi="Cambria"/>
          <w:color w:val="000000"/>
          <w:sz w:val="20"/>
          <w:szCs w:val="20"/>
          <w:vertAlign w:val="superscript"/>
          <w:lang w:val="pt-BR"/>
        </w:rPr>
        <w:footnoteReference w:id="60"/>
      </w:r>
      <w:r w:rsidR="00034407"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336B6F" w:rsidRPr="00337743">
        <w:rPr>
          <w:rFonts w:ascii="Cambria" w:hAnsi="Cambria"/>
          <w:color w:val="000000"/>
          <w:sz w:val="20"/>
          <w:szCs w:val="20"/>
          <w:lang w:val="pt-BR"/>
        </w:rPr>
        <w:t>F</w:t>
      </w:r>
      <w:r w:rsidR="00091880" w:rsidRPr="00337743">
        <w:rPr>
          <w:rFonts w:ascii="Cambria" w:hAnsi="Cambria"/>
          <w:color w:val="000000"/>
          <w:sz w:val="20"/>
          <w:szCs w:val="20"/>
          <w:lang w:val="pt-BR"/>
        </w:rPr>
        <w:t xml:space="preserve">oi </w:t>
      </w:r>
      <w:r w:rsidR="00A97ED4" w:rsidRPr="00337743">
        <w:rPr>
          <w:rFonts w:ascii="Cambria" w:hAnsi="Cambria"/>
          <w:color w:val="000000"/>
          <w:sz w:val="20"/>
          <w:szCs w:val="20"/>
          <w:lang w:val="pt-BR"/>
        </w:rPr>
        <w:t>nesse</w:t>
      </w:r>
      <w:r w:rsidR="00D13CF5" w:rsidRPr="00337743">
        <w:rPr>
          <w:rFonts w:ascii="Cambria" w:hAnsi="Cambria"/>
          <w:color w:val="000000"/>
          <w:sz w:val="20"/>
          <w:szCs w:val="20"/>
          <w:lang w:val="pt-BR"/>
        </w:rPr>
        <w:t xml:space="preserve"> momento que </w:t>
      </w:r>
      <w:r w:rsidR="00362A4F" w:rsidRPr="00337743">
        <w:rPr>
          <w:rFonts w:ascii="Cambria" w:hAnsi="Cambria"/>
          <w:color w:val="000000"/>
          <w:sz w:val="20"/>
          <w:szCs w:val="20"/>
          <w:lang w:val="pt-BR"/>
        </w:rPr>
        <w:t xml:space="preserve">ocorreu </w:t>
      </w:r>
      <w:r w:rsidR="007902E0" w:rsidRPr="00337743">
        <w:rPr>
          <w:rFonts w:ascii="Cambria" w:hAnsi="Cambria"/>
          <w:color w:val="000000"/>
          <w:sz w:val="20"/>
          <w:szCs w:val="20"/>
          <w:lang w:val="pt-BR"/>
        </w:rPr>
        <w:t xml:space="preserve">a </w:t>
      </w:r>
      <w:r w:rsidR="00362A4F" w:rsidRPr="00337743">
        <w:rPr>
          <w:rFonts w:ascii="Cambria" w:hAnsi="Cambria"/>
          <w:color w:val="000000"/>
          <w:sz w:val="20"/>
          <w:szCs w:val="20"/>
          <w:lang w:val="pt-BR"/>
        </w:rPr>
        <w:t xml:space="preserve">pronúncia </w:t>
      </w:r>
      <w:r w:rsidR="00C66BFB" w:rsidRPr="00337743">
        <w:rPr>
          <w:rFonts w:ascii="Cambria" w:hAnsi="Cambria"/>
          <w:color w:val="000000"/>
          <w:sz w:val="20"/>
          <w:szCs w:val="20"/>
          <w:lang w:val="pt-BR"/>
        </w:rPr>
        <w:t>contra</w:t>
      </w:r>
      <w:r w:rsidR="00506331" w:rsidRPr="00337743">
        <w:rPr>
          <w:rFonts w:ascii="Cambria" w:hAnsi="Cambria"/>
          <w:color w:val="000000"/>
          <w:sz w:val="20"/>
          <w:szCs w:val="20"/>
          <w:lang w:val="pt-BR"/>
        </w:rPr>
        <w:t xml:space="preserve"> o </w:t>
      </w:r>
      <w:r w:rsidR="00C66BFB" w:rsidRPr="00337743">
        <w:rPr>
          <w:rFonts w:ascii="Cambria" w:hAnsi="Cambria"/>
          <w:color w:val="000000"/>
          <w:sz w:val="20"/>
          <w:szCs w:val="20"/>
          <w:lang w:val="pt-BR"/>
        </w:rPr>
        <w:t>ex</w:t>
      </w:r>
      <w:r w:rsidR="00336B6F" w:rsidRPr="00337743">
        <w:rPr>
          <w:rFonts w:ascii="Cambria" w:hAnsi="Cambria"/>
          <w:color w:val="000000"/>
          <w:sz w:val="20"/>
          <w:szCs w:val="20"/>
          <w:lang w:val="pt-BR"/>
        </w:rPr>
        <w:t>-</w:t>
      </w:r>
      <w:r w:rsidR="00114C2E" w:rsidRPr="00337743">
        <w:rPr>
          <w:rFonts w:ascii="Cambria" w:hAnsi="Cambria"/>
          <w:color w:val="000000"/>
          <w:sz w:val="20"/>
          <w:szCs w:val="20"/>
          <w:lang w:val="pt-BR"/>
        </w:rPr>
        <w:t>Deputado</w:t>
      </w:r>
      <w:r w:rsidR="00C66BFB"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336B6F"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C66BFB" w:rsidRPr="00337743">
        <w:rPr>
          <w:rFonts w:ascii="Cambria" w:hAnsi="Cambria"/>
          <w:color w:val="000000"/>
          <w:sz w:val="20"/>
          <w:szCs w:val="20"/>
          <w:lang w:val="pt-BR"/>
        </w:rPr>
        <w:t xml:space="preserve">27 de </w:t>
      </w:r>
      <w:r w:rsidR="003E7207" w:rsidRPr="00337743">
        <w:rPr>
          <w:rFonts w:ascii="Cambria" w:hAnsi="Cambria"/>
          <w:color w:val="000000"/>
          <w:sz w:val="20"/>
          <w:szCs w:val="20"/>
          <w:lang w:val="pt-BR"/>
        </w:rPr>
        <w:t>julho</w:t>
      </w:r>
      <w:r w:rsidR="00C66BFB" w:rsidRPr="00337743">
        <w:rPr>
          <w:rFonts w:ascii="Cambria" w:hAnsi="Cambria"/>
          <w:color w:val="000000"/>
          <w:sz w:val="20"/>
          <w:szCs w:val="20"/>
          <w:lang w:val="pt-BR"/>
        </w:rPr>
        <w:t xml:space="preserve"> de 2005</w:t>
      </w:r>
      <w:r w:rsidR="00393C38" w:rsidRPr="00337743">
        <w:rPr>
          <w:rFonts w:ascii="Cambria" w:hAnsi="Cambria"/>
          <w:color w:val="000000"/>
          <w:sz w:val="20"/>
          <w:szCs w:val="20"/>
          <w:lang w:val="pt-BR"/>
        </w:rPr>
        <w:t xml:space="preserve"> – 7 </w:t>
      </w:r>
      <w:r w:rsidR="00362A4F" w:rsidRPr="00337743">
        <w:rPr>
          <w:rFonts w:ascii="Cambria" w:hAnsi="Cambria"/>
          <w:color w:val="000000"/>
          <w:sz w:val="20"/>
          <w:szCs w:val="20"/>
          <w:lang w:val="pt-BR"/>
        </w:rPr>
        <w:t>ano</w:t>
      </w:r>
      <w:r w:rsidR="00393C38" w:rsidRPr="00337743">
        <w:rPr>
          <w:rFonts w:ascii="Cambria" w:hAnsi="Cambria"/>
          <w:color w:val="000000"/>
          <w:sz w:val="20"/>
          <w:szCs w:val="20"/>
          <w:lang w:val="pt-BR"/>
        </w:rPr>
        <w:t>s</w:t>
      </w:r>
      <w:r w:rsidR="0024699D" w:rsidRPr="00337743">
        <w:rPr>
          <w:rFonts w:ascii="Cambria" w:hAnsi="Cambria"/>
          <w:color w:val="000000"/>
          <w:sz w:val="20"/>
          <w:szCs w:val="20"/>
          <w:lang w:val="pt-BR"/>
        </w:rPr>
        <w:t xml:space="preserve">, 1 </w:t>
      </w:r>
      <w:r w:rsidR="00A97ED4" w:rsidRPr="00337743">
        <w:rPr>
          <w:rFonts w:ascii="Cambria" w:hAnsi="Cambria"/>
          <w:color w:val="000000"/>
          <w:sz w:val="20"/>
          <w:szCs w:val="20"/>
          <w:lang w:val="pt-BR"/>
        </w:rPr>
        <w:t>mês</w:t>
      </w:r>
      <w:r w:rsidR="00506331" w:rsidRPr="00337743">
        <w:rPr>
          <w:rFonts w:ascii="Cambria" w:hAnsi="Cambria"/>
          <w:color w:val="000000"/>
          <w:sz w:val="20"/>
          <w:szCs w:val="20"/>
          <w:lang w:val="pt-BR"/>
        </w:rPr>
        <w:t xml:space="preserve"> e </w:t>
      </w:r>
      <w:r w:rsidR="0024699D" w:rsidRPr="00337743">
        <w:rPr>
          <w:rFonts w:ascii="Cambria" w:hAnsi="Cambria"/>
          <w:color w:val="000000"/>
          <w:sz w:val="20"/>
          <w:szCs w:val="20"/>
          <w:lang w:val="pt-BR"/>
        </w:rPr>
        <w:t>9 d</w:t>
      </w:r>
      <w:r w:rsidR="00BF72CE" w:rsidRPr="00337743">
        <w:rPr>
          <w:rFonts w:ascii="Cambria" w:hAnsi="Cambria"/>
          <w:color w:val="000000"/>
          <w:sz w:val="20"/>
          <w:szCs w:val="20"/>
          <w:lang w:val="pt-BR"/>
        </w:rPr>
        <w:t>ia</w:t>
      </w:r>
      <w:r w:rsidR="0024699D" w:rsidRPr="00337743">
        <w:rPr>
          <w:rFonts w:ascii="Cambria" w:hAnsi="Cambria"/>
          <w:color w:val="000000"/>
          <w:sz w:val="20"/>
          <w:szCs w:val="20"/>
          <w:lang w:val="pt-BR"/>
        </w:rPr>
        <w:t>s</w:t>
      </w:r>
      <w:r w:rsidR="00C66BFB" w:rsidRPr="00337743">
        <w:rPr>
          <w:rFonts w:ascii="Cambria" w:hAnsi="Cambria"/>
          <w:color w:val="FF0000"/>
          <w:sz w:val="20"/>
          <w:szCs w:val="20"/>
          <w:lang w:val="pt-BR"/>
        </w:rPr>
        <w:t xml:space="preserve"> </w:t>
      </w:r>
      <w:r w:rsidR="00C66BFB" w:rsidRPr="00337743">
        <w:rPr>
          <w:rFonts w:ascii="Cambria" w:hAnsi="Cambria"/>
          <w:color w:val="000000"/>
          <w:sz w:val="20"/>
          <w:szCs w:val="20"/>
          <w:lang w:val="pt-BR"/>
        </w:rPr>
        <w:t>de</w:t>
      </w:r>
      <w:r w:rsidR="00336B6F" w:rsidRPr="00337743">
        <w:rPr>
          <w:rFonts w:ascii="Cambria" w:hAnsi="Cambria"/>
          <w:color w:val="000000"/>
          <w:sz w:val="20"/>
          <w:szCs w:val="20"/>
          <w:lang w:val="pt-BR"/>
        </w:rPr>
        <w:t>pois</w:t>
      </w:r>
      <w:r w:rsidR="0026132C">
        <w:rPr>
          <w:rFonts w:ascii="Cambria" w:hAnsi="Cambria"/>
          <w:color w:val="000000"/>
          <w:sz w:val="20"/>
          <w:szCs w:val="20"/>
          <w:lang w:val="pt-BR"/>
        </w:rPr>
        <w:t xml:space="preserve"> </w:t>
      </w:r>
      <w:r w:rsidR="00336B6F" w:rsidRPr="00337743">
        <w:rPr>
          <w:rFonts w:ascii="Cambria" w:hAnsi="Cambria"/>
          <w:color w:val="000000"/>
          <w:sz w:val="20"/>
          <w:szCs w:val="20"/>
          <w:lang w:val="pt-BR"/>
        </w:rPr>
        <w:t>d</w:t>
      </w:r>
      <w:r w:rsidR="00506331" w:rsidRPr="00337743">
        <w:rPr>
          <w:rFonts w:ascii="Cambria" w:hAnsi="Cambria"/>
          <w:color w:val="000000"/>
          <w:sz w:val="20"/>
          <w:szCs w:val="20"/>
          <w:lang w:val="pt-BR"/>
        </w:rPr>
        <w:t xml:space="preserve">o </w:t>
      </w:r>
      <w:r w:rsidR="00C66BFB" w:rsidRPr="00337743">
        <w:rPr>
          <w:rFonts w:ascii="Cambria" w:hAnsi="Cambria"/>
          <w:color w:val="000000"/>
          <w:sz w:val="20"/>
          <w:szCs w:val="20"/>
          <w:lang w:val="pt-BR"/>
        </w:rPr>
        <w:t>crime</w:t>
      </w:r>
      <w:r w:rsidR="00393C38" w:rsidRPr="00337743">
        <w:rPr>
          <w:rFonts w:ascii="Cambria" w:hAnsi="Cambria"/>
          <w:color w:val="000000"/>
          <w:sz w:val="20"/>
          <w:szCs w:val="20"/>
          <w:lang w:val="pt-BR"/>
        </w:rPr>
        <w:t xml:space="preserve"> –</w:t>
      </w:r>
      <w:r w:rsidR="00BF72CE" w:rsidRPr="00337743">
        <w:rPr>
          <w:rFonts w:ascii="Cambria" w:hAnsi="Cambria"/>
          <w:color w:val="000000"/>
          <w:sz w:val="20"/>
          <w:szCs w:val="20"/>
          <w:lang w:val="pt-BR"/>
        </w:rPr>
        <w:t xml:space="preserve"> ao </w:t>
      </w:r>
      <w:r w:rsidR="00C66BFB" w:rsidRPr="00337743">
        <w:rPr>
          <w:rFonts w:ascii="Cambria" w:hAnsi="Cambria"/>
          <w:color w:val="000000"/>
          <w:sz w:val="20"/>
          <w:szCs w:val="20"/>
          <w:lang w:val="pt-BR"/>
        </w:rPr>
        <w:t>considerar</w:t>
      </w:r>
      <w:r w:rsidR="00506331" w:rsidRPr="00337743">
        <w:rPr>
          <w:rFonts w:ascii="Cambria" w:hAnsi="Cambria"/>
          <w:color w:val="000000"/>
          <w:sz w:val="20"/>
          <w:szCs w:val="20"/>
          <w:lang w:val="pt-BR"/>
        </w:rPr>
        <w:t xml:space="preserve"> a </w:t>
      </w:r>
      <w:r w:rsidR="00DB7EC9" w:rsidRPr="00337743">
        <w:rPr>
          <w:rFonts w:ascii="Cambria" w:hAnsi="Cambria"/>
          <w:color w:val="000000"/>
          <w:sz w:val="20"/>
          <w:szCs w:val="20"/>
          <w:lang w:val="pt-BR"/>
        </w:rPr>
        <w:t>autori</w:t>
      </w:r>
      <w:r w:rsidR="00350E7E" w:rsidRPr="00337743">
        <w:rPr>
          <w:rFonts w:ascii="Cambria" w:hAnsi="Cambria"/>
          <w:color w:val="000000"/>
          <w:sz w:val="20"/>
          <w:szCs w:val="20"/>
          <w:lang w:val="pt-BR"/>
        </w:rPr>
        <w:t xml:space="preserve">dade </w:t>
      </w:r>
      <w:r w:rsidR="00DB7EC9" w:rsidRPr="00337743">
        <w:rPr>
          <w:rFonts w:ascii="Cambria" w:hAnsi="Cambria"/>
          <w:color w:val="000000"/>
          <w:sz w:val="20"/>
          <w:szCs w:val="20"/>
          <w:lang w:val="pt-BR"/>
        </w:rPr>
        <w:t>judicial</w:t>
      </w:r>
      <w:r w:rsidR="00C66BFB" w:rsidRPr="00337743">
        <w:rPr>
          <w:rFonts w:ascii="Cambria" w:hAnsi="Cambria"/>
          <w:color w:val="000000"/>
          <w:sz w:val="20"/>
          <w:szCs w:val="20"/>
          <w:lang w:val="pt-BR"/>
        </w:rPr>
        <w:t xml:space="preserve"> que </w:t>
      </w:r>
      <w:r w:rsidR="00A97ED4" w:rsidRPr="00337743">
        <w:rPr>
          <w:rFonts w:ascii="Cambria" w:hAnsi="Cambria"/>
          <w:color w:val="000000"/>
          <w:sz w:val="20"/>
          <w:szCs w:val="20"/>
          <w:lang w:val="pt-BR"/>
        </w:rPr>
        <w:t>existiam</w:t>
      </w:r>
      <w:r w:rsidR="00C66BFB" w:rsidRPr="00337743">
        <w:rPr>
          <w:rFonts w:ascii="Cambria" w:hAnsi="Cambria"/>
          <w:color w:val="000000"/>
          <w:sz w:val="20"/>
          <w:szCs w:val="20"/>
          <w:lang w:val="pt-BR"/>
        </w:rPr>
        <w:t xml:space="preserve"> </w:t>
      </w:r>
      <w:r w:rsidR="006234FC" w:rsidRPr="00337743">
        <w:rPr>
          <w:rFonts w:ascii="Cambria" w:hAnsi="Cambria"/>
          <w:color w:val="000000"/>
          <w:sz w:val="20"/>
          <w:szCs w:val="20"/>
          <w:lang w:val="pt-BR"/>
        </w:rPr>
        <w:t>indícios</w:t>
      </w:r>
      <w:r w:rsidR="00C66BFB" w:rsidRPr="00337743">
        <w:rPr>
          <w:rFonts w:ascii="Cambria" w:hAnsi="Cambria"/>
          <w:color w:val="000000"/>
          <w:sz w:val="20"/>
          <w:szCs w:val="20"/>
          <w:lang w:val="pt-BR"/>
        </w:rPr>
        <w:t xml:space="preserve"> suficientes para determinar</w:t>
      </w:r>
      <w:r w:rsidR="00506331" w:rsidRPr="00337743">
        <w:rPr>
          <w:rFonts w:ascii="Cambria" w:hAnsi="Cambria"/>
          <w:color w:val="000000"/>
          <w:sz w:val="20"/>
          <w:szCs w:val="20"/>
          <w:lang w:val="pt-BR"/>
        </w:rPr>
        <w:t xml:space="preserve"> a </w:t>
      </w:r>
      <w:r w:rsidR="00C66BFB" w:rsidRPr="00337743">
        <w:rPr>
          <w:rFonts w:ascii="Cambria" w:hAnsi="Cambria"/>
          <w:color w:val="000000"/>
          <w:sz w:val="20"/>
          <w:szCs w:val="20"/>
          <w:lang w:val="pt-BR"/>
        </w:rPr>
        <w:t>autor</w:t>
      </w:r>
      <w:r w:rsidR="00BF72CE" w:rsidRPr="00337743">
        <w:rPr>
          <w:rFonts w:ascii="Cambria" w:hAnsi="Cambria"/>
          <w:color w:val="000000"/>
          <w:sz w:val="20"/>
          <w:szCs w:val="20"/>
          <w:lang w:val="pt-BR"/>
        </w:rPr>
        <w:t>ia</w:t>
      </w:r>
      <w:r w:rsidR="007707E3" w:rsidRPr="00337743">
        <w:rPr>
          <w:rFonts w:ascii="Cambria" w:hAnsi="Cambria"/>
          <w:color w:val="000000"/>
          <w:sz w:val="20"/>
          <w:szCs w:val="20"/>
          <w:lang w:val="pt-BR"/>
        </w:rPr>
        <w:t xml:space="preserve"> do </w:t>
      </w:r>
      <w:r w:rsidR="00A97ED4" w:rsidRPr="00337743">
        <w:rPr>
          <w:rFonts w:ascii="Cambria" w:hAnsi="Cambria"/>
          <w:color w:val="000000"/>
          <w:sz w:val="20"/>
          <w:szCs w:val="20"/>
          <w:lang w:val="pt-BR"/>
        </w:rPr>
        <w:t>crime</w:t>
      </w:r>
      <w:r w:rsidR="00091880" w:rsidRPr="00337743">
        <w:rPr>
          <w:rFonts w:ascii="Cambria" w:hAnsi="Cambria"/>
          <w:color w:val="000000"/>
          <w:sz w:val="20"/>
          <w:szCs w:val="20"/>
          <w:lang w:val="pt-BR"/>
        </w:rPr>
        <w:t xml:space="preserve"> pelo </w:t>
      </w:r>
      <w:r w:rsidR="001B5C51" w:rsidRPr="00337743">
        <w:rPr>
          <w:rFonts w:ascii="Cambria" w:hAnsi="Cambria"/>
          <w:color w:val="000000"/>
          <w:sz w:val="20"/>
          <w:szCs w:val="20"/>
          <w:lang w:val="pt-BR"/>
        </w:rPr>
        <w:t>sujeito</w:t>
      </w:r>
      <w:r w:rsidR="00C66BFB"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E4764A"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894152" w:rsidRPr="00337743">
        <w:rPr>
          <w:rFonts w:ascii="Cambria" w:hAnsi="Cambria"/>
          <w:color w:val="000000"/>
          <w:sz w:val="20"/>
          <w:szCs w:val="20"/>
          <w:lang w:val="pt-BR"/>
        </w:rPr>
        <w:t>defesa</w:t>
      </w:r>
      <w:r w:rsidR="00EF6036" w:rsidRPr="00337743">
        <w:rPr>
          <w:rFonts w:ascii="Cambria" w:hAnsi="Cambria"/>
          <w:color w:val="000000"/>
          <w:sz w:val="20"/>
          <w:szCs w:val="20"/>
          <w:lang w:val="pt-BR"/>
        </w:rPr>
        <w:t xml:space="preserve"> interp</w:t>
      </w:r>
      <w:r w:rsidR="00E4764A" w:rsidRPr="00337743">
        <w:rPr>
          <w:rFonts w:ascii="Cambria" w:hAnsi="Cambria"/>
          <w:color w:val="000000"/>
          <w:sz w:val="20"/>
          <w:szCs w:val="20"/>
          <w:lang w:val="pt-BR"/>
        </w:rPr>
        <w:t>ôs</w:t>
      </w:r>
      <w:r w:rsidR="00091880" w:rsidRPr="00337743">
        <w:rPr>
          <w:rFonts w:ascii="Cambria" w:hAnsi="Cambria"/>
          <w:color w:val="000000"/>
          <w:sz w:val="20"/>
          <w:szCs w:val="20"/>
          <w:lang w:val="pt-BR"/>
        </w:rPr>
        <w:t xml:space="preserve"> um </w:t>
      </w:r>
      <w:r w:rsidR="00EF6036" w:rsidRPr="00337743">
        <w:rPr>
          <w:rFonts w:ascii="Cambria" w:hAnsi="Cambria"/>
          <w:color w:val="000000"/>
          <w:sz w:val="20"/>
          <w:szCs w:val="20"/>
          <w:lang w:val="pt-BR"/>
        </w:rPr>
        <w:t xml:space="preserve">recurso contra esta </w:t>
      </w:r>
      <w:r w:rsidR="00C061E3" w:rsidRPr="00337743">
        <w:rPr>
          <w:rFonts w:ascii="Cambria" w:hAnsi="Cambria"/>
          <w:color w:val="000000"/>
          <w:sz w:val="20"/>
          <w:szCs w:val="20"/>
          <w:lang w:val="pt-BR"/>
        </w:rPr>
        <w:t>decisão</w:t>
      </w:r>
      <w:r w:rsidR="00034F0A" w:rsidRPr="00337743">
        <w:rPr>
          <w:rFonts w:ascii="Cambria" w:hAnsi="Cambria"/>
          <w:color w:val="000000"/>
          <w:sz w:val="20"/>
          <w:szCs w:val="20"/>
          <w:lang w:val="pt-BR"/>
        </w:rPr>
        <w:t xml:space="preserve">, </w:t>
      </w:r>
      <w:r w:rsidR="00A97ED4" w:rsidRPr="00337743">
        <w:rPr>
          <w:rFonts w:ascii="Cambria" w:hAnsi="Cambria"/>
          <w:color w:val="000000"/>
          <w:sz w:val="20"/>
          <w:szCs w:val="20"/>
          <w:lang w:val="pt-BR"/>
        </w:rPr>
        <w:t>recebido</w:t>
      </w:r>
      <w:r w:rsidR="00506331" w:rsidRPr="00337743">
        <w:rPr>
          <w:rFonts w:ascii="Cambria" w:hAnsi="Cambria"/>
          <w:color w:val="000000"/>
          <w:sz w:val="20"/>
          <w:szCs w:val="20"/>
          <w:lang w:val="pt-BR"/>
        </w:rPr>
        <w:t xml:space="preserve"> </w:t>
      </w:r>
      <w:r w:rsidR="00E4764A"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17 de agosto de 2005</w:t>
      </w:r>
      <w:r w:rsidR="00574C37" w:rsidRPr="00337743">
        <w:rPr>
          <w:rFonts w:ascii="Cambria" w:hAnsi="Cambria"/>
          <w:color w:val="000000"/>
          <w:sz w:val="20"/>
          <w:szCs w:val="20"/>
          <w:vertAlign w:val="superscript"/>
          <w:lang w:val="pt-BR"/>
        </w:rPr>
        <w:footnoteReference w:id="61"/>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E4764A"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1º de </w:t>
      </w:r>
      <w:r w:rsidR="00E30405" w:rsidRPr="00337743">
        <w:rPr>
          <w:rFonts w:ascii="Cambria" w:hAnsi="Cambria"/>
          <w:color w:val="000000"/>
          <w:sz w:val="20"/>
          <w:szCs w:val="20"/>
          <w:lang w:val="pt-BR"/>
        </w:rPr>
        <w:t>novembro</w:t>
      </w:r>
      <w:r w:rsidR="00034F0A" w:rsidRPr="00337743">
        <w:rPr>
          <w:rFonts w:ascii="Cambria" w:hAnsi="Cambria"/>
          <w:color w:val="000000"/>
          <w:sz w:val="20"/>
          <w:szCs w:val="20"/>
          <w:lang w:val="pt-BR"/>
        </w:rPr>
        <w:t xml:space="preserve"> de 2005,</w:t>
      </w:r>
      <w:r w:rsidR="00506331" w:rsidRPr="00337743">
        <w:rPr>
          <w:rFonts w:ascii="Cambria" w:hAnsi="Cambria"/>
          <w:color w:val="000000"/>
          <w:sz w:val="20"/>
          <w:szCs w:val="20"/>
          <w:lang w:val="pt-BR"/>
        </w:rPr>
        <w:t xml:space="preserve"> o </w:t>
      </w:r>
      <w:r w:rsidR="003E7207" w:rsidRPr="00337743">
        <w:rPr>
          <w:rFonts w:ascii="Cambria" w:hAnsi="Cambria"/>
          <w:color w:val="000000"/>
          <w:sz w:val="20"/>
          <w:szCs w:val="20"/>
          <w:lang w:val="pt-BR"/>
        </w:rPr>
        <w:t>Juiz</w:t>
      </w:r>
      <w:r w:rsidR="00034F0A" w:rsidRPr="00337743">
        <w:rPr>
          <w:rFonts w:ascii="Cambria" w:hAnsi="Cambria"/>
          <w:color w:val="000000"/>
          <w:sz w:val="20"/>
          <w:szCs w:val="20"/>
          <w:lang w:val="pt-BR"/>
        </w:rPr>
        <w:t xml:space="preserve"> reafirm</w:t>
      </w:r>
      <w:r w:rsidR="00A97ED4" w:rsidRPr="00337743">
        <w:rPr>
          <w:rFonts w:ascii="Cambria" w:hAnsi="Cambria"/>
          <w:color w:val="000000"/>
          <w:sz w:val="20"/>
          <w:szCs w:val="20"/>
          <w:lang w:val="pt-BR"/>
        </w:rPr>
        <w:t>ou</w:t>
      </w:r>
      <w:r w:rsidR="007707E3" w:rsidRPr="00337743">
        <w:rPr>
          <w:rFonts w:ascii="Cambria" w:hAnsi="Cambria"/>
          <w:color w:val="000000"/>
          <w:sz w:val="20"/>
          <w:szCs w:val="20"/>
          <w:lang w:val="pt-BR"/>
        </w:rPr>
        <w:t xml:space="preserve"> os </w:t>
      </w:r>
      <w:r w:rsidR="00034F0A" w:rsidRPr="00337743">
        <w:rPr>
          <w:rFonts w:ascii="Cambria" w:hAnsi="Cambria"/>
          <w:color w:val="000000"/>
          <w:sz w:val="20"/>
          <w:szCs w:val="20"/>
          <w:lang w:val="pt-BR"/>
        </w:rPr>
        <w:t>t</w:t>
      </w:r>
      <w:r w:rsidR="002731A2" w:rsidRPr="00337743">
        <w:rPr>
          <w:rFonts w:ascii="Cambria" w:hAnsi="Cambria"/>
          <w:color w:val="000000"/>
          <w:sz w:val="20"/>
          <w:szCs w:val="20"/>
          <w:lang w:val="pt-BR"/>
        </w:rPr>
        <w:t>e</w:t>
      </w:r>
      <w:r w:rsidR="00034F0A" w:rsidRPr="00337743">
        <w:rPr>
          <w:rFonts w:ascii="Cambria" w:hAnsi="Cambria"/>
          <w:color w:val="000000"/>
          <w:sz w:val="20"/>
          <w:szCs w:val="20"/>
          <w:lang w:val="pt-BR"/>
        </w:rPr>
        <w:t>rmos</w:t>
      </w:r>
      <w:r w:rsidR="007707E3" w:rsidRPr="00337743">
        <w:rPr>
          <w:rFonts w:ascii="Cambria" w:hAnsi="Cambria"/>
          <w:color w:val="000000"/>
          <w:sz w:val="20"/>
          <w:szCs w:val="20"/>
          <w:lang w:val="pt-BR"/>
        </w:rPr>
        <w:t xml:space="preserve"> da </w:t>
      </w:r>
      <w:r w:rsidR="00034F0A" w:rsidRPr="00337743">
        <w:rPr>
          <w:rFonts w:ascii="Cambria" w:hAnsi="Cambria"/>
          <w:color w:val="000000"/>
          <w:sz w:val="20"/>
          <w:szCs w:val="20"/>
          <w:lang w:val="pt-BR"/>
        </w:rPr>
        <w:t>pron</w:t>
      </w:r>
      <w:r w:rsidR="002731A2" w:rsidRPr="00337743">
        <w:rPr>
          <w:rFonts w:ascii="Cambria" w:hAnsi="Cambria"/>
          <w:color w:val="000000"/>
          <w:sz w:val="20"/>
          <w:szCs w:val="20"/>
          <w:lang w:val="pt-BR"/>
        </w:rPr>
        <w:t>ú</w:t>
      </w:r>
      <w:r w:rsidR="00034F0A" w:rsidRPr="00337743">
        <w:rPr>
          <w:rFonts w:ascii="Cambria" w:hAnsi="Cambria"/>
          <w:color w:val="000000"/>
          <w:sz w:val="20"/>
          <w:szCs w:val="20"/>
          <w:lang w:val="pt-BR"/>
        </w:rPr>
        <w:t>ncia</w:t>
      </w:r>
      <w:r w:rsidR="00574C37" w:rsidRPr="00337743">
        <w:rPr>
          <w:rFonts w:ascii="Cambria" w:hAnsi="Cambria"/>
          <w:color w:val="000000"/>
          <w:sz w:val="20"/>
          <w:szCs w:val="20"/>
          <w:vertAlign w:val="superscript"/>
          <w:lang w:val="pt-BR"/>
        </w:rPr>
        <w:footnoteReference w:id="62"/>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E4764A"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003E7207" w:rsidRPr="00337743">
        <w:rPr>
          <w:rFonts w:ascii="Cambria" w:hAnsi="Cambria"/>
          <w:color w:val="000000"/>
          <w:sz w:val="20"/>
          <w:szCs w:val="20"/>
          <w:lang w:val="pt-BR"/>
        </w:rPr>
        <w:t>Ministério</w:t>
      </w:r>
      <w:r w:rsidR="00034F0A" w:rsidRPr="00337743">
        <w:rPr>
          <w:rFonts w:ascii="Cambria" w:hAnsi="Cambria"/>
          <w:color w:val="000000"/>
          <w:sz w:val="20"/>
          <w:szCs w:val="20"/>
          <w:lang w:val="pt-BR"/>
        </w:rPr>
        <w:t xml:space="preserve"> Público emiti</w:t>
      </w:r>
      <w:r w:rsidR="00A97ED4" w:rsidRPr="00337743">
        <w:rPr>
          <w:rFonts w:ascii="Cambria" w:hAnsi="Cambria"/>
          <w:color w:val="000000"/>
          <w:sz w:val="20"/>
          <w:szCs w:val="20"/>
          <w:lang w:val="pt-BR"/>
        </w:rPr>
        <w:t>u</w:t>
      </w:r>
      <w:r w:rsidR="00034F0A" w:rsidRPr="00337743">
        <w:rPr>
          <w:rFonts w:ascii="Cambria" w:hAnsi="Cambria"/>
          <w:color w:val="000000"/>
          <w:sz w:val="20"/>
          <w:szCs w:val="20"/>
          <w:lang w:val="pt-BR"/>
        </w:rPr>
        <w:t xml:space="preserve"> </w:t>
      </w:r>
      <w:r w:rsidR="002731A2" w:rsidRPr="00337743">
        <w:rPr>
          <w:rFonts w:ascii="Cambria" w:hAnsi="Cambria"/>
          <w:color w:val="000000"/>
          <w:sz w:val="20"/>
          <w:szCs w:val="20"/>
          <w:lang w:val="pt-BR"/>
        </w:rPr>
        <w:t>p</w:t>
      </w:r>
      <w:r w:rsidR="00034F0A" w:rsidRPr="00337743">
        <w:rPr>
          <w:rFonts w:ascii="Cambria" w:hAnsi="Cambria"/>
          <w:color w:val="000000"/>
          <w:sz w:val="20"/>
          <w:szCs w:val="20"/>
          <w:lang w:val="pt-BR"/>
        </w:rPr>
        <w:t>arecer opinando</w:t>
      </w:r>
      <w:r w:rsidR="00091880" w:rsidRPr="00337743">
        <w:rPr>
          <w:rFonts w:ascii="Cambria" w:hAnsi="Cambria"/>
          <w:color w:val="000000"/>
          <w:sz w:val="20"/>
          <w:szCs w:val="20"/>
          <w:lang w:val="pt-BR"/>
        </w:rPr>
        <w:t xml:space="preserve"> pel</w:t>
      </w:r>
      <w:r w:rsidR="0026132C">
        <w:rPr>
          <w:rFonts w:ascii="Cambria" w:hAnsi="Cambria"/>
          <w:color w:val="000000"/>
          <w:sz w:val="20"/>
          <w:szCs w:val="20"/>
          <w:lang w:val="pt-BR"/>
        </w:rPr>
        <w:t>a</w:t>
      </w:r>
      <w:r w:rsidR="00091880"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re</w:t>
      </w:r>
      <w:r w:rsidR="00011803" w:rsidRPr="00337743">
        <w:rPr>
          <w:rFonts w:ascii="Cambria" w:hAnsi="Cambria"/>
          <w:color w:val="000000"/>
          <w:sz w:val="20"/>
          <w:szCs w:val="20"/>
          <w:lang w:val="pt-BR"/>
        </w:rPr>
        <w:t>jeição</w:t>
      </w:r>
      <w:r w:rsidR="007707E3" w:rsidRPr="00337743">
        <w:rPr>
          <w:rFonts w:ascii="Cambria" w:hAnsi="Cambria"/>
          <w:color w:val="000000"/>
          <w:sz w:val="20"/>
          <w:szCs w:val="20"/>
          <w:lang w:val="pt-BR"/>
        </w:rPr>
        <w:t xml:space="preserve"> do </w:t>
      </w:r>
      <w:r w:rsidR="00034F0A" w:rsidRPr="00337743">
        <w:rPr>
          <w:rFonts w:ascii="Cambria" w:hAnsi="Cambria"/>
          <w:color w:val="000000"/>
          <w:sz w:val="20"/>
          <w:szCs w:val="20"/>
          <w:lang w:val="pt-BR"/>
        </w:rPr>
        <w:t>recurso</w:t>
      </w:r>
      <w:r w:rsidR="00506331"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28 de </w:t>
      </w:r>
      <w:r w:rsidR="00E30405" w:rsidRPr="00337743">
        <w:rPr>
          <w:rFonts w:ascii="Cambria" w:hAnsi="Cambria"/>
          <w:color w:val="000000"/>
          <w:sz w:val="20"/>
          <w:szCs w:val="20"/>
          <w:lang w:val="pt-BR"/>
        </w:rPr>
        <w:t>novembro</w:t>
      </w:r>
      <w:r w:rsidR="00034F0A" w:rsidRPr="00337743">
        <w:rPr>
          <w:rFonts w:ascii="Cambria" w:hAnsi="Cambria"/>
          <w:color w:val="000000"/>
          <w:sz w:val="20"/>
          <w:szCs w:val="20"/>
          <w:lang w:val="pt-BR"/>
        </w:rPr>
        <w:t xml:space="preserve"> de 2005</w:t>
      </w:r>
      <w:r w:rsidR="00574C37" w:rsidRPr="00337743">
        <w:rPr>
          <w:rFonts w:ascii="Cambria" w:hAnsi="Cambria"/>
          <w:color w:val="000000"/>
          <w:sz w:val="20"/>
          <w:szCs w:val="20"/>
          <w:vertAlign w:val="superscript"/>
          <w:lang w:val="pt-BR"/>
        </w:rPr>
        <w:footnoteReference w:id="63"/>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19 de </w:t>
      </w:r>
      <w:r w:rsidR="008F4787" w:rsidRPr="00337743">
        <w:rPr>
          <w:rFonts w:ascii="Cambria" w:hAnsi="Cambria"/>
          <w:color w:val="000000"/>
          <w:sz w:val="20"/>
          <w:szCs w:val="20"/>
          <w:lang w:val="pt-BR"/>
        </w:rPr>
        <w:t>dezembro</w:t>
      </w:r>
      <w:r w:rsidR="00034F0A" w:rsidRPr="00337743">
        <w:rPr>
          <w:rFonts w:ascii="Cambria" w:hAnsi="Cambria"/>
          <w:color w:val="000000"/>
          <w:sz w:val="20"/>
          <w:szCs w:val="20"/>
          <w:lang w:val="pt-BR"/>
        </w:rPr>
        <w:t xml:space="preserve"> de 2005,</w:t>
      </w:r>
      <w:r w:rsidR="00506331" w:rsidRPr="00337743">
        <w:rPr>
          <w:rFonts w:ascii="Cambria" w:hAnsi="Cambria"/>
          <w:color w:val="000000"/>
          <w:sz w:val="20"/>
          <w:szCs w:val="20"/>
          <w:lang w:val="pt-BR"/>
        </w:rPr>
        <w:t xml:space="preserve"> o </w:t>
      </w:r>
      <w:r w:rsidR="0026132C">
        <w:rPr>
          <w:rFonts w:ascii="Cambria" w:hAnsi="Cambria"/>
          <w:color w:val="000000"/>
          <w:sz w:val="20"/>
          <w:szCs w:val="20"/>
          <w:lang w:val="pt-BR"/>
        </w:rPr>
        <w:t>desembargador</w:t>
      </w:r>
      <w:r w:rsidR="00034F0A" w:rsidRPr="00337743">
        <w:rPr>
          <w:rFonts w:ascii="Cambria" w:hAnsi="Cambria"/>
          <w:color w:val="000000"/>
          <w:sz w:val="20"/>
          <w:szCs w:val="20"/>
          <w:lang w:val="pt-BR"/>
        </w:rPr>
        <w:t xml:space="preserve"> </w:t>
      </w:r>
      <w:r w:rsidR="0026132C">
        <w:rPr>
          <w:rFonts w:ascii="Cambria" w:hAnsi="Cambria"/>
          <w:color w:val="000000"/>
          <w:sz w:val="20"/>
          <w:szCs w:val="20"/>
          <w:lang w:val="pt-BR"/>
        </w:rPr>
        <w:t>r</w:t>
      </w:r>
      <w:r w:rsidR="00034F0A" w:rsidRPr="00337743">
        <w:rPr>
          <w:rFonts w:ascii="Cambria" w:hAnsi="Cambria"/>
          <w:color w:val="000000"/>
          <w:sz w:val="20"/>
          <w:szCs w:val="20"/>
          <w:lang w:val="pt-BR"/>
        </w:rPr>
        <w:t>elator</w:t>
      </w:r>
      <w:r w:rsidR="007707E3" w:rsidRPr="00337743">
        <w:rPr>
          <w:rFonts w:ascii="Cambria" w:hAnsi="Cambria"/>
          <w:color w:val="000000"/>
          <w:sz w:val="20"/>
          <w:szCs w:val="20"/>
          <w:lang w:val="pt-BR"/>
        </w:rPr>
        <w:t xml:space="preserve"> do</w:t>
      </w:r>
      <w:r w:rsidR="0026132C">
        <w:rPr>
          <w:rFonts w:ascii="Cambria" w:hAnsi="Cambria"/>
          <w:color w:val="000000"/>
          <w:sz w:val="20"/>
          <w:szCs w:val="20"/>
          <w:lang w:val="pt-BR"/>
        </w:rPr>
        <w:t xml:space="preserve"> caso no </w:t>
      </w:r>
      <w:r w:rsidR="00034F0A" w:rsidRPr="00337743">
        <w:rPr>
          <w:rFonts w:ascii="Cambria" w:hAnsi="Cambria"/>
          <w:color w:val="000000"/>
          <w:sz w:val="20"/>
          <w:szCs w:val="20"/>
          <w:lang w:val="pt-BR"/>
        </w:rPr>
        <w:t xml:space="preserve">Tribunal de </w:t>
      </w:r>
      <w:r w:rsidR="00E96C24" w:rsidRPr="00337743">
        <w:rPr>
          <w:rFonts w:ascii="Cambria" w:hAnsi="Cambria"/>
          <w:color w:val="000000"/>
          <w:sz w:val="20"/>
          <w:szCs w:val="20"/>
          <w:lang w:val="pt-BR"/>
        </w:rPr>
        <w:t>Justiça</w:t>
      </w:r>
      <w:r w:rsidR="007707E3" w:rsidRPr="00337743">
        <w:rPr>
          <w:rFonts w:ascii="Cambria" w:hAnsi="Cambria"/>
          <w:color w:val="000000"/>
          <w:sz w:val="20"/>
          <w:szCs w:val="20"/>
          <w:lang w:val="pt-BR"/>
        </w:rPr>
        <w:t xml:space="preserve"> do </w:t>
      </w:r>
      <w:r w:rsidR="00034F0A" w:rsidRPr="00337743">
        <w:rPr>
          <w:rFonts w:ascii="Cambria" w:hAnsi="Cambria"/>
          <w:color w:val="000000"/>
          <w:sz w:val="20"/>
          <w:szCs w:val="20"/>
          <w:lang w:val="pt-BR"/>
        </w:rPr>
        <w:t>Estado de Paraíba afirm</w:t>
      </w:r>
      <w:r w:rsidR="00A97ED4" w:rsidRPr="00337743">
        <w:rPr>
          <w:rFonts w:ascii="Cambria" w:hAnsi="Cambria"/>
          <w:color w:val="000000"/>
          <w:sz w:val="20"/>
          <w:szCs w:val="20"/>
          <w:lang w:val="pt-BR"/>
        </w:rPr>
        <w:t>ou</w:t>
      </w:r>
      <w:r w:rsidR="00034F0A" w:rsidRPr="00337743">
        <w:rPr>
          <w:rFonts w:ascii="Cambria" w:hAnsi="Cambria"/>
          <w:color w:val="000000"/>
          <w:sz w:val="20"/>
          <w:szCs w:val="20"/>
          <w:lang w:val="pt-BR"/>
        </w:rPr>
        <w:t xml:space="preserve"> que só examinar</w:t>
      </w:r>
      <w:r w:rsidR="00BF72CE" w:rsidRPr="00337743">
        <w:rPr>
          <w:rFonts w:ascii="Cambria" w:hAnsi="Cambria"/>
          <w:color w:val="000000"/>
          <w:sz w:val="20"/>
          <w:szCs w:val="20"/>
          <w:lang w:val="pt-BR"/>
        </w:rPr>
        <w:t>ia</w:t>
      </w:r>
      <w:r w:rsidR="00506331" w:rsidRPr="00337743">
        <w:rPr>
          <w:rFonts w:ascii="Cambria" w:hAnsi="Cambria"/>
          <w:color w:val="000000"/>
          <w:sz w:val="20"/>
          <w:szCs w:val="20"/>
          <w:lang w:val="pt-BR"/>
        </w:rPr>
        <w:t xml:space="preserve"> o </w:t>
      </w:r>
      <w:r w:rsidR="00034F0A" w:rsidRPr="00337743">
        <w:rPr>
          <w:rFonts w:ascii="Cambria" w:hAnsi="Cambria"/>
          <w:color w:val="000000"/>
          <w:sz w:val="20"/>
          <w:szCs w:val="20"/>
          <w:lang w:val="pt-BR"/>
        </w:rPr>
        <w:t>caso de</w:t>
      </w:r>
      <w:r w:rsidR="00011803" w:rsidRPr="00337743">
        <w:rPr>
          <w:rFonts w:ascii="Cambria" w:hAnsi="Cambria"/>
          <w:color w:val="000000"/>
          <w:sz w:val="20"/>
          <w:szCs w:val="20"/>
          <w:lang w:val="pt-BR"/>
        </w:rPr>
        <w:t>pois</w:t>
      </w:r>
      <w:r w:rsidR="00DB5118" w:rsidRPr="00337743">
        <w:rPr>
          <w:rFonts w:ascii="Cambria" w:hAnsi="Cambria"/>
          <w:color w:val="000000"/>
          <w:sz w:val="20"/>
          <w:szCs w:val="20"/>
          <w:lang w:val="pt-BR"/>
        </w:rPr>
        <w:t xml:space="preserve"> das </w:t>
      </w:r>
      <w:r w:rsidR="00011803" w:rsidRPr="00337743">
        <w:rPr>
          <w:rFonts w:ascii="Cambria" w:hAnsi="Cambria"/>
          <w:color w:val="000000"/>
          <w:sz w:val="20"/>
          <w:szCs w:val="20"/>
          <w:lang w:val="pt-BR"/>
        </w:rPr>
        <w:t>férias</w:t>
      </w:r>
      <w:r w:rsidR="00034F0A" w:rsidRPr="00337743">
        <w:rPr>
          <w:rFonts w:ascii="Cambria" w:hAnsi="Cambria"/>
          <w:color w:val="000000"/>
          <w:sz w:val="20"/>
          <w:szCs w:val="20"/>
          <w:lang w:val="pt-BR"/>
        </w:rPr>
        <w:t xml:space="preserve"> forenses.</w:t>
      </w:r>
      <w:r w:rsidR="00091880"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E</w:t>
      </w:r>
      <w:r w:rsidR="00091880" w:rsidRPr="00337743">
        <w:rPr>
          <w:rFonts w:ascii="Cambria" w:hAnsi="Cambria"/>
          <w:color w:val="000000"/>
          <w:sz w:val="20"/>
          <w:szCs w:val="20"/>
          <w:lang w:val="pt-BR"/>
        </w:rPr>
        <w:t xml:space="preserve">m </w:t>
      </w:r>
      <w:r w:rsidR="00034F0A" w:rsidRPr="00337743">
        <w:rPr>
          <w:rFonts w:ascii="Cambria" w:hAnsi="Cambria"/>
          <w:color w:val="000000"/>
          <w:sz w:val="20"/>
          <w:szCs w:val="20"/>
          <w:lang w:val="pt-BR"/>
        </w:rPr>
        <w:t xml:space="preserve">31 de </w:t>
      </w:r>
      <w:r w:rsidR="001B5C51" w:rsidRPr="00337743">
        <w:rPr>
          <w:rFonts w:ascii="Cambria" w:hAnsi="Cambria"/>
          <w:color w:val="000000"/>
          <w:sz w:val="20"/>
          <w:szCs w:val="20"/>
          <w:lang w:val="pt-BR"/>
        </w:rPr>
        <w:t>janeiro</w:t>
      </w:r>
      <w:r w:rsidR="00034F0A" w:rsidRPr="00337743">
        <w:rPr>
          <w:rFonts w:ascii="Cambria" w:hAnsi="Cambria"/>
          <w:color w:val="000000"/>
          <w:sz w:val="20"/>
          <w:szCs w:val="20"/>
          <w:lang w:val="pt-BR"/>
        </w:rPr>
        <w:t xml:space="preserve"> de 2006,</w:t>
      </w:r>
      <w:r w:rsidR="00506331" w:rsidRPr="00337743">
        <w:rPr>
          <w:rFonts w:ascii="Cambria" w:hAnsi="Cambria"/>
          <w:color w:val="000000"/>
          <w:sz w:val="20"/>
          <w:szCs w:val="20"/>
          <w:lang w:val="pt-BR"/>
        </w:rPr>
        <w:t xml:space="preserve"> a </w:t>
      </w:r>
      <w:r w:rsidR="001B5C51" w:rsidRPr="00337743">
        <w:rPr>
          <w:rFonts w:ascii="Cambria" w:hAnsi="Cambria"/>
          <w:color w:val="000000"/>
          <w:sz w:val="20"/>
          <w:szCs w:val="20"/>
          <w:lang w:val="pt-BR"/>
        </w:rPr>
        <w:t>Câmara</w:t>
      </w:r>
      <w:r w:rsidR="00034F0A" w:rsidRPr="00337743">
        <w:rPr>
          <w:rFonts w:ascii="Cambria" w:hAnsi="Cambria"/>
          <w:color w:val="000000"/>
          <w:sz w:val="20"/>
          <w:szCs w:val="20"/>
          <w:lang w:val="pt-BR"/>
        </w:rPr>
        <w:t xml:space="preserve"> Criminal</w:t>
      </w:r>
      <w:r w:rsidR="007707E3" w:rsidRPr="00337743">
        <w:rPr>
          <w:rFonts w:ascii="Cambria" w:hAnsi="Cambria"/>
          <w:color w:val="000000"/>
          <w:sz w:val="20"/>
          <w:szCs w:val="20"/>
          <w:lang w:val="pt-BR"/>
        </w:rPr>
        <w:t xml:space="preserve"> do </w:t>
      </w:r>
      <w:r w:rsidR="00034F0A" w:rsidRPr="00337743">
        <w:rPr>
          <w:rFonts w:ascii="Cambria" w:hAnsi="Cambria"/>
          <w:color w:val="000000"/>
          <w:sz w:val="20"/>
          <w:szCs w:val="20"/>
          <w:lang w:val="pt-BR"/>
        </w:rPr>
        <w:t>Tribunal decidi</w:t>
      </w:r>
      <w:r w:rsidR="00A97ED4" w:rsidRPr="00337743">
        <w:rPr>
          <w:rFonts w:ascii="Cambria" w:hAnsi="Cambria"/>
          <w:color w:val="000000"/>
          <w:sz w:val="20"/>
          <w:szCs w:val="20"/>
          <w:lang w:val="pt-BR"/>
        </w:rPr>
        <w:t>u</w:t>
      </w:r>
      <w:r w:rsidR="00034F0A" w:rsidRPr="00337743">
        <w:rPr>
          <w:rFonts w:ascii="Cambria" w:hAnsi="Cambria"/>
          <w:color w:val="000000"/>
          <w:sz w:val="20"/>
          <w:szCs w:val="20"/>
          <w:lang w:val="pt-BR"/>
        </w:rPr>
        <w:t xml:space="preserve"> re</w:t>
      </w:r>
      <w:r w:rsidR="00011803" w:rsidRPr="00337743">
        <w:rPr>
          <w:rFonts w:ascii="Cambria" w:hAnsi="Cambria"/>
          <w:color w:val="000000"/>
          <w:sz w:val="20"/>
          <w:szCs w:val="20"/>
          <w:lang w:val="pt-BR"/>
        </w:rPr>
        <w:t>jeit</w:t>
      </w:r>
      <w:r w:rsidR="00034F0A" w:rsidRPr="00337743">
        <w:rPr>
          <w:rFonts w:ascii="Cambria" w:hAnsi="Cambria"/>
          <w:color w:val="000000"/>
          <w:sz w:val="20"/>
          <w:szCs w:val="20"/>
          <w:lang w:val="pt-BR"/>
        </w:rPr>
        <w:t>ar</w:t>
      </w:r>
      <w:r w:rsidR="00506331" w:rsidRPr="00337743">
        <w:rPr>
          <w:rFonts w:ascii="Cambria" w:hAnsi="Cambria"/>
          <w:color w:val="000000"/>
          <w:sz w:val="20"/>
          <w:szCs w:val="20"/>
          <w:lang w:val="pt-BR"/>
        </w:rPr>
        <w:t xml:space="preserve"> o </w:t>
      </w:r>
      <w:r w:rsidR="00034F0A" w:rsidRPr="00337743">
        <w:rPr>
          <w:rFonts w:ascii="Cambria" w:hAnsi="Cambria"/>
          <w:color w:val="000000"/>
          <w:sz w:val="20"/>
          <w:szCs w:val="20"/>
          <w:lang w:val="pt-BR"/>
        </w:rPr>
        <w:t>recurso</w:t>
      </w:r>
      <w:r w:rsidR="00574C37" w:rsidRPr="00337743">
        <w:rPr>
          <w:rFonts w:ascii="Cambria" w:hAnsi="Cambria"/>
          <w:color w:val="000000"/>
          <w:sz w:val="20"/>
          <w:szCs w:val="20"/>
          <w:vertAlign w:val="superscript"/>
          <w:lang w:val="pt-BR"/>
        </w:rPr>
        <w:footnoteReference w:id="64"/>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O</w:t>
      </w:r>
      <w:r w:rsidR="00FD6942" w:rsidRPr="00337743">
        <w:rPr>
          <w:rFonts w:ascii="Cambria" w:hAnsi="Cambria"/>
          <w:color w:val="000000"/>
          <w:sz w:val="20"/>
          <w:szCs w:val="20"/>
          <w:lang w:val="pt-BR"/>
        </w:rPr>
        <w:t xml:space="preserve"> réu </w:t>
      </w:r>
      <w:r w:rsidR="00011803" w:rsidRPr="00337743">
        <w:rPr>
          <w:rFonts w:ascii="Cambria" w:hAnsi="Cambria"/>
          <w:color w:val="000000"/>
          <w:sz w:val="20"/>
          <w:szCs w:val="20"/>
          <w:lang w:val="pt-BR"/>
        </w:rPr>
        <w:t>a</w:t>
      </w:r>
      <w:r w:rsidR="00034F0A" w:rsidRPr="00337743">
        <w:rPr>
          <w:rFonts w:ascii="Cambria" w:hAnsi="Cambria"/>
          <w:color w:val="000000"/>
          <w:sz w:val="20"/>
          <w:szCs w:val="20"/>
          <w:lang w:val="pt-BR"/>
        </w:rPr>
        <w:t>present</w:t>
      </w:r>
      <w:r w:rsidR="00362A4F" w:rsidRPr="00337743">
        <w:rPr>
          <w:rFonts w:ascii="Cambria" w:hAnsi="Cambria"/>
          <w:color w:val="000000"/>
          <w:sz w:val="20"/>
          <w:szCs w:val="20"/>
          <w:lang w:val="pt-BR"/>
        </w:rPr>
        <w:t>ou</w:t>
      </w:r>
      <w:r w:rsidR="00034F0A" w:rsidRPr="00337743">
        <w:rPr>
          <w:rFonts w:ascii="Cambria" w:hAnsi="Cambria"/>
          <w:color w:val="000000"/>
          <w:sz w:val="20"/>
          <w:szCs w:val="20"/>
          <w:lang w:val="pt-BR"/>
        </w:rPr>
        <w:t xml:space="preserve"> recurso</w:t>
      </w:r>
      <w:r w:rsidR="00BF72CE" w:rsidRPr="00337743">
        <w:rPr>
          <w:rFonts w:ascii="Cambria" w:hAnsi="Cambria"/>
          <w:color w:val="000000"/>
          <w:sz w:val="20"/>
          <w:szCs w:val="20"/>
          <w:lang w:val="pt-BR"/>
        </w:rPr>
        <w:t xml:space="preserve"> ao </w:t>
      </w:r>
      <w:r w:rsidR="00034F0A" w:rsidRPr="00337743">
        <w:rPr>
          <w:rFonts w:ascii="Cambria" w:hAnsi="Cambria"/>
          <w:color w:val="000000"/>
          <w:sz w:val="20"/>
          <w:szCs w:val="20"/>
          <w:lang w:val="pt-BR"/>
        </w:rPr>
        <w:t xml:space="preserve">Superior Tribunal de </w:t>
      </w:r>
      <w:r w:rsidR="00E96C24" w:rsidRPr="00337743">
        <w:rPr>
          <w:rFonts w:ascii="Cambria" w:hAnsi="Cambria"/>
          <w:color w:val="000000"/>
          <w:sz w:val="20"/>
          <w:szCs w:val="20"/>
          <w:lang w:val="pt-BR"/>
        </w:rPr>
        <w:t>Justiça</w:t>
      </w:r>
      <w:r w:rsidR="00506331"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17 de </w:t>
      </w:r>
      <w:r w:rsidR="00362A4F" w:rsidRPr="00337743">
        <w:rPr>
          <w:rFonts w:ascii="Cambria" w:hAnsi="Cambria"/>
          <w:color w:val="000000"/>
          <w:sz w:val="20"/>
          <w:szCs w:val="20"/>
          <w:lang w:val="pt-BR"/>
        </w:rPr>
        <w:t>fevereiro</w:t>
      </w:r>
      <w:r w:rsidR="00034F0A" w:rsidRPr="00337743">
        <w:rPr>
          <w:rFonts w:ascii="Cambria" w:hAnsi="Cambria"/>
          <w:color w:val="000000"/>
          <w:sz w:val="20"/>
          <w:szCs w:val="20"/>
          <w:lang w:val="pt-BR"/>
        </w:rPr>
        <w:t xml:space="preserve"> de 2006</w:t>
      </w:r>
      <w:r w:rsidR="00574C37" w:rsidRPr="00337743">
        <w:rPr>
          <w:rFonts w:ascii="Cambria" w:hAnsi="Cambria"/>
          <w:color w:val="000000"/>
          <w:sz w:val="20"/>
          <w:szCs w:val="20"/>
          <w:vertAlign w:val="superscript"/>
          <w:lang w:val="pt-BR"/>
        </w:rPr>
        <w:footnoteReference w:id="65"/>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25 de </w:t>
      </w:r>
      <w:r w:rsidR="001B5C51" w:rsidRPr="00337743">
        <w:rPr>
          <w:rFonts w:ascii="Cambria" w:hAnsi="Cambria"/>
          <w:color w:val="000000"/>
          <w:sz w:val="20"/>
          <w:szCs w:val="20"/>
          <w:lang w:val="pt-BR"/>
        </w:rPr>
        <w:t>maio</w:t>
      </w:r>
      <w:r w:rsidR="00034F0A" w:rsidRPr="00337743">
        <w:rPr>
          <w:rFonts w:ascii="Cambria" w:hAnsi="Cambria"/>
          <w:color w:val="000000"/>
          <w:sz w:val="20"/>
          <w:szCs w:val="20"/>
          <w:lang w:val="pt-BR"/>
        </w:rPr>
        <w:t xml:space="preserve"> de 2006,</w:t>
      </w:r>
      <w:r w:rsidR="00506331" w:rsidRPr="00337743">
        <w:rPr>
          <w:rFonts w:ascii="Cambria" w:hAnsi="Cambria"/>
          <w:color w:val="000000"/>
          <w:sz w:val="20"/>
          <w:szCs w:val="20"/>
          <w:lang w:val="pt-BR"/>
        </w:rPr>
        <w:t xml:space="preserve"> o </w:t>
      </w:r>
      <w:r w:rsidR="00034F0A" w:rsidRPr="00337743">
        <w:rPr>
          <w:rFonts w:ascii="Cambria" w:hAnsi="Cambria"/>
          <w:color w:val="000000"/>
          <w:sz w:val="20"/>
          <w:szCs w:val="20"/>
          <w:lang w:val="pt-BR"/>
        </w:rPr>
        <w:t>Procurador-General emiti</w:t>
      </w:r>
      <w:r w:rsidR="00A97ED4" w:rsidRPr="00337743">
        <w:rPr>
          <w:rFonts w:ascii="Cambria" w:hAnsi="Cambria"/>
          <w:color w:val="000000"/>
          <w:sz w:val="20"/>
          <w:szCs w:val="20"/>
          <w:lang w:val="pt-BR"/>
        </w:rPr>
        <w:t>u</w:t>
      </w:r>
      <w:r w:rsidR="00034F0A" w:rsidRPr="00337743">
        <w:rPr>
          <w:rFonts w:ascii="Cambria" w:hAnsi="Cambria"/>
          <w:color w:val="000000"/>
          <w:sz w:val="20"/>
          <w:szCs w:val="20"/>
          <w:lang w:val="pt-BR"/>
        </w:rPr>
        <w:t xml:space="preserve"> </w:t>
      </w:r>
      <w:r w:rsidR="002731A2" w:rsidRPr="00337743">
        <w:rPr>
          <w:rFonts w:ascii="Cambria" w:hAnsi="Cambria"/>
          <w:color w:val="000000"/>
          <w:sz w:val="20"/>
          <w:szCs w:val="20"/>
          <w:lang w:val="pt-BR"/>
        </w:rPr>
        <w:t>p</w:t>
      </w:r>
      <w:r w:rsidR="00034F0A" w:rsidRPr="00337743">
        <w:rPr>
          <w:rFonts w:ascii="Cambria" w:hAnsi="Cambria"/>
          <w:color w:val="000000"/>
          <w:sz w:val="20"/>
          <w:szCs w:val="20"/>
          <w:lang w:val="pt-BR"/>
        </w:rPr>
        <w:t>arecer opinando</w:t>
      </w:r>
      <w:r w:rsidR="00091880" w:rsidRPr="00337743">
        <w:rPr>
          <w:rFonts w:ascii="Cambria" w:hAnsi="Cambria"/>
          <w:color w:val="000000"/>
          <w:sz w:val="20"/>
          <w:szCs w:val="20"/>
          <w:lang w:val="pt-BR"/>
        </w:rPr>
        <w:t xml:space="preserve"> pel</w:t>
      </w:r>
      <w:r w:rsidR="00011803" w:rsidRPr="00337743">
        <w:rPr>
          <w:rFonts w:ascii="Cambria" w:hAnsi="Cambria"/>
          <w:color w:val="000000"/>
          <w:sz w:val="20"/>
          <w:szCs w:val="20"/>
          <w:lang w:val="pt-BR"/>
        </w:rPr>
        <w:t>a</w:t>
      </w:r>
      <w:r w:rsidR="00091880"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re</w:t>
      </w:r>
      <w:r w:rsidR="00011803" w:rsidRPr="00337743">
        <w:rPr>
          <w:rFonts w:ascii="Cambria" w:hAnsi="Cambria"/>
          <w:color w:val="000000"/>
          <w:sz w:val="20"/>
          <w:szCs w:val="20"/>
          <w:lang w:val="pt-BR"/>
        </w:rPr>
        <w:t>jeição</w:t>
      </w:r>
      <w:r w:rsidR="007707E3" w:rsidRPr="00337743">
        <w:rPr>
          <w:rFonts w:ascii="Cambria" w:hAnsi="Cambria"/>
          <w:color w:val="000000"/>
          <w:sz w:val="20"/>
          <w:szCs w:val="20"/>
          <w:lang w:val="pt-BR"/>
        </w:rPr>
        <w:t xml:space="preserve"> do </w:t>
      </w:r>
      <w:r w:rsidR="00034F0A" w:rsidRPr="00337743">
        <w:rPr>
          <w:rFonts w:ascii="Cambria" w:hAnsi="Cambria"/>
          <w:color w:val="000000"/>
          <w:sz w:val="20"/>
          <w:szCs w:val="20"/>
          <w:lang w:val="pt-BR"/>
        </w:rPr>
        <w:t>recurso</w:t>
      </w:r>
      <w:r w:rsidR="00574C37" w:rsidRPr="00337743">
        <w:rPr>
          <w:rFonts w:ascii="Cambria" w:hAnsi="Cambria"/>
          <w:color w:val="000000"/>
          <w:sz w:val="20"/>
          <w:szCs w:val="20"/>
          <w:vertAlign w:val="superscript"/>
          <w:lang w:val="pt-BR"/>
        </w:rPr>
        <w:footnoteReference w:id="66"/>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17 de </w:t>
      </w:r>
      <w:r w:rsidR="003E7207" w:rsidRPr="00337743">
        <w:rPr>
          <w:rFonts w:ascii="Cambria" w:hAnsi="Cambria"/>
          <w:color w:val="000000"/>
          <w:sz w:val="20"/>
          <w:szCs w:val="20"/>
          <w:lang w:val="pt-BR"/>
        </w:rPr>
        <w:t>julho</w:t>
      </w:r>
      <w:r w:rsidR="00034F0A" w:rsidRPr="00337743">
        <w:rPr>
          <w:rFonts w:ascii="Cambria" w:hAnsi="Cambria"/>
          <w:color w:val="000000"/>
          <w:sz w:val="20"/>
          <w:szCs w:val="20"/>
          <w:lang w:val="pt-BR"/>
        </w:rPr>
        <w:t xml:space="preserve"> de 2006,</w:t>
      </w:r>
      <w:r w:rsidR="00506331" w:rsidRPr="00337743">
        <w:rPr>
          <w:rFonts w:ascii="Cambria" w:hAnsi="Cambria"/>
          <w:color w:val="000000"/>
          <w:sz w:val="20"/>
          <w:szCs w:val="20"/>
          <w:lang w:val="pt-BR"/>
        </w:rPr>
        <w:t xml:space="preserve"> o </w:t>
      </w:r>
      <w:r w:rsidR="00034F0A" w:rsidRPr="00337743">
        <w:rPr>
          <w:rFonts w:ascii="Cambria" w:hAnsi="Cambria"/>
          <w:color w:val="000000"/>
          <w:sz w:val="20"/>
          <w:szCs w:val="20"/>
          <w:lang w:val="pt-BR"/>
        </w:rPr>
        <w:t xml:space="preserve">Tribunal </w:t>
      </w:r>
      <w:r w:rsidR="00362A4F" w:rsidRPr="00337743">
        <w:rPr>
          <w:rFonts w:ascii="Cambria" w:hAnsi="Cambria"/>
          <w:color w:val="000000"/>
          <w:sz w:val="20"/>
          <w:szCs w:val="20"/>
          <w:lang w:val="pt-BR"/>
        </w:rPr>
        <w:t xml:space="preserve">não </w:t>
      </w:r>
      <w:r w:rsidR="00034F0A" w:rsidRPr="00337743">
        <w:rPr>
          <w:rFonts w:ascii="Cambria" w:hAnsi="Cambria"/>
          <w:color w:val="000000"/>
          <w:sz w:val="20"/>
          <w:szCs w:val="20"/>
          <w:lang w:val="pt-BR"/>
        </w:rPr>
        <w:t>admiti</w:t>
      </w:r>
      <w:r w:rsidR="00362A4F" w:rsidRPr="00337743">
        <w:rPr>
          <w:rFonts w:ascii="Cambria" w:hAnsi="Cambria"/>
          <w:color w:val="000000"/>
          <w:sz w:val="20"/>
          <w:szCs w:val="20"/>
          <w:lang w:val="pt-BR"/>
        </w:rPr>
        <w:t>u</w:t>
      </w:r>
      <w:r w:rsidR="00506331" w:rsidRPr="00337743">
        <w:rPr>
          <w:rFonts w:ascii="Cambria" w:hAnsi="Cambria"/>
          <w:color w:val="000000"/>
          <w:sz w:val="20"/>
          <w:szCs w:val="20"/>
          <w:lang w:val="pt-BR"/>
        </w:rPr>
        <w:t xml:space="preserve"> o </w:t>
      </w:r>
      <w:r w:rsidR="00034F0A" w:rsidRPr="00337743">
        <w:rPr>
          <w:rFonts w:ascii="Cambria" w:hAnsi="Cambria"/>
          <w:color w:val="000000"/>
          <w:sz w:val="20"/>
          <w:szCs w:val="20"/>
          <w:lang w:val="pt-BR"/>
        </w:rPr>
        <w:t>recurso</w:t>
      </w:r>
      <w:r w:rsidR="00574C37" w:rsidRPr="00337743">
        <w:rPr>
          <w:rFonts w:ascii="Cambria" w:hAnsi="Cambria"/>
          <w:color w:val="000000"/>
          <w:sz w:val="20"/>
          <w:szCs w:val="20"/>
          <w:vertAlign w:val="superscript"/>
          <w:lang w:val="pt-BR"/>
        </w:rPr>
        <w:footnoteReference w:id="67"/>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011803"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4 de agosto de 2006,</w:t>
      </w:r>
      <w:r w:rsidR="00506331" w:rsidRPr="00337743">
        <w:rPr>
          <w:rFonts w:ascii="Cambria" w:hAnsi="Cambria"/>
          <w:color w:val="000000"/>
          <w:sz w:val="20"/>
          <w:szCs w:val="20"/>
          <w:lang w:val="pt-BR"/>
        </w:rPr>
        <w:t xml:space="preserve"> a </w:t>
      </w:r>
      <w:r w:rsidR="00894152" w:rsidRPr="00337743">
        <w:rPr>
          <w:rFonts w:ascii="Cambria" w:hAnsi="Cambria"/>
          <w:color w:val="000000"/>
          <w:sz w:val="20"/>
          <w:szCs w:val="20"/>
          <w:lang w:val="pt-BR"/>
        </w:rPr>
        <w:t>defesa</w:t>
      </w:r>
      <w:r w:rsidR="00034F0A" w:rsidRPr="00337743">
        <w:rPr>
          <w:rFonts w:ascii="Cambria" w:hAnsi="Cambria"/>
          <w:color w:val="000000"/>
          <w:sz w:val="20"/>
          <w:szCs w:val="20"/>
          <w:lang w:val="pt-BR"/>
        </w:rPr>
        <w:t xml:space="preserve"> de Aércio </w:t>
      </w:r>
      <w:r w:rsidR="00D13CF5" w:rsidRPr="00337743">
        <w:rPr>
          <w:rFonts w:ascii="Cambria" w:hAnsi="Cambria"/>
          <w:color w:val="000000"/>
          <w:sz w:val="20"/>
          <w:szCs w:val="20"/>
          <w:lang w:val="pt-BR"/>
        </w:rPr>
        <w:t>interp</w:t>
      </w:r>
      <w:r w:rsidR="00362A4F" w:rsidRPr="00337743">
        <w:rPr>
          <w:rFonts w:ascii="Cambria" w:hAnsi="Cambria"/>
          <w:color w:val="000000"/>
          <w:sz w:val="20"/>
          <w:szCs w:val="20"/>
          <w:lang w:val="pt-BR"/>
        </w:rPr>
        <w:t>ôs</w:t>
      </w:r>
      <w:r w:rsidR="00091880" w:rsidRPr="00337743">
        <w:rPr>
          <w:rFonts w:ascii="Cambria" w:hAnsi="Cambria"/>
          <w:color w:val="000000"/>
          <w:sz w:val="20"/>
          <w:szCs w:val="20"/>
          <w:lang w:val="pt-BR"/>
        </w:rPr>
        <w:t xml:space="preserve"> um </w:t>
      </w:r>
      <w:r w:rsidR="00034F0A" w:rsidRPr="00337743">
        <w:rPr>
          <w:rFonts w:ascii="Cambria" w:hAnsi="Cambria"/>
          <w:color w:val="000000"/>
          <w:sz w:val="20"/>
          <w:szCs w:val="20"/>
          <w:lang w:val="pt-BR"/>
        </w:rPr>
        <w:t>recurso contra</w:t>
      </w:r>
      <w:r w:rsidR="00506331" w:rsidRPr="00337743">
        <w:rPr>
          <w:rFonts w:ascii="Cambria" w:hAnsi="Cambria"/>
          <w:color w:val="000000"/>
          <w:sz w:val="20"/>
          <w:szCs w:val="20"/>
          <w:lang w:val="pt-BR"/>
        </w:rPr>
        <w:t xml:space="preserve"> a </w:t>
      </w:r>
      <w:r w:rsidR="00C061E3" w:rsidRPr="00337743">
        <w:rPr>
          <w:rFonts w:ascii="Cambria" w:hAnsi="Cambria"/>
          <w:color w:val="000000"/>
          <w:sz w:val="20"/>
          <w:szCs w:val="20"/>
          <w:lang w:val="pt-BR"/>
        </w:rPr>
        <w:t>decisão</w:t>
      </w:r>
      <w:r w:rsidR="00034F0A" w:rsidRPr="00337743">
        <w:rPr>
          <w:rFonts w:ascii="Cambria" w:hAnsi="Cambria"/>
          <w:color w:val="000000"/>
          <w:sz w:val="20"/>
          <w:szCs w:val="20"/>
          <w:lang w:val="pt-BR"/>
        </w:rPr>
        <w:t xml:space="preserve"> que </w:t>
      </w:r>
      <w:r w:rsidR="00362A4F" w:rsidRPr="00337743">
        <w:rPr>
          <w:rFonts w:ascii="Cambria" w:hAnsi="Cambria"/>
          <w:color w:val="000000"/>
          <w:sz w:val="20"/>
          <w:szCs w:val="20"/>
          <w:lang w:val="pt-BR"/>
        </w:rPr>
        <w:t xml:space="preserve">não </w:t>
      </w:r>
      <w:r w:rsidR="00034F0A" w:rsidRPr="00337743">
        <w:rPr>
          <w:rFonts w:ascii="Cambria" w:hAnsi="Cambria"/>
          <w:color w:val="000000"/>
          <w:sz w:val="20"/>
          <w:szCs w:val="20"/>
          <w:lang w:val="pt-BR"/>
        </w:rPr>
        <w:t>admiti</w:t>
      </w:r>
      <w:r w:rsidR="00362A4F" w:rsidRPr="00337743">
        <w:rPr>
          <w:rFonts w:ascii="Cambria" w:hAnsi="Cambria"/>
          <w:color w:val="000000"/>
          <w:sz w:val="20"/>
          <w:szCs w:val="20"/>
          <w:lang w:val="pt-BR"/>
        </w:rPr>
        <w:t>u</w:t>
      </w:r>
      <w:r w:rsidR="00506331" w:rsidRPr="00337743">
        <w:rPr>
          <w:rFonts w:ascii="Cambria" w:hAnsi="Cambria"/>
          <w:color w:val="000000"/>
          <w:sz w:val="20"/>
          <w:szCs w:val="20"/>
          <w:lang w:val="pt-BR"/>
        </w:rPr>
        <w:t xml:space="preserve"> o </w:t>
      </w:r>
      <w:r w:rsidR="00034F0A" w:rsidRPr="00337743">
        <w:rPr>
          <w:rFonts w:ascii="Cambria" w:hAnsi="Cambria"/>
          <w:color w:val="000000"/>
          <w:sz w:val="20"/>
          <w:szCs w:val="20"/>
          <w:lang w:val="pt-BR"/>
        </w:rPr>
        <w:t>recurso anterior. Este último recurso</w:t>
      </w:r>
      <w:r w:rsidR="00091880" w:rsidRPr="00337743">
        <w:rPr>
          <w:rFonts w:ascii="Cambria" w:hAnsi="Cambria"/>
          <w:color w:val="000000"/>
          <w:sz w:val="20"/>
          <w:szCs w:val="20"/>
          <w:lang w:val="pt-BR"/>
        </w:rPr>
        <w:t xml:space="preserve"> foi </w:t>
      </w:r>
      <w:r w:rsidR="00034F0A" w:rsidRPr="00337743">
        <w:rPr>
          <w:rFonts w:ascii="Cambria" w:hAnsi="Cambria"/>
          <w:color w:val="000000"/>
          <w:sz w:val="20"/>
          <w:szCs w:val="20"/>
          <w:lang w:val="pt-BR"/>
        </w:rPr>
        <w:t>enviado</w:t>
      </w:r>
      <w:r w:rsidR="00BF72CE" w:rsidRPr="00337743">
        <w:rPr>
          <w:rFonts w:ascii="Cambria" w:hAnsi="Cambria"/>
          <w:color w:val="000000"/>
          <w:sz w:val="20"/>
          <w:szCs w:val="20"/>
          <w:lang w:val="pt-BR"/>
        </w:rPr>
        <w:t xml:space="preserve"> ao </w:t>
      </w:r>
      <w:r w:rsidR="00034F0A" w:rsidRPr="00337743">
        <w:rPr>
          <w:rFonts w:ascii="Cambria" w:hAnsi="Cambria"/>
          <w:color w:val="000000"/>
          <w:sz w:val="20"/>
          <w:szCs w:val="20"/>
          <w:lang w:val="pt-BR"/>
        </w:rPr>
        <w:t xml:space="preserve">Superior Tribunal de </w:t>
      </w:r>
      <w:r w:rsidR="00E96C24" w:rsidRPr="00337743">
        <w:rPr>
          <w:rFonts w:ascii="Cambria" w:hAnsi="Cambria"/>
          <w:color w:val="000000"/>
          <w:sz w:val="20"/>
          <w:szCs w:val="20"/>
          <w:lang w:val="pt-BR"/>
        </w:rPr>
        <w:t>Justiça</w:t>
      </w:r>
      <w:r w:rsidR="00506331" w:rsidRPr="00337743">
        <w:rPr>
          <w:rFonts w:ascii="Cambria" w:hAnsi="Cambria"/>
          <w:color w:val="000000"/>
          <w:sz w:val="20"/>
          <w:szCs w:val="20"/>
          <w:lang w:val="pt-BR"/>
        </w:rPr>
        <w:t xml:space="preserve"> </w:t>
      </w:r>
      <w:r w:rsidR="00362A4F"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19 de </w:t>
      </w:r>
      <w:r w:rsidR="00362A4F" w:rsidRPr="00337743">
        <w:rPr>
          <w:rFonts w:ascii="Cambria" w:hAnsi="Cambria"/>
          <w:color w:val="000000"/>
          <w:sz w:val="20"/>
          <w:szCs w:val="20"/>
          <w:lang w:val="pt-BR"/>
        </w:rPr>
        <w:t>janeiro</w:t>
      </w:r>
      <w:r w:rsidR="00034F0A" w:rsidRPr="00337743">
        <w:rPr>
          <w:rFonts w:ascii="Cambria" w:hAnsi="Cambria"/>
          <w:color w:val="000000"/>
          <w:sz w:val="20"/>
          <w:szCs w:val="20"/>
          <w:lang w:val="pt-BR"/>
        </w:rPr>
        <w:t xml:space="preserve"> de 2007</w:t>
      </w:r>
      <w:r w:rsidR="00574C37" w:rsidRPr="00337743">
        <w:rPr>
          <w:rFonts w:ascii="Cambria" w:hAnsi="Cambria"/>
          <w:color w:val="000000"/>
          <w:sz w:val="20"/>
          <w:szCs w:val="20"/>
          <w:vertAlign w:val="superscript"/>
          <w:lang w:val="pt-BR"/>
        </w:rPr>
        <w:footnoteReference w:id="68"/>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003E7207" w:rsidRPr="00337743">
        <w:rPr>
          <w:rFonts w:ascii="Cambria" w:hAnsi="Cambria"/>
          <w:color w:val="000000"/>
          <w:sz w:val="20"/>
          <w:szCs w:val="20"/>
          <w:lang w:val="pt-BR"/>
        </w:rPr>
        <w:t>Ministério</w:t>
      </w:r>
      <w:r w:rsidR="00B97B7B" w:rsidRPr="00337743">
        <w:rPr>
          <w:rFonts w:ascii="Cambria" w:hAnsi="Cambria"/>
          <w:color w:val="000000"/>
          <w:sz w:val="20"/>
          <w:szCs w:val="20"/>
          <w:lang w:val="pt-BR"/>
        </w:rPr>
        <w:t xml:space="preserve"> Público</w:t>
      </w:r>
      <w:r w:rsidR="00034F0A" w:rsidRPr="00337743">
        <w:rPr>
          <w:rFonts w:ascii="Cambria" w:hAnsi="Cambria"/>
          <w:color w:val="000000"/>
          <w:sz w:val="20"/>
          <w:szCs w:val="20"/>
          <w:lang w:val="pt-BR"/>
        </w:rPr>
        <w:t xml:space="preserve"> finalmente </w:t>
      </w:r>
      <w:r w:rsidR="00CD4012" w:rsidRPr="00337743">
        <w:rPr>
          <w:rFonts w:ascii="Cambria" w:hAnsi="Cambria"/>
          <w:color w:val="000000"/>
          <w:sz w:val="20"/>
          <w:szCs w:val="20"/>
          <w:lang w:val="pt-BR"/>
        </w:rPr>
        <w:t>a</w:t>
      </w:r>
      <w:r w:rsidR="00034F0A" w:rsidRPr="00337743">
        <w:rPr>
          <w:rFonts w:ascii="Cambria" w:hAnsi="Cambria"/>
          <w:color w:val="000000"/>
          <w:sz w:val="20"/>
          <w:szCs w:val="20"/>
          <w:lang w:val="pt-BR"/>
        </w:rPr>
        <w:t>present</w:t>
      </w:r>
      <w:r w:rsidR="00CD4012" w:rsidRPr="00337743">
        <w:rPr>
          <w:rFonts w:ascii="Cambria" w:hAnsi="Cambria"/>
          <w:color w:val="000000"/>
          <w:sz w:val="20"/>
          <w:szCs w:val="20"/>
          <w:lang w:val="pt-BR"/>
        </w:rPr>
        <w:t>ou</w:t>
      </w:r>
      <w:r w:rsidR="00506331" w:rsidRPr="00337743">
        <w:rPr>
          <w:rFonts w:ascii="Cambria" w:hAnsi="Cambria"/>
          <w:color w:val="000000"/>
          <w:sz w:val="20"/>
          <w:szCs w:val="20"/>
          <w:lang w:val="pt-BR"/>
        </w:rPr>
        <w:t xml:space="preserve"> o </w:t>
      </w:r>
      <w:r w:rsidR="00034F0A" w:rsidRPr="00337743">
        <w:rPr>
          <w:rFonts w:ascii="Cambria" w:hAnsi="Cambria"/>
          <w:color w:val="000000"/>
          <w:sz w:val="20"/>
          <w:szCs w:val="20"/>
          <w:lang w:val="pt-BR"/>
        </w:rPr>
        <w:t xml:space="preserve">libelo </w:t>
      </w:r>
      <w:r w:rsidR="001B5C51" w:rsidRPr="00337743">
        <w:rPr>
          <w:rFonts w:ascii="Cambria" w:hAnsi="Cambria"/>
          <w:color w:val="000000"/>
          <w:sz w:val="20"/>
          <w:szCs w:val="20"/>
          <w:lang w:val="pt-BR"/>
        </w:rPr>
        <w:t>acusatório</w:t>
      </w:r>
      <w:r w:rsidR="00506331"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21 de </w:t>
      </w:r>
      <w:r w:rsidR="00362A4F" w:rsidRPr="00337743">
        <w:rPr>
          <w:rFonts w:ascii="Cambria" w:hAnsi="Cambria"/>
          <w:color w:val="000000"/>
          <w:sz w:val="20"/>
          <w:szCs w:val="20"/>
          <w:lang w:val="pt-BR"/>
        </w:rPr>
        <w:t>fevereiro</w:t>
      </w:r>
      <w:r w:rsidR="00034F0A" w:rsidRPr="00337743">
        <w:rPr>
          <w:rFonts w:ascii="Cambria" w:hAnsi="Cambria"/>
          <w:color w:val="000000"/>
          <w:sz w:val="20"/>
          <w:szCs w:val="20"/>
          <w:lang w:val="pt-BR"/>
        </w:rPr>
        <w:t xml:space="preserve"> de 2007</w:t>
      </w:r>
      <w:r w:rsidR="00574C37" w:rsidRPr="00337743">
        <w:rPr>
          <w:rFonts w:ascii="Cambria" w:hAnsi="Cambria"/>
          <w:color w:val="000000"/>
          <w:sz w:val="20"/>
          <w:szCs w:val="20"/>
          <w:vertAlign w:val="superscript"/>
          <w:lang w:val="pt-BR"/>
        </w:rPr>
        <w:footnoteReference w:id="69"/>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9C7297" w:rsidRPr="00337743">
        <w:rPr>
          <w:rFonts w:ascii="Cambria" w:hAnsi="Cambria"/>
          <w:color w:val="000000"/>
          <w:sz w:val="20"/>
          <w:szCs w:val="20"/>
          <w:lang w:val="pt-BR"/>
        </w:rPr>
        <w:t>contesta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034F0A" w:rsidRPr="00337743">
        <w:rPr>
          <w:rFonts w:ascii="Cambria" w:hAnsi="Cambria"/>
          <w:color w:val="000000"/>
          <w:sz w:val="20"/>
          <w:szCs w:val="20"/>
          <w:lang w:val="pt-BR"/>
        </w:rPr>
        <w:t>libelo</w:t>
      </w:r>
      <w:r w:rsidR="00091880" w:rsidRPr="00337743">
        <w:rPr>
          <w:rFonts w:ascii="Cambria" w:hAnsi="Cambria"/>
          <w:color w:val="000000"/>
          <w:sz w:val="20"/>
          <w:szCs w:val="20"/>
          <w:lang w:val="pt-BR"/>
        </w:rPr>
        <w:t xml:space="preserve"> foi </w:t>
      </w:r>
      <w:r w:rsidR="00CD4012" w:rsidRPr="00337743">
        <w:rPr>
          <w:rFonts w:ascii="Cambria" w:hAnsi="Cambria"/>
          <w:color w:val="000000"/>
          <w:sz w:val="20"/>
          <w:szCs w:val="20"/>
          <w:lang w:val="pt-BR"/>
        </w:rPr>
        <w:t>a</w:t>
      </w:r>
      <w:r w:rsidR="00034F0A" w:rsidRPr="00337743">
        <w:rPr>
          <w:rFonts w:ascii="Cambria" w:hAnsi="Cambria"/>
          <w:color w:val="000000"/>
          <w:sz w:val="20"/>
          <w:szCs w:val="20"/>
          <w:lang w:val="pt-BR"/>
        </w:rPr>
        <w:t>presentad</w:t>
      </w:r>
      <w:r w:rsidR="009C7297" w:rsidRPr="00337743">
        <w:rPr>
          <w:rFonts w:ascii="Cambria" w:hAnsi="Cambria"/>
          <w:color w:val="000000"/>
          <w:sz w:val="20"/>
          <w:szCs w:val="20"/>
          <w:lang w:val="pt-BR"/>
        </w:rPr>
        <w:t>a</w:t>
      </w:r>
      <w:r w:rsidR="00C6641C" w:rsidRPr="00337743">
        <w:rPr>
          <w:rFonts w:ascii="Cambria" w:hAnsi="Cambria"/>
          <w:color w:val="000000"/>
          <w:sz w:val="20"/>
          <w:szCs w:val="20"/>
          <w:lang w:val="pt-BR"/>
        </w:rPr>
        <w:t xml:space="preserve"> pela </w:t>
      </w:r>
      <w:r w:rsidR="00894152" w:rsidRPr="00337743">
        <w:rPr>
          <w:rFonts w:ascii="Cambria" w:hAnsi="Cambria"/>
          <w:color w:val="000000"/>
          <w:sz w:val="20"/>
          <w:szCs w:val="20"/>
          <w:lang w:val="pt-BR"/>
        </w:rPr>
        <w:t>defesa</w:t>
      </w:r>
      <w:r w:rsidR="00506331"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19 de </w:t>
      </w:r>
      <w:r w:rsidR="00320DBA" w:rsidRPr="00337743">
        <w:rPr>
          <w:rFonts w:ascii="Cambria" w:hAnsi="Cambria"/>
          <w:color w:val="000000"/>
          <w:sz w:val="20"/>
          <w:szCs w:val="20"/>
          <w:lang w:val="pt-BR"/>
        </w:rPr>
        <w:t>março</w:t>
      </w:r>
      <w:r w:rsidR="00034F0A" w:rsidRPr="00337743">
        <w:rPr>
          <w:rFonts w:ascii="Cambria" w:hAnsi="Cambria"/>
          <w:color w:val="000000"/>
          <w:sz w:val="20"/>
          <w:szCs w:val="20"/>
          <w:lang w:val="pt-BR"/>
        </w:rPr>
        <w:t xml:space="preserve"> de 2007</w:t>
      </w:r>
      <w:r w:rsidR="00574C37" w:rsidRPr="00337743">
        <w:rPr>
          <w:rFonts w:ascii="Cambria" w:hAnsi="Cambria"/>
          <w:color w:val="000000"/>
          <w:sz w:val="20"/>
          <w:szCs w:val="20"/>
          <w:vertAlign w:val="superscript"/>
          <w:lang w:val="pt-BR"/>
        </w:rPr>
        <w:footnoteReference w:id="70"/>
      </w:r>
      <w:r w:rsidR="00034F0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Tribunal d</w:t>
      </w:r>
      <w:r w:rsidR="00CD4012" w:rsidRPr="00337743">
        <w:rPr>
          <w:rFonts w:ascii="Cambria" w:hAnsi="Cambria"/>
          <w:color w:val="000000"/>
          <w:sz w:val="20"/>
          <w:szCs w:val="20"/>
          <w:lang w:val="pt-BR"/>
        </w:rPr>
        <w:t>o</w:t>
      </w:r>
      <w:r w:rsidR="00034F0A" w:rsidRPr="00337743">
        <w:rPr>
          <w:rFonts w:ascii="Cambria" w:hAnsi="Cambria"/>
          <w:color w:val="000000"/>
          <w:sz w:val="20"/>
          <w:szCs w:val="20"/>
          <w:lang w:val="pt-BR"/>
        </w:rPr>
        <w:t xml:space="preserve"> J</w:t>
      </w:r>
      <w:r w:rsidR="00CD4012" w:rsidRPr="00337743">
        <w:rPr>
          <w:rFonts w:ascii="Cambria" w:hAnsi="Cambria"/>
          <w:color w:val="000000"/>
          <w:sz w:val="20"/>
          <w:szCs w:val="20"/>
          <w:lang w:val="pt-BR"/>
        </w:rPr>
        <w:t>úri</w:t>
      </w:r>
      <w:r w:rsidR="00034F0A" w:rsidRPr="00337743">
        <w:rPr>
          <w:rFonts w:ascii="Cambria" w:hAnsi="Cambria"/>
          <w:color w:val="000000"/>
          <w:sz w:val="20"/>
          <w:szCs w:val="20"/>
          <w:lang w:val="pt-BR"/>
        </w:rPr>
        <w:t xml:space="preserve"> realiz</w:t>
      </w:r>
      <w:r w:rsidR="00CD4012" w:rsidRPr="00337743">
        <w:rPr>
          <w:rFonts w:ascii="Cambria" w:hAnsi="Cambria"/>
          <w:color w:val="000000"/>
          <w:sz w:val="20"/>
          <w:szCs w:val="20"/>
          <w:lang w:val="pt-BR"/>
        </w:rPr>
        <w:t>ou</w:t>
      </w:r>
      <w:r w:rsidR="00034F0A" w:rsidRPr="00337743">
        <w:rPr>
          <w:rFonts w:ascii="Cambria" w:hAnsi="Cambria"/>
          <w:color w:val="000000"/>
          <w:sz w:val="20"/>
          <w:szCs w:val="20"/>
          <w:lang w:val="pt-BR"/>
        </w:rPr>
        <w:t xml:space="preserve"> su</w:t>
      </w:r>
      <w:r w:rsidR="00CD4012" w:rsidRPr="00337743">
        <w:rPr>
          <w:rFonts w:ascii="Cambria" w:hAnsi="Cambria"/>
          <w:color w:val="000000"/>
          <w:sz w:val="20"/>
          <w:szCs w:val="20"/>
          <w:lang w:val="pt-BR"/>
        </w:rPr>
        <w:t>a</w:t>
      </w:r>
      <w:r w:rsidR="00034F0A" w:rsidRPr="00337743">
        <w:rPr>
          <w:rFonts w:ascii="Cambria" w:hAnsi="Cambria"/>
          <w:color w:val="000000"/>
          <w:sz w:val="20"/>
          <w:szCs w:val="20"/>
          <w:lang w:val="pt-BR"/>
        </w:rPr>
        <w:t xml:space="preserve"> </w:t>
      </w:r>
      <w:r w:rsidR="001B5C51" w:rsidRPr="00337743">
        <w:rPr>
          <w:rFonts w:ascii="Cambria" w:hAnsi="Cambria"/>
          <w:color w:val="000000"/>
          <w:sz w:val="20"/>
          <w:szCs w:val="20"/>
          <w:lang w:val="pt-BR"/>
        </w:rPr>
        <w:t>primeira</w:t>
      </w:r>
      <w:r w:rsidR="00034F0A" w:rsidRPr="00337743">
        <w:rPr>
          <w:rFonts w:ascii="Cambria" w:hAnsi="Cambria"/>
          <w:color w:val="000000"/>
          <w:sz w:val="20"/>
          <w:szCs w:val="20"/>
          <w:lang w:val="pt-BR"/>
        </w:rPr>
        <w:t xml:space="preserve"> ses</w:t>
      </w:r>
      <w:r w:rsidR="00CD4012" w:rsidRPr="00337743">
        <w:rPr>
          <w:rFonts w:ascii="Cambria" w:hAnsi="Cambria"/>
          <w:color w:val="000000"/>
          <w:sz w:val="20"/>
          <w:szCs w:val="20"/>
          <w:lang w:val="pt-BR"/>
        </w:rPr>
        <w:t>são em</w:t>
      </w:r>
      <w:r w:rsidR="00506331" w:rsidRPr="00337743">
        <w:rPr>
          <w:rFonts w:ascii="Cambria" w:hAnsi="Cambria"/>
          <w:color w:val="000000"/>
          <w:sz w:val="20"/>
          <w:szCs w:val="20"/>
          <w:lang w:val="pt-BR"/>
        </w:rPr>
        <w:t xml:space="preserve"> </w:t>
      </w:r>
      <w:r w:rsidR="00034F0A" w:rsidRPr="00337743">
        <w:rPr>
          <w:rFonts w:ascii="Cambria" w:hAnsi="Cambria"/>
          <w:color w:val="000000"/>
          <w:sz w:val="20"/>
          <w:szCs w:val="20"/>
          <w:lang w:val="pt-BR"/>
        </w:rPr>
        <w:t xml:space="preserve">26 de </w:t>
      </w:r>
      <w:r w:rsidR="001B5C51" w:rsidRPr="00337743">
        <w:rPr>
          <w:rFonts w:ascii="Cambria" w:hAnsi="Cambria"/>
          <w:color w:val="000000"/>
          <w:sz w:val="20"/>
          <w:szCs w:val="20"/>
          <w:lang w:val="pt-BR"/>
        </w:rPr>
        <w:t>junho</w:t>
      </w:r>
      <w:r w:rsidR="00034F0A" w:rsidRPr="00337743">
        <w:rPr>
          <w:rFonts w:ascii="Cambria" w:hAnsi="Cambria"/>
          <w:color w:val="000000"/>
          <w:sz w:val="20"/>
          <w:szCs w:val="20"/>
          <w:lang w:val="pt-BR"/>
        </w:rPr>
        <w:t xml:space="preserve"> de 2007, ocasi</w:t>
      </w:r>
      <w:r w:rsidR="00A97ED4" w:rsidRPr="00337743">
        <w:rPr>
          <w:rFonts w:ascii="Cambria" w:hAnsi="Cambria"/>
          <w:color w:val="000000"/>
          <w:sz w:val="20"/>
          <w:szCs w:val="20"/>
          <w:lang w:val="pt-BR"/>
        </w:rPr>
        <w:t>ão</w:t>
      </w:r>
      <w:r w:rsidR="00091880"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 xml:space="preserve">em que </w:t>
      </w:r>
      <w:r w:rsidR="00034F0A" w:rsidRPr="00337743">
        <w:rPr>
          <w:rFonts w:ascii="Cambria" w:hAnsi="Cambria"/>
          <w:color w:val="000000"/>
          <w:sz w:val="20"/>
          <w:szCs w:val="20"/>
          <w:lang w:val="pt-BR"/>
        </w:rPr>
        <w:t>f</w:t>
      </w:r>
      <w:r w:rsidR="00CD4012" w:rsidRPr="00337743">
        <w:rPr>
          <w:rFonts w:ascii="Cambria" w:hAnsi="Cambria"/>
          <w:color w:val="000000"/>
          <w:sz w:val="20"/>
          <w:szCs w:val="20"/>
          <w:lang w:val="pt-BR"/>
        </w:rPr>
        <w:t>oram</w:t>
      </w:r>
      <w:r w:rsidR="00034F0A" w:rsidRPr="00337743">
        <w:rPr>
          <w:rFonts w:ascii="Cambria" w:hAnsi="Cambria"/>
          <w:color w:val="000000"/>
          <w:sz w:val="20"/>
          <w:szCs w:val="20"/>
          <w:lang w:val="pt-BR"/>
        </w:rPr>
        <w:t xml:space="preserve"> sorteados</w:t>
      </w:r>
      <w:r w:rsidR="007707E3" w:rsidRPr="00337743">
        <w:rPr>
          <w:rFonts w:ascii="Cambria" w:hAnsi="Cambria"/>
          <w:color w:val="000000"/>
          <w:sz w:val="20"/>
          <w:szCs w:val="20"/>
          <w:lang w:val="pt-BR"/>
        </w:rPr>
        <w:t xml:space="preserve"> os </w:t>
      </w:r>
      <w:r w:rsidR="00034F0A" w:rsidRPr="00337743">
        <w:rPr>
          <w:rFonts w:ascii="Cambria" w:hAnsi="Cambria"/>
          <w:color w:val="000000"/>
          <w:sz w:val="20"/>
          <w:szCs w:val="20"/>
          <w:lang w:val="pt-BR"/>
        </w:rPr>
        <w:t>jurados.</w:t>
      </w:r>
      <w:r w:rsidR="00506331"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O</w:t>
      </w:r>
      <w:r w:rsidR="00506331" w:rsidRPr="00337743">
        <w:rPr>
          <w:rFonts w:ascii="Cambria" w:hAnsi="Cambria"/>
          <w:color w:val="000000"/>
          <w:sz w:val="20"/>
          <w:szCs w:val="20"/>
          <w:lang w:val="pt-BR"/>
        </w:rPr>
        <w:t xml:space="preserve"> </w:t>
      </w:r>
      <w:r w:rsidR="001B5C51" w:rsidRPr="00337743">
        <w:rPr>
          <w:rFonts w:ascii="Cambria" w:hAnsi="Cambria"/>
          <w:color w:val="000000"/>
          <w:sz w:val="20"/>
          <w:szCs w:val="20"/>
          <w:lang w:val="pt-BR"/>
        </w:rPr>
        <w:t>julgamento</w:t>
      </w:r>
      <w:r w:rsidR="00034F0A" w:rsidRPr="00337743">
        <w:rPr>
          <w:rFonts w:ascii="Cambria" w:hAnsi="Cambria"/>
          <w:color w:val="000000"/>
          <w:sz w:val="20"/>
          <w:szCs w:val="20"/>
          <w:lang w:val="pt-BR"/>
        </w:rPr>
        <w:t xml:space="preserve"> </w:t>
      </w:r>
      <w:r w:rsidR="00CD4012" w:rsidRPr="00337743">
        <w:rPr>
          <w:rFonts w:ascii="Cambria" w:hAnsi="Cambria"/>
          <w:color w:val="000000"/>
          <w:sz w:val="20"/>
          <w:szCs w:val="20"/>
          <w:lang w:val="pt-BR"/>
        </w:rPr>
        <w:t>foi adiado</w:t>
      </w:r>
      <w:r w:rsidR="00034F0A" w:rsidRPr="00337743">
        <w:rPr>
          <w:rFonts w:ascii="Cambria" w:hAnsi="Cambria"/>
          <w:color w:val="000000"/>
          <w:sz w:val="20"/>
          <w:szCs w:val="20"/>
          <w:lang w:val="pt-BR"/>
        </w:rPr>
        <w:t xml:space="preserve"> </w:t>
      </w:r>
      <w:r w:rsidR="006234FC" w:rsidRPr="00337743">
        <w:rPr>
          <w:rFonts w:ascii="Cambria" w:hAnsi="Cambria"/>
          <w:color w:val="000000"/>
          <w:sz w:val="20"/>
          <w:szCs w:val="20"/>
          <w:lang w:val="pt-BR"/>
        </w:rPr>
        <w:t>devido</w:t>
      </w:r>
      <w:r w:rsidR="00F453EB" w:rsidRPr="00337743">
        <w:rPr>
          <w:rFonts w:ascii="Cambria" w:hAnsi="Cambria"/>
          <w:color w:val="000000"/>
          <w:sz w:val="20"/>
          <w:szCs w:val="20"/>
          <w:lang w:val="pt-BR"/>
        </w:rPr>
        <w:t xml:space="preserve"> à </w:t>
      </w:r>
      <w:r w:rsidR="001B5C51" w:rsidRPr="00337743">
        <w:rPr>
          <w:rFonts w:ascii="Cambria" w:hAnsi="Cambria"/>
          <w:color w:val="000000"/>
          <w:sz w:val="20"/>
          <w:szCs w:val="20"/>
          <w:lang w:val="pt-BR"/>
        </w:rPr>
        <w:t>ausência</w:t>
      </w:r>
      <w:r w:rsidR="007707E3" w:rsidRPr="00337743">
        <w:rPr>
          <w:rFonts w:ascii="Cambria" w:hAnsi="Cambria"/>
          <w:color w:val="000000"/>
          <w:sz w:val="20"/>
          <w:szCs w:val="20"/>
          <w:lang w:val="pt-BR"/>
        </w:rPr>
        <w:t xml:space="preserve"> do </w:t>
      </w:r>
      <w:r w:rsidR="00FD6942" w:rsidRPr="00337743">
        <w:rPr>
          <w:rFonts w:ascii="Cambria" w:hAnsi="Cambria"/>
          <w:color w:val="000000"/>
          <w:sz w:val="20"/>
          <w:szCs w:val="20"/>
          <w:lang w:val="pt-BR"/>
        </w:rPr>
        <w:t>advog</w:t>
      </w:r>
      <w:r w:rsidR="00574C37" w:rsidRPr="00337743">
        <w:rPr>
          <w:rFonts w:ascii="Cambria" w:hAnsi="Cambria"/>
          <w:color w:val="000000"/>
          <w:sz w:val="20"/>
          <w:szCs w:val="20"/>
          <w:lang w:val="pt-BR"/>
        </w:rPr>
        <w:t>ado de Aércio</w:t>
      </w:r>
      <w:r w:rsidR="00574C37" w:rsidRPr="00337743">
        <w:rPr>
          <w:rFonts w:ascii="Cambria" w:hAnsi="Cambria"/>
          <w:color w:val="000000"/>
          <w:sz w:val="20"/>
          <w:szCs w:val="20"/>
          <w:vertAlign w:val="superscript"/>
          <w:lang w:val="pt-BR"/>
        </w:rPr>
        <w:footnoteReference w:id="71"/>
      </w:r>
      <w:r w:rsidR="00506331" w:rsidRPr="00337743">
        <w:rPr>
          <w:rFonts w:ascii="Cambria" w:hAnsi="Cambria"/>
          <w:color w:val="000000"/>
          <w:sz w:val="20"/>
          <w:szCs w:val="20"/>
          <w:lang w:val="pt-BR"/>
        </w:rPr>
        <w:t xml:space="preserve"> e</w:t>
      </w:r>
      <w:r w:rsidR="00091880" w:rsidRPr="00337743">
        <w:rPr>
          <w:rFonts w:ascii="Cambria" w:hAnsi="Cambria"/>
          <w:color w:val="000000"/>
          <w:sz w:val="20"/>
          <w:szCs w:val="20"/>
          <w:lang w:val="pt-BR"/>
        </w:rPr>
        <w:t xml:space="preserve"> </w:t>
      </w:r>
      <w:r w:rsidR="00574C37" w:rsidRPr="00337743">
        <w:rPr>
          <w:rFonts w:ascii="Cambria" w:hAnsi="Cambria"/>
          <w:color w:val="000000"/>
          <w:sz w:val="20"/>
          <w:szCs w:val="20"/>
          <w:lang w:val="pt-BR"/>
        </w:rPr>
        <w:t xml:space="preserve">retomado </w:t>
      </w:r>
      <w:r w:rsidR="001B5C51" w:rsidRPr="00337743">
        <w:rPr>
          <w:rFonts w:ascii="Cambria" w:hAnsi="Cambria"/>
          <w:color w:val="000000"/>
          <w:sz w:val="20"/>
          <w:szCs w:val="20"/>
          <w:lang w:val="pt-BR"/>
        </w:rPr>
        <w:t>três</w:t>
      </w:r>
      <w:r w:rsidR="00574C37" w:rsidRPr="00337743">
        <w:rPr>
          <w:rFonts w:ascii="Cambria" w:hAnsi="Cambria"/>
          <w:color w:val="000000"/>
          <w:sz w:val="20"/>
          <w:szCs w:val="20"/>
          <w:lang w:val="pt-BR"/>
        </w:rPr>
        <w:t xml:space="preserve"> meses de</w:t>
      </w:r>
      <w:r w:rsidR="00CD4012" w:rsidRPr="00337743">
        <w:rPr>
          <w:rFonts w:ascii="Cambria" w:hAnsi="Cambria"/>
          <w:color w:val="000000"/>
          <w:sz w:val="20"/>
          <w:szCs w:val="20"/>
          <w:lang w:val="pt-BR"/>
        </w:rPr>
        <w:t>pois</w:t>
      </w:r>
      <w:r w:rsidR="00574C37" w:rsidRPr="00337743">
        <w:rPr>
          <w:rFonts w:ascii="Cambria" w:hAnsi="Cambria"/>
          <w:color w:val="000000"/>
          <w:sz w:val="20"/>
          <w:szCs w:val="20"/>
          <w:lang w:val="pt-BR"/>
        </w:rPr>
        <w:t>,</w:t>
      </w:r>
      <w:r w:rsidR="00CD4012" w:rsidRPr="00337743">
        <w:rPr>
          <w:rFonts w:ascii="Cambria" w:hAnsi="Cambria"/>
          <w:color w:val="000000"/>
          <w:sz w:val="20"/>
          <w:szCs w:val="20"/>
          <w:lang w:val="pt-BR"/>
        </w:rPr>
        <w:t xml:space="preserve"> em</w:t>
      </w:r>
      <w:r w:rsidR="00506331" w:rsidRPr="00337743">
        <w:rPr>
          <w:rFonts w:ascii="Cambria" w:hAnsi="Cambria"/>
          <w:color w:val="000000"/>
          <w:sz w:val="20"/>
          <w:szCs w:val="20"/>
          <w:lang w:val="pt-BR"/>
        </w:rPr>
        <w:t xml:space="preserve"> </w:t>
      </w:r>
      <w:r w:rsidR="00574C37" w:rsidRPr="00337743">
        <w:rPr>
          <w:rFonts w:ascii="Cambria" w:hAnsi="Cambria"/>
          <w:color w:val="000000"/>
          <w:sz w:val="20"/>
          <w:szCs w:val="20"/>
          <w:lang w:val="pt-BR"/>
        </w:rPr>
        <w:t xml:space="preserve">26 de </w:t>
      </w:r>
      <w:r w:rsidR="00F9139C" w:rsidRPr="00337743">
        <w:rPr>
          <w:rFonts w:ascii="Cambria" w:hAnsi="Cambria"/>
          <w:color w:val="000000"/>
          <w:sz w:val="20"/>
          <w:szCs w:val="20"/>
          <w:lang w:val="pt-BR"/>
        </w:rPr>
        <w:t>setembro</w:t>
      </w:r>
      <w:r w:rsidR="00574C37" w:rsidRPr="00337743">
        <w:rPr>
          <w:rFonts w:ascii="Cambria" w:hAnsi="Cambria"/>
          <w:color w:val="000000"/>
          <w:sz w:val="20"/>
          <w:szCs w:val="20"/>
          <w:lang w:val="pt-BR"/>
        </w:rPr>
        <w:t xml:space="preserve"> de 2007</w:t>
      </w:r>
      <w:r w:rsidR="00574C37" w:rsidRPr="00337743">
        <w:rPr>
          <w:rFonts w:ascii="Cambria" w:hAnsi="Cambria"/>
          <w:color w:val="000000"/>
          <w:sz w:val="20"/>
          <w:szCs w:val="20"/>
          <w:vertAlign w:val="superscript"/>
          <w:lang w:val="pt-BR"/>
        </w:rPr>
        <w:footnoteReference w:id="72"/>
      </w:r>
      <w:r w:rsidR="00574C37" w:rsidRPr="00337743">
        <w:rPr>
          <w:rFonts w:ascii="Cambria" w:hAnsi="Cambria"/>
          <w:color w:val="000000"/>
          <w:sz w:val="20"/>
          <w:szCs w:val="20"/>
          <w:lang w:val="pt-BR"/>
        </w:rPr>
        <w:t>.</w:t>
      </w:r>
    </w:p>
    <w:p w14:paraId="076CD98C" w14:textId="77777777" w:rsidR="003F219A" w:rsidRPr="00337743" w:rsidRDefault="003F219A" w:rsidP="007B1365">
      <w:pPr>
        <w:pStyle w:val="ListParagraph"/>
        <w:ind w:left="0" w:firstLine="709"/>
        <w:rPr>
          <w:rFonts w:ascii="Cambria" w:hAnsi="Cambria"/>
          <w:color w:val="000000"/>
          <w:sz w:val="20"/>
          <w:szCs w:val="20"/>
          <w:lang w:val="pt-BR"/>
        </w:rPr>
      </w:pPr>
    </w:p>
    <w:p w14:paraId="75E28881" w14:textId="77777777" w:rsidR="00FA7EDB" w:rsidRPr="00337743" w:rsidRDefault="00CD4012" w:rsidP="007B13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O</w:t>
      </w:r>
      <w:r w:rsidR="003F219A" w:rsidRPr="00337743">
        <w:rPr>
          <w:rFonts w:ascii="Cambria" w:hAnsi="Cambria"/>
          <w:color w:val="000000"/>
          <w:sz w:val="20"/>
          <w:szCs w:val="20"/>
          <w:lang w:val="pt-BR"/>
        </w:rPr>
        <w:t xml:space="preserve"> 1º Tribunal</w:t>
      </w:r>
      <w:r w:rsidR="007707E3" w:rsidRPr="00337743">
        <w:rPr>
          <w:rFonts w:ascii="Cambria" w:hAnsi="Cambria"/>
          <w:color w:val="000000"/>
          <w:sz w:val="20"/>
          <w:szCs w:val="20"/>
          <w:lang w:val="pt-BR"/>
        </w:rPr>
        <w:t xml:space="preserve"> do </w:t>
      </w:r>
      <w:r w:rsidR="003F219A" w:rsidRPr="00337743">
        <w:rPr>
          <w:rFonts w:ascii="Cambria" w:hAnsi="Cambria"/>
          <w:color w:val="000000"/>
          <w:sz w:val="20"/>
          <w:szCs w:val="20"/>
          <w:lang w:val="pt-BR"/>
        </w:rPr>
        <w:t>J</w:t>
      </w:r>
      <w:r w:rsidRPr="00337743">
        <w:rPr>
          <w:rFonts w:ascii="Cambria" w:hAnsi="Cambria"/>
          <w:color w:val="000000"/>
          <w:sz w:val="20"/>
          <w:szCs w:val="20"/>
          <w:lang w:val="pt-BR"/>
        </w:rPr>
        <w:t>úri</w:t>
      </w:r>
      <w:r w:rsidR="007707E3" w:rsidRPr="00337743">
        <w:rPr>
          <w:rFonts w:ascii="Cambria" w:hAnsi="Cambria"/>
          <w:color w:val="000000"/>
          <w:sz w:val="20"/>
          <w:szCs w:val="20"/>
          <w:lang w:val="pt-BR"/>
        </w:rPr>
        <w:t xml:space="preserve"> da </w:t>
      </w:r>
      <w:r w:rsidR="003F219A" w:rsidRPr="00337743">
        <w:rPr>
          <w:rFonts w:ascii="Cambria" w:hAnsi="Cambria"/>
          <w:color w:val="000000"/>
          <w:sz w:val="20"/>
          <w:szCs w:val="20"/>
          <w:lang w:val="pt-BR"/>
        </w:rPr>
        <w:t>Comarca de João Pessoa, Paraíba</w:t>
      </w:r>
      <w:r w:rsidRPr="00337743">
        <w:rPr>
          <w:rFonts w:ascii="Cambria" w:hAnsi="Cambria"/>
          <w:color w:val="000000"/>
          <w:sz w:val="20"/>
          <w:szCs w:val="20"/>
          <w:lang w:val="pt-BR"/>
        </w:rPr>
        <w:t>,</w:t>
      </w:r>
      <w:r w:rsidR="003F219A" w:rsidRPr="00337743">
        <w:rPr>
          <w:rFonts w:ascii="Cambria" w:hAnsi="Cambria"/>
          <w:color w:val="000000"/>
          <w:sz w:val="20"/>
          <w:szCs w:val="20"/>
          <w:lang w:val="pt-BR"/>
        </w:rPr>
        <w:t xml:space="preserve"> conden</w:t>
      </w:r>
      <w:r w:rsidRPr="00337743">
        <w:rPr>
          <w:rFonts w:ascii="Cambria" w:hAnsi="Cambria"/>
          <w:color w:val="000000"/>
          <w:sz w:val="20"/>
          <w:szCs w:val="20"/>
          <w:lang w:val="pt-BR"/>
        </w:rPr>
        <w:t xml:space="preserve">ou </w:t>
      </w:r>
      <w:r w:rsidR="00A71671" w:rsidRPr="00337743">
        <w:rPr>
          <w:rFonts w:ascii="Cambria" w:hAnsi="Cambria"/>
          <w:color w:val="000000"/>
          <w:sz w:val="20"/>
          <w:szCs w:val="20"/>
          <w:lang w:val="pt-BR"/>
        </w:rPr>
        <w:t xml:space="preserve">Aércio </w:t>
      </w:r>
      <w:r w:rsidR="003F219A" w:rsidRPr="00337743">
        <w:rPr>
          <w:rFonts w:ascii="Cambria" w:hAnsi="Cambria"/>
          <w:color w:val="000000"/>
          <w:sz w:val="20"/>
          <w:szCs w:val="20"/>
          <w:lang w:val="pt-BR"/>
        </w:rPr>
        <w:t xml:space="preserve">Pereira de Lima a 16 </w:t>
      </w:r>
      <w:r w:rsidR="00362A4F" w:rsidRPr="00337743">
        <w:rPr>
          <w:rFonts w:ascii="Cambria" w:hAnsi="Cambria"/>
          <w:color w:val="000000"/>
          <w:sz w:val="20"/>
          <w:szCs w:val="20"/>
          <w:lang w:val="pt-BR"/>
        </w:rPr>
        <w:t>ano</w:t>
      </w:r>
      <w:r w:rsidR="003F219A" w:rsidRPr="00337743">
        <w:rPr>
          <w:rFonts w:ascii="Cambria" w:hAnsi="Cambria"/>
          <w:color w:val="000000"/>
          <w:sz w:val="20"/>
          <w:szCs w:val="20"/>
          <w:lang w:val="pt-BR"/>
        </w:rPr>
        <w:t>s de reclus</w:t>
      </w:r>
      <w:r w:rsidRPr="00337743">
        <w:rPr>
          <w:rFonts w:ascii="Cambria" w:hAnsi="Cambria"/>
          <w:color w:val="000000"/>
          <w:sz w:val="20"/>
          <w:szCs w:val="20"/>
          <w:lang w:val="pt-BR"/>
        </w:rPr>
        <w:t>ão</w:t>
      </w:r>
      <w:r w:rsidR="00BF72CE" w:rsidRPr="00337743">
        <w:rPr>
          <w:rFonts w:ascii="Cambria" w:hAnsi="Cambria"/>
          <w:color w:val="000000"/>
          <w:sz w:val="20"/>
          <w:szCs w:val="20"/>
          <w:lang w:val="pt-BR"/>
        </w:rPr>
        <w:t xml:space="preserve"> pelos </w:t>
      </w:r>
      <w:r w:rsidRPr="00337743">
        <w:rPr>
          <w:rFonts w:ascii="Cambria" w:hAnsi="Cambria"/>
          <w:color w:val="000000"/>
          <w:sz w:val="20"/>
          <w:szCs w:val="20"/>
          <w:lang w:val="pt-BR"/>
        </w:rPr>
        <w:t>crimes</w:t>
      </w:r>
      <w:r w:rsidR="003F219A" w:rsidRPr="00337743">
        <w:rPr>
          <w:rFonts w:ascii="Cambria" w:hAnsi="Cambria"/>
          <w:color w:val="000000"/>
          <w:sz w:val="20"/>
          <w:szCs w:val="20"/>
          <w:lang w:val="pt-BR"/>
        </w:rPr>
        <w:t xml:space="preserve"> de </w:t>
      </w:r>
      <w:r w:rsidR="001B5C51" w:rsidRPr="00337743">
        <w:rPr>
          <w:rFonts w:ascii="Cambria" w:hAnsi="Cambria"/>
          <w:color w:val="000000"/>
          <w:sz w:val="20"/>
          <w:szCs w:val="20"/>
          <w:lang w:val="pt-BR"/>
        </w:rPr>
        <w:t>homicídio</w:t>
      </w:r>
      <w:r w:rsidR="00506331" w:rsidRPr="00337743">
        <w:rPr>
          <w:rFonts w:ascii="Cambria" w:hAnsi="Cambria"/>
          <w:color w:val="000000"/>
          <w:sz w:val="20"/>
          <w:szCs w:val="20"/>
          <w:lang w:val="pt-BR"/>
        </w:rPr>
        <w:t xml:space="preserve"> e </w:t>
      </w:r>
      <w:r w:rsidR="003F219A" w:rsidRPr="00337743">
        <w:rPr>
          <w:rFonts w:ascii="Cambria" w:hAnsi="Cambria"/>
          <w:color w:val="000000"/>
          <w:sz w:val="20"/>
          <w:szCs w:val="20"/>
          <w:lang w:val="pt-BR"/>
        </w:rPr>
        <w:t>oculta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3F219A" w:rsidRPr="00337743">
        <w:rPr>
          <w:rFonts w:ascii="Cambria" w:hAnsi="Cambria"/>
          <w:color w:val="000000"/>
          <w:sz w:val="20"/>
          <w:szCs w:val="20"/>
          <w:lang w:val="pt-BR"/>
        </w:rPr>
        <w:t>cadáver de Márcia Barbosa de Souza</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24699D" w:rsidRPr="00337743">
        <w:rPr>
          <w:rFonts w:ascii="Cambria" w:hAnsi="Cambria"/>
          <w:color w:val="000000"/>
          <w:sz w:val="20"/>
          <w:szCs w:val="20"/>
          <w:lang w:val="pt-BR"/>
        </w:rPr>
        <w:t xml:space="preserve">27 de </w:t>
      </w:r>
      <w:r w:rsidR="00F9139C" w:rsidRPr="00337743">
        <w:rPr>
          <w:rFonts w:ascii="Cambria" w:hAnsi="Cambria"/>
          <w:color w:val="000000"/>
          <w:sz w:val="20"/>
          <w:szCs w:val="20"/>
          <w:lang w:val="pt-BR"/>
        </w:rPr>
        <w:t>setembro</w:t>
      </w:r>
      <w:r w:rsidR="0024699D" w:rsidRPr="00337743">
        <w:rPr>
          <w:rFonts w:ascii="Cambria" w:hAnsi="Cambria"/>
          <w:color w:val="000000"/>
          <w:sz w:val="20"/>
          <w:szCs w:val="20"/>
          <w:lang w:val="pt-BR"/>
        </w:rPr>
        <w:t xml:space="preserve"> de 2007 – portanto, 9 </w:t>
      </w:r>
      <w:r w:rsidR="00362A4F" w:rsidRPr="00337743">
        <w:rPr>
          <w:rFonts w:ascii="Cambria" w:hAnsi="Cambria"/>
          <w:color w:val="000000"/>
          <w:sz w:val="20"/>
          <w:szCs w:val="20"/>
          <w:lang w:val="pt-BR"/>
        </w:rPr>
        <w:t>ano</w:t>
      </w:r>
      <w:r w:rsidR="0024699D" w:rsidRPr="00337743">
        <w:rPr>
          <w:rFonts w:ascii="Cambria" w:hAnsi="Cambria"/>
          <w:color w:val="000000"/>
          <w:sz w:val="20"/>
          <w:szCs w:val="20"/>
          <w:lang w:val="pt-BR"/>
        </w:rPr>
        <w:t>s, 3 meses</w:t>
      </w:r>
      <w:r w:rsidR="00506331" w:rsidRPr="00337743">
        <w:rPr>
          <w:rFonts w:ascii="Cambria" w:hAnsi="Cambria"/>
          <w:color w:val="000000"/>
          <w:sz w:val="20"/>
          <w:szCs w:val="20"/>
          <w:lang w:val="pt-BR"/>
        </w:rPr>
        <w:t xml:space="preserve"> e </w:t>
      </w:r>
      <w:r w:rsidR="0024699D" w:rsidRPr="00337743">
        <w:rPr>
          <w:rFonts w:ascii="Cambria" w:hAnsi="Cambria"/>
          <w:color w:val="000000"/>
          <w:sz w:val="20"/>
          <w:szCs w:val="20"/>
          <w:lang w:val="pt-BR"/>
        </w:rPr>
        <w:t>9 d</w:t>
      </w:r>
      <w:r w:rsidR="00BF72CE" w:rsidRPr="00337743">
        <w:rPr>
          <w:rFonts w:ascii="Cambria" w:hAnsi="Cambria"/>
          <w:color w:val="000000"/>
          <w:sz w:val="20"/>
          <w:szCs w:val="20"/>
          <w:lang w:val="pt-BR"/>
        </w:rPr>
        <w:t>ia</w:t>
      </w:r>
      <w:r w:rsidR="0024699D" w:rsidRPr="00337743">
        <w:rPr>
          <w:rFonts w:ascii="Cambria" w:hAnsi="Cambria"/>
          <w:color w:val="000000"/>
          <w:sz w:val="20"/>
          <w:szCs w:val="20"/>
          <w:lang w:val="pt-BR"/>
        </w:rPr>
        <w:t>s</w:t>
      </w:r>
      <w:r w:rsidR="0024699D" w:rsidRPr="00337743">
        <w:rPr>
          <w:rFonts w:ascii="Cambria" w:hAnsi="Cambria"/>
          <w:color w:val="FF0000"/>
          <w:sz w:val="20"/>
          <w:szCs w:val="20"/>
          <w:lang w:val="pt-BR"/>
        </w:rPr>
        <w:t xml:space="preserve"> </w:t>
      </w:r>
      <w:r w:rsidR="0024699D" w:rsidRPr="00337743">
        <w:rPr>
          <w:rFonts w:ascii="Cambria" w:hAnsi="Cambria"/>
          <w:color w:val="000000"/>
          <w:sz w:val="20"/>
          <w:szCs w:val="20"/>
          <w:lang w:val="pt-BR"/>
        </w:rPr>
        <w:t>de</w:t>
      </w:r>
      <w:r w:rsidRPr="00337743">
        <w:rPr>
          <w:rFonts w:ascii="Cambria" w:hAnsi="Cambria"/>
          <w:color w:val="000000"/>
          <w:sz w:val="20"/>
          <w:szCs w:val="20"/>
          <w:lang w:val="pt-BR"/>
        </w:rPr>
        <w:t>pois do</w:t>
      </w:r>
      <w:r w:rsidR="00506331" w:rsidRPr="00337743">
        <w:rPr>
          <w:rFonts w:ascii="Cambria" w:hAnsi="Cambria"/>
          <w:color w:val="000000"/>
          <w:sz w:val="20"/>
          <w:szCs w:val="20"/>
          <w:lang w:val="pt-BR"/>
        </w:rPr>
        <w:t xml:space="preserve"> </w:t>
      </w:r>
      <w:r w:rsidR="001B5C51" w:rsidRPr="00337743">
        <w:rPr>
          <w:rFonts w:ascii="Cambria" w:hAnsi="Cambria"/>
          <w:color w:val="000000"/>
          <w:sz w:val="20"/>
          <w:szCs w:val="20"/>
          <w:lang w:val="pt-BR"/>
        </w:rPr>
        <w:t>crime</w:t>
      </w:r>
      <w:r w:rsidR="00574C37" w:rsidRPr="00337743">
        <w:rPr>
          <w:rFonts w:ascii="Cambria" w:hAnsi="Cambria"/>
          <w:color w:val="000000"/>
          <w:sz w:val="20"/>
          <w:szCs w:val="20"/>
          <w:vertAlign w:val="superscript"/>
          <w:lang w:val="pt-BR"/>
        </w:rPr>
        <w:footnoteReference w:id="73"/>
      </w:r>
      <w:r w:rsidR="003F219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O</w:t>
      </w:r>
      <w:r w:rsidR="00FD6942" w:rsidRPr="00337743">
        <w:rPr>
          <w:rFonts w:ascii="Cambria" w:hAnsi="Cambria"/>
          <w:color w:val="000000"/>
          <w:sz w:val="20"/>
          <w:szCs w:val="20"/>
          <w:lang w:val="pt-BR"/>
        </w:rPr>
        <w:t xml:space="preserve"> réu </w:t>
      </w:r>
      <w:r w:rsidR="001B5C51" w:rsidRPr="00337743">
        <w:rPr>
          <w:rFonts w:ascii="Cambria" w:hAnsi="Cambria"/>
          <w:color w:val="000000"/>
          <w:sz w:val="20"/>
          <w:szCs w:val="20"/>
          <w:lang w:val="pt-BR"/>
        </w:rPr>
        <w:t>recorreu</w:t>
      </w:r>
      <w:r w:rsidR="00091880" w:rsidRPr="00337743">
        <w:rPr>
          <w:rFonts w:ascii="Cambria" w:hAnsi="Cambria"/>
          <w:color w:val="000000"/>
          <w:sz w:val="20"/>
          <w:szCs w:val="20"/>
          <w:lang w:val="pt-BR"/>
        </w:rPr>
        <w:t xml:space="preserve"> em </w:t>
      </w:r>
      <w:r w:rsidR="0006627A" w:rsidRPr="00337743">
        <w:rPr>
          <w:rFonts w:ascii="Cambria" w:hAnsi="Cambria"/>
          <w:color w:val="000000"/>
          <w:sz w:val="20"/>
          <w:szCs w:val="20"/>
          <w:lang w:val="pt-BR"/>
        </w:rPr>
        <w:t>liberdade</w:t>
      </w:r>
      <w:r w:rsidR="00574C37" w:rsidRPr="00337743">
        <w:rPr>
          <w:rFonts w:ascii="Cambria" w:hAnsi="Cambria"/>
          <w:color w:val="000000"/>
          <w:sz w:val="20"/>
          <w:szCs w:val="20"/>
          <w:vertAlign w:val="superscript"/>
          <w:lang w:val="pt-BR"/>
        </w:rPr>
        <w:footnoteReference w:id="74"/>
      </w:r>
      <w:r w:rsidR="003F219A"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Em</w:t>
      </w:r>
      <w:r w:rsidR="00506331" w:rsidRPr="00337743">
        <w:rPr>
          <w:rFonts w:ascii="Cambria" w:hAnsi="Cambria"/>
          <w:color w:val="000000"/>
          <w:sz w:val="20"/>
          <w:szCs w:val="20"/>
          <w:lang w:val="pt-BR"/>
        </w:rPr>
        <w:t xml:space="preserve"> </w:t>
      </w:r>
      <w:r w:rsidR="003F219A" w:rsidRPr="00337743">
        <w:rPr>
          <w:rFonts w:ascii="Cambria" w:hAnsi="Cambria"/>
          <w:color w:val="000000"/>
          <w:sz w:val="20"/>
          <w:szCs w:val="20"/>
          <w:lang w:val="pt-BR"/>
        </w:rPr>
        <w:t xml:space="preserve">12 de </w:t>
      </w:r>
      <w:r w:rsidR="00362A4F" w:rsidRPr="00337743">
        <w:rPr>
          <w:rFonts w:ascii="Cambria" w:hAnsi="Cambria"/>
          <w:color w:val="000000"/>
          <w:sz w:val="20"/>
          <w:szCs w:val="20"/>
          <w:lang w:val="pt-BR"/>
        </w:rPr>
        <w:t>fevereiro</w:t>
      </w:r>
      <w:r w:rsidR="003F219A" w:rsidRPr="00337743">
        <w:rPr>
          <w:rFonts w:ascii="Cambria" w:hAnsi="Cambria"/>
          <w:color w:val="000000"/>
          <w:sz w:val="20"/>
          <w:szCs w:val="20"/>
          <w:lang w:val="pt-BR"/>
        </w:rPr>
        <w:t xml:space="preserve"> de 2008, </w:t>
      </w:r>
      <w:r w:rsidR="0024699D" w:rsidRPr="00337743">
        <w:rPr>
          <w:rFonts w:ascii="Cambria" w:hAnsi="Cambria"/>
          <w:color w:val="000000"/>
          <w:sz w:val="20"/>
          <w:szCs w:val="20"/>
          <w:lang w:val="pt-BR"/>
        </w:rPr>
        <w:t xml:space="preserve">Aércio </w:t>
      </w:r>
      <w:r w:rsidR="001B5C51" w:rsidRPr="00337743">
        <w:rPr>
          <w:rFonts w:ascii="Cambria" w:hAnsi="Cambria"/>
          <w:color w:val="000000"/>
          <w:sz w:val="20"/>
          <w:szCs w:val="20"/>
          <w:lang w:val="pt-BR"/>
        </w:rPr>
        <w:t>morreu</w:t>
      </w:r>
      <w:r w:rsidR="0024699D" w:rsidRPr="00337743">
        <w:rPr>
          <w:rFonts w:ascii="Cambria" w:hAnsi="Cambria"/>
          <w:color w:val="000000"/>
          <w:sz w:val="20"/>
          <w:szCs w:val="20"/>
          <w:lang w:val="pt-BR"/>
        </w:rPr>
        <w:t xml:space="preserve"> de causas natur</w:t>
      </w:r>
      <w:r w:rsidR="007707E3" w:rsidRPr="00337743">
        <w:rPr>
          <w:rFonts w:ascii="Cambria" w:hAnsi="Cambria"/>
          <w:color w:val="000000"/>
          <w:sz w:val="20"/>
          <w:szCs w:val="20"/>
          <w:lang w:val="pt-BR"/>
        </w:rPr>
        <w:t>ais</w:t>
      </w:r>
      <w:r w:rsidR="00543D34" w:rsidRPr="00337743">
        <w:rPr>
          <w:rFonts w:ascii="Cambria" w:hAnsi="Cambria"/>
          <w:color w:val="000000"/>
          <w:sz w:val="20"/>
          <w:szCs w:val="20"/>
          <w:lang w:val="pt-BR"/>
        </w:rPr>
        <w:t xml:space="preserve"> (infarto d</w:t>
      </w:r>
      <w:r w:rsidRPr="00337743">
        <w:rPr>
          <w:rFonts w:ascii="Cambria" w:hAnsi="Cambria"/>
          <w:color w:val="000000"/>
          <w:sz w:val="20"/>
          <w:szCs w:val="20"/>
          <w:lang w:val="pt-BR"/>
        </w:rPr>
        <w:t>o</w:t>
      </w:r>
      <w:r w:rsidR="00543D34" w:rsidRPr="00337743">
        <w:rPr>
          <w:rFonts w:ascii="Cambria" w:hAnsi="Cambria"/>
          <w:color w:val="000000"/>
          <w:sz w:val="20"/>
          <w:szCs w:val="20"/>
          <w:lang w:val="pt-BR"/>
        </w:rPr>
        <w:t xml:space="preserve"> </w:t>
      </w:r>
      <w:r w:rsidR="001B5C51" w:rsidRPr="00337743">
        <w:rPr>
          <w:rFonts w:ascii="Cambria" w:hAnsi="Cambria"/>
          <w:color w:val="000000"/>
          <w:sz w:val="20"/>
          <w:szCs w:val="20"/>
          <w:lang w:val="pt-BR"/>
        </w:rPr>
        <w:t>miocárdio</w:t>
      </w:r>
      <w:r w:rsidR="00543D34" w:rsidRPr="00337743">
        <w:rPr>
          <w:rFonts w:ascii="Cambria" w:hAnsi="Cambria"/>
          <w:color w:val="000000"/>
          <w:sz w:val="20"/>
          <w:szCs w:val="20"/>
          <w:lang w:val="pt-BR"/>
        </w:rPr>
        <w:t>)</w:t>
      </w:r>
      <w:r w:rsidR="00574C37"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em </w:t>
      </w:r>
      <w:r w:rsidR="006234FC" w:rsidRPr="00337743">
        <w:rPr>
          <w:rFonts w:ascii="Cambria" w:hAnsi="Cambria"/>
          <w:color w:val="000000"/>
          <w:sz w:val="20"/>
          <w:szCs w:val="20"/>
          <w:lang w:val="pt-BR"/>
        </w:rPr>
        <w:t>consequência</w:t>
      </w:r>
      <w:r w:rsidR="00016EF5" w:rsidRPr="00337743">
        <w:rPr>
          <w:rFonts w:ascii="Cambria" w:hAnsi="Cambria"/>
          <w:color w:val="000000"/>
          <w:sz w:val="20"/>
          <w:szCs w:val="20"/>
          <w:lang w:val="pt-BR"/>
        </w:rPr>
        <w:t xml:space="preserve">, </w:t>
      </w:r>
      <w:r w:rsidRPr="00337743">
        <w:rPr>
          <w:rFonts w:ascii="Cambria" w:hAnsi="Cambria"/>
          <w:color w:val="000000"/>
          <w:sz w:val="20"/>
          <w:szCs w:val="20"/>
          <w:lang w:val="pt-BR"/>
        </w:rPr>
        <w:t>extinguiu-</w:t>
      </w:r>
      <w:r w:rsidR="00016EF5" w:rsidRPr="00337743">
        <w:rPr>
          <w:rFonts w:ascii="Cambria" w:hAnsi="Cambria"/>
          <w:color w:val="000000"/>
          <w:sz w:val="20"/>
          <w:szCs w:val="20"/>
          <w:lang w:val="pt-BR"/>
        </w:rPr>
        <w:t xml:space="preserve">se </w:t>
      </w:r>
      <w:r w:rsidR="00506331" w:rsidRPr="00337743">
        <w:rPr>
          <w:rFonts w:ascii="Cambria" w:hAnsi="Cambria"/>
          <w:color w:val="000000"/>
          <w:sz w:val="20"/>
          <w:szCs w:val="20"/>
          <w:lang w:val="pt-BR"/>
        </w:rPr>
        <w:t xml:space="preserve">a </w:t>
      </w:r>
      <w:r w:rsidR="001B5C51" w:rsidRPr="00337743">
        <w:rPr>
          <w:rFonts w:ascii="Cambria" w:hAnsi="Cambria"/>
          <w:color w:val="000000"/>
          <w:sz w:val="20"/>
          <w:szCs w:val="20"/>
          <w:lang w:val="pt-BR"/>
        </w:rPr>
        <w:t>punibilidade</w:t>
      </w:r>
      <w:r w:rsidR="00016EF5"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com </w:t>
      </w:r>
      <w:r w:rsidR="00506331" w:rsidRPr="00337743">
        <w:rPr>
          <w:rFonts w:ascii="Cambria" w:hAnsi="Cambria"/>
          <w:color w:val="000000"/>
          <w:sz w:val="20"/>
          <w:szCs w:val="20"/>
          <w:lang w:val="pt-BR"/>
        </w:rPr>
        <w:t xml:space="preserve">o </w:t>
      </w:r>
      <w:r w:rsidR="0026132C">
        <w:rPr>
          <w:rFonts w:ascii="Cambria" w:hAnsi="Cambria"/>
          <w:color w:val="000000"/>
          <w:sz w:val="20"/>
          <w:szCs w:val="20"/>
          <w:lang w:val="pt-BR"/>
        </w:rPr>
        <w:t>subse</w:t>
      </w:r>
      <w:r w:rsidR="006234FC" w:rsidRPr="00337743">
        <w:rPr>
          <w:rFonts w:ascii="Cambria" w:hAnsi="Cambria"/>
          <w:color w:val="000000"/>
          <w:sz w:val="20"/>
          <w:szCs w:val="20"/>
          <w:lang w:val="pt-BR"/>
        </w:rPr>
        <w:t>quente</w:t>
      </w:r>
      <w:r w:rsidR="00016EF5" w:rsidRPr="00337743">
        <w:rPr>
          <w:rFonts w:ascii="Cambria" w:hAnsi="Cambria"/>
          <w:color w:val="000000"/>
          <w:sz w:val="20"/>
          <w:szCs w:val="20"/>
          <w:lang w:val="pt-BR"/>
        </w:rPr>
        <w:t xml:space="preserve"> ar</w:t>
      </w:r>
      <w:r w:rsidRPr="00337743">
        <w:rPr>
          <w:rFonts w:ascii="Cambria" w:hAnsi="Cambria"/>
          <w:color w:val="000000"/>
          <w:sz w:val="20"/>
          <w:szCs w:val="20"/>
          <w:lang w:val="pt-BR"/>
        </w:rPr>
        <w:t>quivament</w:t>
      </w:r>
      <w:r w:rsidR="008A6D35" w:rsidRPr="00337743">
        <w:rPr>
          <w:rFonts w:ascii="Cambria" w:hAnsi="Cambria"/>
          <w:color w:val="000000"/>
          <w:sz w:val="20"/>
          <w:szCs w:val="20"/>
          <w:lang w:val="pt-BR"/>
        </w:rPr>
        <w:t>o</w:t>
      </w:r>
      <w:r w:rsidR="007707E3" w:rsidRPr="00337743">
        <w:rPr>
          <w:rFonts w:ascii="Cambria" w:hAnsi="Cambria"/>
          <w:color w:val="000000"/>
          <w:sz w:val="20"/>
          <w:szCs w:val="20"/>
          <w:lang w:val="pt-BR"/>
        </w:rPr>
        <w:t xml:space="preserve"> do </w:t>
      </w:r>
      <w:r w:rsidR="00FD6942" w:rsidRPr="00337743">
        <w:rPr>
          <w:rFonts w:ascii="Cambria" w:hAnsi="Cambria"/>
          <w:color w:val="000000"/>
          <w:sz w:val="20"/>
          <w:szCs w:val="20"/>
          <w:lang w:val="pt-BR"/>
        </w:rPr>
        <w:t>processo</w:t>
      </w:r>
      <w:r w:rsidR="00574C37" w:rsidRPr="00337743">
        <w:rPr>
          <w:rFonts w:ascii="Cambria" w:hAnsi="Cambria"/>
          <w:color w:val="000000"/>
          <w:sz w:val="20"/>
          <w:szCs w:val="20"/>
          <w:vertAlign w:val="superscript"/>
          <w:lang w:val="pt-BR"/>
        </w:rPr>
        <w:footnoteReference w:id="75"/>
      </w:r>
      <w:r w:rsidR="00016EF5" w:rsidRPr="00337743">
        <w:rPr>
          <w:rFonts w:ascii="Cambria" w:hAnsi="Cambria"/>
          <w:color w:val="000000"/>
          <w:sz w:val="20"/>
          <w:szCs w:val="20"/>
          <w:lang w:val="pt-BR"/>
        </w:rPr>
        <w:t>.</w:t>
      </w:r>
    </w:p>
    <w:p w14:paraId="0E9BA2FE" w14:textId="77777777" w:rsidR="003F219A" w:rsidRPr="00337743" w:rsidRDefault="003F219A" w:rsidP="007B1365">
      <w:pPr>
        <w:pStyle w:val="ListParagraph"/>
        <w:ind w:left="0" w:firstLine="709"/>
        <w:rPr>
          <w:rFonts w:ascii="Cambria" w:hAnsi="Cambria"/>
          <w:color w:val="000000"/>
          <w:sz w:val="20"/>
          <w:szCs w:val="20"/>
          <w:lang w:val="pt-BR"/>
        </w:rPr>
      </w:pPr>
    </w:p>
    <w:p w14:paraId="03C8B3EF" w14:textId="77777777" w:rsidR="00074C7B" w:rsidRPr="00E358A6" w:rsidRDefault="001B5C51" w:rsidP="00E358A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Segundo</w:t>
      </w:r>
      <w:r w:rsidR="00F759D1" w:rsidRPr="00337743">
        <w:rPr>
          <w:rFonts w:ascii="Cambria" w:hAnsi="Cambria"/>
          <w:color w:val="000000"/>
          <w:sz w:val="20"/>
          <w:szCs w:val="20"/>
          <w:lang w:val="pt-BR"/>
        </w:rPr>
        <w:t xml:space="preserve"> notas de </w:t>
      </w:r>
      <w:r w:rsidR="00BE39A1" w:rsidRPr="00337743">
        <w:rPr>
          <w:rFonts w:ascii="Cambria" w:hAnsi="Cambria"/>
          <w:color w:val="000000"/>
          <w:sz w:val="20"/>
          <w:szCs w:val="20"/>
          <w:lang w:val="pt-BR"/>
        </w:rPr>
        <w:t>im</w:t>
      </w:r>
      <w:r w:rsidR="00F759D1" w:rsidRPr="00337743">
        <w:rPr>
          <w:rFonts w:ascii="Cambria" w:hAnsi="Cambria"/>
          <w:color w:val="000000"/>
          <w:sz w:val="20"/>
          <w:szCs w:val="20"/>
          <w:lang w:val="pt-BR"/>
        </w:rPr>
        <w:t>prensa,</w:t>
      </w:r>
      <w:r w:rsidR="00506331" w:rsidRPr="00337743">
        <w:rPr>
          <w:rFonts w:ascii="Cambria" w:hAnsi="Cambria"/>
          <w:color w:val="000000"/>
          <w:sz w:val="20"/>
          <w:szCs w:val="20"/>
          <w:lang w:val="pt-BR"/>
        </w:rPr>
        <w:t xml:space="preserve"> o </w:t>
      </w:r>
      <w:r w:rsidRPr="00337743">
        <w:rPr>
          <w:rFonts w:ascii="Cambria" w:hAnsi="Cambria"/>
          <w:color w:val="000000"/>
          <w:sz w:val="20"/>
          <w:szCs w:val="20"/>
          <w:lang w:val="pt-BR"/>
        </w:rPr>
        <w:t>corpo</w:t>
      </w:r>
      <w:r w:rsidR="003F219A" w:rsidRPr="00337743">
        <w:rPr>
          <w:rFonts w:ascii="Cambria" w:hAnsi="Cambria"/>
          <w:color w:val="000000"/>
          <w:sz w:val="20"/>
          <w:szCs w:val="20"/>
          <w:lang w:val="pt-BR"/>
        </w:rPr>
        <w:t xml:space="preserve"> de Aércio</w:t>
      </w:r>
      <w:r w:rsidR="00091880" w:rsidRPr="00337743">
        <w:rPr>
          <w:rFonts w:ascii="Cambria" w:hAnsi="Cambria"/>
          <w:color w:val="000000"/>
          <w:sz w:val="20"/>
          <w:szCs w:val="20"/>
          <w:lang w:val="pt-BR"/>
        </w:rPr>
        <w:t xml:space="preserve"> foi </w:t>
      </w:r>
      <w:r w:rsidR="003F219A" w:rsidRPr="00337743">
        <w:rPr>
          <w:rFonts w:ascii="Cambria" w:hAnsi="Cambria"/>
          <w:color w:val="000000"/>
          <w:sz w:val="20"/>
          <w:szCs w:val="20"/>
          <w:lang w:val="pt-BR"/>
        </w:rPr>
        <w:t>velado</w:t>
      </w:r>
      <w:r w:rsidR="00091880" w:rsidRPr="00337743">
        <w:rPr>
          <w:rFonts w:ascii="Cambria" w:hAnsi="Cambria"/>
          <w:color w:val="000000"/>
          <w:sz w:val="20"/>
          <w:szCs w:val="20"/>
          <w:lang w:val="pt-BR"/>
        </w:rPr>
        <w:t xml:space="preserve"> no </w:t>
      </w:r>
      <w:r w:rsidR="003F219A" w:rsidRPr="00337743">
        <w:rPr>
          <w:rFonts w:ascii="Cambria" w:hAnsi="Cambria"/>
          <w:color w:val="000000"/>
          <w:sz w:val="20"/>
          <w:szCs w:val="20"/>
          <w:lang w:val="pt-BR"/>
        </w:rPr>
        <w:t>Sal</w:t>
      </w:r>
      <w:r w:rsidR="00BE39A1" w:rsidRPr="00337743">
        <w:rPr>
          <w:rFonts w:ascii="Cambria" w:hAnsi="Cambria"/>
          <w:color w:val="000000"/>
          <w:sz w:val="20"/>
          <w:szCs w:val="20"/>
          <w:lang w:val="pt-BR"/>
        </w:rPr>
        <w:t>ão</w:t>
      </w:r>
      <w:r w:rsidR="003F219A" w:rsidRPr="00337743">
        <w:rPr>
          <w:rFonts w:ascii="Cambria" w:hAnsi="Cambria"/>
          <w:color w:val="000000"/>
          <w:sz w:val="20"/>
          <w:szCs w:val="20"/>
          <w:lang w:val="pt-BR"/>
        </w:rPr>
        <w:t xml:space="preserve"> Nob</w:t>
      </w:r>
      <w:r w:rsidR="002731A2" w:rsidRPr="00337743">
        <w:rPr>
          <w:rFonts w:ascii="Cambria" w:hAnsi="Cambria"/>
          <w:color w:val="000000"/>
          <w:sz w:val="20"/>
          <w:szCs w:val="20"/>
          <w:lang w:val="pt-BR"/>
        </w:rPr>
        <w:t>r</w:t>
      </w:r>
      <w:r w:rsidR="003F219A" w:rsidRPr="00337743">
        <w:rPr>
          <w:rFonts w:ascii="Cambria" w:hAnsi="Cambria"/>
          <w:color w:val="000000"/>
          <w:sz w:val="20"/>
          <w:szCs w:val="20"/>
          <w:lang w:val="pt-BR"/>
        </w:rPr>
        <w:t>e</w:t>
      </w:r>
      <w:r w:rsidR="007707E3" w:rsidRPr="00337743">
        <w:rPr>
          <w:rFonts w:ascii="Cambria" w:hAnsi="Cambria"/>
          <w:color w:val="000000"/>
          <w:sz w:val="20"/>
          <w:szCs w:val="20"/>
          <w:lang w:val="pt-BR"/>
        </w:rPr>
        <w:t xml:space="preserve"> da </w:t>
      </w:r>
      <w:r w:rsidR="000F3F6E" w:rsidRPr="00337743">
        <w:rPr>
          <w:rFonts w:ascii="Cambria" w:hAnsi="Cambria"/>
          <w:color w:val="000000"/>
          <w:sz w:val="20"/>
          <w:szCs w:val="20"/>
          <w:lang w:val="pt-BR"/>
        </w:rPr>
        <w:t>Assembleia</w:t>
      </w:r>
      <w:r w:rsidR="003F219A" w:rsidRPr="00337743">
        <w:rPr>
          <w:rFonts w:ascii="Cambria" w:hAnsi="Cambria"/>
          <w:color w:val="000000"/>
          <w:sz w:val="20"/>
          <w:szCs w:val="20"/>
          <w:lang w:val="pt-BR"/>
        </w:rPr>
        <w:t xml:space="preserve"> Legislativa</w:t>
      </w:r>
      <w:r w:rsidR="007707E3" w:rsidRPr="00337743">
        <w:rPr>
          <w:rFonts w:ascii="Cambria" w:hAnsi="Cambria"/>
          <w:color w:val="000000"/>
          <w:sz w:val="20"/>
          <w:szCs w:val="20"/>
          <w:lang w:val="pt-BR"/>
        </w:rPr>
        <w:t xml:space="preserve"> do </w:t>
      </w:r>
      <w:r w:rsidR="003F219A" w:rsidRPr="00337743">
        <w:rPr>
          <w:rFonts w:ascii="Cambria" w:hAnsi="Cambria"/>
          <w:color w:val="000000"/>
          <w:sz w:val="20"/>
          <w:szCs w:val="20"/>
          <w:lang w:val="pt-BR"/>
        </w:rPr>
        <w:t xml:space="preserve">Estado, </w:t>
      </w:r>
      <w:r w:rsidRPr="00337743">
        <w:rPr>
          <w:rFonts w:ascii="Cambria" w:hAnsi="Cambria"/>
          <w:color w:val="000000"/>
          <w:sz w:val="20"/>
          <w:szCs w:val="20"/>
          <w:lang w:val="pt-BR"/>
        </w:rPr>
        <w:t>cuja</w:t>
      </w:r>
      <w:r w:rsidR="003F219A" w:rsidRPr="00337743">
        <w:rPr>
          <w:rFonts w:ascii="Cambria" w:hAnsi="Cambria"/>
          <w:color w:val="000000"/>
          <w:sz w:val="20"/>
          <w:szCs w:val="20"/>
          <w:lang w:val="pt-BR"/>
        </w:rPr>
        <w:t xml:space="preserve"> Casa </w:t>
      </w:r>
      <w:r w:rsidR="002731A2" w:rsidRPr="00337743">
        <w:rPr>
          <w:rFonts w:ascii="Cambria" w:hAnsi="Cambria"/>
          <w:color w:val="000000"/>
          <w:sz w:val="20"/>
          <w:szCs w:val="20"/>
          <w:lang w:val="pt-BR"/>
        </w:rPr>
        <w:t>L</w:t>
      </w:r>
      <w:r w:rsidR="003F219A" w:rsidRPr="00337743">
        <w:rPr>
          <w:rFonts w:ascii="Cambria" w:hAnsi="Cambria"/>
          <w:color w:val="000000"/>
          <w:sz w:val="20"/>
          <w:szCs w:val="20"/>
          <w:lang w:val="pt-BR"/>
        </w:rPr>
        <w:t>egislativa cancel</w:t>
      </w:r>
      <w:r w:rsidR="00BE39A1" w:rsidRPr="00337743">
        <w:rPr>
          <w:rFonts w:ascii="Cambria" w:hAnsi="Cambria"/>
          <w:color w:val="000000"/>
          <w:sz w:val="20"/>
          <w:szCs w:val="20"/>
          <w:lang w:val="pt-BR"/>
        </w:rPr>
        <w:t>ou</w:t>
      </w:r>
      <w:r w:rsidR="00506331" w:rsidRPr="00337743">
        <w:rPr>
          <w:rFonts w:ascii="Cambria" w:hAnsi="Cambria"/>
          <w:color w:val="000000"/>
          <w:sz w:val="20"/>
          <w:szCs w:val="20"/>
          <w:lang w:val="pt-BR"/>
        </w:rPr>
        <w:t xml:space="preserve"> a </w:t>
      </w:r>
      <w:r w:rsidR="003F219A" w:rsidRPr="00337743">
        <w:rPr>
          <w:rFonts w:ascii="Cambria" w:hAnsi="Cambria"/>
          <w:color w:val="000000"/>
          <w:sz w:val="20"/>
          <w:szCs w:val="20"/>
          <w:lang w:val="pt-BR"/>
        </w:rPr>
        <w:t>realiza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da </w:t>
      </w:r>
      <w:r w:rsidRPr="00337743">
        <w:rPr>
          <w:rFonts w:ascii="Cambria" w:hAnsi="Cambria"/>
          <w:color w:val="000000"/>
          <w:sz w:val="20"/>
          <w:szCs w:val="20"/>
          <w:lang w:val="pt-BR"/>
        </w:rPr>
        <w:t>primeira</w:t>
      </w:r>
      <w:r w:rsidR="003F219A" w:rsidRPr="00337743">
        <w:rPr>
          <w:rFonts w:ascii="Cambria" w:hAnsi="Cambria"/>
          <w:color w:val="000000"/>
          <w:sz w:val="20"/>
          <w:szCs w:val="20"/>
          <w:lang w:val="pt-BR"/>
        </w:rPr>
        <w:t xml:space="preserve"> ses</w:t>
      </w:r>
      <w:r w:rsidR="00AE3002" w:rsidRPr="00337743">
        <w:rPr>
          <w:rFonts w:ascii="Cambria" w:hAnsi="Cambria"/>
          <w:color w:val="000000"/>
          <w:sz w:val="20"/>
          <w:szCs w:val="20"/>
          <w:lang w:val="pt-BR"/>
        </w:rPr>
        <w:t>são</w:t>
      </w:r>
      <w:r w:rsidR="003F219A" w:rsidRPr="00337743">
        <w:rPr>
          <w:rFonts w:ascii="Cambria" w:hAnsi="Cambria"/>
          <w:color w:val="000000"/>
          <w:sz w:val="20"/>
          <w:szCs w:val="20"/>
          <w:lang w:val="pt-BR"/>
        </w:rPr>
        <w:t xml:space="preserve"> legislativa</w:t>
      </w:r>
      <w:r w:rsidR="007707E3" w:rsidRPr="00337743">
        <w:rPr>
          <w:rFonts w:ascii="Cambria" w:hAnsi="Cambria"/>
          <w:color w:val="000000"/>
          <w:sz w:val="20"/>
          <w:szCs w:val="20"/>
          <w:lang w:val="pt-BR"/>
        </w:rPr>
        <w:t xml:space="preserve"> do </w:t>
      </w:r>
      <w:r w:rsidRPr="00337743">
        <w:rPr>
          <w:rFonts w:ascii="Cambria" w:hAnsi="Cambria"/>
          <w:color w:val="000000"/>
          <w:sz w:val="20"/>
          <w:szCs w:val="20"/>
          <w:lang w:val="pt-BR"/>
        </w:rPr>
        <w:t>primeiro</w:t>
      </w:r>
      <w:r w:rsidR="003F219A" w:rsidRPr="00337743">
        <w:rPr>
          <w:rFonts w:ascii="Cambria" w:hAnsi="Cambria"/>
          <w:color w:val="000000"/>
          <w:sz w:val="20"/>
          <w:szCs w:val="20"/>
          <w:lang w:val="pt-BR"/>
        </w:rPr>
        <w:t xml:space="preserve"> d</w:t>
      </w:r>
      <w:r w:rsidR="00BF72CE" w:rsidRPr="00337743">
        <w:rPr>
          <w:rFonts w:ascii="Cambria" w:hAnsi="Cambria"/>
          <w:color w:val="000000"/>
          <w:sz w:val="20"/>
          <w:szCs w:val="20"/>
          <w:lang w:val="pt-BR"/>
        </w:rPr>
        <w:t>ia</w:t>
      </w:r>
      <w:r w:rsidR="00506331" w:rsidRPr="00337743">
        <w:rPr>
          <w:rFonts w:ascii="Cambria" w:hAnsi="Cambria"/>
          <w:color w:val="000000"/>
          <w:sz w:val="20"/>
          <w:szCs w:val="20"/>
          <w:lang w:val="pt-BR"/>
        </w:rPr>
        <w:t xml:space="preserve"> </w:t>
      </w:r>
      <w:r w:rsidR="00BE39A1" w:rsidRPr="00337743">
        <w:rPr>
          <w:rFonts w:ascii="Cambria" w:hAnsi="Cambria"/>
          <w:color w:val="000000"/>
          <w:sz w:val="20"/>
          <w:szCs w:val="20"/>
          <w:lang w:val="pt-BR"/>
        </w:rPr>
        <w:t>d</w:t>
      </w:r>
      <w:r w:rsidR="00506331" w:rsidRPr="00337743">
        <w:rPr>
          <w:rFonts w:ascii="Cambria" w:hAnsi="Cambria"/>
          <w:color w:val="000000"/>
          <w:sz w:val="20"/>
          <w:szCs w:val="20"/>
          <w:lang w:val="pt-BR"/>
        </w:rPr>
        <w:t xml:space="preserve">o </w:t>
      </w:r>
      <w:r w:rsidR="003F219A" w:rsidRPr="00337743">
        <w:rPr>
          <w:rFonts w:ascii="Cambria" w:hAnsi="Cambria"/>
          <w:color w:val="000000"/>
          <w:sz w:val="20"/>
          <w:szCs w:val="20"/>
          <w:lang w:val="pt-BR"/>
        </w:rPr>
        <w:t>semestre</w:t>
      </w:r>
      <w:r w:rsidR="007707E3" w:rsidRPr="00337743">
        <w:rPr>
          <w:rFonts w:ascii="Cambria" w:hAnsi="Cambria"/>
          <w:color w:val="000000"/>
          <w:sz w:val="20"/>
          <w:szCs w:val="20"/>
          <w:lang w:val="pt-BR"/>
        </w:rPr>
        <w:t xml:space="preserve"> do </w:t>
      </w:r>
      <w:r w:rsidR="00BE39A1" w:rsidRPr="00337743">
        <w:rPr>
          <w:rFonts w:ascii="Cambria" w:hAnsi="Cambria"/>
          <w:color w:val="000000"/>
          <w:sz w:val="20"/>
          <w:szCs w:val="20"/>
          <w:lang w:val="pt-BR"/>
        </w:rPr>
        <w:t>corr</w:t>
      </w:r>
      <w:r w:rsidR="003F219A" w:rsidRPr="00337743">
        <w:rPr>
          <w:rFonts w:ascii="Cambria" w:hAnsi="Cambria"/>
          <w:color w:val="000000"/>
          <w:sz w:val="20"/>
          <w:szCs w:val="20"/>
          <w:lang w:val="pt-BR"/>
        </w:rPr>
        <w:t xml:space="preserve">ente </w:t>
      </w:r>
      <w:r w:rsidR="00362A4F" w:rsidRPr="00337743">
        <w:rPr>
          <w:rFonts w:ascii="Cambria" w:hAnsi="Cambria"/>
          <w:color w:val="000000"/>
          <w:sz w:val="20"/>
          <w:szCs w:val="20"/>
          <w:lang w:val="pt-BR"/>
        </w:rPr>
        <w:t>ano</w:t>
      </w:r>
      <w:r w:rsidR="003F219A" w:rsidRPr="00337743">
        <w:rPr>
          <w:rFonts w:ascii="Cambria" w:hAnsi="Cambria"/>
          <w:color w:val="000000"/>
          <w:sz w:val="20"/>
          <w:szCs w:val="20"/>
          <w:lang w:val="pt-BR"/>
        </w:rPr>
        <w:t>, por determina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114C2E" w:rsidRPr="00337743">
        <w:rPr>
          <w:rFonts w:ascii="Cambria" w:hAnsi="Cambria"/>
          <w:color w:val="000000"/>
          <w:sz w:val="20"/>
          <w:szCs w:val="20"/>
          <w:lang w:val="pt-BR"/>
        </w:rPr>
        <w:t>Deputado</w:t>
      </w:r>
      <w:r w:rsidR="003F219A" w:rsidRPr="00337743">
        <w:rPr>
          <w:rFonts w:ascii="Cambria" w:hAnsi="Cambria"/>
          <w:color w:val="000000"/>
          <w:sz w:val="20"/>
          <w:szCs w:val="20"/>
          <w:lang w:val="pt-BR"/>
        </w:rPr>
        <w:t xml:space="preserve"> Presidente, </w:t>
      </w:r>
      <w:r w:rsidR="00BE39A1" w:rsidRPr="00337743">
        <w:rPr>
          <w:rFonts w:ascii="Cambria" w:hAnsi="Cambria"/>
          <w:color w:val="000000"/>
          <w:sz w:val="20"/>
          <w:szCs w:val="20"/>
          <w:lang w:val="pt-BR"/>
        </w:rPr>
        <w:t>após</w:t>
      </w:r>
      <w:r w:rsidR="003F219A" w:rsidRPr="00337743">
        <w:rPr>
          <w:rFonts w:ascii="Cambria" w:hAnsi="Cambria"/>
          <w:color w:val="000000"/>
          <w:sz w:val="20"/>
          <w:szCs w:val="20"/>
          <w:lang w:val="pt-BR"/>
        </w:rPr>
        <w:t xml:space="preserve"> comunica</w:t>
      </w:r>
      <w:r w:rsidR="00350E7E" w:rsidRPr="00337743">
        <w:rPr>
          <w:rFonts w:ascii="Cambria" w:hAnsi="Cambria"/>
          <w:color w:val="000000"/>
          <w:sz w:val="20"/>
          <w:szCs w:val="20"/>
          <w:lang w:val="pt-BR"/>
        </w:rPr>
        <w:t>ção</w:t>
      </w:r>
      <w:r w:rsidR="003F219A" w:rsidRPr="00337743">
        <w:rPr>
          <w:rFonts w:ascii="Cambria" w:hAnsi="Cambria"/>
          <w:color w:val="000000"/>
          <w:sz w:val="20"/>
          <w:szCs w:val="20"/>
          <w:lang w:val="pt-BR"/>
        </w:rPr>
        <w:t xml:space="preserve"> oficial a todos</w:t>
      </w:r>
      <w:r w:rsidR="007707E3" w:rsidRPr="00337743">
        <w:rPr>
          <w:rFonts w:ascii="Cambria" w:hAnsi="Cambria"/>
          <w:color w:val="000000"/>
          <w:sz w:val="20"/>
          <w:szCs w:val="20"/>
          <w:lang w:val="pt-BR"/>
        </w:rPr>
        <w:t xml:space="preserve"> os </w:t>
      </w:r>
      <w:r w:rsidR="003F219A" w:rsidRPr="00337743">
        <w:rPr>
          <w:rFonts w:ascii="Cambria" w:hAnsi="Cambria"/>
          <w:color w:val="000000"/>
          <w:sz w:val="20"/>
          <w:szCs w:val="20"/>
          <w:lang w:val="pt-BR"/>
        </w:rPr>
        <w:t>parlamentar</w:t>
      </w:r>
      <w:r w:rsidR="00BE39A1" w:rsidRPr="00337743">
        <w:rPr>
          <w:rFonts w:ascii="Cambria" w:hAnsi="Cambria"/>
          <w:color w:val="000000"/>
          <w:sz w:val="20"/>
          <w:szCs w:val="20"/>
          <w:lang w:val="pt-BR"/>
        </w:rPr>
        <w:t>e</w:t>
      </w:r>
      <w:r w:rsidR="003F219A" w:rsidRPr="00337743">
        <w:rPr>
          <w:rFonts w:ascii="Cambria" w:hAnsi="Cambria"/>
          <w:color w:val="000000"/>
          <w:sz w:val="20"/>
          <w:szCs w:val="20"/>
          <w:lang w:val="pt-BR"/>
        </w:rPr>
        <w:t>s</w:t>
      </w:r>
      <w:r w:rsidR="00FA7EDB"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BE39A1" w:rsidRPr="00337743">
        <w:rPr>
          <w:rFonts w:ascii="Cambria" w:hAnsi="Cambria"/>
          <w:color w:val="000000"/>
          <w:sz w:val="20"/>
          <w:szCs w:val="20"/>
          <w:lang w:val="pt-BR"/>
        </w:rPr>
        <w:t>Também f</w:t>
      </w:r>
      <w:r w:rsidR="00091880" w:rsidRPr="00337743">
        <w:rPr>
          <w:rFonts w:ascii="Cambria" w:hAnsi="Cambria"/>
          <w:color w:val="000000"/>
          <w:sz w:val="20"/>
          <w:szCs w:val="20"/>
          <w:lang w:val="pt-BR"/>
        </w:rPr>
        <w:t xml:space="preserve">oi </w:t>
      </w:r>
      <w:r w:rsidR="003F219A" w:rsidRPr="00337743">
        <w:rPr>
          <w:rFonts w:ascii="Cambria" w:hAnsi="Cambria"/>
          <w:color w:val="000000"/>
          <w:sz w:val="20"/>
          <w:szCs w:val="20"/>
          <w:lang w:val="pt-BR"/>
        </w:rPr>
        <w:t>decret</w:t>
      </w:r>
      <w:r w:rsidR="00BE39A1" w:rsidRPr="00337743">
        <w:rPr>
          <w:rFonts w:ascii="Cambria" w:hAnsi="Cambria"/>
          <w:color w:val="000000"/>
          <w:sz w:val="20"/>
          <w:szCs w:val="20"/>
          <w:lang w:val="pt-BR"/>
        </w:rPr>
        <w:t>ado luto</w:t>
      </w:r>
      <w:r w:rsidR="003F219A" w:rsidRPr="00337743">
        <w:rPr>
          <w:rFonts w:ascii="Cambria" w:hAnsi="Cambria"/>
          <w:color w:val="000000"/>
          <w:sz w:val="20"/>
          <w:szCs w:val="20"/>
          <w:lang w:val="pt-BR"/>
        </w:rPr>
        <w:t xml:space="preserve"> oficial por </w:t>
      </w:r>
      <w:r w:rsidRPr="00337743">
        <w:rPr>
          <w:rFonts w:ascii="Cambria" w:hAnsi="Cambria"/>
          <w:color w:val="000000"/>
          <w:sz w:val="20"/>
          <w:szCs w:val="20"/>
          <w:lang w:val="pt-BR"/>
        </w:rPr>
        <w:t>três</w:t>
      </w:r>
      <w:r w:rsidR="003F219A" w:rsidRPr="00337743">
        <w:rPr>
          <w:rFonts w:ascii="Cambria" w:hAnsi="Cambria"/>
          <w:color w:val="000000"/>
          <w:sz w:val="20"/>
          <w:szCs w:val="20"/>
          <w:lang w:val="pt-BR"/>
        </w:rPr>
        <w:t xml:space="preserve"> d</w:t>
      </w:r>
      <w:r w:rsidR="00BF72CE" w:rsidRPr="00337743">
        <w:rPr>
          <w:rFonts w:ascii="Cambria" w:hAnsi="Cambria"/>
          <w:color w:val="000000"/>
          <w:sz w:val="20"/>
          <w:szCs w:val="20"/>
          <w:lang w:val="pt-BR"/>
        </w:rPr>
        <w:t>ia</w:t>
      </w:r>
      <w:r w:rsidR="003F219A" w:rsidRPr="00337743">
        <w:rPr>
          <w:rFonts w:ascii="Cambria" w:hAnsi="Cambria"/>
          <w:color w:val="000000"/>
          <w:sz w:val="20"/>
          <w:szCs w:val="20"/>
          <w:lang w:val="pt-BR"/>
        </w:rPr>
        <w:t>s</w:t>
      </w:r>
      <w:r w:rsidR="003F219A" w:rsidRPr="00337743">
        <w:rPr>
          <w:rFonts w:ascii="Cambria" w:hAnsi="Cambria"/>
          <w:color w:val="000000"/>
          <w:sz w:val="20"/>
          <w:szCs w:val="20"/>
          <w:vertAlign w:val="superscript"/>
          <w:lang w:val="pt-BR"/>
        </w:rPr>
        <w:footnoteReference w:id="76"/>
      </w:r>
      <w:r w:rsidR="00506331" w:rsidRPr="00337743">
        <w:rPr>
          <w:rFonts w:ascii="Cambria" w:hAnsi="Cambria"/>
          <w:color w:val="000000"/>
          <w:sz w:val="20"/>
          <w:szCs w:val="20"/>
          <w:lang w:val="pt-BR"/>
        </w:rPr>
        <w:t xml:space="preserve"> e o </w:t>
      </w:r>
      <w:r w:rsidRPr="00337743">
        <w:rPr>
          <w:rFonts w:ascii="Cambria" w:hAnsi="Cambria"/>
          <w:color w:val="000000"/>
          <w:sz w:val="20"/>
          <w:szCs w:val="20"/>
          <w:lang w:val="pt-BR"/>
        </w:rPr>
        <w:t>velório</w:t>
      </w:r>
      <w:r w:rsidR="00091880" w:rsidRPr="00337743">
        <w:rPr>
          <w:rFonts w:ascii="Cambria" w:hAnsi="Cambria"/>
          <w:color w:val="000000"/>
          <w:sz w:val="20"/>
          <w:szCs w:val="20"/>
          <w:lang w:val="pt-BR"/>
        </w:rPr>
        <w:t xml:space="preserve"> foi </w:t>
      </w:r>
      <w:r w:rsidR="0026132C">
        <w:rPr>
          <w:rFonts w:ascii="Cambria" w:hAnsi="Cambria"/>
          <w:color w:val="000000"/>
          <w:sz w:val="20"/>
          <w:szCs w:val="20"/>
          <w:lang w:val="pt-BR"/>
        </w:rPr>
        <w:t>prestigiado</w:t>
      </w:r>
      <w:r w:rsidR="003F219A" w:rsidRPr="00337743">
        <w:rPr>
          <w:rFonts w:ascii="Cambria" w:hAnsi="Cambria"/>
          <w:color w:val="000000"/>
          <w:sz w:val="20"/>
          <w:szCs w:val="20"/>
          <w:lang w:val="pt-BR"/>
        </w:rPr>
        <w:t xml:space="preserve"> por </w:t>
      </w:r>
      <w:r w:rsidRPr="00337743">
        <w:rPr>
          <w:rFonts w:ascii="Cambria" w:hAnsi="Cambria"/>
          <w:color w:val="000000"/>
          <w:sz w:val="20"/>
          <w:szCs w:val="20"/>
          <w:lang w:val="pt-BR"/>
        </w:rPr>
        <w:t>vários</w:t>
      </w:r>
      <w:r w:rsidR="003F219A" w:rsidRPr="00337743">
        <w:rPr>
          <w:rFonts w:ascii="Cambria" w:hAnsi="Cambria"/>
          <w:color w:val="000000"/>
          <w:sz w:val="20"/>
          <w:szCs w:val="20"/>
          <w:lang w:val="pt-BR"/>
        </w:rPr>
        <w:t xml:space="preserve"> políticos, entre el</w:t>
      </w:r>
      <w:r w:rsidR="00BE39A1" w:rsidRPr="00337743">
        <w:rPr>
          <w:rFonts w:ascii="Cambria" w:hAnsi="Cambria"/>
          <w:color w:val="000000"/>
          <w:sz w:val="20"/>
          <w:szCs w:val="20"/>
          <w:lang w:val="pt-BR"/>
        </w:rPr>
        <w:t>e</w:t>
      </w:r>
      <w:r w:rsidR="003F219A" w:rsidRPr="00337743">
        <w:rPr>
          <w:rFonts w:ascii="Cambria" w:hAnsi="Cambria"/>
          <w:color w:val="000000"/>
          <w:sz w:val="20"/>
          <w:szCs w:val="20"/>
          <w:lang w:val="pt-BR"/>
        </w:rPr>
        <w:t>s</w:t>
      </w:r>
      <w:r w:rsidR="00506331" w:rsidRPr="00337743">
        <w:rPr>
          <w:rFonts w:ascii="Cambria" w:hAnsi="Cambria"/>
          <w:color w:val="000000"/>
          <w:sz w:val="20"/>
          <w:szCs w:val="20"/>
          <w:lang w:val="pt-BR"/>
        </w:rPr>
        <w:t xml:space="preserve"> o </w:t>
      </w:r>
      <w:r w:rsidR="0026132C">
        <w:rPr>
          <w:rFonts w:ascii="Cambria" w:hAnsi="Cambria"/>
          <w:color w:val="000000"/>
          <w:sz w:val="20"/>
          <w:szCs w:val="20"/>
          <w:lang w:val="pt-BR"/>
        </w:rPr>
        <w:t xml:space="preserve">então </w:t>
      </w:r>
      <w:r w:rsidRPr="00337743">
        <w:rPr>
          <w:rFonts w:ascii="Cambria" w:hAnsi="Cambria"/>
          <w:color w:val="000000"/>
          <w:sz w:val="20"/>
          <w:szCs w:val="20"/>
          <w:lang w:val="pt-BR"/>
        </w:rPr>
        <w:t>Governador</w:t>
      </w:r>
      <w:r w:rsidR="007707E3" w:rsidRPr="00337743">
        <w:rPr>
          <w:rFonts w:ascii="Cambria" w:hAnsi="Cambria"/>
          <w:color w:val="000000"/>
          <w:sz w:val="20"/>
          <w:szCs w:val="20"/>
          <w:lang w:val="pt-BR"/>
        </w:rPr>
        <w:t xml:space="preserve"> do </w:t>
      </w:r>
      <w:r w:rsidR="003F219A" w:rsidRPr="00337743">
        <w:rPr>
          <w:rFonts w:ascii="Cambria" w:hAnsi="Cambria"/>
          <w:color w:val="000000"/>
          <w:sz w:val="20"/>
          <w:szCs w:val="20"/>
          <w:lang w:val="pt-BR"/>
        </w:rPr>
        <w:t>Estado d</w:t>
      </w:r>
      <w:r w:rsidR="00BE39A1" w:rsidRPr="00337743">
        <w:rPr>
          <w:rFonts w:ascii="Cambria" w:hAnsi="Cambria"/>
          <w:color w:val="000000"/>
          <w:sz w:val="20"/>
          <w:szCs w:val="20"/>
          <w:lang w:val="pt-BR"/>
        </w:rPr>
        <w:t>a</w:t>
      </w:r>
      <w:r w:rsidR="003F219A" w:rsidRPr="00337743">
        <w:rPr>
          <w:rFonts w:ascii="Cambria" w:hAnsi="Cambria"/>
          <w:color w:val="000000"/>
          <w:sz w:val="20"/>
          <w:szCs w:val="20"/>
          <w:lang w:val="pt-BR"/>
        </w:rPr>
        <w:t xml:space="preserve"> Paraíba</w:t>
      </w:r>
      <w:r w:rsidR="003F219A" w:rsidRPr="00337743">
        <w:rPr>
          <w:rFonts w:ascii="Cambria" w:hAnsi="Cambria"/>
          <w:color w:val="000000"/>
          <w:sz w:val="20"/>
          <w:szCs w:val="20"/>
          <w:vertAlign w:val="superscript"/>
          <w:lang w:val="pt-BR"/>
        </w:rPr>
        <w:footnoteReference w:id="77"/>
      </w:r>
      <w:r w:rsidR="00A71A75" w:rsidRPr="00337743">
        <w:rPr>
          <w:rFonts w:ascii="Cambria" w:hAnsi="Cambria"/>
          <w:color w:val="000000"/>
          <w:sz w:val="20"/>
          <w:szCs w:val="20"/>
          <w:lang w:val="pt-BR"/>
        </w:rPr>
        <w:t>.</w:t>
      </w:r>
      <w:bookmarkEnd w:id="0"/>
    </w:p>
    <w:p w14:paraId="45AB7A24" w14:textId="77777777" w:rsidR="00074C7B" w:rsidRPr="00337743" w:rsidRDefault="00074C7B" w:rsidP="00074C7B">
      <w:pPr>
        <w:pStyle w:val="Heading1"/>
        <w:spacing w:before="0"/>
        <w:ind w:hanging="90"/>
        <w:rPr>
          <w:color w:val="auto"/>
          <w:sz w:val="20"/>
          <w:szCs w:val="20"/>
          <w:lang w:val="pt-BR"/>
        </w:rPr>
      </w:pPr>
      <w:bookmarkStart w:id="17" w:name="_Toc5890574"/>
      <w:r w:rsidRPr="00337743">
        <w:rPr>
          <w:color w:val="auto"/>
          <w:sz w:val="20"/>
          <w:szCs w:val="20"/>
          <w:lang w:val="pt-BR"/>
        </w:rPr>
        <w:t>ANÁLIS</w:t>
      </w:r>
      <w:r w:rsidR="00D2620E" w:rsidRPr="00337743">
        <w:rPr>
          <w:color w:val="auto"/>
          <w:sz w:val="20"/>
          <w:szCs w:val="20"/>
          <w:lang w:val="pt-BR"/>
        </w:rPr>
        <w:t>E</w:t>
      </w:r>
      <w:r w:rsidRPr="00337743">
        <w:rPr>
          <w:color w:val="auto"/>
          <w:sz w:val="20"/>
          <w:szCs w:val="20"/>
          <w:lang w:val="pt-BR"/>
        </w:rPr>
        <w:t xml:space="preserve"> DE </w:t>
      </w:r>
      <w:r w:rsidR="00350E7E" w:rsidRPr="00337743">
        <w:rPr>
          <w:color w:val="auto"/>
          <w:sz w:val="20"/>
          <w:szCs w:val="20"/>
          <w:lang w:val="pt-BR"/>
        </w:rPr>
        <w:t>DIREITO</w:t>
      </w:r>
      <w:bookmarkEnd w:id="17"/>
    </w:p>
    <w:p w14:paraId="5E799842" w14:textId="77777777" w:rsidR="00F01E48" w:rsidRPr="00337743" w:rsidRDefault="00F01E48" w:rsidP="00234586">
      <w:pPr>
        <w:rPr>
          <w:rFonts w:ascii="Cambria" w:hAnsi="Cambria"/>
          <w:color w:val="000000"/>
          <w:sz w:val="20"/>
          <w:szCs w:val="20"/>
          <w:lang w:val="pt-BR"/>
        </w:rPr>
      </w:pPr>
    </w:p>
    <w:p w14:paraId="79D30C5E" w14:textId="77777777" w:rsidR="00234586" w:rsidRPr="00E358A6" w:rsidRDefault="0070269E" w:rsidP="00E358A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Lev</w:t>
      </w:r>
      <w:r w:rsidR="00140BE1" w:rsidRPr="00337743">
        <w:rPr>
          <w:rFonts w:ascii="Cambria" w:hAnsi="Cambria"/>
          <w:color w:val="000000"/>
          <w:sz w:val="20"/>
          <w:szCs w:val="20"/>
          <w:lang w:val="pt-BR"/>
        </w:rPr>
        <w:t>ando</w:t>
      </w:r>
      <w:r w:rsidR="00091880" w:rsidRPr="00337743">
        <w:rPr>
          <w:rFonts w:ascii="Cambria" w:hAnsi="Cambria"/>
          <w:color w:val="000000"/>
          <w:sz w:val="20"/>
          <w:szCs w:val="20"/>
          <w:lang w:val="pt-BR"/>
        </w:rPr>
        <w:t xml:space="preserve"> em </w:t>
      </w:r>
      <w:r w:rsidR="001B5C51" w:rsidRPr="00337743">
        <w:rPr>
          <w:rFonts w:ascii="Cambria" w:hAnsi="Cambria"/>
          <w:color w:val="000000"/>
          <w:sz w:val="20"/>
          <w:szCs w:val="20"/>
          <w:lang w:val="pt-BR"/>
        </w:rPr>
        <w:t>conta</w:t>
      </w:r>
      <w:r w:rsidR="007707E3" w:rsidRPr="00337743">
        <w:rPr>
          <w:rFonts w:ascii="Cambria" w:hAnsi="Cambria"/>
          <w:color w:val="000000"/>
          <w:sz w:val="20"/>
          <w:szCs w:val="20"/>
          <w:lang w:val="pt-BR"/>
        </w:rPr>
        <w:t xml:space="preserve"> </w:t>
      </w:r>
      <w:r w:rsidRPr="00337743">
        <w:rPr>
          <w:rFonts w:ascii="Cambria" w:hAnsi="Cambria"/>
          <w:color w:val="000000"/>
          <w:sz w:val="20"/>
          <w:szCs w:val="20"/>
          <w:lang w:val="pt-BR"/>
        </w:rPr>
        <w:t>a</w:t>
      </w:r>
      <w:r w:rsidR="007707E3" w:rsidRPr="00337743">
        <w:rPr>
          <w:rFonts w:ascii="Cambria" w:hAnsi="Cambria"/>
          <w:color w:val="000000"/>
          <w:sz w:val="20"/>
          <w:szCs w:val="20"/>
          <w:lang w:val="pt-BR"/>
        </w:rPr>
        <w:t xml:space="preserve">s </w:t>
      </w:r>
      <w:r w:rsidR="00140BE1" w:rsidRPr="00337743">
        <w:rPr>
          <w:rFonts w:ascii="Cambria" w:hAnsi="Cambria"/>
          <w:color w:val="000000"/>
          <w:sz w:val="20"/>
          <w:szCs w:val="20"/>
          <w:lang w:val="pt-BR"/>
        </w:rPr>
        <w:t>alega</w:t>
      </w:r>
      <w:r w:rsidRPr="00337743">
        <w:rPr>
          <w:rFonts w:ascii="Cambria" w:hAnsi="Cambria"/>
          <w:color w:val="000000"/>
          <w:sz w:val="20"/>
          <w:szCs w:val="20"/>
          <w:lang w:val="pt-BR"/>
        </w:rPr>
        <w:t>çõe</w:t>
      </w:r>
      <w:r w:rsidR="00140BE1" w:rsidRPr="00337743">
        <w:rPr>
          <w:rFonts w:ascii="Cambria" w:hAnsi="Cambria"/>
          <w:color w:val="000000"/>
          <w:sz w:val="20"/>
          <w:szCs w:val="20"/>
          <w:lang w:val="pt-BR"/>
        </w:rPr>
        <w:t>s</w:t>
      </w:r>
      <w:r w:rsidR="00DB5118" w:rsidRPr="00337743">
        <w:rPr>
          <w:rFonts w:ascii="Cambria" w:hAnsi="Cambria"/>
          <w:color w:val="000000"/>
          <w:sz w:val="20"/>
          <w:szCs w:val="20"/>
          <w:lang w:val="pt-BR"/>
        </w:rPr>
        <w:t xml:space="preserve"> das </w:t>
      </w:r>
      <w:r w:rsidR="00140BE1" w:rsidRPr="00337743">
        <w:rPr>
          <w:rFonts w:ascii="Cambria" w:hAnsi="Cambria"/>
          <w:color w:val="000000"/>
          <w:sz w:val="20"/>
          <w:szCs w:val="20"/>
          <w:lang w:val="pt-BR"/>
        </w:rPr>
        <w:t>partes</w:t>
      </w:r>
      <w:r w:rsidR="00506331" w:rsidRPr="00337743">
        <w:rPr>
          <w:rFonts w:ascii="Cambria" w:hAnsi="Cambria"/>
          <w:color w:val="000000"/>
          <w:sz w:val="20"/>
          <w:szCs w:val="20"/>
          <w:lang w:val="pt-BR"/>
        </w:rPr>
        <w:t xml:space="preserve"> e </w:t>
      </w:r>
      <w:r w:rsidR="007707E3" w:rsidRPr="00337743">
        <w:rPr>
          <w:rFonts w:ascii="Cambria" w:hAnsi="Cambria"/>
          <w:color w:val="000000"/>
          <w:sz w:val="20"/>
          <w:szCs w:val="20"/>
          <w:lang w:val="pt-BR"/>
        </w:rPr>
        <w:t xml:space="preserve">os </w:t>
      </w:r>
      <w:r w:rsidRPr="00337743">
        <w:rPr>
          <w:rFonts w:ascii="Cambria" w:hAnsi="Cambria"/>
          <w:color w:val="000000"/>
          <w:sz w:val="20"/>
          <w:szCs w:val="20"/>
          <w:lang w:val="pt-BR"/>
        </w:rPr>
        <w:t>fat</w:t>
      </w:r>
      <w:r w:rsidR="00140BE1" w:rsidRPr="00337743">
        <w:rPr>
          <w:rFonts w:ascii="Cambria" w:hAnsi="Cambria"/>
          <w:color w:val="000000"/>
          <w:sz w:val="20"/>
          <w:szCs w:val="20"/>
          <w:lang w:val="pt-BR"/>
        </w:rPr>
        <w:t xml:space="preserve">os </w:t>
      </w:r>
      <w:r w:rsidR="001B5C51" w:rsidRPr="00337743">
        <w:rPr>
          <w:rFonts w:ascii="Cambria" w:hAnsi="Cambria"/>
          <w:color w:val="000000"/>
          <w:sz w:val="20"/>
          <w:szCs w:val="20"/>
          <w:lang w:val="pt-BR"/>
        </w:rPr>
        <w:t>estabelecidos</w:t>
      </w:r>
      <w:r w:rsidR="00091880" w:rsidRPr="00337743">
        <w:rPr>
          <w:rFonts w:ascii="Cambria" w:hAnsi="Cambria"/>
          <w:color w:val="000000"/>
          <w:sz w:val="20"/>
          <w:szCs w:val="20"/>
          <w:lang w:val="pt-BR"/>
        </w:rPr>
        <w:t xml:space="preserve"> no </w:t>
      </w:r>
      <w:r w:rsidR="00140BE1" w:rsidRPr="00337743">
        <w:rPr>
          <w:rFonts w:ascii="Cambria" w:hAnsi="Cambria"/>
          <w:color w:val="000000"/>
          <w:sz w:val="20"/>
          <w:szCs w:val="20"/>
          <w:lang w:val="pt-BR"/>
        </w:rPr>
        <w:t xml:space="preserve">presente </w:t>
      </w:r>
      <w:r w:rsidR="00350E7E" w:rsidRPr="00337743">
        <w:rPr>
          <w:rFonts w:ascii="Cambria" w:hAnsi="Cambria"/>
          <w:color w:val="000000"/>
          <w:sz w:val="20"/>
          <w:szCs w:val="20"/>
          <w:lang w:val="pt-BR"/>
        </w:rPr>
        <w:t>relatório</w:t>
      </w:r>
      <w:r w:rsidR="00140BE1" w:rsidRPr="00337743">
        <w:rPr>
          <w:rFonts w:ascii="Cambria" w:hAnsi="Cambria"/>
          <w:color w:val="000000"/>
          <w:sz w:val="20"/>
          <w:szCs w:val="20"/>
          <w:lang w:val="pt-BR"/>
        </w:rPr>
        <w:t>,</w:t>
      </w:r>
      <w:r w:rsidR="00506331" w:rsidRPr="00337743">
        <w:rPr>
          <w:rFonts w:ascii="Cambria" w:hAnsi="Cambria"/>
          <w:color w:val="000000"/>
          <w:sz w:val="20"/>
          <w:szCs w:val="20"/>
          <w:lang w:val="pt-BR"/>
        </w:rPr>
        <w:t xml:space="preserve"> a </w:t>
      </w:r>
      <w:r w:rsidR="00350E7E" w:rsidRPr="00337743">
        <w:rPr>
          <w:rFonts w:ascii="Cambria" w:hAnsi="Cambria"/>
          <w:color w:val="000000"/>
          <w:sz w:val="20"/>
          <w:szCs w:val="20"/>
          <w:lang w:val="pt-BR"/>
        </w:rPr>
        <w:t>Comissão</w:t>
      </w:r>
      <w:r w:rsidR="00140BE1" w:rsidRPr="00337743">
        <w:rPr>
          <w:rFonts w:ascii="Cambria" w:hAnsi="Cambria"/>
          <w:color w:val="000000"/>
          <w:sz w:val="20"/>
          <w:szCs w:val="20"/>
          <w:lang w:val="pt-BR"/>
        </w:rPr>
        <w:t xml:space="preserve"> </w:t>
      </w:r>
      <w:r w:rsidR="00265E5E" w:rsidRPr="00337743">
        <w:rPr>
          <w:rFonts w:ascii="Cambria" w:hAnsi="Cambria"/>
          <w:color w:val="000000"/>
          <w:sz w:val="20"/>
          <w:szCs w:val="20"/>
          <w:lang w:val="pt-BR"/>
        </w:rPr>
        <w:t>realizará</w:t>
      </w:r>
      <w:r w:rsidR="00506331" w:rsidRPr="00337743">
        <w:rPr>
          <w:rFonts w:ascii="Cambria" w:hAnsi="Cambria"/>
          <w:color w:val="000000"/>
          <w:sz w:val="20"/>
          <w:szCs w:val="20"/>
          <w:lang w:val="pt-BR"/>
        </w:rPr>
        <w:t xml:space="preserve"> </w:t>
      </w:r>
      <w:r w:rsidRPr="00337743">
        <w:rPr>
          <w:rFonts w:ascii="Cambria" w:hAnsi="Cambria"/>
          <w:color w:val="000000"/>
          <w:sz w:val="20"/>
          <w:szCs w:val="20"/>
          <w:lang w:val="pt-BR"/>
        </w:rPr>
        <w:t>a</w:t>
      </w:r>
      <w:r w:rsidR="00506331" w:rsidRPr="00337743">
        <w:rPr>
          <w:rFonts w:ascii="Cambria" w:hAnsi="Cambria"/>
          <w:color w:val="000000"/>
          <w:sz w:val="20"/>
          <w:szCs w:val="20"/>
          <w:lang w:val="pt-BR"/>
        </w:rPr>
        <w:t xml:space="preserve"> </w:t>
      </w:r>
      <w:r w:rsidR="00265E5E" w:rsidRPr="00337743">
        <w:rPr>
          <w:rFonts w:ascii="Cambria" w:hAnsi="Cambria"/>
          <w:color w:val="000000"/>
          <w:sz w:val="20"/>
          <w:szCs w:val="20"/>
          <w:lang w:val="pt-BR"/>
        </w:rPr>
        <w:t>anális</w:t>
      </w:r>
      <w:r w:rsidRPr="00337743">
        <w:rPr>
          <w:rFonts w:ascii="Cambria" w:hAnsi="Cambria"/>
          <w:color w:val="000000"/>
          <w:sz w:val="20"/>
          <w:szCs w:val="20"/>
          <w:lang w:val="pt-BR"/>
        </w:rPr>
        <w:t>e</w:t>
      </w:r>
      <w:r w:rsidR="00265E5E" w:rsidRPr="00337743">
        <w:rPr>
          <w:rFonts w:ascii="Cambria" w:hAnsi="Cambria"/>
          <w:color w:val="000000"/>
          <w:sz w:val="20"/>
          <w:szCs w:val="20"/>
          <w:lang w:val="pt-BR"/>
        </w:rPr>
        <w:t xml:space="preserve"> de </w:t>
      </w:r>
      <w:r w:rsidR="00350E7E" w:rsidRPr="00337743">
        <w:rPr>
          <w:rFonts w:ascii="Cambria" w:hAnsi="Cambria"/>
          <w:color w:val="000000"/>
          <w:sz w:val="20"/>
          <w:szCs w:val="20"/>
          <w:lang w:val="pt-BR"/>
        </w:rPr>
        <w:t>direito</w:t>
      </w:r>
      <w:r w:rsidR="002506DD"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em </w:t>
      </w:r>
      <w:r w:rsidR="002506DD" w:rsidRPr="00337743">
        <w:rPr>
          <w:rFonts w:ascii="Cambria" w:hAnsi="Cambria"/>
          <w:color w:val="000000"/>
          <w:sz w:val="20"/>
          <w:szCs w:val="20"/>
          <w:lang w:val="pt-BR"/>
        </w:rPr>
        <w:t>prime</w:t>
      </w:r>
      <w:r w:rsidR="00396C08" w:rsidRPr="00337743">
        <w:rPr>
          <w:rFonts w:ascii="Cambria" w:hAnsi="Cambria"/>
          <w:color w:val="000000"/>
          <w:sz w:val="20"/>
          <w:szCs w:val="20"/>
          <w:lang w:val="pt-BR"/>
        </w:rPr>
        <w:t>i</w:t>
      </w:r>
      <w:r w:rsidR="002506DD" w:rsidRPr="00337743">
        <w:rPr>
          <w:rFonts w:ascii="Cambria" w:hAnsi="Cambria"/>
          <w:color w:val="000000"/>
          <w:sz w:val="20"/>
          <w:szCs w:val="20"/>
          <w:lang w:val="pt-BR"/>
        </w:rPr>
        <w:t>r</w:t>
      </w:r>
      <w:r w:rsidR="00396C08" w:rsidRPr="00337743">
        <w:rPr>
          <w:rFonts w:ascii="Cambria" w:hAnsi="Cambria"/>
          <w:color w:val="000000"/>
          <w:sz w:val="20"/>
          <w:szCs w:val="20"/>
          <w:lang w:val="pt-BR"/>
        </w:rPr>
        <w:t>o</w:t>
      </w:r>
      <w:r w:rsidR="002506DD" w:rsidRPr="00337743">
        <w:rPr>
          <w:rFonts w:ascii="Cambria" w:hAnsi="Cambria"/>
          <w:color w:val="000000"/>
          <w:sz w:val="20"/>
          <w:szCs w:val="20"/>
          <w:lang w:val="pt-BR"/>
        </w:rPr>
        <w:t xml:space="preserve"> lugar </w:t>
      </w:r>
      <w:r w:rsidR="00FC3B0A" w:rsidRPr="00337743">
        <w:rPr>
          <w:rFonts w:ascii="Cambria" w:hAnsi="Cambria"/>
          <w:color w:val="000000"/>
          <w:sz w:val="20"/>
          <w:szCs w:val="20"/>
          <w:lang w:val="pt-BR"/>
        </w:rPr>
        <w:t>determinando</w:t>
      </w:r>
      <w:r w:rsidR="00532720" w:rsidRPr="00337743">
        <w:rPr>
          <w:rFonts w:ascii="Cambria" w:hAnsi="Cambria"/>
          <w:color w:val="000000"/>
          <w:sz w:val="20"/>
          <w:szCs w:val="20"/>
          <w:lang w:val="pt-BR"/>
        </w:rPr>
        <w:t xml:space="preserve"> se </w:t>
      </w:r>
      <w:r w:rsidR="00506331" w:rsidRPr="00337743">
        <w:rPr>
          <w:rFonts w:ascii="Cambria" w:hAnsi="Cambria"/>
          <w:color w:val="000000"/>
          <w:sz w:val="20"/>
          <w:szCs w:val="20"/>
          <w:lang w:val="pt-BR"/>
        </w:rPr>
        <w:t xml:space="preserve">a </w:t>
      </w:r>
      <w:r w:rsidR="00F23137" w:rsidRPr="00337743">
        <w:rPr>
          <w:rFonts w:ascii="Cambria" w:hAnsi="Cambria"/>
          <w:color w:val="000000"/>
          <w:sz w:val="20"/>
          <w:szCs w:val="20"/>
          <w:lang w:val="pt-BR"/>
        </w:rPr>
        <w:t>viola</w:t>
      </w:r>
      <w:r w:rsidR="00350E7E" w:rsidRPr="00337743">
        <w:rPr>
          <w:rFonts w:ascii="Cambria" w:hAnsi="Cambria"/>
          <w:color w:val="000000"/>
          <w:sz w:val="20"/>
          <w:szCs w:val="20"/>
          <w:lang w:val="pt-BR"/>
        </w:rPr>
        <w:t>ção</w:t>
      </w:r>
      <w:r w:rsidR="007707E3" w:rsidRPr="00337743">
        <w:rPr>
          <w:rFonts w:ascii="Cambria" w:hAnsi="Cambria"/>
          <w:color w:val="000000"/>
          <w:sz w:val="20"/>
          <w:szCs w:val="20"/>
          <w:lang w:val="pt-BR"/>
        </w:rPr>
        <w:t xml:space="preserve"> do </w:t>
      </w:r>
      <w:r w:rsidR="00350E7E" w:rsidRPr="00337743">
        <w:rPr>
          <w:rFonts w:ascii="Cambria" w:hAnsi="Cambria"/>
          <w:color w:val="000000"/>
          <w:sz w:val="20"/>
          <w:szCs w:val="20"/>
          <w:lang w:val="pt-BR"/>
        </w:rPr>
        <w:t>direito</w:t>
      </w:r>
      <w:r w:rsidR="00F453EB" w:rsidRPr="00337743">
        <w:rPr>
          <w:rFonts w:ascii="Cambria" w:hAnsi="Cambria"/>
          <w:color w:val="000000"/>
          <w:sz w:val="20"/>
          <w:szCs w:val="20"/>
          <w:lang w:val="pt-BR"/>
        </w:rPr>
        <w:t xml:space="preserve"> à </w:t>
      </w:r>
      <w:r w:rsidR="00F23137" w:rsidRPr="00337743">
        <w:rPr>
          <w:rFonts w:ascii="Cambria" w:hAnsi="Cambria"/>
          <w:color w:val="000000"/>
          <w:sz w:val="20"/>
          <w:szCs w:val="20"/>
          <w:lang w:val="pt-BR"/>
        </w:rPr>
        <w:t>vida</w:t>
      </w:r>
      <w:r w:rsidR="00506331" w:rsidRPr="00337743">
        <w:rPr>
          <w:rFonts w:ascii="Cambria" w:hAnsi="Cambria"/>
          <w:color w:val="000000"/>
          <w:sz w:val="20"/>
          <w:szCs w:val="20"/>
          <w:lang w:val="pt-BR"/>
        </w:rPr>
        <w:t xml:space="preserve"> e a </w:t>
      </w:r>
      <w:r w:rsidR="001B5C51" w:rsidRPr="00337743">
        <w:rPr>
          <w:rFonts w:ascii="Cambria" w:hAnsi="Cambria"/>
          <w:color w:val="000000"/>
          <w:sz w:val="20"/>
          <w:szCs w:val="20"/>
          <w:lang w:val="pt-BR"/>
        </w:rPr>
        <w:t>violência</w:t>
      </w:r>
      <w:r w:rsidR="00F23137" w:rsidRPr="00337743">
        <w:rPr>
          <w:rFonts w:ascii="Cambria" w:hAnsi="Cambria"/>
          <w:color w:val="000000"/>
          <w:sz w:val="20"/>
          <w:szCs w:val="20"/>
          <w:lang w:val="pt-BR"/>
        </w:rPr>
        <w:t xml:space="preserve"> contra</w:t>
      </w:r>
      <w:r w:rsidR="00506331" w:rsidRPr="00337743">
        <w:rPr>
          <w:rFonts w:ascii="Cambria" w:hAnsi="Cambria"/>
          <w:color w:val="000000"/>
          <w:sz w:val="20"/>
          <w:szCs w:val="20"/>
          <w:lang w:val="pt-BR"/>
        </w:rPr>
        <w:t xml:space="preserve"> a </w:t>
      </w:r>
      <w:r w:rsidR="00DB5118" w:rsidRPr="00337743">
        <w:rPr>
          <w:rFonts w:ascii="Cambria" w:hAnsi="Cambria"/>
          <w:color w:val="000000"/>
          <w:sz w:val="20"/>
          <w:szCs w:val="20"/>
          <w:lang w:val="pt-BR"/>
        </w:rPr>
        <w:t>mulher</w:t>
      </w:r>
      <w:r w:rsidR="00F23137" w:rsidRPr="00337743">
        <w:rPr>
          <w:rFonts w:ascii="Cambria" w:hAnsi="Cambria"/>
          <w:color w:val="000000"/>
          <w:sz w:val="20"/>
          <w:szCs w:val="20"/>
          <w:lang w:val="pt-BR"/>
        </w:rPr>
        <w:t xml:space="preserve"> </w:t>
      </w:r>
      <w:r w:rsidR="001B5C51" w:rsidRPr="00337743">
        <w:rPr>
          <w:rFonts w:ascii="Cambria" w:hAnsi="Cambria"/>
          <w:color w:val="000000"/>
          <w:sz w:val="20"/>
          <w:szCs w:val="20"/>
          <w:lang w:val="pt-BR"/>
        </w:rPr>
        <w:t>sofrida</w:t>
      </w:r>
      <w:r w:rsidR="00F23137" w:rsidRPr="00337743">
        <w:rPr>
          <w:rFonts w:ascii="Cambria" w:hAnsi="Cambria"/>
          <w:color w:val="000000"/>
          <w:sz w:val="20"/>
          <w:szCs w:val="20"/>
          <w:lang w:val="pt-BR"/>
        </w:rPr>
        <w:t xml:space="preserve"> por Márcia Barbosa de Sousa</w:t>
      </w:r>
      <w:r w:rsidR="00A6443F" w:rsidRPr="00337743">
        <w:rPr>
          <w:rFonts w:ascii="Cambria" w:hAnsi="Cambria"/>
          <w:color w:val="000000"/>
          <w:sz w:val="20"/>
          <w:szCs w:val="20"/>
          <w:lang w:val="pt-BR"/>
        </w:rPr>
        <w:t xml:space="preserve"> </w:t>
      </w:r>
      <w:r w:rsidRPr="00337743">
        <w:rPr>
          <w:rFonts w:ascii="Cambria" w:hAnsi="Cambria"/>
          <w:color w:val="000000"/>
          <w:sz w:val="20"/>
          <w:szCs w:val="20"/>
          <w:lang w:val="pt-BR"/>
        </w:rPr>
        <w:t>podem se</w:t>
      </w:r>
      <w:r w:rsidR="00586515" w:rsidRPr="00337743">
        <w:rPr>
          <w:rFonts w:ascii="Cambria" w:hAnsi="Cambria"/>
          <w:color w:val="000000"/>
          <w:sz w:val="20"/>
          <w:szCs w:val="20"/>
          <w:lang w:val="pt-BR"/>
        </w:rPr>
        <w:t>r</w:t>
      </w:r>
      <w:r w:rsidR="00A6443F" w:rsidRPr="00337743">
        <w:rPr>
          <w:rFonts w:ascii="Cambria" w:hAnsi="Cambria"/>
          <w:color w:val="000000"/>
          <w:sz w:val="20"/>
          <w:szCs w:val="20"/>
          <w:lang w:val="pt-BR"/>
        </w:rPr>
        <w:t xml:space="preserve"> </w:t>
      </w:r>
      <w:r w:rsidR="00F23137" w:rsidRPr="00337743">
        <w:rPr>
          <w:rFonts w:ascii="Cambria" w:hAnsi="Cambria"/>
          <w:color w:val="000000"/>
          <w:sz w:val="20"/>
          <w:szCs w:val="20"/>
          <w:lang w:val="pt-BR"/>
        </w:rPr>
        <w:t>atribu</w:t>
      </w:r>
      <w:r w:rsidRPr="00337743">
        <w:rPr>
          <w:rFonts w:ascii="Cambria" w:hAnsi="Cambria"/>
          <w:color w:val="000000"/>
          <w:sz w:val="20"/>
          <w:szCs w:val="20"/>
          <w:lang w:val="pt-BR"/>
        </w:rPr>
        <w:t>ídas a</w:t>
      </w:r>
      <w:r w:rsidR="00506331" w:rsidRPr="00337743">
        <w:rPr>
          <w:rFonts w:ascii="Cambria" w:hAnsi="Cambria"/>
          <w:color w:val="000000"/>
          <w:sz w:val="20"/>
          <w:szCs w:val="20"/>
          <w:lang w:val="pt-BR"/>
        </w:rPr>
        <w:t xml:space="preserve">o </w:t>
      </w:r>
      <w:r w:rsidR="00FC3B0A" w:rsidRPr="00337743">
        <w:rPr>
          <w:rFonts w:ascii="Cambria" w:hAnsi="Cambria"/>
          <w:color w:val="000000"/>
          <w:sz w:val="20"/>
          <w:szCs w:val="20"/>
          <w:lang w:val="pt-BR"/>
        </w:rPr>
        <w:t xml:space="preserve">Estado </w:t>
      </w:r>
      <w:r w:rsidR="00586515" w:rsidRPr="00337743">
        <w:rPr>
          <w:rFonts w:ascii="Cambria" w:hAnsi="Cambria"/>
          <w:color w:val="000000"/>
          <w:sz w:val="20"/>
          <w:szCs w:val="20"/>
          <w:lang w:val="pt-BR"/>
        </w:rPr>
        <w:t>brasileiro</w:t>
      </w:r>
      <w:r w:rsidR="00FC3B0A"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Pr="00337743">
        <w:rPr>
          <w:rFonts w:ascii="Cambria" w:hAnsi="Cambria"/>
          <w:color w:val="000000"/>
          <w:sz w:val="20"/>
          <w:szCs w:val="20"/>
          <w:lang w:val="pt-BR"/>
        </w:rPr>
        <w:t>E</w:t>
      </w:r>
      <w:r w:rsidR="00091880" w:rsidRPr="00337743">
        <w:rPr>
          <w:rFonts w:ascii="Cambria" w:hAnsi="Cambria"/>
          <w:color w:val="000000"/>
          <w:sz w:val="20"/>
          <w:szCs w:val="20"/>
          <w:lang w:val="pt-BR"/>
        </w:rPr>
        <w:t xml:space="preserve">m </w:t>
      </w:r>
      <w:r w:rsidR="00FC3B0A" w:rsidRPr="00337743">
        <w:rPr>
          <w:rFonts w:ascii="Cambria" w:hAnsi="Cambria"/>
          <w:color w:val="000000"/>
          <w:sz w:val="20"/>
          <w:szCs w:val="20"/>
          <w:lang w:val="pt-BR"/>
        </w:rPr>
        <w:t>segundo lugar,</w:t>
      </w:r>
      <w:r w:rsidR="00506331" w:rsidRPr="00337743">
        <w:rPr>
          <w:rFonts w:ascii="Cambria" w:hAnsi="Cambria"/>
          <w:color w:val="000000"/>
          <w:sz w:val="20"/>
          <w:szCs w:val="20"/>
          <w:lang w:val="pt-BR"/>
        </w:rPr>
        <w:t xml:space="preserve"> a </w:t>
      </w:r>
      <w:r w:rsidR="00350E7E" w:rsidRPr="00337743">
        <w:rPr>
          <w:rFonts w:ascii="Cambria" w:hAnsi="Cambria"/>
          <w:color w:val="000000"/>
          <w:sz w:val="20"/>
          <w:szCs w:val="20"/>
          <w:lang w:val="pt-BR"/>
        </w:rPr>
        <w:t>Comissão</w:t>
      </w:r>
      <w:r w:rsidR="00FC3B0A" w:rsidRPr="00337743">
        <w:rPr>
          <w:rFonts w:ascii="Cambria" w:hAnsi="Cambria"/>
          <w:color w:val="000000"/>
          <w:sz w:val="20"/>
          <w:szCs w:val="20"/>
          <w:lang w:val="pt-BR"/>
        </w:rPr>
        <w:t xml:space="preserve"> </w:t>
      </w:r>
      <w:r w:rsidR="00586515" w:rsidRPr="00337743">
        <w:rPr>
          <w:rFonts w:ascii="Cambria" w:hAnsi="Cambria"/>
          <w:color w:val="000000"/>
          <w:sz w:val="20"/>
          <w:szCs w:val="20"/>
          <w:lang w:val="pt-BR"/>
        </w:rPr>
        <w:t>analisará</w:t>
      </w:r>
      <w:r w:rsidR="007707E3" w:rsidRPr="00337743">
        <w:rPr>
          <w:rFonts w:ascii="Cambria" w:hAnsi="Cambria"/>
          <w:color w:val="000000"/>
          <w:sz w:val="20"/>
          <w:szCs w:val="20"/>
          <w:lang w:val="pt-BR"/>
        </w:rPr>
        <w:t xml:space="preserve"> os </w:t>
      </w:r>
      <w:r w:rsidR="00FD6942" w:rsidRPr="00337743">
        <w:rPr>
          <w:rFonts w:ascii="Cambria" w:hAnsi="Cambria"/>
          <w:color w:val="000000"/>
          <w:sz w:val="20"/>
          <w:szCs w:val="20"/>
          <w:lang w:val="pt-BR"/>
        </w:rPr>
        <w:t>processo</w:t>
      </w:r>
      <w:r w:rsidR="00FC3B0A" w:rsidRPr="00337743">
        <w:rPr>
          <w:rFonts w:ascii="Cambria" w:hAnsi="Cambria"/>
          <w:color w:val="000000"/>
          <w:sz w:val="20"/>
          <w:szCs w:val="20"/>
          <w:lang w:val="pt-BR"/>
        </w:rPr>
        <w:t xml:space="preserve">s iniciados </w:t>
      </w:r>
      <w:r w:rsidRPr="00337743">
        <w:rPr>
          <w:rFonts w:ascii="Cambria" w:hAnsi="Cambria"/>
          <w:color w:val="000000"/>
          <w:sz w:val="20"/>
          <w:szCs w:val="20"/>
          <w:lang w:val="pt-BR"/>
        </w:rPr>
        <w:t xml:space="preserve">no âmbito </w:t>
      </w:r>
      <w:r w:rsidR="00FC3B0A" w:rsidRPr="00337743">
        <w:rPr>
          <w:rFonts w:ascii="Cambria" w:hAnsi="Cambria"/>
          <w:color w:val="000000"/>
          <w:sz w:val="20"/>
          <w:szCs w:val="20"/>
          <w:lang w:val="pt-BR"/>
        </w:rPr>
        <w:t>interno, inclu</w:t>
      </w:r>
      <w:r w:rsidR="004C2ACB" w:rsidRPr="00337743">
        <w:rPr>
          <w:rFonts w:ascii="Cambria" w:hAnsi="Cambria"/>
          <w:color w:val="000000"/>
          <w:sz w:val="20"/>
          <w:szCs w:val="20"/>
          <w:lang w:val="pt-BR"/>
        </w:rPr>
        <w:t>sive</w:t>
      </w:r>
      <w:r w:rsidR="007707E3" w:rsidRPr="00337743">
        <w:rPr>
          <w:rFonts w:ascii="Cambria" w:hAnsi="Cambria"/>
          <w:color w:val="000000"/>
          <w:sz w:val="20"/>
          <w:szCs w:val="20"/>
          <w:lang w:val="pt-BR"/>
        </w:rPr>
        <w:t xml:space="preserve"> as </w:t>
      </w:r>
      <w:r w:rsidR="00E624CE" w:rsidRPr="00337743">
        <w:rPr>
          <w:rFonts w:ascii="Cambria" w:hAnsi="Cambria"/>
          <w:color w:val="000000"/>
          <w:sz w:val="20"/>
          <w:szCs w:val="20"/>
          <w:lang w:val="pt-BR"/>
        </w:rPr>
        <w:t>implica</w:t>
      </w:r>
      <w:r w:rsidR="00350E7E" w:rsidRPr="00337743">
        <w:rPr>
          <w:rFonts w:ascii="Cambria" w:hAnsi="Cambria"/>
          <w:color w:val="000000"/>
          <w:sz w:val="20"/>
          <w:szCs w:val="20"/>
          <w:lang w:val="pt-BR"/>
        </w:rPr>
        <w:t>ções</w:t>
      </w:r>
      <w:r w:rsidR="007707E3" w:rsidRPr="00337743">
        <w:rPr>
          <w:rFonts w:ascii="Cambria" w:hAnsi="Cambria"/>
          <w:color w:val="000000"/>
          <w:sz w:val="20"/>
          <w:szCs w:val="20"/>
          <w:lang w:val="pt-BR"/>
        </w:rPr>
        <w:t xml:space="preserve"> da </w:t>
      </w:r>
      <w:r w:rsidR="00DB5118" w:rsidRPr="00337743">
        <w:rPr>
          <w:rFonts w:ascii="Cambria" w:hAnsi="Cambria"/>
          <w:color w:val="000000"/>
          <w:sz w:val="20"/>
          <w:szCs w:val="20"/>
          <w:lang w:val="pt-BR"/>
        </w:rPr>
        <w:t>im</w:t>
      </w:r>
      <w:r w:rsidR="00E624CE" w:rsidRPr="00337743">
        <w:rPr>
          <w:rFonts w:ascii="Cambria" w:hAnsi="Cambria"/>
          <w:color w:val="000000"/>
          <w:sz w:val="20"/>
          <w:szCs w:val="20"/>
          <w:lang w:val="pt-BR"/>
        </w:rPr>
        <w:t>uni</w:t>
      </w:r>
      <w:r w:rsidR="00350E7E" w:rsidRPr="00337743">
        <w:rPr>
          <w:rFonts w:ascii="Cambria" w:hAnsi="Cambria"/>
          <w:color w:val="000000"/>
          <w:sz w:val="20"/>
          <w:szCs w:val="20"/>
          <w:lang w:val="pt-BR"/>
        </w:rPr>
        <w:t xml:space="preserve">dade </w:t>
      </w:r>
      <w:r w:rsidR="00E624CE" w:rsidRPr="00337743">
        <w:rPr>
          <w:rFonts w:ascii="Cambria" w:hAnsi="Cambria"/>
          <w:color w:val="000000"/>
          <w:sz w:val="20"/>
          <w:szCs w:val="20"/>
          <w:lang w:val="pt-BR"/>
        </w:rPr>
        <w:t>parlamentar</w:t>
      </w:r>
      <w:r w:rsidR="00513361" w:rsidRPr="00337743">
        <w:rPr>
          <w:rFonts w:ascii="Cambria" w:hAnsi="Cambria"/>
          <w:color w:val="000000"/>
          <w:sz w:val="20"/>
          <w:szCs w:val="20"/>
          <w:lang w:val="pt-BR"/>
        </w:rPr>
        <w:t xml:space="preserve"> nos </w:t>
      </w:r>
      <w:r w:rsidR="00586515" w:rsidRPr="00337743">
        <w:rPr>
          <w:rFonts w:ascii="Cambria" w:hAnsi="Cambria"/>
          <w:color w:val="000000"/>
          <w:sz w:val="20"/>
          <w:szCs w:val="20"/>
          <w:lang w:val="pt-BR"/>
        </w:rPr>
        <w:t>mesmos</w:t>
      </w:r>
      <w:r w:rsidR="00E624CE" w:rsidRPr="00337743">
        <w:rPr>
          <w:rFonts w:ascii="Cambria" w:hAnsi="Cambria"/>
          <w:color w:val="000000"/>
          <w:sz w:val="20"/>
          <w:szCs w:val="20"/>
          <w:lang w:val="pt-BR"/>
        </w:rPr>
        <w:t>,</w:t>
      </w:r>
      <w:r w:rsidR="00F453EB" w:rsidRPr="00337743">
        <w:rPr>
          <w:rFonts w:ascii="Cambria" w:hAnsi="Cambria"/>
          <w:color w:val="000000"/>
          <w:sz w:val="20"/>
          <w:szCs w:val="20"/>
          <w:lang w:val="pt-BR"/>
        </w:rPr>
        <w:t xml:space="preserve"> à </w:t>
      </w:r>
      <w:r w:rsidR="00E624CE" w:rsidRPr="00337743">
        <w:rPr>
          <w:rFonts w:ascii="Cambria" w:hAnsi="Cambria"/>
          <w:color w:val="000000"/>
          <w:sz w:val="20"/>
          <w:szCs w:val="20"/>
          <w:lang w:val="pt-BR"/>
        </w:rPr>
        <w:t>luz</w:t>
      </w:r>
      <w:r w:rsidR="00E96C24" w:rsidRPr="00337743">
        <w:rPr>
          <w:rFonts w:ascii="Cambria" w:hAnsi="Cambria"/>
          <w:color w:val="000000"/>
          <w:sz w:val="20"/>
          <w:szCs w:val="20"/>
          <w:lang w:val="pt-BR"/>
        </w:rPr>
        <w:t xml:space="preserve"> dos </w:t>
      </w:r>
      <w:r w:rsidR="00350E7E" w:rsidRPr="00337743">
        <w:rPr>
          <w:rFonts w:ascii="Cambria" w:hAnsi="Cambria"/>
          <w:color w:val="000000"/>
          <w:sz w:val="20"/>
          <w:szCs w:val="20"/>
          <w:lang w:val="pt-BR"/>
        </w:rPr>
        <w:t>direito</w:t>
      </w:r>
      <w:r w:rsidR="00E624CE" w:rsidRPr="00337743">
        <w:rPr>
          <w:rFonts w:ascii="Cambria" w:hAnsi="Cambria"/>
          <w:color w:val="000000"/>
          <w:sz w:val="20"/>
          <w:szCs w:val="20"/>
          <w:lang w:val="pt-BR"/>
        </w:rPr>
        <w:t>s</w:t>
      </w:r>
      <w:r w:rsidR="007707E3" w:rsidRPr="00337743">
        <w:rPr>
          <w:rFonts w:ascii="Cambria" w:hAnsi="Cambria"/>
          <w:color w:val="000000"/>
          <w:sz w:val="20"/>
          <w:szCs w:val="20"/>
          <w:lang w:val="pt-BR"/>
        </w:rPr>
        <w:t xml:space="preserve"> às </w:t>
      </w:r>
      <w:r w:rsidR="00E624CE" w:rsidRPr="00337743">
        <w:rPr>
          <w:rFonts w:ascii="Cambria" w:hAnsi="Cambria"/>
          <w:color w:val="000000"/>
          <w:sz w:val="20"/>
          <w:szCs w:val="20"/>
          <w:lang w:val="pt-BR"/>
        </w:rPr>
        <w:t>garant</w:t>
      </w:r>
      <w:r w:rsidR="00BF72CE" w:rsidRPr="00337743">
        <w:rPr>
          <w:rFonts w:ascii="Cambria" w:hAnsi="Cambria"/>
          <w:color w:val="000000"/>
          <w:sz w:val="20"/>
          <w:szCs w:val="20"/>
          <w:lang w:val="pt-BR"/>
        </w:rPr>
        <w:t>ia</w:t>
      </w:r>
      <w:r w:rsidR="00E624CE" w:rsidRPr="00337743">
        <w:rPr>
          <w:rFonts w:ascii="Cambria" w:hAnsi="Cambria"/>
          <w:color w:val="000000"/>
          <w:sz w:val="20"/>
          <w:szCs w:val="20"/>
          <w:lang w:val="pt-BR"/>
        </w:rPr>
        <w:t>s judici</w:t>
      </w:r>
      <w:r w:rsidR="007707E3" w:rsidRPr="00337743">
        <w:rPr>
          <w:rFonts w:ascii="Cambria" w:hAnsi="Cambria"/>
          <w:color w:val="000000"/>
          <w:sz w:val="20"/>
          <w:szCs w:val="20"/>
          <w:lang w:val="pt-BR"/>
        </w:rPr>
        <w:t>ais</w:t>
      </w:r>
      <w:r w:rsidR="00E624CE" w:rsidRPr="00337743">
        <w:rPr>
          <w:rFonts w:ascii="Cambria" w:hAnsi="Cambria"/>
          <w:color w:val="000000"/>
          <w:sz w:val="20"/>
          <w:szCs w:val="20"/>
          <w:lang w:val="pt-BR"/>
        </w:rPr>
        <w:t>, prote</w:t>
      </w:r>
      <w:r w:rsidR="007707E3" w:rsidRPr="00337743">
        <w:rPr>
          <w:rFonts w:ascii="Cambria" w:hAnsi="Cambria"/>
          <w:color w:val="000000"/>
          <w:sz w:val="20"/>
          <w:szCs w:val="20"/>
          <w:lang w:val="pt-BR"/>
        </w:rPr>
        <w:t>ç</w:t>
      </w:r>
      <w:r w:rsidR="00350E7E" w:rsidRPr="00337743">
        <w:rPr>
          <w:rFonts w:ascii="Cambria" w:hAnsi="Cambria"/>
          <w:color w:val="000000"/>
          <w:sz w:val="20"/>
          <w:szCs w:val="20"/>
          <w:lang w:val="pt-BR"/>
        </w:rPr>
        <w:t>ão</w:t>
      </w:r>
      <w:r w:rsidR="00E624CE" w:rsidRPr="00337743">
        <w:rPr>
          <w:rFonts w:ascii="Cambria" w:hAnsi="Cambria"/>
          <w:color w:val="000000"/>
          <w:sz w:val="20"/>
          <w:szCs w:val="20"/>
          <w:lang w:val="pt-BR"/>
        </w:rPr>
        <w:t xml:space="preserve"> judicial e igual</w:t>
      </w:r>
      <w:r w:rsidR="00350E7E" w:rsidRPr="00337743">
        <w:rPr>
          <w:rFonts w:ascii="Cambria" w:hAnsi="Cambria"/>
          <w:color w:val="000000"/>
          <w:sz w:val="20"/>
          <w:szCs w:val="20"/>
          <w:lang w:val="pt-BR"/>
        </w:rPr>
        <w:t>dade</w:t>
      </w:r>
      <w:r w:rsidR="00506331" w:rsidRPr="00337743">
        <w:rPr>
          <w:rFonts w:ascii="Cambria" w:hAnsi="Cambria"/>
          <w:color w:val="000000"/>
          <w:sz w:val="20"/>
          <w:szCs w:val="20"/>
          <w:lang w:val="pt-BR"/>
        </w:rPr>
        <w:t xml:space="preserve"> e</w:t>
      </w:r>
      <w:r w:rsidR="00091880" w:rsidRPr="00337743">
        <w:rPr>
          <w:rFonts w:ascii="Cambria" w:hAnsi="Cambria"/>
          <w:color w:val="000000"/>
          <w:sz w:val="20"/>
          <w:szCs w:val="20"/>
          <w:lang w:val="pt-BR"/>
        </w:rPr>
        <w:t xml:space="preserve"> não </w:t>
      </w:r>
      <w:r w:rsidR="00E624CE" w:rsidRPr="00337743">
        <w:rPr>
          <w:rFonts w:ascii="Cambria" w:hAnsi="Cambria"/>
          <w:color w:val="000000"/>
          <w:sz w:val="20"/>
          <w:szCs w:val="20"/>
          <w:lang w:val="pt-BR"/>
        </w:rPr>
        <w:t>discrimina</w:t>
      </w:r>
      <w:r w:rsidR="00350E7E" w:rsidRPr="00337743">
        <w:rPr>
          <w:rFonts w:ascii="Cambria" w:hAnsi="Cambria"/>
          <w:color w:val="000000"/>
          <w:sz w:val="20"/>
          <w:szCs w:val="20"/>
          <w:lang w:val="pt-BR"/>
        </w:rPr>
        <w:t>ção</w:t>
      </w:r>
      <w:r w:rsidR="00E624CE" w:rsidRPr="00337743">
        <w:rPr>
          <w:rFonts w:ascii="Cambria" w:hAnsi="Cambria"/>
          <w:color w:val="000000"/>
          <w:sz w:val="20"/>
          <w:szCs w:val="20"/>
          <w:lang w:val="pt-BR"/>
        </w:rPr>
        <w:t>.</w:t>
      </w:r>
      <w:r w:rsidR="00091880" w:rsidRPr="00337743">
        <w:rPr>
          <w:rFonts w:ascii="Cambria" w:hAnsi="Cambria"/>
          <w:color w:val="000000"/>
          <w:sz w:val="20"/>
          <w:szCs w:val="20"/>
          <w:lang w:val="pt-BR"/>
        </w:rPr>
        <w:t xml:space="preserve"> </w:t>
      </w:r>
      <w:r w:rsidR="004C2ACB" w:rsidRPr="00337743">
        <w:rPr>
          <w:rFonts w:ascii="Cambria" w:hAnsi="Cambria"/>
          <w:color w:val="000000"/>
          <w:sz w:val="20"/>
          <w:szCs w:val="20"/>
          <w:lang w:val="pt-BR"/>
        </w:rPr>
        <w:t>E</w:t>
      </w:r>
      <w:r w:rsidR="00091880" w:rsidRPr="00337743">
        <w:rPr>
          <w:rFonts w:ascii="Cambria" w:hAnsi="Cambria"/>
          <w:color w:val="000000"/>
          <w:sz w:val="20"/>
          <w:szCs w:val="20"/>
          <w:lang w:val="pt-BR"/>
        </w:rPr>
        <w:t xml:space="preserve">m </w:t>
      </w:r>
      <w:r w:rsidR="00586515" w:rsidRPr="00337743">
        <w:rPr>
          <w:rFonts w:ascii="Cambria" w:hAnsi="Cambria"/>
          <w:color w:val="000000"/>
          <w:sz w:val="20"/>
          <w:szCs w:val="20"/>
          <w:lang w:val="pt-BR"/>
        </w:rPr>
        <w:t>terceiro</w:t>
      </w:r>
      <w:r w:rsidR="00E624CE" w:rsidRPr="00337743">
        <w:rPr>
          <w:rFonts w:ascii="Cambria" w:hAnsi="Cambria"/>
          <w:color w:val="000000"/>
          <w:sz w:val="20"/>
          <w:szCs w:val="20"/>
          <w:lang w:val="pt-BR"/>
        </w:rPr>
        <w:t xml:space="preserve"> lugar,</w:t>
      </w:r>
      <w:r w:rsidR="00506331" w:rsidRPr="00337743">
        <w:rPr>
          <w:rFonts w:ascii="Cambria" w:hAnsi="Cambria"/>
          <w:color w:val="000000"/>
          <w:sz w:val="20"/>
          <w:szCs w:val="20"/>
          <w:lang w:val="pt-BR"/>
        </w:rPr>
        <w:t xml:space="preserve"> a </w:t>
      </w:r>
      <w:r w:rsidR="00E624CE" w:rsidRPr="00337743">
        <w:rPr>
          <w:rFonts w:ascii="Cambria" w:hAnsi="Cambria"/>
          <w:color w:val="000000"/>
          <w:sz w:val="20"/>
          <w:szCs w:val="20"/>
          <w:lang w:val="pt-BR"/>
        </w:rPr>
        <w:t xml:space="preserve">CIDH </w:t>
      </w:r>
      <w:r w:rsidR="00586515" w:rsidRPr="00337743">
        <w:rPr>
          <w:rFonts w:ascii="Cambria" w:hAnsi="Cambria"/>
          <w:color w:val="000000"/>
          <w:sz w:val="20"/>
          <w:szCs w:val="20"/>
          <w:lang w:val="pt-BR"/>
        </w:rPr>
        <w:t>analisará</w:t>
      </w:r>
      <w:r w:rsidR="007707E3" w:rsidRPr="00337743">
        <w:rPr>
          <w:rFonts w:ascii="Cambria" w:hAnsi="Cambria"/>
          <w:color w:val="000000"/>
          <w:sz w:val="20"/>
          <w:szCs w:val="20"/>
          <w:lang w:val="pt-BR"/>
        </w:rPr>
        <w:t xml:space="preserve"> as </w:t>
      </w:r>
      <w:r w:rsidR="004C2ACB" w:rsidRPr="00337743">
        <w:rPr>
          <w:rFonts w:ascii="Cambria" w:hAnsi="Cambria"/>
          <w:color w:val="000000"/>
          <w:sz w:val="20"/>
          <w:szCs w:val="20"/>
          <w:lang w:val="pt-BR"/>
        </w:rPr>
        <w:t>obri</w:t>
      </w:r>
      <w:r w:rsidR="001A2D40" w:rsidRPr="00337743">
        <w:rPr>
          <w:rFonts w:ascii="Cambria" w:hAnsi="Cambria"/>
          <w:color w:val="000000"/>
          <w:sz w:val="20"/>
          <w:szCs w:val="20"/>
          <w:lang w:val="pt-BR"/>
        </w:rPr>
        <w:t>ga</w:t>
      </w:r>
      <w:r w:rsidR="00350E7E" w:rsidRPr="00337743">
        <w:rPr>
          <w:rFonts w:ascii="Cambria" w:hAnsi="Cambria"/>
          <w:color w:val="000000"/>
          <w:sz w:val="20"/>
          <w:szCs w:val="20"/>
          <w:lang w:val="pt-BR"/>
        </w:rPr>
        <w:t>ções</w:t>
      </w:r>
      <w:r w:rsidR="007707E3" w:rsidRPr="00337743">
        <w:rPr>
          <w:rFonts w:ascii="Cambria" w:hAnsi="Cambria"/>
          <w:color w:val="000000"/>
          <w:sz w:val="20"/>
          <w:szCs w:val="20"/>
          <w:lang w:val="pt-BR"/>
        </w:rPr>
        <w:t xml:space="preserve"> do </w:t>
      </w:r>
      <w:r w:rsidR="001A2D40" w:rsidRPr="00337743">
        <w:rPr>
          <w:rFonts w:ascii="Cambria" w:hAnsi="Cambria"/>
          <w:color w:val="000000"/>
          <w:sz w:val="20"/>
          <w:szCs w:val="20"/>
          <w:lang w:val="pt-BR"/>
        </w:rPr>
        <w:t xml:space="preserve">Estado </w:t>
      </w:r>
      <w:r w:rsidR="004C2ACB" w:rsidRPr="00337743">
        <w:rPr>
          <w:rFonts w:ascii="Cambria" w:hAnsi="Cambria"/>
          <w:color w:val="000000"/>
          <w:sz w:val="20"/>
          <w:szCs w:val="20"/>
          <w:lang w:val="pt-BR"/>
        </w:rPr>
        <w:t>no âmbito d</w:t>
      </w:r>
      <w:r w:rsidR="00506331" w:rsidRPr="00337743">
        <w:rPr>
          <w:rFonts w:ascii="Cambria" w:hAnsi="Cambria"/>
          <w:color w:val="000000"/>
          <w:sz w:val="20"/>
          <w:szCs w:val="20"/>
          <w:lang w:val="pt-BR"/>
        </w:rPr>
        <w:t xml:space="preserve">a </w:t>
      </w:r>
      <w:r w:rsidR="001A2D40" w:rsidRPr="00337743">
        <w:rPr>
          <w:rFonts w:ascii="Cambria" w:hAnsi="Cambria"/>
          <w:color w:val="000000"/>
          <w:sz w:val="20"/>
          <w:szCs w:val="20"/>
          <w:lang w:val="pt-BR"/>
        </w:rPr>
        <w:t>Conven</w:t>
      </w:r>
      <w:r w:rsidR="00350E7E" w:rsidRPr="00337743">
        <w:rPr>
          <w:rFonts w:ascii="Cambria" w:hAnsi="Cambria"/>
          <w:color w:val="000000"/>
          <w:sz w:val="20"/>
          <w:szCs w:val="20"/>
          <w:lang w:val="pt-BR"/>
        </w:rPr>
        <w:t>ção</w:t>
      </w:r>
      <w:r w:rsidR="001A2D40" w:rsidRPr="00337743">
        <w:rPr>
          <w:rFonts w:ascii="Cambria" w:hAnsi="Cambria"/>
          <w:color w:val="000000"/>
          <w:sz w:val="20"/>
          <w:szCs w:val="20"/>
          <w:lang w:val="pt-BR"/>
        </w:rPr>
        <w:t xml:space="preserve"> de Belém do Pará </w:t>
      </w:r>
      <w:r w:rsidR="004C2ACB" w:rsidRPr="00337743">
        <w:rPr>
          <w:rFonts w:ascii="Cambria" w:hAnsi="Cambria"/>
          <w:color w:val="000000"/>
          <w:sz w:val="20"/>
          <w:szCs w:val="20"/>
          <w:lang w:val="pt-BR"/>
        </w:rPr>
        <w:t>e</w:t>
      </w:r>
      <w:r w:rsidR="001A2D40" w:rsidRPr="00337743">
        <w:rPr>
          <w:rFonts w:ascii="Cambria" w:hAnsi="Cambria"/>
          <w:color w:val="000000"/>
          <w:sz w:val="20"/>
          <w:szCs w:val="20"/>
          <w:lang w:val="pt-BR"/>
        </w:rPr>
        <w:t xml:space="preserve">, por último, </w:t>
      </w:r>
      <w:r w:rsidR="004C2ACB" w:rsidRPr="00337743">
        <w:rPr>
          <w:rFonts w:ascii="Cambria" w:hAnsi="Cambria"/>
          <w:color w:val="000000"/>
          <w:sz w:val="20"/>
          <w:szCs w:val="20"/>
          <w:lang w:val="pt-BR"/>
        </w:rPr>
        <w:t>a questão</w:t>
      </w:r>
      <w:r w:rsidR="00E624CE" w:rsidRPr="00337743">
        <w:rPr>
          <w:rFonts w:ascii="Cambria" w:hAnsi="Cambria"/>
          <w:color w:val="000000"/>
          <w:sz w:val="20"/>
          <w:szCs w:val="20"/>
          <w:lang w:val="pt-BR"/>
        </w:rPr>
        <w:t xml:space="preserve"> relativ</w:t>
      </w:r>
      <w:r w:rsidR="004C2ACB" w:rsidRPr="00337743">
        <w:rPr>
          <w:rFonts w:ascii="Cambria" w:hAnsi="Cambria"/>
          <w:color w:val="000000"/>
          <w:sz w:val="20"/>
          <w:szCs w:val="20"/>
          <w:lang w:val="pt-BR"/>
        </w:rPr>
        <w:t>a</w:t>
      </w:r>
      <w:r w:rsidR="00F453EB" w:rsidRPr="00337743">
        <w:rPr>
          <w:rFonts w:ascii="Cambria" w:hAnsi="Cambria"/>
          <w:color w:val="000000"/>
          <w:sz w:val="20"/>
          <w:szCs w:val="20"/>
          <w:lang w:val="pt-BR"/>
        </w:rPr>
        <w:t xml:space="preserve"> à </w:t>
      </w:r>
      <w:r w:rsidR="00E624CE" w:rsidRPr="00337743">
        <w:rPr>
          <w:rFonts w:ascii="Cambria" w:hAnsi="Cambria"/>
          <w:color w:val="000000"/>
          <w:sz w:val="20"/>
          <w:szCs w:val="20"/>
          <w:lang w:val="pt-BR"/>
        </w:rPr>
        <w:t>integri</w:t>
      </w:r>
      <w:r w:rsidR="00350E7E" w:rsidRPr="00337743">
        <w:rPr>
          <w:rFonts w:ascii="Cambria" w:hAnsi="Cambria"/>
          <w:color w:val="000000"/>
          <w:sz w:val="20"/>
          <w:szCs w:val="20"/>
          <w:lang w:val="pt-BR"/>
        </w:rPr>
        <w:t xml:space="preserve">dade </w:t>
      </w:r>
      <w:r w:rsidR="00E624CE" w:rsidRPr="00337743">
        <w:rPr>
          <w:rFonts w:ascii="Cambria" w:hAnsi="Cambria"/>
          <w:color w:val="000000"/>
          <w:sz w:val="20"/>
          <w:szCs w:val="20"/>
          <w:lang w:val="pt-BR"/>
        </w:rPr>
        <w:t>psíquica</w:t>
      </w:r>
      <w:r w:rsidR="00506331" w:rsidRPr="00337743">
        <w:rPr>
          <w:rFonts w:ascii="Cambria" w:hAnsi="Cambria"/>
          <w:color w:val="000000"/>
          <w:sz w:val="20"/>
          <w:szCs w:val="20"/>
          <w:lang w:val="pt-BR"/>
        </w:rPr>
        <w:t xml:space="preserve"> e </w:t>
      </w:r>
      <w:r w:rsidR="00E624CE" w:rsidRPr="00337743">
        <w:rPr>
          <w:rFonts w:ascii="Cambria" w:hAnsi="Cambria"/>
          <w:color w:val="000000"/>
          <w:sz w:val="20"/>
          <w:szCs w:val="20"/>
          <w:lang w:val="pt-BR"/>
        </w:rPr>
        <w:t>moral</w:t>
      </w:r>
      <w:r w:rsidR="00E96C24" w:rsidRPr="00337743">
        <w:rPr>
          <w:rFonts w:ascii="Cambria" w:hAnsi="Cambria"/>
          <w:color w:val="000000"/>
          <w:sz w:val="20"/>
          <w:szCs w:val="20"/>
          <w:lang w:val="pt-BR"/>
        </w:rPr>
        <w:t xml:space="preserve"> dos </w:t>
      </w:r>
      <w:r w:rsidR="00E624CE" w:rsidRPr="00337743">
        <w:rPr>
          <w:rFonts w:ascii="Cambria" w:hAnsi="Cambria"/>
          <w:color w:val="000000"/>
          <w:sz w:val="20"/>
          <w:szCs w:val="20"/>
          <w:lang w:val="pt-BR"/>
        </w:rPr>
        <w:t xml:space="preserve">familiares de </w:t>
      </w:r>
      <w:r w:rsidR="00E624CE" w:rsidRPr="00337743">
        <w:rPr>
          <w:rFonts w:ascii="Cambria" w:hAnsi="Cambria"/>
          <w:sz w:val="20"/>
          <w:szCs w:val="20"/>
          <w:lang w:val="pt-BR"/>
        </w:rPr>
        <w:t>Márcia Barbosa de Souza</w:t>
      </w:r>
      <w:r w:rsidR="0091076C" w:rsidRPr="00337743">
        <w:rPr>
          <w:rFonts w:ascii="Cambria" w:hAnsi="Cambria"/>
          <w:sz w:val="20"/>
          <w:szCs w:val="20"/>
          <w:lang w:val="pt-BR"/>
        </w:rPr>
        <w:t>.</w:t>
      </w:r>
    </w:p>
    <w:p w14:paraId="308E5DAC" w14:textId="77777777" w:rsidR="00851873" w:rsidRPr="00E358A6" w:rsidRDefault="00350E7E" w:rsidP="00E358A6">
      <w:pPr>
        <w:pStyle w:val="Heading2"/>
        <w:numPr>
          <w:ilvl w:val="0"/>
          <w:numId w:val="63"/>
        </w:numPr>
        <w:ind w:left="1440" w:hanging="720"/>
        <w:rPr>
          <w:rFonts w:ascii="Cambria" w:hAnsi="Cambria"/>
          <w:i w:val="0"/>
          <w:sz w:val="20"/>
          <w:szCs w:val="20"/>
          <w:lang w:val="pt-BR"/>
        </w:rPr>
      </w:pPr>
      <w:bookmarkStart w:id="18" w:name="_Toc5890575"/>
      <w:r w:rsidRPr="00E358A6">
        <w:rPr>
          <w:rFonts w:ascii="Cambria" w:hAnsi="Cambria"/>
          <w:i w:val="0"/>
          <w:sz w:val="20"/>
          <w:szCs w:val="20"/>
          <w:lang w:val="pt-BR"/>
        </w:rPr>
        <w:t>Direito</w:t>
      </w:r>
      <w:r w:rsidR="00F453EB" w:rsidRPr="00E358A6">
        <w:rPr>
          <w:rFonts w:ascii="Cambria" w:hAnsi="Cambria"/>
          <w:i w:val="0"/>
          <w:sz w:val="20"/>
          <w:szCs w:val="20"/>
          <w:lang w:val="pt-BR"/>
        </w:rPr>
        <w:t xml:space="preserve"> à </w:t>
      </w:r>
      <w:r w:rsidR="002C07B9" w:rsidRPr="00E358A6">
        <w:rPr>
          <w:rFonts w:ascii="Cambria" w:hAnsi="Cambria"/>
          <w:i w:val="0"/>
          <w:sz w:val="20"/>
          <w:szCs w:val="20"/>
          <w:lang w:val="pt-BR"/>
        </w:rPr>
        <w:t>v</w:t>
      </w:r>
      <w:r w:rsidR="00772F56" w:rsidRPr="00E358A6">
        <w:rPr>
          <w:rFonts w:ascii="Cambria" w:hAnsi="Cambria"/>
          <w:i w:val="0"/>
          <w:sz w:val="20"/>
          <w:szCs w:val="20"/>
          <w:lang w:val="pt-BR"/>
        </w:rPr>
        <w:t>ida (</w:t>
      </w:r>
      <w:r w:rsidR="00091880" w:rsidRPr="00E358A6">
        <w:rPr>
          <w:rFonts w:ascii="Cambria" w:hAnsi="Cambria"/>
          <w:i w:val="0"/>
          <w:sz w:val="20"/>
          <w:szCs w:val="20"/>
          <w:lang w:val="pt-BR"/>
        </w:rPr>
        <w:t>artigo</w:t>
      </w:r>
      <w:r w:rsidR="00652804" w:rsidRPr="00E358A6">
        <w:rPr>
          <w:rFonts w:ascii="Cambria" w:hAnsi="Cambria"/>
          <w:i w:val="0"/>
          <w:sz w:val="20"/>
          <w:szCs w:val="20"/>
          <w:lang w:val="pt-BR"/>
        </w:rPr>
        <w:t>s</w:t>
      </w:r>
      <w:r w:rsidR="00772F56" w:rsidRPr="00E358A6">
        <w:rPr>
          <w:rFonts w:ascii="Cambria" w:hAnsi="Cambria"/>
          <w:i w:val="0"/>
          <w:sz w:val="20"/>
          <w:szCs w:val="20"/>
          <w:lang w:val="pt-BR"/>
        </w:rPr>
        <w:t xml:space="preserve"> 4</w:t>
      </w:r>
      <w:r w:rsidR="00EF5BAF" w:rsidRPr="00E358A6">
        <w:rPr>
          <w:rStyle w:val="FootnoteReference"/>
          <w:rFonts w:ascii="Cambria" w:hAnsi="Cambria"/>
          <w:i w:val="0"/>
          <w:sz w:val="20"/>
          <w:szCs w:val="20"/>
          <w:lang w:val="pt-BR"/>
        </w:rPr>
        <w:footnoteReference w:id="78"/>
      </w:r>
      <w:r w:rsidR="00506331" w:rsidRPr="00E358A6">
        <w:rPr>
          <w:rFonts w:ascii="Cambria" w:hAnsi="Cambria"/>
          <w:i w:val="0"/>
          <w:sz w:val="20"/>
          <w:szCs w:val="20"/>
          <w:lang w:val="pt-BR"/>
        </w:rPr>
        <w:t xml:space="preserve"> e </w:t>
      </w:r>
      <w:r w:rsidR="00652804" w:rsidRPr="00E358A6">
        <w:rPr>
          <w:rFonts w:ascii="Cambria" w:hAnsi="Cambria"/>
          <w:i w:val="0"/>
          <w:sz w:val="20"/>
          <w:szCs w:val="20"/>
          <w:lang w:val="pt-BR"/>
        </w:rPr>
        <w:t>1.1</w:t>
      </w:r>
      <w:r w:rsidR="00EF5BAF" w:rsidRPr="00E358A6">
        <w:rPr>
          <w:rStyle w:val="FootnoteReference"/>
          <w:rFonts w:ascii="Cambria" w:hAnsi="Cambria"/>
          <w:i w:val="0"/>
          <w:sz w:val="20"/>
          <w:szCs w:val="20"/>
          <w:lang w:val="pt-BR"/>
        </w:rPr>
        <w:footnoteReference w:id="79"/>
      </w:r>
      <w:r w:rsidR="007707E3" w:rsidRPr="00E358A6">
        <w:rPr>
          <w:rFonts w:ascii="Cambria" w:hAnsi="Cambria"/>
          <w:i w:val="0"/>
          <w:sz w:val="20"/>
          <w:szCs w:val="20"/>
          <w:lang w:val="pt-BR"/>
        </w:rPr>
        <w:t xml:space="preserve"> da </w:t>
      </w:r>
      <w:r w:rsidR="00EE723E" w:rsidRPr="00E358A6">
        <w:rPr>
          <w:rFonts w:ascii="Cambria" w:hAnsi="Cambria"/>
          <w:i w:val="0"/>
          <w:sz w:val="20"/>
          <w:szCs w:val="20"/>
          <w:lang w:val="pt-BR"/>
        </w:rPr>
        <w:t>Conven</w:t>
      </w:r>
      <w:r w:rsidRPr="00E358A6">
        <w:rPr>
          <w:rFonts w:ascii="Cambria" w:hAnsi="Cambria"/>
          <w:i w:val="0"/>
          <w:sz w:val="20"/>
          <w:szCs w:val="20"/>
          <w:lang w:val="pt-BR"/>
        </w:rPr>
        <w:t>ção</w:t>
      </w:r>
      <w:r w:rsidR="00EE723E" w:rsidRPr="00E358A6">
        <w:rPr>
          <w:rFonts w:ascii="Cambria" w:hAnsi="Cambria"/>
          <w:i w:val="0"/>
          <w:sz w:val="20"/>
          <w:szCs w:val="20"/>
          <w:lang w:val="pt-BR"/>
        </w:rPr>
        <w:t xml:space="preserve"> Americana)</w:t>
      </w:r>
      <w:r w:rsidR="00506331" w:rsidRPr="00E358A6">
        <w:rPr>
          <w:rFonts w:ascii="Cambria" w:hAnsi="Cambria"/>
          <w:i w:val="0"/>
          <w:sz w:val="20"/>
          <w:szCs w:val="20"/>
          <w:lang w:val="pt-BR"/>
        </w:rPr>
        <w:t xml:space="preserve"> e </w:t>
      </w:r>
      <w:r w:rsidR="004C2ACB" w:rsidRPr="00E358A6">
        <w:rPr>
          <w:rFonts w:ascii="Cambria" w:hAnsi="Cambria"/>
          <w:i w:val="0"/>
          <w:sz w:val="20"/>
          <w:szCs w:val="20"/>
          <w:lang w:val="pt-BR"/>
        </w:rPr>
        <w:t>obri</w:t>
      </w:r>
      <w:r w:rsidR="00046C07" w:rsidRPr="00E358A6">
        <w:rPr>
          <w:rFonts w:ascii="Cambria" w:hAnsi="Cambria"/>
          <w:i w:val="0"/>
          <w:sz w:val="20"/>
          <w:szCs w:val="20"/>
          <w:lang w:val="pt-BR"/>
        </w:rPr>
        <w:t>ga</w:t>
      </w:r>
      <w:r w:rsidRPr="00E358A6">
        <w:rPr>
          <w:rFonts w:ascii="Cambria" w:hAnsi="Cambria"/>
          <w:i w:val="0"/>
          <w:sz w:val="20"/>
          <w:szCs w:val="20"/>
          <w:lang w:val="pt-BR"/>
        </w:rPr>
        <w:t>ções</w:t>
      </w:r>
      <w:r w:rsidR="00091880" w:rsidRPr="00E358A6">
        <w:rPr>
          <w:rFonts w:ascii="Cambria" w:hAnsi="Cambria"/>
          <w:i w:val="0"/>
          <w:sz w:val="20"/>
          <w:szCs w:val="20"/>
          <w:lang w:val="pt-BR"/>
        </w:rPr>
        <w:t xml:space="preserve"> em </w:t>
      </w:r>
      <w:r w:rsidR="00586515" w:rsidRPr="00E358A6">
        <w:rPr>
          <w:rFonts w:ascii="Cambria" w:hAnsi="Cambria"/>
          <w:i w:val="0"/>
          <w:sz w:val="20"/>
          <w:szCs w:val="20"/>
          <w:lang w:val="pt-BR"/>
        </w:rPr>
        <w:t>matéria</w:t>
      </w:r>
      <w:r w:rsidR="00046C07" w:rsidRPr="00E358A6">
        <w:rPr>
          <w:rFonts w:ascii="Cambria" w:hAnsi="Cambria"/>
          <w:i w:val="0"/>
          <w:sz w:val="20"/>
          <w:szCs w:val="20"/>
          <w:lang w:val="pt-BR"/>
        </w:rPr>
        <w:t xml:space="preserve"> de </w:t>
      </w:r>
      <w:r w:rsidR="00AE3002" w:rsidRPr="00E358A6">
        <w:rPr>
          <w:rFonts w:ascii="Cambria" w:hAnsi="Cambria"/>
          <w:i w:val="0"/>
          <w:sz w:val="20"/>
          <w:szCs w:val="20"/>
          <w:lang w:val="pt-BR"/>
        </w:rPr>
        <w:t>violência</w:t>
      </w:r>
      <w:r w:rsidR="00046C07" w:rsidRPr="00E358A6">
        <w:rPr>
          <w:rFonts w:ascii="Cambria" w:hAnsi="Cambria"/>
          <w:i w:val="0"/>
          <w:sz w:val="20"/>
          <w:szCs w:val="20"/>
          <w:lang w:val="pt-BR"/>
        </w:rPr>
        <w:t xml:space="preserve"> contra</w:t>
      </w:r>
      <w:r w:rsidR="00506331" w:rsidRPr="00E358A6">
        <w:rPr>
          <w:rFonts w:ascii="Cambria" w:hAnsi="Cambria"/>
          <w:i w:val="0"/>
          <w:sz w:val="20"/>
          <w:szCs w:val="20"/>
          <w:lang w:val="pt-BR"/>
        </w:rPr>
        <w:t xml:space="preserve"> a </w:t>
      </w:r>
      <w:r w:rsidR="00DB5118" w:rsidRPr="00E358A6">
        <w:rPr>
          <w:rFonts w:ascii="Cambria" w:hAnsi="Cambria"/>
          <w:i w:val="0"/>
          <w:sz w:val="20"/>
          <w:szCs w:val="20"/>
          <w:lang w:val="pt-BR"/>
        </w:rPr>
        <w:t>mulher</w:t>
      </w:r>
      <w:r w:rsidR="00857374" w:rsidRPr="00E358A6">
        <w:rPr>
          <w:rFonts w:ascii="Cambria" w:hAnsi="Cambria"/>
          <w:i w:val="0"/>
          <w:sz w:val="20"/>
          <w:szCs w:val="20"/>
          <w:lang w:val="pt-BR"/>
        </w:rPr>
        <w:t xml:space="preserve"> </w:t>
      </w:r>
      <w:r w:rsidR="00772F56" w:rsidRPr="00E358A6">
        <w:rPr>
          <w:rFonts w:ascii="Cambria" w:hAnsi="Cambria"/>
          <w:i w:val="0"/>
          <w:sz w:val="20"/>
          <w:szCs w:val="20"/>
          <w:lang w:val="pt-BR"/>
        </w:rPr>
        <w:t>(</w:t>
      </w:r>
      <w:r w:rsidR="00091880" w:rsidRPr="00E358A6">
        <w:rPr>
          <w:rFonts w:ascii="Cambria" w:hAnsi="Cambria"/>
          <w:i w:val="0"/>
          <w:sz w:val="20"/>
          <w:szCs w:val="20"/>
          <w:lang w:val="pt-BR"/>
        </w:rPr>
        <w:t>artigo</w:t>
      </w:r>
      <w:r w:rsidR="00772F56" w:rsidRPr="00E358A6">
        <w:rPr>
          <w:rFonts w:ascii="Cambria" w:hAnsi="Cambria"/>
          <w:i w:val="0"/>
          <w:sz w:val="20"/>
          <w:szCs w:val="20"/>
          <w:lang w:val="pt-BR"/>
        </w:rPr>
        <w:t xml:space="preserve"> 7</w:t>
      </w:r>
      <w:r w:rsidR="007707E3" w:rsidRPr="00E358A6">
        <w:rPr>
          <w:rFonts w:ascii="Cambria" w:hAnsi="Cambria"/>
          <w:i w:val="0"/>
          <w:sz w:val="20"/>
          <w:szCs w:val="20"/>
          <w:lang w:val="pt-BR"/>
        </w:rPr>
        <w:t xml:space="preserve"> da </w:t>
      </w:r>
      <w:r w:rsidR="00772F56" w:rsidRPr="00E358A6">
        <w:rPr>
          <w:rFonts w:ascii="Cambria" w:hAnsi="Cambria"/>
          <w:i w:val="0"/>
          <w:sz w:val="20"/>
          <w:szCs w:val="20"/>
          <w:lang w:val="pt-BR"/>
        </w:rPr>
        <w:t>Conven</w:t>
      </w:r>
      <w:r w:rsidRPr="00E358A6">
        <w:rPr>
          <w:rFonts w:ascii="Cambria" w:hAnsi="Cambria"/>
          <w:i w:val="0"/>
          <w:sz w:val="20"/>
          <w:szCs w:val="20"/>
          <w:lang w:val="pt-BR"/>
        </w:rPr>
        <w:t>ção</w:t>
      </w:r>
      <w:r w:rsidR="00772F56" w:rsidRPr="00E358A6">
        <w:rPr>
          <w:rFonts w:ascii="Cambria" w:hAnsi="Cambria"/>
          <w:i w:val="0"/>
          <w:sz w:val="20"/>
          <w:szCs w:val="20"/>
          <w:lang w:val="pt-BR"/>
        </w:rPr>
        <w:t xml:space="preserve"> de Belém do Pará")</w:t>
      </w:r>
      <w:r w:rsidR="00046C07" w:rsidRPr="00E358A6">
        <w:rPr>
          <w:rStyle w:val="FootnoteReference"/>
          <w:rFonts w:ascii="Cambria" w:hAnsi="Cambria"/>
          <w:i w:val="0"/>
          <w:sz w:val="20"/>
          <w:szCs w:val="20"/>
          <w:lang w:val="pt-BR"/>
        </w:rPr>
        <w:footnoteReference w:id="80"/>
      </w:r>
      <w:bookmarkEnd w:id="18"/>
    </w:p>
    <w:p w14:paraId="60AC5C22" w14:textId="77777777" w:rsidR="00772F56" w:rsidRPr="00E358A6" w:rsidRDefault="00167A6F" w:rsidP="00E358A6">
      <w:pPr>
        <w:pStyle w:val="Heading3"/>
        <w:numPr>
          <w:ilvl w:val="0"/>
          <w:numId w:val="64"/>
        </w:numPr>
        <w:ind w:firstLine="0"/>
        <w:rPr>
          <w:rFonts w:ascii="Cambria" w:hAnsi="Cambria"/>
          <w:sz w:val="20"/>
          <w:szCs w:val="20"/>
          <w:lang w:val="pt-BR"/>
        </w:rPr>
      </w:pPr>
      <w:bookmarkStart w:id="19" w:name="_Toc5890576"/>
      <w:r w:rsidRPr="00E358A6">
        <w:rPr>
          <w:rFonts w:ascii="Cambria" w:hAnsi="Cambria"/>
          <w:sz w:val="20"/>
          <w:szCs w:val="20"/>
          <w:lang w:val="pt-BR"/>
        </w:rPr>
        <w:t>Considera</w:t>
      </w:r>
      <w:r w:rsidR="00350E7E" w:rsidRPr="00E358A6">
        <w:rPr>
          <w:rFonts w:ascii="Cambria" w:hAnsi="Cambria"/>
          <w:sz w:val="20"/>
          <w:szCs w:val="20"/>
          <w:lang w:val="pt-BR"/>
        </w:rPr>
        <w:t>ções</w:t>
      </w:r>
      <w:r w:rsidRPr="00E358A6">
        <w:rPr>
          <w:rFonts w:ascii="Cambria" w:hAnsi="Cambria"/>
          <w:sz w:val="20"/>
          <w:szCs w:val="20"/>
          <w:lang w:val="pt-BR"/>
        </w:rPr>
        <w:t xml:space="preserve"> ger</w:t>
      </w:r>
      <w:r w:rsidR="007707E3" w:rsidRPr="00E358A6">
        <w:rPr>
          <w:rFonts w:ascii="Cambria" w:hAnsi="Cambria"/>
          <w:sz w:val="20"/>
          <w:szCs w:val="20"/>
          <w:lang w:val="pt-BR"/>
        </w:rPr>
        <w:t>ais</w:t>
      </w:r>
      <w:r w:rsidR="00772F56" w:rsidRPr="00E358A6">
        <w:rPr>
          <w:rFonts w:ascii="Cambria" w:hAnsi="Cambria"/>
          <w:sz w:val="20"/>
          <w:szCs w:val="20"/>
          <w:lang w:val="pt-BR"/>
        </w:rPr>
        <w:t xml:space="preserve"> </w:t>
      </w:r>
      <w:r w:rsidRPr="00E358A6">
        <w:rPr>
          <w:rFonts w:ascii="Cambria" w:hAnsi="Cambria"/>
          <w:sz w:val="20"/>
          <w:szCs w:val="20"/>
          <w:lang w:val="pt-BR"/>
        </w:rPr>
        <w:t>sobre</w:t>
      </w:r>
      <w:r w:rsidR="00506331" w:rsidRPr="00E358A6">
        <w:rPr>
          <w:rFonts w:ascii="Cambria" w:hAnsi="Cambria"/>
          <w:sz w:val="20"/>
          <w:szCs w:val="20"/>
          <w:lang w:val="pt-BR"/>
        </w:rPr>
        <w:t xml:space="preserve"> o </w:t>
      </w:r>
      <w:r w:rsidR="00350E7E" w:rsidRPr="00E358A6">
        <w:rPr>
          <w:rFonts w:ascii="Cambria" w:hAnsi="Cambria"/>
          <w:sz w:val="20"/>
          <w:szCs w:val="20"/>
          <w:lang w:val="pt-BR"/>
        </w:rPr>
        <w:t>direito</w:t>
      </w:r>
      <w:r w:rsidR="00F453EB" w:rsidRPr="00E358A6">
        <w:rPr>
          <w:rFonts w:ascii="Cambria" w:hAnsi="Cambria"/>
          <w:sz w:val="20"/>
          <w:szCs w:val="20"/>
          <w:lang w:val="pt-BR"/>
        </w:rPr>
        <w:t xml:space="preserve"> à </w:t>
      </w:r>
      <w:r w:rsidRPr="00E358A6">
        <w:rPr>
          <w:rFonts w:ascii="Cambria" w:hAnsi="Cambria"/>
          <w:sz w:val="20"/>
          <w:szCs w:val="20"/>
          <w:lang w:val="pt-BR"/>
        </w:rPr>
        <w:t>vida</w:t>
      </w:r>
      <w:r w:rsidR="00420AAC" w:rsidRPr="00E358A6">
        <w:rPr>
          <w:rFonts w:ascii="Cambria" w:hAnsi="Cambria"/>
          <w:sz w:val="20"/>
          <w:szCs w:val="20"/>
          <w:lang w:val="pt-BR"/>
        </w:rPr>
        <w:t>,</w:t>
      </w:r>
      <w:r w:rsidR="00506331" w:rsidRPr="00E358A6">
        <w:rPr>
          <w:rFonts w:ascii="Cambria" w:hAnsi="Cambria"/>
          <w:sz w:val="20"/>
          <w:szCs w:val="20"/>
          <w:lang w:val="pt-BR"/>
        </w:rPr>
        <w:t xml:space="preserve"> a </w:t>
      </w:r>
      <w:r w:rsidR="00586515" w:rsidRPr="00E358A6">
        <w:rPr>
          <w:rFonts w:ascii="Cambria" w:hAnsi="Cambria"/>
          <w:sz w:val="20"/>
          <w:szCs w:val="20"/>
          <w:lang w:val="pt-BR"/>
        </w:rPr>
        <w:t>violência</w:t>
      </w:r>
      <w:r w:rsidRPr="00E358A6">
        <w:rPr>
          <w:rFonts w:ascii="Cambria" w:hAnsi="Cambria"/>
          <w:sz w:val="20"/>
          <w:szCs w:val="20"/>
          <w:lang w:val="pt-BR"/>
        </w:rPr>
        <w:t xml:space="preserve"> contra</w:t>
      </w:r>
      <w:r w:rsidR="00506331" w:rsidRPr="00E358A6">
        <w:rPr>
          <w:rFonts w:ascii="Cambria" w:hAnsi="Cambria"/>
          <w:sz w:val="20"/>
          <w:szCs w:val="20"/>
          <w:lang w:val="pt-BR"/>
        </w:rPr>
        <w:t xml:space="preserve"> a </w:t>
      </w:r>
      <w:r w:rsidR="00DB5118" w:rsidRPr="00E358A6">
        <w:rPr>
          <w:rFonts w:ascii="Cambria" w:hAnsi="Cambria"/>
          <w:sz w:val="20"/>
          <w:szCs w:val="20"/>
          <w:lang w:val="pt-BR"/>
        </w:rPr>
        <w:t>mulher</w:t>
      </w:r>
      <w:r w:rsidR="00506331" w:rsidRPr="00E358A6">
        <w:rPr>
          <w:rFonts w:ascii="Cambria" w:hAnsi="Cambria"/>
          <w:sz w:val="20"/>
          <w:szCs w:val="20"/>
          <w:lang w:val="pt-BR"/>
        </w:rPr>
        <w:t xml:space="preserve"> e a </w:t>
      </w:r>
      <w:r w:rsidR="00586515" w:rsidRPr="00E358A6">
        <w:rPr>
          <w:rFonts w:ascii="Cambria" w:hAnsi="Cambria"/>
          <w:sz w:val="20"/>
          <w:szCs w:val="20"/>
          <w:lang w:val="pt-BR"/>
        </w:rPr>
        <w:t>atribuição</w:t>
      </w:r>
      <w:r w:rsidR="00420AAC" w:rsidRPr="00E358A6">
        <w:rPr>
          <w:rFonts w:ascii="Cambria" w:hAnsi="Cambria"/>
          <w:sz w:val="20"/>
          <w:szCs w:val="20"/>
          <w:lang w:val="pt-BR"/>
        </w:rPr>
        <w:t xml:space="preserve"> de responsabili</w:t>
      </w:r>
      <w:r w:rsidR="00350E7E" w:rsidRPr="00E358A6">
        <w:rPr>
          <w:rFonts w:ascii="Cambria" w:hAnsi="Cambria"/>
          <w:sz w:val="20"/>
          <w:szCs w:val="20"/>
          <w:lang w:val="pt-BR"/>
        </w:rPr>
        <w:t>dade</w:t>
      </w:r>
      <w:r w:rsidR="00BF72CE" w:rsidRPr="00E358A6">
        <w:rPr>
          <w:rFonts w:ascii="Cambria" w:hAnsi="Cambria"/>
          <w:sz w:val="20"/>
          <w:szCs w:val="20"/>
          <w:lang w:val="pt-BR"/>
        </w:rPr>
        <w:t xml:space="preserve"> ao </w:t>
      </w:r>
      <w:r w:rsidR="00420AAC" w:rsidRPr="00E358A6">
        <w:rPr>
          <w:rFonts w:ascii="Cambria" w:hAnsi="Cambria"/>
          <w:sz w:val="20"/>
          <w:szCs w:val="20"/>
          <w:lang w:val="pt-BR"/>
        </w:rPr>
        <w:t>Estado</w:t>
      </w:r>
      <w:bookmarkEnd w:id="19"/>
    </w:p>
    <w:p w14:paraId="4F577D96" w14:textId="77777777" w:rsidR="00564DB0" w:rsidRPr="00337743" w:rsidRDefault="00564DB0" w:rsidP="00564DB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Times New Roman" w:hAnsi="Cambria" w:cs="Arial"/>
          <w:b/>
          <w:bCs/>
          <w:iCs/>
          <w:sz w:val="20"/>
          <w:szCs w:val="20"/>
          <w:bdr w:val="none" w:sz="0" w:space="0" w:color="auto"/>
          <w:lang w:val="pt-BR"/>
        </w:rPr>
      </w:pPr>
    </w:p>
    <w:p w14:paraId="6A79B948" w14:textId="77777777" w:rsidR="00A5056D" w:rsidRPr="00337743" w:rsidRDefault="004C2ACB" w:rsidP="00A5056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eastAsia="Times New Roman" w:hAnsi="Cambria" w:cs="Arial"/>
          <w:b/>
          <w:bCs/>
          <w:iCs/>
          <w:sz w:val="20"/>
          <w:szCs w:val="20"/>
          <w:bdr w:val="none" w:sz="0" w:space="0" w:color="auto"/>
          <w:lang w:val="pt-BR"/>
        </w:rPr>
      </w:pPr>
      <w:r w:rsidRPr="00337743">
        <w:rPr>
          <w:rFonts w:ascii="Cambria" w:hAnsi="Cambria"/>
          <w:sz w:val="20"/>
          <w:szCs w:val="20"/>
          <w:lang w:val="pt-BR"/>
        </w:rPr>
        <w:t>A</w:t>
      </w:r>
      <w:r w:rsidR="00CB671B" w:rsidRPr="00337743">
        <w:rPr>
          <w:rFonts w:ascii="Cambria" w:hAnsi="Cambria"/>
          <w:sz w:val="20"/>
          <w:szCs w:val="20"/>
          <w:lang w:val="pt-BR"/>
        </w:rPr>
        <w:t xml:space="preserve"> </w:t>
      </w:r>
      <w:r w:rsidR="00350E7E" w:rsidRPr="00337743">
        <w:rPr>
          <w:rFonts w:ascii="Cambria" w:hAnsi="Cambria"/>
          <w:sz w:val="20"/>
          <w:szCs w:val="20"/>
          <w:lang w:val="pt-BR"/>
        </w:rPr>
        <w:t>Comissão</w:t>
      </w:r>
      <w:r w:rsidR="00CB671B" w:rsidRPr="00337743">
        <w:rPr>
          <w:rFonts w:ascii="Cambria" w:hAnsi="Cambria"/>
          <w:sz w:val="20"/>
          <w:szCs w:val="20"/>
          <w:lang w:val="pt-BR"/>
        </w:rPr>
        <w:t xml:space="preserve"> </w:t>
      </w:r>
      <w:r w:rsidR="00586515" w:rsidRPr="00337743">
        <w:rPr>
          <w:rFonts w:ascii="Cambria" w:hAnsi="Cambria"/>
          <w:sz w:val="20"/>
          <w:szCs w:val="20"/>
          <w:lang w:val="pt-BR"/>
        </w:rPr>
        <w:t>recorda</w:t>
      </w:r>
      <w:r w:rsidR="00CB671B" w:rsidRPr="00337743">
        <w:rPr>
          <w:rFonts w:ascii="Cambria" w:hAnsi="Cambria"/>
          <w:sz w:val="20"/>
          <w:szCs w:val="20"/>
          <w:lang w:val="pt-BR"/>
        </w:rPr>
        <w:t xml:space="preserve"> que</w:t>
      </w:r>
      <w:r w:rsidR="00506331" w:rsidRPr="00337743">
        <w:rPr>
          <w:rFonts w:ascii="Cambria" w:hAnsi="Cambria"/>
          <w:sz w:val="20"/>
          <w:szCs w:val="20"/>
          <w:lang w:val="pt-BR"/>
        </w:rPr>
        <w:t xml:space="preserve"> o </w:t>
      </w:r>
      <w:r w:rsidR="00350E7E" w:rsidRPr="00337743">
        <w:rPr>
          <w:rFonts w:ascii="Cambria" w:hAnsi="Cambria"/>
          <w:sz w:val="20"/>
          <w:szCs w:val="20"/>
          <w:lang w:val="pt-BR"/>
        </w:rPr>
        <w:t>direito</w:t>
      </w:r>
      <w:r w:rsidR="00F453EB" w:rsidRPr="00337743">
        <w:rPr>
          <w:rFonts w:ascii="Cambria" w:hAnsi="Cambria"/>
          <w:sz w:val="20"/>
          <w:szCs w:val="20"/>
          <w:lang w:val="pt-BR"/>
        </w:rPr>
        <w:t xml:space="preserve"> à </w:t>
      </w:r>
      <w:r w:rsidR="00CB671B" w:rsidRPr="00337743">
        <w:rPr>
          <w:rFonts w:ascii="Cambria" w:hAnsi="Cambria"/>
          <w:sz w:val="20"/>
          <w:szCs w:val="20"/>
          <w:lang w:val="pt-BR"/>
        </w:rPr>
        <w:t>vida</w:t>
      </w:r>
      <w:r w:rsidR="00A6443F" w:rsidRPr="00337743">
        <w:rPr>
          <w:rFonts w:ascii="Cambria" w:hAnsi="Cambria"/>
          <w:sz w:val="20"/>
          <w:szCs w:val="20"/>
          <w:lang w:val="pt-BR"/>
        </w:rPr>
        <w:t xml:space="preserve"> é </w:t>
      </w:r>
      <w:r w:rsidR="00CB671B" w:rsidRPr="00337743">
        <w:rPr>
          <w:rFonts w:ascii="Cambria" w:hAnsi="Cambria"/>
          <w:sz w:val="20"/>
          <w:szCs w:val="20"/>
          <w:lang w:val="pt-BR"/>
        </w:rPr>
        <w:t>pr</w:t>
      </w:r>
      <w:r w:rsidRPr="00337743">
        <w:rPr>
          <w:rFonts w:ascii="Cambria" w:hAnsi="Cambria"/>
          <w:sz w:val="20"/>
          <w:szCs w:val="20"/>
          <w:lang w:val="pt-BR"/>
        </w:rPr>
        <w:t>é-</w:t>
      </w:r>
      <w:r w:rsidR="00CB671B" w:rsidRPr="00337743">
        <w:rPr>
          <w:rFonts w:ascii="Cambria" w:hAnsi="Cambria"/>
          <w:sz w:val="20"/>
          <w:szCs w:val="20"/>
          <w:lang w:val="pt-BR"/>
        </w:rPr>
        <w:t>requisito</w:t>
      </w:r>
      <w:r w:rsidR="007707E3" w:rsidRPr="00337743">
        <w:rPr>
          <w:rFonts w:ascii="Cambria" w:hAnsi="Cambria"/>
          <w:sz w:val="20"/>
          <w:szCs w:val="20"/>
          <w:lang w:val="pt-BR"/>
        </w:rPr>
        <w:t xml:space="preserve"> do </w:t>
      </w:r>
      <w:r w:rsidRPr="00337743">
        <w:rPr>
          <w:rFonts w:ascii="Cambria" w:hAnsi="Cambria"/>
          <w:sz w:val="20"/>
          <w:szCs w:val="20"/>
          <w:lang w:val="pt-BR"/>
        </w:rPr>
        <w:t>gozo</w:t>
      </w:r>
      <w:r w:rsidR="00CB671B" w:rsidRPr="00337743">
        <w:rPr>
          <w:rFonts w:ascii="Cambria" w:hAnsi="Cambria" w:cs="Verdana"/>
          <w:sz w:val="20"/>
          <w:szCs w:val="20"/>
          <w:lang w:val="pt-BR"/>
        </w:rPr>
        <w:t xml:space="preserve"> de todos</w:t>
      </w:r>
      <w:r w:rsidR="007707E3" w:rsidRPr="00337743">
        <w:rPr>
          <w:rFonts w:ascii="Cambria" w:hAnsi="Cambria" w:cs="Verdana"/>
          <w:sz w:val="20"/>
          <w:szCs w:val="20"/>
          <w:lang w:val="pt-BR"/>
        </w:rPr>
        <w:t xml:space="preserve"> os </w:t>
      </w:r>
      <w:r w:rsidR="00CB671B" w:rsidRPr="00337743">
        <w:rPr>
          <w:rFonts w:ascii="Cambria" w:hAnsi="Cambria" w:cs="Verdana"/>
          <w:sz w:val="20"/>
          <w:szCs w:val="20"/>
          <w:lang w:val="pt-BR"/>
        </w:rPr>
        <w:t>de</w:t>
      </w:r>
      <w:r w:rsidR="00F304A8" w:rsidRPr="00337743">
        <w:rPr>
          <w:rFonts w:ascii="Cambria" w:hAnsi="Cambria" w:cs="Verdana"/>
          <w:sz w:val="20"/>
          <w:szCs w:val="20"/>
          <w:lang w:val="pt-BR"/>
        </w:rPr>
        <w:t>mais</w:t>
      </w:r>
      <w:r w:rsidR="00CB671B" w:rsidRPr="00337743">
        <w:rPr>
          <w:rFonts w:ascii="Cambria" w:hAnsi="Cambria" w:cs="Verdana"/>
          <w:sz w:val="20"/>
          <w:szCs w:val="20"/>
          <w:lang w:val="pt-BR"/>
        </w:rPr>
        <w:t xml:space="preserve"> </w:t>
      </w:r>
      <w:r w:rsidR="00350E7E" w:rsidRPr="00337743">
        <w:rPr>
          <w:rFonts w:ascii="Cambria" w:hAnsi="Cambria" w:cs="Verdana"/>
          <w:sz w:val="20"/>
          <w:szCs w:val="20"/>
          <w:lang w:val="pt-BR"/>
        </w:rPr>
        <w:t>direito</w:t>
      </w:r>
      <w:r w:rsidR="00CB671B" w:rsidRPr="00337743">
        <w:rPr>
          <w:rFonts w:ascii="Cambria" w:hAnsi="Cambria" w:cs="Verdana"/>
          <w:sz w:val="20"/>
          <w:szCs w:val="20"/>
          <w:lang w:val="pt-BR"/>
        </w:rPr>
        <w:t>s humanos</w:t>
      </w:r>
      <w:r w:rsidRPr="00337743">
        <w:rPr>
          <w:rFonts w:ascii="Cambria" w:hAnsi="Cambria" w:cs="Verdana"/>
          <w:sz w:val="20"/>
          <w:szCs w:val="20"/>
          <w:lang w:val="pt-BR"/>
        </w:rPr>
        <w:t>,</w:t>
      </w:r>
      <w:r w:rsidR="00325DAC" w:rsidRPr="00337743">
        <w:rPr>
          <w:rFonts w:ascii="Cambria" w:hAnsi="Cambria" w:cs="Verdana"/>
          <w:sz w:val="20"/>
          <w:szCs w:val="20"/>
          <w:lang w:val="pt-BR"/>
        </w:rPr>
        <w:t xml:space="preserve"> sem </w:t>
      </w:r>
      <w:r w:rsidR="00586515" w:rsidRPr="00337743">
        <w:rPr>
          <w:rFonts w:ascii="Cambria" w:hAnsi="Cambria" w:cs="Verdana"/>
          <w:sz w:val="20"/>
          <w:szCs w:val="20"/>
          <w:lang w:val="pt-BR"/>
        </w:rPr>
        <w:t>cujo</w:t>
      </w:r>
      <w:r w:rsidR="00CB671B" w:rsidRPr="00337743">
        <w:rPr>
          <w:rFonts w:ascii="Cambria" w:hAnsi="Cambria" w:cs="Verdana"/>
          <w:sz w:val="20"/>
          <w:szCs w:val="20"/>
          <w:lang w:val="pt-BR"/>
        </w:rPr>
        <w:t xml:space="preserve"> </w:t>
      </w:r>
      <w:r w:rsidR="00AE3002" w:rsidRPr="00337743">
        <w:rPr>
          <w:rFonts w:ascii="Cambria" w:hAnsi="Cambria" w:cs="Verdana"/>
          <w:sz w:val="20"/>
          <w:szCs w:val="20"/>
          <w:lang w:val="pt-BR"/>
        </w:rPr>
        <w:t>respeito</w:t>
      </w:r>
      <w:r w:rsidR="00CB671B" w:rsidRPr="00337743">
        <w:rPr>
          <w:rFonts w:ascii="Cambria" w:hAnsi="Cambria" w:cs="Verdana"/>
          <w:sz w:val="20"/>
          <w:szCs w:val="20"/>
          <w:lang w:val="pt-BR"/>
        </w:rPr>
        <w:t xml:space="preserve"> todos</w:t>
      </w:r>
      <w:r w:rsidR="007707E3" w:rsidRPr="00337743">
        <w:rPr>
          <w:rFonts w:ascii="Cambria" w:hAnsi="Cambria" w:cs="Verdana"/>
          <w:sz w:val="20"/>
          <w:szCs w:val="20"/>
          <w:lang w:val="pt-BR"/>
        </w:rPr>
        <w:t xml:space="preserve"> os </w:t>
      </w:r>
      <w:r w:rsidR="00CB671B" w:rsidRPr="00337743">
        <w:rPr>
          <w:rFonts w:ascii="Cambria" w:hAnsi="Cambria" w:cs="Verdana"/>
          <w:sz w:val="20"/>
          <w:szCs w:val="20"/>
          <w:lang w:val="pt-BR"/>
        </w:rPr>
        <w:t>de</w:t>
      </w:r>
      <w:r w:rsidR="00F304A8" w:rsidRPr="00337743">
        <w:rPr>
          <w:rFonts w:ascii="Cambria" w:hAnsi="Cambria" w:cs="Verdana"/>
          <w:sz w:val="20"/>
          <w:szCs w:val="20"/>
          <w:lang w:val="pt-BR"/>
        </w:rPr>
        <w:t>mais</w:t>
      </w:r>
      <w:r w:rsidR="00CB671B" w:rsidRPr="00337743">
        <w:rPr>
          <w:rFonts w:ascii="Cambria" w:hAnsi="Cambria" w:cs="Verdana"/>
          <w:sz w:val="20"/>
          <w:szCs w:val="20"/>
          <w:lang w:val="pt-BR"/>
        </w:rPr>
        <w:t xml:space="preserve"> </w:t>
      </w:r>
      <w:r w:rsidR="00586515" w:rsidRPr="00337743">
        <w:rPr>
          <w:rFonts w:ascii="Cambria" w:hAnsi="Cambria" w:cs="Verdana"/>
          <w:sz w:val="20"/>
          <w:szCs w:val="20"/>
          <w:lang w:val="pt-BR"/>
        </w:rPr>
        <w:t>carecem</w:t>
      </w:r>
      <w:r w:rsidR="00CB671B" w:rsidRPr="00337743">
        <w:rPr>
          <w:rFonts w:ascii="Cambria" w:hAnsi="Cambria" w:cs="Verdana"/>
          <w:sz w:val="20"/>
          <w:szCs w:val="20"/>
          <w:lang w:val="pt-BR"/>
        </w:rPr>
        <w:t xml:space="preserve"> de </w:t>
      </w:r>
      <w:r w:rsidR="00CB671B" w:rsidRPr="00337743">
        <w:rPr>
          <w:rFonts w:ascii="Cambria" w:hAnsi="Cambria"/>
          <w:sz w:val="20"/>
          <w:szCs w:val="20"/>
          <w:lang w:val="pt-BR"/>
        </w:rPr>
        <w:t>sentido</w:t>
      </w:r>
      <w:r w:rsidR="00CB671B" w:rsidRPr="00337743">
        <w:rPr>
          <w:rStyle w:val="FootnoteReference"/>
          <w:rFonts w:ascii="Cambria" w:hAnsi="Cambria" w:cs="Verdana"/>
          <w:sz w:val="20"/>
          <w:szCs w:val="20"/>
          <w:lang w:val="pt-BR"/>
        </w:rPr>
        <w:footnoteReference w:id="81"/>
      </w:r>
      <w:r w:rsidR="00CB671B" w:rsidRPr="00337743">
        <w:rPr>
          <w:rFonts w:ascii="Cambria" w:hAnsi="Cambria" w:cs="Verdana"/>
          <w:sz w:val="20"/>
          <w:szCs w:val="20"/>
          <w:lang w:val="pt-BR"/>
        </w:rPr>
        <w:t>.</w:t>
      </w:r>
      <w:r w:rsidR="00091880" w:rsidRPr="00337743">
        <w:rPr>
          <w:rFonts w:ascii="Cambria" w:hAnsi="Cambria" w:cs="Verdana"/>
          <w:sz w:val="20"/>
          <w:szCs w:val="20"/>
          <w:lang w:val="pt-BR"/>
        </w:rPr>
        <w:t xml:space="preserve"> </w:t>
      </w:r>
      <w:r w:rsidRPr="00337743">
        <w:rPr>
          <w:rFonts w:ascii="Cambria" w:hAnsi="Cambria" w:cs="Verdana"/>
          <w:sz w:val="20"/>
          <w:szCs w:val="20"/>
          <w:lang w:val="pt-BR"/>
        </w:rPr>
        <w:t>N</w:t>
      </w:r>
      <w:r w:rsidR="00CB671B" w:rsidRPr="00337743">
        <w:rPr>
          <w:rFonts w:ascii="Cambria" w:hAnsi="Cambria"/>
          <w:sz w:val="20"/>
          <w:szCs w:val="20"/>
          <w:lang w:val="pt-BR"/>
        </w:rPr>
        <w:t>e</w:t>
      </w:r>
      <w:r w:rsidR="00396C08" w:rsidRPr="00337743">
        <w:rPr>
          <w:rFonts w:ascii="Cambria" w:hAnsi="Cambria"/>
          <w:sz w:val="20"/>
          <w:szCs w:val="20"/>
          <w:lang w:val="pt-BR"/>
        </w:rPr>
        <w:t>s</w:t>
      </w:r>
      <w:r w:rsidR="00CB671B" w:rsidRPr="00337743">
        <w:rPr>
          <w:rFonts w:ascii="Cambria" w:hAnsi="Cambria"/>
          <w:sz w:val="20"/>
          <w:szCs w:val="20"/>
          <w:lang w:val="pt-BR"/>
        </w:rPr>
        <w:t>se sentido,</w:t>
      </w:r>
      <w:r w:rsidR="00506331" w:rsidRPr="00337743">
        <w:rPr>
          <w:rFonts w:ascii="Cambria" w:hAnsi="Cambria"/>
          <w:sz w:val="20"/>
          <w:szCs w:val="20"/>
          <w:lang w:val="pt-BR"/>
        </w:rPr>
        <w:t xml:space="preserve"> o </w:t>
      </w:r>
      <w:r w:rsidR="00586515" w:rsidRPr="00337743">
        <w:rPr>
          <w:rFonts w:ascii="Cambria" w:hAnsi="Cambria"/>
          <w:sz w:val="20"/>
          <w:szCs w:val="20"/>
          <w:lang w:val="pt-BR"/>
        </w:rPr>
        <w:t>cumprimento</w:t>
      </w:r>
      <w:r w:rsidR="007707E3" w:rsidRPr="00337743">
        <w:rPr>
          <w:rFonts w:ascii="Cambria" w:hAnsi="Cambria"/>
          <w:sz w:val="20"/>
          <w:szCs w:val="20"/>
          <w:lang w:val="pt-BR"/>
        </w:rPr>
        <w:t xml:space="preserve"> do </w:t>
      </w:r>
      <w:r w:rsidR="00091880" w:rsidRPr="00337743">
        <w:rPr>
          <w:rFonts w:ascii="Cambria" w:hAnsi="Cambria"/>
          <w:sz w:val="20"/>
          <w:szCs w:val="20"/>
          <w:lang w:val="pt-BR"/>
        </w:rPr>
        <w:t>artigo</w:t>
      </w:r>
      <w:r w:rsidR="00CB671B" w:rsidRPr="00337743">
        <w:rPr>
          <w:rFonts w:ascii="Cambria" w:hAnsi="Cambria"/>
          <w:sz w:val="20"/>
          <w:szCs w:val="20"/>
          <w:lang w:val="pt-BR"/>
        </w:rPr>
        <w:t xml:space="preserve"> 4</w:t>
      </w:r>
      <w:r w:rsidR="00091880" w:rsidRPr="00337743">
        <w:rPr>
          <w:rFonts w:ascii="Cambria" w:hAnsi="Cambria"/>
          <w:sz w:val="20"/>
          <w:szCs w:val="20"/>
          <w:lang w:val="pt-BR"/>
        </w:rPr>
        <w:t xml:space="preserve"> </w:t>
      </w:r>
      <w:r w:rsidRPr="00337743">
        <w:rPr>
          <w:rFonts w:ascii="Cambria" w:hAnsi="Cambria"/>
          <w:sz w:val="20"/>
          <w:szCs w:val="20"/>
          <w:lang w:val="pt-BR"/>
        </w:rPr>
        <w:t>co</w:t>
      </w:r>
      <w:r w:rsidR="00091880" w:rsidRPr="00337743">
        <w:rPr>
          <w:rFonts w:ascii="Cambria" w:hAnsi="Cambria"/>
          <w:sz w:val="20"/>
          <w:szCs w:val="20"/>
          <w:lang w:val="pt-BR"/>
        </w:rPr>
        <w:t xml:space="preserve">m </w:t>
      </w:r>
      <w:r w:rsidR="00CB671B" w:rsidRPr="00337743">
        <w:rPr>
          <w:rFonts w:ascii="Cambria" w:hAnsi="Cambria"/>
          <w:sz w:val="20"/>
          <w:szCs w:val="20"/>
          <w:lang w:val="pt-BR"/>
        </w:rPr>
        <w:t>rela</w:t>
      </w:r>
      <w:r w:rsidR="00350E7E" w:rsidRPr="00337743">
        <w:rPr>
          <w:rFonts w:ascii="Cambria" w:hAnsi="Cambria"/>
          <w:sz w:val="20"/>
          <w:szCs w:val="20"/>
          <w:lang w:val="pt-BR"/>
        </w:rPr>
        <w:t>ção</w:t>
      </w:r>
      <w:r w:rsidR="00091880" w:rsidRPr="00337743">
        <w:rPr>
          <w:rFonts w:ascii="Cambria" w:hAnsi="Cambria"/>
          <w:sz w:val="20"/>
          <w:szCs w:val="20"/>
          <w:lang w:val="pt-BR"/>
        </w:rPr>
        <w:t xml:space="preserve"> </w:t>
      </w:r>
      <w:r w:rsidRPr="00337743">
        <w:rPr>
          <w:rFonts w:ascii="Cambria" w:hAnsi="Cambria"/>
          <w:sz w:val="20"/>
          <w:szCs w:val="20"/>
          <w:lang w:val="pt-BR"/>
        </w:rPr>
        <w:t>a</w:t>
      </w:r>
      <w:r w:rsidR="00506331" w:rsidRPr="00337743">
        <w:rPr>
          <w:rFonts w:ascii="Cambria" w:hAnsi="Cambria"/>
          <w:sz w:val="20"/>
          <w:szCs w:val="20"/>
          <w:lang w:val="pt-BR"/>
        </w:rPr>
        <w:t xml:space="preserve">o </w:t>
      </w:r>
      <w:r w:rsidR="00091880" w:rsidRPr="00337743">
        <w:rPr>
          <w:rFonts w:ascii="Cambria" w:hAnsi="Cambria"/>
          <w:sz w:val="20"/>
          <w:szCs w:val="20"/>
          <w:lang w:val="pt-BR"/>
        </w:rPr>
        <w:t>artigo</w:t>
      </w:r>
      <w:r w:rsidR="00CB671B" w:rsidRPr="00337743">
        <w:rPr>
          <w:rFonts w:ascii="Cambria" w:hAnsi="Cambria"/>
          <w:sz w:val="20"/>
          <w:szCs w:val="20"/>
          <w:lang w:val="pt-BR"/>
        </w:rPr>
        <w:t xml:space="preserve"> 1.1</w:t>
      </w:r>
      <w:r w:rsidR="007707E3" w:rsidRPr="00337743">
        <w:rPr>
          <w:rFonts w:ascii="Cambria" w:hAnsi="Cambria"/>
          <w:sz w:val="20"/>
          <w:szCs w:val="20"/>
          <w:lang w:val="pt-BR"/>
        </w:rPr>
        <w:t xml:space="preserve"> da </w:t>
      </w:r>
      <w:r w:rsidR="00CB671B" w:rsidRPr="00337743">
        <w:rPr>
          <w:rFonts w:ascii="Cambria" w:hAnsi="Cambria" w:cs="Verdana"/>
          <w:sz w:val="20"/>
          <w:szCs w:val="20"/>
          <w:lang w:val="pt-BR"/>
        </w:rPr>
        <w:t>Conven</w:t>
      </w:r>
      <w:r w:rsidR="00350E7E" w:rsidRPr="00337743">
        <w:rPr>
          <w:rFonts w:ascii="Cambria" w:hAnsi="Cambria" w:cs="Verdana"/>
          <w:sz w:val="20"/>
          <w:szCs w:val="20"/>
          <w:lang w:val="pt-BR"/>
        </w:rPr>
        <w:t>ção</w:t>
      </w:r>
      <w:r w:rsidR="00CB671B" w:rsidRPr="00337743">
        <w:rPr>
          <w:rFonts w:ascii="Cambria" w:hAnsi="Cambria" w:cs="Verdana"/>
          <w:sz w:val="20"/>
          <w:szCs w:val="20"/>
          <w:lang w:val="pt-BR"/>
        </w:rPr>
        <w:t xml:space="preserve"> Americana</w:t>
      </w:r>
      <w:r w:rsidR="00091880" w:rsidRPr="00337743">
        <w:rPr>
          <w:rFonts w:ascii="Cambria" w:hAnsi="Cambria" w:cs="Verdana"/>
          <w:sz w:val="20"/>
          <w:szCs w:val="20"/>
          <w:lang w:val="pt-BR"/>
        </w:rPr>
        <w:t xml:space="preserve"> não </w:t>
      </w:r>
      <w:r w:rsidR="00CB671B" w:rsidRPr="00337743">
        <w:rPr>
          <w:rFonts w:ascii="Cambria" w:hAnsi="Cambria" w:cs="Verdana"/>
          <w:sz w:val="20"/>
          <w:szCs w:val="20"/>
          <w:lang w:val="pt-BR"/>
        </w:rPr>
        <w:t>só pre</w:t>
      </w:r>
      <w:r w:rsidRPr="00337743">
        <w:rPr>
          <w:rFonts w:ascii="Cambria" w:hAnsi="Cambria" w:cs="Verdana"/>
          <w:sz w:val="20"/>
          <w:szCs w:val="20"/>
          <w:lang w:val="pt-BR"/>
        </w:rPr>
        <w:t>s</w:t>
      </w:r>
      <w:r w:rsidR="00CB671B" w:rsidRPr="00337743">
        <w:rPr>
          <w:rFonts w:ascii="Cambria" w:hAnsi="Cambria" w:cs="Verdana"/>
          <w:sz w:val="20"/>
          <w:szCs w:val="20"/>
          <w:lang w:val="pt-BR"/>
        </w:rPr>
        <w:t>sup</w:t>
      </w:r>
      <w:r w:rsidRPr="00337743">
        <w:rPr>
          <w:rFonts w:ascii="Cambria" w:hAnsi="Cambria" w:cs="Verdana"/>
          <w:sz w:val="20"/>
          <w:szCs w:val="20"/>
          <w:lang w:val="pt-BR"/>
        </w:rPr>
        <w:t>õ</w:t>
      </w:r>
      <w:r w:rsidR="00CB671B" w:rsidRPr="00337743">
        <w:rPr>
          <w:rFonts w:ascii="Cambria" w:hAnsi="Cambria" w:cs="Verdana"/>
          <w:sz w:val="20"/>
          <w:szCs w:val="20"/>
          <w:lang w:val="pt-BR"/>
        </w:rPr>
        <w:t>e que n</w:t>
      </w:r>
      <w:r w:rsidRPr="00337743">
        <w:rPr>
          <w:rFonts w:ascii="Cambria" w:hAnsi="Cambria" w:cs="Verdana"/>
          <w:sz w:val="20"/>
          <w:szCs w:val="20"/>
          <w:lang w:val="pt-BR"/>
        </w:rPr>
        <w:t>enhum</w:t>
      </w:r>
      <w:r w:rsidR="00CB671B" w:rsidRPr="00337743">
        <w:rPr>
          <w:rFonts w:ascii="Cambria" w:hAnsi="Cambria" w:cs="Verdana"/>
          <w:sz w:val="20"/>
          <w:szCs w:val="20"/>
          <w:lang w:val="pt-BR"/>
        </w:rPr>
        <w:t xml:space="preserve">a </w:t>
      </w:r>
      <w:r w:rsidR="008E70E1" w:rsidRPr="00337743">
        <w:rPr>
          <w:rFonts w:ascii="Cambria" w:hAnsi="Cambria" w:cs="Verdana"/>
          <w:sz w:val="20"/>
          <w:szCs w:val="20"/>
          <w:lang w:val="pt-BR"/>
        </w:rPr>
        <w:t>pessoa</w:t>
      </w:r>
      <w:r w:rsidR="00CB671B" w:rsidRPr="00337743">
        <w:rPr>
          <w:rFonts w:ascii="Cambria" w:hAnsi="Cambria" w:cs="Verdana"/>
          <w:sz w:val="20"/>
          <w:szCs w:val="20"/>
          <w:lang w:val="pt-BR"/>
        </w:rPr>
        <w:t xml:space="preserve"> </w:t>
      </w:r>
      <w:r w:rsidR="00586515" w:rsidRPr="00337743">
        <w:rPr>
          <w:rFonts w:ascii="Cambria" w:hAnsi="Cambria" w:cs="Verdana"/>
          <w:sz w:val="20"/>
          <w:szCs w:val="20"/>
          <w:lang w:val="pt-BR"/>
        </w:rPr>
        <w:t>seja</w:t>
      </w:r>
      <w:r w:rsidR="00CB671B" w:rsidRPr="00337743">
        <w:rPr>
          <w:rFonts w:ascii="Cambria" w:hAnsi="Cambria" w:cs="Verdana"/>
          <w:sz w:val="20"/>
          <w:szCs w:val="20"/>
          <w:lang w:val="pt-BR"/>
        </w:rPr>
        <w:t xml:space="preserve"> privada de </w:t>
      </w:r>
      <w:r w:rsidR="00AE3002" w:rsidRPr="00337743">
        <w:rPr>
          <w:rFonts w:ascii="Cambria" w:hAnsi="Cambria" w:cs="Verdana"/>
          <w:sz w:val="20"/>
          <w:szCs w:val="20"/>
          <w:lang w:val="pt-BR"/>
        </w:rPr>
        <w:t>sua</w:t>
      </w:r>
      <w:r w:rsidR="00CB671B" w:rsidRPr="00337743">
        <w:rPr>
          <w:rFonts w:ascii="Cambria" w:hAnsi="Cambria" w:cs="Verdana"/>
          <w:sz w:val="20"/>
          <w:szCs w:val="20"/>
          <w:lang w:val="pt-BR"/>
        </w:rPr>
        <w:t xml:space="preserve"> vida arbitrariamente, </w:t>
      </w:r>
      <w:r w:rsidRPr="00337743">
        <w:rPr>
          <w:rFonts w:ascii="Cambria" w:hAnsi="Cambria" w:cs="Verdana"/>
          <w:sz w:val="20"/>
          <w:szCs w:val="20"/>
          <w:lang w:val="pt-BR"/>
        </w:rPr>
        <w:t xml:space="preserve">mas também </w:t>
      </w:r>
      <w:r w:rsidR="00CB671B" w:rsidRPr="00337743">
        <w:rPr>
          <w:rFonts w:ascii="Cambria" w:hAnsi="Cambria" w:cs="Verdana"/>
          <w:sz w:val="20"/>
          <w:szCs w:val="20"/>
          <w:lang w:val="pt-BR"/>
        </w:rPr>
        <w:t>requ</w:t>
      </w:r>
      <w:r w:rsidRPr="00337743">
        <w:rPr>
          <w:rFonts w:ascii="Cambria" w:hAnsi="Cambria" w:cs="Verdana"/>
          <w:sz w:val="20"/>
          <w:szCs w:val="20"/>
          <w:lang w:val="pt-BR"/>
        </w:rPr>
        <w:t>er</w:t>
      </w:r>
      <w:r w:rsidR="00CB671B" w:rsidRPr="00337743">
        <w:rPr>
          <w:rFonts w:ascii="Cambria" w:hAnsi="Cambria" w:cs="Verdana"/>
          <w:sz w:val="20"/>
          <w:szCs w:val="20"/>
          <w:lang w:val="pt-BR"/>
        </w:rPr>
        <w:t xml:space="preserve"> que</w:t>
      </w:r>
      <w:r w:rsidR="007707E3" w:rsidRPr="00337743">
        <w:rPr>
          <w:rFonts w:ascii="Cambria" w:hAnsi="Cambria" w:cs="Verdana"/>
          <w:sz w:val="20"/>
          <w:szCs w:val="20"/>
          <w:lang w:val="pt-BR"/>
        </w:rPr>
        <w:t xml:space="preserve"> os </w:t>
      </w:r>
      <w:r w:rsidR="00CB671B" w:rsidRPr="00337743">
        <w:rPr>
          <w:rFonts w:ascii="Cambria" w:hAnsi="Cambria" w:cs="Verdana"/>
          <w:sz w:val="20"/>
          <w:szCs w:val="20"/>
          <w:lang w:val="pt-BR"/>
        </w:rPr>
        <w:t xml:space="preserve">Estados </w:t>
      </w:r>
      <w:r w:rsidR="00586515" w:rsidRPr="00337743">
        <w:rPr>
          <w:rFonts w:ascii="Cambria" w:hAnsi="Cambria" w:cs="Verdana"/>
          <w:sz w:val="20"/>
          <w:szCs w:val="20"/>
          <w:lang w:val="pt-BR"/>
        </w:rPr>
        <w:t>tomem</w:t>
      </w:r>
      <w:r w:rsidR="00CB671B" w:rsidRPr="00337743">
        <w:rPr>
          <w:rFonts w:ascii="Cambria" w:hAnsi="Cambria" w:cs="Verdana"/>
          <w:sz w:val="20"/>
          <w:szCs w:val="20"/>
          <w:lang w:val="pt-BR"/>
        </w:rPr>
        <w:t xml:space="preserve"> todas</w:t>
      </w:r>
      <w:r w:rsidR="007707E3" w:rsidRPr="00337743">
        <w:rPr>
          <w:rFonts w:ascii="Cambria" w:hAnsi="Cambria" w:cs="Verdana"/>
          <w:sz w:val="20"/>
          <w:szCs w:val="20"/>
          <w:lang w:val="pt-BR"/>
        </w:rPr>
        <w:t xml:space="preserve"> as </w:t>
      </w:r>
      <w:r w:rsidR="00CB671B" w:rsidRPr="00337743">
        <w:rPr>
          <w:rFonts w:ascii="Cambria" w:hAnsi="Cambria" w:cs="Verdana"/>
          <w:sz w:val="20"/>
          <w:szCs w:val="20"/>
          <w:lang w:val="pt-BR"/>
        </w:rPr>
        <w:t xml:space="preserve">medidas </w:t>
      </w:r>
      <w:r w:rsidR="00586515" w:rsidRPr="00337743">
        <w:rPr>
          <w:rFonts w:ascii="Cambria" w:hAnsi="Cambria"/>
          <w:sz w:val="20"/>
          <w:szCs w:val="20"/>
          <w:lang w:val="pt-BR"/>
        </w:rPr>
        <w:t>apropriadas</w:t>
      </w:r>
      <w:r w:rsidR="00CB671B" w:rsidRPr="00337743">
        <w:rPr>
          <w:rFonts w:ascii="Cambria" w:hAnsi="Cambria" w:cs="Verdana"/>
          <w:sz w:val="20"/>
          <w:szCs w:val="20"/>
          <w:lang w:val="pt-BR"/>
        </w:rPr>
        <w:t xml:space="preserve"> para proteger</w:t>
      </w:r>
      <w:r w:rsidR="00506331" w:rsidRPr="00337743">
        <w:rPr>
          <w:rFonts w:ascii="Cambria" w:hAnsi="Cambria" w:cs="Verdana"/>
          <w:sz w:val="20"/>
          <w:szCs w:val="20"/>
          <w:lang w:val="pt-BR"/>
        </w:rPr>
        <w:t xml:space="preserve"> e </w:t>
      </w:r>
      <w:r w:rsidR="00CB671B" w:rsidRPr="00337743">
        <w:rPr>
          <w:rFonts w:ascii="Cambria" w:hAnsi="Cambria" w:cs="Verdana"/>
          <w:sz w:val="20"/>
          <w:szCs w:val="20"/>
          <w:lang w:val="pt-BR"/>
        </w:rPr>
        <w:t>preservar</w:t>
      </w:r>
      <w:r w:rsidR="00506331" w:rsidRPr="00337743">
        <w:rPr>
          <w:rFonts w:ascii="Cambria" w:hAnsi="Cambria" w:cs="Verdana"/>
          <w:sz w:val="20"/>
          <w:szCs w:val="20"/>
          <w:lang w:val="pt-BR"/>
        </w:rPr>
        <w:t xml:space="preserve"> o </w:t>
      </w:r>
      <w:r w:rsidR="00350E7E" w:rsidRPr="00337743">
        <w:rPr>
          <w:rFonts w:ascii="Cambria" w:hAnsi="Cambria" w:cs="Verdana"/>
          <w:sz w:val="20"/>
          <w:szCs w:val="20"/>
          <w:lang w:val="pt-BR"/>
        </w:rPr>
        <w:t>direito</w:t>
      </w:r>
      <w:r w:rsidR="00F453EB" w:rsidRPr="00337743">
        <w:rPr>
          <w:rFonts w:ascii="Cambria" w:hAnsi="Cambria" w:cs="Verdana"/>
          <w:sz w:val="20"/>
          <w:szCs w:val="20"/>
          <w:lang w:val="pt-BR"/>
        </w:rPr>
        <w:t xml:space="preserve"> à </w:t>
      </w:r>
      <w:r w:rsidR="00CB671B" w:rsidRPr="00337743">
        <w:rPr>
          <w:rFonts w:ascii="Cambria" w:hAnsi="Cambria" w:cs="Verdana"/>
          <w:sz w:val="20"/>
          <w:szCs w:val="20"/>
          <w:lang w:val="pt-BR"/>
        </w:rPr>
        <w:t xml:space="preserve">vida, </w:t>
      </w:r>
      <w:r w:rsidRPr="00337743">
        <w:rPr>
          <w:rFonts w:ascii="Cambria" w:hAnsi="Cambria" w:cs="Verdana"/>
          <w:sz w:val="20"/>
          <w:szCs w:val="20"/>
          <w:lang w:val="pt-BR"/>
        </w:rPr>
        <w:t xml:space="preserve">de acordo com </w:t>
      </w:r>
      <w:r w:rsidR="00CB671B" w:rsidRPr="00337743">
        <w:rPr>
          <w:rFonts w:ascii="Cambria" w:hAnsi="Cambria" w:cs="Verdana"/>
          <w:sz w:val="20"/>
          <w:szCs w:val="20"/>
          <w:lang w:val="pt-BR"/>
        </w:rPr>
        <w:t>s</w:t>
      </w:r>
      <w:r w:rsidRPr="00337743">
        <w:rPr>
          <w:rFonts w:ascii="Cambria" w:hAnsi="Cambria" w:cs="Verdana"/>
          <w:sz w:val="20"/>
          <w:szCs w:val="20"/>
          <w:lang w:val="pt-BR"/>
        </w:rPr>
        <w:t>e</w:t>
      </w:r>
      <w:r w:rsidR="00CB671B" w:rsidRPr="00337743">
        <w:rPr>
          <w:rFonts w:ascii="Cambria" w:hAnsi="Cambria" w:cs="Verdana"/>
          <w:sz w:val="20"/>
          <w:szCs w:val="20"/>
          <w:lang w:val="pt-BR"/>
        </w:rPr>
        <w:t xml:space="preserve">u </w:t>
      </w:r>
      <w:r w:rsidR="00586515" w:rsidRPr="00337743">
        <w:rPr>
          <w:rFonts w:ascii="Cambria" w:hAnsi="Cambria" w:cs="Verdana"/>
          <w:sz w:val="20"/>
          <w:szCs w:val="20"/>
          <w:lang w:val="pt-BR"/>
        </w:rPr>
        <w:t>dever</w:t>
      </w:r>
      <w:r w:rsidR="00CB671B" w:rsidRPr="00337743">
        <w:rPr>
          <w:rFonts w:ascii="Cambria" w:hAnsi="Cambria" w:cs="Verdana"/>
          <w:sz w:val="20"/>
          <w:szCs w:val="20"/>
          <w:lang w:val="pt-BR"/>
        </w:rPr>
        <w:t xml:space="preserve"> de garantir</w:t>
      </w:r>
      <w:r w:rsidR="00506331" w:rsidRPr="00337743">
        <w:rPr>
          <w:rFonts w:ascii="Cambria" w:hAnsi="Cambria" w:cs="Verdana"/>
          <w:sz w:val="20"/>
          <w:szCs w:val="20"/>
          <w:lang w:val="pt-BR"/>
        </w:rPr>
        <w:t xml:space="preserve"> o </w:t>
      </w:r>
      <w:r w:rsidR="00CB671B" w:rsidRPr="00337743">
        <w:rPr>
          <w:rFonts w:ascii="Cambria" w:hAnsi="Cambria" w:cs="Verdana"/>
          <w:sz w:val="20"/>
          <w:szCs w:val="20"/>
          <w:lang w:val="pt-BR"/>
        </w:rPr>
        <w:t>pleno</w:t>
      </w:r>
      <w:r w:rsidR="00506331" w:rsidRPr="00337743">
        <w:rPr>
          <w:rFonts w:ascii="Cambria" w:hAnsi="Cambria" w:cs="Verdana"/>
          <w:sz w:val="20"/>
          <w:szCs w:val="20"/>
          <w:lang w:val="pt-BR"/>
        </w:rPr>
        <w:t xml:space="preserve"> e </w:t>
      </w:r>
      <w:r w:rsidR="00CB671B" w:rsidRPr="00337743">
        <w:rPr>
          <w:rFonts w:ascii="Cambria" w:hAnsi="Cambria" w:cs="Verdana"/>
          <w:sz w:val="20"/>
          <w:szCs w:val="20"/>
          <w:lang w:val="pt-BR"/>
        </w:rPr>
        <w:t>li</w:t>
      </w:r>
      <w:r w:rsidR="00396C08" w:rsidRPr="00337743">
        <w:rPr>
          <w:rFonts w:ascii="Cambria" w:hAnsi="Cambria" w:cs="Verdana"/>
          <w:sz w:val="20"/>
          <w:szCs w:val="20"/>
          <w:lang w:val="pt-BR"/>
        </w:rPr>
        <w:t>v</w:t>
      </w:r>
      <w:r w:rsidR="00CB671B" w:rsidRPr="00337743">
        <w:rPr>
          <w:rFonts w:ascii="Cambria" w:hAnsi="Cambria" w:cs="Verdana"/>
          <w:sz w:val="20"/>
          <w:szCs w:val="20"/>
          <w:lang w:val="pt-BR"/>
        </w:rPr>
        <w:t xml:space="preserve">re </w:t>
      </w:r>
      <w:r w:rsidR="00586515" w:rsidRPr="00337743">
        <w:rPr>
          <w:rFonts w:ascii="Cambria" w:hAnsi="Cambria"/>
          <w:sz w:val="20"/>
          <w:szCs w:val="20"/>
          <w:lang w:val="pt-BR"/>
        </w:rPr>
        <w:t>exercício</w:t>
      </w:r>
      <w:r w:rsidR="00E96C24" w:rsidRPr="00337743">
        <w:rPr>
          <w:rFonts w:ascii="Cambria" w:hAnsi="Cambria" w:cs="Verdana"/>
          <w:sz w:val="20"/>
          <w:szCs w:val="20"/>
          <w:lang w:val="pt-BR"/>
        </w:rPr>
        <w:t xml:space="preserve"> dos </w:t>
      </w:r>
      <w:r w:rsidR="00350E7E" w:rsidRPr="00337743">
        <w:rPr>
          <w:rFonts w:ascii="Cambria" w:hAnsi="Cambria" w:cs="Verdana"/>
          <w:sz w:val="20"/>
          <w:szCs w:val="20"/>
          <w:lang w:val="pt-BR"/>
        </w:rPr>
        <w:t>direito</w:t>
      </w:r>
      <w:r w:rsidR="00CB671B" w:rsidRPr="00337743">
        <w:rPr>
          <w:rFonts w:ascii="Cambria" w:hAnsi="Cambria" w:cs="Verdana"/>
          <w:sz w:val="20"/>
          <w:szCs w:val="20"/>
          <w:lang w:val="pt-BR"/>
        </w:rPr>
        <w:t>s de todas</w:t>
      </w:r>
      <w:r w:rsidR="007707E3" w:rsidRPr="00337743">
        <w:rPr>
          <w:rFonts w:ascii="Cambria" w:hAnsi="Cambria" w:cs="Verdana"/>
          <w:sz w:val="20"/>
          <w:szCs w:val="20"/>
          <w:lang w:val="pt-BR"/>
        </w:rPr>
        <w:t xml:space="preserve"> as </w:t>
      </w:r>
      <w:r w:rsidR="00586515" w:rsidRPr="00337743">
        <w:rPr>
          <w:rFonts w:ascii="Cambria" w:hAnsi="Cambria" w:cs="Verdana"/>
          <w:sz w:val="20"/>
          <w:szCs w:val="20"/>
          <w:lang w:val="pt-BR"/>
        </w:rPr>
        <w:t>pessoas</w:t>
      </w:r>
      <w:r w:rsidR="00CB671B" w:rsidRPr="00337743">
        <w:rPr>
          <w:rFonts w:ascii="Cambria" w:hAnsi="Cambria" w:cs="Verdana"/>
          <w:sz w:val="20"/>
          <w:szCs w:val="20"/>
          <w:lang w:val="pt-BR"/>
        </w:rPr>
        <w:t xml:space="preserve"> </w:t>
      </w:r>
      <w:r w:rsidRPr="00337743">
        <w:rPr>
          <w:rFonts w:ascii="Cambria" w:hAnsi="Cambria" w:cs="Verdana"/>
          <w:sz w:val="20"/>
          <w:szCs w:val="20"/>
          <w:lang w:val="pt-BR"/>
        </w:rPr>
        <w:t>sob</w:t>
      </w:r>
      <w:r w:rsidR="00CB671B" w:rsidRPr="00337743">
        <w:rPr>
          <w:rFonts w:ascii="Cambria" w:hAnsi="Cambria" w:cs="Verdana"/>
          <w:sz w:val="20"/>
          <w:szCs w:val="20"/>
          <w:lang w:val="pt-BR"/>
        </w:rPr>
        <w:t xml:space="preserve"> </w:t>
      </w:r>
      <w:r w:rsidR="00AE3002" w:rsidRPr="00337743">
        <w:rPr>
          <w:rFonts w:ascii="Cambria" w:hAnsi="Cambria" w:cs="Verdana"/>
          <w:sz w:val="20"/>
          <w:szCs w:val="20"/>
          <w:lang w:val="pt-BR"/>
        </w:rPr>
        <w:t>sua</w:t>
      </w:r>
      <w:r w:rsidR="00CB671B" w:rsidRPr="00337743">
        <w:rPr>
          <w:rFonts w:ascii="Cambria" w:hAnsi="Cambria" w:cs="Verdana"/>
          <w:sz w:val="20"/>
          <w:szCs w:val="20"/>
          <w:lang w:val="pt-BR"/>
        </w:rPr>
        <w:t xml:space="preserve"> jurisdi</w:t>
      </w:r>
      <w:r w:rsidR="007707E3" w:rsidRPr="00337743">
        <w:rPr>
          <w:rFonts w:ascii="Cambria" w:hAnsi="Cambria" w:cs="Verdana"/>
          <w:sz w:val="20"/>
          <w:szCs w:val="20"/>
          <w:lang w:val="pt-BR"/>
        </w:rPr>
        <w:t>ç</w:t>
      </w:r>
      <w:r w:rsidR="00350E7E" w:rsidRPr="00337743">
        <w:rPr>
          <w:rFonts w:ascii="Cambria" w:hAnsi="Cambria" w:cs="Verdana"/>
          <w:sz w:val="20"/>
          <w:szCs w:val="20"/>
          <w:lang w:val="pt-BR"/>
        </w:rPr>
        <w:t>ão</w:t>
      </w:r>
      <w:r w:rsidR="00CB671B" w:rsidRPr="00337743">
        <w:rPr>
          <w:rStyle w:val="FootnoteReference"/>
          <w:rFonts w:ascii="Cambria" w:hAnsi="Cambria"/>
          <w:sz w:val="20"/>
          <w:szCs w:val="20"/>
          <w:lang w:val="pt-BR"/>
        </w:rPr>
        <w:footnoteReference w:id="82"/>
      </w:r>
      <w:r w:rsidR="00A5056D" w:rsidRPr="00337743">
        <w:rPr>
          <w:rFonts w:ascii="Cambria" w:hAnsi="Cambria" w:cs="Verdana"/>
          <w:sz w:val="20"/>
          <w:szCs w:val="20"/>
          <w:lang w:val="pt-BR"/>
        </w:rPr>
        <w:t>.</w:t>
      </w:r>
    </w:p>
    <w:p w14:paraId="5AC5FE88" w14:textId="77777777" w:rsidR="00A5056D" w:rsidRPr="00337743" w:rsidRDefault="00A5056D" w:rsidP="00A5056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eastAsia="Times New Roman" w:hAnsi="Cambria" w:cs="Arial"/>
          <w:b/>
          <w:bCs/>
          <w:iCs/>
          <w:sz w:val="20"/>
          <w:szCs w:val="20"/>
          <w:bdr w:val="none" w:sz="0" w:space="0" w:color="auto"/>
          <w:lang w:val="pt-BR"/>
        </w:rPr>
      </w:pPr>
    </w:p>
    <w:p w14:paraId="78C29F83" w14:textId="77777777" w:rsidR="00EB3A48" w:rsidRPr="00337743" w:rsidRDefault="004C2ACB" w:rsidP="00B97B0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eastAsia="Times New Roman" w:hAnsi="Cambria" w:cs="Arial"/>
          <w:b/>
          <w:bCs/>
          <w:iCs/>
          <w:sz w:val="20"/>
          <w:szCs w:val="20"/>
          <w:bdr w:val="none" w:sz="0" w:space="0" w:color="auto"/>
          <w:lang w:val="pt-BR"/>
        </w:rPr>
      </w:pPr>
      <w:r w:rsidRPr="00337743">
        <w:rPr>
          <w:rFonts w:ascii="Cambria" w:hAnsi="Cambria"/>
          <w:sz w:val="20"/>
          <w:szCs w:val="20"/>
          <w:lang w:val="pt-BR"/>
        </w:rPr>
        <w:t>A</w:t>
      </w:r>
      <w:r w:rsidR="00265442" w:rsidRPr="00337743">
        <w:rPr>
          <w:rFonts w:ascii="Cambria" w:hAnsi="Cambria" w:cs="Arial"/>
          <w:sz w:val="20"/>
          <w:szCs w:val="20"/>
          <w:lang w:val="pt-BR"/>
        </w:rPr>
        <w:t xml:space="preserve"> Conven</w:t>
      </w:r>
      <w:r w:rsidR="00350E7E" w:rsidRPr="00337743">
        <w:rPr>
          <w:rFonts w:ascii="Cambria" w:hAnsi="Cambria" w:cs="Arial"/>
          <w:sz w:val="20"/>
          <w:szCs w:val="20"/>
          <w:lang w:val="pt-BR"/>
        </w:rPr>
        <w:t>ção</w:t>
      </w:r>
      <w:r w:rsidR="00265442" w:rsidRPr="00337743">
        <w:rPr>
          <w:rFonts w:ascii="Cambria" w:hAnsi="Cambria" w:cs="Arial"/>
          <w:sz w:val="20"/>
          <w:szCs w:val="20"/>
          <w:lang w:val="pt-BR"/>
        </w:rPr>
        <w:t xml:space="preserve"> </w:t>
      </w:r>
      <w:r w:rsidRPr="00337743">
        <w:rPr>
          <w:rFonts w:ascii="Cambria" w:hAnsi="Cambria" w:cs="Arial"/>
          <w:sz w:val="20"/>
          <w:szCs w:val="20"/>
          <w:lang w:val="pt-BR"/>
        </w:rPr>
        <w:t xml:space="preserve">de </w:t>
      </w:r>
      <w:r w:rsidR="00265442" w:rsidRPr="00337743">
        <w:rPr>
          <w:rFonts w:ascii="Cambria" w:hAnsi="Cambria" w:cs="Arial"/>
          <w:sz w:val="20"/>
          <w:szCs w:val="20"/>
          <w:lang w:val="pt-BR"/>
        </w:rPr>
        <w:t>Belém do Pará define</w:t>
      </w:r>
      <w:r w:rsidR="00506331" w:rsidRPr="00337743">
        <w:rPr>
          <w:rFonts w:ascii="Cambria" w:hAnsi="Cambria" w:cs="Arial"/>
          <w:sz w:val="20"/>
          <w:szCs w:val="20"/>
          <w:lang w:val="pt-BR"/>
        </w:rPr>
        <w:t xml:space="preserve"> a </w:t>
      </w:r>
      <w:r w:rsidR="00586515" w:rsidRPr="00337743">
        <w:rPr>
          <w:rFonts w:ascii="Cambria" w:hAnsi="Cambria" w:cs="Arial"/>
          <w:sz w:val="20"/>
          <w:szCs w:val="20"/>
          <w:lang w:val="pt-BR"/>
        </w:rPr>
        <w:t>violência</w:t>
      </w:r>
      <w:r w:rsidR="00265442" w:rsidRPr="00337743">
        <w:rPr>
          <w:rFonts w:ascii="Cambria" w:hAnsi="Cambria" w:cs="Arial"/>
          <w:sz w:val="20"/>
          <w:szCs w:val="20"/>
          <w:lang w:val="pt-BR"/>
        </w:rPr>
        <w:t xml:space="preserve"> contra</w:t>
      </w:r>
      <w:r w:rsidR="00506331" w:rsidRPr="00337743">
        <w:rPr>
          <w:rFonts w:ascii="Cambria" w:hAnsi="Cambria" w:cs="Arial"/>
          <w:sz w:val="20"/>
          <w:szCs w:val="20"/>
          <w:lang w:val="pt-BR"/>
        </w:rPr>
        <w:t xml:space="preserve"> a </w:t>
      </w:r>
      <w:r w:rsidR="00DB5118" w:rsidRPr="00337743">
        <w:rPr>
          <w:rFonts w:ascii="Cambria" w:hAnsi="Cambria" w:cs="Arial"/>
          <w:sz w:val="20"/>
          <w:szCs w:val="20"/>
          <w:lang w:val="pt-BR"/>
        </w:rPr>
        <w:t>mulher</w:t>
      </w:r>
      <w:r w:rsidR="00265442" w:rsidRPr="00337743">
        <w:rPr>
          <w:rFonts w:ascii="Cambria" w:hAnsi="Cambria" w:cs="Arial"/>
          <w:sz w:val="20"/>
          <w:szCs w:val="20"/>
          <w:lang w:val="pt-BR"/>
        </w:rPr>
        <w:t xml:space="preserve"> como “</w:t>
      </w:r>
      <w:r w:rsidR="00586515" w:rsidRPr="00337743">
        <w:rPr>
          <w:rFonts w:ascii="Cambria" w:hAnsi="Cambria" w:cs="Arial"/>
          <w:sz w:val="20"/>
          <w:szCs w:val="20"/>
          <w:lang w:val="pt-BR"/>
        </w:rPr>
        <w:t>qualquer</w:t>
      </w:r>
      <w:r w:rsidR="00265442" w:rsidRPr="00337743">
        <w:rPr>
          <w:rFonts w:ascii="Cambria" w:hAnsi="Cambria" w:cs="Arial"/>
          <w:sz w:val="20"/>
          <w:szCs w:val="20"/>
          <w:lang w:val="pt-BR"/>
        </w:rPr>
        <w:t xml:space="preserve"> a</w:t>
      </w:r>
      <w:r w:rsidR="007707E3" w:rsidRPr="00337743">
        <w:rPr>
          <w:rFonts w:ascii="Cambria" w:hAnsi="Cambria" w:cs="Arial"/>
          <w:sz w:val="20"/>
          <w:szCs w:val="20"/>
          <w:lang w:val="pt-BR"/>
        </w:rPr>
        <w:t>ç</w:t>
      </w:r>
      <w:r w:rsidR="00350E7E" w:rsidRPr="00337743">
        <w:rPr>
          <w:rFonts w:ascii="Cambria" w:hAnsi="Cambria" w:cs="Arial"/>
          <w:sz w:val="20"/>
          <w:szCs w:val="20"/>
          <w:lang w:val="pt-BR"/>
        </w:rPr>
        <w:t>ão</w:t>
      </w:r>
      <w:r w:rsidR="00265442" w:rsidRPr="00337743">
        <w:rPr>
          <w:rFonts w:ascii="Cambria" w:hAnsi="Cambria" w:cs="Arial"/>
          <w:sz w:val="20"/>
          <w:szCs w:val="20"/>
          <w:lang w:val="pt-BR"/>
        </w:rPr>
        <w:t xml:space="preserve"> o</w:t>
      </w:r>
      <w:r w:rsidRPr="00337743">
        <w:rPr>
          <w:rFonts w:ascii="Cambria" w:hAnsi="Cambria" w:cs="Arial"/>
          <w:sz w:val="20"/>
          <w:szCs w:val="20"/>
          <w:lang w:val="pt-BR"/>
        </w:rPr>
        <w:t>u</w:t>
      </w:r>
      <w:r w:rsidR="00265442" w:rsidRPr="00337743">
        <w:rPr>
          <w:rFonts w:ascii="Cambria" w:hAnsi="Cambria" w:cs="Arial"/>
          <w:sz w:val="20"/>
          <w:szCs w:val="20"/>
          <w:lang w:val="pt-BR"/>
        </w:rPr>
        <w:t xml:space="preserve"> </w:t>
      </w:r>
      <w:r w:rsidR="00AE3002" w:rsidRPr="00337743">
        <w:rPr>
          <w:rFonts w:ascii="Cambria" w:hAnsi="Cambria" w:cs="Arial"/>
          <w:sz w:val="20"/>
          <w:szCs w:val="20"/>
          <w:lang w:val="pt-BR"/>
        </w:rPr>
        <w:t>conduta</w:t>
      </w:r>
      <w:r w:rsidR="00265442" w:rsidRPr="00337743">
        <w:rPr>
          <w:rFonts w:ascii="Cambria" w:hAnsi="Cambria" w:cs="Arial"/>
          <w:sz w:val="20"/>
          <w:szCs w:val="20"/>
          <w:lang w:val="pt-BR"/>
        </w:rPr>
        <w:t>, bas</w:t>
      </w:r>
      <w:r w:rsidRPr="00337743">
        <w:rPr>
          <w:rFonts w:ascii="Cambria" w:hAnsi="Cambria" w:cs="Arial"/>
          <w:sz w:val="20"/>
          <w:szCs w:val="20"/>
          <w:lang w:val="pt-BR"/>
        </w:rPr>
        <w:t>e</w:t>
      </w:r>
      <w:r w:rsidR="00265442" w:rsidRPr="00337743">
        <w:rPr>
          <w:rFonts w:ascii="Cambria" w:hAnsi="Cambria" w:cs="Arial"/>
          <w:sz w:val="20"/>
          <w:szCs w:val="20"/>
          <w:lang w:val="pt-BR"/>
        </w:rPr>
        <w:t>ada</w:t>
      </w:r>
      <w:r w:rsidR="00091880" w:rsidRPr="00337743">
        <w:rPr>
          <w:rFonts w:ascii="Cambria" w:hAnsi="Cambria" w:cs="Arial"/>
          <w:sz w:val="20"/>
          <w:szCs w:val="20"/>
          <w:lang w:val="pt-BR"/>
        </w:rPr>
        <w:t xml:space="preserve"> em </w:t>
      </w:r>
      <w:r w:rsidR="00586515" w:rsidRPr="00337743">
        <w:rPr>
          <w:rFonts w:ascii="Cambria" w:hAnsi="Cambria" w:cs="Arial"/>
          <w:sz w:val="20"/>
          <w:szCs w:val="20"/>
          <w:lang w:val="pt-BR"/>
        </w:rPr>
        <w:t>seu</w:t>
      </w:r>
      <w:r w:rsidR="00265442" w:rsidRPr="00337743">
        <w:rPr>
          <w:rFonts w:ascii="Cambria" w:hAnsi="Cambria" w:cs="Arial"/>
          <w:sz w:val="20"/>
          <w:szCs w:val="20"/>
          <w:lang w:val="pt-BR"/>
        </w:rPr>
        <w:t xml:space="preserve"> g</w:t>
      </w:r>
      <w:r w:rsidR="00396C08" w:rsidRPr="00337743">
        <w:rPr>
          <w:rFonts w:ascii="Cambria" w:hAnsi="Cambria" w:cs="Arial"/>
          <w:sz w:val="20"/>
          <w:szCs w:val="20"/>
          <w:lang w:val="pt-BR"/>
        </w:rPr>
        <w:t>ê</w:t>
      </w:r>
      <w:r w:rsidR="00265442" w:rsidRPr="00337743">
        <w:rPr>
          <w:rFonts w:ascii="Cambria" w:hAnsi="Cambria" w:cs="Arial"/>
          <w:sz w:val="20"/>
          <w:szCs w:val="20"/>
          <w:lang w:val="pt-BR"/>
        </w:rPr>
        <w:t xml:space="preserve">nero, que cause </w:t>
      </w:r>
      <w:r w:rsidR="009D71DA" w:rsidRPr="00337743">
        <w:rPr>
          <w:rFonts w:ascii="Cambria" w:hAnsi="Cambria" w:cs="Arial"/>
          <w:sz w:val="20"/>
          <w:szCs w:val="20"/>
          <w:lang w:val="pt-BR"/>
        </w:rPr>
        <w:t>mort</w:t>
      </w:r>
      <w:r w:rsidR="00265442" w:rsidRPr="00337743">
        <w:rPr>
          <w:rFonts w:ascii="Cambria" w:hAnsi="Cambria" w:cs="Arial"/>
          <w:sz w:val="20"/>
          <w:szCs w:val="20"/>
          <w:lang w:val="pt-BR"/>
        </w:rPr>
        <w:t>e, d</w:t>
      </w:r>
      <w:r w:rsidR="00362A4F" w:rsidRPr="00337743">
        <w:rPr>
          <w:rFonts w:ascii="Cambria" w:hAnsi="Cambria" w:cs="Arial"/>
          <w:sz w:val="20"/>
          <w:szCs w:val="20"/>
          <w:lang w:val="pt-BR"/>
        </w:rPr>
        <w:t>ano</w:t>
      </w:r>
      <w:r w:rsidR="00265442" w:rsidRPr="00337743">
        <w:rPr>
          <w:rFonts w:ascii="Cambria" w:hAnsi="Cambria" w:cs="Arial"/>
          <w:sz w:val="20"/>
          <w:szCs w:val="20"/>
          <w:lang w:val="pt-BR"/>
        </w:rPr>
        <w:t xml:space="preserve"> o</w:t>
      </w:r>
      <w:r w:rsidRPr="00337743">
        <w:rPr>
          <w:rFonts w:ascii="Cambria" w:hAnsi="Cambria" w:cs="Arial"/>
          <w:sz w:val="20"/>
          <w:szCs w:val="20"/>
          <w:lang w:val="pt-BR"/>
        </w:rPr>
        <w:t>u</w:t>
      </w:r>
      <w:r w:rsidR="00265442" w:rsidRPr="00337743">
        <w:rPr>
          <w:rFonts w:ascii="Cambria" w:hAnsi="Cambria" w:cs="Arial"/>
          <w:sz w:val="20"/>
          <w:szCs w:val="20"/>
          <w:lang w:val="pt-BR"/>
        </w:rPr>
        <w:t xml:space="preserve"> </w:t>
      </w:r>
      <w:r w:rsidR="00586515" w:rsidRPr="00337743">
        <w:rPr>
          <w:rFonts w:ascii="Cambria" w:hAnsi="Cambria" w:cs="Arial"/>
          <w:sz w:val="20"/>
          <w:szCs w:val="20"/>
          <w:lang w:val="pt-BR"/>
        </w:rPr>
        <w:t>sofrimento</w:t>
      </w:r>
      <w:r w:rsidR="00265442" w:rsidRPr="00337743">
        <w:rPr>
          <w:rFonts w:ascii="Cambria" w:hAnsi="Cambria" w:cs="Arial"/>
          <w:sz w:val="20"/>
          <w:szCs w:val="20"/>
          <w:lang w:val="pt-BR"/>
        </w:rPr>
        <w:t xml:space="preserve"> físico, sexual o</w:t>
      </w:r>
      <w:r w:rsidR="00396C08" w:rsidRPr="00337743">
        <w:rPr>
          <w:rFonts w:ascii="Cambria" w:hAnsi="Cambria" w:cs="Arial"/>
          <w:sz w:val="20"/>
          <w:szCs w:val="20"/>
          <w:lang w:val="pt-BR"/>
        </w:rPr>
        <w:t>u</w:t>
      </w:r>
      <w:r w:rsidR="00265442" w:rsidRPr="00337743">
        <w:rPr>
          <w:rFonts w:ascii="Cambria" w:hAnsi="Cambria" w:cs="Arial"/>
          <w:sz w:val="20"/>
          <w:szCs w:val="20"/>
          <w:lang w:val="pt-BR"/>
        </w:rPr>
        <w:t xml:space="preserve"> psicológico</w:t>
      </w:r>
      <w:r w:rsidR="00F453EB" w:rsidRPr="00337743">
        <w:rPr>
          <w:rFonts w:ascii="Cambria" w:hAnsi="Cambria" w:cs="Arial"/>
          <w:sz w:val="20"/>
          <w:szCs w:val="20"/>
          <w:lang w:val="pt-BR"/>
        </w:rPr>
        <w:t xml:space="preserve"> à </w:t>
      </w:r>
      <w:r w:rsidR="00DB5118" w:rsidRPr="00337743">
        <w:rPr>
          <w:rFonts w:ascii="Cambria" w:hAnsi="Cambria" w:cs="Arial"/>
          <w:sz w:val="20"/>
          <w:szCs w:val="20"/>
          <w:lang w:val="pt-BR"/>
        </w:rPr>
        <w:t>mulher</w:t>
      </w:r>
      <w:r w:rsidR="00265442" w:rsidRPr="00337743">
        <w:rPr>
          <w:rFonts w:ascii="Cambria" w:hAnsi="Cambria" w:cs="Arial"/>
          <w:sz w:val="20"/>
          <w:szCs w:val="20"/>
          <w:lang w:val="pt-BR"/>
        </w:rPr>
        <w:t>, tanto</w:t>
      </w:r>
      <w:r w:rsidR="00091880" w:rsidRPr="00337743">
        <w:rPr>
          <w:rFonts w:ascii="Cambria" w:hAnsi="Cambria" w:cs="Arial"/>
          <w:sz w:val="20"/>
          <w:szCs w:val="20"/>
          <w:lang w:val="pt-BR"/>
        </w:rPr>
        <w:t xml:space="preserve"> no </w:t>
      </w:r>
      <w:r w:rsidR="00586515" w:rsidRPr="00337743">
        <w:rPr>
          <w:rFonts w:ascii="Cambria" w:hAnsi="Cambria" w:cs="Arial"/>
          <w:sz w:val="20"/>
          <w:szCs w:val="20"/>
          <w:lang w:val="pt-BR"/>
        </w:rPr>
        <w:t>âmbito</w:t>
      </w:r>
      <w:r w:rsidR="00265442" w:rsidRPr="00337743">
        <w:rPr>
          <w:rFonts w:ascii="Cambria" w:hAnsi="Cambria" w:cs="Arial"/>
          <w:sz w:val="20"/>
          <w:szCs w:val="20"/>
          <w:lang w:val="pt-BR"/>
        </w:rPr>
        <w:t xml:space="preserve"> público como</w:t>
      </w:r>
      <w:r w:rsidR="00091880" w:rsidRPr="00337743">
        <w:rPr>
          <w:rFonts w:ascii="Cambria" w:hAnsi="Cambria" w:cs="Arial"/>
          <w:sz w:val="20"/>
          <w:szCs w:val="20"/>
          <w:lang w:val="pt-BR"/>
        </w:rPr>
        <w:t xml:space="preserve"> no </w:t>
      </w:r>
      <w:r w:rsidR="00265442" w:rsidRPr="00337743">
        <w:rPr>
          <w:rFonts w:ascii="Cambria" w:hAnsi="Cambria" w:cs="Arial"/>
          <w:sz w:val="20"/>
          <w:szCs w:val="20"/>
          <w:lang w:val="pt-BR"/>
        </w:rPr>
        <w:t>privado”</w:t>
      </w:r>
      <w:r w:rsidR="00265442" w:rsidRPr="00337743">
        <w:rPr>
          <w:rStyle w:val="FootnoteReference"/>
          <w:rFonts w:ascii="Cambria" w:hAnsi="Cambria" w:cs="Arial"/>
          <w:sz w:val="20"/>
          <w:szCs w:val="20"/>
          <w:lang w:val="pt-BR"/>
        </w:rPr>
        <w:footnoteReference w:id="83"/>
      </w:r>
      <w:r w:rsidR="00265442" w:rsidRPr="00337743">
        <w:rPr>
          <w:rFonts w:ascii="Cambria" w:hAnsi="Cambria" w:cs="Arial"/>
          <w:sz w:val="20"/>
          <w:szCs w:val="20"/>
          <w:lang w:val="pt-BR"/>
        </w:rPr>
        <w:t>.</w:t>
      </w:r>
      <w:r w:rsidR="00506331" w:rsidRPr="00337743">
        <w:rPr>
          <w:rFonts w:ascii="Cambria" w:eastAsia="Times New Roman" w:hAnsi="Cambria" w:cs="Arial"/>
          <w:b/>
          <w:bCs/>
          <w:iCs/>
          <w:sz w:val="20"/>
          <w:szCs w:val="20"/>
          <w:bdr w:val="none" w:sz="0" w:space="0" w:color="auto"/>
          <w:lang w:val="pt-BR"/>
        </w:rPr>
        <w:t xml:space="preserve"> </w:t>
      </w:r>
      <w:r w:rsidRPr="00337743">
        <w:rPr>
          <w:rFonts w:ascii="Cambria" w:eastAsia="Times New Roman" w:hAnsi="Cambria" w:cs="Arial"/>
          <w:bCs/>
          <w:iCs/>
          <w:sz w:val="20"/>
          <w:szCs w:val="20"/>
          <w:bdr w:val="none" w:sz="0" w:space="0" w:color="auto"/>
          <w:lang w:val="pt-BR"/>
        </w:rPr>
        <w:t>A</w:t>
      </w:r>
      <w:r w:rsidRPr="00337743">
        <w:rPr>
          <w:rFonts w:ascii="Cambria" w:eastAsia="Times New Roman" w:hAnsi="Cambria" w:cs="Arial"/>
          <w:b/>
          <w:bCs/>
          <w:iCs/>
          <w:sz w:val="20"/>
          <w:szCs w:val="20"/>
          <w:bdr w:val="none" w:sz="0" w:space="0" w:color="auto"/>
          <w:lang w:val="pt-BR"/>
        </w:rPr>
        <w:t xml:space="preserve"> </w:t>
      </w:r>
      <w:r w:rsidR="00277D7B" w:rsidRPr="00337743">
        <w:rPr>
          <w:rFonts w:ascii="Cambria" w:eastAsia="Times New Roman" w:hAnsi="Cambria" w:cs="Arial"/>
          <w:bCs/>
          <w:iCs/>
          <w:sz w:val="20"/>
          <w:szCs w:val="20"/>
          <w:bdr w:val="none" w:sz="0" w:space="0" w:color="auto"/>
          <w:lang w:val="pt-BR"/>
        </w:rPr>
        <w:t xml:space="preserve">Corte </w:t>
      </w:r>
      <w:r w:rsidR="00265442" w:rsidRPr="00337743">
        <w:rPr>
          <w:rFonts w:ascii="Cambria" w:hAnsi="Cambria" w:cs="Arial"/>
          <w:sz w:val="20"/>
          <w:szCs w:val="20"/>
          <w:lang w:val="pt-BR"/>
        </w:rPr>
        <w:t>estab</w:t>
      </w:r>
      <w:r w:rsidRPr="00337743">
        <w:rPr>
          <w:rFonts w:ascii="Cambria" w:hAnsi="Cambria" w:cs="Arial"/>
          <w:sz w:val="20"/>
          <w:szCs w:val="20"/>
          <w:lang w:val="pt-BR"/>
        </w:rPr>
        <w:t>e</w:t>
      </w:r>
      <w:r w:rsidR="00265442" w:rsidRPr="00337743">
        <w:rPr>
          <w:rFonts w:ascii="Cambria" w:hAnsi="Cambria" w:cs="Arial"/>
          <w:sz w:val="20"/>
          <w:szCs w:val="20"/>
          <w:lang w:val="pt-BR"/>
        </w:rPr>
        <w:t>lec</w:t>
      </w:r>
      <w:r w:rsidRPr="00337743">
        <w:rPr>
          <w:rFonts w:ascii="Cambria" w:hAnsi="Cambria" w:cs="Arial"/>
          <w:sz w:val="20"/>
          <w:szCs w:val="20"/>
          <w:lang w:val="pt-BR"/>
        </w:rPr>
        <w:t>eu</w:t>
      </w:r>
      <w:r w:rsidR="00396C08" w:rsidRPr="00337743">
        <w:rPr>
          <w:rFonts w:ascii="Cambria" w:hAnsi="Cambria" w:cs="Arial"/>
          <w:sz w:val="20"/>
          <w:szCs w:val="20"/>
          <w:lang w:val="pt-BR"/>
        </w:rPr>
        <w:t>:</w:t>
      </w:r>
      <w:r w:rsidR="00265442" w:rsidRPr="00337743">
        <w:rPr>
          <w:rFonts w:ascii="Cambria" w:hAnsi="Cambria" w:cs="Arial"/>
          <w:sz w:val="20"/>
          <w:szCs w:val="20"/>
          <w:lang w:val="pt-BR"/>
        </w:rPr>
        <w:t xml:space="preserve"> </w:t>
      </w:r>
      <w:r w:rsidR="00265442" w:rsidRPr="00337743">
        <w:rPr>
          <w:rFonts w:ascii="Cambria" w:hAnsi="Cambria"/>
          <w:sz w:val="20"/>
          <w:szCs w:val="20"/>
          <w:lang w:val="pt-BR"/>
        </w:rPr>
        <w:t>“</w:t>
      </w:r>
      <w:r w:rsidR="00091880" w:rsidRPr="00337743">
        <w:rPr>
          <w:rFonts w:ascii="Cambria" w:hAnsi="Cambria"/>
          <w:sz w:val="20"/>
          <w:szCs w:val="20"/>
          <w:lang w:val="pt-BR"/>
        </w:rPr>
        <w:t>n</w:t>
      </w:r>
      <w:r w:rsidRPr="00337743">
        <w:rPr>
          <w:rFonts w:ascii="Cambria" w:hAnsi="Cambria"/>
          <w:sz w:val="20"/>
          <w:szCs w:val="20"/>
          <w:lang w:val="pt-BR"/>
        </w:rPr>
        <w:t>em</w:t>
      </w:r>
      <w:r w:rsidR="00091880" w:rsidRPr="00337743">
        <w:rPr>
          <w:rFonts w:ascii="Cambria" w:hAnsi="Cambria"/>
          <w:sz w:val="20"/>
          <w:szCs w:val="20"/>
          <w:lang w:val="pt-BR"/>
        </w:rPr>
        <w:t xml:space="preserve"> </w:t>
      </w:r>
      <w:r w:rsidR="00265442" w:rsidRPr="00337743">
        <w:rPr>
          <w:rFonts w:ascii="Cambria" w:hAnsi="Cambria"/>
          <w:sz w:val="20"/>
          <w:szCs w:val="20"/>
          <w:lang w:val="pt-BR"/>
        </w:rPr>
        <w:t>toda viola</w:t>
      </w:r>
      <w:r w:rsidR="00350E7E" w:rsidRPr="00337743">
        <w:rPr>
          <w:rFonts w:ascii="Cambria" w:hAnsi="Cambria"/>
          <w:sz w:val="20"/>
          <w:szCs w:val="20"/>
          <w:lang w:val="pt-BR"/>
        </w:rPr>
        <w:t>ção</w:t>
      </w:r>
      <w:r w:rsidR="00265442" w:rsidRPr="00337743">
        <w:rPr>
          <w:rFonts w:ascii="Cambria" w:hAnsi="Cambria"/>
          <w:sz w:val="20"/>
          <w:szCs w:val="20"/>
          <w:lang w:val="pt-BR"/>
        </w:rPr>
        <w:t xml:space="preserve"> de</w:t>
      </w:r>
      <w:r w:rsidR="00091880" w:rsidRPr="00337743">
        <w:rPr>
          <w:rFonts w:ascii="Cambria" w:hAnsi="Cambria"/>
          <w:sz w:val="20"/>
          <w:szCs w:val="20"/>
          <w:lang w:val="pt-BR"/>
        </w:rPr>
        <w:t xml:space="preserve"> um </w:t>
      </w:r>
      <w:r w:rsidR="00350E7E" w:rsidRPr="00337743">
        <w:rPr>
          <w:rFonts w:ascii="Cambria" w:hAnsi="Cambria"/>
          <w:sz w:val="20"/>
          <w:szCs w:val="20"/>
          <w:lang w:val="pt-BR"/>
        </w:rPr>
        <w:t>direito</w:t>
      </w:r>
      <w:r w:rsidR="00265442" w:rsidRPr="00337743">
        <w:rPr>
          <w:rFonts w:ascii="Cambria" w:hAnsi="Cambria"/>
          <w:sz w:val="20"/>
          <w:szCs w:val="20"/>
          <w:lang w:val="pt-BR"/>
        </w:rPr>
        <w:t xml:space="preserve"> humano cometida</w:t>
      </w:r>
      <w:r w:rsidR="00091880" w:rsidRPr="00337743">
        <w:rPr>
          <w:rFonts w:ascii="Cambria" w:hAnsi="Cambria"/>
          <w:sz w:val="20"/>
          <w:szCs w:val="20"/>
          <w:lang w:val="pt-BR"/>
        </w:rPr>
        <w:t xml:space="preserve"> em </w:t>
      </w:r>
      <w:r w:rsidR="00265442" w:rsidRPr="00337743">
        <w:rPr>
          <w:rFonts w:ascii="Cambria" w:hAnsi="Cambria"/>
          <w:sz w:val="20"/>
          <w:szCs w:val="20"/>
          <w:lang w:val="pt-BR"/>
        </w:rPr>
        <w:t>p</w:t>
      </w:r>
      <w:r w:rsidR="00D53C46" w:rsidRPr="00337743">
        <w:rPr>
          <w:rFonts w:ascii="Cambria" w:hAnsi="Cambria"/>
          <w:sz w:val="20"/>
          <w:szCs w:val="20"/>
          <w:lang w:val="pt-BR"/>
        </w:rPr>
        <w:t>rejuíz</w:t>
      </w:r>
      <w:r w:rsidR="00265442" w:rsidRPr="00337743">
        <w:rPr>
          <w:rFonts w:ascii="Cambria" w:hAnsi="Cambria"/>
          <w:sz w:val="20"/>
          <w:szCs w:val="20"/>
          <w:lang w:val="pt-BR"/>
        </w:rPr>
        <w:t>o de</w:t>
      </w:r>
      <w:r w:rsidR="00091880" w:rsidRPr="00337743">
        <w:rPr>
          <w:rFonts w:ascii="Cambria" w:hAnsi="Cambria"/>
          <w:sz w:val="20"/>
          <w:szCs w:val="20"/>
          <w:lang w:val="pt-BR"/>
        </w:rPr>
        <w:t xml:space="preserve"> uma </w:t>
      </w:r>
      <w:r w:rsidR="00DB5118" w:rsidRPr="00337743">
        <w:rPr>
          <w:rFonts w:ascii="Cambria" w:hAnsi="Cambria"/>
          <w:sz w:val="20"/>
          <w:szCs w:val="20"/>
          <w:lang w:val="pt-BR"/>
        </w:rPr>
        <w:t>mulher</w:t>
      </w:r>
      <w:r w:rsidR="00265442" w:rsidRPr="00337743">
        <w:rPr>
          <w:rFonts w:ascii="Cambria" w:hAnsi="Cambria"/>
          <w:sz w:val="20"/>
          <w:szCs w:val="20"/>
          <w:lang w:val="pt-BR"/>
        </w:rPr>
        <w:t xml:space="preserve"> </w:t>
      </w:r>
      <w:r w:rsidRPr="00337743">
        <w:rPr>
          <w:rFonts w:ascii="Cambria" w:hAnsi="Cambria"/>
          <w:sz w:val="20"/>
          <w:szCs w:val="20"/>
          <w:lang w:val="pt-BR"/>
        </w:rPr>
        <w:t>implic</w:t>
      </w:r>
      <w:r w:rsidR="00265442" w:rsidRPr="00337743">
        <w:rPr>
          <w:rFonts w:ascii="Cambria" w:hAnsi="Cambria"/>
          <w:sz w:val="20"/>
          <w:szCs w:val="20"/>
          <w:lang w:val="pt-BR"/>
        </w:rPr>
        <w:t xml:space="preserve">a </w:t>
      </w:r>
      <w:r w:rsidR="00D53C46" w:rsidRPr="00337743">
        <w:rPr>
          <w:rFonts w:ascii="Cambria" w:hAnsi="Cambria"/>
          <w:sz w:val="20"/>
          <w:szCs w:val="20"/>
          <w:lang w:val="pt-BR"/>
        </w:rPr>
        <w:t>necessariamente</w:t>
      </w:r>
      <w:r w:rsidR="00091880" w:rsidRPr="00337743">
        <w:rPr>
          <w:rFonts w:ascii="Cambria" w:hAnsi="Cambria"/>
          <w:sz w:val="20"/>
          <w:szCs w:val="20"/>
          <w:lang w:val="pt-BR"/>
        </w:rPr>
        <w:t xml:space="preserve"> uma </w:t>
      </w:r>
      <w:r w:rsidR="00265442" w:rsidRPr="00337743">
        <w:rPr>
          <w:rFonts w:ascii="Cambria" w:hAnsi="Cambria"/>
          <w:sz w:val="20"/>
          <w:szCs w:val="20"/>
          <w:lang w:val="pt-BR"/>
        </w:rPr>
        <w:t>viola</w:t>
      </w:r>
      <w:r w:rsidR="00350E7E" w:rsidRPr="00337743">
        <w:rPr>
          <w:rFonts w:ascii="Cambria" w:hAnsi="Cambria"/>
          <w:sz w:val="20"/>
          <w:szCs w:val="20"/>
          <w:lang w:val="pt-BR"/>
        </w:rPr>
        <w:t>ção</w:t>
      </w:r>
      <w:r w:rsidR="00DB5118" w:rsidRPr="00337743">
        <w:rPr>
          <w:rFonts w:ascii="Cambria" w:hAnsi="Cambria"/>
          <w:sz w:val="20"/>
          <w:szCs w:val="20"/>
          <w:lang w:val="pt-BR"/>
        </w:rPr>
        <w:t xml:space="preserve"> das </w:t>
      </w:r>
      <w:r w:rsidR="00265442" w:rsidRPr="00337743">
        <w:rPr>
          <w:rFonts w:ascii="Cambria" w:hAnsi="Cambria"/>
          <w:sz w:val="20"/>
          <w:szCs w:val="20"/>
          <w:lang w:val="pt-BR"/>
        </w:rPr>
        <w:t>disposi</w:t>
      </w:r>
      <w:r w:rsidR="00350E7E" w:rsidRPr="00337743">
        <w:rPr>
          <w:rFonts w:ascii="Cambria" w:hAnsi="Cambria"/>
          <w:sz w:val="20"/>
          <w:szCs w:val="20"/>
          <w:lang w:val="pt-BR"/>
        </w:rPr>
        <w:t>ções</w:t>
      </w:r>
      <w:r w:rsidR="007707E3" w:rsidRPr="00337743">
        <w:rPr>
          <w:rFonts w:ascii="Cambria" w:hAnsi="Cambria"/>
          <w:sz w:val="20"/>
          <w:szCs w:val="20"/>
          <w:lang w:val="pt-BR"/>
        </w:rPr>
        <w:t xml:space="preserve"> da </w:t>
      </w:r>
      <w:r w:rsidR="00265442" w:rsidRPr="00337743">
        <w:rPr>
          <w:rFonts w:ascii="Cambria" w:hAnsi="Cambria"/>
          <w:sz w:val="20"/>
          <w:szCs w:val="20"/>
          <w:lang w:val="pt-BR"/>
        </w:rPr>
        <w:t>Conven</w:t>
      </w:r>
      <w:r w:rsidR="00350E7E" w:rsidRPr="00337743">
        <w:rPr>
          <w:rFonts w:ascii="Cambria" w:hAnsi="Cambria"/>
          <w:sz w:val="20"/>
          <w:szCs w:val="20"/>
          <w:lang w:val="pt-BR"/>
        </w:rPr>
        <w:t>ção</w:t>
      </w:r>
      <w:r w:rsidR="00265442" w:rsidRPr="00337743">
        <w:rPr>
          <w:rFonts w:ascii="Cambria" w:hAnsi="Cambria"/>
          <w:sz w:val="20"/>
          <w:szCs w:val="20"/>
          <w:lang w:val="pt-BR"/>
        </w:rPr>
        <w:t xml:space="preserve"> de Belém do Pará”</w:t>
      </w:r>
      <w:r w:rsidR="00265442" w:rsidRPr="00337743">
        <w:rPr>
          <w:rStyle w:val="FootnoteReference"/>
          <w:rFonts w:ascii="Cambria" w:hAnsi="Cambria"/>
          <w:sz w:val="20"/>
          <w:szCs w:val="20"/>
          <w:lang w:val="pt-BR"/>
        </w:rPr>
        <w:footnoteReference w:id="84"/>
      </w:r>
      <w:r w:rsidR="00265442" w:rsidRPr="00337743">
        <w:rPr>
          <w:rFonts w:ascii="Cambria" w:hAnsi="Cambria"/>
          <w:sz w:val="20"/>
          <w:szCs w:val="20"/>
          <w:lang w:val="pt-BR"/>
        </w:rPr>
        <w:t>.</w:t>
      </w:r>
    </w:p>
    <w:p w14:paraId="5D6E6B4F" w14:textId="77777777" w:rsidR="00EB3A48" w:rsidRPr="00337743" w:rsidRDefault="00EB3A48" w:rsidP="00EB3A48">
      <w:pPr>
        <w:pStyle w:val="ListParagraph"/>
        <w:rPr>
          <w:rFonts w:ascii="Cambria" w:hAnsi="Cambria"/>
          <w:sz w:val="20"/>
          <w:szCs w:val="20"/>
          <w:lang w:val="pt-BR"/>
        </w:rPr>
      </w:pPr>
    </w:p>
    <w:p w14:paraId="7017A650" w14:textId="77777777" w:rsidR="00CB671B" w:rsidRPr="00337743" w:rsidRDefault="00622579" w:rsidP="00B97B0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eastAsia="Times New Roman" w:hAnsi="Cambria" w:cs="Arial"/>
          <w:b/>
          <w:bCs/>
          <w:iCs/>
          <w:sz w:val="20"/>
          <w:szCs w:val="20"/>
          <w:bdr w:val="none" w:sz="0" w:space="0" w:color="auto"/>
          <w:lang w:val="pt-BR"/>
        </w:rPr>
      </w:pPr>
      <w:r w:rsidRPr="00337743">
        <w:rPr>
          <w:rFonts w:ascii="Cambria" w:hAnsi="Cambria"/>
          <w:sz w:val="20"/>
          <w:szCs w:val="20"/>
          <w:lang w:val="pt-BR"/>
        </w:rPr>
        <w:t>Conforme indic</w:t>
      </w:r>
      <w:r w:rsidR="00532720" w:rsidRPr="00337743">
        <w:rPr>
          <w:rFonts w:ascii="Cambria" w:hAnsi="Cambria"/>
          <w:sz w:val="20"/>
          <w:szCs w:val="20"/>
          <w:lang w:val="pt-BR"/>
        </w:rPr>
        <w:t>ou</w:t>
      </w:r>
      <w:r w:rsidR="00506331" w:rsidRPr="00337743">
        <w:rPr>
          <w:rFonts w:ascii="Cambria" w:hAnsi="Cambria"/>
          <w:sz w:val="20"/>
          <w:szCs w:val="20"/>
          <w:lang w:val="pt-BR"/>
        </w:rPr>
        <w:t xml:space="preserve"> a </w:t>
      </w:r>
      <w:r w:rsidRPr="00337743">
        <w:rPr>
          <w:rFonts w:ascii="Cambria" w:hAnsi="Cambria"/>
          <w:sz w:val="20"/>
          <w:szCs w:val="20"/>
          <w:lang w:val="pt-BR"/>
        </w:rPr>
        <w:t>Corte,</w:t>
      </w:r>
      <w:r w:rsidR="007707E3" w:rsidRPr="00337743">
        <w:rPr>
          <w:rFonts w:ascii="Cambria" w:hAnsi="Cambria"/>
          <w:sz w:val="20"/>
          <w:szCs w:val="20"/>
          <w:lang w:val="pt-BR"/>
        </w:rPr>
        <w:t xml:space="preserve"> os </w:t>
      </w:r>
      <w:r w:rsidR="00B97B0C" w:rsidRPr="00337743">
        <w:rPr>
          <w:rFonts w:ascii="Cambria" w:hAnsi="Cambria"/>
          <w:sz w:val="20"/>
          <w:szCs w:val="20"/>
          <w:lang w:val="pt-BR"/>
        </w:rPr>
        <w:t xml:space="preserve">Estados </w:t>
      </w:r>
      <w:r w:rsidR="00D53C46" w:rsidRPr="00337743">
        <w:rPr>
          <w:rFonts w:ascii="Cambria" w:hAnsi="Cambria"/>
          <w:sz w:val="20"/>
          <w:szCs w:val="20"/>
          <w:lang w:val="pt-BR"/>
        </w:rPr>
        <w:t>devem</w:t>
      </w:r>
      <w:r w:rsidR="00B97B0C" w:rsidRPr="00337743">
        <w:rPr>
          <w:rFonts w:ascii="Cambria" w:hAnsi="Cambria"/>
          <w:sz w:val="20"/>
          <w:szCs w:val="20"/>
          <w:lang w:val="pt-BR"/>
        </w:rPr>
        <w:t xml:space="preserve"> </w:t>
      </w:r>
      <w:r w:rsidR="008E6DE4" w:rsidRPr="00337743">
        <w:rPr>
          <w:rFonts w:ascii="Cambria" w:hAnsi="Cambria"/>
          <w:sz w:val="20"/>
          <w:szCs w:val="20"/>
          <w:lang w:val="pt-BR"/>
        </w:rPr>
        <w:t>adot</w:t>
      </w:r>
      <w:r w:rsidR="00B97B0C" w:rsidRPr="00337743">
        <w:rPr>
          <w:rFonts w:ascii="Cambria" w:hAnsi="Cambria"/>
          <w:sz w:val="20"/>
          <w:szCs w:val="20"/>
          <w:lang w:val="pt-BR"/>
        </w:rPr>
        <w:t>ar medidas integr</w:t>
      </w:r>
      <w:r w:rsidR="007707E3" w:rsidRPr="00337743">
        <w:rPr>
          <w:rFonts w:ascii="Cambria" w:hAnsi="Cambria"/>
          <w:sz w:val="20"/>
          <w:szCs w:val="20"/>
          <w:lang w:val="pt-BR"/>
        </w:rPr>
        <w:t>ais</w:t>
      </w:r>
      <w:r w:rsidR="00B97B0C" w:rsidRPr="00337743">
        <w:rPr>
          <w:rFonts w:ascii="Cambria" w:hAnsi="Cambria"/>
          <w:sz w:val="20"/>
          <w:szCs w:val="20"/>
          <w:lang w:val="pt-BR"/>
        </w:rPr>
        <w:t xml:space="preserve"> para </w:t>
      </w:r>
      <w:r w:rsidR="00D53C46" w:rsidRPr="00337743">
        <w:rPr>
          <w:rFonts w:ascii="Cambria" w:hAnsi="Cambria"/>
          <w:sz w:val="20"/>
          <w:szCs w:val="20"/>
          <w:lang w:val="pt-BR"/>
        </w:rPr>
        <w:t>cumprir</w:t>
      </w:r>
      <w:r w:rsidR="00091880" w:rsidRPr="00337743">
        <w:rPr>
          <w:rFonts w:ascii="Cambria" w:hAnsi="Cambria"/>
          <w:sz w:val="20"/>
          <w:szCs w:val="20"/>
          <w:lang w:val="pt-BR"/>
        </w:rPr>
        <w:t xml:space="preserve"> com </w:t>
      </w:r>
      <w:r w:rsidR="00506331" w:rsidRPr="00337743">
        <w:rPr>
          <w:rFonts w:ascii="Cambria" w:hAnsi="Cambria"/>
          <w:sz w:val="20"/>
          <w:szCs w:val="20"/>
          <w:lang w:val="pt-BR"/>
        </w:rPr>
        <w:t xml:space="preserve">a </w:t>
      </w:r>
      <w:r w:rsidR="00AE3002" w:rsidRPr="00337743">
        <w:rPr>
          <w:rFonts w:ascii="Cambria" w:hAnsi="Cambria"/>
          <w:sz w:val="20"/>
          <w:szCs w:val="20"/>
          <w:lang w:val="pt-BR"/>
        </w:rPr>
        <w:t>devida</w:t>
      </w:r>
      <w:r w:rsidR="00B97B0C" w:rsidRPr="00337743">
        <w:rPr>
          <w:rFonts w:ascii="Cambria" w:hAnsi="Cambria"/>
          <w:sz w:val="20"/>
          <w:szCs w:val="20"/>
          <w:lang w:val="pt-BR"/>
        </w:rPr>
        <w:t xml:space="preserve"> </w:t>
      </w:r>
      <w:r w:rsidR="008E4939" w:rsidRPr="00337743">
        <w:rPr>
          <w:rFonts w:ascii="Cambria" w:hAnsi="Cambria"/>
          <w:sz w:val="20"/>
          <w:szCs w:val="20"/>
          <w:lang w:val="pt-BR"/>
        </w:rPr>
        <w:t>diligência</w:t>
      </w:r>
      <w:r w:rsidR="00091880" w:rsidRPr="00337743">
        <w:rPr>
          <w:rFonts w:ascii="Cambria" w:hAnsi="Cambria"/>
          <w:sz w:val="20"/>
          <w:szCs w:val="20"/>
          <w:lang w:val="pt-BR"/>
        </w:rPr>
        <w:t xml:space="preserve"> em </w:t>
      </w:r>
      <w:r w:rsidR="00B97B0C" w:rsidRPr="00337743">
        <w:rPr>
          <w:rFonts w:ascii="Cambria" w:hAnsi="Cambria"/>
          <w:sz w:val="20"/>
          <w:szCs w:val="20"/>
          <w:lang w:val="pt-BR"/>
        </w:rPr>
        <w:t xml:space="preserve">casos de </w:t>
      </w:r>
      <w:r w:rsidR="00D53C46" w:rsidRPr="00337743">
        <w:rPr>
          <w:rFonts w:ascii="Cambria" w:hAnsi="Cambria"/>
          <w:sz w:val="20"/>
          <w:szCs w:val="20"/>
          <w:lang w:val="pt-BR"/>
        </w:rPr>
        <w:t>violência</w:t>
      </w:r>
      <w:r w:rsidR="00B97B0C" w:rsidRPr="00337743">
        <w:rPr>
          <w:rFonts w:ascii="Cambria" w:hAnsi="Cambria"/>
          <w:sz w:val="20"/>
          <w:szCs w:val="20"/>
          <w:lang w:val="pt-BR"/>
        </w:rPr>
        <w:t xml:space="preserve"> contra</w:t>
      </w:r>
      <w:r w:rsidR="007707E3" w:rsidRPr="00337743">
        <w:rPr>
          <w:rFonts w:ascii="Cambria" w:hAnsi="Cambria"/>
          <w:sz w:val="20"/>
          <w:szCs w:val="20"/>
          <w:lang w:val="pt-BR"/>
        </w:rPr>
        <w:t xml:space="preserve"> as </w:t>
      </w:r>
      <w:r w:rsidR="00DB5118" w:rsidRPr="00337743">
        <w:rPr>
          <w:rFonts w:ascii="Cambria" w:hAnsi="Cambria"/>
          <w:sz w:val="20"/>
          <w:szCs w:val="20"/>
          <w:lang w:val="pt-BR"/>
        </w:rPr>
        <w:t>mulher</w:t>
      </w:r>
      <w:r w:rsidR="00B97B0C" w:rsidRPr="00337743">
        <w:rPr>
          <w:rFonts w:ascii="Cambria" w:hAnsi="Cambria"/>
          <w:sz w:val="20"/>
          <w:szCs w:val="20"/>
          <w:lang w:val="pt-BR"/>
        </w:rPr>
        <w:t>es.</w:t>
      </w:r>
      <w:r w:rsidR="00091880" w:rsidRPr="00337743">
        <w:rPr>
          <w:rFonts w:ascii="Cambria" w:hAnsi="Cambria"/>
          <w:sz w:val="20"/>
          <w:szCs w:val="20"/>
          <w:lang w:val="pt-BR"/>
        </w:rPr>
        <w:t xml:space="preserve"> </w:t>
      </w:r>
      <w:r w:rsidR="00532720" w:rsidRPr="00337743">
        <w:rPr>
          <w:rFonts w:ascii="Cambria" w:hAnsi="Cambria"/>
          <w:sz w:val="20"/>
          <w:szCs w:val="20"/>
          <w:lang w:val="pt-BR"/>
        </w:rPr>
        <w:t>E</w:t>
      </w:r>
      <w:r w:rsidR="00091880" w:rsidRPr="00337743">
        <w:rPr>
          <w:rFonts w:ascii="Cambria" w:hAnsi="Cambria"/>
          <w:sz w:val="20"/>
          <w:szCs w:val="20"/>
          <w:lang w:val="pt-BR"/>
        </w:rPr>
        <w:t xml:space="preserve">m </w:t>
      </w:r>
      <w:r w:rsidR="00B97B0C" w:rsidRPr="00337743">
        <w:rPr>
          <w:rFonts w:ascii="Cambria" w:hAnsi="Cambria"/>
          <w:sz w:val="20"/>
          <w:szCs w:val="20"/>
          <w:lang w:val="pt-BR"/>
        </w:rPr>
        <w:t xml:space="preserve">particular, </w:t>
      </w:r>
      <w:r w:rsidR="00D53C46" w:rsidRPr="00337743">
        <w:rPr>
          <w:rFonts w:ascii="Cambria" w:hAnsi="Cambria"/>
          <w:sz w:val="20"/>
          <w:szCs w:val="20"/>
          <w:lang w:val="pt-BR"/>
        </w:rPr>
        <w:t>devem</w:t>
      </w:r>
      <w:r w:rsidR="00B97B0C" w:rsidRPr="00337743">
        <w:rPr>
          <w:rFonts w:ascii="Cambria" w:hAnsi="Cambria"/>
          <w:sz w:val="20"/>
          <w:szCs w:val="20"/>
          <w:lang w:val="pt-BR"/>
        </w:rPr>
        <w:t xml:space="preserve"> contar</w:t>
      </w:r>
      <w:r w:rsidR="00091880" w:rsidRPr="00337743">
        <w:rPr>
          <w:rFonts w:ascii="Cambria" w:hAnsi="Cambria"/>
          <w:sz w:val="20"/>
          <w:szCs w:val="20"/>
          <w:lang w:val="pt-BR"/>
        </w:rPr>
        <w:t xml:space="preserve"> com um </w:t>
      </w:r>
      <w:r w:rsidR="00D53C46" w:rsidRPr="00337743">
        <w:rPr>
          <w:rFonts w:ascii="Cambria" w:hAnsi="Cambria"/>
          <w:sz w:val="20"/>
          <w:szCs w:val="20"/>
          <w:lang w:val="pt-BR"/>
        </w:rPr>
        <w:t>adequado</w:t>
      </w:r>
      <w:r w:rsidR="00B97B0C" w:rsidRPr="00337743">
        <w:rPr>
          <w:rFonts w:ascii="Cambria" w:hAnsi="Cambria"/>
          <w:sz w:val="20"/>
          <w:szCs w:val="20"/>
          <w:lang w:val="pt-BR"/>
        </w:rPr>
        <w:t xml:space="preserve"> marco jurídico de prote</w:t>
      </w:r>
      <w:r w:rsidR="007707E3" w:rsidRPr="00337743">
        <w:rPr>
          <w:rFonts w:ascii="Cambria" w:hAnsi="Cambria"/>
          <w:sz w:val="20"/>
          <w:szCs w:val="20"/>
          <w:lang w:val="pt-BR"/>
        </w:rPr>
        <w:t>ç</w:t>
      </w:r>
      <w:r w:rsidR="00350E7E" w:rsidRPr="00337743">
        <w:rPr>
          <w:rFonts w:ascii="Cambria" w:hAnsi="Cambria"/>
          <w:sz w:val="20"/>
          <w:szCs w:val="20"/>
          <w:lang w:val="pt-BR"/>
        </w:rPr>
        <w:t>ão</w:t>
      </w:r>
      <w:r w:rsidR="00B97B0C" w:rsidRPr="00337743">
        <w:rPr>
          <w:rFonts w:ascii="Cambria" w:hAnsi="Cambria"/>
          <w:sz w:val="20"/>
          <w:szCs w:val="20"/>
          <w:lang w:val="pt-BR"/>
        </w:rPr>
        <w:t>,</w:t>
      </w:r>
      <w:r w:rsidR="00091880" w:rsidRPr="00337743">
        <w:rPr>
          <w:rFonts w:ascii="Cambria" w:hAnsi="Cambria"/>
          <w:sz w:val="20"/>
          <w:szCs w:val="20"/>
          <w:lang w:val="pt-BR"/>
        </w:rPr>
        <w:t xml:space="preserve"> com uma </w:t>
      </w:r>
      <w:r w:rsidR="00B97B0C" w:rsidRPr="00337743">
        <w:rPr>
          <w:rFonts w:ascii="Cambria" w:hAnsi="Cambria"/>
          <w:sz w:val="20"/>
          <w:szCs w:val="20"/>
          <w:lang w:val="pt-BR"/>
        </w:rPr>
        <w:t>aplica</w:t>
      </w:r>
      <w:r w:rsidR="00350E7E" w:rsidRPr="00337743">
        <w:rPr>
          <w:rFonts w:ascii="Cambria" w:hAnsi="Cambria"/>
          <w:sz w:val="20"/>
          <w:szCs w:val="20"/>
          <w:lang w:val="pt-BR"/>
        </w:rPr>
        <w:t>ção</w:t>
      </w:r>
      <w:r w:rsidR="00B97B0C" w:rsidRPr="00337743">
        <w:rPr>
          <w:rFonts w:ascii="Cambria" w:hAnsi="Cambria"/>
          <w:sz w:val="20"/>
          <w:szCs w:val="20"/>
          <w:lang w:val="pt-BR"/>
        </w:rPr>
        <w:t xml:space="preserve"> </w:t>
      </w:r>
      <w:r w:rsidR="00D53C46" w:rsidRPr="00337743">
        <w:rPr>
          <w:rFonts w:ascii="Cambria" w:hAnsi="Cambria"/>
          <w:sz w:val="20"/>
          <w:szCs w:val="20"/>
          <w:lang w:val="pt-BR"/>
        </w:rPr>
        <w:t>efetiva</w:t>
      </w:r>
      <w:r w:rsidR="007707E3" w:rsidRPr="00337743">
        <w:rPr>
          <w:rFonts w:ascii="Cambria" w:hAnsi="Cambria"/>
          <w:sz w:val="20"/>
          <w:szCs w:val="20"/>
          <w:lang w:val="pt-BR"/>
        </w:rPr>
        <w:t xml:space="preserve"> do </w:t>
      </w:r>
      <w:r w:rsidR="00AE3002" w:rsidRPr="00337743">
        <w:rPr>
          <w:rFonts w:ascii="Cambria" w:hAnsi="Cambria"/>
          <w:sz w:val="20"/>
          <w:szCs w:val="20"/>
          <w:lang w:val="pt-BR"/>
        </w:rPr>
        <w:t>mesmo</w:t>
      </w:r>
      <w:r w:rsidR="00506331" w:rsidRPr="00337743">
        <w:rPr>
          <w:rFonts w:ascii="Cambria" w:hAnsi="Cambria"/>
          <w:sz w:val="20"/>
          <w:szCs w:val="20"/>
          <w:lang w:val="pt-BR"/>
        </w:rPr>
        <w:t xml:space="preserve"> e</w:t>
      </w:r>
      <w:r w:rsidR="00091880" w:rsidRPr="00337743">
        <w:rPr>
          <w:rFonts w:ascii="Cambria" w:hAnsi="Cambria"/>
          <w:sz w:val="20"/>
          <w:szCs w:val="20"/>
          <w:lang w:val="pt-BR"/>
        </w:rPr>
        <w:t xml:space="preserve"> com </w:t>
      </w:r>
      <w:r w:rsidR="00B97B0C" w:rsidRPr="00337743">
        <w:rPr>
          <w:rFonts w:ascii="Cambria" w:hAnsi="Cambria"/>
          <w:sz w:val="20"/>
          <w:szCs w:val="20"/>
          <w:lang w:val="pt-BR"/>
        </w:rPr>
        <w:t>políticas de preven</w:t>
      </w:r>
      <w:r w:rsidR="00350E7E" w:rsidRPr="00337743">
        <w:rPr>
          <w:rFonts w:ascii="Cambria" w:hAnsi="Cambria"/>
          <w:sz w:val="20"/>
          <w:szCs w:val="20"/>
          <w:lang w:val="pt-BR"/>
        </w:rPr>
        <w:t>ção</w:t>
      </w:r>
      <w:r w:rsidR="00506331" w:rsidRPr="00337743">
        <w:rPr>
          <w:rFonts w:ascii="Cambria" w:hAnsi="Cambria"/>
          <w:sz w:val="20"/>
          <w:szCs w:val="20"/>
          <w:lang w:val="pt-BR"/>
        </w:rPr>
        <w:t xml:space="preserve"> e </w:t>
      </w:r>
      <w:r w:rsidR="00D53C46" w:rsidRPr="00337743">
        <w:rPr>
          <w:rFonts w:ascii="Cambria" w:hAnsi="Cambria"/>
          <w:sz w:val="20"/>
          <w:szCs w:val="20"/>
          <w:lang w:val="pt-BR"/>
        </w:rPr>
        <w:t>práticas</w:t>
      </w:r>
      <w:r w:rsidR="00B97B0C" w:rsidRPr="00337743">
        <w:rPr>
          <w:rFonts w:ascii="Cambria" w:hAnsi="Cambria"/>
          <w:sz w:val="20"/>
          <w:szCs w:val="20"/>
          <w:lang w:val="pt-BR"/>
        </w:rPr>
        <w:t xml:space="preserve"> que </w:t>
      </w:r>
      <w:r w:rsidR="00AE3002" w:rsidRPr="00337743">
        <w:rPr>
          <w:rFonts w:ascii="Cambria" w:hAnsi="Cambria"/>
          <w:sz w:val="20"/>
          <w:szCs w:val="20"/>
          <w:lang w:val="pt-BR"/>
        </w:rPr>
        <w:t>permitam</w:t>
      </w:r>
      <w:r w:rsidR="00B97B0C" w:rsidRPr="00337743">
        <w:rPr>
          <w:rFonts w:ascii="Cambria" w:hAnsi="Cambria"/>
          <w:sz w:val="20"/>
          <w:szCs w:val="20"/>
          <w:lang w:val="pt-BR"/>
        </w:rPr>
        <w:t xml:space="preserve"> </w:t>
      </w:r>
      <w:r w:rsidR="0068292F">
        <w:rPr>
          <w:rFonts w:ascii="Cambria" w:hAnsi="Cambria"/>
          <w:sz w:val="20"/>
          <w:szCs w:val="20"/>
          <w:lang w:val="pt-BR"/>
        </w:rPr>
        <w:t>a atuação</w:t>
      </w:r>
      <w:r w:rsidR="00B97B0C" w:rsidRPr="00337743">
        <w:rPr>
          <w:rFonts w:ascii="Cambria" w:hAnsi="Cambria"/>
          <w:sz w:val="20"/>
          <w:szCs w:val="20"/>
          <w:lang w:val="pt-BR"/>
        </w:rPr>
        <w:t xml:space="preserve"> eficaz ante</w:t>
      </w:r>
      <w:r w:rsidR="007707E3" w:rsidRPr="00337743">
        <w:rPr>
          <w:rFonts w:ascii="Cambria" w:hAnsi="Cambria"/>
          <w:sz w:val="20"/>
          <w:szCs w:val="20"/>
          <w:lang w:val="pt-BR"/>
        </w:rPr>
        <w:t xml:space="preserve"> as </w:t>
      </w:r>
      <w:r w:rsidR="003E7207" w:rsidRPr="00337743">
        <w:rPr>
          <w:rFonts w:ascii="Cambria" w:hAnsi="Cambria"/>
          <w:sz w:val="20"/>
          <w:szCs w:val="20"/>
          <w:lang w:val="pt-BR"/>
        </w:rPr>
        <w:t>denúncia</w:t>
      </w:r>
      <w:r w:rsidR="00B97B0C" w:rsidRPr="00337743">
        <w:rPr>
          <w:rFonts w:ascii="Cambria" w:hAnsi="Cambria"/>
          <w:sz w:val="20"/>
          <w:szCs w:val="20"/>
          <w:lang w:val="pt-BR"/>
        </w:rPr>
        <w:t>s.</w:t>
      </w:r>
      <w:r w:rsidR="00506331" w:rsidRPr="00337743">
        <w:rPr>
          <w:rFonts w:ascii="Cambria" w:hAnsi="Cambria"/>
          <w:sz w:val="20"/>
          <w:szCs w:val="20"/>
          <w:lang w:val="pt-BR"/>
        </w:rPr>
        <w:t xml:space="preserve"> </w:t>
      </w:r>
      <w:r w:rsidR="00532720" w:rsidRPr="00337743">
        <w:rPr>
          <w:rFonts w:ascii="Cambria" w:hAnsi="Cambria"/>
          <w:sz w:val="20"/>
          <w:szCs w:val="20"/>
          <w:lang w:val="pt-BR"/>
        </w:rPr>
        <w:t>A</w:t>
      </w:r>
      <w:r w:rsidR="00506331" w:rsidRPr="00337743">
        <w:rPr>
          <w:rFonts w:ascii="Cambria" w:hAnsi="Cambria"/>
          <w:sz w:val="20"/>
          <w:szCs w:val="20"/>
          <w:lang w:val="pt-BR"/>
        </w:rPr>
        <w:t xml:space="preserve"> </w:t>
      </w:r>
      <w:r w:rsidR="00D53C46" w:rsidRPr="00337743">
        <w:rPr>
          <w:rFonts w:ascii="Cambria" w:hAnsi="Cambria"/>
          <w:sz w:val="20"/>
          <w:szCs w:val="20"/>
          <w:lang w:val="pt-BR"/>
        </w:rPr>
        <w:t>estratégia</w:t>
      </w:r>
      <w:r w:rsidR="00B97B0C" w:rsidRPr="00337743">
        <w:rPr>
          <w:rFonts w:ascii="Cambria" w:hAnsi="Cambria"/>
          <w:sz w:val="20"/>
          <w:szCs w:val="20"/>
          <w:lang w:val="pt-BR"/>
        </w:rPr>
        <w:t xml:space="preserve"> de preven</w:t>
      </w:r>
      <w:r w:rsidR="00350E7E" w:rsidRPr="00337743">
        <w:rPr>
          <w:rFonts w:ascii="Cambria" w:hAnsi="Cambria"/>
          <w:sz w:val="20"/>
          <w:szCs w:val="20"/>
          <w:lang w:val="pt-BR"/>
        </w:rPr>
        <w:t>ção</w:t>
      </w:r>
      <w:r w:rsidR="00B97B0C" w:rsidRPr="00337743">
        <w:rPr>
          <w:rFonts w:ascii="Cambria" w:hAnsi="Cambria"/>
          <w:sz w:val="20"/>
          <w:szCs w:val="20"/>
          <w:lang w:val="pt-BR"/>
        </w:rPr>
        <w:t xml:space="preserve"> </w:t>
      </w:r>
      <w:r w:rsidR="00AE3002" w:rsidRPr="00337743">
        <w:rPr>
          <w:rFonts w:ascii="Cambria" w:hAnsi="Cambria"/>
          <w:sz w:val="20"/>
          <w:szCs w:val="20"/>
          <w:lang w:val="pt-BR"/>
        </w:rPr>
        <w:t>deve</w:t>
      </w:r>
      <w:r w:rsidR="00B97B0C" w:rsidRPr="00337743">
        <w:rPr>
          <w:rFonts w:ascii="Cambria" w:hAnsi="Cambria"/>
          <w:sz w:val="20"/>
          <w:szCs w:val="20"/>
          <w:lang w:val="pt-BR"/>
        </w:rPr>
        <w:t xml:space="preserve"> ser integral,</w:t>
      </w:r>
      <w:r w:rsidR="00A6443F" w:rsidRPr="00337743">
        <w:rPr>
          <w:rFonts w:ascii="Cambria" w:hAnsi="Cambria"/>
          <w:sz w:val="20"/>
          <w:szCs w:val="20"/>
          <w:lang w:val="pt-BR"/>
        </w:rPr>
        <w:t xml:space="preserve"> </w:t>
      </w:r>
      <w:r w:rsidR="00532720" w:rsidRPr="00337743">
        <w:rPr>
          <w:rFonts w:ascii="Cambria" w:hAnsi="Cambria"/>
          <w:sz w:val="20"/>
          <w:szCs w:val="20"/>
          <w:lang w:val="pt-BR"/>
        </w:rPr>
        <w:t>quer dizer</w:t>
      </w:r>
      <w:r w:rsidR="00B97B0C" w:rsidRPr="00337743">
        <w:rPr>
          <w:rFonts w:ascii="Cambria" w:hAnsi="Cambria"/>
          <w:sz w:val="20"/>
          <w:szCs w:val="20"/>
          <w:lang w:val="pt-BR"/>
        </w:rPr>
        <w:t xml:space="preserve">, </w:t>
      </w:r>
      <w:r w:rsidR="00D53C46" w:rsidRPr="00337743">
        <w:rPr>
          <w:rFonts w:ascii="Cambria" w:hAnsi="Cambria"/>
          <w:sz w:val="20"/>
          <w:szCs w:val="20"/>
          <w:lang w:val="pt-BR"/>
        </w:rPr>
        <w:t>deve</w:t>
      </w:r>
      <w:r w:rsidR="00B97B0C" w:rsidRPr="00337743">
        <w:rPr>
          <w:rFonts w:ascii="Cambria" w:hAnsi="Cambria"/>
          <w:sz w:val="20"/>
          <w:szCs w:val="20"/>
          <w:lang w:val="pt-BR"/>
        </w:rPr>
        <w:t xml:space="preserve"> prevenir</w:t>
      </w:r>
      <w:r w:rsidR="007707E3" w:rsidRPr="00337743">
        <w:rPr>
          <w:rFonts w:ascii="Cambria" w:hAnsi="Cambria"/>
          <w:sz w:val="20"/>
          <w:szCs w:val="20"/>
          <w:lang w:val="pt-BR"/>
        </w:rPr>
        <w:t xml:space="preserve"> os </w:t>
      </w:r>
      <w:r w:rsidR="00AE3002" w:rsidRPr="00337743">
        <w:rPr>
          <w:rFonts w:ascii="Cambria" w:hAnsi="Cambria"/>
          <w:sz w:val="20"/>
          <w:szCs w:val="20"/>
          <w:lang w:val="pt-BR"/>
        </w:rPr>
        <w:t>fatores</w:t>
      </w:r>
      <w:r w:rsidR="00B97B0C" w:rsidRPr="00337743">
        <w:rPr>
          <w:rFonts w:ascii="Cambria" w:hAnsi="Cambria"/>
          <w:sz w:val="20"/>
          <w:szCs w:val="20"/>
          <w:lang w:val="pt-BR"/>
        </w:rPr>
        <w:t xml:space="preserve"> de </w:t>
      </w:r>
      <w:r w:rsidR="00D53C46" w:rsidRPr="00337743">
        <w:rPr>
          <w:rFonts w:ascii="Cambria" w:hAnsi="Cambria"/>
          <w:sz w:val="20"/>
          <w:szCs w:val="20"/>
          <w:lang w:val="pt-BR"/>
        </w:rPr>
        <w:t>risco</w:t>
      </w:r>
      <w:r w:rsidR="00506331" w:rsidRPr="00337743">
        <w:rPr>
          <w:rFonts w:ascii="Cambria" w:hAnsi="Cambria"/>
          <w:sz w:val="20"/>
          <w:szCs w:val="20"/>
          <w:lang w:val="pt-BR"/>
        </w:rPr>
        <w:t xml:space="preserve"> e</w:t>
      </w:r>
      <w:r w:rsidR="00F453EB" w:rsidRPr="00337743">
        <w:rPr>
          <w:rFonts w:ascii="Cambria" w:hAnsi="Cambria"/>
          <w:sz w:val="20"/>
          <w:szCs w:val="20"/>
          <w:lang w:val="pt-BR"/>
        </w:rPr>
        <w:t xml:space="preserve"> </w:t>
      </w:r>
      <w:r w:rsidR="00B97B0C" w:rsidRPr="00337743">
        <w:rPr>
          <w:rFonts w:ascii="Cambria" w:hAnsi="Cambria"/>
          <w:sz w:val="20"/>
          <w:szCs w:val="20"/>
          <w:lang w:val="pt-BR"/>
        </w:rPr>
        <w:t>fortalecer</w:t>
      </w:r>
      <w:r w:rsidR="007707E3" w:rsidRPr="00337743">
        <w:rPr>
          <w:rFonts w:ascii="Cambria" w:hAnsi="Cambria"/>
          <w:sz w:val="20"/>
          <w:szCs w:val="20"/>
          <w:lang w:val="pt-BR"/>
        </w:rPr>
        <w:t xml:space="preserve"> as </w:t>
      </w:r>
      <w:r w:rsidR="00D53C46" w:rsidRPr="00337743">
        <w:rPr>
          <w:rFonts w:ascii="Cambria" w:hAnsi="Cambria"/>
          <w:sz w:val="20"/>
          <w:szCs w:val="20"/>
          <w:lang w:val="pt-BR"/>
        </w:rPr>
        <w:t>instituições</w:t>
      </w:r>
      <w:r w:rsidR="00B97B0C" w:rsidRPr="00337743">
        <w:rPr>
          <w:rFonts w:ascii="Cambria" w:hAnsi="Cambria"/>
          <w:sz w:val="20"/>
          <w:szCs w:val="20"/>
          <w:lang w:val="pt-BR"/>
        </w:rPr>
        <w:t xml:space="preserve"> para que p</w:t>
      </w:r>
      <w:r w:rsidR="00532720" w:rsidRPr="00337743">
        <w:rPr>
          <w:rFonts w:ascii="Cambria" w:hAnsi="Cambria"/>
          <w:sz w:val="20"/>
          <w:szCs w:val="20"/>
          <w:lang w:val="pt-BR"/>
        </w:rPr>
        <w:t>ossam</w:t>
      </w:r>
      <w:r w:rsidR="00B97B0C" w:rsidRPr="00337743">
        <w:rPr>
          <w:rFonts w:ascii="Cambria" w:hAnsi="Cambria"/>
          <w:sz w:val="20"/>
          <w:szCs w:val="20"/>
          <w:lang w:val="pt-BR"/>
        </w:rPr>
        <w:t xml:space="preserve"> proporcionar</w:t>
      </w:r>
      <w:r w:rsidR="00091880" w:rsidRPr="00337743">
        <w:rPr>
          <w:rFonts w:ascii="Cambria" w:hAnsi="Cambria"/>
          <w:sz w:val="20"/>
          <w:szCs w:val="20"/>
          <w:lang w:val="pt-BR"/>
        </w:rPr>
        <w:t xml:space="preserve"> uma </w:t>
      </w:r>
      <w:r w:rsidR="003E7207" w:rsidRPr="00337743">
        <w:rPr>
          <w:rFonts w:ascii="Cambria" w:hAnsi="Cambria"/>
          <w:sz w:val="20"/>
          <w:szCs w:val="20"/>
          <w:lang w:val="pt-BR"/>
        </w:rPr>
        <w:t>resposta</w:t>
      </w:r>
      <w:r w:rsidR="00B97B0C" w:rsidRPr="00337743">
        <w:rPr>
          <w:rFonts w:ascii="Cambria" w:hAnsi="Cambria"/>
          <w:sz w:val="20"/>
          <w:szCs w:val="20"/>
          <w:lang w:val="pt-BR"/>
        </w:rPr>
        <w:t xml:space="preserve"> </w:t>
      </w:r>
      <w:r w:rsidR="00D53C46" w:rsidRPr="00337743">
        <w:rPr>
          <w:rFonts w:ascii="Cambria" w:hAnsi="Cambria"/>
          <w:sz w:val="20"/>
          <w:szCs w:val="20"/>
          <w:lang w:val="pt-BR"/>
        </w:rPr>
        <w:t>efetiva</w:t>
      </w:r>
      <w:r w:rsidR="00F453EB" w:rsidRPr="00337743">
        <w:rPr>
          <w:rFonts w:ascii="Cambria" w:hAnsi="Cambria"/>
          <w:sz w:val="20"/>
          <w:szCs w:val="20"/>
          <w:lang w:val="pt-BR"/>
        </w:rPr>
        <w:t xml:space="preserve"> aos </w:t>
      </w:r>
      <w:r w:rsidR="00B97B0C" w:rsidRPr="00337743">
        <w:rPr>
          <w:rFonts w:ascii="Cambria" w:hAnsi="Cambria"/>
          <w:sz w:val="20"/>
          <w:szCs w:val="20"/>
          <w:lang w:val="pt-BR"/>
        </w:rPr>
        <w:t xml:space="preserve">casos de </w:t>
      </w:r>
      <w:r w:rsidR="00D53C46" w:rsidRPr="00337743">
        <w:rPr>
          <w:rFonts w:ascii="Cambria" w:hAnsi="Cambria"/>
          <w:sz w:val="20"/>
          <w:szCs w:val="20"/>
          <w:lang w:val="pt-BR"/>
        </w:rPr>
        <w:t>violência</w:t>
      </w:r>
      <w:r w:rsidR="00B97B0C"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B97B0C" w:rsidRPr="00337743">
        <w:rPr>
          <w:rFonts w:ascii="Cambria" w:hAnsi="Cambria"/>
          <w:sz w:val="20"/>
          <w:szCs w:val="20"/>
          <w:lang w:val="pt-BR"/>
        </w:rPr>
        <w:t>. A</w:t>
      </w:r>
      <w:r w:rsidR="00532720" w:rsidRPr="00337743">
        <w:rPr>
          <w:rFonts w:ascii="Cambria" w:hAnsi="Cambria"/>
          <w:sz w:val="20"/>
          <w:szCs w:val="20"/>
          <w:lang w:val="pt-BR"/>
        </w:rPr>
        <w:t>lém disso</w:t>
      </w:r>
      <w:r w:rsidR="00B97B0C" w:rsidRPr="00337743">
        <w:rPr>
          <w:rFonts w:ascii="Cambria" w:hAnsi="Cambria"/>
          <w:sz w:val="20"/>
          <w:szCs w:val="20"/>
          <w:lang w:val="pt-BR"/>
        </w:rPr>
        <w:t>,</w:t>
      </w:r>
      <w:r w:rsidR="007707E3" w:rsidRPr="00337743">
        <w:rPr>
          <w:rFonts w:ascii="Cambria" w:hAnsi="Cambria"/>
          <w:sz w:val="20"/>
          <w:szCs w:val="20"/>
          <w:lang w:val="pt-BR"/>
        </w:rPr>
        <w:t xml:space="preserve"> os </w:t>
      </w:r>
      <w:r w:rsidR="00B97B0C" w:rsidRPr="00337743">
        <w:rPr>
          <w:rFonts w:ascii="Cambria" w:hAnsi="Cambria"/>
          <w:sz w:val="20"/>
          <w:szCs w:val="20"/>
          <w:lang w:val="pt-BR"/>
        </w:rPr>
        <w:t xml:space="preserve">Estados </w:t>
      </w:r>
      <w:r w:rsidR="00D53C46" w:rsidRPr="00337743">
        <w:rPr>
          <w:rFonts w:ascii="Cambria" w:hAnsi="Cambria"/>
          <w:sz w:val="20"/>
          <w:szCs w:val="20"/>
          <w:lang w:val="pt-BR"/>
        </w:rPr>
        <w:t>devem</w:t>
      </w:r>
      <w:r w:rsidR="00B97B0C" w:rsidRPr="00337743">
        <w:rPr>
          <w:rFonts w:ascii="Cambria" w:hAnsi="Cambria"/>
          <w:sz w:val="20"/>
          <w:szCs w:val="20"/>
          <w:lang w:val="pt-BR"/>
        </w:rPr>
        <w:t xml:space="preserve"> </w:t>
      </w:r>
      <w:r w:rsidR="008E6DE4" w:rsidRPr="00337743">
        <w:rPr>
          <w:rFonts w:ascii="Cambria" w:hAnsi="Cambria"/>
          <w:sz w:val="20"/>
          <w:szCs w:val="20"/>
          <w:lang w:val="pt-BR"/>
        </w:rPr>
        <w:t>adot</w:t>
      </w:r>
      <w:r w:rsidR="00B97B0C" w:rsidRPr="00337743">
        <w:rPr>
          <w:rFonts w:ascii="Cambria" w:hAnsi="Cambria"/>
          <w:sz w:val="20"/>
          <w:szCs w:val="20"/>
          <w:lang w:val="pt-BR"/>
        </w:rPr>
        <w:t>ar medidas preventivas</w:t>
      </w:r>
      <w:r w:rsidR="00091880" w:rsidRPr="00337743">
        <w:rPr>
          <w:rFonts w:ascii="Cambria" w:hAnsi="Cambria"/>
          <w:sz w:val="20"/>
          <w:szCs w:val="20"/>
          <w:lang w:val="pt-BR"/>
        </w:rPr>
        <w:t xml:space="preserve"> em </w:t>
      </w:r>
      <w:r w:rsidR="00B97B0C" w:rsidRPr="00337743">
        <w:rPr>
          <w:rFonts w:ascii="Cambria" w:hAnsi="Cambria"/>
          <w:sz w:val="20"/>
          <w:szCs w:val="20"/>
          <w:lang w:val="pt-BR"/>
        </w:rPr>
        <w:t>casos específicos</w:t>
      </w:r>
      <w:r w:rsidR="00513361" w:rsidRPr="00337743">
        <w:rPr>
          <w:rFonts w:ascii="Cambria" w:hAnsi="Cambria"/>
          <w:sz w:val="20"/>
          <w:szCs w:val="20"/>
          <w:lang w:val="pt-BR"/>
        </w:rPr>
        <w:t xml:space="preserve"> nos </w:t>
      </w:r>
      <w:r w:rsidR="00B97B0C" w:rsidRPr="00337743">
        <w:rPr>
          <w:rFonts w:ascii="Cambria" w:hAnsi="Cambria"/>
          <w:sz w:val="20"/>
          <w:szCs w:val="20"/>
          <w:lang w:val="pt-BR"/>
        </w:rPr>
        <w:t>qu</w:t>
      </w:r>
      <w:r w:rsidR="00532720" w:rsidRPr="00337743">
        <w:rPr>
          <w:rFonts w:ascii="Cambria" w:hAnsi="Cambria"/>
          <w:sz w:val="20"/>
          <w:szCs w:val="20"/>
          <w:lang w:val="pt-BR"/>
        </w:rPr>
        <w:t>ais</w:t>
      </w:r>
      <w:r w:rsidR="00A6443F" w:rsidRPr="00337743">
        <w:rPr>
          <w:rFonts w:ascii="Cambria" w:hAnsi="Cambria"/>
          <w:sz w:val="20"/>
          <w:szCs w:val="20"/>
          <w:lang w:val="pt-BR"/>
        </w:rPr>
        <w:t xml:space="preserve"> </w:t>
      </w:r>
      <w:r w:rsidR="00B97B0C" w:rsidRPr="00337743">
        <w:rPr>
          <w:rFonts w:ascii="Cambria" w:hAnsi="Cambria"/>
          <w:sz w:val="20"/>
          <w:szCs w:val="20"/>
          <w:lang w:val="pt-BR"/>
        </w:rPr>
        <w:t xml:space="preserve">determinadas </w:t>
      </w:r>
      <w:r w:rsidR="00DB5118" w:rsidRPr="00337743">
        <w:rPr>
          <w:rFonts w:ascii="Cambria" w:hAnsi="Cambria"/>
          <w:sz w:val="20"/>
          <w:szCs w:val="20"/>
          <w:lang w:val="pt-BR"/>
        </w:rPr>
        <w:t>mulher</w:t>
      </w:r>
      <w:r w:rsidR="00B97B0C" w:rsidRPr="00337743">
        <w:rPr>
          <w:rFonts w:ascii="Cambria" w:hAnsi="Cambria"/>
          <w:sz w:val="20"/>
          <w:szCs w:val="20"/>
          <w:lang w:val="pt-BR"/>
        </w:rPr>
        <w:t>es</w:t>
      </w:r>
      <w:r w:rsidR="00506331" w:rsidRPr="00337743">
        <w:rPr>
          <w:rFonts w:ascii="Cambria" w:hAnsi="Cambria"/>
          <w:sz w:val="20"/>
          <w:szCs w:val="20"/>
          <w:lang w:val="pt-BR"/>
        </w:rPr>
        <w:t xml:space="preserve"> e </w:t>
      </w:r>
      <w:r w:rsidR="00D53C46" w:rsidRPr="00337743">
        <w:rPr>
          <w:rFonts w:ascii="Cambria" w:hAnsi="Cambria"/>
          <w:sz w:val="20"/>
          <w:szCs w:val="20"/>
          <w:lang w:val="pt-BR"/>
        </w:rPr>
        <w:t>meninas</w:t>
      </w:r>
      <w:r w:rsidR="00B97B0C" w:rsidRPr="00337743">
        <w:rPr>
          <w:rFonts w:ascii="Cambria" w:hAnsi="Cambria"/>
          <w:sz w:val="20"/>
          <w:szCs w:val="20"/>
          <w:lang w:val="pt-BR"/>
        </w:rPr>
        <w:t xml:space="preserve"> p</w:t>
      </w:r>
      <w:r w:rsidR="00532720" w:rsidRPr="00337743">
        <w:rPr>
          <w:rFonts w:ascii="Cambria" w:hAnsi="Cambria"/>
          <w:sz w:val="20"/>
          <w:szCs w:val="20"/>
          <w:lang w:val="pt-BR"/>
        </w:rPr>
        <w:t>o</w:t>
      </w:r>
      <w:r w:rsidR="0068292F">
        <w:rPr>
          <w:rFonts w:ascii="Cambria" w:hAnsi="Cambria"/>
          <w:sz w:val="20"/>
          <w:szCs w:val="20"/>
          <w:lang w:val="pt-BR"/>
        </w:rPr>
        <w:t>ssa</w:t>
      </w:r>
      <w:r w:rsidR="00532720" w:rsidRPr="00337743">
        <w:rPr>
          <w:rFonts w:ascii="Cambria" w:hAnsi="Cambria"/>
          <w:sz w:val="20"/>
          <w:szCs w:val="20"/>
          <w:lang w:val="pt-BR"/>
        </w:rPr>
        <w:t>m</w:t>
      </w:r>
      <w:r w:rsidR="00B97B0C" w:rsidRPr="00337743">
        <w:rPr>
          <w:rFonts w:ascii="Cambria" w:hAnsi="Cambria"/>
          <w:sz w:val="20"/>
          <w:szCs w:val="20"/>
          <w:lang w:val="pt-BR"/>
        </w:rPr>
        <w:t xml:space="preserve"> ser </w:t>
      </w:r>
      <w:r w:rsidR="00E01589" w:rsidRPr="00337743">
        <w:rPr>
          <w:rFonts w:ascii="Cambria" w:hAnsi="Cambria"/>
          <w:sz w:val="20"/>
          <w:szCs w:val="20"/>
          <w:lang w:val="pt-BR"/>
        </w:rPr>
        <w:t>vítima</w:t>
      </w:r>
      <w:r w:rsidR="00B97B0C" w:rsidRPr="00337743">
        <w:rPr>
          <w:rFonts w:ascii="Cambria" w:hAnsi="Cambria"/>
          <w:sz w:val="20"/>
          <w:szCs w:val="20"/>
          <w:lang w:val="pt-BR"/>
        </w:rPr>
        <w:t xml:space="preserve">s de </w:t>
      </w:r>
      <w:r w:rsidR="00D53C46" w:rsidRPr="00337743">
        <w:rPr>
          <w:rFonts w:ascii="Cambria" w:hAnsi="Cambria"/>
          <w:sz w:val="20"/>
          <w:szCs w:val="20"/>
          <w:lang w:val="pt-BR"/>
        </w:rPr>
        <w:t>violência</w:t>
      </w:r>
      <w:r w:rsidR="00B97B0C" w:rsidRPr="00337743">
        <w:rPr>
          <w:rFonts w:ascii="Cambria" w:hAnsi="Cambria"/>
          <w:sz w:val="20"/>
          <w:szCs w:val="20"/>
          <w:lang w:val="pt-BR"/>
        </w:rPr>
        <w:t xml:space="preserve">. </w:t>
      </w:r>
      <w:r w:rsidR="0068292F">
        <w:rPr>
          <w:rFonts w:ascii="Cambria" w:hAnsi="Cambria"/>
          <w:sz w:val="20"/>
          <w:szCs w:val="20"/>
          <w:lang w:val="pt-BR"/>
        </w:rPr>
        <w:t>E</w:t>
      </w:r>
      <w:r w:rsidR="00091880" w:rsidRPr="00337743">
        <w:rPr>
          <w:rFonts w:ascii="Cambria" w:hAnsi="Cambria"/>
          <w:sz w:val="20"/>
          <w:szCs w:val="20"/>
          <w:lang w:val="pt-BR"/>
        </w:rPr>
        <w:t xml:space="preserve">m </w:t>
      </w:r>
      <w:r w:rsidR="00B97B0C" w:rsidRPr="00337743">
        <w:rPr>
          <w:rFonts w:ascii="Cambria" w:hAnsi="Cambria"/>
          <w:sz w:val="20"/>
          <w:szCs w:val="20"/>
          <w:lang w:val="pt-BR"/>
        </w:rPr>
        <w:t xml:space="preserve">casos de </w:t>
      </w:r>
      <w:r w:rsidR="00D53C46" w:rsidRPr="00337743">
        <w:rPr>
          <w:rFonts w:ascii="Cambria" w:hAnsi="Cambria"/>
          <w:sz w:val="20"/>
          <w:szCs w:val="20"/>
          <w:lang w:val="pt-BR"/>
        </w:rPr>
        <w:t>violência</w:t>
      </w:r>
      <w:r w:rsidR="00B97B0C" w:rsidRPr="00337743">
        <w:rPr>
          <w:rFonts w:ascii="Cambria" w:hAnsi="Cambria"/>
          <w:sz w:val="20"/>
          <w:szCs w:val="20"/>
          <w:lang w:val="pt-BR"/>
        </w:rPr>
        <w:t xml:space="preserve"> contra</w:t>
      </w:r>
      <w:r w:rsidR="00506331" w:rsidRPr="00337743">
        <w:rPr>
          <w:rFonts w:ascii="Cambria" w:hAnsi="Cambria"/>
          <w:sz w:val="20"/>
          <w:szCs w:val="20"/>
          <w:lang w:val="pt-BR"/>
        </w:rPr>
        <w:t xml:space="preserve"> a </w:t>
      </w:r>
      <w:r w:rsidR="00DB5118" w:rsidRPr="00337743">
        <w:rPr>
          <w:rFonts w:ascii="Cambria" w:hAnsi="Cambria"/>
          <w:sz w:val="20"/>
          <w:szCs w:val="20"/>
          <w:lang w:val="pt-BR"/>
        </w:rPr>
        <w:t>mulher</w:t>
      </w:r>
      <w:r w:rsidR="007707E3" w:rsidRPr="00337743">
        <w:rPr>
          <w:rFonts w:ascii="Cambria" w:hAnsi="Cambria"/>
          <w:sz w:val="20"/>
          <w:szCs w:val="20"/>
          <w:lang w:val="pt-BR"/>
        </w:rPr>
        <w:t xml:space="preserve"> os </w:t>
      </w:r>
      <w:r w:rsidR="00B97B0C" w:rsidRPr="00337743">
        <w:rPr>
          <w:rFonts w:ascii="Cambria" w:hAnsi="Cambria"/>
          <w:sz w:val="20"/>
          <w:szCs w:val="20"/>
          <w:lang w:val="pt-BR"/>
        </w:rPr>
        <w:t>Estados t</w:t>
      </w:r>
      <w:r w:rsidR="00532720" w:rsidRPr="00337743">
        <w:rPr>
          <w:rFonts w:ascii="Cambria" w:hAnsi="Cambria"/>
          <w:sz w:val="20"/>
          <w:szCs w:val="20"/>
          <w:lang w:val="pt-BR"/>
        </w:rPr>
        <w:t>êm</w:t>
      </w:r>
      <w:r w:rsidR="00B97B0C" w:rsidRPr="00337743">
        <w:rPr>
          <w:rFonts w:ascii="Cambria" w:hAnsi="Cambria"/>
          <w:sz w:val="20"/>
          <w:szCs w:val="20"/>
          <w:lang w:val="pt-BR"/>
        </w:rPr>
        <w:t>, a</w:t>
      </w:r>
      <w:r w:rsidR="00532720" w:rsidRPr="00337743">
        <w:rPr>
          <w:rFonts w:ascii="Cambria" w:hAnsi="Cambria"/>
          <w:sz w:val="20"/>
          <w:szCs w:val="20"/>
          <w:lang w:val="pt-BR"/>
        </w:rPr>
        <w:t>lém</w:t>
      </w:r>
      <w:r w:rsidR="00DB5118" w:rsidRPr="00337743">
        <w:rPr>
          <w:rFonts w:ascii="Cambria" w:hAnsi="Cambria"/>
          <w:sz w:val="20"/>
          <w:szCs w:val="20"/>
          <w:lang w:val="pt-BR"/>
        </w:rPr>
        <w:t xml:space="preserve"> das </w:t>
      </w:r>
      <w:r w:rsidR="004C2ACB" w:rsidRPr="00337743">
        <w:rPr>
          <w:rFonts w:ascii="Cambria" w:hAnsi="Cambria"/>
          <w:sz w:val="20"/>
          <w:szCs w:val="20"/>
          <w:lang w:val="pt-BR"/>
        </w:rPr>
        <w:t>obri</w:t>
      </w:r>
      <w:r w:rsidR="00B97B0C" w:rsidRPr="00337743">
        <w:rPr>
          <w:rFonts w:ascii="Cambria" w:hAnsi="Cambria"/>
          <w:sz w:val="20"/>
          <w:szCs w:val="20"/>
          <w:lang w:val="pt-BR"/>
        </w:rPr>
        <w:t>ga</w:t>
      </w:r>
      <w:r w:rsidR="00350E7E" w:rsidRPr="00337743">
        <w:rPr>
          <w:rFonts w:ascii="Cambria" w:hAnsi="Cambria"/>
          <w:sz w:val="20"/>
          <w:szCs w:val="20"/>
          <w:lang w:val="pt-BR"/>
        </w:rPr>
        <w:t>ções</w:t>
      </w:r>
      <w:r w:rsidR="00B97B0C" w:rsidRPr="00337743">
        <w:rPr>
          <w:rFonts w:ascii="Cambria" w:hAnsi="Cambria"/>
          <w:sz w:val="20"/>
          <w:szCs w:val="20"/>
          <w:lang w:val="pt-BR"/>
        </w:rPr>
        <w:t xml:space="preserve"> genéricas contidas</w:t>
      </w:r>
      <w:r w:rsidR="00091880" w:rsidRPr="00337743">
        <w:rPr>
          <w:rFonts w:ascii="Cambria" w:hAnsi="Cambria"/>
          <w:sz w:val="20"/>
          <w:szCs w:val="20"/>
          <w:lang w:val="pt-BR"/>
        </w:rPr>
        <w:t xml:space="preserve"> na </w:t>
      </w:r>
      <w:r w:rsidR="00B97B0C" w:rsidRPr="00337743">
        <w:rPr>
          <w:rFonts w:ascii="Cambria" w:hAnsi="Cambria"/>
          <w:sz w:val="20"/>
          <w:szCs w:val="20"/>
          <w:lang w:val="pt-BR"/>
        </w:rPr>
        <w:t>Conven</w:t>
      </w:r>
      <w:r w:rsidR="00350E7E" w:rsidRPr="00337743">
        <w:rPr>
          <w:rFonts w:ascii="Cambria" w:hAnsi="Cambria"/>
          <w:sz w:val="20"/>
          <w:szCs w:val="20"/>
          <w:lang w:val="pt-BR"/>
        </w:rPr>
        <w:t>ção</w:t>
      </w:r>
      <w:r w:rsidR="00B97B0C" w:rsidRPr="00337743">
        <w:rPr>
          <w:rFonts w:ascii="Cambria" w:hAnsi="Cambria"/>
          <w:sz w:val="20"/>
          <w:szCs w:val="20"/>
          <w:lang w:val="pt-BR"/>
        </w:rPr>
        <w:t xml:space="preserve"> Americana,</w:t>
      </w:r>
      <w:r w:rsidR="00091880" w:rsidRPr="00337743">
        <w:rPr>
          <w:rFonts w:ascii="Cambria" w:hAnsi="Cambria"/>
          <w:sz w:val="20"/>
          <w:szCs w:val="20"/>
          <w:lang w:val="pt-BR"/>
        </w:rPr>
        <w:t xml:space="preserve"> </w:t>
      </w:r>
      <w:r w:rsidR="0068292F">
        <w:rPr>
          <w:rFonts w:ascii="Cambria" w:hAnsi="Cambria"/>
          <w:sz w:val="20"/>
          <w:szCs w:val="20"/>
          <w:lang w:val="pt-BR"/>
        </w:rPr>
        <w:t>deveres reforçados pela</w:t>
      </w:r>
      <w:r w:rsidR="007707E3" w:rsidRPr="00337743">
        <w:rPr>
          <w:rFonts w:ascii="Cambria" w:hAnsi="Cambria"/>
          <w:sz w:val="20"/>
          <w:szCs w:val="20"/>
          <w:lang w:val="pt-BR"/>
        </w:rPr>
        <w:t xml:space="preserve"> </w:t>
      </w:r>
      <w:r w:rsidR="00B97B0C" w:rsidRPr="00337743">
        <w:rPr>
          <w:rFonts w:ascii="Cambria" w:hAnsi="Cambria"/>
          <w:sz w:val="20"/>
          <w:szCs w:val="20"/>
          <w:lang w:val="pt-BR"/>
        </w:rPr>
        <w:t>Conven</w:t>
      </w:r>
      <w:r w:rsidR="00350E7E" w:rsidRPr="00337743">
        <w:rPr>
          <w:rFonts w:ascii="Cambria" w:hAnsi="Cambria"/>
          <w:sz w:val="20"/>
          <w:szCs w:val="20"/>
          <w:lang w:val="pt-BR"/>
        </w:rPr>
        <w:t>ção</w:t>
      </w:r>
      <w:r w:rsidR="00B97B0C" w:rsidRPr="00337743">
        <w:rPr>
          <w:rFonts w:ascii="Cambria" w:hAnsi="Cambria"/>
          <w:sz w:val="20"/>
          <w:szCs w:val="20"/>
          <w:lang w:val="pt-BR"/>
        </w:rPr>
        <w:t xml:space="preserve"> </w:t>
      </w:r>
      <w:r w:rsidR="00396C08" w:rsidRPr="00337743">
        <w:rPr>
          <w:rFonts w:ascii="Cambria" w:hAnsi="Cambria"/>
          <w:sz w:val="20"/>
          <w:szCs w:val="20"/>
          <w:lang w:val="pt-BR"/>
        </w:rPr>
        <w:t xml:space="preserve">de </w:t>
      </w:r>
      <w:r w:rsidR="00B97B0C" w:rsidRPr="00337743">
        <w:rPr>
          <w:rFonts w:ascii="Cambria" w:hAnsi="Cambria"/>
          <w:sz w:val="20"/>
          <w:szCs w:val="20"/>
          <w:lang w:val="pt-BR"/>
        </w:rPr>
        <w:t>Belém do Pará</w:t>
      </w:r>
      <w:r w:rsidR="00FD47C4" w:rsidRPr="00337743">
        <w:rPr>
          <w:rStyle w:val="FootnoteReference"/>
          <w:rFonts w:ascii="Cambria" w:hAnsi="Cambria"/>
          <w:sz w:val="20"/>
          <w:szCs w:val="20"/>
          <w:lang w:val="pt-BR"/>
        </w:rPr>
        <w:footnoteReference w:id="85"/>
      </w:r>
      <w:r w:rsidR="00B97B0C" w:rsidRPr="00337743">
        <w:rPr>
          <w:rFonts w:ascii="Cambria" w:hAnsi="Cambria"/>
          <w:sz w:val="20"/>
          <w:szCs w:val="20"/>
          <w:lang w:val="pt-BR"/>
        </w:rPr>
        <w:t>.</w:t>
      </w:r>
    </w:p>
    <w:p w14:paraId="56544B7D" w14:textId="77777777" w:rsidR="00B97B0C" w:rsidRPr="00337743" w:rsidRDefault="00B97B0C" w:rsidP="00564DB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Times New Roman" w:hAnsi="Cambria" w:cs="Arial"/>
          <w:b/>
          <w:bCs/>
          <w:iCs/>
          <w:sz w:val="20"/>
          <w:szCs w:val="20"/>
          <w:bdr w:val="none" w:sz="0" w:space="0" w:color="auto"/>
          <w:lang w:val="pt-BR"/>
        </w:rPr>
      </w:pPr>
    </w:p>
    <w:p w14:paraId="7AE0E122" w14:textId="77777777" w:rsidR="003620C6" w:rsidRPr="00337743" w:rsidRDefault="003620C6" w:rsidP="001D5DA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 xml:space="preserve">Desde </w:t>
      </w:r>
      <w:r w:rsidR="00532720" w:rsidRPr="00337743">
        <w:rPr>
          <w:rFonts w:ascii="Cambria" w:hAnsi="Cambria"/>
          <w:sz w:val="20"/>
          <w:szCs w:val="20"/>
          <w:lang w:val="pt-BR"/>
        </w:rPr>
        <w:t xml:space="preserve">a </w:t>
      </w:r>
      <w:r w:rsidR="00D53C46" w:rsidRPr="00337743">
        <w:rPr>
          <w:rFonts w:ascii="Cambria" w:hAnsi="Cambria"/>
          <w:sz w:val="20"/>
          <w:szCs w:val="20"/>
          <w:lang w:val="pt-BR"/>
        </w:rPr>
        <w:t>sua</w:t>
      </w:r>
      <w:r w:rsidRPr="00337743">
        <w:rPr>
          <w:rFonts w:ascii="Cambria" w:hAnsi="Cambria"/>
          <w:sz w:val="20"/>
          <w:szCs w:val="20"/>
          <w:lang w:val="pt-BR"/>
        </w:rPr>
        <w:t xml:space="preserve"> </w:t>
      </w:r>
      <w:r w:rsidR="00AE3002" w:rsidRPr="00337743">
        <w:rPr>
          <w:rFonts w:ascii="Cambria" w:hAnsi="Cambria"/>
          <w:color w:val="000000"/>
          <w:sz w:val="20"/>
          <w:szCs w:val="20"/>
          <w:lang w:val="pt-BR"/>
        </w:rPr>
        <w:t>primeira</w:t>
      </w:r>
      <w:r w:rsidRPr="00337743">
        <w:rPr>
          <w:rFonts w:ascii="Cambria" w:hAnsi="Cambria"/>
          <w:sz w:val="20"/>
          <w:szCs w:val="20"/>
          <w:lang w:val="pt-BR"/>
        </w:rPr>
        <w:t xml:space="preserve"> senten</w:t>
      </w:r>
      <w:r w:rsidR="00532720" w:rsidRPr="00337743">
        <w:rPr>
          <w:rFonts w:ascii="Cambria" w:hAnsi="Cambria"/>
          <w:sz w:val="20"/>
          <w:szCs w:val="20"/>
          <w:lang w:val="pt-BR"/>
        </w:rPr>
        <w:t>ç</w:t>
      </w:r>
      <w:r w:rsidRPr="00337743">
        <w:rPr>
          <w:rFonts w:ascii="Cambria" w:hAnsi="Cambria"/>
          <w:sz w:val="20"/>
          <w:szCs w:val="20"/>
          <w:lang w:val="pt-BR"/>
        </w:rPr>
        <w:t>a</w:t>
      </w:r>
      <w:r w:rsidR="00091880" w:rsidRPr="00337743">
        <w:rPr>
          <w:rFonts w:ascii="Cambria" w:hAnsi="Cambria"/>
          <w:sz w:val="20"/>
          <w:szCs w:val="20"/>
          <w:lang w:val="pt-BR"/>
        </w:rPr>
        <w:t xml:space="preserve"> </w:t>
      </w:r>
      <w:r w:rsidR="00532720" w:rsidRPr="00337743">
        <w:rPr>
          <w:rFonts w:ascii="Cambria" w:hAnsi="Cambria"/>
          <w:sz w:val="20"/>
          <w:szCs w:val="20"/>
          <w:lang w:val="pt-BR"/>
        </w:rPr>
        <w:t>n</w:t>
      </w:r>
      <w:r w:rsidR="00091880" w:rsidRPr="00337743">
        <w:rPr>
          <w:rFonts w:ascii="Cambria" w:hAnsi="Cambria"/>
          <w:sz w:val="20"/>
          <w:szCs w:val="20"/>
          <w:lang w:val="pt-BR"/>
        </w:rPr>
        <w:t xml:space="preserve">um </w:t>
      </w:r>
      <w:r w:rsidRPr="00337743">
        <w:rPr>
          <w:rFonts w:ascii="Cambria" w:hAnsi="Cambria"/>
          <w:sz w:val="20"/>
          <w:szCs w:val="20"/>
          <w:lang w:val="pt-BR"/>
        </w:rPr>
        <w:t>caso contencioso,</w:t>
      </w:r>
      <w:r w:rsidR="00506331" w:rsidRPr="00337743">
        <w:rPr>
          <w:rFonts w:ascii="Cambria" w:hAnsi="Cambria"/>
          <w:sz w:val="20"/>
          <w:szCs w:val="20"/>
          <w:lang w:val="pt-BR"/>
        </w:rPr>
        <w:t xml:space="preserve"> a </w:t>
      </w:r>
      <w:r w:rsidRPr="00337743">
        <w:rPr>
          <w:rFonts w:ascii="Cambria" w:hAnsi="Cambria"/>
          <w:sz w:val="20"/>
          <w:szCs w:val="20"/>
          <w:lang w:val="pt-BR"/>
        </w:rPr>
        <w:t>Corte Interamericana indic</w:t>
      </w:r>
      <w:r w:rsidR="00532720" w:rsidRPr="00337743">
        <w:rPr>
          <w:rFonts w:ascii="Cambria" w:hAnsi="Cambria"/>
          <w:sz w:val="20"/>
          <w:szCs w:val="20"/>
          <w:lang w:val="pt-BR"/>
        </w:rPr>
        <w:t>ou</w:t>
      </w:r>
      <w:r w:rsidRPr="00337743">
        <w:rPr>
          <w:rFonts w:ascii="Cambria" w:hAnsi="Cambria"/>
          <w:sz w:val="20"/>
          <w:szCs w:val="20"/>
          <w:lang w:val="pt-BR"/>
        </w:rPr>
        <w:t xml:space="preserve">: </w:t>
      </w:r>
    </w:p>
    <w:p w14:paraId="2029D6AE" w14:textId="77777777" w:rsidR="003620C6" w:rsidRPr="00337743" w:rsidRDefault="003620C6" w:rsidP="003620C6">
      <w:pPr>
        <w:tabs>
          <w:tab w:val="left" w:pos="1440"/>
        </w:tabs>
        <w:jc w:val="both"/>
        <w:rPr>
          <w:rStyle w:val="Heading1Char"/>
          <w:rFonts w:eastAsia="Cambria"/>
          <w:b w:val="0"/>
          <w:sz w:val="20"/>
          <w:szCs w:val="20"/>
          <w:lang w:val="pt-BR"/>
        </w:rPr>
      </w:pPr>
    </w:p>
    <w:p w14:paraId="001D9879" w14:textId="77777777" w:rsidR="003620C6" w:rsidRPr="00337743" w:rsidRDefault="00532720" w:rsidP="003620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ight="810"/>
        <w:jc w:val="both"/>
        <w:rPr>
          <w:rStyle w:val="Heading1Char"/>
          <w:rFonts w:eastAsia="Arial Unicode MS" w:cs="Verdana"/>
          <w:b w:val="0"/>
          <w:sz w:val="20"/>
          <w:szCs w:val="20"/>
          <w:lang w:val="pt-BR" w:eastAsia="es-ES"/>
        </w:rPr>
      </w:pPr>
      <w:r w:rsidRPr="00337743">
        <w:rPr>
          <w:rFonts w:ascii="Cambria" w:hAnsi="Cambria" w:cs="Verdana"/>
          <w:sz w:val="20"/>
          <w:szCs w:val="20"/>
          <w:lang w:val="pt-BR" w:eastAsia="es-ES"/>
        </w:rPr>
        <w:t>O</w:t>
      </w:r>
      <w:r w:rsidR="003620C6" w:rsidRPr="00337743">
        <w:rPr>
          <w:rFonts w:ascii="Cambria" w:hAnsi="Cambria" w:cs="Verdana"/>
          <w:sz w:val="20"/>
          <w:szCs w:val="20"/>
          <w:lang w:val="pt-BR" w:eastAsia="es-ES"/>
        </w:rPr>
        <w:t xml:space="preserve"> </w:t>
      </w:r>
      <w:r w:rsidR="00091880" w:rsidRPr="00337743">
        <w:rPr>
          <w:rFonts w:ascii="Cambria" w:hAnsi="Cambria" w:cs="Verdana"/>
          <w:sz w:val="20"/>
          <w:szCs w:val="20"/>
          <w:lang w:val="pt-BR" w:eastAsia="es-ES"/>
        </w:rPr>
        <w:t>artigo</w:t>
      </w:r>
      <w:r w:rsidR="003620C6" w:rsidRPr="00337743">
        <w:rPr>
          <w:rFonts w:ascii="Cambria" w:hAnsi="Cambria" w:cs="Verdana"/>
          <w:sz w:val="20"/>
          <w:szCs w:val="20"/>
          <w:lang w:val="pt-BR" w:eastAsia="es-ES"/>
        </w:rPr>
        <w:t xml:space="preserve"> 1.1</w:t>
      </w:r>
      <w:r w:rsidR="00A6443F" w:rsidRPr="00337743">
        <w:rPr>
          <w:rFonts w:ascii="Cambria" w:hAnsi="Cambria" w:cs="Verdana"/>
          <w:sz w:val="20"/>
          <w:szCs w:val="20"/>
          <w:lang w:val="pt-BR" w:eastAsia="es-ES"/>
        </w:rPr>
        <w:t xml:space="preserve"> é </w:t>
      </w:r>
      <w:r w:rsidR="003620C6" w:rsidRPr="00337743">
        <w:rPr>
          <w:rFonts w:ascii="Cambria" w:hAnsi="Cambria" w:cs="Verdana"/>
          <w:sz w:val="20"/>
          <w:szCs w:val="20"/>
          <w:lang w:val="pt-BR" w:eastAsia="es-ES"/>
        </w:rPr>
        <w:t>fundamental para determinar</w:t>
      </w:r>
      <w:r w:rsidRPr="00337743">
        <w:rPr>
          <w:rFonts w:ascii="Cambria" w:hAnsi="Cambria" w:cs="Verdana"/>
          <w:sz w:val="20"/>
          <w:szCs w:val="20"/>
          <w:lang w:val="pt-BR" w:eastAsia="es-ES"/>
        </w:rPr>
        <w:t xml:space="preserve"> se </w:t>
      </w:r>
      <w:r w:rsidR="00091880" w:rsidRPr="00337743">
        <w:rPr>
          <w:rFonts w:ascii="Cambria" w:hAnsi="Cambria" w:cs="Verdana"/>
          <w:sz w:val="20"/>
          <w:szCs w:val="20"/>
          <w:lang w:val="pt-BR" w:eastAsia="es-ES"/>
        </w:rPr>
        <w:t xml:space="preserve">uma </w:t>
      </w:r>
      <w:r w:rsidR="003620C6" w:rsidRPr="00337743">
        <w:rPr>
          <w:rFonts w:ascii="Cambria" w:hAnsi="Cambria" w:cs="Verdana"/>
          <w:sz w:val="20"/>
          <w:szCs w:val="20"/>
          <w:lang w:val="pt-BR" w:eastAsia="es-ES"/>
        </w:rPr>
        <w:t>viola</w:t>
      </w:r>
      <w:r w:rsidR="00350E7E" w:rsidRPr="00337743">
        <w:rPr>
          <w:rFonts w:ascii="Cambria" w:hAnsi="Cambria" w:cs="Verdana"/>
          <w:sz w:val="20"/>
          <w:szCs w:val="20"/>
          <w:lang w:val="pt-BR" w:eastAsia="es-ES"/>
        </w:rPr>
        <w:t>ção</w:t>
      </w:r>
      <w:r w:rsidR="00E96C24" w:rsidRPr="00337743">
        <w:rPr>
          <w:rFonts w:ascii="Cambria" w:hAnsi="Cambria" w:cs="Verdana"/>
          <w:sz w:val="20"/>
          <w:szCs w:val="20"/>
          <w:lang w:val="pt-BR" w:eastAsia="es-ES"/>
        </w:rPr>
        <w:t xml:space="preserve"> dos </w:t>
      </w:r>
      <w:r w:rsidR="00350E7E" w:rsidRPr="00337743">
        <w:rPr>
          <w:rFonts w:ascii="Cambria" w:hAnsi="Cambria" w:cs="Verdana"/>
          <w:sz w:val="20"/>
          <w:szCs w:val="20"/>
          <w:lang w:val="pt-BR" w:eastAsia="es-ES"/>
        </w:rPr>
        <w:t>direito</w:t>
      </w:r>
      <w:r w:rsidR="003620C6" w:rsidRPr="00337743">
        <w:rPr>
          <w:rFonts w:ascii="Cambria" w:hAnsi="Cambria" w:cs="Verdana"/>
          <w:sz w:val="20"/>
          <w:szCs w:val="20"/>
          <w:lang w:val="pt-BR" w:eastAsia="es-ES"/>
        </w:rPr>
        <w:t xml:space="preserve">s humanos </w:t>
      </w:r>
      <w:r w:rsidR="00D53C46" w:rsidRPr="00337743">
        <w:rPr>
          <w:rFonts w:ascii="Cambria" w:hAnsi="Cambria" w:cs="Verdana"/>
          <w:sz w:val="20"/>
          <w:szCs w:val="20"/>
          <w:lang w:val="pt-BR" w:eastAsia="es-ES"/>
        </w:rPr>
        <w:t>reconhecidos</w:t>
      </w:r>
      <w:r w:rsidR="00C6641C" w:rsidRPr="00337743">
        <w:rPr>
          <w:rFonts w:ascii="Cambria" w:hAnsi="Cambria" w:cs="Verdana"/>
          <w:sz w:val="20"/>
          <w:szCs w:val="20"/>
          <w:lang w:val="pt-BR" w:eastAsia="es-ES"/>
        </w:rPr>
        <w:t xml:space="preserve"> pela </w:t>
      </w:r>
      <w:r w:rsidR="003620C6" w:rsidRPr="00337743">
        <w:rPr>
          <w:rFonts w:ascii="Cambria" w:hAnsi="Cambria" w:cs="Verdana"/>
          <w:sz w:val="20"/>
          <w:szCs w:val="20"/>
          <w:lang w:val="pt-BR" w:eastAsia="es-ES"/>
        </w:rPr>
        <w:t>Conven</w:t>
      </w:r>
      <w:r w:rsidR="00350E7E" w:rsidRPr="00337743">
        <w:rPr>
          <w:rFonts w:ascii="Cambria" w:hAnsi="Cambria" w:cs="Verdana"/>
          <w:sz w:val="20"/>
          <w:szCs w:val="20"/>
          <w:lang w:val="pt-BR" w:eastAsia="es-ES"/>
        </w:rPr>
        <w:t>ção</w:t>
      </w:r>
      <w:r w:rsidR="003620C6" w:rsidRPr="00337743">
        <w:rPr>
          <w:rFonts w:ascii="Cambria" w:hAnsi="Cambria" w:cs="Verdana"/>
          <w:sz w:val="20"/>
          <w:szCs w:val="20"/>
          <w:lang w:val="pt-BR" w:eastAsia="es-ES"/>
        </w:rPr>
        <w:t xml:space="preserve"> p</w:t>
      </w:r>
      <w:r w:rsidR="00802C44" w:rsidRPr="00337743">
        <w:rPr>
          <w:rFonts w:ascii="Cambria" w:hAnsi="Cambria" w:cs="Verdana"/>
          <w:sz w:val="20"/>
          <w:szCs w:val="20"/>
          <w:lang w:val="pt-BR" w:eastAsia="es-ES"/>
        </w:rPr>
        <w:t>o</w:t>
      </w:r>
      <w:r w:rsidR="003620C6" w:rsidRPr="00337743">
        <w:rPr>
          <w:rFonts w:ascii="Cambria" w:hAnsi="Cambria" w:cs="Verdana"/>
          <w:sz w:val="20"/>
          <w:szCs w:val="20"/>
          <w:lang w:val="pt-BR" w:eastAsia="es-ES"/>
        </w:rPr>
        <w:t xml:space="preserve">de ser </w:t>
      </w:r>
      <w:r w:rsidR="00D53C46" w:rsidRPr="00337743">
        <w:rPr>
          <w:rFonts w:ascii="Cambria" w:hAnsi="Cambria" w:cs="Verdana"/>
          <w:sz w:val="20"/>
          <w:szCs w:val="20"/>
          <w:lang w:val="pt-BR" w:eastAsia="es-ES"/>
        </w:rPr>
        <w:t>atribuída</w:t>
      </w:r>
      <w:r w:rsidR="003620C6" w:rsidRPr="00337743">
        <w:rPr>
          <w:rFonts w:ascii="Cambria" w:hAnsi="Cambria" w:cs="Verdana"/>
          <w:sz w:val="20"/>
          <w:szCs w:val="20"/>
          <w:lang w:val="pt-BR" w:eastAsia="es-ES"/>
        </w:rPr>
        <w:t xml:space="preserve"> a</w:t>
      </w:r>
      <w:r w:rsidR="00091880" w:rsidRPr="00337743">
        <w:rPr>
          <w:rFonts w:ascii="Cambria" w:hAnsi="Cambria" w:cs="Verdana"/>
          <w:sz w:val="20"/>
          <w:szCs w:val="20"/>
          <w:lang w:val="pt-BR" w:eastAsia="es-ES"/>
        </w:rPr>
        <w:t xml:space="preserve"> um </w:t>
      </w:r>
      <w:r w:rsidR="003620C6" w:rsidRPr="00337743">
        <w:rPr>
          <w:rFonts w:ascii="Cambria" w:hAnsi="Cambria" w:cs="Verdana"/>
          <w:sz w:val="20"/>
          <w:szCs w:val="20"/>
          <w:lang w:val="pt-BR" w:eastAsia="es-ES"/>
        </w:rPr>
        <w:t>Estado Parte.</w:t>
      </w:r>
      <w:r w:rsidR="00091880" w:rsidRPr="00337743">
        <w:rPr>
          <w:rFonts w:ascii="Cambria" w:hAnsi="Cambria" w:cs="Verdana"/>
          <w:sz w:val="20"/>
          <w:szCs w:val="20"/>
          <w:lang w:val="pt-BR" w:eastAsia="es-ES"/>
        </w:rPr>
        <w:t xml:space="preserve"> </w:t>
      </w:r>
      <w:r w:rsidR="00802C44" w:rsidRPr="00337743">
        <w:rPr>
          <w:rFonts w:ascii="Cambria" w:hAnsi="Cambria" w:cs="Verdana"/>
          <w:sz w:val="20"/>
          <w:szCs w:val="20"/>
          <w:lang w:val="pt-BR" w:eastAsia="es-ES"/>
        </w:rPr>
        <w:t>Co</w:t>
      </w:r>
      <w:r w:rsidR="00091880" w:rsidRPr="00337743">
        <w:rPr>
          <w:rFonts w:ascii="Cambria" w:hAnsi="Cambria" w:cs="Verdana"/>
          <w:sz w:val="20"/>
          <w:szCs w:val="20"/>
          <w:lang w:val="pt-BR" w:eastAsia="es-ES"/>
        </w:rPr>
        <w:t xml:space="preserve">m </w:t>
      </w:r>
      <w:r w:rsidR="00D53C46" w:rsidRPr="00337743">
        <w:rPr>
          <w:rFonts w:ascii="Cambria" w:hAnsi="Cambria" w:cs="Verdana"/>
          <w:sz w:val="20"/>
          <w:szCs w:val="20"/>
          <w:lang w:val="pt-BR" w:eastAsia="es-ES"/>
        </w:rPr>
        <w:t>efeito</w:t>
      </w:r>
      <w:r w:rsidR="003620C6" w:rsidRPr="00337743">
        <w:rPr>
          <w:rFonts w:ascii="Cambria" w:hAnsi="Cambria" w:cs="Verdana"/>
          <w:sz w:val="20"/>
          <w:szCs w:val="20"/>
          <w:lang w:val="pt-BR" w:eastAsia="es-ES"/>
        </w:rPr>
        <w:t xml:space="preserve">, </w:t>
      </w:r>
      <w:r w:rsidR="008E3049" w:rsidRPr="00337743">
        <w:rPr>
          <w:rFonts w:ascii="Cambria" w:hAnsi="Cambria" w:cs="Verdana"/>
          <w:sz w:val="20"/>
          <w:szCs w:val="20"/>
          <w:lang w:val="pt-BR" w:eastAsia="es-ES"/>
        </w:rPr>
        <w:t>esse</w:t>
      </w:r>
      <w:r w:rsidR="003620C6" w:rsidRPr="00337743">
        <w:rPr>
          <w:rFonts w:ascii="Cambria" w:hAnsi="Cambria" w:cs="Verdana"/>
          <w:sz w:val="20"/>
          <w:szCs w:val="20"/>
          <w:lang w:val="pt-BR" w:eastAsia="es-ES"/>
        </w:rPr>
        <w:t xml:space="preserve"> </w:t>
      </w:r>
      <w:r w:rsidR="00091880" w:rsidRPr="00337743">
        <w:rPr>
          <w:rFonts w:ascii="Cambria" w:hAnsi="Cambria" w:cs="Verdana"/>
          <w:sz w:val="20"/>
          <w:szCs w:val="20"/>
          <w:lang w:val="pt-BR" w:eastAsia="es-ES"/>
        </w:rPr>
        <w:t>artigo</w:t>
      </w:r>
      <w:r w:rsidR="003620C6" w:rsidRPr="00337743">
        <w:rPr>
          <w:rFonts w:ascii="Cambria" w:hAnsi="Cambria" w:cs="Verdana"/>
          <w:sz w:val="20"/>
          <w:szCs w:val="20"/>
          <w:lang w:val="pt-BR" w:eastAsia="es-ES"/>
        </w:rPr>
        <w:t xml:space="preserve"> </w:t>
      </w:r>
      <w:r w:rsidR="00B3757A" w:rsidRPr="00337743">
        <w:rPr>
          <w:rFonts w:ascii="Cambria" w:hAnsi="Cambria" w:cs="Verdana"/>
          <w:sz w:val="20"/>
          <w:szCs w:val="20"/>
          <w:lang w:val="pt-BR" w:eastAsia="es-ES"/>
        </w:rPr>
        <w:t>põe</w:t>
      </w:r>
      <w:r w:rsidR="003620C6" w:rsidRPr="00337743">
        <w:rPr>
          <w:rFonts w:ascii="Cambria" w:hAnsi="Cambria" w:cs="Verdana"/>
          <w:sz w:val="20"/>
          <w:szCs w:val="20"/>
          <w:lang w:val="pt-BR" w:eastAsia="es-ES"/>
        </w:rPr>
        <w:t xml:space="preserve"> a cargo</w:t>
      </w:r>
      <w:r w:rsidR="00E96C24" w:rsidRPr="00337743">
        <w:rPr>
          <w:rFonts w:ascii="Cambria" w:hAnsi="Cambria" w:cs="Verdana"/>
          <w:sz w:val="20"/>
          <w:szCs w:val="20"/>
          <w:lang w:val="pt-BR" w:eastAsia="es-ES"/>
        </w:rPr>
        <w:t xml:space="preserve"> dos </w:t>
      </w:r>
      <w:r w:rsidR="003620C6" w:rsidRPr="00337743">
        <w:rPr>
          <w:rFonts w:ascii="Cambria" w:hAnsi="Cambria" w:cs="Verdana"/>
          <w:sz w:val="20"/>
          <w:szCs w:val="20"/>
          <w:lang w:val="pt-BR" w:eastAsia="es-ES"/>
        </w:rPr>
        <w:t>Estados Partes</w:t>
      </w:r>
      <w:r w:rsidR="007707E3" w:rsidRPr="00337743">
        <w:rPr>
          <w:rFonts w:ascii="Cambria" w:hAnsi="Cambria" w:cs="Verdana"/>
          <w:sz w:val="20"/>
          <w:szCs w:val="20"/>
          <w:lang w:val="pt-BR" w:eastAsia="es-ES"/>
        </w:rPr>
        <w:t xml:space="preserve"> os </w:t>
      </w:r>
      <w:r w:rsidR="00D53C46" w:rsidRPr="00337743">
        <w:rPr>
          <w:rFonts w:ascii="Cambria" w:hAnsi="Cambria" w:cs="Verdana"/>
          <w:sz w:val="20"/>
          <w:szCs w:val="20"/>
          <w:lang w:val="pt-BR" w:eastAsia="es-ES"/>
        </w:rPr>
        <w:t>deveres</w:t>
      </w:r>
      <w:r w:rsidR="003620C6" w:rsidRPr="00337743">
        <w:rPr>
          <w:rFonts w:ascii="Cambria" w:hAnsi="Cambria" w:cs="Verdana"/>
          <w:sz w:val="20"/>
          <w:szCs w:val="20"/>
          <w:lang w:val="pt-BR" w:eastAsia="es-ES"/>
        </w:rPr>
        <w:t xml:space="preserve"> fundament</w:t>
      </w:r>
      <w:r w:rsidR="007707E3" w:rsidRPr="00337743">
        <w:rPr>
          <w:rFonts w:ascii="Cambria" w:hAnsi="Cambria" w:cs="Verdana"/>
          <w:sz w:val="20"/>
          <w:szCs w:val="20"/>
          <w:lang w:val="pt-BR" w:eastAsia="es-ES"/>
        </w:rPr>
        <w:t>ais</w:t>
      </w:r>
      <w:r w:rsidR="003620C6" w:rsidRPr="00337743">
        <w:rPr>
          <w:rFonts w:ascii="Cambria" w:hAnsi="Cambria" w:cs="Verdana"/>
          <w:sz w:val="20"/>
          <w:szCs w:val="20"/>
          <w:lang w:val="pt-BR" w:eastAsia="es-ES"/>
        </w:rPr>
        <w:t xml:space="preserve"> de </w:t>
      </w:r>
      <w:r w:rsidR="00B3757A" w:rsidRPr="00337743">
        <w:rPr>
          <w:rFonts w:ascii="Cambria" w:hAnsi="Cambria" w:cs="Verdana"/>
          <w:sz w:val="20"/>
          <w:szCs w:val="20"/>
          <w:lang w:val="pt-BR" w:eastAsia="es-ES"/>
        </w:rPr>
        <w:t>respeito</w:t>
      </w:r>
      <w:r w:rsidR="00506331" w:rsidRPr="00337743">
        <w:rPr>
          <w:rFonts w:ascii="Cambria" w:hAnsi="Cambria" w:cs="Verdana"/>
          <w:sz w:val="20"/>
          <w:szCs w:val="20"/>
          <w:lang w:val="pt-BR" w:eastAsia="es-ES"/>
        </w:rPr>
        <w:t xml:space="preserve"> e </w:t>
      </w:r>
      <w:r w:rsidR="003620C6" w:rsidRPr="00337743">
        <w:rPr>
          <w:rFonts w:ascii="Cambria" w:hAnsi="Cambria" w:cs="Verdana"/>
          <w:sz w:val="20"/>
          <w:szCs w:val="20"/>
          <w:lang w:val="pt-BR" w:eastAsia="es-ES"/>
        </w:rPr>
        <w:t>de garant</w:t>
      </w:r>
      <w:r w:rsidR="00BF72CE" w:rsidRPr="00337743">
        <w:rPr>
          <w:rFonts w:ascii="Cambria" w:hAnsi="Cambria" w:cs="Verdana"/>
          <w:sz w:val="20"/>
          <w:szCs w:val="20"/>
          <w:lang w:val="pt-BR" w:eastAsia="es-ES"/>
        </w:rPr>
        <w:t>ia</w:t>
      </w:r>
      <w:r w:rsidR="003620C6" w:rsidRPr="00337743">
        <w:rPr>
          <w:rFonts w:ascii="Cambria" w:hAnsi="Cambria" w:cs="Verdana"/>
          <w:sz w:val="20"/>
          <w:szCs w:val="20"/>
          <w:lang w:val="pt-BR" w:eastAsia="es-ES"/>
        </w:rPr>
        <w:t>, de tal modo que todo menoscabo</w:t>
      </w:r>
      <w:r w:rsidR="00F453EB" w:rsidRPr="00337743">
        <w:rPr>
          <w:rFonts w:ascii="Cambria" w:hAnsi="Cambria" w:cs="Verdana"/>
          <w:sz w:val="20"/>
          <w:szCs w:val="20"/>
          <w:lang w:val="pt-BR" w:eastAsia="es-ES"/>
        </w:rPr>
        <w:t xml:space="preserve"> </w:t>
      </w:r>
      <w:r w:rsidR="00484427" w:rsidRPr="00337743">
        <w:rPr>
          <w:rFonts w:ascii="Cambria" w:hAnsi="Cambria" w:cs="Verdana"/>
          <w:sz w:val="20"/>
          <w:szCs w:val="20"/>
          <w:lang w:val="pt-BR" w:eastAsia="es-ES"/>
        </w:rPr>
        <w:t>d</w:t>
      </w:r>
      <w:r w:rsidR="00F453EB" w:rsidRPr="00337743">
        <w:rPr>
          <w:rFonts w:ascii="Cambria" w:hAnsi="Cambria" w:cs="Verdana"/>
          <w:sz w:val="20"/>
          <w:szCs w:val="20"/>
          <w:lang w:val="pt-BR" w:eastAsia="es-ES"/>
        </w:rPr>
        <w:t xml:space="preserve">os </w:t>
      </w:r>
      <w:r w:rsidR="00350E7E" w:rsidRPr="00337743">
        <w:rPr>
          <w:rFonts w:ascii="Cambria" w:hAnsi="Cambria" w:cs="Verdana"/>
          <w:sz w:val="20"/>
          <w:szCs w:val="20"/>
          <w:lang w:val="pt-BR" w:eastAsia="es-ES"/>
        </w:rPr>
        <w:t>direito</w:t>
      </w:r>
      <w:r w:rsidR="003620C6" w:rsidRPr="00337743">
        <w:rPr>
          <w:rFonts w:ascii="Cambria" w:hAnsi="Cambria" w:cs="Verdana"/>
          <w:sz w:val="20"/>
          <w:szCs w:val="20"/>
          <w:lang w:val="pt-BR" w:eastAsia="es-ES"/>
        </w:rPr>
        <w:t xml:space="preserve">s humanos </w:t>
      </w:r>
      <w:r w:rsidR="00D53C46" w:rsidRPr="00337743">
        <w:rPr>
          <w:rFonts w:ascii="Cambria" w:hAnsi="Cambria" w:cs="Verdana"/>
          <w:sz w:val="20"/>
          <w:szCs w:val="20"/>
          <w:lang w:val="pt-BR" w:eastAsia="es-ES"/>
        </w:rPr>
        <w:t>reconhecidos</w:t>
      </w:r>
      <w:r w:rsidR="00091880" w:rsidRPr="00337743">
        <w:rPr>
          <w:rFonts w:ascii="Cambria" w:hAnsi="Cambria" w:cs="Verdana"/>
          <w:sz w:val="20"/>
          <w:szCs w:val="20"/>
          <w:lang w:val="pt-BR" w:eastAsia="es-ES"/>
        </w:rPr>
        <w:t xml:space="preserve"> na </w:t>
      </w:r>
      <w:r w:rsidR="003620C6" w:rsidRPr="00337743">
        <w:rPr>
          <w:rFonts w:ascii="Cambria" w:hAnsi="Cambria" w:cs="Verdana"/>
          <w:sz w:val="20"/>
          <w:szCs w:val="20"/>
          <w:lang w:val="pt-BR" w:eastAsia="es-ES"/>
        </w:rPr>
        <w:t>Conven</w:t>
      </w:r>
      <w:r w:rsidR="00350E7E" w:rsidRPr="00337743">
        <w:rPr>
          <w:rFonts w:ascii="Cambria" w:hAnsi="Cambria" w:cs="Verdana"/>
          <w:sz w:val="20"/>
          <w:szCs w:val="20"/>
          <w:lang w:val="pt-BR" w:eastAsia="es-ES"/>
        </w:rPr>
        <w:t>ção</w:t>
      </w:r>
      <w:r w:rsidR="003620C6" w:rsidRPr="00337743">
        <w:rPr>
          <w:rFonts w:ascii="Cambria" w:hAnsi="Cambria" w:cs="Verdana"/>
          <w:sz w:val="20"/>
          <w:szCs w:val="20"/>
          <w:lang w:val="pt-BR" w:eastAsia="es-ES"/>
        </w:rPr>
        <w:t xml:space="preserve"> que p</w:t>
      </w:r>
      <w:r w:rsidR="00802C44" w:rsidRPr="00337743">
        <w:rPr>
          <w:rFonts w:ascii="Cambria" w:hAnsi="Cambria" w:cs="Verdana"/>
          <w:sz w:val="20"/>
          <w:szCs w:val="20"/>
          <w:lang w:val="pt-BR" w:eastAsia="es-ES"/>
        </w:rPr>
        <w:t>oss</w:t>
      </w:r>
      <w:r w:rsidR="003620C6" w:rsidRPr="00337743">
        <w:rPr>
          <w:rFonts w:ascii="Cambria" w:hAnsi="Cambria" w:cs="Verdana"/>
          <w:sz w:val="20"/>
          <w:szCs w:val="20"/>
          <w:lang w:val="pt-BR" w:eastAsia="es-ES"/>
        </w:rPr>
        <w:t xml:space="preserve">a ser </w:t>
      </w:r>
      <w:r w:rsidR="00B3757A" w:rsidRPr="00337743">
        <w:rPr>
          <w:rFonts w:ascii="Cambria" w:hAnsi="Cambria" w:cs="Verdana"/>
          <w:sz w:val="20"/>
          <w:szCs w:val="20"/>
          <w:lang w:val="pt-BR" w:eastAsia="es-ES"/>
        </w:rPr>
        <w:t>atribuído</w:t>
      </w:r>
      <w:r w:rsidR="003620C6" w:rsidRPr="00337743">
        <w:rPr>
          <w:rFonts w:ascii="Cambria" w:hAnsi="Cambria" w:cs="Verdana"/>
          <w:sz w:val="20"/>
          <w:szCs w:val="20"/>
          <w:lang w:val="pt-BR" w:eastAsia="es-ES"/>
        </w:rPr>
        <w:t xml:space="preserve">, </w:t>
      </w:r>
      <w:r w:rsidR="009A3E8A" w:rsidRPr="00337743">
        <w:rPr>
          <w:rFonts w:ascii="Cambria" w:hAnsi="Cambria" w:cs="Verdana"/>
          <w:sz w:val="20"/>
          <w:szCs w:val="20"/>
          <w:lang w:val="pt-BR" w:eastAsia="es-ES"/>
        </w:rPr>
        <w:t>segundo</w:t>
      </w:r>
      <w:r w:rsidR="007707E3" w:rsidRPr="00337743">
        <w:rPr>
          <w:rFonts w:ascii="Cambria" w:hAnsi="Cambria" w:cs="Verdana"/>
          <w:sz w:val="20"/>
          <w:szCs w:val="20"/>
          <w:lang w:val="pt-BR" w:eastAsia="es-ES"/>
        </w:rPr>
        <w:t xml:space="preserve"> as </w:t>
      </w:r>
      <w:r w:rsidR="00AE3002" w:rsidRPr="00337743">
        <w:rPr>
          <w:rFonts w:ascii="Cambria" w:hAnsi="Cambria" w:cs="Verdana"/>
          <w:sz w:val="20"/>
          <w:szCs w:val="20"/>
          <w:lang w:val="pt-BR" w:eastAsia="es-ES"/>
        </w:rPr>
        <w:t>regras</w:t>
      </w:r>
      <w:r w:rsidR="007707E3" w:rsidRPr="00337743">
        <w:rPr>
          <w:rFonts w:ascii="Cambria" w:hAnsi="Cambria" w:cs="Verdana"/>
          <w:sz w:val="20"/>
          <w:szCs w:val="20"/>
          <w:lang w:val="pt-BR" w:eastAsia="es-ES"/>
        </w:rPr>
        <w:t xml:space="preserve"> do </w:t>
      </w:r>
      <w:r w:rsidR="00350E7E" w:rsidRPr="00337743">
        <w:rPr>
          <w:rFonts w:ascii="Cambria" w:hAnsi="Cambria" w:cs="Verdana"/>
          <w:sz w:val="20"/>
          <w:szCs w:val="20"/>
          <w:lang w:val="pt-BR" w:eastAsia="es-ES"/>
        </w:rPr>
        <w:t>Direito</w:t>
      </w:r>
      <w:r w:rsidR="003620C6" w:rsidRPr="00337743">
        <w:rPr>
          <w:rFonts w:ascii="Cambria" w:hAnsi="Cambria" w:cs="Verdana"/>
          <w:sz w:val="20"/>
          <w:szCs w:val="20"/>
          <w:lang w:val="pt-BR" w:eastAsia="es-ES"/>
        </w:rPr>
        <w:t xml:space="preserve"> </w:t>
      </w:r>
      <w:r w:rsidR="00484427" w:rsidRPr="00337743">
        <w:rPr>
          <w:rFonts w:ascii="Cambria" w:hAnsi="Cambria" w:cs="Verdana"/>
          <w:sz w:val="20"/>
          <w:szCs w:val="20"/>
          <w:lang w:val="pt-BR" w:eastAsia="es-ES"/>
        </w:rPr>
        <w:t>I</w:t>
      </w:r>
      <w:r w:rsidR="003620C6" w:rsidRPr="00337743">
        <w:rPr>
          <w:rFonts w:ascii="Cambria" w:hAnsi="Cambria" w:cs="Verdana"/>
          <w:sz w:val="20"/>
          <w:szCs w:val="20"/>
          <w:lang w:val="pt-BR" w:eastAsia="es-ES"/>
        </w:rPr>
        <w:t>nternacional,</w:t>
      </w:r>
      <w:r w:rsidR="00F453EB" w:rsidRPr="00337743">
        <w:rPr>
          <w:rFonts w:ascii="Cambria" w:hAnsi="Cambria" w:cs="Verdana"/>
          <w:sz w:val="20"/>
          <w:szCs w:val="20"/>
          <w:lang w:val="pt-BR" w:eastAsia="es-ES"/>
        </w:rPr>
        <w:t xml:space="preserve"> à </w:t>
      </w:r>
      <w:r w:rsidR="003620C6" w:rsidRPr="00337743">
        <w:rPr>
          <w:rFonts w:ascii="Cambria" w:hAnsi="Cambria" w:cs="Verdana"/>
          <w:sz w:val="20"/>
          <w:szCs w:val="20"/>
          <w:lang w:val="pt-BR" w:eastAsia="es-ES"/>
        </w:rPr>
        <w:t>a</w:t>
      </w:r>
      <w:r w:rsidR="007707E3" w:rsidRPr="00337743">
        <w:rPr>
          <w:rFonts w:ascii="Cambria" w:hAnsi="Cambria" w:cs="Verdana"/>
          <w:sz w:val="20"/>
          <w:szCs w:val="20"/>
          <w:lang w:val="pt-BR" w:eastAsia="es-ES"/>
        </w:rPr>
        <w:t>ç</w:t>
      </w:r>
      <w:r w:rsidR="00350E7E" w:rsidRPr="00337743">
        <w:rPr>
          <w:rFonts w:ascii="Cambria" w:hAnsi="Cambria" w:cs="Verdana"/>
          <w:sz w:val="20"/>
          <w:szCs w:val="20"/>
          <w:lang w:val="pt-BR" w:eastAsia="es-ES"/>
        </w:rPr>
        <w:t>ão</w:t>
      </w:r>
      <w:r w:rsidR="004C2ACB" w:rsidRPr="00337743">
        <w:rPr>
          <w:rFonts w:ascii="Cambria" w:hAnsi="Cambria" w:cs="Verdana"/>
          <w:sz w:val="20"/>
          <w:szCs w:val="20"/>
          <w:lang w:val="pt-BR" w:eastAsia="es-ES"/>
        </w:rPr>
        <w:t xml:space="preserve"> ou </w:t>
      </w:r>
      <w:r w:rsidR="003620C6" w:rsidRPr="00337743">
        <w:rPr>
          <w:rFonts w:ascii="Cambria" w:hAnsi="Cambria" w:cs="Verdana"/>
          <w:sz w:val="20"/>
          <w:szCs w:val="20"/>
          <w:lang w:val="pt-BR" w:eastAsia="es-ES"/>
        </w:rPr>
        <w:t>omis</w:t>
      </w:r>
      <w:r w:rsidR="00802C44" w:rsidRPr="00337743">
        <w:rPr>
          <w:rFonts w:ascii="Cambria" w:hAnsi="Cambria" w:cs="Verdana"/>
          <w:sz w:val="20"/>
          <w:szCs w:val="20"/>
          <w:lang w:val="pt-BR" w:eastAsia="es-ES"/>
        </w:rPr>
        <w:t>são</w:t>
      </w:r>
      <w:r w:rsidR="003620C6" w:rsidRPr="00337743">
        <w:rPr>
          <w:rFonts w:ascii="Cambria" w:hAnsi="Cambria" w:cs="Verdana"/>
          <w:sz w:val="20"/>
          <w:szCs w:val="20"/>
          <w:lang w:val="pt-BR" w:eastAsia="es-ES"/>
        </w:rPr>
        <w:t xml:space="preserve"> de </w:t>
      </w:r>
      <w:r w:rsidR="00B3757A" w:rsidRPr="00337743">
        <w:rPr>
          <w:rFonts w:ascii="Cambria" w:hAnsi="Cambria" w:cs="Verdana"/>
          <w:sz w:val="20"/>
          <w:szCs w:val="20"/>
          <w:lang w:val="pt-BR" w:eastAsia="es-ES"/>
        </w:rPr>
        <w:t>qualquer</w:t>
      </w:r>
      <w:r w:rsidR="003620C6" w:rsidRPr="00337743">
        <w:rPr>
          <w:rFonts w:ascii="Cambria" w:hAnsi="Cambria" w:cs="Verdana"/>
          <w:sz w:val="20"/>
          <w:szCs w:val="20"/>
          <w:lang w:val="pt-BR" w:eastAsia="es-ES"/>
        </w:rPr>
        <w:t xml:space="preserve"> autori</w:t>
      </w:r>
      <w:r w:rsidR="00350E7E" w:rsidRPr="00337743">
        <w:rPr>
          <w:rFonts w:ascii="Cambria" w:hAnsi="Cambria" w:cs="Verdana"/>
          <w:sz w:val="20"/>
          <w:szCs w:val="20"/>
          <w:lang w:val="pt-BR" w:eastAsia="es-ES"/>
        </w:rPr>
        <w:t xml:space="preserve">dade </w:t>
      </w:r>
      <w:r w:rsidR="003620C6" w:rsidRPr="00337743">
        <w:rPr>
          <w:rFonts w:ascii="Cambria" w:hAnsi="Cambria" w:cs="Verdana"/>
          <w:sz w:val="20"/>
          <w:szCs w:val="20"/>
          <w:lang w:val="pt-BR" w:eastAsia="es-ES"/>
        </w:rPr>
        <w:t>pública constitu</w:t>
      </w:r>
      <w:r w:rsidR="009A3E8A" w:rsidRPr="00337743">
        <w:rPr>
          <w:rFonts w:ascii="Cambria" w:hAnsi="Cambria" w:cs="Verdana"/>
          <w:sz w:val="20"/>
          <w:szCs w:val="20"/>
          <w:lang w:val="pt-BR" w:eastAsia="es-ES"/>
        </w:rPr>
        <w:t>i</w:t>
      </w:r>
      <w:r w:rsidR="00091880" w:rsidRPr="00337743">
        <w:rPr>
          <w:rFonts w:ascii="Cambria" w:hAnsi="Cambria" w:cs="Verdana"/>
          <w:sz w:val="20"/>
          <w:szCs w:val="20"/>
          <w:lang w:val="pt-BR" w:eastAsia="es-ES"/>
        </w:rPr>
        <w:t xml:space="preserve"> um </w:t>
      </w:r>
      <w:r w:rsidR="008E3049" w:rsidRPr="00337743">
        <w:rPr>
          <w:rFonts w:ascii="Cambria" w:hAnsi="Cambria" w:cs="Verdana"/>
          <w:sz w:val="20"/>
          <w:szCs w:val="20"/>
          <w:lang w:val="pt-BR" w:eastAsia="es-ES"/>
        </w:rPr>
        <w:t>fato</w:t>
      </w:r>
      <w:r w:rsidR="003620C6" w:rsidRPr="00337743">
        <w:rPr>
          <w:rFonts w:ascii="Cambria" w:hAnsi="Cambria" w:cs="Verdana"/>
          <w:sz w:val="20"/>
          <w:szCs w:val="20"/>
          <w:lang w:val="pt-BR" w:eastAsia="es-ES"/>
        </w:rPr>
        <w:t xml:space="preserve"> imput</w:t>
      </w:r>
      <w:r w:rsidR="00802C44" w:rsidRPr="00337743">
        <w:rPr>
          <w:rFonts w:ascii="Cambria" w:hAnsi="Cambria" w:cs="Verdana"/>
          <w:sz w:val="20"/>
          <w:szCs w:val="20"/>
          <w:lang w:val="pt-BR" w:eastAsia="es-ES"/>
        </w:rPr>
        <w:t>ável</w:t>
      </w:r>
      <w:r w:rsidR="00BF72CE" w:rsidRPr="00337743">
        <w:rPr>
          <w:rFonts w:ascii="Cambria" w:hAnsi="Cambria" w:cs="Verdana"/>
          <w:sz w:val="20"/>
          <w:szCs w:val="20"/>
          <w:lang w:val="pt-BR" w:eastAsia="es-ES"/>
        </w:rPr>
        <w:t xml:space="preserve"> ao </w:t>
      </w:r>
      <w:r w:rsidR="003620C6" w:rsidRPr="00337743">
        <w:rPr>
          <w:rFonts w:ascii="Cambria" w:hAnsi="Cambria" w:cs="Verdana"/>
          <w:sz w:val="20"/>
          <w:szCs w:val="20"/>
          <w:lang w:val="pt-BR" w:eastAsia="es-ES"/>
        </w:rPr>
        <w:t xml:space="preserve">Estado que  compromete </w:t>
      </w:r>
      <w:r w:rsidR="00B3757A" w:rsidRPr="00337743">
        <w:rPr>
          <w:rFonts w:ascii="Cambria" w:hAnsi="Cambria" w:cs="Verdana"/>
          <w:sz w:val="20"/>
          <w:szCs w:val="20"/>
          <w:lang w:val="pt-BR" w:eastAsia="es-ES"/>
        </w:rPr>
        <w:t>sua</w:t>
      </w:r>
      <w:r w:rsidR="003620C6" w:rsidRPr="00337743">
        <w:rPr>
          <w:rFonts w:ascii="Cambria" w:hAnsi="Cambria" w:cs="Verdana"/>
          <w:sz w:val="20"/>
          <w:szCs w:val="20"/>
          <w:lang w:val="pt-BR" w:eastAsia="es-ES"/>
        </w:rPr>
        <w:t xml:space="preserve"> responsabili</w:t>
      </w:r>
      <w:r w:rsidR="00350E7E" w:rsidRPr="00337743">
        <w:rPr>
          <w:rFonts w:ascii="Cambria" w:hAnsi="Cambria" w:cs="Verdana"/>
          <w:sz w:val="20"/>
          <w:szCs w:val="20"/>
          <w:lang w:val="pt-BR" w:eastAsia="es-ES"/>
        </w:rPr>
        <w:t>dade</w:t>
      </w:r>
      <w:r w:rsidR="00513361" w:rsidRPr="00337743">
        <w:rPr>
          <w:rFonts w:ascii="Cambria" w:hAnsi="Cambria" w:cs="Verdana"/>
          <w:sz w:val="20"/>
          <w:szCs w:val="20"/>
          <w:lang w:val="pt-BR" w:eastAsia="es-ES"/>
        </w:rPr>
        <w:t xml:space="preserve"> nos </w:t>
      </w:r>
      <w:r w:rsidR="003620C6" w:rsidRPr="00337743">
        <w:rPr>
          <w:rFonts w:ascii="Cambria" w:hAnsi="Cambria" w:cs="Verdana"/>
          <w:sz w:val="20"/>
          <w:szCs w:val="20"/>
          <w:lang w:val="pt-BR" w:eastAsia="es-ES"/>
        </w:rPr>
        <w:t>t</w:t>
      </w:r>
      <w:r w:rsidR="00AC099C" w:rsidRPr="00337743">
        <w:rPr>
          <w:rFonts w:ascii="Cambria" w:hAnsi="Cambria" w:cs="Verdana"/>
          <w:sz w:val="20"/>
          <w:szCs w:val="20"/>
          <w:lang w:val="pt-BR" w:eastAsia="es-ES"/>
        </w:rPr>
        <w:t>e</w:t>
      </w:r>
      <w:r w:rsidR="003620C6" w:rsidRPr="00337743">
        <w:rPr>
          <w:rFonts w:ascii="Cambria" w:hAnsi="Cambria" w:cs="Verdana"/>
          <w:sz w:val="20"/>
          <w:szCs w:val="20"/>
          <w:lang w:val="pt-BR" w:eastAsia="es-ES"/>
        </w:rPr>
        <w:t>rmos previstos</w:t>
      </w:r>
      <w:r w:rsidR="00C6641C" w:rsidRPr="00337743">
        <w:rPr>
          <w:rFonts w:ascii="Cambria" w:hAnsi="Cambria" w:cs="Verdana"/>
          <w:sz w:val="20"/>
          <w:szCs w:val="20"/>
          <w:lang w:val="pt-BR" w:eastAsia="es-ES"/>
        </w:rPr>
        <w:t xml:space="preserve"> pela </w:t>
      </w:r>
      <w:r w:rsidR="00B3757A" w:rsidRPr="00337743">
        <w:rPr>
          <w:rFonts w:ascii="Cambria" w:hAnsi="Cambria" w:cs="Verdana"/>
          <w:sz w:val="20"/>
          <w:szCs w:val="20"/>
          <w:lang w:val="pt-BR" w:eastAsia="es-ES"/>
        </w:rPr>
        <w:t>mesma</w:t>
      </w:r>
      <w:r w:rsidR="003620C6" w:rsidRPr="00337743">
        <w:rPr>
          <w:rFonts w:ascii="Cambria" w:hAnsi="Cambria" w:cs="Verdana"/>
          <w:sz w:val="20"/>
          <w:szCs w:val="20"/>
          <w:lang w:val="pt-BR" w:eastAsia="es-ES"/>
        </w:rPr>
        <w:t xml:space="preserve"> Conven</w:t>
      </w:r>
      <w:r w:rsidR="00350E7E" w:rsidRPr="00337743">
        <w:rPr>
          <w:rFonts w:ascii="Cambria" w:hAnsi="Cambria" w:cs="Verdana"/>
          <w:sz w:val="20"/>
          <w:szCs w:val="20"/>
          <w:lang w:val="pt-BR" w:eastAsia="es-ES"/>
        </w:rPr>
        <w:t>ção</w:t>
      </w:r>
      <w:r w:rsidR="003620C6" w:rsidRPr="00337743">
        <w:rPr>
          <w:rStyle w:val="FootnoteReference"/>
          <w:rFonts w:ascii="Cambria" w:hAnsi="Cambria"/>
          <w:sz w:val="20"/>
          <w:szCs w:val="20"/>
          <w:lang w:val="pt-BR"/>
        </w:rPr>
        <w:footnoteReference w:id="86"/>
      </w:r>
      <w:r w:rsidR="003620C6" w:rsidRPr="00337743">
        <w:rPr>
          <w:rFonts w:ascii="Cambria" w:hAnsi="Cambria" w:cs="Verdana"/>
          <w:sz w:val="20"/>
          <w:szCs w:val="20"/>
          <w:lang w:val="pt-BR" w:eastAsia="es-ES"/>
        </w:rPr>
        <w:t>.</w:t>
      </w:r>
    </w:p>
    <w:p w14:paraId="0A6F0379" w14:textId="77777777" w:rsidR="003620C6" w:rsidRPr="00337743" w:rsidRDefault="003620C6" w:rsidP="003620C6">
      <w:pPr>
        <w:tabs>
          <w:tab w:val="left" w:pos="1440"/>
        </w:tabs>
        <w:jc w:val="both"/>
        <w:rPr>
          <w:rFonts w:ascii="Cambria" w:hAnsi="Cambria" w:cs="Arial"/>
          <w:sz w:val="20"/>
          <w:szCs w:val="20"/>
          <w:lang w:val="pt-BR"/>
        </w:rPr>
      </w:pPr>
    </w:p>
    <w:p w14:paraId="5FE4DE32" w14:textId="77777777" w:rsidR="003620C6" w:rsidRPr="00337743" w:rsidRDefault="00532720" w:rsidP="001D5DA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A</w:t>
      </w:r>
      <w:r w:rsidR="003620C6" w:rsidRPr="00337743">
        <w:rPr>
          <w:rFonts w:ascii="Cambria" w:hAnsi="Cambria"/>
          <w:sz w:val="20"/>
          <w:szCs w:val="20"/>
          <w:lang w:val="pt-BR"/>
        </w:rPr>
        <w:t xml:space="preserve"> responsabili</w:t>
      </w:r>
      <w:r w:rsidR="00350E7E" w:rsidRPr="00337743">
        <w:rPr>
          <w:rFonts w:ascii="Cambria" w:hAnsi="Cambria"/>
          <w:sz w:val="20"/>
          <w:szCs w:val="20"/>
          <w:lang w:val="pt-BR"/>
        </w:rPr>
        <w:t xml:space="preserve">dade </w:t>
      </w:r>
      <w:r w:rsidR="003620C6" w:rsidRPr="00337743">
        <w:rPr>
          <w:rFonts w:ascii="Cambria" w:hAnsi="Cambria"/>
          <w:sz w:val="20"/>
          <w:szCs w:val="20"/>
          <w:lang w:val="pt-BR"/>
        </w:rPr>
        <w:t>internacional</w:t>
      </w:r>
      <w:r w:rsidR="007707E3" w:rsidRPr="00337743">
        <w:rPr>
          <w:rFonts w:ascii="Cambria" w:hAnsi="Cambria"/>
          <w:sz w:val="20"/>
          <w:szCs w:val="20"/>
          <w:lang w:val="pt-BR"/>
        </w:rPr>
        <w:t xml:space="preserve"> do </w:t>
      </w:r>
      <w:r w:rsidR="003620C6" w:rsidRPr="00337743">
        <w:rPr>
          <w:rFonts w:ascii="Cambria" w:hAnsi="Cambria"/>
          <w:sz w:val="20"/>
          <w:szCs w:val="20"/>
          <w:lang w:val="pt-BR"/>
        </w:rPr>
        <w:t>Estado p</w:t>
      </w:r>
      <w:r w:rsidR="00802C44" w:rsidRPr="00337743">
        <w:rPr>
          <w:rFonts w:ascii="Cambria" w:hAnsi="Cambria"/>
          <w:sz w:val="20"/>
          <w:szCs w:val="20"/>
          <w:lang w:val="pt-BR"/>
        </w:rPr>
        <w:t>o</w:t>
      </w:r>
      <w:r w:rsidR="003620C6" w:rsidRPr="00337743">
        <w:rPr>
          <w:rFonts w:ascii="Cambria" w:hAnsi="Cambria"/>
          <w:sz w:val="20"/>
          <w:szCs w:val="20"/>
          <w:lang w:val="pt-BR"/>
        </w:rPr>
        <w:t xml:space="preserve">de </w:t>
      </w:r>
      <w:r w:rsidR="00B3757A" w:rsidRPr="00337743">
        <w:rPr>
          <w:rFonts w:ascii="Cambria" w:hAnsi="Cambria"/>
          <w:sz w:val="20"/>
          <w:szCs w:val="20"/>
          <w:lang w:val="pt-BR"/>
        </w:rPr>
        <w:t>basear-se</w:t>
      </w:r>
      <w:r w:rsidR="00091880" w:rsidRPr="00337743">
        <w:rPr>
          <w:rFonts w:ascii="Cambria" w:hAnsi="Cambria"/>
          <w:sz w:val="20"/>
          <w:szCs w:val="20"/>
          <w:lang w:val="pt-BR"/>
        </w:rPr>
        <w:t xml:space="preserve"> em </w:t>
      </w:r>
      <w:r w:rsidR="009A3E8A" w:rsidRPr="00337743">
        <w:rPr>
          <w:rFonts w:ascii="Cambria" w:hAnsi="Cambria"/>
          <w:sz w:val="20"/>
          <w:szCs w:val="20"/>
          <w:lang w:val="pt-BR"/>
        </w:rPr>
        <w:t>atos</w:t>
      </w:r>
      <w:r w:rsidR="004C2ACB" w:rsidRPr="00337743">
        <w:rPr>
          <w:rFonts w:ascii="Cambria" w:hAnsi="Cambria"/>
          <w:sz w:val="20"/>
          <w:szCs w:val="20"/>
          <w:lang w:val="pt-BR"/>
        </w:rPr>
        <w:t xml:space="preserve"> ou </w:t>
      </w:r>
      <w:r w:rsidR="003620C6" w:rsidRPr="00337743">
        <w:rPr>
          <w:rFonts w:ascii="Cambria" w:hAnsi="Cambria"/>
          <w:sz w:val="20"/>
          <w:szCs w:val="20"/>
          <w:lang w:val="pt-BR"/>
        </w:rPr>
        <w:t>omis</w:t>
      </w:r>
      <w:r w:rsidR="00802C44" w:rsidRPr="00337743">
        <w:rPr>
          <w:rFonts w:ascii="Cambria" w:hAnsi="Cambria"/>
          <w:sz w:val="20"/>
          <w:szCs w:val="20"/>
          <w:lang w:val="pt-BR"/>
        </w:rPr>
        <w:t>sõ</w:t>
      </w:r>
      <w:r w:rsidR="003620C6" w:rsidRPr="00337743">
        <w:rPr>
          <w:rFonts w:ascii="Cambria" w:hAnsi="Cambria"/>
          <w:sz w:val="20"/>
          <w:szCs w:val="20"/>
          <w:lang w:val="pt-BR"/>
        </w:rPr>
        <w:t xml:space="preserve">es de </w:t>
      </w:r>
      <w:r w:rsidR="00B3757A" w:rsidRPr="00337743">
        <w:rPr>
          <w:rFonts w:ascii="Cambria" w:hAnsi="Cambria"/>
          <w:sz w:val="20"/>
          <w:szCs w:val="20"/>
          <w:lang w:val="pt-BR"/>
        </w:rPr>
        <w:t>qualquer</w:t>
      </w:r>
      <w:r w:rsidR="003620C6" w:rsidRPr="00337743">
        <w:rPr>
          <w:rFonts w:ascii="Cambria" w:hAnsi="Cambria"/>
          <w:sz w:val="20"/>
          <w:szCs w:val="20"/>
          <w:lang w:val="pt-BR"/>
        </w:rPr>
        <w:t xml:space="preserve"> poder</w:t>
      </w:r>
      <w:r w:rsidR="004C2ACB" w:rsidRPr="00337743">
        <w:rPr>
          <w:rFonts w:ascii="Cambria" w:hAnsi="Cambria"/>
          <w:sz w:val="20"/>
          <w:szCs w:val="20"/>
          <w:lang w:val="pt-BR"/>
        </w:rPr>
        <w:t xml:space="preserve"> ou </w:t>
      </w:r>
      <w:r w:rsidR="009A3E8A" w:rsidRPr="00337743">
        <w:rPr>
          <w:rFonts w:ascii="Cambria" w:hAnsi="Cambria"/>
          <w:sz w:val="20"/>
          <w:szCs w:val="20"/>
          <w:lang w:val="pt-BR"/>
        </w:rPr>
        <w:t>órgão</w:t>
      </w:r>
      <w:r w:rsidR="003620C6" w:rsidRPr="00337743">
        <w:rPr>
          <w:rFonts w:ascii="Cambria" w:hAnsi="Cambria"/>
          <w:sz w:val="20"/>
          <w:szCs w:val="20"/>
          <w:lang w:val="pt-BR"/>
        </w:rPr>
        <w:t xml:space="preserve"> d</w:t>
      </w:r>
      <w:r w:rsidR="00B3757A" w:rsidRPr="00337743">
        <w:rPr>
          <w:rFonts w:ascii="Cambria" w:hAnsi="Cambria"/>
          <w:sz w:val="20"/>
          <w:szCs w:val="20"/>
          <w:lang w:val="pt-BR"/>
        </w:rPr>
        <w:t>este</w:t>
      </w:r>
      <w:r w:rsidR="003620C6" w:rsidRPr="00337743">
        <w:rPr>
          <w:rFonts w:ascii="Cambria" w:hAnsi="Cambria"/>
          <w:sz w:val="20"/>
          <w:szCs w:val="20"/>
          <w:lang w:val="pt-BR"/>
        </w:rPr>
        <w:t xml:space="preserve"> que </w:t>
      </w:r>
      <w:r w:rsidR="009A3E8A" w:rsidRPr="00337743">
        <w:rPr>
          <w:rFonts w:ascii="Cambria" w:hAnsi="Cambria"/>
          <w:sz w:val="20"/>
          <w:szCs w:val="20"/>
          <w:lang w:val="pt-BR"/>
        </w:rPr>
        <w:t>violem</w:t>
      </w:r>
      <w:r w:rsidR="00506331" w:rsidRPr="00337743">
        <w:rPr>
          <w:rFonts w:ascii="Cambria" w:hAnsi="Cambria"/>
          <w:sz w:val="20"/>
          <w:szCs w:val="20"/>
          <w:lang w:val="pt-BR"/>
        </w:rPr>
        <w:t xml:space="preserve"> a </w:t>
      </w:r>
      <w:r w:rsidR="003620C6" w:rsidRPr="00337743">
        <w:rPr>
          <w:rFonts w:ascii="Cambria" w:hAnsi="Cambria"/>
          <w:sz w:val="20"/>
          <w:szCs w:val="20"/>
          <w:lang w:val="pt-BR"/>
        </w:rPr>
        <w:t>Conven</w:t>
      </w:r>
      <w:r w:rsidR="00350E7E" w:rsidRPr="00337743">
        <w:rPr>
          <w:rFonts w:ascii="Cambria" w:hAnsi="Cambria"/>
          <w:sz w:val="20"/>
          <w:szCs w:val="20"/>
          <w:lang w:val="pt-BR"/>
        </w:rPr>
        <w:t>ção</w:t>
      </w:r>
      <w:r w:rsidR="003620C6" w:rsidRPr="00337743">
        <w:rPr>
          <w:rFonts w:ascii="Cambria" w:hAnsi="Cambria"/>
          <w:sz w:val="20"/>
          <w:szCs w:val="20"/>
          <w:lang w:val="pt-BR"/>
        </w:rPr>
        <w:t xml:space="preserve"> Americana,</w:t>
      </w:r>
      <w:r w:rsidR="00506331" w:rsidRPr="00337743">
        <w:rPr>
          <w:rFonts w:ascii="Cambria" w:hAnsi="Cambria"/>
          <w:sz w:val="20"/>
          <w:szCs w:val="20"/>
          <w:lang w:val="pt-BR"/>
        </w:rPr>
        <w:t xml:space="preserve"> e </w:t>
      </w:r>
      <w:r w:rsidR="00484427" w:rsidRPr="00337743">
        <w:rPr>
          <w:rFonts w:ascii="Cambria" w:hAnsi="Cambria"/>
          <w:sz w:val="20"/>
          <w:szCs w:val="20"/>
          <w:lang w:val="pt-BR"/>
        </w:rPr>
        <w:t>é</w:t>
      </w:r>
      <w:r w:rsidR="003620C6" w:rsidRPr="00337743">
        <w:rPr>
          <w:rFonts w:ascii="Cambria" w:hAnsi="Cambria"/>
          <w:sz w:val="20"/>
          <w:szCs w:val="20"/>
          <w:lang w:val="pt-BR"/>
        </w:rPr>
        <w:t xml:space="preserve"> gera</w:t>
      </w:r>
      <w:r w:rsidR="00484427" w:rsidRPr="00337743">
        <w:rPr>
          <w:rFonts w:ascii="Cambria" w:hAnsi="Cambria"/>
          <w:sz w:val="20"/>
          <w:szCs w:val="20"/>
          <w:lang w:val="pt-BR"/>
        </w:rPr>
        <w:t>da</w:t>
      </w:r>
      <w:r w:rsidR="00091880" w:rsidRPr="00337743">
        <w:rPr>
          <w:rFonts w:ascii="Cambria" w:hAnsi="Cambria"/>
          <w:sz w:val="20"/>
          <w:szCs w:val="20"/>
          <w:lang w:val="pt-BR"/>
        </w:rPr>
        <w:t xml:space="preserve"> </w:t>
      </w:r>
      <w:r w:rsidR="009A3E8A" w:rsidRPr="00337743">
        <w:rPr>
          <w:rFonts w:ascii="Cambria" w:hAnsi="Cambria"/>
          <w:sz w:val="20"/>
          <w:szCs w:val="20"/>
          <w:lang w:val="pt-BR"/>
        </w:rPr>
        <w:t>d</w:t>
      </w:r>
      <w:r w:rsidR="00091880" w:rsidRPr="00337743">
        <w:rPr>
          <w:rFonts w:ascii="Cambria" w:hAnsi="Cambria"/>
          <w:sz w:val="20"/>
          <w:szCs w:val="20"/>
          <w:lang w:val="pt-BR"/>
        </w:rPr>
        <w:t xml:space="preserve">e </w:t>
      </w:r>
      <w:r w:rsidR="003620C6" w:rsidRPr="00337743">
        <w:rPr>
          <w:rFonts w:ascii="Cambria" w:hAnsi="Cambria"/>
          <w:sz w:val="20"/>
          <w:szCs w:val="20"/>
          <w:lang w:val="pt-BR"/>
        </w:rPr>
        <w:t xml:space="preserve">forma </w:t>
      </w:r>
      <w:r w:rsidR="00DB5118" w:rsidRPr="00337743">
        <w:rPr>
          <w:rFonts w:ascii="Cambria" w:hAnsi="Cambria"/>
          <w:sz w:val="20"/>
          <w:szCs w:val="20"/>
          <w:lang w:val="pt-BR"/>
        </w:rPr>
        <w:t>im</w:t>
      </w:r>
      <w:r w:rsidR="003620C6" w:rsidRPr="00337743">
        <w:rPr>
          <w:rFonts w:ascii="Cambria" w:hAnsi="Cambria"/>
          <w:sz w:val="20"/>
          <w:szCs w:val="20"/>
          <w:lang w:val="pt-BR"/>
        </w:rPr>
        <w:t>ediata</w:t>
      </w:r>
      <w:r w:rsidR="00091880" w:rsidRPr="00337743">
        <w:rPr>
          <w:rFonts w:ascii="Cambria" w:hAnsi="Cambria"/>
          <w:sz w:val="20"/>
          <w:szCs w:val="20"/>
          <w:lang w:val="pt-BR"/>
        </w:rPr>
        <w:t xml:space="preserve"> com </w:t>
      </w:r>
      <w:r w:rsidR="00506331" w:rsidRPr="00337743">
        <w:rPr>
          <w:rFonts w:ascii="Cambria" w:hAnsi="Cambria"/>
          <w:sz w:val="20"/>
          <w:szCs w:val="20"/>
          <w:lang w:val="pt-BR"/>
        </w:rPr>
        <w:t xml:space="preserve">o </w:t>
      </w:r>
      <w:r w:rsidR="003620C6" w:rsidRPr="00337743">
        <w:rPr>
          <w:rFonts w:ascii="Cambria" w:hAnsi="Cambria"/>
          <w:sz w:val="20"/>
          <w:szCs w:val="20"/>
          <w:lang w:val="pt-BR"/>
        </w:rPr>
        <w:t xml:space="preserve">ilícito internacional </w:t>
      </w:r>
      <w:r w:rsidR="009A3E8A" w:rsidRPr="00337743">
        <w:rPr>
          <w:rFonts w:ascii="Cambria" w:hAnsi="Cambria"/>
          <w:sz w:val="20"/>
          <w:szCs w:val="20"/>
          <w:lang w:val="pt-BR"/>
        </w:rPr>
        <w:t>atribuído</w:t>
      </w:r>
      <w:r w:rsidR="003620C6" w:rsidRPr="00337743">
        <w:rPr>
          <w:rFonts w:ascii="Cambria" w:hAnsi="Cambria"/>
          <w:sz w:val="20"/>
          <w:szCs w:val="20"/>
          <w:lang w:val="pt-BR"/>
        </w:rPr>
        <w:t xml:space="preserve">. </w:t>
      </w:r>
      <w:r w:rsidR="00091880" w:rsidRPr="00337743">
        <w:rPr>
          <w:rFonts w:ascii="Cambria" w:hAnsi="Cambria"/>
          <w:sz w:val="20"/>
          <w:szCs w:val="20"/>
          <w:lang w:val="pt-BR"/>
        </w:rPr>
        <w:t xml:space="preserve"> </w:t>
      </w:r>
      <w:r w:rsidR="00B3757A" w:rsidRPr="00337743">
        <w:rPr>
          <w:rFonts w:ascii="Cambria" w:hAnsi="Cambria"/>
          <w:sz w:val="20"/>
          <w:szCs w:val="20"/>
          <w:lang w:val="pt-BR"/>
        </w:rPr>
        <w:t xml:space="preserve">Com </w:t>
      </w:r>
      <w:r w:rsidR="009A3E8A" w:rsidRPr="00337743">
        <w:rPr>
          <w:rFonts w:ascii="Cambria" w:hAnsi="Cambria"/>
          <w:sz w:val="20"/>
          <w:szCs w:val="20"/>
          <w:lang w:val="pt-BR"/>
        </w:rPr>
        <w:t>estes</w:t>
      </w:r>
      <w:r w:rsidR="003620C6" w:rsidRPr="00337743">
        <w:rPr>
          <w:rFonts w:ascii="Cambria" w:hAnsi="Cambria"/>
          <w:sz w:val="20"/>
          <w:szCs w:val="20"/>
          <w:lang w:val="pt-BR"/>
        </w:rPr>
        <w:t xml:space="preserve"> </w:t>
      </w:r>
      <w:r w:rsidR="009A3E8A" w:rsidRPr="00337743">
        <w:rPr>
          <w:rFonts w:ascii="Cambria" w:hAnsi="Cambria"/>
          <w:sz w:val="20"/>
          <w:szCs w:val="20"/>
          <w:lang w:val="pt-BR"/>
        </w:rPr>
        <w:t>pressupostos</w:t>
      </w:r>
      <w:r w:rsidR="003620C6" w:rsidRPr="00337743">
        <w:rPr>
          <w:rFonts w:ascii="Cambria" w:hAnsi="Cambria"/>
          <w:sz w:val="20"/>
          <w:szCs w:val="20"/>
          <w:lang w:val="pt-BR"/>
        </w:rPr>
        <w:t xml:space="preserve">, para </w:t>
      </w:r>
      <w:r w:rsidR="009A3E8A" w:rsidRPr="00337743">
        <w:rPr>
          <w:rFonts w:ascii="Cambria" w:hAnsi="Cambria"/>
          <w:sz w:val="20"/>
          <w:szCs w:val="20"/>
          <w:lang w:val="pt-BR"/>
        </w:rPr>
        <w:t>estabelecer</w:t>
      </w:r>
      <w:r w:rsidR="003620C6" w:rsidRPr="00337743">
        <w:rPr>
          <w:rFonts w:ascii="Cambria" w:hAnsi="Cambria"/>
          <w:sz w:val="20"/>
          <w:szCs w:val="20"/>
          <w:lang w:val="pt-BR"/>
        </w:rPr>
        <w:t xml:space="preserve"> que </w:t>
      </w:r>
      <w:r w:rsidR="00B3757A" w:rsidRPr="00337743">
        <w:rPr>
          <w:rFonts w:ascii="Cambria" w:hAnsi="Cambria"/>
          <w:sz w:val="20"/>
          <w:szCs w:val="20"/>
          <w:lang w:val="pt-BR"/>
        </w:rPr>
        <w:t>ocorreu</w:t>
      </w:r>
      <w:r w:rsidR="00091880" w:rsidRPr="00337743">
        <w:rPr>
          <w:rFonts w:ascii="Cambria" w:hAnsi="Cambria"/>
          <w:sz w:val="20"/>
          <w:szCs w:val="20"/>
          <w:lang w:val="pt-BR"/>
        </w:rPr>
        <w:t xml:space="preserve"> uma </w:t>
      </w:r>
      <w:r w:rsidR="003620C6" w:rsidRPr="00337743">
        <w:rPr>
          <w:rFonts w:ascii="Cambria" w:hAnsi="Cambria"/>
          <w:sz w:val="20"/>
          <w:szCs w:val="20"/>
          <w:lang w:val="pt-BR"/>
        </w:rPr>
        <w:t>viola</w:t>
      </w:r>
      <w:r w:rsidR="00350E7E" w:rsidRPr="00337743">
        <w:rPr>
          <w:rFonts w:ascii="Cambria" w:hAnsi="Cambria"/>
          <w:sz w:val="20"/>
          <w:szCs w:val="20"/>
          <w:lang w:val="pt-BR"/>
        </w:rPr>
        <w:t>ção</w:t>
      </w:r>
      <w:r w:rsidR="00E96C24" w:rsidRPr="00337743">
        <w:rPr>
          <w:rFonts w:ascii="Cambria" w:hAnsi="Cambria"/>
          <w:sz w:val="20"/>
          <w:szCs w:val="20"/>
          <w:lang w:val="pt-BR"/>
        </w:rPr>
        <w:t xml:space="preserve"> dos </w:t>
      </w:r>
      <w:r w:rsidR="00350E7E" w:rsidRPr="00337743">
        <w:rPr>
          <w:rFonts w:ascii="Cambria" w:hAnsi="Cambria"/>
          <w:sz w:val="20"/>
          <w:szCs w:val="20"/>
          <w:lang w:val="pt-BR"/>
        </w:rPr>
        <w:t>direito</w:t>
      </w:r>
      <w:r w:rsidR="003620C6" w:rsidRPr="00337743">
        <w:rPr>
          <w:rFonts w:ascii="Cambria" w:hAnsi="Cambria"/>
          <w:sz w:val="20"/>
          <w:szCs w:val="20"/>
          <w:lang w:val="pt-BR"/>
        </w:rPr>
        <w:t>s consagrados</w:t>
      </w:r>
      <w:r w:rsidR="00091880" w:rsidRPr="00337743">
        <w:rPr>
          <w:rFonts w:ascii="Cambria" w:hAnsi="Cambria"/>
          <w:sz w:val="20"/>
          <w:szCs w:val="20"/>
          <w:lang w:val="pt-BR"/>
        </w:rPr>
        <w:t xml:space="preserve"> na </w:t>
      </w:r>
      <w:r w:rsidR="003620C6" w:rsidRPr="00337743">
        <w:rPr>
          <w:rFonts w:ascii="Cambria" w:hAnsi="Cambria"/>
          <w:sz w:val="20"/>
          <w:szCs w:val="20"/>
          <w:lang w:val="pt-BR"/>
        </w:rPr>
        <w:t>Conven</w:t>
      </w:r>
      <w:r w:rsidR="00350E7E" w:rsidRPr="00337743">
        <w:rPr>
          <w:rFonts w:ascii="Cambria" w:hAnsi="Cambria"/>
          <w:sz w:val="20"/>
          <w:szCs w:val="20"/>
          <w:lang w:val="pt-BR"/>
        </w:rPr>
        <w:t>ção</w:t>
      </w:r>
      <w:r w:rsidR="00091880" w:rsidRPr="00337743">
        <w:rPr>
          <w:rFonts w:ascii="Cambria" w:hAnsi="Cambria"/>
          <w:sz w:val="20"/>
          <w:szCs w:val="20"/>
          <w:lang w:val="pt-BR"/>
        </w:rPr>
        <w:t xml:space="preserve"> não </w:t>
      </w:r>
      <w:r w:rsidR="00B3757A" w:rsidRPr="00337743">
        <w:rPr>
          <w:rFonts w:ascii="Cambria" w:hAnsi="Cambria"/>
          <w:sz w:val="20"/>
          <w:szCs w:val="20"/>
          <w:lang w:val="pt-BR"/>
        </w:rPr>
        <w:t>é preciso</w:t>
      </w:r>
      <w:r w:rsidR="003620C6" w:rsidRPr="00337743">
        <w:rPr>
          <w:rFonts w:ascii="Cambria" w:hAnsi="Cambria"/>
          <w:sz w:val="20"/>
          <w:szCs w:val="20"/>
          <w:lang w:val="pt-BR"/>
        </w:rPr>
        <w:t xml:space="preserve"> determinar, como </w:t>
      </w:r>
      <w:r w:rsidR="009A3E8A" w:rsidRPr="00337743">
        <w:rPr>
          <w:rFonts w:ascii="Cambria" w:hAnsi="Cambria"/>
          <w:sz w:val="20"/>
          <w:szCs w:val="20"/>
          <w:lang w:val="pt-BR"/>
        </w:rPr>
        <w:t>ocorre</w:t>
      </w:r>
      <w:r w:rsidR="00091880" w:rsidRPr="00337743">
        <w:rPr>
          <w:rFonts w:ascii="Cambria" w:hAnsi="Cambria"/>
          <w:sz w:val="20"/>
          <w:szCs w:val="20"/>
          <w:lang w:val="pt-BR"/>
        </w:rPr>
        <w:t xml:space="preserve"> no </w:t>
      </w:r>
      <w:r w:rsidR="00350E7E" w:rsidRPr="00337743">
        <w:rPr>
          <w:rFonts w:ascii="Cambria" w:hAnsi="Cambria"/>
          <w:sz w:val="20"/>
          <w:szCs w:val="20"/>
          <w:lang w:val="pt-BR"/>
        </w:rPr>
        <w:t>direito</w:t>
      </w:r>
      <w:r w:rsidR="003620C6" w:rsidRPr="00337743">
        <w:rPr>
          <w:rFonts w:ascii="Cambria" w:hAnsi="Cambria"/>
          <w:sz w:val="20"/>
          <w:szCs w:val="20"/>
          <w:lang w:val="pt-BR"/>
        </w:rPr>
        <w:t xml:space="preserve"> penal interno,</w:t>
      </w:r>
      <w:r w:rsidR="00506331" w:rsidRPr="00337743">
        <w:rPr>
          <w:rFonts w:ascii="Cambria" w:hAnsi="Cambria"/>
          <w:sz w:val="20"/>
          <w:szCs w:val="20"/>
          <w:lang w:val="pt-BR"/>
        </w:rPr>
        <w:t xml:space="preserve"> a </w:t>
      </w:r>
      <w:r w:rsidR="003620C6" w:rsidRPr="00337743">
        <w:rPr>
          <w:rFonts w:ascii="Cambria" w:hAnsi="Cambria"/>
          <w:sz w:val="20"/>
          <w:szCs w:val="20"/>
          <w:lang w:val="pt-BR"/>
        </w:rPr>
        <w:t>culpabili</w:t>
      </w:r>
      <w:r w:rsidR="00350E7E" w:rsidRPr="00337743">
        <w:rPr>
          <w:rFonts w:ascii="Cambria" w:hAnsi="Cambria"/>
          <w:sz w:val="20"/>
          <w:szCs w:val="20"/>
          <w:lang w:val="pt-BR"/>
        </w:rPr>
        <w:t xml:space="preserve">dade </w:t>
      </w:r>
      <w:r w:rsidR="003620C6" w:rsidRPr="00337743">
        <w:rPr>
          <w:rFonts w:ascii="Cambria" w:hAnsi="Cambria"/>
          <w:sz w:val="20"/>
          <w:szCs w:val="20"/>
          <w:lang w:val="pt-BR"/>
        </w:rPr>
        <w:t>de s</w:t>
      </w:r>
      <w:r w:rsidR="00484427" w:rsidRPr="00337743">
        <w:rPr>
          <w:rFonts w:ascii="Cambria" w:hAnsi="Cambria"/>
          <w:sz w:val="20"/>
          <w:szCs w:val="20"/>
          <w:lang w:val="pt-BR"/>
        </w:rPr>
        <w:t>e</w:t>
      </w:r>
      <w:r w:rsidR="003620C6" w:rsidRPr="00337743">
        <w:rPr>
          <w:rFonts w:ascii="Cambria" w:hAnsi="Cambria"/>
          <w:sz w:val="20"/>
          <w:szCs w:val="20"/>
          <w:lang w:val="pt-BR"/>
        </w:rPr>
        <w:t>us autores o</w:t>
      </w:r>
      <w:r w:rsidR="00B3757A" w:rsidRPr="00337743">
        <w:rPr>
          <w:rFonts w:ascii="Cambria" w:hAnsi="Cambria"/>
          <w:sz w:val="20"/>
          <w:szCs w:val="20"/>
          <w:lang w:val="pt-BR"/>
        </w:rPr>
        <w:t>u</w:t>
      </w:r>
      <w:r w:rsidR="003620C6" w:rsidRPr="00337743">
        <w:rPr>
          <w:rFonts w:ascii="Cambria" w:hAnsi="Cambria"/>
          <w:sz w:val="20"/>
          <w:szCs w:val="20"/>
          <w:lang w:val="pt-BR"/>
        </w:rPr>
        <w:t xml:space="preserve"> </w:t>
      </w:r>
      <w:r w:rsidR="009A3E8A" w:rsidRPr="00337743">
        <w:rPr>
          <w:rFonts w:ascii="Cambria" w:hAnsi="Cambria"/>
          <w:sz w:val="20"/>
          <w:szCs w:val="20"/>
          <w:lang w:val="pt-BR"/>
        </w:rPr>
        <w:t>sua</w:t>
      </w:r>
      <w:r w:rsidR="003620C6" w:rsidRPr="00337743">
        <w:rPr>
          <w:rFonts w:ascii="Cambria" w:hAnsi="Cambria"/>
          <w:sz w:val="20"/>
          <w:szCs w:val="20"/>
          <w:lang w:val="pt-BR"/>
        </w:rPr>
        <w:t xml:space="preserve"> </w:t>
      </w:r>
      <w:r w:rsidR="009A3E8A" w:rsidRPr="00337743">
        <w:rPr>
          <w:rFonts w:ascii="Cambria" w:hAnsi="Cambria"/>
          <w:sz w:val="20"/>
          <w:szCs w:val="20"/>
          <w:lang w:val="pt-BR"/>
        </w:rPr>
        <w:t>intencionalidade</w:t>
      </w:r>
      <w:r w:rsidR="00484427" w:rsidRPr="00337743">
        <w:rPr>
          <w:rFonts w:ascii="Cambria" w:hAnsi="Cambria"/>
          <w:sz w:val="20"/>
          <w:szCs w:val="20"/>
          <w:lang w:val="pt-BR"/>
        </w:rPr>
        <w:t>;</w:t>
      </w:r>
      <w:r w:rsidR="003620C6" w:rsidRPr="00337743">
        <w:rPr>
          <w:rFonts w:ascii="Cambria" w:hAnsi="Cambria"/>
          <w:sz w:val="20"/>
          <w:szCs w:val="20"/>
          <w:lang w:val="pt-BR"/>
        </w:rPr>
        <w:t xml:space="preserve"> </w:t>
      </w:r>
      <w:r w:rsidR="009A3E8A" w:rsidRPr="00337743">
        <w:rPr>
          <w:rFonts w:ascii="Cambria" w:hAnsi="Cambria"/>
          <w:sz w:val="20"/>
          <w:szCs w:val="20"/>
          <w:lang w:val="pt-BR"/>
        </w:rPr>
        <w:t>tampouco</w:t>
      </w:r>
      <w:r w:rsidR="00A6443F" w:rsidRPr="00337743">
        <w:rPr>
          <w:rFonts w:ascii="Cambria" w:hAnsi="Cambria"/>
          <w:sz w:val="20"/>
          <w:szCs w:val="20"/>
          <w:lang w:val="pt-BR"/>
        </w:rPr>
        <w:t xml:space="preserve"> é </w:t>
      </w:r>
      <w:r w:rsidR="003620C6" w:rsidRPr="00337743">
        <w:rPr>
          <w:rFonts w:ascii="Cambria" w:hAnsi="Cambria"/>
          <w:sz w:val="20"/>
          <w:szCs w:val="20"/>
          <w:lang w:val="pt-BR"/>
        </w:rPr>
        <w:t>preciso identificar individualmente</w:t>
      </w:r>
      <w:r w:rsidR="00F453EB" w:rsidRPr="00337743">
        <w:rPr>
          <w:rFonts w:ascii="Cambria" w:hAnsi="Cambria"/>
          <w:sz w:val="20"/>
          <w:szCs w:val="20"/>
          <w:lang w:val="pt-BR"/>
        </w:rPr>
        <w:t xml:space="preserve"> os </w:t>
      </w:r>
      <w:r w:rsidR="003620C6" w:rsidRPr="00337743">
        <w:rPr>
          <w:rFonts w:ascii="Cambria" w:hAnsi="Cambria"/>
          <w:sz w:val="20"/>
          <w:szCs w:val="20"/>
          <w:lang w:val="pt-BR"/>
        </w:rPr>
        <w:t>agentes</w:t>
      </w:r>
      <w:r w:rsidR="00F453EB" w:rsidRPr="00337743">
        <w:rPr>
          <w:rFonts w:ascii="Cambria" w:hAnsi="Cambria"/>
          <w:sz w:val="20"/>
          <w:szCs w:val="20"/>
          <w:lang w:val="pt-BR"/>
        </w:rPr>
        <w:t xml:space="preserve"> aos </w:t>
      </w:r>
      <w:r w:rsidR="009A3E8A" w:rsidRPr="00337743">
        <w:rPr>
          <w:rFonts w:ascii="Cambria" w:hAnsi="Cambria"/>
          <w:sz w:val="20"/>
          <w:szCs w:val="20"/>
          <w:lang w:val="pt-BR"/>
        </w:rPr>
        <w:t>quais</w:t>
      </w:r>
      <w:r w:rsidR="003620C6" w:rsidRPr="00337743">
        <w:rPr>
          <w:rFonts w:ascii="Cambria" w:hAnsi="Cambria"/>
          <w:sz w:val="20"/>
          <w:szCs w:val="20"/>
          <w:lang w:val="pt-BR"/>
        </w:rPr>
        <w:t xml:space="preserve"> se </w:t>
      </w:r>
      <w:r w:rsidR="009A3E8A" w:rsidRPr="00337743">
        <w:rPr>
          <w:rFonts w:ascii="Cambria" w:hAnsi="Cambria"/>
          <w:sz w:val="20"/>
          <w:szCs w:val="20"/>
          <w:lang w:val="pt-BR"/>
        </w:rPr>
        <w:t>atribuem</w:t>
      </w:r>
      <w:r w:rsidR="007707E3" w:rsidRPr="00337743">
        <w:rPr>
          <w:rFonts w:ascii="Cambria" w:hAnsi="Cambria"/>
          <w:sz w:val="20"/>
          <w:szCs w:val="20"/>
          <w:lang w:val="pt-BR"/>
        </w:rPr>
        <w:t xml:space="preserve"> os </w:t>
      </w:r>
      <w:r w:rsidR="008E3049" w:rsidRPr="00337743">
        <w:rPr>
          <w:rFonts w:ascii="Cambria" w:hAnsi="Cambria"/>
          <w:sz w:val="20"/>
          <w:szCs w:val="20"/>
          <w:lang w:val="pt-BR"/>
        </w:rPr>
        <w:t>ato</w:t>
      </w:r>
      <w:r w:rsidR="003620C6" w:rsidRPr="00337743">
        <w:rPr>
          <w:rFonts w:ascii="Cambria" w:hAnsi="Cambria"/>
          <w:sz w:val="20"/>
          <w:szCs w:val="20"/>
          <w:lang w:val="pt-BR"/>
        </w:rPr>
        <w:t>s viola</w:t>
      </w:r>
      <w:r w:rsidR="009A3E8A" w:rsidRPr="00337743">
        <w:rPr>
          <w:rFonts w:ascii="Cambria" w:hAnsi="Cambria"/>
          <w:sz w:val="20"/>
          <w:szCs w:val="20"/>
          <w:lang w:val="pt-BR"/>
        </w:rPr>
        <w:t>dore</w:t>
      </w:r>
      <w:r w:rsidR="003620C6" w:rsidRPr="00337743">
        <w:rPr>
          <w:rFonts w:ascii="Cambria" w:hAnsi="Cambria"/>
          <w:sz w:val="20"/>
          <w:szCs w:val="20"/>
          <w:lang w:val="pt-BR"/>
        </w:rPr>
        <w:t>s.</w:t>
      </w:r>
      <w:r w:rsidR="00A6443F" w:rsidRPr="00337743">
        <w:rPr>
          <w:rFonts w:ascii="Cambria" w:hAnsi="Cambria"/>
          <w:sz w:val="20"/>
          <w:szCs w:val="20"/>
          <w:lang w:val="pt-BR"/>
        </w:rPr>
        <w:t xml:space="preserve"> </w:t>
      </w:r>
      <w:r w:rsidR="00B3757A" w:rsidRPr="00337743">
        <w:rPr>
          <w:rFonts w:ascii="Cambria" w:hAnsi="Cambria"/>
          <w:sz w:val="20"/>
          <w:szCs w:val="20"/>
          <w:lang w:val="pt-BR"/>
        </w:rPr>
        <w:t>É</w:t>
      </w:r>
      <w:r w:rsidR="00A6443F" w:rsidRPr="00337743">
        <w:rPr>
          <w:rFonts w:ascii="Cambria" w:hAnsi="Cambria"/>
          <w:sz w:val="20"/>
          <w:szCs w:val="20"/>
          <w:lang w:val="pt-BR"/>
        </w:rPr>
        <w:t xml:space="preserve"> </w:t>
      </w:r>
      <w:r w:rsidR="003620C6" w:rsidRPr="00337743">
        <w:rPr>
          <w:rFonts w:ascii="Cambria" w:hAnsi="Cambria"/>
          <w:sz w:val="20"/>
          <w:szCs w:val="20"/>
          <w:lang w:val="pt-BR"/>
        </w:rPr>
        <w:t>suficiente demo</w:t>
      </w:r>
      <w:r w:rsidR="00484427" w:rsidRPr="00337743">
        <w:rPr>
          <w:rFonts w:ascii="Cambria" w:hAnsi="Cambria"/>
          <w:sz w:val="20"/>
          <w:szCs w:val="20"/>
          <w:lang w:val="pt-BR"/>
        </w:rPr>
        <w:t>n</w:t>
      </w:r>
      <w:r w:rsidR="003620C6" w:rsidRPr="00337743">
        <w:rPr>
          <w:rFonts w:ascii="Cambria" w:hAnsi="Cambria"/>
          <w:sz w:val="20"/>
          <w:szCs w:val="20"/>
          <w:lang w:val="pt-BR"/>
        </w:rPr>
        <w:t xml:space="preserve">strar “que </w:t>
      </w:r>
      <w:r w:rsidR="00B3757A" w:rsidRPr="00337743">
        <w:rPr>
          <w:rFonts w:ascii="Cambria" w:hAnsi="Cambria"/>
          <w:sz w:val="20"/>
          <w:szCs w:val="20"/>
          <w:lang w:val="pt-BR"/>
        </w:rPr>
        <w:t>ocorreram</w:t>
      </w:r>
      <w:r w:rsidR="003620C6" w:rsidRPr="00337743">
        <w:rPr>
          <w:rFonts w:ascii="Cambria" w:hAnsi="Cambria"/>
          <w:sz w:val="20"/>
          <w:szCs w:val="20"/>
          <w:lang w:val="pt-BR"/>
        </w:rPr>
        <w:t xml:space="preserve"> a</w:t>
      </w:r>
      <w:r w:rsidR="007707E3" w:rsidRPr="00337743">
        <w:rPr>
          <w:rFonts w:ascii="Cambria" w:hAnsi="Cambria"/>
          <w:sz w:val="20"/>
          <w:szCs w:val="20"/>
          <w:lang w:val="pt-BR"/>
        </w:rPr>
        <w:t>ç</w:t>
      </w:r>
      <w:r w:rsidR="00350E7E" w:rsidRPr="00337743">
        <w:rPr>
          <w:rFonts w:ascii="Cambria" w:hAnsi="Cambria"/>
          <w:sz w:val="20"/>
          <w:szCs w:val="20"/>
          <w:lang w:val="pt-BR"/>
        </w:rPr>
        <w:t>ões</w:t>
      </w:r>
      <w:r w:rsidR="004C2ACB" w:rsidRPr="00337743">
        <w:rPr>
          <w:rFonts w:ascii="Cambria" w:hAnsi="Cambria"/>
          <w:sz w:val="20"/>
          <w:szCs w:val="20"/>
          <w:lang w:val="pt-BR"/>
        </w:rPr>
        <w:t xml:space="preserve"> ou </w:t>
      </w:r>
      <w:r w:rsidR="003620C6" w:rsidRPr="00337743">
        <w:rPr>
          <w:rFonts w:ascii="Cambria" w:hAnsi="Cambria"/>
          <w:sz w:val="20"/>
          <w:szCs w:val="20"/>
          <w:lang w:val="pt-BR"/>
        </w:rPr>
        <w:t>omis</w:t>
      </w:r>
      <w:r w:rsidR="00B3757A" w:rsidRPr="00337743">
        <w:rPr>
          <w:rFonts w:ascii="Cambria" w:hAnsi="Cambria"/>
          <w:sz w:val="20"/>
          <w:szCs w:val="20"/>
          <w:lang w:val="pt-BR"/>
        </w:rPr>
        <w:t>sõ</w:t>
      </w:r>
      <w:r w:rsidR="003620C6" w:rsidRPr="00337743">
        <w:rPr>
          <w:rFonts w:ascii="Cambria" w:hAnsi="Cambria"/>
          <w:sz w:val="20"/>
          <w:szCs w:val="20"/>
          <w:lang w:val="pt-BR"/>
        </w:rPr>
        <w:t>es que permiti</w:t>
      </w:r>
      <w:r w:rsidR="00B3757A" w:rsidRPr="00337743">
        <w:rPr>
          <w:rFonts w:ascii="Cambria" w:hAnsi="Cambria"/>
          <w:sz w:val="20"/>
          <w:szCs w:val="20"/>
          <w:lang w:val="pt-BR"/>
        </w:rPr>
        <w:t>ram</w:t>
      </w:r>
      <w:r w:rsidR="00506331" w:rsidRPr="00337743">
        <w:rPr>
          <w:rFonts w:ascii="Cambria" w:hAnsi="Cambria"/>
          <w:sz w:val="20"/>
          <w:szCs w:val="20"/>
          <w:lang w:val="pt-BR"/>
        </w:rPr>
        <w:t xml:space="preserve"> a </w:t>
      </w:r>
      <w:r w:rsidR="003620C6" w:rsidRPr="00337743">
        <w:rPr>
          <w:rFonts w:ascii="Cambria" w:hAnsi="Cambria"/>
          <w:sz w:val="20"/>
          <w:szCs w:val="20"/>
          <w:lang w:val="pt-BR"/>
        </w:rPr>
        <w:t>perpetra</w:t>
      </w:r>
      <w:r w:rsidR="00350E7E" w:rsidRPr="00337743">
        <w:rPr>
          <w:rFonts w:ascii="Cambria" w:hAnsi="Cambria"/>
          <w:sz w:val="20"/>
          <w:szCs w:val="20"/>
          <w:lang w:val="pt-BR"/>
        </w:rPr>
        <w:t>ção</w:t>
      </w:r>
      <w:r w:rsidR="003620C6" w:rsidRPr="00337743">
        <w:rPr>
          <w:rFonts w:ascii="Cambria" w:hAnsi="Cambria"/>
          <w:sz w:val="20"/>
          <w:szCs w:val="20"/>
          <w:lang w:val="pt-BR"/>
        </w:rPr>
        <w:t xml:space="preserve"> </w:t>
      </w:r>
      <w:r w:rsidR="009A3E8A" w:rsidRPr="00337743">
        <w:rPr>
          <w:rFonts w:ascii="Cambria" w:hAnsi="Cambria"/>
          <w:sz w:val="20"/>
          <w:szCs w:val="20"/>
          <w:lang w:val="pt-BR"/>
        </w:rPr>
        <w:t>dessas</w:t>
      </w:r>
      <w:r w:rsidR="003620C6" w:rsidRPr="00337743">
        <w:rPr>
          <w:rFonts w:ascii="Cambria" w:hAnsi="Cambria"/>
          <w:sz w:val="20"/>
          <w:szCs w:val="20"/>
          <w:lang w:val="pt-BR"/>
        </w:rPr>
        <w:t xml:space="preserve"> viola</w:t>
      </w:r>
      <w:r w:rsidR="00350E7E" w:rsidRPr="00337743">
        <w:rPr>
          <w:rFonts w:ascii="Cambria" w:hAnsi="Cambria"/>
          <w:sz w:val="20"/>
          <w:szCs w:val="20"/>
          <w:lang w:val="pt-BR"/>
        </w:rPr>
        <w:t>ções</w:t>
      </w:r>
      <w:r w:rsidR="003620C6" w:rsidRPr="00337743">
        <w:rPr>
          <w:rFonts w:ascii="Cambria" w:hAnsi="Cambria"/>
          <w:sz w:val="20"/>
          <w:szCs w:val="20"/>
          <w:lang w:val="pt-BR"/>
        </w:rPr>
        <w:t xml:space="preserve"> o</w:t>
      </w:r>
      <w:r w:rsidR="00B3757A" w:rsidRPr="00337743">
        <w:rPr>
          <w:rFonts w:ascii="Cambria" w:hAnsi="Cambria"/>
          <w:sz w:val="20"/>
          <w:szCs w:val="20"/>
          <w:lang w:val="pt-BR"/>
        </w:rPr>
        <w:t>u</w:t>
      </w:r>
      <w:r w:rsidR="003620C6" w:rsidRPr="00337743">
        <w:rPr>
          <w:rFonts w:ascii="Cambria" w:hAnsi="Cambria"/>
          <w:sz w:val="20"/>
          <w:szCs w:val="20"/>
          <w:lang w:val="pt-BR"/>
        </w:rPr>
        <w:t xml:space="preserve"> que exista</w:t>
      </w:r>
      <w:r w:rsidR="00091880" w:rsidRPr="00337743">
        <w:rPr>
          <w:rFonts w:ascii="Cambria" w:hAnsi="Cambria"/>
          <w:sz w:val="20"/>
          <w:szCs w:val="20"/>
          <w:lang w:val="pt-BR"/>
        </w:rPr>
        <w:t xml:space="preserve"> uma </w:t>
      </w:r>
      <w:r w:rsidR="004C2ACB" w:rsidRPr="00337743">
        <w:rPr>
          <w:rFonts w:ascii="Cambria" w:hAnsi="Cambria"/>
          <w:sz w:val="20"/>
          <w:szCs w:val="20"/>
          <w:lang w:val="pt-BR"/>
        </w:rPr>
        <w:t>obri</w:t>
      </w:r>
      <w:r w:rsidR="003620C6" w:rsidRPr="00337743">
        <w:rPr>
          <w:rFonts w:ascii="Cambria" w:hAnsi="Cambria"/>
          <w:sz w:val="20"/>
          <w:szCs w:val="20"/>
          <w:lang w:val="pt-BR"/>
        </w:rPr>
        <w:t>ga</w:t>
      </w:r>
      <w:r w:rsidR="00350E7E" w:rsidRPr="00337743">
        <w:rPr>
          <w:rFonts w:ascii="Cambria" w:hAnsi="Cambria"/>
          <w:sz w:val="20"/>
          <w:szCs w:val="20"/>
          <w:lang w:val="pt-BR"/>
        </w:rPr>
        <w:t>ção</w:t>
      </w:r>
      <w:r w:rsidR="007707E3" w:rsidRPr="00337743">
        <w:rPr>
          <w:rFonts w:ascii="Cambria" w:hAnsi="Cambria"/>
          <w:sz w:val="20"/>
          <w:szCs w:val="20"/>
          <w:lang w:val="pt-BR"/>
        </w:rPr>
        <w:t xml:space="preserve"> do </w:t>
      </w:r>
      <w:r w:rsidR="003620C6" w:rsidRPr="00337743">
        <w:rPr>
          <w:rFonts w:ascii="Cambria" w:hAnsi="Cambria"/>
          <w:sz w:val="20"/>
          <w:szCs w:val="20"/>
          <w:lang w:val="pt-BR"/>
        </w:rPr>
        <w:t xml:space="preserve">Estado que </w:t>
      </w:r>
      <w:r w:rsidR="00B3757A" w:rsidRPr="00337743">
        <w:rPr>
          <w:rFonts w:ascii="Cambria" w:hAnsi="Cambria"/>
          <w:sz w:val="20"/>
          <w:szCs w:val="20"/>
          <w:lang w:val="pt-BR"/>
        </w:rPr>
        <w:t>ten</w:t>
      </w:r>
      <w:r w:rsidR="003620C6" w:rsidRPr="00337743">
        <w:rPr>
          <w:rFonts w:ascii="Cambria" w:hAnsi="Cambria"/>
          <w:sz w:val="20"/>
          <w:szCs w:val="20"/>
          <w:lang w:val="pt-BR"/>
        </w:rPr>
        <w:t xml:space="preserve">ha sido </w:t>
      </w:r>
      <w:r w:rsidR="009A3E8A" w:rsidRPr="00337743">
        <w:rPr>
          <w:rFonts w:ascii="Cambria" w:hAnsi="Cambria"/>
          <w:sz w:val="20"/>
          <w:szCs w:val="20"/>
          <w:lang w:val="pt-BR"/>
        </w:rPr>
        <w:t>descumprida</w:t>
      </w:r>
      <w:r w:rsidR="003620C6" w:rsidRPr="00337743">
        <w:rPr>
          <w:rFonts w:ascii="Cambria" w:hAnsi="Cambria"/>
          <w:sz w:val="20"/>
          <w:szCs w:val="20"/>
          <w:lang w:val="pt-BR"/>
        </w:rPr>
        <w:t xml:space="preserve"> por </w:t>
      </w:r>
      <w:r w:rsidR="009A3E8A" w:rsidRPr="00337743">
        <w:rPr>
          <w:rFonts w:ascii="Cambria" w:hAnsi="Cambria"/>
          <w:sz w:val="20"/>
          <w:szCs w:val="20"/>
          <w:lang w:val="pt-BR"/>
        </w:rPr>
        <w:t>este</w:t>
      </w:r>
      <w:r w:rsidR="003620C6" w:rsidRPr="00337743">
        <w:rPr>
          <w:rFonts w:ascii="Cambria" w:hAnsi="Cambria"/>
          <w:sz w:val="20"/>
          <w:szCs w:val="20"/>
          <w:lang w:val="pt-BR"/>
        </w:rPr>
        <w:t>”</w:t>
      </w:r>
      <w:r w:rsidR="003620C6" w:rsidRPr="00337743">
        <w:rPr>
          <w:rFonts w:ascii="Cambria" w:hAnsi="Cambria"/>
          <w:sz w:val="20"/>
          <w:szCs w:val="20"/>
          <w:vertAlign w:val="superscript"/>
          <w:lang w:val="pt-BR"/>
        </w:rPr>
        <w:footnoteReference w:id="87"/>
      </w:r>
      <w:r w:rsidR="003620C6" w:rsidRPr="00337743">
        <w:rPr>
          <w:rFonts w:ascii="Cambria" w:hAnsi="Cambria"/>
          <w:sz w:val="20"/>
          <w:szCs w:val="20"/>
          <w:lang w:val="pt-BR"/>
        </w:rPr>
        <w:t>.</w:t>
      </w:r>
    </w:p>
    <w:p w14:paraId="6A2D16F1" w14:textId="77777777" w:rsidR="003620C6" w:rsidRPr="00337743" w:rsidRDefault="003620C6" w:rsidP="001E1740">
      <w:pPr>
        <w:tabs>
          <w:tab w:val="left" w:pos="720"/>
          <w:tab w:val="left" w:pos="1440"/>
        </w:tabs>
        <w:jc w:val="both"/>
        <w:rPr>
          <w:rStyle w:val="Heading1Char"/>
          <w:rFonts w:eastAsia="Cambria"/>
          <w:b w:val="0"/>
          <w:sz w:val="20"/>
          <w:szCs w:val="20"/>
          <w:lang w:val="pt-BR" w:eastAsia="es-ES"/>
        </w:rPr>
      </w:pPr>
    </w:p>
    <w:p w14:paraId="5ED616F5" w14:textId="77777777" w:rsidR="003620C6" w:rsidRPr="00337743" w:rsidRDefault="003620C6" w:rsidP="0026544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Ao l</w:t>
      </w:r>
      <w:r w:rsidR="00B3757A" w:rsidRPr="00337743">
        <w:rPr>
          <w:rFonts w:ascii="Cambria" w:hAnsi="Cambria"/>
          <w:sz w:val="20"/>
          <w:szCs w:val="20"/>
          <w:lang w:val="pt-BR"/>
        </w:rPr>
        <w:t>on</w:t>
      </w:r>
      <w:r w:rsidRPr="00337743">
        <w:rPr>
          <w:rFonts w:ascii="Cambria" w:hAnsi="Cambria"/>
          <w:sz w:val="20"/>
          <w:szCs w:val="20"/>
          <w:lang w:val="pt-BR"/>
        </w:rPr>
        <w:t>go</w:t>
      </w:r>
      <w:r w:rsidR="007707E3" w:rsidRPr="00337743">
        <w:rPr>
          <w:rFonts w:ascii="Cambria" w:hAnsi="Cambria"/>
          <w:sz w:val="20"/>
          <w:szCs w:val="20"/>
          <w:lang w:val="pt-BR"/>
        </w:rPr>
        <w:t xml:space="preserve"> do </w:t>
      </w:r>
      <w:r w:rsidRPr="00337743">
        <w:rPr>
          <w:rFonts w:ascii="Cambria" w:hAnsi="Cambria"/>
          <w:sz w:val="20"/>
          <w:szCs w:val="20"/>
          <w:lang w:val="pt-BR"/>
        </w:rPr>
        <w:t>traba</w:t>
      </w:r>
      <w:r w:rsidR="00B3757A" w:rsidRPr="00337743">
        <w:rPr>
          <w:rFonts w:ascii="Cambria" w:hAnsi="Cambria"/>
          <w:sz w:val="20"/>
          <w:szCs w:val="20"/>
          <w:lang w:val="pt-BR"/>
        </w:rPr>
        <w:t>lh</w:t>
      </w:r>
      <w:r w:rsidRPr="00337743">
        <w:rPr>
          <w:rFonts w:ascii="Cambria" w:hAnsi="Cambria"/>
          <w:sz w:val="20"/>
          <w:szCs w:val="20"/>
          <w:lang w:val="pt-BR"/>
        </w:rPr>
        <w:t>o</w:t>
      </w:r>
      <w:r w:rsidR="007707E3" w:rsidRPr="00337743">
        <w:rPr>
          <w:rFonts w:ascii="Cambria" w:hAnsi="Cambria"/>
          <w:sz w:val="20"/>
          <w:szCs w:val="20"/>
          <w:lang w:val="pt-BR"/>
        </w:rPr>
        <w:t xml:space="preserve"> da </w:t>
      </w:r>
      <w:r w:rsidR="00350E7E" w:rsidRPr="00337743">
        <w:rPr>
          <w:rFonts w:ascii="Cambria" w:hAnsi="Cambria"/>
          <w:sz w:val="20"/>
          <w:szCs w:val="20"/>
          <w:lang w:val="pt-BR"/>
        </w:rPr>
        <w:t>Comissão</w:t>
      </w:r>
      <w:r w:rsidR="00506331" w:rsidRPr="00337743">
        <w:rPr>
          <w:rFonts w:ascii="Cambria" w:hAnsi="Cambria"/>
          <w:sz w:val="20"/>
          <w:szCs w:val="20"/>
          <w:lang w:val="pt-BR"/>
        </w:rPr>
        <w:t xml:space="preserve"> e </w:t>
      </w:r>
      <w:r w:rsidR="00484427" w:rsidRPr="00337743">
        <w:rPr>
          <w:rFonts w:ascii="Cambria" w:hAnsi="Cambria"/>
          <w:sz w:val="20"/>
          <w:szCs w:val="20"/>
          <w:lang w:val="pt-BR"/>
        </w:rPr>
        <w:t>d</w:t>
      </w:r>
      <w:r w:rsidR="00506331" w:rsidRPr="00337743">
        <w:rPr>
          <w:rFonts w:ascii="Cambria" w:hAnsi="Cambria"/>
          <w:sz w:val="20"/>
          <w:szCs w:val="20"/>
          <w:lang w:val="pt-BR"/>
        </w:rPr>
        <w:t xml:space="preserve">a </w:t>
      </w:r>
      <w:r w:rsidRPr="00337743">
        <w:rPr>
          <w:rFonts w:ascii="Cambria" w:hAnsi="Cambria"/>
          <w:sz w:val="20"/>
          <w:szCs w:val="20"/>
          <w:lang w:val="pt-BR"/>
        </w:rPr>
        <w:t xml:space="preserve">Corte, </w:t>
      </w:r>
      <w:r w:rsidR="00B3757A" w:rsidRPr="00337743">
        <w:rPr>
          <w:rFonts w:ascii="Cambria" w:hAnsi="Cambria"/>
          <w:sz w:val="20"/>
          <w:szCs w:val="20"/>
          <w:lang w:val="pt-BR"/>
        </w:rPr>
        <w:t>foram</w:t>
      </w:r>
      <w:r w:rsidRPr="00337743">
        <w:rPr>
          <w:rFonts w:ascii="Cambria" w:hAnsi="Cambria"/>
          <w:sz w:val="20"/>
          <w:szCs w:val="20"/>
          <w:lang w:val="pt-BR"/>
        </w:rPr>
        <w:t xml:space="preserve"> definido</w:t>
      </w:r>
      <w:r w:rsidR="00B3757A" w:rsidRPr="00337743">
        <w:rPr>
          <w:rFonts w:ascii="Cambria" w:hAnsi="Cambria"/>
          <w:sz w:val="20"/>
          <w:szCs w:val="20"/>
          <w:lang w:val="pt-BR"/>
        </w:rPr>
        <w:t>s</w:t>
      </w:r>
      <w:r w:rsidR="007707E3" w:rsidRPr="00337743">
        <w:rPr>
          <w:rFonts w:ascii="Cambria" w:hAnsi="Cambria"/>
          <w:sz w:val="20"/>
          <w:szCs w:val="20"/>
          <w:lang w:val="pt-BR"/>
        </w:rPr>
        <w:t xml:space="preserve"> os </w:t>
      </w:r>
      <w:r w:rsidRPr="00337743">
        <w:rPr>
          <w:rFonts w:ascii="Cambria" w:hAnsi="Cambria"/>
          <w:sz w:val="20"/>
          <w:szCs w:val="20"/>
          <w:lang w:val="pt-BR"/>
        </w:rPr>
        <w:t>conte</w:t>
      </w:r>
      <w:r w:rsidR="00B3757A" w:rsidRPr="00337743">
        <w:rPr>
          <w:rFonts w:ascii="Cambria" w:hAnsi="Cambria"/>
          <w:sz w:val="20"/>
          <w:szCs w:val="20"/>
          <w:lang w:val="pt-BR"/>
        </w:rPr>
        <w:t>ú</w:t>
      </w:r>
      <w:r w:rsidRPr="00337743">
        <w:rPr>
          <w:rFonts w:ascii="Cambria" w:hAnsi="Cambria"/>
          <w:sz w:val="20"/>
          <w:szCs w:val="20"/>
          <w:lang w:val="pt-BR"/>
        </w:rPr>
        <w:t>dos</w:t>
      </w:r>
      <w:r w:rsidR="00DB5118" w:rsidRPr="00337743">
        <w:rPr>
          <w:rFonts w:ascii="Cambria" w:hAnsi="Cambria"/>
          <w:sz w:val="20"/>
          <w:szCs w:val="20"/>
          <w:lang w:val="pt-BR"/>
        </w:rPr>
        <w:t xml:space="preserve"> das </w:t>
      </w:r>
      <w:r w:rsidR="004C2ACB" w:rsidRPr="00337743">
        <w:rPr>
          <w:rFonts w:ascii="Cambria" w:hAnsi="Cambria"/>
          <w:sz w:val="20"/>
          <w:szCs w:val="20"/>
          <w:lang w:val="pt-BR"/>
        </w:rPr>
        <w:t>obri</w:t>
      </w:r>
      <w:r w:rsidRPr="00337743">
        <w:rPr>
          <w:rFonts w:ascii="Cambria" w:hAnsi="Cambria"/>
          <w:sz w:val="20"/>
          <w:szCs w:val="20"/>
          <w:lang w:val="pt-BR"/>
        </w:rPr>
        <w:t>ga</w:t>
      </w:r>
      <w:r w:rsidR="00350E7E" w:rsidRPr="00337743">
        <w:rPr>
          <w:rFonts w:ascii="Cambria" w:hAnsi="Cambria"/>
          <w:sz w:val="20"/>
          <w:szCs w:val="20"/>
          <w:lang w:val="pt-BR"/>
        </w:rPr>
        <w:t>ções</w:t>
      </w:r>
      <w:r w:rsidRPr="00337743">
        <w:rPr>
          <w:rFonts w:ascii="Cambria" w:hAnsi="Cambria"/>
          <w:sz w:val="20"/>
          <w:szCs w:val="20"/>
          <w:lang w:val="pt-BR"/>
        </w:rPr>
        <w:t xml:space="preserve"> de </w:t>
      </w:r>
      <w:r w:rsidR="009A3E8A" w:rsidRPr="00337743">
        <w:rPr>
          <w:rFonts w:ascii="Cambria" w:hAnsi="Cambria"/>
          <w:sz w:val="20"/>
          <w:szCs w:val="20"/>
          <w:lang w:val="pt-BR"/>
        </w:rPr>
        <w:t>respeito</w:t>
      </w:r>
      <w:r w:rsidR="00506331" w:rsidRPr="00337743">
        <w:rPr>
          <w:rFonts w:ascii="Cambria" w:hAnsi="Cambria"/>
          <w:sz w:val="20"/>
          <w:szCs w:val="20"/>
          <w:lang w:val="pt-BR"/>
        </w:rPr>
        <w:t xml:space="preserve"> e </w:t>
      </w:r>
      <w:r w:rsidRPr="00337743">
        <w:rPr>
          <w:rFonts w:ascii="Cambria" w:hAnsi="Cambria"/>
          <w:sz w:val="20"/>
          <w:szCs w:val="20"/>
          <w:lang w:val="pt-BR"/>
        </w:rPr>
        <w:t>de garant</w:t>
      </w:r>
      <w:r w:rsidR="00BF72CE" w:rsidRPr="00337743">
        <w:rPr>
          <w:rFonts w:ascii="Cambria" w:hAnsi="Cambria"/>
          <w:sz w:val="20"/>
          <w:szCs w:val="20"/>
          <w:lang w:val="pt-BR"/>
        </w:rPr>
        <w:t>ia</w:t>
      </w:r>
      <w:r w:rsidRPr="00337743">
        <w:rPr>
          <w:rFonts w:ascii="Cambria" w:hAnsi="Cambria"/>
          <w:sz w:val="20"/>
          <w:szCs w:val="20"/>
          <w:lang w:val="pt-BR"/>
        </w:rPr>
        <w:t xml:space="preserve"> conforme</w:t>
      </w:r>
      <w:r w:rsidR="00BF72CE" w:rsidRPr="00337743">
        <w:rPr>
          <w:rFonts w:ascii="Cambria" w:hAnsi="Cambria"/>
          <w:sz w:val="20"/>
          <w:szCs w:val="20"/>
          <w:lang w:val="pt-BR"/>
        </w:rPr>
        <w:t xml:space="preserve"> o </w:t>
      </w:r>
      <w:r w:rsidR="00091880" w:rsidRPr="00337743">
        <w:rPr>
          <w:rFonts w:ascii="Cambria" w:hAnsi="Cambria"/>
          <w:sz w:val="20"/>
          <w:szCs w:val="20"/>
          <w:lang w:val="pt-BR"/>
        </w:rPr>
        <w:t>artigo</w:t>
      </w:r>
      <w:r w:rsidRPr="00337743">
        <w:rPr>
          <w:rFonts w:ascii="Cambria" w:hAnsi="Cambria"/>
          <w:sz w:val="20"/>
          <w:szCs w:val="20"/>
          <w:lang w:val="pt-BR"/>
        </w:rPr>
        <w:t xml:space="preserve"> 1.1</w:t>
      </w:r>
      <w:r w:rsidR="007707E3" w:rsidRPr="00337743">
        <w:rPr>
          <w:rFonts w:ascii="Cambria" w:hAnsi="Cambria"/>
          <w:sz w:val="20"/>
          <w:szCs w:val="20"/>
          <w:lang w:val="pt-BR"/>
        </w:rPr>
        <w:t xml:space="preserve"> da </w:t>
      </w:r>
      <w:r w:rsidRPr="00337743">
        <w:rPr>
          <w:rFonts w:ascii="Cambria" w:hAnsi="Cambria"/>
          <w:sz w:val="20"/>
          <w:szCs w:val="20"/>
          <w:lang w:val="pt-BR"/>
        </w:rPr>
        <w:t>Conven</w:t>
      </w:r>
      <w:r w:rsidR="00350E7E" w:rsidRPr="00337743">
        <w:rPr>
          <w:rFonts w:ascii="Cambria" w:hAnsi="Cambria"/>
          <w:sz w:val="20"/>
          <w:szCs w:val="20"/>
          <w:lang w:val="pt-BR"/>
        </w:rPr>
        <w:t>ção</w:t>
      </w:r>
      <w:r w:rsidRPr="00337743">
        <w:rPr>
          <w:rFonts w:ascii="Cambria" w:hAnsi="Cambria"/>
          <w:sz w:val="20"/>
          <w:szCs w:val="20"/>
          <w:lang w:val="pt-BR"/>
        </w:rPr>
        <w:t>. Sobre</w:t>
      </w:r>
      <w:r w:rsidR="00506331" w:rsidRPr="00337743">
        <w:rPr>
          <w:rFonts w:ascii="Cambria" w:hAnsi="Cambria"/>
          <w:sz w:val="20"/>
          <w:szCs w:val="20"/>
          <w:lang w:val="pt-BR"/>
        </w:rPr>
        <w:t xml:space="preserve"> a </w:t>
      </w:r>
      <w:r w:rsidR="004C2ACB" w:rsidRPr="00337743">
        <w:rPr>
          <w:rFonts w:ascii="Cambria" w:hAnsi="Cambria"/>
          <w:sz w:val="20"/>
          <w:szCs w:val="20"/>
          <w:lang w:val="pt-BR"/>
        </w:rPr>
        <w:t>obri</w:t>
      </w:r>
      <w:r w:rsidRPr="00337743">
        <w:rPr>
          <w:rFonts w:ascii="Cambria" w:hAnsi="Cambria"/>
          <w:sz w:val="20"/>
          <w:szCs w:val="20"/>
          <w:lang w:val="pt-BR"/>
        </w:rPr>
        <w:t>ga</w:t>
      </w:r>
      <w:r w:rsidR="00350E7E" w:rsidRPr="00337743">
        <w:rPr>
          <w:rFonts w:ascii="Cambria" w:hAnsi="Cambria"/>
          <w:sz w:val="20"/>
          <w:szCs w:val="20"/>
          <w:lang w:val="pt-BR"/>
        </w:rPr>
        <w:t>ção</w:t>
      </w:r>
      <w:r w:rsidRPr="00337743">
        <w:rPr>
          <w:rFonts w:ascii="Cambria" w:hAnsi="Cambria"/>
          <w:sz w:val="20"/>
          <w:szCs w:val="20"/>
          <w:lang w:val="pt-BR"/>
        </w:rPr>
        <w:t xml:space="preserve"> de </w:t>
      </w:r>
      <w:r w:rsidR="009A3E8A" w:rsidRPr="00337743">
        <w:rPr>
          <w:rFonts w:ascii="Cambria" w:hAnsi="Cambria"/>
          <w:sz w:val="20"/>
          <w:szCs w:val="20"/>
          <w:lang w:val="pt-BR"/>
        </w:rPr>
        <w:t>respeito</w:t>
      </w:r>
      <w:r w:rsidRPr="00337743">
        <w:rPr>
          <w:rFonts w:ascii="Cambria" w:hAnsi="Cambria"/>
          <w:sz w:val="20"/>
          <w:szCs w:val="20"/>
          <w:lang w:val="pt-BR"/>
        </w:rPr>
        <w:t>,</w:t>
      </w:r>
      <w:r w:rsidR="00506331" w:rsidRPr="00337743">
        <w:rPr>
          <w:rFonts w:ascii="Cambria" w:hAnsi="Cambria"/>
          <w:sz w:val="20"/>
          <w:szCs w:val="20"/>
          <w:lang w:val="pt-BR"/>
        </w:rPr>
        <w:t xml:space="preserve"> a </w:t>
      </w:r>
      <w:r w:rsidRPr="00337743">
        <w:rPr>
          <w:rFonts w:ascii="Cambria" w:hAnsi="Cambria"/>
          <w:sz w:val="20"/>
          <w:szCs w:val="20"/>
          <w:lang w:val="pt-BR"/>
        </w:rPr>
        <w:t>Corte indic</w:t>
      </w:r>
      <w:r w:rsidR="00B3757A" w:rsidRPr="00337743">
        <w:rPr>
          <w:rFonts w:ascii="Cambria" w:hAnsi="Cambria"/>
          <w:sz w:val="20"/>
          <w:szCs w:val="20"/>
          <w:lang w:val="pt-BR"/>
        </w:rPr>
        <w:t>ou</w:t>
      </w:r>
      <w:r w:rsidRPr="00337743">
        <w:rPr>
          <w:rFonts w:ascii="Cambria" w:hAnsi="Cambria"/>
          <w:sz w:val="20"/>
          <w:szCs w:val="20"/>
          <w:lang w:val="pt-BR"/>
        </w:rPr>
        <w:t xml:space="preserve"> que</w:t>
      </w:r>
      <w:r w:rsidR="00DC5F32">
        <w:rPr>
          <w:rFonts w:ascii="Cambria" w:hAnsi="Cambria"/>
          <w:sz w:val="20"/>
          <w:szCs w:val="20"/>
          <w:lang w:val="pt-BR"/>
        </w:rPr>
        <w:t>,</w:t>
      </w:r>
      <w:r w:rsidRPr="00337743">
        <w:rPr>
          <w:rFonts w:ascii="Cambria" w:hAnsi="Cambria"/>
          <w:sz w:val="20"/>
          <w:szCs w:val="20"/>
          <w:lang w:val="pt-BR"/>
        </w:rPr>
        <w:t xml:space="preserve"> “conforme</w:t>
      </w:r>
      <w:r w:rsidR="00BF72CE" w:rsidRPr="00337743">
        <w:rPr>
          <w:rFonts w:ascii="Cambria" w:hAnsi="Cambria"/>
          <w:sz w:val="20"/>
          <w:szCs w:val="20"/>
          <w:lang w:val="pt-BR"/>
        </w:rPr>
        <w:t xml:space="preserve"> o </w:t>
      </w:r>
      <w:r w:rsidR="00091880" w:rsidRPr="00337743">
        <w:rPr>
          <w:rFonts w:ascii="Cambria" w:hAnsi="Cambria"/>
          <w:sz w:val="20"/>
          <w:szCs w:val="20"/>
          <w:lang w:val="pt-BR"/>
        </w:rPr>
        <w:t>artigo</w:t>
      </w:r>
      <w:r w:rsidRPr="00337743">
        <w:rPr>
          <w:rFonts w:ascii="Cambria" w:hAnsi="Cambria"/>
          <w:sz w:val="20"/>
          <w:szCs w:val="20"/>
          <w:lang w:val="pt-BR"/>
        </w:rPr>
        <w:t xml:space="preserve"> 1.1</w:t>
      </w:r>
      <w:r w:rsidR="00484427" w:rsidRPr="00337743">
        <w:rPr>
          <w:rFonts w:ascii="Cambria" w:hAnsi="Cambria"/>
          <w:sz w:val="20"/>
          <w:szCs w:val="20"/>
          <w:lang w:val="pt-BR"/>
        </w:rPr>
        <w:t>,</w:t>
      </w:r>
      <w:r w:rsidR="00A6443F" w:rsidRPr="00337743">
        <w:rPr>
          <w:rFonts w:ascii="Cambria" w:hAnsi="Cambria"/>
          <w:sz w:val="20"/>
          <w:szCs w:val="20"/>
          <w:lang w:val="pt-BR"/>
        </w:rPr>
        <w:t xml:space="preserve"> é </w:t>
      </w:r>
      <w:r w:rsidRPr="00337743">
        <w:rPr>
          <w:rFonts w:ascii="Cambria" w:hAnsi="Cambria"/>
          <w:sz w:val="20"/>
          <w:szCs w:val="20"/>
          <w:lang w:val="pt-BR"/>
        </w:rPr>
        <w:t xml:space="preserve">ilícita toda forma de </w:t>
      </w:r>
      <w:r w:rsidR="009A3E8A" w:rsidRPr="00337743">
        <w:rPr>
          <w:rFonts w:ascii="Cambria" w:hAnsi="Cambria"/>
          <w:sz w:val="20"/>
          <w:szCs w:val="20"/>
          <w:lang w:val="pt-BR"/>
        </w:rPr>
        <w:t>exercício</w:t>
      </w:r>
      <w:r w:rsidR="007707E3" w:rsidRPr="00337743">
        <w:rPr>
          <w:rFonts w:ascii="Cambria" w:hAnsi="Cambria"/>
          <w:sz w:val="20"/>
          <w:szCs w:val="20"/>
          <w:lang w:val="pt-BR"/>
        </w:rPr>
        <w:t xml:space="preserve"> do </w:t>
      </w:r>
      <w:r w:rsidRPr="00337743">
        <w:rPr>
          <w:rFonts w:ascii="Cambria" w:hAnsi="Cambria"/>
          <w:sz w:val="20"/>
          <w:szCs w:val="20"/>
          <w:lang w:val="pt-BR"/>
        </w:rPr>
        <w:t>poder público que viole</w:t>
      </w:r>
      <w:r w:rsidR="007707E3" w:rsidRPr="00337743">
        <w:rPr>
          <w:rFonts w:ascii="Cambria" w:hAnsi="Cambria"/>
          <w:sz w:val="20"/>
          <w:szCs w:val="20"/>
          <w:lang w:val="pt-BR"/>
        </w:rPr>
        <w:t xml:space="preserve"> os </w:t>
      </w:r>
      <w:r w:rsidR="00350E7E" w:rsidRPr="00337743">
        <w:rPr>
          <w:rFonts w:ascii="Cambria" w:hAnsi="Cambria"/>
          <w:sz w:val="20"/>
          <w:szCs w:val="20"/>
          <w:lang w:val="pt-BR"/>
        </w:rPr>
        <w:t>direito</w:t>
      </w:r>
      <w:r w:rsidRPr="00337743">
        <w:rPr>
          <w:rFonts w:ascii="Cambria" w:hAnsi="Cambria"/>
          <w:sz w:val="20"/>
          <w:szCs w:val="20"/>
          <w:lang w:val="pt-BR"/>
        </w:rPr>
        <w:t xml:space="preserve">s </w:t>
      </w:r>
      <w:r w:rsidR="009A3E8A" w:rsidRPr="00337743">
        <w:rPr>
          <w:rFonts w:ascii="Cambria" w:hAnsi="Cambria"/>
          <w:sz w:val="20"/>
          <w:szCs w:val="20"/>
          <w:lang w:val="pt-BR"/>
        </w:rPr>
        <w:t>reconhecidos</w:t>
      </w:r>
      <w:r w:rsidR="00C6641C" w:rsidRPr="00337743">
        <w:rPr>
          <w:rFonts w:ascii="Cambria" w:hAnsi="Cambria"/>
          <w:sz w:val="20"/>
          <w:szCs w:val="20"/>
          <w:lang w:val="pt-BR"/>
        </w:rPr>
        <w:t xml:space="preserve"> pela </w:t>
      </w:r>
      <w:r w:rsidRPr="00337743">
        <w:rPr>
          <w:rFonts w:ascii="Cambria" w:hAnsi="Cambria"/>
          <w:sz w:val="20"/>
          <w:szCs w:val="20"/>
          <w:lang w:val="pt-BR"/>
        </w:rPr>
        <w:t>Conven</w:t>
      </w:r>
      <w:r w:rsidR="00350E7E" w:rsidRPr="00337743">
        <w:rPr>
          <w:rFonts w:ascii="Cambria" w:hAnsi="Cambria"/>
          <w:sz w:val="20"/>
          <w:szCs w:val="20"/>
          <w:lang w:val="pt-BR"/>
        </w:rPr>
        <w:t>ção</w:t>
      </w:r>
      <w:r w:rsidRPr="00337743">
        <w:rPr>
          <w:rFonts w:ascii="Cambria" w:hAnsi="Cambria"/>
          <w:sz w:val="20"/>
          <w:szCs w:val="20"/>
          <w:lang w:val="pt-BR"/>
        </w:rPr>
        <w:t>.</w:t>
      </w:r>
      <w:r w:rsidR="00091880" w:rsidRPr="00337743">
        <w:rPr>
          <w:rFonts w:ascii="Cambria" w:hAnsi="Cambria"/>
          <w:sz w:val="20"/>
          <w:szCs w:val="20"/>
          <w:lang w:val="pt-BR"/>
        </w:rPr>
        <w:t xml:space="preserve"> </w:t>
      </w:r>
      <w:r w:rsidR="00B3757A" w:rsidRPr="00337743">
        <w:rPr>
          <w:rFonts w:ascii="Cambria" w:hAnsi="Cambria"/>
          <w:sz w:val="20"/>
          <w:szCs w:val="20"/>
          <w:lang w:val="pt-BR"/>
        </w:rPr>
        <w:t>Nesse</w:t>
      </w:r>
      <w:r w:rsidRPr="00337743">
        <w:rPr>
          <w:rFonts w:ascii="Cambria" w:hAnsi="Cambria"/>
          <w:sz w:val="20"/>
          <w:szCs w:val="20"/>
          <w:lang w:val="pt-BR"/>
        </w:rPr>
        <w:t xml:space="preserve"> sentido,</w:t>
      </w:r>
      <w:r w:rsidR="00091880" w:rsidRPr="00337743">
        <w:rPr>
          <w:rFonts w:ascii="Cambria" w:hAnsi="Cambria"/>
          <w:sz w:val="20"/>
          <w:szCs w:val="20"/>
          <w:lang w:val="pt-BR"/>
        </w:rPr>
        <w:t xml:space="preserve"> em </w:t>
      </w:r>
      <w:r w:rsidRPr="00337743">
        <w:rPr>
          <w:rFonts w:ascii="Cambria" w:hAnsi="Cambria"/>
          <w:sz w:val="20"/>
          <w:szCs w:val="20"/>
          <w:lang w:val="pt-BR"/>
        </w:rPr>
        <w:t xml:space="preserve">toda </w:t>
      </w:r>
      <w:r w:rsidR="008E4939" w:rsidRPr="00337743">
        <w:rPr>
          <w:rFonts w:ascii="Cambria" w:hAnsi="Cambria"/>
          <w:sz w:val="20"/>
          <w:szCs w:val="20"/>
          <w:lang w:val="pt-BR"/>
        </w:rPr>
        <w:t>circunstância</w:t>
      </w:r>
      <w:r w:rsidR="00091880" w:rsidRPr="00337743">
        <w:rPr>
          <w:rFonts w:ascii="Cambria" w:hAnsi="Cambria"/>
          <w:sz w:val="20"/>
          <w:szCs w:val="20"/>
          <w:lang w:val="pt-BR"/>
        </w:rPr>
        <w:t xml:space="preserve"> na </w:t>
      </w:r>
      <w:r w:rsidR="009D71DA" w:rsidRPr="00337743">
        <w:rPr>
          <w:rFonts w:ascii="Cambria" w:hAnsi="Cambria"/>
          <w:sz w:val="20"/>
          <w:szCs w:val="20"/>
          <w:lang w:val="pt-BR"/>
        </w:rPr>
        <w:t>qual</w:t>
      </w:r>
      <w:r w:rsidR="00091880" w:rsidRPr="00337743">
        <w:rPr>
          <w:rFonts w:ascii="Cambria" w:hAnsi="Cambria"/>
          <w:sz w:val="20"/>
          <w:szCs w:val="20"/>
          <w:lang w:val="pt-BR"/>
        </w:rPr>
        <w:t xml:space="preserve"> um </w:t>
      </w:r>
      <w:r w:rsidR="009A3E8A" w:rsidRPr="00337743">
        <w:rPr>
          <w:rFonts w:ascii="Cambria" w:hAnsi="Cambria"/>
          <w:sz w:val="20"/>
          <w:szCs w:val="20"/>
          <w:lang w:val="pt-BR"/>
        </w:rPr>
        <w:t>órgão</w:t>
      </w:r>
      <w:r w:rsidRPr="00337743">
        <w:rPr>
          <w:rFonts w:ascii="Cambria" w:hAnsi="Cambria"/>
          <w:sz w:val="20"/>
          <w:szCs w:val="20"/>
          <w:lang w:val="pt-BR"/>
        </w:rPr>
        <w:t xml:space="preserve"> o</w:t>
      </w:r>
      <w:r w:rsidR="00B3757A" w:rsidRPr="00337743">
        <w:rPr>
          <w:rFonts w:ascii="Cambria" w:hAnsi="Cambria"/>
          <w:sz w:val="20"/>
          <w:szCs w:val="20"/>
          <w:lang w:val="pt-BR"/>
        </w:rPr>
        <w:t>u</w:t>
      </w:r>
      <w:r w:rsidRPr="00337743">
        <w:rPr>
          <w:rFonts w:ascii="Cambria" w:hAnsi="Cambria"/>
          <w:sz w:val="20"/>
          <w:szCs w:val="20"/>
          <w:lang w:val="pt-BR"/>
        </w:rPr>
        <w:t xml:space="preserve"> </w:t>
      </w:r>
      <w:r w:rsidR="009A3E8A" w:rsidRPr="00337743">
        <w:rPr>
          <w:rFonts w:ascii="Cambria" w:hAnsi="Cambria"/>
          <w:sz w:val="20"/>
          <w:szCs w:val="20"/>
          <w:lang w:val="pt-BR"/>
        </w:rPr>
        <w:t>funcionário</w:t>
      </w:r>
      <w:r w:rsidR="007707E3" w:rsidRPr="00337743">
        <w:rPr>
          <w:rFonts w:ascii="Cambria" w:hAnsi="Cambria"/>
          <w:sz w:val="20"/>
          <w:szCs w:val="20"/>
          <w:lang w:val="pt-BR"/>
        </w:rPr>
        <w:t xml:space="preserve"> do </w:t>
      </w:r>
      <w:r w:rsidRPr="00337743">
        <w:rPr>
          <w:rFonts w:ascii="Cambria" w:hAnsi="Cambria"/>
          <w:sz w:val="20"/>
          <w:szCs w:val="20"/>
          <w:lang w:val="pt-BR"/>
        </w:rPr>
        <w:t>Estado o</w:t>
      </w:r>
      <w:r w:rsidR="00B3757A" w:rsidRPr="00337743">
        <w:rPr>
          <w:rFonts w:ascii="Cambria" w:hAnsi="Cambria"/>
          <w:sz w:val="20"/>
          <w:szCs w:val="20"/>
          <w:lang w:val="pt-BR"/>
        </w:rPr>
        <w:t>u</w:t>
      </w:r>
      <w:r w:rsidRPr="00337743">
        <w:rPr>
          <w:rFonts w:ascii="Cambria" w:hAnsi="Cambria"/>
          <w:sz w:val="20"/>
          <w:szCs w:val="20"/>
          <w:lang w:val="pt-BR"/>
        </w:rPr>
        <w:t xml:space="preserve"> de</w:t>
      </w:r>
      <w:r w:rsidR="00091880" w:rsidRPr="00337743">
        <w:rPr>
          <w:rFonts w:ascii="Cambria" w:hAnsi="Cambria"/>
          <w:sz w:val="20"/>
          <w:szCs w:val="20"/>
          <w:lang w:val="pt-BR"/>
        </w:rPr>
        <w:t xml:space="preserve"> uma </w:t>
      </w:r>
      <w:r w:rsidR="009A3E8A" w:rsidRPr="00337743">
        <w:rPr>
          <w:rFonts w:ascii="Cambria" w:hAnsi="Cambria"/>
          <w:sz w:val="20"/>
          <w:szCs w:val="20"/>
          <w:lang w:val="pt-BR"/>
        </w:rPr>
        <w:t>instituição</w:t>
      </w:r>
      <w:r w:rsidRPr="00337743">
        <w:rPr>
          <w:rFonts w:ascii="Cambria" w:hAnsi="Cambria"/>
          <w:sz w:val="20"/>
          <w:szCs w:val="20"/>
          <w:lang w:val="pt-BR"/>
        </w:rPr>
        <w:t xml:space="preserve"> de caráter público </w:t>
      </w:r>
      <w:r w:rsidR="00B3757A" w:rsidRPr="00337743">
        <w:rPr>
          <w:rFonts w:ascii="Cambria" w:hAnsi="Cambria"/>
          <w:sz w:val="20"/>
          <w:szCs w:val="20"/>
          <w:lang w:val="pt-BR"/>
        </w:rPr>
        <w:t>viole</w:t>
      </w:r>
      <w:r w:rsidRPr="00337743">
        <w:rPr>
          <w:rFonts w:ascii="Cambria" w:hAnsi="Cambria"/>
          <w:sz w:val="20"/>
          <w:szCs w:val="20"/>
          <w:lang w:val="pt-BR"/>
        </w:rPr>
        <w:t xml:space="preserve"> </w:t>
      </w:r>
      <w:r w:rsidR="009A3E8A" w:rsidRPr="00337743">
        <w:rPr>
          <w:rFonts w:ascii="Cambria" w:hAnsi="Cambria"/>
          <w:sz w:val="20"/>
          <w:szCs w:val="20"/>
          <w:lang w:val="pt-BR"/>
        </w:rPr>
        <w:t>indevidamente</w:t>
      </w:r>
      <w:r w:rsidRPr="00337743">
        <w:rPr>
          <w:rFonts w:ascii="Cambria" w:hAnsi="Cambria"/>
          <w:sz w:val="20"/>
          <w:szCs w:val="20"/>
          <w:lang w:val="pt-BR"/>
        </w:rPr>
        <w:t xml:space="preserve"> u</w:t>
      </w:r>
      <w:r w:rsidR="00B3757A" w:rsidRPr="00337743">
        <w:rPr>
          <w:rFonts w:ascii="Cambria" w:hAnsi="Cambria"/>
          <w:sz w:val="20"/>
          <w:szCs w:val="20"/>
          <w:lang w:val="pt-BR"/>
        </w:rPr>
        <w:t>m desses</w:t>
      </w:r>
      <w:r w:rsidRPr="00337743">
        <w:rPr>
          <w:rFonts w:ascii="Cambria" w:hAnsi="Cambria"/>
          <w:sz w:val="20"/>
          <w:szCs w:val="20"/>
          <w:lang w:val="pt-BR"/>
        </w:rPr>
        <w:t xml:space="preserve"> </w:t>
      </w:r>
      <w:r w:rsidR="00350E7E" w:rsidRPr="00337743">
        <w:rPr>
          <w:rFonts w:ascii="Cambria" w:hAnsi="Cambria"/>
          <w:sz w:val="20"/>
          <w:szCs w:val="20"/>
          <w:lang w:val="pt-BR"/>
        </w:rPr>
        <w:t>direito</w:t>
      </w:r>
      <w:r w:rsidRPr="00337743">
        <w:rPr>
          <w:rFonts w:ascii="Cambria" w:hAnsi="Cambria"/>
          <w:sz w:val="20"/>
          <w:szCs w:val="20"/>
          <w:lang w:val="pt-BR"/>
        </w:rPr>
        <w:t>s, est</w:t>
      </w:r>
      <w:r w:rsidR="00B3757A" w:rsidRPr="00337743">
        <w:rPr>
          <w:rFonts w:ascii="Cambria" w:hAnsi="Cambria"/>
          <w:sz w:val="20"/>
          <w:szCs w:val="20"/>
          <w:lang w:val="pt-BR"/>
        </w:rPr>
        <w:t>amos di</w:t>
      </w:r>
      <w:r w:rsidRPr="00337743">
        <w:rPr>
          <w:rFonts w:ascii="Cambria" w:hAnsi="Cambria"/>
          <w:sz w:val="20"/>
          <w:szCs w:val="20"/>
          <w:lang w:val="pt-BR"/>
        </w:rPr>
        <w:t>ante</w:t>
      </w:r>
      <w:r w:rsidR="00091880" w:rsidRPr="00337743">
        <w:rPr>
          <w:rFonts w:ascii="Cambria" w:hAnsi="Cambria"/>
          <w:sz w:val="20"/>
          <w:szCs w:val="20"/>
          <w:lang w:val="pt-BR"/>
        </w:rPr>
        <w:t xml:space="preserve"> </w:t>
      </w:r>
      <w:r w:rsidR="00B3757A" w:rsidRPr="00337743">
        <w:rPr>
          <w:rFonts w:ascii="Cambria" w:hAnsi="Cambria"/>
          <w:sz w:val="20"/>
          <w:szCs w:val="20"/>
          <w:lang w:val="pt-BR"/>
        </w:rPr>
        <w:t xml:space="preserve">de </w:t>
      </w:r>
      <w:r w:rsidR="00091880" w:rsidRPr="00337743">
        <w:rPr>
          <w:rFonts w:ascii="Cambria" w:hAnsi="Cambria"/>
          <w:sz w:val="20"/>
          <w:szCs w:val="20"/>
          <w:lang w:val="pt-BR"/>
        </w:rPr>
        <w:t xml:space="preserve">um </w:t>
      </w:r>
      <w:r w:rsidR="009A3E8A" w:rsidRPr="00337743">
        <w:rPr>
          <w:rFonts w:ascii="Cambria" w:hAnsi="Cambria"/>
          <w:sz w:val="20"/>
          <w:szCs w:val="20"/>
          <w:lang w:val="pt-BR"/>
        </w:rPr>
        <w:t>pressuposto</w:t>
      </w:r>
      <w:r w:rsidRPr="00337743">
        <w:rPr>
          <w:rFonts w:ascii="Cambria" w:hAnsi="Cambria"/>
          <w:sz w:val="20"/>
          <w:szCs w:val="20"/>
          <w:lang w:val="pt-BR"/>
        </w:rPr>
        <w:t xml:space="preserve"> de </w:t>
      </w:r>
      <w:r w:rsidR="009A3E8A" w:rsidRPr="00337743">
        <w:rPr>
          <w:rFonts w:ascii="Cambria" w:hAnsi="Cambria"/>
          <w:sz w:val="20"/>
          <w:szCs w:val="20"/>
          <w:lang w:val="pt-BR"/>
        </w:rPr>
        <w:t>inobservância</w:t>
      </w:r>
      <w:r w:rsidR="007707E3" w:rsidRPr="00337743">
        <w:rPr>
          <w:rFonts w:ascii="Cambria" w:hAnsi="Cambria"/>
          <w:sz w:val="20"/>
          <w:szCs w:val="20"/>
          <w:lang w:val="pt-BR"/>
        </w:rPr>
        <w:t xml:space="preserve"> do </w:t>
      </w:r>
      <w:r w:rsidR="009A3E8A" w:rsidRPr="00337743">
        <w:rPr>
          <w:rFonts w:ascii="Cambria" w:hAnsi="Cambria"/>
          <w:sz w:val="20"/>
          <w:szCs w:val="20"/>
          <w:lang w:val="pt-BR"/>
        </w:rPr>
        <w:t>dever</w:t>
      </w:r>
      <w:r w:rsidRPr="00337743">
        <w:rPr>
          <w:rFonts w:ascii="Cambria" w:hAnsi="Cambria"/>
          <w:sz w:val="20"/>
          <w:szCs w:val="20"/>
          <w:lang w:val="pt-BR"/>
        </w:rPr>
        <w:t xml:space="preserve"> de </w:t>
      </w:r>
      <w:r w:rsidR="009A3E8A" w:rsidRPr="00337743">
        <w:rPr>
          <w:rFonts w:ascii="Cambria" w:hAnsi="Cambria"/>
          <w:sz w:val="20"/>
          <w:szCs w:val="20"/>
          <w:lang w:val="pt-BR"/>
        </w:rPr>
        <w:t>respeito</w:t>
      </w:r>
      <w:r w:rsidRPr="00337743">
        <w:rPr>
          <w:rFonts w:ascii="Cambria" w:hAnsi="Cambria"/>
          <w:sz w:val="20"/>
          <w:szCs w:val="20"/>
          <w:lang w:val="pt-BR"/>
        </w:rPr>
        <w:t xml:space="preserve"> consagrado</w:t>
      </w:r>
      <w:r w:rsidR="00091880" w:rsidRPr="00337743">
        <w:rPr>
          <w:rFonts w:ascii="Cambria" w:hAnsi="Cambria"/>
          <w:sz w:val="20"/>
          <w:szCs w:val="20"/>
          <w:lang w:val="pt-BR"/>
        </w:rPr>
        <w:t xml:space="preserve"> </w:t>
      </w:r>
      <w:r w:rsidR="009A3E8A" w:rsidRPr="00337743">
        <w:rPr>
          <w:rFonts w:ascii="Cambria" w:hAnsi="Cambria"/>
          <w:sz w:val="20"/>
          <w:szCs w:val="20"/>
          <w:lang w:val="pt-BR"/>
        </w:rPr>
        <w:t>nesse</w:t>
      </w:r>
      <w:r w:rsidRPr="00337743">
        <w:rPr>
          <w:rFonts w:ascii="Cambria" w:hAnsi="Cambria"/>
          <w:sz w:val="20"/>
          <w:szCs w:val="20"/>
          <w:lang w:val="pt-BR"/>
        </w:rPr>
        <w:t xml:space="preserve"> </w:t>
      </w:r>
      <w:r w:rsidR="00091880" w:rsidRPr="00337743">
        <w:rPr>
          <w:rFonts w:ascii="Cambria" w:hAnsi="Cambria"/>
          <w:sz w:val="20"/>
          <w:szCs w:val="20"/>
          <w:lang w:val="pt-BR"/>
        </w:rPr>
        <w:t>artigo</w:t>
      </w:r>
      <w:r w:rsidRPr="00337743">
        <w:rPr>
          <w:rFonts w:ascii="Cambria" w:hAnsi="Cambria"/>
          <w:sz w:val="20"/>
          <w:szCs w:val="20"/>
          <w:lang w:val="pt-BR"/>
        </w:rPr>
        <w:t>”</w:t>
      </w:r>
      <w:r w:rsidRPr="00337743">
        <w:rPr>
          <w:rFonts w:ascii="Cambria" w:hAnsi="Cambria"/>
          <w:sz w:val="20"/>
          <w:szCs w:val="20"/>
          <w:vertAlign w:val="superscript"/>
          <w:lang w:val="pt-BR"/>
        </w:rPr>
        <w:footnoteReference w:id="88"/>
      </w:r>
      <w:r w:rsidRPr="00337743">
        <w:rPr>
          <w:rFonts w:ascii="Cambria" w:hAnsi="Cambria"/>
          <w:sz w:val="20"/>
          <w:szCs w:val="20"/>
          <w:lang w:val="pt-BR"/>
        </w:rPr>
        <w:t xml:space="preserve">. </w:t>
      </w:r>
    </w:p>
    <w:p w14:paraId="563B9510" w14:textId="77777777" w:rsidR="003620C6" w:rsidRPr="00337743" w:rsidRDefault="003620C6" w:rsidP="003620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hAnsi="Cambria" w:cs="Verdana"/>
          <w:sz w:val="20"/>
          <w:szCs w:val="20"/>
          <w:lang w:val="pt-BR" w:eastAsia="es-ES"/>
        </w:rPr>
      </w:pPr>
    </w:p>
    <w:p w14:paraId="46D25B68" w14:textId="77777777" w:rsidR="003620C6" w:rsidRPr="00337743" w:rsidRDefault="00532720" w:rsidP="001D5DA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s="Verdana"/>
          <w:sz w:val="20"/>
          <w:szCs w:val="20"/>
          <w:lang w:val="pt-BR"/>
        </w:rPr>
      </w:pPr>
      <w:r w:rsidRPr="00337743">
        <w:rPr>
          <w:rFonts w:ascii="Cambria" w:hAnsi="Cambria" w:cs="Verdana"/>
          <w:sz w:val="20"/>
          <w:szCs w:val="20"/>
          <w:lang w:val="pt-BR"/>
        </w:rPr>
        <w:t>Nas</w:t>
      </w:r>
      <w:r w:rsidR="003620C6" w:rsidRPr="00337743">
        <w:rPr>
          <w:rFonts w:ascii="Cambria" w:hAnsi="Cambria" w:cs="Verdana"/>
          <w:sz w:val="20"/>
          <w:szCs w:val="20"/>
          <w:lang w:val="pt-BR"/>
        </w:rPr>
        <w:t xml:space="preserve"> </w:t>
      </w:r>
      <w:r w:rsidR="009A3E8A" w:rsidRPr="00337743">
        <w:rPr>
          <w:rFonts w:ascii="Cambria" w:hAnsi="Cambria" w:cs="Verdana"/>
          <w:sz w:val="20"/>
          <w:szCs w:val="20"/>
          <w:lang w:val="pt-BR"/>
        </w:rPr>
        <w:t>palavras</w:t>
      </w:r>
      <w:r w:rsidR="007707E3" w:rsidRPr="00337743">
        <w:rPr>
          <w:rFonts w:ascii="Cambria" w:hAnsi="Cambria" w:cs="Verdana"/>
          <w:sz w:val="20"/>
          <w:szCs w:val="20"/>
          <w:lang w:val="pt-BR"/>
        </w:rPr>
        <w:t xml:space="preserve"> da </w:t>
      </w:r>
      <w:r w:rsidR="003620C6" w:rsidRPr="00337743">
        <w:rPr>
          <w:rFonts w:ascii="Cambria" w:hAnsi="Cambria" w:cs="Verdana"/>
          <w:sz w:val="20"/>
          <w:szCs w:val="20"/>
          <w:lang w:val="pt-BR"/>
        </w:rPr>
        <w:t xml:space="preserve">Corte, esta </w:t>
      </w:r>
      <w:r w:rsidR="009A3E8A" w:rsidRPr="00337743">
        <w:rPr>
          <w:rFonts w:ascii="Cambria" w:hAnsi="Cambria" w:cs="Verdana"/>
          <w:sz w:val="20"/>
          <w:szCs w:val="20"/>
          <w:lang w:val="pt-BR"/>
        </w:rPr>
        <w:t>conclusão</w:t>
      </w:r>
      <w:r w:rsidR="00A6443F" w:rsidRPr="00337743">
        <w:rPr>
          <w:rFonts w:ascii="Cambria" w:hAnsi="Cambria" w:cs="Verdana"/>
          <w:sz w:val="20"/>
          <w:szCs w:val="20"/>
          <w:lang w:val="pt-BR"/>
        </w:rPr>
        <w:t xml:space="preserve"> </w:t>
      </w:r>
      <w:r w:rsidR="00DC5F32">
        <w:rPr>
          <w:rFonts w:ascii="Cambria" w:hAnsi="Cambria" w:cs="Verdana"/>
          <w:sz w:val="20"/>
          <w:szCs w:val="20"/>
          <w:lang w:val="pt-BR"/>
        </w:rPr>
        <w:t>independe de se</w:t>
      </w:r>
      <w:r w:rsidR="00506331" w:rsidRPr="00337743">
        <w:rPr>
          <w:rFonts w:ascii="Cambria" w:hAnsi="Cambria" w:cs="Verdana"/>
          <w:sz w:val="20"/>
          <w:szCs w:val="20"/>
          <w:lang w:val="pt-BR"/>
        </w:rPr>
        <w:t xml:space="preserve"> o </w:t>
      </w:r>
      <w:r w:rsidR="009A3E8A" w:rsidRPr="00337743">
        <w:rPr>
          <w:rFonts w:ascii="Cambria" w:hAnsi="Cambria" w:cs="Verdana"/>
          <w:sz w:val="20"/>
          <w:szCs w:val="20"/>
          <w:lang w:val="pt-BR"/>
        </w:rPr>
        <w:t>órgão</w:t>
      </w:r>
      <w:r w:rsidR="003620C6" w:rsidRPr="00337743">
        <w:rPr>
          <w:rFonts w:ascii="Cambria" w:hAnsi="Cambria" w:cs="Verdana"/>
          <w:sz w:val="20"/>
          <w:szCs w:val="20"/>
          <w:lang w:val="pt-BR"/>
        </w:rPr>
        <w:t xml:space="preserve"> o</w:t>
      </w:r>
      <w:r w:rsidR="00832004" w:rsidRPr="00337743">
        <w:rPr>
          <w:rFonts w:ascii="Cambria" w:hAnsi="Cambria" w:cs="Verdana"/>
          <w:sz w:val="20"/>
          <w:szCs w:val="20"/>
          <w:lang w:val="pt-BR"/>
        </w:rPr>
        <w:t>u</w:t>
      </w:r>
      <w:r w:rsidR="003620C6" w:rsidRPr="00337743">
        <w:rPr>
          <w:rFonts w:ascii="Cambria" w:hAnsi="Cambria" w:cs="Verdana"/>
          <w:sz w:val="20"/>
          <w:szCs w:val="20"/>
          <w:lang w:val="pt-BR"/>
        </w:rPr>
        <w:t xml:space="preserve"> </w:t>
      </w:r>
      <w:r w:rsidR="009A3E8A" w:rsidRPr="00337743">
        <w:rPr>
          <w:rFonts w:ascii="Cambria" w:hAnsi="Cambria" w:cs="Verdana"/>
          <w:sz w:val="20"/>
          <w:szCs w:val="20"/>
          <w:lang w:val="pt-BR"/>
        </w:rPr>
        <w:t>funcionário</w:t>
      </w:r>
      <w:r w:rsidR="003620C6" w:rsidRPr="00337743">
        <w:rPr>
          <w:rFonts w:ascii="Cambria" w:hAnsi="Cambria" w:cs="Verdana"/>
          <w:sz w:val="20"/>
          <w:szCs w:val="20"/>
          <w:lang w:val="pt-BR"/>
        </w:rPr>
        <w:t xml:space="preserve"> </w:t>
      </w:r>
      <w:r w:rsidR="00832004" w:rsidRPr="00337743">
        <w:rPr>
          <w:rFonts w:ascii="Cambria" w:hAnsi="Cambria" w:cs="Verdana"/>
          <w:sz w:val="20"/>
          <w:szCs w:val="20"/>
          <w:lang w:val="pt-BR"/>
        </w:rPr>
        <w:t>ten</w:t>
      </w:r>
      <w:r w:rsidR="003620C6" w:rsidRPr="00337743">
        <w:rPr>
          <w:rFonts w:ascii="Cambria" w:hAnsi="Cambria" w:cs="Verdana"/>
          <w:sz w:val="20"/>
          <w:szCs w:val="20"/>
          <w:lang w:val="pt-BR"/>
        </w:rPr>
        <w:t xml:space="preserve">ha </w:t>
      </w:r>
      <w:r w:rsidR="00832004" w:rsidRPr="00337743">
        <w:rPr>
          <w:rFonts w:ascii="Cambria" w:hAnsi="Cambria" w:cs="Verdana"/>
          <w:sz w:val="20"/>
          <w:szCs w:val="20"/>
          <w:lang w:val="pt-BR"/>
        </w:rPr>
        <w:t>atuado</w:t>
      </w:r>
      <w:r w:rsidR="00091880" w:rsidRPr="00337743">
        <w:rPr>
          <w:rFonts w:ascii="Cambria" w:hAnsi="Cambria" w:cs="Verdana"/>
          <w:sz w:val="20"/>
          <w:szCs w:val="20"/>
          <w:lang w:val="pt-BR"/>
        </w:rPr>
        <w:t xml:space="preserve"> </w:t>
      </w:r>
      <w:r w:rsidR="00DC5F32">
        <w:rPr>
          <w:rFonts w:ascii="Cambria" w:hAnsi="Cambria" w:cs="Verdana"/>
          <w:sz w:val="20"/>
          <w:szCs w:val="20"/>
          <w:lang w:val="pt-BR"/>
        </w:rPr>
        <w:t>de forma contrária a</w:t>
      </w:r>
      <w:r w:rsidR="003620C6" w:rsidRPr="00337743">
        <w:rPr>
          <w:rFonts w:ascii="Cambria" w:hAnsi="Cambria" w:cs="Verdana"/>
          <w:sz w:val="20"/>
          <w:szCs w:val="20"/>
          <w:lang w:val="pt-BR"/>
        </w:rPr>
        <w:t xml:space="preserve"> disposi</w:t>
      </w:r>
      <w:r w:rsidR="00350E7E" w:rsidRPr="00337743">
        <w:rPr>
          <w:rFonts w:ascii="Cambria" w:hAnsi="Cambria" w:cs="Verdana"/>
          <w:sz w:val="20"/>
          <w:szCs w:val="20"/>
          <w:lang w:val="pt-BR"/>
        </w:rPr>
        <w:t>ções</w:t>
      </w:r>
      <w:r w:rsidR="007707E3" w:rsidRPr="00337743">
        <w:rPr>
          <w:rFonts w:ascii="Cambria" w:hAnsi="Cambria" w:cs="Verdana"/>
          <w:sz w:val="20"/>
          <w:szCs w:val="20"/>
          <w:lang w:val="pt-BR"/>
        </w:rPr>
        <w:t xml:space="preserve"> do </w:t>
      </w:r>
      <w:r w:rsidR="00350E7E" w:rsidRPr="00337743">
        <w:rPr>
          <w:rFonts w:ascii="Cambria" w:hAnsi="Cambria" w:cs="Verdana"/>
          <w:sz w:val="20"/>
          <w:szCs w:val="20"/>
          <w:lang w:val="pt-BR"/>
        </w:rPr>
        <w:t>direito</w:t>
      </w:r>
      <w:r w:rsidR="003620C6" w:rsidRPr="00337743">
        <w:rPr>
          <w:rFonts w:ascii="Cambria" w:hAnsi="Cambria" w:cs="Verdana"/>
          <w:sz w:val="20"/>
          <w:szCs w:val="20"/>
          <w:lang w:val="pt-BR"/>
        </w:rPr>
        <w:t xml:space="preserve"> interno o</w:t>
      </w:r>
      <w:r w:rsidR="00832004" w:rsidRPr="00337743">
        <w:rPr>
          <w:rFonts w:ascii="Cambria" w:hAnsi="Cambria" w:cs="Verdana"/>
          <w:sz w:val="20"/>
          <w:szCs w:val="20"/>
          <w:lang w:val="pt-BR"/>
        </w:rPr>
        <w:t>u</w:t>
      </w:r>
      <w:r w:rsidR="003620C6" w:rsidRPr="00337743">
        <w:rPr>
          <w:rFonts w:ascii="Cambria" w:hAnsi="Cambria" w:cs="Verdana"/>
          <w:sz w:val="20"/>
          <w:szCs w:val="20"/>
          <w:lang w:val="pt-BR"/>
        </w:rPr>
        <w:t xml:space="preserve"> </w:t>
      </w:r>
      <w:r w:rsidR="00832004" w:rsidRPr="00337743">
        <w:rPr>
          <w:rFonts w:ascii="Cambria" w:hAnsi="Cambria" w:cs="Verdana"/>
          <w:sz w:val="20"/>
          <w:szCs w:val="20"/>
          <w:lang w:val="pt-BR"/>
        </w:rPr>
        <w:t>ultrapass</w:t>
      </w:r>
      <w:r w:rsidR="003620C6" w:rsidRPr="00337743">
        <w:rPr>
          <w:rFonts w:ascii="Cambria" w:hAnsi="Cambria" w:cs="Verdana"/>
          <w:sz w:val="20"/>
          <w:szCs w:val="20"/>
          <w:lang w:val="pt-BR"/>
        </w:rPr>
        <w:t>ado</w:t>
      </w:r>
      <w:r w:rsidR="007707E3" w:rsidRPr="00337743">
        <w:rPr>
          <w:rFonts w:ascii="Cambria" w:hAnsi="Cambria" w:cs="Verdana"/>
          <w:sz w:val="20"/>
          <w:szCs w:val="20"/>
          <w:lang w:val="pt-BR"/>
        </w:rPr>
        <w:t xml:space="preserve"> os </w:t>
      </w:r>
      <w:r w:rsidR="00832004" w:rsidRPr="00337743">
        <w:rPr>
          <w:rFonts w:ascii="Cambria" w:hAnsi="Cambria" w:cs="Verdana"/>
          <w:sz w:val="20"/>
          <w:szCs w:val="20"/>
          <w:lang w:val="pt-BR"/>
        </w:rPr>
        <w:t>limites</w:t>
      </w:r>
      <w:r w:rsidR="003620C6" w:rsidRPr="00337743">
        <w:rPr>
          <w:rFonts w:ascii="Cambria" w:hAnsi="Cambria" w:cs="Verdana"/>
          <w:sz w:val="20"/>
          <w:szCs w:val="20"/>
          <w:lang w:val="pt-BR"/>
        </w:rPr>
        <w:t xml:space="preserve"> de </w:t>
      </w:r>
      <w:r w:rsidR="00AE3002" w:rsidRPr="00337743">
        <w:rPr>
          <w:rFonts w:ascii="Cambria" w:hAnsi="Cambria" w:cs="Verdana"/>
          <w:sz w:val="20"/>
          <w:szCs w:val="20"/>
          <w:lang w:val="pt-BR"/>
        </w:rPr>
        <w:t>sua</w:t>
      </w:r>
      <w:r w:rsidR="003620C6" w:rsidRPr="00337743">
        <w:rPr>
          <w:rFonts w:ascii="Cambria" w:hAnsi="Cambria" w:cs="Verdana"/>
          <w:sz w:val="20"/>
          <w:szCs w:val="20"/>
          <w:lang w:val="pt-BR"/>
        </w:rPr>
        <w:t xml:space="preserve"> </w:t>
      </w:r>
      <w:r w:rsidR="0097767F" w:rsidRPr="00337743">
        <w:rPr>
          <w:rFonts w:ascii="Cambria" w:hAnsi="Cambria" w:cs="Verdana"/>
          <w:sz w:val="20"/>
          <w:szCs w:val="20"/>
          <w:lang w:val="pt-BR"/>
        </w:rPr>
        <w:t>própria</w:t>
      </w:r>
      <w:r w:rsidR="003620C6" w:rsidRPr="00337743">
        <w:rPr>
          <w:rFonts w:ascii="Cambria" w:hAnsi="Cambria" w:cs="Verdana"/>
          <w:sz w:val="20"/>
          <w:szCs w:val="20"/>
          <w:lang w:val="pt-BR"/>
        </w:rPr>
        <w:t xml:space="preserve"> </w:t>
      </w:r>
      <w:r w:rsidR="00832004" w:rsidRPr="00337743">
        <w:rPr>
          <w:rFonts w:ascii="Cambria" w:hAnsi="Cambria" w:cs="Verdana"/>
          <w:sz w:val="20"/>
          <w:szCs w:val="20"/>
          <w:lang w:val="pt-BR"/>
        </w:rPr>
        <w:t>competência</w:t>
      </w:r>
      <w:r w:rsidR="00DC5F32">
        <w:rPr>
          <w:rFonts w:ascii="Cambria" w:hAnsi="Cambria" w:cs="Verdana"/>
          <w:sz w:val="20"/>
          <w:szCs w:val="20"/>
          <w:lang w:val="pt-BR"/>
        </w:rPr>
        <w:t>;</w:t>
      </w:r>
      <w:r w:rsidR="003620C6" w:rsidRPr="00337743">
        <w:rPr>
          <w:rFonts w:ascii="Cambria" w:hAnsi="Cambria" w:cs="Verdana"/>
          <w:sz w:val="20"/>
          <w:szCs w:val="20"/>
          <w:lang w:val="pt-BR"/>
        </w:rPr>
        <w:t xml:space="preserve"> </w:t>
      </w:r>
      <w:r w:rsidR="00A6443F" w:rsidRPr="00337743">
        <w:rPr>
          <w:rFonts w:ascii="Cambria" w:hAnsi="Cambria" w:cs="Verdana"/>
          <w:sz w:val="20"/>
          <w:szCs w:val="20"/>
          <w:lang w:val="pt-BR"/>
        </w:rPr>
        <w:t xml:space="preserve">é </w:t>
      </w:r>
      <w:r w:rsidR="00091880" w:rsidRPr="00337743">
        <w:rPr>
          <w:rFonts w:ascii="Cambria" w:hAnsi="Cambria" w:cs="Verdana"/>
          <w:sz w:val="20"/>
          <w:szCs w:val="20"/>
          <w:lang w:val="pt-BR"/>
        </w:rPr>
        <w:t xml:space="preserve">um </w:t>
      </w:r>
      <w:r w:rsidR="003620C6" w:rsidRPr="00337743">
        <w:rPr>
          <w:rFonts w:ascii="Cambria" w:hAnsi="Cambria" w:cs="Verdana"/>
          <w:sz w:val="20"/>
          <w:szCs w:val="20"/>
          <w:lang w:val="pt-BR"/>
        </w:rPr>
        <w:t>princ</w:t>
      </w:r>
      <w:r w:rsidR="0097767F" w:rsidRPr="00337743">
        <w:rPr>
          <w:rFonts w:ascii="Cambria" w:hAnsi="Cambria" w:cs="Verdana"/>
          <w:sz w:val="20"/>
          <w:szCs w:val="20"/>
          <w:lang w:val="pt-BR"/>
        </w:rPr>
        <w:t>í</w:t>
      </w:r>
      <w:r w:rsidR="003620C6" w:rsidRPr="00337743">
        <w:rPr>
          <w:rFonts w:ascii="Cambria" w:hAnsi="Cambria" w:cs="Verdana"/>
          <w:sz w:val="20"/>
          <w:szCs w:val="20"/>
          <w:lang w:val="pt-BR"/>
        </w:rPr>
        <w:t xml:space="preserve">pio de </w:t>
      </w:r>
      <w:r w:rsidR="00350E7E" w:rsidRPr="00337743">
        <w:rPr>
          <w:rFonts w:ascii="Cambria" w:hAnsi="Cambria" w:cs="Verdana"/>
          <w:sz w:val="20"/>
          <w:szCs w:val="20"/>
          <w:lang w:val="pt-BR"/>
        </w:rPr>
        <w:t>Direito</w:t>
      </w:r>
      <w:r w:rsidR="003620C6" w:rsidRPr="00337743">
        <w:rPr>
          <w:rFonts w:ascii="Cambria" w:hAnsi="Cambria" w:cs="Verdana"/>
          <w:sz w:val="20"/>
          <w:szCs w:val="20"/>
          <w:lang w:val="pt-BR"/>
        </w:rPr>
        <w:t xml:space="preserve"> </w:t>
      </w:r>
      <w:r w:rsidR="0097767F" w:rsidRPr="00337743">
        <w:rPr>
          <w:rFonts w:ascii="Cambria" w:hAnsi="Cambria" w:cs="Verdana"/>
          <w:sz w:val="20"/>
          <w:szCs w:val="20"/>
          <w:lang w:val="pt-BR"/>
        </w:rPr>
        <w:t>I</w:t>
      </w:r>
      <w:r w:rsidR="003620C6" w:rsidRPr="00337743">
        <w:rPr>
          <w:rFonts w:ascii="Cambria" w:hAnsi="Cambria" w:cs="Verdana"/>
          <w:sz w:val="20"/>
          <w:szCs w:val="20"/>
          <w:lang w:val="pt-BR"/>
        </w:rPr>
        <w:t>nternacional que</w:t>
      </w:r>
      <w:r w:rsidR="00506331" w:rsidRPr="00337743">
        <w:rPr>
          <w:rFonts w:ascii="Cambria" w:hAnsi="Cambria" w:cs="Verdana"/>
          <w:sz w:val="20"/>
          <w:szCs w:val="20"/>
          <w:lang w:val="pt-BR"/>
        </w:rPr>
        <w:t xml:space="preserve"> o </w:t>
      </w:r>
      <w:r w:rsidR="003620C6" w:rsidRPr="00337743">
        <w:rPr>
          <w:rFonts w:ascii="Cambria" w:hAnsi="Cambria" w:cs="Verdana"/>
          <w:sz w:val="20"/>
          <w:szCs w:val="20"/>
          <w:lang w:val="pt-BR"/>
        </w:rPr>
        <w:t>Estado responde</w:t>
      </w:r>
      <w:r w:rsidR="00BF72CE" w:rsidRPr="00337743">
        <w:rPr>
          <w:rFonts w:ascii="Cambria" w:hAnsi="Cambria" w:cs="Verdana"/>
          <w:sz w:val="20"/>
          <w:szCs w:val="20"/>
          <w:lang w:val="pt-BR"/>
        </w:rPr>
        <w:t xml:space="preserve"> pelos </w:t>
      </w:r>
      <w:r w:rsidR="00832004" w:rsidRPr="00337743">
        <w:rPr>
          <w:rFonts w:ascii="Cambria" w:hAnsi="Cambria" w:cs="Verdana"/>
          <w:sz w:val="20"/>
          <w:szCs w:val="20"/>
          <w:lang w:val="pt-BR"/>
        </w:rPr>
        <w:t>atos</w:t>
      </w:r>
      <w:r w:rsidR="003620C6" w:rsidRPr="00337743">
        <w:rPr>
          <w:rFonts w:ascii="Cambria" w:hAnsi="Cambria" w:cs="Verdana"/>
          <w:sz w:val="20"/>
          <w:szCs w:val="20"/>
          <w:lang w:val="pt-BR"/>
        </w:rPr>
        <w:t xml:space="preserve"> </w:t>
      </w:r>
      <w:r w:rsidR="0097767F" w:rsidRPr="00337743">
        <w:rPr>
          <w:rFonts w:ascii="Cambria" w:hAnsi="Cambria" w:cs="Verdana"/>
          <w:sz w:val="20"/>
          <w:szCs w:val="20"/>
          <w:lang w:val="pt-BR"/>
        </w:rPr>
        <w:t xml:space="preserve">e omissões </w:t>
      </w:r>
      <w:r w:rsidR="003620C6" w:rsidRPr="00337743">
        <w:rPr>
          <w:rFonts w:ascii="Cambria" w:hAnsi="Cambria" w:cs="Verdana"/>
          <w:sz w:val="20"/>
          <w:szCs w:val="20"/>
          <w:lang w:val="pt-BR"/>
        </w:rPr>
        <w:t>de s</w:t>
      </w:r>
      <w:r w:rsidR="0097767F" w:rsidRPr="00337743">
        <w:rPr>
          <w:rFonts w:ascii="Cambria" w:hAnsi="Cambria" w:cs="Verdana"/>
          <w:sz w:val="20"/>
          <w:szCs w:val="20"/>
          <w:lang w:val="pt-BR"/>
        </w:rPr>
        <w:t>e</w:t>
      </w:r>
      <w:r w:rsidR="003620C6" w:rsidRPr="00337743">
        <w:rPr>
          <w:rFonts w:ascii="Cambria" w:hAnsi="Cambria" w:cs="Verdana"/>
          <w:sz w:val="20"/>
          <w:szCs w:val="20"/>
          <w:lang w:val="pt-BR"/>
        </w:rPr>
        <w:t xml:space="preserve">us agentes </w:t>
      </w:r>
      <w:r w:rsidR="00AE3002" w:rsidRPr="00337743">
        <w:rPr>
          <w:rFonts w:ascii="Cambria" w:hAnsi="Cambria" w:cs="Verdana"/>
          <w:sz w:val="20"/>
          <w:szCs w:val="20"/>
          <w:lang w:val="pt-BR"/>
        </w:rPr>
        <w:t>mesmo</w:t>
      </w:r>
      <w:r w:rsidR="0097767F" w:rsidRPr="00337743">
        <w:rPr>
          <w:rFonts w:ascii="Cambria" w:hAnsi="Cambria" w:cs="Verdana"/>
          <w:sz w:val="20"/>
          <w:szCs w:val="20"/>
          <w:lang w:val="pt-BR"/>
        </w:rPr>
        <w:t xml:space="preserve"> </w:t>
      </w:r>
      <w:r w:rsidRPr="00337743">
        <w:rPr>
          <w:rFonts w:ascii="Cambria" w:hAnsi="Cambria" w:cs="Verdana"/>
          <w:sz w:val="20"/>
          <w:szCs w:val="20"/>
          <w:lang w:val="pt-BR"/>
        </w:rPr>
        <w:t xml:space="preserve">se </w:t>
      </w:r>
      <w:r w:rsidR="00832004" w:rsidRPr="00337743">
        <w:rPr>
          <w:rFonts w:ascii="Cambria" w:hAnsi="Cambria" w:cs="Verdana"/>
          <w:sz w:val="20"/>
          <w:szCs w:val="20"/>
          <w:lang w:val="pt-BR"/>
        </w:rPr>
        <w:t>atua</w:t>
      </w:r>
      <w:r w:rsidR="00484427" w:rsidRPr="00337743">
        <w:rPr>
          <w:rFonts w:ascii="Cambria" w:hAnsi="Cambria" w:cs="Verdana"/>
          <w:sz w:val="20"/>
          <w:szCs w:val="20"/>
          <w:lang w:val="pt-BR"/>
        </w:rPr>
        <w:t>re</w:t>
      </w:r>
      <w:r w:rsidR="00832004" w:rsidRPr="00337743">
        <w:rPr>
          <w:rFonts w:ascii="Cambria" w:hAnsi="Cambria" w:cs="Verdana"/>
          <w:sz w:val="20"/>
          <w:szCs w:val="20"/>
          <w:lang w:val="pt-BR"/>
        </w:rPr>
        <w:t>m</w:t>
      </w:r>
      <w:r w:rsidR="003620C6" w:rsidRPr="00337743">
        <w:rPr>
          <w:rFonts w:ascii="Cambria" w:hAnsi="Cambria" w:cs="Verdana"/>
          <w:sz w:val="20"/>
          <w:szCs w:val="20"/>
          <w:lang w:val="pt-BR"/>
        </w:rPr>
        <w:t xml:space="preserve"> f</w:t>
      </w:r>
      <w:r w:rsidR="0097767F" w:rsidRPr="00337743">
        <w:rPr>
          <w:rFonts w:ascii="Cambria" w:hAnsi="Cambria" w:cs="Verdana"/>
          <w:sz w:val="20"/>
          <w:szCs w:val="20"/>
          <w:lang w:val="pt-BR"/>
        </w:rPr>
        <w:t>o</w:t>
      </w:r>
      <w:r w:rsidR="003620C6" w:rsidRPr="00337743">
        <w:rPr>
          <w:rFonts w:ascii="Cambria" w:hAnsi="Cambria" w:cs="Verdana"/>
          <w:sz w:val="20"/>
          <w:szCs w:val="20"/>
          <w:lang w:val="pt-BR"/>
        </w:rPr>
        <w:t>ra</w:t>
      </w:r>
      <w:r w:rsidR="00E96C24" w:rsidRPr="00337743">
        <w:rPr>
          <w:rFonts w:ascii="Cambria" w:hAnsi="Cambria" w:cs="Verdana"/>
          <w:sz w:val="20"/>
          <w:szCs w:val="20"/>
          <w:lang w:val="pt-BR"/>
        </w:rPr>
        <w:t xml:space="preserve"> dos </w:t>
      </w:r>
      <w:r w:rsidR="0097767F" w:rsidRPr="00337743">
        <w:rPr>
          <w:rFonts w:ascii="Cambria" w:hAnsi="Cambria" w:cs="Verdana"/>
          <w:sz w:val="20"/>
          <w:szCs w:val="20"/>
          <w:lang w:val="pt-BR"/>
        </w:rPr>
        <w:t>limites</w:t>
      </w:r>
      <w:r w:rsidR="003620C6" w:rsidRPr="00337743">
        <w:rPr>
          <w:rFonts w:ascii="Cambria" w:hAnsi="Cambria" w:cs="Verdana"/>
          <w:sz w:val="20"/>
          <w:szCs w:val="20"/>
          <w:lang w:val="pt-BR"/>
        </w:rPr>
        <w:t xml:space="preserve"> de </w:t>
      </w:r>
      <w:r w:rsidR="00832004" w:rsidRPr="00337743">
        <w:rPr>
          <w:rFonts w:ascii="Cambria" w:hAnsi="Cambria" w:cs="Verdana"/>
          <w:sz w:val="20"/>
          <w:szCs w:val="20"/>
          <w:lang w:val="pt-BR"/>
        </w:rPr>
        <w:t>sua</w:t>
      </w:r>
      <w:r w:rsidR="003620C6" w:rsidRPr="00337743">
        <w:rPr>
          <w:rFonts w:ascii="Cambria" w:hAnsi="Cambria" w:cs="Verdana"/>
          <w:sz w:val="20"/>
          <w:szCs w:val="20"/>
          <w:lang w:val="pt-BR"/>
        </w:rPr>
        <w:t xml:space="preserve"> </w:t>
      </w:r>
      <w:r w:rsidR="008E4939" w:rsidRPr="00337743">
        <w:rPr>
          <w:rFonts w:ascii="Cambria" w:hAnsi="Cambria" w:cs="Verdana"/>
          <w:sz w:val="20"/>
          <w:szCs w:val="20"/>
          <w:lang w:val="pt-BR"/>
        </w:rPr>
        <w:t>competência</w:t>
      </w:r>
      <w:r w:rsidR="003620C6" w:rsidRPr="00337743">
        <w:rPr>
          <w:rFonts w:ascii="Cambria" w:hAnsi="Cambria" w:cs="Verdana"/>
          <w:sz w:val="20"/>
          <w:szCs w:val="20"/>
          <w:lang w:val="pt-BR"/>
        </w:rPr>
        <w:t xml:space="preserve"> o</w:t>
      </w:r>
      <w:r w:rsidR="00484427" w:rsidRPr="00337743">
        <w:rPr>
          <w:rFonts w:ascii="Cambria" w:hAnsi="Cambria" w:cs="Verdana"/>
          <w:sz w:val="20"/>
          <w:szCs w:val="20"/>
          <w:lang w:val="pt-BR"/>
        </w:rPr>
        <w:t>u</w:t>
      </w:r>
      <w:r w:rsidR="00091880" w:rsidRPr="00337743">
        <w:rPr>
          <w:rFonts w:ascii="Cambria" w:hAnsi="Cambria" w:cs="Verdana"/>
          <w:sz w:val="20"/>
          <w:szCs w:val="20"/>
          <w:lang w:val="pt-BR"/>
        </w:rPr>
        <w:t xml:space="preserve"> em </w:t>
      </w:r>
      <w:r w:rsidR="003620C6" w:rsidRPr="00337743">
        <w:rPr>
          <w:rFonts w:ascii="Cambria" w:hAnsi="Cambria" w:cs="Verdana"/>
          <w:sz w:val="20"/>
          <w:szCs w:val="20"/>
          <w:lang w:val="pt-BR"/>
        </w:rPr>
        <w:t>viola</w:t>
      </w:r>
      <w:r w:rsidR="00350E7E" w:rsidRPr="00337743">
        <w:rPr>
          <w:rFonts w:ascii="Cambria" w:hAnsi="Cambria" w:cs="Verdana"/>
          <w:sz w:val="20"/>
          <w:szCs w:val="20"/>
          <w:lang w:val="pt-BR"/>
        </w:rPr>
        <w:t>ção</w:t>
      </w:r>
      <w:r w:rsidR="007707E3" w:rsidRPr="00337743">
        <w:rPr>
          <w:rFonts w:ascii="Cambria" w:hAnsi="Cambria" w:cs="Verdana"/>
          <w:sz w:val="20"/>
          <w:szCs w:val="20"/>
          <w:lang w:val="pt-BR"/>
        </w:rPr>
        <w:t xml:space="preserve"> do </w:t>
      </w:r>
      <w:r w:rsidR="00350E7E" w:rsidRPr="00337743">
        <w:rPr>
          <w:rFonts w:ascii="Cambria" w:hAnsi="Cambria" w:cs="Verdana"/>
          <w:sz w:val="20"/>
          <w:szCs w:val="20"/>
          <w:lang w:val="pt-BR"/>
        </w:rPr>
        <w:t>direito</w:t>
      </w:r>
      <w:r w:rsidR="003620C6" w:rsidRPr="00337743">
        <w:rPr>
          <w:rFonts w:ascii="Cambria" w:hAnsi="Cambria" w:cs="Verdana"/>
          <w:sz w:val="20"/>
          <w:szCs w:val="20"/>
          <w:lang w:val="pt-BR"/>
        </w:rPr>
        <w:t xml:space="preserve"> interno</w:t>
      </w:r>
      <w:r w:rsidR="003620C6" w:rsidRPr="00337743">
        <w:rPr>
          <w:rStyle w:val="FootnoteReference"/>
          <w:rFonts w:ascii="Cambria" w:hAnsi="Cambria"/>
          <w:sz w:val="20"/>
          <w:szCs w:val="20"/>
          <w:lang w:val="pt-BR"/>
        </w:rPr>
        <w:footnoteReference w:id="89"/>
      </w:r>
      <w:r w:rsidR="003620C6" w:rsidRPr="00337743">
        <w:rPr>
          <w:rFonts w:ascii="Cambria" w:hAnsi="Cambria" w:cs="Verdana"/>
          <w:sz w:val="20"/>
          <w:szCs w:val="20"/>
          <w:lang w:val="pt-BR"/>
        </w:rPr>
        <w:t xml:space="preserve">. </w:t>
      </w:r>
    </w:p>
    <w:p w14:paraId="0F098165" w14:textId="77777777" w:rsidR="00BC0E90" w:rsidRPr="00337743" w:rsidRDefault="00BC0E90" w:rsidP="00BC0E9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s="Verdana"/>
          <w:sz w:val="20"/>
          <w:szCs w:val="20"/>
          <w:lang w:val="pt-BR"/>
        </w:rPr>
      </w:pPr>
    </w:p>
    <w:p w14:paraId="7AB5C6A5" w14:textId="77777777" w:rsidR="00A30AEE" w:rsidRPr="00337743" w:rsidRDefault="00532720" w:rsidP="001D5DA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s="Verdana"/>
          <w:sz w:val="20"/>
          <w:szCs w:val="20"/>
          <w:lang w:val="pt-BR"/>
        </w:rPr>
      </w:pPr>
      <w:r w:rsidRPr="00337743">
        <w:rPr>
          <w:rFonts w:ascii="Cambria" w:hAnsi="Cambria" w:cs="Verdana"/>
          <w:sz w:val="20"/>
          <w:szCs w:val="20"/>
          <w:lang w:val="pt-BR"/>
        </w:rPr>
        <w:t>N</w:t>
      </w:r>
      <w:r w:rsidR="00506331" w:rsidRPr="00337743">
        <w:rPr>
          <w:rFonts w:ascii="Cambria" w:hAnsi="Cambria" w:cs="Verdana"/>
          <w:sz w:val="20"/>
          <w:szCs w:val="20"/>
          <w:lang w:val="pt-BR"/>
        </w:rPr>
        <w:t xml:space="preserve">o </w:t>
      </w:r>
      <w:r w:rsidR="00636F6A" w:rsidRPr="00337743">
        <w:rPr>
          <w:rFonts w:ascii="Cambria" w:hAnsi="Cambria" w:cs="Verdana"/>
          <w:sz w:val="20"/>
          <w:szCs w:val="20"/>
          <w:lang w:val="pt-BR"/>
        </w:rPr>
        <w:t xml:space="preserve">caso </w:t>
      </w:r>
      <w:r w:rsidR="00636F6A" w:rsidRPr="00337743">
        <w:rPr>
          <w:rFonts w:ascii="Cambria" w:hAnsi="Cambria" w:cs="Verdana"/>
          <w:i/>
          <w:sz w:val="20"/>
          <w:szCs w:val="20"/>
          <w:lang w:val="pt-BR"/>
        </w:rPr>
        <w:t>Villamizar Durán</w:t>
      </w:r>
      <w:r w:rsidR="00506331" w:rsidRPr="00337743">
        <w:rPr>
          <w:rFonts w:ascii="Cambria" w:hAnsi="Cambria" w:cs="Verdana"/>
          <w:i/>
          <w:sz w:val="20"/>
          <w:szCs w:val="20"/>
          <w:lang w:val="pt-BR"/>
        </w:rPr>
        <w:t xml:space="preserve"> e </w:t>
      </w:r>
      <w:r w:rsidR="00E81481" w:rsidRPr="00337743">
        <w:rPr>
          <w:rFonts w:ascii="Cambria" w:hAnsi="Cambria" w:cs="Verdana"/>
          <w:i/>
          <w:sz w:val="20"/>
          <w:szCs w:val="20"/>
          <w:lang w:val="pt-BR"/>
        </w:rPr>
        <w:t>outr</w:t>
      </w:r>
      <w:r w:rsidR="00636F6A" w:rsidRPr="00337743">
        <w:rPr>
          <w:rFonts w:ascii="Cambria" w:hAnsi="Cambria" w:cs="Verdana"/>
          <w:i/>
          <w:sz w:val="20"/>
          <w:szCs w:val="20"/>
          <w:lang w:val="pt-BR"/>
        </w:rPr>
        <w:t xml:space="preserve">os vs. </w:t>
      </w:r>
      <w:r w:rsidR="00E30405" w:rsidRPr="00337743">
        <w:rPr>
          <w:rFonts w:ascii="Cambria" w:hAnsi="Cambria" w:cs="Verdana"/>
          <w:i/>
          <w:sz w:val="20"/>
          <w:szCs w:val="20"/>
          <w:lang w:val="pt-BR"/>
        </w:rPr>
        <w:t>Colômbia</w:t>
      </w:r>
      <w:r w:rsidR="00636F6A" w:rsidRPr="00337743">
        <w:rPr>
          <w:rFonts w:ascii="Cambria" w:hAnsi="Cambria" w:cs="Verdana"/>
          <w:sz w:val="20"/>
          <w:szCs w:val="20"/>
          <w:lang w:val="pt-BR"/>
        </w:rPr>
        <w:t>,</w:t>
      </w:r>
      <w:r w:rsidR="00506331" w:rsidRPr="00337743">
        <w:rPr>
          <w:rFonts w:ascii="Cambria" w:hAnsi="Cambria" w:cs="Verdana"/>
          <w:sz w:val="20"/>
          <w:szCs w:val="20"/>
          <w:lang w:val="pt-BR"/>
        </w:rPr>
        <w:t xml:space="preserve"> a </w:t>
      </w:r>
      <w:r w:rsidR="00636F6A" w:rsidRPr="00337743">
        <w:rPr>
          <w:rFonts w:ascii="Cambria" w:hAnsi="Cambria" w:cs="Verdana"/>
          <w:sz w:val="20"/>
          <w:szCs w:val="20"/>
          <w:lang w:val="pt-BR"/>
        </w:rPr>
        <w:t>Cor</w:t>
      </w:r>
      <w:r w:rsidR="00A03999" w:rsidRPr="00337743">
        <w:rPr>
          <w:rFonts w:ascii="Cambria" w:hAnsi="Cambria" w:cs="Verdana"/>
          <w:sz w:val="20"/>
          <w:szCs w:val="20"/>
          <w:lang w:val="pt-BR"/>
        </w:rPr>
        <w:t>t</w:t>
      </w:r>
      <w:r w:rsidR="00636F6A" w:rsidRPr="00337743">
        <w:rPr>
          <w:rFonts w:ascii="Cambria" w:hAnsi="Cambria" w:cs="Verdana"/>
          <w:sz w:val="20"/>
          <w:szCs w:val="20"/>
          <w:lang w:val="pt-BR"/>
        </w:rPr>
        <w:t>e Interamericana se pronunci</w:t>
      </w:r>
      <w:r w:rsidR="0088095C" w:rsidRPr="00337743">
        <w:rPr>
          <w:rFonts w:ascii="Cambria" w:hAnsi="Cambria" w:cs="Verdana"/>
          <w:sz w:val="20"/>
          <w:szCs w:val="20"/>
          <w:lang w:val="pt-BR"/>
        </w:rPr>
        <w:t>ou</w:t>
      </w:r>
      <w:r w:rsidR="00636F6A" w:rsidRPr="00337743">
        <w:rPr>
          <w:rFonts w:ascii="Cambria" w:hAnsi="Cambria" w:cs="Verdana"/>
          <w:sz w:val="20"/>
          <w:szCs w:val="20"/>
          <w:lang w:val="pt-BR"/>
        </w:rPr>
        <w:t xml:space="preserve"> sob</w:t>
      </w:r>
      <w:r w:rsidR="00097106" w:rsidRPr="00337743">
        <w:rPr>
          <w:rFonts w:ascii="Cambria" w:hAnsi="Cambria" w:cs="Verdana"/>
          <w:sz w:val="20"/>
          <w:szCs w:val="20"/>
          <w:lang w:val="pt-BR"/>
        </w:rPr>
        <w:t>r</w:t>
      </w:r>
      <w:r w:rsidR="00636F6A" w:rsidRPr="00337743">
        <w:rPr>
          <w:rFonts w:ascii="Cambria" w:hAnsi="Cambria" w:cs="Verdana"/>
          <w:sz w:val="20"/>
          <w:szCs w:val="20"/>
          <w:lang w:val="pt-BR"/>
        </w:rPr>
        <w:t>e</w:t>
      </w:r>
      <w:r w:rsidR="007707E3" w:rsidRPr="00337743">
        <w:rPr>
          <w:rFonts w:ascii="Cambria" w:hAnsi="Cambria" w:cs="Verdana"/>
          <w:sz w:val="20"/>
          <w:szCs w:val="20"/>
          <w:lang w:val="pt-BR"/>
        </w:rPr>
        <w:t xml:space="preserve"> os </w:t>
      </w:r>
      <w:r w:rsidR="0097767F" w:rsidRPr="00337743">
        <w:rPr>
          <w:rFonts w:ascii="Cambria" w:hAnsi="Cambria" w:cs="Verdana"/>
          <w:sz w:val="20"/>
          <w:szCs w:val="20"/>
          <w:lang w:val="pt-BR"/>
        </w:rPr>
        <w:t>parâmetros</w:t>
      </w:r>
      <w:r w:rsidR="00097106" w:rsidRPr="00337743">
        <w:rPr>
          <w:rFonts w:ascii="Cambria" w:hAnsi="Cambria" w:cs="Verdana"/>
          <w:sz w:val="20"/>
          <w:szCs w:val="20"/>
          <w:lang w:val="pt-BR"/>
        </w:rPr>
        <w:t xml:space="preserve"> para </w:t>
      </w:r>
      <w:r w:rsidR="00682477" w:rsidRPr="00337743">
        <w:rPr>
          <w:rFonts w:ascii="Cambria" w:hAnsi="Cambria" w:cs="Verdana"/>
          <w:sz w:val="20"/>
          <w:szCs w:val="20"/>
          <w:lang w:val="pt-BR"/>
        </w:rPr>
        <w:t>analisar</w:t>
      </w:r>
      <w:r w:rsidR="00506331" w:rsidRPr="00337743">
        <w:rPr>
          <w:rFonts w:ascii="Cambria" w:hAnsi="Cambria" w:cs="Verdana"/>
          <w:sz w:val="20"/>
          <w:szCs w:val="20"/>
          <w:lang w:val="pt-BR"/>
        </w:rPr>
        <w:t xml:space="preserve"> a </w:t>
      </w:r>
      <w:r w:rsidR="00097106" w:rsidRPr="00337743">
        <w:rPr>
          <w:rFonts w:ascii="Cambria" w:hAnsi="Cambria" w:cs="Verdana"/>
          <w:sz w:val="20"/>
          <w:szCs w:val="20"/>
          <w:lang w:val="pt-BR"/>
        </w:rPr>
        <w:t>pos</w:t>
      </w:r>
      <w:r w:rsidR="0088095C" w:rsidRPr="00337743">
        <w:rPr>
          <w:rFonts w:ascii="Cambria" w:hAnsi="Cambria" w:cs="Verdana"/>
          <w:sz w:val="20"/>
          <w:szCs w:val="20"/>
          <w:lang w:val="pt-BR"/>
        </w:rPr>
        <w:t>sível</w:t>
      </w:r>
      <w:r w:rsidR="00097106" w:rsidRPr="00337743">
        <w:rPr>
          <w:rFonts w:ascii="Cambria" w:hAnsi="Cambria" w:cs="Verdana"/>
          <w:sz w:val="20"/>
          <w:szCs w:val="20"/>
          <w:lang w:val="pt-BR"/>
        </w:rPr>
        <w:t xml:space="preserve"> responsabili</w:t>
      </w:r>
      <w:r w:rsidR="00350E7E" w:rsidRPr="00337743">
        <w:rPr>
          <w:rFonts w:ascii="Cambria" w:hAnsi="Cambria" w:cs="Verdana"/>
          <w:sz w:val="20"/>
          <w:szCs w:val="20"/>
          <w:lang w:val="pt-BR"/>
        </w:rPr>
        <w:t xml:space="preserve">dade </w:t>
      </w:r>
      <w:r w:rsidR="00097106" w:rsidRPr="00337743">
        <w:rPr>
          <w:rFonts w:ascii="Cambria" w:hAnsi="Cambria" w:cs="Verdana"/>
          <w:sz w:val="20"/>
          <w:szCs w:val="20"/>
          <w:lang w:val="pt-BR"/>
        </w:rPr>
        <w:t>internacional</w:t>
      </w:r>
      <w:r w:rsidR="007707E3" w:rsidRPr="00337743">
        <w:rPr>
          <w:rFonts w:ascii="Cambria" w:hAnsi="Cambria" w:cs="Verdana"/>
          <w:sz w:val="20"/>
          <w:szCs w:val="20"/>
          <w:lang w:val="pt-BR"/>
        </w:rPr>
        <w:t xml:space="preserve"> do </w:t>
      </w:r>
      <w:r w:rsidR="00097106" w:rsidRPr="00337743">
        <w:rPr>
          <w:rFonts w:ascii="Cambria" w:hAnsi="Cambria" w:cs="Verdana"/>
          <w:sz w:val="20"/>
          <w:szCs w:val="20"/>
          <w:lang w:val="pt-BR"/>
        </w:rPr>
        <w:t>Estado</w:t>
      </w:r>
      <w:r w:rsidR="00091880" w:rsidRPr="00337743">
        <w:rPr>
          <w:rFonts w:ascii="Cambria" w:hAnsi="Cambria" w:cs="Verdana"/>
          <w:sz w:val="20"/>
          <w:szCs w:val="20"/>
          <w:lang w:val="pt-BR"/>
        </w:rPr>
        <w:t xml:space="preserve"> em </w:t>
      </w:r>
      <w:r w:rsidR="00097106" w:rsidRPr="00337743">
        <w:rPr>
          <w:rFonts w:ascii="Cambria" w:hAnsi="Cambria" w:cs="Verdana"/>
          <w:sz w:val="20"/>
          <w:szCs w:val="20"/>
          <w:lang w:val="pt-BR"/>
        </w:rPr>
        <w:t>casos</w:t>
      </w:r>
      <w:r w:rsidR="00513361" w:rsidRPr="00337743">
        <w:rPr>
          <w:rFonts w:ascii="Cambria" w:hAnsi="Cambria" w:cs="Verdana"/>
          <w:sz w:val="20"/>
          <w:szCs w:val="20"/>
          <w:lang w:val="pt-BR"/>
        </w:rPr>
        <w:t xml:space="preserve"> nos </w:t>
      </w:r>
      <w:r w:rsidR="0097767F" w:rsidRPr="00337743">
        <w:rPr>
          <w:rFonts w:ascii="Cambria" w:hAnsi="Cambria" w:cs="Verdana"/>
          <w:sz w:val="20"/>
          <w:szCs w:val="20"/>
          <w:lang w:val="pt-BR"/>
        </w:rPr>
        <w:t>quais</w:t>
      </w:r>
      <w:r w:rsidR="00097106" w:rsidRPr="00337743">
        <w:rPr>
          <w:rFonts w:ascii="Cambria" w:hAnsi="Cambria" w:cs="Verdana"/>
          <w:sz w:val="20"/>
          <w:szCs w:val="20"/>
          <w:lang w:val="pt-BR"/>
        </w:rPr>
        <w:t xml:space="preserve"> se alega que</w:t>
      </w:r>
      <w:r w:rsidR="0088095C" w:rsidRPr="00337743">
        <w:rPr>
          <w:rFonts w:ascii="Cambria" w:hAnsi="Cambria" w:cs="Verdana"/>
          <w:sz w:val="20"/>
          <w:szCs w:val="20"/>
          <w:lang w:val="pt-BR"/>
        </w:rPr>
        <w:t>,</w:t>
      </w:r>
      <w:r w:rsidRPr="00337743">
        <w:rPr>
          <w:rFonts w:ascii="Cambria" w:hAnsi="Cambria" w:cs="Verdana"/>
          <w:sz w:val="20"/>
          <w:szCs w:val="20"/>
          <w:lang w:val="pt-BR"/>
        </w:rPr>
        <w:t xml:space="preserve"> </w:t>
      </w:r>
      <w:r w:rsidR="0088095C" w:rsidRPr="00337743">
        <w:rPr>
          <w:rFonts w:ascii="Cambria" w:hAnsi="Cambria" w:cs="Verdana"/>
          <w:sz w:val="20"/>
          <w:szCs w:val="20"/>
          <w:lang w:val="pt-BR"/>
        </w:rPr>
        <w:t xml:space="preserve">embora </w:t>
      </w:r>
      <w:r w:rsidRPr="00337743">
        <w:rPr>
          <w:rFonts w:ascii="Cambria" w:hAnsi="Cambria" w:cs="Verdana"/>
          <w:sz w:val="20"/>
          <w:szCs w:val="20"/>
          <w:lang w:val="pt-BR"/>
        </w:rPr>
        <w:t xml:space="preserve">se </w:t>
      </w:r>
      <w:r w:rsidR="00097106" w:rsidRPr="00337743">
        <w:rPr>
          <w:rFonts w:ascii="Cambria" w:hAnsi="Cambria" w:cs="Verdana"/>
          <w:sz w:val="20"/>
          <w:szCs w:val="20"/>
          <w:lang w:val="pt-BR"/>
        </w:rPr>
        <w:t>trat</w:t>
      </w:r>
      <w:r w:rsidR="0088095C" w:rsidRPr="00337743">
        <w:rPr>
          <w:rFonts w:ascii="Cambria" w:hAnsi="Cambria" w:cs="Verdana"/>
          <w:sz w:val="20"/>
          <w:szCs w:val="20"/>
          <w:lang w:val="pt-BR"/>
        </w:rPr>
        <w:t>e</w:t>
      </w:r>
      <w:r w:rsidR="00097106" w:rsidRPr="00337743">
        <w:rPr>
          <w:rFonts w:ascii="Cambria" w:hAnsi="Cambria" w:cs="Verdana"/>
          <w:sz w:val="20"/>
          <w:szCs w:val="20"/>
          <w:lang w:val="pt-BR"/>
        </w:rPr>
        <w:t xml:space="preserve"> de</w:t>
      </w:r>
      <w:r w:rsidR="00091880" w:rsidRPr="00337743">
        <w:rPr>
          <w:rFonts w:ascii="Cambria" w:hAnsi="Cambria" w:cs="Verdana"/>
          <w:sz w:val="20"/>
          <w:szCs w:val="20"/>
          <w:lang w:val="pt-BR"/>
        </w:rPr>
        <w:t xml:space="preserve"> um </w:t>
      </w:r>
      <w:r w:rsidR="0097767F" w:rsidRPr="00337743">
        <w:rPr>
          <w:rFonts w:ascii="Cambria" w:hAnsi="Cambria" w:cs="Verdana"/>
          <w:sz w:val="20"/>
          <w:szCs w:val="20"/>
          <w:lang w:val="pt-BR"/>
        </w:rPr>
        <w:t>funcionário</w:t>
      </w:r>
      <w:r w:rsidR="00097106" w:rsidRPr="00337743">
        <w:rPr>
          <w:rFonts w:ascii="Cambria" w:hAnsi="Cambria" w:cs="Verdana"/>
          <w:sz w:val="20"/>
          <w:szCs w:val="20"/>
          <w:lang w:val="pt-BR"/>
        </w:rPr>
        <w:t xml:space="preserve"> estatal, </w:t>
      </w:r>
      <w:r w:rsidR="0088095C" w:rsidRPr="00337743">
        <w:rPr>
          <w:rFonts w:ascii="Cambria" w:hAnsi="Cambria" w:cs="Verdana"/>
          <w:sz w:val="20"/>
          <w:szCs w:val="20"/>
          <w:lang w:val="pt-BR"/>
        </w:rPr>
        <w:t>ess</w:t>
      </w:r>
      <w:r w:rsidR="00097106" w:rsidRPr="00337743">
        <w:rPr>
          <w:rFonts w:ascii="Cambria" w:hAnsi="Cambria" w:cs="Verdana"/>
          <w:sz w:val="20"/>
          <w:szCs w:val="20"/>
          <w:lang w:val="pt-BR"/>
        </w:rPr>
        <w:t xml:space="preserve">a </w:t>
      </w:r>
      <w:r w:rsidR="008E70E1" w:rsidRPr="00337743">
        <w:rPr>
          <w:rFonts w:ascii="Cambria" w:hAnsi="Cambria" w:cs="Verdana"/>
          <w:sz w:val="20"/>
          <w:szCs w:val="20"/>
          <w:lang w:val="pt-BR"/>
        </w:rPr>
        <w:t>pessoa</w:t>
      </w:r>
      <w:r w:rsidR="00091880" w:rsidRPr="00337743">
        <w:rPr>
          <w:rFonts w:ascii="Cambria" w:hAnsi="Cambria" w:cs="Verdana"/>
          <w:sz w:val="20"/>
          <w:szCs w:val="20"/>
          <w:lang w:val="pt-BR"/>
        </w:rPr>
        <w:t xml:space="preserve"> não </w:t>
      </w:r>
      <w:r w:rsidR="0097767F" w:rsidRPr="00337743">
        <w:rPr>
          <w:rFonts w:ascii="Cambria" w:hAnsi="Cambria" w:cs="Verdana"/>
          <w:sz w:val="20"/>
          <w:szCs w:val="20"/>
          <w:lang w:val="pt-BR"/>
        </w:rPr>
        <w:t>atuou</w:t>
      </w:r>
      <w:r w:rsidR="0088095C" w:rsidRPr="00337743">
        <w:rPr>
          <w:rFonts w:ascii="Cambria" w:hAnsi="Cambria" w:cs="Verdana"/>
          <w:sz w:val="20"/>
          <w:szCs w:val="20"/>
          <w:lang w:val="pt-BR"/>
        </w:rPr>
        <w:t xml:space="preserve"> no</w:t>
      </w:r>
      <w:r w:rsidR="00091880" w:rsidRPr="00337743">
        <w:rPr>
          <w:rFonts w:ascii="Cambria" w:hAnsi="Cambria" w:cs="Verdana"/>
          <w:sz w:val="20"/>
          <w:szCs w:val="20"/>
          <w:lang w:val="pt-BR"/>
        </w:rPr>
        <w:t xml:space="preserve"> </w:t>
      </w:r>
      <w:r w:rsidR="00682477" w:rsidRPr="00337743">
        <w:rPr>
          <w:rFonts w:ascii="Cambria" w:hAnsi="Cambria" w:cs="Verdana"/>
          <w:sz w:val="20"/>
          <w:szCs w:val="20"/>
          <w:lang w:val="pt-BR"/>
        </w:rPr>
        <w:t>exercício</w:t>
      </w:r>
      <w:r w:rsidR="00097106" w:rsidRPr="00337743">
        <w:rPr>
          <w:rFonts w:ascii="Cambria" w:hAnsi="Cambria" w:cs="Verdana"/>
          <w:sz w:val="20"/>
          <w:szCs w:val="20"/>
          <w:lang w:val="pt-BR"/>
        </w:rPr>
        <w:t xml:space="preserve"> de su</w:t>
      </w:r>
      <w:r w:rsidR="00484427" w:rsidRPr="00337743">
        <w:rPr>
          <w:rFonts w:ascii="Cambria" w:hAnsi="Cambria" w:cs="Verdana"/>
          <w:sz w:val="20"/>
          <w:szCs w:val="20"/>
          <w:lang w:val="pt-BR"/>
        </w:rPr>
        <w:t>a</w:t>
      </w:r>
      <w:r w:rsidR="00097106" w:rsidRPr="00337743">
        <w:rPr>
          <w:rFonts w:ascii="Cambria" w:hAnsi="Cambria" w:cs="Verdana"/>
          <w:sz w:val="20"/>
          <w:szCs w:val="20"/>
          <w:lang w:val="pt-BR"/>
        </w:rPr>
        <w:t>s fun</w:t>
      </w:r>
      <w:r w:rsidR="00350E7E" w:rsidRPr="00337743">
        <w:rPr>
          <w:rFonts w:ascii="Cambria" w:hAnsi="Cambria" w:cs="Verdana"/>
          <w:sz w:val="20"/>
          <w:szCs w:val="20"/>
          <w:lang w:val="pt-BR"/>
        </w:rPr>
        <w:t>ções</w:t>
      </w:r>
      <w:r w:rsidR="0088095C" w:rsidRPr="00337743">
        <w:rPr>
          <w:rFonts w:ascii="Cambria" w:hAnsi="Cambria" w:cs="Verdana"/>
          <w:sz w:val="20"/>
          <w:szCs w:val="20"/>
          <w:lang w:val="pt-BR"/>
        </w:rPr>
        <w:t xml:space="preserve">, </w:t>
      </w:r>
      <w:r w:rsidR="00DC5F32">
        <w:rPr>
          <w:rFonts w:ascii="Cambria" w:hAnsi="Cambria" w:cs="Verdana"/>
          <w:sz w:val="20"/>
          <w:szCs w:val="20"/>
          <w:lang w:val="pt-BR"/>
        </w:rPr>
        <w:t>i.e., seus atos</w:t>
      </w:r>
      <w:r w:rsidR="00097106" w:rsidRPr="00337743">
        <w:rPr>
          <w:rFonts w:ascii="Cambria" w:hAnsi="Cambria" w:cs="Verdana"/>
          <w:sz w:val="20"/>
          <w:szCs w:val="20"/>
          <w:lang w:val="pt-BR"/>
        </w:rPr>
        <w:t xml:space="preserve"> </w:t>
      </w:r>
      <w:r w:rsidR="0088095C" w:rsidRPr="00337743">
        <w:rPr>
          <w:rFonts w:ascii="Cambria" w:hAnsi="Cambria" w:cs="Verdana"/>
          <w:sz w:val="20"/>
          <w:szCs w:val="20"/>
          <w:lang w:val="pt-BR"/>
        </w:rPr>
        <w:t>foram</w:t>
      </w:r>
      <w:r w:rsidR="00097106" w:rsidRPr="00337743">
        <w:rPr>
          <w:rFonts w:ascii="Cambria" w:hAnsi="Cambria" w:cs="Verdana"/>
          <w:sz w:val="20"/>
          <w:szCs w:val="20"/>
          <w:lang w:val="pt-BR"/>
        </w:rPr>
        <w:t xml:space="preserve"> privados</w:t>
      </w:r>
      <w:r w:rsidR="00AE2692" w:rsidRPr="00337743">
        <w:rPr>
          <w:rFonts w:ascii="Cambria" w:hAnsi="Cambria" w:cs="Verdana"/>
          <w:sz w:val="20"/>
          <w:szCs w:val="20"/>
          <w:lang w:val="pt-BR"/>
        </w:rPr>
        <w:t>.</w:t>
      </w:r>
      <w:r w:rsidR="00506331" w:rsidRPr="00337743">
        <w:rPr>
          <w:rFonts w:ascii="Cambria" w:hAnsi="Cambria" w:cs="Verdana"/>
          <w:sz w:val="20"/>
          <w:szCs w:val="20"/>
          <w:lang w:val="pt-BR"/>
        </w:rPr>
        <w:t xml:space="preserve"> </w:t>
      </w:r>
      <w:r w:rsidR="0088095C" w:rsidRPr="00337743">
        <w:rPr>
          <w:rFonts w:ascii="Cambria" w:hAnsi="Cambria" w:cs="Verdana"/>
          <w:sz w:val="20"/>
          <w:szCs w:val="20"/>
          <w:lang w:val="pt-BR"/>
        </w:rPr>
        <w:t>A</w:t>
      </w:r>
      <w:r w:rsidR="00506331" w:rsidRPr="00337743">
        <w:rPr>
          <w:rFonts w:ascii="Cambria" w:hAnsi="Cambria" w:cs="Verdana"/>
          <w:sz w:val="20"/>
          <w:szCs w:val="20"/>
          <w:lang w:val="pt-BR"/>
        </w:rPr>
        <w:t xml:space="preserve"> </w:t>
      </w:r>
      <w:r w:rsidR="00AE2692" w:rsidRPr="00337743">
        <w:rPr>
          <w:rFonts w:ascii="Cambria" w:hAnsi="Cambria" w:cs="Verdana"/>
          <w:sz w:val="20"/>
          <w:szCs w:val="20"/>
          <w:lang w:val="pt-BR"/>
        </w:rPr>
        <w:t>Corte indic</w:t>
      </w:r>
      <w:r w:rsidR="0088095C" w:rsidRPr="00337743">
        <w:rPr>
          <w:rFonts w:ascii="Cambria" w:hAnsi="Cambria" w:cs="Verdana"/>
          <w:sz w:val="20"/>
          <w:szCs w:val="20"/>
          <w:lang w:val="pt-BR"/>
        </w:rPr>
        <w:t>ou</w:t>
      </w:r>
      <w:r w:rsidR="00AE2692" w:rsidRPr="00337743">
        <w:rPr>
          <w:rFonts w:ascii="Cambria" w:hAnsi="Cambria" w:cs="Verdana"/>
          <w:sz w:val="20"/>
          <w:szCs w:val="20"/>
          <w:lang w:val="pt-BR"/>
        </w:rPr>
        <w:t>: “</w:t>
      </w:r>
      <w:r w:rsidR="00A30AEE" w:rsidRPr="00337743">
        <w:rPr>
          <w:rFonts w:ascii="Cambria" w:eastAsia="Calibri" w:hAnsi="Cambria"/>
          <w:sz w:val="20"/>
          <w:szCs w:val="20"/>
          <w:lang w:val="pt-BR" w:eastAsia="x-none"/>
        </w:rPr>
        <w:t xml:space="preserve">como </w:t>
      </w:r>
      <w:r w:rsidR="0097767F" w:rsidRPr="00337743">
        <w:rPr>
          <w:rFonts w:ascii="Cambria" w:eastAsia="Calibri" w:hAnsi="Cambria"/>
          <w:sz w:val="20"/>
          <w:szCs w:val="20"/>
          <w:lang w:val="pt-BR" w:eastAsia="x-none"/>
        </w:rPr>
        <w:t>regra</w:t>
      </w:r>
      <w:r w:rsidR="00A30AEE" w:rsidRPr="00337743">
        <w:rPr>
          <w:rFonts w:ascii="Cambria" w:eastAsia="Calibri" w:hAnsi="Cambria"/>
          <w:sz w:val="20"/>
          <w:szCs w:val="20"/>
          <w:lang w:val="pt-BR" w:eastAsia="x-none"/>
        </w:rPr>
        <w:t xml:space="preserve"> geral, e</w:t>
      </w:r>
      <w:r w:rsidR="0088095C" w:rsidRPr="00337743">
        <w:rPr>
          <w:rFonts w:ascii="Cambria" w:eastAsia="Calibri" w:hAnsi="Cambria"/>
          <w:sz w:val="20"/>
          <w:szCs w:val="20"/>
          <w:lang w:val="pt-BR" w:eastAsia="x-none"/>
        </w:rPr>
        <w:t>m</w:t>
      </w:r>
      <w:r w:rsidR="00A30AEE" w:rsidRPr="00337743">
        <w:rPr>
          <w:rFonts w:ascii="Cambria" w:eastAsia="Calibri" w:hAnsi="Cambria"/>
          <w:sz w:val="20"/>
          <w:szCs w:val="20"/>
          <w:lang w:val="pt-BR" w:eastAsia="x-none"/>
        </w:rPr>
        <w:t xml:space="preserve"> conformi</w:t>
      </w:r>
      <w:r w:rsidR="00350E7E" w:rsidRPr="00337743">
        <w:rPr>
          <w:rFonts w:ascii="Cambria" w:eastAsia="Calibri" w:hAnsi="Cambria"/>
          <w:sz w:val="20"/>
          <w:szCs w:val="20"/>
          <w:lang w:val="pt-BR" w:eastAsia="x-none"/>
        </w:rPr>
        <w:t>dade</w:t>
      </w:r>
      <w:r w:rsidR="00091880" w:rsidRPr="00337743">
        <w:rPr>
          <w:rFonts w:ascii="Cambria" w:eastAsia="Calibri" w:hAnsi="Cambria"/>
          <w:sz w:val="20"/>
          <w:szCs w:val="20"/>
          <w:lang w:val="pt-BR" w:eastAsia="x-none"/>
        </w:rPr>
        <w:t xml:space="preserve"> com </w:t>
      </w:r>
      <w:r w:rsidR="00506331" w:rsidRPr="00337743">
        <w:rPr>
          <w:rFonts w:ascii="Cambria" w:eastAsia="Calibri" w:hAnsi="Cambria"/>
          <w:sz w:val="20"/>
          <w:szCs w:val="20"/>
          <w:lang w:val="pt-BR" w:eastAsia="x-none"/>
        </w:rPr>
        <w:t xml:space="preserve">o </w:t>
      </w:r>
      <w:r w:rsidR="00091880" w:rsidRPr="00337743">
        <w:rPr>
          <w:rFonts w:ascii="Cambria" w:eastAsia="Calibri" w:hAnsi="Cambria"/>
          <w:sz w:val="20"/>
          <w:szCs w:val="20"/>
          <w:lang w:val="pt-BR" w:eastAsia="x-none"/>
        </w:rPr>
        <w:t>artigo</w:t>
      </w:r>
      <w:r w:rsidR="00A30AEE" w:rsidRPr="00337743">
        <w:rPr>
          <w:rFonts w:ascii="Cambria" w:eastAsia="Calibri" w:hAnsi="Cambria"/>
          <w:sz w:val="20"/>
          <w:szCs w:val="20"/>
          <w:lang w:val="pt-BR" w:eastAsia="x-none"/>
        </w:rPr>
        <w:t xml:space="preserve"> 7</w:t>
      </w:r>
      <w:r w:rsidR="0088095C" w:rsidRPr="00337743">
        <w:rPr>
          <w:rFonts w:ascii="Cambria" w:eastAsia="Calibri" w:hAnsi="Cambria"/>
          <w:sz w:val="20"/>
          <w:szCs w:val="20"/>
          <w:lang w:val="pt-BR" w:eastAsia="x-none"/>
        </w:rPr>
        <w:t xml:space="preserve"> e</w:t>
      </w:r>
      <w:r w:rsidR="007707E3" w:rsidRPr="00337743">
        <w:rPr>
          <w:rFonts w:ascii="Cambria" w:eastAsia="Calibri" w:hAnsi="Cambria"/>
          <w:sz w:val="20"/>
          <w:szCs w:val="20"/>
          <w:lang w:val="pt-BR" w:eastAsia="x-none"/>
        </w:rPr>
        <w:t xml:space="preserve"> os </w:t>
      </w:r>
      <w:r w:rsidR="00091880" w:rsidRPr="00337743">
        <w:rPr>
          <w:rFonts w:ascii="Cambria" w:eastAsia="Calibri" w:hAnsi="Cambria"/>
          <w:sz w:val="20"/>
          <w:szCs w:val="20"/>
          <w:lang w:val="pt-BR" w:eastAsia="x-none"/>
        </w:rPr>
        <w:t>artigo</w:t>
      </w:r>
      <w:r w:rsidR="00A30AEE" w:rsidRPr="00337743">
        <w:rPr>
          <w:rFonts w:ascii="Cambria" w:eastAsia="Calibri" w:hAnsi="Cambria"/>
          <w:sz w:val="20"/>
          <w:szCs w:val="20"/>
          <w:lang w:val="pt-BR" w:eastAsia="x-none"/>
        </w:rPr>
        <w:t xml:space="preserve">s sobre </w:t>
      </w:r>
      <w:r w:rsidR="00A30AEE" w:rsidRPr="00337743">
        <w:rPr>
          <w:rFonts w:ascii="Cambria" w:hAnsi="Cambria" w:cs="Calibri"/>
          <w:sz w:val="20"/>
          <w:szCs w:val="20"/>
          <w:lang w:val="pt-BR"/>
        </w:rPr>
        <w:t>responsabili</w:t>
      </w:r>
      <w:r w:rsidR="00350E7E" w:rsidRPr="00337743">
        <w:rPr>
          <w:rFonts w:ascii="Cambria" w:hAnsi="Cambria" w:cs="Calibri"/>
          <w:sz w:val="20"/>
          <w:szCs w:val="20"/>
          <w:lang w:val="pt-BR"/>
        </w:rPr>
        <w:t>dade</w:t>
      </w:r>
      <w:r w:rsidR="007707E3" w:rsidRPr="00337743">
        <w:rPr>
          <w:rFonts w:ascii="Cambria" w:hAnsi="Cambria" w:cs="Calibri"/>
          <w:sz w:val="20"/>
          <w:szCs w:val="20"/>
          <w:lang w:val="pt-BR"/>
        </w:rPr>
        <w:t xml:space="preserve"> do </w:t>
      </w:r>
      <w:r w:rsidR="00A30AEE" w:rsidRPr="00337743">
        <w:rPr>
          <w:rFonts w:ascii="Cambria" w:eastAsia="Calibri" w:hAnsi="Cambria"/>
          <w:sz w:val="20"/>
          <w:szCs w:val="20"/>
          <w:lang w:val="pt-BR" w:eastAsia="x-none"/>
        </w:rPr>
        <w:t>Estado</w:t>
      </w:r>
      <w:r w:rsidR="007707E3" w:rsidRPr="00337743">
        <w:rPr>
          <w:rFonts w:ascii="Cambria" w:eastAsia="Calibri" w:hAnsi="Cambria"/>
          <w:sz w:val="20"/>
          <w:szCs w:val="20"/>
          <w:lang w:val="pt-BR" w:eastAsia="x-none"/>
        </w:rPr>
        <w:t xml:space="preserve"> da </w:t>
      </w:r>
      <w:r w:rsidR="00A30AEE" w:rsidRPr="00337743">
        <w:rPr>
          <w:rFonts w:ascii="Cambria" w:eastAsia="Calibri" w:hAnsi="Cambria"/>
          <w:sz w:val="20"/>
          <w:szCs w:val="20"/>
          <w:lang w:val="pt-BR" w:eastAsia="x-none"/>
        </w:rPr>
        <w:t xml:space="preserve">CDI, </w:t>
      </w:r>
      <w:r w:rsidR="0097767F" w:rsidRPr="00337743">
        <w:rPr>
          <w:rFonts w:ascii="Cambria" w:eastAsia="Calibri" w:hAnsi="Cambria"/>
          <w:sz w:val="20"/>
          <w:szCs w:val="20"/>
          <w:lang w:val="pt-BR" w:eastAsia="x-none"/>
        </w:rPr>
        <w:t>qualquer</w:t>
      </w:r>
      <w:r w:rsidR="00A30AEE" w:rsidRPr="00337743">
        <w:rPr>
          <w:rFonts w:ascii="Cambria" w:eastAsia="Calibri" w:hAnsi="Cambria"/>
          <w:sz w:val="20"/>
          <w:szCs w:val="20"/>
          <w:lang w:val="pt-BR" w:eastAsia="x-none"/>
        </w:rPr>
        <w:t xml:space="preserve"> </w:t>
      </w:r>
      <w:r w:rsidR="00682477" w:rsidRPr="00337743">
        <w:rPr>
          <w:rFonts w:ascii="Cambria" w:eastAsia="Calibri" w:hAnsi="Cambria"/>
          <w:sz w:val="20"/>
          <w:szCs w:val="20"/>
          <w:lang w:val="pt-BR" w:eastAsia="x-none"/>
        </w:rPr>
        <w:t>conduta</w:t>
      </w:r>
      <w:r w:rsidR="00A30AEE" w:rsidRPr="00337743">
        <w:rPr>
          <w:rFonts w:ascii="Cambria" w:eastAsia="Calibri" w:hAnsi="Cambria"/>
          <w:sz w:val="20"/>
          <w:szCs w:val="20"/>
          <w:lang w:val="pt-BR" w:eastAsia="x-none"/>
        </w:rPr>
        <w:t>, inclu</w:t>
      </w:r>
      <w:r w:rsidR="00295DAB" w:rsidRPr="00337743">
        <w:rPr>
          <w:rFonts w:ascii="Cambria" w:eastAsia="Calibri" w:hAnsi="Cambria"/>
          <w:sz w:val="20"/>
          <w:szCs w:val="20"/>
          <w:lang w:val="pt-BR" w:eastAsia="x-none"/>
        </w:rPr>
        <w:t>sive</w:t>
      </w:r>
      <w:r w:rsidR="007707E3" w:rsidRPr="00337743">
        <w:rPr>
          <w:rFonts w:ascii="Cambria" w:eastAsia="Calibri" w:hAnsi="Cambria"/>
          <w:sz w:val="20"/>
          <w:szCs w:val="20"/>
          <w:lang w:val="pt-BR" w:eastAsia="x-none"/>
        </w:rPr>
        <w:t xml:space="preserve"> os </w:t>
      </w:r>
      <w:r w:rsidR="0097767F" w:rsidRPr="00337743">
        <w:rPr>
          <w:rFonts w:ascii="Cambria" w:eastAsia="Calibri" w:hAnsi="Cambria"/>
          <w:sz w:val="20"/>
          <w:szCs w:val="20"/>
          <w:lang w:val="pt-BR" w:eastAsia="x-none"/>
        </w:rPr>
        <w:t>atos</w:t>
      </w:r>
      <w:r w:rsidR="00A30AEE" w:rsidRPr="00337743">
        <w:rPr>
          <w:rFonts w:ascii="Cambria" w:eastAsia="Calibri" w:hAnsi="Cambria"/>
          <w:sz w:val="20"/>
          <w:szCs w:val="20"/>
          <w:lang w:val="pt-BR" w:eastAsia="x-none"/>
        </w:rPr>
        <w:t xml:space="preserve"> </w:t>
      </w:r>
      <w:r w:rsidR="00A30AEE" w:rsidRPr="00337743">
        <w:rPr>
          <w:rFonts w:ascii="Cambria" w:eastAsia="Calibri" w:hAnsi="Cambria"/>
          <w:i/>
          <w:sz w:val="20"/>
          <w:szCs w:val="20"/>
          <w:lang w:val="pt-BR" w:eastAsia="x-none"/>
        </w:rPr>
        <w:t>ultra vires</w:t>
      </w:r>
      <w:r w:rsidR="00A30AEE" w:rsidRPr="00337743">
        <w:rPr>
          <w:rFonts w:ascii="Cambria" w:eastAsia="Calibri" w:hAnsi="Cambria"/>
          <w:sz w:val="20"/>
          <w:szCs w:val="20"/>
          <w:lang w:val="pt-BR" w:eastAsia="x-none"/>
        </w:rPr>
        <w:t>, de</w:t>
      </w:r>
      <w:r w:rsidR="00091880" w:rsidRPr="00337743">
        <w:rPr>
          <w:rFonts w:ascii="Cambria" w:eastAsia="Calibri" w:hAnsi="Cambria"/>
          <w:sz w:val="20"/>
          <w:szCs w:val="20"/>
          <w:lang w:val="pt-BR" w:eastAsia="x-none"/>
        </w:rPr>
        <w:t xml:space="preserve"> um </w:t>
      </w:r>
      <w:r w:rsidR="0097767F" w:rsidRPr="00337743">
        <w:rPr>
          <w:rFonts w:ascii="Cambria" w:eastAsia="Calibri" w:hAnsi="Cambria"/>
          <w:sz w:val="20"/>
          <w:szCs w:val="20"/>
          <w:lang w:val="pt-BR" w:eastAsia="x-none"/>
        </w:rPr>
        <w:t>órgão</w:t>
      </w:r>
      <w:r w:rsidR="007707E3" w:rsidRPr="00337743">
        <w:rPr>
          <w:rFonts w:ascii="Cambria" w:eastAsia="Calibri" w:hAnsi="Cambria"/>
          <w:sz w:val="20"/>
          <w:szCs w:val="20"/>
          <w:lang w:val="pt-BR" w:eastAsia="x-none"/>
        </w:rPr>
        <w:t xml:space="preserve"> do </w:t>
      </w:r>
      <w:r w:rsidR="00A30AEE" w:rsidRPr="00337743">
        <w:rPr>
          <w:rFonts w:ascii="Cambria" w:eastAsia="Calibri" w:hAnsi="Cambria"/>
          <w:sz w:val="20"/>
          <w:szCs w:val="20"/>
          <w:lang w:val="pt-BR" w:eastAsia="x-none"/>
        </w:rPr>
        <w:t>Estado o</w:t>
      </w:r>
      <w:r w:rsidR="0088095C"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de</w:t>
      </w:r>
      <w:r w:rsidR="00091880" w:rsidRPr="00337743">
        <w:rPr>
          <w:rFonts w:ascii="Cambria" w:eastAsia="Calibri" w:hAnsi="Cambria"/>
          <w:sz w:val="20"/>
          <w:szCs w:val="20"/>
          <w:lang w:val="pt-BR" w:eastAsia="x-none"/>
        </w:rPr>
        <w:t xml:space="preserve"> uma </w:t>
      </w:r>
      <w:r w:rsidR="008E70E1" w:rsidRPr="00337743">
        <w:rPr>
          <w:rFonts w:ascii="Cambria" w:eastAsia="Calibri" w:hAnsi="Cambria"/>
          <w:sz w:val="20"/>
          <w:szCs w:val="20"/>
          <w:lang w:val="pt-BR" w:eastAsia="x-none"/>
        </w:rPr>
        <w:t>pessoa</w:t>
      </w:r>
      <w:r w:rsidR="00A30AEE" w:rsidRPr="00337743">
        <w:rPr>
          <w:rFonts w:ascii="Cambria" w:eastAsia="Calibri" w:hAnsi="Cambria"/>
          <w:sz w:val="20"/>
          <w:szCs w:val="20"/>
          <w:lang w:val="pt-BR" w:eastAsia="x-none"/>
        </w:rPr>
        <w:t xml:space="preserve"> o</w:t>
      </w:r>
      <w:r w:rsidR="0088095C"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enti</w:t>
      </w:r>
      <w:r w:rsidR="00350E7E" w:rsidRPr="00337743">
        <w:rPr>
          <w:rFonts w:ascii="Cambria" w:eastAsia="Calibri" w:hAnsi="Cambria"/>
          <w:sz w:val="20"/>
          <w:szCs w:val="20"/>
          <w:lang w:val="pt-BR" w:eastAsia="x-none"/>
        </w:rPr>
        <w:t xml:space="preserve">dade </w:t>
      </w:r>
      <w:r w:rsidR="00A30AEE" w:rsidRPr="00337743">
        <w:rPr>
          <w:rFonts w:ascii="Cambria" w:eastAsia="Calibri" w:hAnsi="Cambria"/>
          <w:sz w:val="20"/>
          <w:szCs w:val="20"/>
          <w:lang w:val="pt-BR" w:eastAsia="x-none"/>
        </w:rPr>
        <w:t xml:space="preserve">facultada </w:t>
      </w:r>
      <w:r w:rsidR="00A30AEE" w:rsidRPr="00337743">
        <w:rPr>
          <w:rFonts w:ascii="Cambria" w:hAnsi="Cambria" w:cs="Calibri"/>
          <w:sz w:val="20"/>
          <w:szCs w:val="20"/>
          <w:lang w:val="pt-BR"/>
        </w:rPr>
        <w:t>para</w:t>
      </w:r>
      <w:r w:rsidR="00A30AEE" w:rsidRPr="00337743">
        <w:rPr>
          <w:rFonts w:ascii="Cambria" w:eastAsia="Calibri" w:hAnsi="Cambria"/>
          <w:sz w:val="20"/>
          <w:szCs w:val="20"/>
          <w:lang w:val="pt-BR" w:eastAsia="x-none"/>
        </w:rPr>
        <w:t xml:space="preserve"> </w:t>
      </w:r>
      <w:r w:rsidR="0097767F" w:rsidRPr="00337743">
        <w:rPr>
          <w:rFonts w:ascii="Cambria" w:eastAsia="Calibri" w:hAnsi="Cambria"/>
          <w:sz w:val="20"/>
          <w:szCs w:val="20"/>
          <w:lang w:val="pt-BR" w:eastAsia="x-none"/>
        </w:rPr>
        <w:t>exercer</w:t>
      </w:r>
      <w:r w:rsidR="00A30AEE" w:rsidRPr="00337743">
        <w:rPr>
          <w:rFonts w:ascii="Cambria" w:eastAsia="Calibri" w:hAnsi="Cambria"/>
          <w:sz w:val="20"/>
          <w:szCs w:val="20"/>
          <w:lang w:val="pt-BR" w:eastAsia="x-none"/>
        </w:rPr>
        <w:t xml:space="preserve"> </w:t>
      </w:r>
      <w:r w:rsidR="00682477" w:rsidRPr="00337743">
        <w:rPr>
          <w:rFonts w:ascii="Cambria" w:eastAsia="Calibri" w:hAnsi="Cambria"/>
          <w:sz w:val="20"/>
          <w:szCs w:val="20"/>
          <w:lang w:val="pt-BR" w:eastAsia="x-none"/>
        </w:rPr>
        <w:t>atribuições</w:t>
      </w:r>
      <w:r w:rsidR="007707E3" w:rsidRPr="00337743">
        <w:rPr>
          <w:rFonts w:ascii="Cambria" w:eastAsia="Calibri" w:hAnsi="Cambria"/>
          <w:sz w:val="20"/>
          <w:szCs w:val="20"/>
          <w:lang w:val="pt-BR" w:eastAsia="x-none"/>
        </w:rPr>
        <w:t xml:space="preserve"> do </w:t>
      </w:r>
      <w:r w:rsidR="00A30AEE" w:rsidRPr="00337743">
        <w:rPr>
          <w:rFonts w:ascii="Cambria" w:eastAsia="Calibri" w:hAnsi="Cambria"/>
          <w:sz w:val="20"/>
          <w:szCs w:val="20"/>
          <w:lang w:val="pt-BR" w:eastAsia="x-none"/>
        </w:rPr>
        <w:t>poder público se</w:t>
      </w:r>
      <w:r w:rsidR="0088095C" w:rsidRPr="00337743">
        <w:rPr>
          <w:rFonts w:ascii="Cambria" w:eastAsia="Calibri" w:hAnsi="Cambria"/>
          <w:sz w:val="20"/>
          <w:szCs w:val="20"/>
          <w:lang w:val="pt-BR" w:eastAsia="x-none"/>
        </w:rPr>
        <w:t>rá</w:t>
      </w:r>
      <w:r w:rsidR="00A30AEE" w:rsidRPr="00337743">
        <w:rPr>
          <w:rFonts w:ascii="Cambria" w:eastAsia="Calibri" w:hAnsi="Cambria"/>
          <w:sz w:val="20"/>
          <w:szCs w:val="20"/>
          <w:lang w:val="pt-BR" w:eastAsia="x-none"/>
        </w:rPr>
        <w:t xml:space="preserve"> considera</w:t>
      </w:r>
      <w:r w:rsidR="0088095C" w:rsidRPr="00337743">
        <w:rPr>
          <w:rFonts w:ascii="Cambria" w:eastAsia="Calibri" w:hAnsi="Cambria"/>
          <w:sz w:val="20"/>
          <w:szCs w:val="20"/>
          <w:lang w:val="pt-BR" w:eastAsia="x-none"/>
        </w:rPr>
        <w:t>da</w:t>
      </w:r>
      <w:r w:rsidR="00A30AEE" w:rsidRPr="00337743">
        <w:rPr>
          <w:rFonts w:ascii="Cambria" w:eastAsia="Calibri" w:hAnsi="Cambria"/>
          <w:sz w:val="20"/>
          <w:szCs w:val="20"/>
          <w:lang w:val="pt-BR" w:eastAsia="x-none"/>
        </w:rPr>
        <w:t xml:space="preserve"> </w:t>
      </w:r>
      <w:r w:rsidR="008E3049" w:rsidRPr="00337743">
        <w:rPr>
          <w:rFonts w:ascii="Cambria" w:eastAsia="Calibri" w:hAnsi="Cambria"/>
          <w:sz w:val="20"/>
          <w:szCs w:val="20"/>
          <w:lang w:val="pt-BR" w:eastAsia="x-none"/>
        </w:rPr>
        <w:t>ato</w:t>
      </w:r>
      <w:r w:rsidR="007707E3" w:rsidRPr="00337743">
        <w:rPr>
          <w:rFonts w:ascii="Cambria" w:eastAsia="Calibri" w:hAnsi="Cambria"/>
          <w:sz w:val="20"/>
          <w:szCs w:val="20"/>
          <w:lang w:val="pt-BR" w:eastAsia="x-none"/>
        </w:rPr>
        <w:t xml:space="preserve"> do </w:t>
      </w:r>
      <w:r w:rsidR="00A30AEE" w:rsidRPr="00337743">
        <w:rPr>
          <w:rFonts w:ascii="Cambria" w:eastAsia="Calibri" w:hAnsi="Cambria"/>
          <w:sz w:val="20"/>
          <w:szCs w:val="20"/>
          <w:lang w:val="pt-BR" w:eastAsia="x-none"/>
        </w:rPr>
        <w:t xml:space="preserve">Estado. </w:t>
      </w:r>
      <w:r w:rsidR="0097767F" w:rsidRPr="00337743">
        <w:rPr>
          <w:rFonts w:ascii="Cambria" w:eastAsia="Calibri" w:hAnsi="Cambria"/>
          <w:sz w:val="20"/>
          <w:szCs w:val="20"/>
          <w:lang w:val="pt-BR" w:eastAsia="x-none"/>
        </w:rPr>
        <w:t>Essa</w:t>
      </w:r>
      <w:r w:rsidR="00A30AEE" w:rsidRPr="00337743">
        <w:rPr>
          <w:rFonts w:ascii="Cambria" w:eastAsia="Calibri" w:hAnsi="Cambria"/>
          <w:sz w:val="20"/>
          <w:szCs w:val="20"/>
          <w:lang w:val="pt-BR" w:eastAsia="x-none"/>
        </w:rPr>
        <w:t xml:space="preserve"> </w:t>
      </w:r>
      <w:r w:rsidR="00682477" w:rsidRPr="00337743">
        <w:rPr>
          <w:rFonts w:ascii="Cambria" w:eastAsia="Calibri" w:hAnsi="Cambria"/>
          <w:sz w:val="20"/>
          <w:szCs w:val="20"/>
          <w:lang w:val="pt-BR" w:eastAsia="x-none"/>
        </w:rPr>
        <w:t>regra</w:t>
      </w:r>
      <w:r w:rsidR="00A30AEE" w:rsidRPr="00337743">
        <w:rPr>
          <w:rFonts w:ascii="Cambria" w:eastAsia="Calibri" w:hAnsi="Cambria"/>
          <w:sz w:val="20"/>
          <w:szCs w:val="20"/>
          <w:lang w:val="pt-BR" w:eastAsia="x-none"/>
        </w:rPr>
        <w:t xml:space="preserve"> t</w:t>
      </w:r>
      <w:r w:rsidR="0088095C" w:rsidRPr="00337743">
        <w:rPr>
          <w:rFonts w:ascii="Cambria" w:eastAsia="Calibri" w:hAnsi="Cambria"/>
          <w:sz w:val="20"/>
          <w:szCs w:val="20"/>
          <w:lang w:val="pt-BR" w:eastAsia="x-none"/>
        </w:rPr>
        <w:t>em</w:t>
      </w:r>
      <w:r w:rsidR="00091880" w:rsidRPr="00337743">
        <w:rPr>
          <w:rFonts w:ascii="Cambria" w:eastAsia="Calibri" w:hAnsi="Cambria"/>
          <w:sz w:val="20"/>
          <w:szCs w:val="20"/>
          <w:lang w:val="pt-BR" w:eastAsia="x-none"/>
        </w:rPr>
        <w:t xml:space="preserve"> uma </w:t>
      </w:r>
      <w:r w:rsidR="00A30AEE" w:rsidRPr="00337743">
        <w:rPr>
          <w:rFonts w:ascii="Cambria" w:eastAsia="Calibri" w:hAnsi="Cambria"/>
          <w:sz w:val="20"/>
          <w:szCs w:val="20"/>
          <w:lang w:val="pt-BR" w:eastAsia="x-none"/>
        </w:rPr>
        <w:t>única exce</w:t>
      </w:r>
      <w:r w:rsidR="004C2ACB" w:rsidRPr="00337743">
        <w:rPr>
          <w:rFonts w:ascii="Cambria" w:eastAsia="Calibri" w:hAnsi="Cambria"/>
          <w:sz w:val="20"/>
          <w:szCs w:val="20"/>
          <w:lang w:val="pt-BR" w:eastAsia="x-none"/>
        </w:rPr>
        <w:t>ç</w:t>
      </w:r>
      <w:r w:rsidR="00350E7E" w:rsidRPr="00337743">
        <w:rPr>
          <w:rFonts w:ascii="Cambria" w:eastAsia="Calibri" w:hAnsi="Cambria"/>
          <w:sz w:val="20"/>
          <w:szCs w:val="20"/>
          <w:lang w:val="pt-BR" w:eastAsia="x-none"/>
        </w:rPr>
        <w:t>ão</w:t>
      </w:r>
      <w:r w:rsidR="0088095C" w:rsidRPr="00337743">
        <w:rPr>
          <w:rFonts w:ascii="Cambria" w:eastAsia="Calibri" w:hAnsi="Cambria"/>
          <w:sz w:val="20"/>
          <w:szCs w:val="20"/>
          <w:lang w:val="pt-BR" w:eastAsia="x-none"/>
        </w:rPr>
        <w:t>:</w:t>
      </w:r>
      <w:r w:rsidR="00A6443F" w:rsidRPr="00337743">
        <w:rPr>
          <w:rFonts w:ascii="Cambria" w:eastAsia="Calibri" w:hAnsi="Cambria"/>
          <w:sz w:val="20"/>
          <w:szCs w:val="20"/>
          <w:lang w:val="pt-BR" w:eastAsia="x-none"/>
        </w:rPr>
        <w:t xml:space="preserve"> </w:t>
      </w:r>
      <w:r w:rsidR="00C9273C" w:rsidRPr="00337743">
        <w:rPr>
          <w:rFonts w:ascii="Cambria" w:eastAsia="Calibri" w:hAnsi="Cambria"/>
          <w:sz w:val="20"/>
          <w:szCs w:val="20"/>
          <w:lang w:val="pt-BR" w:eastAsia="x-none"/>
        </w:rPr>
        <w:t>‘</w:t>
      </w:r>
      <w:r w:rsidR="00484427" w:rsidRPr="00337743">
        <w:rPr>
          <w:rFonts w:ascii="Cambria" w:eastAsia="Calibri" w:hAnsi="Cambria"/>
          <w:sz w:val="20"/>
          <w:szCs w:val="20"/>
          <w:lang w:val="pt-BR" w:eastAsia="x-none"/>
        </w:rPr>
        <w:t>quando</w:t>
      </w:r>
      <w:r w:rsidR="00A30AEE" w:rsidRPr="00337743">
        <w:rPr>
          <w:rFonts w:ascii="Cambria" w:eastAsia="Calibri" w:hAnsi="Cambria"/>
          <w:sz w:val="20"/>
          <w:szCs w:val="20"/>
          <w:lang w:val="pt-BR" w:eastAsia="x-none"/>
        </w:rPr>
        <w:t xml:space="preserve"> </w:t>
      </w:r>
      <w:r w:rsidR="00682477" w:rsidRPr="00337743">
        <w:rPr>
          <w:rFonts w:ascii="Cambria" w:eastAsia="Calibri" w:hAnsi="Cambria"/>
          <w:sz w:val="20"/>
          <w:szCs w:val="20"/>
          <w:lang w:val="pt-BR" w:eastAsia="x-none"/>
        </w:rPr>
        <w:t>esse</w:t>
      </w:r>
      <w:r w:rsidR="00A30AEE" w:rsidRPr="00337743">
        <w:rPr>
          <w:rFonts w:ascii="Cambria" w:eastAsia="Calibri" w:hAnsi="Cambria"/>
          <w:sz w:val="20"/>
          <w:szCs w:val="20"/>
          <w:lang w:val="pt-BR" w:eastAsia="x-none"/>
        </w:rPr>
        <w:t xml:space="preserve"> </w:t>
      </w:r>
      <w:r w:rsidR="00295DAB" w:rsidRPr="00337743">
        <w:rPr>
          <w:rFonts w:ascii="Cambria" w:eastAsia="Calibri" w:hAnsi="Cambria"/>
          <w:sz w:val="20"/>
          <w:szCs w:val="20"/>
          <w:lang w:val="pt-BR" w:eastAsia="x-none"/>
        </w:rPr>
        <w:t>órgão</w:t>
      </w:r>
      <w:r w:rsidR="00A30AEE" w:rsidRPr="00337743">
        <w:rPr>
          <w:rFonts w:ascii="Cambria" w:eastAsia="Calibri" w:hAnsi="Cambria"/>
          <w:sz w:val="20"/>
          <w:szCs w:val="20"/>
          <w:lang w:val="pt-BR" w:eastAsia="x-none"/>
        </w:rPr>
        <w:t xml:space="preserve"> o</w:t>
      </w:r>
      <w:r w:rsidR="0088095C"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w:t>
      </w:r>
      <w:r w:rsidR="008E70E1" w:rsidRPr="00337743">
        <w:rPr>
          <w:rFonts w:ascii="Cambria" w:eastAsia="Calibri" w:hAnsi="Cambria"/>
          <w:sz w:val="20"/>
          <w:szCs w:val="20"/>
          <w:lang w:val="pt-BR" w:eastAsia="x-none"/>
        </w:rPr>
        <w:t>pessoa</w:t>
      </w:r>
      <w:r w:rsidR="00091880" w:rsidRPr="00337743">
        <w:rPr>
          <w:rFonts w:ascii="Cambria" w:eastAsia="Calibri" w:hAnsi="Cambria"/>
          <w:sz w:val="20"/>
          <w:szCs w:val="20"/>
          <w:lang w:val="pt-BR" w:eastAsia="x-none"/>
        </w:rPr>
        <w:t xml:space="preserve"> não </w:t>
      </w:r>
      <w:r w:rsidR="00A30AEE" w:rsidRPr="00337743">
        <w:rPr>
          <w:rFonts w:ascii="Cambria" w:eastAsia="Calibri" w:hAnsi="Cambria"/>
          <w:sz w:val="20"/>
          <w:szCs w:val="20"/>
          <w:lang w:val="pt-BR" w:eastAsia="x-none"/>
        </w:rPr>
        <w:t xml:space="preserve">está </w:t>
      </w:r>
      <w:r w:rsidR="00682477" w:rsidRPr="00337743">
        <w:rPr>
          <w:rFonts w:ascii="Cambria" w:eastAsia="Calibri" w:hAnsi="Cambria"/>
          <w:sz w:val="20"/>
          <w:szCs w:val="20"/>
          <w:lang w:val="pt-BR" w:eastAsia="x-none"/>
        </w:rPr>
        <w:t>atuando</w:t>
      </w:r>
      <w:r w:rsidR="00091880" w:rsidRPr="00337743">
        <w:rPr>
          <w:rFonts w:ascii="Cambria" w:eastAsia="Calibri" w:hAnsi="Cambria"/>
          <w:sz w:val="20"/>
          <w:szCs w:val="20"/>
          <w:lang w:val="pt-BR" w:eastAsia="x-none"/>
        </w:rPr>
        <w:t xml:space="preserve"> </w:t>
      </w:r>
      <w:r w:rsidR="00295DAB" w:rsidRPr="00337743">
        <w:rPr>
          <w:rFonts w:ascii="Cambria" w:eastAsia="Calibri" w:hAnsi="Cambria"/>
          <w:sz w:val="20"/>
          <w:szCs w:val="20"/>
          <w:lang w:val="pt-BR" w:eastAsia="x-none"/>
        </w:rPr>
        <w:t>nessa</w:t>
      </w:r>
      <w:r w:rsidR="00A30AEE" w:rsidRPr="00337743">
        <w:rPr>
          <w:rFonts w:ascii="Cambria" w:eastAsia="Calibri" w:hAnsi="Cambria"/>
          <w:sz w:val="20"/>
          <w:szCs w:val="20"/>
          <w:lang w:val="pt-BR" w:eastAsia="x-none"/>
        </w:rPr>
        <w:t xml:space="preserve"> condi</w:t>
      </w:r>
      <w:r w:rsidR="00350E7E" w:rsidRPr="00337743">
        <w:rPr>
          <w:rFonts w:ascii="Cambria" w:eastAsia="Calibri" w:hAnsi="Cambria"/>
          <w:sz w:val="20"/>
          <w:szCs w:val="20"/>
          <w:lang w:val="pt-BR" w:eastAsia="x-none"/>
        </w:rPr>
        <w:t>ção</w:t>
      </w:r>
      <w:r w:rsidR="00A30AEE" w:rsidRPr="00337743">
        <w:rPr>
          <w:rFonts w:ascii="Cambria" w:eastAsia="Calibri" w:hAnsi="Cambria"/>
          <w:sz w:val="20"/>
          <w:szCs w:val="20"/>
          <w:lang w:val="pt-BR" w:eastAsia="x-none"/>
        </w:rPr>
        <w:t>,</w:t>
      </w:r>
      <w:r w:rsidR="00A6443F" w:rsidRPr="00337743">
        <w:rPr>
          <w:rFonts w:ascii="Cambria" w:eastAsia="Calibri" w:hAnsi="Cambria"/>
          <w:sz w:val="20"/>
          <w:szCs w:val="20"/>
          <w:lang w:val="pt-BR" w:eastAsia="x-none"/>
        </w:rPr>
        <w:t xml:space="preserve"> </w:t>
      </w:r>
      <w:r w:rsidR="0088095C" w:rsidRPr="00337743">
        <w:rPr>
          <w:rFonts w:ascii="Cambria" w:eastAsia="Calibri" w:hAnsi="Cambria"/>
          <w:sz w:val="20"/>
          <w:szCs w:val="20"/>
          <w:lang w:val="pt-BR" w:eastAsia="x-none"/>
        </w:rPr>
        <w:t>quer dizer</w:t>
      </w:r>
      <w:r w:rsidR="00A30AEE" w:rsidRPr="00337743">
        <w:rPr>
          <w:rFonts w:ascii="Cambria" w:eastAsia="Calibri" w:hAnsi="Cambria"/>
          <w:sz w:val="20"/>
          <w:szCs w:val="20"/>
          <w:lang w:val="pt-BR" w:eastAsia="x-none"/>
        </w:rPr>
        <w:t xml:space="preserve">, </w:t>
      </w:r>
      <w:r w:rsidR="00682477" w:rsidRPr="00337743">
        <w:rPr>
          <w:rFonts w:ascii="Cambria" w:eastAsia="Calibri" w:hAnsi="Cambria"/>
          <w:sz w:val="20"/>
          <w:szCs w:val="20"/>
          <w:lang w:val="pt-BR" w:eastAsia="x-none"/>
        </w:rPr>
        <w:t>quando</w:t>
      </w:r>
      <w:r w:rsidR="00506331" w:rsidRPr="00337743">
        <w:rPr>
          <w:rFonts w:ascii="Cambria" w:eastAsia="Calibri" w:hAnsi="Cambria"/>
          <w:sz w:val="20"/>
          <w:szCs w:val="20"/>
          <w:lang w:val="pt-BR" w:eastAsia="x-none"/>
        </w:rPr>
        <w:t xml:space="preserve"> a </w:t>
      </w:r>
      <w:r w:rsidR="008E70E1" w:rsidRPr="00337743">
        <w:rPr>
          <w:rFonts w:ascii="Cambria" w:eastAsia="Calibri" w:hAnsi="Cambria"/>
          <w:sz w:val="20"/>
          <w:szCs w:val="20"/>
          <w:lang w:val="pt-BR" w:eastAsia="x-none"/>
        </w:rPr>
        <w:t>pessoa</w:t>
      </w:r>
      <w:r w:rsidR="00A30AEE" w:rsidRPr="00337743">
        <w:rPr>
          <w:rFonts w:ascii="Cambria" w:eastAsia="Calibri" w:hAnsi="Cambria"/>
          <w:sz w:val="20"/>
          <w:szCs w:val="20"/>
          <w:lang w:val="pt-BR" w:eastAsia="x-none"/>
        </w:rPr>
        <w:t xml:space="preserve"> </w:t>
      </w:r>
      <w:r w:rsidR="00295DAB" w:rsidRPr="00337743">
        <w:rPr>
          <w:rFonts w:ascii="Cambria" w:eastAsia="Calibri" w:hAnsi="Cambria"/>
          <w:sz w:val="20"/>
          <w:szCs w:val="20"/>
          <w:lang w:val="pt-BR" w:eastAsia="x-none"/>
        </w:rPr>
        <w:t>atua</w:t>
      </w:r>
      <w:r w:rsidR="00A30AEE" w:rsidRPr="00337743">
        <w:rPr>
          <w:rFonts w:ascii="Cambria" w:eastAsia="Calibri" w:hAnsi="Cambria"/>
          <w:sz w:val="20"/>
          <w:szCs w:val="20"/>
          <w:lang w:val="pt-BR" w:eastAsia="x-none"/>
        </w:rPr>
        <w:t xml:space="preserve"> dentro de </w:t>
      </w:r>
      <w:r w:rsidR="00682477" w:rsidRPr="00337743">
        <w:rPr>
          <w:rFonts w:ascii="Cambria" w:eastAsia="Calibri" w:hAnsi="Cambria"/>
          <w:sz w:val="20"/>
          <w:szCs w:val="20"/>
          <w:lang w:val="pt-BR" w:eastAsia="x-none"/>
        </w:rPr>
        <w:t>sua</w:t>
      </w:r>
      <w:r w:rsidR="00A30AEE" w:rsidRPr="00337743">
        <w:rPr>
          <w:rFonts w:ascii="Cambria" w:eastAsia="Calibri" w:hAnsi="Cambria"/>
          <w:sz w:val="20"/>
          <w:szCs w:val="20"/>
          <w:lang w:val="pt-BR" w:eastAsia="x-none"/>
        </w:rPr>
        <w:t xml:space="preserve"> capaci</w:t>
      </w:r>
      <w:r w:rsidR="00350E7E" w:rsidRPr="00337743">
        <w:rPr>
          <w:rFonts w:ascii="Cambria" w:eastAsia="Calibri" w:hAnsi="Cambria"/>
          <w:sz w:val="20"/>
          <w:szCs w:val="20"/>
          <w:lang w:val="pt-BR" w:eastAsia="x-none"/>
        </w:rPr>
        <w:t xml:space="preserve">dade </w:t>
      </w:r>
      <w:r w:rsidR="00A30AEE" w:rsidRPr="00337743">
        <w:rPr>
          <w:rFonts w:ascii="Cambria" w:eastAsia="Calibri" w:hAnsi="Cambria"/>
          <w:sz w:val="20"/>
          <w:szCs w:val="20"/>
          <w:lang w:val="pt-BR" w:eastAsia="x-none"/>
        </w:rPr>
        <w:t>como enti</w:t>
      </w:r>
      <w:r w:rsidR="00350E7E" w:rsidRPr="00337743">
        <w:rPr>
          <w:rFonts w:ascii="Cambria" w:eastAsia="Calibri" w:hAnsi="Cambria"/>
          <w:sz w:val="20"/>
          <w:szCs w:val="20"/>
          <w:lang w:val="pt-BR" w:eastAsia="x-none"/>
        </w:rPr>
        <w:t xml:space="preserve">dade </w:t>
      </w:r>
      <w:r w:rsidR="00A30AEE" w:rsidRPr="00337743">
        <w:rPr>
          <w:rFonts w:ascii="Cambria" w:eastAsia="Calibri" w:hAnsi="Cambria"/>
          <w:sz w:val="20"/>
          <w:szCs w:val="20"/>
          <w:lang w:val="pt-BR" w:eastAsia="x-none"/>
        </w:rPr>
        <w:t xml:space="preserve">privada. </w:t>
      </w:r>
      <w:r w:rsidR="0088095C" w:rsidRPr="00337743">
        <w:rPr>
          <w:rFonts w:ascii="Cambria" w:eastAsia="Calibri" w:hAnsi="Cambria"/>
          <w:sz w:val="20"/>
          <w:szCs w:val="20"/>
          <w:lang w:val="pt-BR" w:eastAsia="x-none"/>
        </w:rPr>
        <w:t>Isso</w:t>
      </w:r>
      <w:r w:rsidR="00A30AEE" w:rsidRPr="00337743">
        <w:rPr>
          <w:rFonts w:ascii="Cambria" w:eastAsia="Calibri" w:hAnsi="Cambria"/>
          <w:sz w:val="20"/>
          <w:szCs w:val="20"/>
          <w:lang w:val="pt-BR" w:eastAsia="x-none"/>
        </w:rPr>
        <w:t xml:space="preserve"> </w:t>
      </w:r>
      <w:r w:rsidR="0088095C" w:rsidRPr="00337743">
        <w:rPr>
          <w:rFonts w:ascii="Cambria" w:eastAsia="Calibri" w:hAnsi="Cambria"/>
          <w:sz w:val="20"/>
          <w:szCs w:val="20"/>
          <w:lang w:val="pt-BR" w:eastAsia="x-none"/>
        </w:rPr>
        <w:t>foi</w:t>
      </w:r>
      <w:r w:rsidR="00A30AEE" w:rsidRPr="00337743">
        <w:rPr>
          <w:rFonts w:ascii="Cambria" w:eastAsia="Calibri" w:hAnsi="Cambria"/>
          <w:sz w:val="20"/>
          <w:szCs w:val="20"/>
          <w:lang w:val="pt-BR" w:eastAsia="x-none"/>
        </w:rPr>
        <w:t xml:space="preserve"> </w:t>
      </w:r>
      <w:r w:rsidR="00682477" w:rsidRPr="00337743">
        <w:rPr>
          <w:rFonts w:ascii="Cambria" w:eastAsia="Calibri" w:hAnsi="Cambria"/>
          <w:sz w:val="20"/>
          <w:szCs w:val="20"/>
          <w:lang w:val="pt-BR" w:eastAsia="x-none"/>
        </w:rPr>
        <w:t>reconhecido</w:t>
      </w:r>
      <w:r w:rsidR="00091880" w:rsidRPr="00337743">
        <w:rPr>
          <w:rFonts w:ascii="Cambria" w:eastAsia="Calibri" w:hAnsi="Cambria"/>
          <w:sz w:val="20"/>
          <w:szCs w:val="20"/>
          <w:lang w:val="pt-BR" w:eastAsia="x-none"/>
        </w:rPr>
        <w:t xml:space="preserve"> na </w:t>
      </w:r>
      <w:r w:rsidR="00295DAB" w:rsidRPr="00337743">
        <w:rPr>
          <w:rFonts w:ascii="Cambria" w:eastAsia="Calibri" w:hAnsi="Cambria"/>
          <w:sz w:val="20"/>
          <w:szCs w:val="20"/>
          <w:lang w:val="pt-BR" w:eastAsia="x-none"/>
        </w:rPr>
        <w:t>prática</w:t>
      </w:r>
      <w:r w:rsidR="00E96C24" w:rsidRPr="00337743">
        <w:rPr>
          <w:rFonts w:ascii="Cambria" w:eastAsia="Calibri" w:hAnsi="Cambria"/>
          <w:sz w:val="20"/>
          <w:szCs w:val="20"/>
          <w:lang w:val="pt-BR" w:eastAsia="x-none"/>
        </w:rPr>
        <w:t xml:space="preserve"> dos </w:t>
      </w:r>
      <w:r w:rsidR="00A30AEE" w:rsidRPr="00337743">
        <w:rPr>
          <w:rFonts w:ascii="Cambria" w:eastAsia="Calibri" w:hAnsi="Cambria"/>
          <w:sz w:val="20"/>
          <w:szCs w:val="20"/>
          <w:lang w:val="pt-BR" w:eastAsia="x-none"/>
        </w:rPr>
        <w:t xml:space="preserve">Estados, como </w:t>
      </w:r>
      <w:r w:rsidR="00A30AEE" w:rsidRPr="00337743">
        <w:rPr>
          <w:rFonts w:ascii="Cambria" w:eastAsia="Calibri" w:hAnsi="Cambria"/>
          <w:i/>
          <w:sz w:val="20"/>
          <w:szCs w:val="20"/>
          <w:lang w:val="pt-BR" w:eastAsia="x-none"/>
        </w:rPr>
        <w:t>opinio juris</w:t>
      </w:r>
      <w:r w:rsidR="00A30AEE" w:rsidRPr="00337743">
        <w:rPr>
          <w:rStyle w:val="FootnoteReference"/>
          <w:rFonts w:ascii="Cambria" w:eastAsia="Calibri" w:hAnsi="Cambria"/>
          <w:sz w:val="20"/>
          <w:szCs w:val="20"/>
          <w:lang w:val="pt-BR" w:eastAsia="x-none"/>
        </w:rPr>
        <w:footnoteReference w:id="90"/>
      </w:r>
      <w:r w:rsidR="00A30AEE" w:rsidRPr="00337743">
        <w:rPr>
          <w:rFonts w:ascii="Cambria" w:eastAsia="Calibri" w:hAnsi="Cambria"/>
          <w:sz w:val="20"/>
          <w:szCs w:val="20"/>
          <w:lang w:val="pt-BR" w:eastAsia="x-none"/>
        </w:rPr>
        <w:t>,</w:t>
      </w:r>
      <w:r w:rsidR="00506331" w:rsidRPr="00337743">
        <w:rPr>
          <w:rFonts w:ascii="Cambria" w:eastAsia="Calibri" w:hAnsi="Cambria"/>
          <w:sz w:val="20"/>
          <w:szCs w:val="20"/>
          <w:lang w:val="pt-BR" w:eastAsia="x-none"/>
        </w:rPr>
        <w:t xml:space="preserve"> e</w:t>
      </w:r>
      <w:r w:rsidR="00091880" w:rsidRPr="00337743">
        <w:rPr>
          <w:rFonts w:ascii="Cambria" w:eastAsia="Calibri" w:hAnsi="Cambria"/>
          <w:sz w:val="20"/>
          <w:szCs w:val="20"/>
          <w:lang w:val="pt-BR" w:eastAsia="x-none"/>
        </w:rPr>
        <w:t xml:space="preserve"> na </w:t>
      </w:r>
      <w:r w:rsidR="00682477" w:rsidRPr="00337743">
        <w:rPr>
          <w:rFonts w:ascii="Cambria" w:eastAsia="Calibri" w:hAnsi="Cambria"/>
          <w:sz w:val="20"/>
          <w:szCs w:val="20"/>
          <w:lang w:val="pt-BR" w:eastAsia="x-none"/>
        </w:rPr>
        <w:t>jurisprudência</w:t>
      </w:r>
      <w:r w:rsidR="00A30AEE" w:rsidRPr="00337743">
        <w:rPr>
          <w:rFonts w:ascii="Cambria" w:eastAsia="Calibri" w:hAnsi="Cambria"/>
          <w:sz w:val="20"/>
          <w:szCs w:val="20"/>
          <w:lang w:val="pt-BR" w:eastAsia="x-none"/>
        </w:rPr>
        <w:t xml:space="preserve"> internacional de di</w:t>
      </w:r>
      <w:r w:rsidR="0088095C" w:rsidRPr="00337743">
        <w:rPr>
          <w:rFonts w:ascii="Cambria" w:eastAsia="Calibri" w:hAnsi="Cambria"/>
          <w:sz w:val="20"/>
          <w:szCs w:val="20"/>
          <w:lang w:val="pt-BR" w:eastAsia="x-none"/>
        </w:rPr>
        <w:t>ver</w:t>
      </w:r>
      <w:r w:rsidR="00A30AEE" w:rsidRPr="00337743">
        <w:rPr>
          <w:rFonts w:ascii="Cambria" w:eastAsia="Calibri" w:hAnsi="Cambria"/>
          <w:sz w:val="20"/>
          <w:szCs w:val="20"/>
          <w:lang w:val="pt-BR" w:eastAsia="x-none"/>
        </w:rPr>
        <w:t>sas entidades</w:t>
      </w:r>
      <w:r w:rsidR="00A30AEE" w:rsidRPr="00337743">
        <w:rPr>
          <w:rStyle w:val="FootnoteReference"/>
          <w:rFonts w:ascii="Cambria" w:eastAsia="Calibri" w:hAnsi="Cambria"/>
          <w:sz w:val="20"/>
          <w:szCs w:val="20"/>
          <w:lang w:val="pt-BR" w:eastAsia="x-none"/>
        </w:rPr>
        <w:footnoteReference w:id="91"/>
      </w:r>
      <w:r w:rsidR="00AE2692" w:rsidRPr="00337743">
        <w:rPr>
          <w:rFonts w:ascii="Cambria" w:eastAsia="Calibri" w:hAnsi="Cambria"/>
          <w:sz w:val="20"/>
          <w:szCs w:val="20"/>
          <w:lang w:val="pt-BR" w:eastAsia="x-none"/>
        </w:rPr>
        <w:t>”</w:t>
      </w:r>
      <w:r w:rsidR="00A30AEE" w:rsidRPr="00337743">
        <w:rPr>
          <w:rFonts w:ascii="Cambria" w:eastAsia="Calibri" w:hAnsi="Cambria"/>
          <w:sz w:val="20"/>
          <w:szCs w:val="20"/>
          <w:lang w:val="pt-BR" w:eastAsia="x-none"/>
        </w:rPr>
        <w:t>.</w:t>
      </w:r>
      <w:r w:rsidR="00506331" w:rsidRPr="00337743">
        <w:rPr>
          <w:rFonts w:ascii="Cambria" w:eastAsia="Calibri" w:hAnsi="Cambria"/>
          <w:sz w:val="20"/>
          <w:szCs w:val="20"/>
          <w:lang w:val="pt-BR" w:eastAsia="x-none"/>
        </w:rPr>
        <w:t xml:space="preserve"> </w:t>
      </w:r>
      <w:r w:rsidR="0088095C" w:rsidRPr="00337743">
        <w:rPr>
          <w:rFonts w:ascii="Cambria" w:eastAsia="Calibri" w:hAnsi="Cambria"/>
          <w:sz w:val="20"/>
          <w:szCs w:val="20"/>
          <w:lang w:val="pt-BR" w:eastAsia="x-none"/>
        </w:rPr>
        <w:t>A</w:t>
      </w:r>
      <w:r w:rsidR="00506331" w:rsidRPr="00337743">
        <w:rPr>
          <w:rFonts w:ascii="Cambria" w:eastAsia="Calibri" w:hAnsi="Cambria"/>
          <w:sz w:val="20"/>
          <w:szCs w:val="20"/>
          <w:lang w:val="pt-BR" w:eastAsia="x-none"/>
        </w:rPr>
        <w:t xml:space="preserve"> </w:t>
      </w:r>
      <w:r w:rsidR="00AE2692" w:rsidRPr="00337743">
        <w:rPr>
          <w:rFonts w:ascii="Cambria" w:eastAsia="Calibri" w:hAnsi="Cambria"/>
          <w:sz w:val="20"/>
          <w:szCs w:val="20"/>
          <w:lang w:val="pt-BR" w:eastAsia="x-none"/>
        </w:rPr>
        <w:t>Corte a</w:t>
      </w:r>
      <w:r w:rsidR="0088095C" w:rsidRPr="00337743">
        <w:rPr>
          <w:rFonts w:ascii="Cambria" w:eastAsia="Calibri" w:hAnsi="Cambria"/>
          <w:sz w:val="20"/>
          <w:szCs w:val="20"/>
          <w:lang w:val="pt-BR" w:eastAsia="x-none"/>
        </w:rPr>
        <w:t>crescentou</w:t>
      </w:r>
      <w:r w:rsidR="00AE2692" w:rsidRPr="00337743">
        <w:rPr>
          <w:rFonts w:ascii="Cambria" w:eastAsia="Calibri" w:hAnsi="Cambria"/>
          <w:sz w:val="20"/>
          <w:szCs w:val="20"/>
          <w:lang w:val="pt-BR" w:eastAsia="x-none"/>
        </w:rPr>
        <w:t>:</w:t>
      </w:r>
      <w:r w:rsidR="00A30AEE" w:rsidRPr="00337743">
        <w:rPr>
          <w:rFonts w:ascii="Cambria" w:eastAsia="Calibri" w:hAnsi="Cambria"/>
          <w:sz w:val="20"/>
          <w:szCs w:val="20"/>
          <w:lang w:val="pt-BR" w:eastAsia="x-none"/>
        </w:rPr>
        <w:t xml:space="preserve"> </w:t>
      </w:r>
    </w:p>
    <w:p w14:paraId="2A92A8AB" w14:textId="77777777" w:rsidR="00AE2692" w:rsidRPr="00337743" w:rsidRDefault="00AE2692" w:rsidP="00A30AEE">
      <w:pPr>
        <w:tabs>
          <w:tab w:val="left" w:pos="720"/>
          <w:tab w:val="left" w:pos="1440"/>
        </w:tabs>
        <w:jc w:val="both"/>
        <w:rPr>
          <w:rFonts w:ascii="Cambria" w:hAnsi="Cambria"/>
          <w:sz w:val="20"/>
          <w:szCs w:val="20"/>
          <w:lang w:val="pt-BR"/>
        </w:rPr>
      </w:pPr>
    </w:p>
    <w:p w14:paraId="575D845B" w14:textId="77777777" w:rsidR="00A30AEE" w:rsidRPr="00337743" w:rsidRDefault="00682477" w:rsidP="00AE2692">
      <w:pPr>
        <w:tabs>
          <w:tab w:val="left" w:pos="720"/>
          <w:tab w:val="left" w:pos="1440"/>
        </w:tabs>
        <w:ind w:left="567" w:right="623"/>
        <w:jc w:val="both"/>
        <w:rPr>
          <w:rFonts w:ascii="Cambria" w:hAnsi="Cambria" w:cs="Verdana"/>
          <w:sz w:val="20"/>
          <w:szCs w:val="20"/>
          <w:lang w:val="pt-BR"/>
        </w:rPr>
      </w:pPr>
      <w:r w:rsidRPr="00337743">
        <w:rPr>
          <w:rFonts w:ascii="Cambria" w:hAnsi="Cambria"/>
          <w:sz w:val="20"/>
          <w:szCs w:val="20"/>
          <w:lang w:val="pt-BR"/>
        </w:rPr>
        <w:t>Em</w:t>
      </w:r>
      <w:r w:rsidR="00A30AEE" w:rsidRPr="00337743">
        <w:rPr>
          <w:rFonts w:ascii="Cambria" w:hAnsi="Cambria"/>
          <w:sz w:val="20"/>
          <w:szCs w:val="20"/>
          <w:lang w:val="pt-BR"/>
        </w:rPr>
        <w:t xml:space="preserve"> segundo lugar, </w:t>
      </w:r>
      <w:r w:rsidR="00A30AEE" w:rsidRPr="00337743">
        <w:rPr>
          <w:rFonts w:ascii="Cambria" w:eastAsia="Calibri" w:hAnsi="Cambria"/>
          <w:sz w:val="20"/>
          <w:szCs w:val="20"/>
          <w:lang w:val="pt-BR" w:eastAsia="x-none"/>
        </w:rPr>
        <w:t>esta</w:t>
      </w:r>
      <w:r w:rsidR="00A30AEE" w:rsidRPr="00337743">
        <w:rPr>
          <w:rFonts w:ascii="Cambria" w:hAnsi="Cambria"/>
          <w:sz w:val="20"/>
          <w:szCs w:val="20"/>
          <w:lang w:val="pt-BR"/>
        </w:rPr>
        <w:t xml:space="preserve"> Corte constata que</w:t>
      </w:r>
      <w:r w:rsidR="00506331" w:rsidRPr="00337743">
        <w:rPr>
          <w:rFonts w:ascii="Cambria" w:hAnsi="Cambria"/>
          <w:sz w:val="20"/>
          <w:szCs w:val="20"/>
          <w:lang w:val="pt-BR"/>
        </w:rPr>
        <w:t xml:space="preserve"> o </w:t>
      </w:r>
      <w:r w:rsidRPr="00337743">
        <w:rPr>
          <w:rFonts w:ascii="Cambria" w:hAnsi="Cambria"/>
          <w:sz w:val="20"/>
          <w:szCs w:val="20"/>
          <w:lang w:val="pt-BR"/>
        </w:rPr>
        <w:t>critério</w:t>
      </w:r>
      <w:r w:rsidR="00A30AEE" w:rsidRPr="00337743">
        <w:rPr>
          <w:rFonts w:ascii="Cambria" w:hAnsi="Cambria"/>
          <w:sz w:val="20"/>
          <w:szCs w:val="20"/>
          <w:lang w:val="pt-BR"/>
        </w:rPr>
        <w:t xml:space="preserve"> </w:t>
      </w:r>
      <w:r w:rsidR="00F304A8" w:rsidRPr="00337743">
        <w:rPr>
          <w:rFonts w:ascii="Cambria" w:hAnsi="Cambria"/>
          <w:sz w:val="20"/>
          <w:szCs w:val="20"/>
          <w:lang w:val="pt-BR"/>
        </w:rPr>
        <w:t>mais</w:t>
      </w:r>
      <w:r w:rsidR="00A30AEE" w:rsidRPr="00337743">
        <w:rPr>
          <w:rFonts w:ascii="Cambria" w:hAnsi="Cambria"/>
          <w:sz w:val="20"/>
          <w:szCs w:val="20"/>
          <w:lang w:val="pt-BR"/>
        </w:rPr>
        <w:t xml:space="preserve"> ace</w:t>
      </w:r>
      <w:r w:rsidR="00295DAB" w:rsidRPr="00337743">
        <w:rPr>
          <w:rFonts w:ascii="Cambria" w:hAnsi="Cambria"/>
          <w:sz w:val="20"/>
          <w:szCs w:val="20"/>
          <w:lang w:val="pt-BR"/>
        </w:rPr>
        <w:t>i</w:t>
      </w:r>
      <w:r w:rsidR="00A30AEE" w:rsidRPr="00337743">
        <w:rPr>
          <w:rFonts w:ascii="Cambria" w:hAnsi="Cambria"/>
          <w:sz w:val="20"/>
          <w:szCs w:val="20"/>
          <w:lang w:val="pt-BR"/>
        </w:rPr>
        <w:t>to</w:t>
      </w:r>
      <w:r w:rsidR="00091880" w:rsidRPr="00337743">
        <w:rPr>
          <w:rFonts w:ascii="Cambria" w:hAnsi="Cambria"/>
          <w:sz w:val="20"/>
          <w:szCs w:val="20"/>
          <w:lang w:val="pt-BR"/>
        </w:rPr>
        <w:t xml:space="preserve"> no </w:t>
      </w:r>
      <w:r w:rsidR="00350E7E" w:rsidRPr="00337743">
        <w:rPr>
          <w:rFonts w:ascii="Cambria" w:hAnsi="Cambria"/>
          <w:sz w:val="20"/>
          <w:szCs w:val="20"/>
          <w:lang w:val="pt-BR"/>
        </w:rPr>
        <w:t>direito</w:t>
      </w:r>
      <w:r w:rsidR="00A30AEE" w:rsidRPr="00337743">
        <w:rPr>
          <w:rFonts w:ascii="Cambria" w:hAnsi="Cambria"/>
          <w:sz w:val="20"/>
          <w:szCs w:val="20"/>
          <w:lang w:val="pt-BR"/>
        </w:rPr>
        <w:t xml:space="preserve"> internacional para determinar</w:t>
      </w:r>
      <w:r w:rsidR="00091880" w:rsidRPr="00337743">
        <w:rPr>
          <w:rFonts w:ascii="Cambria" w:hAnsi="Cambria"/>
          <w:sz w:val="20"/>
          <w:szCs w:val="20"/>
          <w:lang w:val="pt-BR"/>
        </w:rPr>
        <w:t xml:space="preserve"> em </w:t>
      </w:r>
      <w:r w:rsidRPr="00337743">
        <w:rPr>
          <w:rFonts w:ascii="Cambria" w:hAnsi="Cambria"/>
          <w:sz w:val="20"/>
          <w:szCs w:val="20"/>
          <w:lang w:val="pt-BR"/>
        </w:rPr>
        <w:t>que</w:t>
      </w:r>
      <w:r w:rsidR="00A30AEE" w:rsidRPr="00337743">
        <w:rPr>
          <w:rFonts w:ascii="Cambria" w:hAnsi="Cambria"/>
          <w:sz w:val="20"/>
          <w:szCs w:val="20"/>
          <w:lang w:val="pt-BR"/>
        </w:rPr>
        <w:t xml:space="preserve"> medida se </w:t>
      </w:r>
      <w:r w:rsidR="00295DAB" w:rsidRPr="00337743">
        <w:rPr>
          <w:rFonts w:ascii="Cambria" w:hAnsi="Cambria"/>
          <w:sz w:val="20"/>
          <w:szCs w:val="20"/>
          <w:lang w:val="pt-BR"/>
        </w:rPr>
        <w:t>pod</w:t>
      </w:r>
      <w:r w:rsidR="00A30AEE" w:rsidRPr="00337743">
        <w:rPr>
          <w:rFonts w:ascii="Cambria" w:hAnsi="Cambria"/>
          <w:sz w:val="20"/>
          <w:szCs w:val="20"/>
          <w:lang w:val="pt-BR"/>
        </w:rPr>
        <w:t>e atribuir</w:t>
      </w:r>
      <w:r w:rsidR="00BF72CE" w:rsidRPr="00337743">
        <w:rPr>
          <w:rFonts w:ascii="Cambria" w:hAnsi="Cambria"/>
          <w:sz w:val="20"/>
          <w:szCs w:val="20"/>
          <w:lang w:val="pt-BR"/>
        </w:rPr>
        <w:t xml:space="preserve"> ao </w:t>
      </w:r>
      <w:r w:rsidR="00A30AEE" w:rsidRPr="00337743">
        <w:rPr>
          <w:rFonts w:ascii="Cambria" w:hAnsi="Cambria"/>
          <w:sz w:val="20"/>
          <w:szCs w:val="20"/>
          <w:lang w:val="pt-BR"/>
        </w:rPr>
        <w:t>Estado</w:t>
      </w:r>
      <w:r w:rsidR="00091880" w:rsidRPr="00337743">
        <w:rPr>
          <w:rFonts w:ascii="Cambria" w:hAnsi="Cambria"/>
          <w:sz w:val="20"/>
          <w:szCs w:val="20"/>
          <w:lang w:val="pt-BR"/>
        </w:rPr>
        <w:t xml:space="preserve"> um </w:t>
      </w:r>
      <w:r w:rsidRPr="00337743">
        <w:rPr>
          <w:rFonts w:ascii="Cambria" w:hAnsi="Cambria"/>
          <w:sz w:val="20"/>
          <w:szCs w:val="20"/>
          <w:lang w:val="pt-BR"/>
        </w:rPr>
        <w:t>ato</w:t>
      </w:r>
      <w:r w:rsidR="00A30AEE" w:rsidRPr="00337743">
        <w:rPr>
          <w:rFonts w:ascii="Cambria" w:hAnsi="Cambria"/>
          <w:sz w:val="20"/>
          <w:szCs w:val="20"/>
          <w:lang w:val="pt-BR"/>
        </w:rPr>
        <w:t xml:space="preserve"> de</w:t>
      </w:r>
      <w:r w:rsidR="00091880" w:rsidRPr="00337743">
        <w:rPr>
          <w:rFonts w:ascii="Cambria" w:hAnsi="Cambria"/>
          <w:sz w:val="20"/>
          <w:szCs w:val="20"/>
          <w:lang w:val="pt-BR"/>
        </w:rPr>
        <w:t xml:space="preserve"> um </w:t>
      </w:r>
      <w:r w:rsidR="00295DAB" w:rsidRPr="00337743">
        <w:rPr>
          <w:rFonts w:ascii="Cambria" w:hAnsi="Cambria"/>
          <w:sz w:val="20"/>
          <w:szCs w:val="20"/>
          <w:lang w:val="pt-BR"/>
        </w:rPr>
        <w:t>órgão</w:t>
      </w:r>
      <w:r w:rsidR="007707E3" w:rsidRPr="00337743">
        <w:rPr>
          <w:rFonts w:ascii="Cambria" w:hAnsi="Cambria"/>
          <w:sz w:val="20"/>
          <w:szCs w:val="20"/>
          <w:lang w:val="pt-BR"/>
        </w:rPr>
        <w:t xml:space="preserve"> do </w:t>
      </w:r>
      <w:r w:rsidR="00A30AEE" w:rsidRPr="00337743">
        <w:rPr>
          <w:rFonts w:ascii="Cambria" w:hAnsi="Cambria"/>
          <w:sz w:val="20"/>
          <w:szCs w:val="20"/>
          <w:lang w:val="pt-BR"/>
        </w:rPr>
        <w:t>Estado o</w:t>
      </w:r>
      <w:r w:rsidR="008E70E1" w:rsidRPr="00337743">
        <w:rPr>
          <w:rFonts w:ascii="Cambria" w:hAnsi="Cambria"/>
          <w:sz w:val="20"/>
          <w:szCs w:val="20"/>
          <w:lang w:val="pt-BR"/>
        </w:rPr>
        <w:t>u</w:t>
      </w:r>
      <w:r w:rsidR="00091880" w:rsidRPr="00337743">
        <w:rPr>
          <w:rFonts w:ascii="Cambria" w:hAnsi="Cambria"/>
          <w:sz w:val="20"/>
          <w:szCs w:val="20"/>
          <w:lang w:val="pt-BR"/>
        </w:rPr>
        <w:t xml:space="preserve"> uma </w:t>
      </w:r>
      <w:r w:rsidR="008E70E1" w:rsidRPr="00337743">
        <w:rPr>
          <w:rFonts w:ascii="Cambria" w:hAnsi="Cambria"/>
          <w:sz w:val="20"/>
          <w:szCs w:val="20"/>
          <w:lang w:val="pt-BR"/>
        </w:rPr>
        <w:t>pessoa</w:t>
      </w:r>
      <w:r w:rsidR="00A30AEE" w:rsidRPr="00337743">
        <w:rPr>
          <w:rFonts w:ascii="Cambria" w:hAnsi="Cambria"/>
          <w:sz w:val="20"/>
          <w:szCs w:val="20"/>
          <w:lang w:val="pt-BR"/>
        </w:rPr>
        <w:t xml:space="preserve"> o</w:t>
      </w:r>
      <w:r w:rsidR="00484427" w:rsidRPr="00337743">
        <w:rPr>
          <w:rFonts w:ascii="Cambria" w:hAnsi="Cambria"/>
          <w:sz w:val="20"/>
          <w:szCs w:val="20"/>
          <w:lang w:val="pt-BR"/>
        </w:rPr>
        <w:t>u</w:t>
      </w:r>
      <w:r w:rsidR="00A30AEE" w:rsidRPr="00337743">
        <w:rPr>
          <w:rFonts w:ascii="Cambria" w:hAnsi="Cambria"/>
          <w:sz w:val="20"/>
          <w:szCs w:val="20"/>
          <w:lang w:val="pt-BR"/>
        </w:rPr>
        <w:t xml:space="preserve"> enti</w:t>
      </w:r>
      <w:r w:rsidR="00350E7E" w:rsidRPr="00337743">
        <w:rPr>
          <w:rFonts w:ascii="Cambria" w:hAnsi="Cambria"/>
          <w:sz w:val="20"/>
          <w:szCs w:val="20"/>
          <w:lang w:val="pt-BR"/>
        </w:rPr>
        <w:t xml:space="preserve">dade </w:t>
      </w:r>
      <w:r w:rsidR="00A30AEE" w:rsidRPr="00337743">
        <w:rPr>
          <w:rFonts w:ascii="Cambria" w:hAnsi="Cambria"/>
          <w:sz w:val="20"/>
          <w:szCs w:val="20"/>
          <w:lang w:val="pt-BR"/>
        </w:rPr>
        <w:t xml:space="preserve">facultada para </w:t>
      </w:r>
      <w:r w:rsidRPr="00337743">
        <w:rPr>
          <w:rFonts w:ascii="Cambria" w:hAnsi="Cambria"/>
          <w:sz w:val="20"/>
          <w:szCs w:val="20"/>
          <w:lang w:val="pt-BR"/>
        </w:rPr>
        <w:t>exercer</w:t>
      </w:r>
      <w:r w:rsidR="00A30AEE" w:rsidRPr="00337743">
        <w:rPr>
          <w:rFonts w:ascii="Cambria" w:hAnsi="Cambria"/>
          <w:sz w:val="20"/>
          <w:szCs w:val="20"/>
          <w:lang w:val="pt-BR"/>
        </w:rPr>
        <w:t xml:space="preserve"> </w:t>
      </w:r>
      <w:r w:rsidR="00295DAB" w:rsidRPr="00337743">
        <w:rPr>
          <w:rFonts w:ascii="Cambria" w:hAnsi="Cambria"/>
          <w:sz w:val="20"/>
          <w:szCs w:val="20"/>
          <w:lang w:val="pt-BR"/>
        </w:rPr>
        <w:t>atribuições</w:t>
      </w:r>
      <w:r w:rsidR="007707E3" w:rsidRPr="00337743">
        <w:rPr>
          <w:rFonts w:ascii="Cambria" w:hAnsi="Cambria"/>
          <w:sz w:val="20"/>
          <w:szCs w:val="20"/>
          <w:lang w:val="pt-BR"/>
        </w:rPr>
        <w:t xml:space="preserve"> do </w:t>
      </w:r>
      <w:r w:rsidR="00A30AEE" w:rsidRPr="00337743">
        <w:rPr>
          <w:rFonts w:ascii="Cambria" w:hAnsi="Cambria"/>
          <w:sz w:val="20"/>
          <w:szCs w:val="20"/>
          <w:lang w:val="pt-BR"/>
        </w:rPr>
        <w:t xml:space="preserve">poder público, </w:t>
      </w:r>
      <w:r w:rsidRPr="00337743">
        <w:rPr>
          <w:rFonts w:ascii="Cambria" w:hAnsi="Cambria"/>
          <w:sz w:val="20"/>
          <w:szCs w:val="20"/>
          <w:lang w:val="pt-BR"/>
        </w:rPr>
        <w:t>requer</w:t>
      </w:r>
      <w:r w:rsidR="00A30AEE" w:rsidRPr="00337743">
        <w:rPr>
          <w:rFonts w:ascii="Cambria" w:hAnsi="Cambria"/>
          <w:sz w:val="20"/>
          <w:szCs w:val="20"/>
          <w:lang w:val="pt-BR"/>
        </w:rPr>
        <w:t xml:space="preserve"> que se </w:t>
      </w:r>
      <w:r w:rsidR="00295DAB" w:rsidRPr="00337743">
        <w:rPr>
          <w:rFonts w:ascii="Cambria" w:hAnsi="Cambria"/>
          <w:sz w:val="20"/>
          <w:szCs w:val="20"/>
          <w:lang w:val="pt-BR"/>
        </w:rPr>
        <w:t>estabeleça</w:t>
      </w:r>
      <w:r w:rsidR="00532720" w:rsidRPr="00337743">
        <w:rPr>
          <w:rFonts w:ascii="Cambria" w:hAnsi="Cambria"/>
          <w:sz w:val="20"/>
          <w:szCs w:val="20"/>
          <w:lang w:val="pt-BR"/>
        </w:rPr>
        <w:t xml:space="preserve"> se </w:t>
      </w:r>
      <w:r w:rsidR="00506331" w:rsidRPr="00337743">
        <w:rPr>
          <w:rFonts w:ascii="Cambria" w:hAnsi="Cambria"/>
          <w:sz w:val="20"/>
          <w:szCs w:val="20"/>
          <w:lang w:val="pt-BR"/>
        </w:rPr>
        <w:t xml:space="preserve">o </w:t>
      </w:r>
      <w:r w:rsidR="00A30AEE" w:rsidRPr="00337743">
        <w:rPr>
          <w:rFonts w:ascii="Cambria" w:hAnsi="Cambria"/>
          <w:sz w:val="20"/>
          <w:szCs w:val="20"/>
          <w:lang w:val="pt-BR"/>
        </w:rPr>
        <w:t xml:space="preserve">mencionado </w:t>
      </w:r>
      <w:r w:rsidRPr="00337743">
        <w:rPr>
          <w:rFonts w:ascii="Cambria" w:hAnsi="Cambria"/>
          <w:sz w:val="20"/>
          <w:szCs w:val="20"/>
          <w:lang w:val="pt-BR"/>
        </w:rPr>
        <w:t>ato</w:t>
      </w:r>
      <w:r w:rsidR="00091880" w:rsidRPr="00337743">
        <w:rPr>
          <w:rFonts w:ascii="Cambria" w:hAnsi="Cambria"/>
          <w:sz w:val="20"/>
          <w:szCs w:val="20"/>
          <w:lang w:val="pt-BR"/>
        </w:rPr>
        <w:t xml:space="preserve"> foi </w:t>
      </w:r>
      <w:r w:rsidR="00295DAB" w:rsidRPr="00337743">
        <w:rPr>
          <w:rFonts w:ascii="Cambria" w:hAnsi="Cambria"/>
          <w:sz w:val="20"/>
          <w:szCs w:val="20"/>
          <w:lang w:val="pt-BR"/>
        </w:rPr>
        <w:t>executado</w:t>
      </w:r>
      <w:r w:rsidR="00A30AEE" w:rsidRPr="00337743">
        <w:rPr>
          <w:rFonts w:ascii="Cambria" w:hAnsi="Cambria"/>
          <w:sz w:val="20"/>
          <w:szCs w:val="20"/>
          <w:lang w:val="pt-BR"/>
        </w:rPr>
        <w:t xml:space="preserve"> </w:t>
      </w:r>
      <w:r w:rsidR="00A30AEE" w:rsidRPr="00337743">
        <w:rPr>
          <w:rFonts w:ascii="Cambria" w:eastAsia="Calibri" w:hAnsi="Cambria"/>
          <w:sz w:val="20"/>
          <w:szCs w:val="20"/>
          <w:lang w:val="pt-BR" w:eastAsia="x-none"/>
        </w:rPr>
        <w:t>como</w:t>
      </w:r>
      <w:r w:rsidR="00091880" w:rsidRPr="00337743">
        <w:rPr>
          <w:rFonts w:ascii="Cambria" w:eastAsia="Calibri" w:hAnsi="Cambria"/>
          <w:sz w:val="20"/>
          <w:szCs w:val="20"/>
          <w:lang w:val="pt-BR" w:eastAsia="x-none"/>
        </w:rPr>
        <w:t xml:space="preserve"> um </w:t>
      </w:r>
      <w:r w:rsidRPr="00337743">
        <w:rPr>
          <w:rFonts w:ascii="Cambria" w:eastAsia="Calibri" w:hAnsi="Cambria"/>
          <w:sz w:val="20"/>
          <w:szCs w:val="20"/>
          <w:lang w:val="pt-BR" w:eastAsia="x-none"/>
        </w:rPr>
        <w:t>exercício</w:t>
      </w:r>
      <w:r w:rsidR="00A30AEE" w:rsidRPr="00337743">
        <w:rPr>
          <w:rFonts w:ascii="Cambria" w:eastAsia="Calibri" w:hAnsi="Cambria"/>
          <w:sz w:val="20"/>
          <w:szCs w:val="20"/>
          <w:lang w:val="pt-BR" w:eastAsia="x-none"/>
        </w:rPr>
        <w:t xml:space="preserve"> de autori</w:t>
      </w:r>
      <w:r w:rsidR="00350E7E" w:rsidRPr="00337743">
        <w:rPr>
          <w:rFonts w:ascii="Cambria" w:eastAsia="Calibri" w:hAnsi="Cambria"/>
          <w:sz w:val="20"/>
          <w:szCs w:val="20"/>
          <w:lang w:val="pt-BR" w:eastAsia="x-none"/>
        </w:rPr>
        <w:t xml:space="preserve">dade </w:t>
      </w:r>
      <w:r w:rsidR="00A30AEE" w:rsidRPr="00337743">
        <w:rPr>
          <w:rFonts w:ascii="Cambria" w:eastAsia="Calibri" w:hAnsi="Cambria"/>
          <w:sz w:val="20"/>
          <w:szCs w:val="20"/>
          <w:lang w:val="pt-BR" w:eastAsia="x-none"/>
        </w:rPr>
        <w:t>o</w:t>
      </w:r>
      <w:r w:rsidR="008E70E1"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como</w:t>
      </w:r>
      <w:r w:rsidR="00091880" w:rsidRPr="00337743">
        <w:rPr>
          <w:rFonts w:ascii="Cambria" w:eastAsia="Calibri" w:hAnsi="Cambria"/>
          <w:sz w:val="20"/>
          <w:szCs w:val="20"/>
          <w:lang w:val="pt-BR" w:eastAsia="x-none"/>
        </w:rPr>
        <w:t xml:space="preserve"> um </w:t>
      </w:r>
      <w:r w:rsidRPr="00337743">
        <w:rPr>
          <w:rFonts w:ascii="Cambria" w:eastAsia="Calibri" w:hAnsi="Cambria"/>
          <w:sz w:val="20"/>
          <w:szCs w:val="20"/>
          <w:lang w:val="pt-BR" w:eastAsia="x-none"/>
        </w:rPr>
        <w:t>exercício</w:t>
      </w:r>
      <w:r w:rsidR="00A30AEE" w:rsidRPr="00337743">
        <w:rPr>
          <w:rFonts w:ascii="Cambria" w:eastAsia="Calibri" w:hAnsi="Cambria"/>
          <w:sz w:val="20"/>
          <w:szCs w:val="20"/>
          <w:lang w:val="pt-BR" w:eastAsia="x-none"/>
        </w:rPr>
        <w:t xml:space="preserve"> aparente de autori</w:t>
      </w:r>
      <w:r w:rsidR="00350E7E" w:rsidRPr="00337743">
        <w:rPr>
          <w:rFonts w:ascii="Cambria" w:eastAsia="Calibri" w:hAnsi="Cambria"/>
          <w:sz w:val="20"/>
          <w:szCs w:val="20"/>
          <w:lang w:val="pt-BR" w:eastAsia="x-none"/>
        </w:rPr>
        <w:t xml:space="preserve">dade </w:t>
      </w:r>
      <w:r w:rsidR="00A30AEE" w:rsidRPr="00337743">
        <w:rPr>
          <w:rFonts w:ascii="Cambria" w:eastAsia="Calibri" w:hAnsi="Cambria"/>
          <w:sz w:val="20"/>
          <w:szCs w:val="20"/>
          <w:lang w:val="pt-BR" w:eastAsia="x-none"/>
        </w:rPr>
        <w:t>estatal</w:t>
      </w:r>
      <w:r w:rsidR="00A30AEE" w:rsidRPr="00337743">
        <w:rPr>
          <w:rStyle w:val="FootnoteReference"/>
          <w:rFonts w:ascii="Cambria" w:eastAsia="Calibri" w:hAnsi="Cambria"/>
          <w:sz w:val="20"/>
          <w:szCs w:val="20"/>
          <w:lang w:val="pt-BR" w:eastAsia="x-none"/>
        </w:rPr>
        <w:footnoteReference w:id="92"/>
      </w:r>
      <w:r w:rsidR="00A30AEE" w:rsidRPr="00337743">
        <w:rPr>
          <w:rFonts w:ascii="Cambria" w:eastAsia="Calibri" w:hAnsi="Cambria"/>
          <w:sz w:val="20"/>
          <w:szCs w:val="20"/>
          <w:lang w:val="pt-BR" w:eastAsia="x-none"/>
        </w:rPr>
        <w:t xml:space="preserve">. Para </w:t>
      </w:r>
      <w:r w:rsidR="008E70E1" w:rsidRPr="00337743">
        <w:rPr>
          <w:rFonts w:ascii="Cambria" w:eastAsia="Calibri" w:hAnsi="Cambria"/>
          <w:sz w:val="20"/>
          <w:szCs w:val="20"/>
          <w:lang w:val="pt-BR" w:eastAsia="x-none"/>
        </w:rPr>
        <w:t>iss</w:t>
      </w:r>
      <w:r w:rsidR="00A30AEE" w:rsidRPr="00337743">
        <w:rPr>
          <w:rFonts w:ascii="Cambria" w:eastAsia="Calibri" w:hAnsi="Cambria"/>
          <w:sz w:val="20"/>
          <w:szCs w:val="20"/>
          <w:lang w:val="pt-BR" w:eastAsia="x-none"/>
        </w:rPr>
        <w:t>o, di</w:t>
      </w:r>
      <w:r w:rsidR="008E70E1" w:rsidRPr="00337743">
        <w:rPr>
          <w:rFonts w:ascii="Cambria" w:eastAsia="Calibri" w:hAnsi="Cambria"/>
          <w:sz w:val="20"/>
          <w:szCs w:val="20"/>
          <w:lang w:val="pt-BR" w:eastAsia="x-none"/>
        </w:rPr>
        <w:t>ver</w:t>
      </w:r>
      <w:r w:rsidR="00A30AEE" w:rsidRPr="00337743">
        <w:rPr>
          <w:rFonts w:ascii="Cambria" w:eastAsia="Calibri" w:hAnsi="Cambria"/>
          <w:sz w:val="20"/>
          <w:szCs w:val="20"/>
          <w:lang w:val="pt-BR" w:eastAsia="x-none"/>
        </w:rPr>
        <w:t>sos elementos p</w:t>
      </w:r>
      <w:r w:rsidR="008E70E1" w:rsidRPr="00337743">
        <w:rPr>
          <w:rFonts w:ascii="Cambria" w:eastAsia="Calibri" w:hAnsi="Cambria"/>
          <w:sz w:val="20"/>
          <w:szCs w:val="20"/>
          <w:lang w:val="pt-BR" w:eastAsia="x-none"/>
        </w:rPr>
        <w:t>odem</w:t>
      </w:r>
      <w:r w:rsidR="00A30AEE" w:rsidRPr="00337743">
        <w:rPr>
          <w:rFonts w:ascii="Cambria" w:eastAsia="Calibri" w:hAnsi="Cambria"/>
          <w:sz w:val="20"/>
          <w:szCs w:val="20"/>
          <w:lang w:val="pt-BR" w:eastAsia="x-none"/>
        </w:rPr>
        <w:t xml:space="preserve"> ser relevantes</w:t>
      </w:r>
      <w:r w:rsidR="00F453EB" w:rsidRPr="00337743">
        <w:rPr>
          <w:rFonts w:ascii="Cambria" w:eastAsia="Calibri" w:hAnsi="Cambria"/>
          <w:sz w:val="20"/>
          <w:szCs w:val="20"/>
          <w:lang w:val="pt-BR" w:eastAsia="x-none"/>
        </w:rPr>
        <w:t xml:space="preserve"> </w:t>
      </w:r>
      <w:r w:rsidR="008E70E1" w:rsidRPr="00337743">
        <w:rPr>
          <w:rFonts w:ascii="Cambria" w:eastAsia="Calibri" w:hAnsi="Cambria"/>
          <w:sz w:val="20"/>
          <w:szCs w:val="20"/>
          <w:lang w:val="pt-BR" w:eastAsia="x-none"/>
        </w:rPr>
        <w:t>na</w:t>
      </w:r>
      <w:r w:rsidR="00F453EB" w:rsidRPr="00337743">
        <w:rPr>
          <w:rFonts w:ascii="Cambria" w:eastAsia="Calibri" w:hAnsi="Cambria"/>
          <w:sz w:val="20"/>
          <w:szCs w:val="20"/>
          <w:lang w:val="pt-BR" w:eastAsia="x-none"/>
        </w:rPr>
        <w:t xml:space="preserve"> </w:t>
      </w:r>
      <w:r w:rsidR="00A30AEE" w:rsidRPr="00337743">
        <w:rPr>
          <w:rFonts w:ascii="Cambria" w:eastAsia="Calibri" w:hAnsi="Cambria"/>
          <w:sz w:val="20"/>
          <w:szCs w:val="20"/>
          <w:lang w:val="pt-BR" w:eastAsia="x-none"/>
        </w:rPr>
        <w:t>hora de levar a cabo es</w:t>
      </w:r>
      <w:r w:rsidR="008E70E1" w:rsidRPr="00337743">
        <w:rPr>
          <w:rFonts w:ascii="Cambria" w:eastAsia="Calibri" w:hAnsi="Cambria"/>
          <w:sz w:val="20"/>
          <w:szCs w:val="20"/>
          <w:lang w:val="pt-BR" w:eastAsia="x-none"/>
        </w:rPr>
        <w:t>sa</w:t>
      </w:r>
      <w:r w:rsidR="00A30AEE" w:rsidRPr="00337743">
        <w:rPr>
          <w:rFonts w:ascii="Cambria" w:eastAsia="Calibri" w:hAnsi="Cambria"/>
          <w:sz w:val="20"/>
          <w:szCs w:val="20"/>
          <w:lang w:val="pt-BR" w:eastAsia="x-none"/>
        </w:rPr>
        <w:t xml:space="preserve"> anális</w:t>
      </w:r>
      <w:r w:rsidR="008E70E1" w:rsidRPr="00337743">
        <w:rPr>
          <w:rFonts w:ascii="Cambria" w:eastAsia="Calibri" w:hAnsi="Cambria"/>
          <w:sz w:val="20"/>
          <w:szCs w:val="20"/>
          <w:lang w:val="pt-BR" w:eastAsia="x-none"/>
        </w:rPr>
        <w:t>e</w:t>
      </w:r>
      <w:r w:rsidR="00091880" w:rsidRPr="00337743">
        <w:rPr>
          <w:rFonts w:ascii="Cambria" w:eastAsia="Calibri" w:hAnsi="Cambria"/>
          <w:sz w:val="20"/>
          <w:szCs w:val="20"/>
          <w:lang w:val="pt-BR" w:eastAsia="x-none"/>
        </w:rPr>
        <w:t xml:space="preserve"> </w:t>
      </w:r>
      <w:r w:rsidR="00484427" w:rsidRPr="00337743">
        <w:rPr>
          <w:rFonts w:ascii="Cambria" w:eastAsia="Calibri" w:hAnsi="Cambria"/>
          <w:sz w:val="20"/>
          <w:szCs w:val="20"/>
          <w:lang w:val="pt-BR" w:eastAsia="x-none"/>
        </w:rPr>
        <w:t xml:space="preserve">em cada </w:t>
      </w:r>
      <w:r w:rsidR="00A30AEE" w:rsidRPr="00337743">
        <w:rPr>
          <w:rFonts w:ascii="Cambria" w:eastAsia="Calibri" w:hAnsi="Cambria"/>
          <w:sz w:val="20"/>
          <w:szCs w:val="20"/>
          <w:lang w:val="pt-BR" w:eastAsia="x-none"/>
        </w:rPr>
        <w:t xml:space="preserve">caso, </w:t>
      </w:r>
      <w:r w:rsidR="008E70E1" w:rsidRPr="00337743">
        <w:rPr>
          <w:rFonts w:ascii="Cambria" w:eastAsia="Calibri" w:hAnsi="Cambria"/>
          <w:sz w:val="20"/>
          <w:szCs w:val="20"/>
          <w:lang w:val="pt-BR" w:eastAsia="x-none"/>
        </w:rPr>
        <w:t xml:space="preserve">embora nenhum desses </w:t>
      </w:r>
      <w:r w:rsidRPr="00337743">
        <w:rPr>
          <w:rFonts w:ascii="Cambria" w:eastAsia="Calibri" w:hAnsi="Cambria"/>
          <w:sz w:val="20"/>
          <w:szCs w:val="20"/>
          <w:lang w:val="pt-BR" w:eastAsia="x-none"/>
        </w:rPr>
        <w:t>critérios</w:t>
      </w:r>
      <w:r w:rsidR="00A30AEE" w:rsidRPr="00337743">
        <w:rPr>
          <w:rFonts w:ascii="Cambria" w:eastAsia="Calibri" w:hAnsi="Cambria"/>
          <w:sz w:val="20"/>
          <w:szCs w:val="20"/>
          <w:lang w:val="pt-BR" w:eastAsia="x-none"/>
        </w:rPr>
        <w:t xml:space="preserve"> </w:t>
      </w:r>
      <w:r w:rsidR="008E70E1" w:rsidRPr="00337743">
        <w:rPr>
          <w:rFonts w:ascii="Cambria" w:eastAsia="Calibri" w:hAnsi="Cambria"/>
          <w:sz w:val="20"/>
          <w:szCs w:val="20"/>
          <w:lang w:val="pt-BR" w:eastAsia="x-none"/>
        </w:rPr>
        <w:t xml:space="preserve">seja </w:t>
      </w:r>
      <w:r w:rsidR="00A30AEE" w:rsidRPr="00337743">
        <w:rPr>
          <w:rFonts w:ascii="Cambria" w:eastAsia="Calibri" w:hAnsi="Cambria"/>
          <w:sz w:val="20"/>
          <w:szCs w:val="20"/>
          <w:lang w:val="pt-BR" w:eastAsia="x-none"/>
        </w:rPr>
        <w:t>por</w:t>
      </w:r>
      <w:r w:rsidR="00532720" w:rsidRPr="00337743">
        <w:rPr>
          <w:rFonts w:ascii="Cambria" w:eastAsia="Calibri" w:hAnsi="Cambria"/>
          <w:sz w:val="20"/>
          <w:szCs w:val="20"/>
          <w:lang w:val="pt-BR" w:eastAsia="x-none"/>
        </w:rPr>
        <w:t xml:space="preserve"> s</w:t>
      </w:r>
      <w:r w:rsidR="008E70E1" w:rsidRPr="00337743">
        <w:rPr>
          <w:rFonts w:ascii="Cambria" w:eastAsia="Calibri" w:hAnsi="Cambria"/>
          <w:sz w:val="20"/>
          <w:szCs w:val="20"/>
          <w:lang w:val="pt-BR" w:eastAsia="x-none"/>
        </w:rPr>
        <w:t>i só</w:t>
      </w:r>
      <w:r w:rsidR="00A30AEE" w:rsidRPr="00337743">
        <w:rPr>
          <w:rFonts w:ascii="Cambria" w:eastAsia="Calibri" w:hAnsi="Cambria"/>
          <w:sz w:val="20"/>
          <w:szCs w:val="20"/>
          <w:lang w:val="pt-BR" w:eastAsia="x-none"/>
        </w:rPr>
        <w:t xml:space="preserve"> conclu</w:t>
      </w:r>
      <w:r w:rsidR="008E70E1" w:rsidRPr="00337743">
        <w:rPr>
          <w:rFonts w:ascii="Cambria" w:eastAsia="Calibri" w:hAnsi="Cambria"/>
          <w:sz w:val="20"/>
          <w:szCs w:val="20"/>
          <w:lang w:val="pt-BR" w:eastAsia="x-none"/>
        </w:rPr>
        <w:t>d</w:t>
      </w:r>
      <w:r w:rsidR="00A30AEE" w:rsidRPr="00337743">
        <w:rPr>
          <w:rFonts w:ascii="Cambria" w:eastAsia="Calibri" w:hAnsi="Cambria"/>
          <w:sz w:val="20"/>
          <w:szCs w:val="20"/>
          <w:lang w:val="pt-BR" w:eastAsia="x-none"/>
        </w:rPr>
        <w:t>ente: a)</w:t>
      </w:r>
      <w:r w:rsidR="00532720" w:rsidRPr="00337743">
        <w:rPr>
          <w:rFonts w:ascii="Cambria" w:eastAsia="Calibri" w:hAnsi="Cambria"/>
          <w:sz w:val="20"/>
          <w:szCs w:val="20"/>
          <w:lang w:val="pt-BR" w:eastAsia="x-none"/>
        </w:rPr>
        <w:t xml:space="preserve"> se </w:t>
      </w:r>
      <w:r w:rsidR="00506331" w:rsidRPr="00337743">
        <w:rPr>
          <w:rFonts w:ascii="Cambria" w:eastAsia="Calibri" w:hAnsi="Cambria"/>
          <w:sz w:val="20"/>
          <w:szCs w:val="20"/>
          <w:lang w:val="pt-BR" w:eastAsia="x-none"/>
        </w:rPr>
        <w:t xml:space="preserve">o </w:t>
      </w:r>
      <w:r w:rsidRPr="00337743">
        <w:rPr>
          <w:rFonts w:ascii="Cambria" w:eastAsia="Calibri" w:hAnsi="Cambria"/>
          <w:sz w:val="20"/>
          <w:szCs w:val="20"/>
          <w:lang w:val="pt-BR" w:eastAsia="x-none"/>
        </w:rPr>
        <w:t>órgão</w:t>
      </w:r>
      <w:r w:rsidR="00A30AEE" w:rsidRPr="00337743">
        <w:rPr>
          <w:rFonts w:ascii="Cambria" w:eastAsia="Calibri" w:hAnsi="Cambria"/>
          <w:sz w:val="20"/>
          <w:szCs w:val="20"/>
          <w:lang w:val="pt-BR" w:eastAsia="x-none"/>
        </w:rPr>
        <w:t xml:space="preserve"> o</w:t>
      </w:r>
      <w:r w:rsidR="008E70E1"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agente estatal </w:t>
      </w:r>
      <w:r w:rsidRPr="00337743">
        <w:rPr>
          <w:rFonts w:ascii="Cambria" w:eastAsia="Calibri" w:hAnsi="Cambria"/>
          <w:sz w:val="20"/>
          <w:szCs w:val="20"/>
          <w:lang w:val="pt-BR" w:eastAsia="x-none"/>
        </w:rPr>
        <w:t>estava</w:t>
      </w:r>
      <w:r w:rsidR="00A30AEE" w:rsidRPr="00337743">
        <w:rPr>
          <w:rFonts w:ascii="Cambria" w:eastAsia="Calibri" w:hAnsi="Cambria"/>
          <w:sz w:val="20"/>
          <w:szCs w:val="20"/>
          <w:lang w:val="pt-BR" w:eastAsia="x-none"/>
        </w:rPr>
        <w:t xml:space="preserve"> de servi</w:t>
      </w:r>
      <w:r w:rsidR="00057061" w:rsidRPr="00337743">
        <w:rPr>
          <w:rFonts w:ascii="Cambria" w:eastAsia="Calibri" w:hAnsi="Cambria"/>
          <w:sz w:val="20"/>
          <w:szCs w:val="20"/>
          <w:lang w:val="pt-BR" w:eastAsia="x-none"/>
        </w:rPr>
        <w:t>ç</w:t>
      </w:r>
      <w:r w:rsidR="00A30AEE" w:rsidRPr="00337743">
        <w:rPr>
          <w:rFonts w:ascii="Cambria" w:eastAsia="Calibri" w:hAnsi="Cambria"/>
          <w:sz w:val="20"/>
          <w:szCs w:val="20"/>
          <w:lang w:val="pt-BR" w:eastAsia="x-none"/>
        </w:rPr>
        <w:t>o o</w:t>
      </w:r>
      <w:r w:rsidR="008E70E1"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atuando </w:t>
      </w:r>
      <w:r w:rsidR="008E70E1" w:rsidRPr="00337743">
        <w:rPr>
          <w:rFonts w:ascii="Cambria" w:eastAsia="Calibri" w:hAnsi="Cambria"/>
          <w:sz w:val="20"/>
          <w:szCs w:val="20"/>
          <w:lang w:val="pt-BR" w:eastAsia="x-none"/>
        </w:rPr>
        <w:t>a</w:t>
      </w:r>
      <w:r w:rsidR="00506331" w:rsidRPr="00337743">
        <w:rPr>
          <w:rFonts w:ascii="Cambria" w:eastAsia="Calibri" w:hAnsi="Cambria"/>
          <w:sz w:val="20"/>
          <w:szCs w:val="20"/>
          <w:lang w:val="pt-BR" w:eastAsia="x-none"/>
        </w:rPr>
        <w:t xml:space="preserve"> </w:t>
      </w:r>
      <w:r w:rsidR="00A30AEE" w:rsidRPr="00337743">
        <w:rPr>
          <w:rFonts w:ascii="Cambria" w:eastAsia="Calibri" w:hAnsi="Cambria"/>
          <w:sz w:val="20"/>
          <w:szCs w:val="20"/>
          <w:lang w:val="pt-BR" w:eastAsia="x-none"/>
        </w:rPr>
        <w:t>mando de superiores</w:t>
      </w:r>
      <w:r w:rsidR="00A30AEE" w:rsidRPr="00337743">
        <w:rPr>
          <w:rStyle w:val="FootnoteReference"/>
          <w:rFonts w:ascii="Cambria" w:eastAsia="Calibri" w:hAnsi="Cambria"/>
          <w:sz w:val="20"/>
          <w:szCs w:val="20"/>
          <w:lang w:val="pt-BR" w:eastAsia="x-none"/>
        </w:rPr>
        <w:footnoteReference w:id="93"/>
      </w:r>
      <w:r w:rsidR="00A30AEE" w:rsidRPr="00337743">
        <w:rPr>
          <w:rFonts w:ascii="Cambria" w:eastAsia="Calibri" w:hAnsi="Cambria"/>
          <w:sz w:val="20"/>
          <w:szCs w:val="20"/>
          <w:lang w:val="pt-BR" w:eastAsia="x-none"/>
        </w:rPr>
        <w:t>; b)</w:t>
      </w:r>
      <w:r w:rsidR="00532720" w:rsidRPr="00337743">
        <w:rPr>
          <w:rFonts w:ascii="Cambria" w:eastAsia="Calibri" w:hAnsi="Cambria"/>
          <w:sz w:val="20"/>
          <w:szCs w:val="20"/>
          <w:lang w:val="pt-BR" w:eastAsia="x-none"/>
        </w:rPr>
        <w:t xml:space="preserve"> se </w:t>
      </w:r>
      <w:r w:rsidR="00506331" w:rsidRPr="00337743">
        <w:rPr>
          <w:rFonts w:ascii="Cambria" w:eastAsia="Calibri" w:hAnsi="Cambria"/>
          <w:sz w:val="20"/>
          <w:szCs w:val="20"/>
          <w:lang w:val="pt-BR" w:eastAsia="x-none"/>
        </w:rPr>
        <w:t xml:space="preserve">a </w:t>
      </w:r>
      <w:r w:rsidRPr="00337743">
        <w:rPr>
          <w:rFonts w:ascii="Cambria" w:eastAsia="Calibri" w:hAnsi="Cambria"/>
          <w:sz w:val="20"/>
          <w:szCs w:val="20"/>
          <w:lang w:val="pt-BR" w:eastAsia="x-none"/>
        </w:rPr>
        <w:t>conduta</w:t>
      </w:r>
      <w:r w:rsidR="00091880" w:rsidRPr="00337743">
        <w:rPr>
          <w:rFonts w:ascii="Cambria" w:eastAsia="Calibri" w:hAnsi="Cambria"/>
          <w:sz w:val="20"/>
          <w:szCs w:val="20"/>
          <w:lang w:val="pt-BR" w:eastAsia="x-none"/>
        </w:rPr>
        <w:t xml:space="preserve"> em </w:t>
      </w:r>
      <w:r w:rsidR="008E70E1" w:rsidRPr="00337743">
        <w:rPr>
          <w:rFonts w:ascii="Cambria" w:eastAsia="Calibri" w:hAnsi="Cambria"/>
          <w:sz w:val="20"/>
          <w:szCs w:val="20"/>
          <w:lang w:val="pt-BR" w:eastAsia="x-none"/>
        </w:rPr>
        <w:t>q</w:t>
      </w:r>
      <w:r w:rsidR="00A30AEE" w:rsidRPr="00337743">
        <w:rPr>
          <w:rFonts w:ascii="Cambria" w:eastAsia="Calibri" w:hAnsi="Cambria"/>
          <w:sz w:val="20"/>
          <w:szCs w:val="20"/>
          <w:lang w:val="pt-BR" w:eastAsia="x-none"/>
        </w:rPr>
        <w:t>uest</w:t>
      </w:r>
      <w:r w:rsidR="008E70E1" w:rsidRPr="00337743">
        <w:rPr>
          <w:rFonts w:ascii="Cambria" w:eastAsia="Calibri" w:hAnsi="Cambria"/>
          <w:sz w:val="20"/>
          <w:szCs w:val="20"/>
          <w:lang w:val="pt-BR" w:eastAsia="x-none"/>
        </w:rPr>
        <w:t xml:space="preserve">ão envolveu </w:t>
      </w:r>
      <w:r w:rsidR="00506331" w:rsidRPr="00337743">
        <w:rPr>
          <w:rFonts w:ascii="Cambria" w:eastAsia="Calibri" w:hAnsi="Cambria"/>
          <w:sz w:val="20"/>
          <w:szCs w:val="20"/>
          <w:lang w:val="pt-BR" w:eastAsia="x-none"/>
        </w:rPr>
        <w:t xml:space="preserve">o </w:t>
      </w:r>
      <w:r w:rsidR="00A30AEE" w:rsidRPr="00337743">
        <w:rPr>
          <w:rFonts w:ascii="Cambria" w:eastAsia="Calibri" w:hAnsi="Cambria"/>
          <w:sz w:val="20"/>
          <w:szCs w:val="20"/>
          <w:lang w:val="pt-BR" w:eastAsia="x-none"/>
        </w:rPr>
        <w:t>uso de meios derivados</w:t>
      </w:r>
      <w:r w:rsidR="007707E3" w:rsidRPr="00337743">
        <w:rPr>
          <w:rFonts w:ascii="Cambria" w:eastAsia="Calibri" w:hAnsi="Cambria"/>
          <w:sz w:val="20"/>
          <w:szCs w:val="20"/>
          <w:lang w:val="pt-BR" w:eastAsia="x-none"/>
        </w:rPr>
        <w:t xml:space="preserve"> da </w:t>
      </w:r>
      <w:r w:rsidR="00A30AEE" w:rsidRPr="00337743">
        <w:rPr>
          <w:rFonts w:ascii="Cambria" w:eastAsia="Calibri" w:hAnsi="Cambria"/>
          <w:sz w:val="20"/>
          <w:szCs w:val="20"/>
          <w:lang w:val="pt-BR" w:eastAsia="x-none"/>
        </w:rPr>
        <w:t>fun</w:t>
      </w:r>
      <w:r w:rsidR="00350E7E" w:rsidRPr="00337743">
        <w:rPr>
          <w:rFonts w:ascii="Cambria" w:eastAsia="Calibri" w:hAnsi="Cambria"/>
          <w:sz w:val="20"/>
          <w:szCs w:val="20"/>
          <w:lang w:val="pt-BR" w:eastAsia="x-none"/>
        </w:rPr>
        <w:t>ção</w:t>
      </w:r>
      <w:r w:rsidR="00A30AEE" w:rsidRPr="00337743">
        <w:rPr>
          <w:rFonts w:ascii="Cambria" w:eastAsia="Calibri" w:hAnsi="Cambria"/>
          <w:sz w:val="20"/>
          <w:szCs w:val="20"/>
          <w:lang w:val="pt-BR" w:eastAsia="x-none"/>
        </w:rPr>
        <w:t xml:space="preserve"> oficial</w:t>
      </w:r>
      <w:r w:rsidR="007707E3" w:rsidRPr="00337743">
        <w:rPr>
          <w:rFonts w:ascii="Cambria" w:eastAsia="Calibri" w:hAnsi="Cambria"/>
          <w:sz w:val="20"/>
          <w:szCs w:val="20"/>
          <w:lang w:val="pt-BR" w:eastAsia="x-none"/>
        </w:rPr>
        <w:t xml:space="preserve"> do </w:t>
      </w:r>
      <w:r w:rsidRPr="00337743">
        <w:rPr>
          <w:rFonts w:ascii="Cambria" w:eastAsia="Calibri" w:hAnsi="Cambria"/>
          <w:sz w:val="20"/>
          <w:szCs w:val="20"/>
          <w:lang w:val="pt-BR" w:eastAsia="x-none"/>
        </w:rPr>
        <w:t>órgão</w:t>
      </w:r>
      <w:r w:rsidR="00A30AEE" w:rsidRPr="00337743">
        <w:rPr>
          <w:rFonts w:ascii="Cambria" w:eastAsia="Calibri" w:hAnsi="Cambria"/>
          <w:sz w:val="20"/>
          <w:szCs w:val="20"/>
          <w:lang w:val="pt-BR" w:eastAsia="x-none"/>
        </w:rPr>
        <w:t xml:space="preserve"> o</w:t>
      </w:r>
      <w:r w:rsidR="008E70E1"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agente</w:t>
      </w:r>
      <w:r w:rsidR="007707E3" w:rsidRPr="00337743">
        <w:rPr>
          <w:rFonts w:ascii="Cambria" w:eastAsia="Calibri" w:hAnsi="Cambria"/>
          <w:sz w:val="20"/>
          <w:szCs w:val="20"/>
          <w:lang w:val="pt-BR" w:eastAsia="x-none"/>
        </w:rPr>
        <w:t xml:space="preserve"> do </w:t>
      </w:r>
      <w:r w:rsidR="00A30AEE" w:rsidRPr="00337743">
        <w:rPr>
          <w:rFonts w:ascii="Cambria" w:eastAsia="Calibri" w:hAnsi="Cambria"/>
          <w:sz w:val="20"/>
          <w:szCs w:val="20"/>
          <w:lang w:val="pt-BR" w:eastAsia="x-none"/>
        </w:rPr>
        <w:t>Estado, inclu</w:t>
      </w:r>
      <w:r w:rsidR="008E70E1" w:rsidRPr="00337743">
        <w:rPr>
          <w:rFonts w:ascii="Cambria" w:eastAsia="Calibri" w:hAnsi="Cambria"/>
          <w:sz w:val="20"/>
          <w:szCs w:val="20"/>
          <w:lang w:val="pt-BR" w:eastAsia="x-none"/>
        </w:rPr>
        <w:t>s</w:t>
      </w:r>
      <w:r w:rsidR="00A30AEE" w:rsidRPr="00337743">
        <w:rPr>
          <w:rFonts w:ascii="Cambria" w:eastAsia="Calibri" w:hAnsi="Cambria"/>
          <w:sz w:val="20"/>
          <w:szCs w:val="20"/>
          <w:lang w:val="pt-BR" w:eastAsia="x-none"/>
        </w:rPr>
        <w:t>i</w:t>
      </w:r>
      <w:r w:rsidR="008E70E1" w:rsidRPr="00337743">
        <w:rPr>
          <w:rFonts w:ascii="Cambria" w:eastAsia="Calibri" w:hAnsi="Cambria"/>
          <w:sz w:val="20"/>
          <w:szCs w:val="20"/>
          <w:lang w:val="pt-BR" w:eastAsia="x-none"/>
        </w:rPr>
        <w:t>ve</w:t>
      </w:r>
      <w:r w:rsidR="00A30AEE" w:rsidRPr="00337743">
        <w:rPr>
          <w:rFonts w:ascii="Cambria" w:eastAsia="Calibri" w:hAnsi="Cambria"/>
          <w:sz w:val="20"/>
          <w:szCs w:val="20"/>
          <w:lang w:val="pt-BR" w:eastAsia="x-none"/>
        </w:rPr>
        <w:t xml:space="preserve"> poderes, meios, armas, equip</w:t>
      </w:r>
      <w:r w:rsidR="008E70E1" w:rsidRPr="00337743">
        <w:rPr>
          <w:rFonts w:ascii="Cambria" w:eastAsia="Calibri" w:hAnsi="Cambria"/>
          <w:sz w:val="20"/>
          <w:szCs w:val="20"/>
          <w:lang w:val="pt-BR" w:eastAsia="x-none"/>
        </w:rPr>
        <w:t>ament</w:t>
      </w:r>
      <w:r w:rsidR="00A30AEE" w:rsidRPr="00337743">
        <w:rPr>
          <w:rFonts w:ascii="Cambria" w:eastAsia="Calibri" w:hAnsi="Cambria"/>
          <w:sz w:val="20"/>
          <w:szCs w:val="20"/>
          <w:lang w:val="pt-BR" w:eastAsia="x-none"/>
        </w:rPr>
        <w:t>os e informa</w:t>
      </w:r>
      <w:r w:rsidR="00350E7E" w:rsidRPr="00337743">
        <w:rPr>
          <w:rFonts w:ascii="Cambria" w:eastAsia="Calibri" w:hAnsi="Cambria"/>
          <w:sz w:val="20"/>
          <w:szCs w:val="20"/>
          <w:lang w:val="pt-BR" w:eastAsia="x-none"/>
        </w:rPr>
        <w:t>ção</w:t>
      </w:r>
      <w:r w:rsidR="00A30AEE" w:rsidRPr="00337743">
        <w:rPr>
          <w:rStyle w:val="FootnoteReference"/>
          <w:rFonts w:ascii="Cambria" w:eastAsia="Calibri" w:hAnsi="Cambria"/>
          <w:sz w:val="20"/>
          <w:szCs w:val="20"/>
          <w:lang w:val="pt-BR" w:eastAsia="x-none"/>
        </w:rPr>
        <w:footnoteReference w:id="94"/>
      </w:r>
      <w:r w:rsidR="00A30AEE" w:rsidRPr="00337743">
        <w:rPr>
          <w:rFonts w:ascii="Cambria" w:eastAsia="Calibri" w:hAnsi="Cambria"/>
          <w:sz w:val="20"/>
          <w:szCs w:val="20"/>
          <w:lang w:val="pt-BR" w:eastAsia="x-none"/>
        </w:rPr>
        <w:t>; c)</w:t>
      </w:r>
      <w:r w:rsidR="00532720" w:rsidRPr="00337743">
        <w:rPr>
          <w:rFonts w:ascii="Cambria" w:eastAsia="Calibri" w:hAnsi="Cambria"/>
          <w:sz w:val="20"/>
          <w:szCs w:val="20"/>
          <w:lang w:val="pt-BR" w:eastAsia="x-none"/>
        </w:rPr>
        <w:t xml:space="preserve"> se </w:t>
      </w:r>
      <w:r w:rsidR="00A30AEE" w:rsidRPr="00337743">
        <w:rPr>
          <w:rFonts w:ascii="Cambria" w:eastAsia="Calibri" w:hAnsi="Cambria"/>
          <w:sz w:val="20"/>
          <w:szCs w:val="20"/>
          <w:lang w:val="pt-BR" w:eastAsia="x-none"/>
        </w:rPr>
        <w:t>era pro</w:t>
      </w:r>
      <w:r w:rsidR="008E70E1" w:rsidRPr="00337743">
        <w:rPr>
          <w:rFonts w:ascii="Cambria" w:eastAsia="Calibri" w:hAnsi="Cambria"/>
          <w:sz w:val="20"/>
          <w:szCs w:val="20"/>
          <w:lang w:val="pt-BR" w:eastAsia="x-none"/>
        </w:rPr>
        <w:t>vável</w:t>
      </w:r>
      <w:r w:rsidR="00A30AEE" w:rsidRPr="00337743">
        <w:rPr>
          <w:rFonts w:ascii="Cambria" w:eastAsia="Calibri" w:hAnsi="Cambria"/>
          <w:sz w:val="20"/>
          <w:szCs w:val="20"/>
          <w:lang w:val="pt-BR" w:eastAsia="x-none"/>
        </w:rPr>
        <w:t xml:space="preserve"> que</w:t>
      </w:r>
      <w:r w:rsidR="00506331" w:rsidRPr="00337743">
        <w:rPr>
          <w:rFonts w:ascii="Cambria" w:eastAsia="Calibri" w:hAnsi="Cambria"/>
          <w:sz w:val="20"/>
          <w:szCs w:val="20"/>
          <w:lang w:val="pt-BR" w:eastAsia="x-none"/>
        </w:rPr>
        <w:t xml:space="preserve"> o </w:t>
      </w:r>
      <w:r w:rsidR="00A30AEE" w:rsidRPr="00337743">
        <w:rPr>
          <w:rFonts w:ascii="Cambria" w:hAnsi="Cambria"/>
          <w:sz w:val="20"/>
          <w:szCs w:val="20"/>
          <w:lang w:val="pt-BR"/>
        </w:rPr>
        <w:t>público</w:t>
      </w:r>
      <w:r w:rsidR="00A30AEE" w:rsidRPr="00337743">
        <w:rPr>
          <w:rFonts w:ascii="Cambria" w:eastAsia="Calibri" w:hAnsi="Cambria"/>
          <w:sz w:val="20"/>
          <w:szCs w:val="20"/>
          <w:lang w:val="pt-BR" w:eastAsia="x-none"/>
        </w:rPr>
        <w:t>, inclu</w:t>
      </w:r>
      <w:r w:rsidR="008E70E1" w:rsidRPr="00337743">
        <w:rPr>
          <w:rFonts w:ascii="Cambria" w:eastAsia="Calibri" w:hAnsi="Cambria"/>
          <w:sz w:val="20"/>
          <w:szCs w:val="20"/>
          <w:lang w:val="pt-BR" w:eastAsia="x-none"/>
        </w:rPr>
        <w:t>sive a</w:t>
      </w:r>
      <w:r w:rsidR="00F453EB" w:rsidRPr="00337743">
        <w:rPr>
          <w:rFonts w:ascii="Cambria" w:eastAsia="Calibri" w:hAnsi="Cambria"/>
          <w:sz w:val="20"/>
          <w:szCs w:val="20"/>
          <w:lang w:val="pt-BR" w:eastAsia="x-none"/>
        </w:rPr>
        <w:t xml:space="preserve"> </w:t>
      </w:r>
      <w:r w:rsidR="00E01589" w:rsidRPr="00337743">
        <w:rPr>
          <w:rFonts w:ascii="Cambria" w:eastAsia="Calibri" w:hAnsi="Cambria"/>
          <w:sz w:val="20"/>
          <w:szCs w:val="20"/>
          <w:lang w:val="pt-BR" w:eastAsia="x-none"/>
        </w:rPr>
        <w:t>vítima</w:t>
      </w:r>
      <w:r w:rsidR="00A30AEE" w:rsidRPr="00337743">
        <w:rPr>
          <w:rFonts w:ascii="Cambria" w:eastAsia="Calibri" w:hAnsi="Cambria"/>
          <w:sz w:val="20"/>
          <w:szCs w:val="20"/>
          <w:lang w:val="pt-BR" w:eastAsia="x-none"/>
        </w:rPr>
        <w:t xml:space="preserve">, </w:t>
      </w:r>
      <w:r w:rsidRPr="00337743">
        <w:rPr>
          <w:rFonts w:ascii="Cambria" w:eastAsia="Calibri" w:hAnsi="Cambria"/>
          <w:sz w:val="20"/>
          <w:szCs w:val="20"/>
          <w:lang w:val="pt-BR" w:eastAsia="x-none"/>
        </w:rPr>
        <w:t>percebesse</w:t>
      </w:r>
      <w:r w:rsidR="00A30AEE" w:rsidRPr="00337743">
        <w:rPr>
          <w:rFonts w:ascii="Cambria" w:hAnsi="Cambria"/>
          <w:sz w:val="20"/>
          <w:szCs w:val="20"/>
          <w:lang w:val="pt-BR"/>
        </w:rPr>
        <w:t xml:space="preserve"> que</w:t>
      </w:r>
      <w:r w:rsidR="00506331" w:rsidRPr="00337743">
        <w:rPr>
          <w:rFonts w:ascii="Cambria" w:hAnsi="Cambria"/>
          <w:sz w:val="20"/>
          <w:szCs w:val="20"/>
          <w:lang w:val="pt-BR"/>
        </w:rPr>
        <w:t xml:space="preserve"> o </w:t>
      </w:r>
      <w:r w:rsidR="00295DAB" w:rsidRPr="00337743">
        <w:rPr>
          <w:rFonts w:ascii="Cambria" w:hAnsi="Cambria"/>
          <w:sz w:val="20"/>
          <w:szCs w:val="20"/>
          <w:lang w:val="pt-BR"/>
        </w:rPr>
        <w:t>órgão</w:t>
      </w:r>
      <w:r w:rsidR="00A30AEE" w:rsidRPr="00337743">
        <w:rPr>
          <w:rFonts w:ascii="Cambria" w:hAnsi="Cambria"/>
          <w:sz w:val="20"/>
          <w:szCs w:val="20"/>
          <w:lang w:val="pt-BR"/>
        </w:rPr>
        <w:t xml:space="preserve"> o</w:t>
      </w:r>
      <w:r w:rsidR="008E70E1" w:rsidRPr="00337743">
        <w:rPr>
          <w:rFonts w:ascii="Cambria" w:hAnsi="Cambria"/>
          <w:sz w:val="20"/>
          <w:szCs w:val="20"/>
          <w:lang w:val="pt-BR"/>
        </w:rPr>
        <w:t>u</w:t>
      </w:r>
      <w:r w:rsidR="00A30AEE" w:rsidRPr="00337743">
        <w:rPr>
          <w:rFonts w:ascii="Cambria" w:hAnsi="Cambria"/>
          <w:sz w:val="20"/>
          <w:szCs w:val="20"/>
          <w:lang w:val="pt-BR"/>
        </w:rPr>
        <w:t xml:space="preserve"> agente estatal </w:t>
      </w:r>
      <w:r w:rsidR="00295DAB" w:rsidRPr="00337743">
        <w:rPr>
          <w:rFonts w:ascii="Cambria" w:hAnsi="Cambria"/>
          <w:sz w:val="20"/>
          <w:szCs w:val="20"/>
          <w:lang w:val="pt-BR"/>
        </w:rPr>
        <w:t>atuava</w:t>
      </w:r>
      <w:r w:rsidR="00091880" w:rsidRPr="00337743">
        <w:rPr>
          <w:rFonts w:ascii="Cambria" w:hAnsi="Cambria"/>
          <w:sz w:val="20"/>
          <w:szCs w:val="20"/>
          <w:lang w:val="pt-BR"/>
        </w:rPr>
        <w:t xml:space="preserve"> </w:t>
      </w:r>
      <w:r w:rsidR="008E70E1" w:rsidRPr="00337743">
        <w:rPr>
          <w:rFonts w:ascii="Cambria" w:hAnsi="Cambria"/>
          <w:sz w:val="20"/>
          <w:szCs w:val="20"/>
          <w:lang w:val="pt-BR"/>
        </w:rPr>
        <w:t>nessa qu</w:t>
      </w:r>
      <w:r w:rsidR="00A30AEE" w:rsidRPr="00337743">
        <w:rPr>
          <w:rFonts w:ascii="Cambria" w:hAnsi="Cambria"/>
          <w:sz w:val="20"/>
          <w:szCs w:val="20"/>
          <w:lang w:val="pt-BR"/>
        </w:rPr>
        <w:t>ali</w:t>
      </w:r>
      <w:r w:rsidR="00350E7E" w:rsidRPr="00337743">
        <w:rPr>
          <w:rFonts w:ascii="Cambria" w:hAnsi="Cambria"/>
          <w:sz w:val="20"/>
          <w:szCs w:val="20"/>
          <w:lang w:val="pt-BR"/>
        </w:rPr>
        <w:t>dade</w:t>
      </w:r>
      <w:r w:rsidR="00A30AEE" w:rsidRPr="00337743">
        <w:rPr>
          <w:rFonts w:ascii="Cambria" w:hAnsi="Cambria"/>
          <w:sz w:val="20"/>
          <w:szCs w:val="20"/>
          <w:lang w:val="pt-BR"/>
        </w:rPr>
        <w:t>,</w:t>
      </w:r>
      <w:r w:rsidR="008E70E1" w:rsidRPr="00337743">
        <w:rPr>
          <w:rFonts w:ascii="Cambria" w:hAnsi="Cambria"/>
          <w:sz w:val="20"/>
          <w:szCs w:val="20"/>
          <w:lang w:val="pt-BR"/>
        </w:rPr>
        <w:t xml:space="preserve"> </w:t>
      </w:r>
      <w:r w:rsidR="00A30AEE" w:rsidRPr="00337743">
        <w:rPr>
          <w:rFonts w:ascii="Cambria" w:hAnsi="Cambria"/>
          <w:sz w:val="20"/>
          <w:szCs w:val="20"/>
          <w:lang w:val="pt-BR"/>
        </w:rPr>
        <w:t xml:space="preserve">o que </w:t>
      </w:r>
      <w:r w:rsidR="00295DAB" w:rsidRPr="00337743">
        <w:rPr>
          <w:rFonts w:ascii="Cambria" w:hAnsi="Cambria"/>
          <w:sz w:val="20"/>
          <w:szCs w:val="20"/>
          <w:lang w:val="pt-BR"/>
        </w:rPr>
        <w:t>pod</w:t>
      </w:r>
      <w:r w:rsidR="00A30AEE" w:rsidRPr="00337743">
        <w:rPr>
          <w:rFonts w:ascii="Cambria" w:hAnsi="Cambria"/>
          <w:sz w:val="20"/>
          <w:szCs w:val="20"/>
          <w:lang w:val="pt-BR"/>
        </w:rPr>
        <w:t xml:space="preserve">e </w:t>
      </w:r>
      <w:r w:rsidR="00295DAB" w:rsidRPr="00337743">
        <w:rPr>
          <w:rFonts w:ascii="Cambria" w:eastAsia="Calibri" w:hAnsi="Cambria"/>
          <w:sz w:val="20"/>
          <w:szCs w:val="20"/>
          <w:lang w:val="pt-BR" w:eastAsia="x-none"/>
        </w:rPr>
        <w:t>ocorrer</w:t>
      </w:r>
      <w:r w:rsidR="00A30AEE" w:rsidRPr="00337743">
        <w:rPr>
          <w:rFonts w:ascii="Cambria" w:eastAsia="Calibri" w:hAnsi="Cambria"/>
          <w:sz w:val="20"/>
          <w:szCs w:val="20"/>
          <w:lang w:val="pt-BR" w:eastAsia="x-none"/>
        </w:rPr>
        <w:t xml:space="preserve">, por </w:t>
      </w:r>
      <w:r w:rsidR="008E4939" w:rsidRPr="00337743">
        <w:rPr>
          <w:rFonts w:ascii="Cambria" w:eastAsia="Calibri" w:hAnsi="Cambria"/>
          <w:sz w:val="20"/>
          <w:szCs w:val="20"/>
          <w:lang w:val="pt-BR" w:eastAsia="x-none"/>
        </w:rPr>
        <w:t>exemplo</w:t>
      </w:r>
      <w:r w:rsidR="00A30AEE" w:rsidRPr="00337743">
        <w:rPr>
          <w:rFonts w:ascii="Cambria" w:eastAsia="Calibri" w:hAnsi="Cambria"/>
          <w:sz w:val="20"/>
          <w:szCs w:val="20"/>
          <w:lang w:val="pt-BR" w:eastAsia="x-none"/>
        </w:rPr>
        <w:t>,</w:t>
      </w:r>
      <w:r w:rsidR="00532720" w:rsidRPr="00337743">
        <w:rPr>
          <w:rFonts w:ascii="Cambria" w:hAnsi="Cambria"/>
          <w:sz w:val="20"/>
          <w:szCs w:val="20"/>
          <w:lang w:val="pt-BR"/>
        </w:rPr>
        <w:t xml:space="preserve"> se </w:t>
      </w:r>
      <w:r w:rsidR="00506331" w:rsidRPr="00337743">
        <w:rPr>
          <w:rFonts w:ascii="Cambria" w:hAnsi="Cambria"/>
          <w:sz w:val="20"/>
          <w:szCs w:val="20"/>
          <w:lang w:val="pt-BR"/>
        </w:rPr>
        <w:t xml:space="preserve">o </w:t>
      </w:r>
      <w:r w:rsidR="00295DAB" w:rsidRPr="00337743">
        <w:rPr>
          <w:rFonts w:ascii="Cambria" w:hAnsi="Cambria"/>
          <w:sz w:val="20"/>
          <w:szCs w:val="20"/>
          <w:lang w:val="pt-BR"/>
        </w:rPr>
        <w:t>órgão</w:t>
      </w:r>
      <w:r w:rsidR="00A30AEE" w:rsidRPr="00337743">
        <w:rPr>
          <w:rFonts w:ascii="Cambria" w:hAnsi="Cambria"/>
          <w:sz w:val="20"/>
          <w:szCs w:val="20"/>
          <w:lang w:val="pt-BR"/>
        </w:rPr>
        <w:t xml:space="preserve"> o</w:t>
      </w:r>
      <w:r w:rsidR="008E70E1" w:rsidRPr="00337743">
        <w:rPr>
          <w:rFonts w:ascii="Cambria" w:hAnsi="Cambria"/>
          <w:sz w:val="20"/>
          <w:szCs w:val="20"/>
          <w:lang w:val="pt-BR"/>
        </w:rPr>
        <w:t>u</w:t>
      </w:r>
      <w:r w:rsidR="00A30AEE" w:rsidRPr="00337743">
        <w:rPr>
          <w:rFonts w:ascii="Cambria" w:hAnsi="Cambria"/>
          <w:sz w:val="20"/>
          <w:szCs w:val="20"/>
          <w:lang w:val="pt-BR"/>
        </w:rPr>
        <w:t xml:space="preserve"> agente estatal </w:t>
      </w:r>
      <w:r w:rsidR="008E70E1" w:rsidRPr="00337743">
        <w:rPr>
          <w:rFonts w:ascii="Cambria" w:hAnsi="Cambria"/>
          <w:sz w:val="20"/>
          <w:szCs w:val="20"/>
          <w:lang w:val="pt-BR"/>
        </w:rPr>
        <w:t xml:space="preserve">vestia </w:t>
      </w:r>
      <w:r w:rsidR="00091880" w:rsidRPr="00337743">
        <w:rPr>
          <w:rFonts w:ascii="Cambria" w:hAnsi="Cambria"/>
          <w:sz w:val="20"/>
          <w:szCs w:val="20"/>
          <w:lang w:val="pt-BR"/>
        </w:rPr>
        <w:t xml:space="preserve">um </w:t>
      </w:r>
      <w:r w:rsidR="00A30AEE" w:rsidRPr="00337743">
        <w:rPr>
          <w:rFonts w:ascii="Cambria" w:hAnsi="Cambria"/>
          <w:sz w:val="20"/>
          <w:szCs w:val="20"/>
          <w:lang w:val="pt-BR"/>
        </w:rPr>
        <w:t>uniforme o</w:t>
      </w:r>
      <w:r w:rsidR="008E70E1" w:rsidRPr="00337743">
        <w:rPr>
          <w:rFonts w:ascii="Cambria" w:hAnsi="Cambria"/>
          <w:sz w:val="20"/>
          <w:szCs w:val="20"/>
          <w:lang w:val="pt-BR"/>
        </w:rPr>
        <w:t>u</w:t>
      </w:r>
      <w:r w:rsidR="00532720" w:rsidRPr="00337743">
        <w:rPr>
          <w:rFonts w:ascii="Cambria" w:hAnsi="Cambria"/>
          <w:sz w:val="20"/>
          <w:szCs w:val="20"/>
          <w:lang w:val="pt-BR"/>
        </w:rPr>
        <w:t xml:space="preserve"> se </w:t>
      </w:r>
      <w:r w:rsidR="00295DAB" w:rsidRPr="00337743">
        <w:rPr>
          <w:rFonts w:ascii="Cambria" w:hAnsi="Cambria"/>
          <w:sz w:val="20"/>
          <w:szCs w:val="20"/>
          <w:lang w:val="pt-BR"/>
        </w:rPr>
        <w:t>estava</w:t>
      </w:r>
      <w:r w:rsidR="00A30AEE" w:rsidRPr="00337743">
        <w:rPr>
          <w:rFonts w:ascii="Cambria" w:hAnsi="Cambria"/>
          <w:sz w:val="20"/>
          <w:szCs w:val="20"/>
          <w:lang w:val="pt-BR"/>
        </w:rPr>
        <w:t xml:space="preserve"> </w:t>
      </w:r>
      <w:r w:rsidR="008E70E1" w:rsidRPr="00337743">
        <w:rPr>
          <w:rFonts w:ascii="Cambria" w:hAnsi="Cambria"/>
          <w:sz w:val="20"/>
          <w:szCs w:val="20"/>
          <w:lang w:val="pt-BR"/>
        </w:rPr>
        <w:t xml:space="preserve">se </w:t>
      </w:r>
      <w:r w:rsidR="00A30AEE" w:rsidRPr="00337743">
        <w:rPr>
          <w:rFonts w:ascii="Cambria" w:hAnsi="Cambria"/>
          <w:sz w:val="20"/>
          <w:szCs w:val="20"/>
          <w:lang w:val="pt-BR"/>
        </w:rPr>
        <w:t>comportando como</w:t>
      </w:r>
      <w:r w:rsidR="00532720" w:rsidRPr="00337743">
        <w:rPr>
          <w:rFonts w:ascii="Cambria" w:hAnsi="Cambria"/>
          <w:sz w:val="20"/>
          <w:szCs w:val="20"/>
          <w:lang w:val="pt-BR"/>
        </w:rPr>
        <w:t xml:space="preserve"> se </w:t>
      </w:r>
      <w:r w:rsidR="00295DAB" w:rsidRPr="00337743">
        <w:rPr>
          <w:rFonts w:ascii="Cambria" w:hAnsi="Cambria"/>
          <w:sz w:val="20"/>
          <w:szCs w:val="20"/>
          <w:lang w:val="pt-BR"/>
        </w:rPr>
        <w:t>estivesse</w:t>
      </w:r>
      <w:r w:rsidR="00A30AEE" w:rsidRPr="00337743">
        <w:rPr>
          <w:rFonts w:ascii="Cambria" w:hAnsi="Cambria"/>
          <w:sz w:val="20"/>
          <w:szCs w:val="20"/>
          <w:lang w:val="pt-BR"/>
        </w:rPr>
        <w:t xml:space="preserve"> </w:t>
      </w:r>
      <w:r w:rsidR="008E4939" w:rsidRPr="00337743">
        <w:rPr>
          <w:rFonts w:ascii="Cambria" w:hAnsi="Cambria"/>
          <w:sz w:val="20"/>
          <w:szCs w:val="20"/>
          <w:lang w:val="pt-BR"/>
        </w:rPr>
        <w:t>atuando</w:t>
      </w:r>
      <w:r w:rsidR="00091880" w:rsidRPr="00337743">
        <w:rPr>
          <w:rFonts w:ascii="Cambria" w:hAnsi="Cambria"/>
          <w:sz w:val="20"/>
          <w:szCs w:val="20"/>
          <w:lang w:val="pt-BR"/>
        </w:rPr>
        <w:t xml:space="preserve"> </w:t>
      </w:r>
      <w:r w:rsidR="008E70E1" w:rsidRPr="00337743">
        <w:rPr>
          <w:rFonts w:ascii="Cambria" w:hAnsi="Cambria"/>
          <w:sz w:val="20"/>
          <w:szCs w:val="20"/>
          <w:lang w:val="pt-BR"/>
        </w:rPr>
        <w:t>na</w:t>
      </w:r>
      <w:r w:rsidR="00A30AEE" w:rsidRPr="00337743">
        <w:rPr>
          <w:rFonts w:ascii="Cambria" w:hAnsi="Cambria"/>
          <w:sz w:val="20"/>
          <w:szCs w:val="20"/>
          <w:lang w:val="pt-BR"/>
        </w:rPr>
        <w:t xml:space="preserve"> </w:t>
      </w:r>
      <w:r w:rsidR="008E70E1" w:rsidRPr="00337743">
        <w:rPr>
          <w:rFonts w:ascii="Cambria" w:hAnsi="Cambria"/>
          <w:sz w:val="20"/>
          <w:szCs w:val="20"/>
          <w:lang w:val="pt-BR"/>
        </w:rPr>
        <w:t>qu</w:t>
      </w:r>
      <w:r w:rsidR="00A30AEE" w:rsidRPr="00337743">
        <w:rPr>
          <w:rFonts w:ascii="Cambria" w:hAnsi="Cambria"/>
          <w:sz w:val="20"/>
          <w:szCs w:val="20"/>
          <w:lang w:val="pt-BR"/>
        </w:rPr>
        <w:t>ali</w:t>
      </w:r>
      <w:r w:rsidR="00350E7E" w:rsidRPr="00337743">
        <w:rPr>
          <w:rFonts w:ascii="Cambria" w:hAnsi="Cambria"/>
          <w:sz w:val="20"/>
          <w:szCs w:val="20"/>
          <w:lang w:val="pt-BR"/>
        </w:rPr>
        <w:t xml:space="preserve">dade </w:t>
      </w:r>
      <w:r w:rsidR="00A30AEE" w:rsidRPr="00337743">
        <w:rPr>
          <w:rFonts w:ascii="Cambria" w:hAnsi="Cambria"/>
          <w:sz w:val="20"/>
          <w:szCs w:val="20"/>
          <w:lang w:val="pt-BR"/>
        </w:rPr>
        <w:t xml:space="preserve">de </w:t>
      </w:r>
      <w:r w:rsidR="00295DAB" w:rsidRPr="00337743">
        <w:rPr>
          <w:rFonts w:ascii="Cambria" w:hAnsi="Cambria"/>
          <w:sz w:val="20"/>
          <w:szCs w:val="20"/>
          <w:lang w:val="pt-BR"/>
        </w:rPr>
        <w:t>funcionário</w:t>
      </w:r>
      <w:r w:rsidR="00A30AEE" w:rsidRPr="00337743">
        <w:rPr>
          <w:rStyle w:val="FootnoteReference"/>
          <w:rFonts w:ascii="Cambria" w:hAnsi="Cambria"/>
          <w:sz w:val="20"/>
          <w:szCs w:val="20"/>
          <w:lang w:val="pt-BR"/>
        </w:rPr>
        <w:footnoteReference w:id="95"/>
      </w:r>
      <w:r w:rsidR="00A30AEE" w:rsidRPr="00337743">
        <w:rPr>
          <w:rFonts w:ascii="Cambria" w:hAnsi="Cambria"/>
          <w:sz w:val="20"/>
          <w:szCs w:val="20"/>
          <w:lang w:val="pt-BR"/>
        </w:rPr>
        <w:t xml:space="preserve">. Por </w:t>
      </w:r>
      <w:r w:rsidR="00E81481" w:rsidRPr="00337743">
        <w:rPr>
          <w:rFonts w:ascii="Cambria" w:hAnsi="Cambria"/>
          <w:sz w:val="20"/>
          <w:szCs w:val="20"/>
          <w:lang w:val="pt-BR"/>
        </w:rPr>
        <w:t>outr</w:t>
      </w:r>
      <w:r w:rsidR="008E70E1" w:rsidRPr="00337743">
        <w:rPr>
          <w:rFonts w:ascii="Cambria" w:hAnsi="Cambria"/>
          <w:sz w:val="20"/>
          <w:szCs w:val="20"/>
          <w:lang w:val="pt-BR"/>
        </w:rPr>
        <w:t xml:space="preserve">o lado, </w:t>
      </w:r>
      <w:r w:rsidR="00506331" w:rsidRPr="00337743">
        <w:rPr>
          <w:rFonts w:ascii="Cambria" w:hAnsi="Cambria"/>
          <w:sz w:val="20"/>
          <w:szCs w:val="20"/>
          <w:lang w:val="pt-BR"/>
        </w:rPr>
        <w:t xml:space="preserve">a </w:t>
      </w:r>
      <w:r w:rsidR="00A30AEE" w:rsidRPr="00337743">
        <w:rPr>
          <w:rFonts w:ascii="Cambria" w:hAnsi="Cambria"/>
          <w:sz w:val="20"/>
          <w:szCs w:val="20"/>
          <w:lang w:val="pt-BR"/>
        </w:rPr>
        <w:t>motiva</w:t>
      </w:r>
      <w:r w:rsidR="00350E7E" w:rsidRPr="00337743">
        <w:rPr>
          <w:rFonts w:ascii="Cambria" w:hAnsi="Cambria"/>
          <w:sz w:val="20"/>
          <w:szCs w:val="20"/>
          <w:lang w:val="pt-BR"/>
        </w:rPr>
        <w:t>ção</w:t>
      </w:r>
      <w:r w:rsidR="007707E3" w:rsidRPr="00337743">
        <w:rPr>
          <w:rFonts w:ascii="Cambria" w:hAnsi="Cambria"/>
          <w:sz w:val="20"/>
          <w:szCs w:val="20"/>
          <w:lang w:val="pt-BR"/>
        </w:rPr>
        <w:t xml:space="preserve"> da </w:t>
      </w:r>
      <w:r w:rsidR="00295DAB" w:rsidRPr="00337743">
        <w:rPr>
          <w:rFonts w:ascii="Cambria" w:hAnsi="Cambria"/>
          <w:sz w:val="20"/>
          <w:szCs w:val="20"/>
          <w:lang w:val="pt-BR"/>
        </w:rPr>
        <w:t>conduta</w:t>
      </w:r>
      <w:r w:rsidR="007707E3" w:rsidRPr="00337743">
        <w:rPr>
          <w:rFonts w:ascii="Cambria" w:hAnsi="Cambria"/>
          <w:sz w:val="20"/>
          <w:szCs w:val="20"/>
          <w:lang w:val="pt-BR"/>
        </w:rPr>
        <w:t xml:space="preserve"> da </w:t>
      </w:r>
      <w:r w:rsidR="008E70E1" w:rsidRPr="00337743">
        <w:rPr>
          <w:rFonts w:ascii="Cambria" w:hAnsi="Cambria"/>
          <w:sz w:val="20"/>
          <w:szCs w:val="20"/>
          <w:lang w:val="pt-BR"/>
        </w:rPr>
        <w:t>pessoa</w:t>
      </w:r>
      <w:r w:rsidR="00A30AEE" w:rsidRPr="00337743">
        <w:rPr>
          <w:rFonts w:ascii="Cambria" w:hAnsi="Cambria"/>
          <w:sz w:val="20"/>
          <w:szCs w:val="20"/>
          <w:lang w:val="pt-BR"/>
        </w:rPr>
        <w:t xml:space="preserve"> p</w:t>
      </w:r>
      <w:r w:rsidR="008E70E1" w:rsidRPr="00337743">
        <w:rPr>
          <w:rFonts w:ascii="Cambria" w:hAnsi="Cambria"/>
          <w:sz w:val="20"/>
          <w:szCs w:val="20"/>
          <w:lang w:val="pt-BR"/>
        </w:rPr>
        <w:t>o</w:t>
      </w:r>
      <w:r w:rsidR="00A30AEE" w:rsidRPr="00337743">
        <w:rPr>
          <w:rFonts w:ascii="Cambria" w:hAnsi="Cambria"/>
          <w:sz w:val="20"/>
          <w:szCs w:val="20"/>
          <w:lang w:val="pt-BR"/>
        </w:rPr>
        <w:t>de ser indicativ</w:t>
      </w:r>
      <w:r w:rsidR="008E70E1" w:rsidRPr="00337743">
        <w:rPr>
          <w:rFonts w:ascii="Cambria" w:hAnsi="Cambria"/>
          <w:sz w:val="20"/>
          <w:szCs w:val="20"/>
          <w:lang w:val="pt-BR"/>
        </w:rPr>
        <w:t>a</w:t>
      </w:r>
      <w:r w:rsidR="007707E3" w:rsidRPr="00337743">
        <w:rPr>
          <w:rFonts w:ascii="Cambria" w:hAnsi="Cambria"/>
          <w:sz w:val="20"/>
          <w:szCs w:val="20"/>
          <w:lang w:val="pt-BR"/>
        </w:rPr>
        <w:t xml:space="preserve"> do </w:t>
      </w:r>
      <w:r w:rsidR="00A30AEE" w:rsidRPr="00337743">
        <w:rPr>
          <w:rFonts w:ascii="Cambria" w:hAnsi="Cambria"/>
          <w:sz w:val="20"/>
          <w:szCs w:val="20"/>
          <w:lang w:val="pt-BR"/>
        </w:rPr>
        <w:t>caráter privado o</w:t>
      </w:r>
      <w:r w:rsidR="008E70E1" w:rsidRPr="00337743">
        <w:rPr>
          <w:rFonts w:ascii="Cambria" w:hAnsi="Cambria"/>
          <w:sz w:val="20"/>
          <w:szCs w:val="20"/>
          <w:lang w:val="pt-BR"/>
        </w:rPr>
        <w:t>u</w:t>
      </w:r>
      <w:r w:rsidR="00091880" w:rsidRPr="00337743">
        <w:rPr>
          <w:rFonts w:ascii="Cambria" w:hAnsi="Cambria"/>
          <w:sz w:val="20"/>
          <w:szCs w:val="20"/>
          <w:lang w:val="pt-BR"/>
        </w:rPr>
        <w:t xml:space="preserve"> não </w:t>
      </w:r>
      <w:r w:rsidR="007707E3" w:rsidRPr="00337743">
        <w:rPr>
          <w:rFonts w:ascii="Cambria" w:hAnsi="Cambria"/>
          <w:sz w:val="20"/>
          <w:szCs w:val="20"/>
          <w:lang w:val="pt-BR"/>
        </w:rPr>
        <w:t xml:space="preserve">do </w:t>
      </w:r>
      <w:r w:rsidR="00295DAB" w:rsidRPr="00337743">
        <w:rPr>
          <w:rFonts w:ascii="Cambria" w:hAnsi="Cambria"/>
          <w:sz w:val="20"/>
          <w:szCs w:val="20"/>
          <w:lang w:val="pt-BR"/>
        </w:rPr>
        <w:t>ato</w:t>
      </w:r>
      <w:r w:rsidR="00A30AEE" w:rsidRPr="00337743">
        <w:rPr>
          <w:rFonts w:ascii="Cambria" w:hAnsi="Cambria"/>
          <w:sz w:val="20"/>
          <w:szCs w:val="20"/>
          <w:lang w:val="pt-BR"/>
        </w:rPr>
        <w:t xml:space="preserve"> </w:t>
      </w:r>
      <w:r w:rsidR="008E4939" w:rsidRPr="00337743">
        <w:rPr>
          <w:rFonts w:ascii="Cambria" w:hAnsi="Cambria"/>
          <w:sz w:val="20"/>
          <w:szCs w:val="20"/>
          <w:lang w:val="pt-BR"/>
        </w:rPr>
        <w:t>quando</w:t>
      </w:r>
      <w:r w:rsidR="00091880" w:rsidRPr="00337743">
        <w:rPr>
          <w:rFonts w:ascii="Cambria" w:hAnsi="Cambria"/>
          <w:sz w:val="20"/>
          <w:szCs w:val="20"/>
          <w:lang w:val="pt-BR"/>
        </w:rPr>
        <w:t xml:space="preserve"> não </w:t>
      </w:r>
      <w:r w:rsidR="00A30AEE" w:rsidRPr="00337743">
        <w:rPr>
          <w:rFonts w:ascii="Cambria" w:hAnsi="Cambria"/>
          <w:sz w:val="20"/>
          <w:szCs w:val="20"/>
          <w:lang w:val="pt-BR"/>
        </w:rPr>
        <w:t>h</w:t>
      </w:r>
      <w:r w:rsidR="008E70E1" w:rsidRPr="00337743">
        <w:rPr>
          <w:rFonts w:ascii="Cambria" w:hAnsi="Cambria"/>
          <w:sz w:val="20"/>
          <w:szCs w:val="20"/>
          <w:lang w:val="pt-BR"/>
        </w:rPr>
        <w:t>á</w:t>
      </w:r>
      <w:r w:rsidR="00A30AEE" w:rsidRPr="00337743">
        <w:rPr>
          <w:rFonts w:ascii="Cambria" w:hAnsi="Cambria"/>
          <w:sz w:val="20"/>
          <w:szCs w:val="20"/>
          <w:lang w:val="pt-BR"/>
        </w:rPr>
        <w:t xml:space="preserve"> </w:t>
      </w:r>
      <w:r w:rsidR="00E81481" w:rsidRPr="00337743">
        <w:rPr>
          <w:rFonts w:ascii="Cambria" w:hAnsi="Cambria"/>
          <w:sz w:val="20"/>
          <w:szCs w:val="20"/>
          <w:lang w:val="pt-BR"/>
        </w:rPr>
        <w:t>outr</w:t>
      </w:r>
      <w:r w:rsidR="00A30AEE" w:rsidRPr="00337743">
        <w:rPr>
          <w:rFonts w:ascii="Cambria" w:hAnsi="Cambria"/>
          <w:sz w:val="20"/>
          <w:szCs w:val="20"/>
          <w:lang w:val="pt-BR"/>
        </w:rPr>
        <w:t xml:space="preserve">os elementos que </w:t>
      </w:r>
      <w:r w:rsidR="00295DAB" w:rsidRPr="00337743">
        <w:rPr>
          <w:rFonts w:ascii="Cambria" w:hAnsi="Cambria"/>
          <w:sz w:val="20"/>
          <w:szCs w:val="20"/>
          <w:lang w:val="pt-BR"/>
        </w:rPr>
        <w:t>permitam</w:t>
      </w:r>
      <w:r w:rsidR="00A30AEE" w:rsidRPr="00337743">
        <w:rPr>
          <w:rFonts w:ascii="Cambria" w:hAnsi="Cambria"/>
          <w:sz w:val="20"/>
          <w:szCs w:val="20"/>
          <w:lang w:val="pt-BR"/>
        </w:rPr>
        <w:t xml:space="preserve"> inferir que se trata de</w:t>
      </w:r>
      <w:r w:rsidR="00091880" w:rsidRPr="00337743">
        <w:rPr>
          <w:rFonts w:ascii="Cambria" w:hAnsi="Cambria"/>
          <w:sz w:val="20"/>
          <w:szCs w:val="20"/>
          <w:lang w:val="pt-BR"/>
        </w:rPr>
        <w:t xml:space="preserve"> um </w:t>
      </w:r>
      <w:r w:rsidR="00295DAB" w:rsidRPr="00337743">
        <w:rPr>
          <w:rFonts w:ascii="Cambria" w:hAnsi="Cambria"/>
          <w:sz w:val="20"/>
          <w:szCs w:val="20"/>
          <w:lang w:val="pt-BR"/>
        </w:rPr>
        <w:t>ato</w:t>
      </w:r>
      <w:r w:rsidR="00A30AEE" w:rsidRPr="00337743">
        <w:rPr>
          <w:rFonts w:ascii="Cambria" w:hAnsi="Cambria"/>
          <w:sz w:val="20"/>
          <w:szCs w:val="20"/>
          <w:lang w:val="pt-BR"/>
        </w:rPr>
        <w:t xml:space="preserve"> ultra vires</w:t>
      </w:r>
      <w:r w:rsidR="00A30AEE" w:rsidRPr="00337743">
        <w:rPr>
          <w:rStyle w:val="FootnoteReference"/>
          <w:rFonts w:ascii="Cambria" w:hAnsi="Cambria"/>
          <w:sz w:val="20"/>
          <w:szCs w:val="20"/>
          <w:lang w:val="pt-BR"/>
        </w:rPr>
        <w:footnoteReference w:id="96"/>
      </w:r>
      <w:r w:rsidR="00A30AEE" w:rsidRPr="00337743">
        <w:rPr>
          <w:rFonts w:ascii="Cambria" w:hAnsi="Cambria"/>
          <w:sz w:val="20"/>
          <w:szCs w:val="20"/>
          <w:lang w:val="pt-BR"/>
        </w:rPr>
        <w:t>, o</w:t>
      </w:r>
      <w:r w:rsidR="008E70E1" w:rsidRPr="00337743">
        <w:rPr>
          <w:rFonts w:ascii="Cambria" w:hAnsi="Cambria"/>
          <w:sz w:val="20"/>
          <w:szCs w:val="20"/>
          <w:lang w:val="pt-BR"/>
        </w:rPr>
        <w:t>u</w:t>
      </w:r>
      <w:r w:rsidR="00A30AEE" w:rsidRPr="00337743">
        <w:rPr>
          <w:rFonts w:ascii="Cambria" w:hAnsi="Cambria"/>
          <w:sz w:val="20"/>
          <w:szCs w:val="20"/>
          <w:lang w:val="pt-BR"/>
        </w:rPr>
        <w:t xml:space="preserve"> </w:t>
      </w:r>
      <w:r w:rsidR="00295DAB" w:rsidRPr="00337743">
        <w:rPr>
          <w:rFonts w:ascii="Cambria" w:hAnsi="Cambria"/>
          <w:sz w:val="20"/>
          <w:szCs w:val="20"/>
          <w:lang w:val="pt-BR"/>
        </w:rPr>
        <w:t>também</w:t>
      </w:r>
      <w:r w:rsidR="00532720" w:rsidRPr="00337743">
        <w:rPr>
          <w:rFonts w:ascii="Cambria" w:hAnsi="Cambria"/>
          <w:sz w:val="20"/>
          <w:szCs w:val="20"/>
          <w:lang w:val="pt-BR"/>
        </w:rPr>
        <w:t xml:space="preserve"> se </w:t>
      </w:r>
      <w:r w:rsidR="00506331" w:rsidRPr="00337743">
        <w:rPr>
          <w:rFonts w:ascii="Cambria" w:hAnsi="Cambria"/>
          <w:sz w:val="20"/>
          <w:szCs w:val="20"/>
          <w:lang w:val="pt-BR"/>
        </w:rPr>
        <w:t xml:space="preserve">o </w:t>
      </w:r>
      <w:r w:rsidR="00A30AEE" w:rsidRPr="00337743">
        <w:rPr>
          <w:rFonts w:ascii="Cambria" w:hAnsi="Cambria"/>
          <w:sz w:val="20"/>
          <w:szCs w:val="20"/>
          <w:lang w:val="pt-BR"/>
        </w:rPr>
        <w:t>Estado t</w:t>
      </w:r>
      <w:r w:rsidR="008E70E1" w:rsidRPr="00337743">
        <w:rPr>
          <w:rFonts w:ascii="Cambria" w:hAnsi="Cambria"/>
          <w:sz w:val="20"/>
          <w:szCs w:val="20"/>
          <w:lang w:val="pt-BR"/>
        </w:rPr>
        <w:t>em</w:t>
      </w:r>
      <w:r w:rsidR="00A30AEE" w:rsidRPr="00337743">
        <w:rPr>
          <w:rFonts w:ascii="Cambria" w:hAnsi="Cambria"/>
          <w:sz w:val="20"/>
          <w:szCs w:val="20"/>
          <w:lang w:val="pt-BR"/>
        </w:rPr>
        <w:t xml:space="preserve"> o</w:t>
      </w:r>
      <w:r w:rsidR="008E70E1" w:rsidRPr="00337743">
        <w:rPr>
          <w:rFonts w:ascii="Cambria" w:hAnsi="Cambria"/>
          <w:sz w:val="20"/>
          <w:szCs w:val="20"/>
          <w:lang w:val="pt-BR"/>
        </w:rPr>
        <w:t>u</w:t>
      </w:r>
      <w:r w:rsidR="00091880" w:rsidRPr="00337743">
        <w:rPr>
          <w:rFonts w:ascii="Cambria" w:hAnsi="Cambria"/>
          <w:sz w:val="20"/>
          <w:szCs w:val="20"/>
          <w:lang w:val="pt-BR"/>
        </w:rPr>
        <w:t xml:space="preserve"> não </w:t>
      </w:r>
      <w:r w:rsidR="00A30AEE" w:rsidRPr="00337743">
        <w:rPr>
          <w:rFonts w:ascii="Cambria" w:hAnsi="Cambria"/>
          <w:sz w:val="20"/>
          <w:szCs w:val="20"/>
          <w:lang w:val="pt-BR"/>
        </w:rPr>
        <w:t xml:space="preserve">poderes de </w:t>
      </w:r>
      <w:r w:rsidR="00295DAB" w:rsidRPr="00337743">
        <w:rPr>
          <w:rFonts w:ascii="Cambria" w:hAnsi="Cambria"/>
          <w:sz w:val="20"/>
          <w:szCs w:val="20"/>
          <w:lang w:val="pt-BR"/>
        </w:rPr>
        <w:t>controle</w:t>
      </w:r>
      <w:r w:rsidR="00A30AEE" w:rsidRPr="00337743">
        <w:rPr>
          <w:rFonts w:ascii="Cambria" w:hAnsi="Cambria"/>
          <w:sz w:val="20"/>
          <w:szCs w:val="20"/>
          <w:lang w:val="pt-BR"/>
        </w:rPr>
        <w:t xml:space="preserve"> sobre</w:t>
      </w:r>
      <w:r w:rsidR="00506331" w:rsidRPr="00337743">
        <w:rPr>
          <w:rFonts w:ascii="Cambria" w:hAnsi="Cambria"/>
          <w:sz w:val="20"/>
          <w:szCs w:val="20"/>
          <w:lang w:val="pt-BR"/>
        </w:rPr>
        <w:t xml:space="preserve"> o </w:t>
      </w:r>
      <w:r w:rsidR="00A30AEE" w:rsidRPr="00337743">
        <w:rPr>
          <w:rFonts w:ascii="Cambria" w:hAnsi="Cambria"/>
          <w:sz w:val="20"/>
          <w:szCs w:val="20"/>
          <w:lang w:val="pt-BR"/>
        </w:rPr>
        <w:t>agente o</w:t>
      </w:r>
      <w:r w:rsidR="008E70E1" w:rsidRPr="00337743">
        <w:rPr>
          <w:rFonts w:ascii="Cambria" w:hAnsi="Cambria"/>
          <w:sz w:val="20"/>
          <w:szCs w:val="20"/>
          <w:lang w:val="pt-BR"/>
        </w:rPr>
        <w:t>u</w:t>
      </w:r>
      <w:r w:rsidR="00A30AEE" w:rsidRPr="00337743">
        <w:rPr>
          <w:rFonts w:ascii="Cambria" w:hAnsi="Cambria"/>
          <w:sz w:val="20"/>
          <w:szCs w:val="20"/>
          <w:lang w:val="pt-BR"/>
        </w:rPr>
        <w:t xml:space="preserve"> para emitir instru</w:t>
      </w:r>
      <w:r w:rsidR="007707E3" w:rsidRPr="00337743">
        <w:rPr>
          <w:rFonts w:ascii="Cambria" w:hAnsi="Cambria"/>
          <w:sz w:val="20"/>
          <w:szCs w:val="20"/>
          <w:lang w:val="pt-BR"/>
        </w:rPr>
        <w:t>ç</w:t>
      </w:r>
      <w:r w:rsidR="00350E7E" w:rsidRPr="00337743">
        <w:rPr>
          <w:rFonts w:ascii="Cambria" w:hAnsi="Cambria"/>
          <w:sz w:val="20"/>
          <w:szCs w:val="20"/>
          <w:lang w:val="pt-BR"/>
        </w:rPr>
        <w:t>ões</w:t>
      </w:r>
      <w:r w:rsidR="00A30AEE" w:rsidRPr="00337743">
        <w:rPr>
          <w:rFonts w:ascii="Cambria" w:hAnsi="Cambria"/>
          <w:sz w:val="20"/>
          <w:szCs w:val="20"/>
          <w:lang w:val="pt-BR"/>
        </w:rPr>
        <w:t xml:space="preserve"> a </w:t>
      </w:r>
      <w:r w:rsidR="00295DAB" w:rsidRPr="00337743">
        <w:rPr>
          <w:rFonts w:ascii="Cambria" w:hAnsi="Cambria"/>
          <w:sz w:val="20"/>
          <w:szCs w:val="20"/>
          <w:lang w:val="pt-BR"/>
        </w:rPr>
        <w:t>essa</w:t>
      </w:r>
      <w:r w:rsidR="00A30AEE" w:rsidRPr="00337743">
        <w:rPr>
          <w:rFonts w:ascii="Cambria" w:hAnsi="Cambria"/>
          <w:sz w:val="20"/>
          <w:szCs w:val="20"/>
          <w:lang w:val="pt-BR"/>
        </w:rPr>
        <w:t xml:space="preserve"> </w:t>
      </w:r>
      <w:r w:rsidR="008E70E1" w:rsidRPr="00337743">
        <w:rPr>
          <w:rFonts w:ascii="Cambria" w:hAnsi="Cambria"/>
          <w:sz w:val="20"/>
          <w:szCs w:val="20"/>
          <w:lang w:val="pt-BR"/>
        </w:rPr>
        <w:t>pessoa</w:t>
      </w:r>
      <w:r w:rsidR="00A30AEE" w:rsidRPr="00337743">
        <w:rPr>
          <w:rFonts w:ascii="Cambria" w:hAnsi="Cambria"/>
          <w:sz w:val="20"/>
          <w:szCs w:val="20"/>
          <w:lang w:val="pt-BR"/>
        </w:rPr>
        <w:t xml:space="preserve">. Finalmente, como </w:t>
      </w:r>
      <w:r w:rsidR="008E70E1" w:rsidRPr="00337743">
        <w:rPr>
          <w:rFonts w:ascii="Cambria" w:hAnsi="Cambria"/>
          <w:sz w:val="20"/>
          <w:szCs w:val="20"/>
          <w:lang w:val="pt-BR"/>
        </w:rPr>
        <w:t xml:space="preserve">assinalam </w:t>
      </w:r>
      <w:r w:rsidR="007707E3" w:rsidRPr="00337743">
        <w:rPr>
          <w:rFonts w:ascii="Cambria" w:hAnsi="Cambria"/>
          <w:sz w:val="20"/>
          <w:szCs w:val="20"/>
          <w:lang w:val="pt-BR"/>
        </w:rPr>
        <w:t xml:space="preserve">os </w:t>
      </w:r>
      <w:r w:rsidR="00295DAB" w:rsidRPr="00337743">
        <w:rPr>
          <w:rFonts w:ascii="Cambria" w:hAnsi="Cambria"/>
          <w:sz w:val="20"/>
          <w:szCs w:val="20"/>
          <w:lang w:val="pt-BR"/>
        </w:rPr>
        <w:t>comentários</w:t>
      </w:r>
      <w:r w:rsidR="00F453EB" w:rsidRPr="00337743">
        <w:rPr>
          <w:rFonts w:ascii="Cambria" w:hAnsi="Cambria"/>
          <w:sz w:val="20"/>
          <w:szCs w:val="20"/>
          <w:lang w:val="pt-BR"/>
        </w:rPr>
        <w:t xml:space="preserve"> aos </w:t>
      </w:r>
      <w:r w:rsidR="00091880" w:rsidRPr="00337743">
        <w:rPr>
          <w:rFonts w:ascii="Cambria" w:hAnsi="Cambria"/>
          <w:sz w:val="20"/>
          <w:szCs w:val="20"/>
          <w:lang w:val="pt-BR"/>
        </w:rPr>
        <w:t>artigo</w:t>
      </w:r>
      <w:r w:rsidR="00A30AEE" w:rsidRPr="00337743">
        <w:rPr>
          <w:rFonts w:ascii="Cambria" w:hAnsi="Cambria"/>
          <w:sz w:val="20"/>
          <w:szCs w:val="20"/>
          <w:lang w:val="pt-BR"/>
        </w:rPr>
        <w:t>s sobre Responsabili</w:t>
      </w:r>
      <w:r w:rsidR="00350E7E" w:rsidRPr="00337743">
        <w:rPr>
          <w:rFonts w:ascii="Cambria" w:hAnsi="Cambria"/>
          <w:sz w:val="20"/>
          <w:szCs w:val="20"/>
          <w:lang w:val="pt-BR"/>
        </w:rPr>
        <w:t>dade</w:t>
      </w:r>
      <w:r w:rsidR="007707E3" w:rsidRPr="00337743">
        <w:rPr>
          <w:rFonts w:ascii="Cambria" w:hAnsi="Cambria"/>
          <w:sz w:val="20"/>
          <w:szCs w:val="20"/>
          <w:lang w:val="pt-BR"/>
        </w:rPr>
        <w:t xml:space="preserve"> do </w:t>
      </w:r>
      <w:r w:rsidR="00A30AEE" w:rsidRPr="00337743">
        <w:rPr>
          <w:rFonts w:ascii="Cambria" w:hAnsi="Cambria"/>
          <w:sz w:val="20"/>
          <w:szCs w:val="20"/>
          <w:lang w:val="pt-BR"/>
        </w:rPr>
        <w:t xml:space="preserve">Estado por </w:t>
      </w:r>
      <w:r w:rsidR="008E3049" w:rsidRPr="00337743">
        <w:rPr>
          <w:rFonts w:ascii="Cambria" w:hAnsi="Cambria"/>
          <w:sz w:val="20"/>
          <w:szCs w:val="20"/>
          <w:lang w:val="pt-BR"/>
        </w:rPr>
        <w:t>ato</w:t>
      </w:r>
      <w:r w:rsidR="00A30AEE" w:rsidRPr="00337743">
        <w:rPr>
          <w:rFonts w:ascii="Cambria" w:hAnsi="Cambria"/>
          <w:sz w:val="20"/>
          <w:szCs w:val="20"/>
          <w:lang w:val="pt-BR"/>
        </w:rPr>
        <w:t>s internacionalmente ilícitos,</w:t>
      </w:r>
      <w:r w:rsidR="00506331" w:rsidRPr="00337743">
        <w:rPr>
          <w:rFonts w:ascii="Cambria" w:hAnsi="Cambria"/>
          <w:sz w:val="20"/>
          <w:szCs w:val="20"/>
          <w:lang w:val="pt-BR"/>
        </w:rPr>
        <w:t xml:space="preserve"> a </w:t>
      </w:r>
      <w:r w:rsidR="00295DAB" w:rsidRPr="00337743">
        <w:rPr>
          <w:rFonts w:ascii="Cambria" w:eastAsia="Calibri" w:hAnsi="Cambria"/>
          <w:sz w:val="20"/>
          <w:szCs w:val="20"/>
          <w:lang w:val="pt-BR" w:eastAsia="x-none"/>
        </w:rPr>
        <w:t>divisória</w:t>
      </w:r>
      <w:r w:rsidR="00A30AEE" w:rsidRPr="00337743">
        <w:rPr>
          <w:rFonts w:ascii="Cambria" w:eastAsia="Calibri" w:hAnsi="Cambria"/>
          <w:sz w:val="20"/>
          <w:szCs w:val="20"/>
          <w:lang w:val="pt-BR" w:eastAsia="x-none"/>
        </w:rPr>
        <w:t xml:space="preserve"> entre</w:t>
      </w:r>
      <w:r w:rsidR="00091880" w:rsidRPr="00337743">
        <w:rPr>
          <w:rFonts w:ascii="Cambria" w:eastAsia="Calibri" w:hAnsi="Cambria"/>
          <w:sz w:val="20"/>
          <w:szCs w:val="20"/>
          <w:lang w:val="pt-BR" w:eastAsia="x-none"/>
        </w:rPr>
        <w:t xml:space="preserve"> um </w:t>
      </w:r>
      <w:r w:rsidR="00A30AEE" w:rsidRPr="00337743">
        <w:rPr>
          <w:rFonts w:ascii="Cambria" w:eastAsia="Calibri" w:hAnsi="Cambria"/>
          <w:sz w:val="20"/>
          <w:szCs w:val="20"/>
          <w:lang w:val="pt-BR" w:eastAsia="x-none"/>
        </w:rPr>
        <w:t>comporta</w:t>
      </w:r>
      <w:r w:rsidR="00D60ABE" w:rsidRPr="00337743">
        <w:rPr>
          <w:rFonts w:ascii="Cambria" w:eastAsia="Calibri" w:hAnsi="Cambria"/>
          <w:sz w:val="20"/>
          <w:szCs w:val="20"/>
          <w:lang w:val="pt-BR" w:eastAsia="x-none"/>
        </w:rPr>
        <w:t>mento</w:t>
      </w:r>
      <w:r w:rsidR="00091880" w:rsidRPr="00337743">
        <w:rPr>
          <w:rFonts w:ascii="Cambria" w:eastAsia="Calibri" w:hAnsi="Cambria"/>
          <w:sz w:val="20"/>
          <w:szCs w:val="20"/>
          <w:lang w:val="pt-BR" w:eastAsia="x-none"/>
        </w:rPr>
        <w:t xml:space="preserve"> não </w:t>
      </w:r>
      <w:r w:rsidR="00A30AEE" w:rsidRPr="00337743">
        <w:rPr>
          <w:rFonts w:ascii="Cambria" w:eastAsia="Calibri" w:hAnsi="Cambria"/>
          <w:sz w:val="20"/>
          <w:szCs w:val="20"/>
          <w:lang w:val="pt-BR" w:eastAsia="x-none"/>
        </w:rPr>
        <w:t xml:space="preserve">autorizado </w:t>
      </w:r>
      <w:r w:rsidR="008E70E1" w:rsidRPr="00337743">
        <w:rPr>
          <w:rFonts w:ascii="Cambria" w:eastAsia="Calibri" w:hAnsi="Cambria"/>
          <w:sz w:val="20"/>
          <w:szCs w:val="20"/>
          <w:lang w:val="pt-BR" w:eastAsia="x-none"/>
        </w:rPr>
        <w:t>mas</w:t>
      </w:r>
      <w:r w:rsidR="00A30AEE" w:rsidRPr="00337743">
        <w:rPr>
          <w:rFonts w:ascii="Cambria" w:eastAsia="Calibri" w:hAnsi="Cambria"/>
          <w:sz w:val="20"/>
          <w:szCs w:val="20"/>
          <w:lang w:val="pt-BR" w:eastAsia="x-none"/>
        </w:rPr>
        <w:t xml:space="preserve"> “público”, por</w:t>
      </w:r>
      <w:r w:rsidR="00091880" w:rsidRPr="00337743">
        <w:rPr>
          <w:rFonts w:ascii="Cambria" w:eastAsia="Calibri" w:hAnsi="Cambria"/>
          <w:sz w:val="20"/>
          <w:szCs w:val="20"/>
          <w:lang w:val="pt-BR" w:eastAsia="x-none"/>
        </w:rPr>
        <w:t xml:space="preserve"> um</w:t>
      </w:r>
      <w:r w:rsidR="008E70E1" w:rsidRPr="00337743">
        <w:rPr>
          <w:rFonts w:ascii="Cambria" w:eastAsia="Calibri" w:hAnsi="Cambria"/>
          <w:sz w:val="20"/>
          <w:szCs w:val="20"/>
          <w:lang w:val="pt-BR" w:eastAsia="x-none"/>
        </w:rPr>
        <w:t xml:space="preserve"> lado</w:t>
      </w:r>
      <w:r w:rsidR="00A30AEE" w:rsidRPr="00337743">
        <w:rPr>
          <w:rFonts w:ascii="Cambria" w:eastAsia="Calibri" w:hAnsi="Cambria"/>
          <w:sz w:val="20"/>
          <w:szCs w:val="20"/>
          <w:lang w:val="pt-BR" w:eastAsia="x-none"/>
        </w:rPr>
        <w:t>,</w:t>
      </w:r>
      <w:r w:rsidR="00506331" w:rsidRPr="00337743">
        <w:rPr>
          <w:rFonts w:ascii="Cambria" w:eastAsia="Calibri" w:hAnsi="Cambria"/>
          <w:sz w:val="20"/>
          <w:szCs w:val="20"/>
          <w:lang w:val="pt-BR" w:eastAsia="x-none"/>
        </w:rPr>
        <w:t xml:space="preserve"> e</w:t>
      </w:r>
      <w:r w:rsidR="00091880" w:rsidRPr="00337743">
        <w:rPr>
          <w:rFonts w:ascii="Cambria" w:eastAsia="Calibri" w:hAnsi="Cambria"/>
          <w:sz w:val="20"/>
          <w:szCs w:val="20"/>
          <w:lang w:val="pt-BR" w:eastAsia="x-none"/>
        </w:rPr>
        <w:t xml:space="preserve"> um </w:t>
      </w:r>
      <w:r w:rsidR="00A30AEE" w:rsidRPr="00337743">
        <w:rPr>
          <w:rFonts w:ascii="Cambria" w:eastAsia="Calibri" w:hAnsi="Cambria"/>
          <w:sz w:val="20"/>
          <w:szCs w:val="20"/>
          <w:lang w:val="pt-BR" w:eastAsia="x-none"/>
        </w:rPr>
        <w:t>comporta</w:t>
      </w:r>
      <w:r w:rsidR="00D60ABE" w:rsidRPr="00337743">
        <w:rPr>
          <w:rFonts w:ascii="Cambria" w:eastAsia="Calibri" w:hAnsi="Cambria"/>
          <w:sz w:val="20"/>
          <w:szCs w:val="20"/>
          <w:lang w:val="pt-BR" w:eastAsia="x-none"/>
        </w:rPr>
        <w:t>mento</w:t>
      </w:r>
      <w:r w:rsidR="00A30AEE" w:rsidRPr="00337743">
        <w:rPr>
          <w:rFonts w:ascii="Cambria" w:eastAsia="Calibri" w:hAnsi="Cambria"/>
          <w:sz w:val="20"/>
          <w:szCs w:val="20"/>
          <w:lang w:val="pt-BR" w:eastAsia="x-none"/>
        </w:rPr>
        <w:t xml:space="preserve"> “privado”, por </w:t>
      </w:r>
      <w:r w:rsidR="00E81481" w:rsidRPr="00337743">
        <w:rPr>
          <w:rFonts w:ascii="Cambria" w:eastAsia="Calibri" w:hAnsi="Cambria"/>
          <w:sz w:val="20"/>
          <w:szCs w:val="20"/>
          <w:lang w:val="pt-BR" w:eastAsia="x-none"/>
        </w:rPr>
        <w:t>outr</w:t>
      </w:r>
      <w:r w:rsidR="008E70E1" w:rsidRPr="00337743">
        <w:rPr>
          <w:rFonts w:ascii="Cambria" w:eastAsia="Calibri" w:hAnsi="Cambria"/>
          <w:sz w:val="20"/>
          <w:szCs w:val="20"/>
          <w:lang w:val="pt-BR" w:eastAsia="x-none"/>
        </w:rPr>
        <w:t>o</w:t>
      </w:r>
      <w:r w:rsidR="00A30AEE" w:rsidRPr="00337743">
        <w:rPr>
          <w:rFonts w:ascii="Cambria" w:eastAsia="Calibri" w:hAnsi="Cambria"/>
          <w:sz w:val="20"/>
          <w:szCs w:val="20"/>
          <w:lang w:val="pt-BR" w:eastAsia="x-none"/>
        </w:rPr>
        <w:t>, p</w:t>
      </w:r>
      <w:r w:rsidR="008E70E1" w:rsidRPr="00337743">
        <w:rPr>
          <w:rFonts w:ascii="Cambria" w:eastAsia="Calibri" w:hAnsi="Cambria"/>
          <w:sz w:val="20"/>
          <w:szCs w:val="20"/>
          <w:lang w:val="pt-BR" w:eastAsia="x-none"/>
        </w:rPr>
        <w:t>o</w:t>
      </w:r>
      <w:r w:rsidR="00A30AEE" w:rsidRPr="00337743">
        <w:rPr>
          <w:rFonts w:ascii="Cambria" w:eastAsia="Calibri" w:hAnsi="Cambria"/>
          <w:sz w:val="20"/>
          <w:szCs w:val="20"/>
          <w:lang w:val="pt-BR" w:eastAsia="x-none"/>
        </w:rPr>
        <w:t xml:space="preserve">de </w:t>
      </w:r>
      <w:r w:rsidR="008E70E1" w:rsidRPr="00337743">
        <w:rPr>
          <w:rFonts w:ascii="Cambria" w:eastAsia="Calibri" w:hAnsi="Cambria"/>
          <w:sz w:val="20"/>
          <w:szCs w:val="20"/>
          <w:lang w:val="pt-BR" w:eastAsia="x-none"/>
        </w:rPr>
        <w:t xml:space="preserve">ser </w:t>
      </w:r>
      <w:r w:rsidR="00A30AEE" w:rsidRPr="00337743">
        <w:rPr>
          <w:rFonts w:ascii="Cambria" w:eastAsia="Calibri" w:hAnsi="Cambria"/>
          <w:sz w:val="20"/>
          <w:szCs w:val="20"/>
          <w:lang w:val="pt-BR" w:eastAsia="x-none"/>
        </w:rPr>
        <w:t>evita</w:t>
      </w:r>
      <w:r w:rsidR="008E70E1" w:rsidRPr="00337743">
        <w:rPr>
          <w:rFonts w:ascii="Cambria" w:eastAsia="Calibri" w:hAnsi="Cambria"/>
          <w:sz w:val="20"/>
          <w:szCs w:val="20"/>
          <w:lang w:val="pt-BR" w:eastAsia="x-none"/>
        </w:rPr>
        <w:t>da</w:t>
      </w:r>
      <w:r w:rsidR="00532720" w:rsidRPr="00337743">
        <w:rPr>
          <w:rFonts w:ascii="Cambria" w:eastAsia="Calibri" w:hAnsi="Cambria"/>
          <w:sz w:val="20"/>
          <w:szCs w:val="20"/>
          <w:lang w:val="pt-BR" w:eastAsia="x-none"/>
        </w:rPr>
        <w:t xml:space="preserve"> se </w:t>
      </w:r>
      <w:r w:rsidR="00506331" w:rsidRPr="00337743">
        <w:rPr>
          <w:rFonts w:ascii="Cambria" w:eastAsia="Calibri" w:hAnsi="Cambria"/>
          <w:sz w:val="20"/>
          <w:szCs w:val="20"/>
          <w:lang w:val="pt-BR" w:eastAsia="x-none"/>
        </w:rPr>
        <w:t xml:space="preserve">o </w:t>
      </w:r>
      <w:r w:rsidR="00A30AEE" w:rsidRPr="00337743">
        <w:rPr>
          <w:rFonts w:ascii="Cambria" w:eastAsia="Calibri" w:hAnsi="Cambria"/>
          <w:sz w:val="20"/>
          <w:szCs w:val="20"/>
          <w:lang w:val="pt-BR" w:eastAsia="x-none"/>
        </w:rPr>
        <w:t>comporta</w:t>
      </w:r>
      <w:r w:rsidR="00D60ABE" w:rsidRPr="00337743">
        <w:rPr>
          <w:rFonts w:ascii="Cambria" w:eastAsia="Calibri" w:hAnsi="Cambria"/>
          <w:sz w:val="20"/>
          <w:szCs w:val="20"/>
          <w:lang w:val="pt-BR" w:eastAsia="x-none"/>
        </w:rPr>
        <w:t>mento</w:t>
      </w:r>
      <w:r w:rsidR="00A30AEE" w:rsidRPr="00337743">
        <w:rPr>
          <w:rFonts w:ascii="Cambria" w:eastAsia="Calibri" w:hAnsi="Cambria"/>
          <w:sz w:val="20"/>
          <w:szCs w:val="20"/>
          <w:lang w:val="pt-BR" w:eastAsia="x-none"/>
        </w:rPr>
        <w:t xml:space="preserve"> objeto</w:t>
      </w:r>
      <w:r w:rsidR="007707E3" w:rsidRPr="00337743">
        <w:rPr>
          <w:rFonts w:ascii="Cambria" w:eastAsia="Calibri" w:hAnsi="Cambria"/>
          <w:sz w:val="20"/>
          <w:szCs w:val="20"/>
          <w:lang w:val="pt-BR" w:eastAsia="x-none"/>
        </w:rPr>
        <w:t xml:space="preserve"> da </w:t>
      </w:r>
      <w:r w:rsidR="00A30AEE" w:rsidRPr="00337743">
        <w:rPr>
          <w:rFonts w:ascii="Cambria" w:eastAsia="Calibri" w:hAnsi="Cambria"/>
          <w:sz w:val="20"/>
          <w:szCs w:val="20"/>
          <w:lang w:val="pt-BR" w:eastAsia="x-none"/>
        </w:rPr>
        <w:t>reclama</w:t>
      </w:r>
      <w:r w:rsidR="00350E7E" w:rsidRPr="00337743">
        <w:rPr>
          <w:rFonts w:ascii="Cambria" w:eastAsia="Calibri" w:hAnsi="Cambria"/>
          <w:sz w:val="20"/>
          <w:szCs w:val="20"/>
          <w:lang w:val="pt-BR" w:eastAsia="x-none"/>
        </w:rPr>
        <w:t>ção</w:t>
      </w:r>
      <w:r w:rsidR="00A6443F" w:rsidRPr="00337743">
        <w:rPr>
          <w:rFonts w:ascii="Cambria" w:eastAsia="Calibri" w:hAnsi="Cambria"/>
          <w:sz w:val="20"/>
          <w:szCs w:val="20"/>
          <w:lang w:val="pt-BR" w:eastAsia="x-none"/>
        </w:rPr>
        <w:t xml:space="preserve"> </w:t>
      </w:r>
      <w:r w:rsidR="00484427" w:rsidRPr="00337743">
        <w:rPr>
          <w:rFonts w:ascii="Cambria" w:eastAsia="Calibri" w:hAnsi="Cambria"/>
          <w:sz w:val="20"/>
          <w:szCs w:val="20"/>
          <w:lang w:val="pt-BR" w:eastAsia="x-none"/>
        </w:rPr>
        <w:t>for</w:t>
      </w:r>
      <w:r w:rsidR="00A6443F" w:rsidRPr="00337743">
        <w:rPr>
          <w:rFonts w:ascii="Cambria" w:eastAsia="Calibri" w:hAnsi="Cambria"/>
          <w:sz w:val="20"/>
          <w:szCs w:val="20"/>
          <w:lang w:val="pt-BR" w:eastAsia="x-none"/>
        </w:rPr>
        <w:t xml:space="preserve"> </w:t>
      </w:r>
      <w:r w:rsidR="00A30AEE" w:rsidRPr="00337743">
        <w:rPr>
          <w:rFonts w:ascii="Cambria" w:eastAsia="Calibri" w:hAnsi="Cambria"/>
          <w:sz w:val="20"/>
          <w:szCs w:val="20"/>
          <w:lang w:val="pt-BR" w:eastAsia="x-none"/>
        </w:rPr>
        <w:t>sistemático o</w:t>
      </w:r>
      <w:r w:rsidR="008E70E1"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reiterado, de modo que</w:t>
      </w:r>
      <w:r w:rsidR="00506331" w:rsidRPr="00337743">
        <w:rPr>
          <w:rFonts w:ascii="Cambria" w:eastAsia="Calibri" w:hAnsi="Cambria"/>
          <w:sz w:val="20"/>
          <w:szCs w:val="20"/>
          <w:lang w:val="pt-BR" w:eastAsia="x-none"/>
        </w:rPr>
        <w:t xml:space="preserve"> o </w:t>
      </w:r>
      <w:r w:rsidR="00A30AEE" w:rsidRPr="00337743">
        <w:rPr>
          <w:rFonts w:ascii="Cambria" w:eastAsia="Calibri" w:hAnsi="Cambria"/>
          <w:sz w:val="20"/>
          <w:szCs w:val="20"/>
          <w:lang w:val="pt-BR" w:eastAsia="x-none"/>
        </w:rPr>
        <w:t>Estado t</w:t>
      </w:r>
      <w:r w:rsidR="008E70E1" w:rsidRPr="00337743">
        <w:rPr>
          <w:rFonts w:ascii="Cambria" w:eastAsia="Calibri" w:hAnsi="Cambria"/>
          <w:sz w:val="20"/>
          <w:szCs w:val="20"/>
          <w:lang w:val="pt-BR" w:eastAsia="x-none"/>
        </w:rPr>
        <w:t>inh</w:t>
      </w:r>
      <w:r w:rsidR="00BF72CE" w:rsidRPr="00337743">
        <w:rPr>
          <w:rFonts w:ascii="Cambria" w:eastAsia="Calibri" w:hAnsi="Cambria"/>
          <w:sz w:val="20"/>
          <w:szCs w:val="20"/>
          <w:lang w:val="pt-BR" w:eastAsia="x-none"/>
        </w:rPr>
        <w:t>a</w:t>
      </w:r>
      <w:r w:rsidR="00A30AEE" w:rsidRPr="00337743">
        <w:rPr>
          <w:rFonts w:ascii="Cambria" w:eastAsia="Calibri" w:hAnsi="Cambria"/>
          <w:sz w:val="20"/>
          <w:szCs w:val="20"/>
          <w:lang w:val="pt-BR" w:eastAsia="x-none"/>
        </w:rPr>
        <w:t xml:space="preserve"> o</w:t>
      </w:r>
      <w:r w:rsidR="008E70E1" w:rsidRPr="00337743">
        <w:rPr>
          <w:rFonts w:ascii="Cambria" w:eastAsia="Calibri" w:hAnsi="Cambria"/>
          <w:sz w:val="20"/>
          <w:szCs w:val="20"/>
          <w:lang w:val="pt-BR" w:eastAsia="x-none"/>
        </w:rPr>
        <w:t>u</w:t>
      </w:r>
      <w:r w:rsidR="00A30AEE" w:rsidRPr="00337743">
        <w:rPr>
          <w:rFonts w:ascii="Cambria" w:eastAsia="Calibri" w:hAnsi="Cambria"/>
          <w:sz w:val="20"/>
          <w:szCs w:val="20"/>
          <w:lang w:val="pt-BR" w:eastAsia="x-none"/>
        </w:rPr>
        <w:t xml:space="preserve"> </w:t>
      </w:r>
      <w:r w:rsidR="00295DAB" w:rsidRPr="00337743">
        <w:rPr>
          <w:rFonts w:ascii="Cambria" w:eastAsia="Calibri" w:hAnsi="Cambria"/>
          <w:sz w:val="20"/>
          <w:szCs w:val="20"/>
          <w:lang w:val="pt-BR" w:eastAsia="x-none"/>
        </w:rPr>
        <w:t>deveria</w:t>
      </w:r>
      <w:r w:rsidR="00A30AEE" w:rsidRPr="00337743">
        <w:rPr>
          <w:rFonts w:ascii="Cambria" w:eastAsia="Calibri" w:hAnsi="Cambria"/>
          <w:sz w:val="20"/>
          <w:szCs w:val="20"/>
          <w:lang w:val="pt-BR" w:eastAsia="x-none"/>
        </w:rPr>
        <w:t xml:space="preserve"> </w:t>
      </w:r>
      <w:r w:rsidR="008E70E1" w:rsidRPr="00337743">
        <w:rPr>
          <w:rFonts w:ascii="Cambria" w:eastAsia="Calibri" w:hAnsi="Cambria"/>
          <w:sz w:val="20"/>
          <w:szCs w:val="20"/>
          <w:lang w:val="pt-BR" w:eastAsia="x-none"/>
        </w:rPr>
        <w:t>t</w:t>
      </w:r>
      <w:r w:rsidR="00A30AEE" w:rsidRPr="00337743">
        <w:rPr>
          <w:rFonts w:ascii="Cambria" w:eastAsia="Calibri" w:hAnsi="Cambria"/>
          <w:sz w:val="20"/>
          <w:szCs w:val="20"/>
          <w:lang w:val="pt-BR" w:eastAsia="x-none"/>
        </w:rPr>
        <w:t xml:space="preserve">er </w:t>
      </w:r>
      <w:r w:rsidR="008E4939" w:rsidRPr="00337743">
        <w:rPr>
          <w:rFonts w:ascii="Cambria" w:eastAsia="Calibri" w:hAnsi="Cambria"/>
          <w:sz w:val="20"/>
          <w:szCs w:val="20"/>
          <w:lang w:val="pt-BR" w:eastAsia="x-none"/>
        </w:rPr>
        <w:t>conhecimento</w:t>
      </w:r>
      <w:r w:rsidR="00A30AEE" w:rsidRPr="00337743">
        <w:rPr>
          <w:rFonts w:ascii="Cambria" w:eastAsia="Calibri" w:hAnsi="Cambria"/>
          <w:sz w:val="20"/>
          <w:szCs w:val="20"/>
          <w:lang w:val="pt-BR" w:eastAsia="x-none"/>
        </w:rPr>
        <w:t xml:space="preserve"> de</w:t>
      </w:r>
      <w:r w:rsidR="008E70E1" w:rsidRPr="00337743">
        <w:rPr>
          <w:rFonts w:ascii="Cambria" w:eastAsia="Calibri" w:hAnsi="Cambria"/>
          <w:sz w:val="20"/>
          <w:szCs w:val="20"/>
          <w:lang w:val="pt-BR" w:eastAsia="x-none"/>
        </w:rPr>
        <w:t>le</w:t>
      </w:r>
      <w:r w:rsidR="00506331" w:rsidRPr="00337743">
        <w:rPr>
          <w:rFonts w:ascii="Cambria" w:eastAsia="Calibri" w:hAnsi="Cambria"/>
          <w:sz w:val="20"/>
          <w:szCs w:val="20"/>
          <w:lang w:val="pt-BR" w:eastAsia="x-none"/>
        </w:rPr>
        <w:t xml:space="preserve"> e </w:t>
      </w:r>
      <w:r w:rsidR="00295DAB" w:rsidRPr="00337743">
        <w:rPr>
          <w:rFonts w:ascii="Cambria" w:eastAsia="Calibri" w:hAnsi="Cambria"/>
          <w:sz w:val="20"/>
          <w:szCs w:val="20"/>
          <w:lang w:val="pt-BR" w:eastAsia="x-none"/>
        </w:rPr>
        <w:t>deveria</w:t>
      </w:r>
      <w:r w:rsidR="00A30AEE" w:rsidRPr="00337743">
        <w:rPr>
          <w:rFonts w:ascii="Cambria" w:eastAsia="Calibri" w:hAnsi="Cambria"/>
          <w:sz w:val="20"/>
          <w:szCs w:val="20"/>
          <w:lang w:val="pt-BR" w:eastAsia="x-none"/>
        </w:rPr>
        <w:t xml:space="preserve"> </w:t>
      </w:r>
      <w:r w:rsidR="008E70E1" w:rsidRPr="00337743">
        <w:rPr>
          <w:rFonts w:ascii="Cambria" w:eastAsia="Calibri" w:hAnsi="Cambria"/>
          <w:sz w:val="20"/>
          <w:szCs w:val="20"/>
          <w:lang w:val="pt-BR" w:eastAsia="x-none"/>
        </w:rPr>
        <w:t>t</w:t>
      </w:r>
      <w:r w:rsidR="00A30AEE" w:rsidRPr="00337743">
        <w:rPr>
          <w:rFonts w:ascii="Cambria" w:eastAsia="Calibri" w:hAnsi="Cambria"/>
          <w:sz w:val="20"/>
          <w:szCs w:val="20"/>
          <w:lang w:val="pt-BR" w:eastAsia="x-none"/>
        </w:rPr>
        <w:t>er tomado medidas para impedi</w:t>
      </w:r>
      <w:r w:rsidR="008E70E1" w:rsidRPr="00337743">
        <w:rPr>
          <w:rFonts w:ascii="Cambria" w:eastAsia="Calibri" w:hAnsi="Cambria"/>
          <w:sz w:val="20"/>
          <w:szCs w:val="20"/>
          <w:lang w:val="pt-BR" w:eastAsia="x-none"/>
        </w:rPr>
        <w:t>-</w:t>
      </w:r>
      <w:r w:rsidR="00A30AEE" w:rsidRPr="00337743">
        <w:rPr>
          <w:rFonts w:ascii="Cambria" w:eastAsia="Calibri" w:hAnsi="Cambria"/>
          <w:sz w:val="20"/>
          <w:szCs w:val="20"/>
          <w:lang w:val="pt-BR" w:eastAsia="x-none"/>
        </w:rPr>
        <w:t>lo</w:t>
      </w:r>
      <w:r w:rsidR="00A30AEE" w:rsidRPr="00337743">
        <w:rPr>
          <w:rStyle w:val="FootnoteReference"/>
          <w:rFonts w:ascii="Cambria" w:hAnsi="Cambria"/>
          <w:sz w:val="20"/>
          <w:szCs w:val="20"/>
          <w:lang w:val="pt-BR"/>
        </w:rPr>
        <w:footnoteReference w:id="97"/>
      </w:r>
      <w:r w:rsidR="00A30AEE" w:rsidRPr="00337743">
        <w:rPr>
          <w:rFonts w:ascii="Cambria" w:eastAsia="Calibri" w:hAnsi="Cambria"/>
          <w:sz w:val="20"/>
          <w:szCs w:val="20"/>
          <w:lang w:val="pt-BR" w:eastAsia="x-none"/>
        </w:rPr>
        <w:t>.</w:t>
      </w:r>
    </w:p>
    <w:p w14:paraId="39AB87E7" w14:textId="77777777" w:rsidR="00B709C6" w:rsidRPr="00337743" w:rsidRDefault="00B709C6" w:rsidP="00024D81">
      <w:pPr>
        <w:tabs>
          <w:tab w:val="left" w:pos="720"/>
          <w:tab w:val="left" w:pos="1440"/>
        </w:tabs>
        <w:jc w:val="both"/>
        <w:rPr>
          <w:rFonts w:ascii="Cambria" w:hAnsi="Cambria" w:cs="Verdana"/>
          <w:sz w:val="20"/>
          <w:szCs w:val="20"/>
          <w:lang w:val="pt-BR"/>
        </w:rPr>
      </w:pPr>
    </w:p>
    <w:p w14:paraId="04897187" w14:textId="77777777" w:rsidR="003620C6" w:rsidRPr="00337743" w:rsidRDefault="008E70E1" w:rsidP="00286FF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cs="Verdana"/>
          <w:sz w:val="20"/>
          <w:szCs w:val="20"/>
          <w:lang w:val="pt-BR"/>
        </w:rPr>
      </w:pPr>
      <w:r w:rsidRPr="00337743">
        <w:rPr>
          <w:rFonts w:ascii="Cambria" w:hAnsi="Cambria" w:cs="Verdana"/>
          <w:sz w:val="20"/>
          <w:szCs w:val="20"/>
          <w:lang w:val="pt-BR"/>
        </w:rPr>
        <w:t>Q</w:t>
      </w:r>
      <w:r w:rsidR="003620C6" w:rsidRPr="00337743">
        <w:rPr>
          <w:rFonts w:ascii="Cambria" w:hAnsi="Cambria" w:cs="Verdana"/>
          <w:sz w:val="20"/>
          <w:szCs w:val="20"/>
          <w:lang w:val="pt-BR"/>
        </w:rPr>
        <w:t>uanto</w:t>
      </w:r>
      <w:r w:rsidR="00F453EB" w:rsidRPr="00337743">
        <w:rPr>
          <w:rFonts w:ascii="Cambria" w:hAnsi="Cambria" w:cs="Verdana"/>
          <w:sz w:val="20"/>
          <w:szCs w:val="20"/>
          <w:lang w:val="pt-BR"/>
        </w:rPr>
        <w:t xml:space="preserve"> à </w:t>
      </w:r>
      <w:r w:rsidR="004C2ACB" w:rsidRPr="00337743">
        <w:rPr>
          <w:rFonts w:ascii="Cambria" w:hAnsi="Cambria" w:cs="Verdana"/>
          <w:sz w:val="20"/>
          <w:szCs w:val="20"/>
          <w:lang w:val="pt-BR"/>
        </w:rPr>
        <w:t>obri</w:t>
      </w:r>
      <w:r w:rsidR="003620C6" w:rsidRPr="00337743">
        <w:rPr>
          <w:rFonts w:ascii="Cambria" w:hAnsi="Cambria" w:cs="Verdana"/>
          <w:sz w:val="20"/>
          <w:szCs w:val="20"/>
          <w:lang w:val="pt-BR"/>
        </w:rPr>
        <w:t>ga</w:t>
      </w:r>
      <w:r w:rsidR="00350E7E" w:rsidRPr="00337743">
        <w:rPr>
          <w:rFonts w:ascii="Cambria" w:hAnsi="Cambria" w:cs="Verdana"/>
          <w:sz w:val="20"/>
          <w:szCs w:val="20"/>
          <w:lang w:val="pt-BR"/>
        </w:rPr>
        <w:t>ção</w:t>
      </w:r>
      <w:r w:rsidR="003620C6" w:rsidRPr="00337743">
        <w:rPr>
          <w:rFonts w:ascii="Cambria" w:hAnsi="Cambria" w:cs="Verdana"/>
          <w:sz w:val="20"/>
          <w:szCs w:val="20"/>
          <w:lang w:val="pt-BR"/>
        </w:rPr>
        <w:t xml:space="preserve"> de garant</w:t>
      </w:r>
      <w:r w:rsidR="00BF72CE" w:rsidRPr="00337743">
        <w:rPr>
          <w:rFonts w:ascii="Cambria" w:hAnsi="Cambria" w:cs="Verdana"/>
          <w:sz w:val="20"/>
          <w:szCs w:val="20"/>
          <w:lang w:val="pt-BR"/>
        </w:rPr>
        <w:t>ia</w:t>
      </w:r>
      <w:r w:rsidR="003620C6" w:rsidRPr="00337743">
        <w:rPr>
          <w:rFonts w:ascii="Cambria" w:hAnsi="Cambria" w:cs="Verdana"/>
          <w:sz w:val="20"/>
          <w:szCs w:val="20"/>
          <w:lang w:val="pt-BR"/>
        </w:rPr>
        <w:t>,</w:t>
      </w:r>
      <w:r w:rsidR="00506331" w:rsidRPr="00337743">
        <w:rPr>
          <w:rFonts w:ascii="Cambria" w:hAnsi="Cambria" w:cs="Verdana"/>
          <w:sz w:val="20"/>
          <w:szCs w:val="20"/>
          <w:lang w:val="pt-BR"/>
        </w:rPr>
        <w:t xml:space="preserve"> a </w:t>
      </w:r>
      <w:r w:rsidR="003620C6" w:rsidRPr="00337743">
        <w:rPr>
          <w:rFonts w:ascii="Cambria" w:hAnsi="Cambria" w:cs="Verdana"/>
          <w:sz w:val="20"/>
          <w:szCs w:val="20"/>
          <w:lang w:val="pt-BR"/>
        </w:rPr>
        <w:t xml:space="preserve">Corte </w:t>
      </w:r>
      <w:r w:rsidRPr="00337743">
        <w:rPr>
          <w:rFonts w:ascii="Cambria" w:hAnsi="Cambria" w:cs="Verdana"/>
          <w:sz w:val="20"/>
          <w:szCs w:val="20"/>
          <w:lang w:val="pt-BR"/>
        </w:rPr>
        <w:t>indicou</w:t>
      </w:r>
      <w:r w:rsidR="00C55D38" w:rsidRPr="00337743">
        <w:rPr>
          <w:rFonts w:ascii="Cambria" w:hAnsi="Cambria" w:cs="Verdana"/>
          <w:sz w:val="20"/>
          <w:szCs w:val="20"/>
          <w:lang w:val="pt-BR"/>
        </w:rPr>
        <w:t xml:space="preserve"> </w:t>
      </w:r>
      <w:r w:rsidR="003620C6" w:rsidRPr="00337743">
        <w:rPr>
          <w:rFonts w:ascii="Cambria" w:hAnsi="Cambria" w:cs="Verdana"/>
          <w:sz w:val="20"/>
          <w:szCs w:val="20"/>
          <w:lang w:val="pt-BR"/>
        </w:rPr>
        <w:t>que</w:t>
      </w:r>
      <w:r w:rsidR="007707E3" w:rsidRPr="00337743">
        <w:rPr>
          <w:rFonts w:ascii="Cambria" w:hAnsi="Cambria" w:cs="Verdana"/>
          <w:sz w:val="20"/>
          <w:szCs w:val="20"/>
          <w:lang w:val="pt-BR"/>
        </w:rPr>
        <w:t xml:space="preserve"> os </w:t>
      </w:r>
      <w:r w:rsidR="003620C6" w:rsidRPr="00337743">
        <w:rPr>
          <w:rFonts w:ascii="Cambria" w:hAnsi="Cambria" w:cs="Verdana"/>
          <w:sz w:val="20"/>
          <w:szCs w:val="20"/>
          <w:lang w:val="pt-BR"/>
        </w:rPr>
        <w:t xml:space="preserve">Estados </w:t>
      </w:r>
      <w:r w:rsidR="00295DAB" w:rsidRPr="00337743">
        <w:rPr>
          <w:rFonts w:ascii="Cambria" w:hAnsi="Cambria" w:cs="Verdana"/>
          <w:sz w:val="20"/>
          <w:szCs w:val="20"/>
          <w:lang w:val="pt-BR"/>
        </w:rPr>
        <w:t>devem</w:t>
      </w:r>
      <w:r w:rsidR="003620C6" w:rsidRPr="00337743">
        <w:rPr>
          <w:rFonts w:ascii="Cambria" w:hAnsi="Cambria" w:cs="Verdana"/>
          <w:sz w:val="20"/>
          <w:szCs w:val="20"/>
          <w:lang w:val="pt-BR"/>
        </w:rPr>
        <w:t xml:space="preserve"> prevenir, investigar</w:t>
      </w:r>
      <w:r w:rsidR="00506331" w:rsidRPr="00337743">
        <w:rPr>
          <w:rFonts w:ascii="Cambria" w:hAnsi="Cambria" w:cs="Verdana"/>
          <w:sz w:val="20"/>
          <w:szCs w:val="20"/>
          <w:lang w:val="pt-BR"/>
        </w:rPr>
        <w:t xml:space="preserve"> e </w:t>
      </w:r>
      <w:r w:rsidRPr="00337743">
        <w:rPr>
          <w:rFonts w:ascii="Cambria" w:hAnsi="Cambria" w:cs="Verdana"/>
          <w:sz w:val="20"/>
          <w:szCs w:val="20"/>
          <w:lang w:val="pt-BR"/>
        </w:rPr>
        <w:t>punir</w:t>
      </w:r>
      <w:r w:rsidR="003620C6" w:rsidRPr="00337743">
        <w:rPr>
          <w:rFonts w:ascii="Cambria" w:hAnsi="Cambria" w:cs="Verdana"/>
          <w:sz w:val="20"/>
          <w:szCs w:val="20"/>
          <w:lang w:val="pt-BR"/>
        </w:rPr>
        <w:t xml:space="preserve"> toda viola</w:t>
      </w:r>
      <w:r w:rsidR="00350E7E" w:rsidRPr="00337743">
        <w:rPr>
          <w:rFonts w:ascii="Cambria" w:hAnsi="Cambria" w:cs="Verdana"/>
          <w:sz w:val="20"/>
          <w:szCs w:val="20"/>
          <w:lang w:val="pt-BR"/>
        </w:rPr>
        <w:t>ção</w:t>
      </w:r>
      <w:r w:rsidR="00E96C24" w:rsidRPr="00337743">
        <w:rPr>
          <w:rFonts w:ascii="Cambria" w:hAnsi="Cambria" w:cs="Verdana"/>
          <w:sz w:val="20"/>
          <w:szCs w:val="20"/>
          <w:lang w:val="pt-BR"/>
        </w:rPr>
        <w:t xml:space="preserve"> dos </w:t>
      </w:r>
      <w:r w:rsidR="00350E7E" w:rsidRPr="00337743">
        <w:rPr>
          <w:rFonts w:ascii="Cambria" w:hAnsi="Cambria" w:cs="Verdana"/>
          <w:sz w:val="20"/>
          <w:szCs w:val="20"/>
          <w:lang w:val="pt-BR"/>
        </w:rPr>
        <w:t>direito</w:t>
      </w:r>
      <w:r w:rsidR="003620C6" w:rsidRPr="00337743">
        <w:rPr>
          <w:rFonts w:ascii="Cambria" w:hAnsi="Cambria" w:cs="Verdana"/>
          <w:sz w:val="20"/>
          <w:szCs w:val="20"/>
          <w:lang w:val="pt-BR"/>
        </w:rPr>
        <w:t xml:space="preserve">s </w:t>
      </w:r>
      <w:r w:rsidR="00295DAB" w:rsidRPr="00337743">
        <w:rPr>
          <w:rFonts w:ascii="Cambria" w:hAnsi="Cambria" w:cs="Verdana"/>
          <w:sz w:val="20"/>
          <w:szCs w:val="20"/>
          <w:lang w:val="pt-BR"/>
        </w:rPr>
        <w:t>reconhecidos</w:t>
      </w:r>
      <w:r w:rsidR="00C6641C" w:rsidRPr="00337743">
        <w:rPr>
          <w:rFonts w:ascii="Cambria" w:hAnsi="Cambria" w:cs="Verdana"/>
          <w:sz w:val="20"/>
          <w:szCs w:val="20"/>
          <w:lang w:val="pt-BR"/>
        </w:rPr>
        <w:t xml:space="preserve"> pela </w:t>
      </w:r>
      <w:r w:rsidR="003620C6" w:rsidRPr="00337743">
        <w:rPr>
          <w:rFonts w:ascii="Cambria" w:hAnsi="Cambria" w:cs="Verdana"/>
          <w:sz w:val="20"/>
          <w:szCs w:val="20"/>
          <w:lang w:val="pt-BR"/>
        </w:rPr>
        <w:t>Conven</w:t>
      </w:r>
      <w:r w:rsidR="00350E7E" w:rsidRPr="00337743">
        <w:rPr>
          <w:rFonts w:ascii="Cambria" w:hAnsi="Cambria" w:cs="Verdana"/>
          <w:sz w:val="20"/>
          <w:szCs w:val="20"/>
          <w:lang w:val="pt-BR"/>
        </w:rPr>
        <w:t>ção</w:t>
      </w:r>
      <w:r w:rsidR="00506331" w:rsidRPr="00337743">
        <w:rPr>
          <w:rFonts w:ascii="Cambria" w:hAnsi="Cambria" w:cs="Verdana"/>
          <w:sz w:val="20"/>
          <w:szCs w:val="20"/>
          <w:lang w:val="pt-BR"/>
        </w:rPr>
        <w:t xml:space="preserve"> e </w:t>
      </w:r>
      <w:r w:rsidR="003620C6" w:rsidRPr="00337743">
        <w:rPr>
          <w:rFonts w:ascii="Cambria" w:hAnsi="Cambria" w:cs="Verdana"/>
          <w:sz w:val="20"/>
          <w:szCs w:val="20"/>
          <w:lang w:val="pt-BR"/>
        </w:rPr>
        <w:t>procurar</w:t>
      </w:r>
      <w:r w:rsidR="00506331" w:rsidRPr="00337743">
        <w:rPr>
          <w:rFonts w:ascii="Cambria" w:hAnsi="Cambria" w:cs="Verdana"/>
          <w:sz w:val="20"/>
          <w:szCs w:val="20"/>
          <w:lang w:val="pt-BR"/>
        </w:rPr>
        <w:t xml:space="preserve"> o </w:t>
      </w:r>
      <w:r w:rsidR="00295DAB" w:rsidRPr="00337743">
        <w:rPr>
          <w:rFonts w:ascii="Cambria" w:hAnsi="Cambria" w:cs="Verdana"/>
          <w:sz w:val="20"/>
          <w:szCs w:val="20"/>
          <w:lang w:val="pt-BR"/>
        </w:rPr>
        <w:t>restabelecimento</w:t>
      </w:r>
      <w:r w:rsidR="003620C6" w:rsidRPr="00337743">
        <w:rPr>
          <w:rFonts w:ascii="Cambria" w:hAnsi="Cambria" w:cs="Verdana"/>
          <w:sz w:val="20"/>
          <w:szCs w:val="20"/>
          <w:lang w:val="pt-BR"/>
        </w:rPr>
        <w:t>,</w:t>
      </w:r>
      <w:r w:rsidR="00532720" w:rsidRPr="00337743">
        <w:rPr>
          <w:rFonts w:ascii="Cambria" w:hAnsi="Cambria" w:cs="Verdana"/>
          <w:sz w:val="20"/>
          <w:szCs w:val="20"/>
          <w:lang w:val="pt-BR"/>
        </w:rPr>
        <w:t xml:space="preserve"> se </w:t>
      </w:r>
      <w:r w:rsidR="003620C6" w:rsidRPr="00337743">
        <w:rPr>
          <w:rFonts w:ascii="Cambria" w:hAnsi="Cambria" w:cs="Verdana"/>
          <w:sz w:val="20"/>
          <w:szCs w:val="20"/>
          <w:lang w:val="pt-BR"/>
        </w:rPr>
        <w:t>pos</w:t>
      </w:r>
      <w:r w:rsidRPr="00337743">
        <w:rPr>
          <w:rFonts w:ascii="Cambria" w:hAnsi="Cambria" w:cs="Verdana"/>
          <w:sz w:val="20"/>
          <w:szCs w:val="20"/>
          <w:lang w:val="pt-BR"/>
        </w:rPr>
        <w:t>sível</w:t>
      </w:r>
      <w:r w:rsidR="003620C6" w:rsidRPr="00337743">
        <w:rPr>
          <w:rFonts w:ascii="Cambria" w:hAnsi="Cambria" w:cs="Verdana"/>
          <w:sz w:val="20"/>
          <w:szCs w:val="20"/>
          <w:lang w:val="pt-BR"/>
        </w:rPr>
        <w:t>,</w:t>
      </w:r>
      <w:r w:rsidR="007707E3" w:rsidRPr="00337743">
        <w:rPr>
          <w:rFonts w:ascii="Cambria" w:hAnsi="Cambria" w:cs="Verdana"/>
          <w:sz w:val="20"/>
          <w:szCs w:val="20"/>
          <w:lang w:val="pt-BR"/>
        </w:rPr>
        <w:t xml:space="preserve"> do </w:t>
      </w:r>
      <w:r w:rsidR="00350E7E" w:rsidRPr="00337743">
        <w:rPr>
          <w:rFonts w:ascii="Cambria" w:hAnsi="Cambria" w:cs="Verdana"/>
          <w:sz w:val="20"/>
          <w:szCs w:val="20"/>
          <w:lang w:val="pt-BR"/>
        </w:rPr>
        <w:t>direito</w:t>
      </w:r>
      <w:r w:rsidR="003620C6" w:rsidRPr="00337743">
        <w:rPr>
          <w:rFonts w:ascii="Cambria" w:hAnsi="Cambria" w:cs="Verdana"/>
          <w:sz w:val="20"/>
          <w:szCs w:val="20"/>
          <w:lang w:val="pt-BR"/>
        </w:rPr>
        <w:t xml:space="preserve"> </w:t>
      </w:r>
      <w:r w:rsidRPr="00337743">
        <w:rPr>
          <w:rFonts w:ascii="Cambria" w:hAnsi="Cambria" w:cs="Verdana"/>
          <w:sz w:val="20"/>
          <w:szCs w:val="20"/>
          <w:lang w:val="pt-BR"/>
        </w:rPr>
        <w:t>viol</w:t>
      </w:r>
      <w:r w:rsidR="003620C6" w:rsidRPr="00337743">
        <w:rPr>
          <w:rFonts w:ascii="Cambria" w:hAnsi="Cambria" w:cs="Verdana"/>
          <w:sz w:val="20"/>
          <w:szCs w:val="20"/>
          <w:lang w:val="pt-BR"/>
        </w:rPr>
        <w:t xml:space="preserve">ado </w:t>
      </w:r>
      <w:r w:rsidRPr="00337743">
        <w:rPr>
          <w:rFonts w:ascii="Cambria" w:hAnsi="Cambria" w:cs="Verdana"/>
          <w:sz w:val="20"/>
          <w:szCs w:val="20"/>
          <w:lang w:val="pt-BR"/>
        </w:rPr>
        <w:t>e</w:t>
      </w:r>
      <w:r w:rsidR="003620C6" w:rsidRPr="00337743">
        <w:rPr>
          <w:rFonts w:ascii="Cambria" w:hAnsi="Cambria" w:cs="Verdana"/>
          <w:sz w:val="20"/>
          <w:szCs w:val="20"/>
          <w:lang w:val="pt-BR"/>
        </w:rPr>
        <w:t>,</w:t>
      </w:r>
      <w:r w:rsidR="00091880" w:rsidRPr="00337743">
        <w:rPr>
          <w:rFonts w:ascii="Cambria" w:hAnsi="Cambria" w:cs="Verdana"/>
          <w:sz w:val="20"/>
          <w:szCs w:val="20"/>
          <w:lang w:val="pt-BR"/>
        </w:rPr>
        <w:t xml:space="preserve"> </w:t>
      </w:r>
      <w:r w:rsidRPr="00337743">
        <w:rPr>
          <w:rFonts w:ascii="Cambria" w:hAnsi="Cambria" w:cs="Verdana"/>
          <w:sz w:val="20"/>
          <w:szCs w:val="20"/>
          <w:lang w:val="pt-BR"/>
        </w:rPr>
        <w:t>se for o</w:t>
      </w:r>
      <w:r w:rsidR="003620C6" w:rsidRPr="00337743">
        <w:rPr>
          <w:rFonts w:ascii="Cambria" w:hAnsi="Cambria" w:cs="Verdana"/>
          <w:sz w:val="20"/>
          <w:szCs w:val="20"/>
          <w:lang w:val="pt-BR"/>
        </w:rPr>
        <w:t xml:space="preserve"> caso,</w:t>
      </w:r>
      <w:r w:rsidR="00506331" w:rsidRPr="00337743">
        <w:rPr>
          <w:rFonts w:ascii="Cambria" w:hAnsi="Cambria" w:cs="Verdana"/>
          <w:sz w:val="20"/>
          <w:szCs w:val="20"/>
          <w:lang w:val="pt-BR"/>
        </w:rPr>
        <w:t xml:space="preserve"> a </w:t>
      </w:r>
      <w:r w:rsidR="003620C6" w:rsidRPr="00337743">
        <w:rPr>
          <w:rFonts w:ascii="Cambria" w:hAnsi="Cambria" w:cs="Verdana"/>
          <w:sz w:val="20"/>
          <w:szCs w:val="20"/>
          <w:lang w:val="pt-BR"/>
        </w:rPr>
        <w:t>repara</w:t>
      </w:r>
      <w:r w:rsidR="00350E7E" w:rsidRPr="00337743">
        <w:rPr>
          <w:rFonts w:ascii="Cambria" w:hAnsi="Cambria" w:cs="Verdana"/>
          <w:sz w:val="20"/>
          <w:szCs w:val="20"/>
          <w:lang w:val="pt-BR"/>
        </w:rPr>
        <w:t>ção</w:t>
      </w:r>
      <w:r w:rsidR="00E96C24" w:rsidRPr="00337743">
        <w:rPr>
          <w:rFonts w:ascii="Cambria" w:hAnsi="Cambria" w:cs="Verdana"/>
          <w:sz w:val="20"/>
          <w:szCs w:val="20"/>
          <w:lang w:val="pt-BR"/>
        </w:rPr>
        <w:t xml:space="preserve"> dos </w:t>
      </w:r>
      <w:r w:rsidR="003620C6" w:rsidRPr="00337743">
        <w:rPr>
          <w:rFonts w:ascii="Cambria" w:hAnsi="Cambria" w:cs="Verdana"/>
          <w:sz w:val="20"/>
          <w:szCs w:val="20"/>
          <w:lang w:val="pt-BR"/>
        </w:rPr>
        <w:t>d</w:t>
      </w:r>
      <w:r w:rsidR="00362A4F" w:rsidRPr="00337743">
        <w:rPr>
          <w:rFonts w:ascii="Cambria" w:hAnsi="Cambria" w:cs="Verdana"/>
          <w:sz w:val="20"/>
          <w:szCs w:val="20"/>
          <w:lang w:val="pt-BR"/>
        </w:rPr>
        <w:t>ano</w:t>
      </w:r>
      <w:r w:rsidR="003620C6" w:rsidRPr="00337743">
        <w:rPr>
          <w:rFonts w:ascii="Cambria" w:hAnsi="Cambria" w:cs="Verdana"/>
          <w:sz w:val="20"/>
          <w:szCs w:val="20"/>
          <w:lang w:val="pt-BR"/>
        </w:rPr>
        <w:t xml:space="preserve">s </w:t>
      </w:r>
      <w:r w:rsidR="00295DAB" w:rsidRPr="00337743">
        <w:rPr>
          <w:rFonts w:ascii="Cambria" w:hAnsi="Cambria" w:cs="Verdana"/>
          <w:sz w:val="20"/>
          <w:szCs w:val="20"/>
          <w:lang w:val="pt-BR"/>
        </w:rPr>
        <w:t>produzidos</w:t>
      </w:r>
      <w:r w:rsidR="00C6641C" w:rsidRPr="00337743">
        <w:rPr>
          <w:rFonts w:ascii="Cambria" w:hAnsi="Cambria" w:cs="Verdana"/>
          <w:sz w:val="20"/>
          <w:szCs w:val="20"/>
          <w:lang w:val="pt-BR"/>
        </w:rPr>
        <w:t xml:space="preserve"> pela </w:t>
      </w:r>
      <w:r w:rsidR="003620C6" w:rsidRPr="00337743">
        <w:rPr>
          <w:rFonts w:ascii="Cambria" w:hAnsi="Cambria" w:cs="Verdana"/>
          <w:sz w:val="20"/>
          <w:szCs w:val="20"/>
          <w:lang w:val="pt-BR"/>
        </w:rPr>
        <w:t>viola</w:t>
      </w:r>
      <w:r w:rsidR="00350E7E" w:rsidRPr="00337743">
        <w:rPr>
          <w:rFonts w:ascii="Cambria" w:hAnsi="Cambria" w:cs="Verdana"/>
          <w:sz w:val="20"/>
          <w:szCs w:val="20"/>
          <w:lang w:val="pt-BR"/>
        </w:rPr>
        <w:t>ção</w:t>
      </w:r>
      <w:r w:rsidR="00E96C24" w:rsidRPr="00337743">
        <w:rPr>
          <w:rFonts w:ascii="Cambria" w:hAnsi="Cambria" w:cs="Verdana"/>
          <w:sz w:val="20"/>
          <w:szCs w:val="20"/>
          <w:lang w:val="pt-BR"/>
        </w:rPr>
        <w:t xml:space="preserve"> dos </w:t>
      </w:r>
      <w:r w:rsidR="00350E7E" w:rsidRPr="00337743">
        <w:rPr>
          <w:rFonts w:ascii="Cambria" w:hAnsi="Cambria" w:cs="Verdana"/>
          <w:sz w:val="20"/>
          <w:szCs w:val="20"/>
          <w:lang w:val="pt-BR"/>
        </w:rPr>
        <w:t>direito</w:t>
      </w:r>
      <w:r w:rsidR="003620C6" w:rsidRPr="00337743">
        <w:rPr>
          <w:rFonts w:ascii="Cambria" w:hAnsi="Cambria" w:cs="Verdana"/>
          <w:sz w:val="20"/>
          <w:szCs w:val="20"/>
          <w:lang w:val="pt-BR"/>
        </w:rPr>
        <w:t>s humanos</w:t>
      </w:r>
      <w:r w:rsidR="003620C6" w:rsidRPr="00337743">
        <w:rPr>
          <w:rStyle w:val="FootnoteReference"/>
          <w:rFonts w:ascii="Cambria" w:hAnsi="Cambria"/>
          <w:sz w:val="20"/>
          <w:szCs w:val="20"/>
          <w:lang w:val="pt-BR"/>
        </w:rPr>
        <w:footnoteReference w:id="98"/>
      </w:r>
      <w:r w:rsidR="003620C6" w:rsidRPr="00337743">
        <w:rPr>
          <w:rFonts w:ascii="Cambria" w:hAnsi="Cambria" w:cs="Verdana"/>
          <w:sz w:val="20"/>
          <w:szCs w:val="20"/>
          <w:lang w:val="pt-BR"/>
        </w:rPr>
        <w:t xml:space="preserve">. Estas </w:t>
      </w:r>
      <w:r w:rsidR="004C2ACB" w:rsidRPr="00337743">
        <w:rPr>
          <w:rFonts w:ascii="Cambria" w:hAnsi="Cambria" w:cs="Verdana"/>
          <w:sz w:val="20"/>
          <w:szCs w:val="20"/>
          <w:lang w:val="pt-BR"/>
        </w:rPr>
        <w:t>obri</w:t>
      </w:r>
      <w:r w:rsidR="003620C6" w:rsidRPr="00337743">
        <w:rPr>
          <w:rFonts w:ascii="Cambria" w:hAnsi="Cambria" w:cs="Verdana"/>
          <w:sz w:val="20"/>
          <w:szCs w:val="20"/>
          <w:lang w:val="pt-BR"/>
        </w:rPr>
        <w:t>ga</w:t>
      </w:r>
      <w:r w:rsidR="00350E7E" w:rsidRPr="00337743">
        <w:rPr>
          <w:rFonts w:ascii="Cambria" w:hAnsi="Cambria" w:cs="Verdana"/>
          <w:sz w:val="20"/>
          <w:szCs w:val="20"/>
          <w:lang w:val="pt-BR"/>
        </w:rPr>
        <w:t>ções</w:t>
      </w:r>
      <w:r w:rsidR="003620C6" w:rsidRPr="00337743">
        <w:rPr>
          <w:rFonts w:ascii="Cambria" w:hAnsi="Cambria" w:cs="Verdana"/>
          <w:sz w:val="20"/>
          <w:szCs w:val="20"/>
          <w:lang w:val="pt-BR"/>
        </w:rPr>
        <w:t xml:space="preserve"> </w:t>
      </w:r>
      <w:r w:rsidRPr="00337743">
        <w:rPr>
          <w:rFonts w:ascii="Cambria" w:hAnsi="Cambria" w:cs="Verdana"/>
          <w:sz w:val="20"/>
          <w:szCs w:val="20"/>
          <w:lang w:val="pt-BR"/>
        </w:rPr>
        <w:t>são</w:t>
      </w:r>
      <w:r w:rsidR="003620C6" w:rsidRPr="00337743">
        <w:rPr>
          <w:rFonts w:ascii="Cambria" w:hAnsi="Cambria" w:cs="Verdana"/>
          <w:sz w:val="20"/>
          <w:szCs w:val="20"/>
          <w:lang w:val="pt-BR"/>
        </w:rPr>
        <w:t xml:space="preserve"> aplic</w:t>
      </w:r>
      <w:r w:rsidRPr="00337743">
        <w:rPr>
          <w:rFonts w:ascii="Cambria" w:hAnsi="Cambria" w:cs="Verdana"/>
          <w:sz w:val="20"/>
          <w:szCs w:val="20"/>
          <w:lang w:val="pt-BR"/>
        </w:rPr>
        <w:t>ávei</w:t>
      </w:r>
      <w:r w:rsidR="003620C6" w:rsidRPr="00337743">
        <w:rPr>
          <w:rFonts w:ascii="Cambria" w:hAnsi="Cambria" w:cs="Verdana"/>
          <w:sz w:val="20"/>
          <w:szCs w:val="20"/>
          <w:lang w:val="pt-BR"/>
        </w:rPr>
        <w:t xml:space="preserve">s </w:t>
      </w:r>
      <w:r w:rsidR="00295DAB" w:rsidRPr="00337743">
        <w:rPr>
          <w:rFonts w:ascii="Cambria" w:hAnsi="Cambria" w:cs="Verdana"/>
          <w:sz w:val="20"/>
          <w:szCs w:val="20"/>
          <w:lang w:val="pt-BR"/>
        </w:rPr>
        <w:t>também</w:t>
      </w:r>
      <w:r w:rsidR="003620C6" w:rsidRPr="00337743">
        <w:rPr>
          <w:rFonts w:ascii="Cambria" w:hAnsi="Cambria" w:cs="Verdana"/>
          <w:sz w:val="20"/>
          <w:szCs w:val="20"/>
          <w:lang w:val="pt-BR"/>
        </w:rPr>
        <w:t xml:space="preserve"> frente a pos</w:t>
      </w:r>
      <w:r w:rsidRPr="00337743">
        <w:rPr>
          <w:rFonts w:ascii="Cambria" w:hAnsi="Cambria" w:cs="Verdana"/>
          <w:sz w:val="20"/>
          <w:szCs w:val="20"/>
          <w:lang w:val="pt-BR"/>
        </w:rPr>
        <w:t>sívei</w:t>
      </w:r>
      <w:r w:rsidR="003620C6" w:rsidRPr="00337743">
        <w:rPr>
          <w:rFonts w:ascii="Cambria" w:hAnsi="Cambria" w:cs="Verdana"/>
          <w:sz w:val="20"/>
          <w:szCs w:val="20"/>
          <w:lang w:val="pt-BR"/>
        </w:rPr>
        <w:t xml:space="preserve">s </w:t>
      </w:r>
      <w:r w:rsidR="00295DAB" w:rsidRPr="00337743">
        <w:rPr>
          <w:rFonts w:ascii="Cambria" w:hAnsi="Cambria" w:cs="Verdana"/>
          <w:sz w:val="20"/>
          <w:szCs w:val="20"/>
          <w:lang w:val="pt-BR"/>
        </w:rPr>
        <w:t>atos</w:t>
      </w:r>
      <w:r w:rsidR="003620C6" w:rsidRPr="00337743">
        <w:rPr>
          <w:rFonts w:ascii="Cambria" w:hAnsi="Cambria" w:cs="Verdana"/>
          <w:sz w:val="20"/>
          <w:szCs w:val="20"/>
          <w:lang w:val="pt-BR"/>
        </w:rPr>
        <w:t xml:space="preserve"> de </w:t>
      </w:r>
      <w:r w:rsidR="008E4939" w:rsidRPr="00337743">
        <w:rPr>
          <w:rFonts w:ascii="Cambria" w:hAnsi="Cambria" w:cs="Verdana"/>
          <w:sz w:val="20"/>
          <w:szCs w:val="20"/>
          <w:lang w:val="pt-BR"/>
        </w:rPr>
        <w:t>atores</w:t>
      </w:r>
      <w:r w:rsidR="00091880" w:rsidRPr="00337743">
        <w:rPr>
          <w:rFonts w:ascii="Cambria" w:hAnsi="Cambria" w:cs="Verdana"/>
          <w:sz w:val="20"/>
          <w:szCs w:val="20"/>
          <w:lang w:val="pt-BR"/>
        </w:rPr>
        <w:t xml:space="preserve"> não </w:t>
      </w:r>
      <w:r w:rsidR="003620C6" w:rsidRPr="00337743">
        <w:rPr>
          <w:rFonts w:ascii="Cambria" w:hAnsi="Cambria" w:cs="Verdana"/>
          <w:sz w:val="20"/>
          <w:szCs w:val="20"/>
          <w:lang w:val="pt-BR"/>
        </w:rPr>
        <w:t>estat</w:t>
      </w:r>
      <w:r w:rsidR="007707E3" w:rsidRPr="00337743">
        <w:rPr>
          <w:rFonts w:ascii="Cambria" w:hAnsi="Cambria" w:cs="Verdana"/>
          <w:sz w:val="20"/>
          <w:szCs w:val="20"/>
          <w:lang w:val="pt-BR"/>
        </w:rPr>
        <w:t>ais</w:t>
      </w:r>
      <w:r w:rsidR="003620C6" w:rsidRPr="00337743">
        <w:rPr>
          <w:rFonts w:ascii="Cambria" w:hAnsi="Cambria" w:cs="Verdana"/>
          <w:sz w:val="20"/>
          <w:szCs w:val="20"/>
          <w:lang w:val="pt-BR"/>
        </w:rPr>
        <w:t xml:space="preserve">. </w:t>
      </w:r>
      <w:r w:rsidR="00295DAB" w:rsidRPr="00337743">
        <w:rPr>
          <w:rFonts w:ascii="Cambria" w:hAnsi="Cambria" w:cs="Verdana"/>
          <w:sz w:val="20"/>
          <w:szCs w:val="20"/>
          <w:lang w:val="pt-BR"/>
        </w:rPr>
        <w:t>Especificamente</w:t>
      </w:r>
      <w:r w:rsidR="003620C6" w:rsidRPr="00337743">
        <w:rPr>
          <w:rFonts w:ascii="Cambria" w:hAnsi="Cambria" w:cs="Verdana"/>
          <w:sz w:val="20"/>
          <w:szCs w:val="20"/>
          <w:lang w:val="pt-BR"/>
        </w:rPr>
        <w:t>,</w:t>
      </w:r>
      <w:r w:rsidR="00506331" w:rsidRPr="00337743">
        <w:rPr>
          <w:rFonts w:ascii="Cambria" w:hAnsi="Cambria" w:cs="Verdana"/>
          <w:sz w:val="20"/>
          <w:szCs w:val="20"/>
          <w:lang w:val="pt-BR"/>
        </w:rPr>
        <w:t xml:space="preserve"> a </w:t>
      </w:r>
      <w:r w:rsidR="003620C6" w:rsidRPr="00337743">
        <w:rPr>
          <w:rFonts w:ascii="Cambria" w:hAnsi="Cambria" w:cs="Arial"/>
          <w:sz w:val="20"/>
          <w:szCs w:val="20"/>
          <w:lang w:val="pt-BR"/>
        </w:rPr>
        <w:t>Corte indic</w:t>
      </w:r>
      <w:r w:rsidRPr="00337743">
        <w:rPr>
          <w:rFonts w:ascii="Cambria" w:hAnsi="Cambria" w:cs="Arial"/>
          <w:sz w:val="20"/>
          <w:szCs w:val="20"/>
          <w:lang w:val="pt-BR"/>
        </w:rPr>
        <w:t>ou</w:t>
      </w:r>
      <w:r w:rsidR="003620C6" w:rsidRPr="00337743">
        <w:rPr>
          <w:rFonts w:ascii="Cambria" w:hAnsi="Cambria" w:cs="Arial"/>
          <w:sz w:val="20"/>
          <w:szCs w:val="20"/>
          <w:lang w:val="pt-BR"/>
        </w:rPr>
        <w:t xml:space="preserve"> que “</w:t>
      </w:r>
      <w:r w:rsidR="003620C6" w:rsidRPr="00337743">
        <w:rPr>
          <w:rFonts w:ascii="Cambria" w:hAnsi="Cambria"/>
          <w:sz w:val="20"/>
          <w:szCs w:val="20"/>
          <w:lang w:val="pt-BR"/>
        </w:rPr>
        <w:t>p</w:t>
      </w:r>
      <w:r w:rsidRPr="00337743">
        <w:rPr>
          <w:rFonts w:ascii="Cambria" w:hAnsi="Cambria"/>
          <w:sz w:val="20"/>
          <w:szCs w:val="20"/>
          <w:lang w:val="pt-BR"/>
        </w:rPr>
        <w:t>o</w:t>
      </w:r>
      <w:r w:rsidR="003620C6" w:rsidRPr="00337743">
        <w:rPr>
          <w:rFonts w:ascii="Cambria" w:hAnsi="Cambria"/>
          <w:sz w:val="20"/>
          <w:szCs w:val="20"/>
          <w:lang w:val="pt-BR"/>
        </w:rPr>
        <w:t>de</w:t>
      </w:r>
      <w:r w:rsidRPr="00337743">
        <w:rPr>
          <w:rFonts w:ascii="Cambria" w:hAnsi="Cambria"/>
          <w:sz w:val="20"/>
          <w:szCs w:val="20"/>
          <w:lang w:val="pt-BR"/>
        </w:rPr>
        <w:t>-se</w:t>
      </w:r>
      <w:r w:rsidR="003620C6" w:rsidRPr="00337743">
        <w:rPr>
          <w:rFonts w:ascii="Cambria" w:hAnsi="Cambria"/>
          <w:sz w:val="20"/>
          <w:szCs w:val="20"/>
          <w:lang w:val="pt-BR"/>
        </w:rPr>
        <w:t xml:space="preserve"> gerar</w:t>
      </w:r>
      <w:r w:rsidR="003620C6" w:rsidRPr="00337743">
        <w:rPr>
          <w:rFonts w:ascii="Cambria" w:hAnsi="Cambria"/>
          <w:b/>
          <w:sz w:val="20"/>
          <w:szCs w:val="20"/>
          <w:lang w:val="pt-BR"/>
        </w:rPr>
        <w:t xml:space="preserve"> </w:t>
      </w:r>
      <w:r w:rsidR="003620C6" w:rsidRPr="00337743">
        <w:rPr>
          <w:rFonts w:ascii="Cambria" w:hAnsi="Cambria"/>
          <w:sz w:val="20"/>
          <w:szCs w:val="20"/>
          <w:lang w:val="pt-BR"/>
        </w:rPr>
        <w:t>responsabili</w:t>
      </w:r>
      <w:r w:rsidR="00350E7E" w:rsidRPr="00337743">
        <w:rPr>
          <w:rFonts w:ascii="Cambria" w:hAnsi="Cambria"/>
          <w:sz w:val="20"/>
          <w:szCs w:val="20"/>
          <w:lang w:val="pt-BR"/>
        </w:rPr>
        <w:t xml:space="preserve">dade </w:t>
      </w:r>
      <w:r w:rsidR="003620C6" w:rsidRPr="00337743">
        <w:rPr>
          <w:rFonts w:ascii="Cambria" w:hAnsi="Cambria"/>
          <w:sz w:val="20"/>
          <w:szCs w:val="20"/>
          <w:lang w:val="pt-BR"/>
        </w:rPr>
        <w:t>internacional</w:t>
      </w:r>
      <w:r w:rsidR="007707E3" w:rsidRPr="00337743">
        <w:rPr>
          <w:rFonts w:ascii="Cambria" w:hAnsi="Cambria"/>
          <w:b/>
          <w:sz w:val="20"/>
          <w:szCs w:val="20"/>
          <w:lang w:val="pt-BR"/>
        </w:rPr>
        <w:t xml:space="preserve"> </w:t>
      </w:r>
      <w:r w:rsidR="007707E3" w:rsidRPr="00337743">
        <w:rPr>
          <w:rFonts w:ascii="Cambria" w:hAnsi="Cambria"/>
          <w:sz w:val="20"/>
          <w:szCs w:val="20"/>
          <w:lang w:val="pt-BR"/>
        </w:rPr>
        <w:t>do</w:t>
      </w:r>
      <w:r w:rsidR="007707E3" w:rsidRPr="00337743">
        <w:rPr>
          <w:rFonts w:ascii="Cambria" w:hAnsi="Cambria"/>
          <w:b/>
          <w:sz w:val="20"/>
          <w:szCs w:val="20"/>
          <w:lang w:val="pt-BR"/>
        </w:rPr>
        <w:t xml:space="preserve"> </w:t>
      </w:r>
      <w:r w:rsidR="003620C6" w:rsidRPr="00337743">
        <w:rPr>
          <w:rFonts w:ascii="Cambria" w:hAnsi="Cambria"/>
          <w:sz w:val="20"/>
          <w:szCs w:val="20"/>
          <w:lang w:val="pt-BR"/>
        </w:rPr>
        <w:t xml:space="preserve">Estado por </w:t>
      </w:r>
      <w:r w:rsidR="00295DAB" w:rsidRPr="00337743">
        <w:rPr>
          <w:rFonts w:ascii="Cambria" w:hAnsi="Cambria"/>
          <w:sz w:val="20"/>
          <w:szCs w:val="20"/>
          <w:lang w:val="pt-BR"/>
        </w:rPr>
        <w:t>atribuição</w:t>
      </w:r>
      <w:r w:rsidR="003620C6" w:rsidRPr="00337743">
        <w:rPr>
          <w:rFonts w:ascii="Cambria" w:hAnsi="Cambria"/>
          <w:sz w:val="20"/>
          <w:szCs w:val="20"/>
          <w:lang w:val="pt-BR"/>
        </w:rPr>
        <w:t xml:space="preserve"> a </w:t>
      </w:r>
      <w:r w:rsidR="008E4939" w:rsidRPr="00337743">
        <w:rPr>
          <w:rFonts w:ascii="Cambria" w:hAnsi="Cambria"/>
          <w:sz w:val="20"/>
          <w:szCs w:val="20"/>
          <w:lang w:val="pt-BR"/>
        </w:rPr>
        <w:t>este</w:t>
      </w:r>
      <w:r w:rsidR="003620C6" w:rsidRPr="00337743">
        <w:rPr>
          <w:rFonts w:ascii="Cambria" w:hAnsi="Cambria"/>
          <w:sz w:val="20"/>
          <w:szCs w:val="20"/>
          <w:lang w:val="pt-BR"/>
        </w:rPr>
        <w:t xml:space="preserve"> de </w:t>
      </w:r>
      <w:r w:rsidR="00295DAB" w:rsidRPr="00337743">
        <w:rPr>
          <w:rFonts w:ascii="Cambria" w:hAnsi="Cambria"/>
          <w:sz w:val="20"/>
          <w:szCs w:val="20"/>
          <w:lang w:val="pt-BR"/>
        </w:rPr>
        <w:t>atos</w:t>
      </w:r>
      <w:r w:rsidR="003620C6" w:rsidRPr="00337743">
        <w:rPr>
          <w:rFonts w:ascii="Cambria" w:hAnsi="Cambria"/>
          <w:sz w:val="20"/>
          <w:szCs w:val="20"/>
          <w:lang w:val="pt-BR"/>
        </w:rPr>
        <w:t xml:space="preserve"> </w:t>
      </w:r>
      <w:r w:rsidR="008E4939" w:rsidRPr="00337743">
        <w:rPr>
          <w:rFonts w:ascii="Cambria" w:hAnsi="Cambria"/>
          <w:sz w:val="20"/>
          <w:szCs w:val="20"/>
          <w:lang w:val="pt-BR"/>
        </w:rPr>
        <w:t xml:space="preserve">que </w:t>
      </w:r>
      <w:r w:rsidR="003620C6" w:rsidRPr="00337743">
        <w:rPr>
          <w:rFonts w:ascii="Cambria" w:hAnsi="Cambria"/>
          <w:sz w:val="20"/>
          <w:szCs w:val="20"/>
          <w:lang w:val="pt-BR"/>
        </w:rPr>
        <w:t>viola</w:t>
      </w:r>
      <w:r w:rsidR="008E4939" w:rsidRPr="00337743">
        <w:rPr>
          <w:rFonts w:ascii="Cambria" w:hAnsi="Cambria"/>
          <w:sz w:val="20"/>
          <w:szCs w:val="20"/>
          <w:lang w:val="pt-BR"/>
        </w:rPr>
        <w:t>m</w:t>
      </w:r>
      <w:r w:rsidR="003620C6" w:rsidRPr="00337743">
        <w:rPr>
          <w:rFonts w:ascii="Cambria" w:hAnsi="Cambria"/>
          <w:sz w:val="20"/>
          <w:szCs w:val="20"/>
          <w:lang w:val="pt-BR"/>
        </w:rPr>
        <w:t xml:space="preserve"> </w:t>
      </w:r>
      <w:r w:rsidR="00350E7E" w:rsidRPr="00337743">
        <w:rPr>
          <w:rFonts w:ascii="Cambria" w:hAnsi="Cambria"/>
          <w:sz w:val="20"/>
          <w:szCs w:val="20"/>
          <w:lang w:val="pt-BR"/>
        </w:rPr>
        <w:t>direito</w:t>
      </w:r>
      <w:r w:rsidR="003620C6" w:rsidRPr="00337743">
        <w:rPr>
          <w:rFonts w:ascii="Cambria" w:hAnsi="Cambria"/>
          <w:sz w:val="20"/>
          <w:szCs w:val="20"/>
          <w:lang w:val="pt-BR"/>
        </w:rPr>
        <w:t>s humanos</w:t>
      </w:r>
      <w:r w:rsidR="003620C6" w:rsidRPr="00337743">
        <w:rPr>
          <w:rFonts w:ascii="Cambria" w:hAnsi="Cambria"/>
          <w:b/>
          <w:sz w:val="20"/>
          <w:szCs w:val="20"/>
          <w:lang w:val="pt-BR"/>
        </w:rPr>
        <w:t xml:space="preserve"> </w:t>
      </w:r>
      <w:r w:rsidR="003620C6" w:rsidRPr="00337743">
        <w:rPr>
          <w:rFonts w:ascii="Cambria" w:hAnsi="Cambria"/>
          <w:sz w:val="20"/>
          <w:szCs w:val="20"/>
          <w:lang w:val="pt-BR"/>
        </w:rPr>
        <w:t>cometidos por</w:t>
      </w:r>
      <w:r w:rsidR="003620C6" w:rsidRPr="00337743">
        <w:rPr>
          <w:rFonts w:ascii="Cambria" w:hAnsi="Cambria"/>
          <w:b/>
          <w:sz w:val="20"/>
          <w:szCs w:val="20"/>
          <w:lang w:val="pt-BR"/>
        </w:rPr>
        <w:t xml:space="preserve"> </w:t>
      </w:r>
      <w:r w:rsidR="00295DAB" w:rsidRPr="00337743">
        <w:rPr>
          <w:rFonts w:ascii="Cambria" w:hAnsi="Cambria"/>
          <w:sz w:val="20"/>
          <w:szCs w:val="20"/>
          <w:lang w:val="pt-BR"/>
        </w:rPr>
        <w:t>terceiros</w:t>
      </w:r>
      <w:r w:rsidR="003620C6" w:rsidRPr="00337743">
        <w:rPr>
          <w:rFonts w:ascii="Cambria" w:hAnsi="Cambria"/>
          <w:sz w:val="20"/>
          <w:szCs w:val="20"/>
          <w:lang w:val="pt-BR"/>
        </w:rPr>
        <w:t xml:space="preserve"> o</w:t>
      </w:r>
      <w:r w:rsidRPr="00337743">
        <w:rPr>
          <w:rFonts w:ascii="Cambria" w:hAnsi="Cambria"/>
          <w:sz w:val="20"/>
          <w:szCs w:val="20"/>
          <w:lang w:val="pt-BR"/>
        </w:rPr>
        <w:t>u</w:t>
      </w:r>
      <w:r w:rsidR="003620C6" w:rsidRPr="00337743">
        <w:rPr>
          <w:rFonts w:ascii="Cambria" w:hAnsi="Cambria"/>
          <w:sz w:val="20"/>
          <w:szCs w:val="20"/>
          <w:lang w:val="pt-BR"/>
        </w:rPr>
        <w:t xml:space="preserve"> particulares,</w:t>
      </w:r>
      <w:r w:rsidR="00091880" w:rsidRPr="00337743">
        <w:rPr>
          <w:rFonts w:ascii="Cambria" w:hAnsi="Cambria"/>
          <w:sz w:val="20"/>
          <w:szCs w:val="20"/>
          <w:lang w:val="pt-BR"/>
        </w:rPr>
        <w:t xml:space="preserve"> no </w:t>
      </w:r>
      <w:r w:rsidRPr="00337743">
        <w:rPr>
          <w:rFonts w:ascii="Cambria" w:hAnsi="Cambria"/>
          <w:sz w:val="20"/>
          <w:szCs w:val="20"/>
          <w:lang w:val="pt-BR"/>
        </w:rPr>
        <w:t>âmbito</w:t>
      </w:r>
      <w:r w:rsidR="00DB5118" w:rsidRPr="00337743">
        <w:rPr>
          <w:rFonts w:ascii="Cambria" w:hAnsi="Cambria"/>
          <w:sz w:val="20"/>
          <w:szCs w:val="20"/>
          <w:lang w:val="pt-BR"/>
        </w:rPr>
        <w:t xml:space="preserve"> das </w:t>
      </w:r>
      <w:r w:rsidR="004C2ACB" w:rsidRPr="00337743">
        <w:rPr>
          <w:rFonts w:ascii="Cambria" w:hAnsi="Cambria"/>
          <w:sz w:val="20"/>
          <w:szCs w:val="20"/>
          <w:lang w:val="pt-BR"/>
        </w:rPr>
        <w:t>obri</w:t>
      </w:r>
      <w:r w:rsidR="003620C6" w:rsidRPr="00337743">
        <w:rPr>
          <w:rFonts w:ascii="Cambria" w:hAnsi="Cambria"/>
          <w:sz w:val="20"/>
          <w:szCs w:val="20"/>
          <w:lang w:val="pt-BR"/>
        </w:rPr>
        <w:t>ga</w:t>
      </w:r>
      <w:r w:rsidR="00350E7E" w:rsidRPr="00337743">
        <w:rPr>
          <w:rFonts w:ascii="Cambria" w:hAnsi="Cambria"/>
          <w:sz w:val="20"/>
          <w:szCs w:val="20"/>
          <w:lang w:val="pt-BR"/>
        </w:rPr>
        <w:t>ções</w:t>
      </w:r>
      <w:r w:rsidR="007707E3" w:rsidRPr="00337743">
        <w:rPr>
          <w:rFonts w:ascii="Cambria" w:hAnsi="Cambria"/>
          <w:sz w:val="20"/>
          <w:szCs w:val="20"/>
          <w:lang w:val="pt-BR"/>
        </w:rPr>
        <w:t xml:space="preserve"> do </w:t>
      </w:r>
      <w:r w:rsidR="003620C6" w:rsidRPr="00337743">
        <w:rPr>
          <w:rFonts w:ascii="Cambria" w:hAnsi="Cambria"/>
          <w:sz w:val="20"/>
          <w:szCs w:val="20"/>
          <w:lang w:val="pt-BR"/>
        </w:rPr>
        <w:t>Estado de garantir</w:t>
      </w:r>
      <w:r w:rsidR="00506331" w:rsidRPr="00337743">
        <w:rPr>
          <w:rFonts w:ascii="Cambria" w:hAnsi="Cambria"/>
          <w:sz w:val="20"/>
          <w:szCs w:val="20"/>
          <w:lang w:val="pt-BR"/>
        </w:rPr>
        <w:t xml:space="preserve"> o </w:t>
      </w:r>
      <w:r w:rsidR="00295DAB" w:rsidRPr="00337743">
        <w:rPr>
          <w:rFonts w:ascii="Cambria" w:hAnsi="Cambria"/>
          <w:sz w:val="20"/>
          <w:szCs w:val="20"/>
          <w:lang w:val="pt-BR"/>
        </w:rPr>
        <w:t>respeito</w:t>
      </w:r>
      <w:r w:rsidR="003620C6" w:rsidRPr="00337743">
        <w:rPr>
          <w:rFonts w:ascii="Cambria" w:hAnsi="Cambria"/>
          <w:sz w:val="20"/>
          <w:szCs w:val="20"/>
          <w:lang w:val="pt-BR"/>
        </w:rPr>
        <w:t xml:space="preserve"> a es</w:t>
      </w:r>
      <w:r w:rsidRPr="00337743">
        <w:rPr>
          <w:rFonts w:ascii="Cambria" w:hAnsi="Cambria"/>
          <w:sz w:val="20"/>
          <w:szCs w:val="20"/>
          <w:lang w:val="pt-BR"/>
        </w:rPr>
        <w:t>se</w:t>
      </w:r>
      <w:r w:rsidR="003620C6" w:rsidRPr="00337743">
        <w:rPr>
          <w:rFonts w:ascii="Cambria" w:hAnsi="Cambria"/>
          <w:sz w:val="20"/>
          <w:szCs w:val="20"/>
          <w:lang w:val="pt-BR"/>
        </w:rPr>
        <w:t xml:space="preserve">s </w:t>
      </w:r>
      <w:r w:rsidR="00350E7E" w:rsidRPr="00337743">
        <w:rPr>
          <w:rFonts w:ascii="Cambria" w:hAnsi="Cambria"/>
          <w:sz w:val="20"/>
          <w:szCs w:val="20"/>
          <w:lang w:val="pt-BR"/>
        </w:rPr>
        <w:t>direito</w:t>
      </w:r>
      <w:r w:rsidR="003620C6" w:rsidRPr="00337743">
        <w:rPr>
          <w:rFonts w:ascii="Cambria" w:hAnsi="Cambria"/>
          <w:sz w:val="20"/>
          <w:szCs w:val="20"/>
          <w:lang w:val="pt-BR"/>
        </w:rPr>
        <w:t xml:space="preserve">s entre </w:t>
      </w:r>
      <w:r w:rsidR="00295DAB" w:rsidRPr="00337743">
        <w:rPr>
          <w:rFonts w:ascii="Cambria" w:hAnsi="Cambria"/>
          <w:sz w:val="20"/>
          <w:szCs w:val="20"/>
          <w:lang w:val="pt-BR"/>
        </w:rPr>
        <w:t>indivíduos</w:t>
      </w:r>
      <w:r w:rsidR="003620C6" w:rsidRPr="00337743">
        <w:rPr>
          <w:rStyle w:val="FootnoteReference"/>
          <w:rFonts w:ascii="Cambria" w:hAnsi="Cambria"/>
          <w:sz w:val="20"/>
          <w:szCs w:val="20"/>
          <w:lang w:val="pt-BR"/>
        </w:rPr>
        <w:footnoteReference w:id="99"/>
      </w:r>
      <w:r w:rsidR="003620C6" w:rsidRPr="00337743">
        <w:rPr>
          <w:rFonts w:ascii="Cambria" w:hAnsi="Cambria"/>
          <w:sz w:val="20"/>
          <w:szCs w:val="20"/>
          <w:lang w:val="pt-BR"/>
        </w:rPr>
        <w:t xml:space="preserve"> (…)</w:t>
      </w:r>
      <w:r w:rsidR="007707E3" w:rsidRPr="00337743">
        <w:rPr>
          <w:rFonts w:ascii="Cambria" w:hAnsi="Cambria"/>
          <w:sz w:val="20"/>
          <w:szCs w:val="20"/>
          <w:lang w:val="pt-BR"/>
        </w:rPr>
        <w:t xml:space="preserve"> as </w:t>
      </w:r>
      <w:r w:rsidR="004C2ACB" w:rsidRPr="00337743">
        <w:rPr>
          <w:rFonts w:ascii="Cambria" w:hAnsi="Cambria"/>
          <w:sz w:val="20"/>
          <w:szCs w:val="20"/>
          <w:lang w:val="pt-BR"/>
        </w:rPr>
        <w:t>obri</w:t>
      </w:r>
      <w:r w:rsidR="003620C6" w:rsidRPr="00337743">
        <w:rPr>
          <w:rFonts w:ascii="Cambria" w:hAnsi="Cambria"/>
          <w:sz w:val="20"/>
          <w:szCs w:val="20"/>
          <w:lang w:val="pt-BR"/>
        </w:rPr>
        <w:t>ga</w:t>
      </w:r>
      <w:r w:rsidR="00350E7E" w:rsidRPr="00337743">
        <w:rPr>
          <w:rFonts w:ascii="Cambria" w:hAnsi="Cambria"/>
          <w:sz w:val="20"/>
          <w:szCs w:val="20"/>
          <w:lang w:val="pt-BR"/>
        </w:rPr>
        <w:t>ções</w:t>
      </w:r>
      <w:r w:rsidR="003620C6" w:rsidRPr="00337743">
        <w:rPr>
          <w:rFonts w:ascii="Cambria" w:hAnsi="Cambria"/>
          <w:sz w:val="20"/>
          <w:szCs w:val="20"/>
          <w:lang w:val="pt-BR"/>
        </w:rPr>
        <w:t xml:space="preserve"> </w:t>
      </w:r>
      <w:r w:rsidR="003620C6" w:rsidRPr="00337743">
        <w:rPr>
          <w:rFonts w:ascii="Cambria" w:hAnsi="Cambria"/>
          <w:i/>
          <w:sz w:val="20"/>
          <w:szCs w:val="20"/>
          <w:lang w:val="pt-BR"/>
        </w:rPr>
        <w:t>erga omnes</w:t>
      </w:r>
      <w:r w:rsidR="003620C6" w:rsidRPr="00337743">
        <w:rPr>
          <w:rFonts w:ascii="Cambria" w:hAnsi="Cambria"/>
          <w:sz w:val="20"/>
          <w:szCs w:val="20"/>
          <w:lang w:val="pt-BR"/>
        </w:rPr>
        <w:t xml:space="preserve"> de </w:t>
      </w:r>
      <w:r w:rsidR="00295DAB" w:rsidRPr="00337743">
        <w:rPr>
          <w:rFonts w:ascii="Cambria" w:hAnsi="Cambria"/>
          <w:sz w:val="20"/>
          <w:szCs w:val="20"/>
          <w:lang w:val="pt-BR"/>
        </w:rPr>
        <w:t>respeitar</w:t>
      </w:r>
      <w:r w:rsidR="00506331" w:rsidRPr="00337743">
        <w:rPr>
          <w:rFonts w:ascii="Cambria" w:hAnsi="Cambria"/>
          <w:sz w:val="20"/>
          <w:szCs w:val="20"/>
          <w:lang w:val="pt-BR"/>
        </w:rPr>
        <w:t xml:space="preserve"> e </w:t>
      </w:r>
      <w:r w:rsidR="008E4939" w:rsidRPr="00337743">
        <w:rPr>
          <w:rFonts w:ascii="Cambria" w:hAnsi="Cambria"/>
          <w:sz w:val="20"/>
          <w:szCs w:val="20"/>
          <w:lang w:val="pt-BR"/>
        </w:rPr>
        <w:t>fazer</w:t>
      </w:r>
      <w:r w:rsidR="003620C6" w:rsidRPr="00337743">
        <w:rPr>
          <w:rFonts w:ascii="Cambria" w:hAnsi="Cambria"/>
          <w:sz w:val="20"/>
          <w:szCs w:val="20"/>
          <w:lang w:val="pt-BR"/>
        </w:rPr>
        <w:t xml:space="preserve"> </w:t>
      </w:r>
      <w:r w:rsidR="008E4939" w:rsidRPr="00337743">
        <w:rPr>
          <w:rFonts w:ascii="Cambria" w:hAnsi="Cambria"/>
          <w:sz w:val="20"/>
          <w:szCs w:val="20"/>
          <w:lang w:val="pt-BR"/>
        </w:rPr>
        <w:t>respeitar</w:t>
      </w:r>
      <w:r w:rsidR="007707E3" w:rsidRPr="00337743">
        <w:rPr>
          <w:rFonts w:ascii="Cambria" w:hAnsi="Cambria"/>
          <w:sz w:val="20"/>
          <w:szCs w:val="20"/>
          <w:lang w:val="pt-BR"/>
        </w:rPr>
        <w:t xml:space="preserve"> as </w:t>
      </w:r>
      <w:r w:rsidR="003620C6" w:rsidRPr="00337743">
        <w:rPr>
          <w:rFonts w:ascii="Cambria" w:hAnsi="Cambria"/>
          <w:sz w:val="20"/>
          <w:szCs w:val="20"/>
          <w:lang w:val="pt-BR"/>
        </w:rPr>
        <w:t>normas de prote</w:t>
      </w:r>
      <w:r w:rsidR="007707E3" w:rsidRPr="00337743">
        <w:rPr>
          <w:rFonts w:ascii="Cambria" w:hAnsi="Cambria"/>
          <w:sz w:val="20"/>
          <w:szCs w:val="20"/>
          <w:lang w:val="pt-BR"/>
        </w:rPr>
        <w:t>ç</w:t>
      </w:r>
      <w:r w:rsidR="00350E7E" w:rsidRPr="00337743">
        <w:rPr>
          <w:rFonts w:ascii="Cambria" w:hAnsi="Cambria"/>
          <w:sz w:val="20"/>
          <w:szCs w:val="20"/>
          <w:lang w:val="pt-BR"/>
        </w:rPr>
        <w:t>ão</w:t>
      </w:r>
      <w:r w:rsidR="003620C6" w:rsidRPr="00337743">
        <w:rPr>
          <w:rFonts w:ascii="Cambria" w:hAnsi="Cambria"/>
          <w:sz w:val="20"/>
          <w:szCs w:val="20"/>
          <w:lang w:val="pt-BR"/>
        </w:rPr>
        <w:t>, a cargo</w:t>
      </w:r>
      <w:r w:rsidR="00E96C24" w:rsidRPr="00337743">
        <w:rPr>
          <w:rFonts w:ascii="Cambria" w:hAnsi="Cambria"/>
          <w:sz w:val="20"/>
          <w:szCs w:val="20"/>
          <w:lang w:val="pt-BR"/>
        </w:rPr>
        <w:t xml:space="preserve"> dos </w:t>
      </w:r>
      <w:r w:rsidR="003620C6" w:rsidRPr="00337743">
        <w:rPr>
          <w:rFonts w:ascii="Cambria" w:hAnsi="Cambria"/>
          <w:sz w:val="20"/>
          <w:szCs w:val="20"/>
          <w:lang w:val="pt-BR"/>
        </w:rPr>
        <w:t>Estados Partes</w:t>
      </w:r>
      <w:r w:rsidR="00091880" w:rsidRPr="00337743">
        <w:rPr>
          <w:rFonts w:ascii="Cambria" w:hAnsi="Cambria"/>
          <w:sz w:val="20"/>
          <w:szCs w:val="20"/>
          <w:lang w:val="pt-BR"/>
        </w:rPr>
        <w:t xml:space="preserve"> na </w:t>
      </w:r>
      <w:r w:rsidR="003620C6" w:rsidRPr="00337743">
        <w:rPr>
          <w:rFonts w:ascii="Cambria" w:hAnsi="Cambria"/>
          <w:sz w:val="20"/>
          <w:szCs w:val="20"/>
          <w:lang w:val="pt-BR"/>
        </w:rPr>
        <w:t>Conven</w:t>
      </w:r>
      <w:r w:rsidR="00350E7E" w:rsidRPr="00337743">
        <w:rPr>
          <w:rFonts w:ascii="Cambria" w:hAnsi="Cambria"/>
          <w:sz w:val="20"/>
          <w:szCs w:val="20"/>
          <w:lang w:val="pt-BR"/>
        </w:rPr>
        <w:t>ção</w:t>
      </w:r>
      <w:r w:rsidR="003620C6" w:rsidRPr="00337743">
        <w:rPr>
          <w:rFonts w:ascii="Cambria" w:hAnsi="Cambria"/>
          <w:sz w:val="20"/>
          <w:szCs w:val="20"/>
          <w:lang w:val="pt-BR"/>
        </w:rPr>
        <w:t xml:space="preserve">, </w:t>
      </w:r>
      <w:r w:rsidR="00295DAB" w:rsidRPr="00337743">
        <w:rPr>
          <w:rFonts w:ascii="Cambria" w:hAnsi="Cambria"/>
          <w:sz w:val="20"/>
          <w:szCs w:val="20"/>
          <w:lang w:val="pt-BR"/>
        </w:rPr>
        <w:t>projetam</w:t>
      </w:r>
      <w:r w:rsidR="003620C6" w:rsidRPr="00337743">
        <w:rPr>
          <w:rFonts w:ascii="Cambria" w:hAnsi="Cambria"/>
          <w:sz w:val="20"/>
          <w:szCs w:val="20"/>
          <w:lang w:val="pt-BR"/>
        </w:rPr>
        <w:t xml:space="preserve"> s</w:t>
      </w:r>
      <w:r w:rsidR="0052503E" w:rsidRPr="00337743">
        <w:rPr>
          <w:rFonts w:ascii="Cambria" w:hAnsi="Cambria"/>
          <w:sz w:val="20"/>
          <w:szCs w:val="20"/>
          <w:lang w:val="pt-BR"/>
        </w:rPr>
        <w:t>e</w:t>
      </w:r>
      <w:r w:rsidR="003620C6" w:rsidRPr="00337743">
        <w:rPr>
          <w:rFonts w:ascii="Cambria" w:hAnsi="Cambria"/>
          <w:sz w:val="20"/>
          <w:szCs w:val="20"/>
          <w:lang w:val="pt-BR"/>
        </w:rPr>
        <w:t xml:space="preserve">us </w:t>
      </w:r>
      <w:r w:rsidR="008E4939" w:rsidRPr="00337743">
        <w:rPr>
          <w:rFonts w:ascii="Cambria" w:hAnsi="Cambria"/>
          <w:sz w:val="20"/>
          <w:szCs w:val="20"/>
          <w:lang w:val="pt-BR"/>
        </w:rPr>
        <w:t>efeitos</w:t>
      </w:r>
      <w:r w:rsidR="003620C6" w:rsidRPr="00337743">
        <w:rPr>
          <w:rFonts w:ascii="Cambria" w:hAnsi="Cambria"/>
          <w:sz w:val="20"/>
          <w:szCs w:val="20"/>
          <w:lang w:val="pt-BR"/>
        </w:rPr>
        <w:t xml:space="preserve"> </w:t>
      </w:r>
      <w:r w:rsidRPr="00337743">
        <w:rPr>
          <w:rFonts w:ascii="Cambria" w:hAnsi="Cambria"/>
          <w:sz w:val="20"/>
          <w:szCs w:val="20"/>
          <w:lang w:val="pt-BR"/>
        </w:rPr>
        <w:t>além</w:t>
      </w:r>
      <w:r w:rsidR="007707E3" w:rsidRPr="00337743">
        <w:rPr>
          <w:rFonts w:ascii="Cambria" w:hAnsi="Cambria"/>
          <w:sz w:val="20"/>
          <w:szCs w:val="20"/>
          <w:lang w:val="pt-BR"/>
        </w:rPr>
        <w:t xml:space="preserve"> da </w:t>
      </w:r>
      <w:r w:rsidR="003620C6" w:rsidRPr="00337743">
        <w:rPr>
          <w:rFonts w:ascii="Cambria" w:hAnsi="Cambria"/>
          <w:sz w:val="20"/>
          <w:szCs w:val="20"/>
          <w:lang w:val="pt-BR"/>
        </w:rPr>
        <w:t>rela</w:t>
      </w:r>
      <w:r w:rsidR="00350E7E" w:rsidRPr="00337743">
        <w:rPr>
          <w:rFonts w:ascii="Cambria" w:hAnsi="Cambria"/>
          <w:sz w:val="20"/>
          <w:szCs w:val="20"/>
          <w:lang w:val="pt-BR"/>
        </w:rPr>
        <w:t>ção</w:t>
      </w:r>
      <w:r w:rsidR="003620C6" w:rsidRPr="00337743">
        <w:rPr>
          <w:rFonts w:ascii="Cambria" w:hAnsi="Cambria"/>
          <w:sz w:val="20"/>
          <w:szCs w:val="20"/>
          <w:lang w:val="pt-BR"/>
        </w:rPr>
        <w:t xml:space="preserve"> entre s</w:t>
      </w:r>
      <w:r w:rsidR="0052503E" w:rsidRPr="00337743">
        <w:rPr>
          <w:rFonts w:ascii="Cambria" w:hAnsi="Cambria"/>
          <w:sz w:val="20"/>
          <w:szCs w:val="20"/>
          <w:lang w:val="pt-BR"/>
        </w:rPr>
        <w:t>e</w:t>
      </w:r>
      <w:r w:rsidR="003620C6" w:rsidRPr="00337743">
        <w:rPr>
          <w:rFonts w:ascii="Cambria" w:hAnsi="Cambria"/>
          <w:sz w:val="20"/>
          <w:szCs w:val="20"/>
          <w:lang w:val="pt-BR"/>
        </w:rPr>
        <w:t>us agentes</w:t>
      </w:r>
      <w:r w:rsidR="00506331" w:rsidRPr="00337743">
        <w:rPr>
          <w:rFonts w:ascii="Cambria" w:hAnsi="Cambria"/>
          <w:sz w:val="20"/>
          <w:szCs w:val="20"/>
          <w:lang w:val="pt-BR"/>
        </w:rPr>
        <w:t xml:space="preserve"> e </w:t>
      </w:r>
      <w:r w:rsidR="007707E3" w:rsidRPr="00337743">
        <w:rPr>
          <w:rFonts w:ascii="Cambria" w:hAnsi="Cambria"/>
          <w:sz w:val="20"/>
          <w:szCs w:val="20"/>
          <w:lang w:val="pt-BR"/>
        </w:rPr>
        <w:t xml:space="preserve">as </w:t>
      </w:r>
      <w:r w:rsidRPr="00337743">
        <w:rPr>
          <w:rFonts w:ascii="Cambria" w:hAnsi="Cambria"/>
          <w:sz w:val="20"/>
          <w:szCs w:val="20"/>
          <w:lang w:val="pt-BR"/>
        </w:rPr>
        <w:t>pessoa</w:t>
      </w:r>
      <w:r w:rsidR="003620C6" w:rsidRPr="00337743">
        <w:rPr>
          <w:rFonts w:ascii="Cambria" w:hAnsi="Cambria"/>
          <w:sz w:val="20"/>
          <w:szCs w:val="20"/>
          <w:lang w:val="pt-BR"/>
        </w:rPr>
        <w:t>s s</w:t>
      </w:r>
      <w:r w:rsidR="0052503E" w:rsidRPr="00337743">
        <w:rPr>
          <w:rFonts w:ascii="Cambria" w:hAnsi="Cambria"/>
          <w:sz w:val="20"/>
          <w:szCs w:val="20"/>
          <w:lang w:val="pt-BR"/>
        </w:rPr>
        <w:t>ub</w:t>
      </w:r>
      <w:r w:rsidR="003620C6" w:rsidRPr="00337743">
        <w:rPr>
          <w:rFonts w:ascii="Cambria" w:hAnsi="Cambria"/>
          <w:sz w:val="20"/>
          <w:szCs w:val="20"/>
          <w:lang w:val="pt-BR"/>
        </w:rPr>
        <w:t xml:space="preserve">metidas </w:t>
      </w:r>
      <w:r w:rsidR="0052503E" w:rsidRPr="00337743">
        <w:rPr>
          <w:rFonts w:ascii="Cambria" w:hAnsi="Cambria"/>
          <w:sz w:val="20"/>
          <w:szCs w:val="20"/>
          <w:lang w:val="pt-BR"/>
        </w:rPr>
        <w:t>à</w:t>
      </w:r>
      <w:r w:rsidR="003620C6" w:rsidRPr="00337743">
        <w:rPr>
          <w:rFonts w:ascii="Cambria" w:hAnsi="Cambria"/>
          <w:sz w:val="20"/>
          <w:szCs w:val="20"/>
          <w:lang w:val="pt-BR"/>
        </w:rPr>
        <w:t xml:space="preserve"> </w:t>
      </w:r>
      <w:r w:rsidR="00295DAB" w:rsidRPr="00337743">
        <w:rPr>
          <w:rFonts w:ascii="Cambria" w:hAnsi="Cambria"/>
          <w:sz w:val="20"/>
          <w:szCs w:val="20"/>
          <w:lang w:val="pt-BR"/>
        </w:rPr>
        <w:t>sua</w:t>
      </w:r>
      <w:r w:rsidR="003620C6" w:rsidRPr="00337743">
        <w:rPr>
          <w:rFonts w:ascii="Cambria" w:hAnsi="Cambria"/>
          <w:sz w:val="20"/>
          <w:szCs w:val="20"/>
          <w:lang w:val="pt-BR"/>
        </w:rPr>
        <w:t xml:space="preserve"> jurisdi</w:t>
      </w:r>
      <w:r w:rsidR="007707E3" w:rsidRPr="00337743">
        <w:rPr>
          <w:rFonts w:ascii="Cambria" w:hAnsi="Cambria"/>
          <w:sz w:val="20"/>
          <w:szCs w:val="20"/>
          <w:lang w:val="pt-BR"/>
        </w:rPr>
        <w:t>ç</w:t>
      </w:r>
      <w:r w:rsidR="00350E7E" w:rsidRPr="00337743">
        <w:rPr>
          <w:rFonts w:ascii="Cambria" w:hAnsi="Cambria"/>
          <w:sz w:val="20"/>
          <w:szCs w:val="20"/>
          <w:lang w:val="pt-BR"/>
        </w:rPr>
        <w:t>ão</w:t>
      </w:r>
      <w:r w:rsidR="003620C6" w:rsidRPr="00337743">
        <w:rPr>
          <w:rFonts w:ascii="Cambria" w:hAnsi="Cambria"/>
          <w:sz w:val="20"/>
          <w:szCs w:val="20"/>
          <w:lang w:val="pt-BR"/>
        </w:rPr>
        <w:t>, p</w:t>
      </w:r>
      <w:r w:rsidRPr="00337743">
        <w:rPr>
          <w:rFonts w:ascii="Cambria" w:hAnsi="Cambria"/>
          <w:sz w:val="20"/>
          <w:szCs w:val="20"/>
          <w:lang w:val="pt-BR"/>
        </w:rPr>
        <w:t>oi</w:t>
      </w:r>
      <w:r w:rsidR="003620C6" w:rsidRPr="00337743">
        <w:rPr>
          <w:rFonts w:ascii="Cambria" w:hAnsi="Cambria"/>
          <w:sz w:val="20"/>
          <w:szCs w:val="20"/>
          <w:lang w:val="pt-BR"/>
        </w:rPr>
        <w:t xml:space="preserve">s se </w:t>
      </w:r>
      <w:r w:rsidR="00295DAB" w:rsidRPr="00337743">
        <w:rPr>
          <w:rFonts w:ascii="Cambria" w:hAnsi="Cambria"/>
          <w:sz w:val="20"/>
          <w:szCs w:val="20"/>
          <w:lang w:val="pt-BR"/>
        </w:rPr>
        <w:t>manifestam</w:t>
      </w:r>
      <w:r w:rsidR="003620C6" w:rsidRPr="00337743">
        <w:rPr>
          <w:rFonts w:ascii="Cambria" w:hAnsi="Cambria"/>
          <w:sz w:val="20"/>
          <w:szCs w:val="20"/>
          <w:lang w:val="pt-BR"/>
        </w:rPr>
        <w:t xml:space="preserve"> </w:t>
      </w:r>
      <w:r w:rsidR="008E4939" w:rsidRPr="00337743">
        <w:rPr>
          <w:rFonts w:ascii="Cambria" w:hAnsi="Cambria"/>
          <w:sz w:val="20"/>
          <w:szCs w:val="20"/>
          <w:lang w:val="pt-BR"/>
        </w:rPr>
        <w:t>também</w:t>
      </w:r>
      <w:r w:rsidR="00091880" w:rsidRPr="00337743">
        <w:rPr>
          <w:rFonts w:ascii="Cambria" w:hAnsi="Cambria"/>
          <w:b/>
          <w:sz w:val="20"/>
          <w:szCs w:val="20"/>
          <w:lang w:val="pt-BR"/>
        </w:rPr>
        <w:t xml:space="preserve"> </w:t>
      </w:r>
      <w:r w:rsidR="00091880" w:rsidRPr="00337743">
        <w:rPr>
          <w:rFonts w:ascii="Cambria" w:hAnsi="Cambria"/>
          <w:sz w:val="20"/>
          <w:szCs w:val="20"/>
          <w:lang w:val="pt-BR"/>
        </w:rPr>
        <w:t>na</w:t>
      </w:r>
      <w:r w:rsidR="00091880" w:rsidRPr="00337743">
        <w:rPr>
          <w:rFonts w:ascii="Cambria" w:hAnsi="Cambria"/>
          <w:b/>
          <w:sz w:val="20"/>
          <w:szCs w:val="20"/>
          <w:lang w:val="pt-BR"/>
        </w:rPr>
        <w:t xml:space="preserve"> </w:t>
      </w:r>
      <w:r w:rsidR="004C2ACB" w:rsidRPr="00337743">
        <w:rPr>
          <w:rFonts w:ascii="Cambria" w:hAnsi="Cambria"/>
          <w:sz w:val="20"/>
          <w:szCs w:val="20"/>
          <w:lang w:val="pt-BR"/>
        </w:rPr>
        <w:t>obri</w:t>
      </w:r>
      <w:r w:rsidR="003620C6" w:rsidRPr="00337743">
        <w:rPr>
          <w:rFonts w:ascii="Cambria" w:hAnsi="Cambria"/>
          <w:sz w:val="20"/>
          <w:szCs w:val="20"/>
          <w:lang w:val="pt-BR"/>
        </w:rPr>
        <w:t>ga</w:t>
      </w:r>
      <w:r w:rsidR="00350E7E" w:rsidRPr="00337743">
        <w:rPr>
          <w:rFonts w:ascii="Cambria" w:hAnsi="Cambria"/>
          <w:sz w:val="20"/>
          <w:szCs w:val="20"/>
          <w:lang w:val="pt-BR"/>
        </w:rPr>
        <w:t>ção</w:t>
      </w:r>
      <w:r w:rsidR="003620C6" w:rsidRPr="00337743">
        <w:rPr>
          <w:rFonts w:ascii="Cambria" w:hAnsi="Cambria"/>
          <w:sz w:val="20"/>
          <w:szCs w:val="20"/>
          <w:lang w:val="pt-BR"/>
        </w:rPr>
        <w:t xml:space="preserve"> positiva</w:t>
      </w:r>
      <w:r w:rsidR="007707E3" w:rsidRPr="00337743">
        <w:rPr>
          <w:rFonts w:ascii="Cambria" w:hAnsi="Cambria"/>
          <w:sz w:val="20"/>
          <w:szCs w:val="20"/>
          <w:lang w:val="pt-BR"/>
        </w:rPr>
        <w:t xml:space="preserve"> do </w:t>
      </w:r>
      <w:r w:rsidR="003620C6" w:rsidRPr="00337743">
        <w:rPr>
          <w:rFonts w:ascii="Cambria" w:hAnsi="Cambria"/>
          <w:sz w:val="20"/>
          <w:szCs w:val="20"/>
          <w:lang w:val="pt-BR"/>
        </w:rPr>
        <w:t xml:space="preserve">Estado de </w:t>
      </w:r>
      <w:r w:rsidR="008E6DE4" w:rsidRPr="00337743">
        <w:rPr>
          <w:rFonts w:ascii="Cambria" w:hAnsi="Cambria"/>
          <w:sz w:val="20"/>
          <w:szCs w:val="20"/>
          <w:lang w:val="pt-BR"/>
        </w:rPr>
        <w:t>adot</w:t>
      </w:r>
      <w:r w:rsidR="003620C6" w:rsidRPr="00337743">
        <w:rPr>
          <w:rFonts w:ascii="Cambria" w:hAnsi="Cambria"/>
          <w:sz w:val="20"/>
          <w:szCs w:val="20"/>
          <w:lang w:val="pt-BR"/>
        </w:rPr>
        <w:t>ar</w:t>
      </w:r>
      <w:r w:rsidR="007707E3" w:rsidRPr="00337743">
        <w:rPr>
          <w:rFonts w:ascii="Cambria" w:hAnsi="Cambria"/>
          <w:sz w:val="20"/>
          <w:szCs w:val="20"/>
          <w:lang w:val="pt-BR"/>
        </w:rPr>
        <w:t xml:space="preserve"> as </w:t>
      </w:r>
      <w:r w:rsidR="003620C6" w:rsidRPr="00337743">
        <w:rPr>
          <w:rFonts w:ascii="Cambria" w:hAnsi="Cambria"/>
          <w:sz w:val="20"/>
          <w:szCs w:val="20"/>
          <w:lang w:val="pt-BR"/>
        </w:rPr>
        <w:t xml:space="preserve">medidas </w:t>
      </w:r>
      <w:r w:rsidR="00295DAB" w:rsidRPr="00337743">
        <w:rPr>
          <w:rFonts w:ascii="Cambria" w:hAnsi="Cambria"/>
          <w:sz w:val="20"/>
          <w:szCs w:val="20"/>
          <w:lang w:val="pt-BR"/>
        </w:rPr>
        <w:t>necessárias</w:t>
      </w:r>
      <w:r w:rsidR="003620C6" w:rsidRPr="00337743">
        <w:rPr>
          <w:rFonts w:ascii="Cambria" w:hAnsi="Cambria"/>
          <w:sz w:val="20"/>
          <w:szCs w:val="20"/>
          <w:lang w:val="pt-BR"/>
        </w:rPr>
        <w:t xml:space="preserve"> para </w:t>
      </w:r>
      <w:r w:rsidR="008E4939" w:rsidRPr="00337743">
        <w:rPr>
          <w:rFonts w:ascii="Cambria" w:hAnsi="Cambria"/>
          <w:sz w:val="20"/>
          <w:szCs w:val="20"/>
          <w:lang w:val="pt-BR"/>
        </w:rPr>
        <w:t>assegurar</w:t>
      </w:r>
      <w:r w:rsidR="00506331" w:rsidRPr="00337743">
        <w:rPr>
          <w:rFonts w:ascii="Cambria" w:hAnsi="Cambria"/>
          <w:sz w:val="20"/>
          <w:szCs w:val="20"/>
          <w:lang w:val="pt-BR"/>
        </w:rPr>
        <w:t xml:space="preserve"> a </w:t>
      </w:r>
      <w:r w:rsidR="00295DAB" w:rsidRPr="00337743">
        <w:rPr>
          <w:rFonts w:ascii="Cambria" w:hAnsi="Cambria"/>
          <w:sz w:val="20"/>
          <w:szCs w:val="20"/>
          <w:lang w:val="pt-BR"/>
        </w:rPr>
        <w:t>efetiva</w:t>
      </w:r>
      <w:r w:rsidR="003620C6" w:rsidRPr="00337743">
        <w:rPr>
          <w:rFonts w:ascii="Cambria" w:hAnsi="Cambria"/>
          <w:sz w:val="20"/>
          <w:szCs w:val="20"/>
          <w:lang w:val="pt-BR"/>
        </w:rPr>
        <w:t xml:space="preserve"> prote</w:t>
      </w:r>
      <w:r w:rsidR="007707E3" w:rsidRPr="00337743">
        <w:rPr>
          <w:rFonts w:ascii="Cambria" w:hAnsi="Cambria"/>
          <w:sz w:val="20"/>
          <w:szCs w:val="20"/>
          <w:lang w:val="pt-BR"/>
        </w:rPr>
        <w:t>ç</w:t>
      </w:r>
      <w:r w:rsidR="00350E7E" w:rsidRPr="00337743">
        <w:rPr>
          <w:rFonts w:ascii="Cambria" w:hAnsi="Cambria"/>
          <w:sz w:val="20"/>
          <w:szCs w:val="20"/>
          <w:lang w:val="pt-BR"/>
        </w:rPr>
        <w:t>ão</w:t>
      </w:r>
      <w:r w:rsidR="00E96C24" w:rsidRPr="00337743">
        <w:rPr>
          <w:rFonts w:ascii="Cambria" w:hAnsi="Cambria"/>
          <w:sz w:val="20"/>
          <w:szCs w:val="20"/>
          <w:lang w:val="pt-BR"/>
        </w:rPr>
        <w:t xml:space="preserve"> dos </w:t>
      </w:r>
      <w:r w:rsidR="00350E7E" w:rsidRPr="00337743">
        <w:rPr>
          <w:rFonts w:ascii="Cambria" w:hAnsi="Cambria"/>
          <w:sz w:val="20"/>
          <w:szCs w:val="20"/>
          <w:lang w:val="pt-BR"/>
        </w:rPr>
        <w:t>direito</w:t>
      </w:r>
      <w:r w:rsidR="003620C6" w:rsidRPr="00337743">
        <w:rPr>
          <w:rFonts w:ascii="Cambria" w:hAnsi="Cambria"/>
          <w:sz w:val="20"/>
          <w:szCs w:val="20"/>
          <w:lang w:val="pt-BR"/>
        </w:rPr>
        <w:t>s humanos</w:t>
      </w:r>
      <w:r w:rsidR="00513361" w:rsidRPr="00337743">
        <w:rPr>
          <w:rFonts w:ascii="Cambria" w:hAnsi="Cambria"/>
          <w:sz w:val="20"/>
          <w:szCs w:val="20"/>
          <w:lang w:val="pt-BR"/>
        </w:rPr>
        <w:t xml:space="preserve"> nas </w:t>
      </w:r>
      <w:r w:rsidR="003620C6" w:rsidRPr="00337743">
        <w:rPr>
          <w:rFonts w:ascii="Cambria" w:hAnsi="Cambria"/>
          <w:sz w:val="20"/>
          <w:szCs w:val="20"/>
          <w:lang w:val="pt-BR"/>
        </w:rPr>
        <w:t>rela</w:t>
      </w:r>
      <w:r w:rsidR="00350E7E" w:rsidRPr="00337743">
        <w:rPr>
          <w:rFonts w:ascii="Cambria" w:hAnsi="Cambria"/>
          <w:sz w:val="20"/>
          <w:szCs w:val="20"/>
          <w:lang w:val="pt-BR"/>
        </w:rPr>
        <w:t>ções</w:t>
      </w:r>
      <w:r w:rsidR="003620C6" w:rsidRPr="00337743">
        <w:rPr>
          <w:rFonts w:ascii="Cambria" w:hAnsi="Cambria"/>
          <w:sz w:val="20"/>
          <w:szCs w:val="20"/>
          <w:lang w:val="pt-BR"/>
        </w:rPr>
        <w:t xml:space="preserve"> inter</w:t>
      </w:r>
      <w:r w:rsidR="003620C6" w:rsidRPr="00337743">
        <w:rPr>
          <w:rFonts w:ascii="Cambria" w:hAnsi="Cambria" w:cs="Verdana"/>
          <w:sz w:val="20"/>
          <w:szCs w:val="20"/>
          <w:lang w:val="pt-BR"/>
        </w:rPr>
        <w:t>individu</w:t>
      </w:r>
      <w:r w:rsidR="007707E3" w:rsidRPr="00337743">
        <w:rPr>
          <w:rFonts w:ascii="Cambria" w:hAnsi="Cambria" w:cs="Verdana"/>
          <w:sz w:val="20"/>
          <w:szCs w:val="20"/>
          <w:lang w:val="pt-BR"/>
        </w:rPr>
        <w:t>ais</w:t>
      </w:r>
      <w:r w:rsidR="003620C6" w:rsidRPr="00337743">
        <w:rPr>
          <w:rFonts w:ascii="Cambria" w:hAnsi="Cambria"/>
          <w:sz w:val="20"/>
          <w:szCs w:val="20"/>
          <w:lang w:val="pt-BR"/>
        </w:rPr>
        <w:t>”</w:t>
      </w:r>
      <w:r w:rsidR="003620C6" w:rsidRPr="00337743">
        <w:rPr>
          <w:rStyle w:val="FootnoteReference"/>
          <w:rFonts w:ascii="Cambria" w:hAnsi="Cambria"/>
          <w:sz w:val="20"/>
          <w:szCs w:val="20"/>
          <w:lang w:val="pt-BR"/>
        </w:rPr>
        <w:footnoteReference w:id="100"/>
      </w:r>
      <w:r w:rsidR="003620C6" w:rsidRPr="00337743">
        <w:rPr>
          <w:rFonts w:ascii="Cambria" w:hAnsi="Cambria"/>
          <w:sz w:val="20"/>
          <w:szCs w:val="20"/>
          <w:lang w:val="pt-BR"/>
        </w:rPr>
        <w:t xml:space="preserve">. </w:t>
      </w:r>
      <w:r w:rsidRPr="00337743">
        <w:rPr>
          <w:rFonts w:ascii="Cambria" w:hAnsi="Cambria"/>
          <w:sz w:val="20"/>
          <w:szCs w:val="20"/>
          <w:lang w:val="pt-BR"/>
        </w:rPr>
        <w:t>Ess</w:t>
      </w:r>
      <w:r w:rsidR="003620C6" w:rsidRPr="00337743">
        <w:rPr>
          <w:rFonts w:ascii="Cambria" w:hAnsi="Cambria"/>
          <w:sz w:val="20"/>
          <w:szCs w:val="20"/>
          <w:lang w:val="pt-BR"/>
        </w:rPr>
        <w:t xml:space="preserve">as </w:t>
      </w:r>
      <w:r w:rsidR="004C2ACB" w:rsidRPr="00337743">
        <w:rPr>
          <w:rFonts w:ascii="Cambria" w:hAnsi="Cambria"/>
          <w:sz w:val="20"/>
          <w:szCs w:val="20"/>
          <w:lang w:val="pt-BR"/>
        </w:rPr>
        <w:t>obri</w:t>
      </w:r>
      <w:r w:rsidR="003620C6" w:rsidRPr="00337743">
        <w:rPr>
          <w:rFonts w:ascii="Cambria" w:hAnsi="Cambria"/>
          <w:sz w:val="20"/>
          <w:szCs w:val="20"/>
          <w:lang w:val="pt-BR"/>
        </w:rPr>
        <w:t>ga</w:t>
      </w:r>
      <w:r w:rsidR="00350E7E" w:rsidRPr="00337743">
        <w:rPr>
          <w:rFonts w:ascii="Cambria" w:hAnsi="Cambria"/>
          <w:sz w:val="20"/>
          <w:szCs w:val="20"/>
          <w:lang w:val="pt-BR"/>
        </w:rPr>
        <w:t>ções</w:t>
      </w:r>
      <w:r w:rsidR="003620C6" w:rsidRPr="00337743">
        <w:rPr>
          <w:rFonts w:ascii="Cambria" w:hAnsi="Cambria"/>
          <w:sz w:val="20"/>
          <w:szCs w:val="20"/>
          <w:lang w:val="pt-BR"/>
        </w:rPr>
        <w:t xml:space="preserve"> de</w:t>
      </w:r>
      <w:r w:rsidRPr="00337743">
        <w:rPr>
          <w:rFonts w:ascii="Cambria" w:hAnsi="Cambria"/>
          <w:sz w:val="20"/>
          <w:szCs w:val="20"/>
          <w:lang w:val="pt-BR"/>
        </w:rPr>
        <w:t xml:space="preserve">verão ser </w:t>
      </w:r>
      <w:r w:rsidR="003620C6" w:rsidRPr="00337743">
        <w:rPr>
          <w:rFonts w:ascii="Cambria" w:hAnsi="Cambria"/>
          <w:sz w:val="20"/>
          <w:szCs w:val="20"/>
          <w:lang w:val="pt-BR"/>
        </w:rPr>
        <w:t>determina</w:t>
      </w:r>
      <w:r w:rsidRPr="00337743">
        <w:rPr>
          <w:rFonts w:ascii="Cambria" w:hAnsi="Cambria"/>
          <w:sz w:val="20"/>
          <w:szCs w:val="20"/>
          <w:lang w:val="pt-BR"/>
        </w:rPr>
        <w:t>das</w:t>
      </w:r>
      <w:r w:rsidR="00091880" w:rsidRPr="00337743">
        <w:rPr>
          <w:rFonts w:ascii="Cambria" w:hAnsi="Cambria"/>
          <w:sz w:val="20"/>
          <w:szCs w:val="20"/>
          <w:lang w:val="pt-BR"/>
        </w:rPr>
        <w:t xml:space="preserve"> em </w:t>
      </w:r>
      <w:r w:rsidR="003620C6" w:rsidRPr="00337743">
        <w:rPr>
          <w:rFonts w:ascii="Cambria" w:hAnsi="Cambria"/>
          <w:sz w:val="20"/>
          <w:szCs w:val="20"/>
          <w:lang w:val="pt-BR"/>
        </w:rPr>
        <w:t>cada caso</w:t>
      </w:r>
      <w:r w:rsidR="00091880" w:rsidRPr="00337743">
        <w:rPr>
          <w:rFonts w:ascii="Cambria" w:hAnsi="Cambria"/>
          <w:sz w:val="20"/>
          <w:szCs w:val="20"/>
          <w:lang w:val="pt-BR"/>
        </w:rPr>
        <w:t xml:space="preserve"> em </w:t>
      </w:r>
      <w:r w:rsidR="003620C6" w:rsidRPr="00337743">
        <w:rPr>
          <w:rFonts w:ascii="Cambria" w:hAnsi="Cambria"/>
          <w:sz w:val="20"/>
          <w:szCs w:val="20"/>
          <w:lang w:val="pt-BR"/>
        </w:rPr>
        <w:t>fun</w:t>
      </w:r>
      <w:r w:rsidR="00350E7E" w:rsidRPr="00337743">
        <w:rPr>
          <w:rFonts w:ascii="Cambria" w:hAnsi="Cambria"/>
          <w:sz w:val="20"/>
          <w:szCs w:val="20"/>
          <w:lang w:val="pt-BR"/>
        </w:rPr>
        <w:t>ção</w:t>
      </w:r>
      <w:r w:rsidR="00DB5118" w:rsidRPr="00337743">
        <w:rPr>
          <w:rFonts w:ascii="Cambria" w:hAnsi="Cambria"/>
          <w:sz w:val="20"/>
          <w:szCs w:val="20"/>
          <w:lang w:val="pt-BR"/>
        </w:rPr>
        <w:t xml:space="preserve"> das </w:t>
      </w:r>
      <w:r w:rsidR="00295DAB" w:rsidRPr="00337743">
        <w:rPr>
          <w:rFonts w:ascii="Cambria" w:hAnsi="Cambria"/>
          <w:sz w:val="20"/>
          <w:szCs w:val="20"/>
          <w:lang w:val="pt-BR"/>
        </w:rPr>
        <w:t>necessidades</w:t>
      </w:r>
      <w:r w:rsidR="003620C6" w:rsidRPr="00337743">
        <w:rPr>
          <w:rFonts w:ascii="Cambria" w:hAnsi="Cambria"/>
          <w:sz w:val="20"/>
          <w:szCs w:val="20"/>
          <w:lang w:val="pt-BR"/>
        </w:rPr>
        <w:t xml:space="preserve"> de prote</w:t>
      </w:r>
      <w:r w:rsidR="007707E3" w:rsidRPr="00337743">
        <w:rPr>
          <w:rFonts w:ascii="Cambria" w:hAnsi="Cambria"/>
          <w:sz w:val="20"/>
          <w:szCs w:val="20"/>
          <w:lang w:val="pt-BR"/>
        </w:rPr>
        <w:t>ç</w:t>
      </w:r>
      <w:r w:rsidR="00350E7E" w:rsidRPr="00337743">
        <w:rPr>
          <w:rFonts w:ascii="Cambria" w:hAnsi="Cambria"/>
          <w:sz w:val="20"/>
          <w:szCs w:val="20"/>
          <w:lang w:val="pt-BR"/>
        </w:rPr>
        <w:t>ão</w:t>
      </w:r>
      <w:r w:rsidR="003620C6" w:rsidRPr="00337743">
        <w:rPr>
          <w:rFonts w:ascii="Cambria" w:hAnsi="Cambria"/>
          <w:sz w:val="20"/>
          <w:szCs w:val="20"/>
          <w:lang w:val="pt-BR"/>
        </w:rPr>
        <w:t>, para cada caso</w:t>
      </w:r>
      <w:r w:rsidR="00091880" w:rsidRPr="00337743">
        <w:rPr>
          <w:rFonts w:ascii="Cambria" w:hAnsi="Cambria"/>
          <w:sz w:val="20"/>
          <w:szCs w:val="20"/>
          <w:lang w:val="pt-BR"/>
        </w:rPr>
        <w:t xml:space="preserve"> em </w:t>
      </w:r>
      <w:r w:rsidR="003620C6" w:rsidRPr="00337743">
        <w:rPr>
          <w:rFonts w:ascii="Cambria" w:hAnsi="Cambria"/>
          <w:sz w:val="20"/>
          <w:szCs w:val="20"/>
          <w:lang w:val="pt-BR"/>
        </w:rPr>
        <w:t>particular”</w:t>
      </w:r>
      <w:r w:rsidR="003620C6" w:rsidRPr="00337743">
        <w:rPr>
          <w:rStyle w:val="FootnoteReference"/>
          <w:rFonts w:ascii="Cambria" w:hAnsi="Cambria"/>
          <w:sz w:val="20"/>
          <w:szCs w:val="20"/>
          <w:lang w:val="pt-BR"/>
        </w:rPr>
        <w:footnoteReference w:id="101"/>
      </w:r>
      <w:r w:rsidR="003620C6" w:rsidRPr="00337743">
        <w:rPr>
          <w:rFonts w:ascii="Cambria" w:hAnsi="Cambria"/>
          <w:sz w:val="20"/>
          <w:szCs w:val="20"/>
          <w:lang w:val="pt-BR"/>
        </w:rPr>
        <w:t>.</w:t>
      </w:r>
    </w:p>
    <w:p w14:paraId="27D4FBE5" w14:textId="77777777" w:rsidR="003620C6" w:rsidRPr="00337743" w:rsidRDefault="003620C6" w:rsidP="003620C6">
      <w:pPr>
        <w:ind w:firstLine="720"/>
        <w:jc w:val="both"/>
        <w:rPr>
          <w:rFonts w:ascii="Cambria" w:hAnsi="Cambria"/>
          <w:sz w:val="20"/>
          <w:szCs w:val="20"/>
          <w:lang w:val="pt-BR"/>
        </w:rPr>
      </w:pPr>
    </w:p>
    <w:p w14:paraId="30D04E58" w14:textId="77777777" w:rsidR="00D2620E" w:rsidRPr="00E358A6" w:rsidRDefault="00295DAB" w:rsidP="00E358A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Especificamente</w:t>
      </w:r>
      <w:r w:rsidR="003620C6" w:rsidRPr="00337743">
        <w:rPr>
          <w:rFonts w:ascii="Cambria" w:hAnsi="Cambria"/>
          <w:sz w:val="20"/>
          <w:szCs w:val="20"/>
          <w:lang w:val="pt-BR"/>
        </w:rPr>
        <w:t>, sobre</w:t>
      </w:r>
      <w:r w:rsidR="00506331" w:rsidRPr="00337743">
        <w:rPr>
          <w:rFonts w:ascii="Cambria" w:hAnsi="Cambria"/>
          <w:sz w:val="20"/>
          <w:szCs w:val="20"/>
          <w:lang w:val="pt-BR"/>
        </w:rPr>
        <w:t xml:space="preserve"> o </w:t>
      </w:r>
      <w:r w:rsidR="008E4939" w:rsidRPr="00337743">
        <w:rPr>
          <w:rFonts w:ascii="Cambria" w:hAnsi="Cambria"/>
          <w:sz w:val="20"/>
          <w:szCs w:val="20"/>
          <w:lang w:val="pt-BR"/>
        </w:rPr>
        <w:t>dever</w:t>
      </w:r>
      <w:r w:rsidR="003620C6" w:rsidRPr="00337743">
        <w:rPr>
          <w:rFonts w:ascii="Cambria" w:hAnsi="Cambria"/>
          <w:sz w:val="20"/>
          <w:szCs w:val="20"/>
          <w:lang w:val="pt-BR"/>
        </w:rPr>
        <w:t xml:space="preserve"> de prevenir</w:t>
      </w:r>
      <w:r w:rsidR="00506331" w:rsidRPr="00337743">
        <w:rPr>
          <w:rFonts w:ascii="Cambria" w:hAnsi="Cambria"/>
          <w:sz w:val="20"/>
          <w:szCs w:val="20"/>
          <w:lang w:val="pt-BR"/>
        </w:rPr>
        <w:t xml:space="preserve"> a </w:t>
      </w:r>
      <w:r w:rsidR="003620C6" w:rsidRPr="00337743">
        <w:rPr>
          <w:rFonts w:ascii="Cambria" w:hAnsi="Cambria"/>
          <w:sz w:val="20"/>
          <w:szCs w:val="20"/>
          <w:lang w:val="pt-BR"/>
        </w:rPr>
        <w:t>Corte indic</w:t>
      </w:r>
      <w:r w:rsidR="0097767F" w:rsidRPr="00337743">
        <w:rPr>
          <w:rFonts w:ascii="Cambria" w:hAnsi="Cambria"/>
          <w:sz w:val="20"/>
          <w:szCs w:val="20"/>
          <w:lang w:val="pt-BR"/>
        </w:rPr>
        <w:t>ou</w:t>
      </w:r>
      <w:r w:rsidR="003620C6" w:rsidRPr="00337743">
        <w:rPr>
          <w:rFonts w:ascii="Cambria" w:hAnsi="Cambria"/>
          <w:sz w:val="20"/>
          <w:szCs w:val="20"/>
          <w:lang w:val="pt-BR"/>
        </w:rPr>
        <w:t xml:space="preserve"> que “</w:t>
      </w:r>
      <w:r w:rsidRPr="00337743">
        <w:rPr>
          <w:rFonts w:ascii="Cambria" w:hAnsi="Cambria"/>
          <w:sz w:val="20"/>
          <w:szCs w:val="20"/>
          <w:lang w:val="pt-BR"/>
        </w:rPr>
        <w:t>um</w:t>
      </w:r>
      <w:r w:rsidR="003620C6" w:rsidRPr="00337743">
        <w:rPr>
          <w:rFonts w:ascii="Cambria" w:hAnsi="Cambria"/>
          <w:sz w:val="20"/>
          <w:szCs w:val="20"/>
          <w:lang w:val="pt-BR"/>
        </w:rPr>
        <w:t xml:space="preserve"> Estado</w:t>
      </w:r>
      <w:r w:rsidR="00091880" w:rsidRPr="00337743">
        <w:rPr>
          <w:rFonts w:ascii="Cambria" w:hAnsi="Cambria"/>
          <w:sz w:val="20"/>
          <w:szCs w:val="20"/>
          <w:lang w:val="pt-BR"/>
        </w:rPr>
        <w:t xml:space="preserve"> não </w:t>
      </w:r>
      <w:r w:rsidR="003620C6" w:rsidRPr="00337743">
        <w:rPr>
          <w:rFonts w:ascii="Cambria" w:hAnsi="Cambria"/>
          <w:sz w:val="20"/>
          <w:szCs w:val="20"/>
          <w:lang w:val="pt-BR"/>
        </w:rPr>
        <w:t>p</w:t>
      </w:r>
      <w:r w:rsidR="0097767F" w:rsidRPr="00337743">
        <w:rPr>
          <w:rFonts w:ascii="Cambria" w:hAnsi="Cambria"/>
          <w:sz w:val="20"/>
          <w:szCs w:val="20"/>
          <w:lang w:val="pt-BR"/>
        </w:rPr>
        <w:t>o</w:t>
      </w:r>
      <w:r w:rsidR="003620C6" w:rsidRPr="00337743">
        <w:rPr>
          <w:rFonts w:ascii="Cambria" w:hAnsi="Cambria"/>
          <w:sz w:val="20"/>
          <w:szCs w:val="20"/>
          <w:lang w:val="pt-BR"/>
        </w:rPr>
        <w:t>de ser respons</w:t>
      </w:r>
      <w:r w:rsidR="0097767F" w:rsidRPr="00337743">
        <w:rPr>
          <w:rFonts w:ascii="Cambria" w:hAnsi="Cambria"/>
          <w:sz w:val="20"/>
          <w:szCs w:val="20"/>
          <w:lang w:val="pt-BR"/>
        </w:rPr>
        <w:t>ável</w:t>
      </w:r>
      <w:r w:rsidR="003620C6" w:rsidRPr="00337743">
        <w:rPr>
          <w:rFonts w:ascii="Cambria" w:hAnsi="Cambria"/>
          <w:sz w:val="20"/>
          <w:szCs w:val="20"/>
          <w:lang w:val="pt-BR"/>
        </w:rPr>
        <w:t xml:space="preserve"> por </w:t>
      </w:r>
      <w:r w:rsidRPr="00337743">
        <w:rPr>
          <w:rFonts w:ascii="Cambria" w:hAnsi="Cambria"/>
          <w:sz w:val="20"/>
          <w:szCs w:val="20"/>
          <w:lang w:val="pt-BR"/>
        </w:rPr>
        <w:t>qualquer</w:t>
      </w:r>
      <w:r w:rsidR="003620C6" w:rsidRPr="00337743">
        <w:rPr>
          <w:rFonts w:ascii="Cambria" w:hAnsi="Cambria"/>
          <w:sz w:val="20"/>
          <w:szCs w:val="20"/>
          <w:lang w:val="pt-BR"/>
        </w:rPr>
        <w:t xml:space="preserve"> </w:t>
      </w:r>
      <w:r w:rsidR="003620C6" w:rsidRPr="00337743">
        <w:rPr>
          <w:rFonts w:ascii="Cambria" w:hAnsi="Cambria" w:cs="Verdana"/>
          <w:sz w:val="20"/>
          <w:szCs w:val="20"/>
          <w:lang w:val="pt-BR"/>
        </w:rPr>
        <w:t>viola</w:t>
      </w:r>
      <w:r w:rsidR="00350E7E" w:rsidRPr="00337743">
        <w:rPr>
          <w:rFonts w:ascii="Cambria" w:hAnsi="Cambria" w:cs="Verdana"/>
          <w:sz w:val="20"/>
          <w:szCs w:val="20"/>
          <w:lang w:val="pt-BR"/>
        </w:rPr>
        <w:t>ção</w:t>
      </w:r>
      <w:r w:rsidR="003620C6" w:rsidRPr="00337743">
        <w:rPr>
          <w:rFonts w:ascii="Cambria" w:hAnsi="Cambria"/>
          <w:sz w:val="20"/>
          <w:szCs w:val="20"/>
          <w:lang w:val="pt-BR"/>
        </w:rPr>
        <w:t xml:space="preserve"> de </w:t>
      </w:r>
      <w:r w:rsidR="00350E7E" w:rsidRPr="00337743">
        <w:rPr>
          <w:rFonts w:ascii="Cambria" w:hAnsi="Cambria"/>
          <w:sz w:val="20"/>
          <w:szCs w:val="20"/>
          <w:lang w:val="pt-BR"/>
        </w:rPr>
        <w:t>direito</w:t>
      </w:r>
      <w:r w:rsidR="003620C6" w:rsidRPr="00337743">
        <w:rPr>
          <w:rFonts w:ascii="Cambria" w:hAnsi="Cambria"/>
          <w:sz w:val="20"/>
          <w:szCs w:val="20"/>
          <w:lang w:val="pt-BR"/>
        </w:rPr>
        <w:t xml:space="preserve">s humanos cometida entre particulares dentro de </w:t>
      </w:r>
      <w:r w:rsidRPr="00337743">
        <w:rPr>
          <w:rFonts w:ascii="Cambria" w:hAnsi="Cambria"/>
          <w:sz w:val="20"/>
          <w:szCs w:val="20"/>
          <w:lang w:val="pt-BR"/>
        </w:rPr>
        <w:t>sua</w:t>
      </w:r>
      <w:r w:rsidR="003620C6" w:rsidRPr="00337743">
        <w:rPr>
          <w:rFonts w:ascii="Cambria" w:hAnsi="Cambria"/>
          <w:sz w:val="20"/>
          <w:szCs w:val="20"/>
          <w:lang w:val="pt-BR"/>
        </w:rPr>
        <w:t xml:space="preserve"> jurisdi</w:t>
      </w:r>
      <w:r w:rsidR="007707E3" w:rsidRPr="00337743">
        <w:rPr>
          <w:rFonts w:ascii="Cambria" w:hAnsi="Cambria"/>
          <w:sz w:val="20"/>
          <w:szCs w:val="20"/>
          <w:lang w:val="pt-BR"/>
        </w:rPr>
        <w:t>ç</w:t>
      </w:r>
      <w:r w:rsidR="00350E7E" w:rsidRPr="00337743">
        <w:rPr>
          <w:rFonts w:ascii="Cambria" w:hAnsi="Cambria"/>
          <w:sz w:val="20"/>
          <w:szCs w:val="20"/>
          <w:lang w:val="pt-BR"/>
        </w:rPr>
        <w:t>ão</w:t>
      </w:r>
      <w:r w:rsidR="003620C6" w:rsidRPr="00337743">
        <w:rPr>
          <w:rFonts w:ascii="Cambria" w:hAnsi="Cambria"/>
          <w:sz w:val="20"/>
          <w:szCs w:val="20"/>
          <w:lang w:val="pt-BR"/>
        </w:rPr>
        <w:t>.</w:t>
      </w:r>
      <w:r w:rsidR="00091880" w:rsidRPr="00337743">
        <w:rPr>
          <w:rFonts w:ascii="Cambria" w:hAnsi="Cambria"/>
          <w:sz w:val="20"/>
          <w:szCs w:val="20"/>
          <w:lang w:val="pt-BR"/>
        </w:rPr>
        <w:t xml:space="preserve"> </w:t>
      </w:r>
      <w:r w:rsidR="0097767F" w:rsidRPr="00337743">
        <w:rPr>
          <w:rFonts w:ascii="Cambria" w:hAnsi="Cambria"/>
          <w:sz w:val="20"/>
          <w:szCs w:val="20"/>
          <w:lang w:val="pt-BR"/>
        </w:rPr>
        <w:t>Co</w:t>
      </w:r>
      <w:r w:rsidR="00091880" w:rsidRPr="00337743">
        <w:rPr>
          <w:rFonts w:ascii="Cambria" w:hAnsi="Cambria"/>
          <w:sz w:val="20"/>
          <w:szCs w:val="20"/>
          <w:lang w:val="pt-BR"/>
        </w:rPr>
        <w:t xml:space="preserve">m </w:t>
      </w:r>
      <w:r w:rsidRPr="00337743">
        <w:rPr>
          <w:rFonts w:ascii="Cambria" w:hAnsi="Cambria"/>
          <w:sz w:val="20"/>
          <w:szCs w:val="20"/>
          <w:lang w:val="pt-BR"/>
        </w:rPr>
        <w:t>efeito</w:t>
      </w:r>
      <w:r w:rsidR="003620C6" w:rsidRPr="00337743">
        <w:rPr>
          <w:rFonts w:ascii="Cambria" w:hAnsi="Cambria"/>
          <w:sz w:val="20"/>
          <w:szCs w:val="20"/>
          <w:lang w:val="pt-BR"/>
        </w:rPr>
        <w:t>,</w:t>
      </w:r>
      <w:r w:rsidR="00506331" w:rsidRPr="00337743">
        <w:rPr>
          <w:rFonts w:ascii="Cambria" w:hAnsi="Cambria"/>
          <w:sz w:val="20"/>
          <w:szCs w:val="20"/>
          <w:lang w:val="pt-BR"/>
        </w:rPr>
        <w:t xml:space="preserve"> o </w:t>
      </w:r>
      <w:r w:rsidR="003620C6" w:rsidRPr="00337743">
        <w:rPr>
          <w:rFonts w:ascii="Cambria" w:hAnsi="Cambria"/>
          <w:sz w:val="20"/>
          <w:szCs w:val="20"/>
          <w:lang w:val="pt-BR"/>
        </w:rPr>
        <w:t xml:space="preserve">caráter </w:t>
      </w:r>
      <w:r w:rsidR="003620C6" w:rsidRPr="00337743">
        <w:rPr>
          <w:rFonts w:ascii="Cambria" w:hAnsi="Cambria"/>
          <w:i/>
          <w:sz w:val="20"/>
          <w:szCs w:val="20"/>
          <w:lang w:val="pt-BR"/>
        </w:rPr>
        <w:t>erga omnes</w:t>
      </w:r>
      <w:r w:rsidR="00DB5118" w:rsidRPr="00337743">
        <w:rPr>
          <w:rFonts w:ascii="Cambria" w:hAnsi="Cambria"/>
          <w:i/>
          <w:sz w:val="20"/>
          <w:szCs w:val="20"/>
          <w:lang w:val="pt-BR"/>
        </w:rPr>
        <w:t xml:space="preserve"> das </w:t>
      </w:r>
      <w:r w:rsidR="004C2ACB" w:rsidRPr="00337743">
        <w:rPr>
          <w:rFonts w:ascii="Cambria" w:hAnsi="Cambria"/>
          <w:sz w:val="20"/>
          <w:szCs w:val="20"/>
          <w:lang w:val="pt-BR"/>
        </w:rPr>
        <w:t>obri</w:t>
      </w:r>
      <w:r w:rsidR="003620C6" w:rsidRPr="00337743">
        <w:rPr>
          <w:rFonts w:ascii="Cambria" w:hAnsi="Cambria"/>
          <w:sz w:val="20"/>
          <w:szCs w:val="20"/>
          <w:lang w:val="pt-BR"/>
        </w:rPr>
        <w:t>ga</w:t>
      </w:r>
      <w:r w:rsidR="00350E7E" w:rsidRPr="00337743">
        <w:rPr>
          <w:rFonts w:ascii="Cambria" w:hAnsi="Cambria"/>
          <w:sz w:val="20"/>
          <w:szCs w:val="20"/>
          <w:lang w:val="pt-BR"/>
        </w:rPr>
        <w:t>ções</w:t>
      </w:r>
      <w:r w:rsidR="003620C6" w:rsidRPr="00337743">
        <w:rPr>
          <w:rFonts w:ascii="Cambria" w:hAnsi="Cambria"/>
          <w:sz w:val="20"/>
          <w:szCs w:val="20"/>
          <w:lang w:val="pt-BR"/>
        </w:rPr>
        <w:t xml:space="preserve"> convencion</w:t>
      </w:r>
      <w:r w:rsidR="007707E3" w:rsidRPr="00337743">
        <w:rPr>
          <w:rFonts w:ascii="Cambria" w:hAnsi="Cambria"/>
          <w:sz w:val="20"/>
          <w:szCs w:val="20"/>
          <w:lang w:val="pt-BR"/>
        </w:rPr>
        <w:t>ais</w:t>
      </w:r>
      <w:r w:rsidR="003620C6" w:rsidRPr="00337743">
        <w:rPr>
          <w:rFonts w:ascii="Cambria" w:hAnsi="Cambria"/>
          <w:sz w:val="20"/>
          <w:szCs w:val="20"/>
          <w:lang w:val="pt-BR"/>
        </w:rPr>
        <w:t xml:space="preserve"> de garant</w:t>
      </w:r>
      <w:r w:rsidR="00BF72CE" w:rsidRPr="00337743">
        <w:rPr>
          <w:rFonts w:ascii="Cambria" w:hAnsi="Cambria"/>
          <w:sz w:val="20"/>
          <w:szCs w:val="20"/>
          <w:lang w:val="pt-BR"/>
        </w:rPr>
        <w:t>ia</w:t>
      </w:r>
      <w:r w:rsidR="003620C6" w:rsidRPr="00337743">
        <w:rPr>
          <w:rFonts w:ascii="Cambria" w:hAnsi="Cambria"/>
          <w:sz w:val="20"/>
          <w:szCs w:val="20"/>
          <w:lang w:val="pt-BR"/>
        </w:rPr>
        <w:t xml:space="preserve"> a cargo</w:t>
      </w:r>
      <w:r w:rsidR="00E96C24" w:rsidRPr="00337743">
        <w:rPr>
          <w:rFonts w:ascii="Cambria" w:hAnsi="Cambria"/>
          <w:sz w:val="20"/>
          <w:szCs w:val="20"/>
          <w:lang w:val="pt-BR"/>
        </w:rPr>
        <w:t xml:space="preserve"> dos </w:t>
      </w:r>
      <w:r w:rsidR="003620C6" w:rsidRPr="00337743">
        <w:rPr>
          <w:rFonts w:ascii="Cambria" w:hAnsi="Cambria"/>
          <w:sz w:val="20"/>
          <w:szCs w:val="20"/>
          <w:lang w:val="pt-BR"/>
        </w:rPr>
        <w:t>Estados</w:t>
      </w:r>
      <w:r w:rsidR="00091880" w:rsidRPr="00337743">
        <w:rPr>
          <w:rFonts w:ascii="Cambria" w:hAnsi="Cambria"/>
          <w:sz w:val="20"/>
          <w:szCs w:val="20"/>
          <w:lang w:val="pt-BR"/>
        </w:rPr>
        <w:t xml:space="preserve"> não </w:t>
      </w:r>
      <w:r w:rsidR="003620C6" w:rsidRPr="00337743">
        <w:rPr>
          <w:rFonts w:ascii="Cambria" w:hAnsi="Cambria"/>
          <w:sz w:val="20"/>
          <w:szCs w:val="20"/>
          <w:lang w:val="pt-BR"/>
        </w:rPr>
        <w:t>implica</w:t>
      </w:r>
      <w:r w:rsidR="00091880" w:rsidRPr="00337743">
        <w:rPr>
          <w:rFonts w:ascii="Cambria" w:hAnsi="Cambria"/>
          <w:sz w:val="20"/>
          <w:szCs w:val="20"/>
          <w:lang w:val="pt-BR"/>
        </w:rPr>
        <w:t xml:space="preserve"> uma </w:t>
      </w:r>
      <w:r w:rsidR="003620C6" w:rsidRPr="00337743">
        <w:rPr>
          <w:rFonts w:ascii="Cambria" w:hAnsi="Cambria"/>
          <w:sz w:val="20"/>
          <w:szCs w:val="20"/>
          <w:lang w:val="pt-BR"/>
        </w:rPr>
        <w:t>responsabili</w:t>
      </w:r>
      <w:r w:rsidR="00350E7E" w:rsidRPr="00337743">
        <w:rPr>
          <w:rFonts w:ascii="Cambria" w:hAnsi="Cambria"/>
          <w:sz w:val="20"/>
          <w:szCs w:val="20"/>
          <w:lang w:val="pt-BR"/>
        </w:rPr>
        <w:t xml:space="preserve">dade </w:t>
      </w:r>
      <w:r w:rsidR="003620C6" w:rsidRPr="00337743">
        <w:rPr>
          <w:rFonts w:ascii="Cambria" w:hAnsi="Cambria"/>
          <w:sz w:val="20"/>
          <w:szCs w:val="20"/>
          <w:lang w:val="pt-BR"/>
        </w:rPr>
        <w:t>ilimitada</w:t>
      </w:r>
      <w:r w:rsidR="00E96C24" w:rsidRPr="00337743">
        <w:rPr>
          <w:rFonts w:ascii="Cambria" w:hAnsi="Cambria"/>
          <w:sz w:val="20"/>
          <w:szCs w:val="20"/>
          <w:lang w:val="pt-BR"/>
        </w:rPr>
        <w:t xml:space="preserve"> dos </w:t>
      </w:r>
      <w:r w:rsidR="003620C6" w:rsidRPr="00337743">
        <w:rPr>
          <w:rFonts w:ascii="Cambria" w:hAnsi="Cambria"/>
          <w:sz w:val="20"/>
          <w:szCs w:val="20"/>
          <w:lang w:val="pt-BR"/>
        </w:rPr>
        <w:t xml:space="preserve">Estados frente a </w:t>
      </w:r>
      <w:r w:rsidRPr="00337743">
        <w:rPr>
          <w:rFonts w:ascii="Cambria" w:hAnsi="Cambria"/>
          <w:sz w:val="20"/>
          <w:szCs w:val="20"/>
          <w:lang w:val="pt-BR"/>
        </w:rPr>
        <w:t>qualquer</w:t>
      </w:r>
      <w:r w:rsidR="003620C6" w:rsidRPr="00337743">
        <w:rPr>
          <w:rFonts w:ascii="Cambria" w:hAnsi="Cambria"/>
          <w:sz w:val="20"/>
          <w:szCs w:val="20"/>
          <w:lang w:val="pt-BR"/>
        </w:rPr>
        <w:t xml:space="preserve"> </w:t>
      </w:r>
      <w:r w:rsidR="008E4939" w:rsidRPr="00337743">
        <w:rPr>
          <w:rFonts w:ascii="Cambria" w:hAnsi="Cambria"/>
          <w:sz w:val="20"/>
          <w:szCs w:val="20"/>
          <w:lang w:val="pt-BR"/>
        </w:rPr>
        <w:t>ato</w:t>
      </w:r>
      <w:r w:rsidR="003620C6" w:rsidRPr="00337743">
        <w:rPr>
          <w:rFonts w:ascii="Cambria" w:hAnsi="Cambria"/>
          <w:sz w:val="20"/>
          <w:szCs w:val="20"/>
          <w:lang w:val="pt-BR"/>
        </w:rPr>
        <w:t xml:space="preserve"> o</w:t>
      </w:r>
      <w:r w:rsidR="00E53F10" w:rsidRPr="00337743">
        <w:rPr>
          <w:rFonts w:ascii="Cambria" w:hAnsi="Cambria"/>
          <w:sz w:val="20"/>
          <w:szCs w:val="20"/>
          <w:lang w:val="pt-BR"/>
        </w:rPr>
        <w:t>u</w:t>
      </w:r>
      <w:r w:rsidR="003620C6" w:rsidRPr="00337743">
        <w:rPr>
          <w:rFonts w:ascii="Cambria" w:hAnsi="Cambria"/>
          <w:sz w:val="20"/>
          <w:szCs w:val="20"/>
          <w:lang w:val="pt-BR"/>
        </w:rPr>
        <w:t xml:space="preserve"> de particulares</w:t>
      </w:r>
      <w:r w:rsidR="003620C6" w:rsidRPr="00337743">
        <w:rPr>
          <w:rStyle w:val="FootnoteReference"/>
          <w:rFonts w:ascii="Cambria" w:hAnsi="Cambria"/>
          <w:sz w:val="20"/>
          <w:szCs w:val="20"/>
          <w:lang w:val="pt-BR"/>
        </w:rPr>
        <w:footnoteReference w:id="102"/>
      </w:r>
      <w:r w:rsidR="003620C6" w:rsidRPr="00337743">
        <w:rPr>
          <w:rFonts w:ascii="Cambria" w:hAnsi="Cambria"/>
          <w:sz w:val="20"/>
          <w:szCs w:val="20"/>
          <w:lang w:val="pt-BR"/>
        </w:rPr>
        <w:t>, p</w:t>
      </w:r>
      <w:r w:rsidR="0097767F" w:rsidRPr="00337743">
        <w:rPr>
          <w:rFonts w:ascii="Cambria" w:hAnsi="Cambria"/>
          <w:sz w:val="20"/>
          <w:szCs w:val="20"/>
          <w:lang w:val="pt-BR"/>
        </w:rPr>
        <w:t>oi</w:t>
      </w:r>
      <w:r w:rsidR="003620C6" w:rsidRPr="00337743">
        <w:rPr>
          <w:rFonts w:ascii="Cambria" w:hAnsi="Cambria"/>
          <w:sz w:val="20"/>
          <w:szCs w:val="20"/>
          <w:lang w:val="pt-BR"/>
        </w:rPr>
        <w:t>s s</w:t>
      </w:r>
      <w:r w:rsidR="0097767F" w:rsidRPr="00337743">
        <w:rPr>
          <w:rFonts w:ascii="Cambria" w:hAnsi="Cambria"/>
          <w:sz w:val="20"/>
          <w:szCs w:val="20"/>
          <w:lang w:val="pt-BR"/>
        </w:rPr>
        <w:t>e</w:t>
      </w:r>
      <w:r w:rsidR="003620C6" w:rsidRPr="00337743">
        <w:rPr>
          <w:rFonts w:ascii="Cambria" w:hAnsi="Cambria"/>
          <w:sz w:val="20"/>
          <w:szCs w:val="20"/>
          <w:lang w:val="pt-BR"/>
        </w:rPr>
        <w:t xml:space="preserve">us </w:t>
      </w:r>
      <w:r w:rsidRPr="00337743">
        <w:rPr>
          <w:rFonts w:ascii="Cambria" w:hAnsi="Cambria"/>
          <w:sz w:val="20"/>
          <w:szCs w:val="20"/>
          <w:lang w:val="pt-BR"/>
        </w:rPr>
        <w:t>deveres</w:t>
      </w:r>
      <w:r w:rsidR="003620C6" w:rsidRPr="00337743">
        <w:rPr>
          <w:rFonts w:ascii="Cambria" w:hAnsi="Cambria"/>
          <w:sz w:val="20"/>
          <w:szCs w:val="20"/>
          <w:lang w:val="pt-BR"/>
        </w:rPr>
        <w:t xml:space="preserve"> de </w:t>
      </w:r>
      <w:r w:rsidR="008E6DE4" w:rsidRPr="00337743">
        <w:rPr>
          <w:rFonts w:ascii="Cambria" w:hAnsi="Cambria"/>
          <w:sz w:val="20"/>
          <w:szCs w:val="20"/>
          <w:lang w:val="pt-BR"/>
        </w:rPr>
        <w:t>adot</w:t>
      </w:r>
      <w:r w:rsidR="003620C6" w:rsidRPr="00337743">
        <w:rPr>
          <w:rFonts w:ascii="Cambria" w:hAnsi="Cambria"/>
          <w:sz w:val="20"/>
          <w:szCs w:val="20"/>
          <w:lang w:val="pt-BR"/>
        </w:rPr>
        <w:t>ar medidas de preven</w:t>
      </w:r>
      <w:r w:rsidR="00350E7E" w:rsidRPr="00337743">
        <w:rPr>
          <w:rFonts w:ascii="Cambria" w:hAnsi="Cambria"/>
          <w:sz w:val="20"/>
          <w:szCs w:val="20"/>
          <w:lang w:val="pt-BR"/>
        </w:rPr>
        <w:t>ção</w:t>
      </w:r>
      <w:r w:rsidR="00506331" w:rsidRPr="00337743">
        <w:rPr>
          <w:rFonts w:ascii="Cambria" w:hAnsi="Cambria"/>
          <w:sz w:val="20"/>
          <w:szCs w:val="20"/>
          <w:lang w:val="pt-BR"/>
        </w:rPr>
        <w:t xml:space="preserve"> e </w:t>
      </w:r>
      <w:r w:rsidR="003620C6" w:rsidRPr="00337743">
        <w:rPr>
          <w:rFonts w:ascii="Cambria" w:hAnsi="Cambria"/>
          <w:sz w:val="20"/>
          <w:szCs w:val="20"/>
          <w:lang w:val="pt-BR"/>
        </w:rPr>
        <w:t>prote</w:t>
      </w:r>
      <w:r w:rsidR="007707E3" w:rsidRPr="00337743">
        <w:rPr>
          <w:rFonts w:ascii="Cambria" w:hAnsi="Cambria"/>
          <w:sz w:val="20"/>
          <w:szCs w:val="20"/>
          <w:lang w:val="pt-BR"/>
        </w:rPr>
        <w:t>ç</w:t>
      </w:r>
      <w:r w:rsidR="00350E7E" w:rsidRPr="00337743">
        <w:rPr>
          <w:rFonts w:ascii="Cambria" w:hAnsi="Cambria"/>
          <w:sz w:val="20"/>
          <w:szCs w:val="20"/>
          <w:lang w:val="pt-BR"/>
        </w:rPr>
        <w:t>ão</w:t>
      </w:r>
      <w:r w:rsidR="00091880" w:rsidRPr="00337743">
        <w:rPr>
          <w:rFonts w:ascii="Cambria" w:hAnsi="Cambria"/>
          <w:sz w:val="20"/>
          <w:szCs w:val="20"/>
          <w:lang w:val="pt-BR"/>
        </w:rPr>
        <w:t xml:space="preserve"> em </w:t>
      </w:r>
      <w:r w:rsidR="003620C6" w:rsidRPr="00337743">
        <w:rPr>
          <w:rFonts w:ascii="Cambria" w:hAnsi="Cambria"/>
          <w:sz w:val="20"/>
          <w:szCs w:val="20"/>
          <w:lang w:val="pt-BR"/>
        </w:rPr>
        <w:t>su</w:t>
      </w:r>
      <w:r w:rsidR="00E53F10" w:rsidRPr="00337743">
        <w:rPr>
          <w:rFonts w:ascii="Cambria" w:hAnsi="Cambria"/>
          <w:sz w:val="20"/>
          <w:szCs w:val="20"/>
          <w:lang w:val="pt-BR"/>
        </w:rPr>
        <w:t>a</w:t>
      </w:r>
      <w:r w:rsidR="003620C6" w:rsidRPr="00337743">
        <w:rPr>
          <w:rFonts w:ascii="Cambria" w:hAnsi="Cambria"/>
          <w:sz w:val="20"/>
          <w:szCs w:val="20"/>
          <w:lang w:val="pt-BR"/>
        </w:rPr>
        <w:t>s rela</w:t>
      </w:r>
      <w:r w:rsidR="00350E7E" w:rsidRPr="00337743">
        <w:rPr>
          <w:rFonts w:ascii="Cambria" w:hAnsi="Cambria"/>
          <w:sz w:val="20"/>
          <w:szCs w:val="20"/>
          <w:lang w:val="pt-BR"/>
        </w:rPr>
        <w:t>ções</w:t>
      </w:r>
      <w:r w:rsidR="003620C6" w:rsidRPr="00337743">
        <w:rPr>
          <w:rFonts w:ascii="Cambria" w:hAnsi="Cambria"/>
          <w:sz w:val="20"/>
          <w:szCs w:val="20"/>
          <w:lang w:val="pt-BR"/>
        </w:rPr>
        <w:t xml:space="preserve"> entre </w:t>
      </w:r>
      <w:r w:rsidRPr="00337743">
        <w:rPr>
          <w:rFonts w:ascii="Cambria" w:hAnsi="Cambria"/>
          <w:sz w:val="20"/>
          <w:szCs w:val="20"/>
          <w:lang w:val="pt-BR"/>
        </w:rPr>
        <w:t>si</w:t>
      </w:r>
      <w:r w:rsidR="003620C6" w:rsidRPr="00337743">
        <w:rPr>
          <w:rFonts w:ascii="Cambria" w:hAnsi="Cambria"/>
          <w:b/>
          <w:sz w:val="20"/>
          <w:szCs w:val="20"/>
          <w:lang w:val="pt-BR"/>
        </w:rPr>
        <w:t xml:space="preserve"> </w:t>
      </w:r>
      <w:r w:rsidR="00E53F10" w:rsidRPr="00337743">
        <w:rPr>
          <w:rFonts w:ascii="Cambria" w:hAnsi="Cambria"/>
          <w:sz w:val="20"/>
          <w:szCs w:val="20"/>
          <w:lang w:val="pt-BR"/>
        </w:rPr>
        <w:t>estão</w:t>
      </w:r>
      <w:r w:rsidR="003620C6" w:rsidRPr="00337743">
        <w:rPr>
          <w:rFonts w:ascii="Cambria" w:hAnsi="Cambria"/>
          <w:sz w:val="20"/>
          <w:szCs w:val="20"/>
          <w:lang w:val="pt-BR"/>
        </w:rPr>
        <w:t xml:space="preserve"> condicionados a</w:t>
      </w:r>
      <w:r w:rsidR="0097767F" w:rsidRPr="00337743">
        <w:rPr>
          <w:rFonts w:ascii="Cambria" w:hAnsi="Cambria"/>
          <w:sz w:val="20"/>
          <w:szCs w:val="20"/>
          <w:lang w:val="pt-BR"/>
        </w:rPr>
        <w:t>:</w:t>
      </w:r>
      <w:r w:rsidR="003620C6" w:rsidRPr="00337743">
        <w:rPr>
          <w:rFonts w:ascii="Cambria" w:hAnsi="Cambria"/>
          <w:sz w:val="20"/>
          <w:szCs w:val="20"/>
          <w:lang w:val="pt-BR"/>
        </w:rPr>
        <w:t xml:space="preserve"> i)</w:t>
      </w:r>
      <w:r w:rsidR="00532720" w:rsidRPr="00337743">
        <w:rPr>
          <w:rFonts w:ascii="Cambria" w:hAnsi="Cambria"/>
          <w:sz w:val="20"/>
          <w:szCs w:val="20"/>
          <w:lang w:val="pt-BR"/>
        </w:rPr>
        <w:t xml:space="preserve"> se </w:t>
      </w:r>
      <w:r w:rsidR="00506331" w:rsidRPr="00337743">
        <w:rPr>
          <w:rFonts w:ascii="Cambria" w:hAnsi="Cambria"/>
          <w:sz w:val="20"/>
          <w:szCs w:val="20"/>
          <w:lang w:val="pt-BR"/>
        </w:rPr>
        <w:t xml:space="preserve">o </w:t>
      </w:r>
      <w:r w:rsidR="003620C6" w:rsidRPr="00337743">
        <w:rPr>
          <w:rFonts w:ascii="Cambria" w:hAnsi="Cambria"/>
          <w:sz w:val="20"/>
          <w:szCs w:val="20"/>
          <w:lang w:val="pt-BR"/>
        </w:rPr>
        <w:t>Estado t</w:t>
      </w:r>
      <w:r w:rsidR="0097767F" w:rsidRPr="00337743">
        <w:rPr>
          <w:rFonts w:ascii="Cambria" w:hAnsi="Cambria"/>
          <w:sz w:val="20"/>
          <w:szCs w:val="20"/>
          <w:lang w:val="pt-BR"/>
        </w:rPr>
        <w:t xml:space="preserve">inha ou devia ter </w:t>
      </w:r>
      <w:r w:rsidRPr="00337743">
        <w:rPr>
          <w:rFonts w:ascii="Cambria" w:hAnsi="Cambria"/>
          <w:sz w:val="20"/>
          <w:szCs w:val="20"/>
          <w:lang w:val="pt-BR"/>
        </w:rPr>
        <w:t>conhecimento</w:t>
      </w:r>
      <w:r w:rsidR="003620C6" w:rsidRPr="00337743">
        <w:rPr>
          <w:rFonts w:ascii="Cambria" w:hAnsi="Cambria"/>
          <w:sz w:val="20"/>
          <w:szCs w:val="20"/>
          <w:lang w:val="pt-BR"/>
        </w:rPr>
        <w:t xml:space="preserve"> de</w:t>
      </w:r>
      <w:r w:rsidR="00091880" w:rsidRPr="00337743">
        <w:rPr>
          <w:rFonts w:ascii="Cambria" w:hAnsi="Cambria"/>
          <w:sz w:val="20"/>
          <w:szCs w:val="20"/>
          <w:lang w:val="pt-BR"/>
        </w:rPr>
        <w:t xml:space="preserve"> uma </w:t>
      </w:r>
      <w:r w:rsidR="003620C6" w:rsidRPr="00337743">
        <w:rPr>
          <w:rFonts w:ascii="Cambria" w:hAnsi="Cambria"/>
          <w:sz w:val="20"/>
          <w:szCs w:val="20"/>
          <w:lang w:val="pt-BR"/>
        </w:rPr>
        <w:t>situa</w:t>
      </w:r>
      <w:r w:rsidR="00350E7E" w:rsidRPr="00337743">
        <w:rPr>
          <w:rFonts w:ascii="Cambria" w:hAnsi="Cambria"/>
          <w:sz w:val="20"/>
          <w:szCs w:val="20"/>
          <w:lang w:val="pt-BR"/>
        </w:rPr>
        <w:t>ção</w:t>
      </w:r>
      <w:r w:rsidR="003620C6" w:rsidRPr="00337743">
        <w:rPr>
          <w:rFonts w:ascii="Cambria" w:hAnsi="Cambria"/>
          <w:sz w:val="20"/>
          <w:szCs w:val="20"/>
          <w:lang w:val="pt-BR"/>
        </w:rPr>
        <w:t xml:space="preserve"> de </w:t>
      </w:r>
      <w:r w:rsidR="00E30405" w:rsidRPr="00337743">
        <w:rPr>
          <w:rFonts w:ascii="Cambria" w:hAnsi="Cambria"/>
          <w:sz w:val="20"/>
          <w:szCs w:val="20"/>
          <w:lang w:val="pt-BR"/>
        </w:rPr>
        <w:t>risco</w:t>
      </w:r>
      <w:r w:rsidR="003620C6" w:rsidRPr="00337743">
        <w:rPr>
          <w:rFonts w:ascii="Cambria" w:hAnsi="Cambria"/>
          <w:sz w:val="20"/>
          <w:szCs w:val="20"/>
          <w:lang w:val="pt-BR"/>
        </w:rPr>
        <w:t>; ii)</w:t>
      </w:r>
      <w:r w:rsidR="00532720" w:rsidRPr="00337743">
        <w:rPr>
          <w:rFonts w:ascii="Cambria" w:hAnsi="Cambria"/>
          <w:sz w:val="20"/>
          <w:szCs w:val="20"/>
          <w:lang w:val="pt-BR"/>
        </w:rPr>
        <w:t xml:space="preserve"> se </w:t>
      </w:r>
      <w:r w:rsidR="008E3049" w:rsidRPr="00337743">
        <w:rPr>
          <w:rFonts w:ascii="Cambria" w:hAnsi="Cambria"/>
          <w:sz w:val="20"/>
          <w:szCs w:val="20"/>
          <w:lang w:val="pt-BR"/>
        </w:rPr>
        <w:t>esse</w:t>
      </w:r>
      <w:r w:rsidR="003620C6" w:rsidRPr="00337743">
        <w:rPr>
          <w:rFonts w:ascii="Cambria" w:hAnsi="Cambria"/>
          <w:sz w:val="20"/>
          <w:szCs w:val="20"/>
          <w:lang w:val="pt-BR"/>
        </w:rPr>
        <w:t xml:space="preserve"> </w:t>
      </w:r>
      <w:r w:rsidR="00E30405" w:rsidRPr="00337743">
        <w:rPr>
          <w:rFonts w:ascii="Cambria" w:hAnsi="Cambria"/>
          <w:sz w:val="20"/>
          <w:szCs w:val="20"/>
          <w:lang w:val="pt-BR"/>
        </w:rPr>
        <w:t>risco</w:t>
      </w:r>
      <w:r w:rsidR="003620C6" w:rsidRPr="00337743">
        <w:rPr>
          <w:rFonts w:ascii="Cambria" w:hAnsi="Cambria"/>
          <w:sz w:val="20"/>
          <w:szCs w:val="20"/>
          <w:lang w:val="pt-BR"/>
        </w:rPr>
        <w:t xml:space="preserve"> era real e </w:t>
      </w:r>
      <w:r w:rsidR="00DB5118" w:rsidRPr="00337743">
        <w:rPr>
          <w:rFonts w:ascii="Cambria" w:hAnsi="Cambria"/>
          <w:sz w:val="20"/>
          <w:szCs w:val="20"/>
          <w:lang w:val="pt-BR"/>
        </w:rPr>
        <w:t>im</w:t>
      </w:r>
      <w:r w:rsidR="003620C6" w:rsidRPr="00337743">
        <w:rPr>
          <w:rFonts w:ascii="Cambria" w:hAnsi="Cambria"/>
          <w:sz w:val="20"/>
          <w:szCs w:val="20"/>
          <w:lang w:val="pt-BR"/>
        </w:rPr>
        <w:t xml:space="preserve">ediato; </w:t>
      </w:r>
      <w:r w:rsidR="00506331" w:rsidRPr="00337743">
        <w:rPr>
          <w:rFonts w:ascii="Cambria" w:hAnsi="Cambria"/>
          <w:sz w:val="20"/>
          <w:szCs w:val="20"/>
          <w:lang w:val="pt-BR"/>
        </w:rPr>
        <w:t xml:space="preserve"> e </w:t>
      </w:r>
      <w:r w:rsidR="003620C6" w:rsidRPr="00337743">
        <w:rPr>
          <w:rFonts w:ascii="Cambria" w:hAnsi="Cambria"/>
          <w:sz w:val="20"/>
          <w:szCs w:val="20"/>
          <w:lang w:val="pt-BR"/>
        </w:rPr>
        <w:t>iii)</w:t>
      </w:r>
      <w:r w:rsidR="00532720" w:rsidRPr="00337743">
        <w:rPr>
          <w:rFonts w:ascii="Cambria" w:hAnsi="Cambria"/>
          <w:sz w:val="20"/>
          <w:szCs w:val="20"/>
          <w:lang w:val="pt-BR"/>
        </w:rPr>
        <w:t xml:space="preserve"> se </w:t>
      </w:r>
      <w:r w:rsidR="00506331" w:rsidRPr="00337743">
        <w:rPr>
          <w:rFonts w:ascii="Cambria" w:hAnsi="Cambria"/>
          <w:sz w:val="20"/>
          <w:szCs w:val="20"/>
          <w:lang w:val="pt-BR"/>
        </w:rPr>
        <w:t xml:space="preserve">o </w:t>
      </w:r>
      <w:r w:rsidR="003620C6" w:rsidRPr="00337743">
        <w:rPr>
          <w:rFonts w:ascii="Cambria" w:hAnsi="Cambria"/>
          <w:sz w:val="20"/>
          <w:szCs w:val="20"/>
          <w:lang w:val="pt-BR"/>
        </w:rPr>
        <w:t xml:space="preserve">Estado </w:t>
      </w:r>
      <w:r w:rsidR="008E6DE4" w:rsidRPr="00337743">
        <w:rPr>
          <w:rFonts w:ascii="Cambria" w:hAnsi="Cambria"/>
          <w:sz w:val="20"/>
          <w:szCs w:val="20"/>
          <w:lang w:val="pt-BR"/>
        </w:rPr>
        <w:t>adot</w:t>
      </w:r>
      <w:r w:rsidR="0097767F" w:rsidRPr="00337743">
        <w:rPr>
          <w:rFonts w:ascii="Cambria" w:hAnsi="Cambria"/>
          <w:sz w:val="20"/>
          <w:szCs w:val="20"/>
          <w:lang w:val="pt-BR"/>
        </w:rPr>
        <w:t>ou</w:t>
      </w:r>
      <w:r w:rsidR="007707E3" w:rsidRPr="00337743">
        <w:rPr>
          <w:rFonts w:ascii="Cambria" w:hAnsi="Cambria"/>
          <w:sz w:val="20"/>
          <w:szCs w:val="20"/>
          <w:lang w:val="pt-BR"/>
        </w:rPr>
        <w:t xml:space="preserve"> as </w:t>
      </w:r>
      <w:r w:rsidR="003620C6" w:rsidRPr="00337743">
        <w:rPr>
          <w:rFonts w:ascii="Cambria" w:hAnsi="Cambria"/>
          <w:sz w:val="20"/>
          <w:szCs w:val="20"/>
          <w:lang w:val="pt-BR"/>
        </w:rPr>
        <w:t>medidas razoa</w:t>
      </w:r>
      <w:r w:rsidR="0097767F" w:rsidRPr="00337743">
        <w:rPr>
          <w:rFonts w:ascii="Cambria" w:hAnsi="Cambria"/>
          <w:sz w:val="20"/>
          <w:szCs w:val="20"/>
          <w:lang w:val="pt-BR"/>
        </w:rPr>
        <w:t>vel</w:t>
      </w:r>
      <w:r w:rsidR="003620C6" w:rsidRPr="00337743">
        <w:rPr>
          <w:rFonts w:ascii="Cambria" w:hAnsi="Cambria"/>
          <w:sz w:val="20"/>
          <w:szCs w:val="20"/>
          <w:lang w:val="pt-BR"/>
        </w:rPr>
        <w:t>mente espera</w:t>
      </w:r>
      <w:r w:rsidR="0097767F" w:rsidRPr="00337743">
        <w:rPr>
          <w:rFonts w:ascii="Cambria" w:hAnsi="Cambria"/>
          <w:sz w:val="20"/>
          <w:szCs w:val="20"/>
          <w:lang w:val="pt-BR"/>
        </w:rPr>
        <w:t>das</w:t>
      </w:r>
      <w:r w:rsidR="003620C6" w:rsidRPr="00337743">
        <w:rPr>
          <w:rFonts w:ascii="Cambria" w:hAnsi="Cambria"/>
          <w:sz w:val="20"/>
          <w:szCs w:val="20"/>
          <w:lang w:val="pt-BR"/>
        </w:rPr>
        <w:t xml:space="preserve"> para evitar que </w:t>
      </w:r>
      <w:r w:rsidR="008E3049" w:rsidRPr="00337743">
        <w:rPr>
          <w:rFonts w:ascii="Cambria" w:hAnsi="Cambria"/>
          <w:sz w:val="20"/>
          <w:szCs w:val="20"/>
          <w:lang w:val="pt-BR"/>
        </w:rPr>
        <w:t>esse</w:t>
      </w:r>
      <w:r w:rsidR="003620C6" w:rsidRPr="00337743">
        <w:rPr>
          <w:rFonts w:ascii="Cambria" w:hAnsi="Cambria"/>
          <w:sz w:val="20"/>
          <w:szCs w:val="20"/>
          <w:lang w:val="pt-BR"/>
        </w:rPr>
        <w:t xml:space="preserve"> </w:t>
      </w:r>
      <w:r w:rsidR="00E30405" w:rsidRPr="00337743">
        <w:rPr>
          <w:rFonts w:ascii="Cambria" w:hAnsi="Cambria"/>
          <w:sz w:val="20"/>
          <w:szCs w:val="20"/>
          <w:lang w:val="pt-BR"/>
        </w:rPr>
        <w:t>risco</w:t>
      </w:r>
      <w:r w:rsidR="003620C6" w:rsidRPr="00337743">
        <w:rPr>
          <w:rFonts w:ascii="Cambria" w:hAnsi="Cambria"/>
          <w:sz w:val="20"/>
          <w:szCs w:val="20"/>
          <w:lang w:val="pt-BR"/>
        </w:rPr>
        <w:t xml:space="preserve"> </w:t>
      </w:r>
      <w:r w:rsidR="008E3049" w:rsidRPr="00337743">
        <w:rPr>
          <w:rFonts w:ascii="Cambria" w:hAnsi="Cambria"/>
          <w:sz w:val="20"/>
          <w:szCs w:val="20"/>
          <w:lang w:val="pt-BR"/>
        </w:rPr>
        <w:t>ocorresse</w:t>
      </w:r>
      <w:r w:rsidR="003620C6" w:rsidRPr="00337743">
        <w:rPr>
          <w:rStyle w:val="FootnoteReference"/>
          <w:rFonts w:ascii="Cambria" w:hAnsi="Cambria" w:cs="Arial"/>
          <w:sz w:val="20"/>
          <w:szCs w:val="20"/>
          <w:lang w:val="pt-BR"/>
        </w:rPr>
        <w:footnoteReference w:id="103"/>
      </w:r>
      <w:r w:rsidR="003620C6" w:rsidRPr="00337743">
        <w:rPr>
          <w:rFonts w:ascii="Cambria" w:hAnsi="Cambria"/>
          <w:sz w:val="20"/>
          <w:szCs w:val="20"/>
          <w:lang w:val="pt-BR"/>
        </w:rPr>
        <w:t>.</w:t>
      </w:r>
    </w:p>
    <w:p w14:paraId="425A4AC1" w14:textId="77777777" w:rsidR="002F1065" w:rsidRPr="00E358A6" w:rsidRDefault="002F1065" w:rsidP="00E358A6">
      <w:pPr>
        <w:pStyle w:val="Heading3"/>
        <w:numPr>
          <w:ilvl w:val="0"/>
          <w:numId w:val="64"/>
        </w:numPr>
        <w:ind w:firstLine="0"/>
        <w:rPr>
          <w:rFonts w:ascii="Cambria" w:hAnsi="Cambria"/>
          <w:sz w:val="20"/>
          <w:szCs w:val="20"/>
          <w:lang w:val="pt-BR"/>
        </w:rPr>
      </w:pPr>
      <w:bookmarkStart w:id="20" w:name="_Toc5890577"/>
      <w:r w:rsidRPr="00E358A6">
        <w:rPr>
          <w:rFonts w:ascii="Cambria" w:hAnsi="Cambria"/>
          <w:sz w:val="20"/>
          <w:szCs w:val="20"/>
          <w:lang w:val="pt-BR"/>
        </w:rPr>
        <w:t>Análise do caso</w:t>
      </w:r>
      <w:bookmarkEnd w:id="20"/>
    </w:p>
    <w:p w14:paraId="1CF29E37"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sz w:val="20"/>
          <w:szCs w:val="20"/>
          <w:lang w:val="pt-BR"/>
        </w:rPr>
      </w:pPr>
    </w:p>
    <w:p w14:paraId="22AC5E20"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color w:val="000000"/>
          <w:sz w:val="20"/>
          <w:szCs w:val="20"/>
          <w:lang w:val="pt-BR"/>
        </w:rPr>
        <w:t>No pre</w:t>
      </w:r>
      <w:r w:rsidRPr="00337743">
        <w:rPr>
          <w:rFonts w:ascii="Cambria" w:hAnsi="Cambria"/>
          <w:sz w:val="20"/>
          <w:szCs w:val="20"/>
          <w:lang w:val="pt-BR"/>
        </w:rPr>
        <w:t xml:space="preserve">sente caso ficou estabelecido que o corpo de Márcia Barbosa de Souza foi encontrado em 18 de junho </w:t>
      </w:r>
      <w:r w:rsidRPr="00337743">
        <w:rPr>
          <w:rFonts w:ascii="Cambria" w:hAnsi="Cambria"/>
          <w:color w:val="000000"/>
          <w:sz w:val="20"/>
          <w:szCs w:val="20"/>
          <w:lang w:val="pt-BR"/>
        </w:rPr>
        <w:t xml:space="preserve">de 1998, com </w:t>
      </w:r>
      <w:r w:rsidRPr="00337743">
        <w:rPr>
          <w:rFonts w:ascii="Cambria" w:hAnsi="Cambria"/>
          <w:sz w:val="20"/>
          <w:szCs w:val="20"/>
          <w:lang w:val="pt-BR"/>
        </w:rPr>
        <w:t>sinais</w:t>
      </w:r>
      <w:r w:rsidRPr="00337743">
        <w:rPr>
          <w:rFonts w:ascii="Cambria" w:hAnsi="Cambria"/>
          <w:color w:val="000000"/>
          <w:sz w:val="20"/>
          <w:szCs w:val="20"/>
          <w:lang w:val="pt-BR"/>
        </w:rPr>
        <w:t xml:space="preserve"> de haver falecido de morte violenta, por sufocamento. Pelas circunstâncias que cercaram a morte da Márcia Barbosa de Souza, a CIDH considera que </w:t>
      </w:r>
      <w:r w:rsidR="00693300" w:rsidRPr="00337743">
        <w:rPr>
          <w:rFonts w:ascii="Cambria" w:hAnsi="Cambria"/>
          <w:color w:val="000000"/>
          <w:sz w:val="20"/>
          <w:szCs w:val="20"/>
          <w:lang w:val="pt-BR"/>
        </w:rPr>
        <w:t>se tratou</w:t>
      </w:r>
      <w:r w:rsidRPr="00337743">
        <w:rPr>
          <w:rFonts w:ascii="Cambria" w:hAnsi="Cambria"/>
          <w:color w:val="000000"/>
          <w:sz w:val="20"/>
          <w:szCs w:val="20"/>
          <w:lang w:val="pt-BR"/>
        </w:rPr>
        <w:t xml:space="preserve"> de um grave ato de violência contra a mulher que deve ser entendido como um assassinato por razões de gênero. Não está em controvérsia ante a CIDH que o perpetrador deste ato foi o então deputado estadual </w:t>
      </w:r>
      <w:r w:rsidRPr="00337743">
        <w:rPr>
          <w:rFonts w:ascii="Cambria" w:hAnsi="Cambria"/>
          <w:sz w:val="20"/>
          <w:szCs w:val="20"/>
          <w:lang w:val="pt-BR"/>
        </w:rPr>
        <w:t xml:space="preserve">Aércio Pereira de Lima. O Estado não negou </w:t>
      </w:r>
      <w:r w:rsidR="009B2078" w:rsidRPr="00337743">
        <w:rPr>
          <w:rFonts w:ascii="Cambria" w:hAnsi="Cambria"/>
          <w:sz w:val="20"/>
          <w:szCs w:val="20"/>
          <w:lang w:val="pt-BR"/>
        </w:rPr>
        <w:t>isso</w:t>
      </w:r>
      <w:r w:rsidRPr="00337743">
        <w:rPr>
          <w:rFonts w:ascii="Cambria" w:hAnsi="Cambria"/>
          <w:sz w:val="20"/>
          <w:szCs w:val="20"/>
          <w:lang w:val="pt-BR"/>
        </w:rPr>
        <w:t xml:space="preserve"> e argumentou tratar-se de um ato privado do então deputado, </w:t>
      </w:r>
      <w:r w:rsidR="009B2078" w:rsidRPr="00337743">
        <w:rPr>
          <w:rFonts w:ascii="Cambria" w:hAnsi="Cambria"/>
          <w:sz w:val="20"/>
          <w:szCs w:val="20"/>
          <w:lang w:val="pt-BR"/>
        </w:rPr>
        <w:t>motivo pelo qual</w:t>
      </w:r>
      <w:r w:rsidRPr="00337743">
        <w:rPr>
          <w:rFonts w:ascii="Cambria" w:hAnsi="Cambria"/>
          <w:sz w:val="20"/>
          <w:szCs w:val="20"/>
          <w:lang w:val="pt-BR"/>
        </w:rPr>
        <w:t xml:space="preserve"> não pod</w:t>
      </w:r>
      <w:r w:rsidR="009B2078" w:rsidRPr="00337743">
        <w:rPr>
          <w:rFonts w:ascii="Cambria" w:hAnsi="Cambria"/>
          <w:sz w:val="20"/>
          <w:szCs w:val="20"/>
          <w:lang w:val="pt-BR"/>
        </w:rPr>
        <w:t>ia</w:t>
      </w:r>
      <w:r w:rsidRPr="00337743">
        <w:rPr>
          <w:rFonts w:ascii="Cambria" w:hAnsi="Cambria"/>
          <w:sz w:val="20"/>
          <w:szCs w:val="20"/>
          <w:lang w:val="pt-BR"/>
        </w:rPr>
        <w:t xml:space="preserve"> comprometer sua responsabilidade internacional. </w:t>
      </w:r>
    </w:p>
    <w:p w14:paraId="49A3C9AA"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sz w:val="20"/>
          <w:szCs w:val="20"/>
          <w:lang w:val="pt-BR"/>
        </w:rPr>
      </w:pPr>
    </w:p>
    <w:p w14:paraId="2B7C6902"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Levando em conta os atos comprovados no caso, a Comissão considera pertinente analisar a possível responsabilidade internacional do Estado</w:t>
      </w:r>
      <w:r w:rsidR="009B2078" w:rsidRPr="00337743">
        <w:rPr>
          <w:rFonts w:ascii="Cambria" w:hAnsi="Cambria"/>
          <w:sz w:val="20"/>
          <w:szCs w:val="20"/>
          <w:lang w:val="pt-BR"/>
        </w:rPr>
        <w:t>;</w:t>
      </w:r>
      <w:r w:rsidRPr="00337743">
        <w:rPr>
          <w:rFonts w:ascii="Cambria" w:hAnsi="Cambria"/>
          <w:sz w:val="20"/>
          <w:szCs w:val="20"/>
          <w:lang w:val="pt-BR"/>
        </w:rPr>
        <w:t xml:space="preserve"> em primeiro lugar, quanto ao dever a  esse respeito e a jurisprudência citada em matéria de atos </w:t>
      </w:r>
      <w:r w:rsidRPr="00337743">
        <w:rPr>
          <w:rFonts w:ascii="Cambria" w:hAnsi="Cambria"/>
          <w:i/>
          <w:sz w:val="20"/>
          <w:szCs w:val="20"/>
          <w:lang w:val="pt-BR"/>
        </w:rPr>
        <w:t>ultra vires</w:t>
      </w:r>
      <w:r w:rsidRPr="00337743">
        <w:rPr>
          <w:rFonts w:ascii="Cambria" w:hAnsi="Cambria"/>
          <w:sz w:val="20"/>
          <w:szCs w:val="20"/>
          <w:lang w:val="pt-BR"/>
        </w:rPr>
        <w:t xml:space="preserve"> e, em segundo lugar, quanto ao dever de garantia em seu componente de prevenção. O componente de investigação do dever de garantia será analisado na seguinte seção do presente relatório.</w:t>
      </w:r>
    </w:p>
    <w:p w14:paraId="5ED53AEE" w14:textId="77777777" w:rsidR="002F1065" w:rsidRPr="00337743" w:rsidRDefault="002F1065" w:rsidP="002F1065">
      <w:pPr>
        <w:pStyle w:val="ListParagraph"/>
        <w:rPr>
          <w:rFonts w:ascii="Cambria" w:hAnsi="Cambria"/>
          <w:sz w:val="20"/>
          <w:szCs w:val="20"/>
          <w:lang w:val="pt-BR"/>
        </w:rPr>
      </w:pPr>
    </w:p>
    <w:p w14:paraId="3542A80F"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 xml:space="preserve">Quanto ao primeiro ponto, a Comissão observa que efetivamente Aércio Pereira de Lima era um funcionário estatal no momento de cometer o assassinato por razões de gênero contra Márcia Barbosa de Souza. No entanto, das circunstâncias que cercaram este grave ato de violência contra a mulher, a Comissão não </w:t>
      </w:r>
      <w:r w:rsidR="009B2078" w:rsidRPr="00337743">
        <w:rPr>
          <w:rFonts w:ascii="Cambria" w:hAnsi="Cambria"/>
          <w:sz w:val="20"/>
          <w:szCs w:val="20"/>
          <w:lang w:val="pt-BR"/>
        </w:rPr>
        <w:t>consider</w:t>
      </w:r>
      <w:r w:rsidRPr="00337743">
        <w:rPr>
          <w:rFonts w:ascii="Cambria" w:hAnsi="Cambria"/>
          <w:sz w:val="20"/>
          <w:szCs w:val="20"/>
          <w:lang w:val="pt-BR"/>
        </w:rPr>
        <w:t xml:space="preserve">a que o mesmo foi cometido quando o perpetrador estava em serviço ou atuando sob a chefia de seus superiores nem mediante o uso de meios derivados da função oficial. Tampouco se identifica da informação disponível que o público e a vítima pudessem perceber que Aércio Pereira de Lima estava agindo na qualidade de funcionário. </w:t>
      </w:r>
      <w:r w:rsidR="009B2078" w:rsidRPr="00337743">
        <w:rPr>
          <w:rFonts w:ascii="Cambria" w:hAnsi="Cambria"/>
          <w:sz w:val="20"/>
          <w:szCs w:val="20"/>
          <w:lang w:val="pt-BR"/>
        </w:rPr>
        <w:t>Embora</w:t>
      </w:r>
      <w:r w:rsidRPr="00337743">
        <w:rPr>
          <w:rFonts w:ascii="Cambria" w:hAnsi="Cambria"/>
          <w:sz w:val="20"/>
          <w:szCs w:val="20"/>
          <w:lang w:val="pt-BR"/>
        </w:rPr>
        <w:t xml:space="preserve"> a Comissão consider</w:t>
      </w:r>
      <w:r w:rsidR="009B2078" w:rsidRPr="00337743">
        <w:rPr>
          <w:rFonts w:ascii="Cambria" w:hAnsi="Cambria"/>
          <w:sz w:val="20"/>
          <w:szCs w:val="20"/>
          <w:lang w:val="pt-BR"/>
        </w:rPr>
        <w:t>e</w:t>
      </w:r>
      <w:r w:rsidRPr="00337743">
        <w:rPr>
          <w:rFonts w:ascii="Cambria" w:hAnsi="Cambria"/>
          <w:sz w:val="20"/>
          <w:szCs w:val="20"/>
          <w:lang w:val="pt-BR"/>
        </w:rPr>
        <w:t xml:space="preserve"> que o alto cargo que ostentava essa pessoa e a existência de uma imunidade parlamentar amplíssima tanto na norma constitucional como na prática – que será analisada na seguinte seção do presente relatório –  p</w:t>
      </w:r>
      <w:r w:rsidR="009B2078" w:rsidRPr="00337743">
        <w:rPr>
          <w:rFonts w:ascii="Cambria" w:hAnsi="Cambria"/>
          <w:sz w:val="20"/>
          <w:szCs w:val="20"/>
          <w:lang w:val="pt-BR"/>
        </w:rPr>
        <w:t>oderiam</w:t>
      </w:r>
      <w:r w:rsidRPr="00337743">
        <w:rPr>
          <w:rFonts w:ascii="Cambria" w:hAnsi="Cambria"/>
          <w:sz w:val="20"/>
          <w:szCs w:val="20"/>
          <w:lang w:val="pt-BR"/>
        </w:rPr>
        <w:t xml:space="preserve"> incidir na decisão do então deputado de cometer o </w:t>
      </w:r>
      <w:r w:rsidR="009B2078" w:rsidRPr="00337743">
        <w:rPr>
          <w:rFonts w:ascii="Cambria" w:hAnsi="Cambria"/>
          <w:sz w:val="20"/>
          <w:szCs w:val="20"/>
          <w:lang w:val="pt-BR"/>
        </w:rPr>
        <w:t>crime</w:t>
      </w:r>
      <w:r w:rsidRPr="00337743">
        <w:rPr>
          <w:rFonts w:ascii="Cambria" w:hAnsi="Cambria"/>
          <w:sz w:val="20"/>
          <w:szCs w:val="20"/>
          <w:lang w:val="pt-BR"/>
        </w:rPr>
        <w:t xml:space="preserve">, sabendo que não seria processado pelo mesmo enquanto ostentasse </w:t>
      </w:r>
      <w:r w:rsidR="009B2078" w:rsidRPr="00337743">
        <w:rPr>
          <w:rFonts w:ascii="Cambria" w:hAnsi="Cambria"/>
          <w:sz w:val="20"/>
          <w:szCs w:val="20"/>
          <w:lang w:val="pt-BR"/>
        </w:rPr>
        <w:t xml:space="preserve">a </w:t>
      </w:r>
      <w:r w:rsidRPr="00337743">
        <w:rPr>
          <w:rFonts w:ascii="Cambria" w:hAnsi="Cambria"/>
          <w:sz w:val="20"/>
          <w:szCs w:val="20"/>
          <w:lang w:val="pt-BR"/>
        </w:rPr>
        <w:t>qualidade de funcionário público, esta consideração por</w:t>
      </w:r>
      <w:r w:rsidR="00532720" w:rsidRPr="00337743">
        <w:rPr>
          <w:rFonts w:ascii="Cambria" w:hAnsi="Cambria"/>
          <w:sz w:val="20"/>
          <w:szCs w:val="20"/>
          <w:lang w:val="pt-BR"/>
        </w:rPr>
        <w:t xml:space="preserve"> s</w:t>
      </w:r>
      <w:r w:rsidR="009B2078" w:rsidRPr="00337743">
        <w:rPr>
          <w:rFonts w:ascii="Cambria" w:hAnsi="Cambria"/>
          <w:sz w:val="20"/>
          <w:szCs w:val="20"/>
          <w:lang w:val="pt-BR"/>
        </w:rPr>
        <w:t>i</w:t>
      </w:r>
      <w:r w:rsidR="00532720" w:rsidRPr="00337743">
        <w:rPr>
          <w:rFonts w:ascii="Cambria" w:hAnsi="Cambria"/>
          <w:sz w:val="20"/>
          <w:szCs w:val="20"/>
          <w:lang w:val="pt-BR"/>
        </w:rPr>
        <w:t xml:space="preserve"> </w:t>
      </w:r>
      <w:r w:rsidRPr="00337743">
        <w:rPr>
          <w:rFonts w:ascii="Cambria" w:hAnsi="Cambria"/>
          <w:sz w:val="20"/>
          <w:szCs w:val="20"/>
          <w:lang w:val="pt-BR"/>
        </w:rPr>
        <w:t xml:space="preserve">só não é suficiente para determinar que agiu no exercício de suas funções ou sob </w:t>
      </w:r>
      <w:r w:rsidR="009B2078" w:rsidRPr="00337743">
        <w:rPr>
          <w:rFonts w:ascii="Cambria" w:hAnsi="Cambria"/>
          <w:sz w:val="20"/>
          <w:szCs w:val="20"/>
          <w:lang w:val="pt-BR"/>
        </w:rPr>
        <w:t xml:space="preserve">o </w:t>
      </w:r>
      <w:r w:rsidRPr="00337743">
        <w:rPr>
          <w:rFonts w:ascii="Cambria" w:hAnsi="Cambria"/>
          <w:sz w:val="20"/>
          <w:szCs w:val="20"/>
          <w:lang w:val="pt-BR"/>
        </w:rPr>
        <w:t>amparo da autoridade estatal. A Comissão não encontra outros elementos que permitam considerar que da motivação do perpetrador se desprenda o caráter não privado do ato cometido, de tal forma que seja possível atribuir responsabilidade ao Estado p</w:t>
      </w:r>
      <w:r w:rsidR="009B2078" w:rsidRPr="00337743">
        <w:rPr>
          <w:rFonts w:ascii="Cambria" w:hAnsi="Cambria"/>
          <w:sz w:val="20"/>
          <w:szCs w:val="20"/>
          <w:lang w:val="pt-BR"/>
        </w:rPr>
        <w:t>el</w:t>
      </w:r>
      <w:r w:rsidRPr="00337743">
        <w:rPr>
          <w:rFonts w:ascii="Cambria" w:hAnsi="Cambria"/>
          <w:sz w:val="20"/>
          <w:szCs w:val="20"/>
          <w:lang w:val="pt-BR"/>
        </w:rPr>
        <w:t xml:space="preserve">o </w:t>
      </w:r>
      <w:r w:rsidR="009B2078" w:rsidRPr="00337743">
        <w:rPr>
          <w:rFonts w:ascii="Cambria" w:hAnsi="Cambria"/>
          <w:sz w:val="20"/>
          <w:szCs w:val="20"/>
          <w:lang w:val="pt-BR"/>
        </w:rPr>
        <w:t>des</w:t>
      </w:r>
      <w:r w:rsidRPr="00337743">
        <w:rPr>
          <w:rFonts w:ascii="Cambria" w:hAnsi="Cambria"/>
          <w:sz w:val="20"/>
          <w:szCs w:val="20"/>
          <w:lang w:val="pt-BR"/>
        </w:rPr>
        <w:t xml:space="preserve">cumprimento do dever de respeito. </w:t>
      </w:r>
    </w:p>
    <w:p w14:paraId="59361AFE"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sz w:val="20"/>
          <w:szCs w:val="20"/>
          <w:lang w:val="pt-BR"/>
        </w:rPr>
      </w:pPr>
    </w:p>
    <w:p w14:paraId="0BB6706C"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color w:val="000000"/>
          <w:sz w:val="20"/>
          <w:szCs w:val="20"/>
          <w:lang w:val="pt-BR"/>
        </w:rPr>
        <w:t xml:space="preserve">A respeito do segundo ponto, a Comissão estabeleceu no presente relatório a existência de um contexto de violência de gênero contra a mulher no Brasil, assim como de </w:t>
      </w:r>
      <w:r w:rsidRPr="00337743">
        <w:rPr>
          <w:rFonts w:ascii="Cambria" w:hAnsi="Cambria"/>
          <w:sz w:val="20"/>
          <w:szCs w:val="20"/>
          <w:lang w:val="pt-BR"/>
        </w:rPr>
        <w:t xml:space="preserve">tolerância estatal nesse contexto. </w:t>
      </w:r>
      <w:r w:rsidRPr="00337743">
        <w:rPr>
          <w:rFonts w:ascii="Cambria" w:hAnsi="Cambria"/>
          <w:color w:val="000000"/>
          <w:sz w:val="20"/>
          <w:szCs w:val="20"/>
          <w:lang w:val="pt-BR"/>
        </w:rPr>
        <w:t>Entre 1998, ano da morte de Márcia, e os dias atuais</w:t>
      </w:r>
      <w:r w:rsidRPr="00337743">
        <w:rPr>
          <w:rFonts w:ascii="Cambria" w:hAnsi="Cambria"/>
          <w:sz w:val="20"/>
          <w:szCs w:val="20"/>
          <w:lang w:val="pt-BR"/>
        </w:rPr>
        <w:t xml:space="preserve"> o Estado brasileiro adotou medidas importantes para prevenir a violência contra a mulher, como a Lei Maria da Penha e a Lei do Feminicídio. Não obstante, conforme indicado na seção de contexto, o cenário de violência sistêmica contra a mulher persiste até hoje. Além disso, da informação de contexto é possível inferir que no momento dos atos existia uma carência de medidas apropriadas para prevenir atos como a violência sofrida por Márcia Barbosa de Souza.</w:t>
      </w:r>
    </w:p>
    <w:p w14:paraId="71039328"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pt-BR"/>
        </w:rPr>
      </w:pPr>
    </w:p>
    <w:p w14:paraId="31316104"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Sem preju</w:t>
      </w:r>
      <w:r w:rsidR="00693300" w:rsidRPr="00337743">
        <w:rPr>
          <w:rFonts w:ascii="Cambria" w:hAnsi="Cambria"/>
          <w:sz w:val="20"/>
          <w:szCs w:val="20"/>
          <w:lang w:val="pt-BR"/>
        </w:rPr>
        <w:t>ízo d</w:t>
      </w:r>
      <w:r w:rsidRPr="00337743">
        <w:rPr>
          <w:rFonts w:ascii="Cambria" w:hAnsi="Cambria"/>
          <w:sz w:val="20"/>
          <w:szCs w:val="20"/>
          <w:lang w:val="pt-BR"/>
        </w:rPr>
        <w:t xml:space="preserve">o </w:t>
      </w:r>
      <w:r w:rsidR="00693300" w:rsidRPr="00337743">
        <w:rPr>
          <w:rFonts w:ascii="Cambria" w:hAnsi="Cambria"/>
          <w:sz w:val="20"/>
          <w:szCs w:val="20"/>
          <w:lang w:val="pt-BR"/>
        </w:rPr>
        <w:t xml:space="preserve">exposto </w:t>
      </w:r>
      <w:r w:rsidRPr="00337743">
        <w:rPr>
          <w:rFonts w:ascii="Cambria" w:hAnsi="Cambria"/>
          <w:sz w:val="20"/>
          <w:szCs w:val="20"/>
          <w:lang w:val="pt-BR"/>
        </w:rPr>
        <w:t>anterior</w:t>
      </w:r>
      <w:r w:rsidR="00693300" w:rsidRPr="00337743">
        <w:rPr>
          <w:rFonts w:ascii="Cambria" w:hAnsi="Cambria"/>
          <w:sz w:val="20"/>
          <w:szCs w:val="20"/>
          <w:lang w:val="pt-BR"/>
        </w:rPr>
        <w:t>mente</w:t>
      </w:r>
      <w:r w:rsidRPr="00337743">
        <w:rPr>
          <w:rFonts w:ascii="Cambria" w:hAnsi="Cambria"/>
          <w:sz w:val="20"/>
          <w:szCs w:val="20"/>
          <w:lang w:val="pt-BR"/>
        </w:rPr>
        <w:t xml:space="preserve">, no âmbito do conhecimento de um caso contencioso, a análise de atribuição de responsabilidade </w:t>
      </w:r>
      <w:r w:rsidRPr="00337743">
        <w:rPr>
          <w:rFonts w:ascii="Cambria" w:hAnsi="Cambria"/>
          <w:color w:val="000000"/>
          <w:sz w:val="20"/>
          <w:szCs w:val="20"/>
          <w:lang w:val="pt-BR"/>
        </w:rPr>
        <w:t>internacional</w:t>
      </w:r>
      <w:r w:rsidRPr="00337743">
        <w:rPr>
          <w:rFonts w:ascii="Cambria" w:hAnsi="Cambria"/>
          <w:sz w:val="20"/>
          <w:szCs w:val="20"/>
          <w:lang w:val="pt-BR"/>
        </w:rPr>
        <w:t xml:space="preserve"> ao Estado não pode descansar exclusivamente no contexto em que ocorre um ato particular. Em casos similares de violência contra a mulher nos quais se alegava a existência de um contexto geral como fonte de responsabilidade do Estado, a Corte Interamericana indicou: </w:t>
      </w:r>
    </w:p>
    <w:p w14:paraId="4E63971E"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pt-BR"/>
        </w:rPr>
      </w:pPr>
    </w:p>
    <w:p w14:paraId="5DA92A5F"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567" w:right="623"/>
        <w:jc w:val="both"/>
        <w:rPr>
          <w:rFonts w:ascii="Cambria" w:hAnsi="Cambria"/>
          <w:sz w:val="20"/>
          <w:szCs w:val="20"/>
          <w:lang w:val="pt-BR"/>
        </w:rPr>
      </w:pPr>
      <w:r w:rsidRPr="00337743">
        <w:rPr>
          <w:rFonts w:ascii="Cambria" w:hAnsi="Cambria"/>
          <w:sz w:val="20"/>
          <w:szCs w:val="20"/>
          <w:lang w:val="pt-BR"/>
        </w:rPr>
        <w:t xml:space="preserve">Sobre o primeiro momento – antes do desaparecimento das vítimas - a Corte considera que a falta de prevenção do desaparecimento não acarreta </w:t>
      </w:r>
      <w:r w:rsidRPr="00337743">
        <w:rPr>
          <w:rFonts w:ascii="Cambria" w:hAnsi="Cambria"/>
          <w:i/>
          <w:sz w:val="20"/>
          <w:szCs w:val="20"/>
          <w:lang w:val="pt-BR"/>
        </w:rPr>
        <w:t xml:space="preserve">per se </w:t>
      </w:r>
      <w:r w:rsidRPr="00337743">
        <w:rPr>
          <w:rFonts w:ascii="Cambria" w:hAnsi="Cambria"/>
          <w:sz w:val="20"/>
          <w:szCs w:val="20"/>
          <w:lang w:val="pt-BR"/>
        </w:rPr>
        <w:t>a responsabilidade internacional do Estado porque, apesar d</w:t>
      </w:r>
      <w:r w:rsidR="00E71AC2" w:rsidRPr="00337743">
        <w:rPr>
          <w:rFonts w:ascii="Cambria" w:hAnsi="Cambria"/>
          <w:sz w:val="20"/>
          <w:szCs w:val="20"/>
          <w:lang w:val="pt-BR"/>
        </w:rPr>
        <w:t xml:space="preserve">e </w:t>
      </w:r>
      <w:r w:rsidRPr="00337743">
        <w:rPr>
          <w:rFonts w:ascii="Cambria" w:hAnsi="Cambria"/>
          <w:sz w:val="20"/>
          <w:szCs w:val="20"/>
          <w:lang w:val="pt-BR"/>
        </w:rPr>
        <w:t>o mesmo ter conhecimento de uma situação de risco para as mulheres em Ciudad Juárez, não se estabeleceu que tinha conhecimento de um risco real e imediato para as vítimas deste caso. Ainda que o contexto neste caso e suas obrigações internacionais imponham ao Estado uma responsabilidade reforçada com respeito à proteção de mulheres em Ciudad Juárez, que se encontravam em situação de vulnerabilidade, especialmente as mulheres jovens e humildes, não lhe impõem uma responsabilidade ilimitada frente a qualquer ato ilícito contra elas</w:t>
      </w:r>
      <w:r w:rsidRPr="00337743">
        <w:rPr>
          <w:rStyle w:val="FootnoteReference"/>
          <w:rFonts w:ascii="Cambria" w:hAnsi="Cambria"/>
          <w:sz w:val="20"/>
          <w:szCs w:val="20"/>
          <w:lang w:val="pt-BR"/>
        </w:rPr>
        <w:footnoteReference w:id="104"/>
      </w:r>
      <w:r w:rsidRPr="00337743">
        <w:rPr>
          <w:rFonts w:ascii="Cambria" w:hAnsi="Cambria"/>
          <w:sz w:val="20"/>
          <w:szCs w:val="20"/>
          <w:lang w:val="pt-BR"/>
        </w:rPr>
        <w:t>.</w:t>
      </w:r>
    </w:p>
    <w:p w14:paraId="3DCB5B80"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pt-BR"/>
        </w:rPr>
      </w:pPr>
    </w:p>
    <w:p w14:paraId="3D8200F0"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sz w:val="20"/>
          <w:szCs w:val="20"/>
          <w:lang w:val="pt-BR"/>
        </w:rPr>
        <w:t xml:space="preserve">No presente caso, não existe informação no </w:t>
      </w:r>
      <w:r w:rsidR="00E71AC2" w:rsidRPr="00337743">
        <w:rPr>
          <w:rFonts w:ascii="Cambria" w:hAnsi="Cambria"/>
          <w:sz w:val="20"/>
          <w:szCs w:val="20"/>
          <w:lang w:val="pt-BR"/>
        </w:rPr>
        <w:t>processo</w:t>
      </w:r>
      <w:r w:rsidRPr="00337743">
        <w:rPr>
          <w:rFonts w:ascii="Cambria" w:hAnsi="Cambria"/>
          <w:sz w:val="20"/>
          <w:szCs w:val="20"/>
          <w:lang w:val="pt-BR"/>
        </w:rPr>
        <w:t xml:space="preserve"> que permita afirmar que o Estado estava ciente de que Márcia Barbosa de Souza encontrava-se em situação de perigo real ou iminente antes de sua morte, de maneira que os fatos do caso pudessem ser analisados à luz do teste utilizado na jurisprudência interamericana sobre o conhecimento do risco e as medidas razoáveis de prevenção e proteção por parte d</w:t>
      </w:r>
      <w:r w:rsidR="00E71AC2" w:rsidRPr="00337743">
        <w:rPr>
          <w:rFonts w:ascii="Cambria" w:hAnsi="Cambria"/>
          <w:sz w:val="20"/>
          <w:szCs w:val="20"/>
          <w:lang w:val="pt-BR"/>
        </w:rPr>
        <w:t>o</w:t>
      </w:r>
      <w:r w:rsidRPr="00337743">
        <w:rPr>
          <w:rFonts w:ascii="Cambria" w:hAnsi="Cambria"/>
          <w:sz w:val="20"/>
          <w:szCs w:val="20"/>
          <w:lang w:val="pt-BR"/>
        </w:rPr>
        <w:t xml:space="preserve"> Estado a respeito da vítima do caso concreto. Tampouco se assemelha o presente caso aos casos de assassinatos de mulheres por razões de gênero conhecidos anteriormente nos quais se analisou a atuação do Estado no âmbito tempor</w:t>
      </w:r>
      <w:r w:rsidR="00E71AC2" w:rsidRPr="00337743">
        <w:rPr>
          <w:rFonts w:ascii="Cambria" w:hAnsi="Cambria"/>
          <w:sz w:val="20"/>
          <w:szCs w:val="20"/>
          <w:lang w:val="pt-BR"/>
        </w:rPr>
        <w:t>al</w:t>
      </w:r>
      <w:r w:rsidRPr="00337743">
        <w:rPr>
          <w:rFonts w:ascii="Cambria" w:hAnsi="Cambria"/>
          <w:sz w:val="20"/>
          <w:szCs w:val="20"/>
          <w:lang w:val="pt-BR"/>
        </w:rPr>
        <w:t xml:space="preserve"> entre o conhecimento do Estado do desaparecimento da vítima e a descoberta do corpo</w:t>
      </w:r>
      <w:r w:rsidRPr="00337743">
        <w:rPr>
          <w:rStyle w:val="FootnoteReference"/>
          <w:rFonts w:ascii="Cambria" w:hAnsi="Cambria"/>
          <w:sz w:val="20"/>
          <w:szCs w:val="20"/>
          <w:lang w:val="pt-BR"/>
        </w:rPr>
        <w:footnoteReference w:id="105"/>
      </w:r>
      <w:r w:rsidRPr="00337743">
        <w:rPr>
          <w:rFonts w:ascii="Cambria" w:hAnsi="Cambria"/>
          <w:sz w:val="20"/>
          <w:szCs w:val="20"/>
          <w:lang w:val="pt-BR"/>
        </w:rPr>
        <w:t xml:space="preserve">. </w:t>
      </w:r>
    </w:p>
    <w:p w14:paraId="3F6ABCF2"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09"/>
        <w:jc w:val="both"/>
        <w:rPr>
          <w:rFonts w:ascii="Cambria" w:hAnsi="Cambria"/>
          <w:sz w:val="20"/>
          <w:szCs w:val="20"/>
          <w:lang w:val="pt-BR"/>
        </w:rPr>
      </w:pPr>
    </w:p>
    <w:p w14:paraId="7CDF6DDF"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09"/>
        <w:jc w:val="both"/>
        <w:rPr>
          <w:rFonts w:ascii="Cambria" w:hAnsi="Cambria"/>
          <w:sz w:val="20"/>
          <w:szCs w:val="20"/>
          <w:lang w:val="pt-BR"/>
        </w:rPr>
      </w:pPr>
      <w:r w:rsidRPr="00337743">
        <w:rPr>
          <w:rFonts w:ascii="Cambria" w:hAnsi="Cambria"/>
          <w:color w:val="000000"/>
          <w:sz w:val="20"/>
          <w:szCs w:val="20"/>
          <w:lang w:val="pt-BR"/>
        </w:rPr>
        <w:t xml:space="preserve">Em virtude das considerações </w:t>
      </w:r>
      <w:r w:rsidR="00E71AC2" w:rsidRPr="00337743">
        <w:rPr>
          <w:rFonts w:ascii="Cambria" w:hAnsi="Cambria"/>
          <w:color w:val="000000"/>
          <w:sz w:val="20"/>
          <w:szCs w:val="20"/>
          <w:lang w:val="pt-BR"/>
        </w:rPr>
        <w:t xml:space="preserve">anteriores </w:t>
      </w:r>
      <w:r w:rsidRPr="00337743">
        <w:rPr>
          <w:rFonts w:ascii="Cambria" w:hAnsi="Cambria"/>
          <w:color w:val="000000"/>
          <w:sz w:val="20"/>
          <w:szCs w:val="20"/>
          <w:lang w:val="pt-BR"/>
        </w:rPr>
        <w:t>e sem deixar de estabelecer a gravidade do assassinato cometido contra Márcia Barbosa de Souza e</w:t>
      </w:r>
      <w:r w:rsidR="005F2493"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sua avaliação sobre como o mesmo foi cometido no âmbito de um grave contexto de violência contra a mulher e de impunidade sobre tais atos, a Comissão conclui que não é possível atribuir responsabilidade direta ao Estado pela morte como consequência do </w:t>
      </w:r>
      <w:r w:rsidR="005F2493" w:rsidRPr="00337743">
        <w:rPr>
          <w:rFonts w:ascii="Cambria" w:hAnsi="Cambria"/>
          <w:color w:val="000000"/>
          <w:sz w:val="20"/>
          <w:szCs w:val="20"/>
          <w:lang w:val="pt-BR"/>
        </w:rPr>
        <w:t>des</w:t>
      </w:r>
      <w:r w:rsidRPr="00337743">
        <w:rPr>
          <w:rFonts w:ascii="Cambria" w:hAnsi="Cambria"/>
          <w:color w:val="000000"/>
          <w:sz w:val="20"/>
          <w:szCs w:val="20"/>
          <w:lang w:val="pt-BR"/>
        </w:rPr>
        <w:t>cumprimento do dever de respeito, nem p</w:t>
      </w:r>
      <w:r w:rsidR="005F2493" w:rsidRPr="00337743">
        <w:rPr>
          <w:rFonts w:ascii="Cambria" w:hAnsi="Cambria"/>
          <w:color w:val="000000"/>
          <w:sz w:val="20"/>
          <w:szCs w:val="20"/>
          <w:lang w:val="pt-BR"/>
        </w:rPr>
        <w:t>el</w:t>
      </w:r>
      <w:r w:rsidRPr="00337743">
        <w:rPr>
          <w:rFonts w:ascii="Cambria" w:hAnsi="Cambria"/>
          <w:color w:val="000000"/>
          <w:sz w:val="20"/>
          <w:szCs w:val="20"/>
          <w:lang w:val="pt-BR"/>
        </w:rPr>
        <w:t>o</w:t>
      </w:r>
      <w:r w:rsidR="005F2493" w:rsidRPr="00337743">
        <w:rPr>
          <w:rFonts w:ascii="Cambria" w:hAnsi="Cambria"/>
          <w:color w:val="000000"/>
          <w:sz w:val="20"/>
          <w:szCs w:val="20"/>
          <w:lang w:val="pt-BR"/>
        </w:rPr>
        <w:t xml:space="preserve"> des</w:t>
      </w:r>
      <w:r w:rsidRPr="00337743">
        <w:rPr>
          <w:rFonts w:ascii="Cambria" w:hAnsi="Cambria"/>
          <w:color w:val="000000"/>
          <w:sz w:val="20"/>
          <w:szCs w:val="20"/>
          <w:lang w:val="pt-BR"/>
        </w:rPr>
        <w:t>cumprimento do dever de garantia em seu componente de prevenção, analisado a respeito da situação concreta da vítima. A seguir, a Comissão analisará a resposta do Estado após a morte de Márcia Barbosa de Souza no âmbito das investigações e processos seguidos por estes fatos.</w:t>
      </w:r>
    </w:p>
    <w:p w14:paraId="2286FBAD" w14:textId="77777777" w:rsidR="002F1065" w:rsidRPr="00E358A6" w:rsidRDefault="002F1065" w:rsidP="00E358A6">
      <w:pPr>
        <w:pStyle w:val="Heading2"/>
        <w:numPr>
          <w:ilvl w:val="0"/>
          <w:numId w:val="63"/>
        </w:numPr>
        <w:ind w:left="1440" w:hanging="720"/>
        <w:rPr>
          <w:rFonts w:ascii="Cambria" w:hAnsi="Cambria"/>
          <w:i w:val="0"/>
          <w:sz w:val="20"/>
          <w:szCs w:val="20"/>
          <w:lang w:val="pt-BR"/>
        </w:rPr>
      </w:pPr>
      <w:bookmarkStart w:id="21" w:name="_Toc5890578"/>
      <w:r w:rsidRPr="00337743">
        <w:rPr>
          <w:rFonts w:ascii="Cambria" w:hAnsi="Cambria"/>
          <w:i w:val="0"/>
          <w:sz w:val="20"/>
          <w:szCs w:val="20"/>
          <w:lang w:val="pt-BR"/>
        </w:rPr>
        <w:t xml:space="preserve">Direitos às garantias judiciais, proteção judicial, </w:t>
      </w:r>
      <w:r w:rsidR="008E4939" w:rsidRPr="00337743">
        <w:rPr>
          <w:rFonts w:ascii="Cambria" w:hAnsi="Cambria"/>
          <w:i w:val="0"/>
          <w:sz w:val="20"/>
          <w:szCs w:val="20"/>
          <w:lang w:val="pt-BR"/>
        </w:rPr>
        <w:t>princípio</w:t>
      </w:r>
      <w:r w:rsidRPr="00337743">
        <w:rPr>
          <w:rFonts w:ascii="Cambria" w:hAnsi="Cambria"/>
          <w:i w:val="0"/>
          <w:sz w:val="20"/>
          <w:szCs w:val="20"/>
          <w:lang w:val="pt-BR"/>
        </w:rPr>
        <w:t xml:space="preserve"> de igualdade e não discriminação, dever de adotar disposições de direito interno com relação ao direito à vida (artigos 8</w:t>
      </w:r>
      <w:r w:rsidRPr="00337743">
        <w:rPr>
          <w:rStyle w:val="FootnoteReference"/>
          <w:rFonts w:ascii="Cambria" w:hAnsi="Cambria"/>
          <w:i w:val="0"/>
          <w:sz w:val="20"/>
          <w:szCs w:val="20"/>
          <w:lang w:val="pt-BR"/>
        </w:rPr>
        <w:footnoteReference w:id="106"/>
      </w:r>
      <w:r w:rsidRPr="00337743">
        <w:rPr>
          <w:rFonts w:ascii="Cambria" w:hAnsi="Cambria"/>
          <w:i w:val="0"/>
          <w:sz w:val="20"/>
          <w:szCs w:val="20"/>
          <w:lang w:val="pt-BR"/>
        </w:rPr>
        <w:t>, 25</w:t>
      </w:r>
      <w:r w:rsidRPr="00337743">
        <w:rPr>
          <w:rStyle w:val="FootnoteReference"/>
          <w:rFonts w:ascii="Cambria" w:hAnsi="Cambria"/>
          <w:i w:val="0"/>
          <w:sz w:val="20"/>
          <w:szCs w:val="20"/>
          <w:lang w:val="pt-BR"/>
        </w:rPr>
        <w:footnoteReference w:id="107"/>
      </w:r>
      <w:r w:rsidRPr="00337743">
        <w:rPr>
          <w:rFonts w:ascii="Cambria" w:hAnsi="Cambria"/>
          <w:i w:val="0"/>
          <w:sz w:val="20"/>
          <w:szCs w:val="20"/>
          <w:lang w:val="pt-BR"/>
        </w:rPr>
        <w:t>, 24</w:t>
      </w:r>
      <w:r w:rsidRPr="00337743">
        <w:rPr>
          <w:rStyle w:val="FootnoteReference"/>
          <w:rFonts w:ascii="Cambria" w:hAnsi="Cambria"/>
          <w:i w:val="0"/>
          <w:sz w:val="20"/>
          <w:lang w:val="pt-BR"/>
        </w:rPr>
        <w:footnoteReference w:id="108"/>
      </w:r>
      <w:r w:rsidRPr="00337743">
        <w:rPr>
          <w:rFonts w:ascii="Cambria" w:hAnsi="Cambria"/>
          <w:i w:val="0"/>
          <w:sz w:val="20"/>
          <w:szCs w:val="20"/>
          <w:lang w:val="pt-BR"/>
        </w:rPr>
        <w:t>, 1.1</w:t>
      </w:r>
      <w:r w:rsidRPr="00337743">
        <w:rPr>
          <w:rStyle w:val="FootnoteReference"/>
          <w:rFonts w:ascii="Cambria" w:hAnsi="Cambria"/>
          <w:i w:val="0"/>
          <w:sz w:val="20"/>
          <w:szCs w:val="20"/>
          <w:lang w:val="pt-BR"/>
        </w:rPr>
        <w:footnoteReference w:id="109"/>
      </w:r>
      <w:r w:rsidRPr="00337743">
        <w:rPr>
          <w:rFonts w:ascii="Cambria" w:hAnsi="Cambria"/>
          <w:i w:val="0"/>
          <w:sz w:val="20"/>
          <w:szCs w:val="20"/>
          <w:lang w:val="pt-BR"/>
        </w:rPr>
        <w:t>, 2</w:t>
      </w:r>
      <w:r w:rsidRPr="00337743">
        <w:rPr>
          <w:rStyle w:val="FootnoteReference"/>
          <w:rFonts w:ascii="Cambria" w:hAnsi="Cambria"/>
          <w:i w:val="0"/>
          <w:sz w:val="20"/>
          <w:lang w:val="pt-BR"/>
        </w:rPr>
        <w:footnoteReference w:id="110"/>
      </w:r>
      <w:r w:rsidRPr="00337743">
        <w:rPr>
          <w:rFonts w:ascii="Cambria" w:hAnsi="Cambria"/>
          <w:i w:val="0"/>
          <w:sz w:val="20"/>
          <w:szCs w:val="20"/>
          <w:lang w:val="pt-BR"/>
        </w:rPr>
        <w:t xml:space="preserve"> e 4</w:t>
      </w:r>
      <w:r w:rsidRPr="00337743">
        <w:rPr>
          <w:rStyle w:val="FootnoteReference"/>
          <w:rFonts w:ascii="Cambria" w:hAnsi="Cambria"/>
          <w:i w:val="0"/>
          <w:sz w:val="20"/>
          <w:szCs w:val="20"/>
          <w:lang w:val="pt-BR"/>
        </w:rPr>
        <w:footnoteReference w:id="111"/>
      </w:r>
      <w:r w:rsidRPr="00337743">
        <w:rPr>
          <w:rFonts w:ascii="Cambria" w:hAnsi="Cambria"/>
          <w:i w:val="0"/>
          <w:sz w:val="20"/>
          <w:szCs w:val="20"/>
          <w:lang w:val="pt-BR"/>
        </w:rPr>
        <w:t xml:space="preserve"> da Convenção Americana)</w:t>
      </w:r>
      <w:bookmarkEnd w:id="21"/>
    </w:p>
    <w:p w14:paraId="2F71D279" w14:textId="77777777" w:rsidR="002F1065" w:rsidRPr="00337743" w:rsidRDefault="002F1065" w:rsidP="00E358A6">
      <w:pPr>
        <w:pStyle w:val="Heading3"/>
        <w:numPr>
          <w:ilvl w:val="0"/>
          <w:numId w:val="65"/>
        </w:numPr>
        <w:ind w:firstLine="0"/>
        <w:rPr>
          <w:rFonts w:ascii="Cambria" w:hAnsi="Cambria"/>
          <w:b w:val="0"/>
          <w:color w:val="000000"/>
          <w:sz w:val="20"/>
          <w:szCs w:val="20"/>
          <w:lang w:val="pt-BR"/>
        </w:rPr>
      </w:pPr>
      <w:bookmarkStart w:id="22" w:name="_Toc5890579"/>
      <w:r w:rsidRPr="00337743">
        <w:rPr>
          <w:rFonts w:ascii="Cambria" w:hAnsi="Cambria"/>
          <w:color w:val="000000"/>
          <w:sz w:val="20"/>
          <w:szCs w:val="20"/>
          <w:lang w:val="pt-BR"/>
        </w:rPr>
        <w:t>Considerações gerais sobre o dever de investigar a violência contra a mulher</w:t>
      </w:r>
      <w:bookmarkEnd w:id="22"/>
    </w:p>
    <w:p w14:paraId="3CA42F65"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b/>
          <w:color w:val="000000"/>
          <w:sz w:val="20"/>
          <w:szCs w:val="20"/>
          <w:lang w:val="pt-BR"/>
        </w:rPr>
      </w:pPr>
    </w:p>
    <w:p w14:paraId="01BAFB74"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lang w:val="pt-BR"/>
        </w:rPr>
      </w:pPr>
      <w:r w:rsidRPr="00337743">
        <w:rPr>
          <w:rFonts w:ascii="Cambria" w:hAnsi="Cambria"/>
          <w:sz w:val="20"/>
          <w:szCs w:val="20"/>
          <w:lang w:val="pt-BR"/>
        </w:rPr>
        <w:t xml:space="preserve">A Corte estabeleceu que, em conformidade com os artigos 8.1 e 25.1 da Convenção Americana, os Estados </w:t>
      </w:r>
      <w:r w:rsidRPr="00337743">
        <w:rPr>
          <w:rFonts w:ascii="Cambria" w:eastAsia="Times New Roman" w:hAnsi="Cambria" w:cs="Cambria"/>
          <w:sz w:val="20"/>
          <w:szCs w:val="20"/>
          <w:u w:color="000000"/>
          <w:lang w:val="pt-BR" w:eastAsia="es-ES"/>
        </w:rPr>
        <w:t>estão</w:t>
      </w:r>
      <w:r w:rsidRPr="00337743">
        <w:rPr>
          <w:rFonts w:ascii="Cambria" w:hAnsi="Cambria"/>
          <w:sz w:val="20"/>
          <w:szCs w:val="20"/>
          <w:lang w:val="pt-BR"/>
        </w:rPr>
        <w:t xml:space="preserve"> obrigados a fornecer recursos judiciais efetivos às vítimas de violações dos direitos humanos</w:t>
      </w:r>
      <w:r w:rsidRPr="00337743">
        <w:rPr>
          <w:rStyle w:val="FootnoteReference"/>
          <w:rFonts w:ascii="Cambria" w:hAnsi="Cambria"/>
          <w:sz w:val="20"/>
          <w:szCs w:val="20"/>
          <w:lang w:val="pt-BR"/>
        </w:rPr>
        <w:footnoteReference w:id="112"/>
      </w:r>
      <w:r w:rsidRPr="00337743">
        <w:rPr>
          <w:rFonts w:ascii="Cambria" w:hAnsi="Cambria"/>
          <w:sz w:val="20"/>
          <w:szCs w:val="20"/>
          <w:lang w:val="pt-BR"/>
        </w:rPr>
        <w:t xml:space="preserve">. Esses </w:t>
      </w:r>
      <w:r w:rsidRPr="00337743">
        <w:rPr>
          <w:rFonts w:ascii="Cambria" w:hAnsi="Cambria"/>
          <w:color w:val="000000"/>
          <w:sz w:val="20"/>
          <w:szCs w:val="20"/>
          <w:lang w:val="pt-BR"/>
        </w:rPr>
        <w:t>recursos</w:t>
      </w:r>
      <w:r w:rsidRPr="00337743">
        <w:rPr>
          <w:rFonts w:ascii="Cambria" w:hAnsi="Cambria"/>
          <w:sz w:val="20"/>
          <w:szCs w:val="20"/>
          <w:lang w:val="pt-BR"/>
        </w:rPr>
        <w:t xml:space="preserve"> devem ser </w:t>
      </w:r>
      <w:r w:rsidR="00B230E6">
        <w:rPr>
          <w:rFonts w:ascii="Cambria" w:hAnsi="Cambria"/>
          <w:sz w:val="20"/>
          <w:szCs w:val="20"/>
          <w:lang w:val="pt-BR"/>
        </w:rPr>
        <w:t>implementados</w:t>
      </w:r>
      <w:r w:rsidRPr="00337743">
        <w:rPr>
          <w:rFonts w:ascii="Cambria" w:hAnsi="Cambria"/>
          <w:sz w:val="20"/>
          <w:szCs w:val="20"/>
          <w:lang w:val="pt-BR"/>
        </w:rPr>
        <w:t xml:space="preserve"> em conformidade com as regras do devido processo legal</w:t>
      </w:r>
      <w:r w:rsidRPr="00337743">
        <w:rPr>
          <w:rStyle w:val="FootnoteReference"/>
          <w:rFonts w:ascii="Cambria" w:hAnsi="Cambria"/>
          <w:sz w:val="20"/>
          <w:szCs w:val="20"/>
          <w:lang w:val="pt-BR"/>
        </w:rPr>
        <w:footnoteReference w:id="113"/>
      </w:r>
      <w:r w:rsidRPr="00337743">
        <w:rPr>
          <w:rFonts w:ascii="Cambria" w:hAnsi="Cambria"/>
          <w:sz w:val="20"/>
          <w:szCs w:val="20"/>
          <w:lang w:val="pt-BR"/>
        </w:rPr>
        <w:t xml:space="preserve">. </w:t>
      </w:r>
      <w:r w:rsidR="005F2493" w:rsidRPr="00337743">
        <w:rPr>
          <w:rFonts w:ascii="Cambria" w:hAnsi="Cambria"/>
          <w:sz w:val="20"/>
          <w:szCs w:val="20"/>
          <w:lang w:val="pt-BR"/>
        </w:rPr>
        <w:t>A</w:t>
      </w:r>
      <w:r w:rsidRPr="00337743">
        <w:rPr>
          <w:rFonts w:ascii="Cambria" w:hAnsi="Cambria"/>
          <w:sz w:val="20"/>
          <w:szCs w:val="20"/>
          <w:lang w:val="pt-BR"/>
        </w:rPr>
        <w:t xml:space="preserve"> Corte assinalou que o direito de acesso à justiça </w:t>
      </w:r>
      <w:r w:rsidR="00B230E6">
        <w:rPr>
          <w:rFonts w:ascii="Cambria" w:hAnsi="Cambria"/>
          <w:sz w:val="20"/>
          <w:szCs w:val="20"/>
          <w:lang w:val="pt-BR"/>
        </w:rPr>
        <w:t xml:space="preserve">significa </w:t>
      </w:r>
      <w:r w:rsidR="00B230E6" w:rsidRPr="00B230E6">
        <w:rPr>
          <w:rFonts w:ascii="Cambria" w:hAnsi="Cambria"/>
          <w:sz w:val="20"/>
          <w:szCs w:val="20"/>
          <w:lang w:val="pt-BR"/>
        </w:rPr>
        <w:t>assegurar, em um prazo razoável, o direito das supostas vítimas ou de seus familiares a que seja feito o necessário para se conhecer a verdade do acontecido</w:t>
      </w:r>
      <w:r w:rsidR="00B230E6">
        <w:rPr>
          <w:rFonts w:ascii="Cambria" w:hAnsi="Cambria"/>
          <w:sz w:val="20"/>
          <w:szCs w:val="20"/>
          <w:lang w:val="pt-BR"/>
        </w:rPr>
        <w:t xml:space="preserve">, com investigação, julgamento e, se for o caso, punição dos </w:t>
      </w:r>
      <w:r w:rsidR="00B230E6" w:rsidRPr="00B230E6">
        <w:rPr>
          <w:rFonts w:ascii="Cambria" w:hAnsi="Cambria"/>
          <w:sz w:val="20"/>
          <w:szCs w:val="20"/>
          <w:lang w:val="pt-BR"/>
        </w:rPr>
        <w:t>eventuais responsáveis</w:t>
      </w:r>
      <w:r w:rsidRPr="00337743">
        <w:rPr>
          <w:rStyle w:val="FootnoteReference"/>
          <w:rFonts w:ascii="Cambria" w:hAnsi="Cambria"/>
          <w:sz w:val="20"/>
          <w:szCs w:val="20"/>
          <w:lang w:val="pt-BR"/>
        </w:rPr>
        <w:footnoteReference w:id="114"/>
      </w:r>
      <w:r w:rsidRPr="00337743">
        <w:rPr>
          <w:rFonts w:ascii="Cambria" w:hAnsi="Cambria"/>
          <w:sz w:val="20"/>
          <w:szCs w:val="20"/>
          <w:lang w:val="pt-BR"/>
        </w:rPr>
        <w:t>.</w:t>
      </w:r>
    </w:p>
    <w:p w14:paraId="7D4D48BC" w14:textId="77777777" w:rsidR="002F1065" w:rsidRPr="00337743" w:rsidRDefault="002F1065" w:rsidP="002F1065">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630"/>
          <w:tab w:val="left" w:pos="1440"/>
        </w:tabs>
        <w:autoSpaceDE w:val="0"/>
        <w:autoSpaceDN w:val="0"/>
        <w:adjustRightInd w:val="0"/>
        <w:ind w:left="720" w:firstLine="0"/>
        <w:jc w:val="both"/>
        <w:rPr>
          <w:rFonts w:ascii="Cambria" w:hAnsi="Cambria"/>
          <w:color w:val="auto"/>
          <w:sz w:val="20"/>
          <w:szCs w:val="20"/>
          <w:lang w:val="pt-BR"/>
        </w:rPr>
      </w:pPr>
    </w:p>
    <w:p w14:paraId="18EC4BF6"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lang w:val="pt-BR"/>
        </w:rPr>
      </w:pPr>
      <w:r w:rsidRPr="00337743">
        <w:rPr>
          <w:rFonts w:ascii="Cambria" w:hAnsi="Cambria"/>
          <w:sz w:val="20"/>
          <w:szCs w:val="20"/>
          <w:lang w:val="pt-BR"/>
        </w:rPr>
        <w:t xml:space="preserve">Tanto </w:t>
      </w:r>
      <w:r w:rsidRPr="00337743">
        <w:rPr>
          <w:rFonts w:ascii="Cambria" w:hAnsi="Cambria"/>
          <w:spacing w:val="-3"/>
          <w:sz w:val="20"/>
          <w:szCs w:val="20"/>
          <w:lang w:val="pt-BR"/>
        </w:rPr>
        <w:t>a</w:t>
      </w:r>
      <w:r w:rsidRPr="00337743">
        <w:rPr>
          <w:rFonts w:ascii="Cambria" w:hAnsi="Cambria"/>
          <w:sz w:val="20"/>
          <w:szCs w:val="20"/>
          <w:lang w:val="pt-BR"/>
        </w:rPr>
        <w:t xml:space="preserve"> Comissão como a Corte assinalaram em sua jurisprudência reiterada que o dever de investigar é uma obrigação de meio e não de resultado, que deve ser assumida pelo Estado como um dever jurídico próprio e não como uma simples formalidade condenada de antemão a ser inútil, ou como uma mera gestão de interesses particulares, que dependa da iniciativa processual das vítimas ou de seus familiares ou da contribuição privada de elementos probatórios</w:t>
      </w:r>
      <w:r w:rsidRPr="00337743">
        <w:rPr>
          <w:rStyle w:val="FootnoteReference"/>
          <w:rFonts w:ascii="Cambria" w:hAnsi="Cambria"/>
          <w:sz w:val="20"/>
          <w:szCs w:val="20"/>
          <w:lang w:val="pt-BR"/>
        </w:rPr>
        <w:footnoteReference w:id="115"/>
      </w:r>
      <w:r w:rsidRPr="00337743">
        <w:rPr>
          <w:rFonts w:ascii="Cambria" w:hAnsi="Cambria"/>
          <w:sz w:val="20"/>
          <w:szCs w:val="20"/>
          <w:lang w:val="pt-BR"/>
        </w:rPr>
        <w:t xml:space="preserve">. </w:t>
      </w:r>
      <w:r w:rsidR="0070028A" w:rsidRPr="00337743">
        <w:rPr>
          <w:rFonts w:ascii="Cambria" w:hAnsi="Cambria"/>
          <w:sz w:val="20"/>
          <w:szCs w:val="20"/>
          <w:lang w:val="pt-BR"/>
        </w:rPr>
        <w:t>A</w:t>
      </w:r>
      <w:r w:rsidRPr="00337743">
        <w:rPr>
          <w:rFonts w:ascii="Cambria" w:hAnsi="Cambria"/>
          <w:sz w:val="20"/>
          <w:szCs w:val="20"/>
          <w:lang w:val="pt-BR"/>
        </w:rPr>
        <w:t>ssim</w:t>
      </w:r>
      <w:r w:rsidR="0070028A" w:rsidRPr="00337743">
        <w:rPr>
          <w:rFonts w:ascii="Cambria" w:hAnsi="Cambria"/>
          <w:sz w:val="20"/>
          <w:szCs w:val="20"/>
          <w:lang w:val="pt-BR"/>
        </w:rPr>
        <w:t>,</w:t>
      </w:r>
      <w:r w:rsidRPr="00337743">
        <w:rPr>
          <w:rFonts w:ascii="Cambria" w:hAnsi="Cambria"/>
          <w:sz w:val="20"/>
          <w:szCs w:val="20"/>
          <w:lang w:val="pt-BR"/>
        </w:rPr>
        <w:t xml:space="preserve"> a investigação deve ser séria, imparcial e efetiva, e estar orientada à determinação da verdade e à busca, captura, ajuizamento e eventual </w:t>
      </w:r>
      <w:r w:rsidR="0070028A" w:rsidRPr="00337743">
        <w:rPr>
          <w:rFonts w:ascii="Cambria" w:hAnsi="Cambria"/>
          <w:sz w:val="20"/>
          <w:szCs w:val="20"/>
          <w:lang w:val="pt-BR"/>
        </w:rPr>
        <w:t>punição</w:t>
      </w:r>
      <w:r w:rsidRPr="00337743">
        <w:rPr>
          <w:rFonts w:ascii="Cambria" w:hAnsi="Cambria"/>
          <w:sz w:val="20"/>
          <w:szCs w:val="20"/>
          <w:lang w:val="pt-BR"/>
        </w:rPr>
        <w:t xml:space="preserve"> dos autores dos atos</w:t>
      </w:r>
      <w:r w:rsidRPr="00337743">
        <w:rPr>
          <w:rStyle w:val="FootnoteReference"/>
          <w:rFonts w:ascii="Cambria" w:hAnsi="Cambria"/>
          <w:sz w:val="20"/>
          <w:szCs w:val="20"/>
          <w:lang w:val="pt-BR"/>
        </w:rPr>
        <w:footnoteReference w:id="116"/>
      </w:r>
      <w:r w:rsidRPr="00337743">
        <w:rPr>
          <w:rFonts w:ascii="Cambria" w:hAnsi="Cambria"/>
          <w:sz w:val="20"/>
          <w:szCs w:val="20"/>
          <w:lang w:val="pt-BR"/>
        </w:rPr>
        <w:t>.</w:t>
      </w:r>
    </w:p>
    <w:p w14:paraId="3C2AE9EB"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b/>
          <w:color w:val="000000"/>
          <w:sz w:val="20"/>
          <w:szCs w:val="20"/>
          <w:lang w:val="pt-BR"/>
        </w:rPr>
      </w:pPr>
    </w:p>
    <w:p w14:paraId="555CB622"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lang w:val="pt-BR"/>
        </w:rPr>
      </w:pPr>
      <w:r w:rsidRPr="00337743">
        <w:rPr>
          <w:rFonts w:ascii="Cambria" w:hAnsi="Cambria"/>
          <w:sz w:val="20"/>
          <w:szCs w:val="20"/>
          <w:lang w:val="pt-BR"/>
        </w:rPr>
        <w:t>Em casos de violência contra a mulher</w:t>
      </w:r>
      <w:r w:rsidR="0070028A" w:rsidRPr="00337743">
        <w:rPr>
          <w:rFonts w:ascii="Cambria" w:hAnsi="Cambria"/>
          <w:sz w:val="20"/>
          <w:szCs w:val="20"/>
          <w:lang w:val="pt-BR"/>
        </w:rPr>
        <w:t>,</w:t>
      </w:r>
      <w:r w:rsidRPr="00337743">
        <w:rPr>
          <w:rFonts w:ascii="Cambria" w:hAnsi="Cambria"/>
          <w:sz w:val="20"/>
          <w:szCs w:val="20"/>
          <w:lang w:val="pt-BR"/>
        </w:rPr>
        <w:t xml:space="preserve"> as obrigações genéricas estabelecidas nos artigos 8 e 25 da Convenção Americana se complementam e reforçam, para aqueles Estados que são Parte</w:t>
      </w:r>
      <w:r w:rsidR="0070028A" w:rsidRPr="00337743">
        <w:rPr>
          <w:rFonts w:ascii="Cambria" w:hAnsi="Cambria"/>
          <w:sz w:val="20"/>
          <w:szCs w:val="20"/>
          <w:lang w:val="pt-BR"/>
        </w:rPr>
        <w:t>s</w:t>
      </w:r>
      <w:r w:rsidRPr="00337743">
        <w:rPr>
          <w:rFonts w:ascii="Cambria" w:hAnsi="Cambria"/>
          <w:sz w:val="20"/>
          <w:szCs w:val="20"/>
          <w:lang w:val="pt-BR"/>
        </w:rPr>
        <w:t xml:space="preserve">, com as obrigações </w:t>
      </w:r>
      <w:r w:rsidRPr="00337743">
        <w:rPr>
          <w:rFonts w:ascii="Cambria" w:eastAsia="Batang" w:hAnsi="Cambria"/>
          <w:spacing w:val="-2"/>
          <w:sz w:val="20"/>
          <w:szCs w:val="20"/>
          <w:lang w:val="pt-BR"/>
        </w:rPr>
        <w:t>derivadas</w:t>
      </w:r>
      <w:r w:rsidRPr="00337743">
        <w:rPr>
          <w:rFonts w:ascii="Cambria" w:hAnsi="Cambria"/>
          <w:sz w:val="20"/>
          <w:szCs w:val="20"/>
          <w:lang w:val="pt-BR"/>
        </w:rPr>
        <w:t xml:space="preserve"> do tratado interamericano específico, a Convenção de Belém do Pará</w:t>
      </w:r>
      <w:r w:rsidRPr="00337743">
        <w:rPr>
          <w:rStyle w:val="FootnoteReference"/>
          <w:rFonts w:ascii="Cambria" w:hAnsi="Cambria"/>
          <w:sz w:val="20"/>
          <w:szCs w:val="20"/>
          <w:lang w:val="pt-BR"/>
        </w:rPr>
        <w:footnoteReference w:id="117"/>
      </w:r>
      <w:r w:rsidRPr="00337743">
        <w:rPr>
          <w:rFonts w:ascii="Cambria" w:hAnsi="Cambria"/>
          <w:sz w:val="20"/>
          <w:szCs w:val="20"/>
          <w:lang w:val="pt-BR"/>
        </w:rPr>
        <w:t xml:space="preserve">. Em seu artigo 7.b essa Convenção obriga de maneira específica os Estados Partes a utilizar a devida diligência para prevenir, </w:t>
      </w:r>
      <w:r w:rsidR="0070028A" w:rsidRPr="00337743">
        <w:rPr>
          <w:rFonts w:ascii="Cambria" w:hAnsi="Cambria"/>
          <w:sz w:val="20"/>
          <w:szCs w:val="20"/>
          <w:lang w:val="pt-BR"/>
        </w:rPr>
        <w:t>punir</w:t>
      </w:r>
      <w:r w:rsidRPr="00337743">
        <w:rPr>
          <w:rFonts w:ascii="Cambria" w:hAnsi="Cambria"/>
          <w:sz w:val="20"/>
          <w:szCs w:val="20"/>
          <w:lang w:val="pt-BR"/>
        </w:rPr>
        <w:t xml:space="preserve"> e erradicar a violência contra a mulher. Esse dever </w:t>
      </w:r>
      <w:r w:rsidR="0070028A" w:rsidRPr="00337743">
        <w:rPr>
          <w:rFonts w:ascii="Cambria" w:hAnsi="Cambria"/>
          <w:sz w:val="20"/>
          <w:szCs w:val="20"/>
          <w:lang w:val="pt-BR"/>
        </w:rPr>
        <w:t>é</w:t>
      </w:r>
      <w:r w:rsidRPr="00337743">
        <w:rPr>
          <w:rFonts w:ascii="Cambria" w:hAnsi="Cambria"/>
          <w:sz w:val="20"/>
          <w:szCs w:val="20"/>
          <w:lang w:val="pt-BR"/>
        </w:rPr>
        <w:t xml:space="preserve"> ativa</w:t>
      </w:r>
      <w:r w:rsidR="0070028A" w:rsidRPr="00337743">
        <w:rPr>
          <w:rFonts w:ascii="Cambria" w:hAnsi="Cambria"/>
          <w:sz w:val="20"/>
          <w:szCs w:val="20"/>
          <w:lang w:val="pt-BR"/>
        </w:rPr>
        <w:t>do</w:t>
      </w:r>
      <w:r w:rsidRPr="00337743">
        <w:rPr>
          <w:rFonts w:ascii="Cambria" w:hAnsi="Cambria"/>
          <w:sz w:val="20"/>
          <w:szCs w:val="20"/>
          <w:lang w:val="pt-BR"/>
        </w:rPr>
        <w:t xml:space="preserve"> desde o momento em que o Estado tem conhecimento da existência do ato</w:t>
      </w:r>
      <w:r w:rsidRPr="00337743">
        <w:rPr>
          <w:rStyle w:val="FootnoteReference"/>
          <w:rFonts w:ascii="Cambria" w:hAnsi="Cambria"/>
          <w:sz w:val="20"/>
          <w:szCs w:val="20"/>
          <w:lang w:val="pt-BR"/>
        </w:rPr>
        <w:footnoteReference w:id="118"/>
      </w:r>
      <w:r w:rsidRPr="00337743">
        <w:rPr>
          <w:rFonts w:ascii="Cambria" w:hAnsi="Cambria"/>
          <w:sz w:val="20"/>
          <w:szCs w:val="20"/>
          <w:lang w:val="pt-BR"/>
        </w:rPr>
        <w:t>.</w:t>
      </w:r>
    </w:p>
    <w:p w14:paraId="60C4276B" w14:textId="77777777" w:rsidR="002F1065" w:rsidRPr="00337743" w:rsidRDefault="002F1065" w:rsidP="002F1065">
      <w:pPr>
        <w:jc w:val="both"/>
        <w:rPr>
          <w:rFonts w:ascii="Cambria" w:eastAsia="Times New Roman" w:hAnsi="Cambria" w:cs="Cambria"/>
          <w:b/>
          <w:sz w:val="20"/>
          <w:szCs w:val="20"/>
          <w:u w:color="000000"/>
          <w:lang w:val="pt-BR" w:eastAsia="es-ES"/>
        </w:rPr>
      </w:pPr>
    </w:p>
    <w:p w14:paraId="60291161" w14:textId="77777777" w:rsidR="002F1065" w:rsidRPr="00337743" w:rsidRDefault="00905480"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lang w:val="pt-BR"/>
        </w:rPr>
      </w:pPr>
      <w:r>
        <w:rPr>
          <w:rFonts w:ascii="Cambria" w:hAnsi="Cambria"/>
          <w:sz w:val="20"/>
          <w:szCs w:val="20"/>
          <w:lang w:val="pt-BR"/>
        </w:rPr>
        <w:t xml:space="preserve">É de especial importância </w:t>
      </w:r>
      <w:r w:rsidR="002F1065" w:rsidRPr="00337743">
        <w:rPr>
          <w:rFonts w:ascii="Cambria" w:hAnsi="Cambria"/>
          <w:sz w:val="20"/>
          <w:szCs w:val="20"/>
          <w:lang w:val="pt-BR"/>
        </w:rPr>
        <w:t>que as autoridades a cargo da investigação a levem adiante com determinação e eficácia, levando em conta o dever da sociedade de rejeitar a violência contra as mulheres e as obrigações do Estado de erradicá-la e de oferecer</w:t>
      </w:r>
      <w:r>
        <w:rPr>
          <w:rFonts w:ascii="Cambria" w:hAnsi="Cambria"/>
          <w:sz w:val="20"/>
          <w:szCs w:val="20"/>
          <w:lang w:val="pt-BR"/>
        </w:rPr>
        <w:t xml:space="preserve"> </w:t>
      </w:r>
      <w:r w:rsidRPr="00337743">
        <w:rPr>
          <w:rFonts w:ascii="Cambria" w:hAnsi="Cambria"/>
          <w:sz w:val="20"/>
          <w:szCs w:val="20"/>
          <w:lang w:val="pt-BR"/>
        </w:rPr>
        <w:t>às vítimas</w:t>
      </w:r>
      <w:r w:rsidR="002F1065" w:rsidRPr="00337743">
        <w:rPr>
          <w:rFonts w:ascii="Cambria" w:hAnsi="Cambria"/>
          <w:sz w:val="20"/>
          <w:szCs w:val="20"/>
          <w:lang w:val="pt-BR"/>
        </w:rPr>
        <w:t xml:space="preserve"> confiança nas instituições estatais para sua proteção</w:t>
      </w:r>
      <w:r w:rsidR="002F1065" w:rsidRPr="00337743">
        <w:rPr>
          <w:rStyle w:val="FootnoteReference"/>
          <w:rFonts w:ascii="Cambria" w:hAnsi="Cambria"/>
          <w:sz w:val="20"/>
          <w:szCs w:val="20"/>
          <w:lang w:val="pt-BR"/>
        </w:rPr>
        <w:footnoteReference w:id="119"/>
      </w:r>
      <w:r w:rsidR="002F1065" w:rsidRPr="00337743">
        <w:rPr>
          <w:rFonts w:ascii="Cambria" w:hAnsi="Cambria"/>
          <w:sz w:val="20"/>
          <w:szCs w:val="20"/>
          <w:lang w:val="pt-BR"/>
        </w:rPr>
        <w:t xml:space="preserve">. </w:t>
      </w:r>
      <w:r>
        <w:rPr>
          <w:rFonts w:ascii="Cambria" w:hAnsi="Cambria"/>
          <w:sz w:val="20"/>
          <w:szCs w:val="20"/>
          <w:lang w:val="pt-BR"/>
        </w:rPr>
        <w:t>A</w:t>
      </w:r>
      <w:r w:rsidR="002F1065" w:rsidRPr="00337743">
        <w:rPr>
          <w:rFonts w:ascii="Cambria" w:hAnsi="Cambria"/>
          <w:sz w:val="20"/>
          <w:szCs w:val="20"/>
          <w:lang w:val="pt-BR"/>
        </w:rPr>
        <w:t xml:space="preserve"> Relatora Especial sobre violência contra a mulher das Nações Unidas sustentou que os Estados têm a obrigação de responder com a devida diligência os atos de violência contra a mulher</w:t>
      </w:r>
      <w:r w:rsidR="002F1065" w:rsidRPr="00337743">
        <w:rPr>
          <w:rStyle w:val="FootnoteReference"/>
          <w:rFonts w:ascii="Cambria" w:hAnsi="Cambria"/>
          <w:sz w:val="20"/>
          <w:szCs w:val="20"/>
          <w:lang w:val="pt-BR"/>
        </w:rPr>
        <w:footnoteReference w:id="120"/>
      </w:r>
      <w:r w:rsidR="002F1065" w:rsidRPr="00337743">
        <w:rPr>
          <w:rFonts w:ascii="Cambria" w:hAnsi="Cambria"/>
          <w:sz w:val="20"/>
          <w:szCs w:val="20"/>
          <w:lang w:val="pt-BR"/>
        </w:rPr>
        <w:t xml:space="preserve">. </w:t>
      </w:r>
    </w:p>
    <w:p w14:paraId="228CAA74"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b/>
          <w:color w:val="000000"/>
          <w:sz w:val="20"/>
          <w:szCs w:val="20"/>
          <w:lang w:val="pt-BR"/>
        </w:rPr>
      </w:pPr>
    </w:p>
    <w:p w14:paraId="0973F36B"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Times New Roman" w:hAnsi="Cambria" w:cs="Cambria"/>
          <w:b/>
          <w:sz w:val="20"/>
          <w:szCs w:val="20"/>
          <w:u w:color="000000"/>
          <w:lang w:val="pt-BR" w:eastAsia="es-ES"/>
        </w:rPr>
      </w:pPr>
      <w:r w:rsidRPr="00337743">
        <w:rPr>
          <w:rFonts w:ascii="Cambria" w:hAnsi="Cambria"/>
          <w:sz w:val="20"/>
          <w:szCs w:val="20"/>
          <w:lang w:val="pt-BR"/>
        </w:rPr>
        <w:t xml:space="preserve">Adicionalmente, a investigação penal deve incluir uma perspectiva de gênero e ser realizada por funcionários capacitados em </w:t>
      </w:r>
      <w:r w:rsidRPr="00337743">
        <w:rPr>
          <w:rFonts w:ascii="Cambria" w:eastAsia="Times New Roman" w:hAnsi="Cambria" w:cs="Cambria"/>
          <w:sz w:val="20"/>
          <w:szCs w:val="20"/>
          <w:u w:color="000000"/>
          <w:lang w:val="pt-BR" w:eastAsia="es-ES"/>
        </w:rPr>
        <w:t>casos</w:t>
      </w:r>
      <w:r w:rsidRPr="00337743">
        <w:rPr>
          <w:rFonts w:ascii="Cambria" w:hAnsi="Cambria"/>
          <w:sz w:val="20"/>
          <w:szCs w:val="20"/>
          <w:lang w:val="pt-BR"/>
        </w:rPr>
        <w:t xml:space="preserve"> similares e em atenção a vítimas de discriminação e violência por razão de gênero</w:t>
      </w:r>
      <w:r w:rsidRPr="00337743">
        <w:rPr>
          <w:rStyle w:val="FootnoteReference"/>
          <w:rFonts w:ascii="Cambria" w:hAnsi="Cambria"/>
          <w:sz w:val="20"/>
          <w:szCs w:val="20"/>
          <w:lang w:val="pt-BR"/>
        </w:rPr>
        <w:footnoteReference w:id="121"/>
      </w:r>
      <w:r w:rsidRPr="00337743">
        <w:rPr>
          <w:rFonts w:ascii="Cambria" w:hAnsi="Cambria"/>
          <w:sz w:val="20"/>
          <w:szCs w:val="20"/>
          <w:lang w:val="pt-BR"/>
        </w:rPr>
        <w:t>. Essa investigação deverá ser realizada e</w:t>
      </w:r>
      <w:r w:rsidR="0070028A" w:rsidRPr="00337743">
        <w:rPr>
          <w:rFonts w:ascii="Cambria" w:hAnsi="Cambria"/>
          <w:sz w:val="20"/>
          <w:szCs w:val="20"/>
          <w:lang w:val="pt-BR"/>
        </w:rPr>
        <w:t>m</w:t>
      </w:r>
      <w:r w:rsidRPr="00337743">
        <w:rPr>
          <w:rFonts w:ascii="Cambria" w:hAnsi="Cambria"/>
          <w:sz w:val="20"/>
          <w:szCs w:val="20"/>
          <w:lang w:val="pt-BR"/>
        </w:rPr>
        <w:t xml:space="preserve"> conformidade com protocolos dirigidos especificamente a documentar evidências em casos de violência de gênero</w:t>
      </w:r>
      <w:r w:rsidRPr="00337743">
        <w:rPr>
          <w:rStyle w:val="FootnoteReference"/>
          <w:rFonts w:ascii="Cambria" w:hAnsi="Cambria"/>
          <w:sz w:val="20"/>
          <w:szCs w:val="20"/>
          <w:lang w:val="pt-BR"/>
        </w:rPr>
        <w:footnoteReference w:id="122"/>
      </w:r>
      <w:r w:rsidRPr="00337743">
        <w:rPr>
          <w:rFonts w:ascii="Cambria" w:hAnsi="Cambria"/>
          <w:sz w:val="20"/>
          <w:szCs w:val="20"/>
          <w:lang w:val="pt-BR"/>
        </w:rPr>
        <w:t>.</w:t>
      </w:r>
      <w:r w:rsidRPr="00337743">
        <w:rPr>
          <w:rFonts w:ascii="Cambria" w:eastAsia="Times New Roman" w:hAnsi="Cambria" w:cs="Cambria"/>
          <w:b/>
          <w:sz w:val="20"/>
          <w:szCs w:val="20"/>
          <w:u w:color="000000"/>
          <w:lang w:val="pt-BR" w:eastAsia="es-ES"/>
        </w:rPr>
        <w:t xml:space="preserve"> </w:t>
      </w:r>
      <w:r w:rsidRPr="00337743">
        <w:rPr>
          <w:rFonts w:ascii="Cambria" w:hAnsi="Cambria"/>
          <w:sz w:val="20"/>
          <w:szCs w:val="20"/>
          <w:lang w:val="pt-BR"/>
        </w:rPr>
        <w:t xml:space="preserve">A impunidade dos </w:t>
      </w:r>
      <w:r w:rsidR="0070028A" w:rsidRPr="00337743">
        <w:rPr>
          <w:rFonts w:ascii="Cambria" w:hAnsi="Cambria"/>
          <w:sz w:val="20"/>
          <w:szCs w:val="20"/>
          <w:lang w:val="pt-BR"/>
        </w:rPr>
        <w:t>crimes</w:t>
      </w:r>
      <w:r w:rsidRPr="00337743">
        <w:rPr>
          <w:rFonts w:ascii="Cambria" w:hAnsi="Cambria"/>
          <w:sz w:val="20"/>
          <w:szCs w:val="20"/>
          <w:lang w:val="pt-BR"/>
        </w:rPr>
        <w:t xml:space="preserve"> cometidos envia a mensagem de que a violência contra a mulher é tolerada, o que favorece sua perpetuação e a aceitação social do fenômeno, o sentimento e a sensação de insegurança nas mulheres, assim como uma persistente desconfiança destas no sistema de justiça</w:t>
      </w:r>
      <w:r w:rsidRPr="00337743">
        <w:rPr>
          <w:rStyle w:val="FootnoteReference"/>
          <w:rFonts w:ascii="Cambria" w:hAnsi="Cambria"/>
          <w:sz w:val="20"/>
          <w:szCs w:val="20"/>
          <w:lang w:val="pt-BR"/>
        </w:rPr>
        <w:footnoteReference w:id="123"/>
      </w:r>
      <w:r w:rsidRPr="00337743">
        <w:rPr>
          <w:rFonts w:ascii="Cambria" w:hAnsi="Cambria"/>
          <w:sz w:val="20"/>
          <w:szCs w:val="20"/>
          <w:lang w:val="pt-BR"/>
        </w:rPr>
        <w:t>.</w:t>
      </w:r>
    </w:p>
    <w:p w14:paraId="404E0A17" w14:textId="77777777" w:rsidR="002F1065" w:rsidRPr="00337743" w:rsidRDefault="002F1065" w:rsidP="002F1065">
      <w:pPr>
        <w:pStyle w:val="ListParagraph"/>
        <w:rPr>
          <w:rFonts w:ascii="Cambria" w:eastAsia="Times New Roman" w:hAnsi="Cambria" w:cs="Cambria"/>
          <w:b/>
          <w:sz w:val="20"/>
          <w:szCs w:val="20"/>
          <w:u w:color="000000"/>
          <w:lang w:val="pt-BR" w:eastAsia="es-ES"/>
        </w:rPr>
      </w:pPr>
    </w:p>
    <w:p w14:paraId="0CE5F35E" w14:textId="77777777" w:rsidR="002F1065" w:rsidRPr="00E358A6"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Times New Roman" w:hAnsi="Cambria" w:cs="Cambria"/>
          <w:sz w:val="20"/>
          <w:szCs w:val="20"/>
          <w:u w:color="000000"/>
          <w:lang w:val="pt-BR" w:eastAsia="es-ES"/>
        </w:rPr>
      </w:pPr>
      <w:r w:rsidRPr="00337743">
        <w:rPr>
          <w:rFonts w:ascii="Cambria" w:eastAsia="Times New Roman" w:hAnsi="Cambria" w:cs="Cambria"/>
          <w:sz w:val="20"/>
          <w:szCs w:val="20"/>
          <w:u w:color="000000"/>
          <w:lang w:val="pt-BR" w:eastAsia="es-ES"/>
        </w:rPr>
        <w:t>Quanto ao princípio de igualdade e não discriminação, que será analisado n</w:t>
      </w:r>
      <w:r w:rsidR="0070028A" w:rsidRPr="00337743">
        <w:rPr>
          <w:rFonts w:ascii="Cambria" w:eastAsia="Times New Roman" w:hAnsi="Cambria" w:cs="Cambria"/>
          <w:sz w:val="20"/>
          <w:szCs w:val="20"/>
          <w:u w:color="000000"/>
          <w:lang w:val="pt-BR" w:eastAsia="es-ES"/>
        </w:rPr>
        <w:t>a parte</w:t>
      </w:r>
      <w:r w:rsidRPr="00337743">
        <w:rPr>
          <w:rFonts w:ascii="Cambria" w:eastAsia="Times New Roman" w:hAnsi="Cambria" w:cs="Cambria"/>
          <w:sz w:val="20"/>
          <w:szCs w:val="20"/>
          <w:u w:color="000000"/>
          <w:lang w:val="pt-BR" w:eastAsia="es-ES"/>
        </w:rPr>
        <w:t xml:space="preserve"> relativ</w:t>
      </w:r>
      <w:r w:rsidR="0070028A" w:rsidRPr="00337743">
        <w:rPr>
          <w:rFonts w:ascii="Cambria" w:eastAsia="Times New Roman" w:hAnsi="Cambria" w:cs="Cambria"/>
          <w:sz w:val="20"/>
          <w:szCs w:val="20"/>
          <w:u w:color="000000"/>
          <w:lang w:val="pt-BR" w:eastAsia="es-ES"/>
        </w:rPr>
        <w:t>a</w:t>
      </w:r>
      <w:r w:rsidRPr="00337743">
        <w:rPr>
          <w:rFonts w:ascii="Cambria" w:eastAsia="Times New Roman" w:hAnsi="Cambria" w:cs="Cambria"/>
          <w:sz w:val="20"/>
          <w:szCs w:val="20"/>
          <w:u w:color="000000"/>
          <w:lang w:val="pt-BR" w:eastAsia="es-ES"/>
        </w:rPr>
        <w:t xml:space="preserve"> à imunidade parlamentar, </w:t>
      </w:r>
      <w:r w:rsidRPr="00337743">
        <w:rPr>
          <w:rFonts w:ascii="Cambria" w:hAnsi="Cambria"/>
          <w:sz w:val="20"/>
          <w:szCs w:val="20"/>
          <w:lang w:val="pt-BR"/>
        </w:rPr>
        <w:t>a Corte Interamericana assinalou que a noção de igualdade se desprende diretamente da unidade de natureza do gênero humano e é inseparável da dignidade essencial da pessoa, frente à qual é incompatível toda situação que, por considerar superior um determinado grupo, conduza a tratá-lo com privilégio; o</w:t>
      </w:r>
      <w:r w:rsidR="0070028A" w:rsidRPr="00337743">
        <w:rPr>
          <w:rFonts w:ascii="Cambria" w:hAnsi="Cambria"/>
          <w:sz w:val="20"/>
          <w:szCs w:val="20"/>
          <w:lang w:val="pt-BR"/>
        </w:rPr>
        <w:t>u</w:t>
      </w:r>
      <w:r w:rsidRPr="00337743">
        <w:rPr>
          <w:rFonts w:ascii="Cambria" w:hAnsi="Cambria"/>
          <w:sz w:val="20"/>
          <w:szCs w:val="20"/>
          <w:lang w:val="pt-BR"/>
        </w:rPr>
        <w:t xml:space="preserve"> que, inversamente, por considerá-lo inferior, o trate com hostilidade ou de qualquer forma o discrimine </w:t>
      </w:r>
      <w:r w:rsidR="00C54422">
        <w:rPr>
          <w:rFonts w:ascii="Cambria" w:hAnsi="Cambria"/>
          <w:sz w:val="20"/>
          <w:szCs w:val="20"/>
          <w:lang w:val="pt-BR"/>
        </w:rPr>
        <w:t>quanto ao</w:t>
      </w:r>
      <w:r w:rsidRPr="00337743">
        <w:rPr>
          <w:rFonts w:ascii="Cambria" w:hAnsi="Cambria"/>
          <w:sz w:val="20"/>
          <w:szCs w:val="20"/>
          <w:lang w:val="pt-BR"/>
        </w:rPr>
        <w:t xml:space="preserve"> gozo de direitos. A jurisprudência da Corte indicou que</w:t>
      </w:r>
      <w:r w:rsidR="00C54422">
        <w:rPr>
          <w:rFonts w:ascii="Cambria" w:hAnsi="Cambria"/>
          <w:sz w:val="20"/>
          <w:szCs w:val="20"/>
          <w:lang w:val="pt-BR"/>
        </w:rPr>
        <w:t>,</w:t>
      </w:r>
      <w:r w:rsidRPr="00337743">
        <w:rPr>
          <w:rFonts w:ascii="Cambria" w:hAnsi="Cambria"/>
          <w:sz w:val="20"/>
          <w:szCs w:val="20"/>
          <w:lang w:val="pt-BR"/>
        </w:rPr>
        <w:t xml:space="preserve"> na atual etapa da evolução do direito internacional</w:t>
      </w:r>
      <w:r w:rsidR="00C54422">
        <w:rPr>
          <w:rFonts w:ascii="Cambria" w:hAnsi="Cambria"/>
          <w:sz w:val="20"/>
          <w:szCs w:val="20"/>
          <w:lang w:val="pt-BR"/>
        </w:rPr>
        <w:t>,</w:t>
      </w:r>
      <w:r w:rsidRPr="00337743">
        <w:rPr>
          <w:rFonts w:ascii="Cambria" w:hAnsi="Cambria"/>
          <w:sz w:val="20"/>
          <w:szCs w:val="20"/>
          <w:lang w:val="pt-BR"/>
        </w:rPr>
        <w:t xml:space="preserve"> o princípio fundamental de igualdade e não discriminação ingressou no domínio do </w:t>
      </w:r>
      <w:r w:rsidRPr="00337743">
        <w:rPr>
          <w:rFonts w:ascii="Cambria" w:hAnsi="Cambria"/>
          <w:i/>
          <w:sz w:val="20"/>
          <w:szCs w:val="20"/>
          <w:lang w:val="pt-BR"/>
        </w:rPr>
        <w:t>ius cogens</w:t>
      </w:r>
      <w:r w:rsidRPr="00337743">
        <w:rPr>
          <w:rFonts w:ascii="Cambria" w:hAnsi="Cambria"/>
          <w:sz w:val="20"/>
          <w:szCs w:val="20"/>
          <w:lang w:val="pt-BR"/>
        </w:rPr>
        <w:t>.</w:t>
      </w:r>
      <w:r w:rsidRPr="00337743">
        <w:rPr>
          <w:rFonts w:ascii="Cambria" w:hAnsi="Cambria"/>
          <w:i/>
          <w:sz w:val="20"/>
          <w:szCs w:val="20"/>
          <w:lang w:val="pt-BR"/>
        </w:rPr>
        <w:t xml:space="preserve"> </w:t>
      </w:r>
      <w:r w:rsidRPr="00337743">
        <w:rPr>
          <w:rFonts w:ascii="Cambria" w:hAnsi="Cambria"/>
          <w:sz w:val="20"/>
          <w:szCs w:val="20"/>
          <w:lang w:val="pt-BR"/>
        </w:rPr>
        <w:t>Sobre ele descansa a estrutura jurídica da ordem nacional e internacional</w:t>
      </w:r>
      <w:r w:rsidR="00C54422">
        <w:rPr>
          <w:rFonts w:ascii="Cambria" w:hAnsi="Cambria"/>
          <w:sz w:val="20"/>
          <w:szCs w:val="20"/>
          <w:lang w:val="pt-BR"/>
        </w:rPr>
        <w:t xml:space="preserve">; o </w:t>
      </w:r>
      <w:r w:rsidR="00C54422" w:rsidRPr="00C54422">
        <w:rPr>
          <w:rFonts w:ascii="Cambria" w:hAnsi="Cambria"/>
          <w:i/>
          <w:sz w:val="20"/>
          <w:szCs w:val="20"/>
          <w:lang w:val="pt-BR"/>
        </w:rPr>
        <w:t>jus cogens</w:t>
      </w:r>
      <w:r w:rsidRPr="00337743">
        <w:rPr>
          <w:rFonts w:ascii="Cambria" w:hAnsi="Cambria"/>
          <w:sz w:val="20"/>
          <w:szCs w:val="20"/>
          <w:lang w:val="pt-BR"/>
        </w:rPr>
        <w:t xml:space="preserve"> permeia todo o ordenamento jurídico</w:t>
      </w:r>
      <w:r w:rsidRPr="00337743">
        <w:rPr>
          <w:rStyle w:val="FootnoteReference"/>
          <w:rFonts w:ascii="Cambria" w:hAnsi="Cambria"/>
          <w:sz w:val="20"/>
          <w:szCs w:val="20"/>
          <w:lang w:val="pt-BR"/>
        </w:rPr>
        <w:footnoteReference w:id="124"/>
      </w:r>
      <w:r w:rsidRPr="00337743">
        <w:rPr>
          <w:rFonts w:ascii="Cambria" w:hAnsi="Cambria"/>
          <w:sz w:val="20"/>
          <w:szCs w:val="20"/>
          <w:lang w:val="pt-BR"/>
        </w:rPr>
        <w:t>.</w:t>
      </w:r>
      <w:r w:rsidRPr="00337743">
        <w:rPr>
          <w:rFonts w:ascii="Cambria" w:eastAsia="Times New Roman" w:hAnsi="Cambria" w:cs="Cambria"/>
          <w:sz w:val="20"/>
          <w:szCs w:val="20"/>
          <w:u w:color="000000"/>
          <w:lang w:val="pt-BR" w:eastAsia="es-ES"/>
        </w:rPr>
        <w:t xml:space="preserve"> </w:t>
      </w:r>
      <w:r w:rsidR="00F0293F" w:rsidRPr="00337743">
        <w:rPr>
          <w:rFonts w:ascii="Cambria" w:eastAsia="Times New Roman" w:hAnsi="Cambria" w:cs="Cambria"/>
          <w:sz w:val="20"/>
          <w:szCs w:val="20"/>
          <w:u w:color="000000"/>
          <w:lang w:val="pt-BR" w:eastAsia="es-ES"/>
        </w:rPr>
        <w:t>Em</w:t>
      </w:r>
      <w:r w:rsidRPr="00337743">
        <w:rPr>
          <w:rFonts w:ascii="Cambria" w:hAnsi="Cambria"/>
          <w:sz w:val="20"/>
          <w:szCs w:val="20"/>
          <w:lang w:val="pt-BR"/>
        </w:rPr>
        <w:t xml:space="preserve"> sua jurisprudência nessa matéria, a Corte Interamericana assinalou que nem toda diferença de trat</w:t>
      </w:r>
      <w:r w:rsidR="00F0293F" w:rsidRPr="00337743">
        <w:rPr>
          <w:rFonts w:ascii="Cambria" w:hAnsi="Cambria"/>
          <w:sz w:val="20"/>
          <w:szCs w:val="20"/>
          <w:lang w:val="pt-BR"/>
        </w:rPr>
        <w:t>ament</w:t>
      </w:r>
      <w:r w:rsidRPr="00337743">
        <w:rPr>
          <w:rFonts w:ascii="Cambria" w:hAnsi="Cambria"/>
          <w:sz w:val="20"/>
          <w:szCs w:val="20"/>
          <w:lang w:val="pt-BR"/>
        </w:rPr>
        <w:t>o é discriminatória e é preciso estabelecer se a mesma tem justificação objetiva e razoável</w:t>
      </w:r>
      <w:r w:rsidRPr="00337743">
        <w:rPr>
          <w:rStyle w:val="FootnoteReference"/>
          <w:rFonts w:ascii="Cambria" w:hAnsi="Cambria"/>
          <w:sz w:val="20"/>
          <w:szCs w:val="20"/>
          <w:lang w:val="pt-BR"/>
        </w:rPr>
        <w:footnoteReference w:id="125"/>
      </w:r>
      <w:r w:rsidRPr="00337743">
        <w:rPr>
          <w:rFonts w:ascii="Cambria" w:hAnsi="Cambria"/>
          <w:sz w:val="20"/>
          <w:szCs w:val="20"/>
          <w:lang w:val="pt-BR"/>
        </w:rPr>
        <w:t xml:space="preserve">, </w:t>
      </w:r>
      <w:r w:rsidR="00C54422">
        <w:rPr>
          <w:rFonts w:ascii="Cambria" w:hAnsi="Cambria"/>
          <w:sz w:val="20"/>
          <w:szCs w:val="20"/>
          <w:lang w:val="pt-BR"/>
        </w:rPr>
        <w:t xml:space="preserve">o que pode ser aferido mediante </w:t>
      </w:r>
      <w:r w:rsidRPr="00337743">
        <w:rPr>
          <w:rFonts w:ascii="Cambria" w:hAnsi="Cambria"/>
          <w:sz w:val="20"/>
          <w:szCs w:val="20"/>
          <w:lang w:val="pt-BR"/>
        </w:rPr>
        <w:t xml:space="preserve">um juízo de proporcionalidade que identifica o fim </w:t>
      </w:r>
      <w:r w:rsidR="007A32D0" w:rsidRPr="00337743">
        <w:rPr>
          <w:rFonts w:ascii="Cambria" w:hAnsi="Cambria"/>
          <w:sz w:val="20"/>
          <w:szCs w:val="20"/>
          <w:lang w:val="pt-BR"/>
        </w:rPr>
        <w:t>visa</w:t>
      </w:r>
      <w:r w:rsidRPr="00337743">
        <w:rPr>
          <w:rFonts w:ascii="Cambria" w:hAnsi="Cambria"/>
          <w:sz w:val="20"/>
          <w:szCs w:val="20"/>
          <w:lang w:val="pt-BR"/>
        </w:rPr>
        <w:t>do e avalia se os meios para obter tal fim são idôneos, necessários e proporcionais em sentido estrito.</w:t>
      </w:r>
    </w:p>
    <w:p w14:paraId="6CB61CE9" w14:textId="77777777" w:rsidR="002F1065" w:rsidRPr="00337743" w:rsidRDefault="002F1065" w:rsidP="00E358A6">
      <w:pPr>
        <w:pStyle w:val="Heading3"/>
        <w:numPr>
          <w:ilvl w:val="0"/>
          <w:numId w:val="65"/>
        </w:numPr>
        <w:ind w:firstLine="0"/>
        <w:rPr>
          <w:rFonts w:ascii="Cambria" w:hAnsi="Cambria"/>
          <w:b w:val="0"/>
          <w:color w:val="000000"/>
          <w:sz w:val="20"/>
          <w:szCs w:val="20"/>
          <w:lang w:val="pt-BR"/>
        </w:rPr>
      </w:pPr>
      <w:bookmarkStart w:id="23" w:name="_Toc5890580"/>
      <w:r w:rsidRPr="00337743">
        <w:rPr>
          <w:rFonts w:ascii="Cambria" w:hAnsi="Cambria"/>
          <w:color w:val="000000"/>
          <w:sz w:val="20"/>
          <w:szCs w:val="20"/>
          <w:lang w:val="pt-BR"/>
        </w:rPr>
        <w:t>Análise do caso</w:t>
      </w:r>
      <w:bookmarkEnd w:id="23"/>
    </w:p>
    <w:p w14:paraId="21800697"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sz w:val="20"/>
          <w:szCs w:val="20"/>
          <w:lang w:val="pt-BR"/>
        </w:rPr>
      </w:pPr>
    </w:p>
    <w:p w14:paraId="478990B8" w14:textId="77777777" w:rsidR="002F1065" w:rsidRPr="00337743" w:rsidRDefault="002F1065" w:rsidP="00E358A6">
      <w:pPr>
        <w:pStyle w:val="ListParagraph"/>
        <w:numPr>
          <w:ilvl w:val="1"/>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s>
        <w:ind w:hanging="720"/>
        <w:jc w:val="both"/>
        <w:rPr>
          <w:rFonts w:ascii="Cambria" w:hAnsi="Cambria"/>
          <w:b/>
          <w:color w:val="000000"/>
          <w:sz w:val="20"/>
          <w:szCs w:val="20"/>
          <w:lang w:val="pt-BR"/>
        </w:rPr>
      </w:pPr>
      <w:r w:rsidRPr="00337743">
        <w:rPr>
          <w:rFonts w:ascii="Cambria" w:hAnsi="Cambria"/>
          <w:b/>
          <w:color w:val="000000"/>
          <w:sz w:val="20"/>
          <w:szCs w:val="20"/>
          <w:lang w:val="pt-BR"/>
        </w:rPr>
        <w:t xml:space="preserve">Quanto à imunidade parlamentar e seus efeitos na investigação e processo penal </w:t>
      </w:r>
    </w:p>
    <w:p w14:paraId="0381AFB9"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b/>
          <w:color w:val="000000"/>
          <w:sz w:val="20"/>
          <w:szCs w:val="20"/>
          <w:lang w:val="pt-BR"/>
        </w:rPr>
      </w:pPr>
    </w:p>
    <w:p w14:paraId="213F0D9F" w14:textId="77777777" w:rsidR="002F1065" w:rsidRPr="00337743" w:rsidRDefault="00C54422"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Pr>
          <w:rFonts w:ascii="Cambria" w:hAnsi="Cambria"/>
          <w:color w:val="000000"/>
          <w:sz w:val="20"/>
          <w:szCs w:val="20"/>
          <w:lang w:val="pt-BR"/>
        </w:rPr>
        <w:t>D</w:t>
      </w:r>
      <w:r w:rsidR="002F1065" w:rsidRPr="00337743">
        <w:rPr>
          <w:rFonts w:ascii="Cambria" w:hAnsi="Cambria"/>
          <w:color w:val="000000"/>
          <w:sz w:val="20"/>
          <w:szCs w:val="20"/>
          <w:lang w:val="pt-BR"/>
        </w:rPr>
        <w:t>esde o início</w:t>
      </w:r>
      <w:r>
        <w:rPr>
          <w:rFonts w:ascii="Cambria" w:hAnsi="Cambria"/>
          <w:color w:val="000000"/>
          <w:sz w:val="20"/>
          <w:szCs w:val="20"/>
          <w:lang w:val="pt-BR"/>
        </w:rPr>
        <w:t>,</w:t>
      </w:r>
      <w:r w:rsidR="002F1065" w:rsidRPr="00337743">
        <w:rPr>
          <w:rFonts w:ascii="Cambria" w:hAnsi="Cambria"/>
          <w:color w:val="000000"/>
          <w:sz w:val="20"/>
          <w:szCs w:val="20"/>
          <w:lang w:val="pt-BR"/>
        </w:rPr>
        <w:t xml:space="preserve"> a investigação policial atribuiu a responsabilidade do crime a Aércio Pereira de Lima</w:t>
      </w:r>
      <w:r>
        <w:rPr>
          <w:rFonts w:ascii="Cambria" w:hAnsi="Cambria"/>
          <w:color w:val="000000"/>
          <w:sz w:val="20"/>
          <w:szCs w:val="20"/>
          <w:lang w:val="pt-BR"/>
        </w:rPr>
        <w:t>.</w:t>
      </w:r>
      <w:r w:rsidR="002F1065" w:rsidRPr="00337743">
        <w:rPr>
          <w:rFonts w:ascii="Cambria" w:hAnsi="Cambria"/>
          <w:color w:val="000000"/>
          <w:sz w:val="20"/>
          <w:szCs w:val="20"/>
          <w:lang w:val="pt-BR"/>
        </w:rPr>
        <w:t xml:space="preserve"> </w:t>
      </w:r>
      <w:r>
        <w:rPr>
          <w:rFonts w:ascii="Cambria" w:hAnsi="Cambria"/>
          <w:color w:val="000000"/>
          <w:sz w:val="20"/>
          <w:szCs w:val="20"/>
          <w:lang w:val="pt-BR"/>
        </w:rPr>
        <w:t>Contudo,</w:t>
      </w:r>
      <w:r w:rsidR="002F1065" w:rsidRPr="00337743">
        <w:rPr>
          <w:rFonts w:ascii="Cambria" w:hAnsi="Cambria"/>
          <w:color w:val="000000"/>
          <w:sz w:val="20"/>
          <w:szCs w:val="20"/>
          <w:lang w:val="pt-BR"/>
        </w:rPr>
        <w:t xml:space="preserve"> não </w:t>
      </w:r>
      <w:r w:rsidR="003C499E" w:rsidRPr="00337743">
        <w:rPr>
          <w:rFonts w:ascii="Cambria" w:hAnsi="Cambria"/>
          <w:color w:val="000000"/>
          <w:sz w:val="20"/>
          <w:szCs w:val="20"/>
          <w:lang w:val="pt-BR"/>
        </w:rPr>
        <w:t>foi possível</w:t>
      </w:r>
      <w:r w:rsidR="002F1065" w:rsidRPr="00337743">
        <w:rPr>
          <w:rFonts w:ascii="Cambria" w:hAnsi="Cambria"/>
          <w:color w:val="000000"/>
          <w:sz w:val="20"/>
          <w:szCs w:val="20"/>
          <w:lang w:val="pt-BR"/>
        </w:rPr>
        <w:t xml:space="preserve"> dar continuidade à investigação e processo penal </w:t>
      </w:r>
      <w:r w:rsidR="007A32D0" w:rsidRPr="00337743">
        <w:rPr>
          <w:rFonts w:ascii="Cambria" w:hAnsi="Cambria"/>
          <w:color w:val="000000"/>
          <w:sz w:val="20"/>
          <w:szCs w:val="20"/>
          <w:lang w:val="pt-BR"/>
        </w:rPr>
        <w:t>por</w:t>
      </w:r>
      <w:r w:rsidR="002F1065" w:rsidRPr="00337743">
        <w:rPr>
          <w:rFonts w:ascii="Cambria" w:hAnsi="Cambria"/>
          <w:color w:val="000000"/>
          <w:sz w:val="20"/>
          <w:szCs w:val="20"/>
          <w:lang w:val="pt-BR"/>
        </w:rPr>
        <w:t xml:space="preserve">que em duas oportunidades – em 17 de dezembro de 1998 e em 29 de setembro de 1999 – a Assembleia Legislativa negou o pedido de </w:t>
      </w:r>
      <w:r>
        <w:rPr>
          <w:rFonts w:ascii="Cambria" w:hAnsi="Cambria"/>
          <w:color w:val="000000"/>
          <w:sz w:val="20"/>
          <w:szCs w:val="20"/>
          <w:lang w:val="pt-BR"/>
        </w:rPr>
        <w:t>licença</w:t>
      </w:r>
      <w:r w:rsidR="002F1065" w:rsidRPr="00337743">
        <w:rPr>
          <w:rFonts w:ascii="Cambria" w:hAnsi="Cambria"/>
          <w:color w:val="000000"/>
          <w:sz w:val="20"/>
          <w:szCs w:val="20"/>
          <w:lang w:val="pt-BR"/>
        </w:rPr>
        <w:t xml:space="preserve">. </w:t>
      </w:r>
      <w:r w:rsidR="003C499E" w:rsidRPr="00337743">
        <w:rPr>
          <w:rFonts w:ascii="Cambria" w:hAnsi="Cambria"/>
          <w:color w:val="000000"/>
          <w:sz w:val="20"/>
          <w:szCs w:val="20"/>
          <w:lang w:val="pt-BR"/>
        </w:rPr>
        <w:t>Somente</w:t>
      </w:r>
      <w:r w:rsidR="002F1065" w:rsidRPr="00337743">
        <w:rPr>
          <w:rFonts w:ascii="Cambria" w:hAnsi="Cambria"/>
          <w:color w:val="000000"/>
          <w:sz w:val="20"/>
          <w:szCs w:val="20"/>
          <w:lang w:val="pt-BR"/>
        </w:rPr>
        <w:t xml:space="preserve"> em março de 2003 </w:t>
      </w:r>
      <w:r w:rsidR="003C499E" w:rsidRPr="00337743">
        <w:rPr>
          <w:rFonts w:ascii="Cambria" w:hAnsi="Cambria"/>
          <w:color w:val="000000"/>
          <w:sz w:val="20"/>
          <w:szCs w:val="20"/>
          <w:lang w:val="pt-BR"/>
        </w:rPr>
        <w:t xml:space="preserve">teve </w:t>
      </w:r>
      <w:r w:rsidR="002F1065" w:rsidRPr="00337743">
        <w:rPr>
          <w:rFonts w:ascii="Cambria" w:hAnsi="Cambria"/>
          <w:color w:val="000000"/>
          <w:sz w:val="20"/>
          <w:szCs w:val="20"/>
          <w:lang w:val="pt-BR"/>
        </w:rPr>
        <w:t xml:space="preserve">início o processo contra essa pessoa, o que ocorreu como consequência de não </w:t>
      </w:r>
      <w:r w:rsidR="003C499E" w:rsidRPr="00337743">
        <w:rPr>
          <w:rFonts w:ascii="Cambria" w:hAnsi="Cambria"/>
          <w:color w:val="000000"/>
          <w:sz w:val="20"/>
          <w:szCs w:val="20"/>
          <w:lang w:val="pt-BR"/>
        </w:rPr>
        <w:t xml:space="preserve">ter sido </w:t>
      </w:r>
      <w:r>
        <w:rPr>
          <w:rFonts w:ascii="Cambria" w:hAnsi="Cambria"/>
          <w:color w:val="000000"/>
          <w:sz w:val="20"/>
          <w:szCs w:val="20"/>
          <w:lang w:val="pt-BR"/>
        </w:rPr>
        <w:t>re</w:t>
      </w:r>
      <w:r w:rsidR="002F1065" w:rsidRPr="00337743">
        <w:rPr>
          <w:rFonts w:ascii="Cambria" w:hAnsi="Cambria"/>
          <w:color w:val="000000"/>
          <w:sz w:val="20"/>
          <w:szCs w:val="20"/>
          <w:lang w:val="pt-BR"/>
        </w:rPr>
        <w:t xml:space="preserve">eleito deputado. </w:t>
      </w:r>
      <w:r>
        <w:rPr>
          <w:rFonts w:ascii="Cambria" w:hAnsi="Cambria"/>
          <w:color w:val="000000"/>
          <w:sz w:val="20"/>
          <w:szCs w:val="20"/>
          <w:lang w:val="pt-BR"/>
        </w:rPr>
        <w:t>A</w:t>
      </w:r>
      <w:r w:rsidR="002F1065" w:rsidRPr="00337743">
        <w:rPr>
          <w:rFonts w:ascii="Cambria" w:hAnsi="Cambria"/>
          <w:color w:val="000000"/>
          <w:sz w:val="20"/>
          <w:szCs w:val="20"/>
          <w:lang w:val="pt-BR"/>
        </w:rPr>
        <w:t xml:space="preserve"> norma de imunidade parlamentar</w:t>
      </w:r>
      <w:r>
        <w:rPr>
          <w:rFonts w:ascii="Cambria" w:hAnsi="Cambria"/>
          <w:color w:val="000000"/>
          <w:sz w:val="20"/>
          <w:szCs w:val="20"/>
          <w:lang w:val="pt-BR"/>
        </w:rPr>
        <w:t>, portanto,</w:t>
      </w:r>
      <w:r w:rsidR="002F1065" w:rsidRPr="00337743">
        <w:rPr>
          <w:rFonts w:ascii="Cambria" w:hAnsi="Cambria"/>
          <w:color w:val="000000"/>
          <w:sz w:val="20"/>
          <w:szCs w:val="20"/>
          <w:lang w:val="pt-BR"/>
        </w:rPr>
        <w:t xml:space="preserve"> atrasou o processo em quase cinco anos.</w:t>
      </w:r>
    </w:p>
    <w:p w14:paraId="0AFA5632"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jc w:val="both"/>
        <w:rPr>
          <w:rFonts w:ascii="Cambria" w:hAnsi="Cambria"/>
          <w:color w:val="000000"/>
          <w:sz w:val="20"/>
          <w:szCs w:val="20"/>
          <w:lang w:val="pt-BR"/>
        </w:rPr>
      </w:pPr>
    </w:p>
    <w:p w14:paraId="40C96FF1"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Essa norma estava prevista no artigo 53 da Constituição brasileira, em termos amplíssimos e sem nenhuma distinção ou salvaguarda para evitar que pudesse constituir fonte de impunidade de violações de direitos humanos, como as ocorridas no presente caso. No</w:t>
      </w:r>
      <w:r w:rsidRPr="00337743">
        <w:rPr>
          <w:rFonts w:ascii="Cambria" w:hAnsi="Cambria"/>
          <w:color w:val="000000"/>
          <w:sz w:val="20"/>
          <w:szCs w:val="20"/>
          <w:shd w:val="clear" w:color="auto" w:fill="FFFFFF"/>
          <w:lang w:val="pt-BR"/>
        </w:rPr>
        <w:t xml:space="preserve"> caso A vs. Reino Unido, o Tribunal Europeu de Direitos Humanos considerou que a imunidade parlamentar pode ser compatível com as normas de direitos humanos se atende (1) a uma finalidade legítima (como, </w:t>
      </w:r>
      <w:r w:rsidR="007A32D0" w:rsidRPr="00337743">
        <w:rPr>
          <w:rFonts w:ascii="Cambria" w:hAnsi="Cambria"/>
          <w:color w:val="000000"/>
          <w:sz w:val="20"/>
          <w:szCs w:val="20"/>
          <w:shd w:val="clear" w:color="auto" w:fill="FFFFFF"/>
          <w:lang w:val="pt-BR"/>
        </w:rPr>
        <w:t>por exemplo</w:t>
      </w:r>
      <w:r w:rsidRPr="00337743">
        <w:rPr>
          <w:rFonts w:ascii="Cambria" w:hAnsi="Cambria"/>
          <w:color w:val="000000"/>
          <w:sz w:val="20"/>
          <w:szCs w:val="20"/>
          <w:shd w:val="clear" w:color="auto" w:fill="FFFFFF"/>
          <w:lang w:val="pt-BR"/>
        </w:rPr>
        <w:t xml:space="preserve">, proteger a liberdade de expressão de um parlamentar </w:t>
      </w:r>
      <w:r w:rsidR="007A32D0" w:rsidRPr="00337743">
        <w:rPr>
          <w:rFonts w:ascii="Cambria" w:hAnsi="Cambria"/>
          <w:color w:val="000000"/>
          <w:sz w:val="20"/>
          <w:szCs w:val="20"/>
          <w:shd w:val="clear" w:color="auto" w:fill="FFFFFF"/>
          <w:lang w:val="pt-BR"/>
        </w:rPr>
        <w:t>no</w:t>
      </w:r>
      <w:r w:rsidRPr="00337743">
        <w:rPr>
          <w:rFonts w:ascii="Cambria" w:hAnsi="Cambria"/>
          <w:color w:val="000000"/>
          <w:sz w:val="20"/>
          <w:szCs w:val="20"/>
          <w:shd w:val="clear" w:color="auto" w:fill="FFFFFF"/>
          <w:lang w:val="pt-BR"/>
        </w:rPr>
        <w:t xml:space="preserve"> exercício de seu mandato),</w:t>
      </w:r>
      <w:r w:rsidR="00C54422">
        <w:rPr>
          <w:rFonts w:ascii="Cambria" w:hAnsi="Cambria"/>
          <w:color w:val="000000"/>
          <w:sz w:val="20"/>
          <w:szCs w:val="20"/>
          <w:shd w:val="clear" w:color="auto" w:fill="FFFFFF"/>
          <w:lang w:val="pt-BR"/>
        </w:rPr>
        <w:t xml:space="preserve"> e se o faz</w:t>
      </w:r>
      <w:r w:rsidRPr="00337743">
        <w:rPr>
          <w:rFonts w:ascii="Cambria" w:hAnsi="Cambria"/>
          <w:color w:val="000000"/>
          <w:sz w:val="20"/>
          <w:szCs w:val="20"/>
          <w:shd w:val="clear" w:color="auto" w:fill="FFFFFF"/>
          <w:lang w:val="pt-BR"/>
        </w:rPr>
        <w:t xml:space="preserve"> (2) de maneira proporcional</w:t>
      </w:r>
      <w:r w:rsidRPr="00337743">
        <w:rPr>
          <w:rStyle w:val="FootnoteReference"/>
          <w:rFonts w:ascii="Cambria" w:hAnsi="Cambria"/>
          <w:color w:val="000000"/>
          <w:sz w:val="20"/>
          <w:szCs w:val="20"/>
          <w:shd w:val="clear" w:color="auto" w:fill="FFFFFF"/>
          <w:lang w:val="pt-BR"/>
        </w:rPr>
        <w:footnoteReference w:id="126"/>
      </w:r>
      <w:r w:rsidRPr="00337743">
        <w:rPr>
          <w:rFonts w:ascii="Cambria" w:hAnsi="Cambria"/>
          <w:color w:val="000000"/>
          <w:sz w:val="20"/>
          <w:szCs w:val="20"/>
          <w:shd w:val="clear" w:color="auto" w:fill="FFFFFF"/>
          <w:lang w:val="pt-BR"/>
        </w:rPr>
        <w:t xml:space="preserve">. </w:t>
      </w:r>
    </w:p>
    <w:p w14:paraId="0AD837BC"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color w:val="000000"/>
          <w:sz w:val="20"/>
          <w:szCs w:val="20"/>
          <w:lang w:val="pt-BR"/>
        </w:rPr>
      </w:pPr>
    </w:p>
    <w:p w14:paraId="23DEF034" w14:textId="77777777" w:rsidR="002F1065" w:rsidRPr="00337743" w:rsidRDefault="00C54422"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Pr>
          <w:rFonts w:ascii="Cambria" w:hAnsi="Cambria"/>
          <w:color w:val="000000"/>
          <w:sz w:val="20"/>
          <w:szCs w:val="20"/>
          <w:lang w:val="pt-BR"/>
        </w:rPr>
        <w:t>E</w:t>
      </w:r>
      <w:r w:rsidR="007A32D0" w:rsidRPr="00337743">
        <w:rPr>
          <w:rFonts w:ascii="Cambria" w:hAnsi="Cambria"/>
          <w:color w:val="000000"/>
          <w:sz w:val="20"/>
          <w:szCs w:val="20"/>
          <w:lang w:val="pt-BR"/>
        </w:rPr>
        <w:t>mbora</w:t>
      </w:r>
      <w:r w:rsidR="002F1065" w:rsidRPr="00337743">
        <w:rPr>
          <w:rFonts w:ascii="Cambria" w:hAnsi="Cambria"/>
          <w:color w:val="000000"/>
          <w:sz w:val="20"/>
          <w:szCs w:val="20"/>
          <w:lang w:val="pt-BR"/>
        </w:rPr>
        <w:t xml:space="preserve"> a CIDH consider</w:t>
      </w:r>
      <w:r w:rsidR="007A32D0" w:rsidRPr="00337743">
        <w:rPr>
          <w:rFonts w:ascii="Cambria" w:hAnsi="Cambria"/>
          <w:color w:val="000000"/>
          <w:sz w:val="20"/>
          <w:szCs w:val="20"/>
          <w:lang w:val="pt-BR"/>
        </w:rPr>
        <w:t>e</w:t>
      </w:r>
      <w:r w:rsidR="002F1065" w:rsidRPr="00337743">
        <w:rPr>
          <w:rFonts w:ascii="Cambria" w:hAnsi="Cambria"/>
          <w:color w:val="000000"/>
          <w:sz w:val="20"/>
          <w:szCs w:val="20"/>
          <w:lang w:val="pt-BR"/>
        </w:rPr>
        <w:t xml:space="preserve"> que o objetivo </w:t>
      </w:r>
      <w:r w:rsidR="007A32D0" w:rsidRPr="00337743">
        <w:rPr>
          <w:rFonts w:ascii="Cambria" w:hAnsi="Cambria"/>
          <w:color w:val="000000"/>
          <w:sz w:val="20"/>
          <w:szCs w:val="20"/>
          <w:lang w:val="pt-BR"/>
        </w:rPr>
        <w:t>vis</w:t>
      </w:r>
      <w:r w:rsidR="002F1065" w:rsidRPr="00337743">
        <w:rPr>
          <w:rFonts w:ascii="Cambria" w:hAnsi="Cambria"/>
          <w:color w:val="000000"/>
          <w:sz w:val="20"/>
          <w:szCs w:val="20"/>
          <w:lang w:val="pt-BR"/>
        </w:rPr>
        <w:t xml:space="preserve">ado é legítimo, no </w:t>
      </w:r>
      <w:r w:rsidR="007A32D0" w:rsidRPr="00337743">
        <w:rPr>
          <w:rFonts w:ascii="Cambria" w:hAnsi="Cambria"/>
          <w:color w:val="000000"/>
          <w:sz w:val="20"/>
          <w:szCs w:val="20"/>
          <w:lang w:val="pt-BR"/>
        </w:rPr>
        <w:t xml:space="preserve">que se </w:t>
      </w:r>
      <w:r w:rsidR="002F1065" w:rsidRPr="00337743">
        <w:rPr>
          <w:rFonts w:ascii="Cambria" w:hAnsi="Cambria"/>
          <w:color w:val="000000"/>
          <w:sz w:val="20"/>
          <w:szCs w:val="20"/>
          <w:lang w:val="pt-BR"/>
        </w:rPr>
        <w:t>re</w:t>
      </w:r>
      <w:r w:rsidR="007A32D0" w:rsidRPr="00337743">
        <w:rPr>
          <w:rFonts w:ascii="Cambria" w:hAnsi="Cambria"/>
          <w:color w:val="000000"/>
          <w:sz w:val="20"/>
          <w:szCs w:val="20"/>
          <w:lang w:val="pt-BR"/>
        </w:rPr>
        <w:t>fere</w:t>
      </w:r>
      <w:r w:rsidR="002F1065" w:rsidRPr="00337743">
        <w:rPr>
          <w:rFonts w:ascii="Cambria" w:hAnsi="Cambria"/>
          <w:color w:val="000000"/>
          <w:sz w:val="20"/>
          <w:szCs w:val="20"/>
          <w:lang w:val="pt-BR"/>
        </w:rPr>
        <w:t xml:space="preserve"> à função realizada, a imunidade </w:t>
      </w:r>
      <w:r>
        <w:rPr>
          <w:rFonts w:ascii="Cambria" w:hAnsi="Cambria"/>
          <w:color w:val="000000"/>
          <w:sz w:val="20"/>
          <w:szCs w:val="20"/>
          <w:lang w:val="pt-BR"/>
        </w:rPr>
        <w:t xml:space="preserve">ora sob análise </w:t>
      </w:r>
      <w:r w:rsidR="002F1065" w:rsidRPr="00337743">
        <w:rPr>
          <w:rFonts w:ascii="Cambria" w:hAnsi="Cambria"/>
          <w:color w:val="000000"/>
          <w:sz w:val="20"/>
          <w:szCs w:val="20"/>
          <w:lang w:val="pt-BR"/>
        </w:rPr>
        <w:t>é claramente desproporciona</w:t>
      </w:r>
      <w:r w:rsidR="007A32D0" w:rsidRPr="00337743">
        <w:rPr>
          <w:rFonts w:ascii="Cambria" w:hAnsi="Cambria"/>
          <w:color w:val="000000"/>
          <w:sz w:val="20"/>
          <w:szCs w:val="20"/>
          <w:lang w:val="pt-BR"/>
        </w:rPr>
        <w:t>l</w:t>
      </w:r>
      <w:r w:rsidR="002F1065" w:rsidRPr="00337743">
        <w:rPr>
          <w:rFonts w:ascii="Cambria" w:hAnsi="Cambria"/>
          <w:color w:val="000000"/>
          <w:sz w:val="20"/>
          <w:szCs w:val="20"/>
          <w:lang w:val="pt-BR"/>
        </w:rPr>
        <w:t xml:space="preserve"> ao condicionar a abertura d</w:t>
      </w:r>
      <w:r w:rsidR="007A32D0" w:rsidRPr="00337743">
        <w:rPr>
          <w:rFonts w:ascii="Cambria" w:hAnsi="Cambria"/>
          <w:color w:val="000000"/>
          <w:sz w:val="20"/>
          <w:szCs w:val="20"/>
          <w:lang w:val="pt-BR"/>
        </w:rPr>
        <w:t>o</w:t>
      </w:r>
      <w:r w:rsidR="002F1065" w:rsidRPr="00337743">
        <w:rPr>
          <w:rFonts w:ascii="Cambria" w:hAnsi="Cambria"/>
          <w:color w:val="000000"/>
          <w:sz w:val="20"/>
          <w:szCs w:val="20"/>
          <w:lang w:val="pt-BR"/>
        </w:rPr>
        <w:t xml:space="preserve"> process</w:t>
      </w:r>
      <w:r w:rsidR="007A32D0" w:rsidRPr="00337743">
        <w:rPr>
          <w:rFonts w:ascii="Cambria" w:hAnsi="Cambria"/>
          <w:color w:val="000000"/>
          <w:sz w:val="20"/>
          <w:szCs w:val="20"/>
          <w:lang w:val="pt-BR"/>
        </w:rPr>
        <w:t>o</w:t>
      </w:r>
      <w:r w:rsidR="002F1065" w:rsidRPr="00337743">
        <w:rPr>
          <w:rFonts w:ascii="Cambria" w:hAnsi="Cambria"/>
          <w:color w:val="000000"/>
          <w:sz w:val="20"/>
          <w:szCs w:val="20"/>
          <w:lang w:val="pt-BR"/>
        </w:rPr>
        <w:t xml:space="preserve"> penal a respeito de qualquer tema ou natureza a uma licença ou autorização prévia da Casa Legislativa. Como afirm</w:t>
      </w:r>
      <w:r>
        <w:rPr>
          <w:rFonts w:ascii="Cambria" w:hAnsi="Cambria"/>
          <w:color w:val="000000"/>
          <w:sz w:val="20"/>
          <w:szCs w:val="20"/>
          <w:lang w:val="pt-BR"/>
        </w:rPr>
        <w:t>ado pel</w:t>
      </w:r>
      <w:r w:rsidR="002F1065" w:rsidRPr="00337743">
        <w:rPr>
          <w:rFonts w:ascii="Cambria" w:hAnsi="Cambria"/>
          <w:color w:val="000000"/>
          <w:sz w:val="20"/>
          <w:szCs w:val="20"/>
          <w:lang w:val="pt-BR"/>
        </w:rPr>
        <w:t>a Corte</w:t>
      </w:r>
      <w:r>
        <w:rPr>
          <w:rFonts w:ascii="Cambria" w:hAnsi="Cambria"/>
          <w:color w:val="000000"/>
          <w:sz w:val="20"/>
          <w:szCs w:val="20"/>
          <w:lang w:val="pt-BR"/>
        </w:rPr>
        <w:t xml:space="preserve"> IDH</w:t>
      </w:r>
      <w:r w:rsidR="002F1065" w:rsidRPr="00337743">
        <w:rPr>
          <w:rFonts w:ascii="Cambria" w:hAnsi="Cambria"/>
          <w:color w:val="000000"/>
          <w:sz w:val="20"/>
          <w:szCs w:val="20"/>
          <w:lang w:val="pt-BR"/>
        </w:rPr>
        <w:t xml:space="preserve">, as distinções de tratamento “não podem perseguir fins arbitrários, caprichosos, despóticos ou que de alguma maneira se </w:t>
      </w:r>
      <w:r w:rsidR="007A32D0" w:rsidRPr="00337743">
        <w:rPr>
          <w:rFonts w:ascii="Cambria" w:hAnsi="Cambria"/>
          <w:color w:val="000000"/>
          <w:sz w:val="20"/>
          <w:szCs w:val="20"/>
          <w:lang w:val="pt-BR"/>
        </w:rPr>
        <w:t>o</w:t>
      </w:r>
      <w:r w:rsidR="002F1065" w:rsidRPr="00337743">
        <w:rPr>
          <w:rFonts w:ascii="Cambria" w:hAnsi="Cambria"/>
          <w:color w:val="000000"/>
          <w:sz w:val="20"/>
          <w:szCs w:val="20"/>
          <w:lang w:val="pt-BR"/>
        </w:rPr>
        <w:t>ponham à essencial unidade e dignidade da natureza humana”</w:t>
      </w:r>
      <w:r w:rsidR="002F1065" w:rsidRPr="00337743">
        <w:rPr>
          <w:rStyle w:val="FootnoteReference"/>
          <w:rFonts w:ascii="Cambria" w:hAnsi="Cambria"/>
          <w:color w:val="000000"/>
          <w:sz w:val="20"/>
          <w:szCs w:val="20"/>
          <w:lang w:val="pt-BR"/>
        </w:rPr>
        <w:footnoteReference w:id="127"/>
      </w:r>
      <w:r w:rsidR="002F1065" w:rsidRPr="00337743">
        <w:rPr>
          <w:rFonts w:ascii="Cambria" w:hAnsi="Cambria"/>
          <w:color w:val="000000"/>
          <w:sz w:val="20"/>
          <w:szCs w:val="20"/>
          <w:lang w:val="pt-BR"/>
        </w:rPr>
        <w:t>.</w:t>
      </w:r>
    </w:p>
    <w:p w14:paraId="3AB1CA9D" w14:textId="77777777" w:rsidR="002F1065" w:rsidRPr="00337743" w:rsidRDefault="002F1065" w:rsidP="002F1065">
      <w:pPr>
        <w:pStyle w:val="ListParagraph"/>
        <w:rPr>
          <w:rFonts w:ascii="Cambria" w:hAnsi="Cambria"/>
          <w:color w:val="000000"/>
          <w:sz w:val="20"/>
          <w:szCs w:val="20"/>
          <w:lang w:val="pt-BR"/>
        </w:rPr>
      </w:pPr>
    </w:p>
    <w:p w14:paraId="51B6CD10"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A ausência de salvaguardas ou limites na norma que regulava a imunidade se viu claramente refletida na total falta de motivação das duas decisões da própria Assembleia Legislativa</w:t>
      </w:r>
      <w:r w:rsidR="00C54422">
        <w:rPr>
          <w:rFonts w:ascii="Cambria" w:hAnsi="Cambria"/>
          <w:color w:val="000000"/>
          <w:sz w:val="20"/>
          <w:szCs w:val="20"/>
          <w:lang w:val="pt-BR"/>
        </w:rPr>
        <w:t>,</w:t>
      </w:r>
      <w:r w:rsidRPr="00337743">
        <w:rPr>
          <w:rFonts w:ascii="Cambria" w:hAnsi="Cambria"/>
          <w:color w:val="000000"/>
          <w:sz w:val="20"/>
          <w:szCs w:val="20"/>
          <w:lang w:val="pt-BR"/>
        </w:rPr>
        <w:t xml:space="preserve"> mediante as quais se rejeitou </w:t>
      </w:r>
      <w:r w:rsidR="007A32D0" w:rsidRPr="00337743">
        <w:rPr>
          <w:rFonts w:ascii="Cambria" w:hAnsi="Cambria"/>
          <w:color w:val="000000"/>
          <w:sz w:val="20"/>
          <w:szCs w:val="20"/>
          <w:lang w:val="pt-BR"/>
        </w:rPr>
        <w:t xml:space="preserve">o </w:t>
      </w:r>
      <w:r w:rsidR="00C54422">
        <w:rPr>
          <w:rFonts w:ascii="Cambria" w:hAnsi="Cambria"/>
          <w:color w:val="000000"/>
          <w:sz w:val="20"/>
          <w:szCs w:val="20"/>
          <w:lang w:val="pt-BR"/>
        </w:rPr>
        <w:t>processamento</w:t>
      </w:r>
      <w:r w:rsidRPr="00337743">
        <w:rPr>
          <w:rFonts w:ascii="Cambria" w:hAnsi="Cambria"/>
          <w:color w:val="000000"/>
          <w:sz w:val="20"/>
          <w:szCs w:val="20"/>
          <w:lang w:val="pt-BR"/>
        </w:rPr>
        <w:t xml:space="preserve"> de Aércio Pereira de Lima. Como destac</w:t>
      </w:r>
      <w:r w:rsidR="007A32D0" w:rsidRPr="00337743">
        <w:rPr>
          <w:rFonts w:ascii="Cambria" w:hAnsi="Cambria"/>
          <w:color w:val="000000"/>
          <w:sz w:val="20"/>
          <w:szCs w:val="20"/>
          <w:lang w:val="pt-BR"/>
        </w:rPr>
        <w:t>ou a</w:t>
      </w:r>
      <w:r w:rsidRPr="00337743">
        <w:rPr>
          <w:rFonts w:ascii="Cambria" w:hAnsi="Cambria"/>
          <w:color w:val="000000"/>
          <w:sz w:val="20"/>
          <w:szCs w:val="20"/>
          <w:lang w:val="pt-BR"/>
        </w:rPr>
        <w:t xml:space="preserve"> Corte,</w:t>
      </w:r>
      <w:r w:rsidRPr="00337743">
        <w:rPr>
          <w:rFonts w:ascii="Cambria" w:hAnsi="Cambria"/>
          <w:sz w:val="20"/>
          <w:szCs w:val="20"/>
          <w:lang w:val="pt-BR"/>
        </w:rPr>
        <w:t xml:space="preserve"> </w:t>
      </w:r>
      <w:r w:rsidRPr="00337743">
        <w:rPr>
          <w:rFonts w:ascii="Cambria" w:hAnsi="Cambria"/>
          <w:color w:val="000000"/>
          <w:sz w:val="20"/>
          <w:szCs w:val="20"/>
          <w:lang w:val="pt-BR"/>
        </w:rPr>
        <w:t xml:space="preserve">o dever de motivar é uma garantia vinculada </w:t>
      </w:r>
      <w:r w:rsidR="007A32D0" w:rsidRPr="00337743">
        <w:rPr>
          <w:rFonts w:ascii="Cambria" w:hAnsi="Cambria"/>
          <w:color w:val="000000"/>
          <w:sz w:val="20"/>
          <w:szCs w:val="20"/>
          <w:lang w:val="pt-BR"/>
        </w:rPr>
        <w:t>à</w:t>
      </w:r>
      <w:r w:rsidRPr="00337743">
        <w:rPr>
          <w:rFonts w:ascii="Cambria" w:hAnsi="Cambria"/>
          <w:color w:val="000000"/>
          <w:sz w:val="20"/>
          <w:szCs w:val="20"/>
          <w:lang w:val="pt-BR"/>
        </w:rPr>
        <w:t xml:space="preserve"> correta administração de justiça, que protege o direito dos cidadãos a ser</w:t>
      </w:r>
      <w:r w:rsidR="007A32D0" w:rsidRPr="00337743">
        <w:rPr>
          <w:rFonts w:ascii="Cambria" w:hAnsi="Cambria"/>
          <w:color w:val="000000"/>
          <w:sz w:val="20"/>
          <w:szCs w:val="20"/>
          <w:lang w:val="pt-BR"/>
        </w:rPr>
        <w:t>em</w:t>
      </w:r>
      <w:r w:rsidRPr="00337743">
        <w:rPr>
          <w:rFonts w:ascii="Cambria" w:hAnsi="Cambria"/>
          <w:color w:val="000000"/>
          <w:sz w:val="20"/>
          <w:szCs w:val="20"/>
          <w:lang w:val="pt-BR"/>
        </w:rPr>
        <w:t xml:space="preserve"> julgados pelas razões que o Direito fornece, e </w:t>
      </w:r>
      <w:r w:rsidR="007A32D0" w:rsidRPr="00337743">
        <w:rPr>
          <w:rFonts w:ascii="Cambria" w:hAnsi="Cambria"/>
          <w:color w:val="000000"/>
          <w:sz w:val="20"/>
          <w:szCs w:val="20"/>
          <w:lang w:val="pt-BR"/>
        </w:rPr>
        <w:t>atribui</w:t>
      </w:r>
      <w:r w:rsidRPr="00337743">
        <w:rPr>
          <w:rFonts w:ascii="Cambria" w:hAnsi="Cambria"/>
          <w:color w:val="000000"/>
          <w:sz w:val="20"/>
          <w:szCs w:val="20"/>
          <w:lang w:val="pt-BR"/>
        </w:rPr>
        <w:t xml:space="preserve"> credibilidade das decisões jurídicas no âmbito de uma sociedade democrática. Por isso, as decisões que os órgãos internos adotarem devem estar devidamente fundamentadas, pois do contrário seriam decisões arbitrárias. O dever de motivação é uma das devidas garantias incluídas no artigo 8.1 para salvaguardar o direito a um devido processo</w:t>
      </w:r>
      <w:r w:rsidRPr="00337743">
        <w:rPr>
          <w:rFonts w:ascii="Cambria" w:hAnsi="Cambria"/>
          <w:sz w:val="20"/>
          <w:szCs w:val="20"/>
          <w:vertAlign w:val="superscript"/>
          <w:lang w:val="pt-BR"/>
        </w:rPr>
        <w:footnoteReference w:id="128"/>
      </w:r>
      <w:r w:rsidRPr="00337743">
        <w:rPr>
          <w:rFonts w:ascii="Cambria" w:hAnsi="Cambria"/>
          <w:color w:val="000000"/>
          <w:sz w:val="20"/>
          <w:szCs w:val="20"/>
          <w:lang w:val="pt-BR"/>
        </w:rPr>
        <w:t xml:space="preserve">. A Comissão considera que a ausência de motivação de ambas as decisões constituiu uma violação adicional </w:t>
      </w:r>
      <w:r w:rsidR="007A32D0" w:rsidRPr="00337743">
        <w:rPr>
          <w:rFonts w:ascii="Cambria" w:hAnsi="Cambria"/>
          <w:color w:val="000000"/>
          <w:sz w:val="20"/>
          <w:szCs w:val="20"/>
          <w:lang w:val="pt-BR"/>
        </w:rPr>
        <w:t>d</w:t>
      </w:r>
      <w:r w:rsidRPr="00337743">
        <w:rPr>
          <w:rFonts w:ascii="Cambria" w:hAnsi="Cambria"/>
          <w:color w:val="000000"/>
          <w:sz w:val="20"/>
          <w:szCs w:val="20"/>
          <w:lang w:val="pt-BR"/>
        </w:rPr>
        <w:t xml:space="preserve">o direito </w:t>
      </w:r>
      <w:r w:rsidR="00A42BEF" w:rsidRPr="00337743">
        <w:rPr>
          <w:rFonts w:ascii="Cambria" w:hAnsi="Cambria"/>
          <w:color w:val="000000"/>
          <w:sz w:val="20"/>
          <w:szCs w:val="20"/>
          <w:lang w:val="pt-BR"/>
        </w:rPr>
        <w:t>de</w:t>
      </w:r>
      <w:r w:rsidRPr="00337743">
        <w:rPr>
          <w:rFonts w:ascii="Cambria" w:hAnsi="Cambria"/>
          <w:color w:val="000000"/>
          <w:sz w:val="20"/>
          <w:szCs w:val="20"/>
          <w:lang w:val="pt-BR"/>
        </w:rPr>
        <w:t xml:space="preserve"> contar com decisões devidamente motivadas. </w:t>
      </w:r>
    </w:p>
    <w:p w14:paraId="6CE5CB75"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color w:val="000000"/>
          <w:sz w:val="20"/>
          <w:szCs w:val="20"/>
          <w:lang w:val="pt-BR"/>
        </w:rPr>
      </w:pPr>
    </w:p>
    <w:p w14:paraId="46BB2FE1"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Em 20 de dezembro de 2001, com a aprovação da Emenda Constitucional Nº 35/2001 (que modificou o artigo 53 da Constituição), determinou-se que a ação penal contra parlamentares seria admitida independentemente da autorização da Assembleia Legislativa. No entanto, a nova redação ainda permite que o trâmite processual seja</w:t>
      </w:r>
      <w:r w:rsidR="0002245C">
        <w:rPr>
          <w:rFonts w:ascii="Cambria" w:hAnsi="Cambria"/>
          <w:color w:val="000000"/>
          <w:sz w:val="20"/>
          <w:szCs w:val="20"/>
          <w:lang w:val="pt-BR"/>
        </w:rPr>
        <w:t xml:space="preserve"> suspenso ou</w:t>
      </w:r>
      <w:r w:rsidRPr="00337743">
        <w:rPr>
          <w:rFonts w:ascii="Cambria" w:hAnsi="Cambria"/>
          <w:color w:val="000000"/>
          <w:sz w:val="20"/>
          <w:szCs w:val="20"/>
          <w:lang w:val="pt-BR"/>
        </w:rPr>
        <w:t xml:space="preserve"> paralisado pela vontade política de Deputados ou Senadores. A Comissão considera que </w:t>
      </w:r>
      <w:r w:rsidR="004D60EB" w:rsidRPr="00337743">
        <w:rPr>
          <w:rFonts w:ascii="Cambria" w:hAnsi="Cambria"/>
          <w:color w:val="000000"/>
          <w:sz w:val="20"/>
          <w:szCs w:val="20"/>
          <w:lang w:val="pt-BR"/>
        </w:rPr>
        <w:t>ess</w:t>
      </w:r>
      <w:r w:rsidRPr="00337743">
        <w:rPr>
          <w:rFonts w:ascii="Cambria" w:hAnsi="Cambria"/>
          <w:color w:val="000000"/>
          <w:sz w:val="20"/>
          <w:szCs w:val="20"/>
          <w:lang w:val="pt-BR"/>
        </w:rPr>
        <w:t>a reforma constitucional não sanou</w:t>
      </w:r>
      <w:r w:rsidR="0002245C">
        <w:rPr>
          <w:rFonts w:ascii="Cambria" w:hAnsi="Cambria"/>
          <w:color w:val="000000"/>
          <w:sz w:val="20"/>
          <w:szCs w:val="20"/>
          <w:lang w:val="pt-BR"/>
        </w:rPr>
        <w:t xml:space="preserve"> completamente</w:t>
      </w:r>
      <w:r w:rsidRPr="00337743">
        <w:rPr>
          <w:rFonts w:ascii="Cambria" w:hAnsi="Cambria"/>
          <w:color w:val="000000"/>
          <w:sz w:val="20"/>
          <w:szCs w:val="20"/>
          <w:lang w:val="pt-BR"/>
        </w:rPr>
        <w:t xml:space="preserve"> a deficiência fundamental do caráter amplo e não delimitado da imunidade parlamentar. </w:t>
      </w:r>
    </w:p>
    <w:p w14:paraId="1628A5A1" w14:textId="77777777" w:rsidR="002F1065" w:rsidRPr="00337743" w:rsidRDefault="002F1065" w:rsidP="002F1065">
      <w:pPr>
        <w:pStyle w:val="ListParagraph"/>
        <w:rPr>
          <w:rFonts w:ascii="Cambria" w:hAnsi="Cambria"/>
          <w:color w:val="000000"/>
          <w:sz w:val="20"/>
          <w:szCs w:val="20"/>
          <w:lang w:val="pt-BR"/>
        </w:rPr>
      </w:pPr>
    </w:p>
    <w:p w14:paraId="3066D1A1"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 xml:space="preserve">Não há dúvida, </w:t>
      </w:r>
      <w:r w:rsidR="0002245C">
        <w:rPr>
          <w:rFonts w:ascii="Cambria" w:hAnsi="Cambria"/>
          <w:color w:val="000000"/>
          <w:sz w:val="20"/>
          <w:szCs w:val="20"/>
          <w:lang w:val="pt-BR"/>
        </w:rPr>
        <w:t>pois</w:t>
      </w:r>
      <w:r w:rsidRPr="00337743">
        <w:rPr>
          <w:rFonts w:ascii="Cambria" w:hAnsi="Cambria"/>
          <w:color w:val="000000"/>
          <w:sz w:val="20"/>
          <w:szCs w:val="20"/>
          <w:lang w:val="pt-BR"/>
        </w:rPr>
        <w:t xml:space="preserve">, que o processo penal de Aércio Pereira de Lima foi impossibilitado até março de 2003 como consequência da vigência e aplicação da norma de imunidade parlamentar. Ao constituir um privilégio que não cumpre com os padrões de objetividade e razoabilidade, ao ser claramente desproporcional ao fim buscado, </w:t>
      </w:r>
      <w:r w:rsidR="0002245C">
        <w:rPr>
          <w:rFonts w:ascii="Cambria" w:hAnsi="Cambria"/>
          <w:color w:val="000000"/>
          <w:sz w:val="20"/>
          <w:szCs w:val="20"/>
          <w:lang w:val="pt-BR"/>
        </w:rPr>
        <w:t xml:space="preserve">a imunidade </w:t>
      </w:r>
      <w:r w:rsidRPr="00337743">
        <w:rPr>
          <w:rFonts w:ascii="Cambria" w:hAnsi="Cambria"/>
          <w:color w:val="000000"/>
          <w:sz w:val="20"/>
          <w:szCs w:val="20"/>
          <w:lang w:val="pt-BR"/>
        </w:rPr>
        <w:t>gerou uma diferença de trat</w:t>
      </w:r>
      <w:r w:rsidR="004D60EB" w:rsidRPr="00337743">
        <w:rPr>
          <w:rFonts w:ascii="Cambria" w:hAnsi="Cambria"/>
          <w:color w:val="000000"/>
          <w:sz w:val="20"/>
          <w:szCs w:val="20"/>
          <w:lang w:val="pt-BR"/>
        </w:rPr>
        <w:t>ament</w:t>
      </w:r>
      <w:r w:rsidRPr="00337743">
        <w:rPr>
          <w:rFonts w:ascii="Cambria" w:hAnsi="Cambria"/>
          <w:color w:val="000000"/>
          <w:sz w:val="20"/>
          <w:szCs w:val="20"/>
          <w:lang w:val="pt-BR"/>
        </w:rPr>
        <w:t xml:space="preserve">o discriminatória nas possibilidades de </w:t>
      </w:r>
      <w:r w:rsidR="0002245C">
        <w:rPr>
          <w:rFonts w:ascii="Cambria" w:hAnsi="Cambria"/>
          <w:color w:val="000000"/>
          <w:sz w:val="20"/>
          <w:szCs w:val="20"/>
          <w:lang w:val="pt-BR"/>
        </w:rPr>
        <w:t xml:space="preserve">se </w:t>
      </w:r>
      <w:r w:rsidRPr="00337743">
        <w:rPr>
          <w:rFonts w:ascii="Cambria" w:hAnsi="Cambria"/>
          <w:color w:val="000000"/>
          <w:sz w:val="20"/>
          <w:szCs w:val="20"/>
          <w:lang w:val="pt-BR"/>
        </w:rPr>
        <w:t>avançar na investigação do assassinato de Márcia Barbosa de Souza. Os efeitos desta situação se prolongaram no tempo</w:t>
      </w:r>
      <w:r w:rsidR="004D60EB" w:rsidRPr="00337743">
        <w:rPr>
          <w:rFonts w:ascii="Cambria" w:hAnsi="Cambria"/>
          <w:color w:val="000000"/>
          <w:sz w:val="20"/>
          <w:szCs w:val="20"/>
          <w:lang w:val="pt-BR"/>
        </w:rPr>
        <w:t>,</w:t>
      </w:r>
      <w:r w:rsidRPr="00337743">
        <w:rPr>
          <w:rFonts w:ascii="Cambria" w:hAnsi="Cambria"/>
          <w:color w:val="000000"/>
          <w:sz w:val="20"/>
          <w:szCs w:val="20"/>
          <w:lang w:val="pt-BR"/>
        </w:rPr>
        <w:t xml:space="preserve"> pois sem dúvida a aplicação da imunidade parlamentar funcionou como um dos fatores principais para que a primeira decisão de mérito só fosse alcançada 9 anos, 3 meses e 9 dias</w:t>
      </w:r>
      <w:r w:rsidRPr="00337743">
        <w:rPr>
          <w:rFonts w:ascii="Cambria" w:hAnsi="Cambria"/>
          <w:color w:val="FF0000"/>
          <w:sz w:val="20"/>
          <w:szCs w:val="20"/>
          <w:lang w:val="pt-BR"/>
        </w:rPr>
        <w:t xml:space="preserve"> </w:t>
      </w:r>
      <w:r w:rsidRPr="00337743">
        <w:rPr>
          <w:rFonts w:ascii="Cambria" w:hAnsi="Cambria"/>
          <w:color w:val="000000"/>
          <w:sz w:val="20"/>
          <w:szCs w:val="20"/>
          <w:lang w:val="pt-BR"/>
        </w:rPr>
        <w:t xml:space="preserve">depois do crime, sem que o processo pudesse continuar dada a morte do condenado. Esta situação também constituiu um </w:t>
      </w:r>
      <w:r w:rsidR="004D60EB" w:rsidRPr="00337743">
        <w:rPr>
          <w:rFonts w:ascii="Cambria" w:hAnsi="Cambria"/>
          <w:color w:val="000000"/>
          <w:sz w:val="20"/>
          <w:szCs w:val="20"/>
          <w:lang w:val="pt-BR"/>
        </w:rPr>
        <w:t>des</w:t>
      </w:r>
      <w:r w:rsidRPr="00337743">
        <w:rPr>
          <w:rFonts w:ascii="Cambria" w:hAnsi="Cambria"/>
          <w:color w:val="000000"/>
          <w:sz w:val="20"/>
          <w:szCs w:val="20"/>
          <w:lang w:val="pt-BR"/>
        </w:rPr>
        <w:t>cumprimento do dever de investigar a violência contra a mulher, não só de acordo com a Convenção Americana, mas também dentro da Convenção de Belém do Pará</w:t>
      </w:r>
      <w:r w:rsidR="004D60EB" w:rsidRPr="00337743">
        <w:rPr>
          <w:rFonts w:ascii="Cambria" w:hAnsi="Cambria"/>
          <w:color w:val="000000"/>
          <w:sz w:val="20"/>
          <w:szCs w:val="20"/>
          <w:lang w:val="pt-BR"/>
        </w:rPr>
        <w:t>,</w:t>
      </w:r>
      <w:r w:rsidRPr="00337743">
        <w:rPr>
          <w:rFonts w:ascii="Cambria" w:hAnsi="Cambria"/>
          <w:color w:val="000000"/>
          <w:sz w:val="20"/>
          <w:szCs w:val="20"/>
          <w:lang w:val="pt-BR"/>
        </w:rPr>
        <w:t xml:space="preserve"> que já se encontrava em vigor para o Brasil no momento em que ocorreu o assassinato de Márcia. </w:t>
      </w:r>
    </w:p>
    <w:p w14:paraId="7384D38B" w14:textId="77777777" w:rsidR="002F1065" w:rsidRPr="00337743" w:rsidRDefault="002F1065" w:rsidP="002F1065">
      <w:pPr>
        <w:pStyle w:val="ListParagraph"/>
        <w:rPr>
          <w:rFonts w:ascii="Cambria" w:hAnsi="Cambria"/>
          <w:color w:val="000000"/>
          <w:sz w:val="20"/>
          <w:szCs w:val="20"/>
          <w:lang w:val="pt-BR"/>
        </w:rPr>
      </w:pPr>
    </w:p>
    <w:p w14:paraId="49B47554"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Em virtude d</w:t>
      </w:r>
      <w:r w:rsidR="0002245C">
        <w:rPr>
          <w:rFonts w:ascii="Cambria" w:hAnsi="Cambria"/>
          <w:color w:val="000000"/>
          <w:sz w:val="20"/>
          <w:szCs w:val="20"/>
          <w:lang w:val="pt-BR"/>
        </w:rPr>
        <w:t>e tod</w:t>
      </w:r>
      <w:r w:rsidRPr="00337743">
        <w:rPr>
          <w:rFonts w:ascii="Cambria" w:hAnsi="Cambria"/>
          <w:color w:val="000000"/>
          <w:sz w:val="20"/>
          <w:szCs w:val="20"/>
          <w:lang w:val="pt-BR"/>
        </w:rPr>
        <w:t>as</w:t>
      </w:r>
      <w:r w:rsidR="0002245C">
        <w:rPr>
          <w:rFonts w:ascii="Cambria" w:hAnsi="Cambria"/>
          <w:color w:val="000000"/>
          <w:sz w:val="20"/>
          <w:szCs w:val="20"/>
          <w:lang w:val="pt-BR"/>
        </w:rPr>
        <w:t xml:space="preserve"> as</w:t>
      </w:r>
      <w:r w:rsidRPr="00337743">
        <w:rPr>
          <w:rFonts w:ascii="Cambria" w:hAnsi="Cambria"/>
          <w:color w:val="000000"/>
          <w:sz w:val="20"/>
          <w:szCs w:val="20"/>
          <w:lang w:val="pt-BR"/>
        </w:rPr>
        <w:t xml:space="preserve"> considerações</w:t>
      </w:r>
      <w:r w:rsidR="009A785B" w:rsidRPr="00337743">
        <w:rPr>
          <w:rFonts w:ascii="Cambria" w:hAnsi="Cambria"/>
          <w:color w:val="000000"/>
          <w:sz w:val="20"/>
          <w:szCs w:val="20"/>
          <w:lang w:val="pt-BR"/>
        </w:rPr>
        <w:t xml:space="preserve"> anteriores</w:t>
      </w:r>
      <w:r w:rsidRPr="00337743">
        <w:rPr>
          <w:rFonts w:ascii="Cambria" w:hAnsi="Cambria"/>
          <w:color w:val="000000"/>
          <w:sz w:val="20"/>
          <w:szCs w:val="20"/>
          <w:lang w:val="pt-BR"/>
        </w:rPr>
        <w:t>, a Comissão conclui que a imunidade parlamentar</w:t>
      </w:r>
      <w:r w:rsidR="0002245C">
        <w:rPr>
          <w:rFonts w:ascii="Cambria" w:hAnsi="Cambria"/>
          <w:color w:val="000000"/>
          <w:sz w:val="20"/>
          <w:szCs w:val="20"/>
          <w:lang w:val="pt-BR"/>
        </w:rPr>
        <w:t>,</w:t>
      </w:r>
      <w:r w:rsidRPr="00337743">
        <w:rPr>
          <w:rFonts w:ascii="Cambria" w:hAnsi="Cambria"/>
          <w:color w:val="000000"/>
          <w:sz w:val="20"/>
          <w:szCs w:val="20"/>
          <w:lang w:val="pt-BR"/>
        </w:rPr>
        <w:t xml:space="preserve"> nos termos definidos na norma interna e aplicada ao caso concreto</w:t>
      </w:r>
      <w:r w:rsidR="0002245C">
        <w:rPr>
          <w:rFonts w:ascii="Cambria" w:hAnsi="Cambria"/>
          <w:color w:val="000000"/>
          <w:sz w:val="20"/>
          <w:szCs w:val="20"/>
          <w:lang w:val="pt-BR"/>
        </w:rPr>
        <w:t>,</w:t>
      </w:r>
      <w:r w:rsidRPr="00337743">
        <w:rPr>
          <w:rFonts w:ascii="Cambria" w:hAnsi="Cambria"/>
          <w:color w:val="000000"/>
          <w:sz w:val="20"/>
          <w:szCs w:val="20"/>
          <w:lang w:val="pt-BR"/>
        </w:rPr>
        <w:t xml:space="preserve"> constituiu uma violação dos direitos às garantias judiciais, princípio de igualdade e não discriminação e proteção judicial estabelecidos nos artigos 8.1, 24 e 25.1 </w:t>
      </w:r>
      <w:r w:rsidRPr="00337743">
        <w:rPr>
          <w:rFonts w:ascii="Cambria" w:hAnsi="Cambria"/>
          <w:sz w:val="20"/>
          <w:szCs w:val="20"/>
          <w:lang w:val="pt-BR"/>
        </w:rPr>
        <w:t>com relação ao direito à vida estabelecido no artigo 4 e com</w:t>
      </w:r>
      <w:r w:rsidRPr="00337743">
        <w:rPr>
          <w:rFonts w:ascii="Cambria" w:hAnsi="Cambria"/>
          <w:color w:val="000000"/>
          <w:sz w:val="20"/>
          <w:szCs w:val="20"/>
          <w:lang w:val="pt-BR"/>
        </w:rPr>
        <w:t xml:space="preserve"> as obrigações estabelecidas nos artigos 1.1 e 2 do mesmo instrumento, em detrimento da mãe e do pai de Márcia Barbosa de Souza. </w:t>
      </w:r>
    </w:p>
    <w:p w14:paraId="2B05FED8"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b/>
          <w:color w:val="000000"/>
          <w:sz w:val="20"/>
          <w:szCs w:val="20"/>
          <w:lang w:val="pt-BR"/>
        </w:rPr>
      </w:pPr>
    </w:p>
    <w:p w14:paraId="200E6A74" w14:textId="77777777" w:rsidR="002F1065" w:rsidRPr="00337743" w:rsidRDefault="002F1065" w:rsidP="00E358A6">
      <w:pPr>
        <w:pStyle w:val="ListParagraph"/>
        <w:numPr>
          <w:ilvl w:val="1"/>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s>
        <w:ind w:hanging="720"/>
        <w:jc w:val="both"/>
        <w:rPr>
          <w:rFonts w:ascii="Cambria" w:hAnsi="Cambria"/>
          <w:color w:val="000000"/>
          <w:sz w:val="20"/>
          <w:szCs w:val="20"/>
          <w:lang w:val="pt-BR"/>
        </w:rPr>
      </w:pPr>
      <w:r w:rsidRPr="00337743">
        <w:rPr>
          <w:rFonts w:ascii="Cambria" w:hAnsi="Cambria"/>
          <w:b/>
          <w:color w:val="000000"/>
          <w:sz w:val="20"/>
          <w:szCs w:val="20"/>
          <w:lang w:val="pt-BR"/>
        </w:rPr>
        <w:t xml:space="preserve">Quanto ao prazo razoável  </w:t>
      </w:r>
    </w:p>
    <w:p w14:paraId="6416B0A4"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sz w:val="20"/>
          <w:szCs w:val="20"/>
          <w:lang w:val="pt-BR"/>
        </w:rPr>
      </w:pPr>
    </w:p>
    <w:p w14:paraId="55836EE0"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s="Verdana"/>
          <w:sz w:val="20"/>
          <w:szCs w:val="20"/>
          <w:lang w:val="pt-BR"/>
        </w:rPr>
      </w:pPr>
      <w:r w:rsidRPr="00337743">
        <w:rPr>
          <w:rFonts w:ascii="Cambria" w:hAnsi="Cambria" w:cs="Verdana"/>
          <w:sz w:val="20"/>
          <w:szCs w:val="20"/>
          <w:lang w:val="pt-BR"/>
        </w:rPr>
        <w:t xml:space="preserve">Com respeito à garantia do prazo razoável contemplada no artigo 8.1 da </w:t>
      </w:r>
      <w:r w:rsidRPr="00337743">
        <w:rPr>
          <w:rFonts w:ascii="Cambria" w:hAnsi="Cambria"/>
          <w:sz w:val="20"/>
          <w:szCs w:val="20"/>
          <w:lang w:val="pt-BR"/>
        </w:rPr>
        <w:t>Convenção</w:t>
      </w:r>
      <w:r w:rsidRPr="00337743">
        <w:rPr>
          <w:rFonts w:ascii="Cambria" w:hAnsi="Cambria" w:cs="Verdana"/>
          <w:sz w:val="20"/>
          <w:szCs w:val="20"/>
          <w:lang w:val="pt-BR"/>
        </w:rPr>
        <w:t xml:space="preserve"> Americana, a Corte Interamericana estabeleceu que é preciso levar em conta três elementos para determinar a razoabilidade do prazo no qual se desenvolve um processo: a) a complexidade do assunto, b) a atividade processual do </w:t>
      </w:r>
      <w:r w:rsidRPr="00337743">
        <w:rPr>
          <w:rFonts w:ascii="Cambria" w:hAnsi="Cambria"/>
          <w:color w:val="000000"/>
          <w:sz w:val="20"/>
          <w:szCs w:val="20"/>
          <w:lang w:val="pt-BR"/>
        </w:rPr>
        <w:t>interessado</w:t>
      </w:r>
      <w:r w:rsidRPr="00337743">
        <w:rPr>
          <w:rFonts w:ascii="Cambria" w:hAnsi="Cambria" w:cs="Verdana"/>
          <w:sz w:val="20"/>
          <w:szCs w:val="20"/>
          <w:lang w:val="pt-BR"/>
        </w:rPr>
        <w:t xml:space="preserve"> e c) a conduta das autoridades judiciais</w:t>
      </w:r>
      <w:r w:rsidRPr="00337743">
        <w:rPr>
          <w:rFonts w:ascii="Cambria" w:hAnsi="Cambria" w:cs="Verdana"/>
          <w:sz w:val="20"/>
          <w:szCs w:val="20"/>
          <w:vertAlign w:val="superscript"/>
          <w:lang w:val="pt-BR"/>
        </w:rPr>
        <w:footnoteReference w:id="129"/>
      </w:r>
      <w:r w:rsidRPr="00337743">
        <w:rPr>
          <w:rFonts w:ascii="Cambria" w:hAnsi="Cambria" w:cs="Verdana"/>
          <w:sz w:val="20"/>
          <w:szCs w:val="20"/>
          <w:lang w:val="pt-BR"/>
        </w:rPr>
        <w:t xml:space="preserve">. </w:t>
      </w:r>
      <w:r w:rsidR="009A785B" w:rsidRPr="00337743">
        <w:rPr>
          <w:rFonts w:ascii="Cambria" w:hAnsi="Cambria" w:cs="Verdana"/>
          <w:sz w:val="20"/>
          <w:szCs w:val="20"/>
          <w:lang w:val="pt-BR"/>
        </w:rPr>
        <w:t>A</w:t>
      </w:r>
      <w:r w:rsidRPr="00337743">
        <w:rPr>
          <w:rFonts w:ascii="Cambria" w:hAnsi="Cambria" w:cs="Verdana"/>
          <w:sz w:val="20"/>
          <w:szCs w:val="20"/>
          <w:lang w:val="pt-BR"/>
        </w:rPr>
        <w:t xml:space="preserve"> Comissão e a Corte consideraram também o interesse do afetado</w:t>
      </w:r>
      <w:r w:rsidRPr="00337743">
        <w:rPr>
          <w:rFonts w:ascii="Cambria" w:hAnsi="Cambria" w:cs="Verdana"/>
          <w:sz w:val="20"/>
          <w:szCs w:val="20"/>
          <w:vertAlign w:val="superscript"/>
          <w:lang w:val="pt-BR"/>
        </w:rPr>
        <w:footnoteReference w:id="130"/>
      </w:r>
      <w:r w:rsidRPr="00337743">
        <w:rPr>
          <w:rFonts w:ascii="Cambria" w:hAnsi="Cambria" w:cs="Verdana"/>
          <w:sz w:val="20"/>
          <w:szCs w:val="20"/>
          <w:lang w:val="pt-BR"/>
        </w:rPr>
        <w:t xml:space="preserve">. </w:t>
      </w:r>
    </w:p>
    <w:p w14:paraId="2E416569"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jc w:val="both"/>
        <w:rPr>
          <w:rFonts w:ascii="Cambria" w:hAnsi="Cambria" w:cs="Verdana"/>
          <w:sz w:val="20"/>
          <w:szCs w:val="20"/>
          <w:lang w:val="pt-BR"/>
        </w:rPr>
      </w:pPr>
    </w:p>
    <w:p w14:paraId="1DDC456A"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s="Verdana"/>
          <w:sz w:val="20"/>
          <w:szCs w:val="20"/>
          <w:lang w:val="pt-BR"/>
        </w:rPr>
      </w:pPr>
      <w:r w:rsidRPr="00337743">
        <w:rPr>
          <w:rFonts w:ascii="Cambria" w:hAnsi="Cambria"/>
          <w:color w:val="000000"/>
          <w:sz w:val="20"/>
          <w:szCs w:val="20"/>
          <w:lang w:val="pt-BR"/>
        </w:rPr>
        <w:t xml:space="preserve">A Comissão considera que o caso não apresentava maior complexidade. </w:t>
      </w:r>
      <w:r w:rsidRPr="00337743">
        <w:rPr>
          <w:rFonts w:ascii="Cambria" w:hAnsi="Cambria"/>
          <w:sz w:val="20"/>
          <w:szCs w:val="20"/>
          <w:lang w:val="pt-BR"/>
        </w:rPr>
        <w:t>Desde a investigação policial co</w:t>
      </w:r>
      <w:r w:rsidR="009A785B" w:rsidRPr="00337743">
        <w:rPr>
          <w:rFonts w:ascii="Cambria" w:hAnsi="Cambria"/>
          <w:sz w:val="20"/>
          <w:szCs w:val="20"/>
          <w:lang w:val="pt-BR"/>
        </w:rPr>
        <w:t>ncluí</w:t>
      </w:r>
      <w:r w:rsidRPr="00337743">
        <w:rPr>
          <w:rFonts w:ascii="Cambria" w:hAnsi="Cambria"/>
          <w:sz w:val="20"/>
          <w:szCs w:val="20"/>
          <w:lang w:val="pt-BR"/>
        </w:rPr>
        <w:t>da em 27 de agosto de 1998 existiam elementos suficientes de prova para o início do processo</w:t>
      </w:r>
      <w:r w:rsidRPr="00337743">
        <w:rPr>
          <w:rFonts w:ascii="Cambria" w:hAnsi="Cambria"/>
          <w:color w:val="000000"/>
          <w:sz w:val="20"/>
          <w:szCs w:val="20"/>
          <w:vertAlign w:val="superscript"/>
          <w:lang w:val="pt-BR"/>
        </w:rPr>
        <w:footnoteReference w:id="131"/>
      </w:r>
      <w:r w:rsidRPr="00337743">
        <w:rPr>
          <w:rFonts w:ascii="Cambria" w:hAnsi="Cambria"/>
          <w:sz w:val="20"/>
          <w:szCs w:val="20"/>
          <w:lang w:val="pt-BR"/>
        </w:rPr>
        <w:t xml:space="preserve"> (o que não significa que outras provas e linhas de investigação não pudessem ser exploradas). Tanto as provas obtidas como as provas solicitadas e não produzidas eram, todas elas, as ordinárias em um processo penal e o Estado não contribuiu com argumentação nem evidência </w:t>
      </w:r>
      <w:r w:rsidR="002E27A7">
        <w:rPr>
          <w:rFonts w:ascii="Cambria" w:hAnsi="Cambria"/>
          <w:sz w:val="20"/>
          <w:szCs w:val="20"/>
          <w:lang w:val="pt-BR"/>
        </w:rPr>
        <w:t xml:space="preserve">que justificasse alguma </w:t>
      </w:r>
      <w:r w:rsidRPr="00337743">
        <w:rPr>
          <w:rFonts w:ascii="Cambria" w:hAnsi="Cambria"/>
          <w:sz w:val="20"/>
          <w:szCs w:val="20"/>
          <w:lang w:val="pt-BR"/>
        </w:rPr>
        <w:t>complexidade</w:t>
      </w:r>
      <w:r w:rsidR="002E27A7">
        <w:rPr>
          <w:rFonts w:ascii="Cambria" w:hAnsi="Cambria"/>
          <w:sz w:val="20"/>
          <w:szCs w:val="20"/>
          <w:lang w:val="pt-BR"/>
        </w:rPr>
        <w:t xml:space="preserve"> especial</w:t>
      </w:r>
      <w:r w:rsidRPr="00337743">
        <w:rPr>
          <w:rFonts w:ascii="Cambria" w:hAnsi="Cambria"/>
          <w:sz w:val="20"/>
          <w:szCs w:val="20"/>
          <w:lang w:val="pt-BR"/>
        </w:rPr>
        <w:t>. Como ficou estabelecido, as demoras não resultaram da complexidade do caso</w:t>
      </w:r>
      <w:r w:rsidR="002E27A7">
        <w:rPr>
          <w:rFonts w:ascii="Cambria" w:hAnsi="Cambria"/>
          <w:sz w:val="20"/>
          <w:szCs w:val="20"/>
          <w:lang w:val="pt-BR"/>
        </w:rPr>
        <w:t>,</w:t>
      </w:r>
      <w:r w:rsidRPr="00337743">
        <w:rPr>
          <w:rFonts w:ascii="Cambria" w:hAnsi="Cambria"/>
          <w:sz w:val="20"/>
          <w:szCs w:val="20"/>
          <w:lang w:val="pt-BR"/>
        </w:rPr>
        <w:t xml:space="preserve"> </w:t>
      </w:r>
      <w:r w:rsidR="002E27A7">
        <w:rPr>
          <w:rFonts w:ascii="Cambria" w:hAnsi="Cambria"/>
          <w:sz w:val="20"/>
          <w:szCs w:val="20"/>
          <w:lang w:val="pt-BR"/>
        </w:rPr>
        <w:t>tampouco</w:t>
      </w:r>
      <w:r w:rsidRPr="00337743">
        <w:rPr>
          <w:rFonts w:ascii="Cambria" w:hAnsi="Cambria"/>
          <w:sz w:val="20"/>
          <w:szCs w:val="20"/>
          <w:lang w:val="pt-BR"/>
        </w:rPr>
        <w:t xml:space="preserve"> do comportamento dos familiares. </w:t>
      </w:r>
    </w:p>
    <w:p w14:paraId="265FA5F0" w14:textId="77777777" w:rsidR="002F1065" w:rsidRPr="00337743" w:rsidRDefault="002F1065" w:rsidP="002F1065">
      <w:pPr>
        <w:pStyle w:val="ListParagraph"/>
        <w:rPr>
          <w:rFonts w:ascii="Cambria" w:hAnsi="Cambria" w:cs="Verdana"/>
          <w:sz w:val="20"/>
          <w:szCs w:val="20"/>
          <w:lang w:val="pt-BR"/>
        </w:rPr>
      </w:pPr>
    </w:p>
    <w:p w14:paraId="3E6DA508"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s="Verdana"/>
          <w:sz w:val="20"/>
          <w:szCs w:val="20"/>
          <w:lang w:val="pt-BR"/>
        </w:rPr>
      </w:pPr>
      <w:r w:rsidRPr="00337743">
        <w:rPr>
          <w:rFonts w:ascii="Cambria" w:hAnsi="Cambria" w:cs="Verdana"/>
          <w:sz w:val="20"/>
          <w:szCs w:val="20"/>
          <w:lang w:val="pt-BR"/>
        </w:rPr>
        <w:t xml:space="preserve">Ao contrário, </w:t>
      </w:r>
      <w:r w:rsidRPr="00337743">
        <w:rPr>
          <w:rFonts w:ascii="Cambria" w:hAnsi="Cambria"/>
          <w:color w:val="000000"/>
          <w:sz w:val="20"/>
          <w:szCs w:val="20"/>
          <w:lang w:val="pt-BR"/>
        </w:rPr>
        <w:t>a norma de imunidade parlamentar foi a principal causa da demora. A isso somam-se, para citar algu</w:t>
      </w:r>
      <w:r w:rsidR="009A785B" w:rsidRPr="00337743">
        <w:rPr>
          <w:rFonts w:ascii="Cambria" w:hAnsi="Cambria"/>
          <w:color w:val="000000"/>
          <w:sz w:val="20"/>
          <w:szCs w:val="20"/>
          <w:lang w:val="pt-BR"/>
        </w:rPr>
        <w:t>n</w:t>
      </w:r>
      <w:r w:rsidRPr="00337743">
        <w:rPr>
          <w:rFonts w:ascii="Cambria" w:hAnsi="Cambria"/>
          <w:color w:val="000000"/>
          <w:sz w:val="20"/>
          <w:szCs w:val="20"/>
          <w:lang w:val="pt-BR"/>
        </w:rPr>
        <w:t>s</w:t>
      </w:r>
      <w:r w:rsidR="009A785B" w:rsidRPr="00337743">
        <w:rPr>
          <w:rFonts w:ascii="Cambria" w:hAnsi="Cambria"/>
          <w:color w:val="000000"/>
          <w:sz w:val="20"/>
          <w:szCs w:val="20"/>
          <w:lang w:val="pt-BR"/>
        </w:rPr>
        <w:t xml:space="preserve"> fatores</w:t>
      </w:r>
      <w:r w:rsidRPr="00337743">
        <w:rPr>
          <w:rFonts w:ascii="Cambria" w:hAnsi="Cambria"/>
          <w:color w:val="000000"/>
          <w:sz w:val="20"/>
          <w:szCs w:val="20"/>
          <w:lang w:val="pt-BR"/>
        </w:rPr>
        <w:t xml:space="preserve">, a demora de um ano e quatro meses para ouvir um só testemunho (o de Joseni Cláudia Gomes de Lima, que afinal acabou sendo substituído pelo </w:t>
      </w:r>
      <w:r w:rsidR="002E27A7">
        <w:rPr>
          <w:rFonts w:ascii="Cambria" w:hAnsi="Cambria"/>
          <w:color w:val="000000"/>
          <w:sz w:val="20"/>
          <w:szCs w:val="20"/>
          <w:lang w:val="pt-BR"/>
        </w:rPr>
        <w:t xml:space="preserve">testemunho </w:t>
      </w:r>
      <w:r w:rsidRPr="00337743">
        <w:rPr>
          <w:rFonts w:ascii="Cambria" w:hAnsi="Cambria"/>
          <w:color w:val="000000"/>
          <w:sz w:val="20"/>
          <w:szCs w:val="20"/>
          <w:lang w:val="pt-BR"/>
        </w:rPr>
        <w:t>de Humberto Viana), a demora de quase seis meses além do prazo legalmente previsto para a apresentação das alegações finais, o transcurso de dois anos e quatro meses entre a primeira audiência e a decisão de pron</w:t>
      </w:r>
      <w:r w:rsidR="009A785B" w:rsidRPr="00337743">
        <w:rPr>
          <w:rFonts w:ascii="Cambria" w:hAnsi="Cambria"/>
          <w:color w:val="000000"/>
          <w:sz w:val="20"/>
          <w:szCs w:val="20"/>
          <w:lang w:val="pt-BR"/>
        </w:rPr>
        <w:t>ú</w:t>
      </w:r>
      <w:r w:rsidRPr="00337743">
        <w:rPr>
          <w:rFonts w:ascii="Cambria" w:hAnsi="Cambria"/>
          <w:color w:val="000000"/>
          <w:sz w:val="20"/>
          <w:szCs w:val="20"/>
          <w:lang w:val="pt-BR"/>
        </w:rPr>
        <w:t>ncia e o lapso de seis meses e vinte e cinco dias entre a decisão de pron</w:t>
      </w:r>
      <w:r w:rsidR="009A785B" w:rsidRPr="00337743">
        <w:rPr>
          <w:rFonts w:ascii="Cambria" w:hAnsi="Cambria"/>
          <w:color w:val="000000"/>
          <w:sz w:val="20"/>
          <w:szCs w:val="20"/>
          <w:lang w:val="pt-BR"/>
        </w:rPr>
        <w:t>ú</w:t>
      </w:r>
      <w:r w:rsidRPr="00337743">
        <w:rPr>
          <w:rFonts w:ascii="Cambria" w:hAnsi="Cambria"/>
          <w:color w:val="000000"/>
          <w:sz w:val="20"/>
          <w:szCs w:val="20"/>
          <w:lang w:val="pt-BR"/>
        </w:rPr>
        <w:t>ncia e a oferta do libelo</w:t>
      </w:r>
      <w:r w:rsidR="009A785B"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acusatório, apesar do prazo legal ser de cinco dias. </w:t>
      </w:r>
      <w:r w:rsidR="002E27A7">
        <w:rPr>
          <w:rFonts w:ascii="Cambria" w:hAnsi="Cambria"/>
          <w:color w:val="000000"/>
          <w:sz w:val="20"/>
          <w:szCs w:val="20"/>
          <w:lang w:val="pt-BR"/>
        </w:rPr>
        <w:t>Por todo o exposto, a</w:t>
      </w:r>
      <w:r w:rsidRPr="00337743">
        <w:rPr>
          <w:rFonts w:ascii="Cambria" w:hAnsi="Cambria"/>
          <w:color w:val="000000"/>
          <w:sz w:val="20"/>
          <w:szCs w:val="20"/>
          <w:lang w:val="pt-BR"/>
        </w:rPr>
        <w:t xml:space="preserve"> CIDH considera que no presente caso não é necessário analisar o quarto elemento</w:t>
      </w:r>
      <w:r w:rsidR="002E27A7">
        <w:rPr>
          <w:rFonts w:ascii="Cambria" w:hAnsi="Cambria"/>
          <w:color w:val="000000"/>
          <w:sz w:val="20"/>
          <w:szCs w:val="20"/>
          <w:lang w:val="pt-BR"/>
        </w:rPr>
        <w:t xml:space="preserve"> sobre razoabilidade do prazo</w:t>
      </w:r>
      <w:r w:rsidRPr="00337743">
        <w:rPr>
          <w:rFonts w:ascii="Cambria" w:hAnsi="Cambria"/>
          <w:color w:val="000000"/>
          <w:sz w:val="20"/>
          <w:szCs w:val="20"/>
          <w:lang w:val="pt-BR"/>
        </w:rPr>
        <w:t>.</w:t>
      </w:r>
    </w:p>
    <w:p w14:paraId="0F60EA44" w14:textId="77777777" w:rsidR="002F1065" w:rsidRPr="00337743" w:rsidRDefault="002F1065" w:rsidP="002F1065">
      <w:pPr>
        <w:pStyle w:val="ListParagraph"/>
        <w:rPr>
          <w:rFonts w:ascii="Cambria" w:hAnsi="Cambria"/>
          <w:color w:val="000000"/>
          <w:sz w:val="20"/>
          <w:szCs w:val="20"/>
          <w:lang w:val="pt-BR"/>
        </w:rPr>
      </w:pPr>
    </w:p>
    <w:p w14:paraId="1407FBB0"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s="Verdana"/>
          <w:sz w:val="20"/>
          <w:szCs w:val="20"/>
          <w:lang w:val="pt-BR"/>
        </w:rPr>
      </w:pPr>
      <w:r w:rsidRPr="00337743">
        <w:rPr>
          <w:rFonts w:ascii="Cambria" w:hAnsi="Cambria"/>
          <w:color w:val="000000"/>
          <w:sz w:val="20"/>
          <w:szCs w:val="20"/>
          <w:lang w:val="pt-BR"/>
        </w:rPr>
        <w:t xml:space="preserve">Em suma, o prazo de mais de 9 anos </w:t>
      </w:r>
      <w:r w:rsidR="002E27A7">
        <w:rPr>
          <w:rFonts w:ascii="Cambria" w:hAnsi="Cambria"/>
          <w:color w:val="000000"/>
          <w:sz w:val="20"/>
          <w:szCs w:val="20"/>
          <w:lang w:val="pt-BR"/>
        </w:rPr>
        <w:t>de</w:t>
      </w:r>
      <w:r w:rsidRPr="00337743">
        <w:rPr>
          <w:rFonts w:ascii="Cambria" w:hAnsi="Cambria"/>
          <w:color w:val="000000"/>
          <w:sz w:val="20"/>
          <w:szCs w:val="20"/>
          <w:lang w:val="pt-BR"/>
        </w:rPr>
        <w:t xml:space="preserve"> investigação e processo penal pela morte de Márcia Barbosa de Souza constituiu uma violação </w:t>
      </w:r>
      <w:r w:rsidR="009A785B" w:rsidRPr="00337743">
        <w:rPr>
          <w:rFonts w:ascii="Cambria" w:hAnsi="Cambria"/>
          <w:color w:val="000000"/>
          <w:sz w:val="20"/>
          <w:szCs w:val="20"/>
          <w:lang w:val="pt-BR"/>
        </w:rPr>
        <w:t>da</w:t>
      </w:r>
      <w:r w:rsidRPr="00337743">
        <w:rPr>
          <w:rFonts w:ascii="Cambria" w:hAnsi="Cambria"/>
          <w:color w:val="000000"/>
          <w:sz w:val="20"/>
          <w:szCs w:val="20"/>
          <w:lang w:val="pt-BR"/>
        </w:rPr>
        <w:t xml:space="preserve"> garantia de prazo razoável e uma negação de justiça nos termos dos artigos 8.1 e 25.1 da Convenção Americana </w:t>
      </w:r>
      <w:r w:rsidRPr="00337743">
        <w:rPr>
          <w:rFonts w:ascii="Cambria" w:hAnsi="Cambria"/>
          <w:sz w:val="20"/>
          <w:szCs w:val="20"/>
          <w:lang w:val="pt-BR"/>
        </w:rPr>
        <w:t xml:space="preserve">com relação ao direito à vida estabelecido no artigo 4 e o </w:t>
      </w:r>
      <w:r w:rsidRPr="00337743">
        <w:rPr>
          <w:rFonts w:ascii="Cambria" w:hAnsi="Cambria"/>
          <w:color w:val="000000"/>
          <w:sz w:val="20"/>
          <w:szCs w:val="20"/>
          <w:lang w:val="pt-BR"/>
        </w:rPr>
        <w:t xml:space="preserve">artigo 1.1 do mesmo instrumento, em detrimento da mãe e do pai da vítima. </w:t>
      </w:r>
    </w:p>
    <w:p w14:paraId="114F3F45"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sz w:val="20"/>
          <w:szCs w:val="20"/>
          <w:lang w:val="pt-BR"/>
        </w:rPr>
      </w:pPr>
    </w:p>
    <w:p w14:paraId="283AF39D" w14:textId="77777777" w:rsidR="002F1065" w:rsidRPr="00337743" w:rsidRDefault="002F1065" w:rsidP="00E358A6">
      <w:pPr>
        <w:pStyle w:val="ListParagraph"/>
        <w:numPr>
          <w:ilvl w:val="1"/>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s>
        <w:ind w:hanging="720"/>
        <w:jc w:val="both"/>
        <w:rPr>
          <w:rFonts w:ascii="Cambria" w:hAnsi="Cambria"/>
          <w:color w:val="000000"/>
          <w:sz w:val="20"/>
          <w:szCs w:val="20"/>
          <w:lang w:val="pt-BR"/>
        </w:rPr>
      </w:pPr>
      <w:r w:rsidRPr="00337743">
        <w:rPr>
          <w:rFonts w:ascii="Cambria" w:hAnsi="Cambria"/>
          <w:b/>
          <w:color w:val="000000"/>
          <w:sz w:val="20"/>
          <w:szCs w:val="20"/>
          <w:lang w:val="pt-BR"/>
        </w:rPr>
        <w:t>Quanto à devida diligência da investigação de outros possíveis responsáveis</w:t>
      </w:r>
    </w:p>
    <w:p w14:paraId="78A094B0" w14:textId="77777777" w:rsidR="002F1065" w:rsidRPr="00337743" w:rsidRDefault="002F1065" w:rsidP="002F1065">
      <w:pPr>
        <w:jc w:val="both"/>
        <w:rPr>
          <w:rFonts w:ascii="Cambria" w:hAnsi="Cambria"/>
          <w:color w:val="000000"/>
          <w:sz w:val="20"/>
          <w:szCs w:val="20"/>
          <w:lang w:val="pt-BR"/>
        </w:rPr>
      </w:pPr>
    </w:p>
    <w:p w14:paraId="43752F28"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lang w:val="pt-BR"/>
        </w:rPr>
      </w:pPr>
      <w:r w:rsidRPr="00337743">
        <w:rPr>
          <w:rFonts w:ascii="Cambria" w:hAnsi="Cambria"/>
          <w:sz w:val="20"/>
          <w:szCs w:val="20"/>
          <w:lang w:val="pt-BR"/>
        </w:rPr>
        <w:t>Além da investigação e processo penal relacionado a Aércio Pereira de Lima, a Comissão estabelec</w:t>
      </w:r>
      <w:r w:rsidR="00EB50FE" w:rsidRPr="00337743">
        <w:rPr>
          <w:rFonts w:ascii="Cambria" w:hAnsi="Cambria"/>
          <w:sz w:val="20"/>
          <w:szCs w:val="20"/>
          <w:lang w:val="pt-BR"/>
        </w:rPr>
        <w:t>eu</w:t>
      </w:r>
      <w:r w:rsidRPr="00337743">
        <w:rPr>
          <w:rFonts w:ascii="Cambria" w:hAnsi="Cambria"/>
          <w:sz w:val="20"/>
          <w:szCs w:val="20"/>
          <w:lang w:val="pt-BR"/>
        </w:rPr>
        <w:t xml:space="preserve"> que o relatório policial finalizado em 21 de julho de 1998 indiciou também quatro pessoas adicionais. No entanto, o mesmo relatório não individualizou a atividade de cada uma dessas </w:t>
      </w:r>
      <w:r w:rsidRPr="00337743">
        <w:rPr>
          <w:rFonts w:ascii="Cambria" w:hAnsi="Cambria" w:cs="Verdana"/>
          <w:sz w:val="20"/>
          <w:szCs w:val="20"/>
          <w:lang w:val="pt-BR"/>
        </w:rPr>
        <w:t>pessoas</w:t>
      </w:r>
      <w:r w:rsidRPr="00337743">
        <w:rPr>
          <w:rFonts w:ascii="Cambria" w:hAnsi="Cambria"/>
          <w:sz w:val="20"/>
          <w:szCs w:val="20"/>
          <w:lang w:val="pt-BR"/>
        </w:rPr>
        <w:t xml:space="preserve"> na realização dos crimes de homicídio qualificado e ocultação de cadáver. A investigação contra estas pessoas tramitou em procedimento separado, levando em conta que não estavam amparados pela imunidade que favoreceu o principal indiciado. </w:t>
      </w:r>
    </w:p>
    <w:p w14:paraId="019ED7E5"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jc w:val="both"/>
        <w:rPr>
          <w:rFonts w:ascii="Cambria" w:hAnsi="Cambria"/>
          <w:sz w:val="20"/>
          <w:szCs w:val="20"/>
          <w:lang w:val="pt-BR"/>
        </w:rPr>
      </w:pPr>
    </w:p>
    <w:p w14:paraId="45CD0ECF"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lang w:val="pt-BR"/>
        </w:rPr>
      </w:pPr>
      <w:r w:rsidRPr="00337743">
        <w:rPr>
          <w:rFonts w:ascii="Cambria" w:hAnsi="Cambria"/>
          <w:sz w:val="20"/>
          <w:szCs w:val="20"/>
          <w:lang w:val="pt-BR"/>
        </w:rPr>
        <w:t xml:space="preserve">Nos atos comprovados </w:t>
      </w:r>
      <w:r w:rsidR="00EB50FE" w:rsidRPr="00337743">
        <w:rPr>
          <w:rFonts w:ascii="Cambria" w:hAnsi="Cambria"/>
          <w:sz w:val="20"/>
          <w:szCs w:val="20"/>
          <w:lang w:val="pt-BR"/>
        </w:rPr>
        <w:t>verificou</w:t>
      </w:r>
      <w:r w:rsidRPr="00337743">
        <w:rPr>
          <w:rFonts w:ascii="Cambria" w:hAnsi="Cambria"/>
          <w:sz w:val="20"/>
          <w:szCs w:val="20"/>
          <w:lang w:val="pt-BR"/>
        </w:rPr>
        <w:t>-se que</w:t>
      </w:r>
      <w:r w:rsidR="00EB50FE" w:rsidRPr="00337743">
        <w:rPr>
          <w:rFonts w:ascii="Cambria" w:hAnsi="Cambria"/>
          <w:sz w:val="20"/>
          <w:szCs w:val="20"/>
          <w:lang w:val="pt-BR"/>
        </w:rPr>
        <w:t>,</w:t>
      </w:r>
      <w:r w:rsidRPr="00337743">
        <w:rPr>
          <w:rFonts w:ascii="Cambria" w:hAnsi="Cambria"/>
          <w:sz w:val="20"/>
          <w:szCs w:val="20"/>
          <w:lang w:val="pt-BR"/>
        </w:rPr>
        <w:t xml:space="preserve"> </w:t>
      </w:r>
      <w:r w:rsidR="00EB50FE" w:rsidRPr="00337743">
        <w:rPr>
          <w:rFonts w:ascii="Cambria" w:hAnsi="Cambria"/>
          <w:sz w:val="20"/>
          <w:szCs w:val="20"/>
          <w:lang w:val="pt-BR"/>
        </w:rPr>
        <w:t xml:space="preserve">embora tenha sido </w:t>
      </w:r>
      <w:r w:rsidRPr="00337743">
        <w:rPr>
          <w:rFonts w:ascii="Cambria" w:hAnsi="Cambria"/>
          <w:sz w:val="20"/>
          <w:szCs w:val="20"/>
          <w:lang w:val="pt-BR"/>
        </w:rPr>
        <w:t>ordena</w:t>
      </w:r>
      <w:r w:rsidR="00EB50FE" w:rsidRPr="00337743">
        <w:rPr>
          <w:rFonts w:ascii="Cambria" w:hAnsi="Cambria"/>
          <w:sz w:val="20"/>
          <w:szCs w:val="20"/>
          <w:lang w:val="pt-BR"/>
        </w:rPr>
        <w:t>da</w:t>
      </w:r>
      <w:r w:rsidRPr="00337743">
        <w:rPr>
          <w:rFonts w:ascii="Cambria" w:hAnsi="Cambria"/>
          <w:sz w:val="20"/>
          <w:szCs w:val="20"/>
          <w:lang w:val="pt-BR"/>
        </w:rPr>
        <w:t xml:space="preserve"> uma série de diligências que foram consideradas fundamentais para o esclarecimento de todas as responsabilidades, várias delas simplesmente não foram praticadas, sem que exista uma justificação a esse respeito. Apesar desta omissão, vários anos depois o Ministério Público decidiu arquivar a investigação por falta de provas. A Comissão considera que esta atuação, sem sanar as deficiências probatórias e esgotar todas as linhas de investigação, </w:t>
      </w:r>
      <w:r w:rsidR="00EB50FE" w:rsidRPr="00337743">
        <w:rPr>
          <w:rFonts w:ascii="Cambria" w:hAnsi="Cambria"/>
          <w:sz w:val="20"/>
          <w:szCs w:val="20"/>
          <w:lang w:val="pt-BR"/>
        </w:rPr>
        <w:t>é</w:t>
      </w:r>
      <w:r w:rsidRPr="00337743">
        <w:rPr>
          <w:rFonts w:ascii="Cambria" w:hAnsi="Cambria"/>
          <w:sz w:val="20"/>
          <w:szCs w:val="20"/>
          <w:lang w:val="pt-BR"/>
        </w:rPr>
        <w:t xml:space="preserve"> incompatível com o dever de investigar com a devida diligência, em violação dos artigos 8.1 e 25.1 da Convenção Americana com relação ao direito à vida estabelecido no artigo 4 e o artigo 1.1 do mesmo instrumento em detrimento do pai e da mãe de Márcia Barbosa de Souza. </w:t>
      </w:r>
    </w:p>
    <w:p w14:paraId="66BDF1E4" w14:textId="77777777" w:rsidR="002F1065" w:rsidRPr="00337743" w:rsidRDefault="002F1065" w:rsidP="002F106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pt-BR"/>
        </w:rPr>
      </w:pPr>
    </w:p>
    <w:p w14:paraId="1FF5A334" w14:textId="77777777" w:rsidR="002F1065" w:rsidRDefault="002F1065" w:rsidP="00EA188E">
      <w:pPr>
        <w:pStyle w:val="Heading2"/>
        <w:numPr>
          <w:ilvl w:val="0"/>
          <w:numId w:val="63"/>
        </w:numPr>
        <w:ind w:left="1440" w:hanging="720"/>
        <w:rPr>
          <w:rFonts w:ascii="Cambria" w:hAnsi="Cambria"/>
          <w:i w:val="0"/>
          <w:sz w:val="20"/>
          <w:szCs w:val="20"/>
          <w:lang w:val="pt-BR"/>
        </w:rPr>
      </w:pPr>
      <w:bookmarkStart w:id="24" w:name="_Toc5890581"/>
      <w:r w:rsidRPr="00337743">
        <w:rPr>
          <w:rFonts w:ascii="Cambria" w:hAnsi="Cambria"/>
          <w:i w:val="0"/>
          <w:sz w:val="20"/>
          <w:szCs w:val="20"/>
          <w:lang w:val="pt-BR"/>
        </w:rPr>
        <w:t xml:space="preserve">Direito de viver uma vida livre de violência e </w:t>
      </w:r>
      <w:r w:rsidR="0095287C">
        <w:rPr>
          <w:rFonts w:ascii="Cambria" w:hAnsi="Cambria"/>
          <w:i w:val="0"/>
          <w:sz w:val="20"/>
          <w:szCs w:val="20"/>
          <w:lang w:val="pt-BR"/>
        </w:rPr>
        <w:t xml:space="preserve">as </w:t>
      </w:r>
      <w:r w:rsidRPr="00337743">
        <w:rPr>
          <w:rFonts w:ascii="Cambria" w:hAnsi="Cambria"/>
          <w:i w:val="0"/>
          <w:sz w:val="20"/>
          <w:szCs w:val="20"/>
          <w:lang w:val="pt-BR"/>
        </w:rPr>
        <w:t xml:space="preserve">obrigações </w:t>
      </w:r>
      <w:r w:rsidR="0095287C">
        <w:rPr>
          <w:rFonts w:ascii="Cambria" w:hAnsi="Cambria"/>
          <w:i w:val="0"/>
          <w:sz w:val="20"/>
          <w:szCs w:val="20"/>
          <w:lang w:val="pt-BR"/>
        </w:rPr>
        <w:t>respectivas</w:t>
      </w:r>
      <w:r w:rsidRPr="00337743">
        <w:rPr>
          <w:rFonts w:ascii="Cambria" w:hAnsi="Cambria"/>
          <w:i w:val="0"/>
          <w:sz w:val="20"/>
          <w:szCs w:val="20"/>
          <w:lang w:val="pt-BR"/>
        </w:rPr>
        <w:t xml:space="preserve"> do Estado (artigo 7 da Convenção de Belém do Pará)</w:t>
      </w:r>
      <w:r w:rsidRPr="00337743">
        <w:rPr>
          <w:rStyle w:val="FootnoteReference"/>
          <w:rFonts w:ascii="Cambria" w:hAnsi="Cambria"/>
          <w:i w:val="0"/>
          <w:sz w:val="20"/>
          <w:szCs w:val="20"/>
          <w:lang w:val="pt-BR"/>
        </w:rPr>
        <w:footnoteReference w:id="132"/>
      </w:r>
      <w:bookmarkEnd w:id="24"/>
    </w:p>
    <w:p w14:paraId="2D82C088" w14:textId="77777777" w:rsidR="00EA188E" w:rsidRPr="00EA188E" w:rsidRDefault="00EA188E" w:rsidP="00EA188E">
      <w:pPr>
        <w:rPr>
          <w:lang w:val="pt-BR"/>
        </w:rPr>
      </w:pPr>
    </w:p>
    <w:p w14:paraId="0C20F58E"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Times New Roman" w:hAnsi="Cambria"/>
          <w:color w:val="000000"/>
          <w:sz w:val="20"/>
          <w:szCs w:val="20"/>
          <w:lang w:val="pt-BR"/>
        </w:rPr>
      </w:pPr>
      <w:r w:rsidRPr="00337743">
        <w:rPr>
          <w:rFonts w:ascii="Cambria" w:eastAsia="Times New Roman" w:hAnsi="Cambria"/>
          <w:color w:val="000000"/>
          <w:sz w:val="20"/>
          <w:szCs w:val="20"/>
          <w:lang w:val="pt-BR"/>
        </w:rPr>
        <w:t xml:space="preserve">As conclusões da CIDH no caso </w:t>
      </w:r>
      <w:r w:rsidRPr="00337743">
        <w:rPr>
          <w:rFonts w:ascii="Cambria" w:eastAsia="Times New Roman" w:hAnsi="Cambria"/>
          <w:i/>
          <w:color w:val="000000"/>
          <w:sz w:val="20"/>
          <w:szCs w:val="20"/>
          <w:lang w:val="pt-BR"/>
        </w:rPr>
        <w:t xml:space="preserve">Maria da Penha vs. Brasil </w:t>
      </w:r>
      <w:r w:rsidRPr="00337743">
        <w:rPr>
          <w:rFonts w:ascii="Cambria" w:eastAsia="Times New Roman" w:hAnsi="Cambria"/>
          <w:color w:val="000000"/>
          <w:sz w:val="20"/>
          <w:szCs w:val="20"/>
          <w:lang w:val="pt-BR"/>
        </w:rPr>
        <w:t xml:space="preserve">quanto ao não cumprimento da Convenção de Belém do Pará </w:t>
      </w:r>
      <w:r w:rsidR="00EB50FE" w:rsidRPr="00337743">
        <w:rPr>
          <w:rFonts w:ascii="Cambria" w:eastAsia="Times New Roman" w:hAnsi="Cambria"/>
          <w:color w:val="000000"/>
          <w:sz w:val="20"/>
          <w:szCs w:val="20"/>
          <w:lang w:val="pt-BR"/>
        </w:rPr>
        <w:t>são</w:t>
      </w:r>
      <w:r w:rsidRPr="00337743">
        <w:rPr>
          <w:rFonts w:ascii="Cambria" w:eastAsia="Times New Roman" w:hAnsi="Cambria"/>
          <w:color w:val="000000"/>
          <w:sz w:val="20"/>
          <w:szCs w:val="20"/>
          <w:lang w:val="pt-BR"/>
        </w:rPr>
        <w:t xml:space="preserve"> plenamente aplicáveis ao presente caso. Assim, a Comissão considera que a impunidade </w:t>
      </w:r>
      <w:r w:rsidR="00EB50FE" w:rsidRPr="00337743">
        <w:rPr>
          <w:rFonts w:ascii="Cambria" w:eastAsia="Times New Roman" w:hAnsi="Cambria"/>
          <w:color w:val="000000"/>
          <w:sz w:val="20"/>
          <w:szCs w:val="20"/>
          <w:lang w:val="pt-BR"/>
        </w:rPr>
        <w:t xml:space="preserve">de </w:t>
      </w:r>
      <w:r w:rsidRPr="00337743">
        <w:rPr>
          <w:rFonts w:ascii="Cambria" w:eastAsia="Times New Roman" w:hAnsi="Cambria"/>
          <w:color w:val="000000"/>
          <w:sz w:val="20"/>
          <w:szCs w:val="20"/>
          <w:lang w:val="pt-BR"/>
        </w:rPr>
        <w:t xml:space="preserve">que gozou o agressor de Márcia Barbosa de Souza é contrária à obrigação internacional voluntariamente adquirida por parte do Estado ao ratificar a Convenção de Belém do Pará.  A impunidade já descrita e analisada “constitui um ato de tolerância por parte do Estado” da violência que Márcia Barbosa de Souza sofreu. Isto </w:t>
      </w:r>
      <w:r w:rsidR="00EB50FE" w:rsidRPr="00337743">
        <w:rPr>
          <w:rFonts w:ascii="Cambria" w:eastAsia="Times New Roman" w:hAnsi="Cambria"/>
          <w:color w:val="000000"/>
          <w:sz w:val="20"/>
          <w:szCs w:val="20"/>
          <w:lang w:val="pt-BR"/>
        </w:rPr>
        <w:t>é</w:t>
      </w:r>
      <w:r w:rsidRPr="00337743">
        <w:rPr>
          <w:rFonts w:ascii="Cambria" w:eastAsia="Times New Roman" w:hAnsi="Cambria"/>
          <w:color w:val="000000"/>
          <w:sz w:val="20"/>
          <w:szCs w:val="20"/>
          <w:lang w:val="pt-BR"/>
        </w:rPr>
        <w:t xml:space="preserve"> ainda mais grave levando em conta o já indicado na seção de contexto</w:t>
      </w:r>
      <w:r w:rsidR="0095287C">
        <w:rPr>
          <w:rFonts w:ascii="Cambria" w:eastAsia="Times New Roman" w:hAnsi="Cambria"/>
          <w:color w:val="000000"/>
          <w:sz w:val="20"/>
          <w:szCs w:val="20"/>
          <w:lang w:val="pt-BR"/>
        </w:rPr>
        <w:t>:</w:t>
      </w:r>
      <w:r w:rsidRPr="00337743">
        <w:rPr>
          <w:rFonts w:ascii="Cambria" w:eastAsia="Times New Roman" w:hAnsi="Cambria"/>
          <w:color w:val="000000"/>
          <w:sz w:val="20"/>
          <w:szCs w:val="20"/>
          <w:lang w:val="pt-BR"/>
        </w:rPr>
        <w:t xml:space="preserve"> “essa tolerância pelos órgãos do Estado não é exclusiva deste caso, mas uma pauta sistemática.  É uma tolerância de todo o sistema, que não faz senão perpetuar as raízes e fatores psicológicos, sociais e históricos que mantêm e alimentam a violência contra a mulher”</w:t>
      </w:r>
      <w:r w:rsidRPr="00337743">
        <w:rPr>
          <w:rStyle w:val="FootnoteReference"/>
          <w:rFonts w:ascii="Cambria" w:eastAsia="Times New Roman" w:hAnsi="Cambria"/>
          <w:sz w:val="20"/>
          <w:szCs w:val="20"/>
          <w:lang w:val="pt-BR"/>
        </w:rPr>
        <w:footnoteReference w:id="133"/>
      </w:r>
      <w:r w:rsidRPr="00337743">
        <w:rPr>
          <w:rFonts w:ascii="Cambria" w:eastAsia="Times New Roman" w:hAnsi="Cambria"/>
          <w:color w:val="000000"/>
          <w:sz w:val="20"/>
          <w:szCs w:val="20"/>
          <w:lang w:val="pt-BR"/>
        </w:rPr>
        <w:t>.</w:t>
      </w:r>
    </w:p>
    <w:p w14:paraId="6778FB63" w14:textId="77777777" w:rsidR="002F1065" w:rsidRPr="00337743" w:rsidRDefault="002F1065" w:rsidP="002F1065">
      <w:pPr>
        <w:spacing w:line="240" w:lineRule="atLeast"/>
        <w:jc w:val="both"/>
        <w:rPr>
          <w:rFonts w:ascii="Cambria" w:eastAsia="Times New Roman" w:hAnsi="Cambria"/>
          <w:color w:val="000000"/>
          <w:sz w:val="20"/>
          <w:szCs w:val="20"/>
          <w:lang w:val="pt-BR"/>
        </w:rPr>
      </w:pPr>
    </w:p>
    <w:p w14:paraId="2750E4A6"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Times New Roman" w:hAnsi="Cambria"/>
          <w:color w:val="000000"/>
          <w:sz w:val="20"/>
          <w:szCs w:val="20"/>
          <w:lang w:val="pt-BR"/>
        </w:rPr>
      </w:pPr>
      <w:r w:rsidRPr="00337743">
        <w:rPr>
          <w:rFonts w:ascii="Cambria" w:eastAsia="Times New Roman" w:hAnsi="Cambria"/>
          <w:color w:val="000000"/>
          <w:sz w:val="20"/>
          <w:szCs w:val="20"/>
          <w:lang w:val="pt-BR"/>
        </w:rPr>
        <w:t xml:space="preserve">Da mesma forma que no caso </w:t>
      </w:r>
      <w:r w:rsidRPr="00337743">
        <w:rPr>
          <w:rFonts w:ascii="Cambria" w:eastAsia="Times New Roman" w:hAnsi="Cambria"/>
          <w:i/>
          <w:color w:val="000000"/>
          <w:sz w:val="20"/>
          <w:szCs w:val="20"/>
          <w:lang w:val="pt-BR"/>
        </w:rPr>
        <w:t xml:space="preserve">Maria da Penha vs. Brasil, </w:t>
      </w:r>
      <w:r w:rsidRPr="00337743">
        <w:rPr>
          <w:rFonts w:ascii="Cambria" w:eastAsia="Times New Roman" w:hAnsi="Cambria"/>
          <w:color w:val="000000"/>
          <w:sz w:val="20"/>
          <w:szCs w:val="20"/>
          <w:lang w:val="pt-BR"/>
        </w:rPr>
        <w:t xml:space="preserve">dado que a morte de Márcia Barbosa de Souza “faz parte de um padrão geral de negligência e falta de eficácia do Estado para processar e condenar os agressores, considera a Comissão que </w:t>
      </w:r>
      <w:r w:rsidR="00820C60" w:rsidRPr="00337743">
        <w:rPr>
          <w:rFonts w:ascii="Cambria" w:eastAsia="Times New Roman" w:hAnsi="Cambria"/>
          <w:color w:val="000000"/>
          <w:sz w:val="20"/>
          <w:szCs w:val="20"/>
          <w:lang w:val="pt-BR"/>
        </w:rPr>
        <w:t xml:space="preserve">não </w:t>
      </w:r>
      <w:r w:rsidRPr="00337743">
        <w:rPr>
          <w:rFonts w:ascii="Cambria" w:eastAsia="Times New Roman" w:hAnsi="Cambria"/>
          <w:color w:val="000000"/>
          <w:sz w:val="20"/>
          <w:szCs w:val="20"/>
          <w:lang w:val="pt-BR"/>
        </w:rPr>
        <w:t xml:space="preserve">se </w:t>
      </w:r>
      <w:r w:rsidR="00820C60" w:rsidRPr="00337743">
        <w:rPr>
          <w:rFonts w:ascii="Cambria" w:eastAsia="Times New Roman" w:hAnsi="Cambria"/>
          <w:color w:val="000000"/>
          <w:sz w:val="20"/>
          <w:szCs w:val="20"/>
          <w:lang w:val="pt-BR"/>
        </w:rPr>
        <w:t>cumpre</w:t>
      </w:r>
      <w:r w:rsidRPr="00337743">
        <w:rPr>
          <w:rFonts w:ascii="Cambria" w:eastAsia="Times New Roman" w:hAnsi="Cambria"/>
          <w:color w:val="000000"/>
          <w:sz w:val="20"/>
          <w:szCs w:val="20"/>
          <w:lang w:val="pt-BR"/>
        </w:rPr>
        <w:t xml:space="preserve"> </w:t>
      </w:r>
      <w:r w:rsidR="00820C60" w:rsidRPr="00337743">
        <w:rPr>
          <w:rFonts w:ascii="Cambria" w:eastAsia="Times New Roman" w:hAnsi="Cambria"/>
          <w:color w:val="000000"/>
          <w:sz w:val="20"/>
          <w:szCs w:val="20"/>
          <w:lang w:val="pt-BR"/>
        </w:rPr>
        <w:t xml:space="preserve">não só </w:t>
      </w:r>
      <w:r w:rsidRPr="00337743">
        <w:rPr>
          <w:rFonts w:ascii="Cambria" w:eastAsia="Times New Roman" w:hAnsi="Cambria"/>
          <w:color w:val="000000"/>
          <w:sz w:val="20"/>
          <w:szCs w:val="20"/>
          <w:lang w:val="pt-BR"/>
        </w:rPr>
        <w:t>a obrigação de processar e condenar, mas também a de prevenir estas práticas degradantes”</w:t>
      </w:r>
      <w:r w:rsidRPr="00337743">
        <w:rPr>
          <w:rStyle w:val="FootnoteReference"/>
          <w:rFonts w:ascii="Cambria" w:eastAsia="Times New Roman" w:hAnsi="Cambria"/>
          <w:sz w:val="20"/>
          <w:szCs w:val="20"/>
          <w:lang w:val="pt-BR"/>
        </w:rPr>
        <w:footnoteReference w:id="134"/>
      </w:r>
      <w:r w:rsidRPr="00337743">
        <w:rPr>
          <w:rFonts w:ascii="Cambria" w:eastAsia="Times New Roman" w:hAnsi="Cambria"/>
          <w:color w:val="000000"/>
          <w:sz w:val="20"/>
          <w:szCs w:val="20"/>
          <w:lang w:val="pt-BR"/>
        </w:rPr>
        <w:t xml:space="preserve">.  Essa ineficácia judicial geral e discriminatória cria o ambiente que facilita a violência contra a mulher, ao não existir evidências socialmente percebidas da vontade e eficácia do Estado como representante da sociedade para </w:t>
      </w:r>
      <w:r w:rsidR="00820C60" w:rsidRPr="00337743">
        <w:rPr>
          <w:rFonts w:ascii="Cambria" w:eastAsia="Times New Roman" w:hAnsi="Cambria"/>
          <w:color w:val="000000"/>
          <w:sz w:val="20"/>
          <w:szCs w:val="20"/>
          <w:lang w:val="pt-BR"/>
        </w:rPr>
        <w:t>punir</w:t>
      </w:r>
      <w:r w:rsidRPr="00337743">
        <w:rPr>
          <w:rFonts w:ascii="Cambria" w:eastAsia="Times New Roman" w:hAnsi="Cambria"/>
          <w:color w:val="000000"/>
          <w:sz w:val="20"/>
          <w:szCs w:val="20"/>
          <w:lang w:val="pt-BR"/>
        </w:rPr>
        <w:t xml:space="preserve"> esses atos”</w:t>
      </w:r>
      <w:r w:rsidRPr="00337743">
        <w:rPr>
          <w:rStyle w:val="FootnoteReference"/>
          <w:rFonts w:ascii="Cambria" w:eastAsia="Times New Roman" w:hAnsi="Cambria"/>
          <w:sz w:val="20"/>
          <w:szCs w:val="20"/>
          <w:lang w:val="pt-BR"/>
        </w:rPr>
        <w:footnoteReference w:id="135"/>
      </w:r>
      <w:r w:rsidRPr="00337743">
        <w:rPr>
          <w:rFonts w:ascii="Cambria" w:eastAsia="Times New Roman" w:hAnsi="Cambria"/>
          <w:color w:val="000000"/>
          <w:sz w:val="20"/>
          <w:szCs w:val="20"/>
          <w:lang w:val="pt-BR"/>
        </w:rPr>
        <w:t>. Nas palavras da CIDH no referido caso a ineficácia judicial, a impunidade e a impossibilidade de obter uma reparação estabelece</w:t>
      </w:r>
      <w:r w:rsidR="00820C60" w:rsidRPr="00337743">
        <w:rPr>
          <w:rFonts w:ascii="Cambria" w:eastAsia="Times New Roman" w:hAnsi="Cambria"/>
          <w:color w:val="000000"/>
          <w:sz w:val="20"/>
          <w:szCs w:val="20"/>
          <w:lang w:val="pt-BR"/>
        </w:rPr>
        <w:t>m</w:t>
      </w:r>
      <w:r w:rsidRPr="00337743">
        <w:rPr>
          <w:rFonts w:ascii="Cambria" w:eastAsia="Times New Roman" w:hAnsi="Cambria"/>
          <w:color w:val="000000"/>
          <w:sz w:val="20"/>
          <w:szCs w:val="20"/>
          <w:lang w:val="pt-BR"/>
        </w:rPr>
        <w:t xml:space="preserve"> uma mostra da falta de compromisso para reagir adequadamente frente à violência contra a mulher</w:t>
      </w:r>
      <w:r w:rsidRPr="00337743">
        <w:rPr>
          <w:rStyle w:val="FootnoteReference"/>
          <w:rFonts w:ascii="Cambria" w:eastAsia="Times New Roman" w:hAnsi="Cambria"/>
          <w:sz w:val="20"/>
          <w:szCs w:val="20"/>
          <w:lang w:val="pt-BR"/>
        </w:rPr>
        <w:footnoteReference w:id="136"/>
      </w:r>
      <w:r w:rsidRPr="00337743">
        <w:rPr>
          <w:rFonts w:ascii="Cambria" w:eastAsia="Times New Roman" w:hAnsi="Cambria"/>
          <w:color w:val="000000"/>
          <w:sz w:val="20"/>
          <w:szCs w:val="20"/>
          <w:lang w:val="pt-BR"/>
        </w:rPr>
        <w:t>. </w:t>
      </w:r>
    </w:p>
    <w:p w14:paraId="65608C6B" w14:textId="77777777" w:rsidR="002F1065" w:rsidRPr="00337743" w:rsidRDefault="002F1065" w:rsidP="002F1065">
      <w:pPr>
        <w:spacing w:line="240" w:lineRule="atLeast"/>
        <w:jc w:val="both"/>
        <w:rPr>
          <w:rFonts w:ascii="Cambria" w:eastAsia="Times New Roman" w:hAnsi="Cambria"/>
          <w:color w:val="000000"/>
          <w:sz w:val="20"/>
          <w:szCs w:val="20"/>
          <w:lang w:val="pt-BR"/>
        </w:rPr>
      </w:pPr>
    </w:p>
    <w:p w14:paraId="43F7D616" w14:textId="77777777" w:rsidR="002F1065" w:rsidRPr="00EA188E" w:rsidRDefault="007B2458" w:rsidP="00EA188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Times New Roman" w:hAnsi="Cambria"/>
          <w:color w:val="000000"/>
          <w:sz w:val="20"/>
          <w:szCs w:val="20"/>
          <w:lang w:val="pt-BR"/>
        </w:rPr>
      </w:pPr>
      <w:r>
        <w:rPr>
          <w:rFonts w:ascii="Cambria" w:eastAsia="Times New Roman" w:hAnsi="Cambria"/>
          <w:color w:val="000000"/>
          <w:sz w:val="20"/>
          <w:szCs w:val="20"/>
          <w:lang w:val="pt-BR"/>
        </w:rPr>
        <w:t xml:space="preserve">A Comissão estabeleceu que </w:t>
      </w:r>
      <w:r w:rsidR="00820C60" w:rsidRPr="00337743">
        <w:rPr>
          <w:rFonts w:ascii="Cambria" w:eastAsia="Times New Roman" w:hAnsi="Cambria"/>
          <w:color w:val="000000"/>
          <w:sz w:val="20"/>
          <w:szCs w:val="20"/>
          <w:lang w:val="pt-BR"/>
        </w:rPr>
        <w:t>até</w:t>
      </w:r>
      <w:r w:rsidR="002F1065" w:rsidRPr="00337743">
        <w:rPr>
          <w:rFonts w:ascii="Cambria" w:eastAsia="Times New Roman" w:hAnsi="Cambria"/>
          <w:color w:val="000000"/>
          <w:sz w:val="20"/>
          <w:szCs w:val="20"/>
          <w:lang w:val="pt-BR"/>
        </w:rPr>
        <w:t xml:space="preserve"> 2001</w:t>
      </w:r>
      <w:r w:rsidR="00820C60" w:rsidRPr="00337743">
        <w:rPr>
          <w:rFonts w:ascii="Cambria" w:eastAsia="Times New Roman" w:hAnsi="Cambria"/>
          <w:color w:val="000000"/>
          <w:sz w:val="20"/>
          <w:szCs w:val="20"/>
          <w:lang w:val="pt-BR"/>
        </w:rPr>
        <w:t xml:space="preserve"> </w:t>
      </w:r>
      <w:r w:rsidR="002F1065" w:rsidRPr="00337743">
        <w:rPr>
          <w:rFonts w:ascii="Cambria" w:eastAsia="Times New Roman" w:hAnsi="Cambria"/>
          <w:color w:val="000000"/>
          <w:sz w:val="20"/>
          <w:szCs w:val="20"/>
          <w:lang w:val="pt-BR"/>
        </w:rPr>
        <w:t xml:space="preserve">o Estado não havia cumprido suas obrigações </w:t>
      </w:r>
      <w:r w:rsidR="00820C60" w:rsidRPr="00337743">
        <w:rPr>
          <w:rFonts w:ascii="Cambria" w:eastAsia="Times New Roman" w:hAnsi="Cambria"/>
          <w:color w:val="000000"/>
          <w:sz w:val="20"/>
          <w:szCs w:val="20"/>
          <w:lang w:val="pt-BR"/>
        </w:rPr>
        <w:t xml:space="preserve">sob </w:t>
      </w:r>
      <w:r w:rsidR="002F1065" w:rsidRPr="00337743">
        <w:rPr>
          <w:rFonts w:ascii="Cambria" w:eastAsia="Times New Roman" w:hAnsi="Cambria"/>
          <w:color w:val="000000"/>
          <w:sz w:val="20"/>
          <w:szCs w:val="20"/>
          <w:lang w:val="pt-BR"/>
        </w:rPr>
        <w:t>o artigo 7 da Convenção de Belém do Pará</w:t>
      </w:r>
      <w:r w:rsidR="002F1065" w:rsidRPr="00337743">
        <w:rPr>
          <w:rStyle w:val="FootnoteReference"/>
          <w:rFonts w:ascii="Cambria" w:eastAsia="Times New Roman" w:hAnsi="Cambria"/>
          <w:sz w:val="20"/>
          <w:szCs w:val="20"/>
          <w:lang w:val="pt-BR"/>
        </w:rPr>
        <w:footnoteReference w:id="137"/>
      </w:r>
      <w:r w:rsidR="002F1065" w:rsidRPr="00337743">
        <w:rPr>
          <w:rFonts w:ascii="Cambria" w:eastAsia="Times New Roman" w:hAnsi="Cambria"/>
          <w:color w:val="000000"/>
          <w:sz w:val="20"/>
          <w:szCs w:val="20"/>
          <w:lang w:val="pt-BR"/>
        </w:rPr>
        <w:t xml:space="preserve"> com relação ao direito de viver uma vida livre de violência consagrado nesse instrumento internacional, </w:t>
      </w:r>
      <w:r w:rsidR="0095287C">
        <w:rPr>
          <w:rFonts w:ascii="Cambria" w:eastAsia="Times New Roman" w:hAnsi="Cambria"/>
          <w:color w:val="000000"/>
          <w:sz w:val="20"/>
          <w:szCs w:val="20"/>
          <w:lang w:val="pt-BR"/>
        </w:rPr>
        <w:t xml:space="preserve">o </w:t>
      </w:r>
      <w:r w:rsidR="002F1065" w:rsidRPr="00337743">
        <w:rPr>
          <w:rFonts w:ascii="Cambria" w:eastAsia="Times New Roman" w:hAnsi="Cambria"/>
          <w:color w:val="000000"/>
          <w:sz w:val="20"/>
          <w:szCs w:val="20"/>
          <w:lang w:val="pt-BR"/>
        </w:rPr>
        <w:t>que torna aplicáve</w:t>
      </w:r>
      <w:r w:rsidR="00820C60" w:rsidRPr="00337743">
        <w:rPr>
          <w:rFonts w:ascii="Cambria" w:eastAsia="Times New Roman" w:hAnsi="Cambria"/>
          <w:color w:val="000000"/>
          <w:sz w:val="20"/>
          <w:szCs w:val="20"/>
          <w:lang w:val="pt-BR"/>
        </w:rPr>
        <w:t>is</w:t>
      </w:r>
      <w:r w:rsidR="002F1065" w:rsidRPr="00337743">
        <w:rPr>
          <w:rFonts w:ascii="Cambria" w:eastAsia="Times New Roman" w:hAnsi="Cambria"/>
          <w:color w:val="000000"/>
          <w:sz w:val="20"/>
          <w:szCs w:val="20"/>
          <w:lang w:val="pt-BR"/>
        </w:rPr>
        <w:t xml:space="preserve"> tais conclusões ao presente caso. </w:t>
      </w:r>
    </w:p>
    <w:p w14:paraId="15DCF571" w14:textId="77777777" w:rsidR="002F1065" w:rsidRPr="00337743" w:rsidRDefault="002F1065" w:rsidP="00EA188E">
      <w:pPr>
        <w:pStyle w:val="Heading2"/>
        <w:numPr>
          <w:ilvl w:val="0"/>
          <w:numId w:val="63"/>
        </w:numPr>
        <w:ind w:left="1440" w:hanging="720"/>
        <w:rPr>
          <w:rFonts w:ascii="Cambria" w:hAnsi="Cambria"/>
          <w:i w:val="0"/>
          <w:sz w:val="20"/>
          <w:szCs w:val="20"/>
          <w:lang w:val="pt-BR"/>
        </w:rPr>
      </w:pPr>
      <w:bookmarkStart w:id="25" w:name="_Toc5890582"/>
      <w:r w:rsidRPr="00337743">
        <w:rPr>
          <w:rFonts w:ascii="Cambria" w:hAnsi="Cambria"/>
          <w:i w:val="0"/>
          <w:sz w:val="20"/>
          <w:szCs w:val="20"/>
          <w:lang w:val="pt-BR"/>
        </w:rPr>
        <w:t>Direito à integridade psíquica e moral (artigo 5.1</w:t>
      </w:r>
      <w:r w:rsidRPr="00337743">
        <w:rPr>
          <w:rStyle w:val="FootnoteReference"/>
          <w:rFonts w:ascii="Cambria" w:hAnsi="Cambria" w:cs="Tahoma"/>
          <w:i w:val="0"/>
          <w:color w:val="000000"/>
          <w:sz w:val="20"/>
          <w:szCs w:val="20"/>
          <w:lang w:val="pt-BR"/>
        </w:rPr>
        <w:footnoteReference w:id="138"/>
      </w:r>
      <w:r w:rsidRPr="00337743">
        <w:rPr>
          <w:rFonts w:ascii="Cambria" w:hAnsi="Cambria"/>
          <w:i w:val="0"/>
          <w:sz w:val="20"/>
          <w:szCs w:val="20"/>
          <w:lang w:val="pt-BR"/>
        </w:rPr>
        <w:t xml:space="preserve"> da Convenção Americana)</w:t>
      </w:r>
      <w:bookmarkEnd w:id="25"/>
      <w:r w:rsidRPr="00337743">
        <w:rPr>
          <w:rFonts w:ascii="Cambria" w:hAnsi="Cambria"/>
          <w:i w:val="0"/>
          <w:sz w:val="20"/>
          <w:szCs w:val="20"/>
          <w:lang w:val="pt-BR"/>
        </w:rPr>
        <w:t xml:space="preserve"> </w:t>
      </w:r>
    </w:p>
    <w:p w14:paraId="58C0B5A8" w14:textId="77777777" w:rsidR="002F1065" w:rsidRPr="00337743" w:rsidRDefault="002F1065" w:rsidP="002F1065">
      <w:pPr>
        <w:pStyle w:val="ListParagraph"/>
        <w:rPr>
          <w:rFonts w:ascii="Cambria" w:hAnsi="Cambria"/>
          <w:color w:val="000000"/>
          <w:sz w:val="20"/>
          <w:szCs w:val="20"/>
          <w:lang w:val="pt-BR"/>
        </w:rPr>
      </w:pPr>
    </w:p>
    <w:p w14:paraId="7405E46A"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lang w:val="pt-BR"/>
        </w:rPr>
      </w:pPr>
      <w:r w:rsidRPr="00337743">
        <w:rPr>
          <w:rFonts w:ascii="Cambria" w:hAnsi="Cambria"/>
          <w:sz w:val="20"/>
          <w:szCs w:val="20"/>
          <w:lang w:val="pt-BR"/>
        </w:rPr>
        <w:t>O artigo 5.1 da Convenção Americana estabelece</w:t>
      </w:r>
      <w:r w:rsidR="00820C60" w:rsidRPr="00337743">
        <w:rPr>
          <w:rFonts w:ascii="Cambria" w:hAnsi="Cambria"/>
          <w:sz w:val="20"/>
          <w:szCs w:val="20"/>
          <w:lang w:val="pt-BR"/>
        </w:rPr>
        <w:t>:</w:t>
      </w:r>
      <w:r w:rsidRPr="00337743">
        <w:rPr>
          <w:rFonts w:ascii="Cambria" w:hAnsi="Cambria"/>
          <w:sz w:val="20"/>
          <w:szCs w:val="20"/>
          <w:lang w:val="pt-BR"/>
        </w:rPr>
        <w:t xml:space="preserve"> “toda pessoa tem direito a que se respeite sua integridade física, psíquica e moral”. Com relação aos familiares de vítimas de violações graves de direitos humanos, a Corte Interamericana indicou que em determinados casos é possível presumir a v</w:t>
      </w:r>
      <w:r w:rsidR="00820C60" w:rsidRPr="00337743">
        <w:rPr>
          <w:rFonts w:ascii="Cambria" w:hAnsi="Cambria"/>
          <w:sz w:val="20"/>
          <w:szCs w:val="20"/>
          <w:lang w:val="pt-BR"/>
        </w:rPr>
        <w:t>iol</w:t>
      </w:r>
      <w:r w:rsidRPr="00337743">
        <w:rPr>
          <w:rFonts w:ascii="Cambria" w:hAnsi="Cambria"/>
          <w:sz w:val="20"/>
          <w:szCs w:val="20"/>
          <w:lang w:val="pt-BR"/>
        </w:rPr>
        <w:t xml:space="preserve">ação </w:t>
      </w:r>
      <w:r w:rsidR="00820C60" w:rsidRPr="00337743">
        <w:rPr>
          <w:rFonts w:ascii="Cambria" w:hAnsi="Cambria"/>
          <w:sz w:val="20"/>
          <w:szCs w:val="20"/>
          <w:lang w:val="pt-BR"/>
        </w:rPr>
        <w:t>de</w:t>
      </w:r>
      <w:r w:rsidRPr="00337743">
        <w:rPr>
          <w:rFonts w:ascii="Cambria" w:hAnsi="Cambria"/>
          <w:sz w:val="20"/>
          <w:szCs w:val="20"/>
          <w:lang w:val="pt-BR"/>
        </w:rPr>
        <w:t xml:space="preserve"> sua integridade pessoal, após o sofrimento e a angústia que os atos desses casos supõem</w:t>
      </w:r>
      <w:r w:rsidRPr="00337743">
        <w:rPr>
          <w:rStyle w:val="FootnoteReference"/>
          <w:rFonts w:ascii="Cambria" w:hAnsi="Cambria"/>
          <w:sz w:val="20"/>
          <w:szCs w:val="20"/>
          <w:lang w:val="pt-BR"/>
        </w:rPr>
        <w:footnoteReference w:id="139"/>
      </w:r>
      <w:r w:rsidRPr="00337743">
        <w:rPr>
          <w:rFonts w:ascii="Cambria" w:hAnsi="Cambria"/>
          <w:sz w:val="20"/>
          <w:szCs w:val="20"/>
          <w:lang w:val="pt-BR"/>
        </w:rPr>
        <w:t xml:space="preserve">. Adicionalmente, a Corte indicou que “a ausência de uma investigação completa e efetiva </w:t>
      </w:r>
      <w:r w:rsidR="00820C60" w:rsidRPr="00337743">
        <w:rPr>
          <w:rFonts w:ascii="Cambria" w:hAnsi="Cambria"/>
          <w:sz w:val="20"/>
          <w:szCs w:val="20"/>
          <w:lang w:val="pt-BR"/>
        </w:rPr>
        <w:t>d</w:t>
      </w:r>
      <w:r w:rsidRPr="00337743">
        <w:rPr>
          <w:rFonts w:ascii="Cambria" w:hAnsi="Cambria"/>
          <w:sz w:val="20"/>
          <w:szCs w:val="20"/>
          <w:lang w:val="pt-BR"/>
        </w:rPr>
        <w:t xml:space="preserve">os atos constitui uma fonte de sofrimento e angústia adicional para as vítimas e seus familiares, que têm o direito de conhecer a verdade do </w:t>
      </w:r>
      <w:r w:rsidR="00820C60" w:rsidRPr="00337743">
        <w:rPr>
          <w:rFonts w:ascii="Cambria" w:hAnsi="Cambria"/>
          <w:sz w:val="20"/>
          <w:szCs w:val="20"/>
          <w:lang w:val="pt-BR"/>
        </w:rPr>
        <w:t xml:space="preserve">que </w:t>
      </w:r>
      <w:r w:rsidRPr="00337743">
        <w:rPr>
          <w:rFonts w:ascii="Cambria" w:hAnsi="Cambria"/>
          <w:sz w:val="20"/>
          <w:szCs w:val="20"/>
          <w:lang w:val="pt-BR"/>
        </w:rPr>
        <w:t>ocorr</w:t>
      </w:r>
      <w:r w:rsidR="00820C60" w:rsidRPr="00337743">
        <w:rPr>
          <w:rFonts w:ascii="Cambria" w:hAnsi="Cambria"/>
          <w:sz w:val="20"/>
          <w:szCs w:val="20"/>
          <w:lang w:val="pt-BR"/>
        </w:rPr>
        <w:t>eu</w:t>
      </w:r>
      <w:r w:rsidRPr="00337743">
        <w:rPr>
          <w:rFonts w:ascii="Cambria" w:hAnsi="Cambria"/>
          <w:sz w:val="20"/>
          <w:szCs w:val="20"/>
          <w:lang w:val="pt-BR"/>
        </w:rPr>
        <w:t>”, o que inclui a determinação judicial “de todas as pessoas que de diversas formas participaram nessas violações e suas correspondentes responsabilidades”</w:t>
      </w:r>
      <w:r w:rsidRPr="00337743">
        <w:rPr>
          <w:rStyle w:val="FootnoteReference"/>
          <w:rFonts w:ascii="Cambria" w:hAnsi="Cambria"/>
          <w:sz w:val="20"/>
          <w:szCs w:val="20"/>
          <w:lang w:val="pt-BR"/>
        </w:rPr>
        <w:footnoteReference w:id="140"/>
      </w:r>
      <w:r w:rsidRPr="00337743">
        <w:rPr>
          <w:rFonts w:ascii="Cambria" w:hAnsi="Cambria"/>
          <w:sz w:val="20"/>
          <w:szCs w:val="20"/>
          <w:lang w:val="pt-BR"/>
        </w:rPr>
        <w:t>.</w:t>
      </w:r>
    </w:p>
    <w:p w14:paraId="2118B66A" w14:textId="77777777" w:rsidR="002F1065" w:rsidRPr="00337743" w:rsidRDefault="002F1065" w:rsidP="002F1065">
      <w:pPr>
        <w:jc w:val="both"/>
        <w:rPr>
          <w:rFonts w:ascii="Cambria" w:hAnsi="Cambria"/>
          <w:color w:val="000000"/>
          <w:sz w:val="20"/>
          <w:szCs w:val="20"/>
          <w:lang w:val="pt-BR"/>
        </w:rPr>
      </w:pPr>
    </w:p>
    <w:p w14:paraId="4C1AB661"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 xml:space="preserve">No presente caso, a CIDH já estabeleceu que o </w:t>
      </w:r>
      <w:r w:rsidR="003F2068" w:rsidRPr="00337743">
        <w:rPr>
          <w:rFonts w:ascii="Cambria" w:hAnsi="Cambria"/>
          <w:color w:val="000000"/>
          <w:sz w:val="20"/>
          <w:szCs w:val="20"/>
          <w:lang w:val="pt-BR"/>
        </w:rPr>
        <w:t>acontecimento</w:t>
      </w:r>
      <w:r w:rsidRPr="00337743">
        <w:rPr>
          <w:rFonts w:ascii="Cambria" w:hAnsi="Cambria"/>
          <w:color w:val="000000"/>
          <w:sz w:val="20"/>
          <w:szCs w:val="20"/>
          <w:lang w:val="pt-BR"/>
        </w:rPr>
        <w:t xml:space="preserve"> constituiu um assassinato resultante de um gravíssimo ato de violência contra a mulher. Este fato em</w:t>
      </w:r>
      <w:r w:rsidR="00532720" w:rsidRPr="00337743">
        <w:rPr>
          <w:rFonts w:ascii="Cambria" w:hAnsi="Cambria"/>
          <w:color w:val="000000"/>
          <w:sz w:val="20"/>
          <w:szCs w:val="20"/>
          <w:lang w:val="pt-BR"/>
        </w:rPr>
        <w:t xml:space="preserve"> s</w:t>
      </w:r>
      <w:r w:rsidR="003F2068" w:rsidRPr="00337743">
        <w:rPr>
          <w:rFonts w:ascii="Cambria" w:hAnsi="Cambria"/>
          <w:color w:val="000000"/>
          <w:sz w:val="20"/>
          <w:szCs w:val="20"/>
          <w:lang w:val="pt-BR"/>
        </w:rPr>
        <w:t>i</w:t>
      </w:r>
      <w:r w:rsidR="00532720" w:rsidRPr="00337743">
        <w:rPr>
          <w:rFonts w:ascii="Cambria" w:hAnsi="Cambria"/>
          <w:color w:val="000000"/>
          <w:sz w:val="20"/>
          <w:szCs w:val="20"/>
          <w:lang w:val="pt-BR"/>
        </w:rPr>
        <w:t xml:space="preserve"> </w:t>
      </w:r>
      <w:r w:rsidRPr="00337743">
        <w:rPr>
          <w:rFonts w:ascii="Cambria" w:hAnsi="Cambria"/>
          <w:color w:val="000000"/>
          <w:sz w:val="20"/>
          <w:szCs w:val="20"/>
          <w:lang w:val="pt-BR"/>
        </w:rPr>
        <w:t xml:space="preserve">mesmo permite inferir a </w:t>
      </w:r>
      <w:r w:rsidR="003F2068" w:rsidRPr="00337743">
        <w:rPr>
          <w:rFonts w:ascii="Cambria" w:hAnsi="Cambria"/>
          <w:color w:val="000000"/>
          <w:sz w:val="20"/>
          <w:szCs w:val="20"/>
          <w:lang w:val="pt-BR"/>
        </w:rPr>
        <w:t>viol</w:t>
      </w:r>
      <w:r w:rsidRPr="00337743">
        <w:rPr>
          <w:rFonts w:ascii="Cambria" w:hAnsi="Cambria"/>
          <w:color w:val="000000"/>
          <w:sz w:val="20"/>
          <w:szCs w:val="20"/>
          <w:lang w:val="pt-BR"/>
        </w:rPr>
        <w:t xml:space="preserve">ação </w:t>
      </w:r>
      <w:r w:rsidR="003F2068" w:rsidRPr="00337743">
        <w:rPr>
          <w:rFonts w:ascii="Cambria" w:hAnsi="Cambria"/>
          <w:color w:val="000000"/>
          <w:sz w:val="20"/>
          <w:szCs w:val="20"/>
          <w:lang w:val="pt-BR"/>
        </w:rPr>
        <w:t>da</w:t>
      </w:r>
      <w:r w:rsidRPr="00337743">
        <w:rPr>
          <w:rFonts w:ascii="Cambria" w:hAnsi="Cambria"/>
          <w:color w:val="000000"/>
          <w:sz w:val="20"/>
          <w:szCs w:val="20"/>
          <w:lang w:val="pt-BR"/>
        </w:rPr>
        <w:t xml:space="preserve"> integridade psíquica de seus </w:t>
      </w:r>
      <w:r w:rsidRPr="00337743">
        <w:rPr>
          <w:rFonts w:ascii="Cambria" w:hAnsi="Cambria"/>
          <w:sz w:val="20"/>
          <w:szCs w:val="20"/>
          <w:lang w:val="pt-BR"/>
        </w:rPr>
        <w:t>familiares</w:t>
      </w:r>
      <w:r w:rsidRPr="00337743">
        <w:rPr>
          <w:rFonts w:ascii="Cambria" w:hAnsi="Cambria"/>
          <w:color w:val="000000"/>
          <w:sz w:val="20"/>
          <w:szCs w:val="20"/>
          <w:lang w:val="pt-BR"/>
        </w:rPr>
        <w:t xml:space="preserve">. Além disso, dos fatos se desprendem circunstâncias que necessariamente contribuíram para aprofundar esse sofrimento. O corpo agredido de Márcia foi colocado em um terreno baldio depois de atos de severa violência e morte. </w:t>
      </w:r>
      <w:r w:rsidR="00D23170" w:rsidRPr="00337743">
        <w:rPr>
          <w:rFonts w:ascii="Cambria" w:hAnsi="Cambria"/>
          <w:color w:val="000000"/>
          <w:sz w:val="20"/>
          <w:szCs w:val="20"/>
          <w:lang w:val="pt-BR"/>
        </w:rPr>
        <w:t>A</w:t>
      </w:r>
      <w:r w:rsidRPr="00337743">
        <w:rPr>
          <w:rFonts w:ascii="Cambria" w:hAnsi="Cambria"/>
          <w:color w:val="000000"/>
          <w:sz w:val="20"/>
          <w:szCs w:val="20"/>
          <w:lang w:val="pt-BR"/>
        </w:rPr>
        <w:t xml:space="preserve"> CIDH determinou as falhas de investigação contra outros indiciados, o atraso na abertura e no trâmite da ação contra Aércio Pereira de Lima para </w:t>
      </w:r>
      <w:r w:rsidR="0044069A" w:rsidRPr="00337743">
        <w:rPr>
          <w:rFonts w:ascii="Cambria" w:hAnsi="Cambria"/>
          <w:color w:val="000000"/>
          <w:sz w:val="20"/>
          <w:szCs w:val="20"/>
          <w:lang w:val="pt-BR"/>
        </w:rPr>
        <w:t>punir</w:t>
      </w:r>
      <w:r w:rsidRPr="00337743">
        <w:rPr>
          <w:rFonts w:ascii="Cambria" w:hAnsi="Cambria"/>
          <w:color w:val="000000"/>
          <w:sz w:val="20"/>
          <w:szCs w:val="20"/>
          <w:lang w:val="pt-BR"/>
        </w:rPr>
        <w:t xml:space="preserve"> a violência e o brutal assassinato de Márcia</w:t>
      </w:r>
      <w:r w:rsidR="0095287C">
        <w:rPr>
          <w:rFonts w:ascii="Cambria" w:hAnsi="Cambria"/>
          <w:color w:val="000000"/>
          <w:sz w:val="20"/>
          <w:szCs w:val="20"/>
          <w:lang w:val="pt-BR"/>
        </w:rPr>
        <w:t xml:space="preserve"> e</w:t>
      </w:r>
      <w:r w:rsidRPr="00337743">
        <w:rPr>
          <w:rFonts w:ascii="Cambria" w:hAnsi="Cambria"/>
          <w:color w:val="000000"/>
          <w:sz w:val="20"/>
          <w:szCs w:val="20"/>
          <w:lang w:val="pt-BR"/>
        </w:rPr>
        <w:t xml:space="preserve"> a impunidade do responsável principal, consumada com sua morte quase dez anos depois do crime e seu velório com honras do Estado. </w:t>
      </w:r>
      <w:r w:rsidR="0044069A" w:rsidRPr="00337743">
        <w:rPr>
          <w:rFonts w:ascii="Cambria" w:hAnsi="Cambria"/>
          <w:color w:val="000000"/>
          <w:sz w:val="20"/>
          <w:szCs w:val="20"/>
          <w:lang w:val="pt-BR"/>
        </w:rPr>
        <w:t>Na</w:t>
      </w:r>
      <w:r w:rsidRPr="00337743">
        <w:rPr>
          <w:rFonts w:ascii="Cambria" w:hAnsi="Cambria"/>
          <w:color w:val="000000"/>
          <w:sz w:val="20"/>
          <w:szCs w:val="20"/>
          <w:lang w:val="pt-BR"/>
        </w:rPr>
        <w:t xml:space="preserve"> consideração da CIDH, t</w:t>
      </w:r>
      <w:r w:rsidR="0044069A" w:rsidRPr="00337743">
        <w:rPr>
          <w:rFonts w:ascii="Cambria" w:hAnsi="Cambria"/>
          <w:color w:val="000000"/>
          <w:sz w:val="20"/>
          <w:szCs w:val="20"/>
          <w:lang w:val="pt-BR"/>
        </w:rPr>
        <w:t>u</w:t>
      </w:r>
      <w:r w:rsidRPr="00337743">
        <w:rPr>
          <w:rFonts w:ascii="Cambria" w:hAnsi="Cambria"/>
          <w:color w:val="000000"/>
          <w:sz w:val="20"/>
          <w:szCs w:val="20"/>
          <w:lang w:val="pt-BR"/>
        </w:rPr>
        <w:t xml:space="preserve">do </w:t>
      </w:r>
      <w:r w:rsidR="0044069A" w:rsidRPr="00337743">
        <w:rPr>
          <w:rFonts w:ascii="Cambria" w:hAnsi="Cambria"/>
          <w:color w:val="000000"/>
          <w:sz w:val="20"/>
          <w:szCs w:val="20"/>
          <w:lang w:val="pt-BR"/>
        </w:rPr>
        <w:t>iss</w:t>
      </w:r>
      <w:r w:rsidRPr="00337743">
        <w:rPr>
          <w:rFonts w:ascii="Cambria" w:hAnsi="Cambria"/>
          <w:color w:val="000000"/>
          <w:sz w:val="20"/>
          <w:szCs w:val="20"/>
          <w:lang w:val="pt-BR"/>
        </w:rPr>
        <w:t xml:space="preserve">o causou </w:t>
      </w:r>
      <w:bookmarkStart w:id="26" w:name="_Toc506095189"/>
      <w:r w:rsidRPr="00337743">
        <w:rPr>
          <w:rFonts w:ascii="Cambria" w:hAnsi="Cambria"/>
          <w:color w:val="000000"/>
          <w:sz w:val="20"/>
          <w:szCs w:val="20"/>
          <w:lang w:val="pt-BR"/>
        </w:rPr>
        <w:t>uma inquestionável ang</w:t>
      </w:r>
      <w:r w:rsidR="0044069A" w:rsidRPr="00337743">
        <w:rPr>
          <w:rFonts w:ascii="Cambria" w:hAnsi="Cambria"/>
          <w:color w:val="000000"/>
          <w:sz w:val="20"/>
          <w:szCs w:val="20"/>
          <w:lang w:val="pt-BR"/>
        </w:rPr>
        <w:t>ú</w:t>
      </w:r>
      <w:r w:rsidRPr="00337743">
        <w:rPr>
          <w:rFonts w:ascii="Cambria" w:hAnsi="Cambria"/>
          <w:color w:val="000000"/>
          <w:sz w:val="20"/>
          <w:szCs w:val="20"/>
          <w:lang w:val="pt-BR"/>
        </w:rPr>
        <w:t>stia e profundo sofrimento aos familiares de Márcia, especialmente sua mãe, a senhora Marineide Barbosa</w:t>
      </w:r>
      <w:r w:rsidR="0002245C">
        <w:rPr>
          <w:rFonts w:ascii="Cambria" w:hAnsi="Cambria"/>
          <w:color w:val="000000"/>
          <w:sz w:val="20"/>
          <w:szCs w:val="20"/>
          <w:lang w:val="pt-BR"/>
        </w:rPr>
        <w:t xml:space="preserve">, e </w:t>
      </w:r>
      <w:r w:rsidR="0002245C" w:rsidRPr="00337743">
        <w:rPr>
          <w:rFonts w:ascii="Cambria" w:hAnsi="Cambria"/>
          <w:color w:val="000000"/>
          <w:sz w:val="20"/>
          <w:szCs w:val="20"/>
          <w:lang w:val="pt-BR"/>
        </w:rPr>
        <w:t>seu pa</w:t>
      </w:r>
      <w:r w:rsidR="0002245C">
        <w:rPr>
          <w:rFonts w:ascii="Cambria" w:hAnsi="Cambria"/>
          <w:color w:val="000000"/>
          <w:sz w:val="20"/>
          <w:szCs w:val="20"/>
          <w:lang w:val="pt-BR"/>
        </w:rPr>
        <w:t>i, o senhor Severino de Souza</w:t>
      </w:r>
      <w:r w:rsidRPr="00337743">
        <w:rPr>
          <w:rFonts w:ascii="Cambria" w:hAnsi="Cambria"/>
          <w:color w:val="000000"/>
          <w:sz w:val="20"/>
          <w:szCs w:val="20"/>
          <w:lang w:val="pt-BR"/>
        </w:rPr>
        <w:t xml:space="preserve"> No início do processo ante a CIDH, o Estado brasileiro afirmou que estavam sendo buscadas </w:t>
      </w:r>
      <w:r w:rsidR="0044069A" w:rsidRPr="00337743">
        <w:rPr>
          <w:rFonts w:ascii="Cambria" w:hAnsi="Cambria"/>
          <w:color w:val="000000"/>
          <w:sz w:val="20"/>
          <w:szCs w:val="20"/>
          <w:lang w:val="pt-BR"/>
        </w:rPr>
        <w:t xml:space="preserve">diligências </w:t>
      </w:r>
      <w:r w:rsidRPr="00337743">
        <w:rPr>
          <w:rFonts w:ascii="Cambria" w:hAnsi="Cambria"/>
          <w:color w:val="000000"/>
          <w:sz w:val="20"/>
          <w:szCs w:val="20"/>
          <w:lang w:val="pt-BR"/>
        </w:rPr>
        <w:t xml:space="preserve">para “ressaltar a sensibilidade do caso e a importância atribuída pelo Governo Federal ao castigo exemplar dos responsáveis pelo crime </w:t>
      </w:r>
      <w:r w:rsidR="0044069A" w:rsidRPr="00337743">
        <w:rPr>
          <w:rFonts w:ascii="Cambria" w:hAnsi="Cambria"/>
          <w:color w:val="000000"/>
          <w:sz w:val="20"/>
          <w:szCs w:val="20"/>
          <w:lang w:val="pt-BR"/>
        </w:rPr>
        <w:t>e</w:t>
      </w:r>
      <w:r w:rsidRPr="00337743">
        <w:rPr>
          <w:rFonts w:ascii="Cambria" w:hAnsi="Cambria"/>
          <w:color w:val="000000"/>
          <w:sz w:val="20"/>
          <w:szCs w:val="20"/>
          <w:lang w:val="pt-BR"/>
        </w:rPr>
        <w:t xml:space="preserve"> a reparação dos danos causados aos familiares da vítima”</w:t>
      </w:r>
      <w:r w:rsidRPr="00337743">
        <w:rPr>
          <w:rStyle w:val="FootnoteReference"/>
          <w:rFonts w:ascii="Cambria" w:hAnsi="Cambria"/>
          <w:color w:val="000000"/>
          <w:sz w:val="20"/>
          <w:szCs w:val="20"/>
          <w:lang w:val="pt-BR"/>
        </w:rPr>
        <w:footnoteReference w:id="141"/>
      </w:r>
      <w:r w:rsidRPr="00337743">
        <w:rPr>
          <w:rFonts w:ascii="Cambria" w:hAnsi="Cambria"/>
          <w:color w:val="000000"/>
          <w:sz w:val="20"/>
          <w:szCs w:val="20"/>
          <w:lang w:val="pt-BR"/>
        </w:rPr>
        <w:t xml:space="preserve">. O “castigo exemplar dos responsáveis” </w:t>
      </w:r>
      <w:r w:rsidR="0095287C">
        <w:rPr>
          <w:rFonts w:ascii="Cambria" w:hAnsi="Cambria"/>
          <w:color w:val="000000"/>
          <w:sz w:val="20"/>
          <w:szCs w:val="20"/>
          <w:lang w:val="pt-BR"/>
        </w:rPr>
        <w:t>jamais</w:t>
      </w:r>
      <w:r w:rsidRPr="00337743">
        <w:rPr>
          <w:rFonts w:ascii="Cambria" w:hAnsi="Cambria"/>
          <w:color w:val="000000"/>
          <w:sz w:val="20"/>
          <w:szCs w:val="20"/>
          <w:lang w:val="pt-BR"/>
        </w:rPr>
        <w:t xml:space="preserve"> ocorreu. Os danos causados aos familiares, reconhecidos pelo Estado, aumentaram com os atos </w:t>
      </w:r>
      <w:r w:rsidR="0095287C">
        <w:rPr>
          <w:rFonts w:ascii="Cambria" w:hAnsi="Cambria"/>
          <w:color w:val="000000"/>
          <w:sz w:val="20"/>
          <w:szCs w:val="20"/>
          <w:lang w:val="pt-BR"/>
        </w:rPr>
        <w:t>que culminaram na</w:t>
      </w:r>
      <w:r w:rsidRPr="00337743">
        <w:rPr>
          <w:rFonts w:ascii="Cambria" w:hAnsi="Cambria"/>
          <w:color w:val="000000"/>
          <w:sz w:val="20"/>
          <w:szCs w:val="20"/>
          <w:lang w:val="pt-BR"/>
        </w:rPr>
        <w:t xml:space="preserve"> situação de total impunidade já descrita, a qual lhe resulta completamente atribuível. </w:t>
      </w:r>
    </w:p>
    <w:p w14:paraId="37D39815" w14:textId="77777777" w:rsidR="002F1065" w:rsidRPr="00337743" w:rsidRDefault="002F1065" w:rsidP="002F1065">
      <w:pPr>
        <w:jc w:val="both"/>
        <w:rPr>
          <w:rFonts w:ascii="Cambria" w:hAnsi="Cambria"/>
          <w:color w:val="000000"/>
          <w:sz w:val="20"/>
          <w:szCs w:val="20"/>
          <w:lang w:val="pt-BR"/>
        </w:rPr>
      </w:pPr>
    </w:p>
    <w:p w14:paraId="4B7E263C"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Em virtude das considerações</w:t>
      </w:r>
      <w:r w:rsidR="0044069A" w:rsidRPr="00337743">
        <w:rPr>
          <w:rFonts w:ascii="Cambria" w:hAnsi="Cambria"/>
          <w:color w:val="000000"/>
          <w:sz w:val="20"/>
          <w:szCs w:val="20"/>
          <w:lang w:val="pt-BR"/>
        </w:rPr>
        <w:t xml:space="preserve"> anteriores</w:t>
      </w:r>
      <w:r w:rsidRPr="00337743">
        <w:rPr>
          <w:rFonts w:ascii="Cambria" w:hAnsi="Cambria"/>
          <w:color w:val="000000"/>
          <w:sz w:val="20"/>
          <w:szCs w:val="20"/>
          <w:lang w:val="pt-BR"/>
        </w:rPr>
        <w:t xml:space="preserve">, a Comissão conclui que o Estado brasileiro é responsável pela violação </w:t>
      </w:r>
      <w:r w:rsidRPr="00337743">
        <w:rPr>
          <w:rFonts w:ascii="Cambria" w:hAnsi="Cambria"/>
          <w:sz w:val="20"/>
          <w:szCs w:val="20"/>
          <w:lang w:val="pt-BR"/>
        </w:rPr>
        <w:t>do</w:t>
      </w:r>
      <w:r w:rsidRPr="00337743">
        <w:rPr>
          <w:rFonts w:ascii="Cambria" w:hAnsi="Cambria"/>
          <w:color w:val="000000"/>
          <w:sz w:val="20"/>
          <w:szCs w:val="20"/>
          <w:lang w:val="pt-BR"/>
        </w:rPr>
        <w:t xml:space="preserve"> direito à integridade psíquica e moral estabelecida no artigo 5.1 da Convenção Americana, com relação às obrigações previstas no artigo 1.1 do mesmo instrumento em detrimento do pai e da mãe de Márcia Barbosa de Souza. </w:t>
      </w:r>
    </w:p>
    <w:p w14:paraId="418DA603" w14:textId="77777777" w:rsidR="002F1065" w:rsidRPr="00337743" w:rsidRDefault="002F1065" w:rsidP="002F1065">
      <w:pPr>
        <w:rPr>
          <w:rFonts w:ascii="Cambria" w:hAnsi="Cambria"/>
          <w:color w:val="000000"/>
          <w:sz w:val="20"/>
          <w:szCs w:val="20"/>
          <w:lang w:val="pt-BR"/>
        </w:rPr>
      </w:pPr>
    </w:p>
    <w:p w14:paraId="72268F3D" w14:textId="77777777" w:rsidR="002F1065" w:rsidRPr="00337743" w:rsidRDefault="002F1065" w:rsidP="002F1065">
      <w:pPr>
        <w:pStyle w:val="Heading1"/>
        <w:spacing w:before="0"/>
        <w:ind w:hanging="90"/>
        <w:rPr>
          <w:color w:val="auto"/>
          <w:sz w:val="20"/>
          <w:szCs w:val="20"/>
          <w:lang w:val="pt-BR"/>
        </w:rPr>
      </w:pPr>
      <w:bookmarkStart w:id="27" w:name="_Toc5890583"/>
      <w:bookmarkEnd w:id="26"/>
      <w:r w:rsidRPr="00337743">
        <w:rPr>
          <w:color w:val="auto"/>
          <w:sz w:val="20"/>
          <w:szCs w:val="20"/>
          <w:lang w:val="pt-BR"/>
        </w:rPr>
        <w:t>CONCLUSÕES E RECOMENDAÇÕES</w:t>
      </w:r>
      <w:bookmarkEnd w:id="27"/>
      <w:r w:rsidRPr="00337743">
        <w:rPr>
          <w:color w:val="auto"/>
          <w:sz w:val="20"/>
          <w:szCs w:val="20"/>
          <w:lang w:val="pt-BR"/>
        </w:rPr>
        <w:t xml:space="preserve"> </w:t>
      </w:r>
    </w:p>
    <w:p w14:paraId="4C52024F" w14:textId="77777777" w:rsidR="002F1065" w:rsidRPr="00337743" w:rsidRDefault="002F1065" w:rsidP="002F1065">
      <w:pPr>
        <w:suppressAutoHyphens/>
        <w:rPr>
          <w:rFonts w:ascii="Cambria" w:hAnsi="Cambria"/>
          <w:b/>
          <w:sz w:val="20"/>
          <w:szCs w:val="20"/>
          <w:lang w:val="pt-BR"/>
        </w:rPr>
      </w:pPr>
    </w:p>
    <w:p w14:paraId="012F60F4" w14:textId="77777777" w:rsidR="002F1065" w:rsidRPr="00337743" w:rsidRDefault="002F1065" w:rsidP="002F106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color w:val="000000"/>
          <w:sz w:val="20"/>
          <w:szCs w:val="20"/>
          <w:lang w:val="pt-BR"/>
        </w:rPr>
      </w:pPr>
      <w:r w:rsidRPr="00337743">
        <w:rPr>
          <w:rFonts w:ascii="Cambria" w:hAnsi="Cambria"/>
          <w:color w:val="000000"/>
          <w:sz w:val="20"/>
          <w:szCs w:val="20"/>
          <w:lang w:val="pt-BR"/>
        </w:rPr>
        <w:t>Com base nas determinações de fato e de direito, a Comissão Interamericana concluiu que o Estado brasileiro é responsável pela violação dos artigos 5.1 (direito à integridade pessoal), 8.1 (garantias judiciais), 24 (</w:t>
      </w:r>
      <w:r w:rsidR="008E4939" w:rsidRPr="00337743">
        <w:rPr>
          <w:rFonts w:ascii="Cambria" w:hAnsi="Cambria"/>
          <w:color w:val="000000"/>
          <w:sz w:val="20"/>
          <w:szCs w:val="20"/>
          <w:lang w:val="pt-BR"/>
        </w:rPr>
        <w:t>princípio</w:t>
      </w:r>
      <w:r w:rsidRPr="00337743">
        <w:rPr>
          <w:rFonts w:ascii="Cambria" w:hAnsi="Cambria"/>
          <w:color w:val="000000"/>
          <w:sz w:val="20"/>
          <w:szCs w:val="20"/>
          <w:lang w:val="pt-BR"/>
        </w:rPr>
        <w:t xml:space="preserve"> de igualdade e não discriminação) e 25.1 (proteção judicial) da Convenção Americana sobre Direitos Humanos, com relação ao artigo 4 (direito à vida) e com as obrigações estabelecidas nos </w:t>
      </w:r>
      <w:r w:rsidRPr="00337743">
        <w:rPr>
          <w:rFonts w:ascii="Cambria" w:hAnsi="Cambria"/>
          <w:sz w:val="20"/>
          <w:szCs w:val="20"/>
          <w:lang w:val="pt-BR"/>
        </w:rPr>
        <w:t>artigos 1.1 e 2 do mesmo</w:t>
      </w:r>
      <w:r w:rsidRPr="00337743">
        <w:rPr>
          <w:rFonts w:ascii="Cambria" w:hAnsi="Cambria"/>
          <w:color w:val="000000"/>
          <w:sz w:val="20"/>
          <w:szCs w:val="20"/>
          <w:lang w:val="pt-BR"/>
        </w:rPr>
        <w:t xml:space="preserve"> instrumento. </w:t>
      </w:r>
      <w:r w:rsidR="0044069A" w:rsidRPr="00337743">
        <w:rPr>
          <w:rFonts w:ascii="Cambria" w:hAnsi="Cambria"/>
          <w:color w:val="000000"/>
          <w:sz w:val="20"/>
          <w:szCs w:val="20"/>
          <w:lang w:val="pt-BR"/>
        </w:rPr>
        <w:t>A</w:t>
      </w:r>
      <w:r w:rsidRPr="00337743">
        <w:rPr>
          <w:rFonts w:ascii="Cambria" w:hAnsi="Cambria"/>
          <w:color w:val="000000"/>
          <w:sz w:val="20"/>
          <w:szCs w:val="20"/>
          <w:lang w:val="pt-BR"/>
        </w:rPr>
        <w:t xml:space="preserve"> Comissão Interamericana concluiu que o Estado é responsável pela violação do artigo 7 da Convenção Interamericana para Prevenir, </w:t>
      </w:r>
      <w:r w:rsidR="0044069A" w:rsidRPr="00337743">
        <w:rPr>
          <w:rFonts w:ascii="Cambria" w:hAnsi="Cambria"/>
          <w:color w:val="000000"/>
          <w:sz w:val="20"/>
          <w:szCs w:val="20"/>
          <w:lang w:val="pt-BR"/>
        </w:rPr>
        <w:t>Punir</w:t>
      </w:r>
      <w:r w:rsidRPr="00337743">
        <w:rPr>
          <w:rFonts w:ascii="Cambria" w:hAnsi="Cambria"/>
          <w:color w:val="000000"/>
          <w:sz w:val="20"/>
          <w:szCs w:val="20"/>
          <w:lang w:val="pt-BR"/>
        </w:rPr>
        <w:t xml:space="preserve"> e Erradicar a Violência contra a Mulher (Convenção de Belém do Pará). </w:t>
      </w:r>
    </w:p>
    <w:p w14:paraId="11A7125D" w14:textId="77777777" w:rsidR="002F1065" w:rsidRPr="00337743" w:rsidRDefault="002F1065" w:rsidP="002F1065">
      <w:pPr>
        <w:suppressAutoHyphens/>
        <w:rPr>
          <w:rFonts w:ascii="Cambria" w:hAnsi="Cambria"/>
          <w:b/>
          <w:sz w:val="20"/>
          <w:szCs w:val="20"/>
          <w:lang w:val="pt-BR"/>
        </w:rPr>
      </w:pPr>
    </w:p>
    <w:p w14:paraId="51782339" w14:textId="77777777" w:rsidR="002F1065" w:rsidRPr="00337743" w:rsidRDefault="002F1065" w:rsidP="002F1065">
      <w:pPr>
        <w:ind w:firstLine="720"/>
        <w:jc w:val="both"/>
        <w:rPr>
          <w:rFonts w:ascii="Cambria" w:hAnsi="Cambria"/>
          <w:b/>
          <w:sz w:val="20"/>
          <w:szCs w:val="20"/>
          <w:lang w:val="pt-BR"/>
        </w:rPr>
      </w:pPr>
      <w:r w:rsidRPr="00337743">
        <w:rPr>
          <w:rFonts w:ascii="Cambria" w:hAnsi="Cambria"/>
          <w:b/>
          <w:sz w:val="20"/>
          <w:szCs w:val="20"/>
          <w:lang w:val="pt-BR"/>
        </w:rPr>
        <w:tab/>
        <w:t>A COMISSÃO INTERAMERICANA DE DIREITOS HUMANOS RECOMENDA AO ESTADO BRASILEIRO</w:t>
      </w:r>
      <w:r w:rsidR="0044069A" w:rsidRPr="00337743">
        <w:rPr>
          <w:rFonts w:ascii="Cambria" w:hAnsi="Cambria"/>
          <w:b/>
          <w:sz w:val="20"/>
          <w:szCs w:val="20"/>
          <w:lang w:val="pt-BR"/>
        </w:rPr>
        <w:t>:</w:t>
      </w:r>
    </w:p>
    <w:p w14:paraId="08EC11D9" w14:textId="77777777" w:rsidR="002F1065" w:rsidRPr="00337743" w:rsidRDefault="002F1065" w:rsidP="002F1065">
      <w:pPr>
        <w:pStyle w:val="GradeClara-nfase31"/>
        <w:pBdr>
          <w:top w:val="none" w:sz="0" w:space="0" w:color="auto"/>
          <w:left w:val="none" w:sz="0" w:space="0" w:color="auto"/>
          <w:bottom w:val="none" w:sz="0" w:space="0" w:color="auto"/>
          <w:right w:val="none" w:sz="0" w:space="0" w:color="auto"/>
          <w:between w:val="none" w:sz="0" w:space="0" w:color="auto"/>
          <w:bar w:val="none" w:sz="0" w:color="auto"/>
        </w:pBdr>
        <w:ind w:left="1425"/>
        <w:jc w:val="both"/>
        <w:rPr>
          <w:rFonts w:eastAsia="Times New Roman" w:cs="Tahoma"/>
          <w:color w:val="auto"/>
          <w:sz w:val="20"/>
          <w:szCs w:val="20"/>
          <w:bdr w:val="none" w:sz="0" w:space="0" w:color="auto"/>
          <w:lang w:val="pt-BR"/>
        </w:rPr>
      </w:pPr>
    </w:p>
    <w:p w14:paraId="63755C3D" w14:textId="77777777" w:rsidR="002F1065" w:rsidRPr="00337743" w:rsidRDefault="002F1065" w:rsidP="002F106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right="56" w:firstLine="0"/>
        <w:jc w:val="both"/>
        <w:rPr>
          <w:rFonts w:ascii="Cambria" w:eastAsia="Times New Roman" w:hAnsi="Cambria" w:cs="Tahoma"/>
          <w:sz w:val="20"/>
          <w:szCs w:val="20"/>
          <w:bdr w:val="none" w:sz="0" w:space="0" w:color="auto"/>
          <w:lang w:val="pt-BR"/>
        </w:rPr>
      </w:pPr>
      <w:r w:rsidRPr="00337743">
        <w:rPr>
          <w:rFonts w:ascii="Cambria" w:eastAsia="Times New Roman" w:hAnsi="Cambria" w:cs="Tahoma"/>
          <w:sz w:val="20"/>
          <w:szCs w:val="20"/>
          <w:bdr w:val="none" w:sz="0" w:space="0" w:color="auto"/>
          <w:lang w:val="pt-BR"/>
        </w:rPr>
        <w:t xml:space="preserve">Reparar integralmente as violações de direitos humanos declaradas no presente relatório tanto no aspecto material como imaterial, incluindo medidas de satisfação e uma compensação econômica. </w:t>
      </w:r>
    </w:p>
    <w:p w14:paraId="28608905" w14:textId="77777777" w:rsidR="002F1065" w:rsidRPr="00337743" w:rsidRDefault="002F1065" w:rsidP="002F1065">
      <w:pPr>
        <w:tabs>
          <w:tab w:val="left" w:pos="567"/>
          <w:tab w:val="left" w:pos="993"/>
        </w:tabs>
        <w:ind w:right="56"/>
        <w:rPr>
          <w:rFonts w:ascii="Cambria" w:eastAsia="Times New Roman" w:hAnsi="Cambria" w:cs="Tahoma"/>
          <w:sz w:val="20"/>
          <w:szCs w:val="20"/>
          <w:bdr w:val="none" w:sz="0" w:space="0" w:color="auto"/>
          <w:lang w:val="pt-BR"/>
        </w:rPr>
      </w:pPr>
    </w:p>
    <w:p w14:paraId="1A755E22" w14:textId="77777777" w:rsidR="002F1065" w:rsidRPr="00337743" w:rsidRDefault="002F1065" w:rsidP="002F106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right="56" w:firstLine="0"/>
        <w:jc w:val="both"/>
        <w:rPr>
          <w:rFonts w:ascii="Cambria" w:eastAsia="Times New Roman" w:hAnsi="Cambria"/>
          <w:sz w:val="14"/>
          <w:szCs w:val="14"/>
          <w:bdr w:val="none" w:sz="0" w:space="0" w:color="auto"/>
          <w:lang w:val="pt-BR"/>
        </w:rPr>
      </w:pPr>
      <w:r w:rsidRPr="00337743">
        <w:rPr>
          <w:rFonts w:ascii="Cambria" w:eastAsia="Times New Roman" w:hAnsi="Cambria" w:cs="Tahoma"/>
          <w:sz w:val="20"/>
          <w:szCs w:val="20"/>
          <w:bdr w:val="none" w:sz="0" w:space="0" w:color="auto"/>
          <w:lang w:val="pt-BR"/>
        </w:rPr>
        <w:t xml:space="preserve">Dispor das medidas de atenção </w:t>
      </w:r>
      <w:r w:rsidR="0044069A" w:rsidRPr="00337743">
        <w:rPr>
          <w:rFonts w:ascii="Cambria" w:eastAsia="Times New Roman" w:hAnsi="Cambria" w:cs="Tahoma"/>
          <w:sz w:val="20"/>
          <w:szCs w:val="20"/>
          <w:bdr w:val="none" w:sz="0" w:space="0" w:color="auto"/>
          <w:lang w:val="pt-BR"/>
        </w:rPr>
        <w:t>à</w:t>
      </w:r>
      <w:r w:rsidRPr="00337743">
        <w:rPr>
          <w:rFonts w:ascii="Cambria" w:eastAsia="Times New Roman" w:hAnsi="Cambria" w:cs="Tahoma"/>
          <w:sz w:val="20"/>
          <w:szCs w:val="20"/>
          <w:bdr w:val="none" w:sz="0" w:space="0" w:color="auto"/>
          <w:lang w:val="pt-BR"/>
        </w:rPr>
        <w:t xml:space="preserve"> saúde física e mental necessárias para a reabilitação da mãe e </w:t>
      </w:r>
      <w:r w:rsidR="0044069A" w:rsidRPr="00337743">
        <w:rPr>
          <w:rFonts w:ascii="Cambria" w:eastAsia="Times New Roman" w:hAnsi="Cambria" w:cs="Tahoma"/>
          <w:sz w:val="20"/>
          <w:szCs w:val="20"/>
          <w:bdr w:val="none" w:sz="0" w:space="0" w:color="auto"/>
          <w:lang w:val="pt-BR"/>
        </w:rPr>
        <w:t>d</w:t>
      </w:r>
      <w:r w:rsidRPr="00337743">
        <w:rPr>
          <w:rFonts w:ascii="Cambria" w:eastAsia="Times New Roman" w:hAnsi="Cambria" w:cs="Tahoma"/>
          <w:sz w:val="20"/>
          <w:szCs w:val="20"/>
          <w:bdr w:val="none" w:sz="0" w:space="0" w:color="auto"/>
          <w:lang w:val="pt-BR"/>
        </w:rPr>
        <w:t>o pai de Márcia Barbosa de Souza, se</w:t>
      </w:r>
      <w:r w:rsidR="0044069A" w:rsidRPr="00337743">
        <w:rPr>
          <w:rFonts w:ascii="Cambria" w:eastAsia="Times New Roman" w:hAnsi="Cambria" w:cs="Tahoma"/>
          <w:sz w:val="20"/>
          <w:szCs w:val="20"/>
          <w:bdr w:val="none" w:sz="0" w:space="0" w:color="auto"/>
          <w:lang w:val="pt-BR"/>
        </w:rPr>
        <w:t xml:space="preserve"> assim fo</w:t>
      </w:r>
      <w:r w:rsidRPr="00337743">
        <w:rPr>
          <w:rFonts w:ascii="Cambria" w:eastAsia="Times New Roman" w:hAnsi="Cambria" w:cs="Tahoma"/>
          <w:sz w:val="20"/>
          <w:szCs w:val="20"/>
          <w:bdr w:val="none" w:sz="0" w:space="0" w:color="auto"/>
          <w:lang w:val="pt-BR"/>
        </w:rPr>
        <w:t xml:space="preserve">r sua vontade e </w:t>
      </w:r>
      <w:r w:rsidR="0044069A" w:rsidRPr="00337743">
        <w:rPr>
          <w:rFonts w:ascii="Cambria" w:eastAsia="Times New Roman" w:hAnsi="Cambria" w:cs="Tahoma"/>
          <w:sz w:val="20"/>
          <w:szCs w:val="20"/>
          <w:bdr w:val="none" w:sz="0" w:space="0" w:color="auto"/>
          <w:lang w:val="pt-BR"/>
        </w:rPr>
        <w:t>com seu acordo</w:t>
      </w:r>
      <w:r w:rsidRPr="00337743">
        <w:rPr>
          <w:rFonts w:ascii="Cambria" w:eastAsia="Times New Roman" w:hAnsi="Cambria" w:cs="Tahoma"/>
          <w:sz w:val="20"/>
          <w:szCs w:val="20"/>
          <w:bdr w:val="none" w:sz="0" w:space="0" w:color="auto"/>
          <w:lang w:val="pt-BR"/>
        </w:rPr>
        <w:t>.</w:t>
      </w:r>
    </w:p>
    <w:p w14:paraId="23A9059C" w14:textId="77777777" w:rsidR="002F1065" w:rsidRPr="00337743" w:rsidRDefault="002F1065" w:rsidP="002F1065">
      <w:pPr>
        <w:pStyle w:val="ListParagraph"/>
        <w:tabs>
          <w:tab w:val="left" w:pos="567"/>
        </w:tabs>
        <w:ind w:left="0"/>
        <w:rPr>
          <w:rFonts w:ascii="Cambria" w:eastAsia="Times New Roman" w:hAnsi="Cambria" w:cs="Tahoma"/>
          <w:sz w:val="20"/>
          <w:szCs w:val="20"/>
          <w:bdr w:val="none" w:sz="0" w:space="0" w:color="auto"/>
          <w:lang w:val="pt-BR"/>
        </w:rPr>
      </w:pPr>
    </w:p>
    <w:p w14:paraId="2649018C" w14:textId="77777777" w:rsidR="002F1065" w:rsidRPr="00337743" w:rsidRDefault="002F1065" w:rsidP="002F106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right="56" w:firstLine="0"/>
        <w:jc w:val="both"/>
        <w:rPr>
          <w:rFonts w:ascii="Cambria" w:eastAsia="Times New Roman" w:hAnsi="Cambria"/>
          <w:sz w:val="14"/>
          <w:szCs w:val="14"/>
          <w:bdr w:val="none" w:sz="0" w:space="0" w:color="auto"/>
          <w:lang w:val="pt-BR"/>
        </w:rPr>
      </w:pPr>
      <w:r w:rsidRPr="00337743">
        <w:rPr>
          <w:rFonts w:ascii="Cambria" w:eastAsia="Times New Roman" w:hAnsi="Cambria" w:cs="Tahoma"/>
          <w:sz w:val="20"/>
          <w:szCs w:val="20"/>
          <w:bdr w:val="none" w:sz="0" w:space="0" w:color="auto"/>
          <w:lang w:val="pt-BR"/>
        </w:rPr>
        <w:t xml:space="preserve">Reabrir uma investigação de maneira diligente, efetiva e dentro de um prazo razoável com o objetivo de esclarecer os atos de forma completa, identificar todas as possíveis responsabilidades a respeito </w:t>
      </w:r>
      <w:r w:rsidR="0044069A" w:rsidRPr="00337743">
        <w:rPr>
          <w:rFonts w:ascii="Cambria" w:eastAsia="Times New Roman" w:hAnsi="Cambria" w:cs="Tahoma"/>
          <w:sz w:val="20"/>
          <w:szCs w:val="20"/>
          <w:bdr w:val="none" w:sz="0" w:space="0" w:color="auto"/>
          <w:lang w:val="pt-BR"/>
        </w:rPr>
        <w:t>d</w:t>
      </w:r>
      <w:r w:rsidRPr="00337743">
        <w:rPr>
          <w:rFonts w:ascii="Cambria" w:eastAsia="Times New Roman" w:hAnsi="Cambria" w:cs="Tahoma"/>
          <w:sz w:val="20"/>
          <w:szCs w:val="20"/>
          <w:bdr w:val="none" w:sz="0" w:space="0" w:color="auto"/>
          <w:lang w:val="pt-BR"/>
        </w:rPr>
        <w:t>o assassinato e aos atrasos que culminaram na impunidade. O Estado brasileiro deverá dispor as medidas necessárias para sanar as omissões que aconteceram nas investigações de outros possíveis responsáveis, conforme indicado no presente relatório. Levando em</w:t>
      </w:r>
      <w:r w:rsidRPr="00337743">
        <w:rPr>
          <w:rFonts w:ascii="Cambria" w:hAnsi="Cambria"/>
          <w:sz w:val="20"/>
          <w:szCs w:val="20"/>
          <w:lang w:val="pt-BR"/>
        </w:rPr>
        <w:t xml:space="preserve"> conta a gravidade dos atos e os padrões interamericanos a esse respeito, a Comissão destaca que o Estado não poderá opor a garantia de </w:t>
      </w:r>
      <w:r w:rsidRPr="00337743">
        <w:rPr>
          <w:rFonts w:ascii="Cambria" w:hAnsi="Cambria"/>
          <w:i/>
          <w:sz w:val="20"/>
          <w:szCs w:val="20"/>
          <w:lang w:val="pt-BR"/>
        </w:rPr>
        <w:t xml:space="preserve">ne bis in </w:t>
      </w:r>
      <w:r w:rsidR="008E4939" w:rsidRPr="00337743">
        <w:rPr>
          <w:rFonts w:ascii="Cambria" w:hAnsi="Cambria"/>
          <w:i/>
          <w:sz w:val="20"/>
          <w:szCs w:val="20"/>
          <w:lang w:val="pt-BR"/>
        </w:rPr>
        <w:t>idem</w:t>
      </w:r>
      <w:r w:rsidRPr="00337743">
        <w:rPr>
          <w:rFonts w:ascii="Cambria" w:hAnsi="Cambria"/>
          <w:sz w:val="20"/>
          <w:szCs w:val="20"/>
          <w:lang w:val="pt-BR"/>
        </w:rPr>
        <w:t>, coisa julgada ou prescrição, para justificar o não cumprimento desta recomendação.</w:t>
      </w:r>
    </w:p>
    <w:p w14:paraId="59CD2376" w14:textId="77777777" w:rsidR="002F1065" w:rsidRPr="00337743" w:rsidRDefault="002F1065" w:rsidP="002F1065">
      <w:pPr>
        <w:pStyle w:val="ListParagraph"/>
        <w:tabs>
          <w:tab w:val="left" w:pos="567"/>
        </w:tabs>
        <w:ind w:left="0"/>
        <w:rPr>
          <w:rFonts w:ascii="Cambria" w:eastAsia="Times New Roman" w:hAnsi="Cambria" w:cs="Tahoma"/>
          <w:sz w:val="20"/>
          <w:szCs w:val="20"/>
          <w:bdr w:val="none" w:sz="0" w:space="0" w:color="auto"/>
          <w:lang w:val="pt-BR"/>
        </w:rPr>
      </w:pPr>
    </w:p>
    <w:p w14:paraId="2DD64A46" w14:textId="77777777" w:rsidR="002F1065" w:rsidRPr="00337743" w:rsidRDefault="002F1065" w:rsidP="002F106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right="56" w:firstLine="0"/>
        <w:jc w:val="both"/>
        <w:rPr>
          <w:rFonts w:ascii="Cambria" w:eastAsia="Times New Roman" w:hAnsi="Cambria" w:cs="Tahoma"/>
          <w:sz w:val="20"/>
          <w:szCs w:val="20"/>
          <w:bdr w:val="none" w:sz="0" w:space="0" w:color="auto"/>
          <w:lang w:val="pt-BR"/>
        </w:rPr>
      </w:pPr>
      <w:r w:rsidRPr="00337743">
        <w:rPr>
          <w:rFonts w:ascii="Cambria" w:eastAsia="Times New Roman" w:hAnsi="Cambria" w:cs="Tahoma"/>
          <w:sz w:val="20"/>
          <w:szCs w:val="20"/>
          <w:bdr w:val="none" w:sz="0" w:space="0" w:color="auto"/>
          <w:lang w:val="pt-BR"/>
        </w:rPr>
        <w:t xml:space="preserve">Dispor mecanismos de não repetição que incluam: i) adequar o quadro normativo interno para assegurar que a imunidade de altos funcionários do Estado, incluindo a imunidade parlamentar, se encontre devidamente regulada e delimitada para os fins buscados e que na própria norma se adotem as salvaguardas necessárias para que a mesma não se constitua em um obstáculo para a devida e pronta investigação de casos de violações de direitos humanos; ii) assegurar que as decisões dos órgãos respectivos relacionadas com a aplicabilidade de imunidade de altos funcionários em casos concretos sejam devidamente fundamentadas e cumpram com os padrões estabelecidos no presente relatório de </w:t>
      </w:r>
      <w:r w:rsidR="0044069A" w:rsidRPr="00337743">
        <w:rPr>
          <w:rFonts w:ascii="Cambria" w:eastAsia="Times New Roman" w:hAnsi="Cambria" w:cs="Tahoma"/>
          <w:sz w:val="20"/>
          <w:szCs w:val="20"/>
          <w:bdr w:val="none" w:sz="0" w:space="0" w:color="auto"/>
          <w:lang w:val="pt-BR"/>
        </w:rPr>
        <w:t>mérito</w:t>
      </w:r>
      <w:r w:rsidRPr="00337743">
        <w:rPr>
          <w:rFonts w:ascii="Cambria" w:eastAsia="Times New Roman" w:hAnsi="Cambria" w:cs="Tahoma"/>
          <w:sz w:val="20"/>
          <w:szCs w:val="20"/>
          <w:bdr w:val="none" w:sz="0" w:space="0" w:color="auto"/>
          <w:lang w:val="pt-BR"/>
        </w:rPr>
        <w:t xml:space="preserve">; e iii) continuar adotando todas as medidas necessárias para o cumprimento integral da Lei Maria da Penha e dispor </w:t>
      </w:r>
      <w:r w:rsidR="0046771C">
        <w:rPr>
          <w:rFonts w:ascii="Cambria" w:eastAsia="Times New Roman" w:hAnsi="Cambria" w:cs="Tahoma"/>
          <w:sz w:val="20"/>
          <w:szCs w:val="20"/>
          <w:bdr w:val="none" w:sz="0" w:space="0" w:color="auto"/>
          <w:lang w:val="pt-BR"/>
        </w:rPr>
        <w:t xml:space="preserve">de </w:t>
      </w:r>
      <w:r w:rsidRPr="00337743">
        <w:rPr>
          <w:rFonts w:ascii="Cambria" w:eastAsia="Times New Roman" w:hAnsi="Cambria" w:cs="Tahoma"/>
          <w:sz w:val="20"/>
          <w:szCs w:val="20"/>
          <w:bdr w:val="none" w:sz="0" w:space="0" w:color="auto"/>
          <w:lang w:val="pt-BR"/>
        </w:rPr>
        <w:t xml:space="preserve">todas </w:t>
      </w:r>
      <w:r w:rsidR="0044069A" w:rsidRPr="00337743">
        <w:rPr>
          <w:rFonts w:ascii="Cambria" w:eastAsia="Times New Roman" w:hAnsi="Cambria" w:cs="Tahoma"/>
          <w:sz w:val="20"/>
          <w:szCs w:val="20"/>
          <w:bdr w:val="none" w:sz="0" w:space="0" w:color="auto"/>
          <w:lang w:val="pt-BR"/>
        </w:rPr>
        <w:t xml:space="preserve">as </w:t>
      </w:r>
      <w:r w:rsidRPr="00337743">
        <w:rPr>
          <w:rFonts w:ascii="Cambria" w:eastAsia="Times New Roman" w:hAnsi="Cambria" w:cs="Tahoma"/>
          <w:sz w:val="20"/>
          <w:szCs w:val="20"/>
          <w:bdr w:val="none" w:sz="0" w:space="0" w:color="auto"/>
          <w:lang w:val="pt-BR"/>
        </w:rPr>
        <w:t xml:space="preserve">medidas legislativas, administrativas e de política pública para prevenir, investigar e </w:t>
      </w:r>
      <w:r w:rsidR="0044069A" w:rsidRPr="00337743">
        <w:rPr>
          <w:rFonts w:ascii="Cambria" w:eastAsia="Times New Roman" w:hAnsi="Cambria" w:cs="Tahoma"/>
          <w:sz w:val="20"/>
          <w:szCs w:val="20"/>
          <w:bdr w:val="none" w:sz="0" w:space="0" w:color="auto"/>
          <w:lang w:val="pt-BR"/>
        </w:rPr>
        <w:t>punir</w:t>
      </w:r>
      <w:r w:rsidRPr="00337743">
        <w:rPr>
          <w:rFonts w:ascii="Cambria" w:eastAsia="Times New Roman" w:hAnsi="Cambria" w:cs="Tahoma"/>
          <w:sz w:val="20"/>
          <w:szCs w:val="20"/>
          <w:bdr w:val="none" w:sz="0" w:space="0" w:color="auto"/>
          <w:lang w:val="pt-BR"/>
        </w:rPr>
        <w:t xml:space="preserve"> a violência contra a</w:t>
      </w:r>
      <w:r w:rsidR="0044069A" w:rsidRPr="00337743">
        <w:rPr>
          <w:rFonts w:ascii="Cambria" w:eastAsia="Times New Roman" w:hAnsi="Cambria" w:cs="Tahoma"/>
          <w:sz w:val="20"/>
          <w:szCs w:val="20"/>
          <w:bdr w:val="none" w:sz="0" w:space="0" w:color="auto"/>
          <w:lang w:val="pt-BR"/>
        </w:rPr>
        <w:t>s</w:t>
      </w:r>
      <w:r w:rsidRPr="00337743">
        <w:rPr>
          <w:rFonts w:ascii="Cambria" w:eastAsia="Times New Roman" w:hAnsi="Cambria" w:cs="Tahoma"/>
          <w:sz w:val="20"/>
          <w:szCs w:val="20"/>
          <w:bdr w:val="none" w:sz="0" w:space="0" w:color="auto"/>
          <w:lang w:val="pt-BR"/>
        </w:rPr>
        <w:t xml:space="preserve"> mulher</w:t>
      </w:r>
      <w:r w:rsidR="0044069A" w:rsidRPr="00337743">
        <w:rPr>
          <w:rFonts w:ascii="Cambria" w:eastAsia="Times New Roman" w:hAnsi="Cambria" w:cs="Tahoma"/>
          <w:sz w:val="20"/>
          <w:szCs w:val="20"/>
          <w:bdr w:val="none" w:sz="0" w:space="0" w:color="auto"/>
          <w:lang w:val="pt-BR"/>
        </w:rPr>
        <w:t>es</w:t>
      </w:r>
      <w:r w:rsidRPr="00337743">
        <w:rPr>
          <w:rFonts w:ascii="Cambria" w:eastAsia="Times New Roman" w:hAnsi="Cambria" w:cs="Tahoma"/>
          <w:sz w:val="20"/>
          <w:szCs w:val="20"/>
          <w:bdr w:val="none" w:sz="0" w:space="0" w:color="auto"/>
          <w:lang w:val="pt-BR"/>
        </w:rPr>
        <w:t xml:space="preserve"> no Brasil. </w:t>
      </w:r>
    </w:p>
    <w:p w14:paraId="10EC2232" w14:textId="77777777" w:rsidR="002F1065" w:rsidRPr="000C10BF" w:rsidRDefault="002F1065" w:rsidP="002F1065">
      <w:pPr>
        <w:rPr>
          <w:rFonts w:ascii="Cambria" w:hAnsi="Cambria"/>
          <w:lang w:val="pt-BR"/>
        </w:rPr>
      </w:pPr>
    </w:p>
    <w:p w14:paraId="4DE88592" w14:textId="77777777" w:rsidR="000C10BF" w:rsidRPr="000C10BF" w:rsidRDefault="000C10BF" w:rsidP="000C10BF">
      <w:pPr>
        <w:shd w:val="clear" w:color="auto" w:fill="FFFFFF" w:themeFill="background1"/>
        <w:ind w:firstLine="630"/>
        <w:jc w:val="both"/>
        <w:textAlignment w:val="top"/>
        <w:rPr>
          <w:rFonts w:ascii="Cambria" w:eastAsia="Times New Roman" w:hAnsi="Cambria" w:cs="Arial"/>
          <w:color w:val="222222"/>
          <w:sz w:val="20"/>
          <w:szCs w:val="20"/>
          <w:lang w:val="pt-PT"/>
        </w:rPr>
      </w:pPr>
      <w:r w:rsidRPr="000C10BF">
        <w:rPr>
          <w:rFonts w:ascii="Cambria" w:eastAsia="Times New Roman" w:hAnsi="Cambria" w:cs="Arial"/>
          <w:color w:val="222222"/>
          <w:sz w:val="20"/>
          <w:szCs w:val="20"/>
          <w:lang w:val="pt-PT"/>
        </w:rPr>
        <w:t xml:space="preserve">Aprovado pela Comissão Interamericana de Direitos Humanos na cidade de </w:t>
      </w:r>
      <w:r w:rsidR="0065591B">
        <w:rPr>
          <w:rFonts w:ascii="Cambria" w:eastAsia="Times New Roman" w:hAnsi="Cambria" w:cs="Arial"/>
          <w:color w:val="222222"/>
          <w:sz w:val="20"/>
          <w:szCs w:val="20"/>
          <w:lang w:val="pt-PT"/>
        </w:rPr>
        <w:t>Sucre</w:t>
      </w:r>
      <w:r w:rsidRPr="000C10BF">
        <w:rPr>
          <w:rFonts w:ascii="Cambria" w:eastAsia="Times New Roman" w:hAnsi="Cambria" w:cs="Arial"/>
          <w:color w:val="222222"/>
          <w:sz w:val="20"/>
          <w:szCs w:val="20"/>
          <w:lang w:val="pt-PT"/>
        </w:rPr>
        <w:t xml:space="preserve">, </w:t>
      </w:r>
      <w:r w:rsidR="00BB0FFF">
        <w:rPr>
          <w:rFonts w:ascii="Cambria" w:eastAsia="Times New Roman" w:hAnsi="Cambria" w:cs="Arial"/>
          <w:color w:val="222222"/>
          <w:sz w:val="20"/>
          <w:szCs w:val="20"/>
          <w:lang w:val="pt-PT"/>
        </w:rPr>
        <w:t>Bolí</w:t>
      </w:r>
      <w:r w:rsidR="0065591B">
        <w:rPr>
          <w:rFonts w:ascii="Cambria" w:eastAsia="Times New Roman" w:hAnsi="Cambria" w:cs="Arial"/>
          <w:color w:val="222222"/>
          <w:sz w:val="20"/>
          <w:szCs w:val="20"/>
          <w:lang w:val="pt-PT"/>
        </w:rPr>
        <w:t>via</w:t>
      </w:r>
      <w:r w:rsidRPr="000C10BF">
        <w:rPr>
          <w:rFonts w:ascii="Cambria" w:eastAsia="Times New Roman" w:hAnsi="Cambria" w:cs="Arial"/>
          <w:color w:val="222222"/>
          <w:sz w:val="20"/>
          <w:szCs w:val="20"/>
          <w:lang w:val="pt-PT"/>
        </w:rPr>
        <w:t xml:space="preserve">, em </w:t>
      </w:r>
      <w:r w:rsidR="0065591B">
        <w:rPr>
          <w:rFonts w:ascii="Cambria" w:eastAsia="Times New Roman" w:hAnsi="Cambria" w:cs="Arial"/>
          <w:color w:val="222222"/>
          <w:sz w:val="20"/>
          <w:szCs w:val="20"/>
          <w:lang w:val="pt-PT"/>
        </w:rPr>
        <w:t>12 de fevereiro</w:t>
      </w:r>
      <w:r w:rsidRPr="000C10BF">
        <w:rPr>
          <w:rFonts w:ascii="Cambria" w:eastAsia="Times New Roman" w:hAnsi="Cambria" w:cs="Arial"/>
          <w:color w:val="222222"/>
          <w:sz w:val="20"/>
          <w:szCs w:val="20"/>
          <w:lang w:val="pt-PT"/>
        </w:rPr>
        <w:t xml:space="preserve"> de 201</w:t>
      </w:r>
      <w:r w:rsidR="0065591B">
        <w:rPr>
          <w:rFonts w:ascii="Cambria" w:eastAsia="Times New Roman" w:hAnsi="Cambria" w:cs="Arial"/>
          <w:color w:val="222222"/>
          <w:sz w:val="20"/>
          <w:szCs w:val="20"/>
          <w:lang w:val="pt-PT"/>
        </w:rPr>
        <w:t>9</w:t>
      </w:r>
      <w:r w:rsidRPr="000C10BF">
        <w:rPr>
          <w:rFonts w:ascii="Cambria" w:eastAsia="Times New Roman" w:hAnsi="Cambria" w:cs="Arial"/>
          <w:color w:val="222222"/>
          <w:sz w:val="20"/>
          <w:szCs w:val="20"/>
          <w:lang w:val="pt-PT"/>
        </w:rPr>
        <w:t>.</w:t>
      </w:r>
    </w:p>
    <w:p w14:paraId="6C590EB9" w14:textId="77777777" w:rsidR="000C10BF" w:rsidRPr="000C10BF" w:rsidRDefault="000C10BF" w:rsidP="000C10BF">
      <w:pPr>
        <w:shd w:val="clear" w:color="auto" w:fill="FFFFFF" w:themeFill="background1"/>
        <w:ind w:firstLine="630"/>
        <w:jc w:val="both"/>
        <w:textAlignment w:val="top"/>
        <w:rPr>
          <w:rFonts w:ascii="Cambria" w:eastAsia="Times New Roman" w:hAnsi="Cambria" w:cs="Arial"/>
          <w:color w:val="222222"/>
          <w:sz w:val="20"/>
          <w:szCs w:val="20"/>
          <w:lang w:val="pt-PT"/>
        </w:rPr>
      </w:pPr>
    </w:p>
    <w:p w14:paraId="2F96C37F" w14:textId="77777777" w:rsidR="000C10BF" w:rsidRPr="000C10BF" w:rsidRDefault="000C10BF" w:rsidP="000C10BF">
      <w:pPr>
        <w:shd w:val="clear" w:color="auto" w:fill="FFFFFF" w:themeFill="background1"/>
        <w:ind w:firstLine="630"/>
        <w:jc w:val="both"/>
        <w:textAlignment w:val="top"/>
        <w:rPr>
          <w:rFonts w:ascii="Cambria" w:eastAsia="Times New Roman" w:hAnsi="Cambria" w:cs="Arial"/>
          <w:color w:val="222222"/>
          <w:sz w:val="20"/>
          <w:szCs w:val="20"/>
          <w:lang w:val="pt-PT"/>
        </w:rPr>
      </w:pPr>
      <w:r w:rsidRPr="000C10BF">
        <w:rPr>
          <w:rFonts w:ascii="Cambria" w:eastAsia="Times New Roman" w:hAnsi="Cambria" w:cs="Arial"/>
          <w:color w:val="222222"/>
          <w:sz w:val="20"/>
          <w:szCs w:val="20"/>
          <w:lang w:val="pt-PT"/>
        </w:rPr>
        <w:t>(Assinado):</w:t>
      </w:r>
      <w:r w:rsidR="005B15B4">
        <w:rPr>
          <w:rFonts w:ascii="Cambria" w:eastAsia="Times New Roman" w:hAnsi="Cambria" w:cs="Arial"/>
          <w:color w:val="222222"/>
          <w:sz w:val="20"/>
          <w:szCs w:val="20"/>
          <w:lang w:val="pt-PT"/>
        </w:rPr>
        <w:t xml:space="preserve"> Esmeralda Arosemena Bernal de Troitiño</w:t>
      </w:r>
      <w:r w:rsidRPr="000C10BF">
        <w:rPr>
          <w:rFonts w:ascii="Cambria" w:eastAsia="Times New Roman" w:hAnsi="Cambria" w:cs="Arial"/>
          <w:color w:val="222222"/>
          <w:sz w:val="20"/>
          <w:szCs w:val="20"/>
          <w:lang w:val="pt-PT"/>
        </w:rPr>
        <w:t xml:space="preserve">, </w:t>
      </w:r>
      <w:r w:rsidR="0065591B">
        <w:rPr>
          <w:rFonts w:ascii="Cambria" w:eastAsia="Times New Roman" w:hAnsi="Cambria" w:cs="Arial"/>
          <w:color w:val="222222"/>
          <w:sz w:val="20"/>
          <w:szCs w:val="20"/>
          <w:lang w:val="pt-PT"/>
        </w:rPr>
        <w:t>Presidenta</w:t>
      </w:r>
      <w:r w:rsidRPr="000C10BF">
        <w:rPr>
          <w:rFonts w:ascii="Cambria" w:eastAsia="Times New Roman" w:hAnsi="Cambria" w:cs="Arial"/>
          <w:color w:val="222222"/>
          <w:sz w:val="20"/>
          <w:szCs w:val="20"/>
          <w:lang w:val="pt-PT"/>
        </w:rPr>
        <w:t>;</w:t>
      </w:r>
      <w:r w:rsidR="005B15B4">
        <w:rPr>
          <w:rFonts w:ascii="Cambria" w:eastAsia="Times New Roman" w:hAnsi="Cambria" w:cs="Arial"/>
          <w:color w:val="222222"/>
          <w:sz w:val="20"/>
          <w:szCs w:val="20"/>
          <w:lang w:val="pt-PT"/>
        </w:rPr>
        <w:t xml:space="preserve"> </w:t>
      </w:r>
      <w:r w:rsidR="005B15B4" w:rsidRPr="000C10BF">
        <w:rPr>
          <w:rFonts w:ascii="Cambria" w:eastAsia="Times New Roman" w:hAnsi="Cambria" w:cs="Arial"/>
          <w:color w:val="222222"/>
          <w:sz w:val="20"/>
          <w:szCs w:val="20"/>
          <w:lang w:val="pt-PT"/>
        </w:rPr>
        <w:t>Joel Hernández García</w:t>
      </w:r>
      <w:r w:rsidR="005B15B4">
        <w:rPr>
          <w:rFonts w:ascii="Cambria" w:eastAsia="Times New Roman" w:hAnsi="Cambria" w:cs="Arial"/>
          <w:color w:val="222222"/>
          <w:sz w:val="20"/>
          <w:szCs w:val="20"/>
          <w:lang w:val="pt-PT"/>
        </w:rPr>
        <w:t>,</w:t>
      </w:r>
      <w:r w:rsidRPr="000C10BF">
        <w:rPr>
          <w:rFonts w:ascii="Cambria" w:eastAsia="Times New Roman" w:hAnsi="Cambria" w:cs="Arial"/>
          <w:color w:val="222222"/>
          <w:sz w:val="20"/>
          <w:szCs w:val="20"/>
          <w:lang w:val="pt-PT"/>
        </w:rPr>
        <w:t xml:space="preserve"> </w:t>
      </w:r>
      <w:r w:rsidR="0065591B">
        <w:rPr>
          <w:rFonts w:ascii="Cambria" w:eastAsia="Times New Roman" w:hAnsi="Cambria" w:cs="Arial"/>
          <w:color w:val="222222"/>
          <w:sz w:val="20"/>
          <w:szCs w:val="20"/>
          <w:lang w:val="pt-PT"/>
        </w:rPr>
        <w:t>Prime</w:t>
      </w:r>
      <w:r w:rsidR="00BB0FFF">
        <w:rPr>
          <w:rFonts w:ascii="Cambria" w:eastAsia="Times New Roman" w:hAnsi="Cambria" w:cs="Arial"/>
          <w:color w:val="222222"/>
          <w:sz w:val="20"/>
          <w:szCs w:val="20"/>
          <w:lang w:val="pt-PT"/>
        </w:rPr>
        <w:t>i</w:t>
      </w:r>
      <w:r w:rsidR="0065591B">
        <w:rPr>
          <w:rFonts w:ascii="Cambria" w:eastAsia="Times New Roman" w:hAnsi="Cambria" w:cs="Arial"/>
          <w:color w:val="222222"/>
          <w:sz w:val="20"/>
          <w:szCs w:val="20"/>
          <w:lang w:val="pt-PT"/>
        </w:rPr>
        <w:t>r</w:t>
      </w:r>
      <w:r w:rsidR="00BB0FFF">
        <w:rPr>
          <w:rFonts w:ascii="Cambria" w:eastAsia="Times New Roman" w:hAnsi="Cambria" w:cs="Arial"/>
          <w:color w:val="222222"/>
          <w:sz w:val="20"/>
          <w:szCs w:val="20"/>
          <w:lang w:val="pt-PT"/>
        </w:rPr>
        <w:t>o</w:t>
      </w:r>
      <w:r w:rsidR="005B7B83">
        <w:rPr>
          <w:rFonts w:ascii="Cambria" w:eastAsia="Times New Roman" w:hAnsi="Cambria" w:cs="Arial"/>
          <w:color w:val="222222"/>
          <w:sz w:val="20"/>
          <w:szCs w:val="20"/>
          <w:lang w:val="pt-PT"/>
        </w:rPr>
        <w:t xml:space="preserve"> Vice-Presidente;</w:t>
      </w:r>
      <w:r w:rsidR="0065591B" w:rsidRPr="0065591B">
        <w:rPr>
          <w:rFonts w:ascii="Cambria" w:eastAsia="Times New Roman" w:hAnsi="Cambria" w:cs="Arial"/>
          <w:color w:val="222222"/>
          <w:sz w:val="20"/>
          <w:szCs w:val="20"/>
          <w:lang w:val="pt-PT"/>
        </w:rPr>
        <w:t xml:space="preserve"> </w:t>
      </w:r>
      <w:r w:rsidR="0065591B" w:rsidRPr="000C10BF">
        <w:rPr>
          <w:rFonts w:ascii="Cambria" w:eastAsia="Times New Roman" w:hAnsi="Cambria" w:cs="Arial"/>
          <w:color w:val="222222"/>
          <w:sz w:val="20"/>
          <w:szCs w:val="20"/>
          <w:lang w:val="pt-PT"/>
        </w:rPr>
        <w:t>Antonia Urrejola</w:t>
      </w:r>
      <w:r w:rsidR="005B7B83">
        <w:rPr>
          <w:rFonts w:ascii="Cambria" w:eastAsia="Times New Roman" w:hAnsi="Cambria" w:cs="Arial"/>
          <w:color w:val="222222"/>
          <w:sz w:val="20"/>
          <w:szCs w:val="20"/>
          <w:lang w:val="pt-PT"/>
        </w:rPr>
        <w:t>, Segunda Vice-Presidenta;</w:t>
      </w:r>
      <w:r w:rsidR="0065591B" w:rsidRPr="000C10BF">
        <w:rPr>
          <w:rFonts w:ascii="Cambria" w:eastAsia="Times New Roman" w:hAnsi="Cambria" w:cs="Arial"/>
          <w:color w:val="222222"/>
          <w:sz w:val="20"/>
          <w:szCs w:val="20"/>
          <w:lang w:val="pt-PT"/>
        </w:rPr>
        <w:t xml:space="preserve"> </w:t>
      </w:r>
      <w:r w:rsidR="005B7B83">
        <w:rPr>
          <w:rFonts w:ascii="Cambria" w:eastAsia="Times New Roman" w:hAnsi="Cambria" w:cs="Arial"/>
          <w:color w:val="222222"/>
          <w:sz w:val="20"/>
          <w:szCs w:val="20"/>
          <w:lang w:val="pt-PT"/>
        </w:rPr>
        <w:t>M</w:t>
      </w:r>
      <w:r w:rsidR="005B15B4" w:rsidRPr="000C10BF">
        <w:rPr>
          <w:rFonts w:ascii="Cambria" w:eastAsia="Times New Roman" w:hAnsi="Cambria" w:cs="Arial"/>
          <w:color w:val="222222"/>
          <w:sz w:val="20"/>
          <w:szCs w:val="20"/>
          <w:lang w:val="pt-PT"/>
        </w:rPr>
        <w:t>argarette May Macaulay</w:t>
      </w:r>
      <w:r w:rsidR="005B7B83">
        <w:rPr>
          <w:rFonts w:ascii="Cambria" w:eastAsia="Times New Roman" w:hAnsi="Cambria" w:cs="Arial"/>
          <w:color w:val="222222"/>
          <w:sz w:val="20"/>
          <w:szCs w:val="20"/>
          <w:lang w:val="pt-PT"/>
        </w:rPr>
        <w:t xml:space="preserve"> e</w:t>
      </w:r>
      <w:r w:rsidR="005B15B4" w:rsidRPr="000C10BF">
        <w:rPr>
          <w:rFonts w:ascii="Cambria" w:eastAsia="Times New Roman" w:hAnsi="Cambria" w:cs="Arial"/>
          <w:color w:val="222222"/>
          <w:sz w:val="20"/>
          <w:szCs w:val="20"/>
          <w:lang w:val="pt-PT"/>
        </w:rPr>
        <w:t xml:space="preserve"> </w:t>
      </w:r>
      <w:r w:rsidRPr="000C10BF">
        <w:rPr>
          <w:rFonts w:ascii="Cambria" w:eastAsia="Times New Roman" w:hAnsi="Cambria" w:cs="Arial"/>
          <w:color w:val="222222"/>
          <w:sz w:val="20"/>
          <w:szCs w:val="20"/>
          <w:lang w:val="pt-PT"/>
        </w:rPr>
        <w:t>Fr</w:t>
      </w:r>
      <w:r w:rsidR="005B7B83">
        <w:rPr>
          <w:rFonts w:ascii="Cambria" w:eastAsia="Times New Roman" w:hAnsi="Cambria" w:cs="Arial"/>
          <w:color w:val="222222"/>
          <w:sz w:val="20"/>
          <w:szCs w:val="20"/>
          <w:lang w:val="pt-PT"/>
        </w:rPr>
        <w:t>ancisco José Eguiguren Praeli,</w:t>
      </w:r>
      <w:r w:rsidRPr="000C10BF">
        <w:rPr>
          <w:rFonts w:ascii="Cambria" w:eastAsia="Times New Roman" w:hAnsi="Cambria" w:cs="Arial"/>
          <w:color w:val="222222"/>
          <w:sz w:val="20"/>
          <w:szCs w:val="20"/>
          <w:lang w:val="pt-PT"/>
        </w:rPr>
        <w:t xml:space="preserve"> Membros da Comissão.</w:t>
      </w:r>
    </w:p>
    <w:p w14:paraId="45D6B561" w14:textId="77777777" w:rsidR="000C10BF" w:rsidRPr="000C10BF" w:rsidRDefault="000C10BF" w:rsidP="000C10BF">
      <w:pPr>
        <w:shd w:val="clear" w:color="auto" w:fill="FFFFFF" w:themeFill="background1"/>
        <w:jc w:val="both"/>
        <w:textAlignment w:val="top"/>
        <w:rPr>
          <w:rFonts w:ascii="Cambria" w:eastAsia="Times New Roman" w:hAnsi="Cambria" w:cs="Arial"/>
          <w:color w:val="222222"/>
          <w:sz w:val="20"/>
          <w:szCs w:val="20"/>
          <w:lang w:val="pt-PT"/>
        </w:rPr>
      </w:pPr>
    </w:p>
    <w:p w14:paraId="58F926B3" w14:textId="77777777" w:rsidR="000C10BF" w:rsidRDefault="000C10BF" w:rsidP="000C10BF">
      <w:pPr>
        <w:shd w:val="clear" w:color="auto" w:fill="FFFFFF" w:themeFill="background1"/>
        <w:ind w:firstLine="630"/>
        <w:jc w:val="both"/>
        <w:textAlignment w:val="top"/>
        <w:rPr>
          <w:rFonts w:ascii="Cambria" w:eastAsia="Times New Roman" w:hAnsi="Cambria" w:cs="Arial"/>
          <w:color w:val="222222"/>
          <w:sz w:val="20"/>
          <w:szCs w:val="20"/>
          <w:lang w:val="pt-PT"/>
        </w:rPr>
      </w:pPr>
      <w:r w:rsidRPr="000C10BF">
        <w:rPr>
          <w:rFonts w:ascii="Cambria" w:eastAsia="Times New Roman" w:hAnsi="Cambria" w:cs="Arial"/>
          <w:color w:val="222222"/>
          <w:sz w:val="20"/>
          <w:szCs w:val="20"/>
          <w:lang w:val="pt-PT"/>
        </w:rPr>
        <w:t xml:space="preserve">O abaixo assinado, </w:t>
      </w:r>
      <w:r w:rsidR="006519F9">
        <w:rPr>
          <w:rFonts w:ascii="Cambria" w:eastAsia="Times New Roman" w:hAnsi="Cambria" w:cs="Arial"/>
          <w:color w:val="222222"/>
          <w:sz w:val="20"/>
          <w:szCs w:val="20"/>
          <w:lang w:val="pt-PT"/>
        </w:rPr>
        <w:t>Marisol Blanchard</w:t>
      </w:r>
      <w:r w:rsidRPr="000C10BF">
        <w:rPr>
          <w:rFonts w:ascii="Cambria" w:eastAsia="Times New Roman" w:hAnsi="Cambria" w:cs="Arial"/>
          <w:color w:val="222222"/>
          <w:sz w:val="20"/>
          <w:szCs w:val="20"/>
          <w:lang w:val="pt-PT"/>
        </w:rPr>
        <w:t xml:space="preserve">, </w:t>
      </w:r>
      <w:r w:rsidR="006519F9">
        <w:rPr>
          <w:rFonts w:ascii="Cambria" w:eastAsia="Times New Roman" w:hAnsi="Cambria" w:cs="Arial"/>
          <w:color w:val="222222"/>
          <w:sz w:val="20"/>
          <w:szCs w:val="20"/>
          <w:lang w:val="pt-PT"/>
        </w:rPr>
        <w:t xml:space="preserve">Chefa de Gabinete da Secretaria Executiva da CIDH </w:t>
      </w:r>
      <w:r w:rsidRPr="000C10BF">
        <w:rPr>
          <w:rFonts w:ascii="Cambria" w:eastAsia="Times New Roman" w:hAnsi="Cambria" w:cs="Arial"/>
          <w:color w:val="222222"/>
          <w:sz w:val="20"/>
          <w:szCs w:val="20"/>
          <w:lang w:val="pt-PT"/>
        </w:rPr>
        <w:t>, em conformidade com o artigo 49 do Regulamento da Comissão, certifica que é uma cópia fiel do original depositado nos arquivos da Secretaria da CIDH.</w:t>
      </w:r>
    </w:p>
    <w:p w14:paraId="694E8069" w14:textId="77777777" w:rsidR="005B7B83" w:rsidRDefault="005B7B83" w:rsidP="00505D3E">
      <w:pPr>
        <w:shd w:val="clear" w:color="auto" w:fill="FFFFFF" w:themeFill="background1"/>
        <w:jc w:val="both"/>
        <w:textAlignment w:val="top"/>
        <w:rPr>
          <w:rFonts w:ascii="Verdana" w:hAnsi="Verdana"/>
          <w:noProof/>
          <w:sz w:val="20"/>
          <w:szCs w:val="20"/>
        </w:rPr>
      </w:pPr>
    </w:p>
    <w:p w14:paraId="03A11EC1" w14:textId="77777777" w:rsidR="00505D3E" w:rsidRDefault="00505D3E" w:rsidP="00505D3E">
      <w:pPr>
        <w:shd w:val="clear" w:color="auto" w:fill="FFFFFF" w:themeFill="background1"/>
        <w:jc w:val="both"/>
        <w:textAlignment w:val="top"/>
        <w:rPr>
          <w:rFonts w:ascii="Verdana" w:hAnsi="Verdana"/>
          <w:noProof/>
          <w:sz w:val="20"/>
          <w:szCs w:val="20"/>
        </w:rPr>
      </w:pPr>
    </w:p>
    <w:p w14:paraId="57258716" w14:textId="77777777" w:rsidR="00505D3E" w:rsidRDefault="00505D3E" w:rsidP="00505D3E">
      <w:pPr>
        <w:shd w:val="clear" w:color="auto" w:fill="FFFFFF" w:themeFill="background1"/>
        <w:jc w:val="both"/>
        <w:textAlignment w:val="top"/>
        <w:rPr>
          <w:rFonts w:ascii="Verdana" w:hAnsi="Verdana"/>
          <w:noProof/>
          <w:sz w:val="20"/>
          <w:szCs w:val="20"/>
        </w:rPr>
      </w:pPr>
    </w:p>
    <w:p w14:paraId="55BC40F1" w14:textId="77777777" w:rsidR="00505D3E" w:rsidRPr="00465ED5" w:rsidRDefault="00505D3E" w:rsidP="00505D3E">
      <w:pPr>
        <w:shd w:val="clear" w:color="auto" w:fill="FFFFFF" w:themeFill="background1"/>
        <w:jc w:val="both"/>
        <w:textAlignment w:val="top"/>
        <w:rPr>
          <w:rFonts w:ascii="Cambria" w:eastAsia="Times New Roman" w:hAnsi="Cambria" w:cs="Arial"/>
          <w:color w:val="222222"/>
          <w:sz w:val="20"/>
          <w:szCs w:val="20"/>
          <w:lang w:val="pt-PT"/>
        </w:rPr>
      </w:pPr>
    </w:p>
    <w:p w14:paraId="3214313F" w14:textId="77777777" w:rsidR="005B7B83" w:rsidRPr="00465ED5" w:rsidRDefault="006519F9" w:rsidP="005B7B83">
      <w:pPr>
        <w:ind w:left="720" w:hanging="720"/>
        <w:jc w:val="center"/>
        <w:rPr>
          <w:rFonts w:ascii="Cambria" w:hAnsi="Cambria" w:cs="Arial"/>
          <w:sz w:val="20"/>
          <w:szCs w:val="20"/>
          <w:lang w:val="pt-BR"/>
        </w:rPr>
      </w:pPr>
      <w:r w:rsidRPr="00465ED5">
        <w:rPr>
          <w:rFonts w:ascii="Cambria" w:hAnsi="Cambria" w:cs="Arial"/>
          <w:sz w:val="20"/>
          <w:szCs w:val="20"/>
          <w:lang w:val="pt-BR"/>
        </w:rPr>
        <w:t>Marisol Blanchard</w:t>
      </w:r>
    </w:p>
    <w:p w14:paraId="4BB2139B" w14:textId="77777777" w:rsidR="006519F9" w:rsidRPr="00465ED5" w:rsidRDefault="00465ED5" w:rsidP="005B7B83">
      <w:pPr>
        <w:ind w:left="720" w:hanging="720"/>
        <w:jc w:val="center"/>
        <w:rPr>
          <w:rFonts w:ascii="Cambria" w:hAnsi="Cambria" w:cs="Arial"/>
          <w:sz w:val="20"/>
          <w:szCs w:val="20"/>
          <w:lang w:val="pt-BR"/>
        </w:rPr>
      </w:pPr>
      <w:r w:rsidRPr="00465ED5">
        <w:rPr>
          <w:rFonts w:ascii="Cambria" w:eastAsia="Times New Roman" w:hAnsi="Cambria" w:cs="Arial"/>
          <w:color w:val="222222"/>
          <w:sz w:val="20"/>
          <w:szCs w:val="20"/>
          <w:lang w:val="pt-PT"/>
        </w:rPr>
        <w:t>Chefa de Gabinete da Secretaria Executiva da CIDH</w:t>
      </w:r>
    </w:p>
    <w:sectPr w:rsidR="006519F9" w:rsidRPr="00465ED5" w:rsidSect="00787C74">
      <w:type w:val="oddPage"/>
      <w:pgSz w:w="12240" w:h="15840"/>
      <w:pgMar w:top="1440" w:right="1325"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8BC75" w14:textId="77777777" w:rsidR="000516D5" w:rsidRDefault="000516D5">
      <w:r>
        <w:separator/>
      </w:r>
    </w:p>
  </w:endnote>
  <w:endnote w:type="continuationSeparator" w:id="0">
    <w:p w14:paraId="71A78441" w14:textId="77777777" w:rsidR="000516D5" w:rsidRDefault="0005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25A2" w14:textId="77777777" w:rsidR="000516D5" w:rsidRPr="00934A2C" w:rsidRDefault="000516D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05D3E">
      <w:rPr>
        <w:noProof/>
        <w:sz w:val="16"/>
        <w:szCs w:val="22"/>
      </w:rPr>
      <w:t>23</w:t>
    </w:r>
    <w:r w:rsidRPr="00934A2C">
      <w:rPr>
        <w:noProof/>
        <w:sz w:val="16"/>
        <w:szCs w:val="22"/>
      </w:rPr>
      <w:fldChar w:fldCharType="end"/>
    </w:r>
  </w:p>
  <w:p w14:paraId="766761E2" w14:textId="77777777" w:rsidR="000516D5" w:rsidRDefault="0005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CEAF" w14:textId="77777777" w:rsidR="000516D5" w:rsidRPr="00934A2C" w:rsidRDefault="000516D5">
    <w:pPr>
      <w:pStyle w:val="Footer"/>
      <w:jc w:val="center"/>
      <w:rPr>
        <w:sz w:val="16"/>
        <w:szCs w:val="22"/>
      </w:rPr>
    </w:pPr>
  </w:p>
  <w:p w14:paraId="3C2DD2EF" w14:textId="77777777" w:rsidR="000516D5" w:rsidRDefault="0005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43DEC" w14:textId="77777777" w:rsidR="000516D5" w:rsidRPr="00FB3D19" w:rsidRDefault="000516D5">
      <w:pPr>
        <w:rPr>
          <w:rFonts w:ascii="Cambria" w:hAnsi="Cambria"/>
          <w:sz w:val="16"/>
          <w:szCs w:val="16"/>
        </w:rPr>
      </w:pPr>
      <w:r w:rsidRPr="00FB3D19">
        <w:rPr>
          <w:rFonts w:ascii="Cambria" w:hAnsi="Cambria"/>
          <w:sz w:val="16"/>
          <w:szCs w:val="16"/>
        </w:rPr>
        <w:separator/>
      </w:r>
    </w:p>
  </w:footnote>
  <w:footnote w:type="continuationSeparator" w:id="0">
    <w:p w14:paraId="181306D8" w14:textId="77777777" w:rsidR="000516D5" w:rsidRPr="00FB3D19" w:rsidRDefault="000516D5" w:rsidP="000F35ED">
      <w:pPr>
        <w:rPr>
          <w:rFonts w:ascii="Cambria" w:hAnsi="Cambria"/>
          <w:sz w:val="16"/>
          <w:szCs w:val="16"/>
        </w:rPr>
      </w:pPr>
      <w:r w:rsidRPr="00FB3D19">
        <w:rPr>
          <w:rFonts w:ascii="Cambria" w:hAnsi="Cambria"/>
          <w:sz w:val="16"/>
          <w:szCs w:val="16"/>
        </w:rPr>
        <w:separator/>
      </w:r>
    </w:p>
    <w:p w14:paraId="2CFA39E0" w14:textId="77777777" w:rsidR="000516D5" w:rsidRPr="00FB3D19" w:rsidRDefault="000516D5" w:rsidP="000F35ED">
      <w:pPr>
        <w:pStyle w:val="Footer"/>
        <w:rPr>
          <w:sz w:val="16"/>
          <w:szCs w:val="16"/>
        </w:rPr>
      </w:pPr>
      <w:r w:rsidRPr="00FB3D19">
        <w:rPr>
          <w:sz w:val="16"/>
          <w:szCs w:val="16"/>
        </w:rPr>
        <w:t xml:space="preserve">[… </w:t>
      </w:r>
      <w:r w:rsidRPr="00125D8F">
        <w:rPr>
          <w:sz w:val="16"/>
          <w:szCs w:val="16"/>
          <w:lang w:val="pt-BR"/>
        </w:rPr>
        <w:t>continuação</w:t>
      </w:r>
      <w:r w:rsidRPr="00FB3D19">
        <w:rPr>
          <w:sz w:val="16"/>
          <w:szCs w:val="16"/>
        </w:rPr>
        <w:t>]</w:t>
      </w:r>
    </w:p>
  </w:footnote>
  <w:footnote w:type="continuationNotice" w:id="1">
    <w:p w14:paraId="72CCEABC" w14:textId="77777777" w:rsidR="000516D5" w:rsidRPr="00FB3D19" w:rsidRDefault="000516D5" w:rsidP="000F35ED">
      <w:pPr>
        <w:jc w:val="right"/>
        <w:rPr>
          <w:rFonts w:ascii="Cambria" w:hAnsi="Cambria"/>
          <w:sz w:val="16"/>
          <w:szCs w:val="16"/>
          <w:lang w:val="es-ES"/>
        </w:rPr>
      </w:pPr>
      <w:r w:rsidRPr="00FB3D19">
        <w:rPr>
          <w:rFonts w:ascii="Cambria" w:hAnsi="Cambria"/>
          <w:sz w:val="16"/>
          <w:szCs w:val="16"/>
          <w:lang w:val="es-ES"/>
        </w:rPr>
        <w:t>[continúa…]</w:t>
      </w:r>
    </w:p>
  </w:footnote>
  <w:footnote w:id="2">
    <w:p w14:paraId="59B5C542" w14:textId="77777777" w:rsidR="000516D5" w:rsidRPr="007373D2" w:rsidRDefault="000516D5" w:rsidP="007373D2">
      <w:pPr>
        <w:pStyle w:val="FootnoteText"/>
        <w:jc w:val="both"/>
        <w:rPr>
          <w:szCs w:val="16"/>
          <w:lang w:val="pt-BR"/>
        </w:rPr>
      </w:pPr>
      <w:r w:rsidRPr="007373D2">
        <w:rPr>
          <w:rStyle w:val="FootnoteReference"/>
          <w:color w:val="auto"/>
          <w:szCs w:val="16"/>
          <w:lang w:val="pt-BR"/>
        </w:rPr>
        <w:footnoteRef/>
      </w:r>
      <w:r w:rsidRPr="007373D2">
        <w:rPr>
          <w:color w:val="auto"/>
          <w:szCs w:val="16"/>
          <w:lang w:val="pt-BR"/>
        </w:rPr>
        <w:t xml:space="preserve"> CIDH. Relatório de admissibilidade Nº 38/07. Caso 12.263. Márcia Barbosa de Souza. Brasil, 26 de julho de 2007. A Comissão admitiu os artigos 4, 8.1, 24 e 25 da Convenção Americana, em conexão com a obrigação geral contida no artigo 1.1 do mesmo instrumento, bem como o artigo 7 da Convenção de Belém do Pará a respeito de Márcia Barbosa de Souza e seus familiares. </w:t>
      </w:r>
    </w:p>
  </w:footnote>
  <w:footnote w:id="3">
    <w:p w14:paraId="2D5D642C"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Documento apresentado pela parte peticionária em 2 de outubro de 2006.</w:t>
      </w:r>
    </w:p>
  </w:footnote>
  <w:footnote w:id="4">
    <w:p w14:paraId="72D8B4B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Petição Inicial de 28 de março de 2000.</w:t>
      </w:r>
    </w:p>
  </w:footnote>
  <w:footnote w:id="5">
    <w:p w14:paraId="7E9A9ECF"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CIDH. </w:t>
      </w:r>
      <w:r w:rsidRPr="007373D2">
        <w:rPr>
          <w:i/>
          <w:szCs w:val="16"/>
          <w:lang w:val="pt-BR"/>
        </w:rPr>
        <w:t>Relatório sobre a Situação dos Direitos Humanos no Brasil</w:t>
      </w:r>
      <w:r w:rsidRPr="007373D2">
        <w:rPr>
          <w:szCs w:val="16"/>
          <w:lang w:val="pt-BR"/>
        </w:rPr>
        <w:t>. OEA/Ser.L/V/II.97 Doc. 29 ver. 1. 29 de setembro de 1997, pp. 142-145.</w:t>
      </w:r>
    </w:p>
  </w:footnote>
  <w:footnote w:id="6">
    <w:p w14:paraId="0CCB57A0"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CIDH. Relatório Nº 54/01. Caso 12.051. Mérito. Maria da Penha Maia Fernandes. Brasil. 16 de abril de 2001, parágrafo 55.</w:t>
      </w:r>
    </w:p>
  </w:footnote>
  <w:footnote w:id="7">
    <w:p w14:paraId="6FED424E"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Brasil. </w:t>
      </w:r>
      <w:r w:rsidRPr="007373D2">
        <w:rPr>
          <w:i/>
          <w:szCs w:val="16"/>
          <w:lang w:val="pt-BR"/>
        </w:rPr>
        <w:t>Lei nº 11.340, de 7 de agosto de 2006</w:t>
      </w:r>
      <w:r w:rsidRPr="007373D2">
        <w:rPr>
          <w:szCs w:val="16"/>
          <w:lang w:val="pt-BR"/>
        </w:rPr>
        <w:t>. Disponível em: http://www.planalto.gov.br/ccivil_03/_ato2004-2006/2006/lei/l11340.htm (última visita em 19 de setembro de 2018).</w:t>
      </w:r>
    </w:p>
  </w:footnote>
  <w:footnote w:id="8">
    <w:p w14:paraId="7C15987A"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Nações Unidas. Observações finais do Comitê para a Eliminação da Discriminação contra a Mulher - Brasil. UN Doc. CEDAW/C/BRA/CO/7. 23 de março de 2012.</w:t>
      </w:r>
    </w:p>
  </w:footnote>
  <w:footnote w:id="9">
    <w:p w14:paraId="6387811F"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Brasil, Senado Federal. </w:t>
      </w:r>
      <w:r w:rsidRPr="007373D2">
        <w:rPr>
          <w:i/>
          <w:szCs w:val="16"/>
          <w:lang w:val="pt-BR"/>
        </w:rPr>
        <w:t>Violência doméstica e familiar contra a mulher</w:t>
      </w:r>
      <w:r w:rsidRPr="007373D2">
        <w:rPr>
          <w:szCs w:val="16"/>
          <w:lang w:val="pt-BR"/>
        </w:rPr>
        <w:t xml:space="preserve">. Agosto de 2015. Disponível em:  </w:t>
      </w:r>
      <w:hyperlink r:id="rId1" w:history="1">
        <w:r w:rsidRPr="007373D2">
          <w:rPr>
            <w:rStyle w:val="Hyperlink"/>
            <w:szCs w:val="16"/>
            <w:lang w:val="pt-BR"/>
          </w:rPr>
          <w:t>https://www12.senado.leg.br/noticias/arquivos/2015/08/10/violencia-domestica-e-familiar-contra-a-mulher</w:t>
        </w:r>
      </w:hyperlink>
      <w:r w:rsidRPr="007373D2">
        <w:rPr>
          <w:szCs w:val="16"/>
          <w:lang w:val="pt-BR"/>
        </w:rPr>
        <w:t xml:space="preserve"> (última visita em 19 de setembro de 2018).</w:t>
      </w:r>
    </w:p>
  </w:footnote>
  <w:footnote w:id="10">
    <w:p w14:paraId="60716564"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Brasil. </w:t>
      </w:r>
      <w:r w:rsidRPr="007373D2">
        <w:rPr>
          <w:i/>
          <w:szCs w:val="16"/>
          <w:lang w:val="pt-BR"/>
        </w:rPr>
        <w:t>Lei nº 13.104, de 9 de março de 2015</w:t>
      </w:r>
      <w:r w:rsidRPr="007373D2">
        <w:rPr>
          <w:szCs w:val="16"/>
          <w:lang w:val="pt-BR"/>
        </w:rPr>
        <w:t>. Disponível em: http://www.planalto.gov.br/ccivil_03/_Ato2015-2018/2015/lei/L13104.htm (última visita em 19 de setembro de 2018).</w:t>
      </w:r>
    </w:p>
  </w:footnote>
  <w:footnote w:id="11">
    <w:p w14:paraId="794B9314"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FLACSO, Mapa da Violência 2015: Homicídio de Mulheres no Brasil, 9 de novembro de 2015. Disponível em: </w:t>
      </w:r>
      <w:hyperlink r:id="rId2" w:history="1">
        <w:r w:rsidRPr="007373D2">
          <w:rPr>
            <w:rStyle w:val="Hyperlink"/>
            <w:szCs w:val="16"/>
            <w:lang w:val="pt-BR"/>
          </w:rPr>
          <w:t>http://flacso.org.br/?p=13485</w:t>
        </w:r>
      </w:hyperlink>
      <w:r w:rsidRPr="007373D2">
        <w:rPr>
          <w:szCs w:val="16"/>
          <w:lang w:val="pt-BR"/>
        </w:rPr>
        <w:t xml:space="preserve"> </w:t>
      </w:r>
    </w:p>
  </w:footnote>
  <w:footnote w:id="12">
    <w:p w14:paraId="635659BA"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IPEA, Brasil ultrapassa pela primeira vez a marca de 30 homicídios por 100 mil habitantes. 5 de junho de 2018. Disponível em: </w:t>
      </w:r>
      <w:hyperlink r:id="rId3" w:history="1">
        <w:r w:rsidRPr="007373D2">
          <w:rPr>
            <w:rStyle w:val="Hyperlink"/>
            <w:szCs w:val="16"/>
            <w:lang w:val="pt-BR"/>
          </w:rPr>
          <w:t>http://www.ipea.gov.br/portal/index.php?option=com_content&amp;view=article&amp;id=33411&amp;catid=8&amp;Itemid=6</w:t>
        </w:r>
      </w:hyperlink>
      <w:r w:rsidRPr="007373D2">
        <w:rPr>
          <w:szCs w:val="16"/>
          <w:lang w:val="pt-BR"/>
        </w:rPr>
        <w:t xml:space="preserve"> </w:t>
      </w:r>
    </w:p>
  </w:footnote>
  <w:footnote w:id="13">
    <w:p w14:paraId="02BD3154"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G1. </w:t>
      </w:r>
      <w:r w:rsidRPr="007373D2">
        <w:rPr>
          <w:i/>
          <w:szCs w:val="16"/>
          <w:lang w:val="pt-BR"/>
        </w:rPr>
        <w:t>Cresce o número de mulheres vítimas de homicídio no Brasil; dados de feminicídio são subnotificados</w:t>
      </w:r>
      <w:r w:rsidRPr="007373D2">
        <w:rPr>
          <w:szCs w:val="16"/>
          <w:lang w:val="pt-BR"/>
        </w:rPr>
        <w:t>. 07 de março de 2018. Disponível em: https://g1.globo.com/monitor-da-violencia/noticia/cresce-n-de-mulheres-vitimas-de-homicidio-no-brasil-dados-de-feminicidio-sao-subnotificados.ghtml (última visita em 19 de setembro de 2018).</w:t>
      </w:r>
    </w:p>
  </w:footnote>
  <w:footnote w:id="14">
    <w:p w14:paraId="2F1A278D" w14:textId="77777777" w:rsidR="000516D5" w:rsidRPr="007373D2" w:rsidRDefault="000516D5" w:rsidP="007373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16"/>
          <w:szCs w:val="16"/>
          <w:bdr w:val="none" w:sz="0" w:space="0" w:color="auto"/>
          <w:lang w:val="pt-BR" w:eastAsia="es-ES_tradnl"/>
        </w:rPr>
      </w:pPr>
      <w:r w:rsidRPr="007373D2">
        <w:rPr>
          <w:rFonts w:ascii="Cambria" w:hAnsi="Cambria"/>
          <w:sz w:val="16"/>
          <w:szCs w:val="16"/>
          <w:vertAlign w:val="superscript"/>
          <w:lang w:val="pt-BR"/>
        </w:rPr>
        <w:footnoteRef/>
      </w:r>
      <w:r w:rsidRPr="007373D2">
        <w:rPr>
          <w:rFonts w:ascii="Cambria" w:hAnsi="Cambria"/>
          <w:sz w:val="16"/>
          <w:szCs w:val="16"/>
          <w:lang w:val="pt-BR"/>
        </w:rPr>
        <w:t xml:space="preserve"> CIDH, </w:t>
      </w:r>
      <w:hyperlink r:id="rId4" w:history="1">
        <w:r w:rsidRPr="007373D2">
          <w:rPr>
            <w:rStyle w:val="Hyperlink"/>
            <w:rFonts w:ascii="Cambria" w:eastAsia="Times New Roman" w:hAnsi="Cambria"/>
            <w:sz w:val="16"/>
            <w:szCs w:val="16"/>
            <w:bdr w:val="none" w:sz="0" w:space="0" w:color="auto"/>
            <w:lang w:val="pt-BR" w:eastAsia="es-ES_tradnl"/>
          </w:rPr>
          <w:t>Observações Preliminares da Visita in loco da CIDH ao Brasi</w:t>
        </w:r>
      </w:hyperlink>
      <w:r w:rsidRPr="007373D2">
        <w:rPr>
          <w:rFonts w:ascii="Cambria" w:eastAsia="Times New Roman" w:hAnsi="Cambria"/>
          <w:sz w:val="16"/>
          <w:szCs w:val="16"/>
          <w:bdr w:val="none" w:sz="0" w:space="0" w:color="auto"/>
          <w:lang w:val="pt-BR" w:eastAsia="es-ES_tradnl"/>
        </w:rPr>
        <w:t xml:space="preserve">l, 10 de novembro de 2018;  </w:t>
      </w:r>
      <w:r w:rsidRPr="007373D2">
        <w:rPr>
          <w:rFonts w:ascii="Cambria" w:hAnsi="Cambria"/>
          <w:sz w:val="16"/>
          <w:szCs w:val="16"/>
          <w:lang w:val="pt-BR"/>
        </w:rPr>
        <w:t xml:space="preserve">CIDH, Comunicado de Imprensa Nº 24/19, </w:t>
      </w:r>
      <w:hyperlink r:id="rId5" w:history="1">
        <w:r w:rsidRPr="007373D2">
          <w:rPr>
            <w:rStyle w:val="Hyperlink"/>
            <w:rFonts w:ascii="Cambria" w:hAnsi="Cambria"/>
            <w:sz w:val="16"/>
            <w:szCs w:val="16"/>
            <w:lang w:val="pt-BR"/>
          </w:rPr>
          <w:t>CIDH manifesta sua profunda preocupação com a alarmante prevalência de assassinatos de mulheres por razões de gênero no Brasil</w:t>
        </w:r>
      </w:hyperlink>
      <w:r w:rsidRPr="007373D2">
        <w:rPr>
          <w:rFonts w:ascii="Cambria" w:hAnsi="Cambria"/>
          <w:sz w:val="16"/>
          <w:szCs w:val="16"/>
          <w:lang w:val="pt-BR"/>
        </w:rPr>
        <w:t xml:space="preserve">, </w:t>
      </w:r>
      <w:r w:rsidRPr="007373D2">
        <w:rPr>
          <w:rFonts w:ascii="Cambria" w:hAnsi="Cambria"/>
          <w:color w:val="000000"/>
          <w:sz w:val="16"/>
          <w:szCs w:val="16"/>
          <w:lang w:val="pt-BR"/>
        </w:rPr>
        <w:t>4 de fevereiro de 2019</w:t>
      </w:r>
      <w:r w:rsidRPr="007373D2">
        <w:rPr>
          <w:rFonts w:ascii="Cambria" w:hAnsi="Cambria"/>
          <w:sz w:val="16"/>
          <w:szCs w:val="16"/>
          <w:lang w:val="pt-BR"/>
        </w:rPr>
        <w:t>.</w:t>
      </w:r>
    </w:p>
  </w:footnote>
  <w:footnote w:id="15">
    <w:p w14:paraId="196C235F"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Câmara dos Deputados; Comissão de Direitos Humanos. </w:t>
      </w:r>
      <w:r w:rsidRPr="007373D2">
        <w:rPr>
          <w:i/>
          <w:szCs w:val="16"/>
          <w:lang w:val="pt-BR"/>
        </w:rPr>
        <w:t>Relatório das atividades da Comissão de Direitos Humanos da Câmara dos Deputados no ano de 2001</w:t>
      </w:r>
      <w:r w:rsidRPr="007373D2">
        <w:rPr>
          <w:szCs w:val="16"/>
          <w:lang w:val="pt-BR"/>
        </w:rPr>
        <w:t>. Brasília: Centro de Documentação e Informação; Coordenação de Publicações, 2002.</w:t>
      </w:r>
    </w:p>
  </w:footnote>
  <w:footnote w:id="16">
    <w:p w14:paraId="6495A124"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 Denúncia do Ministério Público contra o Deputado Aércio Pereira de 8 de outubro de 1998. Petição Inicial de 28 de março de 2000; Anexo 76. Recorte de jornal. Documento enviado pela parte peticionária em 29 de setembro de 2010.</w:t>
      </w:r>
    </w:p>
  </w:footnote>
  <w:footnote w:id="17">
    <w:p w14:paraId="5B53D3AB"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 Denúncia do Ministério Público contra o Deputado Aércio Pereira de 8 de outubro de 1998. Petição Inicial de 28 de março de 2000.</w:t>
      </w:r>
    </w:p>
  </w:footnote>
  <w:footnote w:id="18">
    <w:p w14:paraId="39EC2F0C"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 Declaração de Severino Reginaldo de Souza. Documento enviado pela parte peticionária em 29 de setembro de 2010.</w:t>
      </w:r>
    </w:p>
  </w:footnote>
  <w:footnote w:id="19">
    <w:p w14:paraId="34D5B6BA"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 Testemunho de Márcia Santos Cavalcante. Documento enviado pela parte peticionária em 29 de setembro de 2010.</w:t>
      </w:r>
    </w:p>
  </w:footnote>
  <w:footnote w:id="20">
    <w:p w14:paraId="05CFCF79"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 Relatório final da Delegacia de Crimes contra a Pessoa de 27 de agosto de 1998. Petição Inicial de 28 de março de 2000.</w:t>
      </w:r>
    </w:p>
  </w:footnote>
  <w:footnote w:id="21">
    <w:p w14:paraId="1056F68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 Relatório final da Delegacia de Crimes contra a Pessoa de 27 de agosto de 1998. Petição Inicial de 28 de março de 2000; Anexo 10. Declaração de Antônio Lopes de Brito. Documento enviado pela parte peticionária em 29 de setembro de 2010.</w:t>
      </w:r>
    </w:p>
  </w:footnote>
  <w:footnote w:id="22">
    <w:p w14:paraId="733C5AE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 Relatório final da Delegacia de Crimes contra a Pessoa de 27 de agosto de 1998. Petição Inicial de 28 de março de 2000.</w:t>
      </w:r>
    </w:p>
  </w:footnote>
  <w:footnote w:id="23">
    <w:p w14:paraId="6D784328"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8. Laudo do Exame Cadavérico. Documento enviado pela parte peticionária em 29 de setembro de 2010.</w:t>
      </w:r>
    </w:p>
  </w:footnote>
  <w:footnote w:id="24">
    <w:p w14:paraId="39B53D75"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9. Declaração de Severino Valdemir de Medeiros. Documento enviado pela parte peticionária em 29 de setembro de 2010.</w:t>
      </w:r>
    </w:p>
  </w:footnote>
  <w:footnote w:id="25">
    <w:p w14:paraId="790388F1"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 Relatório final da Delegacia de Crimes contra a Pessoa de 27 de agosto de 1998. Petição Inicial de 28 de março de 2000; Documento enviado pela parte peticionária em 29 de setembro de 2010, p.19.</w:t>
      </w:r>
    </w:p>
  </w:footnote>
  <w:footnote w:id="26">
    <w:p w14:paraId="17A984C8"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71. Ofícios do Ministério Público de 1º de outubro de 1998, 14 de dezembro de 1998, 8 de agosto de 2000, 8 de março de 2001, 23 de abril de 2001, 22 de agosto de 2001 e 28 de dezembro de 2001. Documentos enviados pela parte peticionária em 29 de setembro de 2010.</w:t>
      </w:r>
    </w:p>
  </w:footnote>
  <w:footnote w:id="27">
    <w:p w14:paraId="5D57B09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72. Parecer do Ministério Público, 1º de outubro de 1998. Documento enviado pela parte peticionária em 29 de setembro de 2010.</w:t>
      </w:r>
    </w:p>
  </w:footnote>
  <w:footnote w:id="28">
    <w:p w14:paraId="081F6D93"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73. Oficio de 2 de abril de 2001. Documento enviado pela parte peticionária em 29 de setembro de 2010. A justificação apresentada no mencionado documento não é clara nem parece abarcar todos os indiciados.</w:t>
      </w:r>
    </w:p>
  </w:footnote>
  <w:footnote w:id="29">
    <w:p w14:paraId="38BB6184"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75. Parecer do Ministério Público de 12 de março de 2003. Documento enviado pela parte peticionária em 29 de setembro de 2010.</w:t>
      </w:r>
    </w:p>
  </w:footnote>
  <w:footnote w:id="30">
    <w:p w14:paraId="0798D8E0"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 Relatório final da Delegacia de Crimes contra a Pessoa de 27 de agosto de 1998. Petição Inicial de 28 de março de 2000; Anexo 11. Pedido de novas diligências feito pelo Ministério Público em 27 de julho de 1998. Documento enviado pela parte peticionária em 29 de setembro de 2010.</w:t>
      </w:r>
    </w:p>
  </w:footnote>
  <w:footnote w:id="31">
    <w:p w14:paraId="0DC4CDA3"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12. Ordem de 29 de julho de 1998. Documento enviado pela parte peticionária em 29 de setembro de 2010.</w:t>
      </w:r>
    </w:p>
  </w:footnote>
  <w:footnote w:id="32">
    <w:p w14:paraId="5211ABE6"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13. Documento Nº 005/98. Documento enviado pela parte peticionária em 29 de setembro de 2010.</w:t>
      </w:r>
    </w:p>
  </w:footnote>
  <w:footnote w:id="33">
    <w:p w14:paraId="0AFC6D8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14. Resposta de Aércio Pereira ao Delegado de Polícia em 24 de agosto de 1998. Documento enviado pela parte peticionária em 29 de setembro de 2010.</w:t>
      </w:r>
    </w:p>
  </w:footnote>
  <w:footnote w:id="34">
    <w:p w14:paraId="11036948"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15. Relatório Policial de 27 de agosto de 1998. Documento enviado pela parte peticionária em 29 de setembro de 2010.</w:t>
      </w:r>
    </w:p>
  </w:footnote>
  <w:footnote w:id="35">
    <w:p w14:paraId="4AEAA554"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16. Pedido do Ministério Público de 4 de setembro de 1998. Documento enviado pela parte peticionária em 29 de setembro de 2010.</w:t>
      </w:r>
    </w:p>
  </w:footnote>
  <w:footnote w:id="36">
    <w:p w14:paraId="26D56DDF"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17. Encaminhamento de 10 de setembro de 1998. Documento enviado pela parte peticionária em 29 de setembro de 2010.</w:t>
      </w:r>
    </w:p>
  </w:footnote>
  <w:footnote w:id="37">
    <w:p w14:paraId="64E4BC22"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18. Termo de Declaração de Aércio Pereira. Documento enviado pela parte peticionária em 29 de setembro de 2010.</w:t>
      </w:r>
    </w:p>
  </w:footnote>
  <w:footnote w:id="38">
    <w:p w14:paraId="36124011"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19. Promoção do Ministério Público de 4 de setembro de 1998. Documento enviado pela parte peticionária em 29 de setembro de 2010.</w:t>
      </w:r>
    </w:p>
  </w:footnote>
  <w:footnote w:id="39">
    <w:p w14:paraId="75308C3D" w14:textId="77777777" w:rsidR="000516D5" w:rsidRPr="007373D2" w:rsidRDefault="000516D5" w:rsidP="00A02D3A">
      <w:pPr>
        <w:shd w:val="clear" w:color="auto" w:fill="FFFFFF" w:themeFill="background1"/>
        <w:jc w:val="both"/>
        <w:rPr>
          <w:rFonts w:ascii="Cambria" w:hAnsi="Cambria"/>
          <w:sz w:val="16"/>
          <w:szCs w:val="16"/>
          <w:lang w:val="pt-BR"/>
        </w:rPr>
      </w:pPr>
      <w:r w:rsidRPr="007373D2">
        <w:rPr>
          <w:rStyle w:val="FootnoteTextChar1"/>
          <w:rFonts w:ascii="Cambria" w:hAnsi="Cambria"/>
          <w:noProof w:val="0"/>
          <w:szCs w:val="16"/>
          <w:shd w:val="clear" w:color="auto" w:fill="FFFFFF" w:themeFill="background1"/>
          <w:vertAlign w:val="superscript"/>
          <w:lang w:val="pt-BR"/>
        </w:rPr>
        <w:footnoteRef/>
      </w:r>
      <w:r w:rsidRPr="007373D2">
        <w:rPr>
          <w:rStyle w:val="FootnoteTextChar1"/>
          <w:rFonts w:ascii="Cambria" w:hAnsi="Cambria"/>
          <w:noProof w:val="0"/>
          <w:szCs w:val="16"/>
          <w:shd w:val="clear" w:color="auto" w:fill="FFFFFF" w:themeFill="background1"/>
          <w:lang w:val="pt-BR"/>
        </w:rPr>
        <w:t xml:space="preserve"> </w:t>
      </w:r>
      <w:bookmarkStart w:id="14" w:name="_Hlk3385357"/>
      <w:r w:rsidRPr="007373D2">
        <w:rPr>
          <w:rStyle w:val="FootnoteTextChar1"/>
          <w:rFonts w:ascii="Cambria" w:hAnsi="Cambria"/>
          <w:noProof w:val="0"/>
          <w:szCs w:val="16"/>
          <w:shd w:val="clear" w:color="auto" w:fill="FFFFFF" w:themeFill="background1"/>
          <w:lang w:val="pt-BR"/>
        </w:rPr>
        <w:t>Constituição do Brasil, artigo 53 (formulação original): “</w:t>
      </w:r>
      <w:bookmarkEnd w:id="14"/>
      <w:r w:rsidRPr="00A02D3A">
        <w:rPr>
          <w:rStyle w:val="FootnoteTextChar1"/>
          <w:rFonts w:ascii="Cambria" w:hAnsi="Cambria"/>
          <w:noProof w:val="0"/>
          <w:szCs w:val="16"/>
          <w:shd w:val="clear" w:color="auto" w:fill="FFFFFF" w:themeFill="background1"/>
          <w:lang w:val="pt-BR"/>
        </w:rPr>
        <w:t>Art. 53. Os Deputados e Senadores são invioláveis por suas opiniões, palavras e votos.</w:t>
      </w:r>
      <w:r>
        <w:rPr>
          <w:rStyle w:val="FootnoteTextChar1"/>
          <w:rFonts w:ascii="Cambria" w:hAnsi="Cambria"/>
          <w:noProof w:val="0"/>
          <w:szCs w:val="16"/>
          <w:shd w:val="clear" w:color="auto" w:fill="FFFFFF" w:themeFill="background1"/>
          <w:lang w:val="pt-BR"/>
        </w:rPr>
        <w:t xml:space="preserve"> </w:t>
      </w:r>
      <w:r w:rsidRPr="00A02D3A">
        <w:rPr>
          <w:rStyle w:val="FootnoteTextChar1"/>
          <w:rFonts w:ascii="Cambria" w:hAnsi="Cambria"/>
          <w:noProof w:val="0"/>
          <w:szCs w:val="16"/>
          <w:shd w:val="clear" w:color="auto" w:fill="FFFFFF" w:themeFill="background1"/>
          <w:lang w:val="pt-BR"/>
        </w:rPr>
        <w:t>§ 1º - Desde a expedição do diploma, os membros do Congresso Nacional não poderão ser presos, salvo em flagrante de crime inafiançável, nem processados criminalmente, sem prévia licença de sua Casa.</w:t>
      </w:r>
      <w:r>
        <w:rPr>
          <w:rStyle w:val="FootnoteTextChar1"/>
          <w:rFonts w:ascii="Cambria" w:hAnsi="Cambria"/>
          <w:noProof w:val="0"/>
          <w:szCs w:val="16"/>
          <w:shd w:val="clear" w:color="auto" w:fill="FFFFFF" w:themeFill="background1"/>
          <w:lang w:val="pt-BR"/>
        </w:rPr>
        <w:t xml:space="preserve"> </w:t>
      </w:r>
      <w:r w:rsidRPr="00A02D3A">
        <w:rPr>
          <w:rStyle w:val="FootnoteTextChar1"/>
          <w:rFonts w:ascii="Cambria" w:hAnsi="Cambria"/>
          <w:noProof w:val="0"/>
          <w:szCs w:val="16"/>
          <w:shd w:val="clear" w:color="auto" w:fill="FFFFFF" w:themeFill="background1"/>
          <w:lang w:val="pt-BR"/>
        </w:rPr>
        <w:t>§ 2º - O indeferimento do pedido de licença ou a ausência de deliberação suspende a prescrição enquanto durar o mandato.</w:t>
      </w:r>
      <w:r>
        <w:rPr>
          <w:rStyle w:val="FootnoteTextChar1"/>
          <w:rFonts w:ascii="Cambria" w:hAnsi="Cambria"/>
          <w:noProof w:val="0"/>
          <w:szCs w:val="16"/>
          <w:shd w:val="clear" w:color="auto" w:fill="FFFFFF" w:themeFill="background1"/>
          <w:lang w:val="pt-BR"/>
        </w:rPr>
        <w:t xml:space="preserve"> </w:t>
      </w:r>
      <w:r w:rsidRPr="00A02D3A">
        <w:rPr>
          <w:rStyle w:val="FootnoteTextChar1"/>
          <w:rFonts w:ascii="Cambria" w:hAnsi="Cambria"/>
          <w:noProof w:val="0"/>
          <w:szCs w:val="16"/>
          <w:shd w:val="clear" w:color="auto" w:fill="FFFFFF" w:themeFill="background1"/>
          <w:lang w:val="pt-BR"/>
        </w:rPr>
        <w:t>§ 3º - No caso de flagrante de crime inafiançável, os autos serão remetidos, dentro de vinte e quatro horas, à Casa respectiva, para que, pelo voto secreto da maioria de seus membros, resolva sobre a prisão e autorize, ou não, a formação de culpa.</w:t>
      </w:r>
      <w:r>
        <w:rPr>
          <w:rStyle w:val="FootnoteTextChar1"/>
          <w:rFonts w:ascii="Cambria" w:hAnsi="Cambria"/>
          <w:noProof w:val="0"/>
          <w:szCs w:val="16"/>
          <w:shd w:val="clear" w:color="auto" w:fill="FFFFFF" w:themeFill="background1"/>
          <w:lang w:val="pt-BR"/>
        </w:rPr>
        <w:t xml:space="preserve"> </w:t>
      </w:r>
      <w:r w:rsidRPr="00A02D3A">
        <w:rPr>
          <w:rStyle w:val="FootnoteTextChar1"/>
          <w:rFonts w:ascii="Cambria" w:hAnsi="Cambria"/>
          <w:noProof w:val="0"/>
          <w:szCs w:val="16"/>
          <w:shd w:val="clear" w:color="auto" w:fill="FFFFFF" w:themeFill="background1"/>
          <w:lang w:val="pt-BR"/>
        </w:rPr>
        <w:t>§ 4º - Os Deputados e Senadores serão submetidos a julgamento perante o Supremo Tribunal Federal.</w:t>
      </w:r>
      <w:r>
        <w:rPr>
          <w:rStyle w:val="FootnoteTextChar1"/>
          <w:rFonts w:ascii="Cambria" w:hAnsi="Cambria"/>
          <w:noProof w:val="0"/>
          <w:szCs w:val="16"/>
          <w:shd w:val="clear" w:color="auto" w:fill="FFFFFF" w:themeFill="background1"/>
          <w:lang w:val="pt-BR"/>
        </w:rPr>
        <w:t xml:space="preserve"> </w:t>
      </w:r>
      <w:r w:rsidRPr="00A02D3A">
        <w:rPr>
          <w:rStyle w:val="FootnoteTextChar1"/>
          <w:rFonts w:ascii="Cambria" w:hAnsi="Cambria"/>
          <w:noProof w:val="0"/>
          <w:szCs w:val="16"/>
          <w:shd w:val="clear" w:color="auto" w:fill="FFFFFF" w:themeFill="background1"/>
          <w:lang w:val="pt-BR"/>
        </w:rPr>
        <w:t>§ 5º - Os Deputados e Senadores não serão obrigados a testemunhar sobre informações recebidas ou prestadas em razão do exercício do mandato, nem sobre as pessoas que lhes confiaram ou deles receberam informações.</w:t>
      </w:r>
      <w:r>
        <w:rPr>
          <w:rStyle w:val="FootnoteTextChar1"/>
          <w:rFonts w:ascii="Cambria" w:hAnsi="Cambria"/>
          <w:noProof w:val="0"/>
          <w:szCs w:val="16"/>
          <w:shd w:val="clear" w:color="auto" w:fill="FFFFFF" w:themeFill="background1"/>
          <w:lang w:val="pt-BR"/>
        </w:rPr>
        <w:t xml:space="preserve"> </w:t>
      </w:r>
      <w:r w:rsidRPr="00A02D3A">
        <w:rPr>
          <w:rStyle w:val="FootnoteTextChar1"/>
          <w:rFonts w:ascii="Cambria" w:hAnsi="Cambria"/>
          <w:noProof w:val="0"/>
          <w:szCs w:val="16"/>
          <w:shd w:val="clear" w:color="auto" w:fill="FFFFFF" w:themeFill="background1"/>
          <w:lang w:val="pt-BR"/>
        </w:rPr>
        <w:t>§ 6º - A incorporação às Forças Armadas de Deputados e Senadores, embora militares e ainda que em tempo de guerra, dependerá de prévia licença da Casa respectiva.</w:t>
      </w:r>
      <w:r>
        <w:rPr>
          <w:rStyle w:val="FootnoteTextChar1"/>
          <w:rFonts w:ascii="Cambria" w:hAnsi="Cambria"/>
          <w:noProof w:val="0"/>
          <w:szCs w:val="16"/>
          <w:shd w:val="clear" w:color="auto" w:fill="FFFFFF" w:themeFill="background1"/>
          <w:lang w:val="pt-BR"/>
        </w:rPr>
        <w:t xml:space="preserve"> </w:t>
      </w:r>
      <w:r w:rsidRPr="00A02D3A">
        <w:rPr>
          <w:rStyle w:val="FootnoteTextChar1"/>
          <w:rFonts w:ascii="Cambria" w:hAnsi="Cambria"/>
          <w:noProof w:val="0"/>
          <w:szCs w:val="16"/>
          <w:shd w:val="clear" w:color="auto" w:fill="FFFFFF" w:themeFill="background1"/>
          <w:lang w:val="pt-BR"/>
        </w:rPr>
        <w:t>§ 7º - As imunidades de Deputados ou Senadores subsistirão durante o estado de sítio, só podendo ser suspensas mediante o voto de dois terços dos membros da Casa respectiva, nos casos de atos, praticados fora do recinto do Congresso, que sejam incompa</w:t>
      </w:r>
      <w:r>
        <w:rPr>
          <w:rStyle w:val="FootnoteTextChar1"/>
          <w:rFonts w:ascii="Cambria" w:hAnsi="Cambria"/>
          <w:noProof w:val="0"/>
          <w:szCs w:val="16"/>
          <w:shd w:val="clear" w:color="auto" w:fill="FFFFFF" w:themeFill="background1"/>
          <w:lang w:val="pt-BR"/>
        </w:rPr>
        <w:t>tíveis com a execução da medida</w:t>
      </w:r>
      <w:r w:rsidRPr="007373D2">
        <w:rPr>
          <w:rStyle w:val="FootnoteTextChar1"/>
          <w:rFonts w:ascii="Cambria" w:hAnsi="Cambria"/>
          <w:noProof w:val="0"/>
          <w:szCs w:val="16"/>
          <w:shd w:val="clear" w:color="auto" w:fill="FFFFFF" w:themeFill="background1"/>
          <w:lang w:val="pt-BR"/>
        </w:rPr>
        <w:t>.”</w:t>
      </w:r>
    </w:p>
  </w:footnote>
  <w:footnote w:id="40">
    <w:p w14:paraId="6280E59C"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 Denúncia do Ministério Público contra o Deputado Aércio Pereira de 8 de outubro de 1998. Petição Inicial de 28 de março de 2000; Anexo 20. Denúncia do Ministério Público contra o Deputado Aércio Pereira de 8 de outubro de 1998. Documento enviado pela parte peticionária em 29 de setembro de 2010.</w:t>
      </w:r>
    </w:p>
  </w:footnote>
  <w:footnote w:id="41">
    <w:p w14:paraId="05F58FC8"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20. Ordem de 9 de outubro de 1998. Documento enviado pela parte peticionária em 29 de setembro de 2010.</w:t>
      </w:r>
    </w:p>
  </w:footnote>
  <w:footnote w:id="42">
    <w:p w14:paraId="389993AB"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 Ofício solicitando consentimento para a instauração da ação penal contra o Deputado Aércio Pereira de Lima, 14 de outubro de 1998. Petição Inicial de 28 de março de 2000; Anexo 22. Oficio Nº 4112/98 de 14 de outubro de 1998. Documento enviado pela parte peticionária em 29 de setembro de 2010.</w:t>
      </w:r>
    </w:p>
  </w:footnote>
  <w:footnote w:id="43">
    <w:p w14:paraId="76C2E0CF"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4. Resolução da Assembleia Legislativa da Paraíba negando pedido de licença para processar criminalmente o deputado Aércio Pereira de Lima publicada em 18 de dezembro de 1998. Petição Inicial de 28 de março de 2000; Anexo 23. Resolução Nº 614/98. Documento enviado pela parte peticionária em 29 de setembro de 2010; Anexo 24. Cópia do Diário Oficial de 18 de dezembro de 1998. Documento enviado pela parte peticionária em 29 de setembro de 2010</w:t>
      </w:r>
    </w:p>
  </w:footnote>
  <w:footnote w:id="44">
    <w:p w14:paraId="2D374F4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 Novo Ofício solicitando consentimento para a instauração da ação penal contra o Deputado Aércio Pereira de Lima em 31 de março de 1999. Petição Inicial de 28 de março de 2000; Anexo 25. Ofício Nº 1408/99. Documento enviado pela parte peticionária em 29 de setembro de 2010.</w:t>
      </w:r>
    </w:p>
  </w:footnote>
  <w:footnote w:id="45">
    <w:p w14:paraId="3DE9F83E"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26. Ofício Nº 0008/GP. Documento enviado pela parte peticionária em 29 de setembro de 2010.</w:t>
      </w:r>
    </w:p>
  </w:footnote>
  <w:footnote w:id="46">
    <w:p w14:paraId="53E53000"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27. Comunicação de 12 de abril de 2002. Documento enviado pela parte peticionária em 29 de setembro de 2010.</w:t>
      </w:r>
    </w:p>
  </w:footnote>
  <w:footnote w:id="47">
    <w:p w14:paraId="1A6F42CC"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Brasil, Emenda Constitucional Nº 35, de 20 de dezembro de 2001 (“imprime nova redação ao art. 53 da Constituição Federal.”). http://www.planalto.gov.br/ccivil_03/constituicao/emendas/emc/emc35.htm (última visita em 12 de outubro de 2018). Veja também: Documento enviado pela parte peticionária em 20 de maio de 2003; Documento do Estado de 19 de julho de 2007. O </w:t>
      </w:r>
      <w:bookmarkStart w:id="16" w:name="_Hlk536715645"/>
      <w:r w:rsidRPr="007373D2">
        <w:rPr>
          <w:szCs w:val="16"/>
          <w:lang w:val="pt-BR"/>
        </w:rPr>
        <w:t xml:space="preserve">texto da Emenda: "Art. 1. O art. 53 da Constituição Federal passa a vigorar com as seguintes modificações: "Art. 53. </w:t>
      </w:r>
      <w:r w:rsidRPr="007373D2">
        <w:rPr>
          <w:color w:val="222222"/>
          <w:szCs w:val="16"/>
          <w:shd w:val="clear" w:color="auto" w:fill="FAFAFA"/>
          <w:lang w:val="pt-BR"/>
        </w:rPr>
        <w:t xml:space="preserve">Os Deputados e Senadores são invioláveis, civil e penalmente, por quaisquer de suas opiniões, palavras e votos. </w:t>
      </w:r>
      <w:r w:rsidRPr="007373D2">
        <w:rPr>
          <w:rStyle w:val="FootnoteTextChar1"/>
          <w:rFonts w:ascii="Cambria" w:hAnsi="Cambria"/>
          <w:noProof w:val="0"/>
          <w:szCs w:val="16"/>
          <w:lang w:val="pt-BR"/>
        </w:rPr>
        <w:t>§1º </w:t>
      </w:r>
      <w:r w:rsidRPr="007373D2">
        <w:rPr>
          <w:rStyle w:val="FootnoteTextChar1"/>
          <w:rFonts w:ascii="Cambria" w:hAnsi="Cambria"/>
          <w:noProof w:val="0"/>
          <w:szCs w:val="16"/>
          <w:lang w:val="pt-BR" w:eastAsia="pt-BR"/>
        </w:rPr>
        <w:t>Os Deputados e Senadores, desde a expedição do diploma, serão submetidos a julgamento perante o Supremo Tribunal Federal. § 2º Desde a expedição do diploma, os membros do Congresso Nacional não poderão ser presos, salvo em flagrante de crime inafiançável. Nesse caso, os autos serão remetidos dentro de vinte e quatro horas à Casa respectiva, para que, pelo voto da maioria de seus membros, resolva sobre a prisão.</w:t>
      </w:r>
      <w:r w:rsidRPr="007373D2">
        <w:rPr>
          <w:rStyle w:val="FootnoteTextChar1"/>
          <w:rFonts w:ascii="Cambria" w:hAnsi="Cambria"/>
          <w:noProof w:val="0"/>
          <w:szCs w:val="16"/>
          <w:lang w:val="pt-BR"/>
        </w:rPr>
        <w:t xml:space="preserve"> </w:t>
      </w:r>
      <w:r w:rsidRPr="007373D2">
        <w:rPr>
          <w:rStyle w:val="FootnoteTextChar1"/>
          <w:rFonts w:ascii="Cambria" w:hAnsi="Cambria"/>
          <w:noProof w:val="0"/>
          <w:szCs w:val="16"/>
          <w:lang w:val="pt-BR" w:eastAsia="pt-BR"/>
        </w:rPr>
        <w:t>§ 3º Recebida a denúncia contra o Senador ou Deputado, por crime ocorrido após a diplomação, o Supremo Tribunal Federal dará ciência à Casa respectiva, que, por iniciativa de partido político nela representado e pelo voto da maioria de seus membros, poderá, até a decisão final, sustar o andamento da ação. § 4º O pedido de sustação será apreciado pela Casa respectiva no prazo improrrogável de quarenta e cinco dias do seu recebimento pela Mesa Diretora. § 5º A sustação do processo suspende a prescrição, enquanto durar o mandato. § 6º Os Deputados e Senadores não serão obrigados a testemunhar sobre informações recebidas ou prestadas em razão do exercício do mandato, nem sobre as pessoas que lhes confiaram ou deles receberam informações. § 7º A incorporação às Forças Armadas de Deputados e Senadores, embora militares e ainda que em tempo de guerra, dependerá de prévia licença da Casa respectiva. § 8º As imunidades de Deputados ou Senadores subsistirão durante o estado de sítio, só podendo ser suspensas mediante o voto de dois terços dos membros da Casa respectiva, nos casos de atos praticados fora do recinto do Congresso Nacional, que sejam incompatíveis com a execução da medida</w:t>
      </w:r>
      <w:r w:rsidRPr="007373D2">
        <w:rPr>
          <w:szCs w:val="16"/>
          <w:lang w:val="pt-BR"/>
        </w:rPr>
        <w:t>."</w:t>
      </w:r>
      <w:bookmarkEnd w:id="16"/>
    </w:p>
  </w:footnote>
  <w:footnote w:id="48">
    <w:p w14:paraId="39625AEF"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28. Termo de autenticação, registro e redistribuição do processo. Documento enviado pela parte peticionária em 29 de setembro de 2010; Anexo 29. Ordem de 16 de abril de 2002. Documento enviado pela parte peticionária em 29 de setembro de 2010.</w:t>
      </w:r>
    </w:p>
  </w:footnote>
  <w:footnote w:id="49">
    <w:p w14:paraId="0D475FF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30. Parecer da Procuradoria-Geral de Justiça de 21 de outubro de 2002. Documento enviado pela parte peticionária em 29 de setembro de 2010.</w:t>
      </w:r>
    </w:p>
  </w:footnote>
  <w:footnote w:id="50">
    <w:p w14:paraId="063931BE"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31. Ordem e declaração de 20 de dezembro de 2002. Documento enviado pela parte peticionária em 29 de setembro de 2010.</w:t>
      </w:r>
    </w:p>
  </w:footnote>
  <w:footnote w:id="51">
    <w:p w14:paraId="5B36038A"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32. Ordem e declaração de 03 de fevereiro de 2003. Documento enviado pela parte peticionária em 29 de setembro de 2010.</w:t>
      </w:r>
    </w:p>
  </w:footnote>
  <w:footnote w:id="52">
    <w:p w14:paraId="4232A3D8"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33. Oficio Nº 24/2003/SJ de 14 de fevereiro de 2003. Documento enviado pela parte peticionária em 29 de setembro de 2010.</w:t>
      </w:r>
    </w:p>
  </w:footnote>
  <w:footnote w:id="53">
    <w:p w14:paraId="2BC45FB9"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34. Ordem de 24 de fevereiro de 2003. Documento enviado pela parte peticionária em 29 de setembro de 2010.</w:t>
      </w:r>
    </w:p>
  </w:footnote>
  <w:footnote w:id="54">
    <w:p w14:paraId="27991646"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Tribunal de Justiça do Estado da Paraíba, </w:t>
      </w:r>
      <w:r w:rsidRPr="007373D2">
        <w:rPr>
          <w:i/>
          <w:szCs w:val="16"/>
          <w:lang w:val="pt-BR"/>
        </w:rPr>
        <w:t>Consulta Processual, Processo Nº 2002003800562-1</w:t>
      </w:r>
      <w:r w:rsidRPr="007373D2">
        <w:rPr>
          <w:szCs w:val="16"/>
          <w:lang w:val="pt-BR"/>
        </w:rPr>
        <w:t xml:space="preserve">. Disponível em: </w:t>
      </w:r>
      <w:hyperlink r:id="rId6" w:history="1">
        <w:r w:rsidRPr="007373D2">
          <w:rPr>
            <w:rStyle w:val="Hyperlink"/>
            <w:szCs w:val="16"/>
            <w:lang w:val="pt-BR"/>
          </w:rPr>
          <w:t>https://app.tjpb.jus.br/consultaprocessual2/views/consultarPorProcesso.jsf</w:t>
        </w:r>
      </w:hyperlink>
      <w:r w:rsidRPr="007373D2">
        <w:rPr>
          <w:szCs w:val="16"/>
          <w:lang w:val="pt-BR"/>
        </w:rPr>
        <w:t xml:space="preserve"> (última visita em 12 de outubro de 2018). Veja também: Documento enviado pela parte peticionária em 20 de maio de 2003.</w:t>
      </w:r>
    </w:p>
  </w:footnote>
  <w:footnote w:id="55">
    <w:p w14:paraId="36F83BA5"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35. Termo de interrogatório e termo de audiência de 7 de abril de 2003. Documento enviado pela parte peticionária em 29 de setembro de 2010.</w:t>
      </w:r>
    </w:p>
  </w:footnote>
  <w:footnote w:id="56">
    <w:p w14:paraId="6C14F5F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36. Audiência realizada em 20 de maio de 2003. Documento enviado pela parte peticionária em 29 de setembro de 2010; Anexo 37. Audiência realizada em 27 de junho de 2003. Documento enviado pela parte peticionária em 29 de setembro de 2010; Anexo 38. Audiência realizada em 8 de julho de 2003. Documento enviado pela parte peticionária em 29 de setembro de 2010; Anexo 39. Audiência realizada em 10 de dezembro de 2003. Documento enviado pela parte peticionária em 29 de setembro de 2010; Anexo 40. Audiência realizada em 31 de outubro de 2003. Documento enviado pela parte peticionária em 29 de setembro de 2010.</w:t>
      </w:r>
    </w:p>
  </w:footnote>
  <w:footnote w:id="57">
    <w:p w14:paraId="7B2CFA71"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40. Audiência realizada em 31 de outubro de 2003. Documento enviado pela parte peticionária em 29 de setembro de 2010; Anexo 43. Audiência realizada em 23 de outubro de 2003. Documento enviado pela parte peticionária em 29 de setembro de 2010.</w:t>
      </w:r>
    </w:p>
    <w:p w14:paraId="0790A8AE" w14:textId="77777777" w:rsidR="000516D5" w:rsidRPr="007373D2" w:rsidRDefault="000516D5" w:rsidP="007373D2">
      <w:pPr>
        <w:pStyle w:val="FootnoteText"/>
        <w:jc w:val="both"/>
        <w:rPr>
          <w:szCs w:val="16"/>
          <w:lang w:val="pt-BR"/>
        </w:rPr>
      </w:pPr>
      <w:r w:rsidRPr="007373D2">
        <w:rPr>
          <w:szCs w:val="16"/>
          <w:lang w:val="pt-BR"/>
        </w:rPr>
        <w:t>Em 18 de setembro de 2003, foi cancelada a audiência em que, a pedido da defesa, seria entrevistada a senhora Joseni Cláudia Gomes de Lima. Anexo 44. Audiência cancelada em 18 de setembro de 2003. Documento enviado pela parte peticionária em 29 de setembro de 2010. Em 29 de dezembro de 2003, foi obtida a confirmação de que Joseni se havia mudado para Florianópolis. Anexo 45. Oficio Nº 307 / DCCP / PB. Documento enviado pela parte peticionária em 29 de setembro de 2010. Em 15 de janeiro de 2004, os advogados da defesa pediram a substituição da senhora Joseni pelo senhor Humberto Viana. Anexo 46. Pedido de substituição de 15 de janeiro de 2004. Documento enviado pela parte peticionária em 29 de setembro de 2010. Em 22 de janeiro de 2004, foi enviada uma carta precatória à Comarca de Camaragibe, Estado de Pernambuco, para que a interrogação do Sr. Humberto se realizasse em até quarenta e cinco dias. Anexo 47. Carta Precatória de 20 de janeiro de 2004. Documento enviado pela parte peticionária em 29 de setembro de 2010. Em 12 de maio de 2004, solicitou-se a devolução da carta precatória cumprida. Anexo 48. Oficio Nº 299/2004. Documento enviado pela parte peticionária em 29 de setembro de 2010. Transcorridos mais de sete meses sem nenhuma resposta a esse pedido, em 25 de janeiro de 2005 o Juiz de Direito estabeleceu prazo para as alegações finais. Anexo 49. Ordem de 25 de janeiro de 2004. Documento enviado pela parte peticionária em 29 de setembro de 2010.</w:t>
      </w:r>
    </w:p>
  </w:footnote>
  <w:footnote w:id="58">
    <w:p w14:paraId="53A3D6C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50. Alegações Finais do Ministério Público. Documento enviado pela parte peticionária em 29 de setembro de 2010.</w:t>
      </w:r>
    </w:p>
  </w:footnote>
  <w:footnote w:id="59">
    <w:p w14:paraId="4F7379A4"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51. Pedido da Advocacia de Defesa. Documento enviado pela parte peticionária em 29 de setembro de 2010; Anexo 52. Decisão judicial rejeitando o pedido. Documento enviado pela parte peticionária em 29 de setembro de 2010.</w:t>
      </w:r>
    </w:p>
  </w:footnote>
  <w:footnote w:id="60">
    <w:p w14:paraId="1C0E7141"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53. Alegações finais da Defesa. Documento enviado pela parte peticionária em 29 de setembro de 2010.</w:t>
      </w:r>
    </w:p>
  </w:footnote>
  <w:footnote w:id="61">
    <w:p w14:paraId="711B9AEF"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54. Recebimento do Recurso em Sentido Estrito. Documento enviado pela parte peticionária em 29 de setembro de 2010; Anexo 55. Recurso em Sentido Estrito. Documento enviado pela parte peticionária em 29 de setembro de 2010.</w:t>
      </w:r>
    </w:p>
  </w:footnote>
  <w:footnote w:id="62">
    <w:p w14:paraId="4B13B83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57. Decisão de 1º de novembro de 2005. Documento enviado pela parte peticionária em 29 de setembro de 2010.</w:t>
      </w:r>
    </w:p>
  </w:footnote>
  <w:footnote w:id="63">
    <w:p w14:paraId="4E8FC7E9"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58. Parecer do Ministério Público. Documento enviado pela parte peticionária em 29 de setembro de 2010.</w:t>
      </w:r>
    </w:p>
  </w:footnote>
  <w:footnote w:id="64">
    <w:p w14:paraId="7CF527FB"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59. Decisão do Tribunal de Justiça. Documento enviado pela parte peticionária em 29 de setembro de 2010.</w:t>
      </w:r>
    </w:p>
  </w:footnote>
  <w:footnote w:id="65">
    <w:p w14:paraId="640BCF6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60. Recurso Especial apresentado pela defesa. Documento enviado pela parte peticionária em 29 de setembro de 2010.</w:t>
      </w:r>
    </w:p>
  </w:footnote>
  <w:footnote w:id="66">
    <w:p w14:paraId="3421838E"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61. Parecer do Procurador-Geral. Documento enviado pela parte peticionária em 29 de setembro de 2010.</w:t>
      </w:r>
    </w:p>
  </w:footnote>
  <w:footnote w:id="67">
    <w:p w14:paraId="04C0BB34"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62. Decisão do Juiz Presidente do Tribunal de Justiça do Estado da Paraíba. Documento enviado pela parte peticionária em 29 de setembro de 2010.</w:t>
      </w:r>
    </w:p>
  </w:footnote>
  <w:footnote w:id="68">
    <w:p w14:paraId="70DA5A7B"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63. Ordem de 19 de janeiro de 2007. Documento enviado pela parte peticionária em 29 de setembro de 2010.</w:t>
      </w:r>
    </w:p>
  </w:footnote>
  <w:footnote w:id="69">
    <w:p w14:paraId="03CE216A"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64. Libelo-crime acusatório. Documento enviado pela parte peticionária em 29 de setembro de 2010.</w:t>
      </w:r>
    </w:p>
  </w:footnote>
  <w:footnote w:id="70">
    <w:p w14:paraId="15E49562"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65. Contestação do libelo-crime. Documento enviado pela parte peticionária em 29 de setembro de 2010.</w:t>
      </w:r>
    </w:p>
  </w:footnote>
  <w:footnote w:id="71">
    <w:p w14:paraId="7D439B14"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66. Registro do julgamento. Documento enviado pela parte peticionária em 29 de setembro de 2010.</w:t>
      </w:r>
    </w:p>
  </w:footnote>
  <w:footnote w:id="72">
    <w:p w14:paraId="25A13D3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67. Registro do julgamento. Documento enviado pela parte peticionária em 29 de setembro de 2010; Anexo 68. Sentença. Documento enviado pela parte peticionária em 29 de setembro de 2010.</w:t>
      </w:r>
    </w:p>
  </w:footnote>
  <w:footnote w:id="73">
    <w:p w14:paraId="35B70116"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68. Sentença de 26 de setembro de 2007. Documento enviado pela parte peticionária em 29 de setembro de 2010.</w:t>
      </w:r>
    </w:p>
  </w:footnote>
  <w:footnote w:id="74">
    <w:p w14:paraId="48B17E1C"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69. Recurso contra a sentença e recebimento do recurso pelo Juiz. Documento enviado pela parte peticionária em 29 de setembro de 2010.</w:t>
      </w:r>
    </w:p>
  </w:footnote>
  <w:footnote w:id="75">
    <w:p w14:paraId="5C3FDF32"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Anexo 70. Consulta Processual. Documento enviado pela parte peticionária em 29 de setembro de 2010.</w:t>
      </w:r>
    </w:p>
  </w:footnote>
  <w:footnote w:id="76">
    <w:p w14:paraId="19627801"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ClickPB – Portal de Notícias da Paraíba. </w:t>
      </w:r>
      <w:r w:rsidRPr="007373D2">
        <w:rPr>
          <w:i/>
          <w:szCs w:val="16"/>
          <w:lang w:val="pt-BR"/>
        </w:rPr>
        <w:t>Corpo de Aércio é velado na AL; enterro será hoje às 10h</w:t>
      </w:r>
      <w:r w:rsidRPr="007373D2">
        <w:rPr>
          <w:szCs w:val="16"/>
          <w:lang w:val="pt-BR"/>
        </w:rPr>
        <w:t xml:space="preserve">. 12 de fevereiro de 2008. Disponível em: </w:t>
      </w:r>
      <w:hyperlink r:id="rId7" w:history="1">
        <w:r w:rsidRPr="007373D2">
          <w:rPr>
            <w:rStyle w:val="Hyperlink"/>
            <w:szCs w:val="16"/>
            <w:lang w:val="pt-BR"/>
          </w:rPr>
          <w:t>https://www.clickpb.com.br/paraiba/corpo-de-aercio-e-velado-na-al-enterro-sera-hoje-as-10h-29339.html</w:t>
        </w:r>
      </w:hyperlink>
      <w:r w:rsidRPr="007373D2">
        <w:rPr>
          <w:szCs w:val="16"/>
          <w:lang w:val="pt-BR"/>
        </w:rPr>
        <w:t xml:space="preserve"> (última visita em 12 de agosto de 2018); O Bê-a-Bá Do Sertão. </w:t>
      </w:r>
      <w:r w:rsidRPr="007373D2">
        <w:rPr>
          <w:i/>
          <w:szCs w:val="16"/>
          <w:lang w:val="pt-BR"/>
        </w:rPr>
        <w:t>Autoridades prestigiam velório de Aécio Pereira</w:t>
      </w:r>
      <w:r w:rsidRPr="007373D2">
        <w:rPr>
          <w:szCs w:val="16"/>
          <w:lang w:val="pt-BR"/>
        </w:rPr>
        <w:t xml:space="preserve">. 12 de fevereiro de 2008. Disponível em: </w:t>
      </w:r>
      <w:hyperlink r:id="rId8" w:history="1">
        <w:r w:rsidRPr="007373D2">
          <w:rPr>
            <w:rStyle w:val="Hyperlink"/>
            <w:szCs w:val="16"/>
            <w:lang w:val="pt-BR"/>
          </w:rPr>
          <w:t>http://www.obeabadosertao.com.br/v3/autoridades_prestigiam_velorio_de_aecio_pereira__1013.html</w:t>
        </w:r>
      </w:hyperlink>
      <w:r w:rsidRPr="007373D2">
        <w:rPr>
          <w:szCs w:val="16"/>
          <w:lang w:val="pt-BR"/>
        </w:rPr>
        <w:t xml:space="preserve"> (última visita em 12 de agosto de 2018). </w:t>
      </w:r>
    </w:p>
  </w:footnote>
  <w:footnote w:id="77">
    <w:p w14:paraId="71A274FC"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Bê-a-Bá Do Sertão. </w:t>
      </w:r>
      <w:r w:rsidRPr="007373D2">
        <w:rPr>
          <w:i/>
          <w:szCs w:val="16"/>
          <w:lang w:val="pt-BR"/>
        </w:rPr>
        <w:t>Autoridades prestigiam velório de Aécio Pereira</w:t>
      </w:r>
      <w:r w:rsidRPr="007373D2">
        <w:rPr>
          <w:szCs w:val="16"/>
          <w:lang w:val="pt-BR"/>
        </w:rPr>
        <w:t xml:space="preserve">. 12 de fevereiro de 2008. Disponível em: </w:t>
      </w:r>
      <w:hyperlink r:id="rId9" w:history="1">
        <w:r w:rsidRPr="007373D2">
          <w:rPr>
            <w:rStyle w:val="Hyperlink"/>
            <w:szCs w:val="16"/>
            <w:lang w:val="pt-BR"/>
          </w:rPr>
          <w:t>http://www.obeabadosertao.com.br/v3/autoridades_prestigiam_velorio_de_aecio_pereira__1013.html</w:t>
        </w:r>
      </w:hyperlink>
      <w:r w:rsidRPr="007373D2">
        <w:rPr>
          <w:szCs w:val="16"/>
          <w:lang w:val="pt-BR"/>
        </w:rPr>
        <w:t xml:space="preserve"> (última visita em 12 de agosto de 2018).</w:t>
      </w:r>
    </w:p>
  </w:footnote>
  <w:footnote w:id="78">
    <w:p w14:paraId="006ED15A"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w:t>
      </w:r>
      <w:r w:rsidRPr="007373D2">
        <w:rPr>
          <w:rFonts w:cs="Tahoma"/>
          <w:bCs/>
          <w:szCs w:val="16"/>
          <w:lang w:val="pt-BR"/>
        </w:rPr>
        <w:t xml:space="preserve">artigo 4 da Convenção Americana estipula: </w:t>
      </w:r>
      <w:r w:rsidRPr="007373D2">
        <w:rPr>
          <w:spacing w:val="-3"/>
          <w:szCs w:val="16"/>
          <w:lang w:val="pt-BR"/>
        </w:rPr>
        <w:t>Toda pessoa tem o direito de que se respeite sua vida.  Esse direito deve ser protegido pela lei e, em geral, desde o momento da concepção.  Ninguém pode ser privado da vida arbitrariamente</w:t>
      </w:r>
      <w:r w:rsidRPr="007373D2">
        <w:rPr>
          <w:rFonts w:cs="Tahoma"/>
          <w:szCs w:val="16"/>
          <w:lang w:val="pt-BR"/>
        </w:rPr>
        <w:t>.</w:t>
      </w:r>
    </w:p>
  </w:footnote>
  <w:footnote w:id="79">
    <w:p w14:paraId="3662091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artigo 1.1 da Convenção estabelece:</w:t>
      </w:r>
      <w:r w:rsidRPr="007373D2">
        <w:rPr>
          <w:rFonts w:cs="Tahoma"/>
          <w:szCs w:val="16"/>
          <w:lang w:val="pt-BR"/>
        </w:rPr>
        <w:t xml:space="preserve"> </w:t>
      </w:r>
      <w:r w:rsidRPr="007373D2">
        <w:rPr>
          <w:spacing w:val="-3"/>
          <w:szCs w:val="16"/>
          <w:lang w:val="pt-BR"/>
        </w:rPr>
        <w:t xml:space="preserve">Os Estados Partes nesta Convenção comprometem-se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w:t>
      </w:r>
      <w:r w:rsidRPr="007373D2">
        <w:rPr>
          <w:rFonts w:cs="Tahoma"/>
          <w:szCs w:val="16"/>
          <w:lang w:val="pt-BR"/>
        </w:rPr>
        <w:t>social.</w:t>
      </w:r>
    </w:p>
  </w:footnote>
  <w:footnote w:id="80">
    <w:p w14:paraId="6A039551"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artigo</w:t>
      </w:r>
      <w:r w:rsidRPr="007373D2">
        <w:rPr>
          <w:rFonts w:cs="Tahoma"/>
          <w:szCs w:val="16"/>
          <w:lang w:val="pt-BR"/>
        </w:rPr>
        <w:t xml:space="preserve"> 7 da Convenção de Belém do Pará indica:</w:t>
      </w:r>
      <w:r w:rsidRPr="007373D2">
        <w:rPr>
          <w:rFonts w:eastAsia="Times New Roman" w:cs="Times New Roman"/>
          <w:spacing w:val="-2"/>
          <w:szCs w:val="16"/>
          <w:lang w:val="pt-BR" w:eastAsia="pt-BR"/>
        </w:rPr>
        <w:t xml:space="preserve"> Os Estados Partes condenam todas as formas de violência contra a mulher e convêm em adotar, por todos os meios apropriados e sem demora, políticas destinadas a prevenir, punir e erradicar tal violência e a empenhar-se em: </w:t>
      </w:r>
      <w:r w:rsidRPr="007373D2">
        <w:rPr>
          <w:rFonts w:eastAsia="Times New Roman" w:cs="Times New Roman"/>
          <w:szCs w:val="16"/>
          <w:lang w:val="pt-BR" w:eastAsia="pt-BR"/>
        </w:rPr>
        <w:t xml:space="preserve">a. abster-se de qualquer ato ou prática de violência contra a mulher e velar por que as autoridades, seus funcionários e pessoal, bem como agentes e instituições públicos ajam de conformidade com essa obrigação; </w:t>
      </w:r>
      <w:r w:rsidRPr="007373D2">
        <w:rPr>
          <w:rFonts w:eastAsia="Times New Roman" w:cs="Times New Roman"/>
          <w:spacing w:val="-2"/>
          <w:szCs w:val="16"/>
          <w:lang w:val="pt-BR" w:eastAsia="pt-BR"/>
        </w:rPr>
        <w:t>b. agir com o devido zelo para prevenir, investigar e punir a violência contra a mulher</w:t>
      </w:r>
      <w:r w:rsidRPr="007373D2">
        <w:rPr>
          <w:rFonts w:cs="Tahoma"/>
          <w:szCs w:val="16"/>
          <w:lang w:val="pt-BR"/>
        </w:rPr>
        <w:t>.</w:t>
      </w:r>
    </w:p>
  </w:footnote>
  <w:footnote w:id="81">
    <w:p w14:paraId="26842130" w14:textId="77777777" w:rsidR="000516D5" w:rsidRPr="007373D2" w:rsidRDefault="000516D5" w:rsidP="007373D2">
      <w:pPr>
        <w:pStyle w:val="FootnoteText"/>
        <w:tabs>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CIDH, Caso 12.270, Relatório Nº 2/15, Mérito, Johan Alexis Ortiz Hernández, Venezuela, 29 de janeiro de 2015, parágrafo 185.</w:t>
      </w:r>
    </w:p>
  </w:footnote>
  <w:footnote w:id="82">
    <w:p w14:paraId="35FA0355" w14:textId="77777777" w:rsidR="000516D5" w:rsidRPr="007373D2" w:rsidRDefault="000516D5" w:rsidP="007373D2">
      <w:pPr>
        <w:pStyle w:val="FootnoteText"/>
        <w:tabs>
          <w:tab w:val="left" w:pos="720"/>
          <w:tab w:val="left" w:pos="900"/>
          <w:tab w:val="left" w:pos="1080"/>
        </w:tabs>
        <w:jc w:val="both"/>
        <w:rPr>
          <w:szCs w:val="16"/>
          <w:lang w:val="pt-BR"/>
        </w:rPr>
      </w:pPr>
      <w:r w:rsidRPr="007373D2">
        <w:rPr>
          <w:rStyle w:val="FootnoteReference"/>
          <w:szCs w:val="16"/>
          <w:lang w:val="pt-BR"/>
        </w:rPr>
        <w:footnoteRef/>
      </w:r>
      <w:r w:rsidRPr="007373D2">
        <w:rPr>
          <w:szCs w:val="16"/>
          <w:lang w:val="pt-BR"/>
        </w:rPr>
        <w:t xml:space="preserve"> Caso 12.270, Relatório Nº 2/15, Mérito, Johan Alexis Ortiz Hernández, Venezuela, 29 de janeiro de 2015, parágrafo 186. Veja também: Corte IDH. </w:t>
      </w:r>
      <w:r w:rsidRPr="007373D2">
        <w:rPr>
          <w:bCs/>
          <w:szCs w:val="16"/>
          <w:lang w:val="pt-BR"/>
        </w:rPr>
        <w:t xml:space="preserve">Caso Zambrano Vélez e outros Vs. Equador. </w:t>
      </w:r>
      <w:r w:rsidRPr="007373D2">
        <w:rPr>
          <w:szCs w:val="16"/>
          <w:lang w:val="pt-BR"/>
        </w:rPr>
        <w:t xml:space="preserve">Mérito, Reparações e Custas. Sentença de 4 de julho de 2007. Série C, Nº 166, parágrafo 80. </w:t>
      </w:r>
    </w:p>
  </w:footnote>
  <w:footnote w:id="83">
    <w:p w14:paraId="535EA600"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Style w:val="Strong"/>
          <w:b w:val="0"/>
          <w:szCs w:val="16"/>
          <w:lang w:val="pt-BR"/>
        </w:rPr>
        <w:t xml:space="preserve">Corte IDH. Caso González e outras (“Campo Algodonero”) Vs. México. Exceção Preliminar, Mérito, Reparações e Custas. Sentença de 16 de novembro de 2009. Série C Nº 205. </w:t>
      </w:r>
      <w:r w:rsidRPr="007373D2">
        <w:rPr>
          <w:szCs w:val="16"/>
          <w:lang w:val="pt-BR"/>
        </w:rPr>
        <w:t xml:space="preserve">Parágrafo 226. </w:t>
      </w:r>
    </w:p>
  </w:footnote>
  <w:footnote w:id="84">
    <w:p w14:paraId="71132AD5"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Style w:val="Strong"/>
          <w:b w:val="0"/>
          <w:szCs w:val="16"/>
          <w:lang w:val="pt-BR"/>
        </w:rPr>
        <w:t xml:space="preserve">Corte IDH. Caso González e outras (“Campo Algodonero”) Vs. México. Exceção Preliminar, Mérito, Reparações e Custas. Sentença de 16 de novembro de 2009. Série C Nº 205. </w:t>
      </w:r>
      <w:r w:rsidRPr="007373D2">
        <w:rPr>
          <w:szCs w:val="16"/>
          <w:lang w:val="pt-BR"/>
        </w:rPr>
        <w:t>Parágrafo 227.</w:t>
      </w:r>
    </w:p>
  </w:footnote>
  <w:footnote w:id="85">
    <w:p w14:paraId="075F2F9C" w14:textId="77777777" w:rsidR="000516D5" w:rsidRPr="007373D2" w:rsidRDefault="000516D5" w:rsidP="007373D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Times New Roman" w:hAnsi="Cambria" w:cs="Arial"/>
          <w:b/>
          <w:bCs/>
          <w:iCs/>
          <w:sz w:val="16"/>
          <w:szCs w:val="16"/>
          <w:bdr w:val="none" w:sz="0" w:space="0" w:color="auto"/>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Style w:val="Strong"/>
          <w:rFonts w:ascii="Cambria" w:hAnsi="Cambria"/>
          <w:b w:val="0"/>
          <w:color w:val="000000"/>
          <w:sz w:val="16"/>
          <w:szCs w:val="16"/>
          <w:lang w:val="pt-BR"/>
        </w:rPr>
        <w:t xml:space="preserve">Corte IDH. Caso González e outras (“Campo Algodonero”) Vs. México. Exceção Preliminar, Mérito, Reparações e Custas. Sentença de 16 de novembro de 2009. Série C Nº 205. </w:t>
      </w:r>
      <w:r w:rsidRPr="007373D2">
        <w:rPr>
          <w:rFonts w:ascii="Cambria" w:hAnsi="Cambria"/>
          <w:sz w:val="16"/>
          <w:szCs w:val="16"/>
          <w:lang w:val="pt-BR"/>
        </w:rPr>
        <w:t xml:space="preserve">Parágrafo 258. </w:t>
      </w:r>
    </w:p>
  </w:footnote>
  <w:footnote w:id="86">
    <w:p w14:paraId="69B21B75" w14:textId="77777777" w:rsidR="000516D5" w:rsidRPr="007373D2" w:rsidRDefault="000516D5" w:rsidP="007373D2">
      <w:pPr>
        <w:jc w:val="both"/>
        <w:rPr>
          <w:rFonts w:ascii="Cambria"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Corte IDH. </w:t>
      </w:r>
      <w:r w:rsidRPr="00E358A6">
        <w:rPr>
          <w:rFonts w:ascii="Cambria" w:hAnsi="Cambria"/>
          <w:sz w:val="16"/>
          <w:szCs w:val="16"/>
          <w:lang w:val="es-VE"/>
        </w:rPr>
        <w:t xml:space="preserve">Caso Velásquez Rodríguez Vs. Honduras. </w:t>
      </w:r>
      <w:hyperlink r:id="rId10" w:history="1">
        <w:r w:rsidRPr="007373D2">
          <w:rPr>
            <w:rStyle w:val="Hyperlink"/>
            <w:rFonts w:ascii="Cambria" w:hAnsi="Cambria" w:cs="Arial"/>
            <w:sz w:val="16"/>
            <w:szCs w:val="16"/>
            <w:u w:val="none"/>
            <w:shd w:val="clear" w:color="auto" w:fill="FFFFFF"/>
            <w:lang w:val="pt-BR"/>
          </w:rPr>
          <w:t>Mérito. Sentença de 29 de julho de 1988. Série C Nº 4</w:t>
        </w:r>
      </w:hyperlink>
      <w:r w:rsidRPr="007373D2">
        <w:rPr>
          <w:rStyle w:val="Hyperlink"/>
          <w:rFonts w:ascii="Cambria" w:hAnsi="Cambria" w:cs="Arial"/>
          <w:sz w:val="16"/>
          <w:szCs w:val="16"/>
          <w:u w:val="none"/>
          <w:shd w:val="clear" w:color="auto" w:fill="FFFFFF"/>
          <w:lang w:val="pt-BR"/>
        </w:rPr>
        <w:t xml:space="preserve">. Parágrafo 164. </w:t>
      </w:r>
    </w:p>
  </w:footnote>
  <w:footnote w:id="87">
    <w:p w14:paraId="70D442A6" w14:textId="77777777" w:rsidR="000516D5" w:rsidRPr="007373D2" w:rsidRDefault="000516D5" w:rsidP="007373D2">
      <w:pPr>
        <w:jc w:val="both"/>
        <w:rPr>
          <w:rFonts w:ascii="Cambria" w:hAnsi="Cambria"/>
          <w:sz w:val="16"/>
          <w:szCs w:val="16"/>
          <w:lang w:val="pt-BR"/>
        </w:rPr>
      </w:pPr>
      <w:r w:rsidRPr="007373D2">
        <w:rPr>
          <w:rFonts w:ascii="Cambria" w:hAnsi="Cambria" w:cs="Arial"/>
          <w:sz w:val="16"/>
          <w:szCs w:val="16"/>
          <w:vertAlign w:val="superscript"/>
          <w:lang w:val="pt-BR"/>
        </w:rPr>
        <w:footnoteRef/>
      </w:r>
      <w:r w:rsidRPr="007373D2">
        <w:rPr>
          <w:rFonts w:ascii="Cambria" w:hAnsi="Cambria" w:cs="Arial"/>
          <w:sz w:val="16"/>
          <w:szCs w:val="16"/>
          <w:lang w:val="pt-BR"/>
        </w:rPr>
        <w:t xml:space="preserve"> </w:t>
      </w:r>
      <w:hyperlink r:id="rId11" w:history="1">
        <w:r w:rsidRPr="007373D2">
          <w:rPr>
            <w:rFonts w:ascii="Cambria" w:hAnsi="Cambria"/>
            <w:sz w:val="16"/>
            <w:szCs w:val="16"/>
            <w:lang w:val="pt-BR"/>
          </w:rPr>
          <w:t>Corte IDH. Caso González Medina e familiares Vs. República Dominicana. Exceções Preliminares, Mérito, Reparações e Custas. Sentença de 27 de fevereiro de 2012 Série C Nº 240</w:t>
        </w:r>
      </w:hyperlink>
      <w:r w:rsidRPr="007373D2">
        <w:rPr>
          <w:rFonts w:ascii="Cambria" w:hAnsi="Cambria"/>
          <w:sz w:val="16"/>
          <w:szCs w:val="16"/>
          <w:lang w:val="pt-BR"/>
        </w:rPr>
        <w:t xml:space="preserve">, parágrafo133; </w:t>
      </w:r>
      <w:r w:rsidRPr="007373D2">
        <w:rPr>
          <w:rFonts w:ascii="Cambria" w:hAnsi="Cambria" w:cs="Arial"/>
          <w:sz w:val="16"/>
          <w:szCs w:val="16"/>
          <w:lang w:val="pt-BR"/>
        </w:rPr>
        <w:t>Corte I/A DH, Caso do Massacre de Pueblo Bello vs. Colômbia, Sentença de 31 de janeiro de 2006, Série C Nº 140, parágrafo 112.</w:t>
      </w:r>
    </w:p>
  </w:footnote>
  <w:footnote w:id="88">
    <w:p w14:paraId="1A0DD0C5" w14:textId="77777777" w:rsidR="000516D5" w:rsidRPr="007373D2" w:rsidRDefault="000516D5" w:rsidP="007373D2">
      <w:pPr>
        <w:jc w:val="both"/>
        <w:rPr>
          <w:rFonts w:ascii="Cambria"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Corte IDH. Caso Velásquez Rodríguez Vs. Honduras. </w:t>
      </w:r>
      <w:hyperlink r:id="rId12" w:history="1">
        <w:r w:rsidRPr="007373D2">
          <w:rPr>
            <w:rStyle w:val="Hyperlink"/>
            <w:rFonts w:ascii="Cambria" w:hAnsi="Cambria" w:cs="Arial"/>
            <w:sz w:val="16"/>
            <w:szCs w:val="16"/>
            <w:u w:val="none"/>
            <w:shd w:val="clear" w:color="auto" w:fill="FFFFFF"/>
            <w:lang w:val="pt-BR"/>
          </w:rPr>
          <w:t>Mérito. Sentença de 29 de julho de 1988. Série C Nº 4</w:t>
        </w:r>
      </w:hyperlink>
      <w:r w:rsidRPr="007373D2">
        <w:rPr>
          <w:rStyle w:val="Hyperlink"/>
          <w:rFonts w:ascii="Cambria" w:hAnsi="Cambria" w:cs="Arial"/>
          <w:sz w:val="16"/>
          <w:szCs w:val="16"/>
          <w:u w:val="none"/>
          <w:shd w:val="clear" w:color="auto" w:fill="FFFFFF"/>
          <w:lang w:val="pt-BR"/>
        </w:rPr>
        <w:t xml:space="preserve">. Parágrafo 169; veja também CIDH, Relatório Nº 11/10, Caso 12.488, Mérito, Membros da Família Barrios, Venezuela, 16 de março de 2010, parágrafo 91.  </w:t>
      </w:r>
    </w:p>
  </w:footnote>
  <w:footnote w:id="89">
    <w:p w14:paraId="1F0ECFCA" w14:textId="77777777" w:rsidR="000516D5" w:rsidRPr="007373D2" w:rsidRDefault="000516D5" w:rsidP="007373D2">
      <w:pPr>
        <w:jc w:val="both"/>
        <w:rPr>
          <w:rFonts w:ascii="Cambria"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Corte IDH. Caso Velásquez Rodríguez Vs. Honduras. </w:t>
      </w:r>
      <w:hyperlink r:id="rId13" w:history="1">
        <w:r w:rsidRPr="007373D2">
          <w:rPr>
            <w:rStyle w:val="Hyperlink"/>
            <w:rFonts w:ascii="Cambria" w:hAnsi="Cambria" w:cs="Arial"/>
            <w:sz w:val="16"/>
            <w:szCs w:val="16"/>
            <w:u w:val="none"/>
            <w:shd w:val="clear" w:color="auto" w:fill="FFFFFF"/>
            <w:lang w:val="pt-BR"/>
          </w:rPr>
          <w:t>Mérito. Sentença de 29 de julho de 1988. Série C Nº 4</w:t>
        </w:r>
      </w:hyperlink>
      <w:r w:rsidRPr="007373D2">
        <w:rPr>
          <w:rStyle w:val="Hyperlink"/>
          <w:rFonts w:ascii="Cambria" w:hAnsi="Cambria" w:cs="Arial"/>
          <w:sz w:val="16"/>
          <w:szCs w:val="16"/>
          <w:u w:val="none"/>
          <w:shd w:val="clear" w:color="auto" w:fill="FFFFFF"/>
          <w:lang w:val="pt-BR"/>
        </w:rPr>
        <w:t xml:space="preserve">. Parágrafo 170. </w:t>
      </w:r>
    </w:p>
  </w:footnote>
  <w:footnote w:id="90">
    <w:p w14:paraId="16463108"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hAnsi="Cambria"/>
          <w:bCs/>
          <w:color w:val="000000"/>
          <w:sz w:val="16"/>
          <w:szCs w:val="16"/>
          <w:lang w:val="pt-BR"/>
        </w:rPr>
        <w:t xml:space="preserve">Corte IDH. Caso Villamizar Durán e outros Vs. Colômbia. Exceção Preliminar, Mérito, Reparações e Custas. Sentença de 20 de novembro de 2018. Série C Nº 364. Parágrafo 139. Citando. </w:t>
      </w:r>
      <w:r w:rsidRPr="007373D2">
        <w:rPr>
          <w:rFonts w:ascii="Cambria" w:hAnsi="Cambria"/>
          <w:i/>
          <w:sz w:val="16"/>
          <w:szCs w:val="16"/>
          <w:lang w:val="pt-BR"/>
        </w:rPr>
        <w:t>Cfr.</w:t>
      </w:r>
      <w:r w:rsidRPr="007373D2">
        <w:rPr>
          <w:rFonts w:ascii="Cambria" w:hAnsi="Cambria"/>
          <w:sz w:val="16"/>
          <w:szCs w:val="16"/>
          <w:lang w:val="pt-BR"/>
        </w:rPr>
        <w:t xml:space="preserve"> Nações Unidas, Assembleia Geral, Responsabilidade do Estado por atos internacionalmente ilícitos, A/RES/56/83, 28 de janeiro de 2002, artigos 4 e 5, e Corte Internacional de Justiça, Aplicação da Convenção para a Prevenção e Punição do Crime de Genocídio (Bósnia e Herzegovina Vs. Sérvia e Montenegro), Sentença sobre o Mérito de 26 de fevereiro de 2007.</w:t>
      </w:r>
    </w:p>
  </w:footnote>
  <w:footnote w:id="91">
    <w:p w14:paraId="1DD3BFAC"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hAnsi="Cambria"/>
          <w:bCs/>
          <w:color w:val="000000"/>
          <w:sz w:val="16"/>
          <w:szCs w:val="16"/>
          <w:lang w:val="pt-BR"/>
        </w:rPr>
        <w:t xml:space="preserve">Corte IDH. Caso Villamizar Durán e outros Vs. Colômbia. Exceção Preliminar, Mérito, Reparações e Custas. Sentença de 20 de novembro de 2018. Série C Nº 364. Parágrafo 139. Citando. </w:t>
      </w:r>
      <w:r w:rsidRPr="007373D2">
        <w:rPr>
          <w:rFonts w:ascii="Cambria" w:hAnsi="Cambria"/>
          <w:i/>
          <w:sz w:val="16"/>
          <w:szCs w:val="16"/>
          <w:lang w:val="pt-BR"/>
        </w:rPr>
        <w:t>Cfr.</w:t>
      </w:r>
      <w:r w:rsidRPr="007373D2">
        <w:rPr>
          <w:rFonts w:ascii="Cambria" w:hAnsi="Cambria"/>
          <w:sz w:val="16"/>
          <w:szCs w:val="16"/>
          <w:lang w:val="pt-BR"/>
        </w:rPr>
        <w:t xml:space="preserve"> </w:t>
      </w:r>
      <w:r w:rsidRPr="007373D2">
        <w:rPr>
          <w:rFonts w:ascii="Cambria" w:hAnsi="Cambria"/>
          <w:i/>
          <w:sz w:val="16"/>
          <w:szCs w:val="16"/>
          <w:lang w:val="pt-BR"/>
        </w:rPr>
        <w:t>Caso Velásquez Rodríguez Vs. Honduras. Mérito</w:t>
      </w:r>
      <w:r w:rsidRPr="007373D2">
        <w:rPr>
          <w:rFonts w:ascii="Cambria" w:hAnsi="Cambria"/>
          <w:sz w:val="16"/>
          <w:szCs w:val="16"/>
          <w:lang w:val="pt-BR"/>
        </w:rPr>
        <w:t xml:space="preserve">, parágrafo 170. Tribunal Europeu de Direitos Humanos, TEDH,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Ilascu e Outros Vs. Moldávia e Rússia</w:t>
      </w:r>
      <w:r w:rsidRPr="007373D2">
        <w:rPr>
          <w:rFonts w:ascii="Cambria" w:hAnsi="Cambria"/>
          <w:sz w:val="16"/>
          <w:szCs w:val="16"/>
          <w:lang w:val="pt-BR"/>
        </w:rPr>
        <w:t>, Sentença de 8 de julho de 2004,</w:t>
      </w:r>
      <w:r w:rsidRPr="007373D2">
        <w:rPr>
          <w:rFonts w:ascii="Cambria" w:hAnsi="Cambria"/>
          <w:i/>
          <w:sz w:val="16"/>
          <w:szCs w:val="16"/>
          <w:lang w:val="pt-BR"/>
        </w:rPr>
        <w:t xml:space="preserve"> </w:t>
      </w:r>
      <w:r w:rsidRPr="007373D2">
        <w:rPr>
          <w:rFonts w:ascii="Cambria" w:hAnsi="Cambria"/>
          <w:sz w:val="16"/>
          <w:szCs w:val="16"/>
          <w:lang w:val="pt-BR"/>
        </w:rPr>
        <w:t>Aplicação</w:t>
      </w:r>
      <w:r w:rsidRPr="007373D2">
        <w:rPr>
          <w:rFonts w:ascii="Cambria" w:hAnsi="Cambria"/>
          <w:i/>
          <w:sz w:val="16"/>
          <w:szCs w:val="16"/>
          <w:lang w:val="pt-BR"/>
        </w:rPr>
        <w:t xml:space="preserve"> </w:t>
      </w:r>
      <w:r w:rsidRPr="007373D2">
        <w:rPr>
          <w:rFonts w:ascii="Cambria" w:hAnsi="Cambria"/>
          <w:sz w:val="16"/>
          <w:szCs w:val="16"/>
          <w:lang w:val="pt-BR"/>
        </w:rPr>
        <w:t xml:space="preserve">Nº 48787/99, parágrafo 314-319, </w:t>
      </w:r>
      <w:r w:rsidRPr="007373D2">
        <w:rPr>
          <w:rFonts w:ascii="Cambria" w:hAnsi="Cambria"/>
          <w:i/>
          <w:sz w:val="16"/>
          <w:szCs w:val="16"/>
          <w:lang w:val="pt-BR"/>
        </w:rPr>
        <w:t>Caso El-Masri Vs. Antiga República Iugoslava da Macedônia</w:t>
      </w:r>
      <w:r w:rsidRPr="007373D2">
        <w:rPr>
          <w:rFonts w:ascii="Cambria" w:hAnsi="Cambria"/>
          <w:sz w:val="16"/>
          <w:szCs w:val="16"/>
          <w:lang w:val="pt-BR"/>
        </w:rPr>
        <w:t>, Sentença de 13 de dezembro de 2004,</w:t>
      </w:r>
      <w:r w:rsidRPr="007373D2">
        <w:rPr>
          <w:rFonts w:ascii="Cambria" w:hAnsi="Cambria"/>
          <w:i/>
          <w:sz w:val="16"/>
          <w:szCs w:val="16"/>
          <w:lang w:val="pt-BR"/>
        </w:rPr>
        <w:t xml:space="preserve"> </w:t>
      </w:r>
      <w:r w:rsidRPr="007373D2">
        <w:rPr>
          <w:rFonts w:ascii="Cambria" w:hAnsi="Cambria"/>
          <w:sz w:val="16"/>
          <w:szCs w:val="16"/>
          <w:lang w:val="pt-BR"/>
        </w:rPr>
        <w:t>Aplicação</w:t>
      </w:r>
      <w:r w:rsidRPr="007373D2">
        <w:rPr>
          <w:rFonts w:ascii="Cambria" w:hAnsi="Cambria"/>
          <w:i/>
          <w:sz w:val="16"/>
          <w:szCs w:val="16"/>
          <w:lang w:val="pt-BR"/>
        </w:rPr>
        <w:t xml:space="preserve"> </w:t>
      </w:r>
      <w:r w:rsidRPr="007373D2">
        <w:rPr>
          <w:rFonts w:ascii="Cambria" w:hAnsi="Cambria"/>
          <w:sz w:val="16"/>
          <w:szCs w:val="16"/>
          <w:lang w:val="pt-BR"/>
        </w:rPr>
        <w:t>Nº 39630/09, parágrafo 97</w:t>
      </w:r>
      <w:r w:rsidRPr="007373D2">
        <w:rPr>
          <w:rFonts w:ascii="Cambria" w:hAnsi="Cambria"/>
          <w:i/>
          <w:sz w:val="16"/>
          <w:szCs w:val="16"/>
          <w:lang w:val="pt-BR"/>
        </w:rPr>
        <w:t>, Caso Irlanda Vs. Reino Unido</w:t>
      </w:r>
      <w:r w:rsidRPr="007373D2">
        <w:rPr>
          <w:rFonts w:ascii="Cambria" w:hAnsi="Cambria"/>
          <w:sz w:val="16"/>
          <w:szCs w:val="16"/>
          <w:lang w:val="pt-BR"/>
        </w:rPr>
        <w:t xml:space="preserve">, Sentença de 18 de janeiro de 1978, Nº 5310/71, parágrafo 159,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 xml:space="preserve">Husayn (Abu Zubaydah) Vs. Polônia, </w:t>
      </w:r>
      <w:r w:rsidRPr="007373D2">
        <w:rPr>
          <w:rFonts w:ascii="Cambria" w:hAnsi="Cambria"/>
          <w:sz w:val="16"/>
          <w:szCs w:val="16"/>
          <w:lang w:val="pt-BR"/>
        </w:rPr>
        <w:t>Sentença de 24 de julho de 2014,</w:t>
      </w:r>
      <w:r w:rsidRPr="007373D2">
        <w:rPr>
          <w:rFonts w:ascii="Cambria" w:hAnsi="Cambria"/>
          <w:i/>
          <w:sz w:val="16"/>
          <w:szCs w:val="16"/>
          <w:lang w:val="pt-BR"/>
        </w:rPr>
        <w:t xml:space="preserve"> </w:t>
      </w:r>
      <w:r w:rsidRPr="007373D2">
        <w:rPr>
          <w:rFonts w:ascii="Cambria" w:hAnsi="Cambria"/>
          <w:sz w:val="16"/>
          <w:szCs w:val="16"/>
          <w:lang w:val="pt-BR"/>
        </w:rPr>
        <w:t>Aplicação</w:t>
      </w:r>
      <w:r w:rsidRPr="007373D2">
        <w:rPr>
          <w:rFonts w:ascii="Cambria" w:hAnsi="Cambria"/>
          <w:i/>
          <w:sz w:val="16"/>
          <w:szCs w:val="16"/>
          <w:lang w:val="pt-BR"/>
        </w:rPr>
        <w:t xml:space="preserve"> </w:t>
      </w:r>
      <w:r w:rsidRPr="007373D2">
        <w:rPr>
          <w:rFonts w:ascii="Cambria" w:hAnsi="Cambria"/>
          <w:sz w:val="16"/>
          <w:szCs w:val="16"/>
          <w:lang w:val="pt-BR"/>
        </w:rPr>
        <w:t xml:space="preserve">Nº 7511/13, parágrafo 201; Tribunal de Justiça da União Europeia, Sentença do Tribunal de Justiça (Sala Segunda) de 8 de julho de 2010, Comissão Europeia/República Italiana, Assunto C-334/08, que retoma explicitamente o conteúdo do artigo 7 dos artigos sobre Responsabilidade do Estado por atos internacionalmente ilícitos mencionados no Parecer da Procuradora-Geral J. Kokott, em 15 de abril de 2010, parágrafo 30; Comitê de Direitos Humanos das Nações Unidas, </w:t>
      </w:r>
      <w:r w:rsidRPr="007373D2">
        <w:rPr>
          <w:rFonts w:ascii="Cambria" w:hAnsi="Cambria"/>
          <w:i/>
          <w:sz w:val="16"/>
          <w:szCs w:val="16"/>
          <w:lang w:val="pt-BR"/>
        </w:rPr>
        <w:t>Caso Sarma Vs. Sri Lanka</w:t>
      </w:r>
      <w:r w:rsidRPr="007373D2">
        <w:rPr>
          <w:rFonts w:ascii="Cambria" w:hAnsi="Cambria"/>
          <w:sz w:val="16"/>
          <w:szCs w:val="16"/>
          <w:lang w:val="pt-BR"/>
        </w:rPr>
        <w:t xml:space="preserve">, 31 de julho de 2003, CCPR/C/78/D/950/2000, parágrafo 9.2, e TIPY, El </w:t>
      </w:r>
      <w:r w:rsidRPr="007373D2">
        <w:rPr>
          <w:rFonts w:ascii="Cambria" w:hAnsi="Cambria"/>
          <w:i/>
          <w:sz w:val="16"/>
          <w:szCs w:val="16"/>
          <w:lang w:val="pt-BR"/>
        </w:rPr>
        <w:t>Fiscal Vs. Duško Tadić</w:t>
      </w:r>
      <w:r w:rsidRPr="007373D2">
        <w:rPr>
          <w:rFonts w:ascii="Cambria" w:hAnsi="Cambria"/>
          <w:sz w:val="16"/>
          <w:szCs w:val="16"/>
          <w:lang w:val="pt-BR"/>
        </w:rPr>
        <w:t xml:space="preserve">. Sentença de 15 de julho de 1999. Caso Nº IT-94-1-T, parágrafos 109, 121 e 123.  Além disso, veja </w:t>
      </w:r>
      <w:r w:rsidRPr="007373D2">
        <w:rPr>
          <w:rFonts w:ascii="Cambria" w:hAnsi="Cambria"/>
          <w:i/>
          <w:iCs/>
          <w:sz w:val="16"/>
          <w:szCs w:val="16"/>
          <w:lang w:val="pt-BR"/>
        </w:rPr>
        <w:t xml:space="preserve">Centro Internacional de Solução de Controvérsias Relativas a Investimentos (CIADI), Caso Kardassopolous Vs. Geórgia, Decisão sobre Jurisdição de 6 de julho de 2007, </w:t>
      </w:r>
      <w:r w:rsidRPr="007373D2">
        <w:rPr>
          <w:rFonts w:ascii="Cambria" w:hAnsi="Cambria"/>
          <w:sz w:val="16"/>
          <w:szCs w:val="16"/>
          <w:lang w:val="pt-BR"/>
        </w:rPr>
        <w:t>Nº ARB/05/18, parágrafo 190,</w:t>
      </w:r>
      <w:r w:rsidRPr="007373D2">
        <w:rPr>
          <w:rFonts w:ascii="Cambria" w:hAnsi="Cambria"/>
          <w:i/>
          <w:iCs/>
          <w:sz w:val="16"/>
          <w:szCs w:val="16"/>
          <w:lang w:val="pt-BR"/>
        </w:rPr>
        <w:t xml:space="preserve"> </w:t>
      </w:r>
      <w:r w:rsidRPr="007373D2">
        <w:rPr>
          <w:rFonts w:ascii="Cambria" w:hAnsi="Cambria"/>
          <w:i/>
          <w:sz w:val="16"/>
          <w:szCs w:val="16"/>
          <w:lang w:val="pt-BR"/>
        </w:rPr>
        <w:t xml:space="preserve">Caso </w:t>
      </w:r>
      <w:r w:rsidRPr="007373D2">
        <w:rPr>
          <w:rFonts w:ascii="Cambria" w:hAnsi="Cambria"/>
          <w:i/>
          <w:iCs/>
          <w:sz w:val="16"/>
          <w:szCs w:val="16"/>
          <w:lang w:val="pt-BR"/>
        </w:rPr>
        <w:t>Waguih Elie George Siag e Clorinda Vecchi Vs. Egito</w:t>
      </w:r>
      <w:r w:rsidRPr="007373D2">
        <w:rPr>
          <w:rFonts w:ascii="Cambria" w:hAnsi="Cambria"/>
          <w:iCs/>
          <w:sz w:val="16"/>
          <w:szCs w:val="16"/>
          <w:lang w:val="pt-BR"/>
        </w:rPr>
        <w:t xml:space="preserve">, Decisão de 1º de junho de 2009, </w:t>
      </w:r>
      <w:r w:rsidRPr="007373D2">
        <w:rPr>
          <w:rFonts w:ascii="Cambria" w:hAnsi="Cambria"/>
          <w:sz w:val="16"/>
          <w:szCs w:val="16"/>
          <w:lang w:val="pt-BR"/>
        </w:rPr>
        <w:t xml:space="preserve">Nº ARB/05/15, </w:t>
      </w:r>
      <w:r w:rsidRPr="007373D2">
        <w:rPr>
          <w:rFonts w:ascii="Cambria" w:hAnsi="Cambria"/>
          <w:iCs/>
          <w:sz w:val="16"/>
          <w:szCs w:val="16"/>
          <w:lang w:val="pt-BR"/>
        </w:rPr>
        <w:t xml:space="preserve">parágrafo 195,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iCs/>
          <w:sz w:val="16"/>
          <w:szCs w:val="16"/>
          <w:lang w:val="pt-BR"/>
        </w:rPr>
        <w:t xml:space="preserve">ADF Group Inc. Vs. Estados Unidos da América, </w:t>
      </w:r>
      <w:r w:rsidRPr="007373D2">
        <w:rPr>
          <w:rFonts w:ascii="Cambria" w:hAnsi="Cambria"/>
          <w:iCs/>
          <w:sz w:val="16"/>
          <w:szCs w:val="16"/>
          <w:lang w:val="pt-BR"/>
        </w:rPr>
        <w:t xml:space="preserve">Decisão de 9 de janeiro de 2003, </w:t>
      </w:r>
      <w:r w:rsidRPr="007373D2">
        <w:rPr>
          <w:rFonts w:ascii="Cambria" w:hAnsi="Cambria"/>
          <w:sz w:val="16"/>
          <w:szCs w:val="16"/>
          <w:lang w:val="pt-BR"/>
        </w:rPr>
        <w:t xml:space="preserve">Nº ARB (AF)/00/1, parágrafo 190, e </w:t>
      </w:r>
      <w:r w:rsidRPr="007373D2">
        <w:rPr>
          <w:rFonts w:ascii="Cambria" w:hAnsi="Cambria"/>
          <w:i/>
          <w:sz w:val="16"/>
          <w:szCs w:val="16"/>
          <w:lang w:val="pt-BR"/>
        </w:rPr>
        <w:t xml:space="preserve">Caso </w:t>
      </w:r>
      <w:r w:rsidRPr="007373D2">
        <w:rPr>
          <w:rFonts w:ascii="Cambria" w:hAnsi="Cambria"/>
          <w:i/>
          <w:iCs/>
          <w:sz w:val="16"/>
          <w:szCs w:val="16"/>
          <w:lang w:val="pt-BR"/>
        </w:rPr>
        <w:t xml:space="preserve">Noble Ventures, Inc. Vs. Romênia, Decisão de 12 de outubro de 2005, </w:t>
      </w:r>
      <w:r w:rsidRPr="007373D2">
        <w:rPr>
          <w:rFonts w:ascii="Cambria" w:hAnsi="Cambria"/>
          <w:sz w:val="16"/>
          <w:szCs w:val="16"/>
          <w:lang w:val="pt-BR"/>
        </w:rPr>
        <w:t xml:space="preserve">Nº ARB/01/11, parágrafo 69, 70, e 81. Consultar do mesmo modo decisões arbitrais, Comissão Mista de Reclamações Estados Unidos - México, </w:t>
      </w:r>
      <w:r w:rsidRPr="007373D2">
        <w:rPr>
          <w:rFonts w:ascii="Cambria" w:hAnsi="Cambria"/>
          <w:i/>
          <w:sz w:val="16"/>
          <w:szCs w:val="16"/>
          <w:lang w:val="pt-BR"/>
        </w:rPr>
        <w:t>Caso Cyrus M Donougho Vs. México</w:t>
      </w:r>
      <w:r w:rsidRPr="007373D2">
        <w:rPr>
          <w:rFonts w:ascii="Cambria" w:hAnsi="Cambria"/>
          <w:sz w:val="16"/>
          <w:szCs w:val="16"/>
          <w:lang w:val="pt-BR"/>
        </w:rPr>
        <w:t xml:space="preserve"> (1864) Moore, History and Digest, vol. III, página 3012, </w:t>
      </w:r>
      <w:r w:rsidRPr="007373D2">
        <w:rPr>
          <w:rFonts w:ascii="Cambria" w:hAnsi="Cambria"/>
          <w:i/>
          <w:sz w:val="16"/>
          <w:szCs w:val="16"/>
          <w:lang w:val="pt-BR"/>
        </w:rPr>
        <w:t xml:space="preserve">Caso Francisco Mallén Vs. Estados Unidos, </w:t>
      </w:r>
      <w:r w:rsidRPr="007373D2">
        <w:rPr>
          <w:rFonts w:ascii="Cambria" w:hAnsi="Cambria"/>
          <w:sz w:val="16"/>
          <w:szCs w:val="16"/>
          <w:lang w:val="pt-BR"/>
        </w:rPr>
        <w:t xml:space="preserve">Decisão de 27 de abril de 1927, RIAA, vol. IV, página 173; Comissão Mista de Reclamações Holanda – Venezuela, </w:t>
      </w:r>
      <w:r w:rsidRPr="007373D2">
        <w:rPr>
          <w:rFonts w:ascii="Cambria" w:hAnsi="Cambria"/>
          <w:i/>
          <w:sz w:val="16"/>
          <w:szCs w:val="16"/>
          <w:lang w:val="pt-BR"/>
        </w:rPr>
        <w:t>Caso Maal</w:t>
      </w:r>
      <w:r w:rsidRPr="007373D2">
        <w:rPr>
          <w:rFonts w:ascii="Cambria" w:hAnsi="Cambria"/>
          <w:sz w:val="16"/>
          <w:szCs w:val="16"/>
          <w:lang w:val="pt-BR"/>
        </w:rPr>
        <w:t xml:space="preserve">, (1903) RIAA, vol. X, página 730; Arbitragem entre Grã-Bretanha e Honduras, </w:t>
      </w:r>
      <w:r w:rsidRPr="007373D2">
        <w:rPr>
          <w:rFonts w:ascii="Cambria" w:hAnsi="Cambria"/>
          <w:i/>
          <w:sz w:val="16"/>
          <w:szCs w:val="16"/>
          <w:lang w:val="pt-BR"/>
        </w:rPr>
        <w:t>Caso La Masica</w:t>
      </w:r>
      <w:r w:rsidRPr="007373D2">
        <w:rPr>
          <w:rFonts w:ascii="Cambria" w:hAnsi="Cambria"/>
          <w:sz w:val="16"/>
          <w:szCs w:val="16"/>
          <w:lang w:val="pt-BR"/>
        </w:rPr>
        <w:t xml:space="preserve">, decisão de 7 de dezembro de 1916, RIAA, vol. XI, página 549; </w:t>
      </w:r>
      <w:r w:rsidRPr="007373D2">
        <w:rPr>
          <w:rFonts w:ascii="Cambria" w:hAnsi="Cambria"/>
          <w:i/>
          <w:sz w:val="16"/>
          <w:szCs w:val="16"/>
          <w:lang w:val="pt-BR"/>
        </w:rPr>
        <w:t>Caso Thomas H. Youmans Vs. Estados Unidos</w:t>
      </w:r>
      <w:r w:rsidRPr="007373D2">
        <w:rPr>
          <w:rFonts w:ascii="Cambria" w:hAnsi="Cambria"/>
          <w:sz w:val="16"/>
          <w:szCs w:val="16"/>
          <w:lang w:val="pt-BR"/>
        </w:rPr>
        <w:t xml:space="preserve">, Decisão de 23 de novembro de 1926, </w:t>
      </w:r>
      <w:r w:rsidRPr="007373D2">
        <w:rPr>
          <w:rFonts w:ascii="Cambria" w:hAnsi="Cambria"/>
          <w:i/>
          <w:sz w:val="16"/>
          <w:szCs w:val="16"/>
          <w:lang w:val="pt-BR"/>
        </w:rPr>
        <w:t>Relatório sobre Decisões arbitrais internacionais</w:t>
      </w:r>
      <w:r w:rsidRPr="007373D2">
        <w:rPr>
          <w:rFonts w:ascii="Cambria" w:hAnsi="Cambria"/>
          <w:sz w:val="16"/>
          <w:szCs w:val="16"/>
          <w:lang w:val="pt-BR"/>
        </w:rPr>
        <w:t xml:space="preserve"> (RIAA), vol. IV, páginas 110-116; </w:t>
      </w:r>
      <w:r w:rsidRPr="007373D2">
        <w:rPr>
          <w:rFonts w:ascii="Cambria" w:hAnsi="Cambria"/>
          <w:i/>
          <w:sz w:val="16"/>
          <w:szCs w:val="16"/>
          <w:lang w:val="pt-BR"/>
        </w:rPr>
        <w:t xml:space="preserve">Caso Charles S. Stephens e Bowmans Stephens Vs. Estados Unidos, </w:t>
      </w:r>
      <w:r w:rsidRPr="007373D2">
        <w:rPr>
          <w:rFonts w:ascii="Cambria" w:hAnsi="Cambria"/>
          <w:sz w:val="16"/>
          <w:szCs w:val="16"/>
          <w:lang w:val="pt-BR"/>
        </w:rPr>
        <w:t xml:space="preserve">Decisão de 15 de julho de 1927, RIAA, vol. IV, páginas 265-267; </w:t>
      </w:r>
      <w:r w:rsidRPr="007373D2">
        <w:rPr>
          <w:rFonts w:ascii="Cambria" w:hAnsi="Cambria"/>
          <w:i/>
          <w:sz w:val="16"/>
          <w:szCs w:val="16"/>
          <w:lang w:val="pt-BR"/>
        </w:rPr>
        <w:t>Caso G. L. Solís Vs. Estados Unidos Mexicanos</w:t>
      </w:r>
      <w:r w:rsidRPr="007373D2">
        <w:rPr>
          <w:rFonts w:ascii="Cambria" w:hAnsi="Cambria"/>
          <w:sz w:val="16"/>
          <w:szCs w:val="16"/>
          <w:lang w:val="pt-BR"/>
        </w:rPr>
        <w:t>, Decisão de 3 de outubro de 1928, RIAA, vol. IV, páginas 358-362; Comissão Mista de Reclamações França – México,</w:t>
      </w:r>
      <w:r w:rsidRPr="007373D2">
        <w:rPr>
          <w:rFonts w:ascii="Cambria" w:hAnsi="Cambria"/>
          <w:i/>
          <w:sz w:val="16"/>
          <w:szCs w:val="16"/>
          <w:lang w:val="pt-BR"/>
        </w:rPr>
        <w:t xml:space="preserve"> Jean-Baptiste Caire (França) Vs. Estados Unidos Mexicanos</w:t>
      </w:r>
      <w:r w:rsidRPr="007373D2">
        <w:rPr>
          <w:rFonts w:ascii="Cambria" w:hAnsi="Cambria"/>
          <w:sz w:val="16"/>
          <w:szCs w:val="16"/>
          <w:lang w:val="pt-BR"/>
        </w:rPr>
        <w:t xml:space="preserve">, 7 de Decisão de junho de 1929; </w:t>
      </w:r>
      <w:r w:rsidRPr="007373D2">
        <w:rPr>
          <w:rFonts w:ascii="Cambria" w:hAnsi="Cambria"/>
          <w:i/>
          <w:sz w:val="16"/>
          <w:szCs w:val="16"/>
          <w:lang w:val="pt-BR"/>
        </w:rPr>
        <w:t>Caso Lillie S Kling Vs. Estados Unidos Mexicanos</w:t>
      </w:r>
      <w:r w:rsidRPr="007373D2">
        <w:rPr>
          <w:rFonts w:ascii="Cambria" w:hAnsi="Cambria"/>
          <w:sz w:val="16"/>
          <w:szCs w:val="16"/>
          <w:lang w:val="pt-BR"/>
        </w:rPr>
        <w:t xml:space="preserve">, Decisão de 8 de outubro de 1930, RIAA, vol. IV, páginas 575; Tribunal de Reclamações Irã – Estados Unidos, </w:t>
      </w:r>
      <w:r w:rsidRPr="007373D2">
        <w:rPr>
          <w:rFonts w:ascii="Cambria" w:hAnsi="Cambria"/>
          <w:i/>
          <w:sz w:val="16"/>
          <w:szCs w:val="16"/>
          <w:lang w:val="pt-BR"/>
        </w:rPr>
        <w:t>Caso Kenneth P Yeager Vs República Islâmica do Irã</w:t>
      </w:r>
      <w:r w:rsidRPr="007373D2">
        <w:rPr>
          <w:rFonts w:ascii="Cambria" w:hAnsi="Cambria"/>
          <w:sz w:val="16"/>
          <w:szCs w:val="16"/>
          <w:lang w:val="pt-BR"/>
        </w:rPr>
        <w:t>, 2 de novembro de 1987, Nº 10199, parágrafo 42.</w:t>
      </w:r>
    </w:p>
  </w:footnote>
  <w:footnote w:id="92">
    <w:p w14:paraId="5F6CF310"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hAnsi="Cambria"/>
          <w:bCs/>
          <w:color w:val="000000"/>
          <w:sz w:val="16"/>
          <w:szCs w:val="16"/>
          <w:lang w:val="pt-BR"/>
        </w:rPr>
        <w:t xml:space="preserve">Corte IDH. Caso Villamizar Durán e outros Vs. Colômbia. Exceção Preliminar, Mérito, Reparações e Custas. Sentença de 20 de novembro de 2018. Série C Nº 364. Parágrafo 140. Citando. </w:t>
      </w:r>
      <w:r w:rsidRPr="007373D2">
        <w:rPr>
          <w:rFonts w:ascii="Cambria" w:hAnsi="Cambria"/>
          <w:i/>
          <w:sz w:val="16"/>
          <w:szCs w:val="16"/>
          <w:lang w:val="pt-BR"/>
        </w:rPr>
        <w:t>Cfr.</w:t>
      </w:r>
      <w:r w:rsidRPr="007373D2">
        <w:rPr>
          <w:rFonts w:ascii="Cambria" w:hAnsi="Cambria"/>
          <w:sz w:val="16"/>
          <w:szCs w:val="16"/>
          <w:lang w:val="pt-BR"/>
        </w:rPr>
        <w:t xml:space="preserve"> Artigos sobre Responsabilidade do Estado por atos internacionalmente ilícitos comentados, comentários ao artigo 7, UN Doc. A/56/10 (2001), página 47, parágrafo 8. Veja também Anuário da Comissão de Direito Internacional, ano 1975, Vol. II, A/CN.4/SER.A/1975/Add.1, página 67, comentários ao rascunho do artigo 10, parágrafo 17, e Comissão Mista de Reclamações França – México,</w:t>
      </w:r>
      <w:r w:rsidRPr="007373D2">
        <w:rPr>
          <w:rFonts w:ascii="Cambria" w:hAnsi="Cambria"/>
          <w:i/>
          <w:sz w:val="16"/>
          <w:szCs w:val="16"/>
          <w:lang w:val="pt-BR"/>
        </w:rPr>
        <w:t xml:space="preserve"> Jean-Baptiste Caire (França) Vs. Estados Unidos Mexicanos</w:t>
      </w:r>
      <w:r w:rsidRPr="007373D2">
        <w:rPr>
          <w:rFonts w:ascii="Cambria" w:hAnsi="Cambria"/>
          <w:sz w:val="16"/>
          <w:szCs w:val="16"/>
          <w:lang w:val="pt-BR"/>
        </w:rPr>
        <w:t xml:space="preserve">, 7 de Decisão de junho de 1929. Com respeito a esse ponto, a perita proposta pelo Estado, Maria Carmelina Londoño Lázaro, assinalou durante a audiência pública que no caso da Colômbia, “com o fim de que os juízes nacionais avaliem se as atuações dos agentes públicos concretamente comprometem ou são atribuíveis ao Estado ou pelo contrário se trata de atuações na esfera privada dos agentes públicos, a jurisprudência nacional desenvolveu um […] teste flexível […] que […] contém dois elementos fundamentais: um elemento perceptível e outro inteligível; de acordo com esse elemento perceptível, o que o juiz avalia é se o tempo, o modo e o lugar fazem pensar que existiam um nexo com a função, isto é, se o funcionário público cometeu o ilícito ou levou a cabo a conduta no tempo destinado às funções, no lugar destinado às funções, ou com instrumentos da função, mas também se encontra o elemento inteligível, que o que se permite ao juiz é avaliar se o agente atuou com as intenção de cumprir suas funções ou sob amparo ou alguma investidura de poder público como autoridade estatal”. Mais adiante, a perita indicou que se as atuações das autoridades se deram fora da condição de autoridade pública, de algum tipo de nexo”, afirmando que este pode inclusive ser “aparente”, “resultaria então que se trata de um ato privado da autoridade pública semelhante ao ato de um particular”. </w:t>
      </w:r>
    </w:p>
  </w:footnote>
  <w:footnote w:id="93">
    <w:p w14:paraId="71B594E3"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hAnsi="Cambria"/>
          <w:bCs/>
          <w:color w:val="000000"/>
          <w:sz w:val="16"/>
          <w:szCs w:val="16"/>
          <w:lang w:val="pt-BR"/>
        </w:rPr>
        <w:t xml:space="preserve">Corte IDH. Caso Villamizar Durán e outros Vs. Colômbia. Exceção Preliminar, Mérito, Reparações e Custas. Sentença de 20 de novembro de 2018. Série C Nº 364. Parágrafo 140. Citando. </w:t>
      </w:r>
      <w:r w:rsidRPr="007373D2">
        <w:rPr>
          <w:rFonts w:ascii="Cambria" w:hAnsi="Cambria"/>
          <w:i/>
          <w:sz w:val="16"/>
          <w:szCs w:val="16"/>
          <w:lang w:val="pt-BR"/>
        </w:rPr>
        <w:t>Cfr.</w:t>
      </w:r>
      <w:r w:rsidRPr="007373D2">
        <w:rPr>
          <w:rFonts w:ascii="Cambria" w:hAnsi="Cambria"/>
          <w:sz w:val="16"/>
          <w:szCs w:val="16"/>
          <w:lang w:val="pt-BR"/>
        </w:rPr>
        <w:t xml:space="preserve"> TEDH,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Wille Vs. Liechtenstein</w:t>
      </w:r>
      <w:r w:rsidRPr="007373D2">
        <w:rPr>
          <w:rFonts w:ascii="Cambria" w:hAnsi="Cambria"/>
          <w:sz w:val="16"/>
          <w:szCs w:val="16"/>
          <w:lang w:val="pt-BR"/>
        </w:rPr>
        <w:t xml:space="preserve">, Sentença de 28 de outubro de 1999, Aplicação Nº 28396/95; </w:t>
      </w:r>
      <w:r w:rsidRPr="007373D2">
        <w:rPr>
          <w:rFonts w:ascii="Cambria" w:hAnsi="Cambria"/>
          <w:i/>
          <w:sz w:val="16"/>
          <w:szCs w:val="16"/>
          <w:lang w:val="pt-BR"/>
        </w:rPr>
        <w:t>Caso Fergec Vs. Croácia</w:t>
      </w:r>
      <w:r w:rsidRPr="007373D2">
        <w:rPr>
          <w:rFonts w:ascii="Cambria" w:hAnsi="Cambria"/>
          <w:sz w:val="16"/>
          <w:szCs w:val="16"/>
          <w:lang w:val="pt-BR"/>
        </w:rPr>
        <w:t xml:space="preserve">, Sentença de 9 de maio de 2017, parágrafo 36, Aplicação Nº 68516/14, </w:t>
      </w:r>
      <w:r w:rsidRPr="007373D2">
        <w:rPr>
          <w:rFonts w:ascii="Cambria" w:hAnsi="Cambria"/>
          <w:i/>
          <w:sz w:val="16"/>
          <w:szCs w:val="16"/>
          <w:lang w:val="pt-BR"/>
        </w:rPr>
        <w:t>Caso Kotelnikov Vs. Rússia</w:t>
      </w:r>
      <w:r w:rsidRPr="007373D2">
        <w:rPr>
          <w:rFonts w:ascii="Cambria" w:hAnsi="Cambria"/>
          <w:sz w:val="16"/>
          <w:szCs w:val="16"/>
          <w:lang w:val="pt-BR"/>
        </w:rPr>
        <w:t xml:space="preserve">, Sentença de 12 de julho de 2016, Aplicação Nº 45104/05,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 xml:space="preserve">Saso Gorgiev Vs. Antiga República Iugoslava da Macedônia, </w:t>
      </w:r>
      <w:r w:rsidRPr="007373D2">
        <w:rPr>
          <w:rFonts w:ascii="Cambria" w:hAnsi="Cambria"/>
          <w:sz w:val="16"/>
          <w:szCs w:val="16"/>
          <w:lang w:val="pt-BR"/>
        </w:rPr>
        <w:t>Sentença de 19 de abril de 2012,</w:t>
      </w:r>
      <w:r w:rsidRPr="007373D2">
        <w:rPr>
          <w:rFonts w:ascii="Cambria" w:hAnsi="Cambria"/>
          <w:i/>
          <w:sz w:val="16"/>
          <w:szCs w:val="16"/>
          <w:lang w:val="pt-BR"/>
        </w:rPr>
        <w:t xml:space="preserve"> </w:t>
      </w:r>
      <w:r w:rsidRPr="007373D2">
        <w:rPr>
          <w:rFonts w:ascii="Cambria" w:hAnsi="Cambria"/>
          <w:sz w:val="16"/>
          <w:szCs w:val="16"/>
          <w:lang w:val="pt-BR"/>
        </w:rPr>
        <w:t>Aplicação Nº 49382/06, parágrafo 49. Artigos sobre Responsabilidade do Estado por atos internacionalmente ilícitos comentados, UN Doc. A/56/10 (2001), páginas 42 a 47; Anuário da Comissão de Direito Internacional, ano 1975, Vol. II, A/CN.4/SER.A/1975/Add.1, página 67, comentários ao rascunho do artigo 10, parágrafo 17. Além disso, veja certas decisões arbitrais internacionais</w:t>
      </w:r>
      <w:r w:rsidRPr="007373D2">
        <w:rPr>
          <w:rFonts w:ascii="Cambria" w:hAnsi="Cambria"/>
          <w:i/>
          <w:sz w:val="16"/>
          <w:szCs w:val="16"/>
          <w:lang w:val="pt-BR"/>
        </w:rPr>
        <w:t>, Caso Thomas H. Youmans Vs. Estados Unidos</w:t>
      </w:r>
      <w:r w:rsidRPr="007373D2">
        <w:rPr>
          <w:rFonts w:ascii="Cambria" w:hAnsi="Cambria"/>
          <w:sz w:val="16"/>
          <w:szCs w:val="16"/>
          <w:lang w:val="pt-BR"/>
        </w:rPr>
        <w:t xml:space="preserve">, Decisão de 23 de novembro de 1926, </w:t>
      </w:r>
      <w:r w:rsidRPr="007373D2">
        <w:rPr>
          <w:rFonts w:ascii="Cambria" w:hAnsi="Cambria"/>
          <w:i/>
          <w:sz w:val="16"/>
          <w:szCs w:val="16"/>
          <w:lang w:val="pt-BR"/>
        </w:rPr>
        <w:t>Relatório sobre Decisões arbitrais internacionais</w:t>
      </w:r>
      <w:r w:rsidRPr="007373D2">
        <w:rPr>
          <w:rFonts w:ascii="Cambria" w:hAnsi="Cambria"/>
          <w:sz w:val="16"/>
          <w:szCs w:val="16"/>
          <w:lang w:val="pt-BR"/>
        </w:rPr>
        <w:t xml:space="preserve"> (RIAA), vol. IV, páginas 110-116, </w:t>
      </w:r>
      <w:r w:rsidRPr="007373D2">
        <w:rPr>
          <w:rFonts w:ascii="Cambria" w:hAnsi="Cambria"/>
          <w:i/>
          <w:sz w:val="16"/>
          <w:szCs w:val="16"/>
          <w:lang w:val="pt-BR"/>
        </w:rPr>
        <w:t xml:space="preserve">Caso Charles S. Stephens e Bowmans Stephens Vs. Estados Unidos, </w:t>
      </w:r>
      <w:r w:rsidRPr="007373D2">
        <w:rPr>
          <w:rFonts w:ascii="Cambria" w:hAnsi="Cambria"/>
          <w:sz w:val="16"/>
          <w:szCs w:val="16"/>
          <w:lang w:val="pt-BR"/>
        </w:rPr>
        <w:t xml:space="preserve">Decisão de 15 de julho de 1927, RIAA, vol. IV, páginas 265-267, </w:t>
      </w:r>
      <w:r w:rsidRPr="007373D2">
        <w:rPr>
          <w:rFonts w:ascii="Cambria" w:hAnsi="Cambria"/>
          <w:i/>
          <w:sz w:val="16"/>
          <w:szCs w:val="16"/>
          <w:lang w:val="pt-BR"/>
        </w:rPr>
        <w:t>Caso G. L. Solís Vs. Estados Unidos Mexicanos</w:t>
      </w:r>
      <w:r w:rsidRPr="007373D2">
        <w:rPr>
          <w:rFonts w:ascii="Cambria" w:hAnsi="Cambria"/>
          <w:sz w:val="16"/>
          <w:szCs w:val="16"/>
          <w:lang w:val="pt-BR"/>
        </w:rPr>
        <w:t xml:space="preserve">, Decisão de 3 de outubro de 1928, RIAA, vol. IV, páginas 358-362, </w:t>
      </w:r>
      <w:r w:rsidRPr="007373D2">
        <w:rPr>
          <w:rFonts w:ascii="Cambria" w:hAnsi="Cambria"/>
          <w:i/>
          <w:sz w:val="16"/>
          <w:szCs w:val="16"/>
          <w:lang w:val="pt-BR"/>
        </w:rPr>
        <w:t>Caso Lillie S Kling Vs. Estados Unidos Mexicanos</w:t>
      </w:r>
      <w:r w:rsidRPr="007373D2">
        <w:rPr>
          <w:rFonts w:ascii="Cambria" w:hAnsi="Cambria"/>
          <w:sz w:val="16"/>
          <w:szCs w:val="16"/>
          <w:lang w:val="pt-BR"/>
        </w:rPr>
        <w:t xml:space="preserve">, Decisão de 8 de outubro de 1930, RIAA, vol. IV, páginas 575. </w:t>
      </w:r>
    </w:p>
  </w:footnote>
  <w:footnote w:id="94">
    <w:p w14:paraId="5E1DADC4"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hAnsi="Cambria"/>
          <w:bCs/>
          <w:color w:val="000000"/>
          <w:sz w:val="16"/>
          <w:szCs w:val="16"/>
          <w:lang w:val="pt-BR"/>
        </w:rPr>
        <w:t xml:space="preserve">Corte IDH. Caso Villamizar Durán e outros Vs. Colômbia. Exceção Preliminar, Mérito, Reparações e Custas. Sentença de 20 de novembro de 2018. Série C Nº 364. Parágrafo 140. </w:t>
      </w:r>
      <w:r w:rsidRPr="007373D2">
        <w:rPr>
          <w:rFonts w:ascii="Cambria" w:hAnsi="Cambria"/>
          <w:sz w:val="16"/>
          <w:szCs w:val="16"/>
          <w:lang w:val="pt-BR"/>
        </w:rPr>
        <w:t xml:space="preserve">Citando. </w:t>
      </w:r>
      <w:r w:rsidRPr="007373D2">
        <w:rPr>
          <w:rFonts w:ascii="Cambria" w:hAnsi="Cambria"/>
          <w:i/>
          <w:sz w:val="16"/>
          <w:szCs w:val="16"/>
          <w:lang w:val="pt-BR"/>
        </w:rPr>
        <w:t>Cfr.</w:t>
      </w:r>
      <w:r w:rsidRPr="007373D2">
        <w:rPr>
          <w:rFonts w:ascii="Cambria" w:hAnsi="Cambria"/>
          <w:sz w:val="16"/>
          <w:szCs w:val="16"/>
          <w:lang w:val="pt-BR"/>
        </w:rPr>
        <w:t xml:space="preserve"> TEDH,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Seyfettin Acar e outros Vs. Turquia</w:t>
      </w:r>
      <w:r w:rsidRPr="007373D2">
        <w:rPr>
          <w:rFonts w:ascii="Cambria" w:hAnsi="Cambria"/>
          <w:sz w:val="16"/>
          <w:szCs w:val="16"/>
          <w:lang w:val="pt-BR"/>
        </w:rPr>
        <w:t>, Sentença de 6 de outubro de 2009, Aplicação Nº 30742/03, parágrafo 35</w:t>
      </w:r>
      <w:r w:rsidRPr="007373D2">
        <w:rPr>
          <w:rFonts w:ascii="Cambria" w:hAnsi="Cambria"/>
          <w:i/>
          <w:sz w:val="16"/>
          <w:szCs w:val="16"/>
          <w:lang w:val="pt-BR"/>
        </w:rPr>
        <w:t xml:space="preserve">, </w:t>
      </w:r>
      <w:r w:rsidRPr="007373D2">
        <w:rPr>
          <w:rFonts w:ascii="Cambria" w:hAnsi="Cambria"/>
          <w:sz w:val="16"/>
          <w:szCs w:val="16"/>
          <w:lang w:val="pt-BR"/>
        </w:rPr>
        <w:t>e</w:t>
      </w:r>
      <w:r w:rsidRPr="007373D2">
        <w:rPr>
          <w:rFonts w:ascii="Cambria" w:hAnsi="Cambria"/>
          <w:i/>
          <w:sz w:val="16"/>
          <w:szCs w:val="16"/>
          <w:lang w:val="pt-BR"/>
        </w:rPr>
        <w:t xml:space="preserve"> Caso</w:t>
      </w:r>
      <w:r w:rsidRPr="007373D2">
        <w:rPr>
          <w:rFonts w:ascii="Cambria" w:hAnsi="Cambria"/>
          <w:sz w:val="16"/>
          <w:szCs w:val="16"/>
          <w:lang w:val="pt-BR"/>
        </w:rPr>
        <w:t xml:space="preserve"> </w:t>
      </w:r>
      <w:r w:rsidRPr="007373D2">
        <w:rPr>
          <w:rFonts w:ascii="Cambria" w:hAnsi="Cambria"/>
          <w:i/>
          <w:sz w:val="16"/>
          <w:szCs w:val="16"/>
          <w:lang w:val="pt-BR"/>
        </w:rPr>
        <w:t>Ilascu e outros Vs. Moldávia e Rússia</w:t>
      </w:r>
      <w:r w:rsidRPr="007373D2">
        <w:rPr>
          <w:rFonts w:ascii="Cambria" w:hAnsi="Cambria"/>
          <w:sz w:val="16"/>
          <w:szCs w:val="16"/>
          <w:lang w:val="pt-BR"/>
        </w:rPr>
        <w:t>, Sentença de 8 de julho de 2004, Aplicação</w:t>
      </w:r>
      <w:r w:rsidRPr="007373D2">
        <w:rPr>
          <w:rFonts w:ascii="Cambria" w:hAnsi="Cambria"/>
          <w:i/>
          <w:sz w:val="16"/>
          <w:szCs w:val="16"/>
          <w:lang w:val="pt-BR"/>
        </w:rPr>
        <w:t xml:space="preserve"> </w:t>
      </w:r>
      <w:r w:rsidRPr="007373D2">
        <w:rPr>
          <w:rFonts w:ascii="Cambria" w:hAnsi="Cambria"/>
          <w:sz w:val="16"/>
          <w:szCs w:val="16"/>
          <w:lang w:val="pt-BR"/>
        </w:rPr>
        <w:t xml:space="preserve">Nº 48787/99. Artigos sobre Responsabilidade do Estado por atos internacionalmente ilícitos comentados, comentários ao artigo 7, UN Doc. A/56/10 (2001), página 47, parágrafo 8; Tribunal de Reclamações Irã – Estados Unidos, </w:t>
      </w:r>
      <w:r w:rsidRPr="007373D2">
        <w:rPr>
          <w:rFonts w:ascii="Cambria" w:hAnsi="Cambria"/>
          <w:i/>
          <w:sz w:val="16"/>
          <w:szCs w:val="16"/>
          <w:lang w:val="pt-BR"/>
        </w:rPr>
        <w:t>Caso Kenneth P Yeager Vs República Islâmica do Irã</w:t>
      </w:r>
      <w:r w:rsidRPr="007373D2">
        <w:rPr>
          <w:rFonts w:ascii="Cambria" w:hAnsi="Cambria"/>
          <w:sz w:val="16"/>
          <w:szCs w:val="16"/>
          <w:lang w:val="pt-BR"/>
        </w:rPr>
        <w:t>, 2 de novembro de 1987, Nº 10199, páginas 110 e 111, e Comissão Mista de Reclamações França – México,</w:t>
      </w:r>
      <w:r w:rsidRPr="007373D2">
        <w:rPr>
          <w:rFonts w:ascii="Cambria" w:hAnsi="Cambria"/>
          <w:i/>
          <w:sz w:val="16"/>
          <w:szCs w:val="16"/>
          <w:lang w:val="pt-BR"/>
        </w:rPr>
        <w:t xml:space="preserve"> Jean-Baptiste Caire (França) Vs. Estados Unidos Mexicanos</w:t>
      </w:r>
      <w:r w:rsidRPr="007373D2">
        <w:rPr>
          <w:rFonts w:ascii="Cambria" w:hAnsi="Cambria"/>
          <w:sz w:val="16"/>
          <w:szCs w:val="16"/>
          <w:lang w:val="pt-BR"/>
        </w:rPr>
        <w:t xml:space="preserve">, Decisão de 7 de junho de 1929. </w:t>
      </w:r>
    </w:p>
  </w:footnote>
  <w:footnote w:id="95">
    <w:p w14:paraId="33A02839"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bCs/>
          <w:color w:val="000000"/>
          <w:sz w:val="16"/>
          <w:szCs w:val="16"/>
          <w:lang w:val="pt-BR"/>
        </w:rPr>
        <w:t xml:space="preserve"> Corte IDH. Caso Villamizar Durán e outros Vs. Colômbia. Exceção Preliminar, Mérito, Reparações e Custas. Sentença de 20 de novembro de 2018. Série C Nº 364. Parágrafo 140. Citando. </w:t>
      </w:r>
      <w:r w:rsidRPr="007373D2">
        <w:rPr>
          <w:rFonts w:ascii="Cambria" w:hAnsi="Cambria"/>
          <w:i/>
          <w:sz w:val="16"/>
          <w:szCs w:val="16"/>
          <w:lang w:val="pt-BR"/>
        </w:rPr>
        <w:t>Cfr.</w:t>
      </w:r>
      <w:r w:rsidRPr="007373D2">
        <w:rPr>
          <w:rFonts w:ascii="Cambria" w:hAnsi="Cambria"/>
          <w:sz w:val="16"/>
          <w:szCs w:val="16"/>
          <w:lang w:val="pt-BR"/>
        </w:rPr>
        <w:t xml:space="preserve"> TEDH,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 xml:space="preserve">Saso Gorgiev Vs. Antiga República Iugoslava da Macedônia, </w:t>
      </w:r>
      <w:r w:rsidRPr="007373D2">
        <w:rPr>
          <w:rFonts w:ascii="Cambria" w:hAnsi="Cambria"/>
          <w:sz w:val="16"/>
          <w:szCs w:val="16"/>
          <w:lang w:val="pt-BR"/>
        </w:rPr>
        <w:t>Sentença de 19 de abril de 2012,</w:t>
      </w:r>
      <w:r w:rsidRPr="007373D2">
        <w:rPr>
          <w:rFonts w:ascii="Cambria" w:hAnsi="Cambria"/>
          <w:i/>
          <w:sz w:val="16"/>
          <w:szCs w:val="16"/>
          <w:lang w:val="pt-BR"/>
        </w:rPr>
        <w:t xml:space="preserve"> </w:t>
      </w:r>
      <w:r w:rsidRPr="007373D2">
        <w:rPr>
          <w:rFonts w:ascii="Cambria" w:hAnsi="Cambria"/>
          <w:sz w:val="16"/>
          <w:szCs w:val="16"/>
          <w:lang w:val="pt-BR"/>
        </w:rPr>
        <w:t xml:space="preserve">Aplicação Nº 49382/06, parágrafo 49;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 xml:space="preserve">Durdevic Vs. Croácia, </w:t>
      </w:r>
      <w:r w:rsidRPr="007373D2">
        <w:rPr>
          <w:rFonts w:ascii="Cambria" w:hAnsi="Cambria"/>
          <w:sz w:val="16"/>
          <w:szCs w:val="16"/>
          <w:lang w:val="pt-BR"/>
        </w:rPr>
        <w:t xml:space="preserve">Sentença de 19 de julho de 2011, aplicação Nº 52442/09, parágrafo  75, e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Avsar Vs. Turquia</w:t>
      </w:r>
      <w:r w:rsidRPr="007373D2">
        <w:rPr>
          <w:rFonts w:ascii="Cambria" w:hAnsi="Cambria"/>
          <w:sz w:val="16"/>
          <w:szCs w:val="16"/>
          <w:lang w:val="pt-BR"/>
        </w:rPr>
        <w:t>,</w:t>
      </w:r>
      <w:r w:rsidRPr="007373D2">
        <w:rPr>
          <w:rFonts w:ascii="Cambria" w:hAnsi="Cambria"/>
          <w:i/>
          <w:sz w:val="16"/>
          <w:szCs w:val="16"/>
          <w:lang w:val="pt-BR"/>
        </w:rPr>
        <w:t xml:space="preserve"> </w:t>
      </w:r>
      <w:r w:rsidRPr="007373D2">
        <w:rPr>
          <w:rFonts w:ascii="Cambria" w:hAnsi="Cambria"/>
          <w:sz w:val="16"/>
          <w:szCs w:val="16"/>
          <w:lang w:val="pt-BR"/>
        </w:rPr>
        <w:t>Sentença de 10 de julho de 2001, aplicação Nº 25657/94</w:t>
      </w:r>
    </w:p>
  </w:footnote>
  <w:footnote w:id="96">
    <w:p w14:paraId="2233DB64"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hAnsi="Cambria"/>
          <w:bCs/>
          <w:color w:val="000000"/>
          <w:sz w:val="16"/>
          <w:szCs w:val="16"/>
          <w:lang w:val="pt-BR"/>
        </w:rPr>
        <w:t xml:space="preserve">Corte IDH. Caso Villamizar Durán e outros Vs. Colômbia. Exceção Preliminar, Mérito, Reparações e Custas. Sentença de 20 de novembro de 2018. Série C Nº 364. Parágrafo 140. Citando. </w:t>
      </w:r>
      <w:r w:rsidRPr="007373D2">
        <w:rPr>
          <w:rFonts w:ascii="Cambria" w:hAnsi="Cambria"/>
          <w:i/>
          <w:sz w:val="16"/>
          <w:szCs w:val="16"/>
          <w:lang w:val="pt-BR"/>
        </w:rPr>
        <w:t>Cfr.</w:t>
      </w:r>
      <w:r w:rsidRPr="007373D2">
        <w:rPr>
          <w:rFonts w:ascii="Cambria" w:hAnsi="Cambria"/>
          <w:sz w:val="16"/>
          <w:szCs w:val="16"/>
          <w:lang w:val="pt-BR"/>
        </w:rPr>
        <w:t xml:space="preserve"> TEDH,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 xml:space="preserve">Ramanauskas Vs. Lituânia, </w:t>
      </w:r>
      <w:r w:rsidRPr="007373D2">
        <w:rPr>
          <w:rFonts w:ascii="Cambria" w:hAnsi="Cambria"/>
          <w:sz w:val="16"/>
          <w:szCs w:val="16"/>
          <w:lang w:val="pt-BR"/>
        </w:rPr>
        <w:t>Sentença de 5 de fevereiro de 2008,</w:t>
      </w:r>
      <w:r w:rsidRPr="007373D2">
        <w:rPr>
          <w:rFonts w:ascii="Cambria" w:hAnsi="Cambria"/>
          <w:i/>
          <w:sz w:val="16"/>
          <w:szCs w:val="16"/>
          <w:lang w:val="pt-BR"/>
        </w:rPr>
        <w:t xml:space="preserve"> </w:t>
      </w:r>
      <w:r w:rsidRPr="007373D2">
        <w:rPr>
          <w:rFonts w:ascii="Cambria" w:hAnsi="Cambria"/>
          <w:sz w:val="16"/>
          <w:szCs w:val="16"/>
          <w:lang w:val="pt-BR"/>
        </w:rPr>
        <w:t xml:space="preserve">aplicação Nº 74420/01 parágrafo 64; </w:t>
      </w:r>
      <w:r w:rsidRPr="007373D2">
        <w:rPr>
          <w:rFonts w:ascii="Cambria" w:hAnsi="Cambria"/>
          <w:i/>
          <w:sz w:val="16"/>
          <w:szCs w:val="16"/>
          <w:lang w:val="pt-BR"/>
        </w:rPr>
        <w:t>Caso</w:t>
      </w:r>
      <w:r w:rsidRPr="007373D2">
        <w:rPr>
          <w:rFonts w:ascii="Cambria" w:hAnsi="Cambria"/>
          <w:sz w:val="16"/>
          <w:szCs w:val="16"/>
          <w:lang w:val="pt-BR"/>
        </w:rPr>
        <w:t xml:space="preserve"> </w:t>
      </w:r>
      <w:r w:rsidRPr="007373D2">
        <w:rPr>
          <w:rFonts w:ascii="Cambria" w:hAnsi="Cambria"/>
          <w:i/>
          <w:sz w:val="16"/>
          <w:szCs w:val="16"/>
          <w:lang w:val="pt-BR"/>
        </w:rPr>
        <w:t xml:space="preserve">Durdevic Vs. Croácia, </w:t>
      </w:r>
      <w:r w:rsidRPr="007373D2">
        <w:rPr>
          <w:rFonts w:ascii="Cambria" w:hAnsi="Cambria"/>
          <w:sz w:val="16"/>
          <w:szCs w:val="16"/>
          <w:lang w:val="pt-BR"/>
        </w:rPr>
        <w:t xml:space="preserve">Sentença de 19 de julho de 2011, aplicação Nº 52442/09, parágrafo 75. Além disso, veja Comissão sobre a Convenção de 15 de janeiro de 1880 entre Estados Unidos e França, </w:t>
      </w:r>
      <w:r w:rsidRPr="007373D2">
        <w:rPr>
          <w:rFonts w:ascii="Cambria" w:hAnsi="Cambria"/>
          <w:i/>
          <w:sz w:val="16"/>
          <w:szCs w:val="16"/>
          <w:lang w:val="pt-BR"/>
        </w:rPr>
        <w:t>Louis Castelains Vs. Estados Unidos</w:t>
      </w:r>
      <w:r w:rsidRPr="007373D2">
        <w:rPr>
          <w:rFonts w:ascii="Cambria" w:hAnsi="Cambria"/>
          <w:sz w:val="16"/>
          <w:szCs w:val="16"/>
          <w:lang w:val="pt-BR"/>
        </w:rPr>
        <w:t xml:space="preserve">, Nº 353, Boutwoll's Report, 131; Tribunal de Reclamações Irã – Estados Unidos, </w:t>
      </w:r>
      <w:r w:rsidRPr="007373D2">
        <w:rPr>
          <w:rFonts w:ascii="Cambria" w:hAnsi="Cambria"/>
          <w:i/>
          <w:sz w:val="16"/>
          <w:szCs w:val="16"/>
          <w:lang w:val="pt-BR"/>
        </w:rPr>
        <w:t>Caso Kenneth P Yeager Vs República Islâmica do Irã</w:t>
      </w:r>
      <w:r w:rsidRPr="007373D2">
        <w:rPr>
          <w:rFonts w:ascii="Cambria" w:hAnsi="Cambria"/>
          <w:sz w:val="16"/>
          <w:szCs w:val="16"/>
          <w:lang w:val="pt-BR"/>
        </w:rPr>
        <w:t>, 2 de novembro de 1987, Nº 10199, parágrafo 65.</w:t>
      </w:r>
    </w:p>
  </w:footnote>
  <w:footnote w:id="97">
    <w:p w14:paraId="3A744626" w14:textId="77777777" w:rsidR="000516D5" w:rsidRPr="007373D2" w:rsidRDefault="000516D5" w:rsidP="007373D2">
      <w:pPr>
        <w:tabs>
          <w:tab w:val="left" w:pos="720"/>
          <w:tab w:val="left" w:pos="1440"/>
        </w:tabs>
        <w:jc w:val="both"/>
        <w:rPr>
          <w:rFonts w:ascii="Cambria" w:hAnsi="Cambria" w:cs="Verdan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hAnsi="Cambria"/>
          <w:bCs/>
          <w:color w:val="000000"/>
          <w:sz w:val="16"/>
          <w:szCs w:val="16"/>
          <w:lang w:val="pt-BR"/>
        </w:rPr>
        <w:t xml:space="preserve">Corte IDH. Caso Villamizar Durán e outros Vs. Colômbia. Exceção Preliminar, Mérito, Reparações e Custas. Sentença de 20 de novembro de 2018. Série C Nº 364. Parágrafo 140. Citando. </w:t>
      </w:r>
      <w:r w:rsidRPr="007373D2">
        <w:rPr>
          <w:rFonts w:ascii="Cambria" w:hAnsi="Cambria"/>
          <w:i/>
          <w:sz w:val="16"/>
          <w:szCs w:val="16"/>
          <w:lang w:val="pt-BR"/>
        </w:rPr>
        <w:t>Cfr.</w:t>
      </w:r>
      <w:r w:rsidRPr="007373D2">
        <w:rPr>
          <w:rFonts w:ascii="Cambria" w:hAnsi="Cambria"/>
          <w:sz w:val="16"/>
          <w:szCs w:val="16"/>
          <w:lang w:val="pt-BR"/>
        </w:rPr>
        <w:t xml:space="preserve"> Artigos sobre Responsabilidade do Estado por atos internacionalmente ilícitos comentados, comentários ao artigo 7, UN Doc. A/56/10 (2001), página 47, parágrafo 8. </w:t>
      </w:r>
    </w:p>
  </w:footnote>
  <w:footnote w:id="98">
    <w:p w14:paraId="19B3E9D6" w14:textId="77777777" w:rsidR="000516D5" w:rsidRPr="007373D2" w:rsidRDefault="000516D5" w:rsidP="007373D2">
      <w:pPr>
        <w:jc w:val="both"/>
        <w:rPr>
          <w:rFonts w:ascii="Cambria"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Corte IDH. Caso Velásquez Rodríguez Vs. Honduras. </w:t>
      </w:r>
      <w:hyperlink r:id="rId14" w:history="1">
        <w:r w:rsidRPr="007373D2">
          <w:rPr>
            <w:rStyle w:val="Hyperlink"/>
            <w:rFonts w:ascii="Cambria" w:hAnsi="Cambria" w:cs="Arial"/>
            <w:sz w:val="16"/>
            <w:szCs w:val="16"/>
            <w:u w:val="none"/>
            <w:shd w:val="clear" w:color="auto" w:fill="FFFFFF"/>
            <w:lang w:val="pt-BR"/>
          </w:rPr>
          <w:t>Mérito. Sentença de 29 de julho de 1988. Série C Nº 4</w:t>
        </w:r>
      </w:hyperlink>
      <w:r w:rsidRPr="007373D2">
        <w:rPr>
          <w:rStyle w:val="Hyperlink"/>
          <w:rFonts w:ascii="Cambria" w:hAnsi="Cambria" w:cs="Arial"/>
          <w:sz w:val="16"/>
          <w:szCs w:val="16"/>
          <w:u w:val="none"/>
          <w:shd w:val="clear" w:color="auto" w:fill="FFFFFF"/>
          <w:lang w:val="pt-BR"/>
        </w:rPr>
        <w:t xml:space="preserve">. Parágrafo 166. </w:t>
      </w:r>
    </w:p>
  </w:footnote>
  <w:footnote w:id="99">
    <w:p w14:paraId="261E7BE7" w14:textId="77777777" w:rsidR="000516D5" w:rsidRPr="007373D2" w:rsidRDefault="000516D5" w:rsidP="007373D2">
      <w:pPr>
        <w:jc w:val="both"/>
        <w:rPr>
          <w:rFonts w:ascii="Cambria"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Corte IDH. </w:t>
      </w:r>
      <w:r w:rsidRPr="007373D2">
        <w:rPr>
          <w:rFonts w:ascii="Cambria" w:hAnsi="Cambria"/>
          <w:iCs/>
          <w:sz w:val="16"/>
          <w:szCs w:val="16"/>
          <w:lang w:val="pt-BR"/>
        </w:rPr>
        <w:t>Caso</w:t>
      </w:r>
      <w:r w:rsidRPr="007373D2">
        <w:rPr>
          <w:rFonts w:ascii="Cambria" w:hAnsi="Cambria"/>
          <w:sz w:val="16"/>
          <w:szCs w:val="16"/>
          <w:lang w:val="pt-BR"/>
        </w:rPr>
        <w:t xml:space="preserve"> do </w:t>
      </w:r>
      <w:r w:rsidRPr="007373D2">
        <w:rPr>
          <w:rFonts w:ascii="Cambria" w:hAnsi="Cambria"/>
          <w:iCs/>
          <w:sz w:val="16"/>
          <w:szCs w:val="16"/>
          <w:lang w:val="pt-BR"/>
        </w:rPr>
        <w:t>Massacre de Pueblo Bello</w:t>
      </w:r>
      <w:r w:rsidRPr="007373D2">
        <w:rPr>
          <w:rFonts w:ascii="Cambria" w:hAnsi="Cambria"/>
          <w:sz w:val="16"/>
          <w:szCs w:val="16"/>
          <w:lang w:val="pt-BR"/>
        </w:rPr>
        <w:t>. Sentença de 31 de janeiro de 2006. Série C Nº 140. Parágrafo 113.</w:t>
      </w:r>
    </w:p>
  </w:footnote>
  <w:footnote w:id="100">
    <w:p w14:paraId="7A84197E" w14:textId="77777777" w:rsidR="000516D5" w:rsidRPr="007373D2" w:rsidRDefault="000516D5" w:rsidP="007373D2">
      <w:pPr>
        <w:pStyle w:val="FootnoteText"/>
        <w:tabs>
          <w:tab w:val="left" w:pos="720"/>
        </w:tabs>
        <w:jc w:val="both"/>
        <w:rPr>
          <w:szCs w:val="16"/>
          <w:lang w:val="pt-BR"/>
        </w:rPr>
      </w:pPr>
      <w:r w:rsidRPr="007373D2">
        <w:rPr>
          <w:rStyle w:val="FootnoteReference"/>
          <w:szCs w:val="16"/>
          <w:lang w:val="pt-BR"/>
        </w:rPr>
        <w:footnoteRef/>
      </w:r>
      <w:r w:rsidRPr="007373D2">
        <w:rPr>
          <w:szCs w:val="16"/>
          <w:lang w:val="pt-BR"/>
        </w:rPr>
        <w:t xml:space="preserve"> Corte IDH, </w:t>
      </w:r>
      <w:r w:rsidRPr="007373D2">
        <w:rPr>
          <w:iCs/>
          <w:szCs w:val="16"/>
          <w:lang w:val="pt-BR"/>
        </w:rPr>
        <w:t>Caso do “Massacre de Mapiripán”</w:t>
      </w:r>
      <w:r w:rsidRPr="007373D2">
        <w:rPr>
          <w:szCs w:val="16"/>
          <w:lang w:val="pt-BR"/>
        </w:rPr>
        <w:t>. Sentença de 15 de setembro de 2005. Série C Nº 134. parágrafo 111.</w:t>
      </w:r>
    </w:p>
  </w:footnote>
  <w:footnote w:id="101">
    <w:p w14:paraId="38D2E90A" w14:textId="77777777" w:rsidR="000516D5" w:rsidRPr="007373D2" w:rsidRDefault="000516D5" w:rsidP="007373D2">
      <w:pPr>
        <w:pStyle w:val="FootnoteText"/>
        <w:tabs>
          <w:tab w:val="left" w:pos="720"/>
        </w:tabs>
        <w:jc w:val="both"/>
        <w:rPr>
          <w:szCs w:val="16"/>
          <w:lang w:val="pt-BR"/>
        </w:rPr>
      </w:pPr>
      <w:r w:rsidRPr="007373D2">
        <w:rPr>
          <w:rStyle w:val="FootnoteReference"/>
          <w:szCs w:val="16"/>
          <w:lang w:val="pt-BR"/>
        </w:rPr>
        <w:footnoteRef/>
      </w:r>
      <w:r w:rsidRPr="007373D2">
        <w:rPr>
          <w:szCs w:val="16"/>
          <w:lang w:val="pt-BR"/>
        </w:rPr>
        <w:t xml:space="preserve"> Corte IDH, </w:t>
      </w:r>
      <w:r w:rsidRPr="007373D2">
        <w:rPr>
          <w:iCs/>
          <w:szCs w:val="16"/>
          <w:lang w:val="pt-BR"/>
        </w:rPr>
        <w:t>Caso</w:t>
      </w:r>
      <w:r w:rsidRPr="007373D2">
        <w:rPr>
          <w:szCs w:val="16"/>
          <w:lang w:val="pt-BR"/>
        </w:rPr>
        <w:t xml:space="preserve"> do </w:t>
      </w:r>
      <w:r w:rsidRPr="007373D2">
        <w:rPr>
          <w:iCs/>
          <w:szCs w:val="16"/>
          <w:lang w:val="pt-BR"/>
        </w:rPr>
        <w:t>Massacre de Pueblo Bello</w:t>
      </w:r>
      <w:r w:rsidRPr="007373D2">
        <w:rPr>
          <w:szCs w:val="16"/>
          <w:lang w:val="pt-BR"/>
        </w:rPr>
        <w:t>. Parágrafo 117.</w:t>
      </w:r>
    </w:p>
  </w:footnote>
  <w:footnote w:id="102">
    <w:p w14:paraId="0E42FEA0" w14:textId="77777777" w:rsidR="000516D5" w:rsidRPr="007373D2" w:rsidRDefault="000516D5" w:rsidP="007373D2">
      <w:pPr>
        <w:pStyle w:val="FootnoteText"/>
        <w:tabs>
          <w:tab w:val="left" w:pos="720"/>
        </w:tabs>
        <w:jc w:val="both"/>
        <w:rPr>
          <w:szCs w:val="16"/>
          <w:lang w:val="pt-BR"/>
        </w:rPr>
      </w:pPr>
      <w:r w:rsidRPr="007373D2">
        <w:rPr>
          <w:rStyle w:val="FootnoteReference"/>
          <w:szCs w:val="16"/>
          <w:lang w:val="pt-BR"/>
        </w:rPr>
        <w:footnoteRef/>
      </w:r>
      <w:r w:rsidRPr="007373D2">
        <w:rPr>
          <w:szCs w:val="16"/>
          <w:lang w:val="pt-BR"/>
        </w:rPr>
        <w:t xml:space="preserve"> Corte IDH. </w:t>
      </w:r>
      <w:r w:rsidRPr="007373D2">
        <w:rPr>
          <w:iCs/>
          <w:szCs w:val="16"/>
          <w:lang w:val="pt-BR"/>
        </w:rPr>
        <w:t>Caso</w:t>
      </w:r>
      <w:r w:rsidRPr="007373D2">
        <w:rPr>
          <w:szCs w:val="16"/>
          <w:lang w:val="pt-BR"/>
        </w:rPr>
        <w:t xml:space="preserve"> do </w:t>
      </w:r>
      <w:r w:rsidRPr="007373D2">
        <w:rPr>
          <w:iCs/>
          <w:szCs w:val="16"/>
          <w:lang w:val="pt-BR"/>
        </w:rPr>
        <w:t>Massacre de Pueblo Bello</w:t>
      </w:r>
      <w:r w:rsidRPr="007373D2">
        <w:rPr>
          <w:szCs w:val="16"/>
          <w:lang w:val="pt-BR"/>
        </w:rPr>
        <w:t>. Parágrafo 117.</w:t>
      </w:r>
    </w:p>
  </w:footnote>
  <w:footnote w:id="103">
    <w:p w14:paraId="3B2EF95F" w14:textId="77777777" w:rsidR="000516D5" w:rsidRPr="007373D2" w:rsidRDefault="000516D5" w:rsidP="007373D2">
      <w:pPr>
        <w:jc w:val="both"/>
        <w:rPr>
          <w:rFonts w:ascii="Cambria" w:eastAsia="Times New Roman" w:hAnsi="Cambria"/>
          <w:sz w:val="16"/>
          <w:szCs w:val="16"/>
          <w:lang w:val="pt-BR"/>
        </w:rPr>
      </w:pPr>
      <w:r w:rsidRPr="007373D2">
        <w:rPr>
          <w:rStyle w:val="FootnoteReference"/>
          <w:rFonts w:ascii="Cambria" w:hAnsi="Cambria"/>
          <w:sz w:val="16"/>
          <w:szCs w:val="16"/>
          <w:lang w:val="pt-BR"/>
        </w:rPr>
        <w:footnoteRef/>
      </w:r>
      <w:r w:rsidRPr="007373D2">
        <w:rPr>
          <w:rFonts w:ascii="Cambria" w:hAnsi="Cambria" w:cs="Arial"/>
          <w:sz w:val="16"/>
          <w:szCs w:val="16"/>
          <w:lang w:val="pt-BR"/>
        </w:rPr>
        <w:t xml:space="preserve"> A jurisprudência da Corte Europeia a respeito dos elementos assinalados no dever de prevenção foi retomada pela Corte Interamericana em várias de suas sentenças. Neste sentido, ver: </w:t>
      </w:r>
      <w:r w:rsidRPr="007373D2">
        <w:rPr>
          <w:rFonts w:ascii="Cambria" w:eastAsia="Times New Roman" w:hAnsi="Cambria"/>
          <w:bCs/>
          <w:color w:val="000000"/>
          <w:sz w:val="16"/>
          <w:szCs w:val="16"/>
          <w:shd w:val="clear" w:color="auto" w:fill="FFFFFF"/>
          <w:lang w:val="pt-BR"/>
        </w:rPr>
        <w:t>Corte IDH. Caso do Massacre de Pueblo Bello Vs. Colômbia. Sentença de 31 de janeiro de 2006. Série C Nº 140, parágrafo 124; Corte IDH. Caso González e outras (“Campo Algodonero”) Vs. México. Exceção Preliminar, Mérito, Reparações e Custas. Sentença de 16 de novembro de 2009. Série C Nº205, parágrafo 284; Corte IDH. Caso Luna López Vs. Honduras. Mérito, Reparações e Custas. Sentença de 10 de outubro de 2013. Série C Nº 269, parágrafo 124.</w:t>
      </w:r>
    </w:p>
  </w:footnote>
  <w:footnote w:id="104">
    <w:p w14:paraId="142182A9" w14:textId="77777777" w:rsidR="000516D5" w:rsidRPr="007373D2" w:rsidRDefault="000516D5" w:rsidP="007373D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Times New Roman" w:hAnsi="Cambria" w:cs="Arial"/>
          <w:b/>
          <w:bCs/>
          <w:iCs/>
          <w:sz w:val="16"/>
          <w:szCs w:val="16"/>
          <w:bdr w:val="none" w:sz="0" w:space="0" w:color="auto"/>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Style w:val="Strong"/>
          <w:rFonts w:ascii="Cambria" w:hAnsi="Cambria"/>
          <w:b w:val="0"/>
          <w:sz w:val="16"/>
          <w:szCs w:val="16"/>
          <w:lang w:val="pt-BR"/>
        </w:rPr>
        <w:t>Corte IDH. Caso González e outras (“Campo Algodonero”) Vs. México. Exceção Preliminar, Mérito, Reparações e Custas. Sentença de 16 de novembro de 2009. Série C Nº 205.</w:t>
      </w:r>
      <w:r w:rsidRPr="007373D2">
        <w:rPr>
          <w:rStyle w:val="Strong"/>
          <w:rFonts w:ascii="Cambria" w:hAnsi="Cambria"/>
          <w:sz w:val="16"/>
          <w:szCs w:val="16"/>
          <w:lang w:val="pt-BR"/>
        </w:rPr>
        <w:t xml:space="preserve"> </w:t>
      </w:r>
      <w:r w:rsidRPr="007373D2">
        <w:rPr>
          <w:rFonts w:ascii="Cambria" w:hAnsi="Cambria"/>
          <w:sz w:val="16"/>
          <w:szCs w:val="16"/>
          <w:lang w:val="pt-BR"/>
        </w:rPr>
        <w:t xml:space="preserve">Parágrafo 282. </w:t>
      </w:r>
    </w:p>
  </w:footnote>
  <w:footnote w:id="105">
    <w:p w14:paraId="649E5C5E"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Casos González e outras (Campo Algodonero) v. México; Véliz Franco e outros vs. Guatemala; e Velásquez Paíz vs. Guatemala. </w:t>
      </w:r>
    </w:p>
  </w:footnote>
  <w:footnote w:id="106">
    <w:p w14:paraId="2A4A6D39"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artigo 8 da Convenção Americana consagra o seguinte: 1. </w:t>
      </w:r>
      <w:r w:rsidRPr="007373D2">
        <w:rPr>
          <w:spacing w:val="-3"/>
          <w:szCs w:val="16"/>
          <w:lang w:val="pt-BR"/>
        </w:rPr>
        <w:t>Toda pessoa tem direito a ser ouvida, com as devidas garantias e dentro de um prazo razoável, por um juiz ou tribunal competente, independente e imparcial, estabelecido anteriormente por lei, na apuração de qualquer acusação penal formulada contra ela, ou para que se determinem seus direitos ou obrigações de natureza civil, trabalhista, fiscal ou de qualquer outra natureza</w:t>
      </w:r>
      <w:r w:rsidRPr="007373D2">
        <w:rPr>
          <w:szCs w:val="16"/>
          <w:lang w:val="pt-BR"/>
        </w:rPr>
        <w:t>.</w:t>
      </w:r>
    </w:p>
  </w:footnote>
  <w:footnote w:id="107">
    <w:p w14:paraId="044CECD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artigo 25 da Convenção Americana assinala: 1.</w:t>
      </w:r>
      <w:r w:rsidRPr="007373D2">
        <w:rPr>
          <w:spacing w:val="-3"/>
          <w:szCs w:val="16"/>
          <w:lang w:val="pt-BR"/>
        </w:rPr>
        <w:t xml:space="preserve"> Toda pessoa tem direito a um recurso simples e rápido ou a qualquer outro recurso efetivo, perante os juízes ou tribunais competentes, que a proteja contra atos que violem seus direitos fundamentais reconhecidos pela constituição, pela lei ou pela presente Convenção, mesmo quando tal violação seja cometida por pessoas que estejam atuando no exercício de suas funções oficiais</w:t>
      </w:r>
      <w:r w:rsidRPr="007373D2">
        <w:rPr>
          <w:szCs w:val="16"/>
          <w:lang w:val="pt-BR"/>
        </w:rPr>
        <w:t>.</w:t>
      </w:r>
    </w:p>
  </w:footnote>
  <w:footnote w:id="108">
    <w:p w14:paraId="1626B260" w14:textId="77777777" w:rsidR="000516D5" w:rsidRPr="007373D2" w:rsidRDefault="000516D5" w:rsidP="007373D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40"/>
        </w:tabs>
        <w:jc w:val="both"/>
        <w:rPr>
          <w:rFonts w:ascii="Cambria"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O artigo 24 da Convenção Americana estabelece:</w:t>
      </w:r>
      <w:r w:rsidRPr="007373D2">
        <w:rPr>
          <w:rFonts w:ascii="Cambria" w:hAnsi="Cambria"/>
          <w:color w:val="000000"/>
          <w:spacing w:val="-3"/>
          <w:sz w:val="16"/>
          <w:szCs w:val="16"/>
          <w:lang w:val="pt-BR"/>
        </w:rPr>
        <w:t xml:space="preserve"> Todas as pessoas são iguais perante a lei.  Por conseguinte, têm direito, sem discriminação, a igual proteção da lei</w:t>
      </w:r>
      <w:r w:rsidRPr="007373D2">
        <w:rPr>
          <w:rFonts w:ascii="Cambria" w:eastAsia="Times New Roman" w:hAnsi="Cambria"/>
          <w:sz w:val="16"/>
          <w:szCs w:val="16"/>
          <w:lang w:val="pt-BR"/>
        </w:rPr>
        <w:t>.</w:t>
      </w:r>
    </w:p>
  </w:footnote>
  <w:footnote w:id="109">
    <w:p w14:paraId="6595BE2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texto deste artigo já foi transcrito em outra seção do presente relatório de mérito. </w:t>
      </w:r>
    </w:p>
  </w:footnote>
  <w:footnote w:id="110">
    <w:p w14:paraId="3CADB21E" w14:textId="77777777" w:rsidR="000516D5" w:rsidRPr="007373D2" w:rsidRDefault="000516D5" w:rsidP="007373D2">
      <w:pPr>
        <w:pStyle w:val="NormalWeb"/>
        <w:jc w:val="both"/>
        <w:rPr>
          <w:rFonts w:ascii="Cambria" w:hAnsi="Cambria" w:cs="Tahoma"/>
          <w:color w:val="000000"/>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O artigo 2 da Convenção Americana estabelece:</w:t>
      </w:r>
      <w:r w:rsidRPr="007373D2">
        <w:rPr>
          <w:rFonts w:ascii="Cambria" w:hAnsi="Cambria"/>
          <w:color w:val="000000"/>
          <w:spacing w:val="-3"/>
          <w:sz w:val="16"/>
          <w:szCs w:val="16"/>
          <w:lang w:val="pt-BR"/>
        </w:rPr>
        <w:t xml:space="preserve"> Se o exercício dos direitos e liberdades mencionados no artigo 1 ainda não estiver garantido por disposições legislativas ou de outra natureza, os Estados Partes comprometem-se a adotar, de acordo com as suas normas constitucionais e com as disposições desta Convenção, as medidas legislativas ou de outra natureza que forem necessárias para tornar efetivos tais direitos e liberdades</w:t>
      </w:r>
      <w:r w:rsidRPr="007373D2">
        <w:rPr>
          <w:rFonts w:ascii="Cambria" w:hAnsi="Cambria" w:cs="Tahoma"/>
          <w:color w:val="000000"/>
          <w:sz w:val="16"/>
          <w:szCs w:val="16"/>
          <w:lang w:val="pt-BR"/>
        </w:rPr>
        <w:t>.</w:t>
      </w:r>
    </w:p>
  </w:footnote>
  <w:footnote w:id="111">
    <w:p w14:paraId="6E9706B5"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O texto deste artigo já foi transcrito em outra seção do presente relatório de mérito. </w:t>
      </w:r>
    </w:p>
  </w:footnote>
  <w:footnote w:id="112">
    <w:p w14:paraId="32E9377B"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Corte IDH. Caso Defensor de Direitos Humanos e outros Vs. Guatemala. Exceções Preliminares, Mérito, Reparações e Custas. Sentença de 28 de agosto de 2014. Série C Nº 283, parágrafo 199.</w:t>
      </w:r>
    </w:p>
  </w:footnote>
  <w:footnote w:id="113">
    <w:p w14:paraId="3802288D" w14:textId="77777777" w:rsidR="000516D5" w:rsidRPr="007373D2" w:rsidRDefault="000516D5" w:rsidP="007373D2">
      <w:pPr>
        <w:pStyle w:val="FootnoteText"/>
        <w:jc w:val="both"/>
        <w:rPr>
          <w:b/>
          <w:szCs w:val="16"/>
          <w:lang w:val="pt-BR"/>
        </w:rPr>
      </w:pPr>
      <w:r w:rsidRPr="007373D2">
        <w:rPr>
          <w:rStyle w:val="FootnoteReference"/>
          <w:szCs w:val="16"/>
          <w:lang w:val="pt-BR"/>
        </w:rPr>
        <w:footnoteRef/>
      </w:r>
      <w:r w:rsidRPr="007373D2">
        <w:rPr>
          <w:szCs w:val="16"/>
          <w:lang w:val="pt-BR"/>
        </w:rPr>
        <w:t xml:space="preserve"> </w:t>
      </w:r>
      <w:r w:rsidRPr="007373D2">
        <w:rPr>
          <w:rStyle w:val="Strong"/>
          <w:b w:val="0"/>
          <w:szCs w:val="16"/>
          <w:shd w:val="clear" w:color="auto" w:fill="FFFFFF"/>
          <w:lang w:val="pt-BR"/>
        </w:rPr>
        <w:t xml:space="preserve">Corte IDH. </w:t>
      </w:r>
      <w:r w:rsidRPr="007373D2">
        <w:rPr>
          <w:rStyle w:val="Strong"/>
          <w:b w:val="0"/>
          <w:szCs w:val="16"/>
          <w:shd w:val="clear" w:color="auto" w:fill="FFFFFF"/>
          <w:lang w:val="es-ES"/>
        </w:rPr>
        <w:t xml:space="preserve">Caso Espinoza Gonzáles Vs. Peru. </w:t>
      </w:r>
      <w:r w:rsidRPr="007373D2">
        <w:rPr>
          <w:rStyle w:val="Strong"/>
          <w:b w:val="0"/>
          <w:szCs w:val="16"/>
          <w:shd w:val="clear" w:color="auto" w:fill="FFFFFF"/>
          <w:lang w:val="pt-BR"/>
        </w:rPr>
        <w:t>Exceções Preliminares, Mérito, Reparações e Custas. Sentença de 20 de novembro de 2014. Série C Nº 289, parágrafo 237.</w:t>
      </w:r>
    </w:p>
  </w:footnote>
  <w:footnote w:id="114">
    <w:p w14:paraId="45DA6BE9"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Corte IDH. Caso Defensor de Direitos Humanos e outros Vs. Guatemala. Exceções Preliminares, Mérito, Reparações e Custas. Sentença de 28 de agosto de 2014. Série C Nº 283, parágrafo 199.</w:t>
      </w:r>
    </w:p>
  </w:footnote>
  <w:footnote w:id="115">
    <w:p w14:paraId="676A9672"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Style w:val="Strong"/>
          <w:b w:val="0"/>
          <w:szCs w:val="16"/>
          <w:shd w:val="clear" w:color="auto" w:fill="FFFFFF"/>
          <w:lang w:val="pt-BR"/>
        </w:rPr>
        <w:t>Corte IDH. Caso Chitay Nech e outros Vs. Guatemala. Exceções Preliminares, Mérito, Reparações e Custas. Sentença de 25 de maio de 2010. Série C Nº 212, parágrafo 192.</w:t>
      </w:r>
    </w:p>
  </w:footnote>
  <w:footnote w:id="116">
    <w:p w14:paraId="7F1A7438"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Corte IDH. </w:t>
      </w:r>
      <w:r w:rsidRPr="000C10BF">
        <w:rPr>
          <w:szCs w:val="16"/>
          <w:lang w:val="es-PE"/>
        </w:rPr>
        <w:t xml:space="preserve">Caso Juan Humberto Sánchez Vs. Honduras. </w:t>
      </w:r>
      <w:r w:rsidRPr="007373D2">
        <w:rPr>
          <w:szCs w:val="16"/>
          <w:lang w:val="pt-BR"/>
        </w:rPr>
        <w:t>Exceção Preliminar, Mérito, Reparações e Custas. Sentença de 7 de junho de 2003. Série C Nº 99, parágrafo 127.</w:t>
      </w:r>
    </w:p>
  </w:footnote>
  <w:footnote w:id="117">
    <w:p w14:paraId="34E97C42"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CIDH. Situação dos Direitos da Mulher em Ciudad Juárez, México. O direito a não ser objeto de violência e discriminação. Parágrafo 131. Corte IDH. Caso Espinoza Gonzáles Vs. Peru. Exceções Preliminares, Mérito, Reparações e Custas. Sentença de 20 de novembro de 2014. Série C Nº 289, parágrafo 239.</w:t>
      </w:r>
    </w:p>
  </w:footnote>
  <w:footnote w:id="118">
    <w:p w14:paraId="7C50C9D0"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Style w:val="Strong"/>
          <w:b w:val="0"/>
          <w:szCs w:val="16"/>
          <w:shd w:val="clear" w:color="auto" w:fill="FFFFFF"/>
          <w:lang w:val="pt-BR"/>
        </w:rPr>
        <w:t>Corte IDH. Caso Rosendo Cantú e outra Vs. México. Exceção Preliminar, Mérito, Reparações e Custas. Sentença de 31 de agosto de 2010 Série C Nº 216, parágrafo 103.</w:t>
      </w:r>
    </w:p>
  </w:footnote>
  <w:footnote w:id="119">
    <w:p w14:paraId="425B2899"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Style w:val="Strong"/>
          <w:b w:val="0"/>
          <w:szCs w:val="16"/>
          <w:shd w:val="clear" w:color="auto" w:fill="FFFFFF"/>
          <w:lang w:val="pt-BR"/>
        </w:rPr>
        <w:t>Corte IDH. Caso Rosendo Cantú e outra Vs. México. Exceção Preliminar, Mérito, Reparações e Custas. Sentença de 31 de agosto de 2010 Série C Nº. 216, parágrafo 177.</w:t>
      </w:r>
    </w:p>
  </w:footnote>
  <w:footnote w:id="120">
    <w:p w14:paraId="3E314F1F" w14:textId="77777777" w:rsidR="000516D5" w:rsidRPr="007373D2" w:rsidRDefault="000516D5" w:rsidP="007373D2">
      <w:pPr>
        <w:jc w:val="both"/>
        <w:rPr>
          <w:rFonts w:ascii="Cambria" w:eastAsia="Times New Roman"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ONU, </w:t>
      </w:r>
      <w:r w:rsidRPr="007373D2">
        <w:rPr>
          <w:rFonts w:ascii="Cambria" w:eastAsia="Times New Roman" w:hAnsi="Cambria"/>
          <w:sz w:val="16"/>
          <w:szCs w:val="16"/>
          <w:lang w:val="pt-BR"/>
        </w:rPr>
        <w:t>Relatora Especial sobre violência contra a mulher, Relatório: Integração dos direitos humanos da mulher e a perspectiva de gênero: violência contra a mulher. A norma da devida diligência como instrumento para a eliminação da violência contra a mulher, 2006, parágrafo 29.</w:t>
      </w:r>
    </w:p>
  </w:footnote>
  <w:footnote w:id="121">
    <w:p w14:paraId="04B5346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Style w:val="Strong"/>
          <w:b w:val="0"/>
          <w:szCs w:val="16"/>
          <w:shd w:val="clear" w:color="auto" w:fill="FFFFFF"/>
          <w:lang w:val="pt-BR"/>
        </w:rPr>
        <w:t>Corte IDH. Caso Veliz Franco e outros Vs. Guatemala. Exceções Preliminares, Mérito, Reparações e Custas. Sentença de 19 de maio de 2014. Série C Nº 277, parágrafo 188; e Caso González e outras (“Campo Algodonero”) Vs. México. Exceção Preliminar, Mérito, Reparações e Custas. Sentença de 16 de novembro de 2009. Série C Nº 205, parágrafo 455.</w:t>
      </w:r>
    </w:p>
  </w:footnote>
  <w:footnote w:id="122">
    <w:p w14:paraId="36A8FD1C"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Corte IDH. Caso Espinoza Gonzáles Vs. Peru. Exceções Preliminares, Mérito, Reparações e Custas. Sentença de 20 de novembro de 2014. Série C Nº 289, parágrafo 252.</w:t>
      </w:r>
    </w:p>
  </w:footnote>
  <w:footnote w:id="123">
    <w:p w14:paraId="0C02E7E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CIDH. Situação dos Direitos da Mulher em Ciudad Juárez, México. O Direito de não ser Objeto de Violência e Discriminação. Parágrafo 165; Corte IDH. </w:t>
      </w:r>
      <w:r w:rsidRPr="007373D2">
        <w:rPr>
          <w:rStyle w:val="Strong"/>
          <w:b w:val="0"/>
          <w:szCs w:val="16"/>
          <w:shd w:val="clear" w:color="auto" w:fill="FFFFFF"/>
          <w:lang w:val="pt-BR"/>
        </w:rPr>
        <w:t>Caso González e outras (“Campo Algodonero”) Vs. México. Exceção Preliminar, Mérito, Reparações e Custas. Sentença de 16 de novembro de 2009. Série C Nº 205, parágrafo 400.</w:t>
      </w:r>
    </w:p>
  </w:footnote>
  <w:footnote w:id="124">
    <w:p w14:paraId="66873C64" w14:textId="77777777" w:rsidR="000516D5" w:rsidRPr="007373D2" w:rsidRDefault="000516D5" w:rsidP="007373D2">
      <w:pPr>
        <w:jc w:val="both"/>
        <w:rPr>
          <w:rFonts w:ascii="Cambria" w:hAnsi="Cambria"/>
          <w:bCs/>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Style w:val="Strong"/>
          <w:rFonts w:ascii="Cambria" w:hAnsi="Cambria"/>
          <w:b w:val="0"/>
          <w:sz w:val="16"/>
          <w:szCs w:val="16"/>
          <w:lang w:val="pt-BR"/>
        </w:rPr>
        <w:t>Corte IDH. Caso Flor Freire Vs. Equador. Exceção Preliminar, Mérito, Reparações e Custas. Sentença de 31 de agosto de 2016. Série C Nº 315. Parágrafo 109</w:t>
      </w:r>
      <w:r w:rsidRPr="007373D2">
        <w:rPr>
          <w:rStyle w:val="Strong"/>
          <w:rFonts w:ascii="Cambria" w:hAnsi="Cambria"/>
          <w:sz w:val="16"/>
          <w:szCs w:val="16"/>
          <w:lang w:val="pt-BR"/>
        </w:rPr>
        <w:t xml:space="preserve">. </w:t>
      </w:r>
    </w:p>
  </w:footnote>
  <w:footnote w:id="125">
    <w:p w14:paraId="6D24C05C" w14:textId="77777777" w:rsidR="000516D5" w:rsidRPr="007373D2" w:rsidRDefault="000516D5" w:rsidP="007373D2">
      <w:pPr>
        <w:jc w:val="both"/>
        <w:rPr>
          <w:rFonts w:ascii="Cambria" w:eastAsia="Times New Roman" w:hAnsi="Cambria"/>
          <w:sz w:val="16"/>
          <w:szCs w:val="16"/>
          <w:lang w:val="en-ZA"/>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w:t>
      </w:r>
      <w:r w:rsidRPr="007373D2">
        <w:rPr>
          <w:rFonts w:ascii="Cambria" w:eastAsia="Times New Roman" w:hAnsi="Cambria"/>
          <w:bCs/>
          <w:color w:val="000000"/>
          <w:sz w:val="16"/>
          <w:szCs w:val="16"/>
          <w:lang w:val="pt-BR"/>
        </w:rPr>
        <w:t xml:space="preserve">Corte IDH. Proposta de modificação da Constituição Política de Costa Rica relacionada com a naturalização. Parecer Consultivo OC-4/84 de 19 de janeiro de 1984. Série A Nº 4. </w:t>
      </w:r>
      <w:r w:rsidRPr="007373D2">
        <w:rPr>
          <w:rFonts w:ascii="Cambria" w:eastAsia="Times New Roman" w:hAnsi="Cambria"/>
          <w:bCs/>
          <w:color w:val="000000"/>
          <w:sz w:val="16"/>
          <w:szCs w:val="16"/>
          <w:lang w:val="en-ZA"/>
        </w:rPr>
        <w:t xml:space="preserve">Parágrafo 55 e 56. </w:t>
      </w:r>
    </w:p>
  </w:footnote>
  <w:footnote w:id="126">
    <w:p w14:paraId="35F4892D" w14:textId="77777777" w:rsidR="000516D5" w:rsidRPr="007373D2" w:rsidRDefault="000516D5" w:rsidP="007373D2">
      <w:pPr>
        <w:pStyle w:val="xmsofootnotetext"/>
        <w:spacing w:before="0" w:beforeAutospacing="0" w:after="0" w:afterAutospacing="0"/>
        <w:jc w:val="both"/>
        <w:rPr>
          <w:rFonts w:ascii="Cambria" w:hAnsi="Cambria" w:cs="Tahom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en-ZA"/>
        </w:rPr>
        <w:t xml:space="preserve"> </w:t>
      </w:r>
      <w:r w:rsidRPr="007373D2">
        <w:rPr>
          <w:rFonts w:ascii="Cambria" w:hAnsi="Cambria" w:cs="Tahoma"/>
          <w:sz w:val="16"/>
          <w:szCs w:val="16"/>
          <w:lang w:val="en-ZA"/>
        </w:rPr>
        <w:t xml:space="preserve">Cfr. Judgment by the European Court of Human Rights (Second Section), Case of A v. United Kingdom, Application Nº 35373/97 of 17 December 2002. </w:t>
      </w:r>
      <w:r w:rsidRPr="007373D2">
        <w:rPr>
          <w:rFonts w:ascii="Cambria" w:hAnsi="Cambria" w:cs="Tahoma"/>
          <w:sz w:val="16"/>
          <w:szCs w:val="16"/>
          <w:lang w:val="pt-BR"/>
        </w:rPr>
        <w:t xml:space="preserve">Nesse caso, quanto ao primeiro requisito, a Corte considerou que a imunidade analisada servia a uma finalidade legítima de proteger a liberdade de expressão no Parlamento e de garantir ou manter a separação de poderes. Quanto ao segundo requisito, a preocupação principal da Corte residia em analisar se a imunidade impunha uma restrição desproporcional ao direito de acesso à justiça, ou se, ao revés, a restrição dava-se em níveis justificáveis. A Corte considerou, em resumo, que naquele caso concreto havia proporcionalidade porque, </w:t>
      </w:r>
      <w:r w:rsidRPr="007373D2">
        <w:rPr>
          <w:rFonts w:ascii="Cambria" w:hAnsi="Cambria" w:cs="Tahoma"/>
          <w:i/>
          <w:iCs/>
          <w:sz w:val="16"/>
          <w:szCs w:val="16"/>
          <w:lang w:val="pt-BR"/>
        </w:rPr>
        <w:t>inter alia</w:t>
      </w:r>
      <w:r w:rsidRPr="007373D2">
        <w:rPr>
          <w:rFonts w:ascii="Cambria" w:hAnsi="Cambria" w:cs="Tahoma"/>
          <w:sz w:val="16"/>
          <w:szCs w:val="16"/>
          <w:lang w:val="pt-BR"/>
        </w:rPr>
        <w:t>, a imunidade serviu para a proteção da liberdade de expressão de um parlamentar no exercício de seu mandato.</w:t>
      </w:r>
    </w:p>
  </w:footnote>
  <w:footnote w:id="127">
    <w:p w14:paraId="013F51A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Corte IDH. Proposta de Modificação da Constituição Política de Costa Rica relacionada com a Naturalização. OC-4/84 de 19 de janeiro de 1984, Série A Nº 4, parágrafo 57.</w:t>
      </w:r>
    </w:p>
  </w:footnote>
  <w:footnote w:id="128">
    <w:p w14:paraId="752C2006"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Caso Apitz Barbera e outros (“Corte Primeira do Contencioso Administrativo”) Vs. Venezuela. Exceção Preliminar, Mérito, Reparações e Custas. Sentença de 5 de agosto de 2008. Série C Nº 182, parágrafo 77-78; Corte IDH, </w:t>
      </w:r>
      <w:r w:rsidRPr="007373D2">
        <w:rPr>
          <w:i/>
          <w:szCs w:val="16"/>
          <w:lang w:val="pt-BR"/>
        </w:rPr>
        <w:t>Caso Maldonado Ordoñez vs. Guatemala</w:t>
      </w:r>
      <w:r w:rsidRPr="007373D2">
        <w:rPr>
          <w:szCs w:val="16"/>
          <w:lang w:val="pt-BR"/>
        </w:rPr>
        <w:t>, Exceção Preliminar, Mérito, Reparações e Custas. Sentença de 3 de maio de 2016, parágrafo 87.</w:t>
      </w:r>
    </w:p>
  </w:footnote>
  <w:footnote w:id="129">
    <w:p w14:paraId="38D57467" w14:textId="77777777" w:rsidR="000516D5" w:rsidRPr="007373D2" w:rsidRDefault="000516D5" w:rsidP="007373D2">
      <w:pPr>
        <w:pStyle w:val="FootnoteText"/>
        <w:tabs>
          <w:tab w:val="left" w:pos="9356"/>
        </w:tabs>
        <w:jc w:val="both"/>
        <w:rPr>
          <w:szCs w:val="16"/>
          <w:lang w:val="pt-BR"/>
        </w:rPr>
      </w:pPr>
      <w:r w:rsidRPr="007373D2">
        <w:rPr>
          <w:rStyle w:val="FootnoteReference"/>
          <w:szCs w:val="16"/>
          <w:lang w:val="pt-BR"/>
        </w:rPr>
        <w:footnoteRef/>
      </w:r>
      <w:r w:rsidRPr="007373D2">
        <w:rPr>
          <w:szCs w:val="16"/>
          <w:lang w:val="pt-BR"/>
        </w:rPr>
        <w:t xml:space="preserve"> </w:t>
      </w:r>
      <w:hyperlink r:id="rId15" w:history="1">
        <w:r w:rsidRPr="007373D2">
          <w:rPr>
            <w:szCs w:val="16"/>
            <w:lang w:val="pt-BR"/>
          </w:rPr>
          <w:t>Corte IDH. Caso Vargas Areco Vs. Paraguai. Sentença de 26 de setembro de 2006. Série C Nº 155</w:t>
        </w:r>
      </w:hyperlink>
      <w:r w:rsidRPr="007373D2">
        <w:rPr>
          <w:szCs w:val="16"/>
          <w:lang w:val="pt-BR"/>
        </w:rPr>
        <w:t xml:space="preserve">, parágrafo 196; </w:t>
      </w:r>
      <w:hyperlink r:id="rId16" w:history="1">
        <w:r w:rsidRPr="007373D2">
          <w:rPr>
            <w:szCs w:val="16"/>
            <w:lang w:val="pt-BR"/>
          </w:rPr>
          <w:t>Caso dos Massacres de Ituango Vs. Colômbia. Sentença de 1º de julho de 2006 Série C Nº 148</w:t>
        </w:r>
      </w:hyperlink>
      <w:r w:rsidRPr="007373D2">
        <w:rPr>
          <w:szCs w:val="16"/>
          <w:lang w:val="pt-BR"/>
        </w:rPr>
        <w:t xml:space="preserve">, parágrafo 289; </w:t>
      </w:r>
      <w:hyperlink r:id="rId17" w:history="1">
        <w:r w:rsidRPr="007373D2">
          <w:rPr>
            <w:szCs w:val="16"/>
            <w:lang w:val="pt-BR"/>
          </w:rPr>
          <w:t>Corte IDH. Caso Baldeón García Vs. Peru. Mérito, Reparações e Custas. Sentença de 6 de abril de 2006. Série C Nº 147</w:t>
        </w:r>
      </w:hyperlink>
      <w:r w:rsidRPr="007373D2">
        <w:rPr>
          <w:szCs w:val="16"/>
          <w:lang w:val="pt-BR"/>
        </w:rPr>
        <w:t>, parágrafo 151.</w:t>
      </w:r>
    </w:p>
  </w:footnote>
  <w:footnote w:id="130">
    <w:p w14:paraId="6FDF59EC" w14:textId="77777777" w:rsidR="000516D5" w:rsidRPr="007373D2" w:rsidRDefault="000516D5" w:rsidP="007373D2">
      <w:pPr>
        <w:pStyle w:val="FootnoteText"/>
        <w:tabs>
          <w:tab w:val="left" w:pos="9356"/>
        </w:tabs>
        <w:jc w:val="both"/>
        <w:rPr>
          <w:szCs w:val="16"/>
          <w:lang w:val="pt-BR"/>
        </w:rPr>
      </w:pPr>
      <w:r w:rsidRPr="007373D2">
        <w:rPr>
          <w:rStyle w:val="FootnoteReference"/>
          <w:szCs w:val="16"/>
          <w:lang w:val="pt-BR"/>
        </w:rPr>
        <w:footnoteRef/>
      </w:r>
      <w:r w:rsidRPr="007373D2">
        <w:rPr>
          <w:szCs w:val="16"/>
          <w:lang w:val="pt-BR"/>
        </w:rPr>
        <w:t xml:space="preserve"> Corte IDH. Caso Valle Jaramillo e outros Vs. Colômbia. Mérito, Reparações e Custas. Sentença de 27 de novembro de 2008. Série C Nº 192, parágrafo 155.</w:t>
      </w:r>
    </w:p>
  </w:footnote>
  <w:footnote w:id="131">
    <w:p w14:paraId="6689B003"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Veja as provas descritas em: Anexo 1. Relatório final da Delegacia de Crimes contra a Pessoa de 27 de agosto de 1998. Petição Inicial de 28 de março de 2000; Anexo 2. Denúncia do Ministério Público contra o Deputado Aércio Pereira de 8 de outubro de 1998. Petição Inicial de 28 de março de 2000.</w:t>
      </w:r>
    </w:p>
  </w:footnote>
  <w:footnote w:id="132">
    <w:p w14:paraId="4B3257E7" w14:textId="77777777" w:rsidR="000516D5" w:rsidRPr="007373D2" w:rsidRDefault="000516D5" w:rsidP="007373D2">
      <w:pPr>
        <w:pBdr>
          <w:top w:val="none" w:sz="0" w:space="0" w:color="auto"/>
          <w:left w:val="none" w:sz="0" w:space="0" w:color="auto"/>
          <w:bottom w:val="none" w:sz="0" w:space="0" w:color="auto"/>
          <w:right w:val="none" w:sz="0" w:space="0" w:color="auto"/>
          <w:between w:val="none" w:sz="0" w:space="0" w:color="auto"/>
          <w:bar w:val="none" w:sz="0" w:color="auto"/>
        </w:pBdr>
        <w:ind w:left="74" w:right="74"/>
        <w:jc w:val="both"/>
        <w:rPr>
          <w:rFonts w:ascii="Cambria" w:hAnsi="Cambria"/>
          <w:sz w:val="16"/>
          <w:szCs w:val="16"/>
          <w:lang w:val="pt-BR"/>
        </w:rPr>
      </w:pPr>
      <w:r w:rsidRPr="007373D2">
        <w:rPr>
          <w:rStyle w:val="FootnoteReference"/>
          <w:rFonts w:ascii="Cambria" w:hAnsi="Cambria"/>
          <w:sz w:val="16"/>
          <w:szCs w:val="16"/>
          <w:lang w:val="pt-BR"/>
        </w:rPr>
        <w:footnoteRef/>
      </w:r>
      <w:r w:rsidRPr="007373D2">
        <w:rPr>
          <w:rFonts w:ascii="Cambria" w:hAnsi="Cambria"/>
          <w:sz w:val="16"/>
          <w:szCs w:val="16"/>
          <w:lang w:val="pt-BR"/>
        </w:rPr>
        <w:t xml:space="preserve"> Diz o artigo 7 da Convenção de Belém do Pará:</w:t>
      </w:r>
      <w:r w:rsidRPr="007373D2">
        <w:rPr>
          <w:rFonts w:ascii="Cambria" w:eastAsia="Times New Roman" w:hAnsi="Cambria" w:cs="Tahoma"/>
          <w:color w:val="000000"/>
          <w:sz w:val="16"/>
          <w:szCs w:val="16"/>
          <w:bdr w:val="none" w:sz="0" w:space="0" w:color="auto"/>
          <w:lang w:val="pt-BR"/>
        </w:rPr>
        <w:t xml:space="preserve">  “</w:t>
      </w:r>
      <w:r w:rsidRPr="007373D2">
        <w:rPr>
          <w:rFonts w:ascii="Cambria" w:eastAsia="Times New Roman" w:hAnsi="Cambria"/>
          <w:color w:val="000000"/>
          <w:spacing w:val="-2"/>
          <w:sz w:val="16"/>
          <w:szCs w:val="16"/>
          <w:lang w:val="pt-BR" w:eastAsia="pt-BR"/>
        </w:rPr>
        <w:t xml:space="preserve">Os Estados Partes condenam todas as formas de violência contra a mulher e convêm em adotar, por todos os meios apropriados e sem demora, políticas destinadas a prevenir, punir e erradicar tal violência e a empenhar-se em: </w:t>
      </w:r>
      <w:r w:rsidRPr="007373D2">
        <w:rPr>
          <w:rFonts w:ascii="Cambria" w:eastAsia="Times New Roman" w:hAnsi="Cambria"/>
          <w:color w:val="000000"/>
          <w:sz w:val="16"/>
          <w:szCs w:val="16"/>
          <w:lang w:val="pt-BR" w:eastAsia="pt-BR"/>
        </w:rPr>
        <w:t xml:space="preserve">a. abster-se de qualquer ato ou prática de violência contra a mulher e velar por que as autoridades, seus funcionários e pessoal, bem como agentes e instituições públicos ajam de conformidade com essa obrigação; </w:t>
      </w:r>
      <w:r w:rsidRPr="007373D2">
        <w:rPr>
          <w:rFonts w:ascii="Cambria" w:eastAsia="Times New Roman" w:hAnsi="Cambria"/>
          <w:color w:val="000000"/>
          <w:spacing w:val="-2"/>
          <w:sz w:val="16"/>
          <w:szCs w:val="16"/>
          <w:lang w:val="pt-BR" w:eastAsia="pt-BR"/>
        </w:rPr>
        <w:t>b. agir com o devido zelo para prevenir, investigar e punir a violência contra a mulher; c. incorporar na sua legislação interna normas penais, civis, administrativas e de outra natureza, que sejam necessárias para prevenir, punir e erradicar a violência contra a mulher, bem como adotar as medidas administrativas adequadas que forem aplicáveis; </w:t>
      </w:r>
      <w:r w:rsidRPr="007373D2">
        <w:rPr>
          <w:rFonts w:ascii="Cambria" w:eastAsia="Times New Roman" w:hAnsi="Cambria"/>
          <w:color w:val="000000"/>
          <w:sz w:val="16"/>
          <w:szCs w:val="16"/>
          <w:lang w:val="pt-BR" w:eastAsia="pt-BR"/>
        </w:rPr>
        <w:t xml:space="preserve">d. adotar medidas jurídicas que exijam do agressor que se abstenha de perseguir, intimidar e ameaçar a mulher ou de fazer uso de qualquer método que danifique ou ponha em perigo sua vida ou integridade ou danifique sua propriedade; </w:t>
      </w:r>
      <w:r w:rsidRPr="007373D2">
        <w:rPr>
          <w:rFonts w:ascii="Cambria" w:eastAsia="Times New Roman" w:hAnsi="Cambria"/>
          <w:color w:val="000000"/>
          <w:spacing w:val="-2"/>
          <w:sz w:val="16"/>
          <w:szCs w:val="16"/>
          <w:lang w:val="pt-BR" w:eastAsia="pt-BR"/>
        </w:rPr>
        <w:t>e. tomar todas as medidas adequadas, inclusive legislativas, para modificar ou abolir leis e regulamentos vigentes ou modificar práticas jurídicas ou consuetudinárias que respaldem a persistência e a tolerância da violência contra a mulher; f. estabelecer procedimentos jurídicos justos e eficazes para a mulher sujeitada a violência, inclusive, entre outros, medidas de proteção, juízo oportuno e efetivo acesso a tais processos; g. estabelecer mecanismos judiciais e administrativos necessários para assegurar que a mulher sujeitada a violência tenha efetivo acesso a restituição, reparação do dano e outros meios de compensação justos e eficazes; h. adotar as medidas legislativas ou de outra natureza necessárias à vigência desta Convenção.”</w:t>
      </w:r>
    </w:p>
  </w:footnote>
  <w:footnote w:id="133">
    <w:p w14:paraId="65631993"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Fonts w:eastAsia="Times New Roman" w:cs="Times New Roman"/>
          <w:szCs w:val="16"/>
          <w:lang w:val="pt-BR"/>
        </w:rPr>
        <w:t>CIDH. Relatório 54/01. Caso 12.051. Maria da Penha Fernandes. Brasil. 16 de abril de 2001. Parágrafo 55.</w:t>
      </w:r>
    </w:p>
  </w:footnote>
  <w:footnote w:id="134">
    <w:p w14:paraId="25D90262"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Fonts w:eastAsia="Times New Roman" w:cs="Times New Roman"/>
          <w:szCs w:val="16"/>
          <w:lang w:val="pt-BR"/>
        </w:rPr>
        <w:t>CIDH. Relatório 54/01. Caso 12.051. Maria da Penha Fernandes. Brasil. 16 de abril de 2001. Parágrafo 56.</w:t>
      </w:r>
    </w:p>
  </w:footnote>
  <w:footnote w:id="135">
    <w:p w14:paraId="113D253F"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Fonts w:eastAsia="Times New Roman" w:cs="Times New Roman"/>
          <w:szCs w:val="16"/>
          <w:lang w:val="pt-BR"/>
        </w:rPr>
        <w:t>CIDH. Relatório 54/01. Caso 12.051. Maria da Penha Fernandes. Brasil. 16 de abril de 2001. Parágrafo 56.</w:t>
      </w:r>
    </w:p>
  </w:footnote>
  <w:footnote w:id="136">
    <w:p w14:paraId="71CAABD7"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Fonts w:eastAsia="Times New Roman" w:cs="Times New Roman"/>
          <w:szCs w:val="16"/>
          <w:lang w:val="pt-BR"/>
        </w:rPr>
        <w:t>CIDH. Relatório 54/01. Caso 12.051. Maria da Penha Fernandes. Brasil. 16 de abril de 2001. Parágrafo 57.</w:t>
      </w:r>
    </w:p>
  </w:footnote>
  <w:footnote w:id="137">
    <w:p w14:paraId="072F3BAA"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w:t>
      </w:r>
      <w:r w:rsidRPr="007373D2">
        <w:rPr>
          <w:rFonts w:eastAsia="Times New Roman" w:cs="Times New Roman"/>
          <w:szCs w:val="16"/>
          <w:lang w:val="pt-BR"/>
        </w:rPr>
        <w:t>CIDH. Relatório 54/01. Caso 12.051. Maria da Penha Fernandes. Brasil. 16 de abril de 2001. Parágrafo 57.</w:t>
      </w:r>
    </w:p>
  </w:footnote>
  <w:footnote w:id="138">
    <w:p w14:paraId="3A10933E"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Artigo 5.1: </w:t>
      </w:r>
      <w:r w:rsidRPr="007373D2">
        <w:rPr>
          <w:rFonts w:cs="Tahoma"/>
          <w:szCs w:val="16"/>
          <w:lang w:val="pt-BR"/>
        </w:rPr>
        <w:t>Toda pessoa tem direito a que se respeite sua integridade física, psíquica e moral.</w:t>
      </w:r>
    </w:p>
  </w:footnote>
  <w:footnote w:id="139">
    <w:p w14:paraId="28ED8AFD"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Corte IDH. </w:t>
      </w:r>
      <w:r w:rsidRPr="007373D2">
        <w:rPr>
          <w:i/>
          <w:szCs w:val="16"/>
          <w:lang w:val="pt-BR"/>
        </w:rPr>
        <w:t>Caso Blake Vs. Guatemala</w:t>
      </w:r>
      <w:r w:rsidRPr="007373D2">
        <w:rPr>
          <w:szCs w:val="16"/>
          <w:lang w:val="pt-BR"/>
        </w:rPr>
        <w:t>. Mérito, Reparações e Custas. Sentença de 24 de janeiro de 1998. Série C Nº 36, parágrafo 114.</w:t>
      </w:r>
    </w:p>
  </w:footnote>
  <w:footnote w:id="140">
    <w:p w14:paraId="3BF9E11B"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Corte IDH. </w:t>
      </w:r>
      <w:r w:rsidRPr="007373D2">
        <w:rPr>
          <w:i/>
          <w:szCs w:val="16"/>
          <w:lang w:val="pt-BR"/>
        </w:rPr>
        <w:t>Caso Valle Jaramillo e outros Vs. Colômbia</w:t>
      </w:r>
      <w:r w:rsidRPr="007373D2">
        <w:rPr>
          <w:szCs w:val="16"/>
          <w:lang w:val="pt-BR"/>
        </w:rPr>
        <w:t>. Mérito, Reparações e Custas. Sentença de 27 de novembro de 2008, parágrafo 102.</w:t>
      </w:r>
    </w:p>
  </w:footnote>
  <w:footnote w:id="141">
    <w:p w14:paraId="7C3D9070" w14:textId="77777777" w:rsidR="000516D5" w:rsidRPr="007373D2" w:rsidRDefault="000516D5" w:rsidP="007373D2">
      <w:pPr>
        <w:pStyle w:val="FootnoteText"/>
        <w:jc w:val="both"/>
        <w:rPr>
          <w:szCs w:val="16"/>
          <w:lang w:val="pt-BR"/>
        </w:rPr>
      </w:pPr>
      <w:r w:rsidRPr="007373D2">
        <w:rPr>
          <w:rStyle w:val="FootnoteReference"/>
          <w:szCs w:val="16"/>
          <w:lang w:val="pt-BR"/>
        </w:rPr>
        <w:footnoteRef/>
      </w:r>
      <w:r w:rsidRPr="007373D2">
        <w:rPr>
          <w:szCs w:val="16"/>
          <w:lang w:val="pt-BR"/>
        </w:rPr>
        <w:t xml:space="preserve"> Documento do Estado de 31 de outubro de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F4D5E" w14:textId="77777777" w:rsidR="000516D5" w:rsidRDefault="000516D5" w:rsidP="00BD2923">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4107CE3D" w14:textId="77777777" w:rsidR="000516D5" w:rsidRDefault="00051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998D" w14:textId="77777777" w:rsidR="000516D5" w:rsidRDefault="000516D5" w:rsidP="00A50FCF">
    <w:pPr>
      <w:pStyle w:val="Header"/>
      <w:tabs>
        <w:tab w:val="clear" w:pos="4320"/>
        <w:tab w:val="clear" w:pos="8640"/>
      </w:tabs>
      <w:jc w:val="center"/>
      <w:rPr>
        <w:sz w:val="22"/>
        <w:szCs w:val="22"/>
      </w:rPr>
    </w:pPr>
    <w:r w:rsidRPr="00FB3D19">
      <w:rPr>
        <w:noProof/>
        <w:sz w:val="22"/>
        <w:szCs w:val="22"/>
      </w:rPr>
      <w:drawing>
        <wp:inline distT="0" distB="0" distL="0" distR="0" wp14:anchorId="5E5D9DD7" wp14:editId="487D218A">
          <wp:extent cx="1971675" cy="104775"/>
          <wp:effectExtent l="0" t="0" r="0" b="0"/>
          <wp:docPr id="14"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p w14:paraId="14759828" w14:textId="77777777" w:rsidR="000516D5" w:rsidRPr="00EC7D62" w:rsidRDefault="006668A4" w:rsidP="00A50FCF">
    <w:pPr>
      <w:pStyle w:val="Header"/>
      <w:tabs>
        <w:tab w:val="clear" w:pos="4320"/>
        <w:tab w:val="clear" w:pos="8640"/>
      </w:tabs>
      <w:jc w:val="center"/>
      <w:rPr>
        <w:sz w:val="22"/>
        <w:szCs w:val="22"/>
      </w:rPr>
    </w:pPr>
    <w:r>
      <w:rPr>
        <w:noProof/>
        <w:sz w:val="22"/>
        <w:szCs w:val="22"/>
      </w:rPr>
      <w:pict w14:anchorId="037C7C36">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1E70"/>
    <w:multiLevelType w:val="hybridMultilevel"/>
    <w:tmpl w:val="C1E02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76BF"/>
    <w:multiLevelType w:val="multilevel"/>
    <w:tmpl w:val="BEECF9A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3"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CC4267"/>
    <w:multiLevelType w:val="hybridMultilevel"/>
    <w:tmpl w:val="AF1EAFF6"/>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558AF"/>
    <w:multiLevelType w:val="hybridMultilevel"/>
    <w:tmpl w:val="13306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422FBC"/>
    <w:multiLevelType w:val="hybridMultilevel"/>
    <w:tmpl w:val="174AB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D5A5906"/>
    <w:multiLevelType w:val="hybridMultilevel"/>
    <w:tmpl w:val="D1F4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F012F9"/>
    <w:multiLevelType w:val="multilevel"/>
    <w:tmpl w:val="1AFA472C"/>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A681F10"/>
    <w:multiLevelType w:val="hybridMultilevel"/>
    <w:tmpl w:val="0D70D25A"/>
    <w:lvl w:ilvl="0" w:tplc="41AE073E">
      <w:start w:val="1"/>
      <w:numFmt w:val="decimal"/>
      <w:lvlText w:val="%1."/>
      <w:lvlJc w:val="left"/>
      <w:pPr>
        <w:ind w:left="1425" w:hanging="705"/>
      </w:pPr>
      <w:rPr>
        <w:rFonts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8092E7DC"/>
    <w:lvl w:ilvl="0" w:tplc="9CD87524">
      <w:start w:val="1"/>
      <w:numFmt w:val="decimal"/>
      <w:lvlText w:val="%1."/>
      <w:lvlJc w:val="left"/>
      <w:pPr>
        <w:ind w:left="1080" w:hanging="360"/>
      </w:pPr>
      <w:rPr>
        <w:rFonts w:ascii="Cambria" w:hAnsi="Cambria" w:hint="default"/>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8203E3"/>
    <w:multiLevelType w:val="hybridMultilevel"/>
    <w:tmpl w:val="B41C1528"/>
    <w:lvl w:ilvl="0" w:tplc="F594D4C8">
      <w:start w:val="1"/>
      <w:numFmt w:val="upperLetter"/>
      <w:lvlText w:val="%1."/>
      <w:lvlJc w:val="left"/>
      <w:pPr>
        <w:ind w:left="720" w:hanging="360"/>
      </w:pPr>
      <w:rPr>
        <w:rFonts w:ascii="Cambria" w:hAnsi="Cambri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0786ED7"/>
    <w:multiLevelType w:val="hybridMultilevel"/>
    <w:tmpl w:val="54082320"/>
    <w:lvl w:ilvl="0" w:tplc="F82EA342">
      <w:start w:val="1"/>
      <w:numFmt w:val="upperRoman"/>
      <w:pStyle w:val="Heading1"/>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63179A9"/>
    <w:multiLevelType w:val="hybridMultilevel"/>
    <w:tmpl w:val="FF7C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abstractNumId w:val="5"/>
  </w:num>
  <w:num w:numId="2">
    <w:abstractNumId w:val="6"/>
  </w:num>
  <w:num w:numId="3">
    <w:abstractNumId w:val="59"/>
  </w:num>
  <w:num w:numId="4">
    <w:abstractNumId w:val="23"/>
  </w:num>
  <w:num w:numId="5">
    <w:abstractNumId w:val="52"/>
  </w:num>
  <w:num w:numId="6">
    <w:abstractNumId w:val="29"/>
  </w:num>
  <w:num w:numId="7">
    <w:abstractNumId w:val="7"/>
  </w:num>
  <w:num w:numId="8">
    <w:abstractNumId w:val="19"/>
  </w:num>
  <w:num w:numId="9">
    <w:abstractNumId w:val="45"/>
  </w:num>
  <w:num w:numId="10">
    <w:abstractNumId w:val="2"/>
  </w:num>
  <w:num w:numId="11">
    <w:abstractNumId w:val="40"/>
  </w:num>
  <w:num w:numId="12">
    <w:abstractNumId w:val="41"/>
  </w:num>
  <w:num w:numId="13">
    <w:abstractNumId w:val="47"/>
  </w:num>
  <w:num w:numId="14">
    <w:abstractNumId w:val="3"/>
  </w:num>
  <w:num w:numId="15">
    <w:abstractNumId w:val="4"/>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20"/>
  </w:num>
  <w:num w:numId="26">
    <w:abstractNumId w:val="21"/>
  </w:num>
  <w:num w:numId="27">
    <w:abstractNumId w:val="24"/>
  </w:num>
  <w:num w:numId="28">
    <w:abstractNumId w:val="25"/>
  </w:num>
  <w:num w:numId="29">
    <w:abstractNumId w:val="26"/>
  </w:num>
  <w:num w:numId="30">
    <w:abstractNumId w:val="28"/>
  </w:num>
  <w:num w:numId="31">
    <w:abstractNumId w:val="30"/>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2"/>
  </w:num>
  <w:num w:numId="40">
    <w:abstractNumId w:val="43"/>
  </w:num>
  <w:num w:numId="41">
    <w:abstractNumId w:val="51"/>
  </w:num>
  <w:num w:numId="42">
    <w:abstractNumId w:val="53"/>
  </w:num>
  <w:num w:numId="43">
    <w:abstractNumId w:val="54"/>
  </w:num>
  <w:num w:numId="44">
    <w:abstractNumId w:val="56"/>
  </w:num>
  <w:num w:numId="45">
    <w:abstractNumId w:val="58"/>
  </w:num>
  <w:num w:numId="46">
    <w:abstractNumId w:val="60"/>
  </w:num>
  <w:num w:numId="47">
    <w:abstractNumId w:val="61"/>
  </w:num>
  <w:num w:numId="48">
    <w:abstractNumId w:val="62"/>
  </w:num>
  <w:num w:numId="49">
    <w:abstractNumId w:val="63"/>
  </w:num>
  <w:num w:numId="50">
    <w:abstractNumId w:val="64"/>
  </w:num>
  <w:num w:numId="51">
    <w:abstractNumId w:val="22"/>
  </w:num>
  <w:num w:numId="52">
    <w:abstractNumId w:val="44"/>
  </w:num>
  <w:num w:numId="53">
    <w:abstractNumId w:val="55"/>
  </w:num>
  <w:num w:numId="54">
    <w:abstractNumId w:val="48"/>
  </w:num>
  <w:num w:numId="55">
    <w:abstractNumId w:val="49"/>
  </w:num>
  <w:num w:numId="56">
    <w:abstractNumId w:val="46"/>
  </w:num>
  <w:num w:numId="57">
    <w:abstractNumId w:val="18"/>
  </w:num>
  <w:num w:numId="58">
    <w:abstractNumId w:val="50"/>
  </w:num>
  <w:num w:numId="59">
    <w:abstractNumId w:val="57"/>
  </w:num>
  <w:num w:numId="60">
    <w:abstractNumId w:val="27"/>
  </w:num>
  <w:num w:numId="61">
    <w:abstractNumId w:val="31"/>
  </w:num>
  <w:num w:numId="62">
    <w:abstractNumId w:val="1"/>
  </w:num>
  <w:num w:numId="63">
    <w:abstractNumId w:val="17"/>
  </w:num>
  <w:num w:numId="64">
    <w:abstractNumId w:val="0"/>
  </w:num>
  <w:num w:numId="65">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7"/>
  <w:removePersonalInformation/>
  <w:removeDateAndTime/>
  <w:hideSpellingErrors/>
  <w:defaultTabStop w:val="720"/>
  <w:hyphenationZone w:val="425"/>
  <w:characterSpacingControl w:val="doNotCompress"/>
  <w:hdrShapeDefaults>
    <o:shapedefaults v:ext="edit" spidmax="14338"/>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D5C"/>
    <w:rsid w:val="0000036F"/>
    <w:rsid w:val="00000CDA"/>
    <w:rsid w:val="00001088"/>
    <w:rsid w:val="00002660"/>
    <w:rsid w:val="00003796"/>
    <w:rsid w:val="00003D04"/>
    <w:rsid w:val="00004BED"/>
    <w:rsid w:val="000054F1"/>
    <w:rsid w:val="0000556D"/>
    <w:rsid w:val="00006896"/>
    <w:rsid w:val="00006B5B"/>
    <w:rsid w:val="00006E1F"/>
    <w:rsid w:val="000070D7"/>
    <w:rsid w:val="000071F9"/>
    <w:rsid w:val="0000720D"/>
    <w:rsid w:val="00010529"/>
    <w:rsid w:val="00010FC9"/>
    <w:rsid w:val="00011504"/>
    <w:rsid w:val="00011803"/>
    <w:rsid w:val="00011DEF"/>
    <w:rsid w:val="000126F9"/>
    <w:rsid w:val="000134F7"/>
    <w:rsid w:val="00013F0E"/>
    <w:rsid w:val="0001472F"/>
    <w:rsid w:val="00014A34"/>
    <w:rsid w:val="000158FD"/>
    <w:rsid w:val="000163CE"/>
    <w:rsid w:val="0001682E"/>
    <w:rsid w:val="00016EF5"/>
    <w:rsid w:val="000171F5"/>
    <w:rsid w:val="0001788C"/>
    <w:rsid w:val="00017CE9"/>
    <w:rsid w:val="00020757"/>
    <w:rsid w:val="00020DA8"/>
    <w:rsid w:val="0002245C"/>
    <w:rsid w:val="0002299A"/>
    <w:rsid w:val="00023863"/>
    <w:rsid w:val="00024D81"/>
    <w:rsid w:val="00025694"/>
    <w:rsid w:val="00026313"/>
    <w:rsid w:val="00027B07"/>
    <w:rsid w:val="00030388"/>
    <w:rsid w:val="000303FA"/>
    <w:rsid w:val="000311E0"/>
    <w:rsid w:val="000312DC"/>
    <w:rsid w:val="0003192A"/>
    <w:rsid w:val="00032E6B"/>
    <w:rsid w:val="00032EE9"/>
    <w:rsid w:val="0003413C"/>
    <w:rsid w:val="00034407"/>
    <w:rsid w:val="00034785"/>
    <w:rsid w:val="00034F0A"/>
    <w:rsid w:val="00035AF2"/>
    <w:rsid w:val="00036C87"/>
    <w:rsid w:val="000372D8"/>
    <w:rsid w:val="00037B6F"/>
    <w:rsid w:val="00037C34"/>
    <w:rsid w:val="00040C3A"/>
    <w:rsid w:val="00040FF0"/>
    <w:rsid w:val="00041309"/>
    <w:rsid w:val="00042C3D"/>
    <w:rsid w:val="000448F8"/>
    <w:rsid w:val="00044D2A"/>
    <w:rsid w:val="000454BA"/>
    <w:rsid w:val="00045DDA"/>
    <w:rsid w:val="000466BE"/>
    <w:rsid w:val="000466FD"/>
    <w:rsid w:val="00046C07"/>
    <w:rsid w:val="00047CEE"/>
    <w:rsid w:val="00047D80"/>
    <w:rsid w:val="00050A26"/>
    <w:rsid w:val="00051558"/>
    <w:rsid w:val="000516D5"/>
    <w:rsid w:val="00053E22"/>
    <w:rsid w:val="000547A9"/>
    <w:rsid w:val="00054F24"/>
    <w:rsid w:val="0005656C"/>
    <w:rsid w:val="00057061"/>
    <w:rsid w:val="00060433"/>
    <w:rsid w:val="00060BFF"/>
    <w:rsid w:val="00061022"/>
    <w:rsid w:val="00061CCB"/>
    <w:rsid w:val="00061D1C"/>
    <w:rsid w:val="0006327E"/>
    <w:rsid w:val="00063790"/>
    <w:rsid w:val="0006512E"/>
    <w:rsid w:val="0006541C"/>
    <w:rsid w:val="00065694"/>
    <w:rsid w:val="0006616F"/>
    <w:rsid w:val="0006627A"/>
    <w:rsid w:val="0006673B"/>
    <w:rsid w:val="00067A5D"/>
    <w:rsid w:val="00067BD0"/>
    <w:rsid w:val="00070650"/>
    <w:rsid w:val="000716C5"/>
    <w:rsid w:val="000723B9"/>
    <w:rsid w:val="0007253A"/>
    <w:rsid w:val="00072906"/>
    <w:rsid w:val="00072F89"/>
    <w:rsid w:val="00073694"/>
    <w:rsid w:val="000744F4"/>
    <w:rsid w:val="00074C7B"/>
    <w:rsid w:val="00075E23"/>
    <w:rsid w:val="00075EBE"/>
    <w:rsid w:val="00076849"/>
    <w:rsid w:val="0008080B"/>
    <w:rsid w:val="000809D6"/>
    <w:rsid w:val="000809DA"/>
    <w:rsid w:val="00080E69"/>
    <w:rsid w:val="00081995"/>
    <w:rsid w:val="000832CF"/>
    <w:rsid w:val="000834EF"/>
    <w:rsid w:val="00084206"/>
    <w:rsid w:val="00084433"/>
    <w:rsid w:val="00084547"/>
    <w:rsid w:val="00085CEE"/>
    <w:rsid w:val="00086AD8"/>
    <w:rsid w:val="0008714D"/>
    <w:rsid w:val="0008768F"/>
    <w:rsid w:val="00087D0A"/>
    <w:rsid w:val="00087EB9"/>
    <w:rsid w:val="00090A5A"/>
    <w:rsid w:val="00091880"/>
    <w:rsid w:val="000919F2"/>
    <w:rsid w:val="0009213E"/>
    <w:rsid w:val="00092251"/>
    <w:rsid w:val="0009344A"/>
    <w:rsid w:val="00093BAD"/>
    <w:rsid w:val="00094301"/>
    <w:rsid w:val="00094ACE"/>
    <w:rsid w:val="00094CA8"/>
    <w:rsid w:val="00094FF6"/>
    <w:rsid w:val="00095B0B"/>
    <w:rsid w:val="00095E47"/>
    <w:rsid w:val="00096882"/>
    <w:rsid w:val="00097106"/>
    <w:rsid w:val="000974C6"/>
    <w:rsid w:val="000A073D"/>
    <w:rsid w:val="000A083A"/>
    <w:rsid w:val="000A1B8A"/>
    <w:rsid w:val="000A1BDC"/>
    <w:rsid w:val="000A392E"/>
    <w:rsid w:val="000A575F"/>
    <w:rsid w:val="000A576A"/>
    <w:rsid w:val="000A5F31"/>
    <w:rsid w:val="000A66C6"/>
    <w:rsid w:val="000A7CF0"/>
    <w:rsid w:val="000B1D6C"/>
    <w:rsid w:val="000B22AE"/>
    <w:rsid w:val="000B2417"/>
    <w:rsid w:val="000B2A19"/>
    <w:rsid w:val="000B2E9D"/>
    <w:rsid w:val="000B41DB"/>
    <w:rsid w:val="000B4416"/>
    <w:rsid w:val="000B5741"/>
    <w:rsid w:val="000B6666"/>
    <w:rsid w:val="000B7291"/>
    <w:rsid w:val="000B76D4"/>
    <w:rsid w:val="000B7938"/>
    <w:rsid w:val="000B7992"/>
    <w:rsid w:val="000C0289"/>
    <w:rsid w:val="000C10BF"/>
    <w:rsid w:val="000C3205"/>
    <w:rsid w:val="000C4FD9"/>
    <w:rsid w:val="000C52B8"/>
    <w:rsid w:val="000C5AFC"/>
    <w:rsid w:val="000C6DCC"/>
    <w:rsid w:val="000C6EB1"/>
    <w:rsid w:val="000D10DB"/>
    <w:rsid w:val="000D2FAA"/>
    <w:rsid w:val="000D32CB"/>
    <w:rsid w:val="000D34BD"/>
    <w:rsid w:val="000D3EE9"/>
    <w:rsid w:val="000D4342"/>
    <w:rsid w:val="000D4652"/>
    <w:rsid w:val="000D5593"/>
    <w:rsid w:val="000D596E"/>
    <w:rsid w:val="000D6680"/>
    <w:rsid w:val="000D6A41"/>
    <w:rsid w:val="000D6B1A"/>
    <w:rsid w:val="000D6DA8"/>
    <w:rsid w:val="000D6F25"/>
    <w:rsid w:val="000E1348"/>
    <w:rsid w:val="000E281F"/>
    <w:rsid w:val="000E3453"/>
    <w:rsid w:val="000E370C"/>
    <w:rsid w:val="000E3A9B"/>
    <w:rsid w:val="000E4190"/>
    <w:rsid w:val="000E43D7"/>
    <w:rsid w:val="000E4C90"/>
    <w:rsid w:val="000E4F3F"/>
    <w:rsid w:val="000E5264"/>
    <w:rsid w:val="000E5EB5"/>
    <w:rsid w:val="000E65B2"/>
    <w:rsid w:val="000E67E7"/>
    <w:rsid w:val="000E7A83"/>
    <w:rsid w:val="000F110F"/>
    <w:rsid w:val="000F1F5F"/>
    <w:rsid w:val="000F35ED"/>
    <w:rsid w:val="000F3731"/>
    <w:rsid w:val="000F3826"/>
    <w:rsid w:val="000F3F6E"/>
    <w:rsid w:val="000F631F"/>
    <w:rsid w:val="000F686B"/>
    <w:rsid w:val="000F6DB3"/>
    <w:rsid w:val="00100663"/>
    <w:rsid w:val="00101513"/>
    <w:rsid w:val="00101D2C"/>
    <w:rsid w:val="00102325"/>
    <w:rsid w:val="00102BE8"/>
    <w:rsid w:val="00103B51"/>
    <w:rsid w:val="00103C2D"/>
    <w:rsid w:val="0010434D"/>
    <w:rsid w:val="00105455"/>
    <w:rsid w:val="001070F5"/>
    <w:rsid w:val="00107131"/>
    <w:rsid w:val="0010736F"/>
    <w:rsid w:val="00107605"/>
    <w:rsid w:val="001076DA"/>
    <w:rsid w:val="00111355"/>
    <w:rsid w:val="00111EE3"/>
    <w:rsid w:val="00111FD7"/>
    <w:rsid w:val="001126AC"/>
    <w:rsid w:val="001126B1"/>
    <w:rsid w:val="00112900"/>
    <w:rsid w:val="00113F73"/>
    <w:rsid w:val="00114335"/>
    <w:rsid w:val="00114C2E"/>
    <w:rsid w:val="00115B5A"/>
    <w:rsid w:val="0011622A"/>
    <w:rsid w:val="001164A2"/>
    <w:rsid w:val="00116BDF"/>
    <w:rsid w:val="001171B2"/>
    <w:rsid w:val="001174FE"/>
    <w:rsid w:val="00117D76"/>
    <w:rsid w:val="00117F5E"/>
    <w:rsid w:val="00120168"/>
    <w:rsid w:val="001214F0"/>
    <w:rsid w:val="00121AF0"/>
    <w:rsid w:val="00121CC2"/>
    <w:rsid w:val="001241DB"/>
    <w:rsid w:val="00124631"/>
    <w:rsid w:val="00124AEF"/>
    <w:rsid w:val="0012505F"/>
    <w:rsid w:val="00125661"/>
    <w:rsid w:val="00125A3A"/>
    <w:rsid w:val="00125D8F"/>
    <w:rsid w:val="00127534"/>
    <w:rsid w:val="00127C05"/>
    <w:rsid w:val="00127F1D"/>
    <w:rsid w:val="001303FC"/>
    <w:rsid w:val="0013199F"/>
    <w:rsid w:val="001336B4"/>
    <w:rsid w:val="00133EE5"/>
    <w:rsid w:val="00135009"/>
    <w:rsid w:val="001361A4"/>
    <w:rsid w:val="001362C7"/>
    <w:rsid w:val="0013650D"/>
    <w:rsid w:val="0013701B"/>
    <w:rsid w:val="001375E8"/>
    <w:rsid w:val="001400B1"/>
    <w:rsid w:val="00140207"/>
    <w:rsid w:val="00140BE1"/>
    <w:rsid w:val="00141B42"/>
    <w:rsid w:val="00141F5F"/>
    <w:rsid w:val="0014239B"/>
    <w:rsid w:val="00142813"/>
    <w:rsid w:val="00144FB9"/>
    <w:rsid w:val="00151921"/>
    <w:rsid w:val="001521A5"/>
    <w:rsid w:val="00154564"/>
    <w:rsid w:val="00154B3C"/>
    <w:rsid w:val="00155DA1"/>
    <w:rsid w:val="001566D2"/>
    <w:rsid w:val="00156C05"/>
    <w:rsid w:val="00156DD0"/>
    <w:rsid w:val="001571AF"/>
    <w:rsid w:val="00157206"/>
    <w:rsid w:val="00157458"/>
    <w:rsid w:val="001601E2"/>
    <w:rsid w:val="00160F03"/>
    <w:rsid w:val="00161489"/>
    <w:rsid w:val="001619B2"/>
    <w:rsid w:val="001632D4"/>
    <w:rsid w:val="00163777"/>
    <w:rsid w:val="00163B5D"/>
    <w:rsid w:val="001643E2"/>
    <w:rsid w:val="00164CD9"/>
    <w:rsid w:val="00165272"/>
    <w:rsid w:val="001660CA"/>
    <w:rsid w:val="00166189"/>
    <w:rsid w:val="00167016"/>
    <w:rsid w:val="001676B3"/>
    <w:rsid w:val="00167A34"/>
    <w:rsid w:val="00167A6F"/>
    <w:rsid w:val="00171434"/>
    <w:rsid w:val="0017289C"/>
    <w:rsid w:val="00173FCA"/>
    <w:rsid w:val="00174E0B"/>
    <w:rsid w:val="00175331"/>
    <w:rsid w:val="00175F22"/>
    <w:rsid w:val="001761C4"/>
    <w:rsid w:val="00177049"/>
    <w:rsid w:val="00180067"/>
    <w:rsid w:val="00180B7C"/>
    <w:rsid w:val="00181A48"/>
    <w:rsid w:val="00181F34"/>
    <w:rsid w:val="001832A8"/>
    <w:rsid w:val="00183461"/>
    <w:rsid w:val="00183950"/>
    <w:rsid w:val="00183B79"/>
    <w:rsid w:val="00185121"/>
    <w:rsid w:val="00185375"/>
    <w:rsid w:val="001874E1"/>
    <w:rsid w:val="001876DC"/>
    <w:rsid w:val="00187883"/>
    <w:rsid w:val="00187B63"/>
    <w:rsid w:val="001905B3"/>
    <w:rsid w:val="00192F7E"/>
    <w:rsid w:val="00194298"/>
    <w:rsid w:val="00194CF3"/>
    <w:rsid w:val="00195F5E"/>
    <w:rsid w:val="001963B8"/>
    <w:rsid w:val="00196C2B"/>
    <w:rsid w:val="001976B6"/>
    <w:rsid w:val="00197B47"/>
    <w:rsid w:val="001A136D"/>
    <w:rsid w:val="001A15C8"/>
    <w:rsid w:val="001A2B0A"/>
    <w:rsid w:val="001A2D40"/>
    <w:rsid w:val="001A320E"/>
    <w:rsid w:val="001A46B8"/>
    <w:rsid w:val="001A4B6F"/>
    <w:rsid w:val="001A555C"/>
    <w:rsid w:val="001A6505"/>
    <w:rsid w:val="001A76BD"/>
    <w:rsid w:val="001A7870"/>
    <w:rsid w:val="001B13F4"/>
    <w:rsid w:val="001B1EB1"/>
    <w:rsid w:val="001B200E"/>
    <w:rsid w:val="001B2066"/>
    <w:rsid w:val="001B24D7"/>
    <w:rsid w:val="001B2EFE"/>
    <w:rsid w:val="001B3CCC"/>
    <w:rsid w:val="001B3D6D"/>
    <w:rsid w:val="001B4357"/>
    <w:rsid w:val="001B5C51"/>
    <w:rsid w:val="001B67E6"/>
    <w:rsid w:val="001B6CD2"/>
    <w:rsid w:val="001B76E6"/>
    <w:rsid w:val="001B7E29"/>
    <w:rsid w:val="001C0573"/>
    <w:rsid w:val="001C0825"/>
    <w:rsid w:val="001C09DA"/>
    <w:rsid w:val="001C103F"/>
    <w:rsid w:val="001C1A35"/>
    <w:rsid w:val="001C1B41"/>
    <w:rsid w:val="001C2C76"/>
    <w:rsid w:val="001C3145"/>
    <w:rsid w:val="001C3CFD"/>
    <w:rsid w:val="001C4A56"/>
    <w:rsid w:val="001C5042"/>
    <w:rsid w:val="001C5B1C"/>
    <w:rsid w:val="001C5F34"/>
    <w:rsid w:val="001C6C3C"/>
    <w:rsid w:val="001C7452"/>
    <w:rsid w:val="001C7D00"/>
    <w:rsid w:val="001C7D4B"/>
    <w:rsid w:val="001D07FB"/>
    <w:rsid w:val="001D1228"/>
    <w:rsid w:val="001D18C7"/>
    <w:rsid w:val="001D1A24"/>
    <w:rsid w:val="001D24C9"/>
    <w:rsid w:val="001D257F"/>
    <w:rsid w:val="001D2896"/>
    <w:rsid w:val="001D3BE3"/>
    <w:rsid w:val="001D3F9C"/>
    <w:rsid w:val="001D426A"/>
    <w:rsid w:val="001D465F"/>
    <w:rsid w:val="001D5DA7"/>
    <w:rsid w:val="001D5DB2"/>
    <w:rsid w:val="001D65EF"/>
    <w:rsid w:val="001D6975"/>
    <w:rsid w:val="001E15B6"/>
    <w:rsid w:val="001E1740"/>
    <w:rsid w:val="001E195C"/>
    <w:rsid w:val="001E19CA"/>
    <w:rsid w:val="001E42F8"/>
    <w:rsid w:val="001E6740"/>
    <w:rsid w:val="001E6F0A"/>
    <w:rsid w:val="001E72BB"/>
    <w:rsid w:val="001E73F1"/>
    <w:rsid w:val="001F0774"/>
    <w:rsid w:val="001F08B3"/>
    <w:rsid w:val="001F1302"/>
    <w:rsid w:val="001F204A"/>
    <w:rsid w:val="001F2FDD"/>
    <w:rsid w:val="001F3BC9"/>
    <w:rsid w:val="001F3FB0"/>
    <w:rsid w:val="001F43F6"/>
    <w:rsid w:val="001F4478"/>
    <w:rsid w:val="001F4E93"/>
    <w:rsid w:val="001F4EF2"/>
    <w:rsid w:val="001F59EB"/>
    <w:rsid w:val="001F59FB"/>
    <w:rsid w:val="001F5AB2"/>
    <w:rsid w:val="001F5ABA"/>
    <w:rsid w:val="001F5AED"/>
    <w:rsid w:val="001F5E4D"/>
    <w:rsid w:val="001F6540"/>
    <w:rsid w:val="001F716D"/>
    <w:rsid w:val="002017FA"/>
    <w:rsid w:val="00201A6E"/>
    <w:rsid w:val="00201E63"/>
    <w:rsid w:val="00204B61"/>
    <w:rsid w:val="002055EE"/>
    <w:rsid w:val="00206357"/>
    <w:rsid w:val="00212AE1"/>
    <w:rsid w:val="00212F49"/>
    <w:rsid w:val="00213BF7"/>
    <w:rsid w:val="00214120"/>
    <w:rsid w:val="002143A8"/>
    <w:rsid w:val="00214832"/>
    <w:rsid w:val="00214CA3"/>
    <w:rsid w:val="00215EC8"/>
    <w:rsid w:val="00217E82"/>
    <w:rsid w:val="002207E9"/>
    <w:rsid w:val="002217DF"/>
    <w:rsid w:val="00221D60"/>
    <w:rsid w:val="00221E77"/>
    <w:rsid w:val="0022240E"/>
    <w:rsid w:val="00222C5B"/>
    <w:rsid w:val="002230DB"/>
    <w:rsid w:val="00223412"/>
    <w:rsid w:val="002250A3"/>
    <w:rsid w:val="0022554E"/>
    <w:rsid w:val="00227007"/>
    <w:rsid w:val="00227B14"/>
    <w:rsid w:val="0023060C"/>
    <w:rsid w:val="00231388"/>
    <w:rsid w:val="0023325C"/>
    <w:rsid w:val="00234576"/>
    <w:rsid w:val="00234586"/>
    <w:rsid w:val="002349C7"/>
    <w:rsid w:val="00234EA1"/>
    <w:rsid w:val="00234F94"/>
    <w:rsid w:val="00235190"/>
    <w:rsid w:val="00235217"/>
    <w:rsid w:val="00235A4A"/>
    <w:rsid w:val="0023607E"/>
    <w:rsid w:val="0023725D"/>
    <w:rsid w:val="00241F36"/>
    <w:rsid w:val="00243572"/>
    <w:rsid w:val="00244C61"/>
    <w:rsid w:val="00245568"/>
    <w:rsid w:val="002463C3"/>
    <w:rsid w:val="0024699D"/>
    <w:rsid w:val="00246A45"/>
    <w:rsid w:val="00246D1F"/>
    <w:rsid w:val="0024706E"/>
    <w:rsid w:val="00247403"/>
    <w:rsid w:val="00247542"/>
    <w:rsid w:val="002501ED"/>
    <w:rsid w:val="002503D7"/>
    <w:rsid w:val="002506DD"/>
    <w:rsid w:val="00251BA9"/>
    <w:rsid w:val="00252827"/>
    <w:rsid w:val="00252A8D"/>
    <w:rsid w:val="002535ED"/>
    <w:rsid w:val="00253B7D"/>
    <w:rsid w:val="0025457E"/>
    <w:rsid w:val="00254B93"/>
    <w:rsid w:val="002551D2"/>
    <w:rsid w:val="002559EA"/>
    <w:rsid w:val="0025694F"/>
    <w:rsid w:val="00260A43"/>
    <w:rsid w:val="00260C03"/>
    <w:rsid w:val="0026132C"/>
    <w:rsid w:val="002617BE"/>
    <w:rsid w:val="00261B0E"/>
    <w:rsid w:val="002626D7"/>
    <w:rsid w:val="00262E94"/>
    <w:rsid w:val="00262EFC"/>
    <w:rsid w:val="00263F8B"/>
    <w:rsid w:val="00264C08"/>
    <w:rsid w:val="002650F8"/>
    <w:rsid w:val="00265442"/>
    <w:rsid w:val="00265E5E"/>
    <w:rsid w:val="00266B61"/>
    <w:rsid w:val="0026712A"/>
    <w:rsid w:val="002704DB"/>
    <w:rsid w:val="00270BF6"/>
    <w:rsid w:val="00271432"/>
    <w:rsid w:val="002717ED"/>
    <w:rsid w:val="0027303B"/>
    <w:rsid w:val="002731A2"/>
    <w:rsid w:val="00273BA8"/>
    <w:rsid w:val="002740AF"/>
    <w:rsid w:val="00274475"/>
    <w:rsid w:val="00276630"/>
    <w:rsid w:val="00276DF8"/>
    <w:rsid w:val="00277D7B"/>
    <w:rsid w:val="00277E12"/>
    <w:rsid w:val="00277EF9"/>
    <w:rsid w:val="0028065E"/>
    <w:rsid w:val="00280770"/>
    <w:rsid w:val="00282230"/>
    <w:rsid w:val="002827DD"/>
    <w:rsid w:val="00282CD8"/>
    <w:rsid w:val="00283704"/>
    <w:rsid w:val="00283A53"/>
    <w:rsid w:val="00283A56"/>
    <w:rsid w:val="00283D55"/>
    <w:rsid w:val="00283DB5"/>
    <w:rsid w:val="00285B84"/>
    <w:rsid w:val="002869F2"/>
    <w:rsid w:val="00286B56"/>
    <w:rsid w:val="00286FF0"/>
    <w:rsid w:val="00287D51"/>
    <w:rsid w:val="00287DAC"/>
    <w:rsid w:val="0029091C"/>
    <w:rsid w:val="002942EF"/>
    <w:rsid w:val="00294CA0"/>
    <w:rsid w:val="0029513B"/>
    <w:rsid w:val="0029556E"/>
    <w:rsid w:val="00295BE5"/>
    <w:rsid w:val="00295DAB"/>
    <w:rsid w:val="00296BA5"/>
    <w:rsid w:val="002973D4"/>
    <w:rsid w:val="002A0057"/>
    <w:rsid w:val="002A07A2"/>
    <w:rsid w:val="002A0912"/>
    <w:rsid w:val="002A0AAE"/>
    <w:rsid w:val="002A2452"/>
    <w:rsid w:val="002A2E7F"/>
    <w:rsid w:val="002A466F"/>
    <w:rsid w:val="002A468E"/>
    <w:rsid w:val="002A55C4"/>
    <w:rsid w:val="002A5820"/>
    <w:rsid w:val="002A5B1F"/>
    <w:rsid w:val="002A6A57"/>
    <w:rsid w:val="002A6E57"/>
    <w:rsid w:val="002A7021"/>
    <w:rsid w:val="002A76D2"/>
    <w:rsid w:val="002B0536"/>
    <w:rsid w:val="002B09E2"/>
    <w:rsid w:val="002B0D52"/>
    <w:rsid w:val="002B12DE"/>
    <w:rsid w:val="002B3087"/>
    <w:rsid w:val="002B34E9"/>
    <w:rsid w:val="002B36CF"/>
    <w:rsid w:val="002B5D4E"/>
    <w:rsid w:val="002B5FB9"/>
    <w:rsid w:val="002B6457"/>
    <w:rsid w:val="002C0083"/>
    <w:rsid w:val="002C07B9"/>
    <w:rsid w:val="002C14F7"/>
    <w:rsid w:val="002C3085"/>
    <w:rsid w:val="002C3FC5"/>
    <w:rsid w:val="002C440A"/>
    <w:rsid w:val="002C47EB"/>
    <w:rsid w:val="002C49E8"/>
    <w:rsid w:val="002C5095"/>
    <w:rsid w:val="002C5E71"/>
    <w:rsid w:val="002C630C"/>
    <w:rsid w:val="002C700E"/>
    <w:rsid w:val="002D093A"/>
    <w:rsid w:val="002D1A1C"/>
    <w:rsid w:val="002D29E6"/>
    <w:rsid w:val="002D2B11"/>
    <w:rsid w:val="002D2B26"/>
    <w:rsid w:val="002D3405"/>
    <w:rsid w:val="002D3588"/>
    <w:rsid w:val="002D5592"/>
    <w:rsid w:val="002D65FC"/>
    <w:rsid w:val="002D6F94"/>
    <w:rsid w:val="002D7EA2"/>
    <w:rsid w:val="002E09B3"/>
    <w:rsid w:val="002E0DBA"/>
    <w:rsid w:val="002E0F77"/>
    <w:rsid w:val="002E17C9"/>
    <w:rsid w:val="002E187C"/>
    <w:rsid w:val="002E27A7"/>
    <w:rsid w:val="002E4AA5"/>
    <w:rsid w:val="002E4AEA"/>
    <w:rsid w:val="002E50A8"/>
    <w:rsid w:val="002E599B"/>
    <w:rsid w:val="002E62D0"/>
    <w:rsid w:val="002E67D5"/>
    <w:rsid w:val="002F1065"/>
    <w:rsid w:val="002F2045"/>
    <w:rsid w:val="002F204B"/>
    <w:rsid w:val="002F2CF7"/>
    <w:rsid w:val="002F43A3"/>
    <w:rsid w:val="002F4467"/>
    <w:rsid w:val="002F481E"/>
    <w:rsid w:val="002F4FCD"/>
    <w:rsid w:val="002F575C"/>
    <w:rsid w:val="002F59B2"/>
    <w:rsid w:val="002F5AD6"/>
    <w:rsid w:val="002F6571"/>
    <w:rsid w:val="002F65F4"/>
    <w:rsid w:val="002F6713"/>
    <w:rsid w:val="002F7FB3"/>
    <w:rsid w:val="00302617"/>
    <w:rsid w:val="00302733"/>
    <w:rsid w:val="003038EB"/>
    <w:rsid w:val="00303D52"/>
    <w:rsid w:val="00307249"/>
    <w:rsid w:val="00307ABC"/>
    <w:rsid w:val="00310AC7"/>
    <w:rsid w:val="00310FF8"/>
    <w:rsid w:val="003112FC"/>
    <w:rsid w:val="00311CE4"/>
    <w:rsid w:val="00312A9C"/>
    <w:rsid w:val="003133EE"/>
    <w:rsid w:val="003134D5"/>
    <w:rsid w:val="00314078"/>
    <w:rsid w:val="0031535D"/>
    <w:rsid w:val="00315B14"/>
    <w:rsid w:val="00317A84"/>
    <w:rsid w:val="003208A0"/>
    <w:rsid w:val="00320D99"/>
    <w:rsid w:val="00320DBA"/>
    <w:rsid w:val="00321A4C"/>
    <w:rsid w:val="00321C17"/>
    <w:rsid w:val="00321CB1"/>
    <w:rsid w:val="00321DAC"/>
    <w:rsid w:val="00322A29"/>
    <w:rsid w:val="00325DAC"/>
    <w:rsid w:val="00326689"/>
    <w:rsid w:val="00327270"/>
    <w:rsid w:val="00327FE8"/>
    <w:rsid w:val="0033028D"/>
    <w:rsid w:val="00330295"/>
    <w:rsid w:val="0033169F"/>
    <w:rsid w:val="00332408"/>
    <w:rsid w:val="00333E01"/>
    <w:rsid w:val="00334A28"/>
    <w:rsid w:val="00334ABF"/>
    <w:rsid w:val="00335886"/>
    <w:rsid w:val="00336B6F"/>
    <w:rsid w:val="00337743"/>
    <w:rsid w:val="00337945"/>
    <w:rsid w:val="00340667"/>
    <w:rsid w:val="003416C2"/>
    <w:rsid w:val="00341718"/>
    <w:rsid w:val="00341B78"/>
    <w:rsid w:val="00341DAD"/>
    <w:rsid w:val="003428A0"/>
    <w:rsid w:val="003430B0"/>
    <w:rsid w:val="003439C5"/>
    <w:rsid w:val="00343F7B"/>
    <w:rsid w:val="0034420F"/>
    <w:rsid w:val="003444F4"/>
    <w:rsid w:val="003467A4"/>
    <w:rsid w:val="00346C95"/>
    <w:rsid w:val="0034776E"/>
    <w:rsid w:val="0035033E"/>
    <w:rsid w:val="0035036B"/>
    <w:rsid w:val="00350B18"/>
    <w:rsid w:val="00350C07"/>
    <w:rsid w:val="00350E7E"/>
    <w:rsid w:val="00352DD0"/>
    <w:rsid w:val="003531C8"/>
    <w:rsid w:val="00353981"/>
    <w:rsid w:val="003539B7"/>
    <w:rsid w:val="003549C9"/>
    <w:rsid w:val="00356042"/>
    <w:rsid w:val="00356185"/>
    <w:rsid w:val="00356ED1"/>
    <w:rsid w:val="0035705E"/>
    <w:rsid w:val="003573E2"/>
    <w:rsid w:val="00357CDB"/>
    <w:rsid w:val="00360380"/>
    <w:rsid w:val="00360BFA"/>
    <w:rsid w:val="0036119F"/>
    <w:rsid w:val="00361415"/>
    <w:rsid w:val="003620C6"/>
    <w:rsid w:val="00362A4F"/>
    <w:rsid w:val="00362D9E"/>
    <w:rsid w:val="0036304B"/>
    <w:rsid w:val="0036315D"/>
    <w:rsid w:val="00364B79"/>
    <w:rsid w:val="00365872"/>
    <w:rsid w:val="003658DD"/>
    <w:rsid w:val="00365E08"/>
    <w:rsid w:val="003662A0"/>
    <w:rsid w:val="003664A6"/>
    <w:rsid w:val="00366D37"/>
    <w:rsid w:val="00367521"/>
    <w:rsid w:val="00367AAB"/>
    <w:rsid w:val="00367D6D"/>
    <w:rsid w:val="00370992"/>
    <w:rsid w:val="00370B0C"/>
    <w:rsid w:val="00371DAB"/>
    <w:rsid w:val="00371F6E"/>
    <w:rsid w:val="00373A24"/>
    <w:rsid w:val="003743CE"/>
    <w:rsid w:val="00374683"/>
    <w:rsid w:val="003746C3"/>
    <w:rsid w:val="003749D5"/>
    <w:rsid w:val="00374E19"/>
    <w:rsid w:val="0037519E"/>
    <w:rsid w:val="00375308"/>
    <w:rsid w:val="00376132"/>
    <w:rsid w:val="00376BFB"/>
    <w:rsid w:val="00376F30"/>
    <w:rsid w:val="00377FDA"/>
    <w:rsid w:val="0038078E"/>
    <w:rsid w:val="003815D9"/>
    <w:rsid w:val="00381E0A"/>
    <w:rsid w:val="00382812"/>
    <w:rsid w:val="003848C8"/>
    <w:rsid w:val="00384D7D"/>
    <w:rsid w:val="0038501E"/>
    <w:rsid w:val="00386B4C"/>
    <w:rsid w:val="00386CF0"/>
    <w:rsid w:val="003912B4"/>
    <w:rsid w:val="00391B55"/>
    <w:rsid w:val="003922D3"/>
    <w:rsid w:val="003928A5"/>
    <w:rsid w:val="00392C50"/>
    <w:rsid w:val="0039344B"/>
    <w:rsid w:val="00393C38"/>
    <w:rsid w:val="00394656"/>
    <w:rsid w:val="0039503E"/>
    <w:rsid w:val="00395701"/>
    <w:rsid w:val="00396271"/>
    <w:rsid w:val="00396369"/>
    <w:rsid w:val="00396C08"/>
    <w:rsid w:val="00396F6C"/>
    <w:rsid w:val="003977D9"/>
    <w:rsid w:val="003A01FB"/>
    <w:rsid w:val="003A0F6F"/>
    <w:rsid w:val="003A1E7C"/>
    <w:rsid w:val="003A3968"/>
    <w:rsid w:val="003A43A5"/>
    <w:rsid w:val="003A53DF"/>
    <w:rsid w:val="003A681B"/>
    <w:rsid w:val="003A79C7"/>
    <w:rsid w:val="003A7AFD"/>
    <w:rsid w:val="003A7FA7"/>
    <w:rsid w:val="003B08DA"/>
    <w:rsid w:val="003B0F8E"/>
    <w:rsid w:val="003B180C"/>
    <w:rsid w:val="003B1910"/>
    <w:rsid w:val="003B1ABC"/>
    <w:rsid w:val="003B20A1"/>
    <w:rsid w:val="003B4916"/>
    <w:rsid w:val="003B4972"/>
    <w:rsid w:val="003B662F"/>
    <w:rsid w:val="003B672D"/>
    <w:rsid w:val="003C0442"/>
    <w:rsid w:val="003C0717"/>
    <w:rsid w:val="003C0795"/>
    <w:rsid w:val="003C1546"/>
    <w:rsid w:val="003C1BDC"/>
    <w:rsid w:val="003C217F"/>
    <w:rsid w:val="003C29CA"/>
    <w:rsid w:val="003C2A1C"/>
    <w:rsid w:val="003C2B9E"/>
    <w:rsid w:val="003C3797"/>
    <w:rsid w:val="003C3F81"/>
    <w:rsid w:val="003C4757"/>
    <w:rsid w:val="003C499E"/>
    <w:rsid w:val="003C5186"/>
    <w:rsid w:val="003C5B50"/>
    <w:rsid w:val="003C61BB"/>
    <w:rsid w:val="003C6352"/>
    <w:rsid w:val="003C676B"/>
    <w:rsid w:val="003C6866"/>
    <w:rsid w:val="003C68B5"/>
    <w:rsid w:val="003C7ACD"/>
    <w:rsid w:val="003C7AE8"/>
    <w:rsid w:val="003D1B42"/>
    <w:rsid w:val="003D2143"/>
    <w:rsid w:val="003D23F1"/>
    <w:rsid w:val="003D2783"/>
    <w:rsid w:val="003D3BC2"/>
    <w:rsid w:val="003D3C10"/>
    <w:rsid w:val="003D3D4D"/>
    <w:rsid w:val="003D3D78"/>
    <w:rsid w:val="003D47A8"/>
    <w:rsid w:val="003D5BC9"/>
    <w:rsid w:val="003D67C7"/>
    <w:rsid w:val="003D74D2"/>
    <w:rsid w:val="003D7C03"/>
    <w:rsid w:val="003D7FAE"/>
    <w:rsid w:val="003E1733"/>
    <w:rsid w:val="003E1B15"/>
    <w:rsid w:val="003E3109"/>
    <w:rsid w:val="003E3B54"/>
    <w:rsid w:val="003E42ED"/>
    <w:rsid w:val="003E432F"/>
    <w:rsid w:val="003E514E"/>
    <w:rsid w:val="003E6CA1"/>
    <w:rsid w:val="003E7207"/>
    <w:rsid w:val="003E7251"/>
    <w:rsid w:val="003E7F32"/>
    <w:rsid w:val="003F00F1"/>
    <w:rsid w:val="003F0AD5"/>
    <w:rsid w:val="003F0EC5"/>
    <w:rsid w:val="003F186B"/>
    <w:rsid w:val="003F1A38"/>
    <w:rsid w:val="003F2068"/>
    <w:rsid w:val="003F219A"/>
    <w:rsid w:val="003F3734"/>
    <w:rsid w:val="003F49D8"/>
    <w:rsid w:val="003F5C2C"/>
    <w:rsid w:val="003F68B0"/>
    <w:rsid w:val="003F7A65"/>
    <w:rsid w:val="003F7AF2"/>
    <w:rsid w:val="003F7E6A"/>
    <w:rsid w:val="0040026D"/>
    <w:rsid w:val="0040152E"/>
    <w:rsid w:val="00401822"/>
    <w:rsid w:val="00401DDD"/>
    <w:rsid w:val="00401FAF"/>
    <w:rsid w:val="00402FC5"/>
    <w:rsid w:val="004031BD"/>
    <w:rsid w:val="00404943"/>
    <w:rsid w:val="00404D09"/>
    <w:rsid w:val="004053F7"/>
    <w:rsid w:val="0040670F"/>
    <w:rsid w:val="00410D1C"/>
    <w:rsid w:val="004113DE"/>
    <w:rsid w:val="004129FA"/>
    <w:rsid w:val="00413E72"/>
    <w:rsid w:val="0041424D"/>
    <w:rsid w:val="0041448D"/>
    <w:rsid w:val="00415ACD"/>
    <w:rsid w:val="004165C2"/>
    <w:rsid w:val="00416CDC"/>
    <w:rsid w:val="00417E4C"/>
    <w:rsid w:val="00420AAC"/>
    <w:rsid w:val="00421ACD"/>
    <w:rsid w:val="004236D0"/>
    <w:rsid w:val="00423964"/>
    <w:rsid w:val="004255F9"/>
    <w:rsid w:val="00426114"/>
    <w:rsid w:val="00426F9C"/>
    <w:rsid w:val="004273B6"/>
    <w:rsid w:val="00427CAD"/>
    <w:rsid w:val="00427CE7"/>
    <w:rsid w:val="00430F18"/>
    <w:rsid w:val="004322F9"/>
    <w:rsid w:val="00432343"/>
    <w:rsid w:val="00432AB5"/>
    <w:rsid w:val="00432CAA"/>
    <w:rsid w:val="00433276"/>
    <w:rsid w:val="0043425B"/>
    <w:rsid w:val="004343B8"/>
    <w:rsid w:val="00434DA4"/>
    <w:rsid w:val="004365AE"/>
    <w:rsid w:val="00436DDD"/>
    <w:rsid w:val="00437655"/>
    <w:rsid w:val="00437F74"/>
    <w:rsid w:val="0044035E"/>
    <w:rsid w:val="0044069A"/>
    <w:rsid w:val="0044081F"/>
    <w:rsid w:val="00441ECB"/>
    <w:rsid w:val="00442CDE"/>
    <w:rsid w:val="00442F01"/>
    <w:rsid w:val="004432D7"/>
    <w:rsid w:val="0044467A"/>
    <w:rsid w:val="004450DF"/>
    <w:rsid w:val="00445514"/>
    <w:rsid w:val="004459D0"/>
    <w:rsid w:val="00446BF9"/>
    <w:rsid w:val="0044711E"/>
    <w:rsid w:val="004472F5"/>
    <w:rsid w:val="0045007D"/>
    <w:rsid w:val="004502BE"/>
    <w:rsid w:val="0045090C"/>
    <w:rsid w:val="00450FEB"/>
    <w:rsid w:val="00451139"/>
    <w:rsid w:val="004553BA"/>
    <w:rsid w:val="00455CDE"/>
    <w:rsid w:val="00456299"/>
    <w:rsid w:val="00457959"/>
    <w:rsid w:val="00457A6E"/>
    <w:rsid w:val="00457C2A"/>
    <w:rsid w:val="00460349"/>
    <w:rsid w:val="0046073D"/>
    <w:rsid w:val="00461467"/>
    <w:rsid w:val="00461E8D"/>
    <w:rsid w:val="004637B9"/>
    <w:rsid w:val="00464E1D"/>
    <w:rsid w:val="00465947"/>
    <w:rsid w:val="00465D33"/>
    <w:rsid w:val="00465ED5"/>
    <w:rsid w:val="004664C5"/>
    <w:rsid w:val="0046771C"/>
    <w:rsid w:val="00467B7E"/>
    <w:rsid w:val="004705C4"/>
    <w:rsid w:val="00471189"/>
    <w:rsid w:val="0047206D"/>
    <w:rsid w:val="00472955"/>
    <w:rsid w:val="00472B4E"/>
    <w:rsid w:val="00473375"/>
    <w:rsid w:val="00473874"/>
    <w:rsid w:val="00473C5C"/>
    <w:rsid w:val="00475262"/>
    <w:rsid w:val="0047699A"/>
    <w:rsid w:val="00476AFD"/>
    <w:rsid w:val="00477592"/>
    <w:rsid w:val="00477991"/>
    <w:rsid w:val="00477C1F"/>
    <w:rsid w:val="0048053E"/>
    <w:rsid w:val="00480DD2"/>
    <w:rsid w:val="00481458"/>
    <w:rsid w:val="00481ECB"/>
    <w:rsid w:val="0048230C"/>
    <w:rsid w:val="00482A5B"/>
    <w:rsid w:val="00482D54"/>
    <w:rsid w:val="00482EC8"/>
    <w:rsid w:val="0048304F"/>
    <w:rsid w:val="00483356"/>
    <w:rsid w:val="004833F9"/>
    <w:rsid w:val="00484427"/>
    <w:rsid w:val="00485611"/>
    <w:rsid w:val="00486051"/>
    <w:rsid w:val="00486137"/>
    <w:rsid w:val="00486F1C"/>
    <w:rsid w:val="00486F6E"/>
    <w:rsid w:val="0048732A"/>
    <w:rsid w:val="00487529"/>
    <w:rsid w:val="00490D8E"/>
    <w:rsid w:val="00491659"/>
    <w:rsid w:val="00492D56"/>
    <w:rsid w:val="00493D5D"/>
    <w:rsid w:val="0049419D"/>
    <w:rsid w:val="0049548B"/>
    <w:rsid w:val="00495FAD"/>
    <w:rsid w:val="0049788D"/>
    <w:rsid w:val="00497B3E"/>
    <w:rsid w:val="004A0FA8"/>
    <w:rsid w:val="004A1FE1"/>
    <w:rsid w:val="004A22F1"/>
    <w:rsid w:val="004A2CD1"/>
    <w:rsid w:val="004A2FAC"/>
    <w:rsid w:val="004A58F9"/>
    <w:rsid w:val="004A67A5"/>
    <w:rsid w:val="004A77E8"/>
    <w:rsid w:val="004B1D0E"/>
    <w:rsid w:val="004B22EA"/>
    <w:rsid w:val="004B2799"/>
    <w:rsid w:val="004B43F6"/>
    <w:rsid w:val="004B4B40"/>
    <w:rsid w:val="004B4F6C"/>
    <w:rsid w:val="004B606C"/>
    <w:rsid w:val="004B7158"/>
    <w:rsid w:val="004C1CA1"/>
    <w:rsid w:val="004C20D2"/>
    <w:rsid w:val="004C2ACB"/>
    <w:rsid w:val="004C4B62"/>
    <w:rsid w:val="004C54C9"/>
    <w:rsid w:val="004C556A"/>
    <w:rsid w:val="004C5A8A"/>
    <w:rsid w:val="004C5DE6"/>
    <w:rsid w:val="004C7429"/>
    <w:rsid w:val="004C7652"/>
    <w:rsid w:val="004C790D"/>
    <w:rsid w:val="004D0114"/>
    <w:rsid w:val="004D0CBD"/>
    <w:rsid w:val="004D13D2"/>
    <w:rsid w:val="004D195F"/>
    <w:rsid w:val="004D2720"/>
    <w:rsid w:val="004D29B2"/>
    <w:rsid w:val="004D384A"/>
    <w:rsid w:val="004D3F38"/>
    <w:rsid w:val="004D4B36"/>
    <w:rsid w:val="004D52A3"/>
    <w:rsid w:val="004D52B4"/>
    <w:rsid w:val="004D5E26"/>
    <w:rsid w:val="004D6025"/>
    <w:rsid w:val="004D60EB"/>
    <w:rsid w:val="004D6553"/>
    <w:rsid w:val="004D6618"/>
    <w:rsid w:val="004D774D"/>
    <w:rsid w:val="004E16B0"/>
    <w:rsid w:val="004E2649"/>
    <w:rsid w:val="004E2DB6"/>
    <w:rsid w:val="004E35EA"/>
    <w:rsid w:val="004E36F6"/>
    <w:rsid w:val="004E4212"/>
    <w:rsid w:val="004E71BA"/>
    <w:rsid w:val="004E7847"/>
    <w:rsid w:val="004F00DB"/>
    <w:rsid w:val="004F0309"/>
    <w:rsid w:val="004F0590"/>
    <w:rsid w:val="004F095B"/>
    <w:rsid w:val="004F19B2"/>
    <w:rsid w:val="004F2BEE"/>
    <w:rsid w:val="004F2D19"/>
    <w:rsid w:val="004F47A6"/>
    <w:rsid w:val="004F4822"/>
    <w:rsid w:val="004F4E80"/>
    <w:rsid w:val="004F53AD"/>
    <w:rsid w:val="004F627D"/>
    <w:rsid w:val="004F7467"/>
    <w:rsid w:val="00501399"/>
    <w:rsid w:val="005024DB"/>
    <w:rsid w:val="005025C6"/>
    <w:rsid w:val="00502A33"/>
    <w:rsid w:val="0050512A"/>
    <w:rsid w:val="005051CD"/>
    <w:rsid w:val="00505D3E"/>
    <w:rsid w:val="00505D87"/>
    <w:rsid w:val="00506331"/>
    <w:rsid w:val="0050633D"/>
    <w:rsid w:val="005066A7"/>
    <w:rsid w:val="00506A7C"/>
    <w:rsid w:val="00506E69"/>
    <w:rsid w:val="0050711F"/>
    <w:rsid w:val="00507701"/>
    <w:rsid w:val="00507BC4"/>
    <w:rsid w:val="005102AB"/>
    <w:rsid w:val="0051125A"/>
    <w:rsid w:val="00511345"/>
    <w:rsid w:val="00511E75"/>
    <w:rsid w:val="005127B7"/>
    <w:rsid w:val="0051281E"/>
    <w:rsid w:val="005128E4"/>
    <w:rsid w:val="00512B96"/>
    <w:rsid w:val="00512BFD"/>
    <w:rsid w:val="00512ED6"/>
    <w:rsid w:val="00513361"/>
    <w:rsid w:val="005133DB"/>
    <w:rsid w:val="0051354A"/>
    <w:rsid w:val="00513AC6"/>
    <w:rsid w:val="00513D0A"/>
    <w:rsid w:val="00513D0C"/>
    <w:rsid w:val="00513EB8"/>
    <w:rsid w:val="005140A7"/>
    <w:rsid w:val="005142E3"/>
    <w:rsid w:val="00514B49"/>
    <w:rsid w:val="005177CD"/>
    <w:rsid w:val="0052076F"/>
    <w:rsid w:val="00520FFE"/>
    <w:rsid w:val="00521676"/>
    <w:rsid w:val="00524D5A"/>
    <w:rsid w:val="0052503E"/>
    <w:rsid w:val="00525560"/>
    <w:rsid w:val="00525A58"/>
    <w:rsid w:val="00525D68"/>
    <w:rsid w:val="00526147"/>
    <w:rsid w:val="0052643A"/>
    <w:rsid w:val="005277FD"/>
    <w:rsid w:val="00532720"/>
    <w:rsid w:val="00532CC3"/>
    <w:rsid w:val="005330E5"/>
    <w:rsid w:val="00533458"/>
    <w:rsid w:val="0053391C"/>
    <w:rsid w:val="00534F3D"/>
    <w:rsid w:val="0053536F"/>
    <w:rsid w:val="0053541C"/>
    <w:rsid w:val="005354F3"/>
    <w:rsid w:val="00536923"/>
    <w:rsid w:val="005376B6"/>
    <w:rsid w:val="00537CE4"/>
    <w:rsid w:val="00540FE6"/>
    <w:rsid w:val="00541642"/>
    <w:rsid w:val="00541D0D"/>
    <w:rsid w:val="00542B5D"/>
    <w:rsid w:val="00542F30"/>
    <w:rsid w:val="005430CE"/>
    <w:rsid w:val="00543182"/>
    <w:rsid w:val="00543D34"/>
    <w:rsid w:val="0054432F"/>
    <w:rsid w:val="00544C49"/>
    <w:rsid w:val="00544F11"/>
    <w:rsid w:val="005454DC"/>
    <w:rsid w:val="00545D86"/>
    <w:rsid w:val="005504CB"/>
    <w:rsid w:val="005516A1"/>
    <w:rsid w:val="00552308"/>
    <w:rsid w:val="00553071"/>
    <w:rsid w:val="0055327D"/>
    <w:rsid w:val="00553CE7"/>
    <w:rsid w:val="005557C0"/>
    <w:rsid w:val="00555A75"/>
    <w:rsid w:val="00555D5B"/>
    <w:rsid w:val="00557DDD"/>
    <w:rsid w:val="00560681"/>
    <w:rsid w:val="00560D99"/>
    <w:rsid w:val="005620E2"/>
    <w:rsid w:val="005646A5"/>
    <w:rsid w:val="00564724"/>
    <w:rsid w:val="00564B06"/>
    <w:rsid w:val="00564DB0"/>
    <w:rsid w:val="00564DB1"/>
    <w:rsid w:val="00564FC2"/>
    <w:rsid w:val="00565744"/>
    <w:rsid w:val="00565C49"/>
    <w:rsid w:val="005664A6"/>
    <w:rsid w:val="00566B4A"/>
    <w:rsid w:val="0056727B"/>
    <w:rsid w:val="005673E7"/>
    <w:rsid w:val="00567DE2"/>
    <w:rsid w:val="005710D9"/>
    <w:rsid w:val="0057131E"/>
    <w:rsid w:val="00573015"/>
    <w:rsid w:val="0057336C"/>
    <w:rsid w:val="0057402A"/>
    <w:rsid w:val="00574C37"/>
    <w:rsid w:val="00575155"/>
    <w:rsid w:val="005762D5"/>
    <w:rsid w:val="00576521"/>
    <w:rsid w:val="00576BE2"/>
    <w:rsid w:val="00576C64"/>
    <w:rsid w:val="005771D0"/>
    <w:rsid w:val="00577873"/>
    <w:rsid w:val="005779E7"/>
    <w:rsid w:val="00580190"/>
    <w:rsid w:val="0058021F"/>
    <w:rsid w:val="00581F7B"/>
    <w:rsid w:val="005821E5"/>
    <w:rsid w:val="005824BD"/>
    <w:rsid w:val="005830F4"/>
    <w:rsid w:val="00583174"/>
    <w:rsid w:val="00583EEA"/>
    <w:rsid w:val="0058545B"/>
    <w:rsid w:val="0058555B"/>
    <w:rsid w:val="005862C7"/>
    <w:rsid w:val="0058634A"/>
    <w:rsid w:val="00586515"/>
    <w:rsid w:val="0058735F"/>
    <w:rsid w:val="00587492"/>
    <w:rsid w:val="00587C08"/>
    <w:rsid w:val="00587C2C"/>
    <w:rsid w:val="00587F80"/>
    <w:rsid w:val="005907A3"/>
    <w:rsid w:val="0059191A"/>
    <w:rsid w:val="00591977"/>
    <w:rsid w:val="005921FF"/>
    <w:rsid w:val="005922F5"/>
    <w:rsid w:val="00592884"/>
    <w:rsid w:val="005937F1"/>
    <w:rsid w:val="00595C1D"/>
    <w:rsid w:val="00595F25"/>
    <w:rsid w:val="005A049A"/>
    <w:rsid w:val="005A19B0"/>
    <w:rsid w:val="005A1FC4"/>
    <w:rsid w:val="005A21DC"/>
    <w:rsid w:val="005A27AE"/>
    <w:rsid w:val="005A59B0"/>
    <w:rsid w:val="005A660D"/>
    <w:rsid w:val="005A662D"/>
    <w:rsid w:val="005A6849"/>
    <w:rsid w:val="005A6D0E"/>
    <w:rsid w:val="005A6D14"/>
    <w:rsid w:val="005B00E8"/>
    <w:rsid w:val="005B12FE"/>
    <w:rsid w:val="005B15B4"/>
    <w:rsid w:val="005B2A78"/>
    <w:rsid w:val="005B2D1B"/>
    <w:rsid w:val="005B3F24"/>
    <w:rsid w:val="005B52B0"/>
    <w:rsid w:val="005B59BA"/>
    <w:rsid w:val="005B5CCB"/>
    <w:rsid w:val="005B6806"/>
    <w:rsid w:val="005B71ED"/>
    <w:rsid w:val="005B7347"/>
    <w:rsid w:val="005B7B83"/>
    <w:rsid w:val="005C0C3A"/>
    <w:rsid w:val="005C23C3"/>
    <w:rsid w:val="005C2C99"/>
    <w:rsid w:val="005C31A8"/>
    <w:rsid w:val="005C345A"/>
    <w:rsid w:val="005C3AFF"/>
    <w:rsid w:val="005C3D63"/>
    <w:rsid w:val="005C4225"/>
    <w:rsid w:val="005C4CA5"/>
    <w:rsid w:val="005C51EF"/>
    <w:rsid w:val="005C5519"/>
    <w:rsid w:val="005C597E"/>
    <w:rsid w:val="005C5A99"/>
    <w:rsid w:val="005C7519"/>
    <w:rsid w:val="005D0284"/>
    <w:rsid w:val="005D0DB1"/>
    <w:rsid w:val="005D22E1"/>
    <w:rsid w:val="005D28F6"/>
    <w:rsid w:val="005D4B2E"/>
    <w:rsid w:val="005D6673"/>
    <w:rsid w:val="005E03D5"/>
    <w:rsid w:val="005E0CEB"/>
    <w:rsid w:val="005E16B1"/>
    <w:rsid w:val="005E1E46"/>
    <w:rsid w:val="005E1E48"/>
    <w:rsid w:val="005E37E0"/>
    <w:rsid w:val="005E3EE2"/>
    <w:rsid w:val="005E4FC3"/>
    <w:rsid w:val="005E5794"/>
    <w:rsid w:val="005E5DA3"/>
    <w:rsid w:val="005E6050"/>
    <w:rsid w:val="005E7F79"/>
    <w:rsid w:val="005E7FB9"/>
    <w:rsid w:val="005F0B19"/>
    <w:rsid w:val="005F0B62"/>
    <w:rsid w:val="005F0DAD"/>
    <w:rsid w:val="005F0E86"/>
    <w:rsid w:val="005F0F33"/>
    <w:rsid w:val="005F11CC"/>
    <w:rsid w:val="005F172C"/>
    <w:rsid w:val="005F1AE3"/>
    <w:rsid w:val="005F2493"/>
    <w:rsid w:val="005F300C"/>
    <w:rsid w:val="005F309E"/>
    <w:rsid w:val="005F33B0"/>
    <w:rsid w:val="005F3616"/>
    <w:rsid w:val="005F6001"/>
    <w:rsid w:val="005F60E1"/>
    <w:rsid w:val="005F6A2E"/>
    <w:rsid w:val="005F6D1A"/>
    <w:rsid w:val="005F73AD"/>
    <w:rsid w:val="005F7B2C"/>
    <w:rsid w:val="0060000A"/>
    <w:rsid w:val="00600DEB"/>
    <w:rsid w:val="006018D3"/>
    <w:rsid w:val="00601EE6"/>
    <w:rsid w:val="0060308B"/>
    <w:rsid w:val="0060331D"/>
    <w:rsid w:val="006038B3"/>
    <w:rsid w:val="006043B4"/>
    <w:rsid w:val="00605068"/>
    <w:rsid w:val="00607345"/>
    <w:rsid w:val="006077A8"/>
    <w:rsid w:val="00610099"/>
    <w:rsid w:val="006106D4"/>
    <w:rsid w:val="00610CD1"/>
    <w:rsid w:val="00610E8A"/>
    <w:rsid w:val="006111D5"/>
    <w:rsid w:val="00611C29"/>
    <w:rsid w:val="00612119"/>
    <w:rsid w:val="006125C3"/>
    <w:rsid w:val="00612B37"/>
    <w:rsid w:val="0061391A"/>
    <w:rsid w:val="006146F3"/>
    <w:rsid w:val="0061486B"/>
    <w:rsid w:val="00615D10"/>
    <w:rsid w:val="006161D8"/>
    <w:rsid w:val="00622579"/>
    <w:rsid w:val="006234FC"/>
    <w:rsid w:val="0062557F"/>
    <w:rsid w:val="00625B42"/>
    <w:rsid w:val="00626389"/>
    <w:rsid w:val="006267C4"/>
    <w:rsid w:val="00627064"/>
    <w:rsid w:val="006270F4"/>
    <w:rsid w:val="00627581"/>
    <w:rsid w:val="00627C9F"/>
    <w:rsid w:val="0063015F"/>
    <w:rsid w:val="006311E9"/>
    <w:rsid w:val="0063195F"/>
    <w:rsid w:val="00632354"/>
    <w:rsid w:val="00633497"/>
    <w:rsid w:val="006337CE"/>
    <w:rsid w:val="00635D3C"/>
    <w:rsid w:val="0063647B"/>
    <w:rsid w:val="00636F6A"/>
    <w:rsid w:val="00637003"/>
    <w:rsid w:val="00637353"/>
    <w:rsid w:val="00637FE8"/>
    <w:rsid w:val="0064126F"/>
    <w:rsid w:val="00641277"/>
    <w:rsid w:val="00642114"/>
    <w:rsid w:val="00642323"/>
    <w:rsid w:val="0064254E"/>
    <w:rsid w:val="00642810"/>
    <w:rsid w:val="006468E5"/>
    <w:rsid w:val="00646E5B"/>
    <w:rsid w:val="006477E3"/>
    <w:rsid w:val="006479D1"/>
    <w:rsid w:val="00651437"/>
    <w:rsid w:val="006519F9"/>
    <w:rsid w:val="00652333"/>
    <w:rsid w:val="00652804"/>
    <w:rsid w:val="006549B2"/>
    <w:rsid w:val="00655406"/>
    <w:rsid w:val="0065591B"/>
    <w:rsid w:val="00655B91"/>
    <w:rsid w:val="006560D6"/>
    <w:rsid w:val="00656B40"/>
    <w:rsid w:val="00656D56"/>
    <w:rsid w:val="00657544"/>
    <w:rsid w:val="00657E44"/>
    <w:rsid w:val="00661A4D"/>
    <w:rsid w:val="00661B5C"/>
    <w:rsid w:val="006627C1"/>
    <w:rsid w:val="0066455A"/>
    <w:rsid w:val="00665537"/>
    <w:rsid w:val="00665840"/>
    <w:rsid w:val="00665DB9"/>
    <w:rsid w:val="006668A4"/>
    <w:rsid w:val="00667390"/>
    <w:rsid w:val="00667E8A"/>
    <w:rsid w:val="006726C7"/>
    <w:rsid w:val="006726ED"/>
    <w:rsid w:val="00672B25"/>
    <w:rsid w:val="00676E97"/>
    <w:rsid w:val="00676F8C"/>
    <w:rsid w:val="00677155"/>
    <w:rsid w:val="00677229"/>
    <w:rsid w:val="0068009E"/>
    <w:rsid w:val="00680190"/>
    <w:rsid w:val="00682477"/>
    <w:rsid w:val="0068292F"/>
    <w:rsid w:val="00682BBA"/>
    <w:rsid w:val="00682C74"/>
    <w:rsid w:val="006834E2"/>
    <w:rsid w:val="006835C5"/>
    <w:rsid w:val="006847F9"/>
    <w:rsid w:val="00684C2E"/>
    <w:rsid w:val="006867D9"/>
    <w:rsid w:val="00687363"/>
    <w:rsid w:val="0068747E"/>
    <w:rsid w:val="006903C1"/>
    <w:rsid w:val="006907F3"/>
    <w:rsid w:val="00692219"/>
    <w:rsid w:val="00692771"/>
    <w:rsid w:val="00692950"/>
    <w:rsid w:val="00692CC3"/>
    <w:rsid w:val="00693300"/>
    <w:rsid w:val="0069609F"/>
    <w:rsid w:val="00697966"/>
    <w:rsid w:val="006A0968"/>
    <w:rsid w:val="006A171F"/>
    <w:rsid w:val="006A17D2"/>
    <w:rsid w:val="006A20A8"/>
    <w:rsid w:val="006A4B39"/>
    <w:rsid w:val="006A6357"/>
    <w:rsid w:val="006A65C5"/>
    <w:rsid w:val="006A66D5"/>
    <w:rsid w:val="006A72FF"/>
    <w:rsid w:val="006A73E6"/>
    <w:rsid w:val="006B0828"/>
    <w:rsid w:val="006B0E1F"/>
    <w:rsid w:val="006B248E"/>
    <w:rsid w:val="006B2D5C"/>
    <w:rsid w:val="006B36F9"/>
    <w:rsid w:val="006B3F71"/>
    <w:rsid w:val="006B4533"/>
    <w:rsid w:val="006B49A8"/>
    <w:rsid w:val="006B4D40"/>
    <w:rsid w:val="006B5E16"/>
    <w:rsid w:val="006B6046"/>
    <w:rsid w:val="006B6786"/>
    <w:rsid w:val="006B69C4"/>
    <w:rsid w:val="006B7A92"/>
    <w:rsid w:val="006C1A20"/>
    <w:rsid w:val="006C294A"/>
    <w:rsid w:val="006C2AEA"/>
    <w:rsid w:val="006C2F1F"/>
    <w:rsid w:val="006C3FC0"/>
    <w:rsid w:val="006C45A8"/>
    <w:rsid w:val="006C4EB1"/>
    <w:rsid w:val="006C5DC8"/>
    <w:rsid w:val="006C7060"/>
    <w:rsid w:val="006D0360"/>
    <w:rsid w:val="006D0A23"/>
    <w:rsid w:val="006D0F76"/>
    <w:rsid w:val="006D1327"/>
    <w:rsid w:val="006D172C"/>
    <w:rsid w:val="006D1D85"/>
    <w:rsid w:val="006D262E"/>
    <w:rsid w:val="006D33EB"/>
    <w:rsid w:val="006D346A"/>
    <w:rsid w:val="006D3C84"/>
    <w:rsid w:val="006D42F4"/>
    <w:rsid w:val="006D43E0"/>
    <w:rsid w:val="006D53A2"/>
    <w:rsid w:val="006D57CD"/>
    <w:rsid w:val="006D5AC7"/>
    <w:rsid w:val="006D6DBA"/>
    <w:rsid w:val="006D7B0B"/>
    <w:rsid w:val="006E0166"/>
    <w:rsid w:val="006E0752"/>
    <w:rsid w:val="006E090D"/>
    <w:rsid w:val="006E0C23"/>
    <w:rsid w:val="006E2C84"/>
    <w:rsid w:val="006E2CA2"/>
    <w:rsid w:val="006E3261"/>
    <w:rsid w:val="006E40BE"/>
    <w:rsid w:val="006E52B3"/>
    <w:rsid w:val="006E5F4A"/>
    <w:rsid w:val="006E62FB"/>
    <w:rsid w:val="006E78CC"/>
    <w:rsid w:val="006E7B34"/>
    <w:rsid w:val="006F0369"/>
    <w:rsid w:val="006F0536"/>
    <w:rsid w:val="006F091F"/>
    <w:rsid w:val="006F13BF"/>
    <w:rsid w:val="006F150F"/>
    <w:rsid w:val="006F18B6"/>
    <w:rsid w:val="006F22BA"/>
    <w:rsid w:val="006F2BDD"/>
    <w:rsid w:val="006F35B2"/>
    <w:rsid w:val="006F384A"/>
    <w:rsid w:val="006F3E1F"/>
    <w:rsid w:val="006F66BB"/>
    <w:rsid w:val="006F7B1D"/>
    <w:rsid w:val="006F7FC9"/>
    <w:rsid w:val="0070028A"/>
    <w:rsid w:val="007009BD"/>
    <w:rsid w:val="00701A03"/>
    <w:rsid w:val="00701BAB"/>
    <w:rsid w:val="0070269E"/>
    <w:rsid w:val="00702D0C"/>
    <w:rsid w:val="00702D3C"/>
    <w:rsid w:val="007035EC"/>
    <w:rsid w:val="00703982"/>
    <w:rsid w:val="00703FDD"/>
    <w:rsid w:val="00705684"/>
    <w:rsid w:val="00705790"/>
    <w:rsid w:val="0070611F"/>
    <w:rsid w:val="00706653"/>
    <w:rsid w:val="0070697F"/>
    <w:rsid w:val="00706F17"/>
    <w:rsid w:val="00711A73"/>
    <w:rsid w:val="00713DBB"/>
    <w:rsid w:val="00713F60"/>
    <w:rsid w:val="00715C6A"/>
    <w:rsid w:val="00720305"/>
    <w:rsid w:val="007207DE"/>
    <w:rsid w:val="00720CEC"/>
    <w:rsid w:val="00720FCD"/>
    <w:rsid w:val="00721918"/>
    <w:rsid w:val="0072199C"/>
    <w:rsid w:val="00721B45"/>
    <w:rsid w:val="00722C0E"/>
    <w:rsid w:val="00722C9F"/>
    <w:rsid w:val="00722D33"/>
    <w:rsid w:val="0072311E"/>
    <w:rsid w:val="00723A6C"/>
    <w:rsid w:val="0072431C"/>
    <w:rsid w:val="00724778"/>
    <w:rsid w:val="007251CA"/>
    <w:rsid w:val="007253B8"/>
    <w:rsid w:val="00725E5C"/>
    <w:rsid w:val="00726F1B"/>
    <w:rsid w:val="00730C60"/>
    <w:rsid w:val="007343F2"/>
    <w:rsid w:val="007346D0"/>
    <w:rsid w:val="00735E5E"/>
    <w:rsid w:val="0073629D"/>
    <w:rsid w:val="0073631B"/>
    <w:rsid w:val="00736B8E"/>
    <w:rsid w:val="007373D2"/>
    <w:rsid w:val="0073741F"/>
    <w:rsid w:val="00737C9B"/>
    <w:rsid w:val="00737E36"/>
    <w:rsid w:val="00737FBD"/>
    <w:rsid w:val="00740736"/>
    <w:rsid w:val="007417A9"/>
    <w:rsid w:val="00742F13"/>
    <w:rsid w:val="007439CB"/>
    <w:rsid w:val="00743A04"/>
    <w:rsid w:val="00743D75"/>
    <w:rsid w:val="00744047"/>
    <w:rsid w:val="007446E0"/>
    <w:rsid w:val="007470FF"/>
    <w:rsid w:val="007473EE"/>
    <w:rsid w:val="00747E21"/>
    <w:rsid w:val="0075105C"/>
    <w:rsid w:val="007512BC"/>
    <w:rsid w:val="00751629"/>
    <w:rsid w:val="00751A3D"/>
    <w:rsid w:val="0075213C"/>
    <w:rsid w:val="007526C9"/>
    <w:rsid w:val="00752FB1"/>
    <w:rsid w:val="00753585"/>
    <w:rsid w:val="00753AF9"/>
    <w:rsid w:val="007552B2"/>
    <w:rsid w:val="0075533D"/>
    <w:rsid w:val="00755750"/>
    <w:rsid w:val="00755F99"/>
    <w:rsid w:val="00757472"/>
    <w:rsid w:val="00757659"/>
    <w:rsid w:val="00760041"/>
    <w:rsid w:val="007603A0"/>
    <w:rsid w:val="007606DF"/>
    <w:rsid w:val="00761092"/>
    <w:rsid w:val="00761CE4"/>
    <w:rsid w:val="00762178"/>
    <w:rsid w:val="00762271"/>
    <w:rsid w:val="00762A9A"/>
    <w:rsid w:val="00762C30"/>
    <w:rsid w:val="007656FD"/>
    <w:rsid w:val="0076643F"/>
    <w:rsid w:val="007669C8"/>
    <w:rsid w:val="00766D7A"/>
    <w:rsid w:val="00767A4A"/>
    <w:rsid w:val="007707E3"/>
    <w:rsid w:val="007712C8"/>
    <w:rsid w:val="007714DD"/>
    <w:rsid w:val="00771F3B"/>
    <w:rsid w:val="007723F6"/>
    <w:rsid w:val="00772BE3"/>
    <w:rsid w:val="00772F56"/>
    <w:rsid w:val="007737BE"/>
    <w:rsid w:val="007744DC"/>
    <w:rsid w:val="007756FD"/>
    <w:rsid w:val="007757C5"/>
    <w:rsid w:val="0077626F"/>
    <w:rsid w:val="00776C15"/>
    <w:rsid w:val="00777F63"/>
    <w:rsid w:val="00780345"/>
    <w:rsid w:val="0078098E"/>
    <w:rsid w:val="00781BCE"/>
    <w:rsid w:val="007829E2"/>
    <w:rsid w:val="00783011"/>
    <w:rsid w:val="00783A4C"/>
    <w:rsid w:val="00783B77"/>
    <w:rsid w:val="00784137"/>
    <w:rsid w:val="00784F06"/>
    <w:rsid w:val="00786068"/>
    <w:rsid w:val="007861A3"/>
    <w:rsid w:val="0078658A"/>
    <w:rsid w:val="00786DB6"/>
    <w:rsid w:val="00787717"/>
    <w:rsid w:val="0078796C"/>
    <w:rsid w:val="00787C74"/>
    <w:rsid w:val="00787D6A"/>
    <w:rsid w:val="00787D8F"/>
    <w:rsid w:val="007902E0"/>
    <w:rsid w:val="007910C6"/>
    <w:rsid w:val="00791BFA"/>
    <w:rsid w:val="00792049"/>
    <w:rsid w:val="00792B73"/>
    <w:rsid w:val="007932AA"/>
    <w:rsid w:val="00793383"/>
    <w:rsid w:val="0079440C"/>
    <w:rsid w:val="00794442"/>
    <w:rsid w:val="00794644"/>
    <w:rsid w:val="00794867"/>
    <w:rsid w:val="00795221"/>
    <w:rsid w:val="007A16B5"/>
    <w:rsid w:val="007A1972"/>
    <w:rsid w:val="007A1DB1"/>
    <w:rsid w:val="007A1E87"/>
    <w:rsid w:val="007A2427"/>
    <w:rsid w:val="007A28CD"/>
    <w:rsid w:val="007A2E92"/>
    <w:rsid w:val="007A32D0"/>
    <w:rsid w:val="007A4325"/>
    <w:rsid w:val="007A5817"/>
    <w:rsid w:val="007A7FA6"/>
    <w:rsid w:val="007B0BEB"/>
    <w:rsid w:val="007B1365"/>
    <w:rsid w:val="007B1597"/>
    <w:rsid w:val="007B1B04"/>
    <w:rsid w:val="007B2458"/>
    <w:rsid w:val="007B26AB"/>
    <w:rsid w:val="007B34EA"/>
    <w:rsid w:val="007B44D8"/>
    <w:rsid w:val="007B4E94"/>
    <w:rsid w:val="007B60E9"/>
    <w:rsid w:val="007B6AC4"/>
    <w:rsid w:val="007B6CC3"/>
    <w:rsid w:val="007C0A7B"/>
    <w:rsid w:val="007C180B"/>
    <w:rsid w:val="007C3334"/>
    <w:rsid w:val="007C3BE6"/>
    <w:rsid w:val="007C4584"/>
    <w:rsid w:val="007C4DF2"/>
    <w:rsid w:val="007C5064"/>
    <w:rsid w:val="007C5F85"/>
    <w:rsid w:val="007C6184"/>
    <w:rsid w:val="007C756A"/>
    <w:rsid w:val="007C7BE0"/>
    <w:rsid w:val="007D1DF8"/>
    <w:rsid w:val="007D2B98"/>
    <w:rsid w:val="007D317E"/>
    <w:rsid w:val="007D3B71"/>
    <w:rsid w:val="007D4604"/>
    <w:rsid w:val="007D4B1C"/>
    <w:rsid w:val="007D6311"/>
    <w:rsid w:val="007D7DAA"/>
    <w:rsid w:val="007E1131"/>
    <w:rsid w:val="007E176E"/>
    <w:rsid w:val="007E1CCD"/>
    <w:rsid w:val="007E214D"/>
    <w:rsid w:val="007E21BC"/>
    <w:rsid w:val="007E24F4"/>
    <w:rsid w:val="007E4962"/>
    <w:rsid w:val="007E5025"/>
    <w:rsid w:val="007E5F58"/>
    <w:rsid w:val="007E6B56"/>
    <w:rsid w:val="007E6C29"/>
    <w:rsid w:val="007E7E72"/>
    <w:rsid w:val="007F055C"/>
    <w:rsid w:val="007F10C0"/>
    <w:rsid w:val="007F2A33"/>
    <w:rsid w:val="007F3901"/>
    <w:rsid w:val="007F4490"/>
    <w:rsid w:val="007F4668"/>
    <w:rsid w:val="007F46B8"/>
    <w:rsid w:val="007F60BC"/>
    <w:rsid w:val="007F7E9A"/>
    <w:rsid w:val="008003F3"/>
    <w:rsid w:val="00800989"/>
    <w:rsid w:val="00800B4F"/>
    <w:rsid w:val="008023CF"/>
    <w:rsid w:val="00802C44"/>
    <w:rsid w:val="0080379C"/>
    <w:rsid w:val="00803A2D"/>
    <w:rsid w:val="00803F1C"/>
    <w:rsid w:val="008040DE"/>
    <w:rsid w:val="008055CE"/>
    <w:rsid w:val="0080600E"/>
    <w:rsid w:val="00806664"/>
    <w:rsid w:val="008074C9"/>
    <w:rsid w:val="00807850"/>
    <w:rsid w:val="00807EFD"/>
    <w:rsid w:val="00812BD4"/>
    <w:rsid w:val="00814316"/>
    <w:rsid w:val="008144C0"/>
    <w:rsid w:val="00814AE2"/>
    <w:rsid w:val="00815021"/>
    <w:rsid w:val="0081520C"/>
    <w:rsid w:val="00815442"/>
    <w:rsid w:val="00815BF1"/>
    <w:rsid w:val="00816AA0"/>
    <w:rsid w:val="00816EA4"/>
    <w:rsid w:val="00816FD9"/>
    <w:rsid w:val="00817612"/>
    <w:rsid w:val="00820C60"/>
    <w:rsid w:val="008217E6"/>
    <w:rsid w:val="00821BD5"/>
    <w:rsid w:val="00822027"/>
    <w:rsid w:val="00822246"/>
    <w:rsid w:val="00822A17"/>
    <w:rsid w:val="00822D33"/>
    <w:rsid w:val="0082386B"/>
    <w:rsid w:val="008243F0"/>
    <w:rsid w:val="0082453D"/>
    <w:rsid w:val="0082631D"/>
    <w:rsid w:val="008266A7"/>
    <w:rsid w:val="008306C8"/>
    <w:rsid w:val="00830891"/>
    <w:rsid w:val="00830957"/>
    <w:rsid w:val="00830A98"/>
    <w:rsid w:val="0083184C"/>
    <w:rsid w:val="00831AEF"/>
    <w:rsid w:val="00832004"/>
    <w:rsid w:val="00832745"/>
    <w:rsid w:val="00832CFB"/>
    <w:rsid w:val="008334EA"/>
    <w:rsid w:val="008338A4"/>
    <w:rsid w:val="0083435E"/>
    <w:rsid w:val="00835DB5"/>
    <w:rsid w:val="00836A2D"/>
    <w:rsid w:val="00836E25"/>
    <w:rsid w:val="008371EA"/>
    <w:rsid w:val="00837C45"/>
    <w:rsid w:val="00840379"/>
    <w:rsid w:val="0084055C"/>
    <w:rsid w:val="00841C14"/>
    <w:rsid w:val="00843249"/>
    <w:rsid w:val="008432AA"/>
    <w:rsid w:val="00844730"/>
    <w:rsid w:val="008457C2"/>
    <w:rsid w:val="008463C1"/>
    <w:rsid w:val="00846B43"/>
    <w:rsid w:val="00846C7A"/>
    <w:rsid w:val="00846F8A"/>
    <w:rsid w:val="00847A21"/>
    <w:rsid w:val="008500F5"/>
    <w:rsid w:val="008507A5"/>
    <w:rsid w:val="00851873"/>
    <w:rsid w:val="00851BE3"/>
    <w:rsid w:val="008521CA"/>
    <w:rsid w:val="00852D70"/>
    <w:rsid w:val="0085363F"/>
    <w:rsid w:val="008556F7"/>
    <w:rsid w:val="00855747"/>
    <w:rsid w:val="0085574C"/>
    <w:rsid w:val="0085590A"/>
    <w:rsid w:val="00857374"/>
    <w:rsid w:val="00857A82"/>
    <w:rsid w:val="00860312"/>
    <w:rsid w:val="00860370"/>
    <w:rsid w:val="00860AC6"/>
    <w:rsid w:val="00861916"/>
    <w:rsid w:val="008629C2"/>
    <w:rsid w:val="00862F97"/>
    <w:rsid w:val="00863197"/>
    <w:rsid w:val="0086376F"/>
    <w:rsid w:val="00863846"/>
    <w:rsid w:val="00863CCB"/>
    <w:rsid w:val="00863E2D"/>
    <w:rsid w:val="00864F25"/>
    <w:rsid w:val="008650CE"/>
    <w:rsid w:val="008673F4"/>
    <w:rsid w:val="0086792B"/>
    <w:rsid w:val="0087058C"/>
    <w:rsid w:val="008710FE"/>
    <w:rsid w:val="0087135B"/>
    <w:rsid w:val="008718F4"/>
    <w:rsid w:val="00873038"/>
    <w:rsid w:val="00873684"/>
    <w:rsid w:val="00873836"/>
    <w:rsid w:val="008746B0"/>
    <w:rsid w:val="0087500A"/>
    <w:rsid w:val="00875061"/>
    <w:rsid w:val="00875DDD"/>
    <w:rsid w:val="0087685C"/>
    <w:rsid w:val="00876A53"/>
    <w:rsid w:val="00877C5E"/>
    <w:rsid w:val="00877D8A"/>
    <w:rsid w:val="0088095C"/>
    <w:rsid w:val="00881AB6"/>
    <w:rsid w:val="0088291E"/>
    <w:rsid w:val="0088339A"/>
    <w:rsid w:val="0088450E"/>
    <w:rsid w:val="00884A1A"/>
    <w:rsid w:val="00884C2E"/>
    <w:rsid w:val="00884EC9"/>
    <w:rsid w:val="00885070"/>
    <w:rsid w:val="00885186"/>
    <w:rsid w:val="00885737"/>
    <w:rsid w:val="008863BA"/>
    <w:rsid w:val="00886869"/>
    <w:rsid w:val="008874BA"/>
    <w:rsid w:val="008877EF"/>
    <w:rsid w:val="00887821"/>
    <w:rsid w:val="00887B56"/>
    <w:rsid w:val="00887EFE"/>
    <w:rsid w:val="00890650"/>
    <w:rsid w:val="0089172B"/>
    <w:rsid w:val="0089190D"/>
    <w:rsid w:val="00891AC6"/>
    <w:rsid w:val="0089371A"/>
    <w:rsid w:val="00894152"/>
    <w:rsid w:val="008964BF"/>
    <w:rsid w:val="00897125"/>
    <w:rsid w:val="00897E12"/>
    <w:rsid w:val="00897F0C"/>
    <w:rsid w:val="008A0E92"/>
    <w:rsid w:val="008A1B34"/>
    <w:rsid w:val="008A368A"/>
    <w:rsid w:val="008A5497"/>
    <w:rsid w:val="008A6515"/>
    <w:rsid w:val="008A6D35"/>
    <w:rsid w:val="008A706F"/>
    <w:rsid w:val="008A725A"/>
    <w:rsid w:val="008A7A1F"/>
    <w:rsid w:val="008A7E0F"/>
    <w:rsid w:val="008B12F5"/>
    <w:rsid w:val="008B2965"/>
    <w:rsid w:val="008B44C6"/>
    <w:rsid w:val="008B612B"/>
    <w:rsid w:val="008C0345"/>
    <w:rsid w:val="008C24F8"/>
    <w:rsid w:val="008C3098"/>
    <w:rsid w:val="008C3221"/>
    <w:rsid w:val="008C3D65"/>
    <w:rsid w:val="008C3ED1"/>
    <w:rsid w:val="008C4481"/>
    <w:rsid w:val="008C45B9"/>
    <w:rsid w:val="008C4726"/>
    <w:rsid w:val="008C4CA5"/>
    <w:rsid w:val="008D02AA"/>
    <w:rsid w:val="008D1CBF"/>
    <w:rsid w:val="008D2147"/>
    <w:rsid w:val="008D2AE1"/>
    <w:rsid w:val="008D4212"/>
    <w:rsid w:val="008D4A67"/>
    <w:rsid w:val="008D54E6"/>
    <w:rsid w:val="008D5602"/>
    <w:rsid w:val="008D6B40"/>
    <w:rsid w:val="008D734F"/>
    <w:rsid w:val="008D7652"/>
    <w:rsid w:val="008D768D"/>
    <w:rsid w:val="008D7A32"/>
    <w:rsid w:val="008E0045"/>
    <w:rsid w:val="008E03C0"/>
    <w:rsid w:val="008E10A9"/>
    <w:rsid w:val="008E135D"/>
    <w:rsid w:val="008E1B27"/>
    <w:rsid w:val="008E1CE5"/>
    <w:rsid w:val="008E3049"/>
    <w:rsid w:val="008E3759"/>
    <w:rsid w:val="008E4855"/>
    <w:rsid w:val="008E4939"/>
    <w:rsid w:val="008E56AF"/>
    <w:rsid w:val="008E5F7B"/>
    <w:rsid w:val="008E6DE4"/>
    <w:rsid w:val="008E70E1"/>
    <w:rsid w:val="008E7A77"/>
    <w:rsid w:val="008F0434"/>
    <w:rsid w:val="008F06D3"/>
    <w:rsid w:val="008F0D82"/>
    <w:rsid w:val="008F12F0"/>
    <w:rsid w:val="008F1912"/>
    <w:rsid w:val="008F1B28"/>
    <w:rsid w:val="008F1DB4"/>
    <w:rsid w:val="008F278D"/>
    <w:rsid w:val="008F3AB3"/>
    <w:rsid w:val="008F4787"/>
    <w:rsid w:val="008F5D99"/>
    <w:rsid w:val="008F5EE0"/>
    <w:rsid w:val="008F604B"/>
    <w:rsid w:val="008F65B4"/>
    <w:rsid w:val="008F6937"/>
    <w:rsid w:val="008F6959"/>
    <w:rsid w:val="008F6C6B"/>
    <w:rsid w:val="008F7593"/>
    <w:rsid w:val="008F764E"/>
    <w:rsid w:val="009014A4"/>
    <w:rsid w:val="0090233C"/>
    <w:rsid w:val="009026B6"/>
    <w:rsid w:val="0090270B"/>
    <w:rsid w:val="00902D2B"/>
    <w:rsid w:val="00903B8B"/>
    <w:rsid w:val="009041DC"/>
    <w:rsid w:val="00905424"/>
    <w:rsid w:val="00905480"/>
    <w:rsid w:val="0090611A"/>
    <w:rsid w:val="00907C09"/>
    <w:rsid w:val="0091076C"/>
    <w:rsid w:val="00912100"/>
    <w:rsid w:val="009124C7"/>
    <w:rsid w:val="0091270C"/>
    <w:rsid w:val="009139FB"/>
    <w:rsid w:val="009145D5"/>
    <w:rsid w:val="00914825"/>
    <w:rsid w:val="0091523E"/>
    <w:rsid w:val="009153DA"/>
    <w:rsid w:val="009158E6"/>
    <w:rsid w:val="00915963"/>
    <w:rsid w:val="00915F57"/>
    <w:rsid w:val="00915FB8"/>
    <w:rsid w:val="00916728"/>
    <w:rsid w:val="00916C9C"/>
    <w:rsid w:val="009172F3"/>
    <w:rsid w:val="00917323"/>
    <w:rsid w:val="00917B5A"/>
    <w:rsid w:val="0092034A"/>
    <w:rsid w:val="00920455"/>
    <w:rsid w:val="00920A0C"/>
    <w:rsid w:val="00920A58"/>
    <w:rsid w:val="00920A8C"/>
    <w:rsid w:val="00920B0D"/>
    <w:rsid w:val="00920F08"/>
    <w:rsid w:val="0092111F"/>
    <w:rsid w:val="0092140D"/>
    <w:rsid w:val="00921675"/>
    <w:rsid w:val="00923196"/>
    <w:rsid w:val="00924325"/>
    <w:rsid w:val="009262E2"/>
    <w:rsid w:val="00927004"/>
    <w:rsid w:val="0093150F"/>
    <w:rsid w:val="0093184F"/>
    <w:rsid w:val="0093255C"/>
    <w:rsid w:val="00932A9C"/>
    <w:rsid w:val="00932AFD"/>
    <w:rsid w:val="00933D8D"/>
    <w:rsid w:val="00934282"/>
    <w:rsid w:val="00934362"/>
    <w:rsid w:val="009344AC"/>
    <w:rsid w:val="00934A2C"/>
    <w:rsid w:val="00936E0D"/>
    <w:rsid w:val="00937219"/>
    <w:rsid w:val="009375A6"/>
    <w:rsid w:val="0093761E"/>
    <w:rsid w:val="0094071D"/>
    <w:rsid w:val="00941374"/>
    <w:rsid w:val="00941FD5"/>
    <w:rsid w:val="00942E69"/>
    <w:rsid w:val="00944B98"/>
    <w:rsid w:val="00944C23"/>
    <w:rsid w:val="00944CE3"/>
    <w:rsid w:val="00945038"/>
    <w:rsid w:val="0094677C"/>
    <w:rsid w:val="009468AE"/>
    <w:rsid w:val="009468EE"/>
    <w:rsid w:val="00947D3F"/>
    <w:rsid w:val="0095060A"/>
    <w:rsid w:val="00950897"/>
    <w:rsid w:val="009512BA"/>
    <w:rsid w:val="0095170B"/>
    <w:rsid w:val="009518FA"/>
    <w:rsid w:val="00951A75"/>
    <w:rsid w:val="00951CBC"/>
    <w:rsid w:val="00952001"/>
    <w:rsid w:val="009521B3"/>
    <w:rsid w:val="0095287C"/>
    <w:rsid w:val="00952CFF"/>
    <w:rsid w:val="00952F84"/>
    <w:rsid w:val="009531DD"/>
    <w:rsid w:val="00953D9A"/>
    <w:rsid w:val="00954A5B"/>
    <w:rsid w:val="00954DB8"/>
    <w:rsid w:val="00955784"/>
    <w:rsid w:val="00956D5C"/>
    <w:rsid w:val="0095796B"/>
    <w:rsid w:val="00957B3C"/>
    <w:rsid w:val="00957FAF"/>
    <w:rsid w:val="00962626"/>
    <w:rsid w:val="00962730"/>
    <w:rsid w:val="0096548B"/>
    <w:rsid w:val="009654CD"/>
    <w:rsid w:val="00965A41"/>
    <w:rsid w:val="00965B5A"/>
    <w:rsid w:val="00966C51"/>
    <w:rsid w:val="00966F79"/>
    <w:rsid w:val="0096706E"/>
    <w:rsid w:val="0096716D"/>
    <w:rsid w:val="0097045C"/>
    <w:rsid w:val="00970CC7"/>
    <w:rsid w:val="00970D93"/>
    <w:rsid w:val="009716FD"/>
    <w:rsid w:val="00971F44"/>
    <w:rsid w:val="00972029"/>
    <w:rsid w:val="00972919"/>
    <w:rsid w:val="00973C00"/>
    <w:rsid w:val="00974FCE"/>
    <w:rsid w:val="00975C4E"/>
    <w:rsid w:val="0097767F"/>
    <w:rsid w:val="00980762"/>
    <w:rsid w:val="00981B52"/>
    <w:rsid w:val="00981E62"/>
    <w:rsid w:val="00981FBA"/>
    <w:rsid w:val="0098217D"/>
    <w:rsid w:val="00985E61"/>
    <w:rsid w:val="009867A4"/>
    <w:rsid w:val="0099072A"/>
    <w:rsid w:val="00990C6B"/>
    <w:rsid w:val="00990F40"/>
    <w:rsid w:val="009941CE"/>
    <w:rsid w:val="00997947"/>
    <w:rsid w:val="00997A96"/>
    <w:rsid w:val="00997BC5"/>
    <w:rsid w:val="00997D62"/>
    <w:rsid w:val="00997F00"/>
    <w:rsid w:val="00997F78"/>
    <w:rsid w:val="009A0BE3"/>
    <w:rsid w:val="009A173F"/>
    <w:rsid w:val="009A1D13"/>
    <w:rsid w:val="009A2210"/>
    <w:rsid w:val="009A2DA8"/>
    <w:rsid w:val="009A3C8E"/>
    <w:rsid w:val="009A3E8A"/>
    <w:rsid w:val="009A434B"/>
    <w:rsid w:val="009A45D2"/>
    <w:rsid w:val="009A4D54"/>
    <w:rsid w:val="009A4F41"/>
    <w:rsid w:val="009A555D"/>
    <w:rsid w:val="009A6031"/>
    <w:rsid w:val="009A64BA"/>
    <w:rsid w:val="009A6882"/>
    <w:rsid w:val="009A6998"/>
    <w:rsid w:val="009A6AAA"/>
    <w:rsid w:val="009A785B"/>
    <w:rsid w:val="009B0148"/>
    <w:rsid w:val="009B0D6E"/>
    <w:rsid w:val="009B1207"/>
    <w:rsid w:val="009B2078"/>
    <w:rsid w:val="009B2A6C"/>
    <w:rsid w:val="009B2A78"/>
    <w:rsid w:val="009B3381"/>
    <w:rsid w:val="009B381B"/>
    <w:rsid w:val="009B5CB3"/>
    <w:rsid w:val="009B6069"/>
    <w:rsid w:val="009B6510"/>
    <w:rsid w:val="009B6ACA"/>
    <w:rsid w:val="009B6B66"/>
    <w:rsid w:val="009B78E0"/>
    <w:rsid w:val="009C0366"/>
    <w:rsid w:val="009C04E0"/>
    <w:rsid w:val="009C35A0"/>
    <w:rsid w:val="009C4AF8"/>
    <w:rsid w:val="009C4EAA"/>
    <w:rsid w:val="009C53E4"/>
    <w:rsid w:val="009C6F52"/>
    <w:rsid w:val="009C7297"/>
    <w:rsid w:val="009C734A"/>
    <w:rsid w:val="009D01BD"/>
    <w:rsid w:val="009D0BEB"/>
    <w:rsid w:val="009D1753"/>
    <w:rsid w:val="009D2052"/>
    <w:rsid w:val="009D3E9B"/>
    <w:rsid w:val="009D3F9F"/>
    <w:rsid w:val="009D51AB"/>
    <w:rsid w:val="009D5ABA"/>
    <w:rsid w:val="009D5D6F"/>
    <w:rsid w:val="009D6855"/>
    <w:rsid w:val="009D7019"/>
    <w:rsid w:val="009D71DA"/>
    <w:rsid w:val="009D7351"/>
    <w:rsid w:val="009D7611"/>
    <w:rsid w:val="009D7616"/>
    <w:rsid w:val="009E0337"/>
    <w:rsid w:val="009E0B61"/>
    <w:rsid w:val="009E0EB4"/>
    <w:rsid w:val="009E302A"/>
    <w:rsid w:val="009E31F5"/>
    <w:rsid w:val="009E34B1"/>
    <w:rsid w:val="009E43CB"/>
    <w:rsid w:val="009E4C00"/>
    <w:rsid w:val="009E505A"/>
    <w:rsid w:val="009E53DE"/>
    <w:rsid w:val="009E5D8F"/>
    <w:rsid w:val="009E707C"/>
    <w:rsid w:val="009E721F"/>
    <w:rsid w:val="009E751B"/>
    <w:rsid w:val="009E791A"/>
    <w:rsid w:val="009F08A5"/>
    <w:rsid w:val="009F15B8"/>
    <w:rsid w:val="009F1C67"/>
    <w:rsid w:val="009F228F"/>
    <w:rsid w:val="009F4A05"/>
    <w:rsid w:val="009F4CC6"/>
    <w:rsid w:val="009F53D4"/>
    <w:rsid w:val="009F61ED"/>
    <w:rsid w:val="009F633F"/>
    <w:rsid w:val="00A00525"/>
    <w:rsid w:val="00A00CEC"/>
    <w:rsid w:val="00A010F9"/>
    <w:rsid w:val="00A02D3A"/>
    <w:rsid w:val="00A0396E"/>
    <w:rsid w:val="00A03999"/>
    <w:rsid w:val="00A0428D"/>
    <w:rsid w:val="00A04C00"/>
    <w:rsid w:val="00A04FBC"/>
    <w:rsid w:val="00A069C6"/>
    <w:rsid w:val="00A06E97"/>
    <w:rsid w:val="00A076FD"/>
    <w:rsid w:val="00A07806"/>
    <w:rsid w:val="00A10252"/>
    <w:rsid w:val="00A128D2"/>
    <w:rsid w:val="00A154EF"/>
    <w:rsid w:val="00A2051E"/>
    <w:rsid w:val="00A21028"/>
    <w:rsid w:val="00A21183"/>
    <w:rsid w:val="00A223EA"/>
    <w:rsid w:val="00A22DAC"/>
    <w:rsid w:val="00A22FA8"/>
    <w:rsid w:val="00A23A43"/>
    <w:rsid w:val="00A243A0"/>
    <w:rsid w:val="00A243A3"/>
    <w:rsid w:val="00A24D55"/>
    <w:rsid w:val="00A2598E"/>
    <w:rsid w:val="00A25B91"/>
    <w:rsid w:val="00A26B59"/>
    <w:rsid w:val="00A26FB7"/>
    <w:rsid w:val="00A27335"/>
    <w:rsid w:val="00A304D7"/>
    <w:rsid w:val="00A30AEE"/>
    <w:rsid w:val="00A30C84"/>
    <w:rsid w:val="00A310C3"/>
    <w:rsid w:val="00A31697"/>
    <w:rsid w:val="00A318EB"/>
    <w:rsid w:val="00A31B9C"/>
    <w:rsid w:val="00A326C7"/>
    <w:rsid w:val="00A328B3"/>
    <w:rsid w:val="00A33B1E"/>
    <w:rsid w:val="00A34F5E"/>
    <w:rsid w:val="00A3516D"/>
    <w:rsid w:val="00A35371"/>
    <w:rsid w:val="00A35E91"/>
    <w:rsid w:val="00A37CC5"/>
    <w:rsid w:val="00A409F2"/>
    <w:rsid w:val="00A41B11"/>
    <w:rsid w:val="00A428D6"/>
    <w:rsid w:val="00A4291E"/>
    <w:rsid w:val="00A42BEF"/>
    <w:rsid w:val="00A451C2"/>
    <w:rsid w:val="00A45A4D"/>
    <w:rsid w:val="00A45BF8"/>
    <w:rsid w:val="00A46028"/>
    <w:rsid w:val="00A46205"/>
    <w:rsid w:val="00A465DB"/>
    <w:rsid w:val="00A47206"/>
    <w:rsid w:val="00A47715"/>
    <w:rsid w:val="00A47722"/>
    <w:rsid w:val="00A47B86"/>
    <w:rsid w:val="00A5056D"/>
    <w:rsid w:val="00A5076D"/>
    <w:rsid w:val="00A50FCF"/>
    <w:rsid w:val="00A527B5"/>
    <w:rsid w:val="00A528D1"/>
    <w:rsid w:val="00A52DAC"/>
    <w:rsid w:val="00A536F8"/>
    <w:rsid w:val="00A5426A"/>
    <w:rsid w:val="00A5479B"/>
    <w:rsid w:val="00A54E89"/>
    <w:rsid w:val="00A570D7"/>
    <w:rsid w:val="00A5746E"/>
    <w:rsid w:val="00A610CD"/>
    <w:rsid w:val="00A611D7"/>
    <w:rsid w:val="00A618CB"/>
    <w:rsid w:val="00A61BEB"/>
    <w:rsid w:val="00A62DFB"/>
    <w:rsid w:val="00A62FFD"/>
    <w:rsid w:val="00A63CF5"/>
    <w:rsid w:val="00A63E1A"/>
    <w:rsid w:val="00A6443F"/>
    <w:rsid w:val="00A64EE6"/>
    <w:rsid w:val="00A65190"/>
    <w:rsid w:val="00A65573"/>
    <w:rsid w:val="00A6597F"/>
    <w:rsid w:val="00A65C3E"/>
    <w:rsid w:val="00A65DA9"/>
    <w:rsid w:val="00A66F14"/>
    <w:rsid w:val="00A67661"/>
    <w:rsid w:val="00A678A9"/>
    <w:rsid w:val="00A67BA6"/>
    <w:rsid w:val="00A70F9D"/>
    <w:rsid w:val="00A71671"/>
    <w:rsid w:val="00A7167F"/>
    <w:rsid w:val="00A71A75"/>
    <w:rsid w:val="00A71B1C"/>
    <w:rsid w:val="00A71FC4"/>
    <w:rsid w:val="00A72FA2"/>
    <w:rsid w:val="00A736C5"/>
    <w:rsid w:val="00A73F4C"/>
    <w:rsid w:val="00A74050"/>
    <w:rsid w:val="00A75127"/>
    <w:rsid w:val="00A756CC"/>
    <w:rsid w:val="00A75E63"/>
    <w:rsid w:val="00A763A2"/>
    <w:rsid w:val="00A766B4"/>
    <w:rsid w:val="00A7687D"/>
    <w:rsid w:val="00A77937"/>
    <w:rsid w:val="00A779B0"/>
    <w:rsid w:val="00A779C6"/>
    <w:rsid w:val="00A8031E"/>
    <w:rsid w:val="00A80F45"/>
    <w:rsid w:val="00A812E9"/>
    <w:rsid w:val="00A814FA"/>
    <w:rsid w:val="00A81716"/>
    <w:rsid w:val="00A81FAC"/>
    <w:rsid w:val="00A83DD1"/>
    <w:rsid w:val="00A85E03"/>
    <w:rsid w:val="00A865F6"/>
    <w:rsid w:val="00A8703C"/>
    <w:rsid w:val="00A87ED5"/>
    <w:rsid w:val="00A91C7D"/>
    <w:rsid w:val="00A9202D"/>
    <w:rsid w:val="00A93F06"/>
    <w:rsid w:val="00A94855"/>
    <w:rsid w:val="00A94E92"/>
    <w:rsid w:val="00A95987"/>
    <w:rsid w:val="00A95E7A"/>
    <w:rsid w:val="00A95ED8"/>
    <w:rsid w:val="00A95F3F"/>
    <w:rsid w:val="00A96A09"/>
    <w:rsid w:val="00A96CDC"/>
    <w:rsid w:val="00A96E62"/>
    <w:rsid w:val="00A971C5"/>
    <w:rsid w:val="00A975A2"/>
    <w:rsid w:val="00A97D1F"/>
    <w:rsid w:val="00A97ED4"/>
    <w:rsid w:val="00AA05C8"/>
    <w:rsid w:val="00AA09A2"/>
    <w:rsid w:val="00AA2BE1"/>
    <w:rsid w:val="00AA3B1A"/>
    <w:rsid w:val="00AA436D"/>
    <w:rsid w:val="00AA5A7B"/>
    <w:rsid w:val="00AA679A"/>
    <w:rsid w:val="00AA682F"/>
    <w:rsid w:val="00AA7996"/>
    <w:rsid w:val="00AB022B"/>
    <w:rsid w:val="00AB04F0"/>
    <w:rsid w:val="00AB0DFA"/>
    <w:rsid w:val="00AB11E3"/>
    <w:rsid w:val="00AB158E"/>
    <w:rsid w:val="00AB1A20"/>
    <w:rsid w:val="00AB32FB"/>
    <w:rsid w:val="00AB3551"/>
    <w:rsid w:val="00AB38D3"/>
    <w:rsid w:val="00AB3BC4"/>
    <w:rsid w:val="00AB5876"/>
    <w:rsid w:val="00AB6EAC"/>
    <w:rsid w:val="00AB6EC8"/>
    <w:rsid w:val="00AB769D"/>
    <w:rsid w:val="00AC099C"/>
    <w:rsid w:val="00AC09DD"/>
    <w:rsid w:val="00AC14A6"/>
    <w:rsid w:val="00AC19CB"/>
    <w:rsid w:val="00AC212C"/>
    <w:rsid w:val="00AC246B"/>
    <w:rsid w:val="00AC2C6F"/>
    <w:rsid w:val="00AC34E1"/>
    <w:rsid w:val="00AC51C4"/>
    <w:rsid w:val="00AC55D4"/>
    <w:rsid w:val="00AC5668"/>
    <w:rsid w:val="00AC56E3"/>
    <w:rsid w:val="00AC5ADD"/>
    <w:rsid w:val="00AC5E43"/>
    <w:rsid w:val="00AC6C79"/>
    <w:rsid w:val="00AC6D0C"/>
    <w:rsid w:val="00AD013A"/>
    <w:rsid w:val="00AD20CB"/>
    <w:rsid w:val="00AD2A4F"/>
    <w:rsid w:val="00AD2FE7"/>
    <w:rsid w:val="00AD57D2"/>
    <w:rsid w:val="00AD5F77"/>
    <w:rsid w:val="00AE01FE"/>
    <w:rsid w:val="00AE0240"/>
    <w:rsid w:val="00AE0A84"/>
    <w:rsid w:val="00AE1E69"/>
    <w:rsid w:val="00AE2692"/>
    <w:rsid w:val="00AE3002"/>
    <w:rsid w:val="00AE3760"/>
    <w:rsid w:val="00AE43EA"/>
    <w:rsid w:val="00AE5189"/>
    <w:rsid w:val="00AE5488"/>
    <w:rsid w:val="00AE556D"/>
    <w:rsid w:val="00AE63A3"/>
    <w:rsid w:val="00AE6A05"/>
    <w:rsid w:val="00AE6D7E"/>
    <w:rsid w:val="00AE6F91"/>
    <w:rsid w:val="00AE7D81"/>
    <w:rsid w:val="00AF05AF"/>
    <w:rsid w:val="00AF0BD1"/>
    <w:rsid w:val="00AF25A6"/>
    <w:rsid w:val="00AF3041"/>
    <w:rsid w:val="00AF307E"/>
    <w:rsid w:val="00AF35CD"/>
    <w:rsid w:val="00AF4E1A"/>
    <w:rsid w:val="00AF511D"/>
    <w:rsid w:val="00AF5178"/>
    <w:rsid w:val="00AF5416"/>
    <w:rsid w:val="00AF5571"/>
    <w:rsid w:val="00AF5B3A"/>
    <w:rsid w:val="00AF61C3"/>
    <w:rsid w:val="00AF65CD"/>
    <w:rsid w:val="00AF69F7"/>
    <w:rsid w:val="00AF7408"/>
    <w:rsid w:val="00AF7705"/>
    <w:rsid w:val="00AF7988"/>
    <w:rsid w:val="00AF7E92"/>
    <w:rsid w:val="00B01973"/>
    <w:rsid w:val="00B03DBD"/>
    <w:rsid w:val="00B03F49"/>
    <w:rsid w:val="00B04807"/>
    <w:rsid w:val="00B0491E"/>
    <w:rsid w:val="00B05089"/>
    <w:rsid w:val="00B0543B"/>
    <w:rsid w:val="00B05744"/>
    <w:rsid w:val="00B070A1"/>
    <w:rsid w:val="00B07184"/>
    <w:rsid w:val="00B07341"/>
    <w:rsid w:val="00B07353"/>
    <w:rsid w:val="00B07AA0"/>
    <w:rsid w:val="00B1363B"/>
    <w:rsid w:val="00B1530D"/>
    <w:rsid w:val="00B15964"/>
    <w:rsid w:val="00B15AD3"/>
    <w:rsid w:val="00B16D29"/>
    <w:rsid w:val="00B17797"/>
    <w:rsid w:val="00B2052F"/>
    <w:rsid w:val="00B21324"/>
    <w:rsid w:val="00B216A7"/>
    <w:rsid w:val="00B22C11"/>
    <w:rsid w:val="00B230E6"/>
    <w:rsid w:val="00B23424"/>
    <w:rsid w:val="00B235A3"/>
    <w:rsid w:val="00B239E1"/>
    <w:rsid w:val="00B25759"/>
    <w:rsid w:val="00B25EDF"/>
    <w:rsid w:val="00B26735"/>
    <w:rsid w:val="00B26DD2"/>
    <w:rsid w:val="00B277D6"/>
    <w:rsid w:val="00B30539"/>
    <w:rsid w:val="00B307C7"/>
    <w:rsid w:val="00B314DB"/>
    <w:rsid w:val="00B323DE"/>
    <w:rsid w:val="00B33402"/>
    <w:rsid w:val="00B340F3"/>
    <w:rsid w:val="00B346EA"/>
    <w:rsid w:val="00B34CE7"/>
    <w:rsid w:val="00B35117"/>
    <w:rsid w:val="00B35BB8"/>
    <w:rsid w:val="00B35C3F"/>
    <w:rsid w:val="00B361F2"/>
    <w:rsid w:val="00B363F3"/>
    <w:rsid w:val="00B3718B"/>
    <w:rsid w:val="00B3757A"/>
    <w:rsid w:val="00B3770A"/>
    <w:rsid w:val="00B379EA"/>
    <w:rsid w:val="00B37C50"/>
    <w:rsid w:val="00B37D14"/>
    <w:rsid w:val="00B405AB"/>
    <w:rsid w:val="00B41BB0"/>
    <w:rsid w:val="00B4204A"/>
    <w:rsid w:val="00B43864"/>
    <w:rsid w:val="00B45805"/>
    <w:rsid w:val="00B45DD5"/>
    <w:rsid w:val="00B45E2E"/>
    <w:rsid w:val="00B4632A"/>
    <w:rsid w:val="00B46AD6"/>
    <w:rsid w:val="00B470F7"/>
    <w:rsid w:val="00B513B1"/>
    <w:rsid w:val="00B52CFF"/>
    <w:rsid w:val="00B52E17"/>
    <w:rsid w:val="00B5300C"/>
    <w:rsid w:val="00B530F1"/>
    <w:rsid w:val="00B531D5"/>
    <w:rsid w:val="00B54400"/>
    <w:rsid w:val="00B54A0C"/>
    <w:rsid w:val="00B54D68"/>
    <w:rsid w:val="00B557F1"/>
    <w:rsid w:val="00B55836"/>
    <w:rsid w:val="00B55DC6"/>
    <w:rsid w:val="00B56114"/>
    <w:rsid w:val="00B60D19"/>
    <w:rsid w:val="00B62996"/>
    <w:rsid w:val="00B632D6"/>
    <w:rsid w:val="00B6392B"/>
    <w:rsid w:val="00B63A4F"/>
    <w:rsid w:val="00B63B1E"/>
    <w:rsid w:val="00B63DC6"/>
    <w:rsid w:val="00B64168"/>
    <w:rsid w:val="00B65364"/>
    <w:rsid w:val="00B65C94"/>
    <w:rsid w:val="00B665C6"/>
    <w:rsid w:val="00B66930"/>
    <w:rsid w:val="00B66DD5"/>
    <w:rsid w:val="00B67AB8"/>
    <w:rsid w:val="00B70976"/>
    <w:rsid w:val="00B709C6"/>
    <w:rsid w:val="00B70C6D"/>
    <w:rsid w:val="00B70F49"/>
    <w:rsid w:val="00B71C2E"/>
    <w:rsid w:val="00B71FF1"/>
    <w:rsid w:val="00B72EFC"/>
    <w:rsid w:val="00B7322D"/>
    <w:rsid w:val="00B735B9"/>
    <w:rsid w:val="00B73F14"/>
    <w:rsid w:val="00B74106"/>
    <w:rsid w:val="00B753B4"/>
    <w:rsid w:val="00B758DE"/>
    <w:rsid w:val="00B76779"/>
    <w:rsid w:val="00B771EA"/>
    <w:rsid w:val="00B7735F"/>
    <w:rsid w:val="00B77EEB"/>
    <w:rsid w:val="00B80CC2"/>
    <w:rsid w:val="00B80DA9"/>
    <w:rsid w:val="00B818EC"/>
    <w:rsid w:val="00B82B53"/>
    <w:rsid w:val="00B83F64"/>
    <w:rsid w:val="00B84713"/>
    <w:rsid w:val="00B852BE"/>
    <w:rsid w:val="00B86EC4"/>
    <w:rsid w:val="00B900BA"/>
    <w:rsid w:val="00B9070F"/>
    <w:rsid w:val="00B91AC5"/>
    <w:rsid w:val="00B91CD6"/>
    <w:rsid w:val="00B92893"/>
    <w:rsid w:val="00B92C76"/>
    <w:rsid w:val="00B92D55"/>
    <w:rsid w:val="00B9392D"/>
    <w:rsid w:val="00B947A8"/>
    <w:rsid w:val="00B94B91"/>
    <w:rsid w:val="00B95648"/>
    <w:rsid w:val="00B95E4A"/>
    <w:rsid w:val="00B95E9C"/>
    <w:rsid w:val="00B9663D"/>
    <w:rsid w:val="00B9776F"/>
    <w:rsid w:val="00B97B0C"/>
    <w:rsid w:val="00B97B7B"/>
    <w:rsid w:val="00BA006D"/>
    <w:rsid w:val="00BA02BD"/>
    <w:rsid w:val="00BA03DC"/>
    <w:rsid w:val="00BA081D"/>
    <w:rsid w:val="00BA0F29"/>
    <w:rsid w:val="00BA1833"/>
    <w:rsid w:val="00BA1D19"/>
    <w:rsid w:val="00BA1E49"/>
    <w:rsid w:val="00BA1F09"/>
    <w:rsid w:val="00BA276C"/>
    <w:rsid w:val="00BA3BB7"/>
    <w:rsid w:val="00BA461E"/>
    <w:rsid w:val="00BA5355"/>
    <w:rsid w:val="00BA66AE"/>
    <w:rsid w:val="00BA7955"/>
    <w:rsid w:val="00BB0E2C"/>
    <w:rsid w:val="00BB0FFF"/>
    <w:rsid w:val="00BB1331"/>
    <w:rsid w:val="00BB306F"/>
    <w:rsid w:val="00BB3A22"/>
    <w:rsid w:val="00BB3F15"/>
    <w:rsid w:val="00BB49CF"/>
    <w:rsid w:val="00BB4D48"/>
    <w:rsid w:val="00BB60C2"/>
    <w:rsid w:val="00BB6F44"/>
    <w:rsid w:val="00BB7308"/>
    <w:rsid w:val="00BC0E90"/>
    <w:rsid w:val="00BC1180"/>
    <w:rsid w:val="00BC2254"/>
    <w:rsid w:val="00BC2BBE"/>
    <w:rsid w:val="00BC36C2"/>
    <w:rsid w:val="00BC680B"/>
    <w:rsid w:val="00BC699B"/>
    <w:rsid w:val="00BD0F33"/>
    <w:rsid w:val="00BD19F1"/>
    <w:rsid w:val="00BD1F6A"/>
    <w:rsid w:val="00BD22E3"/>
    <w:rsid w:val="00BD23C8"/>
    <w:rsid w:val="00BD2923"/>
    <w:rsid w:val="00BD356F"/>
    <w:rsid w:val="00BD378A"/>
    <w:rsid w:val="00BD42A1"/>
    <w:rsid w:val="00BD45BF"/>
    <w:rsid w:val="00BD4B89"/>
    <w:rsid w:val="00BD521A"/>
    <w:rsid w:val="00BD5908"/>
    <w:rsid w:val="00BD5954"/>
    <w:rsid w:val="00BD5E60"/>
    <w:rsid w:val="00BD5EE7"/>
    <w:rsid w:val="00BD6768"/>
    <w:rsid w:val="00BD6A23"/>
    <w:rsid w:val="00BD72BD"/>
    <w:rsid w:val="00BD782D"/>
    <w:rsid w:val="00BE16D9"/>
    <w:rsid w:val="00BE1974"/>
    <w:rsid w:val="00BE2489"/>
    <w:rsid w:val="00BE2E8C"/>
    <w:rsid w:val="00BE39A1"/>
    <w:rsid w:val="00BE3A4C"/>
    <w:rsid w:val="00BE3F6A"/>
    <w:rsid w:val="00BE4F59"/>
    <w:rsid w:val="00BE52D9"/>
    <w:rsid w:val="00BE58B1"/>
    <w:rsid w:val="00BE5BEC"/>
    <w:rsid w:val="00BE6BFC"/>
    <w:rsid w:val="00BE7542"/>
    <w:rsid w:val="00BE7BF5"/>
    <w:rsid w:val="00BF02CB"/>
    <w:rsid w:val="00BF068A"/>
    <w:rsid w:val="00BF0DC8"/>
    <w:rsid w:val="00BF11D3"/>
    <w:rsid w:val="00BF17B4"/>
    <w:rsid w:val="00BF1C0D"/>
    <w:rsid w:val="00BF2140"/>
    <w:rsid w:val="00BF22F4"/>
    <w:rsid w:val="00BF2BEF"/>
    <w:rsid w:val="00BF33EA"/>
    <w:rsid w:val="00BF41C7"/>
    <w:rsid w:val="00BF4F08"/>
    <w:rsid w:val="00BF656F"/>
    <w:rsid w:val="00BF6DAD"/>
    <w:rsid w:val="00BF6FD8"/>
    <w:rsid w:val="00BF7294"/>
    <w:rsid w:val="00BF72CE"/>
    <w:rsid w:val="00BF7DF0"/>
    <w:rsid w:val="00C00B19"/>
    <w:rsid w:val="00C01154"/>
    <w:rsid w:val="00C02834"/>
    <w:rsid w:val="00C0359C"/>
    <w:rsid w:val="00C03680"/>
    <w:rsid w:val="00C036F3"/>
    <w:rsid w:val="00C03CA5"/>
    <w:rsid w:val="00C03FC4"/>
    <w:rsid w:val="00C04AF5"/>
    <w:rsid w:val="00C054DF"/>
    <w:rsid w:val="00C059B0"/>
    <w:rsid w:val="00C05E44"/>
    <w:rsid w:val="00C061E3"/>
    <w:rsid w:val="00C0640C"/>
    <w:rsid w:val="00C06944"/>
    <w:rsid w:val="00C06C50"/>
    <w:rsid w:val="00C07760"/>
    <w:rsid w:val="00C10092"/>
    <w:rsid w:val="00C10337"/>
    <w:rsid w:val="00C1066A"/>
    <w:rsid w:val="00C1256B"/>
    <w:rsid w:val="00C13041"/>
    <w:rsid w:val="00C13A4B"/>
    <w:rsid w:val="00C13A54"/>
    <w:rsid w:val="00C1544C"/>
    <w:rsid w:val="00C15CDA"/>
    <w:rsid w:val="00C16828"/>
    <w:rsid w:val="00C16B94"/>
    <w:rsid w:val="00C16BE4"/>
    <w:rsid w:val="00C16DF1"/>
    <w:rsid w:val="00C20B18"/>
    <w:rsid w:val="00C211E7"/>
    <w:rsid w:val="00C21762"/>
    <w:rsid w:val="00C21F97"/>
    <w:rsid w:val="00C22AF7"/>
    <w:rsid w:val="00C23508"/>
    <w:rsid w:val="00C23AEE"/>
    <w:rsid w:val="00C24543"/>
    <w:rsid w:val="00C24B98"/>
    <w:rsid w:val="00C2518F"/>
    <w:rsid w:val="00C256A2"/>
    <w:rsid w:val="00C257D0"/>
    <w:rsid w:val="00C2587E"/>
    <w:rsid w:val="00C263B3"/>
    <w:rsid w:val="00C26744"/>
    <w:rsid w:val="00C26CD3"/>
    <w:rsid w:val="00C26EB0"/>
    <w:rsid w:val="00C32B21"/>
    <w:rsid w:val="00C335CD"/>
    <w:rsid w:val="00C3371B"/>
    <w:rsid w:val="00C337AE"/>
    <w:rsid w:val="00C34045"/>
    <w:rsid w:val="00C3532A"/>
    <w:rsid w:val="00C36E81"/>
    <w:rsid w:val="00C379F9"/>
    <w:rsid w:val="00C37F3F"/>
    <w:rsid w:val="00C406ED"/>
    <w:rsid w:val="00C40789"/>
    <w:rsid w:val="00C40CE9"/>
    <w:rsid w:val="00C43595"/>
    <w:rsid w:val="00C43826"/>
    <w:rsid w:val="00C440FC"/>
    <w:rsid w:val="00C45A43"/>
    <w:rsid w:val="00C46DBE"/>
    <w:rsid w:val="00C46DF9"/>
    <w:rsid w:val="00C46EE5"/>
    <w:rsid w:val="00C50C67"/>
    <w:rsid w:val="00C50F54"/>
    <w:rsid w:val="00C5119A"/>
    <w:rsid w:val="00C51515"/>
    <w:rsid w:val="00C515F5"/>
    <w:rsid w:val="00C51756"/>
    <w:rsid w:val="00C518F1"/>
    <w:rsid w:val="00C52016"/>
    <w:rsid w:val="00C5307F"/>
    <w:rsid w:val="00C539F0"/>
    <w:rsid w:val="00C54422"/>
    <w:rsid w:val="00C54730"/>
    <w:rsid w:val="00C54DC8"/>
    <w:rsid w:val="00C55401"/>
    <w:rsid w:val="00C55A42"/>
    <w:rsid w:val="00C55D38"/>
    <w:rsid w:val="00C55E46"/>
    <w:rsid w:val="00C55EDA"/>
    <w:rsid w:val="00C5660B"/>
    <w:rsid w:val="00C60376"/>
    <w:rsid w:val="00C60A67"/>
    <w:rsid w:val="00C62A75"/>
    <w:rsid w:val="00C62D96"/>
    <w:rsid w:val="00C63291"/>
    <w:rsid w:val="00C640DA"/>
    <w:rsid w:val="00C64144"/>
    <w:rsid w:val="00C65779"/>
    <w:rsid w:val="00C65831"/>
    <w:rsid w:val="00C65899"/>
    <w:rsid w:val="00C65CE8"/>
    <w:rsid w:val="00C65D05"/>
    <w:rsid w:val="00C65EB4"/>
    <w:rsid w:val="00C65FE9"/>
    <w:rsid w:val="00C6641C"/>
    <w:rsid w:val="00C66B72"/>
    <w:rsid w:val="00C66BFB"/>
    <w:rsid w:val="00C66C7D"/>
    <w:rsid w:val="00C67106"/>
    <w:rsid w:val="00C67F45"/>
    <w:rsid w:val="00C702E0"/>
    <w:rsid w:val="00C70F04"/>
    <w:rsid w:val="00C7112F"/>
    <w:rsid w:val="00C71264"/>
    <w:rsid w:val="00C715E4"/>
    <w:rsid w:val="00C716C3"/>
    <w:rsid w:val="00C7221E"/>
    <w:rsid w:val="00C72DCE"/>
    <w:rsid w:val="00C731EB"/>
    <w:rsid w:val="00C7324A"/>
    <w:rsid w:val="00C737E8"/>
    <w:rsid w:val="00C755AF"/>
    <w:rsid w:val="00C75EA2"/>
    <w:rsid w:val="00C7696E"/>
    <w:rsid w:val="00C76FDE"/>
    <w:rsid w:val="00C77010"/>
    <w:rsid w:val="00C810D8"/>
    <w:rsid w:val="00C81668"/>
    <w:rsid w:val="00C825F2"/>
    <w:rsid w:val="00C827E0"/>
    <w:rsid w:val="00C82E44"/>
    <w:rsid w:val="00C844C6"/>
    <w:rsid w:val="00C9075C"/>
    <w:rsid w:val="00C9127A"/>
    <w:rsid w:val="00C91C3C"/>
    <w:rsid w:val="00C91E68"/>
    <w:rsid w:val="00C91FE0"/>
    <w:rsid w:val="00C9273C"/>
    <w:rsid w:val="00C93E78"/>
    <w:rsid w:val="00C9567A"/>
    <w:rsid w:val="00C97129"/>
    <w:rsid w:val="00C97C9A"/>
    <w:rsid w:val="00C97CF3"/>
    <w:rsid w:val="00CA0E3A"/>
    <w:rsid w:val="00CA0E44"/>
    <w:rsid w:val="00CA1EAD"/>
    <w:rsid w:val="00CA1EBC"/>
    <w:rsid w:val="00CA3B43"/>
    <w:rsid w:val="00CA4304"/>
    <w:rsid w:val="00CA4743"/>
    <w:rsid w:val="00CA4C53"/>
    <w:rsid w:val="00CA5BCA"/>
    <w:rsid w:val="00CA6560"/>
    <w:rsid w:val="00CA79C3"/>
    <w:rsid w:val="00CB0F43"/>
    <w:rsid w:val="00CB1FAF"/>
    <w:rsid w:val="00CB212D"/>
    <w:rsid w:val="00CB2583"/>
    <w:rsid w:val="00CB2660"/>
    <w:rsid w:val="00CB2E66"/>
    <w:rsid w:val="00CB3FD8"/>
    <w:rsid w:val="00CB5E87"/>
    <w:rsid w:val="00CB5EAD"/>
    <w:rsid w:val="00CB671B"/>
    <w:rsid w:val="00CB6883"/>
    <w:rsid w:val="00CB6B0F"/>
    <w:rsid w:val="00CB6B14"/>
    <w:rsid w:val="00CB7D87"/>
    <w:rsid w:val="00CB7FE1"/>
    <w:rsid w:val="00CC0361"/>
    <w:rsid w:val="00CC065C"/>
    <w:rsid w:val="00CC0A0F"/>
    <w:rsid w:val="00CC0AD1"/>
    <w:rsid w:val="00CC1E67"/>
    <w:rsid w:val="00CC3A85"/>
    <w:rsid w:val="00CC3BE5"/>
    <w:rsid w:val="00CC40CE"/>
    <w:rsid w:val="00CC4782"/>
    <w:rsid w:val="00CC4F91"/>
    <w:rsid w:val="00CC5E90"/>
    <w:rsid w:val="00CC63CF"/>
    <w:rsid w:val="00CC6401"/>
    <w:rsid w:val="00CD01DE"/>
    <w:rsid w:val="00CD046C"/>
    <w:rsid w:val="00CD0DF7"/>
    <w:rsid w:val="00CD0FB4"/>
    <w:rsid w:val="00CD13A9"/>
    <w:rsid w:val="00CD1A69"/>
    <w:rsid w:val="00CD2402"/>
    <w:rsid w:val="00CD4012"/>
    <w:rsid w:val="00CD450C"/>
    <w:rsid w:val="00CE076C"/>
    <w:rsid w:val="00CE089E"/>
    <w:rsid w:val="00CE08D5"/>
    <w:rsid w:val="00CE1D5B"/>
    <w:rsid w:val="00CE4565"/>
    <w:rsid w:val="00CE5199"/>
    <w:rsid w:val="00CE66D5"/>
    <w:rsid w:val="00CF047C"/>
    <w:rsid w:val="00CF06AF"/>
    <w:rsid w:val="00CF2072"/>
    <w:rsid w:val="00CF33D8"/>
    <w:rsid w:val="00CF36FE"/>
    <w:rsid w:val="00CF4AA9"/>
    <w:rsid w:val="00CF4C1B"/>
    <w:rsid w:val="00CF5130"/>
    <w:rsid w:val="00CF529E"/>
    <w:rsid w:val="00CF637A"/>
    <w:rsid w:val="00D00666"/>
    <w:rsid w:val="00D00D10"/>
    <w:rsid w:val="00D01191"/>
    <w:rsid w:val="00D01292"/>
    <w:rsid w:val="00D01567"/>
    <w:rsid w:val="00D01AF5"/>
    <w:rsid w:val="00D03F90"/>
    <w:rsid w:val="00D059DE"/>
    <w:rsid w:val="00D06BCC"/>
    <w:rsid w:val="00D075AF"/>
    <w:rsid w:val="00D0793A"/>
    <w:rsid w:val="00D12193"/>
    <w:rsid w:val="00D12F1F"/>
    <w:rsid w:val="00D13124"/>
    <w:rsid w:val="00D135A9"/>
    <w:rsid w:val="00D13CF5"/>
    <w:rsid w:val="00D13FCE"/>
    <w:rsid w:val="00D15232"/>
    <w:rsid w:val="00D152EF"/>
    <w:rsid w:val="00D159A4"/>
    <w:rsid w:val="00D16204"/>
    <w:rsid w:val="00D17C68"/>
    <w:rsid w:val="00D20450"/>
    <w:rsid w:val="00D2099D"/>
    <w:rsid w:val="00D20F8E"/>
    <w:rsid w:val="00D21676"/>
    <w:rsid w:val="00D21809"/>
    <w:rsid w:val="00D22AE1"/>
    <w:rsid w:val="00D22DA3"/>
    <w:rsid w:val="00D22FA8"/>
    <w:rsid w:val="00D23170"/>
    <w:rsid w:val="00D23D6A"/>
    <w:rsid w:val="00D241EA"/>
    <w:rsid w:val="00D2620E"/>
    <w:rsid w:val="00D26823"/>
    <w:rsid w:val="00D27573"/>
    <w:rsid w:val="00D27C13"/>
    <w:rsid w:val="00D306D1"/>
    <w:rsid w:val="00D3101D"/>
    <w:rsid w:val="00D31245"/>
    <w:rsid w:val="00D31F26"/>
    <w:rsid w:val="00D31F98"/>
    <w:rsid w:val="00D3216F"/>
    <w:rsid w:val="00D329B4"/>
    <w:rsid w:val="00D32CCC"/>
    <w:rsid w:val="00D33A2D"/>
    <w:rsid w:val="00D34193"/>
    <w:rsid w:val="00D343AC"/>
    <w:rsid w:val="00D34786"/>
    <w:rsid w:val="00D3544A"/>
    <w:rsid w:val="00D368BD"/>
    <w:rsid w:val="00D36D6F"/>
    <w:rsid w:val="00D3749A"/>
    <w:rsid w:val="00D37848"/>
    <w:rsid w:val="00D37BFC"/>
    <w:rsid w:val="00D40DD9"/>
    <w:rsid w:val="00D40F7C"/>
    <w:rsid w:val="00D4193C"/>
    <w:rsid w:val="00D4199A"/>
    <w:rsid w:val="00D41A63"/>
    <w:rsid w:val="00D41C15"/>
    <w:rsid w:val="00D42134"/>
    <w:rsid w:val="00D421D0"/>
    <w:rsid w:val="00D43BF7"/>
    <w:rsid w:val="00D4615F"/>
    <w:rsid w:val="00D47A8E"/>
    <w:rsid w:val="00D47CB3"/>
    <w:rsid w:val="00D47D47"/>
    <w:rsid w:val="00D509FB"/>
    <w:rsid w:val="00D51220"/>
    <w:rsid w:val="00D518DC"/>
    <w:rsid w:val="00D52011"/>
    <w:rsid w:val="00D52490"/>
    <w:rsid w:val="00D52997"/>
    <w:rsid w:val="00D52D14"/>
    <w:rsid w:val="00D53142"/>
    <w:rsid w:val="00D531E0"/>
    <w:rsid w:val="00D5328B"/>
    <w:rsid w:val="00D53C46"/>
    <w:rsid w:val="00D54BB5"/>
    <w:rsid w:val="00D5514D"/>
    <w:rsid w:val="00D558C0"/>
    <w:rsid w:val="00D55D58"/>
    <w:rsid w:val="00D56531"/>
    <w:rsid w:val="00D56D1B"/>
    <w:rsid w:val="00D60ABE"/>
    <w:rsid w:val="00D61231"/>
    <w:rsid w:val="00D6203C"/>
    <w:rsid w:val="00D62531"/>
    <w:rsid w:val="00D635CA"/>
    <w:rsid w:val="00D63E0B"/>
    <w:rsid w:val="00D64F48"/>
    <w:rsid w:val="00D65184"/>
    <w:rsid w:val="00D657BD"/>
    <w:rsid w:val="00D6747C"/>
    <w:rsid w:val="00D67B8A"/>
    <w:rsid w:val="00D712D3"/>
    <w:rsid w:val="00D71422"/>
    <w:rsid w:val="00D72D9A"/>
    <w:rsid w:val="00D72DC6"/>
    <w:rsid w:val="00D73004"/>
    <w:rsid w:val="00D73E49"/>
    <w:rsid w:val="00D74029"/>
    <w:rsid w:val="00D7558D"/>
    <w:rsid w:val="00D760A7"/>
    <w:rsid w:val="00D7616C"/>
    <w:rsid w:val="00D76EE7"/>
    <w:rsid w:val="00D77796"/>
    <w:rsid w:val="00D77D85"/>
    <w:rsid w:val="00D808E2"/>
    <w:rsid w:val="00D8138A"/>
    <w:rsid w:val="00D81D92"/>
    <w:rsid w:val="00D82E20"/>
    <w:rsid w:val="00D83129"/>
    <w:rsid w:val="00D839F3"/>
    <w:rsid w:val="00D83D73"/>
    <w:rsid w:val="00D857C1"/>
    <w:rsid w:val="00D85AEB"/>
    <w:rsid w:val="00D85DE1"/>
    <w:rsid w:val="00D85E09"/>
    <w:rsid w:val="00D86FBA"/>
    <w:rsid w:val="00D874D0"/>
    <w:rsid w:val="00D9008A"/>
    <w:rsid w:val="00D9082C"/>
    <w:rsid w:val="00D914DA"/>
    <w:rsid w:val="00D9154E"/>
    <w:rsid w:val="00D91A17"/>
    <w:rsid w:val="00D9291E"/>
    <w:rsid w:val="00D932ED"/>
    <w:rsid w:val="00D95495"/>
    <w:rsid w:val="00D95589"/>
    <w:rsid w:val="00D95CCF"/>
    <w:rsid w:val="00D96E66"/>
    <w:rsid w:val="00DA0EED"/>
    <w:rsid w:val="00DA184E"/>
    <w:rsid w:val="00DA1C1A"/>
    <w:rsid w:val="00DA253B"/>
    <w:rsid w:val="00DA331E"/>
    <w:rsid w:val="00DA3431"/>
    <w:rsid w:val="00DA461D"/>
    <w:rsid w:val="00DA46BA"/>
    <w:rsid w:val="00DA554E"/>
    <w:rsid w:val="00DA57F3"/>
    <w:rsid w:val="00DA593B"/>
    <w:rsid w:val="00DA5E31"/>
    <w:rsid w:val="00DA5E4B"/>
    <w:rsid w:val="00DA5FBC"/>
    <w:rsid w:val="00DA7153"/>
    <w:rsid w:val="00DA7307"/>
    <w:rsid w:val="00DA781C"/>
    <w:rsid w:val="00DA79C4"/>
    <w:rsid w:val="00DA7B5F"/>
    <w:rsid w:val="00DB00E6"/>
    <w:rsid w:val="00DB1D82"/>
    <w:rsid w:val="00DB1DA0"/>
    <w:rsid w:val="00DB1F4D"/>
    <w:rsid w:val="00DB2B53"/>
    <w:rsid w:val="00DB3272"/>
    <w:rsid w:val="00DB45D9"/>
    <w:rsid w:val="00DB4DCB"/>
    <w:rsid w:val="00DB5118"/>
    <w:rsid w:val="00DB538B"/>
    <w:rsid w:val="00DB5B07"/>
    <w:rsid w:val="00DB7EC9"/>
    <w:rsid w:val="00DC0E72"/>
    <w:rsid w:val="00DC11E7"/>
    <w:rsid w:val="00DC13B0"/>
    <w:rsid w:val="00DC15C5"/>
    <w:rsid w:val="00DC1D6F"/>
    <w:rsid w:val="00DC36C0"/>
    <w:rsid w:val="00DC3ED9"/>
    <w:rsid w:val="00DC4BB6"/>
    <w:rsid w:val="00DC4F9D"/>
    <w:rsid w:val="00DC4FC8"/>
    <w:rsid w:val="00DC574C"/>
    <w:rsid w:val="00DC5F32"/>
    <w:rsid w:val="00DC6028"/>
    <w:rsid w:val="00DC7023"/>
    <w:rsid w:val="00DC7063"/>
    <w:rsid w:val="00DC73E2"/>
    <w:rsid w:val="00DC769A"/>
    <w:rsid w:val="00DC7EFF"/>
    <w:rsid w:val="00DD0902"/>
    <w:rsid w:val="00DD225F"/>
    <w:rsid w:val="00DD281A"/>
    <w:rsid w:val="00DD2FAB"/>
    <w:rsid w:val="00DD3D86"/>
    <w:rsid w:val="00DD6BDE"/>
    <w:rsid w:val="00DD70F2"/>
    <w:rsid w:val="00DD7825"/>
    <w:rsid w:val="00DD7A47"/>
    <w:rsid w:val="00DE0AD9"/>
    <w:rsid w:val="00DE28B6"/>
    <w:rsid w:val="00DE2F0A"/>
    <w:rsid w:val="00DE3243"/>
    <w:rsid w:val="00DE45F5"/>
    <w:rsid w:val="00DE50CF"/>
    <w:rsid w:val="00DE5648"/>
    <w:rsid w:val="00DE6304"/>
    <w:rsid w:val="00DF0463"/>
    <w:rsid w:val="00DF0CEE"/>
    <w:rsid w:val="00DF1385"/>
    <w:rsid w:val="00DF1EC4"/>
    <w:rsid w:val="00DF3502"/>
    <w:rsid w:val="00DF48C2"/>
    <w:rsid w:val="00DF587F"/>
    <w:rsid w:val="00DF5A4B"/>
    <w:rsid w:val="00DF5C4C"/>
    <w:rsid w:val="00E00C91"/>
    <w:rsid w:val="00E01355"/>
    <w:rsid w:val="00E01589"/>
    <w:rsid w:val="00E02529"/>
    <w:rsid w:val="00E02974"/>
    <w:rsid w:val="00E03271"/>
    <w:rsid w:val="00E0340B"/>
    <w:rsid w:val="00E04A90"/>
    <w:rsid w:val="00E0662A"/>
    <w:rsid w:val="00E0704D"/>
    <w:rsid w:val="00E071C8"/>
    <w:rsid w:val="00E077D6"/>
    <w:rsid w:val="00E1049D"/>
    <w:rsid w:val="00E1093D"/>
    <w:rsid w:val="00E11709"/>
    <w:rsid w:val="00E11A0C"/>
    <w:rsid w:val="00E11CC0"/>
    <w:rsid w:val="00E12C61"/>
    <w:rsid w:val="00E12FFF"/>
    <w:rsid w:val="00E142AF"/>
    <w:rsid w:val="00E1609A"/>
    <w:rsid w:val="00E16779"/>
    <w:rsid w:val="00E16D75"/>
    <w:rsid w:val="00E1723D"/>
    <w:rsid w:val="00E203AD"/>
    <w:rsid w:val="00E203C6"/>
    <w:rsid w:val="00E214EE"/>
    <w:rsid w:val="00E219C7"/>
    <w:rsid w:val="00E22E7F"/>
    <w:rsid w:val="00E23632"/>
    <w:rsid w:val="00E24709"/>
    <w:rsid w:val="00E25888"/>
    <w:rsid w:val="00E263B3"/>
    <w:rsid w:val="00E269DC"/>
    <w:rsid w:val="00E27D8A"/>
    <w:rsid w:val="00E27E85"/>
    <w:rsid w:val="00E30405"/>
    <w:rsid w:val="00E312F2"/>
    <w:rsid w:val="00E3180D"/>
    <w:rsid w:val="00E327DF"/>
    <w:rsid w:val="00E32E10"/>
    <w:rsid w:val="00E33050"/>
    <w:rsid w:val="00E33679"/>
    <w:rsid w:val="00E336E2"/>
    <w:rsid w:val="00E3542A"/>
    <w:rsid w:val="00E358A6"/>
    <w:rsid w:val="00E37DFD"/>
    <w:rsid w:val="00E40287"/>
    <w:rsid w:val="00E41A26"/>
    <w:rsid w:val="00E43157"/>
    <w:rsid w:val="00E459BE"/>
    <w:rsid w:val="00E45FD6"/>
    <w:rsid w:val="00E461CE"/>
    <w:rsid w:val="00E4764A"/>
    <w:rsid w:val="00E50189"/>
    <w:rsid w:val="00E50AF7"/>
    <w:rsid w:val="00E511E0"/>
    <w:rsid w:val="00E51FD1"/>
    <w:rsid w:val="00E524D8"/>
    <w:rsid w:val="00E53F10"/>
    <w:rsid w:val="00E54003"/>
    <w:rsid w:val="00E54050"/>
    <w:rsid w:val="00E55E77"/>
    <w:rsid w:val="00E56BE0"/>
    <w:rsid w:val="00E572FA"/>
    <w:rsid w:val="00E573A8"/>
    <w:rsid w:val="00E57608"/>
    <w:rsid w:val="00E611DA"/>
    <w:rsid w:val="00E613A8"/>
    <w:rsid w:val="00E61960"/>
    <w:rsid w:val="00E62377"/>
    <w:rsid w:val="00E624CE"/>
    <w:rsid w:val="00E642F0"/>
    <w:rsid w:val="00E643FA"/>
    <w:rsid w:val="00E64A01"/>
    <w:rsid w:val="00E651F5"/>
    <w:rsid w:val="00E65DA0"/>
    <w:rsid w:val="00E66CE5"/>
    <w:rsid w:val="00E67C4C"/>
    <w:rsid w:val="00E70D59"/>
    <w:rsid w:val="00E71937"/>
    <w:rsid w:val="00E71AC2"/>
    <w:rsid w:val="00E71E2A"/>
    <w:rsid w:val="00E720CA"/>
    <w:rsid w:val="00E727DA"/>
    <w:rsid w:val="00E72A20"/>
    <w:rsid w:val="00E72D38"/>
    <w:rsid w:val="00E72DFA"/>
    <w:rsid w:val="00E735B4"/>
    <w:rsid w:val="00E73BDA"/>
    <w:rsid w:val="00E74829"/>
    <w:rsid w:val="00E7574E"/>
    <w:rsid w:val="00E75834"/>
    <w:rsid w:val="00E75A6B"/>
    <w:rsid w:val="00E76327"/>
    <w:rsid w:val="00E76E58"/>
    <w:rsid w:val="00E76EFE"/>
    <w:rsid w:val="00E77D32"/>
    <w:rsid w:val="00E8095B"/>
    <w:rsid w:val="00E810C3"/>
    <w:rsid w:val="00E8123F"/>
    <w:rsid w:val="00E81481"/>
    <w:rsid w:val="00E815F4"/>
    <w:rsid w:val="00E81B0A"/>
    <w:rsid w:val="00E81E58"/>
    <w:rsid w:val="00E83FAD"/>
    <w:rsid w:val="00E84A46"/>
    <w:rsid w:val="00E84DDF"/>
    <w:rsid w:val="00E84EB5"/>
    <w:rsid w:val="00E85516"/>
    <w:rsid w:val="00E85662"/>
    <w:rsid w:val="00E8670D"/>
    <w:rsid w:val="00E867BA"/>
    <w:rsid w:val="00E8789F"/>
    <w:rsid w:val="00E87F5F"/>
    <w:rsid w:val="00E87FE6"/>
    <w:rsid w:val="00E909AA"/>
    <w:rsid w:val="00E91C21"/>
    <w:rsid w:val="00E93ED3"/>
    <w:rsid w:val="00E942AA"/>
    <w:rsid w:val="00E96B16"/>
    <w:rsid w:val="00E96C24"/>
    <w:rsid w:val="00E97773"/>
    <w:rsid w:val="00E97B71"/>
    <w:rsid w:val="00E97CCF"/>
    <w:rsid w:val="00E97DEC"/>
    <w:rsid w:val="00EA0796"/>
    <w:rsid w:val="00EA188E"/>
    <w:rsid w:val="00EA3346"/>
    <w:rsid w:val="00EA36D8"/>
    <w:rsid w:val="00EA374D"/>
    <w:rsid w:val="00EA3918"/>
    <w:rsid w:val="00EA3D34"/>
    <w:rsid w:val="00EA4039"/>
    <w:rsid w:val="00EA4510"/>
    <w:rsid w:val="00EA61FB"/>
    <w:rsid w:val="00EA68AD"/>
    <w:rsid w:val="00EA6AE4"/>
    <w:rsid w:val="00EA7A92"/>
    <w:rsid w:val="00EB04AD"/>
    <w:rsid w:val="00EB0524"/>
    <w:rsid w:val="00EB1BCB"/>
    <w:rsid w:val="00EB340C"/>
    <w:rsid w:val="00EB3438"/>
    <w:rsid w:val="00EB3684"/>
    <w:rsid w:val="00EB3A48"/>
    <w:rsid w:val="00EB454D"/>
    <w:rsid w:val="00EB49FE"/>
    <w:rsid w:val="00EB4CAD"/>
    <w:rsid w:val="00EB50FE"/>
    <w:rsid w:val="00EB599C"/>
    <w:rsid w:val="00EB6169"/>
    <w:rsid w:val="00EB7F0B"/>
    <w:rsid w:val="00EC0084"/>
    <w:rsid w:val="00EC05BD"/>
    <w:rsid w:val="00EC0D5B"/>
    <w:rsid w:val="00EC1FEE"/>
    <w:rsid w:val="00EC267C"/>
    <w:rsid w:val="00EC41EC"/>
    <w:rsid w:val="00EC51DA"/>
    <w:rsid w:val="00EC5652"/>
    <w:rsid w:val="00EC67D2"/>
    <w:rsid w:val="00EC6DB4"/>
    <w:rsid w:val="00EC7C5C"/>
    <w:rsid w:val="00ED05A6"/>
    <w:rsid w:val="00ED09C9"/>
    <w:rsid w:val="00ED1A86"/>
    <w:rsid w:val="00ED244A"/>
    <w:rsid w:val="00ED3785"/>
    <w:rsid w:val="00ED67CC"/>
    <w:rsid w:val="00ED76BE"/>
    <w:rsid w:val="00ED78E4"/>
    <w:rsid w:val="00ED7D1F"/>
    <w:rsid w:val="00EE04A0"/>
    <w:rsid w:val="00EE0CBD"/>
    <w:rsid w:val="00EE208C"/>
    <w:rsid w:val="00EE2940"/>
    <w:rsid w:val="00EE2E80"/>
    <w:rsid w:val="00EE3117"/>
    <w:rsid w:val="00EE487C"/>
    <w:rsid w:val="00EE4A13"/>
    <w:rsid w:val="00EE4F3D"/>
    <w:rsid w:val="00EE6853"/>
    <w:rsid w:val="00EE723E"/>
    <w:rsid w:val="00EE7DBE"/>
    <w:rsid w:val="00EF0B71"/>
    <w:rsid w:val="00EF36A9"/>
    <w:rsid w:val="00EF37E3"/>
    <w:rsid w:val="00EF4315"/>
    <w:rsid w:val="00EF5BAF"/>
    <w:rsid w:val="00EF6036"/>
    <w:rsid w:val="00EF619B"/>
    <w:rsid w:val="00EF6782"/>
    <w:rsid w:val="00EF6E5B"/>
    <w:rsid w:val="00EF71B3"/>
    <w:rsid w:val="00EF7978"/>
    <w:rsid w:val="00F00A96"/>
    <w:rsid w:val="00F00B55"/>
    <w:rsid w:val="00F01E46"/>
    <w:rsid w:val="00F01E48"/>
    <w:rsid w:val="00F021B6"/>
    <w:rsid w:val="00F02647"/>
    <w:rsid w:val="00F0293F"/>
    <w:rsid w:val="00F02AD1"/>
    <w:rsid w:val="00F034D0"/>
    <w:rsid w:val="00F050CF"/>
    <w:rsid w:val="00F052AD"/>
    <w:rsid w:val="00F06410"/>
    <w:rsid w:val="00F06C4D"/>
    <w:rsid w:val="00F07CC5"/>
    <w:rsid w:val="00F107E9"/>
    <w:rsid w:val="00F10AB3"/>
    <w:rsid w:val="00F114CF"/>
    <w:rsid w:val="00F1164A"/>
    <w:rsid w:val="00F11D40"/>
    <w:rsid w:val="00F122A6"/>
    <w:rsid w:val="00F126C6"/>
    <w:rsid w:val="00F1290D"/>
    <w:rsid w:val="00F14A52"/>
    <w:rsid w:val="00F154A9"/>
    <w:rsid w:val="00F16603"/>
    <w:rsid w:val="00F21F55"/>
    <w:rsid w:val="00F23137"/>
    <w:rsid w:val="00F241A6"/>
    <w:rsid w:val="00F2473D"/>
    <w:rsid w:val="00F253CC"/>
    <w:rsid w:val="00F2581F"/>
    <w:rsid w:val="00F300E3"/>
    <w:rsid w:val="00F304A8"/>
    <w:rsid w:val="00F32173"/>
    <w:rsid w:val="00F3217D"/>
    <w:rsid w:val="00F323EF"/>
    <w:rsid w:val="00F32F8C"/>
    <w:rsid w:val="00F347CA"/>
    <w:rsid w:val="00F352D9"/>
    <w:rsid w:val="00F3558D"/>
    <w:rsid w:val="00F37106"/>
    <w:rsid w:val="00F37660"/>
    <w:rsid w:val="00F404A7"/>
    <w:rsid w:val="00F407BD"/>
    <w:rsid w:val="00F40A85"/>
    <w:rsid w:val="00F40AE1"/>
    <w:rsid w:val="00F40DE1"/>
    <w:rsid w:val="00F42842"/>
    <w:rsid w:val="00F440BA"/>
    <w:rsid w:val="00F453EB"/>
    <w:rsid w:val="00F45BC9"/>
    <w:rsid w:val="00F45C0B"/>
    <w:rsid w:val="00F473D9"/>
    <w:rsid w:val="00F500DF"/>
    <w:rsid w:val="00F519CF"/>
    <w:rsid w:val="00F53766"/>
    <w:rsid w:val="00F541B0"/>
    <w:rsid w:val="00F54CB0"/>
    <w:rsid w:val="00F54F48"/>
    <w:rsid w:val="00F554A0"/>
    <w:rsid w:val="00F56946"/>
    <w:rsid w:val="00F56BA5"/>
    <w:rsid w:val="00F60457"/>
    <w:rsid w:val="00F60545"/>
    <w:rsid w:val="00F6081F"/>
    <w:rsid w:val="00F60E22"/>
    <w:rsid w:val="00F60F0D"/>
    <w:rsid w:val="00F62586"/>
    <w:rsid w:val="00F631B7"/>
    <w:rsid w:val="00F642AD"/>
    <w:rsid w:val="00F6441F"/>
    <w:rsid w:val="00F65F1F"/>
    <w:rsid w:val="00F66977"/>
    <w:rsid w:val="00F66A45"/>
    <w:rsid w:val="00F70594"/>
    <w:rsid w:val="00F70856"/>
    <w:rsid w:val="00F71FB2"/>
    <w:rsid w:val="00F73104"/>
    <w:rsid w:val="00F73553"/>
    <w:rsid w:val="00F73634"/>
    <w:rsid w:val="00F73D42"/>
    <w:rsid w:val="00F759D1"/>
    <w:rsid w:val="00F76A2E"/>
    <w:rsid w:val="00F7722C"/>
    <w:rsid w:val="00F77400"/>
    <w:rsid w:val="00F778BB"/>
    <w:rsid w:val="00F805FB"/>
    <w:rsid w:val="00F80623"/>
    <w:rsid w:val="00F80E48"/>
    <w:rsid w:val="00F8119E"/>
    <w:rsid w:val="00F81395"/>
    <w:rsid w:val="00F82C64"/>
    <w:rsid w:val="00F8436C"/>
    <w:rsid w:val="00F85513"/>
    <w:rsid w:val="00F85F8F"/>
    <w:rsid w:val="00F877B9"/>
    <w:rsid w:val="00F87DA9"/>
    <w:rsid w:val="00F902EB"/>
    <w:rsid w:val="00F90405"/>
    <w:rsid w:val="00F906F8"/>
    <w:rsid w:val="00F90E4B"/>
    <w:rsid w:val="00F911BE"/>
    <w:rsid w:val="00F9139C"/>
    <w:rsid w:val="00F917D1"/>
    <w:rsid w:val="00F917D7"/>
    <w:rsid w:val="00F92B5C"/>
    <w:rsid w:val="00F92FCC"/>
    <w:rsid w:val="00F95BD0"/>
    <w:rsid w:val="00F96305"/>
    <w:rsid w:val="00F9653B"/>
    <w:rsid w:val="00F97BC3"/>
    <w:rsid w:val="00F97D48"/>
    <w:rsid w:val="00FA1D86"/>
    <w:rsid w:val="00FA39C7"/>
    <w:rsid w:val="00FA62AE"/>
    <w:rsid w:val="00FA671E"/>
    <w:rsid w:val="00FA7BF4"/>
    <w:rsid w:val="00FA7EDB"/>
    <w:rsid w:val="00FB05C1"/>
    <w:rsid w:val="00FB3732"/>
    <w:rsid w:val="00FB3832"/>
    <w:rsid w:val="00FB38D3"/>
    <w:rsid w:val="00FB3D19"/>
    <w:rsid w:val="00FB40F2"/>
    <w:rsid w:val="00FB443C"/>
    <w:rsid w:val="00FB596D"/>
    <w:rsid w:val="00FB5F60"/>
    <w:rsid w:val="00FB62CF"/>
    <w:rsid w:val="00FB689A"/>
    <w:rsid w:val="00FB7FC6"/>
    <w:rsid w:val="00FC0795"/>
    <w:rsid w:val="00FC08D0"/>
    <w:rsid w:val="00FC1F88"/>
    <w:rsid w:val="00FC2B47"/>
    <w:rsid w:val="00FC2C81"/>
    <w:rsid w:val="00FC3538"/>
    <w:rsid w:val="00FC3A93"/>
    <w:rsid w:val="00FC3B0A"/>
    <w:rsid w:val="00FC40F2"/>
    <w:rsid w:val="00FC4710"/>
    <w:rsid w:val="00FC587D"/>
    <w:rsid w:val="00FC5F09"/>
    <w:rsid w:val="00FC64B0"/>
    <w:rsid w:val="00FC77D6"/>
    <w:rsid w:val="00FD0C6A"/>
    <w:rsid w:val="00FD0FB1"/>
    <w:rsid w:val="00FD160B"/>
    <w:rsid w:val="00FD1F65"/>
    <w:rsid w:val="00FD3C3B"/>
    <w:rsid w:val="00FD47C4"/>
    <w:rsid w:val="00FD4D8B"/>
    <w:rsid w:val="00FD5A99"/>
    <w:rsid w:val="00FD65D7"/>
    <w:rsid w:val="00FD692D"/>
    <w:rsid w:val="00FD6942"/>
    <w:rsid w:val="00FD6BD7"/>
    <w:rsid w:val="00FD7378"/>
    <w:rsid w:val="00FD7FD0"/>
    <w:rsid w:val="00FE07DD"/>
    <w:rsid w:val="00FE11D7"/>
    <w:rsid w:val="00FE2FF1"/>
    <w:rsid w:val="00FE30BE"/>
    <w:rsid w:val="00FE3710"/>
    <w:rsid w:val="00FE41CE"/>
    <w:rsid w:val="00FE466A"/>
    <w:rsid w:val="00FE4D91"/>
    <w:rsid w:val="00FE5085"/>
    <w:rsid w:val="00FE6512"/>
    <w:rsid w:val="00FE6B45"/>
    <w:rsid w:val="00FE6F90"/>
    <w:rsid w:val="00FE7B5A"/>
    <w:rsid w:val="00FF0748"/>
    <w:rsid w:val="00FF11A6"/>
    <w:rsid w:val="00FF3A05"/>
    <w:rsid w:val="00FF3ADA"/>
    <w:rsid w:val="00FF3F58"/>
    <w:rsid w:val="00FF4078"/>
    <w:rsid w:val="00FF4AEE"/>
    <w:rsid w:val="00FF51AC"/>
    <w:rsid w:val="00FF55F3"/>
    <w:rsid w:val="00FF5851"/>
    <w:rsid w:val="00FF633A"/>
    <w:rsid w:val="00FF7197"/>
    <w:rsid w:val="00FF71AD"/>
    <w:rsid w:val="00FF754F"/>
    <w:rsid w:val="00FF7B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A16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
    <w:unhideWhenUsed/>
    <w:qFormat/>
    <w:rsid w:val="00141F5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es-ES" w:eastAsia="es-ES"/>
    </w:rPr>
  </w:style>
  <w:style w:type="paragraph" w:styleId="Footer">
    <w:name w:val="footer"/>
    <w:link w:val="FooterChar"/>
    <w:uiPriority w:val="99"/>
    <w:pPr>
      <w:pBdr>
        <w:top w:val="nil"/>
        <w:left w:val="nil"/>
        <w:bottom w:val="nil"/>
        <w:right w:val="nil"/>
        <w:between w:val="nil"/>
        <w:bar w:val="nil"/>
      </w:pBdr>
      <w:tabs>
        <w:tab w:val="center" w:pos="4513"/>
        <w:tab w:val="right" w:pos="9026"/>
      </w:tabs>
    </w:pPr>
    <w:rPr>
      <w:rFonts w:ascii="Cambria" w:eastAsia="Cambria" w:hAnsi="Cambria" w:cs="Cambria"/>
      <w:color w:val="000000"/>
      <w:sz w:val="24"/>
      <w:szCs w:val="24"/>
      <w:u w:color="000000"/>
      <w:bdr w:val="nil"/>
      <w:lang w:val="en-US" w:eastAsia="es-ES"/>
    </w:rPr>
  </w:style>
  <w:style w:type="paragraph" w:customStyle="1" w:styleId="Cuerpo">
    <w:name w:val="Cuerpo"/>
    <w:pPr>
      <w:pBdr>
        <w:top w:val="nil"/>
        <w:left w:val="nil"/>
        <w:bottom w:val="nil"/>
        <w:right w:val="nil"/>
        <w:between w:val="nil"/>
        <w:bar w:val="nil"/>
      </w:pBdr>
    </w:pPr>
    <w:rPr>
      <w:rFonts w:ascii="Cambria" w:eastAsia="Cambria" w:hAnsi="Cambria" w:cs="Cambria"/>
      <w:color w:val="000000"/>
      <w:sz w:val="24"/>
      <w:szCs w:val="24"/>
      <w:u w:color="000000"/>
      <w:bdr w:val="nil"/>
      <w:lang w:val="es-ES" w:eastAsia="es-ES"/>
    </w:rPr>
  </w:style>
  <w:style w:type="paragraph" w:styleId="BodyTextIndent">
    <w:name w:val="Body Text Indent"/>
    <w:link w:val="BodyTextIndentChar"/>
    <w:pPr>
      <w:pBdr>
        <w:top w:val="nil"/>
        <w:left w:val="nil"/>
        <w:bottom w:val="nil"/>
        <w:right w:val="nil"/>
        <w:between w:val="nil"/>
        <w:bar w:val="nil"/>
      </w:pBdr>
      <w:ind w:left="2160" w:hanging="720"/>
    </w:pPr>
    <w:rPr>
      <w:rFonts w:eastAsia="Times New Roman"/>
      <w:color w:val="000000"/>
      <w:sz w:val="24"/>
      <w:szCs w:val="24"/>
      <w:u w:color="000000"/>
      <w:bdr w:val="nil"/>
      <w:lang w:val="es-ES_tradnl" w:eastAsia="es-ES"/>
    </w:rPr>
  </w:style>
  <w:style w:type="paragraph" w:customStyle="1" w:styleId="GradeClara-nfase31">
    <w:name w:val="Grade Clara - Ênfase 31"/>
    <w:aliases w:val="Párrafo de lista1,List Paragraph1,Colorful List - Accent 11,List Paragraph11,List Paragraph2"/>
    <w:link w:val="GradeClara-nfase3Char"/>
    <w:qFormat/>
    <w:pPr>
      <w:pBdr>
        <w:top w:val="nil"/>
        <w:left w:val="nil"/>
        <w:bottom w:val="nil"/>
        <w:right w:val="nil"/>
        <w:between w:val="nil"/>
        <w:bar w:val="nil"/>
      </w:pBdr>
      <w:ind w:left="720"/>
    </w:pPr>
    <w:rPr>
      <w:rFonts w:ascii="Cambria" w:eastAsia="Cambria" w:hAnsi="Cambria" w:cs="Cambria"/>
      <w:color w:val="000000"/>
      <w:sz w:val="24"/>
      <w:szCs w:val="24"/>
      <w:u w:color="000000"/>
      <w:bdr w:val="nil"/>
      <w:lang w:val="en-US" w:eastAsia="es-E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
    <w:link w:val="FootnoteTextChar"/>
    <w:uiPriority w:val="99"/>
    <w:qFormat/>
    <w:rsid w:val="00B80CC2"/>
    <w:pPr>
      <w:pBdr>
        <w:top w:val="nil"/>
        <w:left w:val="nil"/>
        <w:bottom w:val="nil"/>
        <w:right w:val="nil"/>
        <w:between w:val="nil"/>
        <w:bar w:val="nil"/>
      </w:pBdr>
    </w:pPr>
    <w:rPr>
      <w:rFonts w:ascii="Cambria" w:eastAsia="Calibri" w:hAnsi="Cambria" w:cs="Calibri"/>
      <w:color w:val="000000"/>
      <w:sz w:val="16"/>
      <w:u w:color="000000"/>
      <w:bdr w:val="nil"/>
      <w:lang w:val="en-US" w:eastAsia="es-E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link w:val="Heading1"/>
    <w:uiPriority w:val="9"/>
    <w:rsid w:val="00D81D92"/>
    <w:rPr>
      <w:rFonts w:ascii="Cambria" w:eastAsia="Times New Roman" w:hAnsi="Cambria"/>
      <w:b/>
      <w:bCs/>
      <w:color w:val="365F91"/>
      <w:sz w:val="28"/>
      <w:szCs w:val="28"/>
      <w:bdr w:val="nil"/>
      <w:lang w:val="en-US" w:eastAsia="en-US"/>
    </w:rPr>
  </w:style>
  <w:style w:type="table" w:styleId="ColorfulList-Accent2">
    <w:name w:val="Colorful List Accent 2"/>
    <w:basedOn w:val="TableNormal"/>
    <w:uiPriority w:val="63"/>
    <w:rsid w:val="006A17D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FC08D0"/>
    <w:pPr>
      <w:tabs>
        <w:tab w:val="left" w:pos="1260"/>
        <w:tab w:val="right" w:leader="dot" w:pos="9360"/>
      </w:tabs>
      <w:spacing w:before="240" w:after="100"/>
      <w:ind w:left="810" w:hanging="450"/>
      <w:jc w:val="both"/>
    </w:pPr>
  </w:style>
  <w:style w:type="paragraph" w:styleId="TOC1">
    <w:name w:val="toc 1"/>
    <w:basedOn w:val="Normal"/>
    <w:next w:val="Normal"/>
    <w:autoRedefine/>
    <w:uiPriority w:val="39"/>
    <w:unhideWhenUsed/>
    <w:rsid w:val="00472955"/>
    <w:pPr>
      <w:tabs>
        <w:tab w:val="left" w:pos="1440"/>
        <w:tab w:val="right" w:leader="dot" w:pos="9360"/>
      </w:tabs>
      <w:jc w:val="both"/>
    </w:pPr>
    <w:rPr>
      <w:rFonts w:ascii="Calibri" w:hAnsi="Calibri"/>
      <w:sz w:val="22"/>
    </w:rPr>
  </w:style>
  <w:style w:type="paragraph" w:styleId="TOC3">
    <w:name w:val="toc 3"/>
    <w:basedOn w:val="Normal"/>
    <w:next w:val="Normal"/>
    <w:autoRedefine/>
    <w:uiPriority w:val="39"/>
    <w:unhideWhenUsed/>
    <w:rsid w:val="00472955"/>
    <w:pPr>
      <w:tabs>
        <w:tab w:val="left" w:pos="880"/>
        <w:tab w:val="right" w:leader="dot" w:pos="9360"/>
      </w:tabs>
      <w:spacing w:after="100"/>
      <w:ind w:left="1260" w:hanging="450"/>
      <w:jc w:val="both"/>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Ref. de nota al pi"/>
    <w:link w:val="FootnotesrefssChar1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B80CC2"/>
    <w:rPr>
      <w:rFonts w:ascii="Cambria" w:eastAsia="Calibri" w:hAnsi="Cambria" w:cs="Calibri"/>
      <w:color w:val="000000"/>
      <w:sz w:val="16"/>
      <w:u w:color="000000"/>
      <w:bdr w:val="nil"/>
      <w:lang w:eastAsia="es-ES"/>
    </w:rPr>
  </w:style>
  <w:style w:type="character" w:customStyle="1" w:styleId="Heading2Char">
    <w:name w:val="Heading 2 Char"/>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autoSpaceDE w:val="0"/>
      <w:autoSpaceDN w:val="0"/>
      <w:adjustRightInd w:val="0"/>
    </w:pPr>
    <w:rPr>
      <w:rFonts w:eastAsia="Times New Roman"/>
      <w:color w:val="000000"/>
      <w:sz w:val="24"/>
      <w:szCs w:val="24"/>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9014A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rsid w:val="004D6618"/>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bdr w:val="none" w:sz="0" w:space="0" w:color="auto"/>
      <w:vertAlign w:val="superscript"/>
      <w:lang w:val="es-ES" w:eastAsia="es-ES"/>
    </w:rPr>
  </w:style>
  <w:style w:type="character" w:customStyle="1" w:styleId="GradeClara-nfase3Char">
    <w:name w:val="Grade Clara - Ênfase 3 Char"/>
    <w:aliases w:val="Párrafo de lista1 Char,List Paragraph1 Char,Colorful List - Accent 11 Char,List Paragraph11 Char,List Paragraph2 Char,List Paragraph Char,Lista vistosa - Énfasis 11 Char,Footnote Char,Subtle Emphasis1 Char,Footnote1 Char"/>
    <w:link w:val="GradeClara-nfase31"/>
    <w:locked/>
    <w:rsid w:val="002E4AEA"/>
    <w:rPr>
      <w:rFonts w:ascii="Cambria" w:eastAsia="Cambria" w:hAnsi="Cambria" w:cs="Cambria"/>
      <w:color w:val="000000"/>
      <w:sz w:val="24"/>
      <w:szCs w:val="24"/>
      <w:u w:color="000000"/>
      <w:lang w:val="en-US"/>
    </w:rPr>
  </w:style>
  <w:style w:type="character" w:styleId="CommentReference">
    <w:name w:val="annotation reference"/>
    <w:uiPriority w:val="99"/>
    <w:semiHidden/>
    <w:unhideWhenUsed/>
    <w:rsid w:val="00A10252"/>
    <w:rPr>
      <w:sz w:val="18"/>
      <w:szCs w:val="18"/>
    </w:rPr>
  </w:style>
  <w:style w:type="paragraph" w:styleId="CommentText">
    <w:name w:val="annotation text"/>
    <w:basedOn w:val="Normal"/>
    <w:link w:val="CommentTextChar"/>
    <w:uiPriority w:val="99"/>
    <w:unhideWhenUsed/>
    <w:rsid w:val="00A10252"/>
  </w:style>
  <w:style w:type="character" w:customStyle="1" w:styleId="CommentTextChar">
    <w:name w:val="Comment Text Char"/>
    <w:link w:val="CommentText"/>
    <w:uiPriority w:val="99"/>
    <w:rsid w:val="00A10252"/>
    <w:rPr>
      <w:sz w:val="24"/>
      <w:szCs w:val="24"/>
      <w:bdr w:val="nil"/>
      <w:lang w:val="en-US"/>
    </w:rPr>
  </w:style>
  <w:style w:type="paragraph" w:styleId="CommentSubject">
    <w:name w:val="annotation subject"/>
    <w:basedOn w:val="CommentText"/>
    <w:next w:val="CommentText"/>
    <w:link w:val="CommentSubjectChar"/>
    <w:uiPriority w:val="99"/>
    <w:semiHidden/>
    <w:unhideWhenUsed/>
    <w:rsid w:val="00A10252"/>
    <w:rPr>
      <w:b/>
      <w:bCs/>
      <w:sz w:val="20"/>
      <w:szCs w:val="20"/>
    </w:rPr>
  </w:style>
  <w:style w:type="character" w:customStyle="1" w:styleId="CommentSubjectChar">
    <w:name w:val="Comment Subject Char"/>
    <w:link w:val="CommentSubject"/>
    <w:uiPriority w:val="99"/>
    <w:semiHidden/>
    <w:rsid w:val="00A10252"/>
    <w:rPr>
      <w:b/>
      <w:bCs/>
      <w:sz w:val="24"/>
      <w:szCs w:val="24"/>
      <w:bdr w:val="nil"/>
      <w:lang w:val="en-US"/>
    </w:rPr>
  </w:style>
  <w:style w:type="paragraph" w:customStyle="1" w:styleId="GradeMdia1-nfase21">
    <w:name w:val="Grade Média 1 - Ênfase 21"/>
    <w:basedOn w:val="Normal"/>
    <w:qFormat/>
    <w:rsid w:val="00840379"/>
    <w:pPr>
      <w:ind w:left="720"/>
    </w:pPr>
  </w:style>
  <w:style w:type="paragraph" w:customStyle="1" w:styleId="ListaColorida-nfase11">
    <w:name w:val="Lista Colorida - Ênfase 11"/>
    <w:basedOn w:val="Normal"/>
    <w:uiPriority w:val="34"/>
    <w:qFormat/>
    <w:rsid w:val="00A94855"/>
    <w:pPr>
      <w:ind w:left="720"/>
    </w:pPr>
  </w:style>
  <w:style w:type="character" w:styleId="Strong">
    <w:name w:val="Strong"/>
    <w:uiPriority w:val="22"/>
    <w:qFormat/>
    <w:rsid w:val="002A6E57"/>
    <w:rPr>
      <w:b/>
      <w:bCs/>
    </w:rPr>
  </w:style>
  <w:style w:type="paragraph" w:customStyle="1" w:styleId="1">
    <w:name w:val="1"/>
    <w:basedOn w:val="Normal"/>
    <w:rsid w:val="000E345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ListParagraph">
    <w:name w:val="List Paragraph"/>
    <w:aliases w:val="Lista vistosa - Énfasis 11,Subtle Emphasis1,Footnote1"/>
    <w:basedOn w:val="Normal"/>
    <w:uiPriority w:val="99"/>
    <w:qFormat/>
    <w:rsid w:val="00703FDD"/>
    <w:pPr>
      <w:ind w:left="720"/>
    </w:pPr>
  </w:style>
  <w:style w:type="paragraph" w:styleId="TOCHeading">
    <w:name w:val="TOC Heading"/>
    <w:basedOn w:val="Heading1"/>
    <w:next w:val="Normal"/>
    <w:uiPriority w:val="39"/>
    <w:semiHidden/>
    <w:unhideWhenUsed/>
    <w:qFormat/>
    <w:rsid w:val="00493D5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rFonts w:eastAsia="MS Gothic"/>
      <w:bdr w:val="none" w:sz="0" w:space="0" w:color="auto"/>
      <w:lang w:eastAsia="ja-JP"/>
    </w:rPr>
  </w:style>
  <w:style w:type="character" w:customStyle="1" w:styleId="UnresolvedMention1">
    <w:name w:val="Unresolved Mention1"/>
    <w:basedOn w:val="DefaultParagraphFont"/>
    <w:uiPriority w:val="99"/>
    <w:semiHidden/>
    <w:unhideWhenUsed/>
    <w:rsid w:val="00366D37"/>
    <w:rPr>
      <w:color w:val="605E5C"/>
      <w:shd w:val="clear" w:color="auto" w:fill="E1DFDD"/>
    </w:rPr>
  </w:style>
  <w:style w:type="character" w:styleId="FollowedHyperlink">
    <w:name w:val="FollowedHyperlink"/>
    <w:basedOn w:val="DefaultParagraphFont"/>
    <w:uiPriority w:val="99"/>
    <w:semiHidden/>
    <w:unhideWhenUsed/>
    <w:rsid w:val="00FA7EDB"/>
    <w:rPr>
      <w:color w:val="954F72" w:themeColor="followedHyperlink"/>
      <w:u w:val="single"/>
    </w:rPr>
  </w:style>
  <w:style w:type="character" w:customStyle="1" w:styleId="Heading4Char">
    <w:name w:val="Heading 4 Char"/>
    <w:basedOn w:val="DefaultParagraphFont"/>
    <w:link w:val="Heading4"/>
    <w:uiPriority w:val="9"/>
    <w:rsid w:val="00141F5F"/>
    <w:rPr>
      <w:rFonts w:asciiTheme="majorHAnsi" w:eastAsiaTheme="majorEastAsia" w:hAnsiTheme="majorHAnsi" w:cstheme="majorBidi"/>
      <w:i/>
      <w:iCs/>
      <w:color w:val="2F5496" w:themeColor="accent1" w:themeShade="BF"/>
      <w:sz w:val="24"/>
      <w:szCs w:val="24"/>
      <w:bdr w:val="nil"/>
      <w:lang w:val="en-US" w:eastAsia="en-US"/>
    </w:rPr>
  </w:style>
  <w:style w:type="paragraph" w:styleId="NormalWeb">
    <w:name w:val="Normal (Web)"/>
    <w:aliases w:val="Normal (Web) Char1,Normal (Web) Char Char,Normal (Web) Char1 Char,Normal (Web) Char Char Char"/>
    <w:basedOn w:val="Normal"/>
    <w:uiPriority w:val="99"/>
    <w:unhideWhenUsed/>
    <w:rsid w:val="00E76EFE"/>
  </w:style>
  <w:style w:type="paragraph" w:styleId="BodyText2">
    <w:name w:val="Body Text 2"/>
    <w:basedOn w:val="Normal"/>
    <w:link w:val="BodyText2Char"/>
    <w:uiPriority w:val="99"/>
    <w:semiHidden/>
    <w:unhideWhenUsed/>
    <w:rsid w:val="00D42134"/>
    <w:pPr>
      <w:spacing w:after="120" w:line="480" w:lineRule="auto"/>
    </w:pPr>
  </w:style>
  <w:style w:type="character" w:customStyle="1" w:styleId="BodyText2Char">
    <w:name w:val="Body Text 2 Char"/>
    <w:basedOn w:val="DefaultParagraphFont"/>
    <w:link w:val="BodyText2"/>
    <w:uiPriority w:val="99"/>
    <w:semiHidden/>
    <w:rsid w:val="00D42134"/>
    <w:rPr>
      <w:sz w:val="24"/>
      <w:szCs w:val="24"/>
      <w:bdr w:val="nil"/>
      <w:lang w:val="en-US" w:eastAsia="en-US"/>
    </w:rPr>
  </w:style>
  <w:style w:type="character" w:customStyle="1" w:styleId="FootnoteTextChar1">
    <w:name w:val="Footnote Text Char1"/>
    <w:aliases w:val="2. Footnote Text Char1,Footnote Tesina Char1,FA Fu Char2,Footnote Text Char Char Char Char Char Char2,Footnote Text Char Char Char Char Char3,Footnote reference Char2,Footnote Text Char Char Char Char3,Footnote Text Cha Char2,C Char1"/>
    <w:basedOn w:val="DefaultParagraphFont"/>
    <w:qFormat/>
    <w:rsid w:val="00A30AEE"/>
    <w:rPr>
      <w:rFonts w:ascii="Verdana" w:eastAsia="Batang" w:hAnsi="Verdana" w:cs="Times"/>
      <w:noProof/>
      <w:sz w:val="16"/>
      <w:szCs w:val="20"/>
      <w:lang w:val="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A30AE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sz w:val="22"/>
      <w:szCs w:val="20"/>
      <w:bdr w:val="none" w:sz="0" w:space="0" w:color="auto"/>
      <w:vertAlign w:val="superscript"/>
      <w:lang w:val="es-ES"/>
    </w:rPr>
  </w:style>
  <w:style w:type="paragraph" w:customStyle="1" w:styleId="xmsofootnotetext">
    <w:name w:val="x_msofootnotetext"/>
    <w:basedOn w:val="Normal"/>
    <w:rsid w:val="00DA0E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nresolvedMention2">
    <w:name w:val="Unresolved Mention2"/>
    <w:basedOn w:val="DefaultParagraphFont"/>
    <w:uiPriority w:val="99"/>
    <w:semiHidden/>
    <w:unhideWhenUsed/>
    <w:rsid w:val="00D23D6A"/>
    <w:rPr>
      <w:color w:val="605E5C"/>
      <w:shd w:val="clear" w:color="auto" w:fill="E1DFDD"/>
    </w:rPr>
  </w:style>
  <w:style w:type="character" w:customStyle="1" w:styleId="MenoPendente1">
    <w:name w:val="Menção Pendente1"/>
    <w:basedOn w:val="DefaultParagraphFont"/>
    <w:uiPriority w:val="99"/>
    <w:semiHidden/>
    <w:unhideWhenUsed/>
    <w:rsid w:val="008E1B27"/>
    <w:rPr>
      <w:color w:val="605E5C"/>
      <w:shd w:val="clear" w:color="auto" w:fill="E1DFDD"/>
    </w:rPr>
  </w:style>
  <w:style w:type="character" w:customStyle="1" w:styleId="BodyTextIndentChar">
    <w:name w:val="Body Text Indent Char"/>
    <w:basedOn w:val="DefaultParagraphFont"/>
    <w:link w:val="BodyTextIndent"/>
    <w:rsid w:val="002F1065"/>
    <w:rPr>
      <w:rFonts w:eastAsia="Times New Roman"/>
      <w:color w:val="000000"/>
      <w:sz w:val="24"/>
      <w:szCs w:val="24"/>
      <w:u w:color="000000"/>
      <w:bdr w:val="ni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7584">
      <w:bodyDiv w:val="1"/>
      <w:marLeft w:val="120"/>
      <w:marRight w:val="120"/>
      <w:marTop w:val="0"/>
      <w:marBottom w:val="120"/>
      <w:divBdr>
        <w:top w:val="none" w:sz="0" w:space="0" w:color="auto"/>
        <w:left w:val="none" w:sz="0" w:space="0" w:color="auto"/>
        <w:bottom w:val="none" w:sz="0" w:space="0" w:color="auto"/>
        <w:right w:val="none" w:sz="0" w:space="0" w:color="auto"/>
      </w:divBdr>
      <w:divsChild>
        <w:div w:id="1395735590">
          <w:marLeft w:val="0"/>
          <w:marRight w:val="0"/>
          <w:marTop w:val="0"/>
          <w:marBottom w:val="0"/>
          <w:divBdr>
            <w:top w:val="none" w:sz="0" w:space="0" w:color="auto"/>
            <w:left w:val="none" w:sz="0" w:space="0" w:color="auto"/>
            <w:bottom w:val="none" w:sz="0" w:space="0" w:color="auto"/>
            <w:right w:val="none" w:sz="0" w:space="0" w:color="auto"/>
          </w:divBdr>
          <w:divsChild>
            <w:div w:id="2105299389">
              <w:marLeft w:val="0"/>
              <w:marRight w:val="0"/>
              <w:marTop w:val="0"/>
              <w:marBottom w:val="0"/>
              <w:divBdr>
                <w:top w:val="none" w:sz="0" w:space="0" w:color="auto"/>
                <w:left w:val="none" w:sz="0" w:space="0" w:color="auto"/>
                <w:bottom w:val="none" w:sz="0" w:space="0" w:color="auto"/>
                <w:right w:val="none" w:sz="0" w:space="0" w:color="auto"/>
              </w:divBdr>
              <w:divsChild>
                <w:div w:id="8476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4175">
      <w:bodyDiv w:val="1"/>
      <w:marLeft w:val="0"/>
      <w:marRight w:val="0"/>
      <w:marTop w:val="0"/>
      <w:marBottom w:val="0"/>
      <w:divBdr>
        <w:top w:val="none" w:sz="0" w:space="0" w:color="auto"/>
        <w:left w:val="none" w:sz="0" w:space="0" w:color="auto"/>
        <w:bottom w:val="none" w:sz="0" w:space="0" w:color="auto"/>
        <w:right w:val="none" w:sz="0" w:space="0" w:color="auto"/>
      </w:divBdr>
    </w:div>
    <w:div w:id="430711260">
      <w:bodyDiv w:val="1"/>
      <w:marLeft w:val="0"/>
      <w:marRight w:val="0"/>
      <w:marTop w:val="0"/>
      <w:marBottom w:val="0"/>
      <w:divBdr>
        <w:top w:val="none" w:sz="0" w:space="0" w:color="auto"/>
        <w:left w:val="none" w:sz="0" w:space="0" w:color="auto"/>
        <w:bottom w:val="none" w:sz="0" w:space="0" w:color="auto"/>
        <w:right w:val="none" w:sz="0" w:space="0" w:color="auto"/>
      </w:divBdr>
      <w:divsChild>
        <w:div w:id="1641766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119078">
      <w:bodyDiv w:val="1"/>
      <w:marLeft w:val="0"/>
      <w:marRight w:val="0"/>
      <w:marTop w:val="0"/>
      <w:marBottom w:val="0"/>
      <w:divBdr>
        <w:top w:val="none" w:sz="0" w:space="0" w:color="auto"/>
        <w:left w:val="none" w:sz="0" w:space="0" w:color="auto"/>
        <w:bottom w:val="none" w:sz="0" w:space="0" w:color="auto"/>
        <w:right w:val="none" w:sz="0" w:space="0" w:color="auto"/>
      </w:divBdr>
    </w:div>
    <w:div w:id="700788857">
      <w:bodyDiv w:val="1"/>
      <w:marLeft w:val="0"/>
      <w:marRight w:val="0"/>
      <w:marTop w:val="0"/>
      <w:marBottom w:val="0"/>
      <w:divBdr>
        <w:top w:val="none" w:sz="0" w:space="0" w:color="auto"/>
        <w:left w:val="none" w:sz="0" w:space="0" w:color="auto"/>
        <w:bottom w:val="none" w:sz="0" w:space="0" w:color="auto"/>
        <w:right w:val="none" w:sz="0" w:space="0" w:color="auto"/>
      </w:divBdr>
    </w:div>
    <w:div w:id="1018848494">
      <w:bodyDiv w:val="1"/>
      <w:marLeft w:val="0"/>
      <w:marRight w:val="0"/>
      <w:marTop w:val="0"/>
      <w:marBottom w:val="0"/>
      <w:divBdr>
        <w:top w:val="none" w:sz="0" w:space="0" w:color="auto"/>
        <w:left w:val="none" w:sz="0" w:space="0" w:color="auto"/>
        <w:bottom w:val="none" w:sz="0" w:space="0" w:color="auto"/>
        <w:right w:val="none" w:sz="0" w:space="0" w:color="auto"/>
      </w:divBdr>
    </w:div>
    <w:div w:id="1032606788">
      <w:bodyDiv w:val="1"/>
      <w:marLeft w:val="0"/>
      <w:marRight w:val="0"/>
      <w:marTop w:val="0"/>
      <w:marBottom w:val="0"/>
      <w:divBdr>
        <w:top w:val="none" w:sz="0" w:space="0" w:color="auto"/>
        <w:left w:val="none" w:sz="0" w:space="0" w:color="auto"/>
        <w:bottom w:val="none" w:sz="0" w:space="0" w:color="auto"/>
        <w:right w:val="none" w:sz="0" w:space="0" w:color="auto"/>
      </w:divBdr>
    </w:div>
    <w:div w:id="1103109530">
      <w:bodyDiv w:val="1"/>
      <w:marLeft w:val="0"/>
      <w:marRight w:val="0"/>
      <w:marTop w:val="0"/>
      <w:marBottom w:val="0"/>
      <w:divBdr>
        <w:top w:val="none" w:sz="0" w:space="0" w:color="auto"/>
        <w:left w:val="none" w:sz="0" w:space="0" w:color="auto"/>
        <w:bottom w:val="none" w:sz="0" w:space="0" w:color="auto"/>
        <w:right w:val="none" w:sz="0" w:space="0" w:color="auto"/>
      </w:divBdr>
    </w:div>
    <w:div w:id="1210652436">
      <w:bodyDiv w:val="1"/>
      <w:marLeft w:val="0"/>
      <w:marRight w:val="0"/>
      <w:marTop w:val="0"/>
      <w:marBottom w:val="0"/>
      <w:divBdr>
        <w:top w:val="none" w:sz="0" w:space="0" w:color="auto"/>
        <w:left w:val="none" w:sz="0" w:space="0" w:color="auto"/>
        <w:bottom w:val="none" w:sz="0" w:space="0" w:color="auto"/>
        <w:right w:val="none" w:sz="0" w:space="0" w:color="auto"/>
      </w:divBdr>
    </w:div>
    <w:div w:id="1230270469">
      <w:bodyDiv w:val="1"/>
      <w:marLeft w:val="0"/>
      <w:marRight w:val="0"/>
      <w:marTop w:val="0"/>
      <w:marBottom w:val="0"/>
      <w:divBdr>
        <w:top w:val="none" w:sz="0" w:space="0" w:color="auto"/>
        <w:left w:val="none" w:sz="0" w:space="0" w:color="auto"/>
        <w:bottom w:val="none" w:sz="0" w:space="0" w:color="auto"/>
        <w:right w:val="none" w:sz="0" w:space="0" w:color="auto"/>
      </w:divBdr>
    </w:div>
    <w:div w:id="1359545204">
      <w:bodyDiv w:val="1"/>
      <w:marLeft w:val="0"/>
      <w:marRight w:val="0"/>
      <w:marTop w:val="0"/>
      <w:marBottom w:val="0"/>
      <w:divBdr>
        <w:top w:val="none" w:sz="0" w:space="0" w:color="auto"/>
        <w:left w:val="none" w:sz="0" w:space="0" w:color="auto"/>
        <w:bottom w:val="none" w:sz="0" w:space="0" w:color="auto"/>
        <w:right w:val="none" w:sz="0" w:space="0" w:color="auto"/>
      </w:divBdr>
    </w:div>
    <w:div w:id="1360083632">
      <w:bodyDiv w:val="1"/>
      <w:marLeft w:val="0"/>
      <w:marRight w:val="0"/>
      <w:marTop w:val="0"/>
      <w:marBottom w:val="0"/>
      <w:divBdr>
        <w:top w:val="none" w:sz="0" w:space="0" w:color="auto"/>
        <w:left w:val="none" w:sz="0" w:space="0" w:color="auto"/>
        <w:bottom w:val="none" w:sz="0" w:space="0" w:color="auto"/>
        <w:right w:val="none" w:sz="0" w:space="0" w:color="auto"/>
      </w:divBdr>
    </w:div>
    <w:div w:id="1408654572">
      <w:bodyDiv w:val="1"/>
      <w:marLeft w:val="0"/>
      <w:marRight w:val="0"/>
      <w:marTop w:val="0"/>
      <w:marBottom w:val="0"/>
      <w:divBdr>
        <w:top w:val="none" w:sz="0" w:space="0" w:color="auto"/>
        <w:left w:val="none" w:sz="0" w:space="0" w:color="auto"/>
        <w:bottom w:val="none" w:sz="0" w:space="0" w:color="auto"/>
        <w:right w:val="none" w:sz="0" w:space="0" w:color="auto"/>
      </w:divBdr>
    </w:div>
    <w:div w:id="1424106694">
      <w:bodyDiv w:val="1"/>
      <w:marLeft w:val="0"/>
      <w:marRight w:val="0"/>
      <w:marTop w:val="0"/>
      <w:marBottom w:val="0"/>
      <w:divBdr>
        <w:top w:val="none" w:sz="0" w:space="0" w:color="auto"/>
        <w:left w:val="none" w:sz="0" w:space="0" w:color="auto"/>
        <w:bottom w:val="none" w:sz="0" w:space="0" w:color="auto"/>
        <w:right w:val="none" w:sz="0" w:space="0" w:color="auto"/>
      </w:divBdr>
    </w:div>
    <w:div w:id="1552307857">
      <w:bodyDiv w:val="1"/>
      <w:marLeft w:val="0"/>
      <w:marRight w:val="0"/>
      <w:marTop w:val="0"/>
      <w:marBottom w:val="0"/>
      <w:divBdr>
        <w:top w:val="none" w:sz="0" w:space="0" w:color="auto"/>
        <w:left w:val="none" w:sz="0" w:space="0" w:color="auto"/>
        <w:bottom w:val="none" w:sz="0" w:space="0" w:color="auto"/>
        <w:right w:val="none" w:sz="0" w:space="0" w:color="auto"/>
      </w:divBdr>
    </w:div>
    <w:div w:id="1654023144">
      <w:bodyDiv w:val="1"/>
      <w:marLeft w:val="0"/>
      <w:marRight w:val="0"/>
      <w:marTop w:val="0"/>
      <w:marBottom w:val="0"/>
      <w:divBdr>
        <w:top w:val="none" w:sz="0" w:space="0" w:color="auto"/>
        <w:left w:val="none" w:sz="0" w:space="0" w:color="auto"/>
        <w:bottom w:val="none" w:sz="0" w:space="0" w:color="auto"/>
        <w:right w:val="none" w:sz="0" w:space="0" w:color="auto"/>
      </w:divBdr>
    </w:div>
    <w:div w:id="1659723525">
      <w:bodyDiv w:val="1"/>
      <w:marLeft w:val="0"/>
      <w:marRight w:val="0"/>
      <w:marTop w:val="0"/>
      <w:marBottom w:val="0"/>
      <w:divBdr>
        <w:top w:val="none" w:sz="0" w:space="0" w:color="auto"/>
        <w:left w:val="none" w:sz="0" w:space="0" w:color="auto"/>
        <w:bottom w:val="none" w:sz="0" w:space="0" w:color="auto"/>
        <w:right w:val="none" w:sz="0" w:space="0" w:color="auto"/>
      </w:divBdr>
    </w:div>
    <w:div w:id="1676760208">
      <w:bodyDiv w:val="1"/>
      <w:marLeft w:val="0"/>
      <w:marRight w:val="0"/>
      <w:marTop w:val="0"/>
      <w:marBottom w:val="0"/>
      <w:divBdr>
        <w:top w:val="none" w:sz="0" w:space="0" w:color="auto"/>
        <w:left w:val="none" w:sz="0" w:space="0" w:color="auto"/>
        <w:bottom w:val="none" w:sz="0" w:space="0" w:color="auto"/>
        <w:right w:val="none" w:sz="0" w:space="0" w:color="auto"/>
      </w:divBdr>
    </w:div>
    <w:div w:id="1765030135">
      <w:bodyDiv w:val="1"/>
      <w:marLeft w:val="0"/>
      <w:marRight w:val="0"/>
      <w:marTop w:val="0"/>
      <w:marBottom w:val="0"/>
      <w:divBdr>
        <w:top w:val="none" w:sz="0" w:space="0" w:color="auto"/>
        <w:left w:val="none" w:sz="0" w:space="0" w:color="auto"/>
        <w:bottom w:val="none" w:sz="0" w:space="0" w:color="auto"/>
        <w:right w:val="none" w:sz="0" w:space="0" w:color="auto"/>
      </w:divBdr>
      <w:divsChild>
        <w:div w:id="1733654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45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19557812">
      <w:bodyDiv w:val="1"/>
      <w:marLeft w:val="0"/>
      <w:marRight w:val="0"/>
      <w:marTop w:val="0"/>
      <w:marBottom w:val="0"/>
      <w:divBdr>
        <w:top w:val="none" w:sz="0" w:space="0" w:color="auto"/>
        <w:left w:val="none" w:sz="0" w:space="0" w:color="auto"/>
        <w:bottom w:val="none" w:sz="0" w:space="0" w:color="auto"/>
        <w:right w:val="none" w:sz="0" w:space="0" w:color="auto"/>
      </w:divBdr>
    </w:div>
    <w:div w:id="2005620082">
      <w:bodyDiv w:val="1"/>
      <w:marLeft w:val="0"/>
      <w:marRight w:val="0"/>
      <w:marTop w:val="0"/>
      <w:marBottom w:val="0"/>
      <w:divBdr>
        <w:top w:val="none" w:sz="0" w:space="0" w:color="auto"/>
        <w:left w:val="none" w:sz="0" w:space="0" w:color="auto"/>
        <w:bottom w:val="none" w:sz="0" w:space="0" w:color="auto"/>
        <w:right w:val="none" w:sz="0" w:space="0" w:color="auto"/>
      </w:divBdr>
    </w:div>
    <w:div w:id="2009744883">
      <w:bodyDiv w:val="1"/>
      <w:marLeft w:val="0"/>
      <w:marRight w:val="0"/>
      <w:marTop w:val="0"/>
      <w:marBottom w:val="0"/>
      <w:divBdr>
        <w:top w:val="none" w:sz="0" w:space="0" w:color="auto"/>
        <w:left w:val="none" w:sz="0" w:space="0" w:color="auto"/>
        <w:bottom w:val="none" w:sz="0" w:space="0" w:color="auto"/>
        <w:right w:val="none" w:sz="0" w:space="0" w:color="auto"/>
      </w:divBdr>
    </w:div>
    <w:div w:id="2096123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jpeg"/><Relationship Id="rId4"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obeabadosertao.com.br/v3/autoridades_prestigiam_velorio_de_aecio_pereira__1013.html" TargetMode="External"/><Relationship Id="rId13" Type="http://schemas.openxmlformats.org/officeDocument/2006/relationships/hyperlink" Target="http://joomla.corteidh.or.cr:8080/joomla/es/casos-contenciosos/38-jurisprudencia/192-corte-idh-caso-velasquez-rodriguez-vs-honduras-fondo-sentencia-de-29-de-julio-de-1988-serie-c-no-4" TargetMode="External"/><Relationship Id="rId3" Type="http://schemas.openxmlformats.org/officeDocument/2006/relationships/hyperlink" Target="http://www.ipea.gov.br/portal/index.php?option=com_content&amp;view=article&amp;id=33411&amp;catid=8&amp;Itemid=6" TargetMode="External"/><Relationship Id="rId7" Type="http://schemas.openxmlformats.org/officeDocument/2006/relationships/hyperlink" Target="https://www.clickpb.com.br/paraiba/corpo-de-aercio-e-velado-na-al-enterro-sera-hoje-as-10h-29339.html" TargetMode="External"/><Relationship Id="rId12" Type="http://schemas.openxmlformats.org/officeDocument/2006/relationships/hyperlink" Target="http://joomla.corteidh.or.cr:8080/joomla/es/casos-contenciosos/38-jurisprudencia/192-corte-idh-caso-velasquez-rodriguez-vs-honduras-fondo-sentencia-de-29-de-julio-de-1988-serie-c-no-4" TargetMode="External"/><Relationship Id="rId17" Type="http://schemas.openxmlformats.org/officeDocument/2006/relationships/hyperlink" Target="http://joomla.corteidh.or.cr:8080/joomla/es/jurisprudencia-oc-2/38-jurisprudencia/728-corte-idh-caso-baldeon-garcia-vs-peru-fondo-reparaciones-y-costas-sentencia-de-6-de-abril-de-2006-serie-c-no-147" TargetMode="External"/><Relationship Id="rId2" Type="http://schemas.openxmlformats.org/officeDocument/2006/relationships/hyperlink" Target="http://flacso.org.br/?p=13485" TargetMode="External"/><Relationship Id="rId16" Type="http://schemas.openxmlformats.org/officeDocument/2006/relationships/hyperlink" Target="http://joomla.corteidh.or.cr:8080/joomla/es/jurisprudencia-oc-2/38-jurisprudencia/731-corte-idh-caso-de-las-masacres-de-ituango-vs-colombia-sentencia-de-1-de-julio-de-2006-serie-c-no-148" TargetMode="External"/><Relationship Id="rId1" Type="http://schemas.openxmlformats.org/officeDocument/2006/relationships/hyperlink" Target="https://www12.senado.leg.br/noticias/arquivos/2015/08/10/violencia-domestica-e-familiar-contra-a-mulher" TargetMode="External"/><Relationship Id="rId6" Type="http://schemas.openxmlformats.org/officeDocument/2006/relationships/hyperlink" Target="https://app.tjpb.jus.br/consultaprocessual2/views/consultarPorProcesso.jsf" TargetMode="External"/><Relationship Id="rId11" Type="http://schemas.openxmlformats.org/officeDocument/2006/relationships/hyperlink" Target="http://joomla.corteidh.or.cr:8080/joomla/es/jurisprudencia-oc-avanzado/38-jurisprudencia/1572-corte-idh-caso-gonzalez-medina-y-familiares-vs-republica-dominicana-excepciones-preliminares-fondo-reparaciones-y-costas-sentencia-de-27-de-febrero-de-2012-serie-c-no-240" TargetMode="External"/><Relationship Id="rId5" Type="http://schemas.openxmlformats.org/officeDocument/2006/relationships/hyperlink" Target="https://www.eldiario.es/politica/CIDH-preocupada-asesinato-Brasil-prevencion_0_864414478.html" TargetMode="External"/><Relationship Id="rId15" Type="http://schemas.openxmlformats.org/officeDocument/2006/relationships/hyperlink" Target="http://joomla.corteidh.or.cr:8080/joomla/es/jurisprudencia-oc-2/38-jurisprudencia/741-corte-idh-caso-vargas-areco-vs-paraguay-sentencia-de-26-de-septiembre-de-2006-serie-c-no-155" TargetMode="External"/><Relationship Id="rId10" Type="http://schemas.openxmlformats.org/officeDocument/2006/relationships/hyperlink" Target="http://joomla.corteidh.or.cr:8080/joomla/es/casos-contenciosos/38-jurisprudencia/192-corte-idh-caso-velasquez-rodriguez-vs-honduras-fondo-sentencia-de-29-de-julio-de-1988-serie-c-no-4" TargetMode="External"/><Relationship Id="rId4" Type="http://schemas.openxmlformats.org/officeDocument/2006/relationships/hyperlink" Target="http://www.oas.org/es/cidh/prensa/comunicados/2018/238OPesp.pdf" TargetMode="External"/><Relationship Id="rId9" Type="http://schemas.openxmlformats.org/officeDocument/2006/relationships/hyperlink" Target="http://www.obeabadosertao.com.br/v3/autoridades_prestigiam_velorio_de_aecio_pereira__1013.html" TargetMode="External"/><Relationship Id="rId14" Type="http://schemas.openxmlformats.org/officeDocument/2006/relationships/hyperlink" Target="http://joomla.corteidh.or.cr:8080/joomla/es/casos-contenciosos/38-jurisprudencia/192-corte-idh-caso-velasquez-rodriguez-vs-honduras-fondo-sentencia-de-29-de-julio-de-1988-serie-c-no-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0ABC-37EA-44E1-9D80-9D1B8334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9982</Words>
  <Characters>56904</Characters>
  <Application>Microsoft Office Word</Application>
  <DocSecurity>0</DocSecurity>
  <Lines>474</Lines>
  <Paragraphs>133</Paragraphs>
  <ScaleCrop>false</ScaleCrop>
  <Company/>
  <LinksUpToDate>false</LinksUpToDate>
  <CharactersWithSpaces>66753</CharactersWithSpaces>
  <SharedDoc>false</SharedDoc>
  <HLinks>
    <vt:vector size="180" baseType="variant">
      <vt:variant>
        <vt:i4>2031671</vt:i4>
      </vt:variant>
      <vt:variant>
        <vt:i4>148</vt:i4>
      </vt:variant>
      <vt:variant>
        <vt:i4>0</vt:i4>
      </vt:variant>
      <vt:variant>
        <vt:i4>5</vt:i4>
      </vt:variant>
      <vt:variant>
        <vt:lpwstr/>
      </vt:variant>
      <vt:variant>
        <vt:lpwstr>_Toc520804268</vt:lpwstr>
      </vt:variant>
      <vt:variant>
        <vt:i4>2031671</vt:i4>
      </vt:variant>
      <vt:variant>
        <vt:i4>142</vt:i4>
      </vt:variant>
      <vt:variant>
        <vt:i4>0</vt:i4>
      </vt:variant>
      <vt:variant>
        <vt:i4>5</vt:i4>
      </vt:variant>
      <vt:variant>
        <vt:lpwstr/>
      </vt:variant>
      <vt:variant>
        <vt:lpwstr>_Toc520804267</vt:lpwstr>
      </vt:variant>
      <vt:variant>
        <vt:i4>2031671</vt:i4>
      </vt:variant>
      <vt:variant>
        <vt:i4>136</vt:i4>
      </vt:variant>
      <vt:variant>
        <vt:i4>0</vt:i4>
      </vt:variant>
      <vt:variant>
        <vt:i4>5</vt:i4>
      </vt:variant>
      <vt:variant>
        <vt:lpwstr/>
      </vt:variant>
      <vt:variant>
        <vt:lpwstr>_Toc520804266</vt:lpwstr>
      </vt:variant>
      <vt:variant>
        <vt:i4>2031671</vt:i4>
      </vt:variant>
      <vt:variant>
        <vt:i4>130</vt:i4>
      </vt:variant>
      <vt:variant>
        <vt:i4>0</vt:i4>
      </vt:variant>
      <vt:variant>
        <vt:i4>5</vt:i4>
      </vt:variant>
      <vt:variant>
        <vt:lpwstr/>
      </vt:variant>
      <vt:variant>
        <vt:lpwstr>_Toc520804265</vt:lpwstr>
      </vt:variant>
      <vt:variant>
        <vt:i4>2031671</vt:i4>
      </vt:variant>
      <vt:variant>
        <vt:i4>124</vt:i4>
      </vt:variant>
      <vt:variant>
        <vt:i4>0</vt:i4>
      </vt:variant>
      <vt:variant>
        <vt:i4>5</vt:i4>
      </vt:variant>
      <vt:variant>
        <vt:lpwstr/>
      </vt:variant>
      <vt:variant>
        <vt:lpwstr>_Toc520804264</vt:lpwstr>
      </vt:variant>
      <vt:variant>
        <vt:i4>2031671</vt:i4>
      </vt:variant>
      <vt:variant>
        <vt:i4>118</vt:i4>
      </vt:variant>
      <vt:variant>
        <vt:i4>0</vt:i4>
      </vt:variant>
      <vt:variant>
        <vt:i4>5</vt:i4>
      </vt:variant>
      <vt:variant>
        <vt:lpwstr/>
      </vt:variant>
      <vt:variant>
        <vt:lpwstr>_Toc520804263</vt:lpwstr>
      </vt:variant>
      <vt:variant>
        <vt:i4>2031671</vt:i4>
      </vt:variant>
      <vt:variant>
        <vt:i4>112</vt:i4>
      </vt:variant>
      <vt:variant>
        <vt:i4>0</vt:i4>
      </vt:variant>
      <vt:variant>
        <vt:i4>5</vt:i4>
      </vt:variant>
      <vt:variant>
        <vt:lpwstr/>
      </vt:variant>
      <vt:variant>
        <vt:lpwstr>_Toc520804262</vt:lpwstr>
      </vt:variant>
      <vt:variant>
        <vt:i4>2031671</vt:i4>
      </vt:variant>
      <vt:variant>
        <vt:i4>106</vt:i4>
      </vt:variant>
      <vt:variant>
        <vt:i4>0</vt:i4>
      </vt:variant>
      <vt:variant>
        <vt:i4>5</vt:i4>
      </vt:variant>
      <vt:variant>
        <vt:lpwstr/>
      </vt:variant>
      <vt:variant>
        <vt:lpwstr>_Toc520804261</vt:lpwstr>
      </vt:variant>
      <vt:variant>
        <vt:i4>2031671</vt:i4>
      </vt:variant>
      <vt:variant>
        <vt:i4>100</vt:i4>
      </vt:variant>
      <vt:variant>
        <vt:i4>0</vt:i4>
      </vt:variant>
      <vt:variant>
        <vt:i4>5</vt:i4>
      </vt:variant>
      <vt:variant>
        <vt:lpwstr/>
      </vt:variant>
      <vt:variant>
        <vt:lpwstr>_Toc520804260</vt:lpwstr>
      </vt:variant>
      <vt:variant>
        <vt:i4>1835063</vt:i4>
      </vt:variant>
      <vt:variant>
        <vt:i4>94</vt:i4>
      </vt:variant>
      <vt:variant>
        <vt:i4>0</vt:i4>
      </vt:variant>
      <vt:variant>
        <vt:i4>5</vt:i4>
      </vt:variant>
      <vt:variant>
        <vt:lpwstr/>
      </vt:variant>
      <vt:variant>
        <vt:lpwstr>_Toc520804259</vt:lpwstr>
      </vt:variant>
      <vt:variant>
        <vt:i4>1835063</vt:i4>
      </vt:variant>
      <vt:variant>
        <vt:i4>88</vt:i4>
      </vt:variant>
      <vt:variant>
        <vt:i4>0</vt:i4>
      </vt:variant>
      <vt:variant>
        <vt:i4>5</vt:i4>
      </vt:variant>
      <vt:variant>
        <vt:lpwstr/>
      </vt:variant>
      <vt:variant>
        <vt:lpwstr>_Toc520804258</vt:lpwstr>
      </vt:variant>
      <vt:variant>
        <vt:i4>1835063</vt:i4>
      </vt:variant>
      <vt:variant>
        <vt:i4>82</vt:i4>
      </vt:variant>
      <vt:variant>
        <vt:i4>0</vt:i4>
      </vt:variant>
      <vt:variant>
        <vt:i4>5</vt:i4>
      </vt:variant>
      <vt:variant>
        <vt:lpwstr/>
      </vt:variant>
      <vt:variant>
        <vt:lpwstr>_Toc520804257</vt:lpwstr>
      </vt:variant>
      <vt:variant>
        <vt:i4>1835063</vt:i4>
      </vt:variant>
      <vt:variant>
        <vt:i4>76</vt:i4>
      </vt:variant>
      <vt:variant>
        <vt:i4>0</vt:i4>
      </vt:variant>
      <vt:variant>
        <vt:i4>5</vt:i4>
      </vt:variant>
      <vt:variant>
        <vt:lpwstr/>
      </vt:variant>
      <vt:variant>
        <vt:lpwstr>_Toc520804256</vt:lpwstr>
      </vt:variant>
      <vt:variant>
        <vt:i4>1835063</vt:i4>
      </vt:variant>
      <vt:variant>
        <vt:i4>70</vt:i4>
      </vt:variant>
      <vt:variant>
        <vt:i4>0</vt:i4>
      </vt:variant>
      <vt:variant>
        <vt:i4>5</vt:i4>
      </vt:variant>
      <vt:variant>
        <vt:lpwstr/>
      </vt:variant>
      <vt:variant>
        <vt:lpwstr>_Toc520804255</vt:lpwstr>
      </vt:variant>
      <vt:variant>
        <vt:i4>1835063</vt:i4>
      </vt:variant>
      <vt:variant>
        <vt:i4>64</vt:i4>
      </vt:variant>
      <vt:variant>
        <vt:i4>0</vt:i4>
      </vt:variant>
      <vt:variant>
        <vt:i4>5</vt:i4>
      </vt:variant>
      <vt:variant>
        <vt:lpwstr/>
      </vt:variant>
      <vt:variant>
        <vt:lpwstr>_Toc520804254</vt:lpwstr>
      </vt:variant>
      <vt:variant>
        <vt:i4>1835063</vt:i4>
      </vt:variant>
      <vt:variant>
        <vt:i4>58</vt:i4>
      </vt:variant>
      <vt:variant>
        <vt:i4>0</vt:i4>
      </vt:variant>
      <vt:variant>
        <vt:i4>5</vt:i4>
      </vt:variant>
      <vt:variant>
        <vt:lpwstr/>
      </vt:variant>
      <vt:variant>
        <vt:lpwstr>_Toc520804253</vt:lpwstr>
      </vt:variant>
      <vt:variant>
        <vt:i4>1835063</vt:i4>
      </vt:variant>
      <vt:variant>
        <vt:i4>52</vt:i4>
      </vt:variant>
      <vt:variant>
        <vt:i4>0</vt:i4>
      </vt:variant>
      <vt:variant>
        <vt:i4>5</vt:i4>
      </vt:variant>
      <vt:variant>
        <vt:lpwstr/>
      </vt:variant>
      <vt:variant>
        <vt:lpwstr>_Toc520804252</vt:lpwstr>
      </vt:variant>
      <vt:variant>
        <vt:i4>1835063</vt:i4>
      </vt:variant>
      <vt:variant>
        <vt:i4>46</vt:i4>
      </vt:variant>
      <vt:variant>
        <vt:i4>0</vt:i4>
      </vt:variant>
      <vt:variant>
        <vt:i4>5</vt:i4>
      </vt:variant>
      <vt:variant>
        <vt:lpwstr/>
      </vt:variant>
      <vt:variant>
        <vt:lpwstr>_Toc520804251</vt:lpwstr>
      </vt:variant>
      <vt:variant>
        <vt:i4>1835063</vt:i4>
      </vt:variant>
      <vt:variant>
        <vt:i4>40</vt:i4>
      </vt:variant>
      <vt:variant>
        <vt:i4>0</vt:i4>
      </vt:variant>
      <vt:variant>
        <vt:i4>5</vt:i4>
      </vt:variant>
      <vt:variant>
        <vt:lpwstr/>
      </vt:variant>
      <vt:variant>
        <vt:lpwstr>_Toc520804250</vt:lpwstr>
      </vt:variant>
      <vt:variant>
        <vt:i4>1900599</vt:i4>
      </vt:variant>
      <vt:variant>
        <vt:i4>34</vt:i4>
      </vt:variant>
      <vt:variant>
        <vt:i4>0</vt:i4>
      </vt:variant>
      <vt:variant>
        <vt:i4>5</vt:i4>
      </vt:variant>
      <vt:variant>
        <vt:lpwstr/>
      </vt:variant>
      <vt:variant>
        <vt:lpwstr>_Toc520804249</vt:lpwstr>
      </vt:variant>
      <vt:variant>
        <vt:i4>1900599</vt:i4>
      </vt:variant>
      <vt:variant>
        <vt:i4>28</vt:i4>
      </vt:variant>
      <vt:variant>
        <vt:i4>0</vt:i4>
      </vt:variant>
      <vt:variant>
        <vt:i4>5</vt:i4>
      </vt:variant>
      <vt:variant>
        <vt:lpwstr/>
      </vt:variant>
      <vt:variant>
        <vt:lpwstr>_Toc520804248</vt:lpwstr>
      </vt:variant>
      <vt:variant>
        <vt:i4>1900599</vt:i4>
      </vt:variant>
      <vt:variant>
        <vt:i4>22</vt:i4>
      </vt:variant>
      <vt:variant>
        <vt:i4>0</vt:i4>
      </vt:variant>
      <vt:variant>
        <vt:i4>5</vt:i4>
      </vt:variant>
      <vt:variant>
        <vt:lpwstr/>
      </vt:variant>
      <vt:variant>
        <vt:lpwstr>_Toc520804247</vt:lpwstr>
      </vt:variant>
      <vt:variant>
        <vt:i4>1900599</vt:i4>
      </vt:variant>
      <vt:variant>
        <vt:i4>16</vt:i4>
      </vt:variant>
      <vt:variant>
        <vt:i4>0</vt:i4>
      </vt:variant>
      <vt:variant>
        <vt:i4>5</vt:i4>
      </vt:variant>
      <vt:variant>
        <vt:lpwstr/>
      </vt:variant>
      <vt:variant>
        <vt:lpwstr>_Toc520804246</vt:lpwstr>
      </vt:variant>
      <vt:variant>
        <vt:i4>1900599</vt:i4>
      </vt:variant>
      <vt:variant>
        <vt:i4>10</vt:i4>
      </vt:variant>
      <vt:variant>
        <vt:i4>0</vt:i4>
      </vt:variant>
      <vt:variant>
        <vt:i4>5</vt:i4>
      </vt:variant>
      <vt:variant>
        <vt:lpwstr/>
      </vt:variant>
      <vt:variant>
        <vt:lpwstr>_Toc520804245</vt:lpwstr>
      </vt:variant>
      <vt:variant>
        <vt:i4>1900599</vt:i4>
      </vt:variant>
      <vt:variant>
        <vt:i4>4</vt:i4>
      </vt:variant>
      <vt:variant>
        <vt:i4>0</vt:i4>
      </vt:variant>
      <vt:variant>
        <vt:i4>5</vt:i4>
      </vt:variant>
      <vt:variant>
        <vt:lpwstr/>
      </vt:variant>
      <vt:variant>
        <vt:lpwstr>_Toc520804244</vt:lpwstr>
      </vt:variant>
      <vt:variant>
        <vt:i4>6357033</vt:i4>
      </vt:variant>
      <vt:variant>
        <vt:i4>12</vt:i4>
      </vt:variant>
      <vt:variant>
        <vt:i4>0</vt:i4>
      </vt:variant>
      <vt:variant>
        <vt:i4>5</vt:i4>
      </vt:variant>
      <vt:variant>
        <vt:lpwstr>http://joomla.corteidh.or.cr:8080/joomla/es/jurisprudencia-oc-2/38-jurisprudencia/728-corte-idh-caso-baldeon-garcia-vs-peru-fondo-reparaciones-y-costas-sentencia-de-6-de-abril-de-2006-serie-c-no-147</vt:lpwstr>
      </vt:variant>
      <vt:variant>
        <vt:lpwstr/>
      </vt:variant>
      <vt:variant>
        <vt:i4>2228256</vt:i4>
      </vt:variant>
      <vt:variant>
        <vt:i4>9</vt:i4>
      </vt:variant>
      <vt:variant>
        <vt:i4>0</vt:i4>
      </vt:variant>
      <vt:variant>
        <vt:i4>5</vt:i4>
      </vt:variant>
      <vt:variant>
        <vt:lpwstr>http://joomla.corteidh.or.cr:8080/joomla/es/jurisprudencia-oc-2/38-jurisprudencia/731-corte-idh-caso-de-las-masacres-de-ituango-vs-colombia-sentencia-de-1-de-julio-de-2006-serie-c-no-148</vt:lpwstr>
      </vt:variant>
      <vt:variant>
        <vt:lpwstr/>
      </vt:variant>
      <vt:variant>
        <vt:i4>2752554</vt:i4>
      </vt:variant>
      <vt:variant>
        <vt:i4>6</vt:i4>
      </vt:variant>
      <vt:variant>
        <vt:i4>0</vt:i4>
      </vt:variant>
      <vt:variant>
        <vt:i4>5</vt:i4>
      </vt:variant>
      <vt:variant>
        <vt:lpwstr>http://joomla.corteidh.or.cr:8080/joomla/es/jurisprudencia-oc-2/38-jurisprudencia/741-corte-idh-caso-vargas-areco-vs-paraguay-sentencia-de-26-de-septiembre-de-2006-serie-c-no-155</vt:lpwstr>
      </vt:variant>
      <vt:variant>
        <vt:lpwstr/>
      </vt:variant>
      <vt:variant>
        <vt:i4>3539036</vt:i4>
      </vt:variant>
      <vt:variant>
        <vt:i4>3</vt:i4>
      </vt:variant>
      <vt:variant>
        <vt:i4>0</vt:i4>
      </vt:variant>
      <vt:variant>
        <vt:i4>5</vt:i4>
      </vt:variant>
      <vt:variant>
        <vt:lpwstr>https://elpais.com/diario/2006/10/28/internacional/1161986412_850215.html</vt:lpwstr>
      </vt:variant>
      <vt:variant>
        <vt:lpwstr/>
      </vt:variant>
      <vt:variant>
        <vt:i4>5898365</vt:i4>
      </vt:variant>
      <vt:variant>
        <vt:i4>0</vt:i4>
      </vt:variant>
      <vt:variant>
        <vt:i4>0</vt:i4>
      </vt:variant>
      <vt:variant>
        <vt:i4>5</vt:i4>
      </vt:variant>
      <vt:variant>
        <vt:lpwstr>http://www.cndh.org.mx/sites/all/doc/Informes/Especiales/2003_loxicha.pdf,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2020-10-28T22:43:00Z</dcterms:created>
  <dcterms:modified xsi:type="dcterms:W3CDTF">2020-10-28T22:43:00Z</dcterms:modified>
</cp:coreProperties>
</file>