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E6C6" w14:textId="38120145" w:rsidR="00D42CB0" w:rsidRPr="009700DA" w:rsidRDefault="006B7943">
      <w:pPr>
        <w:spacing w:after="0" w:line="360" w:lineRule="auto"/>
        <w:jc w:val="both"/>
        <w:rPr>
          <w:rFonts w:ascii="Times New Roman" w:hAnsi="Times New Roman" w:cs="Times New Roman"/>
          <w:sz w:val="28"/>
          <w:szCs w:val="28"/>
        </w:rPr>
      </w:pPr>
      <w:r w:rsidRPr="009700DA">
        <w:rPr>
          <w:rFonts w:ascii="Times New Roman" w:hAnsi="Times New Roman" w:cs="Times New Roman"/>
          <w:sz w:val="28"/>
          <w:szCs w:val="28"/>
        </w:rPr>
        <w:t>AÇÃO PENAL ELEITORAL</w:t>
      </w:r>
      <w:r w:rsidR="00544A44" w:rsidRPr="009700DA">
        <w:rPr>
          <w:rFonts w:ascii="Times New Roman" w:hAnsi="Times New Roman" w:cs="Times New Roman"/>
          <w:sz w:val="28"/>
          <w:szCs w:val="28"/>
        </w:rPr>
        <w:t xml:space="preserve"> Nº 0600</w:t>
      </w:r>
      <w:r w:rsidRPr="009700DA">
        <w:rPr>
          <w:rFonts w:ascii="Times New Roman" w:hAnsi="Times New Roman" w:cs="Times New Roman"/>
          <w:sz w:val="28"/>
          <w:szCs w:val="28"/>
        </w:rPr>
        <w:t>214</w:t>
      </w:r>
      <w:r w:rsidR="007479D3" w:rsidRPr="009700DA">
        <w:rPr>
          <w:rFonts w:ascii="Times New Roman" w:hAnsi="Times New Roman" w:cs="Times New Roman"/>
          <w:sz w:val="28"/>
          <w:szCs w:val="28"/>
        </w:rPr>
        <w:t>-</w:t>
      </w:r>
      <w:r w:rsidRPr="009700DA">
        <w:rPr>
          <w:rFonts w:ascii="Times New Roman" w:hAnsi="Times New Roman" w:cs="Times New Roman"/>
          <w:sz w:val="28"/>
          <w:szCs w:val="28"/>
        </w:rPr>
        <w:t>41</w:t>
      </w:r>
      <w:r w:rsidR="00544A44" w:rsidRPr="009700DA">
        <w:rPr>
          <w:rFonts w:ascii="Times New Roman" w:hAnsi="Times New Roman" w:cs="Times New Roman"/>
          <w:sz w:val="28"/>
          <w:szCs w:val="28"/>
        </w:rPr>
        <w:t>.202</w:t>
      </w:r>
      <w:r w:rsidRPr="009700DA">
        <w:rPr>
          <w:rFonts w:ascii="Times New Roman" w:hAnsi="Times New Roman" w:cs="Times New Roman"/>
          <w:sz w:val="28"/>
          <w:szCs w:val="28"/>
        </w:rPr>
        <w:t>2</w:t>
      </w:r>
      <w:r w:rsidR="00544A44" w:rsidRPr="009700DA">
        <w:rPr>
          <w:rFonts w:ascii="Times New Roman" w:hAnsi="Times New Roman" w:cs="Times New Roman"/>
          <w:sz w:val="28"/>
          <w:szCs w:val="28"/>
        </w:rPr>
        <w:t>.6.26.0</w:t>
      </w:r>
      <w:r w:rsidRPr="009700DA">
        <w:rPr>
          <w:rFonts w:ascii="Times New Roman" w:hAnsi="Times New Roman" w:cs="Times New Roman"/>
          <w:sz w:val="28"/>
          <w:szCs w:val="28"/>
        </w:rPr>
        <w:t>000</w:t>
      </w:r>
    </w:p>
    <w:p w14:paraId="67E1212E" w14:textId="413D2CC7" w:rsidR="00D42CB0" w:rsidRPr="009700DA" w:rsidRDefault="00544A44">
      <w:pPr>
        <w:spacing w:after="0" w:line="360" w:lineRule="auto"/>
        <w:jc w:val="both"/>
        <w:rPr>
          <w:rFonts w:ascii="Times New Roman" w:hAnsi="Times New Roman" w:cs="Times New Roman"/>
          <w:sz w:val="28"/>
          <w:szCs w:val="28"/>
        </w:rPr>
      </w:pPr>
      <w:r w:rsidRPr="009700DA">
        <w:rPr>
          <w:rFonts w:ascii="Times New Roman" w:hAnsi="Times New Roman" w:cs="Times New Roman"/>
          <w:sz w:val="28"/>
          <w:szCs w:val="28"/>
        </w:rPr>
        <w:t xml:space="preserve">PROCEDÊNCIA: </w:t>
      </w:r>
      <w:r w:rsidR="006B7943" w:rsidRPr="009700DA">
        <w:rPr>
          <w:rFonts w:ascii="Times New Roman" w:hAnsi="Times New Roman" w:cs="Times New Roman"/>
          <w:sz w:val="28"/>
          <w:szCs w:val="28"/>
        </w:rPr>
        <w:t>SÃO PAULO</w:t>
      </w:r>
      <w:r w:rsidRPr="009700DA">
        <w:rPr>
          <w:rFonts w:ascii="Times New Roman" w:hAnsi="Times New Roman" w:cs="Times New Roman"/>
          <w:sz w:val="28"/>
          <w:szCs w:val="28"/>
        </w:rPr>
        <w:t xml:space="preserve"> – SÃO PAULO</w:t>
      </w:r>
    </w:p>
    <w:p w14:paraId="42C2C717" w14:textId="094744DA" w:rsidR="00D42CB0" w:rsidRPr="009700DA" w:rsidRDefault="006B7943">
      <w:pPr>
        <w:spacing w:after="0" w:line="360" w:lineRule="auto"/>
        <w:jc w:val="both"/>
        <w:rPr>
          <w:rFonts w:ascii="Times New Roman" w:hAnsi="Times New Roman" w:cs="Times New Roman"/>
          <w:sz w:val="28"/>
          <w:szCs w:val="28"/>
        </w:rPr>
      </w:pPr>
      <w:r w:rsidRPr="009700DA">
        <w:rPr>
          <w:rFonts w:ascii="Times New Roman" w:hAnsi="Times New Roman" w:cs="Times New Roman"/>
          <w:sz w:val="28"/>
          <w:szCs w:val="28"/>
        </w:rPr>
        <w:t>AUTOR</w:t>
      </w:r>
      <w:r w:rsidR="00544A44" w:rsidRPr="009700DA">
        <w:rPr>
          <w:rFonts w:ascii="Times New Roman" w:hAnsi="Times New Roman" w:cs="Times New Roman"/>
          <w:sz w:val="28"/>
          <w:szCs w:val="28"/>
        </w:rPr>
        <w:t xml:space="preserve">: </w:t>
      </w:r>
      <w:r w:rsidRPr="009700DA">
        <w:rPr>
          <w:rFonts w:ascii="Times New Roman" w:hAnsi="Times New Roman" w:cs="Times New Roman"/>
          <w:sz w:val="28"/>
          <w:szCs w:val="28"/>
        </w:rPr>
        <w:t>PROCURADORIA REGIONAL ELEITORAL</w:t>
      </w:r>
    </w:p>
    <w:p w14:paraId="455C8DFA" w14:textId="06DBCF2F" w:rsidR="00D42CB0" w:rsidRPr="009700DA" w:rsidRDefault="006B7943">
      <w:pPr>
        <w:spacing w:after="0" w:line="360" w:lineRule="auto"/>
        <w:jc w:val="both"/>
        <w:rPr>
          <w:rFonts w:ascii="Times New Roman" w:hAnsi="Times New Roman" w:cs="Times New Roman"/>
          <w:sz w:val="28"/>
          <w:szCs w:val="28"/>
        </w:rPr>
      </w:pPr>
      <w:r w:rsidRPr="009700DA">
        <w:rPr>
          <w:rFonts w:ascii="Times New Roman" w:hAnsi="Times New Roman" w:cs="Times New Roman"/>
          <w:sz w:val="28"/>
          <w:szCs w:val="28"/>
        </w:rPr>
        <w:t>DENUNCIADO</w:t>
      </w:r>
      <w:r w:rsidR="00544A44" w:rsidRPr="009700DA">
        <w:rPr>
          <w:rFonts w:ascii="Times New Roman" w:hAnsi="Times New Roman" w:cs="Times New Roman"/>
          <w:sz w:val="28"/>
          <w:szCs w:val="28"/>
        </w:rPr>
        <w:t xml:space="preserve">: </w:t>
      </w:r>
      <w:r w:rsidRPr="009700DA">
        <w:rPr>
          <w:rFonts w:ascii="Times New Roman" w:hAnsi="Times New Roman" w:cs="Times New Roman"/>
          <w:sz w:val="28"/>
          <w:szCs w:val="28"/>
        </w:rPr>
        <w:t>WELLINGTON DE SOUZA MOURA</w:t>
      </w:r>
    </w:p>
    <w:p w14:paraId="0ABF9ABF" w14:textId="5B315999" w:rsidR="00D42CB0" w:rsidRPr="009700DA" w:rsidRDefault="007479D3">
      <w:pPr>
        <w:spacing w:after="0" w:line="360" w:lineRule="auto"/>
        <w:jc w:val="both"/>
        <w:rPr>
          <w:rFonts w:ascii="Times New Roman" w:hAnsi="Times New Roman" w:cs="Times New Roman"/>
          <w:sz w:val="28"/>
          <w:szCs w:val="28"/>
        </w:rPr>
      </w:pPr>
      <w:r w:rsidRPr="009700DA">
        <w:rPr>
          <w:rFonts w:ascii="Times New Roman" w:hAnsi="Times New Roman" w:cs="Times New Roman"/>
          <w:sz w:val="28"/>
          <w:szCs w:val="28"/>
        </w:rPr>
        <w:t>VOTO</w:t>
      </w:r>
      <w:r w:rsidR="00800E6E" w:rsidRPr="009700DA">
        <w:rPr>
          <w:rFonts w:ascii="Times New Roman" w:hAnsi="Times New Roman" w:cs="Times New Roman"/>
          <w:sz w:val="28"/>
          <w:szCs w:val="28"/>
        </w:rPr>
        <w:t xml:space="preserve"> 4188</w:t>
      </w:r>
    </w:p>
    <w:p w14:paraId="73A04C94" w14:textId="77777777" w:rsidR="00D42CB0" w:rsidRPr="009700DA" w:rsidRDefault="00D42CB0">
      <w:pPr>
        <w:spacing w:after="120" w:line="240" w:lineRule="auto"/>
        <w:rPr>
          <w:rFonts w:ascii="Times New Roman" w:hAnsi="Times New Roman" w:cs="Times New Roman"/>
          <w:sz w:val="28"/>
          <w:szCs w:val="28"/>
        </w:rPr>
      </w:pPr>
    </w:p>
    <w:p w14:paraId="4608CD05" w14:textId="4415A1AF" w:rsidR="00C123B8" w:rsidRPr="009700DA" w:rsidRDefault="006B7943" w:rsidP="006E6008">
      <w:pPr>
        <w:spacing w:after="0" w:line="240" w:lineRule="auto"/>
        <w:ind w:left="2835" w:firstLine="1134"/>
        <w:jc w:val="both"/>
        <w:textAlignment w:val="top"/>
        <w:rPr>
          <w:rFonts w:ascii="Times New Roman" w:hAnsi="Times New Roman" w:cs="Times New Roman"/>
          <w:bCs/>
          <w:i/>
          <w:sz w:val="28"/>
          <w:szCs w:val="28"/>
          <w:shd w:val="clear" w:color="auto" w:fill="FFFFFF"/>
        </w:rPr>
      </w:pPr>
      <w:r w:rsidRPr="009700DA">
        <w:rPr>
          <w:rFonts w:ascii="Times New Roman" w:hAnsi="Times New Roman" w:cs="Times New Roman"/>
          <w:bCs/>
          <w:i/>
          <w:sz w:val="28"/>
          <w:szCs w:val="28"/>
          <w:shd w:val="clear" w:color="auto" w:fill="FFFFFF"/>
        </w:rPr>
        <w:t>AÇÃO PENAL</w:t>
      </w:r>
      <w:r w:rsidR="00C123B8" w:rsidRPr="009700DA">
        <w:rPr>
          <w:rFonts w:ascii="Times New Roman" w:hAnsi="Times New Roman" w:cs="Times New Roman"/>
          <w:bCs/>
          <w:i/>
          <w:sz w:val="28"/>
          <w:szCs w:val="28"/>
          <w:shd w:val="clear" w:color="auto" w:fill="FFFFFF"/>
        </w:rPr>
        <w:t xml:space="preserve"> – </w:t>
      </w:r>
      <w:r w:rsidRPr="009700DA">
        <w:rPr>
          <w:rFonts w:ascii="Times New Roman" w:hAnsi="Times New Roman" w:cs="Times New Roman"/>
          <w:bCs/>
          <w:i/>
          <w:sz w:val="28"/>
          <w:szCs w:val="28"/>
          <w:shd w:val="clear" w:color="auto" w:fill="FFFFFF"/>
        </w:rPr>
        <w:t>CRIME ELEITORAL</w:t>
      </w:r>
      <w:r w:rsidR="00C123B8" w:rsidRPr="009700DA">
        <w:rPr>
          <w:rFonts w:ascii="Times New Roman" w:hAnsi="Times New Roman" w:cs="Times New Roman"/>
          <w:bCs/>
          <w:i/>
          <w:sz w:val="28"/>
          <w:szCs w:val="28"/>
          <w:shd w:val="clear" w:color="auto" w:fill="FFFFFF"/>
        </w:rPr>
        <w:t xml:space="preserve"> – </w:t>
      </w:r>
      <w:r w:rsidRPr="009700DA">
        <w:rPr>
          <w:rFonts w:ascii="Times New Roman" w:hAnsi="Times New Roman" w:cs="Times New Roman"/>
          <w:bCs/>
          <w:i/>
          <w:sz w:val="28"/>
          <w:szCs w:val="28"/>
          <w:shd w:val="clear" w:color="auto" w:fill="FFFFFF"/>
        </w:rPr>
        <w:t xml:space="preserve"> ARTIGO 326-B DO CÓDIGO ELEITORAL</w:t>
      </w:r>
      <w:r w:rsidR="00C123B8" w:rsidRPr="009700DA">
        <w:rPr>
          <w:rFonts w:ascii="Times New Roman" w:hAnsi="Times New Roman" w:cs="Times New Roman"/>
          <w:bCs/>
          <w:i/>
          <w:sz w:val="28"/>
          <w:szCs w:val="28"/>
          <w:shd w:val="clear" w:color="auto" w:fill="FFFFFF"/>
        </w:rPr>
        <w:t xml:space="preserve"> –  </w:t>
      </w:r>
      <w:r w:rsidR="0060599D" w:rsidRPr="009700DA">
        <w:rPr>
          <w:rFonts w:ascii="Times New Roman" w:hAnsi="Times New Roman" w:cs="Times New Roman"/>
          <w:bCs/>
          <w:i/>
          <w:sz w:val="28"/>
          <w:szCs w:val="28"/>
          <w:shd w:val="clear" w:color="auto" w:fill="FFFFFF"/>
        </w:rPr>
        <w:t xml:space="preserve">Crime de violência política de gênero – </w:t>
      </w:r>
      <w:r w:rsidR="00C123B8" w:rsidRPr="009700DA">
        <w:rPr>
          <w:rFonts w:ascii="Times New Roman" w:hAnsi="Times New Roman" w:cs="Times New Roman"/>
          <w:bCs/>
          <w:i/>
          <w:sz w:val="28"/>
          <w:szCs w:val="28"/>
          <w:shd w:val="clear" w:color="auto" w:fill="FFFFFF"/>
        </w:rPr>
        <w:t>Competência da Justiça Eleitoral.</w:t>
      </w:r>
    </w:p>
    <w:p w14:paraId="7286373E" w14:textId="2A84CE59" w:rsidR="00C123B8" w:rsidRPr="009700DA" w:rsidRDefault="00C123B8" w:rsidP="006E6008">
      <w:pPr>
        <w:spacing w:after="0" w:line="240" w:lineRule="auto"/>
        <w:ind w:left="2835" w:firstLine="1134"/>
        <w:jc w:val="both"/>
        <w:textAlignment w:val="top"/>
        <w:rPr>
          <w:rFonts w:ascii="Times New Roman" w:hAnsi="Times New Roman" w:cs="Times New Roman"/>
          <w:bCs/>
          <w:i/>
          <w:sz w:val="28"/>
          <w:szCs w:val="28"/>
          <w:shd w:val="clear" w:color="auto" w:fill="FFFFFF"/>
        </w:rPr>
      </w:pPr>
      <w:r w:rsidRPr="009700DA">
        <w:rPr>
          <w:rFonts w:ascii="Times New Roman" w:hAnsi="Times New Roman" w:cs="Times New Roman"/>
          <w:bCs/>
          <w:i/>
          <w:sz w:val="28"/>
          <w:szCs w:val="28"/>
          <w:shd w:val="clear" w:color="auto" w:fill="FFFFFF"/>
        </w:rPr>
        <w:t>Denunciado</w:t>
      </w:r>
      <w:r w:rsidR="0060599D" w:rsidRPr="009700DA">
        <w:rPr>
          <w:rFonts w:ascii="Times New Roman" w:hAnsi="Times New Roman" w:cs="Times New Roman"/>
          <w:bCs/>
          <w:i/>
          <w:sz w:val="28"/>
          <w:szCs w:val="28"/>
          <w:shd w:val="clear" w:color="auto" w:fill="FFFFFF"/>
        </w:rPr>
        <w:t xml:space="preserve"> que</w:t>
      </w:r>
      <w:r w:rsidRPr="009700DA">
        <w:rPr>
          <w:rFonts w:ascii="Times New Roman" w:hAnsi="Times New Roman" w:cs="Times New Roman"/>
          <w:bCs/>
          <w:i/>
          <w:sz w:val="28"/>
          <w:szCs w:val="28"/>
          <w:shd w:val="clear" w:color="auto" w:fill="FFFFFF"/>
        </w:rPr>
        <w:t xml:space="preserve"> ostenta condição funcional (Deputado Estadual) </w:t>
      </w:r>
      <w:r w:rsidR="0060599D" w:rsidRPr="009700DA">
        <w:rPr>
          <w:rFonts w:ascii="Times New Roman" w:hAnsi="Times New Roman" w:cs="Times New Roman"/>
          <w:bCs/>
          <w:i/>
          <w:sz w:val="28"/>
          <w:szCs w:val="28"/>
          <w:shd w:val="clear" w:color="auto" w:fill="FFFFFF"/>
        </w:rPr>
        <w:t xml:space="preserve">apta a </w:t>
      </w:r>
      <w:r w:rsidRPr="009700DA">
        <w:rPr>
          <w:rFonts w:ascii="Times New Roman" w:hAnsi="Times New Roman" w:cs="Times New Roman"/>
          <w:bCs/>
          <w:i/>
          <w:sz w:val="28"/>
          <w:szCs w:val="28"/>
          <w:shd w:val="clear" w:color="auto" w:fill="FFFFFF"/>
        </w:rPr>
        <w:t>atrai</w:t>
      </w:r>
      <w:r w:rsidR="0060599D" w:rsidRPr="009700DA">
        <w:rPr>
          <w:rFonts w:ascii="Times New Roman" w:hAnsi="Times New Roman" w:cs="Times New Roman"/>
          <w:bCs/>
          <w:i/>
          <w:sz w:val="28"/>
          <w:szCs w:val="28"/>
          <w:shd w:val="clear" w:color="auto" w:fill="FFFFFF"/>
        </w:rPr>
        <w:t>r</w:t>
      </w:r>
      <w:r w:rsidRPr="009700DA">
        <w:rPr>
          <w:rFonts w:ascii="Times New Roman" w:hAnsi="Times New Roman" w:cs="Times New Roman"/>
          <w:bCs/>
          <w:i/>
          <w:sz w:val="28"/>
          <w:szCs w:val="28"/>
          <w:shd w:val="clear" w:color="auto" w:fill="FFFFFF"/>
        </w:rPr>
        <w:t xml:space="preserve"> a competência originária deste Tribunal para a apreciação do feito.</w:t>
      </w:r>
    </w:p>
    <w:p w14:paraId="62AFACF8" w14:textId="1D191A09" w:rsidR="00C123B8" w:rsidRPr="009700DA" w:rsidRDefault="005A0A7E" w:rsidP="006E6008">
      <w:pPr>
        <w:spacing w:after="0" w:line="240" w:lineRule="auto"/>
        <w:ind w:left="2835" w:firstLine="1134"/>
        <w:jc w:val="both"/>
        <w:textAlignment w:val="top"/>
        <w:rPr>
          <w:rFonts w:ascii="Times New Roman" w:hAnsi="Times New Roman" w:cs="Times New Roman"/>
          <w:bCs/>
          <w:i/>
          <w:sz w:val="28"/>
          <w:szCs w:val="28"/>
          <w:shd w:val="clear" w:color="auto" w:fill="FFFFFF"/>
        </w:rPr>
      </w:pPr>
      <w:r w:rsidRPr="009700DA">
        <w:rPr>
          <w:rFonts w:ascii="Times New Roman" w:hAnsi="Times New Roman" w:cs="Times New Roman"/>
          <w:bCs/>
          <w:i/>
          <w:sz w:val="28"/>
          <w:szCs w:val="28"/>
          <w:shd w:val="clear" w:color="auto" w:fill="FFFFFF"/>
        </w:rPr>
        <w:t>Não incidência da imunidade parlamentar</w:t>
      </w:r>
      <w:r w:rsidR="000525A2" w:rsidRPr="009700DA">
        <w:rPr>
          <w:rFonts w:ascii="Times New Roman" w:hAnsi="Times New Roman" w:cs="Times New Roman"/>
          <w:bCs/>
          <w:i/>
          <w:sz w:val="28"/>
          <w:szCs w:val="28"/>
          <w:shd w:val="clear" w:color="auto" w:fill="FFFFFF"/>
        </w:rPr>
        <w:t xml:space="preserve"> – Hipótese que, se reconhecida, esvaziaria o conteúdo e alcance da norma, cujo bem jurídico tutelado jamais seria protegido – </w:t>
      </w:r>
      <w:r w:rsidRPr="009700DA">
        <w:rPr>
          <w:rFonts w:ascii="Times New Roman" w:hAnsi="Times New Roman" w:cs="Times New Roman"/>
          <w:bCs/>
          <w:i/>
          <w:sz w:val="28"/>
          <w:szCs w:val="28"/>
          <w:shd w:val="clear" w:color="auto" w:fill="FFFFFF"/>
        </w:rPr>
        <w:t xml:space="preserve"> </w:t>
      </w:r>
      <w:r w:rsidR="0002166D" w:rsidRPr="009700DA">
        <w:rPr>
          <w:rFonts w:ascii="Times New Roman" w:hAnsi="Times New Roman" w:cs="Times New Roman"/>
          <w:bCs/>
          <w:i/>
          <w:sz w:val="28"/>
          <w:szCs w:val="28"/>
          <w:shd w:val="clear" w:color="auto" w:fill="FFFFFF"/>
        </w:rPr>
        <w:t xml:space="preserve">“Ninguém pode se escudar na imunidade material parlamentar para agredir a dignidade alheia ou difundir discursos de ódio, violência e discriminação” </w:t>
      </w:r>
      <w:r w:rsidR="000525A2" w:rsidRPr="009700DA">
        <w:rPr>
          <w:rFonts w:ascii="Times New Roman" w:hAnsi="Times New Roman" w:cs="Times New Roman"/>
          <w:bCs/>
          <w:i/>
          <w:sz w:val="28"/>
          <w:szCs w:val="28"/>
          <w:shd w:val="clear" w:color="auto" w:fill="FFFFFF"/>
        </w:rPr>
        <w:t xml:space="preserve">(STF. Petição n. 7174, Primeira Turma. Rel. </w:t>
      </w:r>
      <w:proofErr w:type="spellStart"/>
      <w:r w:rsidR="000525A2" w:rsidRPr="009700DA">
        <w:rPr>
          <w:rFonts w:ascii="Times New Roman" w:hAnsi="Times New Roman" w:cs="Times New Roman"/>
          <w:bCs/>
          <w:i/>
          <w:sz w:val="28"/>
          <w:szCs w:val="28"/>
          <w:shd w:val="clear" w:color="auto" w:fill="FFFFFF"/>
        </w:rPr>
        <w:t>desig</w:t>
      </w:r>
      <w:proofErr w:type="spellEnd"/>
      <w:r w:rsidR="000525A2" w:rsidRPr="009700DA">
        <w:rPr>
          <w:rFonts w:ascii="Times New Roman" w:hAnsi="Times New Roman" w:cs="Times New Roman"/>
          <w:bCs/>
          <w:i/>
          <w:sz w:val="28"/>
          <w:szCs w:val="28"/>
          <w:shd w:val="clear" w:color="auto" w:fill="FFFFFF"/>
        </w:rPr>
        <w:t xml:space="preserve">. Min. Marco Aurélio, j. 10.03.2020) – </w:t>
      </w:r>
      <w:r w:rsidRPr="009700DA">
        <w:rPr>
          <w:rFonts w:ascii="Times New Roman" w:hAnsi="Times New Roman" w:cs="Times New Roman"/>
          <w:bCs/>
          <w:i/>
          <w:sz w:val="28"/>
          <w:szCs w:val="28"/>
          <w:shd w:val="clear" w:color="auto" w:fill="FFFFFF"/>
        </w:rPr>
        <w:t>Precedentes.</w:t>
      </w:r>
    </w:p>
    <w:p w14:paraId="64949FFF" w14:textId="3528E1E1" w:rsidR="006D13B9" w:rsidRPr="009700DA" w:rsidRDefault="006D13B9" w:rsidP="006E6008">
      <w:pPr>
        <w:spacing w:after="0" w:line="240" w:lineRule="auto"/>
        <w:ind w:left="2835" w:firstLine="1134"/>
        <w:jc w:val="both"/>
        <w:textAlignment w:val="top"/>
        <w:rPr>
          <w:rFonts w:ascii="Times New Roman" w:hAnsi="Times New Roman" w:cs="Times New Roman"/>
          <w:bCs/>
          <w:i/>
          <w:sz w:val="28"/>
          <w:szCs w:val="28"/>
          <w:shd w:val="clear" w:color="auto" w:fill="FFFFFF"/>
        </w:rPr>
      </w:pPr>
      <w:r w:rsidRPr="009700DA">
        <w:rPr>
          <w:rFonts w:ascii="Times New Roman" w:hAnsi="Times New Roman" w:cs="Times New Roman"/>
          <w:bCs/>
          <w:i/>
          <w:sz w:val="28"/>
          <w:szCs w:val="28"/>
          <w:shd w:val="clear" w:color="auto" w:fill="FFFFFF"/>
        </w:rPr>
        <w:t xml:space="preserve">Para além disso, </w:t>
      </w:r>
      <w:r w:rsidR="009700DA">
        <w:rPr>
          <w:rFonts w:ascii="Times New Roman" w:hAnsi="Times New Roman" w:cs="Times New Roman"/>
          <w:bCs/>
          <w:i/>
          <w:sz w:val="28"/>
          <w:szCs w:val="28"/>
          <w:shd w:val="clear" w:color="auto" w:fill="FFFFFF"/>
        </w:rPr>
        <w:t xml:space="preserve">há </w:t>
      </w:r>
      <w:r w:rsidR="00587D20">
        <w:rPr>
          <w:rFonts w:ascii="Times New Roman" w:hAnsi="Times New Roman" w:cs="Times New Roman"/>
          <w:bCs/>
          <w:i/>
          <w:sz w:val="28"/>
          <w:szCs w:val="28"/>
          <w:shd w:val="clear" w:color="auto" w:fill="FFFFFF"/>
        </w:rPr>
        <w:t>prova suficiente para a presente fase de</w:t>
      </w:r>
      <w:r w:rsidR="009700DA">
        <w:rPr>
          <w:rFonts w:ascii="Times New Roman" w:hAnsi="Times New Roman" w:cs="Times New Roman"/>
          <w:bCs/>
          <w:i/>
          <w:sz w:val="28"/>
          <w:szCs w:val="28"/>
          <w:shd w:val="clear" w:color="auto" w:fill="FFFFFF"/>
        </w:rPr>
        <w:t xml:space="preserve"> </w:t>
      </w:r>
      <w:r w:rsidRPr="009700DA">
        <w:rPr>
          <w:rFonts w:ascii="Times New Roman" w:hAnsi="Times New Roman" w:cs="Times New Roman"/>
          <w:bCs/>
          <w:i/>
          <w:sz w:val="28"/>
          <w:szCs w:val="28"/>
          <w:shd w:val="clear" w:color="auto" w:fill="FFFFFF"/>
        </w:rPr>
        <w:t>o fato foi amplamente divulgado na mídia</w:t>
      </w:r>
      <w:r w:rsidR="00587D20">
        <w:rPr>
          <w:rFonts w:ascii="Times New Roman" w:hAnsi="Times New Roman" w:cs="Times New Roman"/>
          <w:bCs/>
          <w:i/>
          <w:sz w:val="28"/>
          <w:szCs w:val="28"/>
          <w:shd w:val="clear" w:color="auto" w:fill="FFFFFF"/>
        </w:rPr>
        <w:t xml:space="preserve">, divulgação </w:t>
      </w:r>
      <w:proofErr w:type="gramStart"/>
      <w:r w:rsidR="00587D20">
        <w:rPr>
          <w:rFonts w:ascii="Times New Roman" w:hAnsi="Times New Roman" w:cs="Times New Roman"/>
          <w:bCs/>
          <w:i/>
          <w:sz w:val="28"/>
          <w:szCs w:val="28"/>
          <w:shd w:val="clear" w:color="auto" w:fill="FFFFFF"/>
        </w:rPr>
        <w:t>esta  cujos</w:t>
      </w:r>
      <w:proofErr w:type="gramEnd"/>
      <w:r w:rsidR="00587D20">
        <w:rPr>
          <w:rFonts w:ascii="Times New Roman" w:hAnsi="Times New Roman" w:cs="Times New Roman"/>
          <w:bCs/>
          <w:i/>
          <w:sz w:val="28"/>
          <w:szCs w:val="28"/>
          <w:shd w:val="clear" w:color="auto" w:fill="FFFFFF"/>
        </w:rPr>
        <w:t xml:space="preserve"> </w:t>
      </w:r>
      <w:r w:rsidRPr="009700DA">
        <w:rPr>
          <w:rFonts w:ascii="Times New Roman" w:hAnsi="Times New Roman" w:cs="Times New Roman"/>
          <w:bCs/>
          <w:i/>
          <w:sz w:val="28"/>
          <w:szCs w:val="28"/>
          <w:shd w:val="clear" w:color="auto" w:fill="FFFFFF"/>
        </w:rPr>
        <w:t xml:space="preserve">efeitos </w:t>
      </w:r>
      <w:r w:rsidR="00587D20">
        <w:rPr>
          <w:rFonts w:ascii="Times New Roman" w:hAnsi="Times New Roman" w:cs="Times New Roman"/>
          <w:bCs/>
          <w:i/>
          <w:sz w:val="28"/>
          <w:szCs w:val="28"/>
          <w:shd w:val="clear" w:color="auto" w:fill="FFFFFF"/>
        </w:rPr>
        <w:t xml:space="preserve">podem ter </w:t>
      </w:r>
      <w:r w:rsidRPr="009700DA">
        <w:rPr>
          <w:rFonts w:ascii="Times New Roman" w:hAnsi="Times New Roman" w:cs="Times New Roman"/>
          <w:bCs/>
          <w:i/>
          <w:sz w:val="28"/>
          <w:szCs w:val="28"/>
          <w:shd w:val="clear" w:color="auto" w:fill="FFFFFF"/>
        </w:rPr>
        <w:t>transborda</w:t>
      </w:r>
      <w:r w:rsidR="00587D20">
        <w:rPr>
          <w:rFonts w:ascii="Times New Roman" w:hAnsi="Times New Roman" w:cs="Times New Roman"/>
          <w:bCs/>
          <w:i/>
          <w:sz w:val="28"/>
          <w:szCs w:val="28"/>
          <w:shd w:val="clear" w:color="auto" w:fill="FFFFFF"/>
        </w:rPr>
        <w:t>do</w:t>
      </w:r>
      <w:r w:rsidRPr="009700DA">
        <w:rPr>
          <w:rFonts w:ascii="Times New Roman" w:hAnsi="Times New Roman" w:cs="Times New Roman"/>
          <w:bCs/>
          <w:i/>
          <w:sz w:val="28"/>
          <w:szCs w:val="28"/>
          <w:shd w:val="clear" w:color="auto" w:fill="FFFFFF"/>
        </w:rPr>
        <w:t xml:space="preserve"> os limites da casa legislativa, o que legitimaria o afastamento da i</w:t>
      </w:r>
      <w:r w:rsidR="006E6008" w:rsidRPr="009700DA">
        <w:rPr>
          <w:rFonts w:ascii="Times New Roman" w:hAnsi="Times New Roman" w:cs="Times New Roman"/>
          <w:bCs/>
          <w:i/>
          <w:sz w:val="28"/>
          <w:szCs w:val="28"/>
          <w:shd w:val="clear" w:color="auto" w:fill="FFFFFF"/>
        </w:rPr>
        <w:t>ncidência da aventada</w:t>
      </w:r>
      <w:r w:rsidRPr="009700DA">
        <w:rPr>
          <w:rFonts w:ascii="Times New Roman" w:hAnsi="Times New Roman" w:cs="Times New Roman"/>
          <w:bCs/>
          <w:i/>
          <w:sz w:val="28"/>
          <w:szCs w:val="28"/>
          <w:shd w:val="clear" w:color="auto" w:fill="FFFFFF"/>
        </w:rPr>
        <w:t xml:space="preserve"> imunidade – Precedentes do C. STF.</w:t>
      </w:r>
    </w:p>
    <w:p w14:paraId="083194AF" w14:textId="7CB3D910" w:rsidR="00361481" w:rsidRPr="009700DA" w:rsidRDefault="00361481" w:rsidP="00361481">
      <w:pPr>
        <w:spacing w:after="0" w:line="240" w:lineRule="auto"/>
        <w:ind w:left="2835" w:firstLine="1134"/>
        <w:jc w:val="both"/>
        <w:textAlignment w:val="top"/>
        <w:rPr>
          <w:rFonts w:ascii="Times New Roman" w:hAnsi="Times New Roman" w:cs="Times New Roman"/>
          <w:bCs/>
          <w:i/>
          <w:sz w:val="28"/>
          <w:szCs w:val="28"/>
          <w:shd w:val="clear" w:color="auto" w:fill="FFFFFF"/>
        </w:rPr>
      </w:pPr>
      <w:r w:rsidRPr="009700DA">
        <w:rPr>
          <w:rFonts w:ascii="Times New Roman" w:hAnsi="Times New Roman" w:cs="Times New Roman"/>
          <w:bCs/>
          <w:i/>
          <w:sz w:val="28"/>
          <w:szCs w:val="28"/>
          <w:shd w:val="clear" w:color="auto" w:fill="FFFFFF"/>
        </w:rPr>
        <w:t xml:space="preserve">No mais, os fatos narrados e suas circunstâncias foram delineados, com a subsunção da conduta ao tipo penal denunciado, qualificação do acusado e classificação do crime – </w:t>
      </w:r>
      <w:r w:rsidR="00005377" w:rsidRPr="009700DA">
        <w:rPr>
          <w:rFonts w:ascii="Times New Roman" w:hAnsi="Times New Roman" w:cs="Times New Roman"/>
          <w:bCs/>
          <w:i/>
          <w:sz w:val="28"/>
          <w:szCs w:val="28"/>
          <w:shd w:val="clear" w:color="auto" w:fill="FFFFFF"/>
        </w:rPr>
        <w:t>Assim, m</w:t>
      </w:r>
      <w:r w:rsidRPr="009700DA">
        <w:rPr>
          <w:rFonts w:ascii="Times New Roman" w:hAnsi="Times New Roman" w:cs="Times New Roman"/>
          <w:bCs/>
          <w:i/>
          <w:sz w:val="28"/>
          <w:szCs w:val="28"/>
          <w:shd w:val="clear" w:color="auto" w:fill="FFFFFF"/>
        </w:rPr>
        <w:t>ostra-se necessária a devida instrução, não sendo autorizado eventual juízo de atipicidade prematuro.</w:t>
      </w:r>
    </w:p>
    <w:p w14:paraId="15367471" w14:textId="1294C2EE" w:rsidR="00361481" w:rsidRPr="009700DA" w:rsidRDefault="00587D20" w:rsidP="00361481">
      <w:pPr>
        <w:spacing w:after="0" w:line="252" w:lineRule="atLeast"/>
        <w:ind w:left="2835" w:firstLine="1134"/>
        <w:jc w:val="both"/>
        <w:textAlignment w:val="top"/>
        <w:rPr>
          <w:rFonts w:ascii="Times New Roman" w:hAnsi="Times New Roman" w:cs="Times New Roman"/>
          <w:bCs/>
          <w:i/>
          <w:sz w:val="28"/>
          <w:szCs w:val="28"/>
          <w:shd w:val="clear" w:color="auto" w:fill="FFFFFF"/>
        </w:rPr>
      </w:pPr>
      <w:r>
        <w:rPr>
          <w:rFonts w:ascii="Times New Roman" w:hAnsi="Times New Roman" w:cs="Times New Roman"/>
          <w:bCs/>
          <w:i/>
          <w:sz w:val="28"/>
          <w:szCs w:val="28"/>
          <w:shd w:val="clear" w:color="auto" w:fill="FFFFFF"/>
        </w:rPr>
        <w:t>N</w:t>
      </w:r>
      <w:r w:rsidR="00C96B69" w:rsidRPr="009700DA">
        <w:rPr>
          <w:rFonts w:ascii="Times New Roman" w:hAnsi="Times New Roman" w:cs="Times New Roman"/>
          <w:bCs/>
          <w:i/>
          <w:sz w:val="28"/>
          <w:szCs w:val="28"/>
          <w:shd w:val="clear" w:color="auto" w:fill="FFFFFF"/>
        </w:rPr>
        <w:t xml:space="preserve">ão demonstrada a ausência de justa causa para o prosseguimento da persecução penal, </w:t>
      </w:r>
      <w:r w:rsidR="00C96B69" w:rsidRPr="009700DA">
        <w:rPr>
          <w:rFonts w:ascii="Times New Roman" w:hAnsi="Times New Roman" w:cs="Times New Roman"/>
          <w:bCs/>
          <w:i/>
          <w:sz w:val="28"/>
          <w:szCs w:val="28"/>
          <w:shd w:val="clear" w:color="auto" w:fill="FFFFFF"/>
        </w:rPr>
        <w:lastRenderedPageBreak/>
        <w:t>a denúncia encontra-se formalmente correta e como consequência lógica deve ser recebida.</w:t>
      </w:r>
    </w:p>
    <w:p w14:paraId="51EEDBBC" w14:textId="4008F99F" w:rsidR="006B7943" w:rsidRPr="009700DA" w:rsidRDefault="00361481" w:rsidP="00361481">
      <w:pPr>
        <w:spacing w:after="0" w:line="252" w:lineRule="atLeast"/>
        <w:ind w:left="2835" w:firstLine="1134"/>
        <w:jc w:val="both"/>
        <w:textAlignment w:val="top"/>
        <w:rPr>
          <w:rFonts w:ascii="Times New Roman" w:hAnsi="Times New Roman" w:cs="Times New Roman"/>
          <w:bCs/>
          <w:i/>
          <w:sz w:val="28"/>
          <w:szCs w:val="28"/>
          <w:shd w:val="clear" w:color="auto" w:fill="FFFFFF"/>
        </w:rPr>
      </w:pPr>
      <w:r w:rsidRPr="009700DA">
        <w:rPr>
          <w:rFonts w:ascii="Times New Roman" w:hAnsi="Times New Roman" w:cs="Times New Roman"/>
          <w:bCs/>
          <w:i/>
          <w:sz w:val="28"/>
          <w:szCs w:val="28"/>
          <w:shd w:val="clear" w:color="auto" w:fill="FFFFFF"/>
        </w:rPr>
        <w:t>D</w:t>
      </w:r>
      <w:r w:rsidR="006B7943" w:rsidRPr="009700DA">
        <w:rPr>
          <w:rFonts w:ascii="Times New Roman" w:hAnsi="Times New Roman" w:cs="Times New Roman"/>
          <w:bCs/>
          <w:i/>
          <w:sz w:val="28"/>
          <w:szCs w:val="28"/>
          <w:shd w:val="clear" w:color="auto" w:fill="FFFFFF"/>
        </w:rPr>
        <w:t>ENÚNCIA RECEBIDA.</w:t>
      </w:r>
    </w:p>
    <w:p w14:paraId="20AAF168" w14:textId="77777777" w:rsidR="00D42CB0" w:rsidRPr="009700DA" w:rsidRDefault="00D42CB0">
      <w:pPr>
        <w:pStyle w:val="Corpodetexto"/>
        <w:spacing w:before="120" w:line="360" w:lineRule="auto"/>
        <w:ind w:firstLine="2835"/>
        <w:jc w:val="both"/>
        <w:rPr>
          <w:sz w:val="28"/>
          <w:szCs w:val="28"/>
        </w:rPr>
      </w:pPr>
    </w:p>
    <w:p w14:paraId="3D77A898" w14:textId="77777777" w:rsidR="006B7943" w:rsidRPr="009700DA" w:rsidRDefault="006B7943">
      <w:pPr>
        <w:spacing w:before="120" w:after="120" w:line="360" w:lineRule="auto"/>
        <w:ind w:firstLine="2835"/>
        <w:rPr>
          <w:rFonts w:ascii="Times New Roman" w:hAnsi="Times New Roman" w:cs="Times New Roman"/>
          <w:sz w:val="28"/>
          <w:szCs w:val="28"/>
        </w:rPr>
      </w:pPr>
    </w:p>
    <w:p w14:paraId="58FBD8F4" w14:textId="79012F11" w:rsidR="00D42CB0" w:rsidRPr="009700DA" w:rsidRDefault="00544A44">
      <w:pPr>
        <w:spacing w:before="120" w:after="120" w:line="360" w:lineRule="auto"/>
        <w:ind w:firstLine="2835"/>
        <w:rPr>
          <w:rFonts w:ascii="Times New Roman" w:hAnsi="Times New Roman" w:cs="Times New Roman"/>
          <w:sz w:val="28"/>
          <w:szCs w:val="28"/>
        </w:rPr>
      </w:pPr>
      <w:r w:rsidRPr="009700DA">
        <w:rPr>
          <w:rFonts w:ascii="Times New Roman" w:hAnsi="Times New Roman" w:cs="Times New Roman"/>
          <w:sz w:val="28"/>
          <w:szCs w:val="28"/>
        </w:rPr>
        <w:t>Vistos.</w:t>
      </w:r>
    </w:p>
    <w:p w14:paraId="50BEEEFE" w14:textId="77777777" w:rsidR="00D42CB0" w:rsidRPr="009700DA" w:rsidRDefault="00D42CB0">
      <w:pPr>
        <w:spacing w:before="120" w:after="120" w:line="360" w:lineRule="auto"/>
        <w:ind w:firstLine="2835"/>
        <w:rPr>
          <w:rFonts w:ascii="Times New Roman" w:hAnsi="Times New Roman" w:cs="Times New Roman"/>
          <w:sz w:val="28"/>
          <w:szCs w:val="28"/>
        </w:rPr>
      </w:pPr>
    </w:p>
    <w:p w14:paraId="6095CFF5" w14:textId="1ECC55CB" w:rsidR="006B7943" w:rsidRPr="009700DA" w:rsidRDefault="006B7943"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A PROCURADORIA REGIONAL ELEITORAL den</w:t>
      </w:r>
      <w:r w:rsidR="000B3083" w:rsidRPr="009700DA">
        <w:rPr>
          <w:rFonts w:ascii="Times New Roman" w:hAnsi="Times New Roman" w:cs="Times New Roman"/>
          <w:bCs/>
          <w:sz w:val="28"/>
          <w:szCs w:val="28"/>
        </w:rPr>
        <w:t>u</w:t>
      </w:r>
      <w:r w:rsidRPr="009700DA">
        <w:rPr>
          <w:rFonts w:ascii="Times New Roman" w:hAnsi="Times New Roman" w:cs="Times New Roman"/>
          <w:bCs/>
          <w:sz w:val="28"/>
          <w:szCs w:val="28"/>
        </w:rPr>
        <w:t>ncia</w:t>
      </w:r>
      <w:r w:rsidR="000B3083" w:rsidRPr="009700DA">
        <w:rPr>
          <w:rFonts w:ascii="Times New Roman" w:hAnsi="Times New Roman" w:cs="Times New Roman"/>
          <w:bCs/>
          <w:sz w:val="28"/>
          <w:szCs w:val="28"/>
        </w:rPr>
        <w:t xml:space="preserve"> Welington de Souza Moura, Deputado Estadual, pela prática do delito previsto no artigo 326-B do </w:t>
      </w:r>
      <w:r w:rsidRPr="009700DA">
        <w:rPr>
          <w:rFonts w:ascii="Times New Roman" w:hAnsi="Times New Roman" w:cs="Times New Roman"/>
          <w:bCs/>
          <w:sz w:val="28"/>
          <w:szCs w:val="28"/>
        </w:rPr>
        <w:t>Código Eleitoral</w:t>
      </w:r>
      <w:r w:rsidR="0065174C" w:rsidRPr="009700DA">
        <w:rPr>
          <w:rStyle w:val="Refdenotaderodap"/>
          <w:rFonts w:ascii="Times New Roman" w:hAnsi="Times New Roman" w:cs="Times New Roman"/>
          <w:bCs/>
          <w:sz w:val="28"/>
          <w:szCs w:val="28"/>
        </w:rPr>
        <w:footnoteReference w:id="1"/>
      </w:r>
      <w:r w:rsidR="008A52CB" w:rsidRPr="009700DA">
        <w:rPr>
          <w:rFonts w:ascii="Times New Roman" w:hAnsi="Times New Roman" w:cs="Times New Roman"/>
          <w:bCs/>
          <w:sz w:val="28"/>
          <w:szCs w:val="28"/>
        </w:rPr>
        <w:t xml:space="preserve"> (ID 64051389)</w:t>
      </w:r>
      <w:r w:rsidRPr="009700DA">
        <w:rPr>
          <w:rFonts w:ascii="Times New Roman" w:hAnsi="Times New Roman" w:cs="Times New Roman"/>
          <w:bCs/>
          <w:sz w:val="28"/>
          <w:szCs w:val="28"/>
        </w:rPr>
        <w:t>.</w:t>
      </w:r>
    </w:p>
    <w:p w14:paraId="6E57DD04" w14:textId="1B0C8B03" w:rsidR="006B7943" w:rsidRPr="009700DA" w:rsidRDefault="006B7943" w:rsidP="00B42C97">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sz w:val="28"/>
          <w:szCs w:val="28"/>
        </w:rPr>
        <w:t>Segundo consta</w:t>
      </w:r>
      <w:r w:rsidR="009A1D2B" w:rsidRPr="009700DA">
        <w:rPr>
          <w:rFonts w:ascii="Times New Roman" w:hAnsi="Times New Roman" w:cs="Times New Roman"/>
          <w:bCs/>
          <w:sz w:val="28"/>
          <w:szCs w:val="28"/>
        </w:rPr>
        <w:t xml:space="preserve"> </w:t>
      </w:r>
      <w:r w:rsidR="00325426" w:rsidRPr="009700DA">
        <w:rPr>
          <w:rFonts w:ascii="Times New Roman" w:hAnsi="Times New Roman" w:cs="Times New Roman"/>
          <w:bCs/>
          <w:sz w:val="28"/>
          <w:szCs w:val="28"/>
        </w:rPr>
        <w:t>da denúncia</w:t>
      </w:r>
      <w:r w:rsidR="00E215E0" w:rsidRPr="009700DA">
        <w:rPr>
          <w:rFonts w:ascii="Times New Roman" w:hAnsi="Times New Roman" w:cs="Times New Roman"/>
          <w:bCs/>
          <w:sz w:val="28"/>
          <w:szCs w:val="28"/>
        </w:rPr>
        <w:t xml:space="preserve"> (ID 64051389)</w:t>
      </w:r>
      <w:r w:rsidRPr="009700DA">
        <w:rPr>
          <w:rFonts w:ascii="Times New Roman" w:hAnsi="Times New Roman" w:cs="Times New Roman"/>
          <w:bCs/>
          <w:sz w:val="28"/>
          <w:szCs w:val="28"/>
        </w:rPr>
        <w:t xml:space="preserve">, </w:t>
      </w:r>
      <w:r w:rsidR="00E215E0" w:rsidRPr="009700DA">
        <w:rPr>
          <w:rFonts w:ascii="Times New Roman" w:hAnsi="Times New Roman" w:cs="Times New Roman"/>
          <w:bCs/>
          <w:i/>
          <w:sz w:val="28"/>
          <w:szCs w:val="28"/>
        </w:rPr>
        <w:t xml:space="preserve">em 18 de maio de 2022, durante a 13ª sessão extraordinária da Assembleia Legislativa de São Paulo, o Deputado Estadual Wellington de Souza </w:t>
      </w:r>
      <w:r w:rsidR="00325426" w:rsidRPr="009700DA">
        <w:rPr>
          <w:rFonts w:ascii="Times New Roman" w:hAnsi="Times New Roman" w:cs="Times New Roman"/>
          <w:bCs/>
          <w:i/>
          <w:sz w:val="28"/>
          <w:szCs w:val="28"/>
        </w:rPr>
        <w:t>Moura</w:t>
      </w:r>
      <w:r w:rsidR="00DD1442" w:rsidRPr="009700DA">
        <w:rPr>
          <w:rFonts w:ascii="Times New Roman" w:hAnsi="Times New Roman" w:cs="Times New Roman"/>
          <w:bCs/>
          <w:i/>
          <w:sz w:val="28"/>
          <w:szCs w:val="28"/>
        </w:rPr>
        <w:t>,</w:t>
      </w:r>
      <w:r w:rsidRPr="009700DA">
        <w:rPr>
          <w:rFonts w:ascii="Times New Roman" w:hAnsi="Times New Roman" w:cs="Times New Roman"/>
          <w:bCs/>
          <w:i/>
          <w:sz w:val="28"/>
          <w:szCs w:val="28"/>
        </w:rPr>
        <w:t xml:space="preserve"> </w:t>
      </w:r>
      <w:r w:rsidR="00DD1442" w:rsidRPr="009700DA">
        <w:rPr>
          <w:rFonts w:ascii="Times New Roman" w:hAnsi="Times New Roman" w:cs="Times New Roman"/>
          <w:bCs/>
          <w:i/>
          <w:sz w:val="28"/>
          <w:szCs w:val="28"/>
        </w:rPr>
        <w:t>fazendo uso do microfone, assediou, constrangeu, humilhou, por palavras, a detentora de mandato eletivo e também Deputada Estadual Mônica Cristina Seixas Bonfim, em razão de menosprezo e discriminação à sua condição de mulher e com a finalidade de impedir e dificultar o desempenho de seu mandato eletivo, falando que “sempre colocaria um cabresto em sua boca” quando ele estivesse presidindo a sessão e que faria isto “em todas as vezes que fosse presidente”.</w:t>
      </w:r>
    </w:p>
    <w:p w14:paraId="0AB7E54F" w14:textId="189276F7" w:rsidR="007A6D8D" w:rsidRPr="009700DA" w:rsidRDefault="007A6D8D" w:rsidP="007A6D8D">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sz w:val="28"/>
          <w:szCs w:val="28"/>
        </w:rPr>
        <w:t xml:space="preserve">A incoativa aduz, ainda, que </w:t>
      </w:r>
      <w:r w:rsidRPr="009700DA">
        <w:rPr>
          <w:rFonts w:ascii="Times New Roman" w:hAnsi="Times New Roman" w:cs="Times New Roman"/>
          <w:bCs/>
          <w:i/>
          <w:sz w:val="28"/>
          <w:szCs w:val="28"/>
        </w:rPr>
        <w:t xml:space="preserve">O Deputado Estadual Wellington de Souza Moura, publicamente, falando ao microfone, tendo sido filmado, como mostra vídeo anexo captado de meios de comunicação por </w:t>
      </w:r>
      <w:r w:rsidRPr="009700DA">
        <w:rPr>
          <w:rFonts w:ascii="Times New Roman" w:hAnsi="Times New Roman" w:cs="Times New Roman"/>
          <w:bCs/>
          <w:i/>
          <w:sz w:val="28"/>
          <w:szCs w:val="28"/>
        </w:rPr>
        <w:lastRenderedPageBreak/>
        <w:t>órgão técnico, disse à Deputada e a todos os presentes que colocaria em sua boca um arreio utilizado em animais (cabresto) que a impediria de falar e a subjugaria, assediando-a, perseguindo-a, ameaçando-a, humilhando-a e constrangendo-a em público, tudo em razão de menosprezo e discriminação ao gênero feminino da vítima. O vídeo foi reproduzido na rede de computadores, onde captado pelo órgão técnico de informática para tanto incumbido pelo Ministério Público Eleitoral (Folha de São Paulo, CNN G1). Ao proferir essa fala pública, o Deputado impediu a Deputada de exercer seu trabalho, bem como assediou, perseguiu, humilhou, ameaçou e constrangeu a parlamentar, praticando a conduta descrita no tipo do artigo 326-B do Código Eleitoral: “crime de violência política de gênero”. Conduta foi filmada e divulgada por meios de comunicação.</w:t>
      </w:r>
    </w:p>
    <w:p w14:paraId="45EA9548" w14:textId="6249A700" w:rsidR="00F17C9D" w:rsidRPr="009700DA" w:rsidRDefault="00F17C9D" w:rsidP="007A6D8D">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O vídeo da sessão está juntado no ID 64051518.</w:t>
      </w:r>
    </w:p>
    <w:p w14:paraId="65CBA858" w14:textId="77777777" w:rsidR="007356E6" w:rsidRPr="009700DA" w:rsidRDefault="008A52CB" w:rsidP="007356E6">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WELLINGTON DE SOUZA MOURA</w:t>
      </w:r>
      <w:r w:rsidR="006B7943" w:rsidRPr="009700DA">
        <w:rPr>
          <w:rFonts w:ascii="Times New Roman" w:hAnsi="Times New Roman" w:cs="Times New Roman"/>
          <w:bCs/>
          <w:sz w:val="28"/>
          <w:szCs w:val="28"/>
        </w:rPr>
        <w:t xml:space="preserve"> apresenta </w:t>
      </w:r>
      <w:r w:rsidRPr="009700DA">
        <w:rPr>
          <w:rFonts w:ascii="Times New Roman" w:hAnsi="Times New Roman" w:cs="Times New Roman"/>
          <w:bCs/>
          <w:sz w:val="28"/>
          <w:szCs w:val="28"/>
        </w:rPr>
        <w:t>resposta à denúncia</w:t>
      </w:r>
      <w:r w:rsidR="006B7943" w:rsidRPr="009700DA">
        <w:rPr>
          <w:rFonts w:ascii="Times New Roman" w:hAnsi="Times New Roman" w:cs="Times New Roman"/>
          <w:bCs/>
          <w:sz w:val="28"/>
          <w:szCs w:val="28"/>
        </w:rPr>
        <w:t xml:space="preserve"> (</w:t>
      </w:r>
      <w:r w:rsidRPr="009700DA">
        <w:rPr>
          <w:rFonts w:ascii="Times New Roman" w:hAnsi="Times New Roman" w:cs="Times New Roman"/>
          <w:bCs/>
          <w:sz w:val="28"/>
          <w:szCs w:val="28"/>
        </w:rPr>
        <w:t>ID 64222052</w:t>
      </w:r>
      <w:r w:rsidR="006B7943" w:rsidRPr="009700DA">
        <w:rPr>
          <w:rFonts w:ascii="Times New Roman" w:hAnsi="Times New Roman" w:cs="Times New Roman"/>
          <w:bCs/>
          <w:sz w:val="28"/>
          <w:szCs w:val="28"/>
        </w:rPr>
        <w:t>), na qual</w:t>
      </w:r>
      <w:r w:rsidR="007356E6" w:rsidRPr="009700DA">
        <w:rPr>
          <w:rFonts w:ascii="Times New Roman" w:hAnsi="Times New Roman" w:cs="Times New Roman"/>
          <w:bCs/>
          <w:sz w:val="28"/>
          <w:szCs w:val="28"/>
        </w:rPr>
        <w:t xml:space="preserve"> suscita, preliminarmente, a incompetência do Ministério Público Eleitoral e da Justiça Eleitoral, pois:</w:t>
      </w:r>
    </w:p>
    <w:p w14:paraId="5ABFB246" w14:textId="77777777" w:rsidR="007356E6" w:rsidRPr="009700DA" w:rsidRDefault="007356E6" w:rsidP="007356E6">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 </w:t>
      </w:r>
      <w:proofErr w:type="gramStart"/>
      <w:r w:rsidRPr="009700DA">
        <w:rPr>
          <w:rFonts w:ascii="Times New Roman" w:hAnsi="Times New Roman" w:cs="Times New Roman"/>
          <w:bCs/>
          <w:i/>
          <w:sz w:val="28"/>
          <w:szCs w:val="28"/>
        </w:rPr>
        <w:t>os</w:t>
      </w:r>
      <w:proofErr w:type="gramEnd"/>
      <w:r w:rsidRPr="009700DA">
        <w:rPr>
          <w:rFonts w:ascii="Times New Roman" w:hAnsi="Times New Roman" w:cs="Times New Roman"/>
          <w:bCs/>
          <w:i/>
          <w:sz w:val="28"/>
          <w:szCs w:val="28"/>
        </w:rPr>
        <w:t xml:space="preserve"> procuradores que subscrevem a inicial admitem terem tido conhecimento de que a vítima havia protocolado REPRESENTAÇÃO CRIMINAL POR INJÚRIA RACIAL, antes de ofertarem a denúncia. (...) </w:t>
      </w:r>
    </w:p>
    <w:p w14:paraId="33DE1838" w14:textId="77777777" w:rsidR="007356E6" w:rsidRPr="009700DA" w:rsidRDefault="007356E6" w:rsidP="007356E6">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 O crime de INJURIA RACIAL é de competência da JUSTIÇA COMUM e não eleitoral, de sorte que, ao ter ciência da ocorrência policial, o Ministério Público Eleitoral deveria se abster de oferecer denúncia penal. (...) </w:t>
      </w:r>
    </w:p>
    <w:p w14:paraId="4B2E7DA2" w14:textId="77777777" w:rsidR="007356E6" w:rsidRPr="009700DA" w:rsidRDefault="007356E6" w:rsidP="007356E6">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 Em todas as matérias jornalísticas a suposta vítima tem insistido que o crime praticado seria o de INJÚRIA RACIAL, estabelecido no artigo 140, parágrafo 3º do CP e não do artigo 326-B do Código Eleitoral, tanto que buscou a DECRADI. (...) </w:t>
      </w:r>
    </w:p>
    <w:p w14:paraId="341F2CA9" w14:textId="77777777" w:rsidR="007356E6" w:rsidRPr="009700DA" w:rsidRDefault="007356E6" w:rsidP="007356E6">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lastRenderedPageBreak/>
        <w:t xml:space="preserve">- A imputação descrita na Denúncia, só ocorreu dois meses após os acontecimentos, e contradizem a própria interpretação da ofendida que nunca acionou a PROCURADORIA ELEITORAL e sim a DELEGACIA ESPECIALIZADA EM CRIMES RACIAIS E DE INTOLERÂNCIA. (...) </w:t>
      </w:r>
    </w:p>
    <w:p w14:paraId="3101D94A" w14:textId="7D9B346C" w:rsidR="007356E6" w:rsidRPr="009700DA" w:rsidRDefault="007356E6" w:rsidP="007356E6">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Registre-se que, além da REPRESENTAÇÃO da suposta ofendida, existiu outra REPRESENTAÇÃO na ALESP, desta feita encaminhada pela DEPUTADA ESTADUTAL MARCIA LIA DO PT expondo os mesmos argumentos que colacionamos a seguir (...). A mesma narrativa de injúria racial é repisada na representação da Deputada Petista, afirmando inclusive que este teria confessado o delito. Verifica-se novamente que não existe qualquer menção a violência política nos fatos descritos nas duas representações</w:t>
      </w:r>
      <w:r w:rsidR="00525848" w:rsidRPr="009700DA">
        <w:rPr>
          <w:rFonts w:ascii="Times New Roman" w:hAnsi="Times New Roman" w:cs="Times New Roman"/>
          <w:bCs/>
          <w:i/>
          <w:sz w:val="28"/>
          <w:szCs w:val="28"/>
        </w:rPr>
        <w:t>, que ao final foram ARQUIVADAS;</w:t>
      </w:r>
    </w:p>
    <w:p w14:paraId="46371A08" w14:textId="6EF587D4" w:rsidR="00525848" w:rsidRPr="009700DA" w:rsidRDefault="00525848" w:rsidP="00525848">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Diante do exposto, verificada a ATIPICIDADE da conduta no que concerne ao crime eleitoral, a denúncia inepta deve ser arquivada nos termos do artigo 358</w:t>
      </w:r>
      <w:r w:rsidR="00CC117E" w:rsidRPr="009700DA">
        <w:rPr>
          <w:rFonts w:ascii="Times New Roman" w:hAnsi="Times New Roman" w:cs="Times New Roman"/>
          <w:bCs/>
          <w:i/>
          <w:sz w:val="28"/>
          <w:szCs w:val="28"/>
        </w:rPr>
        <w:t>,</w:t>
      </w:r>
      <w:r w:rsidRPr="009700DA">
        <w:rPr>
          <w:rFonts w:ascii="Times New Roman" w:hAnsi="Times New Roman" w:cs="Times New Roman"/>
          <w:bCs/>
          <w:i/>
          <w:sz w:val="28"/>
          <w:szCs w:val="28"/>
        </w:rPr>
        <w:t xml:space="preserve"> inciso III do Código Eleitoral, restando demonstrado a flagrante incompetência do juízo eleitoral e do Ministério Público Eleitoral.</w:t>
      </w:r>
    </w:p>
    <w:p w14:paraId="67177827" w14:textId="113C1B9F" w:rsidR="00525848" w:rsidRPr="009700DA" w:rsidRDefault="00CC117E" w:rsidP="00525848">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Quanto ao mérito, s</w:t>
      </w:r>
      <w:r w:rsidR="00525848" w:rsidRPr="009700DA">
        <w:rPr>
          <w:rFonts w:ascii="Times New Roman" w:hAnsi="Times New Roman" w:cs="Times New Roman"/>
          <w:bCs/>
          <w:sz w:val="28"/>
          <w:szCs w:val="28"/>
        </w:rPr>
        <w:t>ustenta</w:t>
      </w:r>
      <w:r w:rsidRPr="009700DA">
        <w:rPr>
          <w:rFonts w:ascii="Times New Roman" w:hAnsi="Times New Roman" w:cs="Times New Roman"/>
          <w:bCs/>
          <w:sz w:val="28"/>
          <w:szCs w:val="28"/>
        </w:rPr>
        <w:t xml:space="preserve"> </w:t>
      </w:r>
      <w:r w:rsidR="00525848" w:rsidRPr="009700DA">
        <w:rPr>
          <w:rFonts w:ascii="Times New Roman" w:hAnsi="Times New Roman" w:cs="Times New Roman"/>
          <w:bCs/>
          <w:sz w:val="28"/>
          <w:szCs w:val="28"/>
        </w:rPr>
        <w:t>a incidência de imunidade parlamentar, vez que:</w:t>
      </w:r>
    </w:p>
    <w:p w14:paraId="6F5D4A2C" w14:textId="18FE4C50" w:rsidR="007356E6" w:rsidRPr="009700DA" w:rsidRDefault="00525848" w:rsidP="00525848">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 </w:t>
      </w:r>
      <w:proofErr w:type="gramStart"/>
      <w:r w:rsidRPr="009700DA">
        <w:rPr>
          <w:rFonts w:ascii="Times New Roman" w:hAnsi="Times New Roman" w:cs="Times New Roman"/>
          <w:bCs/>
          <w:i/>
          <w:sz w:val="28"/>
          <w:szCs w:val="28"/>
        </w:rPr>
        <w:t>os</w:t>
      </w:r>
      <w:proofErr w:type="gramEnd"/>
      <w:r w:rsidRPr="009700DA">
        <w:rPr>
          <w:rFonts w:ascii="Times New Roman" w:hAnsi="Times New Roman" w:cs="Times New Roman"/>
          <w:bCs/>
          <w:i/>
          <w:sz w:val="28"/>
          <w:szCs w:val="28"/>
        </w:rPr>
        <w:t xml:space="preserve"> fatos descritos na exordial acusatória descrevem dois parlamentares fazendo uso de suas prerrogativas em sessão plenária</w:t>
      </w:r>
      <w:r w:rsidRPr="009700DA">
        <w:rPr>
          <w:rFonts w:ascii="Times New Roman" w:hAnsi="Times New Roman" w:cs="Times New Roman"/>
          <w:bCs/>
          <w:sz w:val="28"/>
          <w:szCs w:val="28"/>
        </w:rPr>
        <w:t>;</w:t>
      </w:r>
    </w:p>
    <w:p w14:paraId="6EC24D0F" w14:textId="4C0434F1" w:rsidR="00525848" w:rsidRPr="009700DA" w:rsidRDefault="00525848" w:rsidP="00525848">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 </w:t>
      </w:r>
      <w:proofErr w:type="gramStart"/>
      <w:r w:rsidRPr="009700DA">
        <w:rPr>
          <w:rFonts w:ascii="Times New Roman" w:hAnsi="Times New Roman" w:cs="Times New Roman"/>
          <w:bCs/>
          <w:i/>
          <w:sz w:val="28"/>
          <w:szCs w:val="28"/>
        </w:rPr>
        <w:t>o</w:t>
      </w:r>
      <w:proofErr w:type="gramEnd"/>
      <w:r w:rsidRPr="009700DA">
        <w:rPr>
          <w:rFonts w:ascii="Times New Roman" w:hAnsi="Times New Roman" w:cs="Times New Roman"/>
          <w:bCs/>
          <w:i/>
          <w:sz w:val="28"/>
          <w:szCs w:val="28"/>
        </w:rPr>
        <w:t xml:space="preserve"> denunciado utilizou de sua imunidade parlamentar, no caso, imunidade material, excluindo a responsabilidade por suas opiniões, palavras e votos proferidos no exercício do mandato ou em razão deste e no limite de sua circunscrição no estado de São Paulo;</w:t>
      </w:r>
    </w:p>
    <w:p w14:paraId="586FD180" w14:textId="0DADAF7C" w:rsidR="00525848" w:rsidRPr="009700DA" w:rsidRDefault="00525848" w:rsidP="00525848">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lastRenderedPageBreak/>
        <w:t>- A imunidade material dos parlamentares confere às suas manifestações relacionadas ao exercício do respectivo mandato, proteção adicional à LIBERDADE DE EXPRESSÃO. Considerar essas manifestações passíveis de responsabilização judicial quando acarretam ofensa a alguém – como feito pelo tribunal de origem – é esvaziar por completo o “acréscimo” de proteção que constituía essência da imunidade constitucional. Afinal, para as manifestações não ofensivas dos parlamentares, a rigor, o direito fundamental à liberdade de expressão basta;</w:t>
      </w:r>
    </w:p>
    <w:p w14:paraId="5DA96BF2" w14:textId="5D71F632" w:rsidR="007356E6" w:rsidRPr="009700DA" w:rsidRDefault="00525848" w:rsidP="00525848">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Assim, verificamos que os fatos ocorreram em dois momentos, um no dia 17/05/2022 e outro no dia 18/05/2022 e, em nenhum deles a parlamentar teve cerceado seu direito de fazer uso da palavra, ao contrário, a ATA DA SESSÃO demonstra que esta extrapolou esse direito e, desrespeitou o regimento da casa das leis.</w:t>
      </w:r>
    </w:p>
    <w:p w14:paraId="4470338F" w14:textId="1C3E9A95" w:rsidR="007356E6" w:rsidRPr="009700DA" w:rsidRDefault="009071D2"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Sustenta, ainda, </w:t>
      </w:r>
      <w:r w:rsidR="00525848" w:rsidRPr="009700DA">
        <w:rPr>
          <w:rFonts w:ascii="Times New Roman" w:hAnsi="Times New Roman" w:cs="Times New Roman"/>
          <w:bCs/>
          <w:sz w:val="28"/>
          <w:szCs w:val="28"/>
        </w:rPr>
        <w:t>a inaplicabilidade da violência política (artigo 326-B do Código Eleitoral)</w:t>
      </w:r>
      <w:r w:rsidR="007F32F2" w:rsidRPr="009700DA">
        <w:rPr>
          <w:rFonts w:ascii="Times New Roman" w:hAnsi="Times New Roman" w:cs="Times New Roman"/>
          <w:bCs/>
          <w:sz w:val="28"/>
          <w:szCs w:val="28"/>
        </w:rPr>
        <w:t xml:space="preserve"> e a ausência de crime,</w:t>
      </w:r>
      <w:r w:rsidR="00525848" w:rsidRPr="009700DA">
        <w:rPr>
          <w:rFonts w:ascii="Times New Roman" w:hAnsi="Times New Roman" w:cs="Times New Roman"/>
          <w:bCs/>
          <w:sz w:val="28"/>
          <w:szCs w:val="28"/>
        </w:rPr>
        <w:t xml:space="preserve"> na seguinte conformidade:</w:t>
      </w:r>
    </w:p>
    <w:p w14:paraId="5BFB4549" w14:textId="0FB03EBC" w:rsidR="00525848" w:rsidRPr="009700DA" w:rsidRDefault="00525848" w:rsidP="00525848">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No âmbito da tipicidade subjetiva, o art. 326-B do CE pode ser definido como crime de dolo específico, pois exige, para a prática delitiva, que o agente atue imbuído do desejo de impedir ou dificultar a campanha eleitoral da candidata ou o desempenho do mandato pela mulher;</w:t>
      </w:r>
    </w:p>
    <w:p w14:paraId="2A309596" w14:textId="536F0341" w:rsidR="00525848" w:rsidRPr="009700DA" w:rsidRDefault="00525848" w:rsidP="00525848">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i/>
          <w:sz w:val="28"/>
          <w:szCs w:val="28"/>
        </w:rPr>
        <w:t>- O que não foi demonstrado pelo Ministério Público Eleitoral, é o nexo causal entre o termo utilizado na sessão plenária e o dolo específico de impedir a parlamentar de exercer seu mandato, o que não ocorreu posto a manifestação da suposta vítima no dia 18/05/2022</w:t>
      </w:r>
      <w:r w:rsidR="007F32F2" w:rsidRPr="009700DA">
        <w:rPr>
          <w:rFonts w:ascii="Times New Roman" w:hAnsi="Times New Roman" w:cs="Times New Roman"/>
          <w:bCs/>
          <w:sz w:val="28"/>
          <w:szCs w:val="28"/>
        </w:rPr>
        <w:t>;</w:t>
      </w:r>
    </w:p>
    <w:p w14:paraId="6E981D90" w14:textId="6062CE27" w:rsidR="007F32F2" w:rsidRPr="009700DA" w:rsidRDefault="007F32F2" w:rsidP="007F32F2">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 </w:t>
      </w:r>
      <w:proofErr w:type="gramStart"/>
      <w:r w:rsidRPr="009700DA">
        <w:rPr>
          <w:rFonts w:ascii="Times New Roman" w:hAnsi="Times New Roman" w:cs="Times New Roman"/>
          <w:bCs/>
          <w:i/>
          <w:sz w:val="28"/>
          <w:szCs w:val="28"/>
        </w:rPr>
        <w:t>resta</w:t>
      </w:r>
      <w:proofErr w:type="gramEnd"/>
      <w:r w:rsidRPr="009700DA">
        <w:rPr>
          <w:rFonts w:ascii="Times New Roman" w:hAnsi="Times New Roman" w:cs="Times New Roman"/>
          <w:bCs/>
          <w:i/>
          <w:sz w:val="28"/>
          <w:szCs w:val="28"/>
        </w:rPr>
        <w:t xml:space="preserve"> claro que a ação, pretensamente delituosa, não tem como elemento motivador o menosprezo ou discriminação à </w:t>
      </w:r>
      <w:r w:rsidRPr="009700DA">
        <w:rPr>
          <w:rFonts w:ascii="Times New Roman" w:hAnsi="Times New Roman" w:cs="Times New Roman"/>
          <w:bCs/>
          <w:i/>
          <w:sz w:val="28"/>
          <w:szCs w:val="28"/>
        </w:rPr>
        <w:lastRenderedPageBreak/>
        <w:t>condição de mulher. Os argumentos apresentados servem igualmente para afastar a outra elementar exigida pelo tipo penal previsto no artigo 326-B do Código Eleitoral, qual seja, a finalidade específica de impedir ou dificultar o desempenho do mandato.</w:t>
      </w:r>
    </w:p>
    <w:p w14:paraId="10669B82" w14:textId="0D79B206" w:rsidR="007F32F2" w:rsidRPr="009700DA" w:rsidRDefault="007F32F2" w:rsidP="007F32F2">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Ademais, este elemento subjetivo do tipo conta com uma razão extra para seu afastamento. A DEPUTADA SUPOSTAMENTE OFENDIDA teve o direito ao uso da palavra após a discussão onde foi proferida a citada ofensa. Percebe-se que não houve a suspensão do direito da ofendida nas sessões subsequentes e que a expressão utilizada ocorreu no calor dos debates durante uma sessão de votação tensa e que a suposta vítima buscava tumultuar;</w:t>
      </w:r>
    </w:p>
    <w:p w14:paraId="29754940" w14:textId="4D65C133" w:rsidR="007356E6" w:rsidRPr="009700DA" w:rsidRDefault="007F32F2" w:rsidP="007F32F2">
      <w:pPr>
        <w:spacing w:before="120" w:after="120" w:line="360" w:lineRule="auto"/>
        <w:ind w:firstLine="2835"/>
        <w:jc w:val="both"/>
        <w:rPr>
          <w:rFonts w:ascii="Times New Roman" w:hAnsi="Times New Roman" w:cs="Times New Roman"/>
          <w:bCs/>
          <w:i/>
          <w:sz w:val="28"/>
          <w:szCs w:val="28"/>
        </w:rPr>
      </w:pPr>
      <w:r w:rsidRPr="009700DA">
        <w:rPr>
          <w:rFonts w:ascii="Times New Roman" w:hAnsi="Times New Roman" w:cs="Times New Roman"/>
          <w:bCs/>
          <w:i/>
          <w:sz w:val="28"/>
          <w:szCs w:val="28"/>
        </w:rPr>
        <w:t>- Obviamente, não se pode afirmar categoricamente que a expressão “colocar um cabresto em sua fala” ou “colocar um cabresto em sua boca”, tenham o condão de configurar impedimento ou dificuldade de desempenho do mandato parlamentar.</w:t>
      </w:r>
    </w:p>
    <w:p w14:paraId="7CABDEC5" w14:textId="6092ED4B" w:rsidR="007F32F2" w:rsidRPr="009700DA" w:rsidRDefault="007F32F2" w:rsidP="007F32F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Ao final, requer: </w:t>
      </w:r>
      <w:r w:rsidRPr="009700DA">
        <w:rPr>
          <w:rFonts w:ascii="Times New Roman" w:hAnsi="Times New Roman" w:cs="Times New Roman"/>
          <w:bCs/>
          <w:i/>
          <w:sz w:val="28"/>
          <w:szCs w:val="28"/>
        </w:rPr>
        <w:t>a) O arquivamento dos presentes autos em face da falta de justa causa; b) O conhecimento da PRELIMINAR acatando a incompetência do Ministério Público Eleitoral e da Justiça Eleitoral; c) Superada a PRELIMINAR, requer a INÉPCIA DA DENÚNCIA e o arquivamento do processo em face da IMUNIDADE PARLAMENTAR; d) Se não for este o entendimento de Vossas Excelências, requer a ABSOLVIÇÃO SUMÁRIA DO DENUNCIADO, tendo em vista a ATIPICIDADE DA CONDUTA e a falta do DOLO ESPECÍFICO, arquivando-se de plano o processo;</w:t>
      </w:r>
      <w:r w:rsidRPr="009700DA">
        <w:rPr>
          <w:rFonts w:ascii="Times New Roman" w:hAnsi="Times New Roman" w:cs="Times New Roman"/>
          <w:i/>
        </w:rPr>
        <w:t xml:space="preserve"> </w:t>
      </w:r>
      <w:r w:rsidRPr="009700DA">
        <w:rPr>
          <w:rFonts w:ascii="Times New Roman" w:hAnsi="Times New Roman" w:cs="Times New Roman"/>
          <w:bCs/>
          <w:i/>
          <w:sz w:val="28"/>
          <w:szCs w:val="28"/>
        </w:rPr>
        <w:t xml:space="preserve">(...) i) Diante do exposto, verificada a ATIPICIDADE DA CONDUTA NO QUE CONCERNE AO CRIME ELEITORAL, A DENÚNCIA DEVE SER CONSIDERADA INEPTA E CONSEQUENTEMENTE ARQUIVADA, nos termos do artigo 358, inciso III, do Código Eleitoral, restando demonstrado a flagrante incompetência </w:t>
      </w:r>
      <w:r w:rsidRPr="009700DA">
        <w:rPr>
          <w:rFonts w:ascii="Times New Roman" w:hAnsi="Times New Roman" w:cs="Times New Roman"/>
          <w:bCs/>
          <w:i/>
          <w:sz w:val="28"/>
          <w:szCs w:val="28"/>
        </w:rPr>
        <w:lastRenderedPageBreak/>
        <w:t>para julgamento do Egrégio Tribunal Regional Eleitoral de São Paulo (TRE-SP) e do Ministério Público Eleitoral (MPE)</w:t>
      </w:r>
      <w:r w:rsidRPr="009700DA">
        <w:rPr>
          <w:rFonts w:ascii="Times New Roman" w:hAnsi="Times New Roman" w:cs="Times New Roman"/>
          <w:bCs/>
          <w:sz w:val="28"/>
          <w:szCs w:val="28"/>
        </w:rPr>
        <w:t>.</w:t>
      </w:r>
    </w:p>
    <w:p w14:paraId="7FA65240" w14:textId="175C2603" w:rsidR="006C6872" w:rsidRPr="009700DA" w:rsidRDefault="003F40E5" w:rsidP="007F32F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Caso</w:t>
      </w:r>
      <w:r w:rsidR="001A1A48" w:rsidRPr="009700DA">
        <w:rPr>
          <w:rFonts w:ascii="Times New Roman" w:hAnsi="Times New Roman" w:cs="Times New Roman"/>
          <w:bCs/>
          <w:sz w:val="28"/>
          <w:szCs w:val="28"/>
        </w:rPr>
        <w:t xml:space="preserve"> s</w:t>
      </w:r>
      <w:r w:rsidR="005525F9" w:rsidRPr="009700DA">
        <w:rPr>
          <w:rFonts w:ascii="Times New Roman" w:hAnsi="Times New Roman" w:cs="Times New Roman"/>
          <w:bCs/>
          <w:sz w:val="28"/>
          <w:szCs w:val="28"/>
        </w:rPr>
        <w:t>uperados esse</w:t>
      </w:r>
      <w:r w:rsidR="006C6872" w:rsidRPr="009700DA">
        <w:rPr>
          <w:rFonts w:ascii="Times New Roman" w:hAnsi="Times New Roman" w:cs="Times New Roman"/>
          <w:bCs/>
          <w:sz w:val="28"/>
          <w:szCs w:val="28"/>
        </w:rPr>
        <w:t xml:space="preserve">s </w:t>
      </w:r>
      <w:r w:rsidR="005525F9" w:rsidRPr="009700DA">
        <w:rPr>
          <w:rFonts w:ascii="Times New Roman" w:hAnsi="Times New Roman" w:cs="Times New Roman"/>
          <w:bCs/>
          <w:sz w:val="28"/>
          <w:szCs w:val="28"/>
        </w:rPr>
        <w:t>pedidos</w:t>
      </w:r>
      <w:r w:rsidR="006C6872" w:rsidRPr="009700DA">
        <w:rPr>
          <w:rFonts w:ascii="Times New Roman" w:hAnsi="Times New Roman" w:cs="Times New Roman"/>
          <w:bCs/>
          <w:sz w:val="28"/>
          <w:szCs w:val="28"/>
        </w:rPr>
        <w:t xml:space="preserve">, </w:t>
      </w:r>
      <w:r w:rsidR="006C6872" w:rsidRPr="009700DA">
        <w:rPr>
          <w:rFonts w:ascii="Times New Roman" w:hAnsi="Times New Roman" w:cs="Times New Roman"/>
          <w:bCs/>
          <w:i/>
          <w:sz w:val="28"/>
          <w:szCs w:val="28"/>
        </w:rPr>
        <w:t>com a cláusula de imprescindibilidade e em nome do princípio constitucional da ampla defesa e do contraditório</w:t>
      </w:r>
      <w:r w:rsidR="006C6872" w:rsidRPr="009700DA">
        <w:rPr>
          <w:rFonts w:ascii="Times New Roman" w:hAnsi="Times New Roman" w:cs="Times New Roman"/>
          <w:bCs/>
          <w:sz w:val="28"/>
          <w:szCs w:val="28"/>
        </w:rPr>
        <w:t>, apresenta rol de testemunhas e requer a realização de diligências.</w:t>
      </w:r>
    </w:p>
    <w:p w14:paraId="0A1E0B91" w14:textId="1C86F5FF" w:rsidR="002C5E8B" w:rsidRPr="009700DA" w:rsidRDefault="007F32F2" w:rsidP="00C83231">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Em nova manifestação, a</w:t>
      </w:r>
      <w:r w:rsidR="002C5E8B" w:rsidRPr="009700DA">
        <w:rPr>
          <w:rFonts w:ascii="Times New Roman" w:hAnsi="Times New Roman" w:cs="Times New Roman"/>
          <w:bCs/>
          <w:sz w:val="28"/>
          <w:szCs w:val="28"/>
        </w:rPr>
        <w:t xml:space="preserve"> Procuradoria Regional Eleitoral</w:t>
      </w:r>
      <w:r w:rsidRPr="009700DA">
        <w:rPr>
          <w:rFonts w:ascii="Times New Roman" w:hAnsi="Times New Roman" w:cs="Times New Roman"/>
          <w:bCs/>
          <w:sz w:val="28"/>
          <w:szCs w:val="28"/>
        </w:rPr>
        <w:t xml:space="preserve"> refuta os argumentos trazidos pela defesa e pugna pelo recebimento da denúncia</w:t>
      </w:r>
      <w:r w:rsidR="002C5E8B" w:rsidRPr="009700DA">
        <w:rPr>
          <w:rFonts w:ascii="Times New Roman" w:hAnsi="Times New Roman" w:cs="Times New Roman"/>
          <w:bCs/>
          <w:sz w:val="28"/>
          <w:szCs w:val="28"/>
        </w:rPr>
        <w:t>, com o prosseguimento do feito em seus ulteriores termos</w:t>
      </w:r>
      <w:r w:rsidR="00C83231" w:rsidRPr="009700DA">
        <w:rPr>
          <w:rFonts w:ascii="Times New Roman" w:hAnsi="Times New Roman" w:cs="Times New Roman"/>
          <w:bCs/>
          <w:sz w:val="28"/>
          <w:szCs w:val="28"/>
        </w:rPr>
        <w:t xml:space="preserve"> (ID 64276609)</w:t>
      </w:r>
      <w:r w:rsidR="002C5E8B" w:rsidRPr="009700DA">
        <w:rPr>
          <w:rFonts w:ascii="Times New Roman" w:hAnsi="Times New Roman" w:cs="Times New Roman"/>
          <w:bCs/>
          <w:sz w:val="28"/>
          <w:szCs w:val="28"/>
        </w:rPr>
        <w:t>.</w:t>
      </w:r>
    </w:p>
    <w:p w14:paraId="6E1BD2B0" w14:textId="2075CCDF" w:rsidR="006B7943" w:rsidRPr="009700DA" w:rsidRDefault="002C5E8B"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É</w:t>
      </w:r>
      <w:r w:rsidR="006B7943" w:rsidRPr="009700DA">
        <w:rPr>
          <w:rFonts w:ascii="Times New Roman" w:hAnsi="Times New Roman" w:cs="Times New Roman"/>
          <w:bCs/>
          <w:sz w:val="28"/>
          <w:szCs w:val="28"/>
        </w:rPr>
        <w:t xml:space="preserve"> o relatório.</w:t>
      </w:r>
    </w:p>
    <w:p w14:paraId="564F684F" w14:textId="423E89F3" w:rsidR="00EB7508" w:rsidRPr="009700DA" w:rsidRDefault="00C76FF0"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1. </w:t>
      </w:r>
      <w:r w:rsidR="003D5734" w:rsidRPr="009700DA">
        <w:rPr>
          <w:rFonts w:ascii="Times New Roman" w:hAnsi="Times New Roman" w:cs="Times New Roman"/>
          <w:bCs/>
          <w:sz w:val="28"/>
          <w:szCs w:val="28"/>
        </w:rPr>
        <w:t>A</w:t>
      </w:r>
      <w:r w:rsidR="00EB7508" w:rsidRPr="009700DA">
        <w:rPr>
          <w:rFonts w:ascii="Times New Roman" w:hAnsi="Times New Roman" w:cs="Times New Roman"/>
          <w:bCs/>
          <w:sz w:val="28"/>
          <w:szCs w:val="28"/>
        </w:rPr>
        <w:t xml:space="preserve"> preliminar de</w:t>
      </w:r>
      <w:r w:rsidR="003D5734" w:rsidRPr="009700DA">
        <w:rPr>
          <w:rFonts w:ascii="Times New Roman" w:hAnsi="Times New Roman" w:cs="Times New Roman"/>
          <w:bCs/>
          <w:sz w:val="28"/>
          <w:szCs w:val="28"/>
        </w:rPr>
        <w:t xml:space="preserve"> incompetência</w:t>
      </w:r>
      <w:r w:rsidR="00EB7508" w:rsidRPr="009700DA">
        <w:rPr>
          <w:rFonts w:ascii="Times New Roman" w:hAnsi="Times New Roman" w:cs="Times New Roman"/>
          <w:bCs/>
          <w:sz w:val="28"/>
          <w:szCs w:val="28"/>
        </w:rPr>
        <w:t xml:space="preserve"> do Ministério Público Eleitoral e da Justiça Eleitoral</w:t>
      </w:r>
      <w:r w:rsidR="00777FC4" w:rsidRPr="009700DA">
        <w:rPr>
          <w:rFonts w:ascii="Times New Roman" w:hAnsi="Times New Roman" w:cs="Times New Roman"/>
          <w:bCs/>
          <w:sz w:val="28"/>
          <w:szCs w:val="28"/>
        </w:rPr>
        <w:t>, fundada no fato de a vítima ter representado o denunciado pela prática do crime capitulado no artigo 140, parágrafo 3º do CP e não do artigo 326-B do Código Eleitoral,</w:t>
      </w:r>
      <w:r w:rsidR="00EB7508" w:rsidRPr="009700DA">
        <w:rPr>
          <w:rFonts w:ascii="Times New Roman" w:hAnsi="Times New Roman" w:cs="Times New Roman"/>
          <w:bCs/>
          <w:sz w:val="28"/>
          <w:szCs w:val="28"/>
        </w:rPr>
        <w:t xml:space="preserve"> não merece acolhimento.</w:t>
      </w:r>
    </w:p>
    <w:p w14:paraId="2672D242" w14:textId="52999838" w:rsidR="00777FC4" w:rsidRPr="009700DA" w:rsidRDefault="00A43231" w:rsidP="00777FC4">
      <w:pPr>
        <w:pStyle w:val="Ttulo3"/>
        <w:shd w:val="clear" w:color="auto" w:fill="FFFFFF"/>
        <w:spacing w:before="120" w:after="120" w:line="360" w:lineRule="auto"/>
        <w:ind w:firstLine="2835"/>
        <w:jc w:val="both"/>
        <w:rPr>
          <w:rFonts w:ascii="Times New Roman" w:eastAsiaTheme="minorHAnsi" w:hAnsi="Times New Roman" w:cs="Times New Roman"/>
          <w:bCs/>
          <w:i/>
          <w:color w:val="auto"/>
          <w:sz w:val="28"/>
          <w:szCs w:val="28"/>
        </w:rPr>
      </w:pPr>
      <w:r w:rsidRPr="009700DA">
        <w:rPr>
          <w:rFonts w:ascii="Times New Roman" w:eastAsiaTheme="minorHAnsi" w:hAnsi="Times New Roman" w:cs="Times New Roman"/>
          <w:bCs/>
          <w:color w:val="auto"/>
          <w:sz w:val="28"/>
          <w:szCs w:val="28"/>
        </w:rPr>
        <w:t xml:space="preserve">1.1. </w:t>
      </w:r>
      <w:r w:rsidR="00777FC4" w:rsidRPr="009700DA">
        <w:rPr>
          <w:rFonts w:ascii="Times New Roman" w:eastAsiaTheme="minorHAnsi" w:hAnsi="Times New Roman" w:cs="Times New Roman"/>
          <w:bCs/>
          <w:color w:val="auto"/>
          <w:sz w:val="28"/>
          <w:szCs w:val="28"/>
        </w:rPr>
        <w:t xml:space="preserve">De fato, a representação apresentada pela vítima </w:t>
      </w:r>
      <w:r w:rsidR="00F17C9D" w:rsidRPr="009700DA">
        <w:rPr>
          <w:rFonts w:ascii="Times New Roman" w:eastAsiaTheme="minorHAnsi" w:hAnsi="Times New Roman" w:cs="Times New Roman"/>
          <w:bCs/>
          <w:color w:val="auto"/>
          <w:sz w:val="28"/>
          <w:szCs w:val="28"/>
        </w:rPr>
        <w:t>à</w:t>
      </w:r>
      <w:r w:rsidR="00777FC4" w:rsidRPr="009700DA">
        <w:rPr>
          <w:rFonts w:ascii="Times New Roman" w:eastAsiaTheme="minorHAnsi" w:hAnsi="Times New Roman" w:cs="Times New Roman"/>
          <w:bCs/>
          <w:color w:val="auto"/>
          <w:sz w:val="28"/>
          <w:szCs w:val="28"/>
        </w:rPr>
        <w:t xml:space="preserve"> autoridade policial (ID </w:t>
      </w:r>
      <w:hyperlink r:id="rId8" w:tooltip="Abrir documento em outra página" w:history="1">
        <w:r w:rsidR="00777FC4" w:rsidRPr="009700DA">
          <w:rPr>
            <w:rFonts w:ascii="Times New Roman" w:eastAsiaTheme="minorHAnsi" w:hAnsi="Times New Roman" w:cs="Times New Roman"/>
            <w:color w:val="auto"/>
            <w:sz w:val="28"/>
            <w:szCs w:val="28"/>
          </w:rPr>
          <w:t>64222057</w:t>
        </w:r>
      </w:hyperlink>
      <w:r w:rsidR="00777FC4" w:rsidRPr="009700DA">
        <w:rPr>
          <w:rFonts w:ascii="Times New Roman" w:eastAsiaTheme="minorHAnsi" w:hAnsi="Times New Roman" w:cs="Times New Roman"/>
          <w:bCs/>
          <w:color w:val="auto"/>
          <w:sz w:val="28"/>
          <w:szCs w:val="28"/>
        </w:rPr>
        <w:t xml:space="preserve">, pág. 2/7) relata que </w:t>
      </w:r>
      <w:r w:rsidR="00587D20">
        <w:rPr>
          <w:rFonts w:ascii="Times New Roman" w:eastAsiaTheme="minorHAnsi" w:hAnsi="Times New Roman" w:cs="Times New Roman"/>
          <w:bCs/>
          <w:color w:val="auto"/>
          <w:sz w:val="28"/>
          <w:szCs w:val="28"/>
        </w:rPr>
        <w:t>a</w:t>
      </w:r>
      <w:r w:rsidR="00777FC4" w:rsidRPr="009700DA">
        <w:rPr>
          <w:rFonts w:ascii="Times New Roman" w:eastAsiaTheme="minorHAnsi" w:hAnsi="Times New Roman" w:cs="Times New Roman"/>
          <w:bCs/>
          <w:i/>
          <w:color w:val="auto"/>
          <w:sz w:val="28"/>
          <w:szCs w:val="28"/>
        </w:rPr>
        <w:t xml:space="preserve"> conduta do Representado, ao promover agressões verbais de cunho racial, deu azo à caracterização de crime de injúria racial.</w:t>
      </w:r>
    </w:p>
    <w:p w14:paraId="337E1C5A" w14:textId="42A72589" w:rsidR="00777FC4" w:rsidRPr="009700DA" w:rsidRDefault="005F78FE"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Entretanto, a presente demanda não foi ajuizada com base na referida representação, mas por iniciativa do órgão </w:t>
      </w:r>
      <w:r w:rsidR="00587D20">
        <w:rPr>
          <w:rFonts w:ascii="Times New Roman" w:hAnsi="Times New Roman" w:cs="Times New Roman"/>
          <w:bCs/>
          <w:sz w:val="28"/>
          <w:szCs w:val="28"/>
        </w:rPr>
        <w:t>M</w:t>
      </w:r>
      <w:r w:rsidRPr="009700DA">
        <w:rPr>
          <w:rFonts w:ascii="Times New Roman" w:hAnsi="Times New Roman" w:cs="Times New Roman"/>
          <w:bCs/>
          <w:sz w:val="28"/>
          <w:szCs w:val="28"/>
        </w:rPr>
        <w:t>inisterial, provocada pela Procuradora Regional da República da 1ª Região (ID 64051390, pág. 2/5), com vistas a apuração do crime previsto no artigo 326-B do Código Eleitoral.</w:t>
      </w:r>
    </w:p>
    <w:p w14:paraId="6727C003" w14:textId="743F17B9" w:rsidR="00EB7508" w:rsidRPr="009700DA" w:rsidRDefault="00DF0DE1"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Como é cediço, </w:t>
      </w:r>
      <w:r w:rsidR="004D33F9" w:rsidRPr="009700DA">
        <w:rPr>
          <w:rFonts w:ascii="Times New Roman" w:hAnsi="Times New Roman" w:cs="Times New Roman"/>
          <w:bCs/>
          <w:sz w:val="28"/>
          <w:szCs w:val="28"/>
        </w:rPr>
        <w:t xml:space="preserve">todas </w:t>
      </w:r>
      <w:r w:rsidRPr="009700DA">
        <w:rPr>
          <w:rFonts w:ascii="Times New Roman" w:hAnsi="Times New Roman" w:cs="Times New Roman"/>
          <w:bCs/>
          <w:sz w:val="28"/>
          <w:szCs w:val="28"/>
        </w:rPr>
        <w:t xml:space="preserve">as infrações penais definidas no Código Eleitoral são de ação pública </w:t>
      </w:r>
      <w:r w:rsidR="004D33F9" w:rsidRPr="009700DA">
        <w:rPr>
          <w:rFonts w:ascii="Times New Roman" w:hAnsi="Times New Roman" w:cs="Times New Roman"/>
          <w:bCs/>
          <w:sz w:val="28"/>
          <w:szCs w:val="28"/>
        </w:rPr>
        <w:t xml:space="preserve">incondicionada, </w:t>
      </w:r>
      <w:proofErr w:type="spellStart"/>
      <w:r w:rsidR="004D33F9" w:rsidRPr="009700DA">
        <w:rPr>
          <w:rFonts w:ascii="Times New Roman" w:hAnsi="Times New Roman" w:cs="Times New Roman"/>
          <w:bCs/>
          <w:i/>
          <w:sz w:val="28"/>
          <w:szCs w:val="28"/>
        </w:rPr>
        <w:t>ex</w:t>
      </w:r>
      <w:proofErr w:type="spellEnd"/>
      <w:r w:rsidR="004D33F9" w:rsidRPr="009700DA">
        <w:rPr>
          <w:rFonts w:ascii="Times New Roman" w:hAnsi="Times New Roman" w:cs="Times New Roman"/>
          <w:bCs/>
          <w:i/>
          <w:sz w:val="28"/>
          <w:szCs w:val="28"/>
        </w:rPr>
        <w:t xml:space="preserve"> vi</w:t>
      </w:r>
      <w:r w:rsidR="004D33F9" w:rsidRPr="009700DA">
        <w:rPr>
          <w:rFonts w:ascii="Times New Roman" w:hAnsi="Times New Roman" w:cs="Times New Roman"/>
          <w:bCs/>
          <w:sz w:val="28"/>
          <w:szCs w:val="28"/>
        </w:rPr>
        <w:t xml:space="preserve"> do artigo 355 </w:t>
      </w:r>
      <w:r w:rsidR="004D33F9" w:rsidRPr="009700DA">
        <w:rPr>
          <w:rFonts w:ascii="Times New Roman" w:hAnsi="Times New Roman" w:cs="Times New Roman"/>
          <w:bCs/>
          <w:sz w:val="28"/>
          <w:szCs w:val="28"/>
        </w:rPr>
        <w:lastRenderedPageBreak/>
        <w:t>do Código Eleitoral</w:t>
      </w:r>
      <w:r w:rsidR="004D33F9" w:rsidRPr="009700DA">
        <w:rPr>
          <w:rStyle w:val="Refdenotaderodap"/>
          <w:rFonts w:ascii="Times New Roman" w:hAnsi="Times New Roman" w:cs="Times New Roman"/>
          <w:bCs/>
          <w:sz w:val="28"/>
          <w:szCs w:val="28"/>
        </w:rPr>
        <w:footnoteReference w:id="2"/>
      </w:r>
      <w:r w:rsidR="004D33F9" w:rsidRPr="009700DA">
        <w:rPr>
          <w:rFonts w:ascii="Times New Roman" w:hAnsi="Times New Roman" w:cs="Times New Roman"/>
          <w:bCs/>
          <w:sz w:val="28"/>
          <w:szCs w:val="28"/>
        </w:rPr>
        <w:t>, cuja titularidade fica a cargo do me</w:t>
      </w:r>
      <w:r w:rsidR="007438BC" w:rsidRPr="009700DA">
        <w:rPr>
          <w:rFonts w:ascii="Times New Roman" w:hAnsi="Times New Roman" w:cs="Times New Roman"/>
          <w:bCs/>
          <w:sz w:val="28"/>
          <w:szCs w:val="28"/>
        </w:rPr>
        <w:t>mbro do Ministério Público (artigo</w:t>
      </w:r>
      <w:r w:rsidR="004D33F9" w:rsidRPr="009700DA">
        <w:rPr>
          <w:rFonts w:ascii="Times New Roman" w:hAnsi="Times New Roman" w:cs="Times New Roman"/>
          <w:bCs/>
          <w:sz w:val="28"/>
          <w:szCs w:val="28"/>
        </w:rPr>
        <w:t xml:space="preserve"> 129 , I, da </w:t>
      </w:r>
      <w:r w:rsidR="004D33F9" w:rsidRPr="009700DA">
        <w:rPr>
          <w:rFonts w:ascii="Times New Roman" w:hAnsi="Times New Roman" w:cs="Times New Roman"/>
          <w:bCs/>
          <w:i/>
          <w:sz w:val="28"/>
          <w:szCs w:val="28"/>
        </w:rPr>
        <w:t xml:space="preserve">Lex </w:t>
      </w:r>
      <w:proofErr w:type="spellStart"/>
      <w:r w:rsidR="004D33F9" w:rsidRPr="009700DA">
        <w:rPr>
          <w:rFonts w:ascii="Times New Roman" w:hAnsi="Times New Roman" w:cs="Times New Roman"/>
          <w:bCs/>
          <w:i/>
          <w:sz w:val="28"/>
          <w:szCs w:val="28"/>
        </w:rPr>
        <w:t>Fundamentalis</w:t>
      </w:r>
      <w:proofErr w:type="spellEnd"/>
      <w:r w:rsidR="004D33F9" w:rsidRPr="009700DA">
        <w:rPr>
          <w:rStyle w:val="Refdenotaderodap"/>
          <w:rFonts w:ascii="Times New Roman" w:hAnsi="Times New Roman" w:cs="Times New Roman"/>
          <w:bCs/>
          <w:i/>
          <w:sz w:val="28"/>
          <w:szCs w:val="28"/>
        </w:rPr>
        <w:footnoteReference w:id="3"/>
      </w:r>
      <w:r w:rsidR="004D33F9" w:rsidRPr="009700DA">
        <w:rPr>
          <w:rFonts w:ascii="Times New Roman" w:hAnsi="Times New Roman" w:cs="Times New Roman"/>
          <w:bCs/>
          <w:sz w:val="28"/>
          <w:szCs w:val="28"/>
        </w:rPr>
        <w:t>).</w:t>
      </w:r>
    </w:p>
    <w:p w14:paraId="1037AAD5" w14:textId="248FEDF0" w:rsidR="004D33F9" w:rsidRPr="009700DA" w:rsidRDefault="004D33F9"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Em outras palavras, tratando-se de infração penal tipificada </w:t>
      </w:r>
      <w:r w:rsidR="003017A8" w:rsidRPr="009700DA">
        <w:rPr>
          <w:rFonts w:ascii="Times New Roman" w:hAnsi="Times New Roman" w:cs="Times New Roman"/>
          <w:bCs/>
          <w:sz w:val="28"/>
          <w:szCs w:val="28"/>
        </w:rPr>
        <w:t>no Código Eleitoral</w:t>
      </w:r>
      <w:r w:rsidRPr="009700DA">
        <w:rPr>
          <w:rFonts w:ascii="Times New Roman" w:hAnsi="Times New Roman" w:cs="Times New Roman"/>
          <w:bCs/>
          <w:sz w:val="28"/>
          <w:szCs w:val="28"/>
        </w:rPr>
        <w:t>, o Ministério Público Eleitoral é o titular exclusivo da Ação Penal.</w:t>
      </w:r>
    </w:p>
    <w:p w14:paraId="59DF4E91" w14:textId="412E3196" w:rsidR="001E2B72" w:rsidRPr="009700DA" w:rsidRDefault="004D33F9" w:rsidP="001E2B7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Bem por isso, o fato de a Deputada Mônica Seixas ter oferecido representação por injúria racial em desfavor do acusado junto ao DECRADI (Delegacia Especializada em Crimes Raciais e de Intolerância)</w:t>
      </w:r>
      <w:r w:rsidR="005F68C3" w:rsidRPr="009700DA">
        <w:rPr>
          <w:rFonts w:ascii="Times New Roman" w:hAnsi="Times New Roman" w:cs="Times New Roman"/>
          <w:bCs/>
          <w:sz w:val="28"/>
          <w:szCs w:val="28"/>
        </w:rPr>
        <w:t xml:space="preserve"> não</w:t>
      </w:r>
      <w:r w:rsidRPr="009700DA">
        <w:rPr>
          <w:rFonts w:ascii="Times New Roman" w:hAnsi="Times New Roman" w:cs="Times New Roman"/>
          <w:bCs/>
          <w:sz w:val="28"/>
          <w:szCs w:val="28"/>
        </w:rPr>
        <w:t xml:space="preserve"> </w:t>
      </w:r>
      <w:r w:rsidR="005F68C3" w:rsidRPr="009700DA">
        <w:rPr>
          <w:rFonts w:ascii="Times New Roman" w:hAnsi="Times New Roman" w:cs="Times New Roman"/>
          <w:bCs/>
          <w:sz w:val="28"/>
          <w:szCs w:val="28"/>
        </w:rPr>
        <w:t xml:space="preserve">vincula a capitulação jurídica dada aos fatos, tampouco </w:t>
      </w:r>
      <w:r w:rsidRPr="009700DA">
        <w:rPr>
          <w:rFonts w:ascii="Times New Roman" w:hAnsi="Times New Roman" w:cs="Times New Roman"/>
          <w:bCs/>
          <w:sz w:val="28"/>
          <w:szCs w:val="28"/>
        </w:rPr>
        <w:t xml:space="preserve">obsta a atuação do </w:t>
      </w:r>
      <w:r w:rsidRPr="009700DA">
        <w:rPr>
          <w:rFonts w:ascii="Times New Roman" w:hAnsi="Times New Roman" w:cs="Times New Roman"/>
          <w:bCs/>
          <w:i/>
          <w:sz w:val="28"/>
          <w:szCs w:val="28"/>
        </w:rPr>
        <w:t>parquet</w:t>
      </w:r>
      <w:r w:rsidR="005F68C3" w:rsidRPr="009700DA">
        <w:rPr>
          <w:rFonts w:ascii="Times New Roman" w:hAnsi="Times New Roman" w:cs="Times New Roman"/>
          <w:bCs/>
          <w:sz w:val="28"/>
          <w:szCs w:val="28"/>
        </w:rPr>
        <w:t xml:space="preserve"> eleitoral ou </w:t>
      </w:r>
      <w:r w:rsidRPr="009700DA">
        <w:rPr>
          <w:rFonts w:ascii="Times New Roman" w:hAnsi="Times New Roman" w:cs="Times New Roman"/>
          <w:bCs/>
          <w:sz w:val="28"/>
          <w:szCs w:val="28"/>
        </w:rPr>
        <w:t xml:space="preserve">influencia na formação da </w:t>
      </w:r>
      <w:proofErr w:type="spellStart"/>
      <w:r w:rsidRPr="009700DA">
        <w:rPr>
          <w:rFonts w:ascii="Times New Roman" w:hAnsi="Times New Roman" w:cs="Times New Roman"/>
          <w:bCs/>
          <w:i/>
          <w:sz w:val="28"/>
          <w:szCs w:val="28"/>
        </w:rPr>
        <w:t>opinio</w:t>
      </w:r>
      <w:proofErr w:type="spellEnd"/>
      <w:r w:rsidRPr="009700DA">
        <w:rPr>
          <w:rFonts w:ascii="Times New Roman" w:hAnsi="Times New Roman" w:cs="Times New Roman"/>
          <w:bCs/>
          <w:i/>
          <w:sz w:val="28"/>
          <w:szCs w:val="28"/>
        </w:rPr>
        <w:t xml:space="preserve"> delicti</w:t>
      </w:r>
      <w:r w:rsidR="005F68C3" w:rsidRPr="009700DA">
        <w:rPr>
          <w:rFonts w:ascii="Times New Roman" w:hAnsi="Times New Roman" w:cs="Times New Roman"/>
          <w:bCs/>
          <w:sz w:val="28"/>
          <w:szCs w:val="28"/>
        </w:rPr>
        <w:t>.</w:t>
      </w:r>
    </w:p>
    <w:p w14:paraId="56272140" w14:textId="0E0AE8DE" w:rsidR="00B6100E" w:rsidRPr="009700DA" w:rsidRDefault="00B6100E" w:rsidP="004D33F9">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A propósito, como leciona José Jairo Gomes, </w:t>
      </w:r>
      <w:r w:rsidRPr="009700DA">
        <w:rPr>
          <w:rFonts w:ascii="Times New Roman" w:hAnsi="Times New Roman" w:cs="Times New Roman"/>
          <w:bCs/>
          <w:i/>
          <w:sz w:val="28"/>
          <w:szCs w:val="28"/>
        </w:rPr>
        <w:t xml:space="preserve">o tipo do art. 326-B apresenta elementos ou circunstâncias “que, por si mesmos, constituem crimes”, tratando-se, portanto, de crime complexo (CP, art. 101). É o que ocorre com </w:t>
      </w:r>
      <w:proofErr w:type="gramStart"/>
      <w:r w:rsidRPr="009700DA">
        <w:rPr>
          <w:rFonts w:ascii="Times New Roman" w:hAnsi="Times New Roman" w:cs="Times New Roman"/>
          <w:bCs/>
          <w:i/>
          <w:sz w:val="28"/>
          <w:szCs w:val="28"/>
        </w:rPr>
        <w:t>as elementares</w:t>
      </w:r>
      <w:proofErr w:type="gramEnd"/>
      <w:r w:rsidRPr="009700DA">
        <w:rPr>
          <w:rFonts w:ascii="Times New Roman" w:hAnsi="Times New Roman" w:cs="Times New Roman"/>
          <w:bCs/>
          <w:i/>
          <w:sz w:val="28"/>
          <w:szCs w:val="28"/>
        </w:rPr>
        <w:t xml:space="preserve"> “constranger” e “ameaçar”, previstas nos </w:t>
      </w:r>
      <w:proofErr w:type="spellStart"/>
      <w:r w:rsidRPr="009700DA">
        <w:rPr>
          <w:rFonts w:ascii="Times New Roman" w:hAnsi="Times New Roman" w:cs="Times New Roman"/>
          <w:bCs/>
          <w:i/>
          <w:sz w:val="28"/>
          <w:szCs w:val="28"/>
        </w:rPr>
        <w:t>arts</w:t>
      </w:r>
      <w:proofErr w:type="spellEnd"/>
      <w:r w:rsidRPr="009700DA">
        <w:rPr>
          <w:rFonts w:ascii="Times New Roman" w:hAnsi="Times New Roman" w:cs="Times New Roman"/>
          <w:bCs/>
          <w:i/>
          <w:sz w:val="28"/>
          <w:szCs w:val="28"/>
        </w:rPr>
        <w:t>. 146 e 147 do Código Penal respectivamente como crimes de constrangimento ilegal e ameaça, bem como com o uso “de menosprezo ou discriminação à condição de mulher ou à sua cor, raça ou etnia”, fato que pode caracterizar injúria racial, conforme prevê o art. 140, §3°, do CP. No caso, incide o princípio da consunção, prevalecendo o crime do art. 326-B do CE, que absorve os demais</w:t>
      </w:r>
      <w:r w:rsidRPr="009700DA">
        <w:rPr>
          <w:rFonts w:ascii="Times New Roman" w:hAnsi="Times New Roman" w:cs="Times New Roman"/>
          <w:bCs/>
          <w:sz w:val="28"/>
          <w:szCs w:val="28"/>
        </w:rPr>
        <w:t xml:space="preserve"> (GOMES, José Jairo. </w:t>
      </w:r>
      <w:r w:rsidRPr="009700DA">
        <w:rPr>
          <w:rFonts w:ascii="Times New Roman" w:hAnsi="Times New Roman" w:cs="Times New Roman"/>
          <w:bCs/>
          <w:i/>
          <w:sz w:val="28"/>
          <w:szCs w:val="28"/>
        </w:rPr>
        <w:t>Crimes eleitorais e processo penal eleitoral</w:t>
      </w:r>
      <w:r w:rsidRPr="009700DA">
        <w:rPr>
          <w:rFonts w:ascii="Times New Roman" w:hAnsi="Times New Roman" w:cs="Times New Roman"/>
          <w:bCs/>
          <w:sz w:val="28"/>
          <w:szCs w:val="28"/>
        </w:rPr>
        <w:t xml:space="preserve"> – 6</w:t>
      </w:r>
      <w:r w:rsidR="005F78FE" w:rsidRPr="009700DA">
        <w:rPr>
          <w:rFonts w:ascii="Times New Roman" w:hAnsi="Times New Roman" w:cs="Times New Roman"/>
          <w:bCs/>
          <w:sz w:val="28"/>
          <w:szCs w:val="28"/>
        </w:rPr>
        <w:t>ª</w:t>
      </w:r>
      <w:r w:rsidRPr="009700DA">
        <w:rPr>
          <w:rFonts w:ascii="Times New Roman" w:hAnsi="Times New Roman" w:cs="Times New Roman"/>
          <w:bCs/>
          <w:sz w:val="28"/>
          <w:szCs w:val="28"/>
        </w:rPr>
        <w:t xml:space="preserve"> ed. – Barueri</w:t>
      </w:r>
      <w:r w:rsidR="005F78FE" w:rsidRPr="009700DA">
        <w:rPr>
          <w:rFonts w:ascii="Times New Roman" w:hAnsi="Times New Roman" w:cs="Times New Roman"/>
          <w:bCs/>
          <w:sz w:val="28"/>
          <w:szCs w:val="28"/>
        </w:rPr>
        <w:t>/</w:t>
      </w:r>
      <w:r w:rsidRPr="009700DA">
        <w:rPr>
          <w:rFonts w:ascii="Times New Roman" w:hAnsi="Times New Roman" w:cs="Times New Roman"/>
          <w:bCs/>
          <w:sz w:val="28"/>
          <w:szCs w:val="28"/>
        </w:rPr>
        <w:t>SP</w:t>
      </w:r>
      <w:r w:rsidR="005F78FE" w:rsidRPr="009700DA">
        <w:rPr>
          <w:rFonts w:ascii="Times New Roman" w:hAnsi="Times New Roman" w:cs="Times New Roman"/>
          <w:bCs/>
          <w:sz w:val="28"/>
          <w:szCs w:val="28"/>
        </w:rPr>
        <w:t>,</w:t>
      </w:r>
      <w:r w:rsidRPr="009700DA">
        <w:rPr>
          <w:rFonts w:ascii="Times New Roman" w:hAnsi="Times New Roman" w:cs="Times New Roman"/>
          <w:bCs/>
          <w:sz w:val="28"/>
          <w:szCs w:val="28"/>
        </w:rPr>
        <w:t xml:space="preserve"> Atlas, 2022, p.179).</w:t>
      </w:r>
    </w:p>
    <w:p w14:paraId="29E8DCF6" w14:textId="202FF6F8" w:rsidR="001E2B72" w:rsidRPr="009700DA" w:rsidRDefault="001E2B72" w:rsidP="001E2B7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Nesse mesmo diapasão, </w:t>
      </w:r>
      <w:r w:rsidR="00BC1571" w:rsidRPr="009700DA">
        <w:rPr>
          <w:rFonts w:ascii="Times New Roman" w:hAnsi="Times New Roman" w:cs="Times New Roman"/>
          <w:bCs/>
          <w:sz w:val="28"/>
          <w:szCs w:val="28"/>
        </w:rPr>
        <w:t xml:space="preserve">eventual </w:t>
      </w:r>
      <w:r w:rsidRPr="009700DA">
        <w:rPr>
          <w:rFonts w:ascii="Times New Roman" w:hAnsi="Times New Roman" w:cs="Times New Roman"/>
          <w:bCs/>
          <w:sz w:val="28"/>
          <w:szCs w:val="28"/>
        </w:rPr>
        <w:t xml:space="preserve">arquivamento de representação pelo Conselho de Ética e Decoro Parlamentar da Assembleia Legislativa do Estado de São Paulo não obsta a </w:t>
      </w:r>
      <w:proofErr w:type="spellStart"/>
      <w:r w:rsidRPr="009700DA">
        <w:rPr>
          <w:rFonts w:ascii="Times New Roman" w:hAnsi="Times New Roman" w:cs="Times New Roman"/>
          <w:bCs/>
          <w:i/>
          <w:sz w:val="28"/>
          <w:szCs w:val="28"/>
        </w:rPr>
        <w:t>persecutio</w:t>
      </w:r>
      <w:proofErr w:type="spellEnd"/>
      <w:r w:rsidRPr="009700DA">
        <w:rPr>
          <w:rFonts w:ascii="Times New Roman" w:hAnsi="Times New Roman" w:cs="Times New Roman"/>
          <w:bCs/>
          <w:i/>
          <w:sz w:val="28"/>
          <w:szCs w:val="28"/>
        </w:rPr>
        <w:t xml:space="preserve"> criminis</w:t>
      </w:r>
      <w:r w:rsidRPr="009700DA">
        <w:rPr>
          <w:rFonts w:ascii="Times New Roman" w:hAnsi="Times New Roman" w:cs="Times New Roman"/>
          <w:bCs/>
          <w:sz w:val="28"/>
          <w:szCs w:val="28"/>
        </w:rPr>
        <w:t xml:space="preserve">, ou seja, </w:t>
      </w:r>
      <w:r w:rsidRPr="009700DA">
        <w:rPr>
          <w:rFonts w:ascii="Times New Roman" w:hAnsi="Times New Roman" w:cs="Times New Roman"/>
          <w:bCs/>
          <w:sz w:val="28"/>
          <w:szCs w:val="28"/>
        </w:rPr>
        <w:lastRenderedPageBreak/>
        <w:t>não representa qualquer impedimento à apuração criminal, tendo em vista</w:t>
      </w:r>
      <w:r w:rsidR="000D0AD3" w:rsidRPr="009700DA">
        <w:rPr>
          <w:rFonts w:ascii="Times New Roman" w:hAnsi="Times New Roman" w:cs="Times New Roman"/>
          <w:bCs/>
          <w:sz w:val="28"/>
          <w:szCs w:val="28"/>
        </w:rPr>
        <w:t xml:space="preserve"> que</w:t>
      </w:r>
      <w:r w:rsidRPr="009700DA">
        <w:rPr>
          <w:rFonts w:ascii="Times New Roman" w:hAnsi="Times New Roman" w:cs="Times New Roman"/>
          <w:bCs/>
          <w:sz w:val="28"/>
          <w:szCs w:val="28"/>
        </w:rPr>
        <w:t xml:space="preserve"> as esferas</w:t>
      </w:r>
      <w:r w:rsidRPr="009700DA">
        <w:rPr>
          <w:rFonts w:ascii="Times New Roman" w:hAnsi="Times New Roman" w:cs="Times New Roman"/>
          <w:bCs/>
          <w:i/>
          <w:sz w:val="28"/>
          <w:szCs w:val="28"/>
        </w:rPr>
        <w:t xml:space="preserve"> </w:t>
      </w:r>
      <w:r w:rsidR="00BC1571" w:rsidRPr="009700DA">
        <w:rPr>
          <w:rFonts w:ascii="Times New Roman" w:hAnsi="Times New Roman" w:cs="Times New Roman"/>
          <w:bCs/>
          <w:sz w:val="28"/>
          <w:szCs w:val="28"/>
        </w:rPr>
        <w:t>cível, criminal e administrativa</w:t>
      </w:r>
      <w:r w:rsidR="00BC1571" w:rsidRPr="009700DA">
        <w:rPr>
          <w:rFonts w:ascii="Times New Roman" w:hAnsi="Times New Roman" w:cs="Times New Roman"/>
          <w:bCs/>
          <w:i/>
          <w:sz w:val="28"/>
          <w:szCs w:val="28"/>
        </w:rPr>
        <w:t xml:space="preserve"> </w:t>
      </w:r>
      <w:r w:rsidRPr="009700DA">
        <w:rPr>
          <w:rFonts w:ascii="Times New Roman" w:hAnsi="Times New Roman" w:cs="Times New Roman"/>
          <w:bCs/>
          <w:i/>
          <w:sz w:val="28"/>
          <w:szCs w:val="28"/>
        </w:rPr>
        <w:t>são incomunicáveis e independentes entre si</w:t>
      </w:r>
      <w:r w:rsidRPr="009700DA">
        <w:rPr>
          <w:rFonts w:ascii="Times New Roman" w:hAnsi="Times New Roman" w:cs="Times New Roman"/>
          <w:bCs/>
          <w:sz w:val="28"/>
          <w:szCs w:val="28"/>
        </w:rPr>
        <w:t xml:space="preserve"> (TSE,</w:t>
      </w:r>
      <w:r w:rsidRPr="009700DA">
        <w:rPr>
          <w:rFonts w:ascii="Times New Roman" w:hAnsi="Times New Roman" w:cs="Times New Roman"/>
        </w:rPr>
        <w:t xml:space="preserve"> </w:t>
      </w:r>
      <w:r w:rsidRPr="009700DA">
        <w:rPr>
          <w:rFonts w:ascii="Times New Roman" w:hAnsi="Times New Roman" w:cs="Times New Roman"/>
          <w:bCs/>
          <w:sz w:val="28"/>
          <w:szCs w:val="28"/>
        </w:rPr>
        <w:t xml:space="preserve">Recurso em Habeas Corpus nº 18057, Relatora Min. Luciana </w:t>
      </w:r>
      <w:proofErr w:type="spellStart"/>
      <w:r w:rsidRPr="009700DA">
        <w:rPr>
          <w:rFonts w:ascii="Times New Roman" w:hAnsi="Times New Roman" w:cs="Times New Roman"/>
          <w:bCs/>
          <w:sz w:val="28"/>
          <w:szCs w:val="28"/>
        </w:rPr>
        <w:t>Lóssio</w:t>
      </w:r>
      <w:proofErr w:type="spellEnd"/>
      <w:r w:rsidRPr="009700DA">
        <w:rPr>
          <w:rFonts w:ascii="Times New Roman" w:hAnsi="Times New Roman" w:cs="Times New Roman"/>
          <w:bCs/>
          <w:sz w:val="28"/>
          <w:szCs w:val="28"/>
        </w:rPr>
        <w:t>, j. 07.06.2016).</w:t>
      </w:r>
    </w:p>
    <w:p w14:paraId="1B6EBD53" w14:textId="54EE96FF" w:rsidR="00A43231" w:rsidRPr="009700DA" w:rsidRDefault="00A43231" w:rsidP="004D33F9">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1.2. </w:t>
      </w:r>
      <w:r w:rsidR="00023ADE" w:rsidRPr="009700DA">
        <w:rPr>
          <w:rFonts w:ascii="Times New Roman" w:hAnsi="Times New Roman" w:cs="Times New Roman"/>
          <w:bCs/>
          <w:sz w:val="28"/>
          <w:szCs w:val="28"/>
        </w:rPr>
        <w:t>Destaco, ainda, que o</w:t>
      </w:r>
      <w:r w:rsidRPr="009700DA">
        <w:rPr>
          <w:rFonts w:ascii="Times New Roman" w:hAnsi="Times New Roman" w:cs="Times New Roman"/>
          <w:bCs/>
          <w:sz w:val="28"/>
          <w:szCs w:val="28"/>
        </w:rPr>
        <w:t xml:space="preserve"> artigo 35, II, do Código Eleitoral estabelece competir aos juízes eleitorais </w:t>
      </w:r>
      <w:r w:rsidRPr="009700DA">
        <w:rPr>
          <w:rFonts w:ascii="Times New Roman" w:hAnsi="Times New Roman" w:cs="Times New Roman"/>
          <w:bCs/>
          <w:i/>
          <w:sz w:val="28"/>
          <w:szCs w:val="28"/>
        </w:rPr>
        <w:t xml:space="preserve">processar e julgar os crimes eleitorais e os comuns que lhe forem conexos, ressalvada a competência originária do Tribunal Superior e dos </w:t>
      </w:r>
      <w:r w:rsidR="00023ADE" w:rsidRPr="009700DA">
        <w:rPr>
          <w:rFonts w:ascii="Times New Roman" w:hAnsi="Times New Roman" w:cs="Times New Roman"/>
          <w:bCs/>
          <w:i/>
          <w:sz w:val="28"/>
          <w:szCs w:val="28"/>
        </w:rPr>
        <w:t>Tribunais Regionais</w:t>
      </w:r>
      <w:r w:rsidRPr="009700DA">
        <w:rPr>
          <w:rFonts w:ascii="Times New Roman" w:hAnsi="Times New Roman" w:cs="Times New Roman"/>
          <w:bCs/>
          <w:sz w:val="28"/>
          <w:szCs w:val="28"/>
        </w:rPr>
        <w:t>.</w:t>
      </w:r>
    </w:p>
    <w:p w14:paraId="144E65AA" w14:textId="77777777" w:rsidR="00F17C9D" w:rsidRPr="009700DA" w:rsidRDefault="00F17C9D" w:rsidP="00F17C9D">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De acordo com o princípio da consunção ou absorção, a lei consuntiva, que prevê o fato como um todo, de maneira mais ampla, prevalece sobre a lei consumida, aquela no qual o fato é previsto apenas em parte, de maneira mais restrita. </w:t>
      </w:r>
    </w:p>
    <w:p w14:paraId="1E9ED818" w14:textId="77777777" w:rsidR="00F17C9D" w:rsidRPr="009700DA" w:rsidRDefault="00F17C9D" w:rsidP="00F17C9D">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Este critério é aplicado comumente nos casos de </w:t>
      </w:r>
      <w:r w:rsidRPr="009700DA">
        <w:rPr>
          <w:rFonts w:ascii="Times New Roman" w:hAnsi="Times New Roman" w:cs="Times New Roman"/>
          <w:sz w:val="28"/>
          <w:szCs w:val="28"/>
        </w:rPr>
        <w:t>crime progressivo</w:t>
      </w:r>
      <w:r w:rsidRPr="009700DA">
        <w:rPr>
          <w:rFonts w:ascii="Times New Roman" w:hAnsi="Times New Roman" w:cs="Times New Roman"/>
          <w:bCs/>
          <w:sz w:val="28"/>
          <w:szCs w:val="28"/>
        </w:rPr>
        <w:t>, que é caracterizado nas situações em que é necessária a realização de um crime menos grave para a consumação do crime mais grave e na progressão criminosa, que ocorre quando, durante a realização de um crime menos grave, altera-se o dolo, passando-se a realizar um crime mais grave.</w:t>
      </w:r>
    </w:p>
    <w:p w14:paraId="4ED4C013" w14:textId="77777777" w:rsidR="00F17C9D" w:rsidRPr="009700DA" w:rsidRDefault="00F17C9D" w:rsidP="00F17C9D">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Ainda que não seja a única forma de praticar o delito do artigo 326-B do Código Eleitoral, a injúria racial é um </w:t>
      </w:r>
      <w:r w:rsidRPr="009700DA">
        <w:rPr>
          <w:rFonts w:ascii="Times New Roman" w:hAnsi="Times New Roman" w:cs="Times New Roman"/>
          <w:bCs/>
          <w:i/>
          <w:sz w:val="28"/>
          <w:szCs w:val="28"/>
        </w:rPr>
        <w:t>modus operandi</w:t>
      </w:r>
      <w:r w:rsidRPr="009700DA">
        <w:rPr>
          <w:rFonts w:ascii="Times New Roman" w:hAnsi="Times New Roman" w:cs="Times New Roman"/>
          <w:bCs/>
          <w:sz w:val="28"/>
          <w:szCs w:val="28"/>
        </w:rPr>
        <w:t xml:space="preserve"> de se cometer o referido crime, quando presentes as demais circunstâncias específicas, principalmente na modalidade que tem como núcleo o verbo “humilhar”, dado que ambos está presente a elementar raça ou etnia e tanto a injúria como a humilhação atingem a honra subjetiva da vítima.</w:t>
      </w:r>
    </w:p>
    <w:p w14:paraId="52D96AF3" w14:textId="77777777" w:rsidR="00F17C9D" w:rsidRPr="009700DA" w:rsidRDefault="00F17C9D" w:rsidP="00F17C9D">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As principais diferenças entre os delitos são que o crime do Código Penal tem por objeto a tutela da honra, enquanto que o crime da legislação especial tem por escopo a proteção da campanha eleitoral </w:t>
      </w:r>
      <w:r w:rsidRPr="009700DA">
        <w:rPr>
          <w:rFonts w:ascii="Times New Roman" w:hAnsi="Times New Roman" w:cs="Times New Roman"/>
          <w:bCs/>
          <w:sz w:val="28"/>
          <w:szCs w:val="28"/>
        </w:rPr>
        <w:lastRenderedPageBreak/>
        <w:t>da candidata a cargo eletivo ou do desempenho do mandato por sua detentora, o que não modifica a relação de consunção entre os tipos penais.</w:t>
      </w:r>
    </w:p>
    <w:p w14:paraId="79E8C224" w14:textId="195679A9" w:rsidR="00F17C9D" w:rsidRPr="009700DA" w:rsidRDefault="00F17C9D" w:rsidP="00F17C9D">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Deste modo, </w:t>
      </w:r>
      <w:r w:rsidRPr="009700DA">
        <w:rPr>
          <w:rFonts w:ascii="Times New Roman" w:hAnsi="Times New Roman" w:cs="Times New Roman"/>
          <w:bCs/>
          <w:i/>
          <w:sz w:val="28"/>
          <w:szCs w:val="28"/>
        </w:rPr>
        <w:t xml:space="preserve">in status </w:t>
      </w:r>
      <w:proofErr w:type="spellStart"/>
      <w:r w:rsidRPr="009700DA">
        <w:rPr>
          <w:rFonts w:ascii="Times New Roman" w:hAnsi="Times New Roman" w:cs="Times New Roman"/>
          <w:bCs/>
          <w:i/>
          <w:sz w:val="28"/>
          <w:szCs w:val="28"/>
        </w:rPr>
        <w:t>assertionis</w:t>
      </w:r>
      <w:proofErr w:type="spellEnd"/>
      <w:r w:rsidRPr="009700DA">
        <w:rPr>
          <w:rFonts w:ascii="Times New Roman" w:hAnsi="Times New Roman" w:cs="Times New Roman"/>
          <w:bCs/>
          <w:sz w:val="28"/>
          <w:szCs w:val="28"/>
        </w:rPr>
        <w:t>, adequando-se os fatos descritos na denúncia ao crime previsto no Código Eleitoral, o crime de injúria racial</w:t>
      </w:r>
      <w:r w:rsidR="00587D20">
        <w:rPr>
          <w:rFonts w:ascii="Times New Roman" w:hAnsi="Times New Roman" w:cs="Times New Roman"/>
          <w:bCs/>
          <w:sz w:val="28"/>
          <w:szCs w:val="28"/>
        </w:rPr>
        <w:t xml:space="preserve"> pode vir a ser considerado </w:t>
      </w:r>
      <w:r w:rsidRPr="009700DA">
        <w:rPr>
          <w:rFonts w:ascii="Times New Roman" w:hAnsi="Times New Roman" w:cs="Times New Roman"/>
          <w:bCs/>
          <w:sz w:val="28"/>
          <w:szCs w:val="28"/>
        </w:rPr>
        <w:t>absorvido por ele, sendo evidente a competência da Justiça Eleitoral para processar e julgar os crimes previsto no mencionado Código.</w:t>
      </w:r>
    </w:p>
    <w:p w14:paraId="18D7FD6D" w14:textId="133E19B9" w:rsidR="00A43231" w:rsidRPr="009700DA" w:rsidRDefault="00F23BB2" w:rsidP="00A43231">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Nesse sentir, destaco que a petição inicial imputa ao acusado a prática de violência política e de gênero, nos termos do artigo 326-B do Código Eleitoral. A inserção de referido tipo penal no Código Eleitoral, por si só, já é suficiente para alicerçar a atua</w:t>
      </w:r>
      <w:r w:rsidR="006C6872" w:rsidRPr="009700DA">
        <w:rPr>
          <w:rFonts w:ascii="Times New Roman" w:hAnsi="Times New Roman" w:cs="Times New Roman"/>
          <w:bCs/>
          <w:sz w:val="28"/>
          <w:szCs w:val="28"/>
        </w:rPr>
        <w:t>ção desta Justiça Especializada, mormente diante da</w:t>
      </w:r>
      <w:r w:rsidR="005F68C3" w:rsidRPr="009700DA">
        <w:rPr>
          <w:rFonts w:ascii="Times New Roman" w:hAnsi="Times New Roman" w:cs="Times New Roman"/>
          <w:bCs/>
          <w:sz w:val="28"/>
          <w:szCs w:val="28"/>
        </w:rPr>
        <w:t xml:space="preserve"> sua </w:t>
      </w:r>
      <w:r w:rsidR="006C6872" w:rsidRPr="009700DA">
        <w:rPr>
          <w:rFonts w:ascii="Times New Roman" w:hAnsi="Times New Roman" w:cs="Times New Roman"/>
          <w:bCs/>
          <w:sz w:val="28"/>
          <w:szCs w:val="28"/>
        </w:rPr>
        <w:t xml:space="preserve">competência </w:t>
      </w:r>
      <w:r w:rsidR="00A43231" w:rsidRPr="009700DA">
        <w:rPr>
          <w:rFonts w:ascii="Times New Roman" w:hAnsi="Times New Roman" w:cs="Times New Roman"/>
          <w:bCs/>
          <w:sz w:val="28"/>
          <w:szCs w:val="28"/>
        </w:rPr>
        <w:t>absoluta</w:t>
      </w:r>
      <w:r w:rsidR="00AD2CCD" w:rsidRPr="009700DA">
        <w:rPr>
          <w:rFonts w:ascii="Times New Roman" w:hAnsi="Times New Roman" w:cs="Times New Roman"/>
          <w:bCs/>
          <w:sz w:val="28"/>
          <w:szCs w:val="28"/>
        </w:rPr>
        <w:t>, conforme reiteradas manifestações do Supremo Tribunal Federal</w:t>
      </w:r>
      <w:r w:rsidR="00A43231" w:rsidRPr="009700DA">
        <w:rPr>
          <w:rFonts w:ascii="Times New Roman" w:hAnsi="Times New Roman" w:cs="Times New Roman"/>
          <w:bCs/>
          <w:sz w:val="28"/>
          <w:szCs w:val="28"/>
        </w:rPr>
        <w:t xml:space="preserve"> (</w:t>
      </w:r>
      <w:r w:rsidR="00AD2CCD" w:rsidRPr="009700DA">
        <w:rPr>
          <w:rFonts w:ascii="Times New Roman" w:hAnsi="Times New Roman" w:cs="Times New Roman"/>
          <w:bCs/>
          <w:i/>
          <w:sz w:val="28"/>
          <w:szCs w:val="28"/>
        </w:rPr>
        <w:t xml:space="preserve">v.g., </w:t>
      </w:r>
      <w:r w:rsidR="00A43231" w:rsidRPr="009700DA">
        <w:rPr>
          <w:rFonts w:ascii="Times New Roman" w:hAnsi="Times New Roman" w:cs="Times New Roman"/>
          <w:bCs/>
          <w:sz w:val="28"/>
          <w:szCs w:val="28"/>
        </w:rPr>
        <w:t>STF,</w:t>
      </w:r>
      <w:r w:rsidR="00AD2CCD" w:rsidRPr="009700DA">
        <w:rPr>
          <w:rFonts w:ascii="Times New Roman" w:hAnsi="Times New Roman" w:cs="Times New Roman"/>
          <w:bCs/>
          <w:sz w:val="28"/>
          <w:szCs w:val="28"/>
        </w:rPr>
        <w:t xml:space="preserve"> INQ</w:t>
      </w:r>
      <w:r w:rsidR="00A43231" w:rsidRPr="009700DA">
        <w:rPr>
          <w:rFonts w:ascii="Times New Roman" w:hAnsi="Times New Roman" w:cs="Times New Roman"/>
          <w:bCs/>
          <w:sz w:val="28"/>
          <w:szCs w:val="28"/>
        </w:rPr>
        <w:t xml:space="preserve"> 4435 </w:t>
      </w:r>
      <w:proofErr w:type="spellStart"/>
      <w:r w:rsidR="00A43231" w:rsidRPr="009700DA">
        <w:rPr>
          <w:rFonts w:ascii="Times New Roman" w:hAnsi="Times New Roman" w:cs="Times New Roman"/>
          <w:bCs/>
          <w:sz w:val="28"/>
          <w:szCs w:val="28"/>
        </w:rPr>
        <w:t>AgR</w:t>
      </w:r>
      <w:proofErr w:type="spellEnd"/>
      <w:r w:rsidR="00A43231" w:rsidRPr="009700DA">
        <w:rPr>
          <w:rFonts w:ascii="Times New Roman" w:hAnsi="Times New Roman" w:cs="Times New Roman"/>
          <w:bCs/>
          <w:sz w:val="28"/>
          <w:szCs w:val="28"/>
        </w:rPr>
        <w:t>-quarto-QO, Relator</w:t>
      </w:r>
      <w:r w:rsidR="00AD2CCD" w:rsidRPr="009700DA">
        <w:rPr>
          <w:rFonts w:ascii="Times New Roman" w:hAnsi="Times New Roman" w:cs="Times New Roman"/>
          <w:bCs/>
          <w:sz w:val="28"/>
          <w:szCs w:val="28"/>
        </w:rPr>
        <w:t xml:space="preserve"> Sorteado: Min. MARCO AURÉLIO, Relator Designado</w:t>
      </w:r>
      <w:r w:rsidR="00A43231" w:rsidRPr="009700DA">
        <w:rPr>
          <w:rFonts w:ascii="Times New Roman" w:hAnsi="Times New Roman" w:cs="Times New Roman"/>
          <w:bCs/>
          <w:sz w:val="28"/>
          <w:szCs w:val="28"/>
        </w:rPr>
        <w:t>:</w:t>
      </w:r>
      <w:r w:rsidR="00AD2CCD" w:rsidRPr="009700DA">
        <w:rPr>
          <w:rFonts w:ascii="Times New Roman" w:hAnsi="Times New Roman" w:cs="Times New Roman"/>
          <w:bCs/>
          <w:sz w:val="28"/>
          <w:szCs w:val="28"/>
        </w:rPr>
        <w:t xml:space="preserve"> Min.</w:t>
      </w:r>
      <w:r w:rsidR="00A43231" w:rsidRPr="009700DA">
        <w:rPr>
          <w:rFonts w:ascii="Times New Roman" w:hAnsi="Times New Roman" w:cs="Times New Roman"/>
          <w:bCs/>
          <w:sz w:val="28"/>
          <w:szCs w:val="28"/>
        </w:rPr>
        <w:t xml:space="preserve"> ROBERTO BARROSO</w:t>
      </w:r>
      <w:r w:rsidR="00AD2CCD" w:rsidRPr="009700DA">
        <w:rPr>
          <w:rFonts w:ascii="Times New Roman" w:hAnsi="Times New Roman" w:cs="Times New Roman"/>
          <w:bCs/>
          <w:sz w:val="28"/>
          <w:szCs w:val="28"/>
        </w:rPr>
        <w:t>, Primeira Turma, j</w:t>
      </w:r>
      <w:r w:rsidR="001112EE" w:rsidRPr="009700DA">
        <w:rPr>
          <w:rFonts w:ascii="Times New Roman" w:hAnsi="Times New Roman" w:cs="Times New Roman"/>
          <w:bCs/>
          <w:sz w:val="28"/>
          <w:szCs w:val="28"/>
        </w:rPr>
        <w:t>.</w:t>
      </w:r>
      <w:r w:rsidR="00AD2CCD" w:rsidRPr="009700DA">
        <w:rPr>
          <w:rFonts w:ascii="Times New Roman" w:hAnsi="Times New Roman" w:cs="Times New Roman"/>
          <w:bCs/>
          <w:sz w:val="28"/>
          <w:szCs w:val="28"/>
        </w:rPr>
        <w:t xml:space="preserve"> 20.11.2018</w:t>
      </w:r>
      <w:r w:rsidR="00A43231" w:rsidRPr="009700DA">
        <w:rPr>
          <w:rFonts w:ascii="Times New Roman" w:hAnsi="Times New Roman" w:cs="Times New Roman"/>
          <w:bCs/>
          <w:sz w:val="28"/>
          <w:szCs w:val="28"/>
        </w:rPr>
        <w:t>)</w:t>
      </w:r>
      <w:r w:rsidR="00AD2CCD" w:rsidRPr="009700DA">
        <w:rPr>
          <w:rFonts w:ascii="Times New Roman" w:hAnsi="Times New Roman" w:cs="Times New Roman"/>
          <w:bCs/>
          <w:sz w:val="28"/>
          <w:szCs w:val="28"/>
        </w:rPr>
        <w:t>.</w:t>
      </w:r>
    </w:p>
    <w:p w14:paraId="6B0805FE" w14:textId="7AE52AA1" w:rsidR="00AD2CCD" w:rsidRPr="009700DA" w:rsidRDefault="002A4E60"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Registro, outrossim, decisão daquela </w:t>
      </w:r>
      <w:r w:rsidR="00AD2CCD" w:rsidRPr="009700DA">
        <w:rPr>
          <w:rFonts w:ascii="Times New Roman" w:hAnsi="Times New Roman" w:cs="Times New Roman"/>
          <w:bCs/>
          <w:sz w:val="28"/>
          <w:szCs w:val="28"/>
        </w:rPr>
        <w:t>Suprema Corte</w:t>
      </w:r>
      <w:r w:rsidR="00704A55" w:rsidRPr="009700DA">
        <w:rPr>
          <w:rFonts w:ascii="Times New Roman" w:hAnsi="Times New Roman" w:cs="Times New Roman"/>
          <w:bCs/>
          <w:sz w:val="28"/>
          <w:szCs w:val="28"/>
        </w:rPr>
        <w:t xml:space="preserve"> que, </w:t>
      </w:r>
      <w:r w:rsidR="00704A55" w:rsidRPr="009700DA">
        <w:rPr>
          <w:rFonts w:ascii="Times New Roman" w:hAnsi="Times New Roman" w:cs="Times New Roman"/>
          <w:bCs/>
          <w:i/>
          <w:sz w:val="28"/>
          <w:szCs w:val="28"/>
        </w:rPr>
        <w:t>mutatis mutandis</w:t>
      </w:r>
      <w:r w:rsidR="00704A55" w:rsidRPr="009700DA">
        <w:rPr>
          <w:rFonts w:ascii="Times New Roman" w:hAnsi="Times New Roman" w:cs="Times New Roman"/>
          <w:bCs/>
          <w:sz w:val="28"/>
          <w:szCs w:val="28"/>
        </w:rPr>
        <w:t>, ao se deparar com interpelação judicial criminal que tinha por objeto o tipo penal em questão (artigo 326-B, CE),</w:t>
      </w:r>
      <w:r w:rsidR="007D5173" w:rsidRPr="009700DA">
        <w:rPr>
          <w:rFonts w:ascii="Times New Roman" w:hAnsi="Times New Roman" w:cs="Times New Roman"/>
          <w:bCs/>
          <w:sz w:val="28"/>
          <w:szCs w:val="28"/>
        </w:rPr>
        <w:t xml:space="preserve"> </w:t>
      </w:r>
      <w:r w:rsidR="00704A55" w:rsidRPr="009700DA">
        <w:rPr>
          <w:rFonts w:ascii="Times New Roman" w:hAnsi="Times New Roman" w:cs="Times New Roman"/>
          <w:bCs/>
          <w:sz w:val="28"/>
          <w:szCs w:val="28"/>
        </w:rPr>
        <w:t xml:space="preserve">determinou a remessa do procedimento ao </w:t>
      </w:r>
      <w:r w:rsidR="00704A55" w:rsidRPr="009700DA">
        <w:rPr>
          <w:rFonts w:ascii="Times New Roman" w:hAnsi="Times New Roman" w:cs="Times New Roman"/>
          <w:bCs/>
          <w:sz w:val="28"/>
          <w:szCs w:val="28"/>
          <w:u w:val="single"/>
        </w:rPr>
        <w:t>Juízo Eleitoral</w:t>
      </w:r>
      <w:r w:rsidR="00704A55" w:rsidRPr="009700DA">
        <w:rPr>
          <w:rFonts w:ascii="Times New Roman" w:hAnsi="Times New Roman" w:cs="Times New Roman"/>
          <w:bCs/>
          <w:sz w:val="28"/>
          <w:szCs w:val="28"/>
        </w:rPr>
        <w:t xml:space="preserve"> (STF, PETIÇÃO 10.496 - </w:t>
      </w:r>
      <w:r w:rsidR="00023ADE" w:rsidRPr="009700DA">
        <w:rPr>
          <w:rFonts w:ascii="Times New Roman" w:hAnsi="Times New Roman" w:cs="Times New Roman"/>
          <w:bCs/>
          <w:sz w:val="28"/>
          <w:szCs w:val="28"/>
        </w:rPr>
        <w:t>Distrito Federal</w:t>
      </w:r>
      <w:r w:rsidR="00704A55" w:rsidRPr="009700DA">
        <w:rPr>
          <w:rFonts w:ascii="Times New Roman" w:hAnsi="Times New Roman" w:cs="Times New Roman"/>
          <w:bCs/>
          <w:sz w:val="28"/>
          <w:szCs w:val="28"/>
        </w:rPr>
        <w:t>, Relatora Min. Rosa Weber, decisão de 30.08.2022).</w:t>
      </w:r>
    </w:p>
    <w:p w14:paraId="7FD15900" w14:textId="77777777" w:rsidR="00B12657" w:rsidRPr="009700DA" w:rsidRDefault="00B12657" w:rsidP="00B12657">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Outrossim, o mesmo desfecho foi adotado pelo Tribunal Regional Eleitoral de Minas Gerais, que reconheceu a competência da Justiça Eleitoral para processar e julgar o crime em questão, nos autos da </w:t>
      </w:r>
      <w:proofErr w:type="spellStart"/>
      <w:r w:rsidRPr="009700DA">
        <w:rPr>
          <w:rFonts w:ascii="Times New Roman" w:hAnsi="Times New Roman" w:cs="Times New Roman"/>
          <w:bCs/>
          <w:sz w:val="28"/>
          <w:szCs w:val="28"/>
        </w:rPr>
        <w:t>PetCrim</w:t>
      </w:r>
      <w:proofErr w:type="spellEnd"/>
      <w:r w:rsidRPr="009700DA">
        <w:rPr>
          <w:rFonts w:ascii="Times New Roman" w:hAnsi="Times New Roman" w:cs="Times New Roman"/>
          <w:bCs/>
          <w:sz w:val="28"/>
          <w:szCs w:val="28"/>
        </w:rPr>
        <w:t xml:space="preserve"> nº 060322541, Relator Des. Marcos Lourenco Capanema De Almeida, decisão de 31.08.2022</w:t>
      </w:r>
      <w:r w:rsidRPr="009700DA">
        <w:rPr>
          <w:rStyle w:val="Refdenotaderodap"/>
          <w:rFonts w:ascii="Times New Roman" w:hAnsi="Times New Roman" w:cs="Times New Roman"/>
          <w:bCs/>
          <w:sz w:val="28"/>
          <w:szCs w:val="28"/>
        </w:rPr>
        <w:footnoteReference w:id="4"/>
      </w:r>
      <w:r w:rsidRPr="009700DA">
        <w:rPr>
          <w:rFonts w:ascii="Times New Roman" w:hAnsi="Times New Roman" w:cs="Times New Roman"/>
          <w:bCs/>
          <w:sz w:val="28"/>
          <w:szCs w:val="28"/>
        </w:rPr>
        <w:t>.</w:t>
      </w:r>
    </w:p>
    <w:p w14:paraId="5A461DB5" w14:textId="77777777" w:rsidR="00B12657" w:rsidRPr="009700DA" w:rsidRDefault="00B12657" w:rsidP="00B12657">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lastRenderedPageBreak/>
        <w:t>Portanto, rejeito a preliminar de incompetência.</w:t>
      </w:r>
    </w:p>
    <w:p w14:paraId="064816D3" w14:textId="57F0DCB4" w:rsidR="00023ADE" w:rsidRPr="009700DA" w:rsidRDefault="00587D20" w:rsidP="006B7943">
      <w:pPr>
        <w:spacing w:before="120" w:after="120" w:line="360" w:lineRule="auto"/>
        <w:ind w:firstLine="2835"/>
        <w:jc w:val="both"/>
        <w:rPr>
          <w:rFonts w:ascii="Times New Roman" w:hAnsi="Times New Roman" w:cs="Times New Roman"/>
          <w:bCs/>
          <w:sz w:val="28"/>
          <w:szCs w:val="28"/>
        </w:rPr>
      </w:pPr>
      <w:r>
        <w:rPr>
          <w:rFonts w:ascii="Times New Roman" w:hAnsi="Times New Roman" w:cs="Times New Roman"/>
          <w:bCs/>
          <w:sz w:val="28"/>
          <w:szCs w:val="28"/>
        </w:rPr>
        <w:t>E</w:t>
      </w:r>
      <w:r w:rsidR="00023ADE" w:rsidRPr="009700DA">
        <w:rPr>
          <w:rFonts w:ascii="Times New Roman" w:hAnsi="Times New Roman" w:cs="Times New Roman"/>
          <w:bCs/>
          <w:sz w:val="28"/>
          <w:szCs w:val="28"/>
        </w:rPr>
        <w:t>ntendo</w:t>
      </w:r>
      <w:r>
        <w:rPr>
          <w:rFonts w:ascii="Times New Roman" w:hAnsi="Times New Roman" w:cs="Times New Roman"/>
          <w:bCs/>
          <w:sz w:val="28"/>
          <w:szCs w:val="28"/>
        </w:rPr>
        <w:t xml:space="preserve">, ainda, </w:t>
      </w:r>
      <w:r w:rsidR="00023ADE" w:rsidRPr="009700DA">
        <w:rPr>
          <w:rFonts w:ascii="Times New Roman" w:hAnsi="Times New Roman" w:cs="Times New Roman"/>
          <w:bCs/>
          <w:sz w:val="28"/>
          <w:szCs w:val="28"/>
        </w:rPr>
        <w:t xml:space="preserve">que ante a notícia de instauração de inquérito por injúria racial por representação da vítima, oportunamente, deve ser oficiado a Delegacia de Crimes Raciais e Delitos de Intolerância e ao Egrégio Tribunal de Justiça do Estado de São Paulo, nos termos requeridos pela defesa (itens </w:t>
      </w:r>
      <w:r w:rsidR="00023ADE" w:rsidRPr="009700DA">
        <w:rPr>
          <w:rFonts w:ascii="Times New Roman" w:hAnsi="Times New Roman" w:cs="Times New Roman"/>
          <w:bCs/>
          <w:i/>
          <w:sz w:val="28"/>
          <w:szCs w:val="28"/>
        </w:rPr>
        <w:t>g</w:t>
      </w:r>
      <w:r w:rsidR="00023ADE" w:rsidRPr="009700DA">
        <w:rPr>
          <w:rFonts w:ascii="Times New Roman" w:hAnsi="Times New Roman" w:cs="Times New Roman"/>
          <w:bCs/>
          <w:sz w:val="28"/>
          <w:szCs w:val="28"/>
        </w:rPr>
        <w:t xml:space="preserve"> e </w:t>
      </w:r>
      <w:r w:rsidR="00023ADE" w:rsidRPr="009700DA">
        <w:rPr>
          <w:rFonts w:ascii="Times New Roman" w:hAnsi="Times New Roman" w:cs="Times New Roman"/>
          <w:bCs/>
          <w:i/>
          <w:sz w:val="28"/>
          <w:szCs w:val="28"/>
        </w:rPr>
        <w:t>h</w:t>
      </w:r>
      <w:r w:rsidR="00023ADE" w:rsidRPr="009700DA">
        <w:rPr>
          <w:rFonts w:ascii="Times New Roman" w:hAnsi="Times New Roman" w:cs="Times New Roman"/>
          <w:bCs/>
          <w:sz w:val="28"/>
          <w:szCs w:val="28"/>
        </w:rPr>
        <w:t xml:space="preserve"> – ID 64222052)</w:t>
      </w:r>
    </w:p>
    <w:p w14:paraId="3F66C8A8" w14:textId="556D807E" w:rsidR="000C0D4F" w:rsidRPr="009700DA" w:rsidRDefault="000C0D4F"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Por fim, ressalto que </w:t>
      </w:r>
      <w:r w:rsidR="00AD43B4" w:rsidRPr="009700DA">
        <w:rPr>
          <w:rFonts w:ascii="Times New Roman" w:hAnsi="Times New Roman" w:cs="Times New Roman"/>
          <w:bCs/>
          <w:sz w:val="28"/>
          <w:szCs w:val="28"/>
        </w:rPr>
        <w:t xml:space="preserve">o </w:t>
      </w:r>
      <w:r w:rsidR="00C123B8" w:rsidRPr="009700DA">
        <w:rPr>
          <w:rFonts w:ascii="Times New Roman" w:hAnsi="Times New Roman" w:cs="Times New Roman"/>
          <w:bCs/>
          <w:sz w:val="28"/>
          <w:szCs w:val="28"/>
        </w:rPr>
        <w:t>denunciado</w:t>
      </w:r>
      <w:r w:rsidR="00AD43B4" w:rsidRPr="009700DA">
        <w:rPr>
          <w:rFonts w:ascii="Times New Roman" w:hAnsi="Times New Roman" w:cs="Times New Roman"/>
          <w:bCs/>
          <w:sz w:val="28"/>
          <w:szCs w:val="28"/>
        </w:rPr>
        <w:t xml:space="preserve"> ostenta condição funcional (Deputado Estadual) que atrai a competência originária deste Tribunal para a apreciação do feito (artigo 23, I, f, do Regimento Interno desta C. Corte Eleitoral</w:t>
      </w:r>
      <w:r w:rsidR="00C33EDD" w:rsidRPr="009700DA">
        <w:rPr>
          <w:rStyle w:val="Refdenotaderodap"/>
          <w:rFonts w:ascii="Times New Roman" w:hAnsi="Times New Roman" w:cs="Times New Roman"/>
          <w:bCs/>
          <w:sz w:val="28"/>
          <w:szCs w:val="28"/>
        </w:rPr>
        <w:footnoteReference w:id="5"/>
      </w:r>
      <w:r w:rsidR="00AD43B4" w:rsidRPr="009700DA">
        <w:rPr>
          <w:rFonts w:ascii="Times New Roman" w:hAnsi="Times New Roman" w:cs="Times New Roman"/>
          <w:bCs/>
          <w:sz w:val="28"/>
          <w:szCs w:val="28"/>
        </w:rPr>
        <w:t>).</w:t>
      </w:r>
    </w:p>
    <w:p w14:paraId="1A18722D" w14:textId="245F03B8" w:rsidR="00A83223" w:rsidRPr="009700DA" w:rsidRDefault="00C76FF0" w:rsidP="00A8322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2. </w:t>
      </w:r>
      <w:r w:rsidR="00AC4039" w:rsidRPr="009700DA">
        <w:rPr>
          <w:rFonts w:ascii="Times New Roman" w:hAnsi="Times New Roman" w:cs="Times New Roman"/>
          <w:bCs/>
          <w:sz w:val="28"/>
          <w:szCs w:val="28"/>
        </w:rPr>
        <w:t>No mérito, a</w:t>
      </w:r>
      <w:r w:rsidR="006B7943" w:rsidRPr="009700DA">
        <w:rPr>
          <w:rFonts w:ascii="Times New Roman" w:hAnsi="Times New Roman" w:cs="Times New Roman"/>
          <w:bCs/>
          <w:sz w:val="28"/>
          <w:szCs w:val="28"/>
        </w:rPr>
        <w:t>pura-se, conforme regrado pelos artigos 357, § 2° e 358 do Código Eleitoral</w:t>
      </w:r>
      <w:r w:rsidR="006B7943" w:rsidRPr="009700DA">
        <w:rPr>
          <w:rStyle w:val="Refdenotaderodap"/>
          <w:rFonts w:ascii="Times New Roman" w:hAnsi="Times New Roman" w:cs="Times New Roman"/>
          <w:bCs/>
          <w:sz w:val="28"/>
          <w:szCs w:val="28"/>
        </w:rPr>
        <w:footnoteReference w:id="6"/>
      </w:r>
      <w:r w:rsidR="006B7943" w:rsidRPr="009700DA">
        <w:rPr>
          <w:rFonts w:ascii="Times New Roman" w:hAnsi="Times New Roman" w:cs="Times New Roman"/>
          <w:bCs/>
          <w:sz w:val="28"/>
          <w:szCs w:val="28"/>
        </w:rPr>
        <w:t xml:space="preserve">, o preenchimento de todas as condições da </w:t>
      </w:r>
      <w:r w:rsidR="0065174C" w:rsidRPr="009700DA">
        <w:rPr>
          <w:rFonts w:ascii="Times New Roman" w:hAnsi="Times New Roman" w:cs="Times New Roman"/>
          <w:bCs/>
          <w:sz w:val="28"/>
          <w:szCs w:val="28"/>
        </w:rPr>
        <w:t>ação p</w:t>
      </w:r>
      <w:r w:rsidR="006B7943" w:rsidRPr="009700DA">
        <w:rPr>
          <w:rFonts w:ascii="Times New Roman" w:hAnsi="Times New Roman" w:cs="Times New Roman"/>
          <w:bCs/>
          <w:sz w:val="28"/>
          <w:szCs w:val="28"/>
        </w:rPr>
        <w:t>enal, especialmente quanto ao delineamento de conduta típica, prova da materialidade</w:t>
      </w:r>
      <w:r w:rsidR="00A83223" w:rsidRPr="009700DA">
        <w:rPr>
          <w:rFonts w:ascii="Times New Roman" w:hAnsi="Times New Roman" w:cs="Times New Roman"/>
          <w:bCs/>
          <w:sz w:val="28"/>
          <w:szCs w:val="28"/>
        </w:rPr>
        <w:t xml:space="preserve"> delitiva e indícios de autoria do tipo penal previsto no novel artigo 326-B do Código Eleitoral, </w:t>
      </w:r>
      <w:r w:rsidR="00A83223" w:rsidRPr="009700DA">
        <w:rPr>
          <w:rFonts w:ascii="Times New Roman" w:hAnsi="Times New Roman" w:cs="Times New Roman"/>
          <w:bCs/>
          <w:i/>
          <w:sz w:val="28"/>
          <w:szCs w:val="28"/>
        </w:rPr>
        <w:t xml:space="preserve">in </w:t>
      </w:r>
      <w:proofErr w:type="spellStart"/>
      <w:r w:rsidR="00A83223" w:rsidRPr="009700DA">
        <w:rPr>
          <w:rFonts w:ascii="Times New Roman" w:hAnsi="Times New Roman" w:cs="Times New Roman"/>
          <w:bCs/>
          <w:i/>
          <w:sz w:val="28"/>
          <w:szCs w:val="28"/>
        </w:rPr>
        <w:t>verbis</w:t>
      </w:r>
      <w:proofErr w:type="spellEnd"/>
      <w:r w:rsidR="00A83223" w:rsidRPr="009700DA">
        <w:rPr>
          <w:rFonts w:ascii="Times New Roman" w:hAnsi="Times New Roman" w:cs="Times New Roman"/>
          <w:bCs/>
          <w:sz w:val="28"/>
          <w:szCs w:val="28"/>
        </w:rPr>
        <w:t>:</w:t>
      </w:r>
    </w:p>
    <w:p w14:paraId="03111658" w14:textId="328DB473" w:rsidR="00A83223" w:rsidRPr="009700DA" w:rsidRDefault="00A83223" w:rsidP="00124D89">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Art. 326-B. Assediar, constranger, humilhar, perseguir ou ameaçar, por qualquer meio, candidata a cargo eletivo ou detentora de mandato eletivo, utilizando-se de menosprezo ou discriminação à condição de mulher ou à sua cor, raça ou etnia, com a finalidade de impedir ou de </w:t>
      </w:r>
      <w:r w:rsidRPr="009700DA">
        <w:rPr>
          <w:rFonts w:ascii="Times New Roman" w:hAnsi="Times New Roman" w:cs="Times New Roman"/>
          <w:bCs/>
          <w:i/>
          <w:sz w:val="28"/>
          <w:szCs w:val="28"/>
        </w:rPr>
        <w:lastRenderedPageBreak/>
        <w:t>dificultar a sua campanha eleitoral ou o desempenho de seu mandato eletivo.</w:t>
      </w:r>
    </w:p>
    <w:p w14:paraId="7F73AFE8" w14:textId="678C7AD1" w:rsidR="00A83223" w:rsidRPr="009700DA" w:rsidRDefault="00A83223" w:rsidP="00124D89">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Pena – reclusão, de 1 (um) a 4 (quatro) anos, e multa.</w:t>
      </w:r>
    </w:p>
    <w:p w14:paraId="181431AF" w14:textId="162F3873" w:rsidR="0065174C" w:rsidRPr="009700DA" w:rsidRDefault="0065174C" w:rsidP="0065174C">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Segundo consta da exordial acusatória</w:t>
      </w:r>
      <w:r w:rsidR="00AC4039" w:rsidRPr="009700DA">
        <w:rPr>
          <w:rFonts w:ascii="Times New Roman" w:hAnsi="Times New Roman" w:cs="Times New Roman"/>
          <w:bCs/>
          <w:sz w:val="28"/>
          <w:szCs w:val="28"/>
        </w:rPr>
        <w:t xml:space="preserve"> (ID 64051389)</w:t>
      </w:r>
      <w:r w:rsidRPr="009700DA">
        <w:rPr>
          <w:rFonts w:ascii="Times New Roman" w:hAnsi="Times New Roman" w:cs="Times New Roman"/>
          <w:bCs/>
          <w:sz w:val="28"/>
          <w:szCs w:val="28"/>
        </w:rPr>
        <w:t xml:space="preserve">, </w:t>
      </w:r>
      <w:r w:rsidR="00AC4039" w:rsidRPr="009700DA">
        <w:rPr>
          <w:rFonts w:ascii="Times New Roman" w:hAnsi="Times New Roman" w:cs="Times New Roman"/>
          <w:bCs/>
          <w:i/>
          <w:sz w:val="28"/>
          <w:szCs w:val="28"/>
        </w:rPr>
        <w:t>em 18 de maio de 2022, durante a 13ª sessão extraordinária da Assembleia Legislativa de São Paulo, o Deputado Estadual Wellington de Souza</w:t>
      </w:r>
      <w:r w:rsidR="00AC4039" w:rsidRPr="009700DA">
        <w:rPr>
          <w:rFonts w:ascii="Times New Roman" w:hAnsi="Times New Roman" w:cs="Times New Roman"/>
          <w:i/>
        </w:rPr>
        <w:t xml:space="preserve"> </w:t>
      </w:r>
      <w:r w:rsidR="00AC4039" w:rsidRPr="009700DA">
        <w:rPr>
          <w:rFonts w:ascii="Times New Roman" w:hAnsi="Times New Roman" w:cs="Times New Roman"/>
          <w:bCs/>
          <w:i/>
          <w:sz w:val="28"/>
          <w:szCs w:val="28"/>
        </w:rPr>
        <w:t xml:space="preserve">Moura, </w:t>
      </w:r>
      <w:r w:rsidRPr="009700DA">
        <w:rPr>
          <w:rFonts w:ascii="Times New Roman" w:hAnsi="Times New Roman" w:cs="Times New Roman"/>
          <w:bCs/>
          <w:i/>
          <w:sz w:val="28"/>
          <w:szCs w:val="28"/>
        </w:rPr>
        <w:t xml:space="preserve">fazendo uso do microfone, assediou, constrangeu, humilhou por </w:t>
      </w:r>
      <w:r w:rsidR="00AC4039" w:rsidRPr="009700DA">
        <w:rPr>
          <w:rFonts w:ascii="Times New Roman" w:hAnsi="Times New Roman" w:cs="Times New Roman"/>
          <w:bCs/>
          <w:i/>
          <w:sz w:val="28"/>
          <w:szCs w:val="28"/>
        </w:rPr>
        <w:t>palavras</w:t>
      </w:r>
      <w:r w:rsidRPr="009700DA">
        <w:rPr>
          <w:rFonts w:ascii="Times New Roman" w:hAnsi="Times New Roman" w:cs="Times New Roman"/>
          <w:bCs/>
          <w:i/>
          <w:sz w:val="28"/>
          <w:szCs w:val="28"/>
        </w:rPr>
        <w:t xml:space="preserve"> a detentora de mandato eletivo e também Deputada Estadual Mônica Cristina Seixas Bonfim, em razão de menosprezo e discriminação à sua condição de mulher e com a finalidade de impedir e dificultar o desempenho de seu mandato eletivo, falando que “sempre colocaria um cabresto em sua boca” quando ele estivesse presidindo a sessão e que faria isto “em todas as vezes que fosse presidente”.</w:t>
      </w:r>
    </w:p>
    <w:p w14:paraId="78DDB79F" w14:textId="4725C84C" w:rsidR="00AC4039" w:rsidRPr="009700DA" w:rsidRDefault="005B3B01"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Confira-se a transcrição da fala:</w:t>
      </w:r>
    </w:p>
    <w:p w14:paraId="0F81EF91" w14:textId="29A53426" w:rsidR="005B3B01" w:rsidRPr="009700DA" w:rsidRDefault="005B3B01" w:rsidP="00124D89">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Quero dizer a ela [Mônica Seixas] que ontem, num momento que eu estava presidindo a sessão, ela estava importunando o plenário (...) é o que Vossa Excelência faz. Sempre. Várias vezes. Mas, num momento que eu estiver ali [presidindo a sessão], eu vou sempre colocar um cabresto na sua boca, porque eu não permitir que Vossa Excelência perturbe a ordem dessa Assembleia. Vou sim. Vou. Se eu estiver de presidente, eu vou, todas as vezes.</w:t>
      </w:r>
    </w:p>
    <w:p w14:paraId="3B637967" w14:textId="1BA9BFA0" w:rsidR="005B3B01" w:rsidRPr="009700DA" w:rsidRDefault="00A83223" w:rsidP="00A8322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De acordo com o denunciante, </w:t>
      </w:r>
      <w:r w:rsidR="00587D20">
        <w:rPr>
          <w:rFonts w:ascii="Times New Roman" w:hAnsi="Times New Roman" w:cs="Times New Roman"/>
          <w:bCs/>
          <w:sz w:val="28"/>
          <w:szCs w:val="28"/>
        </w:rPr>
        <w:t>ao</w:t>
      </w:r>
      <w:r w:rsidRPr="009700DA">
        <w:rPr>
          <w:rFonts w:ascii="Times New Roman" w:hAnsi="Times New Roman" w:cs="Times New Roman"/>
          <w:bCs/>
          <w:i/>
          <w:sz w:val="28"/>
          <w:szCs w:val="28"/>
        </w:rPr>
        <w:t xml:space="preserve"> assim falar, o Deputado Estadual Wellington de Souza Moura assediou, constrangeu e humilhou, perseguiu a Deputada Estadual Mônica Cristina Seixas Bonfim, </w:t>
      </w:r>
      <w:proofErr w:type="spellStart"/>
      <w:r w:rsidRPr="009700DA">
        <w:rPr>
          <w:rFonts w:ascii="Times New Roman" w:hAnsi="Times New Roman" w:cs="Times New Roman"/>
          <w:bCs/>
          <w:i/>
          <w:sz w:val="28"/>
          <w:szCs w:val="28"/>
        </w:rPr>
        <w:t>cerceando-lhe</w:t>
      </w:r>
      <w:proofErr w:type="spellEnd"/>
      <w:r w:rsidRPr="009700DA">
        <w:rPr>
          <w:rFonts w:ascii="Times New Roman" w:hAnsi="Times New Roman" w:cs="Times New Roman"/>
          <w:bCs/>
          <w:i/>
          <w:sz w:val="28"/>
          <w:szCs w:val="28"/>
        </w:rPr>
        <w:t xml:space="preserve"> a atuação política e parlamentar. Acusado menosprezou e discriminou a vítima, subjugando-a, por ser mulher, em sua atuação profissional, parlamentar e política com a nítida e dolosa e declarada finalidade de impedir e dificultar o pleno exercício de seu mandato eletivo: “eu vou sempre colocar um cabresto na sua boca”, ele disse</w:t>
      </w:r>
      <w:r w:rsidRPr="009700DA">
        <w:rPr>
          <w:rFonts w:ascii="Times New Roman" w:hAnsi="Times New Roman" w:cs="Times New Roman"/>
          <w:bCs/>
          <w:sz w:val="28"/>
          <w:szCs w:val="28"/>
        </w:rPr>
        <w:t>.</w:t>
      </w:r>
    </w:p>
    <w:p w14:paraId="13861645" w14:textId="0E14FD25" w:rsidR="00B0198E" w:rsidRPr="009700DA" w:rsidRDefault="00B0198E" w:rsidP="00B0198E">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lastRenderedPageBreak/>
        <w:t>Sem olvidar que no presente momento (o de recebimento da denúncia) não há que se cogitar acerca de qualquer juízo de certeza, tem-se que o</w:t>
      </w:r>
      <w:r w:rsidR="0065174C" w:rsidRPr="009700DA">
        <w:rPr>
          <w:rFonts w:ascii="Times New Roman" w:hAnsi="Times New Roman" w:cs="Times New Roman"/>
          <w:bCs/>
          <w:sz w:val="28"/>
          <w:szCs w:val="28"/>
        </w:rPr>
        <w:t xml:space="preserve"> conjunto documental</w:t>
      </w:r>
      <w:r w:rsidRPr="009700DA">
        <w:rPr>
          <w:rStyle w:val="Refdenotaderodap"/>
          <w:rFonts w:ascii="Times New Roman" w:hAnsi="Times New Roman" w:cs="Times New Roman"/>
          <w:bCs/>
          <w:sz w:val="28"/>
          <w:szCs w:val="28"/>
        </w:rPr>
        <w:footnoteReference w:id="7"/>
      </w:r>
      <w:r w:rsidR="0065174C" w:rsidRPr="009700DA">
        <w:rPr>
          <w:rFonts w:ascii="Times New Roman" w:hAnsi="Times New Roman" w:cs="Times New Roman"/>
          <w:bCs/>
          <w:sz w:val="28"/>
          <w:szCs w:val="28"/>
        </w:rPr>
        <w:t xml:space="preserve"> apresentado até o </w:t>
      </w:r>
      <w:r w:rsidR="00AC4039" w:rsidRPr="009700DA">
        <w:rPr>
          <w:rFonts w:ascii="Times New Roman" w:hAnsi="Times New Roman" w:cs="Times New Roman"/>
          <w:bCs/>
          <w:sz w:val="28"/>
          <w:szCs w:val="28"/>
        </w:rPr>
        <w:t>momento</w:t>
      </w:r>
      <w:r w:rsidR="0065174C" w:rsidRPr="009700DA">
        <w:rPr>
          <w:rFonts w:ascii="Times New Roman" w:hAnsi="Times New Roman" w:cs="Times New Roman"/>
          <w:bCs/>
          <w:sz w:val="28"/>
          <w:szCs w:val="28"/>
        </w:rPr>
        <w:t xml:space="preserve"> aponta </w:t>
      </w:r>
      <w:r w:rsidRPr="009700DA">
        <w:rPr>
          <w:rFonts w:ascii="Times New Roman" w:hAnsi="Times New Roman" w:cs="Times New Roman"/>
          <w:bCs/>
          <w:sz w:val="28"/>
          <w:szCs w:val="28"/>
        </w:rPr>
        <w:t xml:space="preserve">a existência de razoáveis indícios de materialidade e autoria do crime. </w:t>
      </w:r>
    </w:p>
    <w:p w14:paraId="6A8860A9" w14:textId="66D8E53C" w:rsidR="00B0198E" w:rsidRPr="009700DA" w:rsidRDefault="00B0198E" w:rsidP="00B0198E">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Em verdade, a autoria </w:t>
      </w:r>
      <w:r w:rsidR="008F7D50" w:rsidRPr="009700DA">
        <w:rPr>
          <w:rFonts w:ascii="Times New Roman" w:hAnsi="Times New Roman" w:cs="Times New Roman"/>
          <w:bCs/>
          <w:sz w:val="28"/>
          <w:szCs w:val="28"/>
        </w:rPr>
        <w:t>fala</w:t>
      </w:r>
      <w:r w:rsidRPr="009700DA">
        <w:rPr>
          <w:rFonts w:ascii="Times New Roman" w:hAnsi="Times New Roman" w:cs="Times New Roman"/>
          <w:bCs/>
          <w:sz w:val="28"/>
          <w:szCs w:val="28"/>
        </w:rPr>
        <w:t xml:space="preserve"> é incontroversa, de modo que cabe apenas apreciar o seu conteúdo e respectivos efeitos jurídicos, ou seja, se o seu teor </w:t>
      </w:r>
      <w:r w:rsidR="00C47F8A" w:rsidRPr="009700DA">
        <w:rPr>
          <w:rFonts w:ascii="Times New Roman" w:hAnsi="Times New Roman" w:cs="Times New Roman"/>
          <w:bCs/>
          <w:sz w:val="28"/>
          <w:szCs w:val="28"/>
        </w:rPr>
        <w:t xml:space="preserve">indica, ao menos indiciariamente, </w:t>
      </w:r>
      <w:r w:rsidR="00A046EA" w:rsidRPr="009700DA">
        <w:rPr>
          <w:rFonts w:ascii="Times New Roman" w:hAnsi="Times New Roman" w:cs="Times New Roman"/>
          <w:bCs/>
          <w:sz w:val="28"/>
          <w:szCs w:val="28"/>
        </w:rPr>
        <w:t>a possível</w:t>
      </w:r>
      <w:r w:rsidR="00C47F8A" w:rsidRPr="009700DA">
        <w:rPr>
          <w:rFonts w:ascii="Times New Roman" w:hAnsi="Times New Roman" w:cs="Times New Roman"/>
          <w:bCs/>
          <w:sz w:val="28"/>
          <w:szCs w:val="28"/>
        </w:rPr>
        <w:t xml:space="preserve"> prática do ilícito penal da violência política contra a mulher.</w:t>
      </w:r>
    </w:p>
    <w:p w14:paraId="61ED408F" w14:textId="4F88B18F" w:rsidR="00C47F8A" w:rsidRPr="009700DA" w:rsidRDefault="00C47F8A" w:rsidP="00B0198E">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E a resposta</w:t>
      </w:r>
      <w:r w:rsidR="00A046EA" w:rsidRPr="009700DA">
        <w:rPr>
          <w:rFonts w:ascii="Times New Roman" w:hAnsi="Times New Roman" w:cs="Times New Roman"/>
          <w:bCs/>
          <w:sz w:val="28"/>
          <w:szCs w:val="28"/>
        </w:rPr>
        <w:t>, em juízo precário e não exauriente,</w:t>
      </w:r>
      <w:r w:rsidR="008F7D50" w:rsidRPr="009700DA">
        <w:rPr>
          <w:rFonts w:ascii="Times New Roman" w:hAnsi="Times New Roman" w:cs="Times New Roman"/>
          <w:bCs/>
          <w:sz w:val="28"/>
          <w:szCs w:val="28"/>
        </w:rPr>
        <w:t xml:space="preserve"> ínsito ao atual momento processual,</w:t>
      </w:r>
      <w:r w:rsidRPr="009700DA">
        <w:rPr>
          <w:rFonts w:ascii="Times New Roman" w:hAnsi="Times New Roman" w:cs="Times New Roman"/>
          <w:bCs/>
          <w:sz w:val="28"/>
          <w:szCs w:val="28"/>
        </w:rPr>
        <w:t xml:space="preserve"> me afigura positiva.</w:t>
      </w:r>
    </w:p>
    <w:p w14:paraId="6C36BA30" w14:textId="442D11A8" w:rsidR="00F5791C" w:rsidRPr="009700DA" w:rsidRDefault="006A24F8"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O artigo 326-B foi incluído no Código Elei</w:t>
      </w:r>
      <w:r w:rsidR="006F6062" w:rsidRPr="009700DA">
        <w:rPr>
          <w:rFonts w:ascii="Times New Roman" w:hAnsi="Times New Roman" w:cs="Times New Roman"/>
          <w:bCs/>
          <w:sz w:val="28"/>
          <w:szCs w:val="28"/>
        </w:rPr>
        <w:t xml:space="preserve">toral pela Lei </w:t>
      </w:r>
      <w:proofErr w:type="spellStart"/>
      <w:r w:rsidR="006F6062" w:rsidRPr="009700DA">
        <w:rPr>
          <w:rFonts w:ascii="Times New Roman" w:hAnsi="Times New Roman" w:cs="Times New Roman"/>
          <w:bCs/>
          <w:sz w:val="28"/>
          <w:szCs w:val="28"/>
        </w:rPr>
        <w:t>n.°</w:t>
      </w:r>
      <w:proofErr w:type="spellEnd"/>
      <w:r w:rsidR="006F6062" w:rsidRPr="009700DA">
        <w:rPr>
          <w:rFonts w:ascii="Times New Roman" w:hAnsi="Times New Roman" w:cs="Times New Roman"/>
          <w:bCs/>
          <w:sz w:val="28"/>
          <w:szCs w:val="28"/>
        </w:rPr>
        <w:t xml:space="preserve"> 14.192/2021.</w:t>
      </w:r>
    </w:p>
    <w:p w14:paraId="2797FA17" w14:textId="16E58737" w:rsidR="006A24F8" w:rsidRPr="009700DA" w:rsidRDefault="006F6062" w:rsidP="006F606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Na justificação do projeto de lei que culminou </w:t>
      </w:r>
      <w:r w:rsidR="000C0D4F" w:rsidRPr="009700DA">
        <w:rPr>
          <w:rFonts w:ascii="Times New Roman" w:hAnsi="Times New Roman" w:cs="Times New Roman"/>
          <w:bCs/>
          <w:sz w:val="28"/>
          <w:szCs w:val="28"/>
        </w:rPr>
        <w:t>na citada alteração legislativa</w:t>
      </w:r>
      <w:r w:rsidRPr="009700DA">
        <w:rPr>
          <w:rFonts w:ascii="Times New Roman" w:hAnsi="Times New Roman" w:cs="Times New Roman"/>
          <w:bCs/>
          <w:sz w:val="28"/>
          <w:szCs w:val="28"/>
        </w:rPr>
        <w:t>, a Deputada Rosangela Gomes explica que</w:t>
      </w:r>
      <w:r w:rsidRPr="009700DA">
        <w:rPr>
          <w:rStyle w:val="Refdenotaderodap"/>
          <w:rFonts w:ascii="Times New Roman" w:hAnsi="Times New Roman" w:cs="Times New Roman"/>
          <w:bCs/>
          <w:sz w:val="28"/>
          <w:szCs w:val="28"/>
        </w:rPr>
        <w:footnoteReference w:id="8"/>
      </w:r>
      <w:r w:rsidRPr="009700DA">
        <w:rPr>
          <w:rFonts w:ascii="Times New Roman" w:hAnsi="Times New Roman" w:cs="Times New Roman"/>
          <w:bCs/>
          <w:sz w:val="28"/>
          <w:szCs w:val="28"/>
        </w:rPr>
        <w:t xml:space="preserve"> </w:t>
      </w:r>
    </w:p>
    <w:p w14:paraId="59E71B81" w14:textId="77777777" w:rsidR="000C0D4F" w:rsidRPr="009700DA" w:rsidRDefault="000C0D4F" w:rsidP="00124D89">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 </w:t>
      </w:r>
      <w:r w:rsidR="006F6062" w:rsidRPr="009700DA">
        <w:rPr>
          <w:rFonts w:ascii="Times New Roman" w:hAnsi="Times New Roman" w:cs="Times New Roman"/>
          <w:bCs/>
          <w:i/>
          <w:sz w:val="28"/>
          <w:szCs w:val="28"/>
        </w:rPr>
        <w:t xml:space="preserve">o legislador esperava reduzir a hegemonia masculina na oferta de candidaturas e desacomodar posturas culturais que não enxergam a mulher como protagonista no mundo eleitoral. No entanto, como se vê, os resultados ainda estão aquém dos esperados. </w:t>
      </w:r>
    </w:p>
    <w:p w14:paraId="2714050B" w14:textId="08C71E6E" w:rsidR="006A24F8" w:rsidRPr="009700DA" w:rsidRDefault="006F6062" w:rsidP="00124D89">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Por essa razão, proponho o aperfeiçoamento da legislação em vigor, de modo a não somente garantir a participação das mulheres nos debates e nos espaços de publicidade partidários, </w:t>
      </w:r>
      <w:r w:rsidRPr="009700DA">
        <w:rPr>
          <w:rFonts w:ascii="Times New Roman" w:hAnsi="Times New Roman" w:cs="Times New Roman"/>
          <w:bCs/>
          <w:i/>
          <w:sz w:val="28"/>
          <w:szCs w:val="28"/>
          <w:u w:val="single"/>
        </w:rPr>
        <w:t>como também garantir-lhes um exercício de mandato livre de barreiras preconceituosas</w:t>
      </w:r>
      <w:r w:rsidRPr="009700DA">
        <w:rPr>
          <w:rFonts w:ascii="Times New Roman" w:hAnsi="Times New Roman" w:cs="Times New Roman"/>
          <w:bCs/>
          <w:i/>
          <w:sz w:val="28"/>
          <w:szCs w:val="28"/>
        </w:rPr>
        <w:t>.</w:t>
      </w:r>
    </w:p>
    <w:p w14:paraId="69836FBC" w14:textId="4CC5C82A" w:rsidR="006F6062" w:rsidRPr="009700DA" w:rsidRDefault="006F6062" w:rsidP="00124D89">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Este projeto coaduna-se com os termos da Convenção sobre Eliminação de Todas as Formas de Discriminação contra a Mulher (CEDAW), adotada em 1979 pela Assembleia Geral das Nações Unidas. Essa Convenção </w:t>
      </w:r>
      <w:r w:rsidRPr="009700DA">
        <w:rPr>
          <w:rFonts w:ascii="Times New Roman" w:hAnsi="Times New Roman" w:cs="Times New Roman"/>
          <w:bCs/>
          <w:i/>
          <w:sz w:val="28"/>
          <w:szCs w:val="28"/>
        </w:rPr>
        <w:lastRenderedPageBreak/>
        <w:t>foi fruto das reivindicações apresentadas pelas mulheres durante a primeira Conferência Mundial sobre a Mulher, realizada no México, em 1975, e que só foi ratificada pelo Brasil, sem reservas, em 1994. Essa Convenção prevê que os Estados devem se comprometer a adotar todas as medidas adequadas, inclusive de caráter legislativo, para combater quaisquer práticas discriminatórias contra as mulheres.</w:t>
      </w:r>
    </w:p>
    <w:p w14:paraId="29DE7D0C" w14:textId="0F9F0896" w:rsidR="0065174C" w:rsidRPr="009700DA" w:rsidRDefault="002D3F37"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No presente caso, c</w:t>
      </w:r>
      <w:r w:rsidR="005A1982" w:rsidRPr="009700DA">
        <w:rPr>
          <w:rFonts w:ascii="Times New Roman" w:hAnsi="Times New Roman" w:cs="Times New Roman"/>
          <w:bCs/>
          <w:sz w:val="28"/>
          <w:szCs w:val="28"/>
        </w:rPr>
        <w:t>onsiderando o teor do discurso, o contexto em que proferido, bem como as circunstâncias da proposição legislativa</w:t>
      </w:r>
      <w:r w:rsidR="004840D0" w:rsidRPr="009700DA">
        <w:rPr>
          <w:rFonts w:ascii="Times New Roman" w:hAnsi="Times New Roman" w:cs="Times New Roman"/>
          <w:bCs/>
          <w:sz w:val="28"/>
          <w:szCs w:val="28"/>
        </w:rPr>
        <w:t xml:space="preserve"> (norma protetiva)</w:t>
      </w:r>
      <w:r w:rsidR="005A1982" w:rsidRPr="009700DA">
        <w:rPr>
          <w:rFonts w:ascii="Times New Roman" w:hAnsi="Times New Roman" w:cs="Times New Roman"/>
          <w:bCs/>
          <w:sz w:val="28"/>
          <w:szCs w:val="28"/>
        </w:rPr>
        <w:t xml:space="preserve"> e o bem jurídico tutelado pela novel legislação, tem-se que a conduta pode vir a caracterizar, em </w:t>
      </w:r>
      <w:r w:rsidR="0065174C" w:rsidRPr="009700DA">
        <w:rPr>
          <w:rFonts w:ascii="Times New Roman" w:hAnsi="Times New Roman" w:cs="Times New Roman"/>
          <w:bCs/>
          <w:sz w:val="28"/>
          <w:szCs w:val="28"/>
        </w:rPr>
        <w:t>tese</w:t>
      </w:r>
      <w:r w:rsidR="008F7D50" w:rsidRPr="009700DA">
        <w:rPr>
          <w:rFonts w:ascii="Times New Roman" w:hAnsi="Times New Roman" w:cs="Times New Roman"/>
          <w:bCs/>
          <w:sz w:val="28"/>
          <w:szCs w:val="28"/>
        </w:rPr>
        <w:t>,</w:t>
      </w:r>
      <w:r w:rsidR="005A1982" w:rsidRPr="009700DA">
        <w:rPr>
          <w:rFonts w:ascii="Times New Roman" w:hAnsi="Times New Roman" w:cs="Times New Roman"/>
          <w:bCs/>
          <w:sz w:val="28"/>
          <w:szCs w:val="28"/>
        </w:rPr>
        <w:t xml:space="preserve"> o tipo penal</w:t>
      </w:r>
      <w:r w:rsidR="0065174C" w:rsidRPr="009700DA">
        <w:rPr>
          <w:rFonts w:ascii="Times New Roman" w:hAnsi="Times New Roman" w:cs="Times New Roman"/>
          <w:bCs/>
          <w:sz w:val="28"/>
          <w:szCs w:val="28"/>
        </w:rPr>
        <w:t xml:space="preserve"> previsto no artigo 326-B do Código Eleitoral</w:t>
      </w:r>
      <w:r w:rsidR="0007255D" w:rsidRPr="009700DA">
        <w:rPr>
          <w:rFonts w:ascii="Times New Roman" w:hAnsi="Times New Roman" w:cs="Times New Roman"/>
          <w:bCs/>
          <w:sz w:val="28"/>
          <w:szCs w:val="28"/>
        </w:rPr>
        <w:t>.</w:t>
      </w:r>
    </w:p>
    <w:p w14:paraId="27F45A46" w14:textId="791582BB" w:rsidR="005A1982" w:rsidRPr="009700DA" w:rsidRDefault="005A1982"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Bem por isso, em análise perfunctória,</w:t>
      </w:r>
      <w:r w:rsidR="00420114" w:rsidRPr="009700DA">
        <w:rPr>
          <w:rFonts w:ascii="Times New Roman" w:hAnsi="Times New Roman" w:cs="Times New Roman"/>
          <w:bCs/>
          <w:sz w:val="28"/>
          <w:szCs w:val="28"/>
        </w:rPr>
        <w:t xml:space="preserve"> inerente ao atual momento processual como já afirmado alhures,</w:t>
      </w:r>
      <w:r w:rsidRPr="009700DA">
        <w:rPr>
          <w:rFonts w:ascii="Times New Roman" w:hAnsi="Times New Roman" w:cs="Times New Roman"/>
          <w:bCs/>
          <w:sz w:val="28"/>
          <w:szCs w:val="28"/>
        </w:rPr>
        <w:t xml:space="preserve"> não é possível concluir, de plano, pela m</w:t>
      </w:r>
      <w:r w:rsidR="002D5B85" w:rsidRPr="009700DA">
        <w:rPr>
          <w:rFonts w:ascii="Times New Roman" w:hAnsi="Times New Roman" w:cs="Times New Roman"/>
          <w:bCs/>
          <w:sz w:val="28"/>
          <w:szCs w:val="28"/>
        </w:rPr>
        <w:t>anifesta atipicidade da conduta.</w:t>
      </w:r>
    </w:p>
    <w:p w14:paraId="1F31AC15" w14:textId="77777777" w:rsidR="00B81A5E" w:rsidRDefault="00EC7093"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Assim, a</w:t>
      </w:r>
      <w:r w:rsidR="006B7943" w:rsidRPr="009700DA">
        <w:rPr>
          <w:rFonts w:ascii="Times New Roman" w:hAnsi="Times New Roman" w:cs="Times New Roman"/>
          <w:bCs/>
          <w:sz w:val="28"/>
          <w:szCs w:val="28"/>
        </w:rPr>
        <w:t>pesar do</w:t>
      </w:r>
      <w:r w:rsidR="0027763E" w:rsidRPr="009700DA">
        <w:rPr>
          <w:rFonts w:ascii="Times New Roman" w:hAnsi="Times New Roman" w:cs="Times New Roman"/>
          <w:bCs/>
          <w:sz w:val="28"/>
          <w:szCs w:val="28"/>
        </w:rPr>
        <w:t xml:space="preserve"> quanto</w:t>
      </w:r>
      <w:r w:rsidR="006B7943" w:rsidRPr="009700DA">
        <w:rPr>
          <w:rFonts w:ascii="Times New Roman" w:hAnsi="Times New Roman" w:cs="Times New Roman"/>
          <w:bCs/>
          <w:sz w:val="28"/>
          <w:szCs w:val="28"/>
        </w:rPr>
        <w:t xml:space="preserve"> pretendido pelo denunciado, não se pode,</w:t>
      </w:r>
      <w:r w:rsidR="00B81A5E">
        <w:rPr>
          <w:rFonts w:ascii="Times New Roman" w:hAnsi="Times New Roman" w:cs="Times New Roman"/>
          <w:bCs/>
          <w:sz w:val="28"/>
          <w:szCs w:val="28"/>
        </w:rPr>
        <w:t xml:space="preserve"> no caso </w:t>
      </w:r>
      <w:r w:rsidR="00B81A5E" w:rsidRPr="00B81A5E">
        <w:rPr>
          <w:rFonts w:ascii="Times New Roman" w:hAnsi="Times New Roman" w:cs="Times New Roman"/>
          <w:bCs/>
          <w:i/>
          <w:iCs/>
          <w:sz w:val="28"/>
          <w:szCs w:val="28"/>
        </w:rPr>
        <w:t>sub examine</w:t>
      </w:r>
      <w:r w:rsidR="00B81A5E">
        <w:rPr>
          <w:rFonts w:ascii="Times New Roman" w:hAnsi="Times New Roman" w:cs="Times New Roman"/>
          <w:bCs/>
          <w:sz w:val="28"/>
          <w:szCs w:val="28"/>
        </w:rPr>
        <w:t xml:space="preserve">, </w:t>
      </w:r>
      <w:r w:rsidR="006B7943" w:rsidRPr="009700DA">
        <w:rPr>
          <w:rFonts w:ascii="Times New Roman" w:hAnsi="Times New Roman" w:cs="Times New Roman"/>
          <w:bCs/>
          <w:sz w:val="28"/>
          <w:szCs w:val="28"/>
        </w:rPr>
        <w:t xml:space="preserve">antes do recebimento da denúncia e da instrução processual, </w:t>
      </w:r>
      <w:r w:rsidR="00B81A5E">
        <w:rPr>
          <w:rFonts w:ascii="Times New Roman" w:hAnsi="Times New Roman" w:cs="Times New Roman"/>
          <w:bCs/>
          <w:sz w:val="28"/>
          <w:szCs w:val="28"/>
        </w:rPr>
        <w:t xml:space="preserve">se </w:t>
      </w:r>
      <w:r w:rsidR="006B7943" w:rsidRPr="009700DA">
        <w:rPr>
          <w:rFonts w:ascii="Times New Roman" w:hAnsi="Times New Roman" w:cs="Times New Roman"/>
          <w:bCs/>
          <w:sz w:val="28"/>
          <w:szCs w:val="28"/>
        </w:rPr>
        <w:t>afirmar a atipicidade da conduta por ausência de dolo específico</w:t>
      </w:r>
      <w:r w:rsidR="0027763E" w:rsidRPr="009700DA">
        <w:rPr>
          <w:rFonts w:ascii="Times New Roman" w:hAnsi="Times New Roman" w:cs="Times New Roman"/>
          <w:bCs/>
          <w:sz w:val="28"/>
          <w:szCs w:val="28"/>
        </w:rPr>
        <w:t xml:space="preserve">. </w:t>
      </w:r>
    </w:p>
    <w:p w14:paraId="2BEB8232" w14:textId="3B453E2E" w:rsidR="006B7943" w:rsidRPr="009700DA" w:rsidRDefault="0027763E"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É dizer, a simples análise da fala do denunciado</w:t>
      </w:r>
      <w:r w:rsidR="009E632B" w:rsidRPr="009700DA">
        <w:rPr>
          <w:rFonts w:ascii="Times New Roman" w:hAnsi="Times New Roman" w:cs="Times New Roman"/>
          <w:bCs/>
          <w:sz w:val="28"/>
          <w:szCs w:val="28"/>
        </w:rPr>
        <w:t>,</w:t>
      </w:r>
      <w:r w:rsidRPr="009700DA">
        <w:rPr>
          <w:rFonts w:ascii="Times New Roman" w:hAnsi="Times New Roman" w:cs="Times New Roman"/>
          <w:bCs/>
          <w:sz w:val="28"/>
          <w:szCs w:val="28"/>
        </w:rPr>
        <w:t xml:space="preserve"> </w:t>
      </w:r>
      <w:r w:rsidR="009E632B" w:rsidRPr="009700DA">
        <w:rPr>
          <w:rFonts w:ascii="Times New Roman" w:hAnsi="Times New Roman" w:cs="Times New Roman"/>
          <w:bCs/>
          <w:sz w:val="28"/>
          <w:szCs w:val="28"/>
        </w:rPr>
        <w:t xml:space="preserve">em juízo preliminar, </w:t>
      </w:r>
      <w:r w:rsidRPr="009700DA">
        <w:rPr>
          <w:rFonts w:ascii="Times New Roman" w:hAnsi="Times New Roman" w:cs="Times New Roman"/>
          <w:bCs/>
          <w:sz w:val="28"/>
          <w:szCs w:val="28"/>
        </w:rPr>
        <w:t xml:space="preserve">pode indicar a intenção </w:t>
      </w:r>
      <w:r w:rsidRPr="009700DA">
        <w:rPr>
          <w:rFonts w:ascii="Times New Roman" w:hAnsi="Times New Roman" w:cs="Times New Roman"/>
          <w:bCs/>
          <w:i/>
          <w:sz w:val="28"/>
          <w:szCs w:val="28"/>
        </w:rPr>
        <w:t>de impedir ou de dificultar o desempenho de seu mandato eletivo</w:t>
      </w:r>
      <w:r w:rsidRPr="009700DA">
        <w:rPr>
          <w:rFonts w:ascii="Times New Roman" w:hAnsi="Times New Roman" w:cs="Times New Roman"/>
          <w:bCs/>
          <w:sz w:val="28"/>
          <w:szCs w:val="28"/>
        </w:rPr>
        <w:t>.</w:t>
      </w:r>
      <w:r w:rsidR="002D5B85" w:rsidRPr="009700DA">
        <w:rPr>
          <w:rFonts w:ascii="Times New Roman" w:hAnsi="Times New Roman" w:cs="Times New Roman"/>
          <w:bCs/>
          <w:sz w:val="28"/>
          <w:szCs w:val="28"/>
        </w:rPr>
        <w:t xml:space="preserve"> </w:t>
      </w:r>
      <w:r w:rsidR="00166DA0" w:rsidRPr="009700DA">
        <w:rPr>
          <w:rFonts w:ascii="Times New Roman" w:hAnsi="Times New Roman" w:cs="Times New Roman"/>
          <w:bCs/>
          <w:sz w:val="28"/>
          <w:szCs w:val="28"/>
        </w:rPr>
        <w:t>Para tanto, mostra-se necessária</w:t>
      </w:r>
      <w:r w:rsidR="002D5B85" w:rsidRPr="009700DA">
        <w:rPr>
          <w:rFonts w:ascii="Times New Roman" w:hAnsi="Times New Roman" w:cs="Times New Roman"/>
          <w:bCs/>
          <w:sz w:val="28"/>
          <w:szCs w:val="28"/>
        </w:rPr>
        <w:t xml:space="preserve"> a devida instrução, não sendo autorizado eventual juízo de atipicidade prematuro pela ausência d</w:t>
      </w:r>
      <w:r w:rsidR="00B81A5E">
        <w:rPr>
          <w:rFonts w:ascii="Times New Roman" w:hAnsi="Times New Roman" w:cs="Times New Roman"/>
          <w:bCs/>
          <w:sz w:val="28"/>
          <w:szCs w:val="28"/>
        </w:rPr>
        <w:t xml:space="preserve">o referido </w:t>
      </w:r>
      <w:r w:rsidR="002D5B85" w:rsidRPr="009700DA">
        <w:rPr>
          <w:rFonts w:ascii="Times New Roman" w:hAnsi="Times New Roman" w:cs="Times New Roman"/>
          <w:bCs/>
          <w:sz w:val="28"/>
          <w:szCs w:val="28"/>
        </w:rPr>
        <w:t>dolo específico.</w:t>
      </w:r>
    </w:p>
    <w:p w14:paraId="0875E3CC" w14:textId="46640755" w:rsidR="00BC39D5" w:rsidRPr="009700DA" w:rsidRDefault="00FA76C9"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3. Da</w:t>
      </w:r>
      <w:r w:rsidR="003E42C2" w:rsidRPr="009700DA">
        <w:rPr>
          <w:rFonts w:ascii="Times New Roman" w:hAnsi="Times New Roman" w:cs="Times New Roman"/>
          <w:bCs/>
          <w:sz w:val="28"/>
          <w:szCs w:val="28"/>
        </w:rPr>
        <w:t xml:space="preserve"> não incidência da</w:t>
      </w:r>
      <w:r w:rsidRPr="009700DA">
        <w:rPr>
          <w:rFonts w:ascii="Times New Roman" w:hAnsi="Times New Roman" w:cs="Times New Roman"/>
          <w:bCs/>
          <w:sz w:val="28"/>
          <w:szCs w:val="28"/>
        </w:rPr>
        <w:t xml:space="preserve"> imunidade parlamentar</w:t>
      </w:r>
      <w:r w:rsidR="00DE22C3" w:rsidRPr="009700DA">
        <w:rPr>
          <w:rFonts w:ascii="Times New Roman" w:hAnsi="Times New Roman" w:cs="Times New Roman"/>
          <w:bCs/>
          <w:sz w:val="28"/>
          <w:szCs w:val="28"/>
        </w:rPr>
        <w:t>.</w:t>
      </w:r>
    </w:p>
    <w:p w14:paraId="4DDBCA5C" w14:textId="3BE80D95" w:rsidR="00FA76C9" w:rsidRPr="009700DA" w:rsidRDefault="00BB5DBE"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Com o intuito de introduzir o tema, valho-me de relativamente recente decisão proferida pelo E. Supremo Tribunal Federal, nos autos da Pe</w:t>
      </w:r>
      <w:r w:rsidR="005E66F4" w:rsidRPr="009700DA">
        <w:rPr>
          <w:rFonts w:ascii="Times New Roman" w:hAnsi="Times New Roman" w:cs="Times New Roman"/>
          <w:bCs/>
          <w:sz w:val="28"/>
          <w:szCs w:val="28"/>
        </w:rPr>
        <w:t>tição n. 7</w:t>
      </w:r>
      <w:r w:rsidRPr="009700DA">
        <w:rPr>
          <w:rFonts w:ascii="Times New Roman" w:hAnsi="Times New Roman" w:cs="Times New Roman"/>
          <w:bCs/>
          <w:sz w:val="28"/>
          <w:szCs w:val="28"/>
        </w:rPr>
        <w:t xml:space="preserve">174, Primeira Turma, j. 10.03.2020, na qual o i. Relator Sorteado, Ministro Alexandre de Moraes, </w:t>
      </w:r>
      <w:r w:rsidR="00B81A5E">
        <w:rPr>
          <w:rFonts w:ascii="Times New Roman" w:hAnsi="Times New Roman" w:cs="Times New Roman"/>
          <w:bCs/>
          <w:sz w:val="28"/>
          <w:szCs w:val="28"/>
        </w:rPr>
        <w:t xml:space="preserve">apresenta importantes lições </w:t>
      </w:r>
      <w:r w:rsidRPr="009700DA">
        <w:rPr>
          <w:rFonts w:ascii="Times New Roman" w:hAnsi="Times New Roman" w:cs="Times New Roman"/>
          <w:bCs/>
          <w:sz w:val="28"/>
          <w:szCs w:val="28"/>
        </w:rPr>
        <w:t>sobre essa garantia:</w:t>
      </w:r>
    </w:p>
    <w:p w14:paraId="069ACB22" w14:textId="701C4B47" w:rsidR="00FA76C9" w:rsidRPr="009700DA" w:rsidRDefault="00124D89" w:rsidP="00124D89">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lastRenderedPageBreak/>
        <w:t>Na independência harmoniosa que rege o princípio da Separação de Poderes, as imunidades parlamentares são institutos de vital importância, visto buscarem, prioritariamente, a proteção dos parlamentares, no exercício de suas nobres funções, contra os abusos e as pressões dos demais poderes; constituindo-se, pois, um direito instrumental de garantia de liberdade de opiniões, palavras e votos dos membros do Poder Legislativo, bem como de sua proteção contra afastamentos ou prisões arbitrárias e processos temerários. Essas imunidades, como destacado por PAOLO BISCARETTI DI RUFFIA, não dizem respeito à figura do parlamentar, mas à função por ele exercida, no intuito de resguardá-la da atuação do Executivo ou do Judiciário, consagrando-se como garantia de sua independência perante outros poderes constitucionais (</w:t>
      </w:r>
      <w:proofErr w:type="spellStart"/>
      <w:r w:rsidRPr="009700DA">
        <w:rPr>
          <w:rFonts w:ascii="Times New Roman" w:hAnsi="Times New Roman" w:cs="Times New Roman"/>
          <w:bCs/>
          <w:i/>
          <w:sz w:val="28"/>
          <w:szCs w:val="28"/>
        </w:rPr>
        <w:t>Introduzione</w:t>
      </w:r>
      <w:proofErr w:type="spellEnd"/>
      <w:r w:rsidRPr="009700DA">
        <w:rPr>
          <w:rFonts w:ascii="Times New Roman" w:hAnsi="Times New Roman" w:cs="Times New Roman"/>
          <w:bCs/>
          <w:i/>
          <w:sz w:val="28"/>
          <w:szCs w:val="28"/>
        </w:rPr>
        <w:t xml:space="preserve"> al </w:t>
      </w:r>
      <w:proofErr w:type="spellStart"/>
      <w:r w:rsidRPr="009700DA">
        <w:rPr>
          <w:rFonts w:ascii="Times New Roman" w:hAnsi="Times New Roman" w:cs="Times New Roman"/>
          <w:bCs/>
          <w:i/>
          <w:sz w:val="28"/>
          <w:szCs w:val="28"/>
        </w:rPr>
        <w:t>diritto</w:t>
      </w:r>
      <w:proofErr w:type="spellEnd"/>
      <w:r w:rsidRPr="009700DA">
        <w:rPr>
          <w:rFonts w:ascii="Times New Roman" w:hAnsi="Times New Roman" w:cs="Times New Roman"/>
          <w:bCs/>
          <w:i/>
          <w:sz w:val="28"/>
          <w:szCs w:val="28"/>
        </w:rPr>
        <w:t xml:space="preserve"> </w:t>
      </w:r>
      <w:proofErr w:type="spellStart"/>
      <w:r w:rsidRPr="009700DA">
        <w:rPr>
          <w:rFonts w:ascii="Times New Roman" w:hAnsi="Times New Roman" w:cs="Times New Roman"/>
          <w:bCs/>
          <w:i/>
          <w:sz w:val="28"/>
          <w:szCs w:val="28"/>
        </w:rPr>
        <w:t>costituzionale</w:t>
      </w:r>
      <w:proofErr w:type="spellEnd"/>
      <w:r w:rsidRPr="009700DA">
        <w:rPr>
          <w:rFonts w:ascii="Times New Roman" w:hAnsi="Times New Roman" w:cs="Times New Roman"/>
          <w:bCs/>
          <w:i/>
          <w:sz w:val="28"/>
          <w:szCs w:val="28"/>
        </w:rPr>
        <w:t xml:space="preserve"> </w:t>
      </w:r>
      <w:proofErr w:type="spellStart"/>
      <w:r w:rsidRPr="009700DA">
        <w:rPr>
          <w:rFonts w:ascii="Times New Roman" w:hAnsi="Times New Roman" w:cs="Times New Roman"/>
          <w:bCs/>
          <w:i/>
          <w:sz w:val="28"/>
          <w:szCs w:val="28"/>
        </w:rPr>
        <w:t>comparato</w:t>
      </w:r>
      <w:proofErr w:type="spellEnd"/>
      <w:r w:rsidRPr="009700DA">
        <w:rPr>
          <w:rFonts w:ascii="Times New Roman" w:hAnsi="Times New Roman" w:cs="Times New Roman"/>
          <w:bCs/>
          <w:i/>
          <w:sz w:val="28"/>
          <w:szCs w:val="28"/>
        </w:rPr>
        <w:t>. 2. ed. Milão:</w:t>
      </w:r>
    </w:p>
    <w:p w14:paraId="0047C30A" w14:textId="46AF742B" w:rsidR="00FA76C9" w:rsidRPr="009700DA" w:rsidRDefault="006D16F4" w:rsidP="006D16F4">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w:t>
      </w:r>
    </w:p>
    <w:p w14:paraId="54088124" w14:textId="553914FA" w:rsidR="006D16F4" w:rsidRPr="009700DA" w:rsidRDefault="006D16F4" w:rsidP="006D16F4">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A criação das imunidades parlamentares como corolário da defesa da livre existência e independência do Parlamento remonta ao século XVII e tem no sistema constitucional inglês sua origem, por meio da proclamação do duplo princípio da </w:t>
      </w:r>
      <w:proofErr w:type="spellStart"/>
      <w:r w:rsidRPr="009700DA">
        <w:rPr>
          <w:rFonts w:ascii="Times New Roman" w:hAnsi="Times New Roman" w:cs="Times New Roman"/>
          <w:bCs/>
          <w:i/>
          <w:sz w:val="28"/>
          <w:szCs w:val="28"/>
        </w:rPr>
        <w:t>freedom</w:t>
      </w:r>
      <w:proofErr w:type="spellEnd"/>
      <w:r w:rsidRPr="009700DA">
        <w:rPr>
          <w:rFonts w:ascii="Times New Roman" w:hAnsi="Times New Roman" w:cs="Times New Roman"/>
          <w:bCs/>
          <w:i/>
          <w:sz w:val="28"/>
          <w:szCs w:val="28"/>
        </w:rPr>
        <w:t xml:space="preserve"> </w:t>
      </w:r>
      <w:proofErr w:type="spellStart"/>
      <w:r w:rsidRPr="009700DA">
        <w:rPr>
          <w:rFonts w:ascii="Times New Roman" w:hAnsi="Times New Roman" w:cs="Times New Roman"/>
          <w:bCs/>
          <w:i/>
          <w:sz w:val="28"/>
          <w:szCs w:val="28"/>
        </w:rPr>
        <w:t>of</w:t>
      </w:r>
      <w:proofErr w:type="spellEnd"/>
      <w:r w:rsidRPr="009700DA">
        <w:rPr>
          <w:rFonts w:ascii="Times New Roman" w:hAnsi="Times New Roman" w:cs="Times New Roman"/>
          <w:bCs/>
          <w:i/>
          <w:sz w:val="28"/>
          <w:szCs w:val="28"/>
        </w:rPr>
        <w:t xml:space="preserve"> speech (liberdade de palavra) e da </w:t>
      </w:r>
      <w:proofErr w:type="spellStart"/>
      <w:r w:rsidRPr="009700DA">
        <w:rPr>
          <w:rFonts w:ascii="Times New Roman" w:hAnsi="Times New Roman" w:cs="Times New Roman"/>
          <w:bCs/>
          <w:i/>
          <w:sz w:val="28"/>
          <w:szCs w:val="28"/>
        </w:rPr>
        <w:t>freedom</w:t>
      </w:r>
      <w:proofErr w:type="spellEnd"/>
      <w:r w:rsidRPr="009700DA">
        <w:rPr>
          <w:rFonts w:ascii="Times New Roman" w:hAnsi="Times New Roman" w:cs="Times New Roman"/>
          <w:bCs/>
          <w:i/>
          <w:sz w:val="28"/>
          <w:szCs w:val="28"/>
        </w:rPr>
        <w:t xml:space="preserve"> </w:t>
      </w:r>
      <w:proofErr w:type="spellStart"/>
      <w:r w:rsidRPr="009700DA">
        <w:rPr>
          <w:rFonts w:ascii="Times New Roman" w:hAnsi="Times New Roman" w:cs="Times New Roman"/>
          <w:bCs/>
          <w:i/>
          <w:sz w:val="28"/>
          <w:szCs w:val="28"/>
        </w:rPr>
        <w:t>from</w:t>
      </w:r>
      <w:proofErr w:type="spellEnd"/>
      <w:r w:rsidRPr="009700DA">
        <w:rPr>
          <w:rFonts w:ascii="Times New Roman" w:hAnsi="Times New Roman" w:cs="Times New Roman"/>
          <w:bCs/>
          <w:i/>
          <w:sz w:val="28"/>
          <w:szCs w:val="28"/>
        </w:rPr>
        <w:t xml:space="preserve"> </w:t>
      </w:r>
      <w:proofErr w:type="spellStart"/>
      <w:r w:rsidRPr="009700DA">
        <w:rPr>
          <w:rFonts w:ascii="Times New Roman" w:hAnsi="Times New Roman" w:cs="Times New Roman"/>
          <w:bCs/>
          <w:i/>
          <w:sz w:val="28"/>
          <w:szCs w:val="28"/>
        </w:rPr>
        <w:t>arrest</w:t>
      </w:r>
      <w:proofErr w:type="spellEnd"/>
      <w:r w:rsidRPr="009700DA">
        <w:rPr>
          <w:rFonts w:ascii="Times New Roman" w:hAnsi="Times New Roman" w:cs="Times New Roman"/>
          <w:bCs/>
          <w:i/>
          <w:sz w:val="28"/>
          <w:szCs w:val="28"/>
        </w:rPr>
        <w:t xml:space="preserve"> (imunidade à prisão arbitrária), no Bill </w:t>
      </w:r>
      <w:proofErr w:type="spellStart"/>
      <w:r w:rsidRPr="009700DA">
        <w:rPr>
          <w:rFonts w:ascii="Times New Roman" w:hAnsi="Times New Roman" w:cs="Times New Roman"/>
          <w:bCs/>
          <w:i/>
          <w:sz w:val="28"/>
          <w:szCs w:val="28"/>
        </w:rPr>
        <w:t>of</w:t>
      </w:r>
      <w:proofErr w:type="spellEnd"/>
      <w:r w:rsidRPr="009700DA">
        <w:rPr>
          <w:rFonts w:ascii="Times New Roman" w:hAnsi="Times New Roman" w:cs="Times New Roman"/>
          <w:bCs/>
          <w:i/>
          <w:sz w:val="28"/>
          <w:szCs w:val="28"/>
        </w:rPr>
        <w:t xml:space="preserve"> </w:t>
      </w:r>
      <w:proofErr w:type="spellStart"/>
      <w:r w:rsidRPr="009700DA">
        <w:rPr>
          <w:rFonts w:ascii="Times New Roman" w:hAnsi="Times New Roman" w:cs="Times New Roman"/>
          <w:bCs/>
          <w:i/>
          <w:sz w:val="28"/>
          <w:szCs w:val="28"/>
        </w:rPr>
        <w:t>Rights</w:t>
      </w:r>
      <w:proofErr w:type="spellEnd"/>
      <w:r w:rsidRPr="009700DA">
        <w:rPr>
          <w:rFonts w:ascii="Times New Roman" w:hAnsi="Times New Roman" w:cs="Times New Roman"/>
          <w:bCs/>
          <w:i/>
          <w:sz w:val="28"/>
          <w:szCs w:val="28"/>
        </w:rPr>
        <w:t xml:space="preserve"> de 1689. Ressalte-se, porém, que a declaração inglesa de direitos de 1688, Estatuto I, de Guilherme III e Maria II, no ato declaratório dos direitos e liberdades do súdito, já previa a autonomia dos membros do Parlamento, ao afirmar que as eleições deveriam ser livres e a liberdade de expressão, os debates e procedimentos no Parlamento não poderiam ser impedidos ou contestados em qualquer tribunal ou em qualquer lugar fora do Parlamento.</w:t>
      </w:r>
    </w:p>
    <w:p w14:paraId="38B94143" w14:textId="1E898F24" w:rsidR="00FA76C9" w:rsidRPr="009700DA" w:rsidRDefault="00B273EB" w:rsidP="00B273EB">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w:t>
      </w:r>
    </w:p>
    <w:p w14:paraId="2EDF9D69" w14:textId="40AE519C" w:rsidR="00E8133E" w:rsidRPr="009700DA" w:rsidRDefault="00B273EB" w:rsidP="00B273EB">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Entre nós, desde a primeira Constituição brasileira de 1891 foi prevista essa garantia de proteção ao exercício do mandato popular, consubstanciada na liberdade de palavra.</w:t>
      </w:r>
    </w:p>
    <w:p w14:paraId="35B30ED2" w14:textId="10DF7A17" w:rsidR="00E8133E" w:rsidRPr="009700DA" w:rsidRDefault="00B273EB" w:rsidP="00B273EB">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w:t>
      </w:r>
    </w:p>
    <w:p w14:paraId="685B6FE3" w14:textId="73725A97" w:rsidR="00B273EB" w:rsidRPr="009700DA" w:rsidRDefault="00B273EB" w:rsidP="00B273EB">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O debate, longe de despertar interesse meramente histórico-literário, permanece atual nesta CORTE, que tem sido constantemente provocada a se manifestar sobre os </w:t>
      </w:r>
      <w:r w:rsidRPr="009700DA">
        <w:rPr>
          <w:rFonts w:ascii="Times New Roman" w:hAnsi="Times New Roman" w:cs="Times New Roman"/>
          <w:bCs/>
          <w:i/>
          <w:sz w:val="28"/>
          <w:szCs w:val="28"/>
        </w:rPr>
        <w:lastRenderedPageBreak/>
        <w:t>limites da imunidade material dos parlamentares hospedada no art. 53, caput, da Carta da República; especialmente, sobre o caráter absoluto ou relativo das imunidades parlamentares materiais. Cada vez mais, na Turma, cada um de nós tem casos relacionados a parlamentares, o que nos traz a importante questão sobre qual é a natureza jurídico-política das inviolabilidades e a análise evolutiva dessa natureza jurídica que foi se alterando, e sua aplicabilidade, ao longo das nossas Constituições, consolidada na Constituição de 1988.</w:t>
      </w:r>
    </w:p>
    <w:p w14:paraId="5A66359E" w14:textId="0B4B8D12" w:rsidR="00E8133E" w:rsidRPr="009700DA" w:rsidRDefault="00B273EB" w:rsidP="00B273EB">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É essencial na presente hipótese, analisar a conciliação realizada pelo texto de nossa Constituição em relação a duas grandes teorias sobre inviolabilidades parlamentares: A </w:t>
      </w:r>
      <w:proofErr w:type="spellStart"/>
      <w:r w:rsidRPr="009700DA">
        <w:rPr>
          <w:rFonts w:ascii="Times New Roman" w:hAnsi="Times New Roman" w:cs="Times New Roman"/>
          <w:bCs/>
          <w:i/>
          <w:sz w:val="28"/>
          <w:szCs w:val="28"/>
        </w:rPr>
        <w:t>blackstoniana</w:t>
      </w:r>
      <w:proofErr w:type="spellEnd"/>
      <w:r w:rsidRPr="009700DA">
        <w:rPr>
          <w:rFonts w:ascii="Times New Roman" w:hAnsi="Times New Roman" w:cs="Times New Roman"/>
          <w:bCs/>
          <w:i/>
          <w:sz w:val="28"/>
          <w:szCs w:val="28"/>
        </w:rPr>
        <w:t xml:space="preserve"> e a de Stuart Mill.</w:t>
      </w:r>
    </w:p>
    <w:p w14:paraId="6C6FA6CE" w14:textId="77777777" w:rsidR="00BB774D" w:rsidRPr="009700DA" w:rsidRDefault="00BB774D" w:rsidP="00B273EB">
      <w:pPr>
        <w:spacing w:before="120" w:after="120" w:line="240" w:lineRule="auto"/>
        <w:ind w:left="1701" w:firstLine="1134"/>
        <w:jc w:val="both"/>
        <w:rPr>
          <w:rFonts w:ascii="Times New Roman" w:hAnsi="Times New Roman" w:cs="Times New Roman"/>
          <w:bCs/>
          <w:i/>
          <w:sz w:val="28"/>
          <w:szCs w:val="28"/>
        </w:rPr>
      </w:pPr>
    </w:p>
    <w:p w14:paraId="3D0B0E6C" w14:textId="77777777" w:rsidR="00B81A5E" w:rsidRDefault="00776062" w:rsidP="0077606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Como visto, a inviolabilidade</w:t>
      </w:r>
      <w:r w:rsidR="00DE22C3" w:rsidRPr="009700DA">
        <w:rPr>
          <w:rFonts w:ascii="Times New Roman" w:hAnsi="Times New Roman" w:cs="Times New Roman"/>
          <w:bCs/>
          <w:sz w:val="28"/>
          <w:szCs w:val="28"/>
        </w:rPr>
        <w:t xml:space="preserve"> civil e penal</w:t>
      </w:r>
      <w:r w:rsidRPr="009700DA">
        <w:rPr>
          <w:rFonts w:ascii="Times New Roman" w:hAnsi="Times New Roman" w:cs="Times New Roman"/>
          <w:bCs/>
          <w:sz w:val="28"/>
          <w:szCs w:val="28"/>
        </w:rPr>
        <w:t xml:space="preserve"> dos deputados e senadores, por quaisquer de suas opiniões, palavras e votos (art. 53 da Constituição Federal) tem por objetivo garantir aos parlamentares a plena liberdade de expressão política. </w:t>
      </w:r>
    </w:p>
    <w:p w14:paraId="5C427D7B" w14:textId="505DE445" w:rsidR="00776062" w:rsidRPr="009700DA" w:rsidRDefault="00832773" w:rsidP="0077606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Trata-se de</w:t>
      </w:r>
      <w:r w:rsidR="00776062" w:rsidRPr="009700DA">
        <w:rPr>
          <w:rFonts w:ascii="Times New Roman" w:hAnsi="Times New Roman" w:cs="Times New Roman"/>
          <w:bCs/>
          <w:sz w:val="28"/>
          <w:szCs w:val="28"/>
        </w:rPr>
        <w:t xml:space="preserve"> importante instituto, que</w:t>
      </w:r>
      <w:r w:rsidR="009230B5" w:rsidRPr="009700DA">
        <w:rPr>
          <w:rFonts w:ascii="Times New Roman" w:hAnsi="Times New Roman" w:cs="Times New Roman"/>
          <w:bCs/>
          <w:sz w:val="28"/>
          <w:szCs w:val="28"/>
        </w:rPr>
        <w:t xml:space="preserve"> possibilitou e</w:t>
      </w:r>
      <w:r w:rsidR="00776062" w:rsidRPr="009700DA">
        <w:rPr>
          <w:rFonts w:ascii="Times New Roman" w:hAnsi="Times New Roman" w:cs="Times New Roman"/>
          <w:bCs/>
          <w:sz w:val="28"/>
          <w:szCs w:val="28"/>
        </w:rPr>
        <w:t xml:space="preserve"> assegurou o avanço da democracia representativa no mundo.</w:t>
      </w:r>
    </w:p>
    <w:p w14:paraId="4D630C07" w14:textId="11B65686" w:rsidR="00BB774D" w:rsidRPr="009700DA" w:rsidRDefault="00BB774D" w:rsidP="00BB774D">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Entretanto, </w:t>
      </w:r>
      <w:r w:rsidR="00B81A5E">
        <w:rPr>
          <w:rFonts w:ascii="Times New Roman" w:hAnsi="Times New Roman" w:cs="Times New Roman"/>
          <w:bCs/>
          <w:sz w:val="28"/>
          <w:szCs w:val="28"/>
        </w:rPr>
        <w:t>não</w:t>
      </w:r>
      <w:r w:rsidRPr="009700DA">
        <w:rPr>
          <w:rFonts w:ascii="Times New Roman" w:hAnsi="Times New Roman" w:cs="Times New Roman"/>
          <w:bCs/>
          <w:i/>
          <w:sz w:val="28"/>
          <w:szCs w:val="28"/>
        </w:rPr>
        <w:t xml:space="preserve"> há como se conceber o manejo de uma gara</w:t>
      </w:r>
      <w:r w:rsidR="00850BDD" w:rsidRPr="009700DA">
        <w:rPr>
          <w:rFonts w:ascii="Times New Roman" w:hAnsi="Times New Roman" w:cs="Times New Roman"/>
          <w:bCs/>
          <w:i/>
          <w:sz w:val="28"/>
          <w:szCs w:val="28"/>
        </w:rPr>
        <w:t>ntia fundamental da democracia –</w:t>
      </w:r>
      <w:r w:rsidRPr="009700DA">
        <w:rPr>
          <w:rFonts w:ascii="Times New Roman" w:hAnsi="Times New Roman" w:cs="Times New Roman"/>
          <w:bCs/>
          <w:i/>
          <w:sz w:val="28"/>
          <w:szCs w:val="28"/>
        </w:rPr>
        <w:t xml:space="preserve"> cujo objetivo é vedar perseguições discriminatórias — para legitimar, acobertar, incentivar prática de igual natureza, qual seja, a violência política de gênero, ação discriminatória que viola a igualdade e a dignidade da pessoa humana — fundamento essencial de um regime democrático</w:t>
      </w:r>
      <w:r w:rsidRPr="009700DA">
        <w:rPr>
          <w:rFonts w:ascii="Times New Roman" w:hAnsi="Times New Roman" w:cs="Times New Roman"/>
          <w:bCs/>
          <w:sz w:val="28"/>
          <w:szCs w:val="28"/>
        </w:rPr>
        <w:t xml:space="preserve"> (TRE/RJ</w:t>
      </w:r>
      <w:r w:rsidR="00581B69" w:rsidRPr="009700DA">
        <w:rPr>
          <w:rFonts w:ascii="Times New Roman" w:hAnsi="Times New Roman" w:cs="Times New Roman"/>
          <w:bCs/>
          <w:sz w:val="28"/>
          <w:szCs w:val="28"/>
        </w:rPr>
        <w:t>, PETIÇÃO CRIMINAL nº 060047246, Relatora</w:t>
      </w:r>
      <w:r w:rsidR="00B937AD" w:rsidRPr="009700DA">
        <w:rPr>
          <w:rFonts w:ascii="Times New Roman" w:hAnsi="Times New Roman" w:cs="Times New Roman"/>
          <w:bCs/>
          <w:sz w:val="28"/>
          <w:szCs w:val="28"/>
        </w:rPr>
        <w:t xml:space="preserve"> Des.</w:t>
      </w:r>
      <w:r w:rsidR="00581B69" w:rsidRPr="009700DA">
        <w:rPr>
          <w:rFonts w:ascii="Times New Roman" w:hAnsi="Times New Roman" w:cs="Times New Roman"/>
          <w:bCs/>
          <w:sz w:val="28"/>
          <w:szCs w:val="28"/>
        </w:rPr>
        <w:t xml:space="preserve"> Kátia Valverde Junqueira, j. 23.08.2022</w:t>
      </w:r>
      <w:r w:rsidRPr="009700DA">
        <w:rPr>
          <w:rFonts w:ascii="Times New Roman" w:hAnsi="Times New Roman" w:cs="Times New Roman"/>
          <w:bCs/>
          <w:sz w:val="28"/>
          <w:szCs w:val="28"/>
        </w:rPr>
        <w:t>)</w:t>
      </w:r>
      <w:r w:rsidR="000525A2" w:rsidRPr="009700DA">
        <w:rPr>
          <w:rFonts w:ascii="Times New Roman" w:hAnsi="Times New Roman" w:cs="Times New Roman"/>
          <w:bCs/>
          <w:sz w:val="28"/>
          <w:szCs w:val="28"/>
        </w:rPr>
        <w:t>.</w:t>
      </w:r>
    </w:p>
    <w:p w14:paraId="284BAB29" w14:textId="569DDD98" w:rsidR="00776062" w:rsidRPr="009700DA" w:rsidRDefault="002854D2" w:rsidP="002854D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Até porque, a imunidade parlamentar traduz uma norma de exceção, um “privilégio” dos congressistas. Como toda norma de </w:t>
      </w:r>
      <w:r w:rsidRPr="009700DA">
        <w:rPr>
          <w:rFonts w:ascii="Times New Roman" w:hAnsi="Times New Roman" w:cs="Times New Roman"/>
          <w:bCs/>
          <w:sz w:val="28"/>
          <w:szCs w:val="28"/>
        </w:rPr>
        <w:lastRenderedPageBreak/>
        <w:t>exceção, deve ser interpretada restritivamente (STF, AP 937 QO, Rel. Min. Luís Roberto Barroso, Tribunal Pleno, j. 03.05.2018)</w:t>
      </w:r>
      <w:r w:rsidR="003955EE" w:rsidRPr="009700DA">
        <w:rPr>
          <w:rFonts w:ascii="Times New Roman" w:hAnsi="Times New Roman" w:cs="Times New Roman"/>
          <w:bCs/>
          <w:sz w:val="28"/>
          <w:szCs w:val="28"/>
        </w:rPr>
        <w:t>.</w:t>
      </w:r>
    </w:p>
    <w:p w14:paraId="014AE7E4" w14:textId="0118B5D3" w:rsidR="000525A2" w:rsidRPr="009700DA" w:rsidRDefault="004F7F07" w:rsidP="002854D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shd w:val="clear" w:color="auto" w:fill="FFFFFF"/>
        </w:rPr>
        <w:t xml:space="preserve">Em casos </w:t>
      </w:r>
      <w:r w:rsidR="0040032C" w:rsidRPr="009700DA">
        <w:rPr>
          <w:rFonts w:ascii="Times New Roman" w:hAnsi="Times New Roman" w:cs="Times New Roman"/>
          <w:bCs/>
          <w:sz w:val="28"/>
          <w:szCs w:val="28"/>
          <w:shd w:val="clear" w:color="auto" w:fill="FFFFFF"/>
        </w:rPr>
        <w:t>tais</w:t>
      </w:r>
      <w:r w:rsidR="000525A2" w:rsidRPr="009700DA">
        <w:rPr>
          <w:rFonts w:ascii="Times New Roman" w:hAnsi="Times New Roman" w:cs="Times New Roman"/>
          <w:bCs/>
          <w:sz w:val="28"/>
          <w:szCs w:val="28"/>
          <w:shd w:val="clear" w:color="auto" w:fill="FFFFFF"/>
        </w:rPr>
        <w:t xml:space="preserve">, se reconhecida a incidência de imunidade parlamentar, </w:t>
      </w:r>
      <w:r w:rsidR="00B81A5E">
        <w:rPr>
          <w:rFonts w:ascii="Times New Roman" w:hAnsi="Times New Roman" w:cs="Times New Roman"/>
          <w:bCs/>
          <w:sz w:val="28"/>
          <w:szCs w:val="28"/>
          <w:shd w:val="clear" w:color="auto" w:fill="FFFFFF"/>
        </w:rPr>
        <w:t xml:space="preserve">com as devidas vênias aos entendimentos em contrário, </w:t>
      </w:r>
      <w:r w:rsidR="000525A2" w:rsidRPr="009700DA">
        <w:rPr>
          <w:rFonts w:ascii="Times New Roman" w:hAnsi="Times New Roman" w:cs="Times New Roman"/>
          <w:bCs/>
          <w:sz w:val="28"/>
          <w:szCs w:val="28"/>
          <w:shd w:val="clear" w:color="auto" w:fill="FFFFFF"/>
        </w:rPr>
        <w:t>esvaziar-se-ia por completo o conteúdo e alcance da norma, cujo bem jurídico tutelado jamais seria protegido.</w:t>
      </w:r>
    </w:p>
    <w:p w14:paraId="4F484B08" w14:textId="4A083C59" w:rsidR="0086303B" w:rsidRPr="009700DA" w:rsidRDefault="0086303B" w:rsidP="0086303B">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Nesse mesmo sentir, Luiz Carlos dos Santos Gonçalves, em artigo intitulado “Violência de gênero e imunidade parlamentar”</w:t>
      </w:r>
      <w:r w:rsidRPr="009700DA">
        <w:rPr>
          <w:rStyle w:val="Refdenotaderodap"/>
          <w:rFonts w:ascii="Times New Roman" w:hAnsi="Times New Roman" w:cs="Times New Roman"/>
          <w:bCs/>
          <w:sz w:val="28"/>
          <w:szCs w:val="28"/>
        </w:rPr>
        <w:footnoteReference w:id="9"/>
      </w:r>
      <w:r w:rsidRPr="009700DA">
        <w:rPr>
          <w:rFonts w:ascii="Times New Roman" w:hAnsi="Times New Roman" w:cs="Times New Roman"/>
          <w:bCs/>
          <w:sz w:val="28"/>
          <w:szCs w:val="28"/>
        </w:rPr>
        <w:t xml:space="preserve"> pondera:</w:t>
      </w:r>
    </w:p>
    <w:p w14:paraId="23734527" w14:textId="41815CF7" w:rsidR="0086303B" w:rsidRPr="009700DA" w:rsidRDefault="0086303B" w:rsidP="0086303B">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Pretendesse o legislador afastar a tipicidade em função da imunidade material, porque teria incluído na lei a proteção às mulheres “detentoras de mandatos eletivos”? Desconheceria ele a realidade de que no Congresso Nacional há mulheres deputadas e senadoras, embora poucas? Quando o detentor da imunidade, ele mesmo, estabelece norma que fala em assédio, constrangimento ou ameaça, teria se esquecido da própria imunidade ou oferecido, para ela, uma interpretação possível e redutora?</w:t>
      </w:r>
    </w:p>
    <w:p w14:paraId="578DC45B" w14:textId="58C3C2FD" w:rsidR="0086303B" w:rsidRPr="009700DA" w:rsidRDefault="0086303B" w:rsidP="0086303B">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w:t>
      </w:r>
    </w:p>
    <w:p w14:paraId="7F8026ED" w14:textId="6736779B" w:rsidR="0086303B" w:rsidRPr="009700DA" w:rsidRDefault="0086303B" w:rsidP="0086303B">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A luta das mulheres pela igualdade e respeito não pode ser desconsiderada na interpretação atual do Direito, muito menos nos focos de tensão entre mecanismos de garantia de posições jurídicas diversas. A imunidade parlamentar deve ser lida à luz da igualdade política de gênero e não no sentido de propiciar situações de violência e preconceito.</w:t>
      </w:r>
    </w:p>
    <w:p w14:paraId="691C40BE" w14:textId="72625179" w:rsidR="0086303B" w:rsidRPr="009700DA" w:rsidRDefault="0086303B" w:rsidP="0086303B">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Não podem ser considerados atos “</w:t>
      </w:r>
      <w:proofErr w:type="spellStart"/>
      <w:r w:rsidRPr="009700DA">
        <w:rPr>
          <w:rFonts w:ascii="Times New Roman" w:hAnsi="Times New Roman" w:cs="Times New Roman"/>
          <w:bCs/>
          <w:i/>
          <w:sz w:val="28"/>
          <w:szCs w:val="28"/>
        </w:rPr>
        <w:t>propter</w:t>
      </w:r>
      <w:proofErr w:type="spellEnd"/>
      <w:r w:rsidRPr="009700DA">
        <w:rPr>
          <w:rFonts w:ascii="Times New Roman" w:hAnsi="Times New Roman" w:cs="Times New Roman"/>
          <w:bCs/>
          <w:i/>
          <w:sz w:val="28"/>
          <w:szCs w:val="28"/>
        </w:rPr>
        <w:t xml:space="preserve"> </w:t>
      </w:r>
      <w:proofErr w:type="spellStart"/>
      <w:r w:rsidRPr="009700DA">
        <w:rPr>
          <w:rFonts w:ascii="Times New Roman" w:hAnsi="Times New Roman" w:cs="Times New Roman"/>
          <w:bCs/>
          <w:i/>
          <w:sz w:val="28"/>
          <w:szCs w:val="28"/>
        </w:rPr>
        <w:t>officium</w:t>
      </w:r>
      <w:proofErr w:type="spellEnd"/>
      <w:r w:rsidRPr="009700DA">
        <w:rPr>
          <w:rFonts w:ascii="Times New Roman" w:hAnsi="Times New Roman" w:cs="Times New Roman"/>
          <w:bCs/>
          <w:i/>
          <w:sz w:val="28"/>
          <w:szCs w:val="28"/>
        </w:rPr>
        <w:t>” o assédio, o constrangimento, a humilhação e a ameaça a mulher parlamentar. São, ao revés, desvios da função parlamentar, em boa hora tornados típicos.</w:t>
      </w:r>
    </w:p>
    <w:p w14:paraId="0F1C6480" w14:textId="77777777" w:rsidR="0086303B" w:rsidRPr="009700DA" w:rsidRDefault="0086303B" w:rsidP="00776062">
      <w:pPr>
        <w:spacing w:before="120" w:after="120" w:line="360" w:lineRule="auto"/>
        <w:ind w:firstLine="2835"/>
        <w:jc w:val="both"/>
        <w:rPr>
          <w:rFonts w:ascii="Times New Roman" w:hAnsi="Times New Roman" w:cs="Times New Roman"/>
          <w:bCs/>
          <w:sz w:val="28"/>
          <w:szCs w:val="28"/>
        </w:rPr>
      </w:pPr>
    </w:p>
    <w:p w14:paraId="586BAAE8" w14:textId="3AECB456" w:rsidR="007C324D" w:rsidRPr="009700DA" w:rsidRDefault="00B53C14" w:rsidP="0077606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lastRenderedPageBreak/>
        <w:t xml:space="preserve">Para além disso, </w:t>
      </w:r>
      <w:r w:rsidR="007C324D" w:rsidRPr="009700DA">
        <w:rPr>
          <w:rFonts w:ascii="Times New Roman" w:hAnsi="Times New Roman" w:cs="Times New Roman"/>
          <w:bCs/>
          <w:sz w:val="28"/>
          <w:szCs w:val="28"/>
        </w:rPr>
        <w:t xml:space="preserve">observa-se que o Supremo Tribunal Federal tem feito importante distinção para casos </w:t>
      </w:r>
      <w:r w:rsidR="008B7A5F" w:rsidRPr="009700DA">
        <w:rPr>
          <w:rFonts w:ascii="Times New Roman" w:hAnsi="Times New Roman" w:cs="Times New Roman"/>
          <w:bCs/>
          <w:sz w:val="28"/>
          <w:szCs w:val="28"/>
        </w:rPr>
        <w:t xml:space="preserve">nos quais, em que pese </w:t>
      </w:r>
      <w:r w:rsidR="007C324D" w:rsidRPr="009700DA">
        <w:rPr>
          <w:rFonts w:ascii="Times New Roman" w:hAnsi="Times New Roman" w:cs="Times New Roman"/>
          <w:bCs/>
          <w:sz w:val="28"/>
          <w:szCs w:val="28"/>
        </w:rPr>
        <w:t xml:space="preserve">o ato ter ocorrido nas dependências do Parlamento, sua divulgação e seus efeitos transbordaram </w:t>
      </w:r>
      <w:r w:rsidR="008B7A5F" w:rsidRPr="009700DA">
        <w:rPr>
          <w:rFonts w:ascii="Times New Roman" w:hAnsi="Times New Roman" w:cs="Times New Roman"/>
          <w:bCs/>
          <w:sz w:val="28"/>
          <w:szCs w:val="28"/>
        </w:rPr>
        <w:t>os limites da casa legislativa.</w:t>
      </w:r>
    </w:p>
    <w:p w14:paraId="25CF147F" w14:textId="3DFEE723" w:rsidR="008B7A5F" w:rsidRPr="009700DA" w:rsidRDefault="008B7A5F" w:rsidP="0077606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Nesse sentido:</w:t>
      </w:r>
    </w:p>
    <w:p w14:paraId="5714BC32" w14:textId="0C4D78B5" w:rsidR="009B17C7" w:rsidRPr="009700DA" w:rsidRDefault="009B17C7" w:rsidP="009B17C7">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10. Tenho reservas sobre o caráter absoluto da imunidade relacionada às declarações proferidas somente no Congresso, mas, no caso concreto, não é necessário superar a jurisprudência. Isso porque, como já decidiram as duas Turmas desta Corte, o fato de o parlamentar estar na Casa Legislativa no momento em que proferiu as declarações pode ser circunstância meramente acidental, se as ofensas se tornaram públicas por intermédio da internet, meios de comunicação de massa ou postagens em rede social (</w:t>
      </w:r>
      <w:proofErr w:type="spellStart"/>
      <w:r w:rsidRPr="009700DA">
        <w:rPr>
          <w:rFonts w:ascii="Times New Roman" w:hAnsi="Times New Roman" w:cs="Times New Roman"/>
          <w:bCs/>
          <w:i/>
          <w:sz w:val="28"/>
          <w:szCs w:val="28"/>
        </w:rPr>
        <w:t>Inq</w:t>
      </w:r>
      <w:proofErr w:type="spellEnd"/>
      <w:r w:rsidRPr="009700DA">
        <w:rPr>
          <w:rFonts w:ascii="Times New Roman" w:hAnsi="Times New Roman" w:cs="Times New Roman"/>
          <w:bCs/>
          <w:i/>
          <w:sz w:val="28"/>
          <w:szCs w:val="28"/>
        </w:rPr>
        <w:t xml:space="preserve"> 3932, Rel. Min. Luiz Fux, Primeira Turma, j. 21.06.2016; AO 2002, Rel. Min. Gilmar Mendes, Segunda Turma, j. 02.02.2016). Foi o que ocorreu no caso concreto: após proferir as declarações na Câmara dos Deputados, o próprio querelado as veiculou em sua página pessoal no Facebook, além de terem sido divulgadas por diferentes meios de comunicação e se encontrarem disponíveis no Youtube.</w:t>
      </w:r>
      <w:r w:rsidR="002523FB" w:rsidRPr="009700DA">
        <w:rPr>
          <w:rFonts w:ascii="Times New Roman" w:hAnsi="Times New Roman" w:cs="Times New Roman"/>
          <w:bCs/>
          <w:i/>
          <w:sz w:val="28"/>
          <w:szCs w:val="28"/>
        </w:rPr>
        <w:t xml:space="preserve"> (</w:t>
      </w:r>
      <w:r w:rsidR="005A0A7E" w:rsidRPr="009700DA">
        <w:rPr>
          <w:rFonts w:ascii="Times New Roman" w:hAnsi="Times New Roman" w:cs="Times New Roman"/>
          <w:bCs/>
          <w:i/>
          <w:sz w:val="28"/>
          <w:szCs w:val="28"/>
        </w:rPr>
        <w:t xml:space="preserve">STF. </w:t>
      </w:r>
      <w:r w:rsidR="002523FB" w:rsidRPr="009700DA">
        <w:rPr>
          <w:rFonts w:ascii="Times New Roman" w:hAnsi="Times New Roman" w:cs="Times New Roman"/>
          <w:bCs/>
          <w:i/>
          <w:sz w:val="28"/>
          <w:szCs w:val="28"/>
        </w:rPr>
        <w:t xml:space="preserve">Petição n. 7174, Primeira Turma. Rel. </w:t>
      </w:r>
      <w:proofErr w:type="spellStart"/>
      <w:r w:rsidR="002523FB" w:rsidRPr="009700DA">
        <w:rPr>
          <w:rFonts w:ascii="Times New Roman" w:hAnsi="Times New Roman" w:cs="Times New Roman"/>
          <w:bCs/>
          <w:i/>
          <w:sz w:val="28"/>
          <w:szCs w:val="28"/>
        </w:rPr>
        <w:t>desig</w:t>
      </w:r>
      <w:proofErr w:type="spellEnd"/>
      <w:r w:rsidR="002523FB" w:rsidRPr="009700DA">
        <w:rPr>
          <w:rFonts w:ascii="Times New Roman" w:hAnsi="Times New Roman" w:cs="Times New Roman"/>
          <w:bCs/>
          <w:i/>
          <w:sz w:val="28"/>
          <w:szCs w:val="28"/>
        </w:rPr>
        <w:t>. Min. Marco Aurélio, j. 10.03.2020)</w:t>
      </w:r>
    </w:p>
    <w:p w14:paraId="0910D8E0" w14:textId="52BBF489" w:rsidR="009B17C7" w:rsidRPr="009700DA" w:rsidRDefault="009B17C7" w:rsidP="0077606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E, </w:t>
      </w:r>
      <w:r w:rsidRPr="009700DA">
        <w:rPr>
          <w:rFonts w:ascii="Times New Roman" w:hAnsi="Times New Roman" w:cs="Times New Roman"/>
          <w:bCs/>
          <w:i/>
          <w:sz w:val="28"/>
          <w:szCs w:val="28"/>
        </w:rPr>
        <w:t xml:space="preserve">in </w:t>
      </w:r>
      <w:proofErr w:type="spellStart"/>
      <w:r w:rsidRPr="009700DA">
        <w:rPr>
          <w:rFonts w:ascii="Times New Roman" w:hAnsi="Times New Roman" w:cs="Times New Roman"/>
          <w:bCs/>
          <w:i/>
          <w:sz w:val="28"/>
          <w:szCs w:val="28"/>
        </w:rPr>
        <w:t>casu</w:t>
      </w:r>
      <w:proofErr w:type="spellEnd"/>
      <w:r w:rsidRPr="009700DA">
        <w:rPr>
          <w:rFonts w:ascii="Times New Roman" w:hAnsi="Times New Roman" w:cs="Times New Roman"/>
          <w:bCs/>
          <w:sz w:val="28"/>
          <w:szCs w:val="28"/>
        </w:rPr>
        <w:t xml:space="preserve">, conforme </w:t>
      </w:r>
      <w:r w:rsidR="002523FB" w:rsidRPr="009700DA">
        <w:rPr>
          <w:rFonts w:ascii="Times New Roman" w:hAnsi="Times New Roman" w:cs="Times New Roman"/>
          <w:bCs/>
          <w:sz w:val="28"/>
          <w:szCs w:val="28"/>
        </w:rPr>
        <w:t xml:space="preserve">afirmado pelo autor e </w:t>
      </w:r>
      <w:r w:rsidRPr="009700DA">
        <w:rPr>
          <w:rFonts w:ascii="Times New Roman" w:hAnsi="Times New Roman" w:cs="Times New Roman"/>
          <w:bCs/>
          <w:sz w:val="28"/>
          <w:szCs w:val="28"/>
        </w:rPr>
        <w:t>reconhecido pelo próprio denunciado em sua defesa, o fato foi</w:t>
      </w:r>
      <w:r w:rsidR="009E3EF0" w:rsidRPr="009700DA">
        <w:rPr>
          <w:rFonts w:ascii="Times New Roman" w:hAnsi="Times New Roman" w:cs="Times New Roman"/>
          <w:bCs/>
          <w:sz w:val="28"/>
          <w:szCs w:val="28"/>
        </w:rPr>
        <w:t xml:space="preserve"> amplamente divulgado na mídia (</w:t>
      </w:r>
      <w:proofErr w:type="spellStart"/>
      <w:r w:rsidR="009E3EF0" w:rsidRPr="009700DA">
        <w:rPr>
          <w:rFonts w:ascii="Times New Roman" w:hAnsi="Times New Roman" w:cs="Times New Roman"/>
          <w:bCs/>
          <w:sz w:val="28"/>
          <w:szCs w:val="28"/>
        </w:rPr>
        <w:t>IDs</w:t>
      </w:r>
      <w:proofErr w:type="spellEnd"/>
      <w:r w:rsidR="009E3EF0" w:rsidRPr="009700DA">
        <w:rPr>
          <w:rFonts w:ascii="Times New Roman" w:hAnsi="Times New Roman" w:cs="Times New Roman"/>
          <w:bCs/>
          <w:sz w:val="28"/>
          <w:szCs w:val="28"/>
        </w:rPr>
        <w:t xml:space="preserve"> 64051527/64051521</w:t>
      </w:r>
      <w:r w:rsidR="006D13B9" w:rsidRPr="009700DA">
        <w:rPr>
          <w:rFonts w:ascii="Times New Roman" w:hAnsi="Times New Roman" w:cs="Times New Roman"/>
          <w:bCs/>
          <w:sz w:val="28"/>
          <w:szCs w:val="28"/>
        </w:rPr>
        <w:t>), o que legitimaria o afastamento da incidência da aventada imunidade.</w:t>
      </w:r>
    </w:p>
    <w:p w14:paraId="098514C2" w14:textId="204F7EF7" w:rsidR="00DB3786" w:rsidRPr="009700DA" w:rsidRDefault="0086303B" w:rsidP="00DB3786">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Outrossim, v</w:t>
      </w:r>
      <w:r w:rsidR="00DB3786" w:rsidRPr="009700DA">
        <w:rPr>
          <w:rFonts w:ascii="Times New Roman" w:hAnsi="Times New Roman" w:cs="Times New Roman"/>
          <w:bCs/>
          <w:sz w:val="28"/>
          <w:szCs w:val="28"/>
        </w:rPr>
        <w:t>alho-me</w:t>
      </w:r>
      <w:r w:rsidRPr="009700DA">
        <w:rPr>
          <w:rFonts w:ascii="Times New Roman" w:hAnsi="Times New Roman" w:cs="Times New Roman"/>
          <w:bCs/>
          <w:sz w:val="28"/>
          <w:szCs w:val="28"/>
        </w:rPr>
        <w:t xml:space="preserve"> novamente</w:t>
      </w:r>
      <w:r w:rsidR="00DB3786" w:rsidRPr="009700DA">
        <w:rPr>
          <w:rFonts w:ascii="Times New Roman" w:hAnsi="Times New Roman" w:cs="Times New Roman"/>
          <w:bCs/>
          <w:sz w:val="28"/>
          <w:szCs w:val="28"/>
        </w:rPr>
        <w:t xml:space="preserve"> do brilhante voto proferido pelo i. Ministro Luís Roberto Barroso, na já citada</w:t>
      </w:r>
      <w:r w:rsidR="00DB3786" w:rsidRPr="009700DA">
        <w:rPr>
          <w:rFonts w:ascii="Times New Roman" w:hAnsi="Times New Roman" w:cs="Times New Roman"/>
        </w:rPr>
        <w:t xml:space="preserve"> </w:t>
      </w:r>
      <w:r w:rsidR="00DB3786" w:rsidRPr="009700DA">
        <w:rPr>
          <w:rFonts w:ascii="Times New Roman" w:hAnsi="Times New Roman" w:cs="Times New Roman"/>
          <w:bCs/>
          <w:sz w:val="28"/>
          <w:szCs w:val="28"/>
        </w:rPr>
        <w:t xml:space="preserve">Petição n. 7.174, </w:t>
      </w:r>
      <w:r w:rsidR="00DB3786" w:rsidRPr="009700DA">
        <w:rPr>
          <w:rFonts w:ascii="Times New Roman" w:hAnsi="Times New Roman" w:cs="Times New Roman"/>
          <w:bCs/>
          <w:i/>
          <w:sz w:val="28"/>
          <w:szCs w:val="28"/>
        </w:rPr>
        <w:t xml:space="preserve">in </w:t>
      </w:r>
      <w:proofErr w:type="spellStart"/>
      <w:r w:rsidR="00DB3786" w:rsidRPr="009700DA">
        <w:rPr>
          <w:rFonts w:ascii="Times New Roman" w:hAnsi="Times New Roman" w:cs="Times New Roman"/>
          <w:bCs/>
          <w:i/>
          <w:sz w:val="28"/>
          <w:szCs w:val="28"/>
        </w:rPr>
        <w:t>verbis</w:t>
      </w:r>
      <w:proofErr w:type="spellEnd"/>
      <w:r w:rsidR="00DB3786" w:rsidRPr="009700DA">
        <w:rPr>
          <w:rFonts w:ascii="Times New Roman" w:hAnsi="Times New Roman" w:cs="Times New Roman"/>
          <w:bCs/>
          <w:sz w:val="28"/>
          <w:szCs w:val="28"/>
        </w:rPr>
        <w:t>:</w:t>
      </w:r>
    </w:p>
    <w:p w14:paraId="16C56DD4" w14:textId="7EF56B53" w:rsidR="00B53C14" w:rsidRPr="009700DA" w:rsidRDefault="00B53C14" w:rsidP="00B53C14">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 xml:space="preserve">19. A liberdade de expressão é um direito fundamental e a liberdade de expressão dos parlamentares relacionadas às suas funções é ainda mais extensa. </w:t>
      </w:r>
      <w:r w:rsidRPr="009700DA">
        <w:rPr>
          <w:rFonts w:ascii="Times New Roman" w:hAnsi="Times New Roman" w:cs="Times New Roman"/>
          <w:b/>
          <w:bCs/>
          <w:i/>
          <w:sz w:val="28"/>
          <w:szCs w:val="28"/>
          <w:u w:val="single"/>
        </w:rPr>
        <w:t>O Parlamento é o local por excelência para o livre mercado de ideias – não para o livre mercado de ofensas</w:t>
      </w:r>
      <w:r w:rsidRPr="009700DA">
        <w:rPr>
          <w:rFonts w:ascii="Times New Roman" w:hAnsi="Times New Roman" w:cs="Times New Roman"/>
          <w:bCs/>
          <w:i/>
          <w:sz w:val="28"/>
          <w:szCs w:val="28"/>
        </w:rPr>
        <w:t xml:space="preserve">. </w:t>
      </w:r>
      <w:r w:rsidRPr="009700DA">
        <w:rPr>
          <w:rFonts w:ascii="Times New Roman" w:hAnsi="Times New Roman" w:cs="Times New Roman"/>
          <w:b/>
          <w:bCs/>
          <w:i/>
          <w:sz w:val="28"/>
          <w:szCs w:val="28"/>
        </w:rPr>
        <w:t xml:space="preserve">É dever de </w:t>
      </w:r>
      <w:r w:rsidRPr="009700DA">
        <w:rPr>
          <w:rFonts w:ascii="Times New Roman" w:hAnsi="Times New Roman" w:cs="Times New Roman"/>
          <w:b/>
          <w:bCs/>
          <w:i/>
          <w:sz w:val="28"/>
          <w:szCs w:val="28"/>
        </w:rPr>
        <w:lastRenderedPageBreak/>
        <w:t>todos nós combater a intolerância, os discursos de ódio e de exclusão, e qualificar o debate público.</w:t>
      </w:r>
      <w:r w:rsidRPr="009700DA">
        <w:rPr>
          <w:rFonts w:ascii="Times New Roman" w:hAnsi="Times New Roman" w:cs="Times New Roman"/>
          <w:bCs/>
          <w:i/>
          <w:sz w:val="28"/>
          <w:szCs w:val="28"/>
        </w:rPr>
        <w:t xml:space="preserve"> </w:t>
      </w:r>
      <w:r w:rsidRPr="009700DA">
        <w:rPr>
          <w:rFonts w:ascii="Times New Roman" w:hAnsi="Times New Roman" w:cs="Times New Roman"/>
          <w:b/>
          <w:bCs/>
          <w:i/>
          <w:sz w:val="28"/>
          <w:szCs w:val="28"/>
          <w:u w:val="single"/>
        </w:rPr>
        <w:t>Ninguém pode se escudar na imunidade material parlamentar para agredir a dignidade alheia ou difundir discursos de ódio, violência e discriminação</w:t>
      </w:r>
      <w:r w:rsidRPr="009700DA">
        <w:rPr>
          <w:rFonts w:ascii="Times New Roman" w:hAnsi="Times New Roman" w:cs="Times New Roman"/>
          <w:bCs/>
          <w:i/>
          <w:sz w:val="28"/>
          <w:szCs w:val="28"/>
        </w:rPr>
        <w:t>.</w:t>
      </w:r>
    </w:p>
    <w:p w14:paraId="569F04C0" w14:textId="023925DA" w:rsidR="00B53C14" w:rsidRPr="009700DA" w:rsidRDefault="00B53C14" w:rsidP="00B53C14">
      <w:pPr>
        <w:spacing w:before="120" w:after="120" w:line="240" w:lineRule="auto"/>
        <w:ind w:left="1701" w:firstLine="1134"/>
        <w:jc w:val="both"/>
        <w:rPr>
          <w:rFonts w:ascii="Times New Roman" w:hAnsi="Times New Roman" w:cs="Times New Roman"/>
          <w:bCs/>
          <w:i/>
          <w:sz w:val="28"/>
          <w:szCs w:val="28"/>
        </w:rPr>
      </w:pPr>
      <w:r w:rsidRPr="009700DA">
        <w:rPr>
          <w:rFonts w:ascii="Times New Roman" w:hAnsi="Times New Roman" w:cs="Times New Roman"/>
          <w:bCs/>
          <w:i/>
          <w:sz w:val="28"/>
          <w:szCs w:val="28"/>
        </w:rPr>
        <w:t>20. Por esta razão, esta Primeira Turma já afastou a regra da inviolabilidade parlamentar num caso em que um deputado federal disse que “não estupraria” outra parlamentar porque ela “não merece” (</w:t>
      </w:r>
      <w:proofErr w:type="spellStart"/>
      <w:r w:rsidRPr="009700DA">
        <w:rPr>
          <w:rFonts w:ascii="Times New Roman" w:hAnsi="Times New Roman" w:cs="Times New Roman"/>
          <w:bCs/>
          <w:i/>
          <w:sz w:val="28"/>
          <w:szCs w:val="28"/>
        </w:rPr>
        <w:t>Inq</w:t>
      </w:r>
      <w:proofErr w:type="spellEnd"/>
      <w:r w:rsidRPr="009700DA">
        <w:rPr>
          <w:rFonts w:ascii="Times New Roman" w:hAnsi="Times New Roman" w:cs="Times New Roman"/>
          <w:bCs/>
          <w:i/>
          <w:sz w:val="28"/>
          <w:szCs w:val="28"/>
        </w:rPr>
        <w:t>. 3932, Rel. Min. Luiz Fux, j. 21.06.2016). Em outro caso julgado por esta Turma, fiquei vencido, na companhia da Min. Rosa Weber, ao afastar a prerrogativa constitucional de deputado federal que equiparara afrodescendentes a animais e incitara o ódio contra homossexuais (</w:t>
      </w:r>
      <w:proofErr w:type="spellStart"/>
      <w:r w:rsidRPr="009700DA">
        <w:rPr>
          <w:rFonts w:ascii="Times New Roman" w:hAnsi="Times New Roman" w:cs="Times New Roman"/>
          <w:bCs/>
          <w:i/>
          <w:sz w:val="28"/>
          <w:szCs w:val="28"/>
        </w:rPr>
        <w:t>Inq</w:t>
      </w:r>
      <w:proofErr w:type="spellEnd"/>
      <w:r w:rsidRPr="009700DA">
        <w:rPr>
          <w:rFonts w:ascii="Times New Roman" w:hAnsi="Times New Roman" w:cs="Times New Roman"/>
          <w:bCs/>
          <w:i/>
          <w:sz w:val="28"/>
          <w:szCs w:val="28"/>
        </w:rPr>
        <w:t>. 4694, Rel. Min. Marco Aurélio, j. 11.09.2018)</w:t>
      </w:r>
    </w:p>
    <w:p w14:paraId="282D19B7" w14:textId="3B5D1F90" w:rsidR="00B937AD" w:rsidRPr="009700DA" w:rsidRDefault="000F1509" w:rsidP="00776062">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Por fim, destaco </w:t>
      </w:r>
      <w:r w:rsidR="005A0A7E" w:rsidRPr="009700DA">
        <w:rPr>
          <w:rFonts w:ascii="Times New Roman" w:hAnsi="Times New Roman" w:cs="Times New Roman"/>
          <w:bCs/>
          <w:sz w:val="28"/>
          <w:szCs w:val="28"/>
        </w:rPr>
        <w:t>judiciosa</w:t>
      </w:r>
      <w:r w:rsidR="00B937AD" w:rsidRPr="009700DA">
        <w:rPr>
          <w:rFonts w:ascii="Times New Roman" w:hAnsi="Times New Roman" w:cs="Times New Roman"/>
          <w:bCs/>
          <w:sz w:val="28"/>
          <w:szCs w:val="28"/>
        </w:rPr>
        <w:t xml:space="preserve"> decisão da lavra da MM. Juíza Kátia Valverde Junqueira, na qual o E. TRE/RJ, em caso semelhante ao presente,</w:t>
      </w:r>
      <w:r w:rsidR="00BE2B6A" w:rsidRPr="009700DA">
        <w:rPr>
          <w:rFonts w:ascii="Times New Roman" w:hAnsi="Times New Roman" w:cs="Times New Roman"/>
          <w:bCs/>
          <w:sz w:val="28"/>
          <w:szCs w:val="28"/>
        </w:rPr>
        <w:t xml:space="preserve"> recentemente</w:t>
      </w:r>
      <w:r w:rsidR="00B937AD" w:rsidRPr="009700DA">
        <w:rPr>
          <w:rFonts w:ascii="Times New Roman" w:hAnsi="Times New Roman" w:cs="Times New Roman"/>
          <w:bCs/>
          <w:sz w:val="28"/>
          <w:szCs w:val="28"/>
        </w:rPr>
        <w:t xml:space="preserve"> decidiu:</w:t>
      </w:r>
    </w:p>
    <w:p w14:paraId="181B4746" w14:textId="5DD18338" w:rsidR="003955EE" w:rsidRPr="009700DA" w:rsidRDefault="00B937AD" w:rsidP="00B937AD">
      <w:pPr>
        <w:spacing w:before="120" w:after="120" w:line="240" w:lineRule="auto"/>
        <w:ind w:left="1701" w:firstLine="1134"/>
        <w:jc w:val="both"/>
        <w:rPr>
          <w:rFonts w:ascii="Times New Roman" w:hAnsi="Times New Roman" w:cs="Times New Roman"/>
          <w:bCs/>
          <w:sz w:val="28"/>
          <w:szCs w:val="28"/>
        </w:rPr>
      </w:pPr>
      <w:r w:rsidRPr="009700DA">
        <w:rPr>
          <w:rFonts w:ascii="Times New Roman" w:hAnsi="Times New Roman" w:cs="Times New Roman"/>
          <w:bCs/>
          <w:i/>
          <w:sz w:val="28"/>
          <w:szCs w:val="28"/>
        </w:rPr>
        <w:t xml:space="preserve">PENAL E PROCESSO PENAL. </w:t>
      </w:r>
      <w:r w:rsidRPr="009700DA">
        <w:rPr>
          <w:rFonts w:ascii="Times New Roman" w:hAnsi="Times New Roman" w:cs="Times New Roman"/>
          <w:b/>
          <w:bCs/>
          <w:i/>
          <w:sz w:val="28"/>
          <w:szCs w:val="28"/>
        </w:rPr>
        <w:t>CRIME DE VIOLÊNCIA POLÍTICA DE GÊNERO.</w:t>
      </w:r>
      <w:r w:rsidRPr="009700DA">
        <w:rPr>
          <w:rFonts w:ascii="Times New Roman" w:hAnsi="Times New Roman" w:cs="Times New Roman"/>
          <w:bCs/>
          <w:i/>
          <w:sz w:val="28"/>
          <w:szCs w:val="28"/>
        </w:rPr>
        <w:t xml:space="preserve"> INÉPCIA DA DENÚNCIA. NÃO OCORRÊNCIA. OBSERVÂNCIA DOS ARTIGOS 41 DO CPP E 357, § 2º DO CÓDIGO ELEITORAL. PRESENÇA DE JUSTA CAUSA PARA A AÇÃO PENAL. ART. 395 DO CPP. </w:t>
      </w:r>
      <w:r w:rsidRPr="009700DA">
        <w:rPr>
          <w:rFonts w:ascii="Times New Roman" w:hAnsi="Times New Roman" w:cs="Times New Roman"/>
          <w:b/>
          <w:bCs/>
          <w:i/>
          <w:sz w:val="28"/>
          <w:szCs w:val="28"/>
        </w:rPr>
        <w:t>NÃO INCIDÊNCIA DA IMUNIDADE MATERIAL (CF, ARTIGO 53 CAPUT). NARRATIVA CLARA E EXPRESSA QUE SE AMOLDA À DESCRIÇÃO TÍPICA DO CRIME PREVISTO NO ARTIGO 326–B DO CÓDIGO ELEITORAL</w:t>
      </w:r>
      <w:r w:rsidRPr="009700DA">
        <w:rPr>
          <w:rFonts w:ascii="Times New Roman" w:hAnsi="Times New Roman" w:cs="Times New Roman"/>
          <w:bCs/>
          <w:i/>
          <w:sz w:val="28"/>
          <w:szCs w:val="28"/>
        </w:rPr>
        <w:t xml:space="preserve">. DENÚNCIA RECEBIDA. </w:t>
      </w:r>
      <w:r w:rsidRPr="009700DA">
        <w:rPr>
          <w:rFonts w:ascii="Times New Roman" w:hAnsi="Times New Roman" w:cs="Times New Roman"/>
          <w:b/>
          <w:bCs/>
          <w:i/>
          <w:sz w:val="28"/>
          <w:szCs w:val="28"/>
        </w:rPr>
        <w:t xml:space="preserve">1. O tipo penal de violência política de gênero é inovação recente introduzida pela Lei nº 14.192/2021 que estabeleceu normas voltadas para prevenir, reprimir e combater a violência política contra a mulher. A norma tutela a autonomia política feminina em harmonia com os direitos fundamentais consagrados na Constituição e com as normas protetivas estatuídas nos Tratados Internacionais de Direitos Humanos, notadamente na Convenção Interamericana para Prevenir, Punir e Erradicar a Violência contra a Mulher. </w:t>
      </w:r>
      <w:r w:rsidRPr="009700DA">
        <w:rPr>
          <w:rFonts w:ascii="Times New Roman" w:hAnsi="Times New Roman" w:cs="Times New Roman"/>
          <w:bCs/>
          <w:i/>
          <w:sz w:val="28"/>
          <w:szCs w:val="28"/>
        </w:rPr>
        <w:t xml:space="preserve">2. A denúncia narra de modo claro que o Parlamentar em discurso proferido no dia 17/05/2022 teria praticado o crime de violência política </w:t>
      </w:r>
      <w:r w:rsidRPr="009700DA">
        <w:rPr>
          <w:rFonts w:ascii="Times New Roman" w:hAnsi="Times New Roman" w:cs="Times New Roman"/>
          <w:bCs/>
          <w:i/>
          <w:sz w:val="28"/>
          <w:szCs w:val="28"/>
        </w:rPr>
        <w:lastRenderedPageBreak/>
        <w:t xml:space="preserve">de gênero, insculpido no art. 326–B do Código Eleitoral, em face de vítima que é mulher transgênero detentora de mandato eletivo. 3. Não padece de inépcia a denúncia que expõe de forma compreensível e coerente os fatos e todos os requisitos exigidos, permitindo ao acusado a compreensão da imputação e, consequentemente, o pleno exercício do seu direito de defesa, como se observa na inicial acusatória apresentada pelo Parquet. 4. No caso sub </w:t>
      </w:r>
      <w:proofErr w:type="spellStart"/>
      <w:r w:rsidRPr="009700DA">
        <w:rPr>
          <w:rFonts w:ascii="Times New Roman" w:hAnsi="Times New Roman" w:cs="Times New Roman"/>
          <w:bCs/>
          <w:i/>
          <w:sz w:val="28"/>
          <w:szCs w:val="28"/>
        </w:rPr>
        <w:t>examinen</w:t>
      </w:r>
      <w:proofErr w:type="spellEnd"/>
      <w:r w:rsidRPr="009700DA">
        <w:rPr>
          <w:rFonts w:ascii="Times New Roman" w:hAnsi="Times New Roman" w:cs="Times New Roman"/>
          <w:bCs/>
          <w:i/>
          <w:sz w:val="28"/>
          <w:szCs w:val="28"/>
        </w:rPr>
        <w:t>, é possível se constatar a “justa causa” para a ação penal (CPP, art. 395, III), pois há lastro probatório mínimo que indica a materialidade do delito e indícios razoáveis de autoria. 5. Autoria do discurso que é incontroversa e cujo teor, em juízo preliminar típico do recebimento da denúncia, se amolda ao tipo penal de violência política de gênero. Fala na qual se verifica a consumação do verbo humilhar, calcada em menosprezo ou condição de mulher transgênero. Palavras fortes que se concentram justamente em ferir a identidade de uma mulher trans: “aberração da natureza”, “</w:t>
      </w:r>
      <w:proofErr w:type="spellStart"/>
      <w:r w:rsidRPr="009700DA">
        <w:rPr>
          <w:rFonts w:ascii="Times New Roman" w:hAnsi="Times New Roman" w:cs="Times New Roman"/>
          <w:bCs/>
          <w:i/>
          <w:sz w:val="28"/>
          <w:szCs w:val="28"/>
        </w:rPr>
        <w:t>boizebu</w:t>
      </w:r>
      <w:proofErr w:type="spellEnd"/>
      <w:r w:rsidRPr="009700DA">
        <w:rPr>
          <w:rFonts w:ascii="Times New Roman" w:hAnsi="Times New Roman" w:cs="Times New Roman"/>
          <w:bCs/>
          <w:i/>
          <w:sz w:val="28"/>
          <w:szCs w:val="28"/>
        </w:rPr>
        <w:t xml:space="preserve">”, “vereador homem”, com expressa menção ao órgão sexual masculino. 6. Com o grau de profundidade que o momento processual requer, também se mostra perceptível o elemento subjetivo especial do tipo, consistente na intenção de dificultar o exercício do mandato, pois os dizeres ofensivos se relacionam às atividades da vítima como parlamentar. Crime formal que não requer a produção do resultado material para sua consumação. </w:t>
      </w:r>
      <w:r w:rsidR="00BE2B6A" w:rsidRPr="009700DA">
        <w:rPr>
          <w:rFonts w:ascii="Times New Roman" w:hAnsi="Times New Roman" w:cs="Times New Roman"/>
          <w:bCs/>
          <w:i/>
          <w:sz w:val="28"/>
          <w:szCs w:val="28"/>
        </w:rPr>
        <w:t>(...)</w:t>
      </w:r>
      <w:r w:rsidRPr="009700DA">
        <w:rPr>
          <w:rFonts w:ascii="Times New Roman" w:hAnsi="Times New Roman" w:cs="Times New Roman"/>
          <w:bCs/>
          <w:i/>
          <w:sz w:val="28"/>
          <w:szCs w:val="28"/>
        </w:rPr>
        <w:t xml:space="preserve"> </w:t>
      </w:r>
      <w:r w:rsidRPr="009700DA">
        <w:rPr>
          <w:rFonts w:ascii="Times New Roman" w:hAnsi="Times New Roman" w:cs="Times New Roman"/>
          <w:b/>
          <w:bCs/>
          <w:i/>
          <w:sz w:val="28"/>
          <w:szCs w:val="28"/>
        </w:rPr>
        <w:t>8. Não incidência da imunidade parlamentar. Garantia que é consectário lógico da liberdade de expressão e que constitui instrumento e pressuposto de um regime democrático. Não há como se conceber o manejo de uma garantia inerente à democracia para ofender o seu principal fundamento, qual seja, a dignidade da pessoa humana. Na linha da jurisprudência construída pelo STF, tanto a liberdade de expressão quanto a inviolabilidade parlamentar não se compatibilizam com a propagação do discurso de ódio, o ato discriminatório e o preconceito. Nesses casos, deve–se dar prevalência ao valor intrínseco da pessoa humana e o direito à igualdade, notadamente no seu aspecto de igualdade como não discriminação.</w:t>
      </w:r>
      <w:r w:rsidRPr="009700DA">
        <w:rPr>
          <w:rFonts w:ascii="Times New Roman" w:hAnsi="Times New Roman" w:cs="Times New Roman"/>
          <w:bCs/>
          <w:i/>
          <w:sz w:val="28"/>
          <w:szCs w:val="28"/>
        </w:rPr>
        <w:t xml:space="preserve"> 9. Em julgamento que versava sobre a violação aos direitos das mulheres, no qual a incidência da imunidade parlamentar foi afastada, nossa Corte Constitucional assim se manifestou: “Os Tratados de proteção à vida, à integridade física e à dignidade da mulher, </w:t>
      </w:r>
      <w:r w:rsidRPr="009700DA">
        <w:rPr>
          <w:rFonts w:ascii="Times New Roman" w:hAnsi="Times New Roman" w:cs="Times New Roman"/>
          <w:bCs/>
          <w:i/>
          <w:sz w:val="28"/>
          <w:szCs w:val="28"/>
        </w:rPr>
        <w:lastRenderedPageBreak/>
        <w:t>com destaque para a Convenção Interamericana para Prevenir, Punir e Erradicar a Violência contra a Mulher – “Convenção de Belém do Pará” (1994); a Convenção sobre a Eliminação de Todas as Formas de Discriminação contra a Mulher – “Carta Internacional dos Direitos da Mulher” (1979); além das conferências internacionais sobre a mulher realizadas pela ONU – devem conduzir os pronunciamentos do Poder Judiciário na análise de atos potencialmente violadores de direitos previstos em nossa Constituição e que o Brasil se obrigou internacionalmente a proteger”. 10. Voto pelo recebimento da denúncia. (TRE/RJ, PETIÇÃO CRIMINAL nº 060047246, Relatora Des. Kátia Valverde Junqueira, j. 23.08.2022</w:t>
      </w:r>
      <w:r w:rsidR="00BE2B6A" w:rsidRPr="009700DA">
        <w:rPr>
          <w:rFonts w:ascii="Times New Roman" w:hAnsi="Times New Roman" w:cs="Times New Roman"/>
          <w:bCs/>
          <w:i/>
          <w:sz w:val="28"/>
          <w:szCs w:val="28"/>
        </w:rPr>
        <w:t>, os destaques não constam do original</w:t>
      </w:r>
      <w:r w:rsidRPr="009700DA">
        <w:rPr>
          <w:rFonts w:ascii="Times New Roman" w:hAnsi="Times New Roman" w:cs="Times New Roman"/>
          <w:bCs/>
          <w:i/>
          <w:sz w:val="28"/>
          <w:szCs w:val="28"/>
        </w:rPr>
        <w:t>)</w:t>
      </w:r>
    </w:p>
    <w:p w14:paraId="7199B686" w14:textId="30FC1CC8" w:rsidR="003955EE" w:rsidRPr="009700DA" w:rsidRDefault="003955EE" w:rsidP="00776062">
      <w:pPr>
        <w:spacing w:before="120" w:after="120" w:line="360" w:lineRule="auto"/>
        <w:ind w:firstLine="2835"/>
        <w:jc w:val="both"/>
        <w:rPr>
          <w:rFonts w:ascii="Times New Roman" w:hAnsi="Times New Roman" w:cs="Times New Roman"/>
          <w:bCs/>
          <w:sz w:val="28"/>
          <w:szCs w:val="28"/>
        </w:rPr>
      </w:pPr>
    </w:p>
    <w:p w14:paraId="4B8A0E65" w14:textId="66FF6F76" w:rsidR="006B7943" w:rsidRDefault="009E0B02"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 xml:space="preserve">4. </w:t>
      </w:r>
      <w:r w:rsidR="006B7943" w:rsidRPr="009700DA">
        <w:rPr>
          <w:rFonts w:ascii="Times New Roman" w:hAnsi="Times New Roman" w:cs="Times New Roman"/>
          <w:bCs/>
          <w:sz w:val="28"/>
          <w:szCs w:val="28"/>
        </w:rPr>
        <w:t>Conclui-se</w:t>
      </w:r>
      <w:r w:rsidRPr="009700DA">
        <w:rPr>
          <w:rFonts w:ascii="Times New Roman" w:hAnsi="Times New Roman" w:cs="Times New Roman"/>
          <w:bCs/>
          <w:sz w:val="28"/>
          <w:szCs w:val="28"/>
        </w:rPr>
        <w:t>, portanto,</w:t>
      </w:r>
      <w:r w:rsidR="006B7943" w:rsidRPr="009700DA">
        <w:rPr>
          <w:rFonts w:ascii="Times New Roman" w:hAnsi="Times New Roman" w:cs="Times New Roman"/>
          <w:bCs/>
          <w:sz w:val="28"/>
          <w:szCs w:val="28"/>
        </w:rPr>
        <w:t xml:space="preserve"> que os fatos narrados e suas circunstâncias foram delineados, com a subsunção da conduta ao tipo penal denunciado, qualificação do acusado e classificação do crime. Da mesma forma, não está extinta a punibilidade, tampouco são manifestamente ilegítimas as partes. Logo, não demonstrada a ausência de justa causa para o prosseguimento da persecução penal, a denúncia encontra-se formalmente correta e como consequência lógica deve ser recebida.</w:t>
      </w:r>
    </w:p>
    <w:p w14:paraId="255370F0" w14:textId="77777777" w:rsidR="00E1293E" w:rsidRDefault="00E1293E" w:rsidP="006B7943">
      <w:pPr>
        <w:spacing w:before="120" w:after="120" w:line="360" w:lineRule="auto"/>
        <w:ind w:firstLine="2835"/>
        <w:jc w:val="both"/>
        <w:rPr>
          <w:rFonts w:ascii="Times New Roman" w:hAnsi="Times New Roman" w:cs="Times New Roman"/>
          <w:bCs/>
          <w:sz w:val="28"/>
          <w:szCs w:val="28"/>
        </w:rPr>
      </w:pPr>
      <w:r w:rsidRPr="00E1293E">
        <w:rPr>
          <w:rFonts w:ascii="Times New Roman" w:hAnsi="Times New Roman" w:cs="Times New Roman"/>
          <w:bCs/>
          <w:sz w:val="28"/>
          <w:szCs w:val="28"/>
        </w:rPr>
        <w:t>A respeito do juízo que se deve realizar nesta fase da persecução criminal, transcrev</w:t>
      </w:r>
      <w:r>
        <w:rPr>
          <w:rFonts w:ascii="Times New Roman" w:hAnsi="Times New Roman" w:cs="Times New Roman"/>
          <w:bCs/>
          <w:sz w:val="28"/>
          <w:szCs w:val="28"/>
        </w:rPr>
        <w:t>e-se</w:t>
      </w:r>
      <w:r w:rsidRPr="00E1293E">
        <w:rPr>
          <w:rFonts w:ascii="Times New Roman" w:hAnsi="Times New Roman" w:cs="Times New Roman"/>
          <w:bCs/>
          <w:sz w:val="28"/>
          <w:szCs w:val="28"/>
        </w:rPr>
        <w:t xml:space="preserve">, por oportuno, trecho do </w:t>
      </w:r>
      <w:r>
        <w:rPr>
          <w:rFonts w:ascii="Times New Roman" w:hAnsi="Times New Roman" w:cs="Times New Roman"/>
          <w:bCs/>
          <w:sz w:val="28"/>
          <w:szCs w:val="28"/>
        </w:rPr>
        <w:t>judicioso</w:t>
      </w:r>
      <w:r w:rsidRPr="00E1293E">
        <w:rPr>
          <w:rFonts w:ascii="Times New Roman" w:hAnsi="Times New Roman" w:cs="Times New Roman"/>
          <w:bCs/>
          <w:sz w:val="28"/>
          <w:szCs w:val="28"/>
        </w:rPr>
        <w:t xml:space="preserve"> voto proferido pelo Ministro Celso de Mello por ocasião do recebimento da denúncia lastreada no Inquérito 3.983/DF: </w:t>
      </w:r>
    </w:p>
    <w:p w14:paraId="7063E4FF" w14:textId="073E7C37" w:rsidR="00E1293E" w:rsidRPr="009700DA" w:rsidRDefault="00E1293E" w:rsidP="00E1293E">
      <w:pPr>
        <w:spacing w:before="120" w:after="120" w:line="240" w:lineRule="auto"/>
        <w:ind w:left="1701" w:firstLine="1701"/>
        <w:jc w:val="both"/>
        <w:rPr>
          <w:rFonts w:ascii="Times New Roman" w:hAnsi="Times New Roman" w:cs="Times New Roman"/>
          <w:bCs/>
          <w:sz w:val="28"/>
          <w:szCs w:val="28"/>
        </w:rPr>
      </w:pPr>
      <w:r w:rsidRPr="00E1293E">
        <w:rPr>
          <w:rFonts w:ascii="Times New Roman" w:hAnsi="Times New Roman" w:cs="Times New Roman"/>
          <w:bCs/>
          <w:i/>
          <w:iCs/>
          <w:sz w:val="28"/>
          <w:szCs w:val="28"/>
        </w:rPr>
        <w:t xml:space="preserve">“O que se revela essencial reconhecer é que a formulação de acusação penal, para efetivar-se legitimamente, deverá apoiar-se, como sucede na espécie, não em fundamentos retóricos, mas, sim, em elementos que, instruindo a denúncia, indiquem a realidade material do delito e apontem para a existência de indícios, ainda que mínimos, de autoria. Cumpre ter presente, no ponto, que a formulação da acusação penal em juízo supõe não a prova completa e integral do delito e de seu autor (o que somente se revelará exigível para efeito de eventual condenação </w:t>
      </w:r>
      <w:r w:rsidRPr="00E1293E">
        <w:rPr>
          <w:rFonts w:ascii="Times New Roman" w:hAnsi="Times New Roman" w:cs="Times New Roman"/>
          <w:bCs/>
          <w:i/>
          <w:iCs/>
          <w:sz w:val="28"/>
          <w:szCs w:val="28"/>
        </w:rPr>
        <w:lastRenderedPageBreak/>
        <w:t>penal), mas a demonstração – fundada em elementos probatórios mínimos e lícitos – da realidade material do evento delituoso e da existência de indícios de sua possível autoria.</w:t>
      </w:r>
      <w:r w:rsidRPr="00E1293E">
        <w:rPr>
          <w:rFonts w:ascii="Times New Roman" w:hAnsi="Times New Roman" w:cs="Times New Roman"/>
          <w:bCs/>
          <w:sz w:val="28"/>
          <w:szCs w:val="28"/>
        </w:rPr>
        <w:t>”</w:t>
      </w:r>
    </w:p>
    <w:p w14:paraId="0A570C2A" w14:textId="716CE56C" w:rsidR="006B7943" w:rsidRPr="009700DA" w:rsidRDefault="006B7943" w:rsidP="006B7943">
      <w:pPr>
        <w:spacing w:before="120" w:after="120" w:line="360" w:lineRule="auto"/>
        <w:ind w:firstLine="2835"/>
        <w:jc w:val="both"/>
        <w:rPr>
          <w:rFonts w:ascii="Times New Roman" w:hAnsi="Times New Roman" w:cs="Times New Roman"/>
          <w:bCs/>
          <w:sz w:val="28"/>
          <w:szCs w:val="28"/>
        </w:rPr>
      </w:pPr>
      <w:r w:rsidRPr="009700DA">
        <w:rPr>
          <w:rFonts w:ascii="Times New Roman" w:hAnsi="Times New Roman" w:cs="Times New Roman"/>
          <w:bCs/>
          <w:sz w:val="28"/>
          <w:szCs w:val="28"/>
        </w:rPr>
        <w:t>Ante o exposto,</w:t>
      </w:r>
      <w:r w:rsidR="00D97E3B" w:rsidRPr="009700DA">
        <w:rPr>
          <w:rFonts w:ascii="Times New Roman" w:hAnsi="Times New Roman" w:cs="Times New Roman"/>
          <w:bCs/>
          <w:sz w:val="28"/>
          <w:szCs w:val="28"/>
        </w:rPr>
        <w:t xml:space="preserve"> pelo meu voto,</w:t>
      </w:r>
      <w:r w:rsidRPr="009700DA">
        <w:rPr>
          <w:rFonts w:ascii="Times New Roman" w:hAnsi="Times New Roman" w:cs="Times New Roman"/>
          <w:bCs/>
          <w:sz w:val="28"/>
          <w:szCs w:val="28"/>
        </w:rPr>
        <w:t xml:space="preserve"> </w:t>
      </w:r>
      <w:r w:rsidRPr="009700DA">
        <w:rPr>
          <w:rFonts w:ascii="Times New Roman" w:hAnsi="Times New Roman" w:cs="Times New Roman"/>
          <w:b/>
          <w:bCs/>
          <w:sz w:val="28"/>
          <w:szCs w:val="28"/>
        </w:rPr>
        <w:t>RECEB</w:t>
      </w:r>
      <w:r w:rsidR="00D97E3B" w:rsidRPr="009700DA">
        <w:rPr>
          <w:rFonts w:ascii="Times New Roman" w:hAnsi="Times New Roman" w:cs="Times New Roman"/>
          <w:b/>
          <w:bCs/>
          <w:sz w:val="28"/>
          <w:szCs w:val="28"/>
        </w:rPr>
        <w:t>O</w:t>
      </w:r>
      <w:r w:rsidRPr="009700DA">
        <w:rPr>
          <w:rFonts w:ascii="Times New Roman" w:hAnsi="Times New Roman" w:cs="Times New Roman"/>
          <w:bCs/>
          <w:sz w:val="28"/>
          <w:szCs w:val="28"/>
        </w:rPr>
        <w:t xml:space="preserve"> a denúncia oferecida em </w:t>
      </w:r>
      <w:r w:rsidR="00233B92" w:rsidRPr="009700DA">
        <w:rPr>
          <w:rFonts w:ascii="Times New Roman" w:hAnsi="Times New Roman" w:cs="Times New Roman"/>
          <w:bCs/>
          <w:sz w:val="28"/>
          <w:szCs w:val="28"/>
        </w:rPr>
        <w:t>face de</w:t>
      </w:r>
      <w:r w:rsidR="00A0321A" w:rsidRPr="009700DA">
        <w:rPr>
          <w:rFonts w:ascii="Times New Roman" w:hAnsi="Times New Roman" w:cs="Times New Roman"/>
          <w:bCs/>
          <w:sz w:val="28"/>
          <w:szCs w:val="28"/>
        </w:rPr>
        <w:t xml:space="preserve"> </w:t>
      </w:r>
      <w:r w:rsidR="009E0B02" w:rsidRPr="009700DA">
        <w:rPr>
          <w:rFonts w:ascii="Times New Roman" w:hAnsi="Times New Roman" w:cs="Times New Roman"/>
          <w:bCs/>
          <w:sz w:val="28"/>
          <w:szCs w:val="28"/>
        </w:rPr>
        <w:t>Welington de Souza Moura, como incurso no artigo 326-B do Código Eleitoral.</w:t>
      </w:r>
    </w:p>
    <w:p w14:paraId="4DF30B89" w14:textId="032FED47" w:rsidR="006B7943" w:rsidRDefault="00F17C9D" w:rsidP="008C3D3E">
      <w:pPr>
        <w:pStyle w:val="NormalWeb"/>
        <w:spacing w:before="120" w:beforeAutospacing="0" w:after="120" w:afterAutospacing="0" w:line="360" w:lineRule="auto"/>
        <w:ind w:firstLine="2835"/>
        <w:jc w:val="both"/>
        <w:rPr>
          <w:sz w:val="28"/>
          <w:szCs w:val="28"/>
        </w:rPr>
      </w:pPr>
      <w:r w:rsidRPr="009700DA">
        <w:rPr>
          <w:sz w:val="28"/>
          <w:szCs w:val="28"/>
        </w:rPr>
        <w:t xml:space="preserve">Expeçam-se os ofícios requeridos pelo denunciado, nos itens </w:t>
      </w:r>
      <w:r w:rsidRPr="009700DA">
        <w:rPr>
          <w:i/>
          <w:sz w:val="28"/>
          <w:szCs w:val="28"/>
        </w:rPr>
        <w:t>g</w:t>
      </w:r>
      <w:r w:rsidRPr="009700DA">
        <w:rPr>
          <w:sz w:val="28"/>
          <w:szCs w:val="28"/>
        </w:rPr>
        <w:t xml:space="preserve"> e </w:t>
      </w:r>
      <w:r w:rsidRPr="009700DA">
        <w:rPr>
          <w:i/>
          <w:sz w:val="28"/>
          <w:szCs w:val="28"/>
        </w:rPr>
        <w:t>h</w:t>
      </w:r>
      <w:r w:rsidR="00344A7E" w:rsidRPr="009700DA">
        <w:rPr>
          <w:sz w:val="28"/>
          <w:szCs w:val="28"/>
        </w:rPr>
        <w:t xml:space="preserve"> da defesa (STF, </w:t>
      </w:r>
      <w:r w:rsidR="00E771CF" w:rsidRPr="009700DA">
        <w:rPr>
          <w:sz w:val="28"/>
          <w:szCs w:val="28"/>
        </w:rPr>
        <w:t>AG.REG. NO INQUÉRITO 3.998</w:t>
      </w:r>
      <w:r w:rsidR="00344A7E" w:rsidRPr="009700DA">
        <w:rPr>
          <w:sz w:val="28"/>
          <w:szCs w:val="28"/>
        </w:rPr>
        <w:t>, RELATOR: MIN. EDSON FACHIN, Segunda Turma, j. 08.08.2017).</w:t>
      </w:r>
    </w:p>
    <w:p w14:paraId="1AFF96C1" w14:textId="77777777" w:rsidR="00E1293E" w:rsidRPr="00E1293E" w:rsidRDefault="00E1293E" w:rsidP="00E1293E">
      <w:pPr>
        <w:pStyle w:val="NormalWeb"/>
        <w:spacing w:before="120" w:after="120" w:line="360" w:lineRule="auto"/>
        <w:ind w:firstLine="2835"/>
        <w:jc w:val="both"/>
        <w:rPr>
          <w:sz w:val="28"/>
          <w:szCs w:val="28"/>
        </w:rPr>
      </w:pPr>
      <w:r w:rsidRPr="00E1293E">
        <w:rPr>
          <w:sz w:val="28"/>
          <w:szCs w:val="28"/>
        </w:rPr>
        <w:t xml:space="preserve">Expeça-se carta de ordem para que o réu seja citado, a fim de oferecer defesa prévia, nos termos dos artigos 7º e 8º da Lei n° 8.038/90, reservando-se o interrogatório como último ato da instrução processual (art. 400, do Código de Processo Penal), conforme já decidido pelo c. Supremo Tribunal Federal (STF, AP 528/DF, Rel. Min. Ricardo Lewandowski, </w:t>
      </w:r>
      <w:proofErr w:type="spellStart"/>
      <w:r w:rsidRPr="00E1293E">
        <w:rPr>
          <w:sz w:val="28"/>
          <w:szCs w:val="28"/>
        </w:rPr>
        <w:t>DJe</w:t>
      </w:r>
      <w:proofErr w:type="spellEnd"/>
      <w:r w:rsidRPr="00E1293E">
        <w:rPr>
          <w:sz w:val="28"/>
          <w:szCs w:val="28"/>
        </w:rPr>
        <w:t xml:space="preserve"> 08/06/2011).</w:t>
      </w:r>
    </w:p>
    <w:p w14:paraId="60AE5F1C" w14:textId="77777777" w:rsidR="00E1293E" w:rsidRPr="009700DA" w:rsidRDefault="00E1293E" w:rsidP="008C3D3E">
      <w:pPr>
        <w:pStyle w:val="NormalWeb"/>
        <w:spacing w:before="120" w:beforeAutospacing="0" w:after="120" w:afterAutospacing="0" w:line="360" w:lineRule="auto"/>
        <w:ind w:firstLine="2835"/>
        <w:jc w:val="both"/>
        <w:rPr>
          <w:sz w:val="28"/>
          <w:szCs w:val="28"/>
        </w:rPr>
      </w:pPr>
    </w:p>
    <w:p w14:paraId="77DE5AB5" w14:textId="77777777" w:rsidR="00E771CF" w:rsidRPr="009700DA" w:rsidRDefault="00E771CF" w:rsidP="008C3D3E">
      <w:pPr>
        <w:pStyle w:val="NormalWeb"/>
        <w:spacing w:before="120" w:beforeAutospacing="0" w:after="120" w:afterAutospacing="0" w:line="360" w:lineRule="auto"/>
        <w:ind w:firstLine="2835"/>
        <w:jc w:val="both"/>
        <w:rPr>
          <w:sz w:val="28"/>
          <w:szCs w:val="28"/>
        </w:rPr>
      </w:pPr>
    </w:p>
    <w:p w14:paraId="36C03B0F" w14:textId="77777777" w:rsidR="008C3D3E" w:rsidRPr="009700DA" w:rsidRDefault="008C3D3E" w:rsidP="008C3D3E">
      <w:pPr>
        <w:pStyle w:val="NormalWeb"/>
        <w:spacing w:before="120" w:beforeAutospacing="0" w:after="120" w:afterAutospacing="0" w:line="360" w:lineRule="auto"/>
        <w:jc w:val="center"/>
        <w:rPr>
          <w:sz w:val="28"/>
          <w:szCs w:val="28"/>
        </w:rPr>
      </w:pPr>
      <w:r w:rsidRPr="009700DA">
        <w:rPr>
          <w:rFonts w:eastAsiaTheme="minorHAnsi"/>
          <w:b/>
          <w:sz w:val="28"/>
          <w:szCs w:val="28"/>
          <w:lang w:eastAsia="en-US"/>
        </w:rPr>
        <w:t>Afonso Celso da Silva</w:t>
      </w:r>
    </w:p>
    <w:p w14:paraId="64124FA8" w14:textId="6163067A" w:rsidR="00581B69" w:rsidRPr="009700DA" w:rsidRDefault="008C3D3E" w:rsidP="00005377">
      <w:pPr>
        <w:pStyle w:val="NormalWeb"/>
        <w:spacing w:before="120" w:beforeAutospacing="0" w:after="120" w:afterAutospacing="0" w:line="360" w:lineRule="auto"/>
        <w:jc w:val="center"/>
        <w:rPr>
          <w:rFonts w:eastAsiaTheme="minorHAnsi"/>
          <w:b/>
          <w:sz w:val="28"/>
          <w:szCs w:val="28"/>
          <w:lang w:eastAsia="en-US"/>
        </w:rPr>
      </w:pPr>
      <w:r w:rsidRPr="009700DA">
        <w:rPr>
          <w:rFonts w:eastAsiaTheme="minorHAnsi"/>
          <w:b/>
          <w:sz w:val="28"/>
          <w:szCs w:val="28"/>
          <w:lang w:eastAsia="en-US"/>
        </w:rPr>
        <w:t>Juiz do TRE/SP</w:t>
      </w:r>
    </w:p>
    <w:p w14:paraId="2EFC6271" w14:textId="23596703" w:rsidR="00777FC4" w:rsidRPr="009700DA" w:rsidRDefault="00777FC4" w:rsidP="00005377">
      <w:pPr>
        <w:pStyle w:val="NormalWeb"/>
        <w:spacing w:before="120" w:beforeAutospacing="0" w:after="120" w:afterAutospacing="0" w:line="360" w:lineRule="auto"/>
        <w:jc w:val="center"/>
        <w:rPr>
          <w:rFonts w:eastAsiaTheme="minorHAnsi"/>
          <w:b/>
          <w:sz w:val="28"/>
          <w:szCs w:val="28"/>
          <w:lang w:eastAsia="en-US"/>
        </w:rPr>
      </w:pPr>
    </w:p>
    <w:sectPr w:rsidR="00777FC4" w:rsidRPr="009700DA">
      <w:pgSz w:w="11906" w:h="16838"/>
      <w:pgMar w:top="1417" w:right="1701" w:bottom="1417"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53725" w14:textId="77777777" w:rsidR="00410EBA" w:rsidRDefault="00410EBA" w:rsidP="00961E00">
      <w:pPr>
        <w:spacing w:after="0" w:line="240" w:lineRule="auto"/>
      </w:pPr>
      <w:r>
        <w:separator/>
      </w:r>
    </w:p>
  </w:endnote>
  <w:endnote w:type="continuationSeparator" w:id="0">
    <w:p w14:paraId="11C5EC09" w14:textId="77777777" w:rsidR="00410EBA" w:rsidRDefault="00410EBA" w:rsidP="0096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4343B" w14:textId="77777777" w:rsidR="00410EBA" w:rsidRDefault="00410EBA" w:rsidP="00961E00">
      <w:pPr>
        <w:spacing w:after="0" w:line="240" w:lineRule="auto"/>
      </w:pPr>
      <w:r>
        <w:separator/>
      </w:r>
    </w:p>
  </w:footnote>
  <w:footnote w:type="continuationSeparator" w:id="0">
    <w:p w14:paraId="3DDA83C2" w14:textId="77777777" w:rsidR="00410EBA" w:rsidRDefault="00410EBA" w:rsidP="00961E00">
      <w:pPr>
        <w:spacing w:after="0" w:line="240" w:lineRule="auto"/>
      </w:pPr>
      <w:r>
        <w:continuationSeparator/>
      </w:r>
    </w:p>
  </w:footnote>
  <w:footnote w:id="1">
    <w:p w14:paraId="30B3A7FD" w14:textId="77777777" w:rsidR="0065174C" w:rsidRPr="0065174C" w:rsidRDefault="0065174C" w:rsidP="0065174C">
      <w:pPr>
        <w:pStyle w:val="Textodenotaderodap"/>
        <w:jc w:val="both"/>
        <w:rPr>
          <w:rFonts w:ascii="Times New Roman" w:hAnsi="Times New Roman" w:cs="Times New Roman"/>
        </w:rPr>
      </w:pPr>
      <w:r w:rsidRPr="002C5E8B">
        <w:rPr>
          <w:rStyle w:val="Refdenotaderodap"/>
          <w:rFonts w:ascii="Times New Roman" w:hAnsi="Times New Roman" w:cs="Times New Roman"/>
        </w:rPr>
        <w:footnoteRef/>
      </w:r>
      <w:r w:rsidRPr="002C5E8B">
        <w:rPr>
          <w:rFonts w:ascii="Times New Roman" w:hAnsi="Times New Roman" w:cs="Times New Roman"/>
        </w:rPr>
        <w:t xml:space="preserve"> </w:t>
      </w:r>
      <w:r w:rsidRPr="0065174C">
        <w:rPr>
          <w:rFonts w:ascii="Times New Roman" w:hAnsi="Times New Roman" w:cs="Times New Roman"/>
        </w:rPr>
        <w:t>Art. 326-B. Assediar, constranger, humilhar, perseguir ou ameaçar, por qualquer meio, candidata a cargo eletivo ou detentora de mandato eletivo, utilizando-se de menosprezo ou discriminação à condição de mulher ou à sua cor, raça ou etnia, com a finalidade de impedir ou de dificultar a sua campanha eleitoral ou o desempenho de seu mandato eletivo.</w:t>
      </w:r>
    </w:p>
    <w:p w14:paraId="7C503FA7" w14:textId="77777777" w:rsidR="0065174C" w:rsidRPr="0065174C" w:rsidRDefault="0065174C" w:rsidP="0065174C">
      <w:pPr>
        <w:pStyle w:val="Textodenotaderodap"/>
        <w:jc w:val="both"/>
        <w:rPr>
          <w:rFonts w:ascii="Times New Roman" w:hAnsi="Times New Roman" w:cs="Times New Roman"/>
        </w:rPr>
      </w:pPr>
      <w:r w:rsidRPr="0065174C">
        <w:rPr>
          <w:rFonts w:ascii="Times New Roman" w:hAnsi="Times New Roman" w:cs="Times New Roman"/>
        </w:rPr>
        <w:t>Pena – reclusão, de 1 (um) a 4 (quatro) anos, e multa.</w:t>
      </w:r>
    </w:p>
    <w:p w14:paraId="783018B4" w14:textId="77777777" w:rsidR="0065174C" w:rsidRPr="0065174C" w:rsidRDefault="0065174C" w:rsidP="0065174C">
      <w:pPr>
        <w:pStyle w:val="Textodenotaderodap"/>
        <w:jc w:val="both"/>
        <w:rPr>
          <w:rFonts w:ascii="Times New Roman" w:hAnsi="Times New Roman" w:cs="Times New Roman"/>
        </w:rPr>
      </w:pPr>
      <w:r w:rsidRPr="0065174C">
        <w:rPr>
          <w:rFonts w:ascii="Times New Roman" w:hAnsi="Times New Roman" w:cs="Times New Roman"/>
        </w:rPr>
        <w:t xml:space="preserve">Parágrafo único. Aumenta-se a pena em 1/3 (um terço), se o crime </w:t>
      </w:r>
      <w:proofErr w:type="spellStart"/>
      <w:r w:rsidRPr="0065174C">
        <w:rPr>
          <w:rFonts w:ascii="Times New Roman" w:hAnsi="Times New Roman" w:cs="Times New Roman"/>
        </w:rPr>
        <w:t>é</w:t>
      </w:r>
      <w:proofErr w:type="spellEnd"/>
      <w:r w:rsidRPr="0065174C">
        <w:rPr>
          <w:rFonts w:ascii="Times New Roman" w:hAnsi="Times New Roman" w:cs="Times New Roman"/>
        </w:rPr>
        <w:t xml:space="preserve"> cometido contra mulher:</w:t>
      </w:r>
    </w:p>
    <w:p w14:paraId="2D175D0B" w14:textId="77777777" w:rsidR="0065174C" w:rsidRPr="0065174C" w:rsidRDefault="0065174C" w:rsidP="0065174C">
      <w:pPr>
        <w:pStyle w:val="Textodenotaderodap"/>
        <w:jc w:val="both"/>
        <w:rPr>
          <w:rFonts w:ascii="Times New Roman" w:hAnsi="Times New Roman" w:cs="Times New Roman"/>
        </w:rPr>
      </w:pPr>
      <w:r w:rsidRPr="0065174C">
        <w:rPr>
          <w:rFonts w:ascii="Times New Roman" w:hAnsi="Times New Roman" w:cs="Times New Roman"/>
        </w:rPr>
        <w:t xml:space="preserve">I – </w:t>
      </w:r>
      <w:proofErr w:type="gramStart"/>
      <w:r w:rsidRPr="0065174C">
        <w:rPr>
          <w:rFonts w:ascii="Times New Roman" w:hAnsi="Times New Roman" w:cs="Times New Roman"/>
        </w:rPr>
        <w:t>gestante</w:t>
      </w:r>
      <w:proofErr w:type="gramEnd"/>
      <w:r w:rsidRPr="0065174C">
        <w:rPr>
          <w:rFonts w:ascii="Times New Roman" w:hAnsi="Times New Roman" w:cs="Times New Roman"/>
        </w:rPr>
        <w:t>;</w:t>
      </w:r>
    </w:p>
    <w:p w14:paraId="1BCB5F47" w14:textId="77777777" w:rsidR="0065174C" w:rsidRPr="0065174C" w:rsidRDefault="0065174C" w:rsidP="0065174C">
      <w:pPr>
        <w:pStyle w:val="Textodenotaderodap"/>
        <w:jc w:val="both"/>
        <w:rPr>
          <w:rFonts w:ascii="Times New Roman" w:hAnsi="Times New Roman" w:cs="Times New Roman"/>
        </w:rPr>
      </w:pPr>
      <w:r w:rsidRPr="0065174C">
        <w:rPr>
          <w:rFonts w:ascii="Times New Roman" w:hAnsi="Times New Roman" w:cs="Times New Roman"/>
        </w:rPr>
        <w:t xml:space="preserve">II – </w:t>
      </w:r>
      <w:proofErr w:type="gramStart"/>
      <w:r w:rsidRPr="0065174C">
        <w:rPr>
          <w:rFonts w:ascii="Times New Roman" w:hAnsi="Times New Roman" w:cs="Times New Roman"/>
        </w:rPr>
        <w:t>maior</w:t>
      </w:r>
      <w:proofErr w:type="gramEnd"/>
      <w:r w:rsidRPr="0065174C">
        <w:rPr>
          <w:rFonts w:ascii="Times New Roman" w:hAnsi="Times New Roman" w:cs="Times New Roman"/>
        </w:rPr>
        <w:t xml:space="preserve"> de 60 (sessenta) anos;</w:t>
      </w:r>
    </w:p>
    <w:p w14:paraId="48EB1C85" w14:textId="589595B4" w:rsidR="0065174C" w:rsidRPr="002C5E8B" w:rsidRDefault="0065174C" w:rsidP="0065174C">
      <w:pPr>
        <w:pStyle w:val="Textodenotaderodap"/>
        <w:jc w:val="both"/>
        <w:rPr>
          <w:rFonts w:ascii="Times New Roman" w:hAnsi="Times New Roman" w:cs="Times New Roman"/>
        </w:rPr>
      </w:pPr>
      <w:r>
        <w:rPr>
          <w:rFonts w:ascii="Times New Roman" w:hAnsi="Times New Roman" w:cs="Times New Roman"/>
        </w:rPr>
        <w:t>III – com deficiência.</w:t>
      </w:r>
    </w:p>
  </w:footnote>
  <w:footnote w:id="2">
    <w:p w14:paraId="7039E407" w14:textId="6C68DA55" w:rsidR="004D33F9" w:rsidRDefault="004D33F9">
      <w:pPr>
        <w:pStyle w:val="Textodenotaderodap"/>
      </w:pPr>
      <w:r>
        <w:rPr>
          <w:rStyle w:val="Refdenotaderodap"/>
        </w:rPr>
        <w:footnoteRef/>
      </w:r>
      <w:r>
        <w:t xml:space="preserve"> </w:t>
      </w:r>
      <w:r w:rsidRPr="00272E4F">
        <w:rPr>
          <w:rFonts w:ascii="Times New Roman" w:hAnsi="Times New Roman" w:cs="Times New Roman"/>
        </w:rPr>
        <w:t xml:space="preserve">Art. 355. </w:t>
      </w:r>
      <w:r w:rsidRPr="00272E4F">
        <w:rPr>
          <w:rFonts w:ascii="Times New Roman" w:hAnsi="Times New Roman" w:cs="Times New Roman"/>
          <w:b/>
        </w:rPr>
        <w:t>As infrações penais definidas neste código são de ação pública.</w:t>
      </w:r>
      <w:r w:rsidRPr="00272E4F">
        <w:rPr>
          <w:rFonts w:ascii="Times New Roman" w:hAnsi="Times New Roman" w:cs="Times New Roman"/>
        </w:rPr>
        <w:t xml:space="preserve"> (Os destaques não constam do original)</w:t>
      </w:r>
    </w:p>
  </w:footnote>
  <w:footnote w:id="3">
    <w:p w14:paraId="5DF7266C" w14:textId="77777777" w:rsidR="004D33F9" w:rsidRPr="00272E4F" w:rsidRDefault="004D33F9" w:rsidP="004D33F9">
      <w:pPr>
        <w:pStyle w:val="Textodenotaderodap"/>
        <w:jc w:val="both"/>
        <w:rPr>
          <w:rFonts w:ascii="Times New Roman" w:hAnsi="Times New Roman" w:cs="Times New Roman"/>
        </w:rPr>
      </w:pPr>
      <w:r>
        <w:rPr>
          <w:rStyle w:val="Refdenotaderodap"/>
        </w:rPr>
        <w:footnoteRef/>
      </w:r>
      <w:r>
        <w:t xml:space="preserve"> </w:t>
      </w:r>
      <w:r w:rsidRPr="00272E4F">
        <w:rPr>
          <w:rFonts w:ascii="Times New Roman" w:hAnsi="Times New Roman" w:cs="Times New Roman"/>
        </w:rPr>
        <w:t>Art. 129. São funções institucionais do Ministério Público:</w:t>
      </w:r>
    </w:p>
    <w:p w14:paraId="2065FE9A" w14:textId="2200AC8C" w:rsidR="004D33F9" w:rsidRPr="004D33F9" w:rsidRDefault="004D33F9" w:rsidP="004D33F9">
      <w:pPr>
        <w:pStyle w:val="Textodenotaderodap"/>
        <w:jc w:val="both"/>
        <w:rPr>
          <w:rFonts w:ascii="Times New Roman" w:hAnsi="Times New Roman" w:cs="Times New Roman"/>
        </w:rPr>
      </w:pPr>
      <w:r w:rsidRPr="00272E4F">
        <w:rPr>
          <w:rFonts w:ascii="Times New Roman" w:hAnsi="Times New Roman" w:cs="Times New Roman"/>
        </w:rPr>
        <w:t xml:space="preserve">I - </w:t>
      </w:r>
      <w:proofErr w:type="gramStart"/>
      <w:r w:rsidRPr="00272E4F">
        <w:rPr>
          <w:rFonts w:ascii="Times New Roman" w:hAnsi="Times New Roman" w:cs="Times New Roman"/>
        </w:rPr>
        <w:t>promover</w:t>
      </w:r>
      <w:proofErr w:type="gramEnd"/>
      <w:r w:rsidRPr="00272E4F">
        <w:rPr>
          <w:rFonts w:ascii="Times New Roman" w:hAnsi="Times New Roman" w:cs="Times New Roman"/>
        </w:rPr>
        <w:t xml:space="preserve">, privativamente, a ação </w:t>
      </w:r>
      <w:r>
        <w:rPr>
          <w:rFonts w:ascii="Times New Roman" w:hAnsi="Times New Roman" w:cs="Times New Roman"/>
        </w:rPr>
        <w:t>penal pública, na forma da lei;</w:t>
      </w:r>
    </w:p>
  </w:footnote>
  <w:footnote w:id="4">
    <w:p w14:paraId="1D503FC6" w14:textId="77777777" w:rsidR="00B12657" w:rsidRPr="00FF5EB1" w:rsidRDefault="00B12657" w:rsidP="00B12657">
      <w:pPr>
        <w:pStyle w:val="NormalWeb"/>
        <w:spacing w:beforeAutospacing="0" w:after="0" w:afterAutospacing="0"/>
        <w:jc w:val="both"/>
        <w:rPr>
          <w:i/>
          <w:sz w:val="20"/>
          <w:szCs w:val="20"/>
        </w:rPr>
      </w:pPr>
      <w:r>
        <w:rPr>
          <w:rStyle w:val="Refdenotaderodap"/>
        </w:rPr>
        <w:footnoteRef/>
      </w:r>
      <w:r>
        <w:t xml:space="preserve"> </w:t>
      </w:r>
      <w:r w:rsidRPr="00FF5EB1">
        <w:rPr>
          <w:sz w:val="20"/>
          <w:szCs w:val="20"/>
        </w:rPr>
        <w:t>Confira-se trecho da decisão:</w:t>
      </w:r>
      <w:r>
        <w:rPr>
          <w:sz w:val="20"/>
          <w:szCs w:val="20"/>
        </w:rPr>
        <w:t xml:space="preserve"> (...)</w:t>
      </w:r>
      <w:r w:rsidRPr="00FF5EB1">
        <w:rPr>
          <w:sz w:val="20"/>
          <w:szCs w:val="20"/>
        </w:rPr>
        <w:t xml:space="preserve"> </w:t>
      </w:r>
      <w:r w:rsidRPr="00FF5EB1">
        <w:rPr>
          <w:i/>
          <w:sz w:val="20"/>
          <w:szCs w:val="20"/>
        </w:rPr>
        <w:t>A Procuradoria Regional Eleitoral requer o declínio da competência para a primeira instância, em razão da inexistência de competência originária do Tribunal para o feito.</w:t>
      </w:r>
    </w:p>
    <w:p w14:paraId="2AAB62A0" w14:textId="77777777" w:rsidR="00B12657" w:rsidRPr="00FF5EB1" w:rsidRDefault="00B12657" w:rsidP="00B12657">
      <w:pPr>
        <w:suppressAutoHyphens w:val="0"/>
        <w:spacing w:after="0" w:line="240" w:lineRule="auto"/>
        <w:jc w:val="both"/>
        <w:rPr>
          <w:rFonts w:ascii="Times New Roman" w:eastAsia="Times New Roman" w:hAnsi="Times New Roman" w:cs="Times New Roman"/>
          <w:i/>
          <w:sz w:val="20"/>
          <w:szCs w:val="20"/>
          <w:lang w:eastAsia="pt-BR"/>
        </w:rPr>
      </w:pPr>
      <w:r w:rsidRPr="00FF5EB1">
        <w:rPr>
          <w:rFonts w:ascii="Times New Roman" w:eastAsia="Times New Roman" w:hAnsi="Times New Roman" w:cs="Times New Roman"/>
          <w:i/>
          <w:sz w:val="20"/>
          <w:szCs w:val="20"/>
          <w:lang w:eastAsia="pt-BR"/>
        </w:rPr>
        <w:t>Vê–se que não foi imputada a prática de crime eleitoral a pessoa com foro por prerrogativa de função.   </w:t>
      </w:r>
    </w:p>
    <w:p w14:paraId="0BF369D9" w14:textId="77777777" w:rsidR="00B12657" w:rsidRPr="00FF5EB1" w:rsidRDefault="00B12657" w:rsidP="00B12657">
      <w:pPr>
        <w:suppressAutoHyphens w:val="0"/>
        <w:spacing w:after="0" w:line="240" w:lineRule="auto"/>
        <w:jc w:val="both"/>
        <w:rPr>
          <w:rFonts w:ascii="Times New Roman" w:eastAsia="Times New Roman" w:hAnsi="Times New Roman" w:cs="Times New Roman"/>
          <w:i/>
          <w:sz w:val="24"/>
          <w:szCs w:val="24"/>
          <w:lang w:eastAsia="pt-BR"/>
        </w:rPr>
      </w:pPr>
      <w:r w:rsidRPr="00FF5EB1">
        <w:rPr>
          <w:rFonts w:ascii="Times New Roman" w:eastAsia="Times New Roman" w:hAnsi="Times New Roman" w:cs="Times New Roman"/>
          <w:i/>
          <w:sz w:val="20"/>
          <w:szCs w:val="20"/>
          <w:lang w:eastAsia="pt-BR"/>
        </w:rPr>
        <w:t xml:space="preserve">Pelo exposto, nos termos do art. 73, inciso XVII, Regimento Interno deste Tribunal, </w:t>
      </w:r>
      <w:r w:rsidRPr="00FF5EB1">
        <w:rPr>
          <w:rFonts w:ascii="Times New Roman" w:eastAsia="Times New Roman" w:hAnsi="Times New Roman" w:cs="Times New Roman"/>
          <w:i/>
          <w:sz w:val="20"/>
          <w:szCs w:val="20"/>
          <w:u w:val="single"/>
          <w:lang w:eastAsia="pt-BR"/>
        </w:rPr>
        <w:t xml:space="preserve">declino da competência e determino a remessa do feito para distribuição entre </w:t>
      </w:r>
      <w:r w:rsidRPr="00FF5EB1">
        <w:rPr>
          <w:rFonts w:ascii="Times New Roman" w:eastAsia="Times New Roman" w:hAnsi="Times New Roman" w:cs="Times New Roman"/>
          <w:b/>
          <w:i/>
          <w:sz w:val="20"/>
          <w:szCs w:val="20"/>
          <w:u w:val="single"/>
          <w:lang w:eastAsia="pt-BR"/>
        </w:rPr>
        <w:t>os Juízos Eleitorais</w:t>
      </w:r>
      <w:r w:rsidRPr="00FF5EB1">
        <w:rPr>
          <w:rFonts w:ascii="Times New Roman" w:eastAsia="Times New Roman" w:hAnsi="Times New Roman" w:cs="Times New Roman"/>
          <w:i/>
          <w:sz w:val="20"/>
          <w:szCs w:val="20"/>
          <w:u w:val="single"/>
          <w:lang w:eastAsia="pt-BR"/>
        </w:rPr>
        <w:t xml:space="preserve"> de Belo Horizonte</w:t>
      </w:r>
      <w:r w:rsidRPr="00FF5EB1">
        <w:rPr>
          <w:rFonts w:ascii="Times New Roman" w:eastAsia="Times New Roman" w:hAnsi="Times New Roman" w:cs="Times New Roman"/>
          <w:i/>
          <w:sz w:val="20"/>
          <w:szCs w:val="20"/>
          <w:lang w:eastAsia="pt-BR"/>
        </w:rPr>
        <w:t xml:space="preserve">, com a posterior remessa ao </w:t>
      </w:r>
      <w:r w:rsidRPr="00FF5EB1">
        <w:rPr>
          <w:rFonts w:ascii="Times New Roman" w:eastAsia="Times New Roman" w:hAnsi="Times New Roman" w:cs="Times New Roman"/>
          <w:b/>
          <w:i/>
          <w:sz w:val="20"/>
          <w:szCs w:val="20"/>
          <w:lang w:eastAsia="pt-BR"/>
        </w:rPr>
        <w:t>Promotor Eleitoral</w:t>
      </w:r>
      <w:r w:rsidRPr="00FF5EB1">
        <w:rPr>
          <w:rFonts w:ascii="Times New Roman" w:eastAsia="Times New Roman" w:hAnsi="Times New Roman" w:cs="Times New Roman"/>
          <w:i/>
          <w:sz w:val="20"/>
          <w:szCs w:val="20"/>
          <w:lang w:eastAsia="pt-BR"/>
        </w:rPr>
        <w:t xml:space="preserve"> para a tomada das providências cabíveis.</w:t>
      </w:r>
    </w:p>
  </w:footnote>
  <w:footnote w:id="5">
    <w:p w14:paraId="61020C29" w14:textId="77777777" w:rsidR="00C33EDD" w:rsidRDefault="00C33EDD" w:rsidP="00C33EDD">
      <w:pPr>
        <w:pStyle w:val="Textodenotaderodap"/>
        <w:jc w:val="both"/>
        <w:rPr>
          <w:rFonts w:ascii="Times New Roman" w:hAnsi="Times New Roman" w:cs="Times New Roman"/>
        </w:rPr>
      </w:pPr>
      <w:r>
        <w:rPr>
          <w:rStyle w:val="Refdenotaderodap"/>
        </w:rPr>
        <w:footnoteRef/>
      </w:r>
      <w:r>
        <w:t xml:space="preserve"> </w:t>
      </w:r>
      <w:r w:rsidRPr="00AD43B4">
        <w:rPr>
          <w:rFonts w:ascii="Times New Roman" w:hAnsi="Times New Roman" w:cs="Times New Roman"/>
        </w:rPr>
        <w:t>Art. 23 - Compete ao Tribunal:</w:t>
      </w:r>
    </w:p>
    <w:p w14:paraId="26995950" w14:textId="77777777" w:rsidR="00C33EDD" w:rsidRDefault="00C33EDD" w:rsidP="00C33EDD">
      <w:pPr>
        <w:pStyle w:val="Textodenotaderodap"/>
        <w:jc w:val="both"/>
        <w:rPr>
          <w:rFonts w:ascii="Times New Roman" w:hAnsi="Times New Roman" w:cs="Times New Roman"/>
        </w:rPr>
      </w:pPr>
      <w:r w:rsidRPr="00AD43B4">
        <w:rPr>
          <w:rFonts w:ascii="Times New Roman" w:hAnsi="Times New Roman" w:cs="Times New Roman"/>
        </w:rPr>
        <w:t>I - Processar e julgar originariamente:</w:t>
      </w:r>
    </w:p>
    <w:p w14:paraId="6404126D" w14:textId="77777777" w:rsidR="00C33EDD" w:rsidRPr="00AD43B4" w:rsidRDefault="00C33EDD" w:rsidP="00C33EDD">
      <w:pPr>
        <w:pStyle w:val="Textodenotaderodap"/>
        <w:jc w:val="both"/>
        <w:rPr>
          <w:rFonts w:ascii="Times New Roman" w:hAnsi="Times New Roman" w:cs="Times New Roman"/>
        </w:rPr>
      </w:pPr>
      <w:r w:rsidRPr="00AD43B4">
        <w:rPr>
          <w:rFonts w:ascii="Times New Roman" w:hAnsi="Times New Roman" w:cs="Times New Roman"/>
        </w:rPr>
        <w:t>(...)</w:t>
      </w:r>
    </w:p>
    <w:p w14:paraId="169B33F9" w14:textId="2E990A2C" w:rsidR="00C33EDD" w:rsidRPr="00C33EDD" w:rsidRDefault="00C33EDD" w:rsidP="00C33EDD">
      <w:pPr>
        <w:pStyle w:val="Textodenotaderodap"/>
        <w:jc w:val="both"/>
        <w:rPr>
          <w:rFonts w:ascii="Times New Roman" w:hAnsi="Times New Roman" w:cs="Times New Roman"/>
        </w:rPr>
      </w:pPr>
      <w:r w:rsidRPr="00AD43B4">
        <w:rPr>
          <w:rFonts w:ascii="Times New Roman" w:hAnsi="Times New Roman" w:cs="Times New Roman"/>
        </w:rPr>
        <w:t>f) os crimes eleitorais e os comuns que lhes forem conexos, praticados por autoridade que</w:t>
      </w:r>
      <w:r w:rsidRPr="00AD43B4">
        <w:rPr>
          <w:rFonts w:ascii="Times New Roman" w:hAnsi="Times New Roman" w:cs="Times New Roman"/>
        </w:rPr>
        <w:br/>
        <w:t>detenha foro por prerrogativa de função perante o Tribunal de Justiça, nos termos da</w:t>
      </w:r>
      <w:r w:rsidRPr="00AD43B4">
        <w:rPr>
          <w:rFonts w:ascii="Times New Roman" w:hAnsi="Times New Roman" w:cs="Times New Roman"/>
        </w:rPr>
        <w:br/>
        <w:t>Constituição Federal;</w:t>
      </w:r>
    </w:p>
  </w:footnote>
  <w:footnote w:id="6">
    <w:p w14:paraId="1AF758F4" w14:textId="77777777" w:rsidR="006B7943" w:rsidRPr="002C5E8B" w:rsidRDefault="006B7943" w:rsidP="006B7943">
      <w:pPr>
        <w:pStyle w:val="Textodenotaderodap"/>
        <w:jc w:val="both"/>
        <w:rPr>
          <w:rFonts w:ascii="Times New Roman" w:hAnsi="Times New Roman" w:cs="Times New Roman"/>
        </w:rPr>
      </w:pPr>
      <w:r w:rsidRPr="002C5E8B">
        <w:rPr>
          <w:rStyle w:val="Refdenotaderodap"/>
          <w:rFonts w:ascii="Times New Roman" w:hAnsi="Times New Roman" w:cs="Times New Roman"/>
        </w:rPr>
        <w:footnoteRef/>
      </w:r>
      <w:r w:rsidRPr="002C5E8B">
        <w:rPr>
          <w:rFonts w:ascii="Times New Roman" w:hAnsi="Times New Roman" w:cs="Times New Roman"/>
        </w:rPr>
        <w:t xml:space="preserve"> Art. 357. Verificada a infração penal, o Ministério Público oferecerá a denúncia dentro do prazo de 10 (dez) dias.</w:t>
      </w:r>
    </w:p>
    <w:p w14:paraId="1E1C3706" w14:textId="77777777" w:rsidR="006B7943" w:rsidRPr="002C5E8B" w:rsidRDefault="006B7943" w:rsidP="006B7943">
      <w:pPr>
        <w:pStyle w:val="Textodenotaderodap"/>
        <w:jc w:val="both"/>
        <w:rPr>
          <w:rFonts w:ascii="Times New Roman" w:hAnsi="Times New Roman" w:cs="Times New Roman"/>
        </w:rPr>
      </w:pPr>
      <w:r w:rsidRPr="002C5E8B">
        <w:rPr>
          <w:rFonts w:ascii="Times New Roman" w:hAnsi="Times New Roman" w:cs="Times New Roman"/>
        </w:rPr>
        <w:t>(...)</w:t>
      </w:r>
    </w:p>
    <w:p w14:paraId="3B77A55D" w14:textId="77777777" w:rsidR="006B7943" w:rsidRPr="002C5E8B" w:rsidRDefault="006B7943" w:rsidP="006B7943">
      <w:pPr>
        <w:pStyle w:val="Textodenotaderodap"/>
        <w:jc w:val="both"/>
        <w:rPr>
          <w:rFonts w:ascii="Times New Roman" w:hAnsi="Times New Roman" w:cs="Times New Roman"/>
        </w:rPr>
      </w:pPr>
      <w:r w:rsidRPr="002C5E8B">
        <w:rPr>
          <w:rFonts w:ascii="Times New Roman" w:hAnsi="Times New Roman" w:cs="Times New Roman"/>
        </w:rPr>
        <w:t>§ 2º A denúncia conterá a exposição do fato criminoso com todas as suas circunstâncias, a qualificação do acusado ou esclarecimentos pelos quais se possa identificá-lo, a classificação do crime e, quando necessário, o rol das testemunhas.</w:t>
      </w:r>
    </w:p>
    <w:p w14:paraId="780FC5DC" w14:textId="77777777" w:rsidR="006B7943" w:rsidRPr="002C5E8B" w:rsidRDefault="006B7943" w:rsidP="006B7943">
      <w:pPr>
        <w:pStyle w:val="Textodenotaderodap"/>
        <w:jc w:val="both"/>
        <w:rPr>
          <w:rFonts w:ascii="Times New Roman" w:hAnsi="Times New Roman" w:cs="Times New Roman"/>
        </w:rPr>
      </w:pPr>
      <w:r w:rsidRPr="002C5E8B">
        <w:rPr>
          <w:rFonts w:ascii="Times New Roman" w:hAnsi="Times New Roman" w:cs="Times New Roman"/>
        </w:rPr>
        <w:t>Art. 358. A denúncia, será rejeitada quando:</w:t>
      </w:r>
    </w:p>
    <w:p w14:paraId="10268A67" w14:textId="77777777" w:rsidR="006B7943" w:rsidRPr="002C5E8B" w:rsidRDefault="006B7943" w:rsidP="006B7943">
      <w:pPr>
        <w:pStyle w:val="Textodenotaderodap"/>
        <w:jc w:val="both"/>
        <w:rPr>
          <w:rFonts w:ascii="Times New Roman" w:hAnsi="Times New Roman" w:cs="Times New Roman"/>
        </w:rPr>
      </w:pPr>
      <w:r w:rsidRPr="002C5E8B">
        <w:rPr>
          <w:rFonts w:ascii="Times New Roman" w:hAnsi="Times New Roman" w:cs="Times New Roman"/>
        </w:rPr>
        <w:t xml:space="preserve">I - </w:t>
      </w:r>
      <w:proofErr w:type="gramStart"/>
      <w:r w:rsidRPr="002C5E8B">
        <w:rPr>
          <w:rFonts w:ascii="Times New Roman" w:hAnsi="Times New Roman" w:cs="Times New Roman"/>
        </w:rPr>
        <w:t>o</w:t>
      </w:r>
      <w:proofErr w:type="gramEnd"/>
      <w:r w:rsidRPr="002C5E8B">
        <w:rPr>
          <w:rFonts w:ascii="Times New Roman" w:hAnsi="Times New Roman" w:cs="Times New Roman"/>
        </w:rPr>
        <w:t xml:space="preserve"> fato narrado evidentemente não constituir crime;</w:t>
      </w:r>
    </w:p>
    <w:p w14:paraId="31984019" w14:textId="77777777" w:rsidR="006B7943" w:rsidRPr="002C5E8B" w:rsidRDefault="006B7943" w:rsidP="006B7943">
      <w:pPr>
        <w:pStyle w:val="Textodenotaderodap"/>
        <w:jc w:val="both"/>
        <w:rPr>
          <w:rFonts w:ascii="Times New Roman" w:hAnsi="Times New Roman" w:cs="Times New Roman"/>
        </w:rPr>
      </w:pPr>
      <w:r w:rsidRPr="002C5E8B">
        <w:rPr>
          <w:rFonts w:ascii="Times New Roman" w:hAnsi="Times New Roman" w:cs="Times New Roman"/>
        </w:rPr>
        <w:t xml:space="preserve">II - </w:t>
      </w:r>
      <w:proofErr w:type="gramStart"/>
      <w:r w:rsidRPr="002C5E8B">
        <w:rPr>
          <w:rFonts w:ascii="Times New Roman" w:hAnsi="Times New Roman" w:cs="Times New Roman"/>
        </w:rPr>
        <w:t>já</w:t>
      </w:r>
      <w:proofErr w:type="gramEnd"/>
      <w:r w:rsidRPr="002C5E8B">
        <w:rPr>
          <w:rFonts w:ascii="Times New Roman" w:hAnsi="Times New Roman" w:cs="Times New Roman"/>
        </w:rPr>
        <w:t xml:space="preserve"> estiver extinta a punibilidade, pela prescrição ou outra causa;</w:t>
      </w:r>
    </w:p>
    <w:p w14:paraId="38DFDF24" w14:textId="77777777" w:rsidR="006B7943" w:rsidRPr="002C5E8B" w:rsidRDefault="006B7943" w:rsidP="006B7943">
      <w:pPr>
        <w:pStyle w:val="Textodenotaderodap"/>
        <w:jc w:val="both"/>
        <w:rPr>
          <w:rFonts w:ascii="Times New Roman" w:hAnsi="Times New Roman" w:cs="Times New Roman"/>
        </w:rPr>
      </w:pPr>
      <w:r w:rsidRPr="002C5E8B">
        <w:rPr>
          <w:rFonts w:ascii="Times New Roman" w:hAnsi="Times New Roman" w:cs="Times New Roman"/>
        </w:rPr>
        <w:t>III - for manifesta a ilegitimidade da parte ou faltar condição exigida pela lei para o exercício da ação penal.</w:t>
      </w:r>
    </w:p>
  </w:footnote>
  <w:footnote w:id="7">
    <w:p w14:paraId="56402645" w14:textId="654CF3BE" w:rsidR="00B0198E" w:rsidRDefault="00B0198E" w:rsidP="00B0198E">
      <w:pPr>
        <w:pStyle w:val="Textodenotaderodap"/>
        <w:jc w:val="both"/>
      </w:pPr>
      <w:r>
        <w:rPr>
          <w:rStyle w:val="Refdenotaderodap"/>
        </w:rPr>
        <w:footnoteRef/>
      </w:r>
      <w:r>
        <w:t xml:space="preserve"> </w:t>
      </w:r>
      <w:r w:rsidRPr="00B0198E">
        <w:rPr>
          <w:rFonts w:ascii="Cambria" w:hAnsi="Cambria" w:cs="Courier New"/>
          <w:bCs/>
        </w:rPr>
        <w:t>Consta nos autos vídeos dos fatos ocorridos em 18 de maio de 2022, durante a 13ª sessão extraordinária da Assembleia Legislativa de São Paulo veiculados pela imprensa (Portal G1 – ID 64051517; Folha de São Paulo – ID 64051518; Canal do Youtube da CNN Brasil – ID 64051521).</w:t>
      </w:r>
    </w:p>
  </w:footnote>
  <w:footnote w:id="8">
    <w:p w14:paraId="371A6253" w14:textId="4615B63C" w:rsidR="006F6062" w:rsidRDefault="006F6062">
      <w:pPr>
        <w:pStyle w:val="Textodenotaderodap"/>
      </w:pPr>
      <w:r>
        <w:rPr>
          <w:rStyle w:val="Refdenotaderodap"/>
        </w:rPr>
        <w:footnoteRef/>
      </w:r>
      <w:r>
        <w:t xml:space="preserve"> </w:t>
      </w:r>
      <w:r w:rsidRPr="006F6062">
        <w:t>https://www.camara.leg.br/proposicoesWeb/prop_mostrarintegra;jsessionid=node0u0x7wesx4ugxmur5c3nflyfa4667856.node0?codteor=1300107&amp;filename=Tramitacao-PL+349/2015</w:t>
      </w:r>
    </w:p>
  </w:footnote>
  <w:footnote w:id="9">
    <w:p w14:paraId="38FFF32E" w14:textId="47E1EE57" w:rsidR="0086303B" w:rsidRDefault="0086303B" w:rsidP="0086303B">
      <w:pPr>
        <w:pStyle w:val="Textodenotaderodap"/>
        <w:jc w:val="both"/>
      </w:pPr>
      <w:r>
        <w:rPr>
          <w:rStyle w:val="Refdenotaderodap"/>
        </w:rPr>
        <w:footnoteRef/>
      </w:r>
      <w:r>
        <w:t xml:space="preserve"> </w:t>
      </w:r>
      <w:r w:rsidRPr="0086303B">
        <w:t>https://www.mpf.mp.br/presp/artigos/artigos-publicados/violencia-de-genero-e-imunidade-parlamentar/view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606E9"/>
    <w:multiLevelType w:val="hybridMultilevel"/>
    <w:tmpl w:val="37563BE0"/>
    <w:lvl w:ilvl="0" w:tplc="318C205E">
      <w:start w:val="1"/>
      <w:numFmt w:val="decimal"/>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16cid:durableId="117318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B0"/>
    <w:rsid w:val="00005377"/>
    <w:rsid w:val="000142F6"/>
    <w:rsid w:val="0002166D"/>
    <w:rsid w:val="00023ADE"/>
    <w:rsid w:val="0004394B"/>
    <w:rsid w:val="000525A2"/>
    <w:rsid w:val="00066FF4"/>
    <w:rsid w:val="0007255D"/>
    <w:rsid w:val="00095477"/>
    <w:rsid w:val="000A1ECC"/>
    <w:rsid w:val="000A7DB0"/>
    <w:rsid w:val="000B3083"/>
    <w:rsid w:val="000C0D4F"/>
    <w:rsid w:val="000D0AD3"/>
    <w:rsid w:val="000F1509"/>
    <w:rsid w:val="001112EE"/>
    <w:rsid w:val="00120C28"/>
    <w:rsid w:val="00124D89"/>
    <w:rsid w:val="001263BE"/>
    <w:rsid w:val="0013520F"/>
    <w:rsid w:val="001549FF"/>
    <w:rsid w:val="001558B1"/>
    <w:rsid w:val="00166DA0"/>
    <w:rsid w:val="0017376D"/>
    <w:rsid w:val="001A1A48"/>
    <w:rsid w:val="001C188D"/>
    <w:rsid w:val="001E1437"/>
    <w:rsid w:val="001E2B72"/>
    <w:rsid w:val="001F1683"/>
    <w:rsid w:val="00221399"/>
    <w:rsid w:val="00232106"/>
    <w:rsid w:val="00233B92"/>
    <w:rsid w:val="002523FB"/>
    <w:rsid w:val="0027763E"/>
    <w:rsid w:val="002854D2"/>
    <w:rsid w:val="00292DCF"/>
    <w:rsid w:val="002A4301"/>
    <w:rsid w:val="002A4E60"/>
    <w:rsid w:val="002C5E8B"/>
    <w:rsid w:val="002D3F37"/>
    <w:rsid w:val="002D5B85"/>
    <w:rsid w:val="003017A8"/>
    <w:rsid w:val="00321CC2"/>
    <w:rsid w:val="00325426"/>
    <w:rsid w:val="00341733"/>
    <w:rsid w:val="00344A7E"/>
    <w:rsid w:val="00351561"/>
    <w:rsid w:val="00352ABC"/>
    <w:rsid w:val="00361481"/>
    <w:rsid w:val="00387894"/>
    <w:rsid w:val="003955EE"/>
    <w:rsid w:val="003D5734"/>
    <w:rsid w:val="003E42C2"/>
    <w:rsid w:val="003F40E5"/>
    <w:rsid w:val="003F5FB6"/>
    <w:rsid w:val="0040032C"/>
    <w:rsid w:val="00406D9A"/>
    <w:rsid w:val="00410EBA"/>
    <w:rsid w:val="00420114"/>
    <w:rsid w:val="00471666"/>
    <w:rsid w:val="00477260"/>
    <w:rsid w:val="00481746"/>
    <w:rsid w:val="004840D0"/>
    <w:rsid w:val="004B0D82"/>
    <w:rsid w:val="004D33F9"/>
    <w:rsid w:val="004F7666"/>
    <w:rsid w:val="004F7F07"/>
    <w:rsid w:val="005254F4"/>
    <w:rsid w:val="00525848"/>
    <w:rsid w:val="00544A44"/>
    <w:rsid w:val="005525F9"/>
    <w:rsid w:val="00564AEE"/>
    <w:rsid w:val="00581B69"/>
    <w:rsid w:val="00587D20"/>
    <w:rsid w:val="005A0A7E"/>
    <w:rsid w:val="005A161E"/>
    <w:rsid w:val="005A1982"/>
    <w:rsid w:val="005A67AA"/>
    <w:rsid w:val="005B3B01"/>
    <w:rsid w:val="005E66F4"/>
    <w:rsid w:val="005F1CA9"/>
    <w:rsid w:val="005F68C3"/>
    <w:rsid w:val="005F78FE"/>
    <w:rsid w:val="0060331C"/>
    <w:rsid w:val="0060599D"/>
    <w:rsid w:val="00622FF7"/>
    <w:rsid w:val="00632525"/>
    <w:rsid w:val="006371D8"/>
    <w:rsid w:val="00643816"/>
    <w:rsid w:val="0065174C"/>
    <w:rsid w:val="00655EB4"/>
    <w:rsid w:val="00673E8B"/>
    <w:rsid w:val="00674D63"/>
    <w:rsid w:val="006941B7"/>
    <w:rsid w:val="006A0C42"/>
    <w:rsid w:val="006A24F8"/>
    <w:rsid w:val="006B7943"/>
    <w:rsid w:val="006C6872"/>
    <w:rsid w:val="006D13B9"/>
    <w:rsid w:val="006D16F4"/>
    <w:rsid w:val="006D217E"/>
    <w:rsid w:val="006E6008"/>
    <w:rsid w:val="006F3A04"/>
    <w:rsid w:val="006F6062"/>
    <w:rsid w:val="00704A55"/>
    <w:rsid w:val="007356E6"/>
    <w:rsid w:val="007438BC"/>
    <w:rsid w:val="007479D3"/>
    <w:rsid w:val="00770322"/>
    <w:rsid w:val="00776062"/>
    <w:rsid w:val="00777FC4"/>
    <w:rsid w:val="00784381"/>
    <w:rsid w:val="00790177"/>
    <w:rsid w:val="00791B1E"/>
    <w:rsid w:val="007A6D8D"/>
    <w:rsid w:val="007C324D"/>
    <w:rsid w:val="007D2233"/>
    <w:rsid w:val="007D5173"/>
    <w:rsid w:val="007F32F2"/>
    <w:rsid w:val="00800E6E"/>
    <w:rsid w:val="008175EE"/>
    <w:rsid w:val="00832773"/>
    <w:rsid w:val="008451CD"/>
    <w:rsid w:val="00850BDD"/>
    <w:rsid w:val="008549C4"/>
    <w:rsid w:val="0086303B"/>
    <w:rsid w:val="00867846"/>
    <w:rsid w:val="00882E49"/>
    <w:rsid w:val="008837D3"/>
    <w:rsid w:val="008972D7"/>
    <w:rsid w:val="008A13DB"/>
    <w:rsid w:val="008A52CB"/>
    <w:rsid w:val="008B488B"/>
    <w:rsid w:val="008B64A5"/>
    <w:rsid w:val="008B7A5F"/>
    <w:rsid w:val="008C311E"/>
    <w:rsid w:val="008C3D3E"/>
    <w:rsid w:val="008F002C"/>
    <w:rsid w:val="008F7D50"/>
    <w:rsid w:val="009071D2"/>
    <w:rsid w:val="00922D02"/>
    <w:rsid w:val="009230B5"/>
    <w:rsid w:val="009460E9"/>
    <w:rsid w:val="00961E00"/>
    <w:rsid w:val="00966C22"/>
    <w:rsid w:val="009700DA"/>
    <w:rsid w:val="009A1D2B"/>
    <w:rsid w:val="009A7F6F"/>
    <w:rsid w:val="009B17C7"/>
    <w:rsid w:val="009C0B2C"/>
    <w:rsid w:val="009E0B02"/>
    <w:rsid w:val="009E3EF0"/>
    <w:rsid w:val="009E4DD4"/>
    <w:rsid w:val="009E632B"/>
    <w:rsid w:val="009F7649"/>
    <w:rsid w:val="00A0321A"/>
    <w:rsid w:val="00A046EA"/>
    <w:rsid w:val="00A35D55"/>
    <w:rsid w:val="00A37B92"/>
    <w:rsid w:val="00A37CC4"/>
    <w:rsid w:val="00A43231"/>
    <w:rsid w:val="00A52525"/>
    <w:rsid w:val="00A67F34"/>
    <w:rsid w:val="00A83223"/>
    <w:rsid w:val="00AC4039"/>
    <w:rsid w:val="00AD2CCD"/>
    <w:rsid w:val="00AD43B4"/>
    <w:rsid w:val="00AD50FE"/>
    <w:rsid w:val="00AF72A6"/>
    <w:rsid w:val="00B0198E"/>
    <w:rsid w:val="00B12657"/>
    <w:rsid w:val="00B273EB"/>
    <w:rsid w:val="00B42C97"/>
    <w:rsid w:val="00B51CB6"/>
    <w:rsid w:val="00B53C14"/>
    <w:rsid w:val="00B54D8E"/>
    <w:rsid w:val="00B6100E"/>
    <w:rsid w:val="00B81A5E"/>
    <w:rsid w:val="00B91A26"/>
    <w:rsid w:val="00B937AD"/>
    <w:rsid w:val="00B9567E"/>
    <w:rsid w:val="00BB5DBE"/>
    <w:rsid w:val="00BB774D"/>
    <w:rsid w:val="00BC1571"/>
    <w:rsid w:val="00BC39D5"/>
    <w:rsid w:val="00BC6EC5"/>
    <w:rsid w:val="00BE2B6A"/>
    <w:rsid w:val="00C00B47"/>
    <w:rsid w:val="00C03DB7"/>
    <w:rsid w:val="00C123B8"/>
    <w:rsid w:val="00C14A0E"/>
    <w:rsid w:val="00C16A22"/>
    <w:rsid w:val="00C3092B"/>
    <w:rsid w:val="00C33EDD"/>
    <w:rsid w:val="00C362A2"/>
    <w:rsid w:val="00C45118"/>
    <w:rsid w:val="00C47F8A"/>
    <w:rsid w:val="00C76FF0"/>
    <w:rsid w:val="00C83231"/>
    <w:rsid w:val="00C96B69"/>
    <w:rsid w:val="00CC117E"/>
    <w:rsid w:val="00CC6B82"/>
    <w:rsid w:val="00CE2A4C"/>
    <w:rsid w:val="00CE6D19"/>
    <w:rsid w:val="00D12679"/>
    <w:rsid w:val="00D14731"/>
    <w:rsid w:val="00D151DA"/>
    <w:rsid w:val="00D42A9F"/>
    <w:rsid w:val="00D42CB0"/>
    <w:rsid w:val="00D73346"/>
    <w:rsid w:val="00D77C4C"/>
    <w:rsid w:val="00D91D6C"/>
    <w:rsid w:val="00D929A5"/>
    <w:rsid w:val="00D97E3B"/>
    <w:rsid w:val="00DA032D"/>
    <w:rsid w:val="00DA70B1"/>
    <w:rsid w:val="00DB3786"/>
    <w:rsid w:val="00DD1442"/>
    <w:rsid w:val="00DD3D88"/>
    <w:rsid w:val="00DE1D5F"/>
    <w:rsid w:val="00DE22C3"/>
    <w:rsid w:val="00DF0DE1"/>
    <w:rsid w:val="00E02D3B"/>
    <w:rsid w:val="00E1293E"/>
    <w:rsid w:val="00E215E0"/>
    <w:rsid w:val="00E27929"/>
    <w:rsid w:val="00E332F3"/>
    <w:rsid w:val="00E376D1"/>
    <w:rsid w:val="00E662F3"/>
    <w:rsid w:val="00E771CF"/>
    <w:rsid w:val="00E77C18"/>
    <w:rsid w:val="00E8133E"/>
    <w:rsid w:val="00E82C22"/>
    <w:rsid w:val="00E940FC"/>
    <w:rsid w:val="00EB06CF"/>
    <w:rsid w:val="00EB7508"/>
    <w:rsid w:val="00EC0977"/>
    <w:rsid w:val="00EC7093"/>
    <w:rsid w:val="00EE5E03"/>
    <w:rsid w:val="00F17C9D"/>
    <w:rsid w:val="00F23BB2"/>
    <w:rsid w:val="00F33A1F"/>
    <w:rsid w:val="00F4762A"/>
    <w:rsid w:val="00F5791C"/>
    <w:rsid w:val="00FA373E"/>
    <w:rsid w:val="00FA5A15"/>
    <w:rsid w:val="00FA76C9"/>
    <w:rsid w:val="00FB6E63"/>
    <w:rsid w:val="00FC6370"/>
    <w:rsid w:val="00FD0358"/>
    <w:rsid w:val="00FD683A"/>
    <w:rsid w:val="00FE3241"/>
    <w:rsid w:val="00FE521D"/>
    <w:rsid w:val="00FF5EB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34AB"/>
  <w15:docId w15:val="{F127F963-F7E7-47AA-B668-67F5B8FB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3">
    <w:name w:val="heading 3"/>
    <w:basedOn w:val="Normal"/>
    <w:next w:val="Normal"/>
    <w:link w:val="Ttulo3Char"/>
    <w:uiPriority w:val="9"/>
    <w:semiHidden/>
    <w:unhideWhenUsed/>
    <w:qFormat/>
    <w:rsid w:val="00777F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har"/>
    <w:uiPriority w:val="9"/>
    <w:qFormat/>
    <w:rsid w:val="00704A55"/>
    <w:pPr>
      <w:suppressAutoHyphens w:val="0"/>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40895"/>
    <w:rPr>
      <w:b/>
      <w:bCs/>
    </w:rPr>
  </w:style>
  <w:style w:type="character" w:styleId="nfase">
    <w:name w:val="Emphasis"/>
    <w:basedOn w:val="Fontepargpadro"/>
    <w:uiPriority w:val="20"/>
    <w:qFormat/>
    <w:rsid w:val="00740895"/>
    <w:rPr>
      <w:i/>
      <w:iCs/>
    </w:rPr>
  </w:style>
  <w:style w:type="character" w:customStyle="1" w:styleId="TextodenotaderodapChar">
    <w:name w:val="Texto de nota de rodapé Char"/>
    <w:basedOn w:val="Fontepargpadro"/>
    <w:link w:val="Textodenotaderodap"/>
    <w:uiPriority w:val="99"/>
    <w:qFormat/>
    <w:rsid w:val="00BD5CE8"/>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unhideWhenUsed/>
    <w:qFormat/>
    <w:rsid w:val="00BD5CE8"/>
    <w:rPr>
      <w:vertAlign w:val="superscript"/>
    </w:rPr>
  </w:style>
  <w:style w:type="character" w:customStyle="1" w:styleId="CorpodetextoChar">
    <w:name w:val="Corpo de texto Char"/>
    <w:basedOn w:val="Fontepargpadro"/>
    <w:link w:val="Corpodetexto"/>
    <w:uiPriority w:val="99"/>
    <w:qFormat/>
    <w:rsid w:val="00FA0A67"/>
    <w:rPr>
      <w:rFonts w:ascii="Times New Roman" w:eastAsia="Times New Roman" w:hAnsi="Times New Roman" w:cs="Times New Roman"/>
      <w:sz w:val="24"/>
      <w:szCs w:val="24"/>
      <w:lang w:eastAsia="pt-BR"/>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nfaseforte">
    <w:name w:val="Ênfase forte"/>
    <w:qFormat/>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unhideWhenUsed/>
    <w:rsid w:val="00FA0A67"/>
    <w:pPr>
      <w:spacing w:after="120" w:line="240" w:lineRule="auto"/>
    </w:pPr>
    <w:rPr>
      <w:rFonts w:ascii="Times New Roman" w:eastAsia="Times New Roman" w:hAnsi="Times New Roman" w:cs="Times New Roman"/>
      <w:sz w:val="24"/>
      <w:szCs w:val="24"/>
      <w:lang w:eastAsia="pt-BR"/>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rsid w:val="00740895"/>
    <w:pPr>
      <w:spacing w:beforeAutospacing="1"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BD5CE8"/>
    <w:pPr>
      <w:spacing w:after="0" w:line="240" w:lineRule="auto"/>
    </w:pPr>
    <w:rPr>
      <w:sz w:val="20"/>
      <w:szCs w:val="20"/>
    </w:rPr>
  </w:style>
  <w:style w:type="paragraph" w:styleId="PargrafodaLista">
    <w:name w:val="List Paragraph"/>
    <w:basedOn w:val="Normal"/>
    <w:uiPriority w:val="34"/>
    <w:qFormat/>
    <w:rsid w:val="00BD5CE8"/>
    <w:pPr>
      <w:ind w:left="720"/>
      <w:contextualSpacing/>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styleId="Recuodecorpodetexto">
    <w:name w:val="Body Text Indent"/>
    <w:basedOn w:val="Normal"/>
    <w:pPr>
      <w:spacing w:after="0" w:line="240" w:lineRule="auto"/>
      <w:ind w:firstLine="1418"/>
      <w:jc w:val="both"/>
    </w:pPr>
    <w:rPr>
      <w:rFonts w:ascii="Tahoma" w:eastAsia="Times New Roman" w:hAnsi="Tahoma" w:cs="Times New Roman"/>
      <w:sz w:val="21"/>
      <w:szCs w:val="20"/>
      <w:lang w:eastAsia="pt-BR"/>
    </w:rPr>
  </w:style>
  <w:style w:type="character" w:customStyle="1" w:styleId="markedcontent">
    <w:name w:val="markedcontent"/>
    <w:basedOn w:val="Fontepargpadro"/>
    <w:rsid w:val="00FA5A15"/>
  </w:style>
  <w:style w:type="character" w:styleId="Refdenotaderodap">
    <w:name w:val="footnote reference"/>
    <w:basedOn w:val="Fontepargpadro"/>
    <w:uiPriority w:val="99"/>
    <w:semiHidden/>
    <w:unhideWhenUsed/>
    <w:rsid w:val="00A52525"/>
    <w:rPr>
      <w:vertAlign w:val="superscript"/>
    </w:rPr>
  </w:style>
  <w:style w:type="character" w:customStyle="1" w:styleId="Ttulo4Char">
    <w:name w:val="Título 4 Char"/>
    <w:basedOn w:val="Fontepargpadro"/>
    <w:link w:val="Ttulo4"/>
    <w:uiPriority w:val="9"/>
    <w:rsid w:val="00704A55"/>
    <w:rPr>
      <w:rFonts w:ascii="Times New Roman" w:eastAsia="Times New Roman" w:hAnsi="Times New Roman" w:cs="Times New Roman"/>
      <w:b/>
      <w:bCs/>
      <w:sz w:val="24"/>
      <w:szCs w:val="24"/>
      <w:lang w:eastAsia="pt-BR"/>
    </w:rPr>
  </w:style>
  <w:style w:type="character" w:styleId="Hyperlink">
    <w:name w:val="Hyperlink"/>
    <w:basedOn w:val="Fontepargpadro"/>
    <w:uiPriority w:val="99"/>
    <w:semiHidden/>
    <w:unhideWhenUsed/>
    <w:rsid w:val="00704A55"/>
    <w:rPr>
      <w:color w:val="0000FF"/>
      <w:u w:val="single"/>
    </w:rPr>
  </w:style>
  <w:style w:type="character" w:customStyle="1" w:styleId="jud-text">
    <w:name w:val="jud-text"/>
    <w:basedOn w:val="Fontepargpadro"/>
    <w:rsid w:val="00704A55"/>
  </w:style>
  <w:style w:type="character" w:customStyle="1" w:styleId="ng-star-inserted">
    <w:name w:val="ng-star-inserted"/>
    <w:basedOn w:val="Fontepargpadro"/>
    <w:rsid w:val="00704A55"/>
  </w:style>
  <w:style w:type="character" w:customStyle="1" w:styleId="Ttulo3Char">
    <w:name w:val="Título 3 Char"/>
    <w:basedOn w:val="Fontepargpadro"/>
    <w:link w:val="Ttulo3"/>
    <w:uiPriority w:val="9"/>
    <w:semiHidden/>
    <w:rsid w:val="00777FC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5166">
      <w:bodyDiv w:val="1"/>
      <w:marLeft w:val="0"/>
      <w:marRight w:val="0"/>
      <w:marTop w:val="0"/>
      <w:marBottom w:val="0"/>
      <w:divBdr>
        <w:top w:val="none" w:sz="0" w:space="0" w:color="auto"/>
        <w:left w:val="none" w:sz="0" w:space="0" w:color="auto"/>
        <w:bottom w:val="none" w:sz="0" w:space="0" w:color="auto"/>
        <w:right w:val="none" w:sz="0" w:space="0" w:color="auto"/>
      </w:divBdr>
    </w:div>
    <w:div w:id="216825249">
      <w:bodyDiv w:val="1"/>
      <w:marLeft w:val="0"/>
      <w:marRight w:val="0"/>
      <w:marTop w:val="0"/>
      <w:marBottom w:val="0"/>
      <w:divBdr>
        <w:top w:val="none" w:sz="0" w:space="0" w:color="auto"/>
        <w:left w:val="none" w:sz="0" w:space="0" w:color="auto"/>
        <w:bottom w:val="none" w:sz="0" w:space="0" w:color="auto"/>
        <w:right w:val="none" w:sz="0" w:space="0" w:color="auto"/>
      </w:divBdr>
    </w:div>
    <w:div w:id="230696540">
      <w:bodyDiv w:val="1"/>
      <w:marLeft w:val="0"/>
      <w:marRight w:val="0"/>
      <w:marTop w:val="0"/>
      <w:marBottom w:val="0"/>
      <w:divBdr>
        <w:top w:val="none" w:sz="0" w:space="0" w:color="auto"/>
        <w:left w:val="none" w:sz="0" w:space="0" w:color="auto"/>
        <w:bottom w:val="none" w:sz="0" w:space="0" w:color="auto"/>
        <w:right w:val="none" w:sz="0" w:space="0" w:color="auto"/>
      </w:divBdr>
    </w:div>
    <w:div w:id="402991974">
      <w:bodyDiv w:val="1"/>
      <w:marLeft w:val="0"/>
      <w:marRight w:val="0"/>
      <w:marTop w:val="0"/>
      <w:marBottom w:val="0"/>
      <w:divBdr>
        <w:top w:val="none" w:sz="0" w:space="0" w:color="auto"/>
        <w:left w:val="none" w:sz="0" w:space="0" w:color="auto"/>
        <w:bottom w:val="none" w:sz="0" w:space="0" w:color="auto"/>
        <w:right w:val="none" w:sz="0" w:space="0" w:color="auto"/>
      </w:divBdr>
    </w:div>
    <w:div w:id="619646364">
      <w:bodyDiv w:val="1"/>
      <w:marLeft w:val="0"/>
      <w:marRight w:val="0"/>
      <w:marTop w:val="0"/>
      <w:marBottom w:val="0"/>
      <w:divBdr>
        <w:top w:val="none" w:sz="0" w:space="0" w:color="auto"/>
        <w:left w:val="none" w:sz="0" w:space="0" w:color="auto"/>
        <w:bottom w:val="none" w:sz="0" w:space="0" w:color="auto"/>
        <w:right w:val="none" w:sz="0" w:space="0" w:color="auto"/>
      </w:divBdr>
    </w:div>
    <w:div w:id="627123701">
      <w:bodyDiv w:val="1"/>
      <w:marLeft w:val="0"/>
      <w:marRight w:val="0"/>
      <w:marTop w:val="0"/>
      <w:marBottom w:val="0"/>
      <w:divBdr>
        <w:top w:val="none" w:sz="0" w:space="0" w:color="auto"/>
        <w:left w:val="none" w:sz="0" w:space="0" w:color="auto"/>
        <w:bottom w:val="none" w:sz="0" w:space="0" w:color="auto"/>
        <w:right w:val="none" w:sz="0" w:space="0" w:color="auto"/>
      </w:divBdr>
    </w:div>
    <w:div w:id="727413449">
      <w:bodyDiv w:val="1"/>
      <w:marLeft w:val="0"/>
      <w:marRight w:val="0"/>
      <w:marTop w:val="0"/>
      <w:marBottom w:val="0"/>
      <w:divBdr>
        <w:top w:val="none" w:sz="0" w:space="0" w:color="auto"/>
        <w:left w:val="none" w:sz="0" w:space="0" w:color="auto"/>
        <w:bottom w:val="none" w:sz="0" w:space="0" w:color="auto"/>
        <w:right w:val="none" w:sz="0" w:space="0" w:color="auto"/>
      </w:divBdr>
    </w:div>
    <w:div w:id="794567514">
      <w:bodyDiv w:val="1"/>
      <w:marLeft w:val="0"/>
      <w:marRight w:val="0"/>
      <w:marTop w:val="0"/>
      <w:marBottom w:val="0"/>
      <w:divBdr>
        <w:top w:val="none" w:sz="0" w:space="0" w:color="auto"/>
        <w:left w:val="none" w:sz="0" w:space="0" w:color="auto"/>
        <w:bottom w:val="none" w:sz="0" w:space="0" w:color="auto"/>
        <w:right w:val="none" w:sz="0" w:space="0" w:color="auto"/>
      </w:divBdr>
    </w:div>
    <w:div w:id="795218992">
      <w:bodyDiv w:val="1"/>
      <w:marLeft w:val="0"/>
      <w:marRight w:val="0"/>
      <w:marTop w:val="0"/>
      <w:marBottom w:val="0"/>
      <w:divBdr>
        <w:top w:val="none" w:sz="0" w:space="0" w:color="auto"/>
        <w:left w:val="none" w:sz="0" w:space="0" w:color="auto"/>
        <w:bottom w:val="none" w:sz="0" w:space="0" w:color="auto"/>
        <w:right w:val="none" w:sz="0" w:space="0" w:color="auto"/>
      </w:divBdr>
    </w:div>
    <w:div w:id="824129145">
      <w:bodyDiv w:val="1"/>
      <w:marLeft w:val="0"/>
      <w:marRight w:val="0"/>
      <w:marTop w:val="0"/>
      <w:marBottom w:val="0"/>
      <w:divBdr>
        <w:top w:val="none" w:sz="0" w:space="0" w:color="auto"/>
        <w:left w:val="none" w:sz="0" w:space="0" w:color="auto"/>
        <w:bottom w:val="none" w:sz="0" w:space="0" w:color="auto"/>
        <w:right w:val="none" w:sz="0" w:space="0" w:color="auto"/>
      </w:divBdr>
    </w:div>
    <w:div w:id="1270627700">
      <w:bodyDiv w:val="1"/>
      <w:marLeft w:val="0"/>
      <w:marRight w:val="0"/>
      <w:marTop w:val="0"/>
      <w:marBottom w:val="0"/>
      <w:divBdr>
        <w:top w:val="none" w:sz="0" w:space="0" w:color="auto"/>
        <w:left w:val="none" w:sz="0" w:space="0" w:color="auto"/>
        <w:bottom w:val="none" w:sz="0" w:space="0" w:color="auto"/>
        <w:right w:val="none" w:sz="0" w:space="0" w:color="auto"/>
      </w:divBdr>
    </w:div>
    <w:div w:id="1323779588">
      <w:bodyDiv w:val="1"/>
      <w:marLeft w:val="0"/>
      <w:marRight w:val="0"/>
      <w:marTop w:val="0"/>
      <w:marBottom w:val="0"/>
      <w:divBdr>
        <w:top w:val="none" w:sz="0" w:space="0" w:color="auto"/>
        <w:left w:val="none" w:sz="0" w:space="0" w:color="auto"/>
        <w:bottom w:val="none" w:sz="0" w:space="0" w:color="auto"/>
        <w:right w:val="none" w:sz="0" w:space="0" w:color="auto"/>
      </w:divBdr>
    </w:div>
    <w:div w:id="1361973245">
      <w:bodyDiv w:val="1"/>
      <w:marLeft w:val="0"/>
      <w:marRight w:val="0"/>
      <w:marTop w:val="0"/>
      <w:marBottom w:val="0"/>
      <w:divBdr>
        <w:top w:val="none" w:sz="0" w:space="0" w:color="auto"/>
        <w:left w:val="none" w:sz="0" w:space="0" w:color="auto"/>
        <w:bottom w:val="none" w:sz="0" w:space="0" w:color="auto"/>
        <w:right w:val="none" w:sz="0" w:space="0" w:color="auto"/>
      </w:divBdr>
    </w:div>
    <w:div w:id="1448620442">
      <w:bodyDiv w:val="1"/>
      <w:marLeft w:val="0"/>
      <w:marRight w:val="0"/>
      <w:marTop w:val="0"/>
      <w:marBottom w:val="0"/>
      <w:divBdr>
        <w:top w:val="none" w:sz="0" w:space="0" w:color="auto"/>
        <w:left w:val="none" w:sz="0" w:space="0" w:color="auto"/>
        <w:bottom w:val="none" w:sz="0" w:space="0" w:color="auto"/>
        <w:right w:val="none" w:sz="0" w:space="0" w:color="auto"/>
      </w:divBdr>
    </w:div>
    <w:div w:id="1455489452">
      <w:bodyDiv w:val="1"/>
      <w:marLeft w:val="0"/>
      <w:marRight w:val="0"/>
      <w:marTop w:val="0"/>
      <w:marBottom w:val="0"/>
      <w:divBdr>
        <w:top w:val="none" w:sz="0" w:space="0" w:color="auto"/>
        <w:left w:val="none" w:sz="0" w:space="0" w:color="auto"/>
        <w:bottom w:val="none" w:sz="0" w:space="0" w:color="auto"/>
        <w:right w:val="none" w:sz="0" w:space="0" w:color="auto"/>
      </w:divBdr>
      <w:divsChild>
        <w:div w:id="119305610">
          <w:marLeft w:val="0"/>
          <w:marRight w:val="0"/>
          <w:marTop w:val="0"/>
          <w:marBottom w:val="225"/>
          <w:divBdr>
            <w:top w:val="none" w:sz="0" w:space="0" w:color="auto"/>
            <w:left w:val="none" w:sz="0" w:space="0" w:color="auto"/>
            <w:bottom w:val="none" w:sz="0" w:space="0" w:color="auto"/>
            <w:right w:val="none" w:sz="0" w:space="0" w:color="auto"/>
          </w:divBdr>
          <w:divsChild>
            <w:div w:id="1861309479">
              <w:marLeft w:val="0"/>
              <w:marRight w:val="0"/>
              <w:marTop w:val="0"/>
              <w:marBottom w:val="0"/>
              <w:divBdr>
                <w:top w:val="none" w:sz="0" w:space="0" w:color="auto"/>
                <w:left w:val="none" w:sz="0" w:space="0" w:color="auto"/>
                <w:bottom w:val="none" w:sz="0" w:space="0" w:color="auto"/>
                <w:right w:val="none" w:sz="0" w:space="0" w:color="auto"/>
              </w:divBdr>
            </w:div>
            <w:div w:id="21468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6208">
      <w:bodyDiv w:val="1"/>
      <w:marLeft w:val="0"/>
      <w:marRight w:val="0"/>
      <w:marTop w:val="0"/>
      <w:marBottom w:val="0"/>
      <w:divBdr>
        <w:top w:val="none" w:sz="0" w:space="0" w:color="auto"/>
        <w:left w:val="none" w:sz="0" w:space="0" w:color="auto"/>
        <w:bottom w:val="none" w:sz="0" w:space="0" w:color="auto"/>
        <w:right w:val="none" w:sz="0" w:space="0" w:color="auto"/>
      </w:divBdr>
    </w:div>
    <w:div w:id="1731616825">
      <w:bodyDiv w:val="1"/>
      <w:marLeft w:val="0"/>
      <w:marRight w:val="0"/>
      <w:marTop w:val="0"/>
      <w:marBottom w:val="0"/>
      <w:divBdr>
        <w:top w:val="none" w:sz="0" w:space="0" w:color="auto"/>
        <w:left w:val="none" w:sz="0" w:space="0" w:color="auto"/>
        <w:bottom w:val="none" w:sz="0" w:space="0" w:color="auto"/>
        <w:right w:val="none" w:sz="0" w:space="0" w:color="auto"/>
      </w:divBdr>
    </w:div>
    <w:div w:id="1784107782">
      <w:bodyDiv w:val="1"/>
      <w:marLeft w:val="0"/>
      <w:marRight w:val="0"/>
      <w:marTop w:val="0"/>
      <w:marBottom w:val="0"/>
      <w:divBdr>
        <w:top w:val="none" w:sz="0" w:space="0" w:color="auto"/>
        <w:left w:val="none" w:sz="0" w:space="0" w:color="auto"/>
        <w:bottom w:val="none" w:sz="0" w:space="0" w:color="auto"/>
        <w:right w:val="none" w:sz="0" w:space="0" w:color="auto"/>
      </w:divBdr>
    </w:div>
    <w:div w:id="1855724112">
      <w:bodyDiv w:val="1"/>
      <w:marLeft w:val="0"/>
      <w:marRight w:val="0"/>
      <w:marTop w:val="0"/>
      <w:marBottom w:val="0"/>
      <w:divBdr>
        <w:top w:val="none" w:sz="0" w:space="0" w:color="auto"/>
        <w:left w:val="none" w:sz="0" w:space="0" w:color="auto"/>
        <w:bottom w:val="none" w:sz="0" w:space="0" w:color="auto"/>
        <w:right w:val="none" w:sz="0" w:space="0" w:color="auto"/>
      </w:divBdr>
    </w:div>
    <w:div w:id="1987083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je.tre-sp.jus.br/pje/Processo/ConsultaProcesso/Detalhe/listAutosDigitais.seam?idProcesso=34178&amp;ca=cbb0ad4c29a8a6532a4dffab3d74416047bbc8c27411c0aa537ceb81f52d2b40d5781e001efb853133b9a4e5094dabe0a002c964d644ca7748de297eab531f9a&amp;idTaskInstance=293511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EFB6E-A3E6-4710-A7C3-24CD2D307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22</Pages>
  <Words>5737</Words>
  <Characters>30982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Tribunal Regional Eleitoral de São Paulo</Company>
  <LinksUpToDate>false</LinksUpToDate>
  <CharactersWithSpaces>36646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dc:creator>
  <dc:description/>
  <cp:lastModifiedBy>AFONSO CELSO DA SILVA</cp:lastModifiedBy>
  <cp:revision>183</cp:revision>
  <dcterms:created xsi:type="dcterms:W3CDTF">2022-08-22T18:44:00Z</dcterms:created>
  <dcterms:modified xsi:type="dcterms:W3CDTF">2022-11-08T19:24:00Z</dcterms:modified>
  <dc:language>pt-BR</dc:language>
</cp:coreProperties>
</file>