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89A4" w14:textId="0F7F6863" w:rsidR="00122505" w:rsidRPr="00122505" w:rsidRDefault="00122505" w:rsidP="00D6244D">
      <w:pPr>
        <w:spacing w:line="240" w:lineRule="auto"/>
        <w:ind w:firstLine="1701"/>
        <w:jc w:val="both"/>
        <w:rPr>
          <w:b/>
          <w:bCs/>
          <w:sz w:val="24"/>
          <w:szCs w:val="24"/>
        </w:rPr>
      </w:pPr>
      <w:r w:rsidRPr="00122505">
        <w:rPr>
          <w:b/>
          <w:bCs/>
          <w:sz w:val="24"/>
          <w:szCs w:val="24"/>
        </w:rPr>
        <w:t>O SFH E O REGISTRO ELETRÔNICO IMOBILIÁRIO</w:t>
      </w:r>
    </w:p>
    <w:p w14:paraId="0910B7D1" w14:textId="77777777" w:rsidR="00122505" w:rsidRDefault="00122505" w:rsidP="00D6244D">
      <w:pPr>
        <w:spacing w:line="240" w:lineRule="auto"/>
        <w:ind w:firstLine="1701"/>
        <w:jc w:val="both"/>
        <w:rPr>
          <w:sz w:val="24"/>
          <w:szCs w:val="24"/>
        </w:rPr>
      </w:pPr>
    </w:p>
    <w:p w14:paraId="2B98E849" w14:textId="028A2742" w:rsidR="00D6244D" w:rsidRDefault="00D6244D" w:rsidP="00D6244D">
      <w:pPr>
        <w:spacing w:line="24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registro eletrônico imobiliário tornou-se uma imposição legal através da Lei nº 11.977 de 2009, o mesmo dispositivo legal que criou o Programa Minha Casa Minha Vida, com o objetivo de modernizar o sistema registral imobiliário, contando com iniciativas como a que partiu dos </w:t>
      </w:r>
      <w:r w:rsidRPr="00055B47">
        <w:rPr>
          <w:sz w:val="24"/>
          <w:szCs w:val="24"/>
        </w:rPr>
        <w:t xml:space="preserve">Registradores do Estado de São Paulo do modelo que vinha sendo concebido em parceria com o próprio Poder Judiciário, </w:t>
      </w:r>
      <w:r>
        <w:rPr>
          <w:sz w:val="24"/>
          <w:szCs w:val="24"/>
        </w:rPr>
        <w:t xml:space="preserve">viabilizando que as </w:t>
      </w:r>
      <w:r w:rsidRPr="00055B47">
        <w:rPr>
          <w:sz w:val="24"/>
          <w:szCs w:val="24"/>
        </w:rPr>
        <w:t>instituições integrantes do SFH e do SFI</w:t>
      </w:r>
      <w:r>
        <w:rPr>
          <w:sz w:val="24"/>
          <w:szCs w:val="24"/>
        </w:rPr>
        <w:t xml:space="preserve"> passassem a promover o registro eletrônico mediante extrato do contrato, emitido sob a forma de documento estruturado.</w:t>
      </w:r>
    </w:p>
    <w:p w14:paraId="241411FC" w14:textId="77777777" w:rsidR="00D6244D" w:rsidRPr="002959F0" w:rsidRDefault="00D6244D" w:rsidP="00D6244D">
      <w:pPr>
        <w:spacing w:line="240" w:lineRule="auto"/>
        <w:ind w:firstLine="1701"/>
        <w:jc w:val="both"/>
        <w:rPr>
          <w:vanish/>
          <w:sz w:val="24"/>
          <w:szCs w:val="24"/>
          <w:specVanish/>
        </w:rPr>
      </w:pPr>
      <w:r w:rsidRPr="00497ACA">
        <w:rPr>
          <w:sz w:val="24"/>
          <w:szCs w:val="24"/>
        </w:rPr>
        <w:t xml:space="preserve">Essa iniciativa se mostrou alinhada ao princípio que norteou a autorização legal dada às instituições do SFH </w:t>
      </w:r>
      <w:r>
        <w:rPr>
          <w:sz w:val="24"/>
          <w:szCs w:val="24"/>
        </w:rPr>
        <w:t xml:space="preserve">pela Lei nº 4.380 de 2 de agosto de 1964 </w:t>
      </w:r>
      <w:r w:rsidRPr="00497ACA">
        <w:rPr>
          <w:sz w:val="24"/>
          <w:szCs w:val="24"/>
        </w:rPr>
        <w:t>e do SFI</w:t>
      </w:r>
      <w:r>
        <w:rPr>
          <w:sz w:val="24"/>
          <w:szCs w:val="24"/>
        </w:rPr>
        <w:t xml:space="preserve"> pela Lei nº 9.514 de 20 de novembro de 1997,</w:t>
      </w:r>
      <w:r w:rsidRPr="00497ACA">
        <w:rPr>
          <w:sz w:val="24"/>
          <w:szCs w:val="24"/>
        </w:rPr>
        <w:t xml:space="preserve"> de utilização de instrumentos particulares que formalizam a aquisição do imóvel, a concessão do financiamento ou do empréstimo e a garantia real perante os Registros Imobiliários, que nesses quase 60 anos tem sido de fundamental valia para redução dos custos de formalização em benefício do tomador do crédito. </w:t>
      </w:r>
    </w:p>
    <w:p w14:paraId="3102C5BE" w14:textId="77777777" w:rsidR="00D6244D" w:rsidRDefault="00D6244D" w:rsidP="00D6244D">
      <w:pPr>
        <w:spacing w:line="24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68D1A7" w14:textId="77777777" w:rsidR="00D6244D" w:rsidRPr="0098099C" w:rsidRDefault="00D6244D" w:rsidP="00D6244D">
      <w:pPr>
        <w:spacing w:line="240" w:lineRule="auto"/>
        <w:ind w:firstLine="1701"/>
        <w:jc w:val="both"/>
        <w:rPr>
          <w:sz w:val="24"/>
          <w:szCs w:val="24"/>
        </w:rPr>
      </w:pPr>
      <w:r w:rsidRPr="0098099C">
        <w:rPr>
          <w:sz w:val="24"/>
          <w:szCs w:val="24"/>
        </w:rPr>
        <w:t>Enfim, os textos legais mencionados, seja criando Sistemas como o SFH e o SFI, ou mesmo Programas Habitacionais, como o MCMV, convergem para algo comum a todos eles, que se convencionou denominar “o sonho da casa própria”.</w:t>
      </w:r>
    </w:p>
    <w:p w14:paraId="1A3FE663" w14:textId="77777777" w:rsidR="00D6244D" w:rsidRPr="0098099C" w:rsidRDefault="00D6244D" w:rsidP="00D6244D">
      <w:pPr>
        <w:spacing w:line="240" w:lineRule="auto"/>
        <w:ind w:firstLine="1701"/>
        <w:jc w:val="both"/>
        <w:rPr>
          <w:sz w:val="24"/>
          <w:szCs w:val="24"/>
        </w:rPr>
      </w:pPr>
      <w:r w:rsidRPr="0098099C">
        <w:rPr>
          <w:sz w:val="24"/>
          <w:szCs w:val="24"/>
        </w:rPr>
        <w:t>Adquirir a moradia destinada ao abrigo familiar é uma prioridade para os brasileiros de todos os níveis sociais e econômicos. Representa um objetivo arraigado culturalmente em nossa população, incorporado na ordem constitucional promulgada em 1988 onde a moradia foi consagrada como um dos direitos fundamentais.</w:t>
      </w:r>
    </w:p>
    <w:p w14:paraId="20761AF7" w14:textId="77777777" w:rsidR="00D6244D" w:rsidRPr="0098099C" w:rsidRDefault="00D6244D" w:rsidP="00D6244D">
      <w:pPr>
        <w:spacing w:line="240" w:lineRule="auto"/>
        <w:ind w:firstLine="1701"/>
        <w:jc w:val="both"/>
        <w:rPr>
          <w:sz w:val="24"/>
          <w:szCs w:val="24"/>
        </w:rPr>
      </w:pPr>
      <w:r w:rsidRPr="0098099C">
        <w:rPr>
          <w:sz w:val="24"/>
          <w:szCs w:val="24"/>
        </w:rPr>
        <w:t>Porém, nossa realidade econômica e as desigualdades sociais impõem medidas que resultem na redução de custos e agilidade nos procedimentos destinados a concretizar o sonho da aquisição da moradia.</w:t>
      </w:r>
    </w:p>
    <w:p w14:paraId="6DF535A4" w14:textId="77777777" w:rsidR="00D6244D" w:rsidRPr="00497ACA" w:rsidRDefault="00D6244D" w:rsidP="00D6244D">
      <w:pPr>
        <w:spacing w:line="240" w:lineRule="auto"/>
        <w:ind w:firstLine="1701"/>
        <w:jc w:val="both"/>
        <w:rPr>
          <w:sz w:val="24"/>
          <w:szCs w:val="24"/>
        </w:rPr>
      </w:pPr>
      <w:r w:rsidRPr="00497ACA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setor financeiro e o </w:t>
      </w:r>
      <w:r w:rsidRPr="00497ACA">
        <w:rPr>
          <w:sz w:val="24"/>
          <w:szCs w:val="24"/>
        </w:rPr>
        <w:t>mercado</w:t>
      </w:r>
      <w:r>
        <w:rPr>
          <w:sz w:val="24"/>
          <w:szCs w:val="24"/>
        </w:rPr>
        <w:t xml:space="preserve"> imobiliário</w:t>
      </w:r>
      <w:r w:rsidRPr="00497ACA">
        <w:rPr>
          <w:sz w:val="24"/>
          <w:szCs w:val="24"/>
        </w:rPr>
        <w:t xml:space="preserve"> reagi</w:t>
      </w:r>
      <w:r>
        <w:rPr>
          <w:sz w:val="24"/>
          <w:szCs w:val="24"/>
        </w:rPr>
        <w:t>ram</w:t>
      </w:r>
      <w:r w:rsidRPr="00497ACA">
        <w:rPr>
          <w:sz w:val="24"/>
          <w:szCs w:val="24"/>
        </w:rPr>
        <w:t xml:space="preserve"> positivamente ao projeto do registro </w:t>
      </w:r>
      <w:r>
        <w:rPr>
          <w:sz w:val="24"/>
          <w:szCs w:val="24"/>
        </w:rPr>
        <w:t>eletrônico</w:t>
      </w:r>
      <w:r w:rsidRPr="00497ACA">
        <w:rPr>
          <w:sz w:val="24"/>
          <w:szCs w:val="24"/>
        </w:rPr>
        <w:t xml:space="preserve"> com uso do Extrato, com iniciativas de desenvolvimento de sistemas para conexão com a plataforma dos registradores de São Paulo. Muitas operações de crédito imobiliário foram</w:t>
      </w:r>
      <w:r>
        <w:rPr>
          <w:sz w:val="24"/>
          <w:szCs w:val="24"/>
        </w:rPr>
        <w:t xml:space="preserve"> e prosseguem sendo</w:t>
      </w:r>
      <w:r w:rsidRPr="00497ACA">
        <w:rPr>
          <w:sz w:val="24"/>
          <w:szCs w:val="24"/>
        </w:rPr>
        <w:t xml:space="preserve"> registradas por meio da utilização do Extrato</w:t>
      </w:r>
      <w:r>
        <w:rPr>
          <w:sz w:val="24"/>
          <w:szCs w:val="24"/>
        </w:rPr>
        <w:t>.</w:t>
      </w:r>
    </w:p>
    <w:p w14:paraId="7317D274" w14:textId="77777777" w:rsidR="00D6244D" w:rsidRDefault="00D6244D" w:rsidP="00D6244D">
      <w:pPr>
        <w:spacing w:line="24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No plano federal, a implantação do registro eletrônico imobiliário evoluiu com a edição da Lei nº</w:t>
      </w:r>
      <w:r w:rsidRPr="00497ACA">
        <w:rPr>
          <w:sz w:val="24"/>
          <w:szCs w:val="24"/>
        </w:rPr>
        <w:t xml:space="preserve"> 13.465, de 11 de julho de 201</w:t>
      </w:r>
      <w:r>
        <w:rPr>
          <w:sz w:val="24"/>
          <w:szCs w:val="24"/>
        </w:rPr>
        <w:t>7</w:t>
      </w:r>
      <w:r w:rsidRPr="00497AC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que criou o </w:t>
      </w:r>
      <w:r w:rsidRPr="00D01494">
        <w:rPr>
          <w:sz w:val="24"/>
          <w:szCs w:val="24"/>
        </w:rPr>
        <w:t>Operador Nacional do Sistema de Registro Eletrônico de Imóveis (ONR)</w:t>
      </w:r>
      <w:r>
        <w:rPr>
          <w:sz w:val="24"/>
          <w:szCs w:val="24"/>
        </w:rPr>
        <w:t>, como órgão</w:t>
      </w:r>
      <w:r w:rsidRPr="00497ACA">
        <w:rPr>
          <w:sz w:val="24"/>
          <w:szCs w:val="24"/>
        </w:rPr>
        <w:t xml:space="preserve"> autônomo, vincula</w:t>
      </w:r>
      <w:r>
        <w:rPr>
          <w:sz w:val="24"/>
          <w:szCs w:val="24"/>
        </w:rPr>
        <w:t>ndo</w:t>
      </w:r>
      <w:r w:rsidRPr="00497ACA">
        <w:rPr>
          <w:sz w:val="24"/>
          <w:szCs w:val="24"/>
        </w:rPr>
        <w:t xml:space="preserve"> todas as serventias imobiliárias do País, regulado e fiscalizado pel</w:t>
      </w:r>
      <w:r>
        <w:rPr>
          <w:sz w:val="24"/>
          <w:szCs w:val="24"/>
        </w:rPr>
        <w:t>a</w:t>
      </w:r>
      <w:r w:rsidRPr="00497ACA">
        <w:rPr>
          <w:sz w:val="24"/>
          <w:szCs w:val="24"/>
        </w:rPr>
        <w:t xml:space="preserve"> Corregedoria do Conselho Nacional de Justiça</w:t>
      </w:r>
      <w:r>
        <w:rPr>
          <w:sz w:val="24"/>
          <w:szCs w:val="24"/>
        </w:rPr>
        <w:t>.</w:t>
      </w:r>
    </w:p>
    <w:p w14:paraId="73F1B256" w14:textId="0602F0F8" w:rsidR="00D6244D" w:rsidRDefault="00D6244D" w:rsidP="00D6244D">
      <w:pPr>
        <w:spacing w:line="240" w:lineRule="auto"/>
        <w:ind w:firstLine="1701"/>
        <w:jc w:val="both"/>
        <w:rPr>
          <w:sz w:val="24"/>
          <w:szCs w:val="24"/>
        </w:rPr>
      </w:pPr>
      <w:bookmarkStart w:id="0" w:name="_Hlk136352374"/>
      <w:r>
        <w:rPr>
          <w:sz w:val="24"/>
          <w:szCs w:val="24"/>
        </w:rPr>
        <w:t xml:space="preserve">Recentemente, através da </w:t>
      </w:r>
      <w:r w:rsidRPr="00497ACA">
        <w:rPr>
          <w:sz w:val="24"/>
          <w:szCs w:val="24"/>
        </w:rPr>
        <w:t>Lei nº 14.382, de 27 de junho de 2022</w:t>
      </w:r>
      <w:r w:rsidRPr="00CA3B3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</w:t>
      </w:r>
      <w:r w:rsidRPr="000D6E8B">
        <w:rPr>
          <w:rFonts w:cstheme="minorHAnsi"/>
          <w:sz w:val="24"/>
          <w:szCs w:val="24"/>
        </w:rPr>
        <w:t>esultante da Medida Provisória nº 1.085</w:t>
      </w:r>
      <w:r>
        <w:rPr>
          <w:sz w:val="24"/>
          <w:szCs w:val="24"/>
        </w:rPr>
        <w:t xml:space="preserve">, mantido o propósito de modernizar a atuação dos registros públicos em meio eletrônico, foram introduzidas importantes alterações legais no sentido </w:t>
      </w:r>
      <w:r w:rsidR="008C326B">
        <w:rPr>
          <w:sz w:val="24"/>
          <w:szCs w:val="24"/>
        </w:rPr>
        <w:t xml:space="preserve">de </w:t>
      </w:r>
      <w:r w:rsidRPr="00497ACA">
        <w:rPr>
          <w:sz w:val="24"/>
          <w:szCs w:val="24"/>
        </w:rPr>
        <w:t>conferir maior segurança jurídica e agilidade na formalização dos negócios imobiliários</w:t>
      </w:r>
      <w:r>
        <w:rPr>
          <w:sz w:val="24"/>
          <w:szCs w:val="24"/>
        </w:rPr>
        <w:t xml:space="preserve">, compreendendo a </w:t>
      </w:r>
      <w:r w:rsidRPr="00497ACA">
        <w:rPr>
          <w:sz w:val="24"/>
          <w:szCs w:val="24"/>
        </w:rPr>
        <w:t>utilização de Extrato para tais finalidades</w:t>
      </w:r>
      <w:r>
        <w:rPr>
          <w:sz w:val="24"/>
          <w:szCs w:val="24"/>
        </w:rPr>
        <w:t xml:space="preserve"> e </w:t>
      </w:r>
      <w:r w:rsidRPr="00497ACA">
        <w:rPr>
          <w:sz w:val="24"/>
          <w:szCs w:val="24"/>
        </w:rPr>
        <w:t xml:space="preserve">principalmente por representar a consolidação da evolução </w:t>
      </w:r>
      <w:r>
        <w:rPr>
          <w:sz w:val="24"/>
          <w:szCs w:val="24"/>
        </w:rPr>
        <w:t>já bem sucedida no</w:t>
      </w:r>
      <w:r w:rsidRPr="00497ACA">
        <w:rPr>
          <w:sz w:val="24"/>
          <w:szCs w:val="24"/>
        </w:rPr>
        <w:t xml:space="preserve"> registro </w:t>
      </w:r>
      <w:r w:rsidRPr="00497ACA">
        <w:rPr>
          <w:sz w:val="24"/>
          <w:szCs w:val="24"/>
        </w:rPr>
        <w:lastRenderedPageBreak/>
        <w:t>eletrônico imobiliário, contando com a competente normatização já editada pel</w:t>
      </w:r>
      <w:r>
        <w:rPr>
          <w:sz w:val="24"/>
          <w:szCs w:val="24"/>
        </w:rPr>
        <w:t xml:space="preserve">a </w:t>
      </w:r>
      <w:r w:rsidRPr="00497ACA">
        <w:rPr>
          <w:sz w:val="24"/>
          <w:szCs w:val="24"/>
        </w:rPr>
        <w:t>C</w:t>
      </w:r>
      <w:r>
        <w:rPr>
          <w:sz w:val="24"/>
          <w:szCs w:val="24"/>
        </w:rPr>
        <w:t>orregedoria Nacional de Justiça (CNJ).</w:t>
      </w:r>
    </w:p>
    <w:bookmarkEnd w:id="0"/>
    <w:p w14:paraId="0E7DCD2B" w14:textId="6ECE73D4" w:rsidR="00D6244D" w:rsidRPr="000D6E8B" w:rsidRDefault="00D6244D" w:rsidP="00D6244D">
      <w:pPr>
        <w:spacing w:line="240" w:lineRule="auto"/>
        <w:ind w:firstLine="170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Através </w:t>
      </w:r>
      <w:r w:rsidR="008C326B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ei nº 14.382</w:t>
      </w:r>
      <w:r w:rsidRPr="000D6E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foram promovidas</w:t>
      </w:r>
      <w:r w:rsidRPr="000D6E8B">
        <w:rPr>
          <w:rFonts w:cstheme="minorHAnsi"/>
          <w:sz w:val="24"/>
          <w:szCs w:val="24"/>
        </w:rPr>
        <w:t xml:space="preserve"> significativas alterações na legislação relativa a registros públicos, especialmente para sua formalização por meio eletrônico, visando maior rapidez e menor custo, sem prejuízo da segurança jurídica. Tal como constou de seu art. 1º, essa lei</w:t>
      </w:r>
      <w:r>
        <w:rPr>
          <w:rFonts w:cstheme="minorHAnsi"/>
          <w:sz w:val="24"/>
          <w:szCs w:val="24"/>
        </w:rPr>
        <w:t xml:space="preserve"> tem como principal objetivo</w:t>
      </w:r>
      <w:r w:rsidRPr="000D6E8B">
        <w:rPr>
          <w:rFonts w:cstheme="minorHAnsi"/>
          <w:sz w:val="24"/>
          <w:szCs w:val="24"/>
        </w:rPr>
        <w:t xml:space="preserve"> </w:t>
      </w:r>
      <w:r w:rsidRPr="000D6E8B">
        <w:rPr>
          <w:rFonts w:cstheme="minorHAnsi"/>
          <w:color w:val="000000"/>
          <w:sz w:val="24"/>
          <w:szCs w:val="24"/>
        </w:rPr>
        <w:t>moderniza</w:t>
      </w:r>
      <w:r>
        <w:rPr>
          <w:rFonts w:cstheme="minorHAnsi"/>
          <w:color w:val="000000"/>
          <w:sz w:val="24"/>
          <w:szCs w:val="24"/>
        </w:rPr>
        <w:t>r</w:t>
      </w:r>
      <w:r w:rsidRPr="000D6E8B">
        <w:rPr>
          <w:rFonts w:cstheme="minorHAnsi"/>
          <w:color w:val="000000"/>
          <w:sz w:val="24"/>
          <w:szCs w:val="24"/>
        </w:rPr>
        <w:t xml:space="preserve"> e simplifica</w:t>
      </w:r>
      <w:r>
        <w:rPr>
          <w:rFonts w:cstheme="minorHAnsi"/>
          <w:color w:val="000000"/>
          <w:sz w:val="24"/>
          <w:szCs w:val="24"/>
        </w:rPr>
        <w:t>r</w:t>
      </w:r>
      <w:r w:rsidRPr="000D6E8B">
        <w:rPr>
          <w:rFonts w:cstheme="minorHAnsi"/>
          <w:color w:val="000000"/>
          <w:sz w:val="24"/>
          <w:szCs w:val="24"/>
        </w:rPr>
        <w:t xml:space="preserve"> os procedimentos relativos aos registros públicos</w:t>
      </w:r>
      <w:r>
        <w:rPr>
          <w:rFonts w:cstheme="minorHAnsi"/>
          <w:color w:val="000000"/>
          <w:sz w:val="24"/>
          <w:szCs w:val="24"/>
        </w:rPr>
        <w:t xml:space="preserve"> visando</w:t>
      </w:r>
      <w:r w:rsidRPr="000D6E8B">
        <w:rPr>
          <w:rFonts w:cstheme="minorHAnsi"/>
          <w:color w:val="000000"/>
          <w:sz w:val="24"/>
          <w:szCs w:val="24"/>
        </w:rPr>
        <w:t xml:space="preserve"> atos e negócios jurídicos.</w:t>
      </w:r>
    </w:p>
    <w:p w14:paraId="0B34B34E" w14:textId="77777777" w:rsidR="00D6244D" w:rsidRPr="000D6E8B" w:rsidRDefault="00D6244D" w:rsidP="00D6244D">
      <w:pPr>
        <w:spacing w:line="240" w:lineRule="auto"/>
        <w:ind w:firstLine="1701"/>
        <w:jc w:val="both"/>
        <w:rPr>
          <w:rFonts w:cstheme="minorHAnsi"/>
          <w:color w:val="000000"/>
          <w:sz w:val="24"/>
          <w:szCs w:val="24"/>
        </w:rPr>
      </w:pPr>
      <w:r w:rsidRPr="000D6E8B">
        <w:rPr>
          <w:rFonts w:cstheme="minorHAnsi"/>
          <w:color w:val="000000"/>
          <w:sz w:val="24"/>
          <w:szCs w:val="24"/>
        </w:rPr>
        <w:t>Dentre as alterações de maior impacto, est</w:t>
      </w:r>
      <w:r>
        <w:rPr>
          <w:rFonts w:cstheme="minorHAnsi"/>
          <w:color w:val="000000"/>
          <w:sz w:val="24"/>
          <w:szCs w:val="24"/>
        </w:rPr>
        <w:t>á</w:t>
      </w:r>
      <w:r w:rsidRPr="000D6E8B">
        <w:rPr>
          <w:rFonts w:cstheme="minorHAnsi"/>
          <w:color w:val="000000"/>
          <w:sz w:val="24"/>
          <w:szCs w:val="24"/>
        </w:rPr>
        <w:t xml:space="preserve"> a criação do Sistema Eletrônico dos Registros Públicos (SERP) para implementação do registro público eletrônico, via atendimento remoto </w:t>
      </w:r>
      <w:r>
        <w:rPr>
          <w:rFonts w:cstheme="minorHAnsi"/>
          <w:color w:val="000000"/>
          <w:sz w:val="24"/>
          <w:szCs w:val="24"/>
        </w:rPr>
        <w:t>a</w:t>
      </w:r>
      <w:r w:rsidRPr="000D6E8B">
        <w:rPr>
          <w:rFonts w:cstheme="minorHAnsi"/>
          <w:color w:val="000000"/>
          <w:sz w:val="24"/>
          <w:szCs w:val="24"/>
        </w:rPr>
        <w:t>os usuários de todas as serventias dos registros públicos, sua interconexão para efeito de recepção, bem como o envio de documentos e títulos, expedição de certidões e a prestação de informações, em formato eletrônico.</w:t>
      </w:r>
    </w:p>
    <w:p w14:paraId="7FCF7227" w14:textId="77777777" w:rsidR="00D6244D" w:rsidRPr="000D6E8B" w:rsidRDefault="00D6244D" w:rsidP="00D6244D">
      <w:pPr>
        <w:spacing w:line="240" w:lineRule="auto"/>
        <w:ind w:firstLine="1701"/>
        <w:jc w:val="both"/>
        <w:rPr>
          <w:rFonts w:cstheme="minorHAnsi"/>
          <w:color w:val="000000"/>
          <w:sz w:val="24"/>
          <w:szCs w:val="24"/>
        </w:rPr>
      </w:pPr>
      <w:r w:rsidRPr="000D6E8B">
        <w:rPr>
          <w:rFonts w:cstheme="minorHAnsi"/>
          <w:color w:val="000000"/>
          <w:sz w:val="24"/>
          <w:szCs w:val="24"/>
        </w:rPr>
        <w:t>Outra inovação constou de seu art. 6º, que trata da criação de extratos dos instrumentos contratuais celebrados, em formato eletrônico estruturado, para registro ou averbação de fatos, de atos e de negócios jurídicos, como documentos hábeis enviados aos registradores públicos para promoverem os atos que decorrerem dos respectivos instrumentos.</w:t>
      </w:r>
    </w:p>
    <w:p w14:paraId="545B328F" w14:textId="710C2A24" w:rsidR="00D6244D" w:rsidRPr="000D6E8B" w:rsidRDefault="00D6244D" w:rsidP="00D6244D">
      <w:pPr>
        <w:spacing w:line="240" w:lineRule="auto"/>
        <w:ind w:firstLine="1701"/>
        <w:jc w:val="both"/>
        <w:rPr>
          <w:rFonts w:cstheme="minorHAnsi"/>
          <w:color w:val="000000"/>
          <w:sz w:val="24"/>
          <w:szCs w:val="24"/>
        </w:rPr>
      </w:pPr>
      <w:bookmarkStart w:id="1" w:name="_Hlk136352525"/>
      <w:r w:rsidRPr="000D6E8B">
        <w:rPr>
          <w:rFonts w:cstheme="minorHAnsi"/>
          <w:color w:val="000000"/>
          <w:sz w:val="24"/>
          <w:szCs w:val="24"/>
        </w:rPr>
        <w:t xml:space="preserve">Para efeito de qualificação registral, o </w:t>
      </w:r>
      <w:r>
        <w:rPr>
          <w:rFonts w:cstheme="minorHAnsi"/>
          <w:color w:val="000000"/>
          <w:sz w:val="24"/>
          <w:szCs w:val="24"/>
        </w:rPr>
        <w:t>e</w:t>
      </w:r>
      <w:r w:rsidRPr="000D6E8B">
        <w:rPr>
          <w:rFonts w:cstheme="minorHAnsi"/>
          <w:color w:val="000000"/>
          <w:sz w:val="24"/>
          <w:szCs w:val="24"/>
        </w:rPr>
        <w:t>xtrato substitui o contrato que, por sua vez, poderá ter sua integra facultativamente arquivada pelo registrador público por requerimento da parte interessada</w:t>
      </w:r>
      <w:r w:rsidR="00343B7E">
        <w:rPr>
          <w:rFonts w:cstheme="minorHAnsi"/>
          <w:color w:val="000000"/>
          <w:sz w:val="24"/>
          <w:szCs w:val="24"/>
        </w:rPr>
        <w:t>,</w:t>
      </w:r>
      <w:r w:rsidR="00343B7E" w:rsidRPr="00343B7E">
        <w:t xml:space="preserve"> </w:t>
      </w:r>
      <w:r w:rsidR="00CD40BA" w:rsidRPr="00CD40BA">
        <w:rPr>
          <w:rFonts w:cstheme="minorHAnsi"/>
          <w:color w:val="000000"/>
          <w:sz w:val="24"/>
          <w:szCs w:val="24"/>
        </w:rPr>
        <w:t>quando esta for instituição financeira que atue com crédito imobiliário</w:t>
      </w:r>
      <w:r w:rsidR="00343B7E" w:rsidRPr="00343B7E">
        <w:rPr>
          <w:rFonts w:cstheme="minorHAnsi"/>
          <w:color w:val="000000"/>
          <w:sz w:val="24"/>
          <w:szCs w:val="24"/>
        </w:rPr>
        <w:t>, autorizada a celebrar instrumentos particulares com caráter de escritura pública, que dever</w:t>
      </w:r>
      <w:r w:rsidR="00CD40BA">
        <w:rPr>
          <w:rFonts w:cstheme="minorHAnsi"/>
          <w:color w:val="000000"/>
          <w:sz w:val="24"/>
          <w:szCs w:val="24"/>
        </w:rPr>
        <w:t>á</w:t>
      </w:r>
      <w:r w:rsidR="00343B7E" w:rsidRPr="00343B7E">
        <w:rPr>
          <w:rFonts w:cstheme="minorHAnsi"/>
          <w:color w:val="000000"/>
          <w:sz w:val="24"/>
          <w:szCs w:val="24"/>
        </w:rPr>
        <w:t xml:space="preserve"> arquivar o instrumento contratual em pasta própria</w:t>
      </w:r>
      <w:r w:rsidRPr="000D6E8B">
        <w:rPr>
          <w:rFonts w:cstheme="minorHAnsi"/>
          <w:color w:val="000000"/>
          <w:sz w:val="24"/>
          <w:szCs w:val="24"/>
        </w:rPr>
        <w:t>.</w:t>
      </w:r>
    </w:p>
    <w:bookmarkEnd w:id="1"/>
    <w:p w14:paraId="49AF8379" w14:textId="77777777" w:rsidR="00D6244D" w:rsidRPr="000D6E8B" w:rsidRDefault="00D6244D" w:rsidP="00D6244D">
      <w:pPr>
        <w:spacing w:line="240" w:lineRule="auto"/>
        <w:ind w:firstLine="1701"/>
        <w:jc w:val="both"/>
        <w:rPr>
          <w:rFonts w:cstheme="minorHAnsi"/>
          <w:color w:val="000000"/>
          <w:sz w:val="24"/>
          <w:szCs w:val="24"/>
        </w:rPr>
      </w:pPr>
      <w:r w:rsidRPr="000D6E8B">
        <w:rPr>
          <w:rFonts w:cstheme="minorHAnsi"/>
          <w:color w:val="000000"/>
          <w:sz w:val="24"/>
          <w:szCs w:val="24"/>
        </w:rPr>
        <w:t>À Corregedoria Nacional de Justiça foi delegada competência para regulamentar a implantação do registro eletrônico, especialmente os sistemas eletrônicos integrados ao SERP, o cronograma de sua implantação e os padrões tecnológicos para efeito de escrituração, segurança e conservação de atos registrais.</w:t>
      </w:r>
    </w:p>
    <w:p w14:paraId="6D538588" w14:textId="77777777" w:rsidR="00D6244D" w:rsidRPr="000D6E8B" w:rsidRDefault="00D6244D" w:rsidP="00D6244D">
      <w:pPr>
        <w:spacing w:line="240" w:lineRule="auto"/>
        <w:ind w:firstLine="1701"/>
        <w:jc w:val="both"/>
        <w:rPr>
          <w:rFonts w:cstheme="minorHAnsi"/>
          <w:color w:val="000000"/>
          <w:sz w:val="24"/>
          <w:szCs w:val="24"/>
        </w:rPr>
      </w:pPr>
      <w:r w:rsidRPr="000D6E8B">
        <w:rPr>
          <w:rFonts w:cstheme="minorHAnsi"/>
          <w:color w:val="000000"/>
          <w:sz w:val="24"/>
          <w:szCs w:val="24"/>
        </w:rPr>
        <w:t>Quanto aos instrumentos contratuais, poderão ser formalizados física ou eletronicamente e ser objeto de assinaturas eletrônicas. Nesse particular, a Lei nº 14.382, alterando o art. 17 da Lei nº 6.015 de 31 de dezembro de 1973 (a Lei dos Registros Públicos), atribuiu competência à Corregedoria Nacional de Justiça para disciplinar o uso de assinaturas qualificadas e avançadas previstas na Lei nº 14.063 de 23 de setembro de 2020, prevendo a possibilidade do uso de assinaturas avançadas em atos que envolvam imóveis.</w:t>
      </w:r>
    </w:p>
    <w:p w14:paraId="3836A4AC" w14:textId="77777777" w:rsidR="00D6244D" w:rsidRPr="000D6E8B" w:rsidRDefault="00D6244D" w:rsidP="00D6244D">
      <w:pPr>
        <w:spacing w:line="240" w:lineRule="auto"/>
        <w:ind w:firstLine="1701"/>
        <w:jc w:val="both"/>
        <w:rPr>
          <w:rFonts w:cstheme="minorHAnsi"/>
          <w:color w:val="000000"/>
          <w:sz w:val="24"/>
          <w:szCs w:val="24"/>
        </w:rPr>
      </w:pPr>
      <w:r w:rsidRPr="000D6E8B">
        <w:rPr>
          <w:rFonts w:cstheme="minorHAnsi"/>
          <w:color w:val="000000"/>
          <w:sz w:val="24"/>
          <w:szCs w:val="24"/>
        </w:rPr>
        <w:t>Considerando que mesmo anteriormente ao advento da</w:t>
      </w:r>
      <w:r>
        <w:rPr>
          <w:rFonts w:cstheme="minorHAnsi"/>
          <w:color w:val="000000"/>
          <w:sz w:val="24"/>
          <w:szCs w:val="24"/>
        </w:rPr>
        <w:t xml:space="preserve">s </w:t>
      </w:r>
      <w:r w:rsidRPr="000D6E8B">
        <w:rPr>
          <w:rFonts w:cstheme="minorHAnsi"/>
          <w:color w:val="000000"/>
          <w:sz w:val="24"/>
          <w:szCs w:val="24"/>
        </w:rPr>
        <w:t>citada</w:t>
      </w:r>
      <w:r>
        <w:rPr>
          <w:rFonts w:cstheme="minorHAnsi"/>
          <w:color w:val="000000"/>
          <w:sz w:val="24"/>
          <w:szCs w:val="24"/>
        </w:rPr>
        <w:t xml:space="preserve">s </w:t>
      </w:r>
      <w:r w:rsidRPr="000D6E8B">
        <w:rPr>
          <w:rFonts w:cstheme="minorHAnsi"/>
          <w:color w:val="000000"/>
          <w:sz w:val="24"/>
          <w:szCs w:val="24"/>
        </w:rPr>
        <w:t xml:space="preserve">Lei nº 14.382 e nº 13.465 </w:t>
      </w:r>
      <w:r>
        <w:rPr>
          <w:rFonts w:cstheme="minorHAnsi"/>
          <w:color w:val="000000"/>
          <w:sz w:val="24"/>
          <w:szCs w:val="24"/>
        </w:rPr>
        <w:t>criando o já citado</w:t>
      </w:r>
      <w:r w:rsidRPr="000D6E8B">
        <w:rPr>
          <w:rFonts w:cstheme="minorHAnsi"/>
          <w:color w:val="000000"/>
          <w:sz w:val="24"/>
          <w:szCs w:val="24"/>
        </w:rPr>
        <w:t xml:space="preserve"> Operador </w:t>
      </w:r>
      <w:r w:rsidRPr="000D6E8B">
        <w:rPr>
          <w:rFonts w:cstheme="minorHAnsi"/>
          <w:bCs/>
          <w:color w:val="000000"/>
          <w:sz w:val="24"/>
          <w:szCs w:val="24"/>
        </w:rPr>
        <w:t xml:space="preserve">Nacional do Registro Eletrônico Imobiliário (ONR) </w:t>
      </w:r>
      <w:r w:rsidRPr="000D6E8B">
        <w:rPr>
          <w:rFonts w:cstheme="minorHAnsi"/>
          <w:color w:val="000000"/>
          <w:sz w:val="24"/>
          <w:szCs w:val="24"/>
        </w:rPr>
        <w:t>e</w:t>
      </w:r>
      <w:r>
        <w:rPr>
          <w:rFonts w:cstheme="minorHAnsi"/>
          <w:color w:val="000000"/>
          <w:sz w:val="24"/>
          <w:szCs w:val="24"/>
        </w:rPr>
        <w:t>,</w:t>
      </w:r>
      <w:r w:rsidRPr="000D6E8B">
        <w:rPr>
          <w:rFonts w:cstheme="minorHAnsi"/>
          <w:color w:val="000000"/>
          <w:sz w:val="24"/>
          <w:szCs w:val="24"/>
        </w:rPr>
        <w:t xml:space="preserve"> através de Provimentos da Corregedoria Nacional de Justiça</w:t>
      </w:r>
      <w:r>
        <w:rPr>
          <w:rFonts w:cstheme="minorHAnsi"/>
          <w:color w:val="000000"/>
          <w:sz w:val="24"/>
          <w:szCs w:val="24"/>
        </w:rPr>
        <w:t>,</w:t>
      </w:r>
      <w:r w:rsidRPr="000D6E8B">
        <w:rPr>
          <w:rFonts w:cstheme="minorHAnsi"/>
          <w:color w:val="000000"/>
          <w:sz w:val="24"/>
          <w:szCs w:val="24"/>
        </w:rPr>
        <w:t xml:space="preserve"> foi implantado o registro eletrônico imobiliário, viabilizando o acesso às serventias através de plataforma eletrônica específica: o Sistema de Atendimento Eletrônico Compartilhado (SAEC), seja de instrumentos contratuais assim como de extratos eletrônicos.</w:t>
      </w:r>
    </w:p>
    <w:p w14:paraId="2358347A" w14:textId="186BD538" w:rsidR="00D6244D" w:rsidRDefault="00D6244D" w:rsidP="00D6244D">
      <w:pPr>
        <w:spacing w:line="240" w:lineRule="auto"/>
        <w:ind w:firstLine="1701"/>
        <w:jc w:val="both"/>
        <w:rPr>
          <w:rFonts w:cstheme="minorHAnsi"/>
          <w:color w:val="000000"/>
          <w:sz w:val="24"/>
          <w:szCs w:val="24"/>
          <w:highlight w:val="yellow"/>
        </w:rPr>
      </w:pPr>
      <w:r w:rsidRPr="002E77B7">
        <w:rPr>
          <w:rFonts w:cstheme="minorHAnsi"/>
          <w:color w:val="000000"/>
          <w:sz w:val="24"/>
          <w:szCs w:val="24"/>
        </w:rPr>
        <w:t xml:space="preserve">Assim, na prática, o registro eletrônico de contratos imobiliários mediante o envio de extratos eletrônicos, já vem sendo operacionalizado nos maiores </w:t>
      </w:r>
      <w:r w:rsidRPr="002E77B7">
        <w:rPr>
          <w:rFonts w:cstheme="minorHAnsi"/>
          <w:color w:val="000000"/>
          <w:sz w:val="24"/>
          <w:szCs w:val="24"/>
        </w:rPr>
        <w:lastRenderedPageBreak/>
        <w:t xml:space="preserve">centros urbanos. Especificamente no Estado de São Paulo, desde 2013 e através do </w:t>
      </w:r>
      <w:r w:rsidRPr="00F94D5D">
        <w:rPr>
          <w:rFonts w:cstheme="minorHAnsi"/>
          <w:color w:val="000000"/>
          <w:sz w:val="24"/>
          <w:szCs w:val="24"/>
        </w:rPr>
        <w:t>Provimento nº 37/2013</w:t>
      </w:r>
      <w:r w:rsidR="00760944">
        <w:rPr>
          <w:rFonts w:cstheme="minorHAnsi"/>
          <w:color w:val="000000"/>
          <w:sz w:val="24"/>
          <w:szCs w:val="24"/>
        </w:rPr>
        <w:t xml:space="preserve">, </w:t>
      </w:r>
      <w:r w:rsidR="00760944" w:rsidRPr="00760944">
        <w:rPr>
          <w:rFonts w:cstheme="minorHAnsi"/>
          <w:color w:val="000000"/>
          <w:sz w:val="24"/>
          <w:szCs w:val="24"/>
        </w:rPr>
        <w:t>enquanto vigente</w:t>
      </w:r>
      <w:r w:rsidR="00760944">
        <w:rPr>
          <w:rFonts w:cstheme="minorHAnsi"/>
          <w:color w:val="000000"/>
          <w:sz w:val="24"/>
          <w:szCs w:val="24"/>
        </w:rPr>
        <w:t>,</w:t>
      </w:r>
      <w:r w:rsidRPr="00F94D5D">
        <w:rPr>
          <w:rFonts w:cstheme="minorHAnsi"/>
          <w:color w:val="000000"/>
          <w:sz w:val="24"/>
          <w:szCs w:val="24"/>
        </w:rPr>
        <w:t xml:space="preserve"> a Corregedoria Geral de Justiça do TJSP regulamentou o Registro Eletrônico Imobiliário, viabilizando que os instrumentos contratuais de financiamento fossem registrados eletronicamente através de extratos, com o arquivamento facultativo da íntegra dos respectivos contratos. </w:t>
      </w:r>
    </w:p>
    <w:p w14:paraId="09E1E592" w14:textId="74CD0068" w:rsidR="00D6244D" w:rsidRPr="002E77B7" w:rsidRDefault="00D6244D" w:rsidP="00D6244D">
      <w:pPr>
        <w:spacing w:line="240" w:lineRule="auto"/>
        <w:ind w:firstLine="1701"/>
        <w:jc w:val="both"/>
        <w:rPr>
          <w:rFonts w:cstheme="minorHAnsi"/>
          <w:color w:val="000000"/>
          <w:sz w:val="24"/>
          <w:szCs w:val="24"/>
        </w:rPr>
      </w:pPr>
      <w:r w:rsidRPr="002E77B7">
        <w:rPr>
          <w:rFonts w:cstheme="minorHAnsi"/>
          <w:color w:val="000000"/>
          <w:sz w:val="24"/>
          <w:szCs w:val="24"/>
        </w:rPr>
        <w:t>Em razão da pandemia, o Provimento nº 94 da Corregedoria Nacional de Justiça determinou o atendimento remoto das serventias imobiliárias, possibilitando que o registro eletrônico fosse formalizado em âmbito nacional, através da Central de Serviços Eletrônicos Compartilhados das respectivas unidades da Federação</w:t>
      </w:r>
      <w:r w:rsidR="00A84674">
        <w:rPr>
          <w:rFonts w:cstheme="minorHAnsi"/>
          <w:color w:val="000000"/>
          <w:sz w:val="24"/>
          <w:szCs w:val="24"/>
        </w:rPr>
        <w:t>.</w:t>
      </w:r>
    </w:p>
    <w:p w14:paraId="01861A34" w14:textId="779595E8" w:rsidR="00D6244D" w:rsidRPr="000D6E8B" w:rsidRDefault="00D6244D" w:rsidP="00D6244D">
      <w:pPr>
        <w:spacing w:line="240" w:lineRule="auto"/>
        <w:ind w:firstLine="1701"/>
        <w:jc w:val="both"/>
        <w:rPr>
          <w:sz w:val="24"/>
          <w:szCs w:val="24"/>
        </w:rPr>
      </w:pPr>
      <w:r w:rsidRPr="000D6E8B">
        <w:rPr>
          <w:sz w:val="24"/>
          <w:szCs w:val="24"/>
        </w:rPr>
        <w:t xml:space="preserve">Desde a criação do Sistema Financeiro da Habitação (SFH) pela </w:t>
      </w:r>
      <w:r w:rsidR="00A84674">
        <w:rPr>
          <w:sz w:val="24"/>
          <w:szCs w:val="24"/>
        </w:rPr>
        <w:t>L</w:t>
      </w:r>
      <w:r w:rsidRPr="000D6E8B">
        <w:rPr>
          <w:sz w:val="24"/>
          <w:szCs w:val="24"/>
        </w:rPr>
        <w:t xml:space="preserve">ei nº 4.380 de 21 de agosto de 1964, seu art. 60 </w:t>
      </w:r>
      <w:r>
        <w:rPr>
          <w:sz w:val="24"/>
          <w:szCs w:val="24"/>
        </w:rPr>
        <w:t>(</w:t>
      </w:r>
      <w:r w:rsidRPr="000D6E8B">
        <w:rPr>
          <w:rStyle w:val="Refdenotadefim"/>
          <w:sz w:val="24"/>
          <w:szCs w:val="24"/>
        </w:rPr>
        <w:endnoteReference w:id="1"/>
      </w:r>
      <w:r>
        <w:rPr>
          <w:sz w:val="24"/>
          <w:szCs w:val="24"/>
        </w:rPr>
        <w:t>)</w:t>
      </w:r>
      <w:r w:rsidRPr="000D6E8B">
        <w:rPr>
          <w:sz w:val="24"/>
          <w:szCs w:val="24"/>
        </w:rPr>
        <w:t xml:space="preserve"> evidenciou a necessidade de simplificar a contratação de financiamentos habitacionais, reduzir seus respectivos custos, visando rapidez e segurança. Assim, </w:t>
      </w:r>
      <w:r>
        <w:rPr>
          <w:sz w:val="24"/>
          <w:szCs w:val="24"/>
        </w:rPr>
        <w:t xml:space="preserve">desde então, </w:t>
      </w:r>
      <w:r w:rsidRPr="000D6E8B">
        <w:rPr>
          <w:sz w:val="24"/>
          <w:szCs w:val="24"/>
        </w:rPr>
        <w:t>as instituições financeiras passar</w:t>
      </w:r>
      <w:r>
        <w:rPr>
          <w:sz w:val="24"/>
          <w:szCs w:val="24"/>
        </w:rPr>
        <w:t>am</w:t>
      </w:r>
      <w:r w:rsidRPr="000D6E8B">
        <w:rPr>
          <w:sz w:val="24"/>
          <w:szCs w:val="24"/>
        </w:rPr>
        <w:t xml:space="preserve"> a formalizar </w:t>
      </w:r>
      <w:r>
        <w:rPr>
          <w:sz w:val="24"/>
          <w:szCs w:val="24"/>
        </w:rPr>
        <w:t>contratos</w:t>
      </w:r>
      <w:r w:rsidRPr="000D6E8B">
        <w:rPr>
          <w:sz w:val="24"/>
          <w:szCs w:val="24"/>
        </w:rPr>
        <w:t xml:space="preserve"> de financiamentos mediante instrumentos particulares aos quais a lei atribuiu o caráter de escritura pública (§ 5º do art. 61), ainda </w:t>
      </w:r>
      <w:r>
        <w:rPr>
          <w:sz w:val="24"/>
          <w:szCs w:val="24"/>
        </w:rPr>
        <w:t xml:space="preserve">com a </w:t>
      </w:r>
      <w:r w:rsidRPr="000D6E8B">
        <w:rPr>
          <w:sz w:val="24"/>
          <w:szCs w:val="24"/>
        </w:rPr>
        <w:t>dispensa</w:t>
      </w:r>
      <w:r>
        <w:rPr>
          <w:sz w:val="24"/>
          <w:szCs w:val="24"/>
        </w:rPr>
        <w:t xml:space="preserve"> d</w:t>
      </w:r>
      <w:r w:rsidRPr="000D6E8B">
        <w:rPr>
          <w:sz w:val="24"/>
          <w:szCs w:val="24"/>
        </w:rPr>
        <w:t xml:space="preserve">as formalidades próprias dos instrumentos particulares previstas no Código Civil, compreendendo, no caso, o reconhecimento de firmas. Essa dispensa foi incorporada à Lei nº 6.015/73 (LRP) pela redação originalmente dada ao </w:t>
      </w:r>
      <w:r>
        <w:rPr>
          <w:sz w:val="24"/>
          <w:szCs w:val="24"/>
        </w:rPr>
        <w:t xml:space="preserve">seu </w:t>
      </w:r>
      <w:r w:rsidRPr="000D6E8B">
        <w:rPr>
          <w:sz w:val="24"/>
          <w:szCs w:val="24"/>
        </w:rPr>
        <w:t>art. 221.</w:t>
      </w:r>
    </w:p>
    <w:p w14:paraId="10A7DFBC" w14:textId="77777777" w:rsidR="00D6244D" w:rsidRPr="000D6E8B" w:rsidRDefault="00D6244D" w:rsidP="00D6244D">
      <w:pPr>
        <w:spacing w:line="240" w:lineRule="auto"/>
        <w:ind w:firstLine="1701"/>
        <w:jc w:val="both"/>
        <w:rPr>
          <w:sz w:val="24"/>
          <w:szCs w:val="24"/>
        </w:rPr>
      </w:pPr>
      <w:r w:rsidRPr="000D6E8B">
        <w:rPr>
          <w:sz w:val="24"/>
          <w:szCs w:val="24"/>
        </w:rPr>
        <w:t>Ainda</w:t>
      </w:r>
      <w:r>
        <w:rPr>
          <w:sz w:val="24"/>
          <w:szCs w:val="24"/>
        </w:rPr>
        <w:t>,</w:t>
      </w:r>
      <w:r w:rsidRPr="000D6E8B">
        <w:rPr>
          <w:sz w:val="24"/>
          <w:szCs w:val="24"/>
        </w:rPr>
        <w:t xml:space="preserve"> no citado art. 61 (</w:t>
      </w:r>
      <w:r w:rsidRPr="000D6E8B">
        <w:rPr>
          <w:rStyle w:val="Refdenotadefim"/>
          <w:sz w:val="24"/>
          <w:szCs w:val="24"/>
        </w:rPr>
        <w:endnoteReference w:id="2"/>
      </w:r>
      <w:r w:rsidRPr="000D6E8B">
        <w:rPr>
          <w:sz w:val="24"/>
          <w:szCs w:val="24"/>
        </w:rPr>
        <w:t>) daquela longeva disposição legal, foi prevista a possibilidade dos instrumentos de aquisição e financiamento consignarem exclusivamente as cláusulas e condições variáveis ou especificas, admitindo-se que as demais clausulas-padrão e comuns a todos os contratos poderiam compor um instrumento até impresso e em separado, entregue ao mutuário e por ele rubricado para conhecimento integral dos ajustes celebrados.</w:t>
      </w:r>
    </w:p>
    <w:p w14:paraId="133EF489" w14:textId="77777777" w:rsidR="00D6244D" w:rsidRPr="000D6E8B" w:rsidRDefault="00D6244D" w:rsidP="00D6244D">
      <w:pPr>
        <w:spacing w:line="240" w:lineRule="auto"/>
        <w:ind w:firstLine="1701"/>
        <w:jc w:val="both"/>
        <w:rPr>
          <w:vanish/>
          <w:sz w:val="24"/>
          <w:szCs w:val="24"/>
          <w:specVanish/>
        </w:rPr>
      </w:pPr>
      <w:r w:rsidRPr="000D6E8B">
        <w:rPr>
          <w:sz w:val="24"/>
          <w:szCs w:val="24"/>
        </w:rPr>
        <w:t>Esse mecanismo nada mais é do que prevê o art. 6º da Lei n</w:t>
      </w:r>
    </w:p>
    <w:p w14:paraId="7137E473" w14:textId="77777777" w:rsidR="00D6244D" w:rsidRPr="000D6E8B" w:rsidRDefault="00D6244D" w:rsidP="00D6244D">
      <w:pPr>
        <w:spacing w:line="240" w:lineRule="auto"/>
        <w:ind w:firstLine="1701"/>
        <w:jc w:val="both"/>
        <w:rPr>
          <w:sz w:val="24"/>
          <w:szCs w:val="24"/>
        </w:rPr>
      </w:pPr>
      <w:r w:rsidRPr="000D6E8B">
        <w:rPr>
          <w:sz w:val="24"/>
          <w:szCs w:val="24"/>
        </w:rPr>
        <w:t xml:space="preserve"> º 14.382 ao criar a figura do extrato contendo os elementos variáveis e essenciais aos atos a serem praticados pelo registro imobiliário. Pela regulamentação vigente, os extratos já são formalizados em documento estruturado e encaminhados eletronicamente a</w:t>
      </w:r>
      <w:r>
        <w:rPr>
          <w:sz w:val="24"/>
          <w:szCs w:val="24"/>
        </w:rPr>
        <w:t>o</w:t>
      </w:r>
      <w:r w:rsidRPr="000D6E8B">
        <w:rPr>
          <w:sz w:val="24"/>
          <w:szCs w:val="24"/>
        </w:rPr>
        <w:t xml:space="preserve"> registro pelas instituições financeiras que concedem os financiamentos, </w:t>
      </w:r>
      <w:r>
        <w:rPr>
          <w:sz w:val="24"/>
          <w:szCs w:val="24"/>
        </w:rPr>
        <w:t xml:space="preserve">assinando-os </w:t>
      </w:r>
      <w:r w:rsidRPr="000D6E8B">
        <w:rPr>
          <w:sz w:val="24"/>
          <w:szCs w:val="24"/>
        </w:rPr>
        <w:t>eletronicamente mediante certificação digital</w:t>
      </w:r>
      <w:r>
        <w:rPr>
          <w:sz w:val="24"/>
          <w:szCs w:val="24"/>
        </w:rPr>
        <w:t>. Nesse documento estruturado as instituições que o emitem declaram</w:t>
      </w:r>
      <w:r w:rsidRPr="000D6E8B">
        <w:rPr>
          <w:sz w:val="24"/>
          <w:szCs w:val="24"/>
        </w:rPr>
        <w:t xml:space="preserve"> que os instrumentos a que se referem contém as cláusulas legalmente obrigatórias, bem como assum</w:t>
      </w:r>
      <w:r>
        <w:rPr>
          <w:sz w:val="24"/>
          <w:szCs w:val="24"/>
        </w:rPr>
        <w:t>em a</w:t>
      </w:r>
      <w:r w:rsidRPr="000D6E8B">
        <w:rPr>
          <w:sz w:val="24"/>
          <w:szCs w:val="24"/>
        </w:rPr>
        <w:t xml:space="preserve"> integral responsabilidade pela identificação das partes signatárias e pela legitimidade de sua manifestação de vontade.</w:t>
      </w:r>
    </w:p>
    <w:p w14:paraId="08440C93" w14:textId="77777777" w:rsidR="00D6244D" w:rsidRPr="000D6E8B" w:rsidRDefault="00D6244D" w:rsidP="00D6244D">
      <w:pPr>
        <w:spacing w:line="240" w:lineRule="auto"/>
        <w:ind w:firstLine="1701"/>
        <w:jc w:val="both"/>
        <w:rPr>
          <w:sz w:val="24"/>
          <w:szCs w:val="24"/>
        </w:rPr>
      </w:pPr>
      <w:r w:rsidRPr="000D6E8B">
        <w:rPr>
          <w:sz w:val="24"/>
          <w:szCs w:val="24"/>
        </w:rPr>
        <w:t>Desde a criação do SFH, as instituições financeiras que promoveram o financiamento de milhões de moradias, formalizaram em meio físico os respectivos instrumentos contratuais, sem o reconhecimento da firma de seus signatários, respondendo perante os registradores imobiliários pela sua legalidade e legitimidade. E, quando legalmente possível, passaram a fazê-lo mediante o envio de extratos eletrônicos, firmados com certificação digital, com o arquivamento facultativo dos respectivos instrumentos contratuais, mantendo-se igualmente responsáveis pela identificação das partes e pela legitimidade de sua manifestação de vontade.</w:t>
      </w:r>
    </w:p>
    <w:p w14:paraId="35A317C7" w14:textId="17BF9BF3" w:rsidR="00D6244D" w:rsidRDefault="00D6244D" w:rsidP="00D6244D">
      <w:pPr>
        <w:spacing w:line="240" w:lineRule="auto"/>
        <w:ind w:firstLine="1701"/>
        <w:jc w:val="both"/>
        <w:rPr>
          <w:sz w:val="24"/>
          <w:szCs w:val="24"/>
        </w:rPr>
      </w:pPr>
      <w:r w:rsidRPr="000D6E8B">
        <w:rPr>
          <w:sz w:val="24"/>
          <w:szCs w:val="24"/>
        </w:rPr>
        <w:t xml:space="preserve">As instituições financeiras são entidades fiscalizadas e reguladas pela autoridade monetária, capacitadas financeiramente a responder pelos atos que praticam no exercício de sua atividade empresarial. E, considerando que atuam desde a </w:t>
      </w:r>
      <w:r w:rsidRPr="000D6E8B">
        <w:rPr>
          <w:sz w:val="24"/>
          <w:szCs w:val="24"/>
        </w:rPr>
        <w:lastRenderedPageBreak/>
        <w:t>criação do SFH</w:t>
      </w:r>
      <w:r>
        <w:rPr>
          <w:sz w:val="24"/>
          <w:szCs w:val="24"/>
        </w:rPr>
        <w:t>,</w:t>
      </w:r>
      <w:r w:rsidRPr="000D6E8B">
        <w:rPr>
          <w:sz w:val="24"/>
          <w:szCs w:val="24"/>
        </w:rPr>
        <w:t xml:space="preserve"> ao qual se acresceram as operações de crédito de que trata o Sistema Financeiro Imobiliário (SFI), </w:t>
      </w:r>
      <w:r>
        <w:rPr>
          <w:sz w:val="24"/>
          <w:szCs w:val="24"/>
        </w:rPr>
        <w:t xml:space="preserve">invariavelmente </w:t>
      </w:r>
      <w:r w:rsidRPr="000D6E8B">
        <w:rPr>
          <w:sz w:val="24"/>
          <w:szCs w:val="24"/>
        </w:rPr>
        <w:t xml:space="preserve">formalizando suas operações por instrumentos particulares e respondendo pela sua legalidade e legitimidade, para fiel observância dos princípios que inspiraram a criação do SFH e a própria Lei nº 14.382, de simplificar, agilizar e reduzir custos das transações imobiliárias, </w:t>
      </w:r>
      <w:r>
        <w:rPr>
          <w:sz w:val="24"/>
          <w:szCs w:val="24"/>
        </w:rPr>
        <w:t>sendo assim</w:t>
      </w:r>
      <w:r w:rsidRPr="000D6E8B">
        <w:rPr>
          <w:sz w:val="24"/>
          <w:szCs w:val="24"/>
        </w:rPr>
        <w:t xml:space="preserve"> natural que pretendam prosseguir operando de forma a ver cumpridos os mencionados objetivos</w:t>
      </w:r>
      <w:r w:rsidR="00122505">
        <w:rPr>
          <w:sz w:val="24"/>
          <w:szCs w:val="24"/>
        </w:rPr>
        <w:t>, com absoluta segurança jurídica e</w:t>
      </w:r>
      <w:r>
        <w:rPr>
          <w:sz w:val="24"/>
          <w:szCs w:val="24"/>
        </w:rPr>
        <w:t xml:space="preserve"> em total benefício dos mutuários-consumidores, adquirentes da moradia própria</w:t>
      </w:r>
      <w:r w:rsidRPr="000D6E8B">
        <w:rPr>
          <w:sz w:val="24"/>
          <w:szCs w:val="24"/>
        </w:rPr>
        <w:t>.</w:t>
      </w:r>
    </w:p>
    <w:p w14:paraId="4E97B993" w14:textId="00F6147B" w:rsidR="00D6244D" w:rsidRDefault="003C07A6" w:rsidP="00B9697E">
      <w:pPr>
        <w:jc w:val="both"/>
        <w:rPr>
          <w:sz w:val="24"/>
          <w:szCs w:val="24"/>
        </w:rPr>
      </w:pPr>
      <w:r w:rsidRPr="00B9697E">
        <w:rPr>
          <w:sz w:val="24"/>
          <w:szCs w:val="24"/>
        </w:rPr>
        <w:tab/>
      </w:r>
      <w:r w:rsidRPr="00B9697E">
        <w:rPr>
          <w:sz w:val="24"/>
          <w:szCs w:val="24"/>
        </w:rPr>
        <w:tab/>
        <w:t xml:space="preserve">Assim, </w:t>
      </w:r>
      <w:r w:rsidR="00946CD1">
        <w:rPr>
          <w:sz w:val="24"/>
          <w:szCs w:val="24"/>
        </w:rPr>
        <w:t xml:space="preserve">improcedem as </w:t>
      </w:r>
      <w:r w:rsidR="00B9697E" w:rsidRPr="00B9697E">
        <w:rPr>
          <w:sz w:val="24"/>
          <w:szCs w:val="24"/>
        </w:rPr>
        <w:t>críticas</w:t>
      </w:r>
      <w:r w:rsidRPr="00B9697E">
        <w:rPr>
          <w:sz w:val="24"/>
          <w:szCs w:val="24"/>
        </w:rPr>
        <w:t xml:space="preserve"> de que os dispositivos da Lei nº 14.382 relativamente ao registro eletrônico e sua formalização através de extratos, com a regulação e fiscalização a cargo da Corregedoria Nacional de Justiça (CNJ)</w:t>
      </w:r>
      <w:r w:rsidR="00946CD1">
        <w:rPr>
          <w:sz w:val="24"/>
          <w:szCs w:val="24"/>
        </w:rPr>
        <w:t>,</w:t>
      </w:r>
      <w:r w:rsidRPr="00B9697E">
        <w:rPr>
          <w:sz w:val="24"/>
          <w:szCs w:val="24"/>
        </w:rPr>
        <w:t xml:space="preserve"> </w:t>
      </w:r>
      <w:r w:rsidR="00946CD1">
        <w:rPr>
          <w:sz w:val="24"/>
          <w:szCs w:val="24"/>
        </w:rPr>
        <w:t>seja um procedimento que permita ou facilite a prática de atos fraudulentos, s</w:t>
      </w:r>
      <w:r w:rsidRPr="00B9697E">
        <w:rPr>
          <w:sz w:val="24"/>
          <w:szCs w:val="24"/>
        </w:rPr>
        <w:t xml:space="preserve">upostamente gerando insegurança jurídica e expondo a riscos consumidores vulneráveis. Ao contrário, a atuação legalmente estabelecida para registradores atuarem em meio eletrônico, incluindo a prática de registros através de extratos como já </w:t>
      </w:r>
      <w:r w:rsidR="00946CD1">
        <w:rPr>
          <w:sz w:val="24"/>
          <w:szCs w:val="24"/>
        </w:rPr>
        <w:t>previsto</w:t>
      </w:r>
      <w:r w:rsidRPr="00B9697E">
        <w:rPr>
          <w:sz w:val="24"/>
          <w:szCs w:val="24"/>
        </w:rPr>
        <w:t xml:space="preserve"> pelos regulamentos vigentes da CNJ</w:t>
      </w:r>
      <w:r w:rsidR="00946CD1">
        <w:rPr>
          <w:sz w:val="24"/>
          <w:szCs w:val="24"/>
        </w:rPr>
        <w:t>,</w:t>
      </w:r>
      <w:r w:rsidRPr="00B9697E">
        <w:rPr>
          <w:sz w:val="24"/>
          <w:szCs w:val="24"/>
        </w:rPr>
        <w:t xml:space="preserve"> nada mais é do que o cumprimento da imposição legal estabelecida desde 2009, atrav</w:t>
      </w:r>
      <w:r w:rsidR="00B9697E">
        <w:rPr>
          <w:sz w:val="24"/>
          <w:szCs w:val="24"/>
        </w:rPr>
        <w:t>é</w:t>
      </w:r>
      <w:r w:rsidRPr="00B9697E">
        <w:rPr>
          <w:sz w:val="24"/>
          <w:szCs w:val="24"/>
        </w:rPr>
        <w:t xml:space="preserve">s da Lei nº 11.977. </w:t>
      </w:r>
    </w:p>
    <w:p w14:paraId="5CB7540C" w14:textId="375B070C" w:rsidR="00B9697E" w:rsidRDefault="00B9697E" w:rsidP="00B969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Por outro lado, cabe lembrar que os dispositivos da Lei nº 14.382, resultante da conversão da Medida Provisório nº 1.085 fo</w:t>
      </w:r>
      <w:r w:rsidR="00A8487F">
        <w:rPr>
          <w:sz w:val="24"/>
          <w:szCs w:val="24"/>
        </w:rPr>
        <w:t>ram</w:t>
      </w:r>
      <w:r>
        <w:rPr>
          <w:sz w:val="24"/>
          <w:szCs w:val="24"/>
        </w:rPr>
        <w:t xml:space="preserve"> amplamente debatido</w:t>
      </w:r>
      <w:r w:rsidR="00A8487F">
        <w:rPr>
          <w:sz w:val="24"/>
          <w:szCs w:val="24"/>
        </w:rPr>
        <w:t>s</w:t>
      </w:r>
      <w:r>
        <w:rPr>
          <w:sz w:val="24"/>
          <w:szCs w:val="24"/>
        </w:rPr>
        <w:t>, não apenas no Parlamento, mas pel</w:t>
      </w:r>
      <w:r w:rsidR="009B5EEE">
        <w:rPr>
          <w:sz w:val="24"/>
          <w:szCs w:val="24"/>
        </w:rPr>
        <w:t>a</w:t>
      </w:r>
      <w:r>
        <w:rPr>
          <w:sz w:val="24"/>
          <w:szCs w:val="24"/>
        </w:rPr>
        <w:t xml:space="preserve"> própria sociedade</w:t>
      </w:r>
      <w:r w:rsidR="00A8487F">
        <w:rPr>
          <w:sz w:val="24"/>
          <w:szCs w:val="24"/>
        </w:rPr>
        <w:t xml:space="preserve"> organizada</w:t>
      </w:r>
      <w:r>
        <w:rPr>
          <w:sz w:val="24"/>
          <w:szCs w:val="24"/>
        </w:rPr>
        <w:t>, representada pelas entidades que compõem os setores produtivo e financeiro, além dos órgãos reguladores e registradores públicos</w:t>
      </w:r>
      <w:r w:rsidR="00A8487F">
        <w:rPr>
          <w:sz w:val="24"/>
          <w:szCs w:val="24"/>
        </w:rPr>
        <w:t>,</w:t>
      </w:r>
      <w:r w:rsidR="009B5EEE">
        <w:rPr>
          <w:sz w:val="24"/>
          <w:szCs w:val="24"/>
        </w:rPr>
        <w:t xml:space="preserve"> em um grupo de estudo</w:t>
      </w:r>
      <w:r w:rsidR="00A8487F">
        <w:rPr>
          <w:sz w:val="24"/>
          <w:szCs w:val="24"/>
        </w:rPr>
        <w:t>s</w:t>
      </w:r>
      <w:r w:rsidR="009B5EEE">
        <w:rPr>
          <w:sz w:val="24"/>
          <w:szCs w:val="24"/>
        </w:rPr>
        <w:t xml:space="preserve"> organizado e coordenado à época pela Secretaria de Política Econômica do Ministério da Fazenda</w:t>
      </w:r>
      <w:r w:rsidR="00946CD1">
        <w:rPr>
          <w:sz w:val="24"/>
          <w:szCs w:val="24"/>
        </w:rPr>
        <w:t>. Esse</w:t>
      </w:r>
      <w:r w:rsidR="009B5EEE">
        <w:rPr>
          <w:sz w:val="24"/>
          <w:szCs w:val="24"/>
        </w:rPr>
        <w:t xml:space="preserve"> grupo</w:t>
      </w:r>
      <w:r>
        <w:rPr>
          <w:sz w:val="24"/>
          <w:szCs w:val="24"/>
        </w:rPr>
        <w:t>, ao longo de mais de dois anos, estabelece</w:t>
      </w:r>
      <w:r w:rsidR="009B5EEE">
        <w:rPr>
          <w:sz w:val="24"/>
          <w:szCs w:val="24"/>
        </w:rPr>
        <w:t>u</w:t>
      </w:r>
      <w:r>
        <w:rPr>
          <w:sz w:val="24"/>
          <w:szCs w:val="24"/>
        </w:rPr>
        <w:t xml:space="preserve"> consenso sobre as alterações introduzidas na legislação de registros públicos que resultaram na legislação mencionada.</w:t>
      </w:r>
    </w:p>
    <w:p w14:paraId="5A16C137" w14:textId="25995652" w:rsidR="0002357B" w:rsidRDefault="00CE5AEF" w:rsidP="00B969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Assim, </w:t>
      </w:r>
      <w:r w:rsidR="009B5EEE">
        <w:rPr>
          <w:sz w:val="24"/>
          <w:szCs w:val="24"/>
        </w:rPr>
        <w:t xml:space="preserve">diante </w:t>
      </w:r>
      <w:r w:rsidR="0002357B">
        <w:rPr>
          <w:sz w:val="24"/>
          <w:szCs w:val="24"/>
        </w:rPr>
        <w:t>do avanço dos meios eletrônicos, tornou-se inevitável a modernização dos registros públicos prevista na Lei nº 14.382, para que as serventias atuem com maior agilidade e menor custo, com a indispensável segurança jurídica através do controle e regulação do Judiciário.</w:t>
      </w:r>
    </w:p>
    <w:sectPr w:rsidR="00023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2EAC" w14:textId="77777777" w:rsidR="00787B54" w:rsidRDefault="00787B54" w:rsidP="00D6244D">
      <w:pPr>
        <w:spacing w:after="0" w:line="240" w:lineRule="auto"/>
      </w:pPr>
      <w:r>
        <w:separator/>
      </w:r>
    </w:p>
  </w:endnote>
  <w:endnote w:type="continuationSeparator" w:id="0">
    <w:p w14:paraId="3B5F9CCB" w14:textId="77777777" w:rsidR="00787B54" w:rsidRDefault="00787B54" w:rsidP="00D6244D">
      <w:pPr>
        <w:spacing w:after="0" w:line="240" w:lineRule="auto"/>
      </w:pPr>
      <w:r>
        <w:continuationSeparator/>
      </w:r>
    </w:p>
  </w:endnote>
  <w:endnote w:id="1">
    <w:p w14:paraId="5CDE822E" w14:textId="77777777" w:rsidR="00D6244D" w:rsidRDefault="00D6244D" w:rsidP="00D6244D">
      <w:pPr>
        <w:pStyle w:val="Textodenotadefim"/>
        <w:jc w:val="both"/>
      </w:pPr>
      <w:r>
        <w:t>(</w:t>
      </w:r>
      <w:r>
        <w:rPr>
          <w:rStyle w:val="Refdenotadefim"/>
        </w:rPr>
        <w:endnoteRef/>
      </w:r>
      <w:r>
        <w:t>) Art. 60. A aplicação da presente lei, pelo seu sentido social, far-se-á de modo a que sejam simplificados todos os processo e métodos pertinentes às respectivas transações, objetivando principalmente:</w:t>
      </w:r>
    </w:p>
    <w:p w14:paraId="5F351612" w14:textId="77777777" w:rsidR="00D6244D" w:rsidRDefault="00D6244D" w:rsidP="00D6244D">
      <w:pPr>
        <w:pStyle w:val="Textodenotadefim"/>
        <w:jc w:val="both"/>
      </w:pPr>
      <w:r>
        <w:t>I - o maior rendimento dos serviços e a segurança e rapidez na tramitação dos processos e papéis;</w:t>
      </w:r>
    </w:p>
    <w:p w14:paraId="129C97F1" w14:textId="77777777" w:rsidR="00D6244D" w:rsidRDefault="00D6244D" w:rsidP="00D6244D">
      <w:pPr>
        <w:pStyle w:val="Textodenotadefim"/>
        <w:jc w:val="both"/>
      </w:pPr>
      <w:r>
        <w:t>II - economia de tempo e de emolumentos devidos aos Cartórios;</w:t>
      </w:r>
    </w:p>
    <w:p w14:paraId="1C7DC581" w14:textId="77777777" w:rsidR="00D6244D" w:rsidRDefault="00D6244D" w:rsidP="00D6244D">
      <w:pPr>
        <w:pStyle w:val="Textodenotadefim"/>
        <w:jc w:val="both"/>
      </w:pPr>
      <w:r>
        <w:t>III - simplificação das escrituras e dos critérios para efeito do Registro de Imóveis</w:t>
      </w:r>
    </w:p>
    <w:p w14:paraId="200EAE3F" w14:textId="77777777" w:rsidR="00D6244D" w:rsidRDefault="00D6244D" w:rsidP="00D6244D">
      <w:pPr>
        <w:pStyle w:val="Textodenotadefim"/>
      </w:pPr>
    </w:p>
  </w:endnote>
  <w:endnote w:id="2">
    <w:p w14:paraId="6E3F6C31" w14:textId="77777777" w:rsidR="00D6244D" w:rsidRDefault="00D6244D" w:rsidP="00D6244D">
      <w:pPr>
        <w:pStyle w:val="Textodenotadefim"/>
        <w:jc w:val="both"/>
      </w:pPr>
      <w:r>
        <w:t>(</w:t>
      </w:r>
      <w:r>
        <w:rPr>
          <w:rStyle w:val="Refdenotadefim"/>
        </w:rPr>
        <w:endnoteRef/>
      </w:r>
      <w:r>
        <w:t>) Art. 61. Para plena consecução do disposto no artigo anterior, as escrituras deverão consignar exclusivamente as cláusulas, têrmos ou condições variáveis ou específicas.</w:t>
      </w:r>
    </w:p>
    <w:p w14:paraId="122694AE" w14:textId="77777777" w:rsidR="00D6244D" w:rsidRDefault="00D6244D" w:rsidP="00D6244D">
      <w:pPr>
        <w:pStyle w:val="Textodenotadefim"/>
        <w:jc w:val="both"/>
      </w:pPr>
      <w:r>
        <w:t>§ 1° As cláusulas legais, regulamentares, regimentais ou, ainda, quaisquer normas administrativas ou técnicas e, portanto, comuns a todos os mutuários não figurarão expressamente nas respectivas escrituras.</w:t>
      </w:r>
    </w:p>
    <w:p w14:paraId="6D229ADE" w14:textId="77777777" w:rsidR="00D6244D" w:rsidRDefault="00D6244D" w:rsidP="00D6244D">
      <w:pPr>
        <w:pStyle w:val="Textodenotadefim"/>
        <w:jc w:val="both"/>
      </w:pPr>
      <w:r>
        <w:t>§ 2° As escrituras, no entanto, consignarão obrigatòriamente que as partes contratantes adotam e se comprometem a cumprir as cláusulas, têrmos e condições a que se refere o parágrafo anterior, sempre transcritas, verbum ad verbum, no respectivo Cartório ou Ofício, mencionado inclusive o número do Livro e das fôlhas do competente registro.</w:t>
      </w:r>
    </w:p>
    <w:p w14:paraId="639C37AC" w14:textId="77777777" w:rsidR="00D6244D" w:rsidRDefault="00D6244D" w:rsidP="00D6244D">
      <w:pPr>
        <w:pStyle w:val="Textodenotadefim"/>
        <w:jc w:val="both"/>
      </w:pPr>
      <w:r>
        <w:t>§ 3° Aos mutuários, ao receberem os respectivos traslados de escritura, será obrigatòriamente entregue cópia, impressa ou mimeografada, autenticada, do contrato padrão constante das cláusulas, têrmos e condições referidas no parágrafo 1° dêste artigo.</w:t>
      </w:r>
    </w:p>
    <w:p w14:paraId="7B10B997" w14:textId="77777777" w:rsidR="00D6244D" w:rsidRDefault="00D6244D" w:rsidP="00D6244D">
      <w:pPr>
        <w:pStyle w:val="Textodenotadefim"/>
        <w:jc w:val="both"/>
      </w:pPr>
      <w:r>
        <w:t>§ 4° Os Cartórios de Registro de Imóveis, obrigatòriamente, para os devidos efeitos legais e jurídicos, receberão, autenticadamente, das pessoas jurídicas mencionadas na presente Lei, o instrumento a que se refere o parágrafo anterior, tudo de modo a facilitar os competentes registros.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2E6FA" w14:textId="77777777" w:rsidR="00787B54" w:rsidRDefault="00787B54" w:rsidP="00D6244D">
      <w:pPr>
        <w:spacing w:after="0" w:line="240" w:lineRule="auto"/>
      </w:pPr>
      <w:r>
        <w:separator/>
      </w:r>
    </w:p>
  </w:footnote>
  <w:footnote w:type="continuationSeparator" w:id="0">
    <w:p w14:paraId="3112688E" w14:textId="77777777" w:rsidR="00787B54" w:rsidRDefault="00787B54" w:rsidP="00D62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76E5C"/>
    <w:multiLevelType w:val="hybridMultilevel"/>
    <w:tmpl w:val="E3F82090"/>
    <w:lvl w:ilvl="0" w:tplc="9814C4B4">
      <w:start w:val="1"/>
      <w:numFmt w:val="decimal"/>
      <w:pStyle w:val="PargrafodaLista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8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4D"/>
    <w:rsid w:val="0002357B"/>
    <w:rsid w:val="00122505"/>
    <w:rsid w:val="00223B9B"/>
    <w:rsid w:val="00343B7E"/>
    <w:rsid w:val="003C07A6"/>
    <w:rsid w:val="00533E22"/>
    <w:rsid w:val="00566671"/>
    <w:rsid w:val="005D0167"/>
    <w:rsid w:val="00760944"/>
    <w:rsid w:val="00787B54"/>
    <w:rsid w:val="008C326B"/>
    <w:rsid w:val="00930C1A"/>
    <w:rsid w:val="00946CD1"/>
    <w:rsid w:val="009B5EEE"/>
    <w:rsid w:val="00A84674"/>
    <w:rsid w:val="00A8487F"/>
    <w:rsid w:val="00B9697E"/>
    <w:rsid w:val="00CD40BA"/>
    <w:rsid w:val="00CE5AEF"/>
    <w:rsid w:val="00D6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2F68"/>
  <w15:chartTrackingRefBased/>
  <w15:docId w15:val="{2A51B5CD-0A61-441D-9B72-E455265F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D6244D"/>
    <w:pPr>
      <w:numPr>
        <w:numId w:val="1"/>
      </w:numPr>
      <w:spacing w:afterLines="100" w:after="100" w:line="312" w:lineRule="auto"/>
      <w:jc w:val="both"/>
    </w:pPr>
    <w:rPr>
      <w:rFonts w:ascii="Arial" w:hAnsi="Arial"/>
      <w:kern w:val="0"/>
      <w14:ligatures w14:val="non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6244D"/>
    <w:rPr>
      <w:rFonts w:ascii="Arial" w:hAnsi="Arial"/>
      <w:kern w:val="0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244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6244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6244D"/>
    <w:rPr>
      <w:vertAlign w:val="superscript"/>
    </w:rPr>
  </w:style>
  <w:style w:type="paragraph" w:styleId="Reviso">
    <w:name w:val="Revision"/>
    <w:hidden/>
    <w:uiPriority w:val="99"/>
    <w:semiHidden/>
    <w:rsid w:val="008C3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9ffb58-986d-41f0-89c2-b7d5ac5d549b">
      <Terms xmlns="http://schemas.microsoft.com/office/infopath/2007/PartnerControls"/>
    </lcf76f155ced4ddcb4097134ff3c332f>
    <TaxCatchAll xmlns="55f286ef-6c09-4dd4-932b-1b7a8ceb3e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A08192D433149BDBBE030E7DE05E0" ma:contentTypeVersion="11" ma:contentTypeDescription="Crie um novo documento." ma:contentTypeScope="" ma:versionID="f867e53af14c078d30f6e7319e96c699">
  <xsd:schema xmlns:xsd="http://www.w3.org/2001/XMLSchema" xmlns:xs="http://www.w3.org/2001/XMLSchema" xmlns:p="http://schemas.microsoft.com/office/2006/metadata/properties" xmlns:ns2="669ffb58-986d-41f0-89c2-b7d5ac5d549b" xmlns:ns3="55f286ef-6c09-4dd4-932b-1b7a8ceb3efa" targetNamespace="http://schemas.microsoft.com/office/2006/metadata/properties" ma:root="true" ma:fieldsID="1e372ba77c5dc5cb1f53659ea48e52d2" ns2:_="" ns3:_="">
    <xsd:import namespace="669ffb58-986d-41f0-89c2-b7d5ac5d549b"/>
    <xsd:import namespace="55f286ef-6c09-4dd4-932b-1b7a8ceb3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ffb58-986d-41f0-89c2-b7d5ac5d5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c0b6e29-5829-4521-b9b7-6aeb3aaae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286ef-6c09-4dd4-932b-1b7a8ceb3e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76d5f4-1545-4098-9ec7-6854f62cf9b6}" ma:internalName="TaxCatchAll" ma:showField="CatchAllData" ma:web="55f286ef-6c09-4dd4-932b-1b7a8ceb3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98C8F-47CF-42E9-A242-3B493C45F1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7F50AE-0305-4B82-8058-E8E67FAA734E}"/>
</file>

<file path=customXml/itemProps3.xml><?xml version="1.0" encoding="utf-8"?>
<ds:datastoreItem xmlns:ds="http://schemas.openxmlformats.org/officeDocument/2006/customXml" ds:itemID="{6ECD32D3-232B-4A1A-9ACB-4CEDDE104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1869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Cetraro - Abecip</dc:creator>
  <cp:keywords/>
  <dc:description/>
  <cp:lastModifiedBy>Aline Gonçalez - Abecip</cp:lastModifiedBy>
  <cp:revision>7</cp:revision>
  <dcterms:created xsi:type="dcterms:W3CDTF">2023-05-30T18:17:00Z</dcterms:created>
  <dcterms:modified xsi:type="dcterms:W3CDTF">2023-05-30T19:12:00Z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0x01010003CEC10BA3312242ABCD6405145D2BB0</vt:lpwstr>
  </property>
</Properties>
</file>