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2B89D" w14:textId="77777777" w:rsidR="00D03525" w:rsidRDefault="00D03525" w:rsidP="00D03525">
      <w:pPr>
        <w:rPr>
          <w:rFonts w:ascii="Verdana" w:eastAsia="Verdana" w:hAnsi="Verdana" w:cs="Verdana"/>
          <w:sz w:val="20"/>
          <w:szCs w:val="20"/>
        </w:rPr>
      </w:pPr>
    </w:p>
    <w:p w14:paraId="4101C0F5" w14:textId="1203EEF4" w:rsidR="00862943" w:rsidRDefault="00862943" w:rsidP="00862943">
      <w:pPr>
        <w:spacing w:line="360" w:lineRule="auto"/>
        <w:jc w:val="center"/>
        <w:rPr>
          <w:rFonts w:ascii="Verdana" w:eastAsia="Verdana" w:hAnsi="Verdana" w:cs="Verdana"/>
          <w:sz w:val="20"/>
          <w:szCs w:val="20"/>
        </w:rPr>
      </w:pPr>
      <w:r>
        <w:rPr>
          <w:rFonts w:ascii="Verdana" w:eastAsia="Verdana" w:hAnsi="Verdana" w:cs="Verdana"/>
          <w:b/>
          <w:sz w:val="20"/>
          <w:szCs w:val="20"/>
        </w:rPr>
        <w:t xml:space="preserve">VOTO </w:t>
      </w:r>
      <w:r w:rsidR="00382053">
        <w:rPr>
          <w:rFonts w:ascii="Verdana" w:eastAsia="Verdana" w:hAnsi="Verdana" w:cs="Verdana"/>
          <w:b/>
          <w:sz w:val="20"/>
          <w:szCs w:val="20"/>
        </w:rPr>
        <w:t>DISIDENTE</w:t>
      </w:r>
      <w:r>
        <w:rPr>
          <w:rFonts w:ascii="Verdana" w:eastAsia="Verdana" w:hAnsi="Verdana" w:cs="Verdana"/>
          <w:b/>
          <w:sz w:val="20"/>
          <w:szCs w:val="20"/>
        </w:rPr>
        <w:t xml:space="preserve"> DE LOS JUECES</w:t>
      </w:r>
    </w:p>
    <w:p w14:paraId="7B545B8E" w14:textId="77777777" w:rsidR="00862943" w:rsidRPr="00487AC7" w:rsidRDefault="00862943" w:rsidP="00862943">
      <w:pPr>
        <w:spacing w:line="360" w:lineRule="auto"/>
        <w:jc w:val="center"/>
        <w:rPr>
          <w:rFonts w:ascii="Verdana" w:eastAsia="Verdana" w:hAnsi="Verdana" w:cs="Verdana"/>
          <w:sz w:val="20"/>
          <w:szCs w:val="20"/>
        </w:rPr>
      </w:pPr>
      <w:r w:rsidRPr="00487AC7">
        <w:rPr>
          <w:rFonts w:ascii="Verdana" w:eastAsia="Verdana" w:hAnsi="Verdana" w:cs="Verdana"/>
          <w:b/>
          <w:sz w:val="20"/>
          <w:szCs w:val="20"/>
        </w:rPr>
        <w:t xml:space="preserve">EDUARDO FERRER MAC-GREGOR POISOT </w:t>
      </w:r>
    </w:p>
    <w:p w14:paraId="6E494DA5" w14:textId="77777777" w:rsidR="00862943" w:rsidRPr="00487AC7" w:rsidRDefault="00862943" w:rsidP="00862943">
      <w:pPr>
        <w:spacing w:line="360" w:lineRule="auto"/>
        <w:jc w:val="center"/>
        <w:rPr>
          <w:rFonts w:ascii="Verdana" w:eastAsia="Verdana" w:hAnsi="Verdana" w:cs="Verdana"/>
          <w:sz w:val="20"/>
          <w:szCs w:val="20"/>
        </w:rPr>
      </w:pPr>
      <w:r w:rsidRPr="00487AC7">
        <w:rPr>
          <w:rFonts w:ascii="Verdana" w:eastAsia="Verdana" w:hAnsi="Verdana" w:cs="Verdana"/>
          <w:b/>
          <w:sz w:val="20"/>
          <w:szCs w:val="20"/>
        </w:rPr>
        <w:t>Y RODRIGO MUDROVITSCH</w:t>
      </w:r>
    </w:p>
    <w:p w14:paraId="0D34A4E9" w14:textId="77777777" w:rsidR="00862943" w:rsidRPr="00487AC7" w:rsidRDefault="00862943" w:rsidP="00862943">
      <w:pPr>
        <w:jc w:val="center"/>
        <w:rPr>
          <w:rFonts w:ascii="Verdana" w:eastAsia="Verdana" w:hAnsi="Verdana" w:cs="Verdana"/>
          <w:sz w:val="20"/>
          <w:szCs w:val="20"/>
        </w:rPr>
      </w:pPr>
    </w:p>
    <w:p w14:paraId="25D2CE92" w14:textId="691A6E43" w:rsidR="00862943" w:rsidRDefault="00862943" w:rsidP="00862943">
      <w:pPr>
        <w:jc w:val="center"/>
        <w:rPr>
          <w:rFonts w:ascii="Verdana" w:eastAsia="Verdana" w:hAnsi="Verdana" w:cs="Verdana"/>
          <w:b/>
          <w:i/>
          <w:sz w:val="20"/>
          <w:szCs w:val="20"/>
          <w:u w:val="single"/>
        </w:rPr>
      </w:pPr>
      <w:r>
        <w:rPr>
          <w:rFonts w:ascii="Verdana" w:eastAsia="Verdana" w:hAnsi="Verdana" w:cs="Verdana"/>
          <w:b/>
          <w:i/>
          <w:sz w:val="20"/>
          <w:szCs w:val="20"/>
          <w:u w:val="single"/>
        </w:rPr>
        <w:t>CASO CAJAHUANCA VÁSQUEZ VS. PERÚ</w:t>
      </w:r>
    </w:p>
    <w:p w14:paraId="3604F12F" w14:textId="77777777" w:rsidR="00862943" w:rsidRDefault="00862943" w:rsidP="00862943">
      <w:pPr>
        <w:jc w:val="center"/>
        <w:rPr>
          <w:rFonts w:ascii="Verdana" w:eastAsia="Verdana" w:hAnsi="Verdana" w:cs="Verdana"/>
          <w:sz w:val="20"/>
          <w:szCs w:val="20"/>
        </w:rPr>
      </w:pPr>
    </w:p>
    <w:p w14:paraId="234B86B1" w14:textId="7484E177" w:rsidR="00862943" w:rsidRDefault="00862943" w:rsidP="00862943">
      <w:pPr>
        <w:jc w:val="center"/>
        <w:rPr>
          <w:rFonts w:ascii="Verdana" w:eastAsia="Verdana" w:hAnsi="Verdana" w:cs="Verdana"/>
          <w:sz w:val="18"/>
          <w:szCs w:val="18"/>
        </w:rPr>
      </w:pPr>
      <w:r>
        <w:rPr>
          <w:rFonts w:ascii="Verdana" w:eastAsia="Verdana" w:hAnsi="Verdana" w:cs="Verdana"/>
          <w:b/>
          <w:sz w:val="18"/>
          <w:szCs w:val="18"/>
        </w:rPr>
        <w:t>SENTENCIA DE 2</w:t>
      </w:r>
      <w:r w:rsidR="008F498A">
        <w:rPr>
          <w:rFonts w:ascii="Verdana" w:eastAsia="Verdana" w:hAnsi="Verdana" w:cs="Verdana"/>
          <w:b/>
          <w:sz w:val="18"/>
          <w:szCs w:val="18"/>
        </w:rPr>
        <w:t>7</w:t>
      </w:r>
      <w:r>
        <w:rPr>
          <w:rFonts w:ascii="Verdana" w:eastAsia="Verdana" w:hAnsi="Verdana" w:cs="Verdana"/>
          <w:b/>
          <w:sz w:val="18"/>
          <w:szCs w:val="18"/>
        </w:rPr>
        <w:t xml:space="preserve"> DE NOVIEMBRE DE 2023</w:t>
      </w:r>
    </w:p>
    <w:p w14:paraId="237AEB00" w14:textId="18FB04B9" w:rsidR="00862943" w:rsidRDefault="00862943" w:rsidP="00862943">
      <w:pPr>
        <w:pBdr>
          <w:top w:val="nil"/>
          <w:left w:val="nil"/>
          <w:bottom w:val="nil"/>
          <w:right w:val="nil"/>
          <w:between w:val="nil"/>
        </w:pBdr>
        <w:ind w:right="48"/>
        <w:jc w:val="center"/>
        <w:rPr>
          <w:rFonts w:ascii="Verdana" w:eastAsia="Verdana" w:hAnsi="Verdana" w:cs="Verdana"/>
          <w:i/>
          <w:color w:val="000000"/>
          <w:sz w:val="18"/>
          <w:szCs w:val="18"/>
        </w:rPr>
      </w:pPr>
      <w:r>
        <w:rPr>
          <w:rFonts w:ascii="Verdana" w:eastAsia="Verdana" w:hAnsi="Verdana" w:cs="Verdana"/>
          <w:b/>
          <w:i/>
          <w:color w:val="000000"/>
          <w:sz w:val="18"/>
          <w:szCs w:val="18"/>
        </w:rPr>
        <w:t>(Excepci</w:t>
      </w:r>
      <w:r w:rsidR="00BC3FB5">
        <w:rPr>
          <w:rFonts w:ascii="Verdana" w:eastAsia="Verdana" w:hAnsi="Verdana" w:cs="Verdana"/>
          <w:b/>
          <w:i/>
          <w:color w:val="000000"/>
          <w:sz w:val="18"/>
          <w:szCs w:val="18"/>
        </w:rPr>
        <w:t>o</w:t>
      </w:r>
      <w:r>
        <w:rPr>
          <w:rFonts w:ascii="Verdana" w:eastAsia="Verdana" w:hAnsi="Verdana" w:cs="Verdana"/>
          <w:b/>
          <w:i/>
          <w:color w:val="000000"/>
          <w:sz w:val="18"/>
          <w:szCs w:val="18"/>
        </w:rPr>
        <w:t>n</w:t>
      </w:r>
      <w:r w:rsidR="00BC3FB5">
        <w:rPr>
          <w:rFonts w:ascii="Verdana" w:eastAsia="Verdana" w:hAnsi="Verdana" w:cs="Verdana"/>
          <w:b/>
          <w:i/>
          <w:color w:val="000000"/>
          <w:sz w:val="18"/>
          <w:szCs w:val="18"/>
        </w:rPr>
        <w:t>es</w:t>
      </w:r>
      <w:r>
        <w:rPr>
          <w:rFonts w:ascii="Verdana" w:eastAsia="Verdana" w:hAnsi="Verdana" w:cs="Verdana"/>
          <w:b/>
          <w:i/>
          <w:color w:val="000000"/>
          <w:sz w:val="18"/>
          <w:szCs w:val="18"/>
        </w:rPr>
        <w:t xml:space="preserve"> </w:t>
      </w:r>
      <w:r w:rsidR="008D3E6F">
        <w:rPr>
          <w:rFonts w:ascii="Verdana" w:eastAsia="Verdana" w:hAnsi="Verdana" w:cs="Verdana"/>
          <w:b/>
          <w:i/>
          <w:color w:val="000000"/>
          <w:sz w:val="18"/>
          <w:szCs w:val="18"/>
        </w:rPr>
        <w:t>P</w:t>
      </w:r>
      <w:r>
        <w:rPr>
          <w:rFonts w:ascii="Verdana" w:eastAsia="Verdana" w:hAnsi="Verdana" w:cs="Verdana"/>
          <w:b/>
          <w:i/>
          <w:color w:val="000000"/>
          <w:sz w:val="18"/>
          <w:szCs w:val="18"/>
        </w:rPr>
        <w:t>reliminar</w:t>
      </w:r>
      <w:r w:rsidR="00BC3FB5">
        <w:rPr>
          <w:rFonts w:ascii="Verdana" w:eastAsia="Verdana" w:hAnsi="Verdana" w:cs="Verdana"/>
          <w:b/>
          <w:i/>
          <w:color w:val="000000"/>
          <w:sz w:val="18"/>
          <w:szCs w:val="18"/>
        </w:rPr>
        <w:t>es</w:t>
      </w:r>
      <w:r>
        <w:rPr>
          <w:rFonts w:ascii="Verdana" w:eastAsia="Verdana" w:hAnsi="Verdana" w:cs="Verdana"/>
          <w:b/>
          <w:i/>
          <w:color w:val="000000"/>
          <w:sz w:val="18"/>
          <w:szCs w:val="18"/>
        </w:rPr>
        <w:t xml:space="preserve"> y </w:t>
      </w:r>
      <w:r w:rsidR="00BC3FB5">
        <w:rPr>
          <w:rFonts w:ascii="Verdana" w:eastAsia="Verdana" w:hAnsi="Verdana" w:cs="Verdana"/>
          <w:b/>
          <w:i/>
          <w:color w:val="000000"/>
          <w:sz w:val="18"/>
          <w:szCs w:val="18"/>
        </w:rPr>
        <w:t>Fondo</w:t>
      </w:r>
      <w:r>
        <w:rPr>
          <w:rFonts w:ascii="Verdana" w:eastAsia="Verdana" w:hAnsi="Verdana" w:cs="Verdana"/>
          <w:b/>
          <w:i/>
          <w:color w:val="000000"/>
          <w:sz w:val="18"/>
          <w:szCs w:val="18"/>
        </w:rPr>
        <w:t>)</w:t>
      </w:r>
    </w:p>
    <w:p w14:paraId="0854EE52" w14:textId="77777777" w:rsidR="00A359EF" w:rsidRDefault="00A359EF" w:rsidP="00A359EF">
      <w:pPr>
        <w:spacing w:line="276" w:lineRule="auto"/>
        <w:jc w:val="center"/>
        <w:rPr>
          <w:rFonts w:ascii="Verdana" w:hAnsi="Verdana"/>
          <w:b/>
          <w:bCs/>
          <w:sz w:val="20"/>
          <w:szCs w:val="20"/>
          <w:lang w:val="es-ES"/>
        </w:rPr>
      </w:pPr>
    </w:p>
    <w:p w14:paraId="0A3D95B5" w14:textId="77777777" w:rsidR="006C19B2" w:rsidRPr="00836A74" w:rsidRDefault="006C19B2" w:rsidP="00180C5E">
      <w:pPr>
        <w:spacing w:line="276" w:lineRule="auto"/>
        <w:rPr>
          <w:rFonts w:ascii="Verdana" w:hAnsi="Verdana"/>
          <w:b/>
          <w:bCs/>
          <w:sz w:val="20"/>
          <w:szCs w:val="20"/>
          <w:lang w:val="es-ES"/>
        </w:rPr>
      </w:pPr>
    </w:p>
    <w:p w14:paraId="77A4F7F9" w14:textId="77777777" w:rsidR="006C19B2" w:rsidRPr="0042799E" w:rsidRDefault="006C19B2" w:rsidP="00180C5E">
      <w:pPr>
        <w:spacing w:line="276" w:lineRule="auto"/>
        <w:jc w:val="center"/>
        <w:rPr>
          <w:rFonts w:ascii="Verdana" w:hAnsi="Verdana"/>
          <w:b/>
          <w:sz w:val="20"/>
          <w:szCs w:val="20"/>
          <w:lang w:val="es-ES"/>
        </w:rPr>
      </w:pPr>
      <w:r w:rsidRPr="0042799E">
        <w:rPr>
          <w:rFonts w:ascii="Verdana" w:hAnsi="Verdana"/>
          <w:b/>
          <w:sz w:val="20"/>
          <w:szCs w:val="20"/>
          <w:lang w:val="es-ES"/>
        </w:rPr>
        <w:t xml:space="preserve">INTRODUCCIÓN </w:t>
      </w:r>
    </w:p>
    <w:p w14:paraId="0ECA06A4" w14:textId="77777777" w:rsidR="006C19B2" w:rsidRPr="00836A74" w:rsidRDefault="006C19B2" w:rsidP="00D61D5F">
      <w:pPr>
        <w:rPr>
          <w:rFonts w:ascii="Verdana" w:hAnsi="Verdana"/>
          <w:sz w:val="20"/>
          <w:szCs w:val="20"/>
          <w:lang w:val="es-ES"/>
        </w:rPr>
      </w:pPr>
    </w:p>
    <w:p w14:paraId="776D8CBA" w14:textId="1A8CE46E" w:rsidR="006C19B2" w:rsidRDefault="006C19B2" w:rsidP="00D61D5F">
      <w:pPr>
        <w:pStyle w:val="Prrafodelista"/>
        <w:numPr>
          <w:ilvl w:val="0"/>
          <w:numId w:val="3"/>
        </w:numPr>
        <w:ind w:left="0" w:firstLine="0"/>
        <w:jc w:val="both"/>
        <w:rPr>
          <w:rFonts w:ascii="Verdana" w:hAnsi="Verdana"/>
          <w:color w:val="000000" w:themeColor="text1"/>
          <w:sz w:val="20"/>
          <w:szCs w:val="20"/>
          <w:lang w:val="es-ES"/>
        </w:rPr>
      </w:pPr>
      <w:r>
        <w:rPr>
          <w:rFonts w:ascii="Verdana" w:eastAsia="Times New Roman" w:hAnsi="Verdana"/>
          <w:sz w:val="20"/>
          <w:szCs w:val="20"/>
          <w:lang w:val="es-ES" w:eastAsia="es-ES"/>
        </w:rPr>
        <w:t>Con el mayor respeto d</w:t>
      </w:r>
      <w:r w:rsidRPr="00836A74">
        <w:rPr>
          <w:rFonts w:ascii="Verdana" w:eastAsia="Times New Roman" w:hAnsi="Verdana"/>
          <w:sz w:val="20"/>
          <w:szCs w:val="20"/>
          <w:lang w:val="es-ES" w:eastAsia="es-ES"/>
        </w:rPr>
        <w:t>is</w:t>
      </w:r>
      <w:r w:rsidR="00A359EF">
        <w:rPr>
          <w:rFonts w:ascii="Verdana" w:eastAsia="Times New Roman" w:hAnsi="Verdana"/>
          <w:sz w:val="20"/>
          <w:szCs w:val="20"/>
          <w:lang w:val="es-ES" w:eastAsia="es-ES"/>
        </w:rPr>
        <w:t>entimos</w:t>
      </w:r>
      <w:r w:rsidRPr="00836A74">
        <w:rPr>
          <w:rFonts w:ascii="Verdana" w:eastAsia="Times New Roman" w:hAnsi="Verdana"/>
          <w:sz w:val="20"/>
          <w:szCs w:val="20"/>
          <w:lang w:val="es-ES" w:eastAsia="es-ES"/>
        </w:rPr>
        <w:t xml:space="preserve"> con lo decidido en esta Sentencia.</w:t>
      </w:r>
      <w:r>
        <w:rPr>
          <w:rFonts w:ascii="Verdana" w:eastAsia="Times New Roman" w:hAnsi="Verdana"/>
          <w:sz w:val="20"/>
          <w:szCs w:val="20"/>
          <w:lang w:val="es-ES" w:eastAsia="es-ES"/>
        </w:rPr>
        <w:t xml:space="preserve"> Estim</w:t>
      </w:r>
      <w:r w:rsidR="00A359EF">
        <w:rPr>
          <w:rFonts w:ascii="Verdana" w:eastAsia="Times New Roman" w:hAnsi="Verdana"/>
          <w:sz w:val="20"/>
          <w:szCs w:val="20"/>
          <w:lang w:val="es-ES" w:eastAsia="es-ES"/>
        </w:rPr>
        <w:t>amos</w:t>
      </w:r>
      <w:r>
        <w:rPr>
          <w:rFonts w:ascii="Verdana" w:eastAsia="Times New Roman" w:hAnsi="Verdana"/>
          <w:sz w:val="20"/>
          <w:szCs w:val="20"/>
          <w:lang w:val="es-ES" w:eastAsia="es-ES"/>
        </w:rPr>
        <w:t xml:space="preserve"> que se perdió una oportunidad para reafirmar</w:t>
      </w:r>
      <w:r w:rsidRPr="00836A74">
        <w:rPr>
          <w:rFonts w:ascii="Verdana" w:hAnsi="Verdana"/>
          <w:color w:val="000000" w:themeColor="text1"/>
          <w:sz w:val="20"/>
          <w:szCs w:val="20"/>
          <w:lang w:val="es-ES"/>
        </w:rPr>
        <w:t xml:space="preserve"> la jurisprudencia </w:t>
      </w:r>
      <w:r>
        <w:rPr>
          <w:rFonts w:ascii="Verdana" w:hAnsi="Verdana"/>
          <w:color w:val="000000" w:themeColor="text1"/>
          <w:sz w:val="20"/>
          <w:szCs w:val="20"/>
          <w:lang w:val="es-ES"/>
        </w:rPr>
        <w:t xml:space="preserve">interamericana </w:t>
      </w:r>
      <w:r w:rsidRPr="00836A74">
        <w:rPr>
          <w:rFonts w:ascii="Verdana" w:hAnsi="Verdana"/>
          <w:color w:val="000000" w:themeColor="text1"/>
          <w:sz w:val="20"/>
          <w:szCs w:val="20"/>
          <w:lang w:val="es-ES"/>
        </w:rPr>
        <w:t xml:space="preserve">en materia de independencia judicial y explorar de manera detallada el grado de motivación que se requiere en un </w:t>
      </w:r>
      <w:r w:rsidRPr="00322450">
        <w:rPr>
          <w:rFonts w:ascii="Verdana" w:hAnsi="Verdana"/>
          <w:i/>
          <w:iCs/>
          <w:color w:val="000000" w:themeColor="text1"/>
          <w:sz w:val="20"/>
          <w:szCs w:val="20"/>
          <w:lang w:val="es-ES"/>
        </w:rPr>
        <w:t>proceso administrativo sancionador</w:t>
      </w:r>
      <w:r w:rsidRPr="00836A74">
        <w:rPr>
          <w:rFonts w:ascii="Verdana" w:hAnsi="Verdana"/>
          <w:color w:val="000000" w:themeColor="text1"/>
          <w:sz w:val="20"/>
          <w:szCs w:val="20"/>
          <w:lang w:val="es-ES"/>
        </w:rPr>
        <w:t xml:space="preserve"> </w:t>
      </w:r>
      <w:r>
        <w:rPr>
          <w:rFonts w:ascii="Verdana" w:hAnsi="Verdana"/>
          <w:color w:val="000000" w:themeColor="text1"/>
          <w:sz w:val="20"/>
          <w:szCs w:val="20"/>
          <w:lang w:val="es-ES"/>
        </w:rPr>
        <w:t xml:space="preserve">aplicado a juezas y jueces, </w:t>
      </w:r>
      <w:r w:rsidRPr="00836A74">
        <w:rPr>
          <w:rFonts w:ascii="Verdana" w:hAnsi="Verdana"/>
          <w:color w:val="000000" w:themeColor="text1"/>
          <w:sz w:val="20"/>
          <w:szCs w:val="20"/>
          <w:lang w:val="es-ES"/>
        </w:rPr>
        <w:t xml:space="preserve">en el que se encuentran inmersos tipos disciplinarios abiertos o indeterminados. </w:t>
      </w:r>
    </w:p>
    <w:p w14:paraId="445D1DB2" w14:textId="77777777" w:rsidR="00365F1B" w:rsidRDefault="00365F1B" w:rsidP="00443BA5">
      <w:pPr>
        <w:pStyle w:val="Prrafodelista"/>
        <w:ind w:left="0"/>
        <w:jc w:val="both"/>
        <w:rPr>
          <w:rFonts w:ascii="Verdana" w:hAnsi="Verdana"/>
          <w:color w:val="000000" w:themeColor="text1"/>
          <w:sz w:val="20"/>
          <w:szCs w:val="20"/>
          <w:lang w:val="es-ES"/>
        </w:rPr>
      </w:pPr>
    </w:p>
    <w:p w14:paraId="40F7D71A" w14:textId="2ADF7BE4" w:rsidR="00365F1B" w:rsidRPr="0040600B" w:rsidRDefault="00365F1B" w:rsidP="00365F1B">
      <w:pPr>
        <w:pStyle w:val="Prrafodelista"/>
        <w:numPr>
          <w:ilvl w:val="0"/>
          <w:numId w:val="3"/>
        </w:numPr>
        <w:ind w:left="0" w:firstLine="0"/>
        <w:jc w:val="both"/>
        <w:rPr>
          <w:rFonts w:ascii="Verdana" w:eastAsia="Times New Roman" w:hAnsi="Verdana"/>
          <w:sz w:val="20"/>
          <w:szCs w:val="20"/>
          <w:lang w:val="es-ES" w:eastAsia="es-ES"/>
        </w:rPr>
      </w:pPr>
      <w:r w:rsidRPr="0040600B">
        <w:rPr>
          <w:rFonts w:ascii="Verdana" w:hAnsi="Verdana"/>
          <w:sz w:val="20"/>
          <w:szCs w:val="20"/>
          <w:lang w:val="es-ES"/>
        </w:rPr>
        <w:t xml:space="preserve">El objeto del presente caso se refiere al proceso administrativo sancionador que fue iniciado y concluido con la destitución de un juez por una serie de actuaciones que, </w:t>
      </w:r>
      <w:r w:rsidR="00BC3FB5">
        <w:rPr>
          <w:rFonts w:ascii="Verdana" w:hAnsi="Verdana"/>
          <w:sz w:val="20"/>
          <w:szCs w:val="20"/>
          <w:lang w:val="es-ES"/>
        </w:rPr>
        <w:t xml:space="preserve">a </w:t>
      </w:r>
      <w:r w:rsidRPr="0040600B">
        <w:rPr>
          <w:rFonts w:ascii="Verdana" w:hAnsi="Verdana"/>
          <w:sz w:val="20"/>
          <w:szCs w:val="20"/>
          <w:lang w:val="es-ES"/>
        </w:rPr>
        <w:t xml:space="preserve">nivel interno, pudieran ser calificados como actos de corrupción. </w:t>
      </w:r>
      <w:r w:rsidRPr="0040600B">
        <w:rPr>
          <w:rFonts w:ascii="Verdana" w:eastAsia="Times New Roman" w:hAnsi="Verdana"/>
          <w:sz w:val="20"/>
          <w:szCs w:val="20"/>
          <w:lang w:val="es-ES" w:eastAsia="es-ES"/>
        </w:rPr>
        <w:t xml:space="preserve">Estas actuaciones </w:t>
      </w:r>
      <w:r w:rsidRPr="0040600B">
        <w:rPr>
          <w:rFonts w:ascii="Verdana" w:hAnsi="Verdana"/>
          <w:sz w:val="20"/>
          <w:szCs w:val="20"/>
          <w:lang w:val="es-ES"/>
        </w:rPr>
        <w:t xml:space="preserve">fueron las que motivaron a que se le impusiera la sanción de destitución por considerar el Consejo Nacional de la Magistratura (en adelante “CNM”) que la conducta fue “grave”. </w:t>
      </w:r>
      <w:r w:rsidRPr="0040600B">
        <w:rPr>
          <w:rFonts w:ascii="Verdana" w:eastAsia="Times New Roman" w:hAnsi="Verdana"/>
          <w:sz w:val="20"/>
          <w:szCs w:val="20"/>
          <w:lang w:val="es-ES" w:eastAsia="es-ES"/>
        </w:rPr>
        <w:t>El criterio mayoritario consideró que la decisión emitida por el CNM estaba debidamente motivada y, por ende, ello permitía contextualizar la calificación de la gravedad en la que incurrió el entonces juez. Lo anterior tuvo como consecuencia que en la sentencia no se declarara la responsabilidad internacional por la violación de los artículos 8, 9 y 23 de la Convención Americana sobre Derechos Humanos (en adelante “la Convención Americana” o “el Pacto de San José).</w:t>
      </w:r>
    </w:p>
    <w:p w14:paraId="40BCC2E4" w14:textId="77777777" w:rsidR="006C19B2" w:rsidRDefault="006C19B2" w:rsidP="00D61D5F">
      <w:pPr>
        <w:pStyle w:val="Prrafodelista"/>
        <w:ind w:left="0"/>
        <w:jc w:val="both"/>
        <w:rPr>
          <w:rFonts w:ascii="Verdana" w:eastAsia="Times New Roman" w:hAnsi="Verdana"/>
          <w:sz w:val="20"/>
          <w:szCs w:val="20"/>
          <w:lang w:val="es-ES" w:eastAsia="es-ES"/>
        </w:rPr>
      </w:pPr>
    </w:p>
    <w:p w14:paraId="248D8078" w14:textId="3232AE95" w:rsidR="006C19B2" w:rsidRPr="00E25388" w:rsidRDefault="00A359EF" w:rsidP="00E25388">
      <w:pPr>
        <w:pStyle w:val="Prrafodelista"/>
        <w:numPr>
          <w:ilvl w:val="0"/>
          <w:numId w:val="3"/>
        </w:numPr>
        <w:ind w:left="0" w:firstLine="0"/>
        <w:jc w:val="both"/>
        <w:rPr>
          <w:rFonts w:ascii="Verdana" w:eastAsia="Times New Roman" w:hAnsi="Verdana"/>
          <w:sz w:val="20"/>
          <w:szCs w:val="20"/>
          <w:lang w:val="es-ES" w:eastAsia="es-ES"/>
        </w:rPr>
      </w:pPr>
      <w:r>
        <w:rPr>
          <w:rFonts w:ascii="Verdana" w:eastAsia="Times New Roman" w:hAnsi="Verdana"/>
          <w:sz w:val="20"/>
          <w:szCs w:val="20"/>
          <w:lang w:val="es-ES" w:eastAsia="es-ES"/>
        </w:rPr>
        <w:t xml:space="preserve">Nuestro </w:t>
      </w:r>
      <w:r w:rsidR="006C19B2" w:rsidRPr="00836A74">
        <w:rPr>
          <w:rFonts w:ascii="Verdana" w:eastAsia="Times New Roman" w:hAnsi="Verdana"/>
          <w:sz w:val="20"/>
          <w:szCs w:val="20"/>
          <w:lang w:val="es-ES" w:eastAsia="es-ES"/>
        </w:rPr>
        <w:t>disenso se centra respecto de la conclusión que adopta</w:t>
      </w:r>
      <w:r w:rsidR="006C19B2">
        <w:rPr>
          <w:rFonts w:ascii="Verdana" w:eastAsia="Times New Roman" w:hAnsi="Verdana"/>
          <w:sz w:val="20"/>
          <w:szCs w:val="20"/>
          <w:lang w:val="es-ES" w:eastAsia="es-ES"/>
        </w:rPr>
        <w:t xml:space="preserve"> el criterio mayoritario sobre la </w:t>
      </w:r>
      <w:r w:rsidR="006C19B2" w:rsidRPr="00836A74">
        <w:rPr>
          <w:rFonts w:ascii="Verdana" w:eastAsia="Times New Roman" w:hAnsi="Verdana"/>
          <w:sz w:val="20"/>
          <w:szCs w:val="20"/>
          <w:lang w:val="es-ES" w:eastAsia="es-ES"/>
        </w:rPr>
        <w:t xml:space="preserve">no responsabilidad estatal por las violaciones alegadas por la Comisión Interamericana de Derechos Humanos y el señor </w:t>
      </w:r>
      <w:r w:rsidR="00E25388">
        <w:rPr>
          <w:rFonts w:ascii="Verdana" w:eastAsia="Times New Roman" w:hAnsi="Verdana"/>
          <w:sz w:val="20"/>
          <w:szCs w:val="20"/>
          <w:lang w:val="es-ES" w:eastAsia="es-ES"/>
        </w:rPr>
        <w:t>Cajahuanca Vá</w:t>
      </w:r>
      <w:r w:rsidR="00773420">
        <w:rPr>
          <w:rFonts w:ascii="Verdana" w:eastAsia="Times New Roman" w:hAnsi="Verdana"/>
          <w:sz w:val="20"/>
          <w:szCs w:val="20"/>
          <w:lang w:val="es-ES" w:eastAsia="es-ES"/>
        </w:rPr>
        <w:t>s</w:t>
      </w:r>
      <w:r w:rsidR="00E25388">
        <w:rPr>
          <w:rFonts w:ascii="Verdana" w:eastAsia="Times New Roman" w:hAnsi="Verdana"/>
          <w:sz w:val="20"/>
          <w:szCs w:val="20"/>
          <w:lang w:val="es-ES" w:eastAsia="es-ES"/>
        </w:rPr>
        <w:t>quez</w:t>
      </w:r>
      <w:r w:rsidR="00322450">
        <w:rPr>
          <w:rFonts w:ascii="Verdana" w:eastAsia="Times New Roman" w:hAnsi="Verdana"/>
          <w:sz w:val="20"/>
          <w:szCs w:val="20"/>
          <w:lang w:val="es-ES" w:eastAsia="es-ES"/>
        </w:rPr>
        <w:t xml:space="preserve"> por conducto de sus Defensores Públicos Interamericanos</w:t>
      </w:r>
      <w:r w:rsidR="00E25388">
        <w:rPr>
          <w:rFonts w:ascii="Verdana" w:eastAsia="Times New Roman" w:hAnsi="Verdana"/>
          <w:sz w:val="20"/>
          <w:szCs w:val="20"/>
          <w:lang w:val="es-ES" w:eastAsia="es-ES"/>
        </w:rPr>
        <w:t xml:space="preserve">. </w:t>
      </w:r>
      <w:r w:rsidR="006C19B2" w:rsidRPr="00E25388">
        <w:rPr>
          <w:rFonts w:ascii="Verdana" w:eastAsia="Times New Roman" w:hAnsi="Verdana"/>
          <w:sz w:val="20"/>
          <w:szCs w:val="20"/>
          <w:lang w:val="es-ES" w:eastAsia="es-ES"/>
        </w:rPr>
        <w:t>Estim</w:t>
      </w:r>
      <w:r>
        <w:rPr>
          <w:rFonts w:ascii="Verdana" w:eastAsia="Times New Roman" w:hAnsi="Verdana"/>
          <w:sz w:val="20"/>
          <w:szCs w:val="20"/>
          <w:lang w:val="es-ES" w:eastAsia="es-ES"/>
        </w:rPr>
        <w:t>amos</w:t>
      </w:r>
      <w:r w:rsidR="006C19B2" w:rsidRPr="00E25388">
        <w:rPr>
          <w:rFonts w:ascii="Verdana" w:eastAsia="Times New Roman" w:hAnsi="Verdana"/>
          <w:sz w:val="20"/>
          <w:szCs w:val="20"/>
          <w:lang w:val="es-ES" w:eastAsia="es-ES"/>
        </w:rPr>
        <w:t xml:space="preserve"> que el criterio mayoritario debió considerar un análisis diferente respecto a la forma en la que fue abordado el caso, por lo que hace al análisis de la </w:t>
      </w:r>
      <w:r w:rsidR="006C19B2" w:rsidRPr="00E25388">
        <w:rPr>
          <w:rFonts w:ascii="Verdana" w:eastAsia="Times New Roman" w:hAnsi="Verdana"/>
          <w:i/>
          <w:sz w:val="20"/>
          <w:szCs w:val="20"/>
          <w:lang w:val="es-ES" w:eastAsia="es-ES"/>
        </w:rPr>
        <w:t>independencia judicial y el principio de legalidad</w:t>
      </w:r>
      <w:r w:rsidR="006C19B2" w:rsidRPr="00E25388">
        <w:rPr>
          <w:rFonts w:ascii="Verdana" w:eastAsia="Times New Roman" w:hAnsi="Verdana"/>
          <w:sz w:val="20"/>
          <w:szCs w:val="20"/>
          <w:lang w:val="es-ES" w:eastAsia="es-ES"/>
        </w:rPr>
        <w:t xml:space="preserve">, así como por </w:t>
      </w:r>
      <w:r>
        <w:rPr>
          <w:rFonts w:ascii="Verdana" w:eastAsia="Times New Roman" w:hAnsi="Verdana"/>
          <w:iCs/>
          <w:sz w:val="20"/>
          <w:szCs w:val="20"/>
          <w:lang w:val="es-ES" w:eastAsia="es-ES"/>
        </w:rPr>
        <w:t>el</w:t>
      </w:r>
      <w:r w:rsidR="006C19B2" w:rsidRPr="00E25388">
        <w:rPr>
          <w:rFonts w:ascii="Verdana" w:eastAsia="Times New Roman" w:hAnsi="Verdana"/>
          <w:i/>
          <w:sz w:val="20"/>
          <w:szCs w:val="20"/>
          <w:lang w:val="es-ES" w:eastAsia="es-ES"/>
        </w:rPr>
        <w:t xml:space="preserve"> debido proceso y la efectividad del recurso de amparo</w:t>
      </w:r>
      <w:r w:rsidR="006C19B2" w:rsidRPr="00E25388">
        <w:rPr>
          <w:rFonts w:ascii="Verdana" w:eastAsia="Times New Roman" w:hAnsi="Verdana"/>
          <w:sz w:val="20"/>
          <w:szCs w:val="20"/>
          <w:lang w:val="es-ES" w:eastAsia="es-ES"/>
        </w:rPr>
        <w:t>.</w:t>
      </w:r>
      <w:r w:rsidR="00E25388">
        <w:rPr>
          <w:rFonts w:ascii="Verdana" w:eastAsia="Times New Roman" w:hAnsi="Verdana"/>
          <w:sz w:val="20"/>
          <w:szCs w:val="20"/>
          <w:lang w:val="es-ES" w:eastAsia="es-ES"/>
        </w:rPr>
        <w:t xml:space="preserve"> De igual </w:t>
      </w:r>
      <w:r w:rsidR="00947A57">
        <w:rPr>
          <w:rFonts w:ascii="Verdana" w:eastAsia="Times New Roman" w:hAnsi="Verdana"/>
          <w:sz w:val="20"/>
          <w:szCs w:val="20"/>
          <w:lang w:val="es-ES" w:eastAsia="es-ES"/>
        </w:rPr>
        <w:t xml:space="preserve">manera </w:t>
      </w:r>
      <w:r>
        <w:rPr>
          <w:rFonts w:ascii="Verdana" w:eastAsia="Times New Roman" w:hAnsi="Verdana"/>
          <w:sz w:val="20"/>
          <w:szCs w:val="20"/>
          <w:lang w:val="es-ES" w:eastAsia="es-ES"/>
        </w:rPr>
        <w:t>consideramos</w:t>
      </w:r>
      <w:r w:rsidR="00947A57">
        <w:rPr>
          <w:rFonts w:ascii="Verdana" w:eastAsia="Times New Roman" w:hAnsi="Verdana"/>
          <w:sz w:val="20"/>
          <w:szCs w:val="20"/>
          <w:lang w:val="es-ES" w:eastAsia="es-ES"/>
        </w:rPr>
        <w:t xml:space="preserve"> que el caso ameritaba, que se declarara la vulneración del derecho al acceso a los cargos públicos en condiciones de igualdad y el derecho al trabajo</w:t>
      </w:r>
      <w:r w:rsidR="008B4F13">
        <w:rPr>
          <w:rFonts w:ascii="Verdana" w:eastAsia="Times New Roman" w:hAnsi="Verdana"/>
          <w:sz w:val="20"/>
          <w:szCs w:val="20"/>
          <w:lang w:val="es-ES" w:eastAsia="es-ES"/>
        </w:rPr>
        <w:t>, como lo ha realizado en casos anteriores la Corte IDH cuando se trata de destitución arbitraria de juzgadores.</w:t>
      </w:r>
    </w:p>
    <w:p w14:paraId="6A301311" w14:textId="77777777" w:rsidR="006C19B2" w:rsidRPr="00FB7AF7" w:rsidRDefault="006C19B2" w:rsidP="00443BA5">
      <w:pPr>
        <w:rPr>
          <w:lang w:val="es-ES" w:eastAsia="es-ES"/>
        </w:rPr>
      </w:pPr>
    </w:p>
    <w:p w14:paraId="7812CDF7" w14:textId="655253CF" w:rsidR="0073736E" w:rsidRPr="0073736E" w:rsidRDefault="006C19B2" w:rsidP="0073736E">
      <w:pPr>
        <w:pStyle w:val="Prrafodelista"/>
        <w:numPr>
          <w:ilvl w:val="0"/>
          <w:numId w:val="3"/>
        </w:numPr>
        <w:ind w:left="0" w:firstLine="0"/>
        <w:jc w:val="both"/>
        <w:rPr>
          <w:rFonts w:ascii="Verdana" w:hAnsi="Verdana"/>
          <w:sz w:val="20"/>
          <w:szCs w:val="20"/>
          <w:lang w:val="es-ES"/>
        </w:rPr>
      </w:pPr>
      <w:r w:rsidRPr="0073736E">
        <w:rPr>
          <w:rFonts w:ascii="Verdana" w:eastAsia="Times New Roman" w:hAnsi="Verdana"/>
          <w:sz w:val="20"/>
          <w:szCs w:val="20"/>
          <w:lang w:val="es-ES" w:eastAsia="es-ES"/>
        </w:rPr>
        <w:t>Contrariamente, como lo expondr</w:t>
      </w:r>
      <w:r w:rsidR="00D03525" w:rsidRPr="0073736E">
        <w:rPr>
          <w:rFonts w:ascii="Verdana" w:eastAsia="Times New Roman" w:hAnsi="Verdana"/>
          <w:sz w:val="20"/>
          <w:szCs w:val="20"/>
          <w:lang w:val="es-ES" w:eastAsia="es-ES"/>
        </w:rPr>
        <w:t>emos</w:t>
      </w:r>
      <w:r w:rsidRPr="0073736E">
        <w:rPr>
          <w:rFonts w:ascii="Verdana" w:eastAsia="Times New Roman" w:hAnsi="Verdana"/>
          <w:sz w:val="20"/>
          <w:szCs w:val="20"/>
          <w:lang w:val="es-ES" w:eastAsia="es-ES"/>
        </w:rPr>
        <w:t xml:space="preserve"> a continuación</w:t>
      </w:r>
      <w:r w:rsidR="00E36640" w:rsidRPr="0073736E">
        <w:rPr>
          <w:rFonts w:ascii="Verdana" w:eastAsia="Times New Roman" w:hAnsi="Verdana"/>
          <w:sz w:val="20"/>
          <w:szCs w:val="20"/>
          <w:lang w:val="es-ES" w:eastAsia="es-ES"/>
        </w:rPr>
        <w:t xml:space="preserve"> y</w:t>
      </w:r>
      <w:r w:rsidR="00D03525" w:rsidRPr="0073736E">
        <w:rPr>
          <w:rFonts w:ascii="Verdana" w:eastAsia="Times New Roman" w:hAnsi="Verdana"/>
          <w:sz w:val="20"/>
          <w:szCs w:val="20"/>
          <w:lang w:val="es-ES" w:eastAsia="es-ES"/>
        </w:rPr>
        <w:t xml:space="preserve"> con el mismo entendimiento del criterio minoritario en el caso</w:t>
      </w:r>
      <w:r w:rsidR="00E36640" w:rsidRPr="0073736E">
        <w:rPr>
          <w:rFonts w:ascii="Verdana" w:eastAsia="Times New Roman" w:hAnsi="Verdana"/>
          <w:sz w:val="20"/>
          <w:szCs w:val="20"/>
          <w:lang w:val="es-ES" w:eastAsia="es-ES"/>
        </w:rPr>
        <w:t xml:space="preserve"> </w:t>
      </w:r>
      <w:r w:rsidR="00E36640" w:rsidRPr="0073736E">
        <w:rPr>
          <w:rFonts w:ascii="Verdana" w:eastAsia="Times New Roman" w:hAnsi="Verdana"/>
          <w:i/>
          <w:iCs/>
          <w:sz w:val="20"/>
          <w:szCs w:val="20"/>
          <w:lang w:val="es-ES" w:eastAsia="es-ES"/>
        </w:rPr>
        <w:t>Cordero Berna</w:t>
      </w:r>
      <w:r w:rsidR="00D03525" w:rsidRPr="0073736E">
        <w:rPr>
          <w:rFonts w:ascii="Verdana" w:eastAsia="Times New Roman" w:hAnsi="Verdana"/>
          <w:i/>
          <w:iCs/>
          <w:sz w:val="20"/>
          <w:szCs w:val="20"/>
          <w:lang w:val="es-ES" w:eastAsia="es-ES"/>
        </w:rPr>
        <w:t>l Vs. Perú</w:t>
      </w:r>
      <w:r w:rsidR="00D03525" w:rsidRPr="00D03525">
        <w:rPr>
          <w:rStyle w:val="Refdenotaalpie"/>
          <w:rFonts w:ascii="Verdana" w:eastAsia="Times New Roman" w:hAnsi="Verdana"/>
          <w:sz w:val="20"/>
          <w:szCs w:val="20"/>
          <w:lang w:val="es-ES" w:eastAsia="es-ES"/>
        </w:rPr>
        <w:footnoteReference w:id="1"/>
      </w:r>
      <w:r w:rsidRPr="0073736E">
        <w:rPr>
          <w:rFonts w:ascii="Verdana" w:eastAsia="Times New Roman" w:hAnsi="Verdana"/>
          <w:sz w:val="20"/>
          <w:szCs w:val="20"/>
          <w:lang w:val="es-ES" w:eastAsia="es-ES"/>
        </w:rPr>
        <w:t>, consider</w:t>
      </w:r>
      <w:r w:rsidR="00D03525" w:rsidRPr="0073736E">
        <w:rPr>
          <w:rFonts w:ascii="Verdana" w:eastAsia="Times New Roman" w:hAnsi="Verdana"/>
          <w:sz w:val="20"/>
          <w:szCs w:val="20"/>
          <w:lang w:val="es-ES" w:eastAsia="es-ES"/>
        </w:rPr>
        <w:t>amos</w:t>
      </w:r>
      <w:r w:rsidRPr="0073736E">
        <w:rPr>
          <w:rFonts w:ascii="Verdana" w:eastAsia="Times New Roman" w:hAnsi="Verdana"/>
          <w:sz w:val="20"/>
          <w:szCs w:val="20"/>
          <w:lang w:val="es-ES" w:eastAsia="es-ES"/>
        </w:rPr>
        <w:t xml:space="preserve"> que debió analizarse conjuntamente la independencia judicial —en su </w:t>
      </w:r>
      <w:r w:rsidRPr="0073736E">
        <w:rPr>
          <w:rFonts w:ascii="Verdana" w:eastAsia="Times New Roman" w:hAnsi="Verdana"/>
          <w:sz w:val="20"/>
          <w:szCs w:val="20"/>
          <w:lang w:val="es-ES" w:eastAsia="es-ES"/>
        </w:rPr>
        <w:lastRenderedPageBreak/>
        <w:t xml:space="preserve">vertiente de </w:t>
      </w:r>
      <w:r w:rsidRPr="0073736E">
        <w:rPr>
          <w:rFonts w:ascii="Verdana" w:eastAsia="Times New Roman" w:hAnsi="Verdana"/>
          <w:i/>
          <w:iCs/>
          <w:sz w:val="20"/>
          <w:szCs w:val="20"/>
          <w:lang w:val="es-ES" w:eastAsia="es-ES"/>
        </w:rPr>
        <w:t>garantía reforzada</w:t>
      </w:r>
      <w:r w:rsidRPr="0073736E">
        <w:rPr>
          <w:rFonts w:ascii="Verdana" w:eastAsia="Times New Roman" w:hAnsi="Verdana"/>
          <w:sz w:val="20"/>
          <w:szCs w:val="20"/>
          <w:lang w:val="es-ES" w:eastAsia="es-ES"/>
        </w:rPr>
        <w:t xml:space="preserve"> respecto a la inamovilidad en el cargo</w:t>
      </w:r>
      <w:r w:rsidR="007C1CB7" w:rsidRPr="0073736E">
        <w:rPr>
          <w:rFonts w:ascii="Verdana" w:eastAsia="Times New Roman" w:hAnsi="Verdana"/>
          <w:sz w:val="20"/>
          <w:szCs w:val="20"/>
          <w:lang w:val="es-ES" w:eastAsia="es-ES"/>
        </w:rPr>
        <w:t xml:space="preserve"> (art. 23)</w:t>
      </w:r>
      <w:r w:rsidR="008B4F13">
        <w:rPr>
          <w:rFonts w:ascii="Verdana" w:eastAsia="Times New Roman" w:hAnsi="Verdana"/>
          <w:sz w:val="20"/>
          <w:szCs w:val="20"/>
          <w:lang w:val="es-ES" w:eastAsia="es-ES"/>
        </w:rPr>
        <w:t xml:space="preserve">, a la </w:t>
      </w:r>
      <w:r w:rsidR="00D03525" w:rsidRPr="0073736E">
        <w:rPr>
          <w:rFonts w:ascii="Verdana" w:eastAsia="Times New Roman" w:hAnsi="Verdana"/>
          <w:sz w:val="20"/>
          <w:szCs w:val="20"/>
          <w:lang w:val="es-ES" w:eastAsia="es-ES"/>
        </w:rPr>
        <w:t xml:space="preserve">estabilidad laboral </w:t>
      </w:r>
      <w:r w:rsidRPr="0073736E">
        <w:rPr>
          <w:rFonts w:ascii="Verdana" w:eastAsia="Times New Roman" w:hAnsi="Verdana"/>
          <w:sz w:val="20"/>
          <w:szCs w:val="20"/>
          <w:lang w:val="es-ES" w:eastAsia="es-ES"/>
        </w:rPr>
        <w:t>para juezas y jueces</w:t>
      </w:r>
      <w:r w:rsidR="007C1CB7" w:rsidRPr="0073736E">
        <w:rPr>
          <w:rFonts w:ascii="Verdana" w:eastAsia="Times New Roman" w:hAnsi="Verdana"/>
          <w:sz w:val="20"/>
          <w:szCs w:val="20"/>
          <w:lang w:val="es-ES" w:eastAsia="es-ES"/>
        </w:rPr>
        <w:t xml:space="preserve"> (art. 26)</w:t>
      </w:r>
      <w:r w:rsidRPr="0073736E">
        <w:rPr>
          <w:rFonts w:ascii="Verdana" w:eastAsia="Times New Roman" w:hAnsi="Verdana"/>
          <w:sz w:val="20"/>
          <w:szCs w:val="20"/>
          <w:lang w:val="es-ES" w:eastAsia="es-ES"/>
        </w:rPr>
        <w:t xml:space="preserve"> y el principio de legalidad</w:t>
      </w:r>
      <w:r w:rsidR="007C1CB7" w:rsidRPr="0073736E">
        <w:rPr>
          <w:rFonts w:ascii="Verdana" w:eastAsia="Times New Roman" w:hAnsi="Verdana"/>
          <w:sz w:val="20"/>
          <w:szCs w:val="20"/>
          <w:lang w:val="es-ES" w:eastAsia="es-ES"/>
        </w:rPr>
        <w:t xml:space="preserve"> (art</w:t>
      </w:r>
      <w:r w:rsidRPr="0073736E">
        <w:rPr>
          <w:rFonts w:ascii="Verdana" w:eastAsia="Times New Roman" w:hAnsi="Verdana"/>
          <w:sz w:val="20"/>
          <w:szCs w:val="20"/>
          <w:lang w:val="es-ES" w:eastAsia="es-ES"/>
        </w:rPr>
        <w:t>.</w:t>
      </w:r>
      <w:r w:rsidR="007C1CB7" w:rsidRPr="0073736E">
        <w:rPr>
          <w:rFonts w:ascii="Verdana" w:eastAsia="Times New Roman" w:hAnsi="Verdana"/>
          <w:sz w:val="20"/>
          <w:szCs w:val="20"/>
          <w:lang w:val="es-ES" w:eastAsia="es-ES"/>
        </w:rPr>
        <w:t xml:space="preserve"> 9).</w:t>
      </w:r>
      <w:r w:rsidRPr="0073736E">
        <w:rPr>
          <w:rFonts w:ascii="Verdana" w:eastAsia="Times New Roman" w:hAnsi="Verdana"/>
          <w:sz w:val="20"/>
          <w:szCs w:val="20"/>
          <w:lang w:val="es-ES" w:eastAsia="es-ES"/>
        </w:rPr>
        <w:t xml:space="preserve"> En efecto, </w:t>
      </w:r>
      <w:r w:rsidRPr="0073736E">
        <w:rPr>
          <w:rFonts w:ascii="Verdana" w:hAnsi="Verdana"/>
          <w:sz w:val="20"/>
          <w:szCs w:val="20"/>
        </w:rPr>
        <w:t xml:space="preserve">el problema de indeterminación de la causal disciplinaria aplicada al señor </w:t>
      </w:r>
      <w:r w:rsidR="00B23F63" w:rsidRPr="0073736E">
        <w:rPr>
          <w:rFonts w:ascii="Verdana" w:eastAsia="Times New Roman" w:hAnsi="Verdana"/>
          <w:sz w:val="20"/>
          <w:szCs w:val="20"/>
          <w:lang w:val="es-ES" w:eastAsia="es-ES"/>
        </w:rPr>
        <w:t>Cajahuanca Vá</w:t>
      </w:r>
      <w:r w:rsidR="00D03525" w:rsidRPr="0073736E">
        <w:rPr>
          <w:rFonts w:ascii="Verdana" w:eastAsia="Times New Roman" w:hAnsi="Verdana"/>
          <w:sz w:val="20"/>
          <w:szCs w:val="20"/>
          <w:lang w:val="es-ES" w:eastAsia="es-ES"/>
        </w:rPr>
        <w:t>s</w:t>
      </w:r>
      <w:r w:rsidR="00B23F63" w:rsidRPr="0073736E">
        <w:rPr>
          <w:rFonts w:ascii="Verdana" w:eastAsia="Times New Roman" w:hAnsi="Verdana"/>
          <w:sz w:val="20"/>
          <w:szCs w:val="20"/>
          <w:lang w:val="es-ES" w:eastAsia="es-ES"/>
        </w:rPr>
        <w:t>quez</w:t>
      </w:r>
      <w:r w:rsidRPr="0073736E">
        <w:rPr>
          <w:rFonts w:ascii="Verdana" w:hAnsi="Verdana"/>
          <w:sz w:val="20"/>
          <w:szCs w:val="20"/>
        </w:rPr>
        <w:t xml:space="preserve">, está relacionado no solo con la alegada violación </w:t>
      </w:r>
      <w:r w:rsidR="007C1CB7" w:rsidRPr="0073736E">
        <w:rPr>
          <w:rFonts w:ascii="Verdana" w:hAnsi="Verdana"/>
          <w:sz w:val="20"/>
          <w:szCs w:val="20"/>
        </w:rPr>
        <w:t>al</w:t>
      </w:r>
      <w:r w:rsidRPr="0073736E">
        <w:rPr>
          <w:rFonts w:ascii="Verdana" w:hAnsi="Verdana"/>
          <w:sz w:val="20"/>
          <w:szCs w:val="20"/>
        </w:rPr>
        <w:t xml:space="preserve"> principio de independencia judicial en relación con la garantía de inamovilidad en el cargo, sino también</w:t>
      </w:r>
      <w:r w:rsidR="007C1CB7" w:rsidRPr="0073736E">
        <w:rPr>
          <w:rFonts w:ascii="Verdana" w:hAnsi="Verdana"/>
          <w:sz w:val="20"/>
          <w:szCs w:val="20"/>
        </w:rPr>
        <w:t xml:space="preserve">, vía </w:t>
      </w:r>
      <w:proofErr w:type="spellStart"/>
      <w:r w:rsidR="007C1CB7" w:rsidRPr="0073736E">
        <w:rPr>
          <w:rFonts w:ascii="Verdana" w:hAnsi="Verdana"/>
          <w:i/>
          <w:iCs/>
          <w:sz w:val="20"/>
          <w:szCs w:val="20"/>
        </w:rPr>
        <w:t>iura</w:t>
      </w:r>
      <w:proofErr w:type="spellEnd"/>
      <w:r w:rsidR="007C1CB7" w:rsidRPr="0073736E">
        <w:rPr>
          <w:rFonts w:ascii="Verdana" w:hAnsi="Verdana"/>
          <w:i/>
          <w:iCs/>
          <w:sz w:val="20"/>
          <w:szCs w:val="20"/>
        </w:rPr>
        <w:t xml:space="preserve"> </w:t>
      </w:r>
      <w:proofErr w:type="spellStart"/>
      <w:r w:rsidR="007C1CB7" w:rsidRPr="0073736E">
        <w:rPr>
          <w:rFonts w:ascii="Verdana" w:hAnsi="Verdana"/>
          <w:i/>
          <w:iCs/>
          <w:sz w:val="20"/>
          <w:szCs w:val="20"/>
        </w:rPr>
        <w:t>novit</w:t>
      </w:r>
      <w:proofErr w:type="spellEnd"/>
      <w:r w:rsidR="007C1CB7" w:rsidRPr="0073736E">
        <w:rPr>
          <w:rFonts w:ascii="Verdana" w:hAnsi="Verdana"/>
          <w:i/>
          <w:iCs/>
          <w:sz w:val="20"/>
          <w:szCs w:val="20"/>
        </w:rPr>
        <w:t xml:space="preserve"> curia</w:t>
      </w:r>
      <w:r w:rsidR="007C1CB7" w:rsidRPr="0073736E">
        <w:rPr>
          <w:rFonts w:ascii="Verdana" w:hAnsi="Verdana"/>
          <w:sz w:val="20"/>
          <w:szCs w:val="20"/>
        </w:rPr>
        <w:t xml:space="preserve"> con la estabilidad laboral </w:t>
      </w:r>
      <w:r w:rsidR="00BC3FB5" w:rsidRPr="0073736E">
        <w:rPr>
          <w:rFonts w:ascii="Verdana" w:hAnsi="Verdana"/>
          <w:sz w:val="20"/>
          <w:szCs w:val="20"/>
        </w:rPr>
        <w:t>protegid</w:t>
      </w:r>
      <w:r w:rsidR="00BC3FB5">
        <w:rPr>
          <w:rFonts w:ascii="Verdana" w:hAnsi="Verdana"/>
          <w:sz w:val="20"/>
          <w:szCs w:val="20"/>
        </w:rPr>
        <w:t>a</w:t>
      </w:r>
      <w:r w:rsidR="00BC3FB5" w:rsidRPr="0073736E">
        <w:rPr>
          <w:rFonts w:ascii="Verdana" w:hAnsi="Verdana"/>
          <w:sz w:val="20"/>
          <w:szCs w:val="20"/>
        </w:rPr>
        <w:t xml:space="preserve"> </w:t>
      </w:r>
      <w:r w:rsidR="00A24B08" w:rsidRPr="0073736E">
        <w:rPr>
          <w:rFonts w:ascii="Verdana" w:hAnsi="Verdana"/>
          <w:sz w:val="20"/>
          <w:szCs w:val="20"/>
        </w:rPr>
        <w:t xml:space="preserve">por </w:t>
      </w:r>
      <w:r w:rsidR="007C1CB7" w:rsidRPr="0073736E">
        <w:rPr>
          <w:rFonts w:ascii="Verdana" w:hAnsi="Verdana"/>
          <w:sz w:val="20"/>
          <w:szCs w:val="20"/>
        </w:rPr>
        <w:t>la Convención Americana</w:t>
      </w:r>
      <w:r w:rsidR="00A24B08" w:rsidRPr="0073736E">
        <w:rPr>
          <w:rFonts w:ascii="Verdana" w:hAnsi="Verdana"/>
          <w:sz w:val="20"/>
          <w:szCs w:val="20"/>
        </w:rPr>
        <w:t xml:space="preserve">, y </w:t>
      </w:r>
      <w:r w:rsidRPr="0073736E">
        <w:rPr>
          <w:rFonts w:ascii="Verdana" w:hAnsi="Verdana"/>
          <w:sz w:val="20"/>
          <w:szCs w:val="20"/>
        </w:rPr>
        <w:t>con la alegada violación del principio de legalidad</w:t>
      </w:r>
      <w:r w:rsidR="00A24B08" w:rsidRPr="0073736E">
        <w:rPr>
          <w:rFonts w:ascii="Verdana" w:hAnsi="Verdana"/>
          <w:sz w:val="20"/>
          <w:szCs w:val="20"/>
        </w:rPr>
        <w:t>.</w:t>
      </w:r>
      <w:r w:rsidRPr="0073736E">
        <w:rPr>
          <w:rFonts w:ascii="Verdana" w:hAnsi="Verdana"/>
          <w:sz w:val="20"/>
          <w:szCs w:val="20"/>
        </w:rPr>
        <w:t xml:space="preserve"> Lo anterior, porque tratándose de sanciones disciplinarias impuestas a juezas y jueces, el cumplimiento del principio de legalidad es de vital importan</w:t>
      </w:r>
      <w:r w:rsidR="008A2CD5" w:rsidRPr="0073736E">
        <w:rPr>
          <w:rFonts w:ascii="Verdana" w:hAnsi="Verdana"/>
          <w:sz w:val="20"/>
          <w:szCs w:val="20"/>
        </w:rPr>
        <w:t>cia</w:t>
      </w:r>
      <w:r w:rsidRPr="0073736E">
        <w:rPr>
          <w:rFonts w:ascii="Verdana" w:hAnsi="Verdana"/>
          <w:sz w:val="20"/>
          <w:szCs w:val="20"/>
        </w:rPr>
        <w:t>, en la medida en que constituye una garantía para su independencia</w:t>
      </w:r>
      <w:r w:rsidRPr="002B7C64">
        <w:rPr>
          <w:rStyle w:val="Refdenotaalpie"/>
          <w:rFonts w:ascii="Verdana" w:hAnsi="Verdana"/>
          <w:sz w:val="20"/>
          <w:szCs w:val="20"/>
        </w:rPr>
        <w:footnoteReference w:id="2"/>
      </w:r>
      <w:r w:rsidRPr="0073736E">
        <w:rPr>
          <w:rFonts w:ascii="Verdana" w:hAnsi="Verdana"/>
          <w:sz w:val="20"/>
          <w:szCs w:val="20"/>
        </w:rPr>
        <w:t xml:space="preserve"> y, por esa razón, el análisis de la alegada violación a estos derechos</w:t>
      </w:r>
      <w:r w:rsidR="00A24B08" w:rsidRPr="0073736E">
        <w:rPr>
          <w:rFonts w:ascii="Verdana" w:hAnsi="Verdana"/>
          <w:sz w:val="20"/>
          <w:szCs w:val="20"/>
        </w:rPr>
        <w:t xml:space="preserve">, </w:t>
      </w:r>
      <w:r w:rsidRPr="0073736E">
        <w:rPr>
          <w:rFonts w:ascii="Verdana" w:hAnsi="Verdana"/>
          <w:sz w:val="20"/>
          <w:szCs w:val="20"/>
        </w:rPr>
        <w:t>estim</w:t>
      </w:r>
      <w:r w:rsidR="00A24B08" w:rsidRPr="0073736E">
        <w:rPr>
          <w:rFonts w:ascii="Verdana" w:hAnsi="Verdana"/>
          <w:sz w:val="20"/>
          <w:szCs w:val="20"/>
        </w:rPr>
        <w:t>amos</w:t>
      </w:r>
      <w:r w:rsidRPr="0073736E">
        <w:rPr>
          <w:rFonts w:ascii="Verdana" w:hAnsi="Verdana"/>
          <w:sz w:val="20"/>
          <w:szCs w:val="20"/>
        </w:rPr>
        <w:t xml:space="preserve"> debió realizarse de manera conjunta</w:t>
      </w:r>
      <w:r w:rsidR="00394ED6" w:rsidRPr="0073736E">
        <w:rPr>
          <w:rFonts w:ascii="Verdana" w:hAnsi="Verdana"/>
          <w:sz w:val="20"/>
          <w:szCs w:val="20"/>
        </w:rPr>
        <w:t xml:space="preserve"> y de manera reforzada</w:t>
      </w:r>
      <w:r w:rsidRPr="0073736E">
        <w:rPr>
          <w:rFonts w:ascii="Verdana" w:hAnsi="Verdana"/>
          <w:sz w:val="20"/>
          <w:szCs w:val="20"/>
        </w:rPr>
        <w:t>.</w:t>
      </w:r>
    </w:p>
    <w:p w14:paraId="02152395" w14:textId="77777777" w:rsidR="0073736E" w:rsidRPr="0073736E" w:rsidRDefault="0073736E" w:rsidP="0073736E">
      <w:pPr>
        <w:pStyle w:val="Prrafodelista"/>
        <w:ind w:left="0"/>
        <w:jc w:val="both"/>
        <w:rPr>
          <w:rFonts w:ascii="Verdana" w:hAnsi="Verdana"/>
          <w:sz w:val="20"/>
          <w:szCs w:val="20"/>
          <w:lang w:val="es-ES"/>
        </w:rPr>
      </w:pPr>
    </w:p>
    <w:p w14:paraId="5A15C2C1" w14:textId="5EEF3C60" w:rsidR="006C19B2" w:rsidRPr="00120D37" w:rsidRDefault="00A24B08" w:rsidP="0073736E">
      <w:pPr>
        <w:pStyle w:val="Prrafodelista"/>
        <w:numPr>
          <w:ilvl w:val="0"/>
          <w:numId w:val="3"/>
        </w:numPr>
        <w:ind w:left="0" w:firstLine="0"/>
        <w:jc w:val="both"/>
        <w:rPr>
          <w:rFonts w:ascii="Verdana" w:hAnsi="Verdana"/>
          <w:sz w:val="20"/>
          <w:szCs w:val="20"/>
          <w:lang w:val="es-ES"/>
        </w:rPr>
      </w:pPr>
      <w:r w:rsidRPr="0073736E">
        <w:rPr>
          <w:rFonts w:ascii="Verdana" w:hAnsi="Verdana"/>
          <w:sz w:val="20"/>
          <w:szCs w:val="20"/>
        </w:rPr>
        <w:t xml:space="preserve"> Además </w:t>
      </w:r>
      <w:r w:rsidR="008B4F13">
        <w:rPr>
          <w:rFonts w:ascii="Verdana" w:hAnsi="Verdana"/>
          <w:sz w:val="20"/>
          <w:szCs w:val="20"/>
        </w:rPr>
        <w:t>de lo anterior, atendiendo a</w:t>
      </w:r>
      <w:r w:rsidRPr="0073736E">
        <w:rPr>
          <w:rFonts w:ascii="Verdana" w:hAnsi="Verdana"/>
          <w:sz w:val="20"/>
          <w:szCs w:val="20"/>
        </w:rPr>
        <w:t xml:space="preserve"> la falta de protección judicial, debido a que </w:t>
      </w:r>
      <w:r w:rsidR="0073736E" w:rsidRPr="0073736E">
        <w:rPr>
          <w:rFonts w:ascii="Verdana" w:hAnsi="Verdana"/>
          <w:sz w:val="20"/>
          <w:szCs w:val="20"/>
        </w:rPr>
        <w:t xml:space="preserve">el recurso </w:t>
      </w:r>
      <w:r w:rsidR="008B4F13">
        <w:rPr>
          <w:rFonts w:ascii="Verdana" w:hAnsi="Verdana"/>
          <w:sz w:val="20"/>
          <w:szCs w:val="20"/>
        </w:rPr>
        <w:t xml:space="preserve">interpuesto </w:t>
      </w:r>
      <w:r w:rsidR="0073736E" w:rsidRPr="0073736E">
        <w:rPr>
          <w:rFonts w:ascii="Verdana" w:hAnsi="Verdana"/>
          <w:sz w:val="20"/>
          <w:szCs w:val="20"/>
        </w:rPr>
        <w:t xml:space="preserve">al momento de los hechos acotaba su procedencia únicamente respecto del debido proceso y no frente a la vulneración </w:t>
      </w:r>
      <w:r w:rsidR="00982A83">
        <w:rPr>
          <w:rFonts w:ascii="Verdana" w:hAnsi="Verdana"/>
          <w:sz w:val="20"/>
          <w:szCs w:val="20"/>
        </w:rPr>
        <w:t xml:space="preserve">todos </w:t>
      </w:r>
      <w:r w:rsidR="0073736E" w:rsidRPr="0073736E">
        <w:rPr>
          <w:rFonts w:ascii="Verdana" w:hAnsi="Verdana"/>
          <w:sz w:val="20"/>
          <w:szCs w:val="20"/>
        </w:rPr>
        <w:t>los derechos fundamentales</w:t>
      </w:r>
      <w:r w:rsidR="0073736E">
        <w:rPr>
          <w:rFonts w:ascii="Verdana" w:hAnsi="Verdana"/>
          <w:sz w:val="20"/>
          <w:szCs w:val="20"/>
        </w:rPr>
        <w:t xml:space="preserve">, alegados por el señor </w:t>
      </w:r>
      <w:proofErr w:type="spellStart"/>
      <w:r w:rsidR="0073736E">
        <w:rPr>
          <w:rFonts w:ascii="Verdana" w:hAnsi="Verdana"/>
          <w:sz w:val="20"/>
          <w:szCs w:val="20"/>
        </w:rPr>
        <w:t>Cajahuanca</w:t>
      </w:r>
      <w:proofErr w:type="spellEnd"/>
      <w:r w:rsidR="0073736E">
        <w:rPr>
          <w:rFonts w:ascii="Verdana" w:hAnsi="Verdana"/>
          <w:sz w:val="20"/>
          <w:szCs w:val="20"/>
        </w:rPr>
        <w:t xml:space="preserve"> Vásquez, por lo que también debi</w:t>
      </w:r>
      <w:r w:rsidR="00982A83">
        <w:rPr>
          <w:rFonts w:ascii="Verdana" w:hAnsi="Verdana"/>
          <w:sz w:val="20"/>
          <w:szCs w:val="20"/>
        </w:rPr>
        <w:t>ó</w:t>
      </w:r>
      <w:r w:rsidR="0073736E">
        <w:rPr>
          <w:rFonts w:ascii="Verdana" w:hAnsi="Verdana"/>
          <w:sz w:val="20"/>
          <w:szCs w:val="20"/>
        </w:rPr>
        <w:t xml:space="preserve"> declararse violado el artículo 2 de la Convención Americana.</w:t>
      </w:r>
    </w:p>
    <w:p w14:paraId="11391CDC" w14:textId="77777777" w:rsidR="00120D37" w:rsidRPr="00120D37" w:rsidRDefault="00120D37" w:rsidP="00120D37">
      <w:pPr>
        <w:pStyle w:val="Prrafodelista"/>
        <w:rPr>
          <w:rFonts w:ascii="Verdana" w:hAnsi="Verdana"/>
          <w:sz w:val="20"/>
          <w:szCs w:val="20"/>
          <w:lang w:val="es-ES"/>
        </w:rPr>
      </w:pPr>
    </w:p>
    <w:p w14:paraId="094213A5" w14:textId="571437AD" w:rsidR="007E05CC" w:rsidRDefault="00120D37" w:rsidP="00C01FFF">
      <w:pPr>
        <w:pStyle w:val="Prrafodelista"/>
        <w:numPr>
          <w:ilvl w:val="0"/>
          <w:numId w:val="3"/>
        </w:numPr>
        <w:ind w:left="0" w:firstLine="0"/>
        <w:jc w:val="both"/>
        <w:rPr>
          <w:rFonts w:ascii="Verdana" w:hAnsi="Verdana"/>
          <w:sz w:val="20"/>
          <w:szCs w:val="20"/>
          <w:lang w:val="es-ES"/>
        </w:rPr>
      </w:pPr>
      <w:r>
        <w:rPr>
          <w:rFonts w:ascii="Verdana" w:hAnsi="Verdana"/>
          <w:sz w:val="20"/>
          <w:szCs w:val="20"/>
          <w:lang w:val="es-ES"/>
        </w:rPr>
        <w:t>No debe pasar inadvertido que el señor Cajahuanca Vásquez</w:t>
      </w:r>
      <w:r w:rsidR="008B4F13">
        <w:rPr>
          <w:rFonts w:ascii="Verdana" w:hAnsi="Verdana"/>
          <w:sz w:val="20"/>
          <w:szCs w:val="20"/>
          <w:lang w:val="es-ES"/>
        </w:rPr>
        <w:t>,</w:t>
      </w:r>
      <w:r>
        <w:rPr>
          <w:rFonts w:ascii="Verdana" w:hAnsi="Verdana"/>
          <w:sz w:val="20"/>
          <w:szCs w:val="20"/>
          <w:lang w:val="es-ES"/>
        </w:rPr>
        <w:t xml:space="preserve"> en la vía penal</w:t>
      </w:r>
      <w:r w:rsidR="008B4F13">
        <w:rPr>
          <w:rFonts w:ascii="Verdana" w:hAnsi="Verdana"/>
          <w:sz w:val="20"/>
          <w:szCs w:val="20"/>
          <w:lang w:val="es-ES"/>
        </w:rPr>
        <w:t>,</w:t>
      </w:r>
      <w:r>
        <w:rPr>
          <w:rFonts w:ascii="Verdana" w:hAnsi="Verdana"/>
          <w:sz w:val="20"/>
          <w:szCs w:val="20"/>
          <w:lang w:val="es-ES"/>
        </w:rPr>
        <w:t xml:space="preserve"> fue</w:t>
      </w:r>
      <w:r w:rsidR="00D03720">
        <w:rPr>
          <w:rFonts w:ascii="Verdana" w:hAnsi="Verdana"/>
          <w:sz w:val="20"/>
          <w:szCs w:val="20"/>
          <w:lang w:val="es-ES"/>
        </w:rPr>
        <w:t xml:space="preserve"> absuelto </w:t>
      </w:r>
      <w:r w:rsidR="00325D70">
        <w:rPr>
          <w:rFonts w:ascii="Verdana" w:hAnsi="Verdana"/>
          <w:sz w:val="20"/>
          <w:szCs w:val="20"/>
          <w:lang w:val="es-ES"/>
        </w:rPr>
        <w:t>“</w:t>
      </w:r>
      <w:r w:rsidR="00D03720">
        <w:rPr>
          <w:rFonts w:ascii="Verdana" w:hAnsi="Verdana"/>
          <w:sz w:val="20"/>
          <w:szCs w:val="20"/>
          <w:lang w:val="es-ES"/>
        </w:rPr>
        <w:t xml:space="preserve">por los cargos imputados” </w:t>
      </w:r>
      <w:r w:rsidR="00325D70">
        <w:rPr>
          <w:rFonts w:ascii="Verdana" w:hAnsi="Verdana"/>
          <w:sz w:val="20"/>
          <w:szCs w:val="20"/>
          <w:lang w:val="es-ES"/>
        </w:rPr>
        <w:t xml:space="preserve">debido a </w:t>
      </w:r>
      <w:r w:rsidR="00D03720">
        <w:rPr>
          <w:rFonts w:ascii="Verdana" w:hAnsi="Verdana"/>
          <w:sz w:val="20"/>
          <w:szCs w:val="20"/>
          <w:lang w:val="es-ES"/>
        </w:rPr>
        <w:t xml:space="preserve">la acción de revisión de sentencia </w:t>
      </w:r>
      <w:r w:rsidR="00BC3FB5">
        <w:rPr>
          <w:rFonts w:ascii="Verdana" w:hAnsi="Verdana"/>
          <w:sz w:val="20"/>
          <w:szCs w:val="20"/>
          <w:lang w:val="es-ES"/>
        </w:rPr>
        <w:t xml:space="preserve">resuelta </w:t>
      </w:r>
      <w:r w:rsidR="00D03720">
        <w:rPr>
          <w:rFonts w:ascii="Verdana" w:hAnsi="Verdana"/>
          <w:sz w:val="20"/>
          <w:szCs w:val="20"/>
          <w:lang w:val="es-ES"/>
        </w:rPr>
        <w:t xml:space="preserve">en definitiva </w:t>
      </w:r>
      <w:r w:rsidR="00325D70">
        <w:rPr>
          <w:rFonts w:ascii="Verdana" w:hAnsi="Verdana"/>
          <w:sz w:val="20"/>
          <w:szCs w:val="20"/>
          <w:lang w:val="es-ES"/>
        </w:rPr>
        <w:t xml:space="preserve">a su favor </w:t>
      </w:r>
      <w:r w:rsidR="00D03720">
        <w:rPr>
          <w:rFonts w:ascii="Verdana" w:hAnsi="Verdana"/>
          <w:sz w:val="20"/>
          <w:szCs w:val="20"/>
          <w:lang w:val="es-ES"/>
        </w:rPr>
        <w:t>por la Corte Suprema de Justicia</w:t>
      </w:r>
      <w:r w:rsidR="00325D70">
        <w:rPr>
          <w:rFonts w:ascii="Verdana" w:hAnsi="Verdana"/>
          <w:sz w:val="20"/>
          <w:szCs w:val="20"/>
          <w:lang w:val="es-ES"/>
        </w:rPr>
        <w:t>, tal y como lo argumentaron los Defensores Públicos Interamericanos</w:t>
      </w:r>
      <w:r w:rsidR="00D03720">
        <w:rPr>
          <w:rStyle w:val="Refdenotaalpie"/>
          <w:rFonts w:ascii="Verdana" w:hAnsi="Verdana"/>
          <w:sz w:val="20"/>
          <w:szCs w:val="20"/>
          <w:lang w:val="es-ES"/>
        </w:rPr>
        <w:footnoteReference w:id="3"/>
      </w:r>
      <w:r w:rsidR="007E05CC">
        <w:rPr>
          <w:rFonts w:ascii="Verdana" w:hAnsi="Verdana"/>
          <w:sz w:val="20"/>
          <w:szCs w:val="20"/>
          <w:lang w:val="es-ES"/>
        </w:rPr>
        <w:t xml:space="preserve">, a pesar de que </w:t>
      </w:r>
      <w:r w:rsidR="007E05CC" w:rsidRPr="00C01FFF">
        <w:rPr>
          <w:rFonts w:ascii="Verdana" w:hAnsi="Verdana"/>
          <w:sz w:val="20"/>
          <w:szCs w:val="20"/>
          <w:lang w:val="es-ES"/>
        </w:rPr>
        <w:t>se trataba de los mismos hechos que originaron la destitución del señor Cajahuanca de su cargo por parte del CNM</w:t>
      </w:r>
      <w:r w:rsidR="007E05CC">
        <w:rPr>
          <w:rFonts w:ascii="Verdana" w:hAnsi="Verdana"/>
          <w:sz w:val="20"/>
          <w:szCs w:val="20"/>
          <w:lang w:val="es-ES"/>
        </w:rPr>
        <w:t xml:space="preserve"> en el proceso disciplinario.</w:t>
      </w:r>
    </w:p>
    <w:p w14:paraId="46F85504" w14:textId="77777777" w:rsidR="007E05CC" w:rsidRPr="007E05CC" w:rsidRDefault="007E05CC" w:rsidP="007E05CC">
      <w:pPr>
        <w:pStyle w:val="Prrafodelista"/>
        <w:rPr>
          <w:rFonts w:ascii="Verdana" w:hAnsi="Verdana"/>
          <w:sz w:val="20"/>
          <w:szCs w:val="20"/>
          <w:lang w:val="es-ES"/>
        </w:rPr>
      </w:pPr>
    </w:p>
    <w:p w14:paraId="14C278A7" w14:textId="4C7ADB19" w:rsidR="0073736E" w:rsidRDefault="00325D70" w:rsidP="00B96343">
      <w:pPr>
        <w:pStyle w:val="Prrafodelista"/>
        <w:numPr>
          <w:ilvl w:val="0"/>
          <w:numId w:val="3"/>
        </w:numPr>
        <w:ind w:left="0" w:firstLine="0"/>
        <w:jc w:val="both"/>
        <w:rPr>
          <w:rFonts w:ascii="Verdana" w:hAnsi="Verdana"/>
          <w:sz w:val="20"/>
          <w:szCs w:val="20"/>
          <w:lang w:val="es-ES"/>
        </w:rPr>
      </w:pPr>
      <w:r w:rsidRPr="007E05CC">
        <w:rPr>
          <w:rFonts w:ascii="Verdana" w:hAnsi="Verdana"/>
          <w:sz w:val="20"/>
          <w:szCs w:val="20"/>
          <w:lang w:val="es-ES"/>
        </w:rPr>
        <w:t>Tampoco figura</w:t>
      </w:r>
      <w:r w:rsidR="007E05CC" w:rsidRPr="007E05CC">
        <w:rPr>
          <w:rFonts w:ascii="Verdana" w:hAnsi="Verdana"/>
          <w:sz w:val="20"/>
          <w:szCs w:val="20"/>
          <w:lang w:val="es-ES"/>
        </w:rPr>
        <w:t>n</w:t>
      </w:r>
      <w:r w:rsidRPr="007E05CC">
        <w:rPr>
          <w:rFonts w:ascii="Verdana" w:hAnsi="Verdana"/>
          <w:sz w:val="20"/>
          <w:szCs w:val="20"/>
          <w:lang w:val="es-ES"/>
        </w:rPr>
        <w:t xml:space="preserve"> como hechos relevantes</w:t>
      </w:r>
      <w:r w:rsidR="007E05CC" w:rsidRPr="007E05CC">
        <w:rPr>
          <w:rFonts w:ascii="Verdana" w:hAnsi="Verdana"/>
          <w:sz w:val="20"/>
          <w:szCs w:val="20"/>
          <w:lang w:val="es-ES"/>
        </w:rPr>
        <w:t xml:space="preserve"> en la sentencia, el proceso de “error judicial” y el procedimiento de “rehabilitación en la carrera judicial”, así como que</w:t>
      </w:r>
      <w:r w:rsidRPr="007E05CC">
        <w:rPr>
          <w:rFonts w:ascii="Verdana" w:hAnsi="Verdana"/>
          <w:sz w:val="20"/>
          <w:szCs w:val="20"/>
          <w:lang w:val="es-ES"/>
        </w:rPr>
        <w:t xml:space="preserve"> el entonces presidente Alberto Fujimori declaró públicamente que el </w:t>
      </w:r>
      <w:r w:rsidR="006A4EBE">
        <w:rPr>
          <w:rFonts w:ascii="Verdana" w:hAnsi="Verdana"/>
          <w:sz w:val="20"/>
          <w:szCs w:val="20"/>
          <w:lang w:val="es-ES"/>
        </w:rPr>
        <w:t xml:space="preserve">entonces </w:t>
      </w:r>
      <w:r w:rsidRPr="007E05CC">
        <w:rPr>
          <w:rFonts w:ascii="Verdana" w:hAnsi="Verdana"/>
          <w:sz w:val="20"/>
          <w:szCs w:val="20"/>
          <w:lang w:val="es-ES"/>
        </w:rPr>
        <w:t>Presidente de la Corte Superior de Justicia de Huánuco (</w:t>
      </w:r>
      <w:r w:rsidR="00C01FFF" w:rsidRPr="007E05CC">
        <w:rPr>
          <w:rFonts w:ascii="Verdana" w:hAnsi="Verdana"/>
          <w:sz w:val="20"/>
          <w:szCs w:val="20"/>
          <w:lang w:val="es-ES"/>
        </w:rPr>
        <w:t>señor Cajahuanca Vásquez), junto con otras personas, eran “terroristas arrepentidos”, lo cual tuvo impacto</w:t>
      </w:r>
      <w:r w:rsidR="007E05CC" w:rsidRPr="007E05CC">
        <w:rPr>
          <w:rFonts w:ascii="Verdana" w:hAnsi="Verdana"/>
          <w:sz w:val="20"/>
          <w:szCs w:val="20"/>
          <w:lang w:val="es-ES"/>
        </w:rPr>
        <w:t xml:space="preserve"> en su fama pública</w:t>
      </w:r>
      <w:r w:rsidR="00C01FFF" w:rsidRPr="007E05CC">
        <w:rPr>
          <w:rFonts w:ascii="Verdana" w:hAnsi="Verdana"/>
          <w:sz w:val="20"/>
          <w:szCs w:val="20"/>
          <w:lang w:val="es-ES"/>
        </w:rPr>
        <w:t>, si bien posteriormente se “retra</w:t>
      </w:r>
      <w:r w:rsidR="00BC3FB5">
        <w:rPr>
          <w:rFonts w:ascii="Verdana" w:hAnsi="Verdana"/>
          <w:sz w:val="20"/>
          <w:szCs w:val="20"/>
          <w:lang w:val="es-ES"/>
        </w:rPr>
        <w:t>c</w:t>
      </w:r>
      <w:r w:rsidR="00C01FFF" w:rsidRPr="007E05CC">
        <w:rPr>
          <w:rFonts w:ascii="Verdana" w:hAnsi="Verdana"/>
          <w:sz w:val="20"/>
          <w:szCs w:val="20"/>
          <w:lang w:val="es-ES"/>
        </w:rPr>
        <w:t>taron de dichas inju</w:t>
      </w:r>
      <w:r w:rsidR="007E05CC" w:rsidRPr="007E05CC">
        <w:rPr>
          <w:rFonts w:ascii="Verdana" w:hAnsi="Verdana"/>
          <w:sz w:val="20"/>
          <w:szCs w:val="20"/>
          <w:lang w:val="es-ES"/>
        </w:rPr>
        <w:t>r</w:t>
      </w:r>
      <w:r w:rsidR="00C01FFF" w:rsidRPr="007E05CC">
        <w:rPr>
          <w:rFonts w:ascii="Verdana" w:hAnsi="Verdana"/>
          <w:sz w:val="20"/>
          <w:szCs w:val="20"/>
          <w:lang w:val="es-ES"/>
        </w:rPr>
        <w:t>ias señalando que se trataba de otros magistrados”</w:t>
      </w:r>
      <w:r w:rsidR="00C01FFF">
        <w:rPr>
          <w:rStyle w:val="Refdenotaalpie"/>
          <w:rFonts w:ascii="Verdana" w:hAnsi="Verdana"/>
          <w:sz w:val="20"/>
          <w:szCs w:val="20"/>
          <w:lang w:val="es-ES"/>
        </w:rPr>
        <w:footnoteReference w:id="4"/>
      </w:r>
      <w:r w:rsidR="00C01FFF" w:rsidRPr="007E05CC">
        <w:rPr>
          <w:rFonts w:ascii="Verdana" w:hAnsi="Verdana"/>
          <w:sz w:val="20"/>
          <w:szCs w:val="20"/>
          <w:lang w:val="es-ES"/>
        </w:rPr>
        <w:t xml:space="preserve">. </w:t>
      </w:r>
      <w:r w:rsidR="007E05CC" w:rsidRPr="007E05CC">
        <w:rPr>
          <w:rFonts w:ascii="Verdana" w:hAnsi="Verdana"/>
          <w:sz w:val="20"/>
          <w:szCs w:val="20"/>
          <w:lang w:val="es-ES"/>
        </w:rPr>
        <w:t xml:space="preserve">Todos estos hechos consideramos se encuentran </w:t>
      </w:r>
      <w:r w:rsidR="006A4EBE">
        <w:rPr>
          <w:rFonts w:ascii="Verdana" w:hAnsi="Verdana"/>
          <w:sz w:val="20"/>
          <w:szCs w:val="20"/>
          <w:lang w:val="es-ES"/>
        </w:rPr>
        <w:t xml:space="preserve">íntimamente </w:t>
      </w:r>
      <w:r w:rsidR="007E05CC" w:rsidRPr="007E05CC">
        <w:rPr>
          <w:rFonts w:ascii="Verdana" w:hAnsi="Verdana"/>
          <w:sz w:val="20"/>
          <w:szCs w:val="20"/>
          <w:lang w:val="es-ES"/>
        </w:rPr>
        <w:t>relacionado con los hechos sometidos a la Corte IDH en el Informe de Fondo. A pesar de ello, en la sentencia se estimó que “serán excluidos” al considerar que no estaban orientados a desestimar el marco fáctico propuesto por la Comisión Interamericana</w:t>
      </w:r>
      <w:r w:rsidR="007E05CC">
        <w:rPr>
          <w:rStyle w:val="Refdenotaalpie"/>
          <w:rFonts w:ascii="Verdana" w:hAnsi="Verdana"/>
          <w:sz w:val="20"/>
          <w:szCs w:val="20"/>
          <w:lang w:val="es-ES"/>
        </w:rPr>
        <w:footnoteReference w:id="5"/>
      </w:r>
      <w:r w:rsidR="007E05CC" w:rsidRPr="007E05CC">
        <w:rPr>
          <w:rFonts w:ascii="Verdana" w:hAnsi="Verdana"/>
          <w:sz w:val="20"/>
          <w:szCs w:val="20"/>
          <w:lang w:val="es-ES"/>
        </w:rPr>
        <w:t xml:space="preserve">. </w:t>
      </w:r>
    </w:p>
    <w:p w14:paraId="6E26CD01" w14:textId="77777777" w:rsidR="007E05CC" w:rsidRPr="007E05CC" w:rsidRDefault="007E05CC" w:rsidP="007E05CC">
      <w:pPr>
        <w:pStyle w:val="Prrafodelista"/>
        <w:ind w:left="0"/>
        <w:jc w:val="both"/>
        <w:rPr>
          <w:rFonts w:ascii="Verdana" w:hAnsi="Verdana"/>
          <w:sz w:val="20"/>
          <w:szCs w:val="20"/>
          <w:lang w:val="es-ES"/>
        </w:rPr>
      </w:pPr>
    </w:p>
    <w:p w14:paraId="0FDD499F" w14:textId="18CDC0A6" w:rsidR="006C19B2" w:rsidRPr="00836A74" w:rsidRDefault="006C19B2" w:rsidP="00D61D5F">
      <w:pPr>
        <w:pStyle w:val="Prrafodelista"/>
        <w:numPr>
          <w:ilvl w:val="0"/>
          <w:numId w:val="3"/>
        </w:numPr>
        <w:ind w:left="0" w:firstLine="0"/>
        <w:jc w:val="both"/>
        <w:rPr>
          <w:rFonts w:ascii="Verdana" w:eastAsia="Times New Roman" w:hAnsi="Verdana"/>
          <w:sz w:val="20"/>
          <w:szCs w:val="20"/>
          <w:lang w:val="es-ES" w:eastAsia="es-ES"/>
        </w:rPr>
      </w:pPr>
      <w:r w:rsidRPr="00836A74">
        <w:rPr>
          <w:rFonts w:ascii="Verdana" w:hAnsi="Verdana"/>
          <w:sz w:val="20"/>
          <w:szCs w:val="20"/>
          <w:lang w:val="es-ES"/>
        </w:rPr>
        <w:t xml:space="preserve">Por las conclusiones anteriores </w:t>
      </w:r>
      <w:r w:rsidR="00D03525">
        <w:rPr>
          <w:rFonts w:ascii="Verdana" w:hAnsi="Verdana"/>
          <w:sz w:val="20"/>
          <w:szCs w:val="20"/>
          <w:lang w:val="es-ES"/>
        </w:rPr>
        <w:t>consideramos</w:t>
      </w:r>
      <w:r w:rsidRPr="00836A74">
        <w:rPr>
          <w:rFonts w:ascii="Verdana" w:hAnsi="Verdana"/>
          <w:sz w:val="20"/>
          <w:szCs w:val="20"/>
          <w:lang w:val="es-ES"/>
        </w:rPr>
        <w:t xml:space="preserve"> oportuno, en términos del artículo 66.2 de la Convención Americana</w:t>
      </w:r>
      <w:r w:rsidRPr="00836A74">
        <w:rPr>
          <w:rStyle w:val="Refdenotaalpie"/>
          <w:rFonts w:ascii="Verdana" w:hAnsi="Verdana"/>
          <w:sz w:val="20"/>
          <w:szCs w:val="20"/>
          <w:lang w:val="es-ES"/>
        </w:rPr>
        <w:footnoteReference w:id="6"/>
      </w:r>
      <w:r w:rsidRPr="00836A74">
        <w:rPr>
          <w:rFonts w:ascii="Verdana" w:hAnsi="Verdana"/>
          <w:sz w:val="20"/>
          <w:szCs w:val="20"/>
          <w:lang w:val="es-ES"/>
        </w:rPr>
        <w:t>, acompañar a la Sentencia el presente voto</w:t>
      </w:r>
      <w:r>
        <w:rPr>
          <w:rFonts w:ascii="Verdana" w:hAnsi="Verdana"/>
          <w:sz w:val="20"/>
          <w:szCs w:val="20"/>
          <w:lang w:val="es-ES"/>
        </w:rPr>
        <w:t xml:space="preserve"> </w:t>
      </w:r>
      <w:r w:rsidR="00D03525">
        <w:rPr>
          <w:rFonts w:ascii="Verdana" w:hAnsi="Verdana"/>
          <w:sz w:val="20"/>
          <w:szCs w:val="20"/>
          <w:lang w:val="es-ES"/>
        </w:rPr>
        <w:t xml:space="preserve">conjunto </w:t>
      </w:r>
      <w:r>
        <w:rPr>
          <w:rFonts w:ascii="Verdana" w:hAnsi="Verdana"/>
          <w:sz w:val="20"/>
          <w:szCs w:val="20"/>
          <w:lang w:val="es-ES"/>
        </w:rPr>
        <w:t>disidente</w:t>
      </w:r>
      <w:r w:rsidRPr="00836A74">
        <w:rPr>
          <w:rFonts w:ascii="Verdana" w:hAnsi="Verdana"/>
          <w:sz w:val="20"/>
          <w:szCs w:val="20"/>
          <w:lang w:val="es-ES"/>
        </w:rPr>
        <w:t>, con la finalidad de precisar un razonamiento distinto al criterio mayoritario</w:t>
      </w:r>
      <w:r w:rsidR="00A24B08">
        <w:rPr>
          <w:rFonts w:ascii="Verdana" w:hAnsi="Verdana"/>
          <w:sz w:val="20"/>
          <w:szCs w:val="20"/>
          <w:lang w:val="es-ES"/>
        </w:rPr>
        <w:t xml:space="preserve">, para concluir en la violación de los derechos contenidos en los artículos 8, </w:t>
      </w:r>
      <w:r w:rsidR="00982A83">
        <w:rPr>
          <w:rFonts w:ascii="Verdana" w:hAnsi="Verdana"/>
          <w:sz w:val="20"/>
          <w:szCs w:val="20"/>
          <w:lang w:val="es-ES"/>
        </w:rPr>
        <w:t xml:space="preserve">9, </w:t>
      </w:r>
      <w:r w:rsidR="00A24B08">
        <w:rPr>
          <w:rFonts w:ascii="Verdana" w:hAnsi="Verdana"/>
          <w:sz w:val="20"/>
          <w:szCs w:val="20"/>
          <w:lang w:val="es-ES"/>
        </w:rPr>
        <w:t xml:space="preserve">23, 25 y </w:t>
      </w:r>
      <w:r w:rsidR="00A24B08">
        <w:rPr>
          <w:rFonts w:ascii="Verdana" w:hAnsi="Verdana"/>
          <w:sz w:val="20"/>
          <w:szCs w:val="20"/>
          <w:lang w:val="es-ES"/>
        </w:rPr>
        <w:lastRenderedPageBreak/>
        <w:t>26, en relación con la</w:t>
      </w:r>
      <w:r w:rsidR="0073736E">
        <w:rPr>
          <w:rFonts w:ascii="Verdana" w:hAnsi="Verdana"/>
          <w:sz w:val="20"/>
          <w:szCs w:val="20"/>
          <w:lang w:val="es-ES"/>
        </w:rPr>
        <w:t>s</w:t>
      </w:r>
      <w:r w:rsidR="00A24B08">
        <w:rPr>
          <w:rFonts w:ascii="Verdana" w:hAnsi="Verdana"/>
          <w:sz w:val="20"/>
          <w:szCs w:val="20"/>
          <w:lang w:val="es-ES"/>
        </w:rPr>
        <w:t xml:space="preserve"> obligaci</w:t>
      </w:r>
      <w:r w:rsidR="0073736E">
        <w:rPr>
          <w:rFonts w:ascii="Verdana" w:hAnsi="Verdana"/>
          <w:sz w:val="20"/>
          <w:szCs w:val="20"/>
          <w:lang w:val="es-ES"/>
        </w:rPr>
        <w:t>ones estatales</w:t>
      </w:r>
      <w:r w:rsidR="00A24B08">
        <w:rPr>
          <w:rFonts w:ascii="Verdana" w:hAnsi="Verdana"/>
          <w:sz w:val="20"/>
          <w:szCs w:val="20"/>
          <w:lang w:val="es-ES"/>
        </w:rPr>
        <w:t xml:space="preserve"> de respeto </w:t>
      </w:r>
      <w:r w:rsidR="0073736E">
        <w:rPr>
          <w:rFonts w:ascii="Verdana" w:hAnsi="Verdana"/>
          <w:sz w:val="20"/>
          <w:szCs w:val="20"/>
          <w:lang w:val="es-ES"/>
        </w:rPr>
        <w:t xml:space="preserve">y garantía, </w:t>
      </w:r>
      <w:r w:rsidR="00A24B08">
        <w:rPr>
          <w:rFonts w:ascii="Verdana" w:hAnsi="Verdana"/>
          <w:sz w:val="20"/>
          <w:szCs w:val="20"/>
          <w:lang w:val="es-ES"/>
        </w:rPr>
        <w:t>a que se refiere</w:t>
      </w:r>
      <w:r w:rsidR="0073736E">
        <w:rPr>
          <w:rFonts w:ascii="Verdana" w:hAnsi="Verdana"/>
          <w:sz w:val="20"/>
          <w:szCs w:val="20"/>
          <w:lang w:val="es-ES"/>
        </w:rPr>
        <w:t>n</w:t>
      </w:r>
      <w:r w:rsidR="00A24B08">
        <w:rPr>
          <w:rFonts w:ascii="Verdana" w:hAnsi="Verdana"/>
          <w:sz w:val="20"/>
          <w:szCs w:val="20"/>
          <w:lang w:val="es-ES"/>
        </w:rPr>
        <w:t xml:space="preserve"> </w:t>
      </w:r>
      <w:r w:rsidR="0073736E">
        <w:rPr>
          <w:rFonts w:ascii="Verdana" w:hAnsi="Verdana"/>
          <w:sz w:val="20"/>
          <w:szCs w:val="20"/>
          <w:lang w:val="es-ES"/>
        </w:rPr>
        <w:t xml:space="preserve">los artículos 1 y 2 </w:t>
      </w:r>
      <w:r w:rsidR="00A24B08">
        <w:rPr>
          <w:rFonts w:ascii="Verdana" w:hAnsi="Verdana"/>
          <w:sz w:val="20"/>
          <w:szCs w:val="20"/>
          <w:lang w:val="es-ES"/>
        </w:rPr>
        <w:t>del Pacto de San José</w:t>
      </w:r>
      <w:r w:rsidRPr="00836A74">
        <w:rPr>
          <w:rFonts w:ascii="Verdana" w:hAnsi="Verdana"/>
          <w:sz w:val="20"/>
          <w:szCs w:val="20"/>
          <w:lang w:val="es-ES"/>
        </w:rPr>
        <w:t>. Para ello expondr</w:t>
      </w:r>
      <w:r w:rsidR="00D03525">
        <w:rPr>
          <w:rFonts w:ascii="Verdana" w:hAnsi="Verdana"/>
          <w:sz w:val="20"/>
          <w:szCs w:val="20"/>
          <w:lang w:val="es-ES"/>
        </w:rPr>
        <w:t>emos</w:t>
      </w:r>
      <w:r w:rsidRPr="00836A74">
        <w:rPr>
          <w:rFonts w:ascii="Verdana" w:hAnsi="Verdana"/>
          <w:sz w:val="20"/>
          <w:szCs w:val="20"/>
          <w:lang w:val="es-ES"/>
        </w:rPr>
        <w:t xml:space="preserve"> algunas consideraciones en torno</w:t>
      </w:r>
      <w:r>
        <w:rPr>
          <w:rFonts w:ascii="Verdana" w:hAnsi="Verdana"/>
          <w:sz w:val="20"/>
          <w:szCs w:val="20"/>
          <w:lang w:val="es-ES"/>
        </w:rPr>
        <w:t>:</w:t>
      </w:r>
      <w:r w:rsidRPr="00836A74">
        <w:rPr>
          <w:rFonts w:ascii="Verdana" w:hAnsi="Verdana"/>
          <w:sz w:val="20"/>
          <w:szCs w:val="20"/>
          <w:lang w:val="es-ES"/>
        </w:rPr>
        <w:t xml:space="preserve"> </w:t>
      </w:r>
      <w:r>
        <w:rPr>
          <w:rFonts w:ascii="Verdana" w:hAnsi="Verdana"/>
          <w:sz w:val="20"/>
          <w:szCs w:val="20"/>
          <w:lang w:val="es-ES"/>
        </w:rPr>
        <w:t>(</w:t>
      </w:r>
      <w:r w:rsidRPr="00836A74">
        <w:rPr>
          <w:rFonts w:ascii="Verdana" w:hAnsi="Verdana"/>
          <w:sz w:val="20"/>
          <w:szCs w:val="20"/>
          <w:lang w:val="es-ES"/>
        </w:rPr>
        <w:t xml:space="preserve">i) </w:t>
      </w:r>
      <w:r w:rsidR="00D03525">
        <w:rPr>
          <w:rFonts w:ascii="Verdana" w:hAnsi="Verdana"/>
          <w:sz w:val="20"/>
          <w:szCs w:val="20"/>
          <w:lang w:val="es-ES"/>
        </w:rPr>
        <w:t>a</w:t>
      </w:r>
      <w:r w:rsidRPr="00836A74">
        <w:rPr>
          <w:rFonts w:ascii="Verdana" w:hAnsi="Verdana"/>
          <w:sz w:val="20"/>
          <w:szCs w:val="20"/>
          <w:lang w:val="es-ES"/>
        </w:rPr>
        <w:t xml:space="preserve">l estándar interamericano respecto del uso </w:t>
      </w:r>
      <w:r>
        <w:rPr>
          <w:rFonts w:ascii="Verdana" w:hAnsi="Verdana"/>
          <w:sz w:val="20"/>
          <w:szCs w:val="20"/>
          <w:lang w:val="es-ES"/>
        </w:rPr>
        <w:t xml:space="preserve">de </w:t>
      </w:r>
      <w:r w:rsidRPr="00836A74">
        <w:rPr>
          <w:rFonts w:ascii="Verdana" w:hAnsi="Verdana"/>
          <w:sz w:val="20"/>
          <w:szCs w:val="20"/>
          <w:lang w:val="es-ES"/>
        </w:rPr>
        <w:t>tipos disciplinarios abiertos o indeterminados en procesos disciplinarios judiciales</w:t>
      </w:r>
      <w:r w:rsidR="00982A83">
        <w:rPr>
          <w:rFonts w:ascii="Verdana" w:hAnsi="Verdana"/>
          <w:sz w:val="20"/>
          <w:szCs w:val="20"/>
          <w:lang w:val="es-ES"/>
        </w:rPr>
        <w:t xml:space="preserve"> (</w:t>
      </w:r>
      <w:proofErr w:type="spellStart"/>
      <w:r w:rsidR="00982A83" w:rsidRPr="00982A83">
        <w:rPr>
          <w:rFonts w:ascii="Verdana" w:hAnsi="Verdana"/>
          <w:i/>
          <w:iCs/>
          <w:sz w:val="20"/>
          <w:szCs w:val="20"/>
          <w:u w:val="single"/>
          <w:lang w:val="es-ES"/>
        </w:rPr>
        <w:t>párrs</w:t>
      </w:r>
      <w:proofErr w:type="spellEnd"/>
      <w:r w:rsidR="00982A83" w:rsidRPr="00982A83">
        <w:rPr>
          <w:rFonts w:ascii="Verdana" w:hAnsi="Verdana"/>
          <w:i/>
          <w:iCs/>
          <w:sz w:val="20"/>
          <w:szCs w:val="20"/>
          <w:u w:val="single"/>
          <w:lang w:val="es-ES"/>
        </w:rPr>
        <w:t xml:space="preserve">. </w:t>
      </w:r>
      <w:r w:rsidR="0040600B">
        <w:rPr>
          <w:rFonts w:ascii="Verdana" w:hAnsi="Verdana"/>
          <w:i/>
          <w:iCs/>
          <w:sz w:val="20"/>
          <w:szCs w:val="20"/>
          <w:u w:val="single"/>
          <w:lang w:val="es-ES"/>
        </w:rPr>
        <w:t>9</w:t>
      </w:r>
      <w:r w:rsidR="00982A83" w:rsidRPr="00982A83">
        <w:rPr>
          <w:rFonts w:ascii="Verdana" w:hAnsi="Verdana"/>
          <w:i/>
          <w:iCs/>
          <w:sz w:val="20"/>
          <w:szCs w:val="20"/>
          <w:u w:val="single"/>
          <w:lang w:val="es-ES"/>
        </w:rPr>
        <w:t>-14</w:t>
      </w:r>
      <w:r w:rsidR="00982A83">
        <w:rPr>
          <w:rFonts w:ascii="Verdana" w:hAnsi="Verdana"/>
          <w:sz w:val="20"/>
          <w:szCs w:val="20"/>
          <w:lang w:val="es-ES"/>
        </w:rPr>
        <w:t>)</w:t>
      </w:r>
      <w:r w:rsidRPr="00836A74">
        <w:rPr>
          <w:rFonts w:ascii="Verdana" w:hAnsi="Verdana"/>
          <w:sz w:val="20"/>
          <w:szCs w:val="20"/>
          <w:lang w:val="es-ES"/>
        </w:rPr>
        <w:t xml:space="preserve">; </w:t>
      </w:r>
      <w:r>
        <w:rPr>
          <w:rFonts w:ascii="Verdana" w:hAnsi="Verdana"/>
          <w:sz w:val="20"/>
          <w:szCs w:val="20"/>
          <w:lang w:val="es-ES"/>
        </w:rPr>
        <w:t>(</w:t>
      </w:r>
      <w:proofErr w:type="spellStart"/>
      <w:r w:rsidRPr="00836A74">
        <w:rPr>
          <w:rFonts w:ascii="Verdana" w:hAnsi="Verdana"/>
          <w:sz w:val="20"/>
          <w:szCs w:val="20"/>
          <w:lang w:val="es-ES"/>
        </w:rPr>
        <w:t>ii</w:t>
      </w:r>
      <w:proofErr w:type="spellEnd"/>
      <w:r w:rsidRPr="00836A74">
        <w:rPr>
          <w:rFonts w:ascii="Verdana" w:hAnsi="Verdana"/>
          <w:sz w:val="20"/>
          <w:szCs w:val="20"/>
          <w:lang w:val="es-ES"/>
        </w:rPr>
        <w:t xml:space="preserve">) </w:t>
      </w:r>
      <w:r>
        <w:rPr>
          <w:rFonts w:ascii="Verdana" w:hAnsi="Verdana"/>
          <w:sz w:val="20"/>
          <w:szCs w:val="20"/>
          <w:lang w:val="es-ES"/>
        </w:rPr>
        <w:t xml:space="preserve">la independencia judicial y </w:t>
      </w:r>
      <w:r w:rsidRPr="00836A74">
        <w:rPr>
          <w:rFonts w:ascii="Verdana" w:hAnsi="Verdana"/>
          <w:sz w:val="20"/>
          <w:szCs w:val="20"/>
          <w:lang w:val="es-ES"/>
        </w:rPr>
        <w:t>el principio de legalidad en el caso</w:t>
      </w:r>
      <w:r w:rsidR="00982A83">
        <w:rPr>
          <w:rFonts w:ascii="Verdana" w:hAnsi="Verdana"/>
          <w:sz w:val="20"/>
          <w:szCs w:val="20"/>
          <w:lang w:val="es-ES"/>
        </w:rPr>
        <w:t xml:space="preserve"> (</w:t>
      </w:r>
      <w:proofErr w:type="spellStart"/>
      <w:r w:rsidR="00982A83" w:rsidRPr="00982A83">
        <w:rPr>
          <w:rFonts w:ascii="Verdana" w:hAnsi="Verdana"/>
          <w:i/>
          <w:iCs/>
          <w:sz w:val="20"/>
          <w:szCs w:val="20"/>
          <w:u w:val="single"/>
          <w:lang w:val="es-ES"/>
        </w:rPr>
        <w:t>párrs</w:t>
      </w:r>
      <w:proofErr w:type="spellEnd"/>
      <w:r w:rsidR="00982A83" w:rsidRPr="00982A83">
        <w:rPr>
          <w:rFonts w:ascii="Verdana" w:hAnsi="Verdana"/>
          <w:i/>
          <w:iCs/>
          <w:sz w:val="20"/>
          <w:szCs w:val="20"/>
          <w:u w:val="single"/>
          <w:lang w:val="es-ES"/>
        </w:rPr>
        <w:t>. 15-22</w:t>
      </w:r>
      <w:r w:rsidR="00982A83">
        <w:rPr>
          <w:rFonts w:ascii="Verdana" w:hAnsi="Verdana"/>
          <w:sz w:val="20"/>
          <w:szCs w:val="20"/>
          <w:lang w:val="es-ES"/>
        </w:rPr>
        <w:t>)</w:t>
      </w:r>
      <w:r>
        <w:rPr>
          <w:rFonts w:ascii="Verdana" w:hAnsi="Verdana"/>
          <w:sz w:val="20"/>
          <w:szCs w:val="20"/>
          <w:lang w:val="es-ES"/>
        </w:rPr>
        <w:t>;</w:t>
      </w:r>
      <w:r w:rsidR="0073736E">
        <w:rPr>
          <w:rFonts w:ascii="Verdana" w:hAnsi="Verdana"/>
          <w:sz w:val="20"/>
          <w:szCs w:val="20"/>
          <w:lang w:val="es-ES"/>
        </w:rPr>
        <w:t xml:space="preserve"> (</w:t>
      </w:r>
      <w:proofErr w:type="spellStart"/>
      <w:r w:rsidR="0073736E">
        <w:rPr>
          <w:rFonts w:ascii="Verdana" w:hAnsi="Verdana"/>
          <w:sz w:val="20"/>
          <w:szCs w:val="20"/>
          <w:lang w:val="es-ES"/>
        </w:rPr>
        <w:t>iii</w:t>
      </w:r>
      <w:proofErr w:type="spellEnd"/>
      <w:r w:rsidR="0073736E">
        <w:rPr>
          <w:rFonts w:ascii="Verdana" w:hAnsi="Verdana"/>
          <w:sz w:val="20"/>
          <w:szCs w:val="20"/>
          <w:lang w:val="es-ES"/>
        </w:rPr>
        <w:t>)</w:t>
      </w:r>
      <w:r w:rsidR="007F1DB7">
        <w:rPr>
          <w:rFonts w:ascii="Verdana" w:hAnsi="Verdana"/>
          <w:sz w:val="20"/>
          <w:szCs w:val="20"/>
          <w:lang w:val="es-ES"/>
        </w:rPr>
        <w:t xml:space="preserve"> </w:t>
      </w:r>
      <w:r w:rsidR="0073736E">
        <w:rPr>
          <w:rFonts w:ascii="Verdana" w:hAnsi="Verdana"/>
          <w:sz w:val="20"/>
          <w:szCs w:val="20"/>
          <w:lang w:val="es-ES"/>
        </w:rPr>
        <w:t xml:space="preserve">la </w:t>
      </w:r>
      <w:r w:rsidR="007F1DB7">
        <w:rPr>
          <w:rFonts w:ascii="Verdana" w:hAnsi="Verdana"/>
          <w:sz w:val="20"/>
          <w:szCs w:val="20"/>
          <w:lang w:val="es-ES"/>
        </w:rPr>
        <w:t>vulneración a la estabilidad laboral protegida desde el artículo 26 de la Convención Americana</w:t>
      </w:r>
      <w:r w:rsidR="00982A83">
        <w:rPr>
          <w:rFonts w:ascii="Verdana" w:hAnsi="Verdana"/>
          <w:sz w:val="20"/>
          <w:szCs w:val="20"/>
          <w:lang w:val="es-ES"/>
        </w:rPr>
        <w:t xml:space="preserve"> (</w:t>
      </w:r>
      <w:proofErr w:type="spellStart"/>
      <w:r w:rsidR="00982A83" w:rsidRPr="00982A83">
        <w:rPr>
          <w:rFonts w:ascii="Verdana" w:hAnsi="Verdana"/>
          <w:i/>
          <w:iCs/>
          <w:sz w:val="20"/>
          <w:szCs w:val="20"/>
          <w:u w:val="single"/>
          <w:lang w:val="es-ES"/>
        </w:rPr>
        <w:t>párrs</w:t>
      </w:r>
      <w:proofErr w:type="spellEnd"/>
      <w:r w:rsidR="00982A83" w:rsidRPr="00982A83">
        <w:rPr>
          <w:rFonts w:ascii="Verdana" w:hAnsi="Verdana"/>
          <w:i/>
          <w:iCs/>
          <w:sz w:val="20"/>
          <w:szCs w:val="20"/>
          <w:u w:val="single"/>
          <w:lang w:val="es-ES"/>
        </w:rPr>
        <w:t>. 23-26</w:t>
      </w:r>
      <w:r w:rsidR="00982A83">
        <w:rPr>
          <w:rFonts w:ascii="Verdana" w:hAnsi="Verdana"/>
          <w:sz w:val="20"/>
          <w:szCs w:val="20"/>
          <w:lang w:val="es-ES"/>
        </w:rPr>
        <w:t>)</w:t>
      </w:r>
      <w:r w:rsidR="0073736E">
        <w:rPr>
          <w:rFonts w:ascii="Verdana" w:hAnsi="Verdana"/>
          <w:sz w:val="20"/>
          <w:szCs w:val="20"/>
          <w:lang w:val="es-ES"/>
        </w:rPr>
        <w:t>; (</w:t>
      </w:r>
      <w:proofErr w:type="spellStart"/>
      <w:r w:rsidR="0073736E" w:rsidRPr="00836A74">
        <w:rPr>
          <w:rFonts w:ascii="Verdana" w:hAnsi="Verdana"/>
          <w:sz w:val="20"/>
          <w:szCs w:val="20"/>
          <w:lang w:val="es-ES"/>
        </w:rPr>
        <w:t>i</w:t>
      </w:r>
      <w:r w:rsidR="0073736E">
        <w:rPr>
          <w:rFonts w:ascii="Verdana" w:hAnsi="Verdana"/>
          <w:sz w:val="20"/>
          <w:szCs w:val="20"/>
          <w:lang w:val="es-ES"/>
        </w:rPr>
        <w:t>v</w:t>
      </w:r>
      <w:proofErr w:type="spellEnd"/>
      <w:r w:rsidR="0073736E" w:rsidRPr="00836A74">
        <w:rPr>
          <w:rFonts w:ascii="Verdana" w:hAnsi="Verdana"/>
          <w:sz w:val="20"/>
          <w:szCs w:val="20"/>
          <w:lang w:val="es-ES"/>
        </w:rPr>
        <w:t xml:space="preserve">) </w:t>
      </w:r>
      <w:r w:rsidR="0073736E">
        <w:rPr>
          <w:rFonts w:ascii="Verdana" w:hAnsi="Verdana"/>
          <w:sz w:val="20"/>
          <w:szCs w:val="20"/>
          <w:lang w:val="es-ES"/>
        </w:rPr>
        <w:t xml:space="preserve">el debido proceso y </w:t>
      </w:r>
      <w:r w:rsidR="0073736E" w:rsidRPr="00836A74">
        <w:rPr>
          <w:rFonts w:ascii="Verdana" w:hAnsi="Verdana"/>
          <w:sz w:val="20"/>
          <w:szCs w:val="20"/>
          <w:lang w:val="es-ES"/>
        </w:rPr>
        <w:t>la protección judicial en el caso</w:t>
      </w:r>
      <w:r w:rsidR="00982A83">
        <w:rPr>
          <w:rFonts w:ascii="Verdana" w:hAnsi="Verdana"/>
          <w:sz w:val="20"/>
          <w:szCs w:val="20"/>
          <w:lang w:val="es-ES"/>
        </w:rPr>
        <w:t xml:space="preserve"> (</w:t>
      </w:r>
      <w:proofErr w:type="spellStart"/>
      <w:r w:rsidR="00982A83" w:rsidRPr="00982A83">
        <w:rPr>
          <w:rFonts w:ascii="Verdana" w:hAnsi="Verdana"/>
          <w:i/>
          <w:iCs/>
          <w:sz w:val="20"/>
          <w:szCs w:val="20"/>
          <w:u w:val="single"/>
          <w:lang w:val="es-ES"/>
        </w:rPr>
        <w:t>párrs</w:t>
      </w:r>
      <w:proofErr w:type="spellEnd"/>
      <w:r w:rsidR="00982A83" w:rsidRPr="00982A83">
        <w:rPr>
          <w:rFonts w:ascii="Verdana" w:hAnsi="Verdana"/>
          <w:i/>
          <w:iCs/>
          <w:sz w:val="20"/>
          <w:szCs w:val="20"/>
          <w:u w:val="single"/>
          <w:lang w:val="es-ES"/>
        </w:rPr>
        <w:t>. 27-3</w:t>
      </w:r>
      <w:r w:rsidR="0040600B">
        <w:rPr>
          <w:rFonts w:ascii="Verdana" w:hAnsi="Verdana"/>
          <w:i/>
          <w:iCs/>
          <w:sz w:val="20"/>
          <w:szCs w:val="20"/>
          <w:u w:val="single"/>
          <w:lang w:val="es-ES"/>
        </w:rPr>
        <w:t>7</w:t>
      </w:r>
      <w:r w:rsidR="00982A83">
        <w:rPr>
          <w:rFonts w:ascii="Verdana" w:hAnsi="Verdana"/>
          <w:sz w:val="20"/>
          <w:szCs w:val="20"/>
          <w:lang w:val="es-ES"/>
        </w:rPr>
        <w:t>)</w:t>
      </w:r>
      <w:r w:rsidR="0073736E">
        <w:rPr>
          <w:rFonts w:ascii="Verdana" w:hAnsi="Verdana"/>
          <w:sz w:val="20"/>
          <w:szCs w:val="20"/>
          <w:lang w:val="es-ES"/>
        </w:rPr>
        <w:t xml:space="preserve">, y </w:t>
      </w:r>
      <w:r w:rsidR="00B70976">
        <w:rPr>
          <w:rFonts w:ascii="Verdana" w:hAnsi="Verdana"/>
          <w:sz w:val="20"/>
          <w:szCs w:val="20"/>
          <w:lang w:val="es-ES"/>
        </w:rPr>
        <w:t>(</w:t>
      </w:r>
      <w:r w:rsidRPr="00836A74">
        <w:rPr>
          <w:rFonts w:ascii="Verdana" w:hAnsi="Verdana"/>
          <w:sz w:val="20"/>
          <w:szCs w:val="20"/>
          <w:lang w:val="es-ES"/>
        </w:rPr>
        <w:t xml:space="preserve">v) </w:t>
      </w:r>
      <w:r w:rsidR="00FB5114" w:rsidRPr="00836A74">
        <w:rPr>
          <w:rFonts w:ascii="Verdana" w:hAnsi="Verdana"/>
          <w:sz w:val="20"/>
          <w:szCs w:val="20"/>
          <w:lang w:val="es-ES"/>
        </w:rPr>
        <w:t>conclusi</w:t>
      </w:r>
      <w:r w:rsidR="00982A83">
        <w:rPr>
          <w:rFonts w:ascii="Verdana" w:hAnsi="Verdana"/>
          <w:sz w:val="20"/>
          <w:szCs w:val="20"/>
          <w:lang w:val="es-ES"/>
        </w:rPr>
        <w:t>ones (</w:t>
      </w:r>
      <w:proofErr w:type="spellStart"/>
      <w:r w:rsidR="00982A83" w:rsidRPr="00982A83">
        <w:rPr>
          <w:rFonts w:ascii="Verdana" w:hAnsi="Verdana"/>
          <w:i/>
          <w:iCs/>
          <w:sz w:val="20"/>
          <w:szCs w:val="20"/>
          <w:u w:val="single"/>
          <w:lang w:val="es-ES"/>
        </w:rPr>
        <w:t>párrs</w:t>
      </w:r>
      <w:proofErr w:type="spellEnd"/>
      <w:r w:rsidR="00982A83" w:rsidRPr="00982A83">
        <w:rPr>
          <w:rFonts w:ascii="Verdana" w:hAnsi="Verdana"/>
          <w:i/>
          <w:iCs/>
          <w:sz w:val="20"/>
          <w:szCs w:val="20"/>
          <w:u w:val="single"/>
          <w:lang w:val="es-ES"/>
        </w:rPr>
        <w:t>. 3</w:t>
      </w:r>
      <w:r w:rsidR="0040600B">
        <w:rPr>
          <w:rFonts w:ascii="Verdana" w:hAnsi="Verdana"/>
          <w:i/>
          <w:iCs/>
          <w:sz w:val="20"/>
          <w:szCs w:val="20"/>
          <w:u w:val="single"/>
          <w:lang w:val="es-ES"/>
        </w:rPr>
        <w:t>8</w:t>
      </w:r>
      <w:r w:rsidR="00982A83" w:rsidRPr="00982A83">
        <w:rPr>
          <w:rFonts w:ascii="Verdana" w:hAnsi="Verdana"/>
          <w:i/>
          <w:iCs/>
          <w:sz w:val="20"/>
          <w:szCs w:val="20"/>
          <w:u w:val="single"/>
          <w:lang w:val="es-ES"/>
        </w:rPr>
        <w:t>-</w:t>
      </w:r>
      <w:r w:rsidR="0040600B">
        <w:rPr>
          <w:rFonts w:ascii="Verdana" w:hAnsi="Verdana"/>
          <w:i/>
          <w:iCs/>
          <w:sz w:val="20"/>
          <w:szCs w:val="20"/>
          <w:u w:val="single"/>
          <w:lang w:val="es-ES"/>
        </w:rPr>
        <w:t>42</w:t>
      </w:r>
      <w:r w:rsidR="00982A83">
        <w:rPr>
          <w:rFonts w:ascii="Verdana" w:hAnsi="Verdana"/>
          <w:sz w:val="20"/>
          <w:szCs w:val="20"/>
          <w:lang w:val="es-ES"/>
        </w:rPr>
        <w:t>)</w:t>
      </w:r>
      <w:r w:rsidR="00FB5114" w:rsidRPr="00836A74">
        <w:rPr>
          <w:rFonts w:ascii="Verdana" w:hAnsi="Verdana"/>
          <w:sz w:val="20"/>
          <w:szCs w:val="20"/>
          <w:lang w:val="es-ES"/>
        </w:rPr>
        <w:t>.</w:t>
      </w:r>
      <w:r w:rsidRPr="00836A74">
        <w:rPr>
          <w:rFonts w:ascii="Verdana" w:hAnsi="Verdana"/>
          <w:sz w:val="20"/>
          <w:szCs w:val="20"/>
          <w:lang w:val="es-ES"/>
        </w:rPr>
        <w:t xml:space="preserve"> </w:t>
      </w:r>
    </w:p>
    <w:p w14:paraId="375E14A1" w14:textId="77777777" w:rsidR="006C19B2" w:rsidRPr="00EE12A2" w:rsidRDefault="006C19B2" w:rsidP="00EE12A2">
      <w:pPr>
        <w:pStyle w:val="Prrafodelista"/>
        <w:spacing w:line="276" w:lineRule="auto"/>
        <w:ind w:left="0"/>
        <w:jc w:val="both"/>
        <w:rPr>
          <w:rFonts w:ascii="Verdana" w:eastAsia="Times New Roman" w:hAnsi="Verdana"/>
          <w:b/>
          <w:sz w:val="20"/>
          <w:szCs w:val="20"/>
          <w:lang w:val="es-ES" w:eastAsia="es-ES"/>
        </w:rPr>
      </w:pPr>
    </w:p>
    <w:p w14:paraId="748D03F4" w14:textId="275E8633" w:rsidR="00106FC0" w:rsidRPr="00EE12A2" w:rsidRDefault="006C19B2" w:rsidP="00EE12A2">
      <w:pPr>
        <w:spacing w:line="276" w:lineRule="auto"/>
        <w:jc w:val="center"/>
        <w:rPr>
          <w:rFonts w:ascii="Verdana" w:hAnsi="Verdana"/>
          <w:b/>
          <w:sz w:val="20"/>
          <w:szCs w:val="20"/>
          <w:lang w:val="es-ES"/>
        </w:rPr>
      </w:pPr>
      <w:r w:rsidRPr="00EE12A2">
        <w:rPr>
          <w:rFonts w:ascii="Verdana" w:hAnsi="Verdana"/>
          <w:b/>
          <w:sz w:val="20"/>
          <w:szCs w:val="20"/>
          <w:lang w:val="es-ES"/>
        </w:rPr>
        <w:t>I. EL ESTÁNDAR INTERAMERICANO RESPECTO DEL USO DE TIPOS</w:t>
      </w:r>
      <w:r w:rsidR="003D6501">
        <w:rPr>
          <w:rFonts w:ascii="Verdana" w:hAnsi="Verdana"/>
          <w:b/>
          <w:sz w:val="20"/>
          <w:szCs w:val="20"/>
          <w:lang w:val="es-ES"/>
        </w:rPr>
        <w:t xml:space="preserve"> </w:t>
      </w:r>
      <w:r w:rsidRPr="00EE12A2">
        <w:rPr>
          <w:rFonts w:ascii="Verdana" w:hAnsi="Verdana"/>
          <w:b/>
          <w:sz w:val="20"/>
          <w:szCs w:val="20"/>
          <w:lang w:val="es-ES"/>
        </w:rPr>
        <w:t>DISCIPLINARIOS ABIERTOS O INDETERMINADOS EN PROCESOS DISCIPLINARIOS JUDICIALES</w:t>
      </w:r>
    </w:p>
    <w:p w14:paraId="4F068586" w14:textId="77777777" w:rsidR="006C19B2" w:rsidRPr="00836A74" w:rsidRDefault="006C19B2" w:rsidP="00D61D5F">
      <w:pPr>
        <w:rPr>
          <w:rFonts w:ascii="Verdana" w:hAnsi="Verdana"/>
          <w:sz w:val="20"/>
          <w:szCs w:val="20"/>
          <w:lang w:val="es-ES"/>
        </w:rPr>
      </w:pPr>
    </w:p>
    <w:p w14:paraId="02A198DF" w14:textId="202DB3AE" w:rsidR="00106FC0" w:rsidRDefault="00106FC0" w:rsidP="00D61D5F">
      <w:pPr>
        <w:pStyle w:val="Prrafodelista"/>
        <w:numPr>
          <w:ilvl w:val="0"/>
          <w:numId w:val="3"/>
        </w:numPr>
        <w:ind w:left="0" w:firstLine="0"/>
        <w:jc w:val="both"/>
        <w:rPr>
          <w:rFonts w:ascii="Verdana" w:hAnsi="Verdana"/>
          <w:sz w:val="20"/>
          <w:szCs w:val="20"/>
          <w:lang w:val="es-ES"/>
        </w:rPr>
      </w:pPr>
      <w:r>
        <w:rPr>
          <w:rFonts w:ascii="Verdana" w:hAnsi="Verdana"/>
          <w:sz w:val="20"/>
          <w:szCs w:val="20"/>
          <w:lang w:val="es-ES"/>
        </w:rPr>
        <w:t xml:space="preserve">En el </w:t>
      </w:r>
      <w:r w:rsidR="0073736E">
        <w:rPr>
          <w:rFonts w:ascii="Verdana" w:hAnsi="Verdana"/>
          <w:sz w:val="20"/>
          <w:szCs w:val="20"/>
          <w:lang w:val="es-ES"/>
        </w:rPr>
        <w:t xml:space="preserve">voto disidente del </w:t>
      </w:r>
      <w:r>
        <w:rPr>
          <w:rFonts w:ascii="Verdana" w:hAnsi="Verdana"/>
          <w:sz w:val="20"/>
          <w:szCs w:val="20"/>
          <w:lang w:val="es-ES"/>
        </w:rPr>
        <w:t xml:space="preserve">caso </w:t>
      </w:r>
      <w:r w:rsidRPr="00106FC0">
        <w:rPr>
          <w:rFonts w:ascii="Verdana" w:hAnsi="Verdana"/>
          <w:i/>
          <w:iCs/>
          <w:sz w:val="20"/>
          <w:szCs w:val="20"/>
          <w:lang w:val="es-ES"/>
        </w:rPr>
        <w:t xml:space="preserve">Cordero Bernal </w:t>
      </w:r>
      <w:r w:rsidR="0073736E">
        <w:rPr>
          <w:rFonts w:ascii="Verdana" w:hAnsi="Verdana"/>
          <w:sz w:val="20"/>
          <w:szCs w:val="20"/>
          <w:lang w:val="es-ES"/>
        </w:rPr>
        <w:t xml:space="preserve">se consideró </w:t>
      </w:r>
      <w:r>
        <w:rPr>
          <w:rFonts w:ascii="Verdana" w:hAnsi="Verdana"/>
          <w:sz w:val="20"/>
          <w:szCs w:val="20"/>
          <w:lang w:val="es-ES"/>
        </w:rPr>
        <w:t xml:space="preserve">que: </w:t>
      </w:r>
    </w:p>
    <w:p w14:paraId="451B27EF" w14:textId="77777777" w:rsidR="00106FC0" w:rsidRPr="00C16453" w:rsidRDefault="00106FC0" w:rsidP="00106FC0">
      <w:pPr>
        <w:pStyle w:val="Prrafodelista"/>
        <w:ind w:left="0"/>
        <w:jc w:val="both"/>
        <w:rPr>
          <w:rFonts w:ascii="Verdana" w:hAnsi="Verdana"/>
          <w:sz w:val="16"/>
          <w:szCs w:val="16"/>
          <w:lang w:val="es-ES"/>
        </w:rPr>
      </w:pPr>
    </w:p>
    <w:p w14:paraId="7628F373" w14:textId="59FC74D6" w:rsidR="00106FC0" w:rsidRPr="00C16453" w:rsidRDefault="00106FC0" w:rsidP="00F25704">
      <w:pPr>
        <w:pStyle w:val="Prrafodelista"/>
        <w:ind w:left="0" w:right="503" w:firstLine="708"/>
        <w:jc w:val="both"/>
        <w:rPr>
          <w:rFonts w:ascii="Verdana" w:hAnsi="Verdana"/>
          <w:sz w:val="16"/>
          <w:szCs w:val="16"/>
          <w:lang w:val="es-ES"/>
        </w:rPr>
      </w:pPr>
      <w:r w:rsidRPr="00C16453">
        <w:rPr>
          <w:rFonts w:ascii="Verdana" w:hAnsi="Verdana"/>
          <w:sz w:val="16"/>
          <w:szCs w:val="16"/>
          <w:lang w:val="es-ES"/>
        </w:rPr>
        <w:t>[…]</w:t>
      </w:r>
    </w:p>
    <w:p w14:paraId="6F8710D3" w14:textId="77777777" w:rsidR="006C19B2" w:rsidRPr="00C16453" w:rsidRDefault="006C19B2" w:rsidP="00F25704">
      <w:pPr>
        <w:pStyle w:val="Prrafodelista"/>
        <w:ind w:left="0" w:right="503"/>
        <w:jc w:val="both"/>
        <w:rPr>
          <w:rFonts w:ascii="Verdana" w:hAnsi="Verdana"/>
          <w:sz w:val="16"/>
          <w:szCs w:val="16"/>
          <w:lang w:val="es-ES"/>
        </w:rPr>
      </w:pPr>
    </w:p>
    <w:p w14:paraId="15918B94" w14:textId="618BFBC3" w:rsidR="00F37AC4"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i/>
          <w:iCs/>
          <w:sz w:val="16"/>
          <w:szCs w:val="16"/>
          <w:lang w:val="es-ES"/>
        </w:rPr>
        <w:t xml:space="preserve">En el caso López </w:t>
      </w:r>
      <w:proofErr w:type="spellStart"/>
      <w:r w:rsidRPr="00C16453">
        <w:rPr>
          <w:rFonts w:ascii="Verdana" w:hAnsi="Verdana"/>
          <w:i/>
          <w:iCs/>
          <w:sz w:val="16"/>
          <w:szCs w:val="16"/>
          <w:lang w:val="es-ES"/>
        </w:rPr>
        <w:t>Lone</w:t>
      </w:r>
      <w:proofErr w:type="spellEnd"/>
      <w:r w:rsidRPr="00C16453">
        <w:rPr>
          <w:rFonts w:ascii="Verdana" w:hAnsi="Verdana"/>
          <w:i/>
          <w:iCs/>
          <w:sz w:val="16"/>
          <w:szCs w:val="16"/>
          <w:lang w:val="es-ES"/>
        </w:rPr>
        <w:t xml:space="preserve"> y otros, el Tribunal Interamericano abordó la responsabilidad internacional del Estado con respecto al principio de legalidad, en dos vertientes: a) las sanciones impuestas a las víctimas y b) las conductas sancionables en la normativa disciplinaria.</w:t>
      </w:r>
    </w:p>
    <w:p w14:paraId="3B550479" w14:textId="77777777" w:rsidR="00F37AC4" w:rsidRPr="00C16453" w:rsidRDefault="00F37AC4" w:rsidP="00F25704">
      <w:pPr>
        <w:pStyle w:val="Prrafodelista"/>
        <w:ind w:left="708" w:right="503"/>
        <w:jc w:val="both"/>
        <w:rPr>
          <w:rFonts w:ascii="Verdana" w:hAnsi="Verdana"/>
          <w:i/>
          <w:iCs/>
          <w:sz w:val="16"/>
          <w:szCs w:val="16"/>
          <w:lang w:val="es-ES"/>
        </w:rPr>
      </w:pPr>
    </w:p>
    <w:p w14:paraId="51F4285B" w14:textId="742D228C" w:rsidR="00F37AC4"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color w:val="000000" w:themeColor="text1"/>
          <w:sz w:val="16"/>
          <w:szCs w:val="16"/>
          <w:lang w:val="es-ES"/>
        </w:rPr>
        <w:t>Respecto del primer punto consideró que “las razones por las cuales los jueces y [las] juezas pueden ser removidos de sus cargos deben estar clara y legalmente establecidas” y que teniendo en cuenta que la destitución o remoción de un cargo es la medida más restrictiva y severa que se puede adoptar en materia disciplinaria “la posibilidad de su aplicación debe ser previsible: [i</w:t>
      </w:r>
      <w:r w:rsidR="00CC7970" w:rsidRPr="00C16453">
        <w:rPr>
          <w:rFonts w:ascii="Verdana" w:hAnsi="Verdana"/>
          <w:color w:val="000000" w:themeColor="text1"/>
          <w:sz w:val="16"/>
          <w:szCs w:val="16"/>
          <w:lang w:val="es-ES"/>
        </w:rPr>
        <w:t>)</w:t>
      </w:r>
      <w:r w:rsidRPr="00C16453">
        <w:rPr>
          <w:rFonts w:ascii="Verdana" w:hAnsi="Verdana"/>
          <w:color w:val="000000" w:themeColor="text1"/>
          <w:sz w:val="16"/>
          <w:szCs w:val="16"/>
          <w:lang w:val="es-ES"/>
        </w:rPr>
        <w:t>] porque está expresa y claramente establecida en la ley la conducta sancionable de forma precisa, taxativa y previa o [</w:t>
      </w:r>
      <w:proofErr w:type="spellStart"/>
      <w:r w:rsidRPr="00C16453">
        <w:rPr>
          <w:rFonts w:ascii="Verdana" w:hAnsi="Verdana"/>
          <w:color w:val="000000" w:themeColor="text1"/>
          <w:sz w:val="16"/>
          <w:szCs w:val="16"/>
          <w:lang w:val="es-ES"/>
        </w:rPr>
        <w:t>ii</w:t>
      </w:r>
      <w:proofErr w:type="spellEnd"/>
      <w:r w:rsidRPr="00C16453">
        <w:rPr>
          <w:rFonts w:ascii="Verdana" w:hAnsi="Verdana"/>
          <w:color w:val="000000" w:themeColor="text1"/>
          <w:sz w:val="16"/>
          <w:szCs w:val="16"/>
          <w:lang w:val="es-ES"/>
        </w:rPr>
        <w:t xml:space="preserve">)] porque la ley delega su asignación al juzgador o a una norma </w:t>
      </w:r>
      <w:r w:rsidRPr="00C16453">
        <w:rPr>
          <w:rFonts w:ascii="Verdana" w:hAnsi="Verdana"/>
          <w:i/>
          <w:iCs/>
          <w:color w:val="000000" w:themeColor="text1"/>
          <w:sz w:val="16"/>
          <w:szCs w:val="16"/>
          <w:lang w:val="es-ES"/>
        </w:rPr>
        <w:t>infra</w:t>
      </w:r>
      <w:r w:rsidRPr="00C16453">
        <w:rPr>
          <w:rFonts w:ascii="Verdana" w:hAnsi="Verdana"/>
          <w:color w:val="000000" w:themeColor="text1"/>
          <w:sz w:val="16"/>
          <w:szCs w:val="16"/>
          <w:lang w:val="es-ES"/>
        </w:rPr>
        <w:t xml:space="preserve"> legal, bajo criterios objetivos que limiten el alcance de la discrecionalidad”.</w:t>
      </w:r>
      <w:r w:rsidRPr="00C16453">
        <w:rPr>
          <w:rFonts w:ascii="Verdana" w:hAnsi="Verdana"/>
          <w:b/>
          <w:bCs/>
          <w:color w:val="000000" w:themeColor="text1"/>
          <w:sz w:val="16"/>
          <w:szCs w:val="16"/>
          <w:lang w:val="es-ES"/>
        </w:rPr>
        <w:t xml:space="preserve"> </w:t>
      </w:r>
      <w:r w:rsidRPr="00C16453">
        <w:rPr>
          <w:rFonts w:ascii="Verdana" w:hAnsi="Verdana"/>
          <w:color w:val="000000" w:themeColor="text1"/>
          <w:sz w:val="16"/>
          <w:szCs w:val="16"/>
          <w:lang w:val="es-ES"/>
        </w:rPr>
        <w:t xml:space="preserve">Además, la Corte IDH añadió “que cierto grado de indeterminación no genera, </w:t>
      </w:r>
      <w:r w:rsidRPr="00C16453">
        <w:rPr>
          <w:rFonts w:ascii="Verdana" w:hAnsi="Verdana"/>
          <w:i/>
          <w:color w:val="000000" w:themeColor="text1"/>
          <w:sz w:val="16"/>
          <w:szCs w:val="16"/>
          <w:lang w:val="es-ES"/>
        </w:rPr>
        <w:t>per se</w:t>
      </w:r>
      <w:r w:rsidRPr="00C16453">
        <w:rPr>
          <w:rFonts w:ascii="Verdana" w:hAnsi="Verdana"/>
          <w:color w:val="000000" w:themeColor="text1"/>
          <w:sz w:val="16"/>
          <w:szCs w:val="16"/>
          <w:lang w:val="es-ES"/>
        </w:rPr>
        <w:t>, una violación de la Convención, es decir, el hecho de que una norma conceda algún tipo de discrecionalidad no es incompatible con el grado de previsibilidad exigible”. Sin embargo</w:t>
      </w:r>
      <w:r w:rsidR="00CC7970" w:rsidRPr="00C16453">
        <w:rPr>
          <w:rFonts w:ascii="Verdana" w:hAnsi="Verdana"/>
          <w:color w:val="000000" w:themeColor="text1"/>
          <w:sz w:val="16"/>
          <w:szCs w:val="16"/>
          <w:lang w:val="es-ES"/>
        </w:rPr>
        <w:t>,</w:t>
      </w:r>
      <w:r w:rsidRPr="00C16453">
        <w:rPr>
          <w:rFonts w:ascii="Verdana" w:hAnsi="Verdana"/>
          <w:color w:val="000000" w:themeColor="text1"/>
          <w:sz w:val="16"/>
          <w:szCs w:val="16"/>
          <w:lang w:val="es-ES"/>
        </w:rPr>
        <w:t xml:space="preserve"> el Tribunal Interamericano condicionó la referida “indeterminación de la norma” indicando que “el alcance de la discrecionalidad y la manera en que se debe ejercer sea indicado con suficiente claridad con el fin de brindar una adecuada protección para que no se produzca una interferencia arbitraria”.</w:t>
      </w:r>
    </w:p>
    <w:p w14:paraId="566E8656" w14:textId="77777777" w:rsidR="00F37AC4" w:rsidRPr="00C16453" w:rsidRDefault="00F37AC4" w:rsidP="00F25704">
      <w:pPr>
        <w:pStyle w:val="Prrafodelista"/>
        <w:ind w:left="708" w:right="503"/>
        <w:jc w:val="both"/>
        <w:rPr>
          <w:rFonts w:ascii="Verdana" w:hAnsi="Verdana"/>
          <w:i/>
          <w:iCs/>
          <w:sz w:val="16"/>
          <w:szCs w:val="16"/>
          <w:lang w:val="es-ES"/>
        </w:rPr>
      </w:pPr>
    </w:p>
    <w:p w14:paraId="1387150E" w14:textId="59B93CC2" w:rsidR="00F37AC4"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color w:val="000000" w:themeColor="text1"/>
          <w:sz w:val="16"/>
          <w:szCs w:val="16"/>
          <w:lang w:val="es-ES"/>
        </w:rPr>
        <w:t>En ese caso, el Tribunal Interamericano constató que, en principio, la ley y su reglamento aplicables al caso, establecían un sistema de sanciones (por gradación de sanciones respecto de la gravedad) en el que la destitución se aplicaba tanto a las faltas graves</w:t>
      </w:r>
      <w:r w:rsidR="00CC7970" w:rsidRPr="00C16453">
        <w:rPr>
          <w:rFonts w:ascii="Verdana" w:hAnsi="Verdana"/>
          <w:color w:val="000000" w:themeColor="text1"/>
          <w:sz w:val="16"/>
          <w:szCs w:val="16"/>
          <w:lang w:val="es-ES"/>
        </w:rPr>
        <w:t>,</w:t>
      </w:r>
      <w:r w:rsidRPr="00C16453">
        <w:rPr>
          <w:rFonts w:ascii="Verdana" w:hAnsi="Verdana"/>
          <w:color w:val="000000" w:themeColor="text1"/>
          <w:sz w:val="16"/>
          <w:szCs w:val="16"/>
          <w:lang w:val="es-ES"/>
        </w:rPr>
        <w:t xml:space="preserve"> pero también se extendía a las faltas calificadas leves o menos graves en caso de incumplimiento o violación grave o reiterada de cualquiera de ellas. Así, </w:t>
      </w:r>
      <w:r w:rsidRPr="00C16453">
        <w:rPr>
          <w:rFonts w:ascii="Verdana" w:hAnsi="Verdana"/>
          <w:sz w:val="16"/>
          <w:szCs w:val="16"/>
          <w:lang w:val="es-ES"/>
        </w:rPr>
        <w:t>la Corte IDH consideró que el diseño normativo afectaba la previsibilidad de la sanción</w:t>
      </w:r>
      <w:r w:rsidR="00014469" w:rsidRPr="00C16453">
        <w:rPr>
          <w:rFonts w:ascii="Verdana" w:hAnsi="Verdana"/>
          <w:sz w:val="16"/>
          <w:szCs w:val="16"/>
          <w:lang w:val="es-ES"/>
        </w:rPr>
        <w:t>,</w:t>
      </w:r>
      <w:r w:rsidRPr="00C16453">
        <w:rPr>
          <w:rFonts w:ascii="Verdana" w:hAnsi="Verdana"/>
          <w:sz w:val="16"/>
          <w:szCs w:val="16"/>
          <w:lang w:val="es-ES"/>
        </w:rPr>
        <w:t xml:space="preserve"> porque </w:t>
      </w:r>
      <w:r w:rsidRPr="00C16453">
        <w:rPr>
          <w:rFonts w:ascii="Verdana" w:eastAsia="Calibri" w:hAnsi="Verdana"/>
          <w:sz w:val="16"/>
          <w:szCs w:val="16"/>
          <w:lang w:val="es-ES"/>
        </w:rPr>
        <w:t>permitía la destitución de un juez o jueza por el incumplimiento de cualquiera de los deberes o incompatibilidades de su cargo cuando el juzgador entendiera que se trataba de un incumplimiento grave y</w:t>
      </w:r>
      <w:r w:rsidR="00010E29" w:rsidRPr="00C16453">
        <w:rPr>
          <w:rFonts w:ascii="Verdana" w:eastAsia="Calibri" w:hAnsi="Verdana"/>
          <w:sz w:val="16"/>
          <w:szCs w:val="16"/>
          <w:lang w:val="es-ES"/>
        </w:rPr>
        <w:t>,</w:t>
      </w:r>
      <w:r w:rsidRPr="00C16453">
        <w:rPr>
          <w:rFonts w:ascii="Verdana" w:eastAsia="Calibri" w:hAnsi="Verdana"/>
          <w:sz w:val="16"/>
          <w:szCs w:val="16"/>
          <w:lang w:val="es-ES"/>
        </w:rPr>
        <w:t xml:space="preserve"> de esta forma</w:t>
      </w:r>
      <w:r w:rsidR="00010E29" w:rsidRPr="00C16453">
        <w:rPr>
          <w:rFonts w:ascii="Verdana" w:eastAsia="Calibri" w:hAnsi="Verdana"/>
          <w:sz w:val="16"/>
          <w:szCs w:val="16"/>
          <w:lang w:val="es-ES"/>
        </w:rPr>
        <w:t>,</w:t>
      </w:r>
      <w:r w:rsidRPr="00C16453">
        <w:rPr>
          <w:rFonts w:ascii="Verdana" w:eastAsia="Calibri" w:hAnsi="Verdana"/>
          <w:sz w:val="16"/>
          <w:szCs w:val="16"/>
          <w:lang w:val="es-ES"/>
        </w:rPr>
        <w:t xml:space="preserve"> concedía una excesiva discrecionalidad al órgano encargado de aplicar la sanción</w:t>
      </w:r>
      <w:r w:rsidRPr="00C16453">
        <w:rPr>
          <w:rFonts w:ascii="Verdana" w:hAnsi="Verdana"/>
          <w:color w:val="000000" w:themeColor="text1"/>
          <w:sz w:val="16"/>
          <w:szCs w:val="16"/>
          <w:lang w:val="es-ES"/>
        </w:rPr>
        <w:t xml:space="preserve">. </w:t>
      </w:r>
    </w:p>
    <w:p w14:paraId="5ACE50D4" w14:textId="77777777" w:rsidR="00F37AC4" w:rsidRPr="00C16453" w:rsidRDefault="00F37AC4" w:rsidP="00F25704">
      <w:pPr>
        <w:pStyle w:val="Prrafodelista"/>
        <w:ind w:left="708" w:right="503"/>
        <w:jc w:val="both"/>
        <w:rPr>
          <w:rFonts w:ascii="Verdana" w:hAnsi="Verdana"/>
          <w:i/>
          <w:iCs/>
          <w:sz w:val="16"/>
          <w:szCs w:val="16"/>
          <w:lang w:val="es-ES"/>
        </w:rPr>
      </w:pPr>
    </w:p>
    <w:p w14:paraId="4463482C" w14:textId="77777777" w:rsidR="00F37AC4"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color w:val="000000" w:themeColor="text1"/>
          <w:sz w:val="16"/>
          <w:szCs w:val="16"/>
          <w:lang w:val="es-ES"/>
        </w:rPr>
        <w:t xml:space="preserve">De este modo, en cuanto a </w:t>
      </w:r>
      <w:r w:rsidRPr="00C16453">
        <w:rPr>
          <w:rFonts w:ascii="Verdana" w:hAnsi="Verdana"/>
          <w:sz w:val="16"/>
          <w:szCs w:val="16"/>
          <w:lang w:val="es-ES"/>
        </w:rPr>
        <w:t xml:space="preserve">las sanciones impuestas a las víctimas, </w:t>
      </w:r>
      <w:r w:rsidRPr="00C16453">
        <w:rPr>
          <w:rFonts w:ascii="Verdana" w:hAnsi="Verdana"/>
          <w:color w:val="000000" w:themeColor="text1"/>
          <w:sz w:val="16"/>
          <w:szCs w:val="16"/>
          <w:lang w:val="es-ES"/>
        </w:rPr>
        <w:t>la Corte IDH no evaluó si las normas internas eran o no de carácter abierto respecto de las conductas que la norma debería de prever; sino que la responsabilidad internacional, en cuanto a este punto, se circunscribió a que “</w:t>
      </w:r>
      <w:r w:rsidRPr="00C16453">
        <w:rPr>
          <w:rFonts w:ascii="Verdana" w:hAnsi="Verdana"/>
          <w:sz w:val="16"/>
          <w:szCs w:val="16"/>
          <w:lang w:val="es-ES"/>
        </w:rPr>
        <w:t xml:space="preserve">las normas disciplinarias aplicables a los casos de las […] víctimas otorgaban una excesiva discrecionalidad al juzgador </w:t>
      </w:r>
      <w:r w:rsidRPr="00C16453">
        <w:rPr>
          <w:rFonts w:ascii="Verdana" w:hAnsi="Verdana"/>
          <w:i/>
          <w:iCs/>
          <w:sz w:val="16"/>
          <w:szCs w:val="16"/>
          <w:lang w:val="es-ES"/>
        </w:rPr>
        <w:t>en el establecimiento de la sanción de destitución</w:t>
      </w:r>
      <w:r w:rsidRPr="00C16453">
        <w:rPr>
          <w:rFonts w:ascii="Verdana" w:hAnsi="Verdana"/>
          <w:sz w:val="16"/>
          <w:szCs w:val="16"/>
          <w:lang w:val="es-ES"/>
        </w:rPr>
        <w:t xml:space="preserve">” [énfasis añadido]. </w:t>
      </w:r>
    </w:p>
    <w:p w14:paraId="0BC78931" w14:textId="77777777" w:rsidR="00F37AC4" w:rsidRPr="00C16453" w:rsidRDefault="00F37AC4" w:rsidP="00F25704">
      <w:pPr>
        <w:pStyle w:val="Prrafodelista"/>
        <w:ind w:left="708" w:right="503"/>
        <w:jc w:val="both"/>
        <w:rPr>
          <w:rFonts w:ascii="Verdana" w:hAnsi="Verdana"/>
          <w:color w:val="000000" w:themeColor="text1"/>
          <w:sz w:val="16"/>
          <w:szCs w:val="16"/>
          <w:lang w:val="es-ES"/>
        </w:rPr>
      </w:pPr>
    </w:p>
    <w:p w14:paraId="6511798E" w14:textId="175CC521" w:rsidR="00F37AC4"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color w:val="000000" w:themeColor="text1"/>
          <w:sz w:val="16"/>
          <w:szCs w:val="16"/>
          <w:lang w:val="es-ES"/>
        </w:rPr>
        <w:t>Ahora bien, en cuanto a lo concerniente al segundo aspecto —</w:t>
      </w:r>
      <w:r w:rsidRPr="00C16453">
        <w:rPr>
          <w:rFonts w:ascii="Verdana" w:hAnsi="Verdana"/>
          <w:sz w:val="16"/>
          <w:szCs w:val="16"/>
          <w:lang w:val="es-ES"/>
        </w:rPr>
        <w:t>las conductas sancionables en la normativa disciplinaria</w:t>
      </w:r>
      <w:r w:rsidRPr="00C16453">
        <w:rPr>
          <w:rFonts w:ascii="Verdana" w:hAnsi="Verdana"/>
          <w:color w:val="000000" w:themeColor="text1"/>
          <w:sz w:val="16"/>
          <w:szCs w:val="16"/>
          <w:lang w:val="es-ES"/>
        </w:rPr>
        <w:t>—</w:t>
      </w:r>
      <w:r w:rsidRPr="00C16453">
        <w:rPr>
          <w:rFonts w:ascii="Verdana" w:hAnsi="Verdana"/>
          <w:sz w:val="16"/>
          <w:szCs w:val="16"/>
          <w:lang w:val="es-ES"/>
        </w:rPr>
        <w:t>, la Corte IDH consideró que “[t]</w:t>
      </w:r>
      <w:proofErr w:type="spellStart"/>
      <w:r w:rsidRPr="00C16453">
        <w:rPr>
          <w:rFonts w:ascii="Verdana" w:hAnsi="Verdana"/>
          <w:sz w:val="16"/>
          <w:szCs w:val="16"/>
          <w:lang w:val="es-ES"/>
        </w:rPr>
        <w:t>ratándose</w:t>
      </w:r>
      <w:proofErr w:type="spellEnd"/>
      <w:r w:rsidRPr="00C16453">
        <w:rPr>
          <w:rFonts w:ascii="Verdana" w:hAnsi="Verdana"/>
          <w:sz w:val="16"/>
          <w:szCs w:val="16"/>
          <w:lang w:val="es-ES"/>
        </w:rPr>
        <w:t xml:space="preserve"> de sanciones disciplinarias impuestas a jueces y juezas la exigencia de motivación es aún mayor que en otros procesos disciplinarios, ya que el control disciplinario tiene como objeto valorar la conducta, idoneidad y desempeño del juez como funcionario público y, por ende, correspondería analizar la gravedad de la conducta y la proporcionalidad de la sanción. En el ámbito disciplinario es imprescindible la indicación precisa de aquello que constituye una falta </w:t>
      </w:r>
      <w:r w:rsidRPr="00C16453">
        <w:rPr>
          <w:rFonts w:ascii="Verdana" w:hAnsi="Verdana"/>
          <w:sz w:val="16"/>
          <w:szCs w:val="16"/>
          <w:lang w:val="es-ES"/>
        </w:rPr>
        <w:lastRenderedPageBreak/>
        <w:t xml:space="preserve">y el desarrollo de argumentos que permitan concluir que las conductas reprochadas tienen la suficiente entidad para justificar que un juez no permanezca en el cargo”. </w:t>
      </w:r>
    </w:p>
    <w:p w14:paraId="10A9B76F" w14:textId="77777777" w:rsidR="00F37AC4" w:rsidRPr="00C16453" w:rsidRDefault="00F37AC4" w:rsidP="00F25704">
      <w:pPr>
        <w:pStyle w:val="Prrafodelista"/>
        <w:ind w:left="708" w:right="503"/>
        <w:jc w:val="both"/>
        <w:rPr>
          <w:rFonts w:ascii="Verdana" w:hAnsi="Verdana"/>
          <w:i/>
          <w:iCs/>
          <w:sz w:val="16"/>
          <w:szCs w:val="16"/>
          <w:lang w:val="es-ES"/>
        </w:rPr>
      </w:pPr>
    </w:p>
    <w:p w14:paraId="2086E65E" w14:textId="58452B7C" w:rsidR="00F37AC4"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sz w:val="16"/>
          <w:szCs w:val="16"/>
          <w:lang w:val="es-ES"/>
        </w:rPr>
        <w:t xml:space="preserve">Particularmente indicó sobre el uso de tipos disciplinarios abiertos o indeterminados: “[…] en estos supuestos […] la motivación al momento de su aplicación es fundamental, pues corresponde al juzgador disciplinario, </w:t>
      </w:r>
      <w:r w:rsidRPr="00C16453">
        <w:rPr>
          <w:rFonts w:ascii="Verdana" w:hAnsi="Verdana"/>
          <w:i/>
          <w:iCs/>
          <w:sz w:val="16"/>
          <w:szCs w:val="16"/>
          <w:lang w:val="es-ES"/>
        </w:rPr>
        <w:t>interpretar dichas normas respetando el principio de legalidad y observando la mayor rigurosidad para verificar la existencia de la conducta sancionable</w:t>
      </w:r>
      <w:r w:rsidR="00C16453">
        <w:rPr>
          <w:rFonts w:ascii="Verdana" w:hAnsi="Verdana"/>
          <w:i/>
          <w:iCs/>
          <w:sz w:val="16"/>
          <w:szCs w:val="16"/>
          <w:lang w:val="es-ES"/>
        </w:rPr>
        <w:t>”</w:t>
      </w:r>
      <w:r w:rsidRPr="00C16453">
        <w:rPr>
          <w:rFonts w:ascii="Verdana" w:hAnsi="Verdana"/>
          <w:i/>
          <w:iCs/>
          <w:sz w:val="16"/>
          <w:szCs w:val="16"/>
          <w:lang w:val="es-ES"/>
        </w:rPr>
        <w:t xml:space="preserve"> </w:t>
      </w:r>
      <w:r w:rsidRPr="00C16453">
        <w:rPr>
          <w:rFonts w:ascii="Verdana" w:hAnsi="Verdana"/>
          <w:sz w:val="16"/>
          <w:szCs w:val="16"/>
          <w:lang w:val="es-ES"/>
        </w:rPr>
        <w:t xml:space="preserve">[énfasis añadido]. </w:t>
      </w:r>
    </w:p>
    <w:p w14:paraId="39D56181" w14:textId="77777777" w:rsidR="00705289" w:rsidRPr="00C16453" w:rsidRDefault="00705289" w:rsidP="00F25704">
      <w:pPr>
        <w:pStyle w:val="Prrafodelista"/>
        <w:ind w:left="708" w:right="503"/>
        <w:jc w:val="both"/>
        <w:rPr>
          <w:rFonts w:ascii="Verdana" w:hAnsi="Verdana"/>
          <w:i/>
          <w:iCs/>
          <w:sz w:val="16"/>
          <w:szCs w:val="16"/>
          <w:lang w:val="es-ES"/>
        </w:rPr>
      </w:pPr>
    </w:p>
    <w:p w14:paraId="28DFD964" w14:textId="0454485C" w:rsidR="00705289"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color w:val="000000" w:themeColor="text1"/>
          <w:sz w:val="16"/>
          <w:szCs w:val="16"/>
          <w:lang w:val="es-ES"/>
        </w:rPr>
        <w:t xml:space="preserve">En ese caso, la Corte IDH estimó que los acuerdos de destitución emitidos en contra de las víctimas carecían de motivación porque no contenían </w:t>
      </w:r>
      <w:r w:rsidR="00CC7970" w:rsidRPr="00C16453">
        <w:rPr>
          <w:rFonts w:ascii="Verdana" w:hAnsi="Verdana"/>
          <w:color w:val="000000" w:themeColor="text1"/>
          <w:sz w:val="16"/>
          <w:szCs w:val="16"/>
          <w:lang w:val="es-ES"/>
        </w:rPr>
        <w:t>“</w:t>
      </w:r>
      <w:r w:rsidRPr="00C16453">
        <w:rPr>
          <w:rFonts w:ascii="Verdana" w:hAnsi="Verdana"/>
          <w:color w:val="000000" w:themeColor="text1"/>
          <w:sz w:val="16"/>
          <w:szCs w:val="16"/>
          <w:lang w:val="es-ES"/>
        </w:rPr>
        <w:t xml:space="preserve">una adecuada relación entre los hechos constitutivos de la conducta o comportamiento reprochable y las normas presuntamente incumplidas”. Asimismo, indicó que “[f]rente a la multiplicidad de normas invocadas por los órganos internos que intervinieron en los procesos disciplinarios […] no le corresponde [a esta Corte] seleccionar aquellas que mejor se adecúen a las conductas de las […] víctimas” a “efectos de determinar si cumplen o no con los requisitos de </w:t>
      </w:r>
      <w:r w:rsidRPr="00C16453">
        <w:rPr>
          <w:rFonts w:ascii="Verdana" w:hAnsi="Verdana"/>
          <w:i/>
          <w:iCs/>
          <w:color w:val="000000" w:themeColor="text1"/>
          <w:sz w:val="16"/>
          <w:szCs w:val="16"/>
          <w:lang w:val="es-ES"/>
        </w:rPr>
        <w:t>precisión y claridad que exige el principio de legalidad para normas de carácter sancionatorio”</w:t>
      </w:r>
      <w:r w:rsidRPr="00C16453">
        <w:rPr>
          <w:rFonts w:ascii="Verdana" w:hAnsi="Verdana"/>
          <w:color w:val="000000" w:themeColor="text1"/>
          <w:sz w:val="16"/>
          <w:szCs w:val="16"/>
          <w:lang w:val="es-ES"/>
        </w:rPr>
        <w:t>. La Corte IDH concluyó, que al menos en este caso, “</w:t>
      </w:r>
      <w:r w:rsidRPr="00C16453">
        <w:rPr>
          <w:rFonts w:ascii="Verdana" w:hAnsi="Verdana"/>
          <w:i/>
          <w:iCs/>
          <w:color w:val="000000" w:themeColor="text1"/>
          <w:sz w:val="16"/>
          <w:szCs w:val="16"/>
          <w:lang w:val="es-ES"/>
        </w:rPr>
        <w:t>no es posible realizar un análisis detallado respecto al requisito de legalidad material de las normas supuestamente incumplidas,</w:t>
      </w:r>
      <w:r w:rsidRPr="00C16453">
        <w:rPr>
          <w:rFonts w:ascii="Verdana" w:hAnsi="Verdana"/>
          <w:color w:val="000000" w:themeColor="text1"/>
          <w:sz w:val="16"/>
          <w:szCs w:val="16"/>
          <w:lang w:val="es-ES"/>
        </w:rPr>
        <w:t xml:space="preserve"> </w:t>
      </w:r>
      <w:r w:rsidRPr="00C16453">
        <w:rPr>
          <w:rFonts w:ascii="Verdana" w:hAnsi="Verdana"/>
          <w:i/>
          <w:iCs/>
          <w:color w:val="000000" w:themeColor="text1"/>
          <w:sz w:val="16"/>
          <w:szCs w:val="16"/>
          <w:lang w:val="es-ES"/>
        </w:rPr>
        <w:t>debido a la ausencia de motivación</w:t>
      </w:r>
      <w:r w:rsidRPr="00C16453">
        <w:rPr>
          <w:rFonts w:ascii="Verdana" w:hAnsi="Verdana"/>
          <w:color w:val="000000" w:themeColor="text1"/>
          <w:sz w:val="16"/>
          <w:szCs w:val="16"/>
          <w:lang w:val="es-ES"/>
        </w:rPr>
        <w:t xml:space="preserve">” [énfasis añadido]. </w:t>
      </w:r>
    </w:p>
    <w:p w14:paraId="563575F3" w14:textId="77777777" w:rsidR="00705289" w:rsidRPr="00C16453" w:rsidRDefault="00705289" w:rsidP="00F25704">
      <w:pPr>
        <w:pStyle w:val="Prrafodelista"/>
        <w:ind w:left="708" w:right="503"/>
        <w:jc w:val="both"/>
        <w:rPr>
          <w:rFonts w:ascii="Verdana" w:hAnsi="Verdana"/>
          <w:i/>
          <w:iCs/>
          <w:sz w:val="16"/>
          <w:szCs w:val="16"/>
          <w:lang w:val="es-ES"/>
        </w:rPr>
      </w:pPr>
    </w:p>
    <w:p w14:paraId="1EFFF798" w14:textId="06AAD298" w:rsidR="00705289"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color w:val="000000" w:themeColor="text1"/>
          <w:sz w:val="16"/>
          <w:szCs w:val="16"/>
          <w:lang w:val="es-ES"/>
        </w:rPr>
        <w:t xml:space="preserve">En el párrafo 272 de la sentencia del caso </w:t>
      </w:r>
      <w:r w:rsidRPr="00C16453">
        <w:rPr>
          <w:rFonts w:ascii="Verdana" w:hAnsi="Verdana"/>
          <w:i/>
          <w:iCs/>
          <w:color w:val="000000" w:themeColor="text1"/>
          <w:sz w:val="16"/>
          <w:szCs w:val="16"/>
          <w:lang w:val="es-ES"/>
        </w:rPr>
        <w:t xml:space="preserve">López </w:t>
      </w:r>
      <w:proofErr w:type="spellStart"/>
      <w:r w:rsidRPr="00C16453">
        <w:rPr>
          <w:rFonts w:ascii="Verdana" w:hAnsi="Verdana"/>
          <w:i/>
          <w:iCs/>
          <w:color w:val="000000" w:themeColor="text1"/>
          <w:sz w:val="16"/>
          <w:szCs w:val="16"/>
          <w:lang w:val="es-ES"/>
        </w:rPr>
        <w:t>Lone</w:t>
      </w:r>
      <w:proofErr w:type="spellEnd"/>
      <w:r w:rsidRPr="00C16453">
        <w:rPr>
          <w:rFonts w:ascii="Verdana" w:hAnsi="Verdana"/>
          <w:i/>
          <w:iCs/>
          <w:color w:val="000000" w:themeColor="text1"/>
          <w:sz w:val="16"/>
          <w:szCs w:val="16"/>
          <w:lang w:val="es-ES"/>
        </w:rPr>
        <w:t xml:space="preserve"> y otros</w:t>
      </w:r>
      <w:r w:rsidRPr="00C16453">
        <w:rPr>
          <w:rFonts w:ascii="Verdana" w:hAnsi="Verdana"/>
          <w:color w:val="000000" w:themeColor="text1"/>
          <w:sz w:val="16"/>
          <w:szCs w:val="16"/>
          <w:lang w:val="es-ES"/>
        </w:rPr>
        <w:t>, la Corte IDH, retomando lo indicado en el párrafo 257 reiteró que “</w:t>
      </w:r>
      <w:r w:rsidRPr="00C16453">
        <w:rPr>
          <w:rFonts w:ascii="Verdana" w:hAnsi="Verdana"/>
          <w:sz w:val="16"/>
          <w:szCs w:val="16"/>
          <w:lang w:val="es-ES"/>
        </w:rPr>
        <w:t xml:space="preserve">aun cuando puede aceptarse que la precisión requerida en materia disciplinaria sancionatoria sea menor que en materia penal […], el uso de supuestos abiertos o conceptos indeterminados […] requiere el establecimiento de criterios objetivos que guíen la interpretación o contenido que debe darse a dichos conceptos a efectos de limitar la discrecionalidad en la aplicación de las sanciones”. En esta ocasión este pronunciamiento lo realizó respecto de las conductas sancionables. </w:t>
      </w:r>
    </w:p>
    <w:p w14:paraId="54BCDC5C" w14:textId="77777777" w:rsidR="00705289" w:rsidRPr="00C16453" w:rsidRDefault="00705289" w:rsidP="00F25704">
      <w:pPr>
        <w:pStyle w:val="Prrafodelista"/>
        <w:ind w:left="708" w:right="503"/>
        <w:jc w:val="both"/>
        <w:rPr>
          <w:rFonts w:ascii="Verdana" w:hAnsi="Verdana"/>
          <w:color w:val="000000" w:themeColor="text1"/>
          <w:sz w:val="16"/>
          <w:szCs w:val="16"/>
          <w:lang w:val="es-ES"/>
        </w:rPr>
      </w:pPr>
    </w:p>
    <w:p w14:paraId="358861EA" w14:textId="5CCA376B" w:rsidR="006C19B2" w:rsidRPr="00C16453" w:rsidRDefault="006C19B2" w:rsidP="00F25704">
      <w:pPr>
        <w:pStyle w:val="Prrafodelista"/>
        <w:ind w:left="708" w:right="503"/>
        <w:jc w:val="both"/>
        <w:rPr>
          <w:rFonts w:ascii="Verdana" w:hAnsi="Verdana"/>
          <w:i/>
          <w:iCs/>
          <w:sz w:val="16"/>
          <w:szCs w:val="16"/>
          <w:lang w:val="es-ES"/>
        </w:rPr>
      </w:pPr>
      <w:r w:rsidRPr="00C16453">
        <w:rPr>
          <w:rFonts w:ascii="Verdana" w:hAnsi="Verdana"/>
          <w:color w:val="000000" w:themeColor="text1"/>
          <w:sz w:val="16"/>
          <w:szCs w:val="16"/>
          <w:lang w:val="es-ES"/>
        </w:rPr>
        <w:t xml:space="preserve">A criterio del Tribunal Interamericano: </w:t>
      </w:r>
    </w:p>
    <w:p w14:paraId="4C210ED2" w14:textId="77777777" w:rsidR="006C19B2" w:rsidRPr="00C16453" w:rsidRDefault="006C19B2" w:rsidP="002F0AB2">
      <w:pPr>
        <w:pStyle w:val="Prrafodelista"/>
        <w:ind w:right="503"/>
        <w:rPr>
          <w:rFonts w:ascii="Verdana" w:hAnsi="Verdana"/>
          <w:color w:val="000000" w:themeColor="text1"/>
          <w:sz w:val="16"/>
          <w:szCs w:val="16"/>
          <w:lang w:val="es-ES"/>
        </w:rPr>
      </w:pPr>
    </w:p>
    <w:p w14:paraId="2B426CB3" w14:textId="77777777" w:rsidR="006C19B2" w:rsidRPr="00C16453" w:rsidRDefault="006C19B2" w:rsidP="00BB158D">
      <w:pPr>
        <w:pStyle w:val="Prrafodelista"/>
        <w:ind w:left="1416" w:right="503"/>
        <w:jc w:val="both"/>
        <w:rPr>
          <w:rFonts w:ascii="Verdana" w:hAnsi="Verdana"/>
          <w:bCs/>
          <w:i/>
          <w:sz w:val="16"/>
          <w:szCs w:val="16"/>
          <w:lang w:val="es-ES"/>
        </w:rPr>
      </w:pPr>
      <w:r w:rsidRPr="00C16453">
        <w:rPr>
          <w:rFonts w:ascii="Verdana" w:hAnsi="Verdana"/>
          <w:bCs/>
          <w:color w:val="000000" w:themeColor="text1"/>
          <w:sz w:val="16"/>
          <w:szCs w:val="16"/>
          <w:lang w:val="es-ES"/>
        </w:rPr>
        <w:t xml:space="preserve">272. </w:t>
      </w:r>
      <w:r w:rsidRPr="00C16453">
        <w:rPr>
          <w:rFonts w:ascii="Verdana" w:hAnsi="Verdana"/>
          <w:bCs/>
          <w:sz w:val="16"/>
          <w:szCs w:val="16"/>
          <w:lang w:val="es-ES"/>
        </w:rPr>
        <w:t>Estos criterios pueden ser establecidos</w:t>
      </w:r>
      <w:r w:rsidRPr="00C16453">
        <w:rPr>
          <w:rFonts w:ascii="Verdana" w:hAnsi="Verdana"/>
          <w:bCs/>
          <w:i/>
          <w:sz w:val="16"/>
          <w:szCs w:val="16"/>
          <w:lang w:val="es-ES"/>
        </w:rPr>
        <w:t xml:space="preserve"> </w:t>
      </w:r>
      <w:r w:rsidRPr="00C16453">
        <w:rPr>
          <w:rFonts w:ascii="Verdana" w:hAnsi="Verdana"/>
          <w:b/>
          <w:bCs/>
          <w:sz w:val="16"/>
          <w:szCs w:val="16"/>
          <w:lang w:val="es-ES"/>
        </w:rPr>
        <w:t>[: i)]</w:t>
      </w:r>
      <w:r w:rsidRPr="00C16453">
        <w:rPr>
          <w:rFonts w:ascii="Verdana" w:hAnsi="Verdana"/>
          <w:b/>
          <w:bCs/>
          <w:i/>
          <w:sz w:val="16"/>
          <w:szCs w:val="16"/>
          <w:lang w:val="es-ES"/>
        </w:rPr>
        <w:t xml:space="preserve"> por vía normativa o </w:t>
      </w:r>
      <w:r w:rsidRPr="00C16453">
        <w:rPr>
          <w:rFonts w:ascii="Verdana" w:hAnsi="Verdana"/>
          <w:b/>
          <w:bCs/>
          <w:sz w:val="16"/>
          <w:szCs w:val="16"/>
          <w:lang w:val="es-ES"/>
        </w:rPr>
        <w:t>[</w:t>
      </w:r>
      <w:proofErr w:type="spellStart"/>
      <w:r w:rsidRPr="00C16453">
        <w:rPr>
          <w:rFonts w:ascii="Verdana" w:hAnsi="Verdana"/>
          <w:b/>
          <w:bCs/>
          <w:sz w:val="16"/>
          <w:szCs w:val="16"/>
          <w:lang w:val="es-ES"/>
        </w:rPr>
        <w:t>ii</w:t>
      </w:r>
      <w:proofErr w:type="spellEnd"/>
      <w:r w:rsidRPr="00C16453">
        <w:rPr>
          <w:rFonts w:ascii="Verdana" w:hAnsi="Verdana"/>
          <w:b/>
          <w:bCs/>
          <w:sz w:val="16"/>
          <w:szCs w:val="16"/>
          <w:lang w:val="es-ES"/>
        </w:rPr>
        <w:t>)]</w:t>
      </w:r>
      <w:r w:rsidRPr="00C16453">
        <w:rPr>
          <w:rFonts w:ascii="Verdana" w:hAnsi="Verdana"/>
          <w:b/>
          <w:bCs/>
          <w:i/>
          <w:sz w:val="16"/>
          <w:szCs w:val="16"/>
          <w:lang w:val="es-ES"/>
        </w:rPr>
        <w:t xml:space="preserve"> por medio de una interpretación jurisprudencial que enmarque estas nociones dentro del contexto, propósito y finalidad de la norma, de forma tal de evitar el uso arbitrario de dichos supuestos, con base en los prejuicios o concepciones personales y privadas del juzgador al momento de su aplicación.</w:t>
      </w:r>
      <w:r w:rsidRPr="00C16453">
        <w:rPr>
          <w:rFonts w:ascii="Verdana" w:hAnsi="Verdana"/>
          <w:bCs/>
          <w:i/>
          <w:sz w:val="16"/>
          <w:szCs w:val="16"/>
          <w:lang w:val="es-ES"/>
        </w:rPr>
        <w:t xml:space="preserve">  </w:t>
      </w:r>
    </w:p>
    <w:p w14:paraId="2E50E3C6" w14:textId="77777777" w:rsidR="006C19B2" w:rsidRPr="00C16453" w:rsidRDefault="006C19B2" w:rsidP="00BB158D">
      <w:pPr>
        <w:pStyle w:val="Prrafodelista"/>
        <w:ind w:left="1416" w:right="503"/>
        <w:jc w:val="both"/>
        <w:rPr>
          <w:rFonts w:ascii="Verdana" w:hAnsi="Verdana"/>
          <w:sz w:val="16"/>
          <w:szCs w:val="16"/>
          <w:lang w:val="es-ES"/>
        </w:rPr>
      </w:pPr>
    </w:p>
    <w:p w14:paraId="703EE71D" w14:textId="266AE7A9" w:rsidR="006C19B2" w:rsidRPr="00C16453" w:rsidRDefault="006C19B2" w:rsidP="00BB158D">
      <w:pPr>
        <w:pStyle w:val="Prrafodelista"/>
        <w:ind w:left="1416" w:right="503"/>
        <w:jc w:val="both"/>
        <w:rPr>
          <w:color w:val="000000" w:themeColor="text1"/>
          <w:sz w:val="16"/>
          <w:szCs w:val="16"/>
          <w:lang w:val="es-ES"/>
        </w:rPr>
      </w:pPr>
      <w:r w:rsidRPr="00C16453">
        <w:rPr>
          <w:rFonts w:ascii="Verdana" w:hAnsi="Verdana"/>
          <w:sz w:val="16"/>
          <w:szCs w:val="16"/>
          <w:lang w:val="es-ES"/>
        </w:rPr>
        <w:t xml:space="preserve">273. Respecto a lo anterior, la Corte recuerda que el control disciplinario tiene como objeto valorar la conducta, idoneidad y desempeño del juez como funcionario público […]. De esta forma, la normativa disciplinaria de jueces y </w:t>
      </w:r>
      <w:proofErr w:type="gramStart"/>
      <w:r w:rsidRPr="00C16453">
        <w:rPr>
          <w:rFonts w:ascii="Verdana" w:hAnsi="Verdana"/>
          <w:sz w:val="16"/>
          <w:szCs w:val="16"/>
          <w:lang w:val="es-ES"/>
        </w:rPr>
        <w:t>juezas,</w:t>
      </w:r>
      <w:proofErr w:type="gramEnd"/>
      <w:r w:rsidRPr="00C16453">
        <w:rPr>
          <w:rFonts w:ascii="Verdana" w:hAnsi="Verdana"/>
          <w:sz w:val="16"/>
          <w:szCs w:val="16"/>
          <w:lang w:val="es-ES"/>
        </w:rPr>
        <w:t xml:space="preserve"> debe estar orientada a la protección de la función judicial de forma tal de evaluar el desempeño del juez o jueza en el ejercicio de sus funciones. Por ello, al aplicar normas disciplinarias abiertas o indeterminadas, que exijan la consideración de conceptos [indeterminados], es indispensable tener en cuenta la afectación que la conducta examinada podría tener en el ejercicio de la función judicial, </w:t>
      </w:r>
      <w:r w:rsidRPr="00C16453">
        <w:rPr>
          <w:rFonts w:ascii="Verdana" w:hAnsi="Verdana"/>
          <w:b/>
          <w:bCs/>
          <w:i/>
          <w:sz w:val="16"/>
          <w:szCs w:val="16"/>
          <w:lang w:val="es-ES"/>
        </w:rPr>
        <w:t>ya sea positivamente a través del establecimiento de criterios normativos para su aplicación o por medio de un adecuado razonamiento e interpretación del juzgador al momento de su aplicación.</w:t>
      </w:r>
      <w:r w:rsidRPr="00C16453">
        <w:rPr>
          <w:rFonts w:ascii="Verdana" w:hAnsi="Verdana"/>
          <w:sz w:val="16"/>
          <w:szCs w:val="16"/>
          <w:lang w:val="es-ES"/>
        </w:rPr>
        <w:t xml:space="preserve"> De lo contrario, se expondría el alcance de estos tipos disciplinarios a las creencias morales o privadas del juzgador</w:t>
      </w:r>
      <w:r w:rsidR="002F0AB2">
        <w:rPr>
          <w:rStyle w:val="Refdenotaalpie"/>
          <w:rFonts w:ascii="Verdana" w:hAnsi="Verdana"/>
          <w:sz w:val="16"/>
          <w:szCs w:val="16"/>
          <w:lang w:val="es-ES"/>
        </w:rPr>
        <w:footnoteReference w:id="7"/>
      </w:r>
      <w:r w:rsidRPr="00C16453">
        <w:rPr>
          <w:rFonts w:ascii="Verdana" w:hAnsi="Verdana"/>
          <w:sz w:val="16"/>
          <w:szCs w:val="16"/>
          <w:lang w:val="es-ES"/>
        </w:rPr>
        <w:t xml:space="preserve"> </w:t>
      </w:r>
      <w:r w:rsidR="006D0ACC" w:rsidRPr="00C16453">
        <w:rPr>
          <w:rFonts w:ascii="Verdana" w:hAnsi="Verdana"/>
          <w:sz w:val="16"/>
          <w:szCs w:val="16"/>
          <w:lang w:val="es-ES"/>
        </w:rPr>
        <w:t>[</w:t>
      </w:r>
      <w:r w:rsidRPr="00C16453">
        <w:rPr>
          <w:rFonts w:ascii="Verdana" w:hAnsi="Verdana"/>
          <w:sz w:val="16"/>
          <w:szCs w:val="16"/>
          <w:lang w:val="es-ES"/>
        </w:rPr>
        <w:t>énfasis añadido</w:t>
      </w:r>
      <w:r w:rsidR="006D0ACC" w:rsidRPr="00C16453">
        <w:rPr>
          <w:rFonts w:ascii="Verdana" w:hAnsi="Verdana"/>
          <w:sz w:val="16"/>
          <w:szCs w:val="16"/>
          <w:lang w:val="es-ES"/>
        </w:rPr>
        <w:t>]</w:t>
      </w:r>
      <w:r w:rsidRPr="00C16453">
        <w:rPr>
          <w:rFonts w:ascii="Verdana" w:hAnsi="Verdana"/>
          <w:sz w:val="16"/>
          <w:szCs w:val="16"/>
          <w:lang w:val="es-ES"/>
        </w:rPr>
        <w:t>.</w:t>
      </w:r>
    </w:p>
    <w:p w14:paraId="3835289D" w14:textId="77777777" w:rsidR="006C19B2" w:rsidRPr="00836A74" w:rsidRDefault="006C19B2" w:rsidP="00D61D5F">
      <w:pPr>
        <w:pStyle w:val="Prrafodelista"/>
        <w:ind w:left="0"/>
        <w:jc w:val="both"/>
        <w:rPr>
          <w:color w:val="000000" w:themeColor="text1"/>
          <w:sz w:val="16"/>
          <w:szCs w:val="16"/>
          <w:lang w:val="es-ES"/>
        </w:rPr>
      </w:pPr>
    </w:p>
    <w:p w14:paraId="7CF70797" w14:textId="77777777" w:rsidR="006E1581" w:rsidRDefault="006C19B2" w:rsidP="00D61D5F">
      <w:pPr>
        <w:pStyle w:val="Prrafodelista"/>
        <w:numPr>
          <w:ilvl w:val="0"/>
          <w:numId w:val="3"/>
        </w:numPr>
        <w:ind w:left="0" w:firstLine="0"/>
        <w:jc w:val="both"/>
        <w:rPr>
          <w:rFonts w:ascii="Verdana" w:hAnsi="Verdana"/>
          <w:sz w:val="20"/>
          <w:szCs w:val="20"/>
          <w:lang w:val="es-ES"/>
        </w:rPr>
      </w:pPr>
      <w:r w:rsidRPr="00836A74">
        <w:rPr>
          <w:rFonts w:ascii="Verdana" w:hAnsi="Verdana"/>
          <w:color w:val="000000" w:themeColor="text1"/>
          <w:sz w:val="20"/>
          <w:szCs w:val="20"/>
          <w:lang w:val="es-ES"/>
        </w:rPr>
        <w:t xml:space="preserve">Así, lo que sienta el caso </w:t>
      </w:r>
      <w:r w:rsidRPr="00836A74">
        <w:rPr>
          <w:rFonts w:ascii="Verdana" w:hAnsi="Verdana"/>
          <w:i/>
          <w:iCs/>
          <w:color w:val="000000" w:themeColor="text1"/>
          <w:sz w:val="20"/>
          <w:szCs w:val="20"/>
          <w:lang w:val="es-ES"/>
        </w:rPr>
        <w:t xml:space="preserve">López </w:t>
      </w:r>
      <w:proofErr w:type="spellStart"/>
      <w:r w:rsidRPr="00836A74">
        <w:rPr>
          <w:rFonts w:ascii="Verdana" w:hAnsi="Verdana"/>
          <w:i/>
          <w:iCs/>
          <w:color w:val="000000" w:themeColor="text1"/>
          <w:sz w:val="20"/>
          <w:szCs w:val="20"/>
          <w:lang w:val="es-ES"/>
        </w:rPr>
        <w:t>Lone</w:t>
      </w:r>
      <w:proofErr w:type="spellEnd"/>
      <w:r w:rsidRPr="00836A74">
        <w:rPr>
          <w:rFonts w:ascii="Verdana" w:hAnsi="Verdana"/>
          <w:i/>
          <w:iCs/>
          <w:color w:val="000000" w:themeColor="text1"/>
          <w:sz w:val="20"/>
          <w:szCs w:val="20"/>
          <w:lang w:val="es-ES"/>
        </w:rPr>
        <w:t xml:space="preserve"> y otros, </w:t>
      </w:r>
      <w:r w:rsidRPr="00836A74">
        <w:rPr>
          <w:rFonts w:ascii="Verdana" w:hAnsi="Verdana"/>
          <w:color w:val="000000" w:themeColor="text1"/>
          <w:sz w:val="20"/>
          <w:szCs w:val="20"/>
          <w:lang w:val="es-ES"/>
        </w:rPr>
        <w:t xml:space="preserve">es que </w:t>
      </w:r>
      <w:r w:rsidRPr="00464A05">
        <w:rPr>
          <w:rFonts w:ascii="Verdana" w:hAnsi="Verdana"/>
          <w:color w:val="000000" w:themeColor="text1"/>
          <w:sz w:val="20"/>
          <w:szCs w:val="20"/>
          <w:lang w:val="es-ES"/>
        </w:rPr>
        <w:t xml:space="preserve">i) no se requiere el mismo grado de precisión de las normas penales en los procesos disciplinarios sancionatorios, </w:t>
      </w:r>
      <w:proofErr w:type="spellStart"/>
      <w:r w:rsidRPr="00464A05">
        <w:rPr>
          <w:rFonts w:ascii="Verdana" w:hAnsi="Verdana"/>
          <w:color w:val="000000" w:themeColor="text1"/>
          <w:sz w:val="20"/>
          <w:szCs w:val="20"/>
          <w:lang w:val="es-ES"/>
        </w:rPr>
        <w:t>ii</w:t>
      </w:r>
      <w:proofErr w:type="spellEnd"/>
      <w:r w:rsidRPr="00464A05">
        <w:rPr>
          <w:rFonts w:ascii="Verdana" w:hAnsi="Verdana"/>
          <w:color w:val="000000" w:themeColor="text1"/>
          <w:sz w:val="20"/>
          <w:szCs w:val="20"/>
          <w:lang w:val="es-ES"/>
        </w:rPr>
        <w:t>) se puede</w:t>
      </w:r>
      <w:r w:rsidR="00397301">
        <w:rPr>
          <w:rFonts w:ascii="Verdana" w:hAnsi="Verdana"/>
          <w:color w:val="000000" w:themeColor="text1"/>
          <w:sz w:val="20"/>
          <w:szCs w:val="20"/>
          <w:lang w:val="es-ES"/>
        </w:rPr>
        <w:t>n</w:t>
      </w:r>
      <w:r w:rsidRPr="00464A05">
        <w:rPr>
          <w:rFonts w:ascii="Verdana" w:hAnsi="Verdana"/>
          <w:color w:val="000000" w:themeColor="text1"/>
          <w:sz w:val="20"/>
          <w:szCs w:val="20"/>
          <w:lang w:val="es-ES"/>
        </w:rPr>
        <w:t xml:space="preserve"> permitir los tipos disciplinarios de carácter abierto o indeterminado, </w:t>
      </w:r>
      <w:proofErr w:type="spellStart"/>
      <w:r w:rsidRPr="00464A05">
        <w:rPr>
          <w:rFonts w:ascii="Verdana" w:hAnsi="Verdana"/>
          <w:color w:val="000000" w:themeColor="text1"/>
          <w:sz w:val="20"/>
          <w:szCs w:val="20"/>
          <w:lang w:val="es-ES"/>
        </w:rPr>
        <w:t>iii</w:t>
      </w:r>
      <w:proofErr w:type="spellEnd"/>
      <w:r w:rsidRPr="00464A05">
        <w:rPr>
          <w:rFonts w:ascii="Verdana" w:hAnsi="Verdana"/>
          <w:color w:val="000000" w:themeColor="text1"/>
          <w:sz w:val="20"/>
          <w:szCs w:val="20"/>
          <w:lang w:val="es-ES"/>
        </w:rPr>
        <w:t xml:space="preserve">) para ello se </w:t>
      </w:r>
      <w:r w:rsidRPr="00464A05">
        <w:rPr>
          <w:rFonts w:ascii="Verdana" w:hAnsi="Verdana"/>
          <w:sz w:val="20"/>
          <w:szCs w:val="20"/>
          <w:lang w:val="es-ES"/>
        </w:rPr>
        <w:t xml:space="preserve">requiere el establecimiento de criterios objetivos que guíen la interpretación o contenido que debe darse a dichos conceptos en aras de evaluar la legalidad material, </w:t>
      </w:r>
      <w:proofErr w:type="spellStart"/>
      <w:r w:rsidRPr="00464A05">
        <w:rPr>
          <w:rFonts w:ascii="Verdana" w:hAnsi="Verdana"/>
          <w:sz w:val="20"/>
          <w:szCs w:val="20"/>
          <w:lang w:val="es-ES"/>
        </w:rPr>
        <w:t>iv</w:t>
      </w:r>
      <w:proofErr w:type="spellEnd"/>
      <w:r w:rsidRPr="00464A05">
        <w:rPr>
          <w:rFonts w:ascii="Verdana" w:hAnsi="Verdana"/>
          <w:sz w:val="20"/>
          <w:szCs w:val="20"/>
          <w:lang w:val="es-ES"/>
        </w:rPr>
        <w:t xml:space="preserve">) estos criterios pueden ser establecidos por la vía normativa o por medio de una interpretación jurisprudencial. </w:t>
      </w:r>
    </w:p>
    <w:p w14:paraId="7514EF14" w14:textId="77777777" w:rsidR="006E1581" w:rsidRDefault="006E1581" w:rsidP="006E1581">
      <w:pPr>
        <w:pStyle w:val="Prrafodelista"/>
        <w:ind w:left="0"/>
        <w:jc w:val="both"/>
        <w:rPr>
          <w:rFonts w:ascii="Verdana" w:hAnsi="Verdana"/>
          <w:sz w:val="20"/>
          <w:szCs w:val="20"/>
          <w:lang w:val="es-ES"/>
        </w:rPr>
      </w:pPr>
    </w:p>
    <w:p w14:paraId="6A63EA38" w14:textId="15444F35" w:rsidR="006C19B2" w:rsidRPr="00464A05" w:rsidRDefault="006C19B2" w:rsidP="00D61D5F">
      <w:pPr>
        <w:pStyle w:val="Prrafodelista"/>
        <w:numPr>
          <w:ilvl w:val="0"/>
          <w:numId w:val="3"/>
        </w:numPr>
        <w:ind w:left="0" w:firstLine="0"/>
        <w:jc w:val="both"/>
        <w:rPr>
          <w:rFonts w:ascii="Verdana" w:hAnsi="Verdana"/>
          <w:sz w:val="20"/>
          <w:szCs w:val="20"/>
          <w:lang w:val="es-ES"/>
        </w:rPr>
      </w:pPr>
      <w:r w:rsidRPr="00464A05">
        <w:rPr>
          <w:rFonts w:ascii="Verdana" w:hAnsi="Verdana"/>
          <w:sz w:val="20"/>
          <w:szCs w:val="20"/>
          <w:lang w:val="es-ES"/>
        </w:rPr>
        <w:lastRenderedPageBreak/>
        <w:t xml:space="preserve">Adicionalmente, abonando a lo indicado en el referido caso, sería necesario que </w:t>
      </w:r>
      <w:r w:rsidR="00772457" w:rsidRPr="00772457">
        <w:rPr>
          <w:rFonts w:ascii="Verdana" w:hAnsi="Verdana"/>
          <w:sz w:val="20"/>
          <w:szCs w:val="20"/>
          <w:lang w:val="es-ES"/>
        </w:rPr>
        <w:t>el establecimiento de los criterios objetivos sea</w:t>
      </w:r>
      <w:r w:rsidRPr="00772457">
        <w:rPr>
          <w:rFonts w:ascii="Verdana" w:hAnsi="Verdana"/>
          <w:sz w:val="20"/>
          <w:szCs w:val="20"/>
          <w:lang w:val="es-ES"/>
        </w:rPr>
        <w:t xml:space="preserve"> </w:t>
      </w:r>
      <w:r w:rsidR="00772457" w:rsidRPr="00772457">
        <w:rPr>
          <w:rFonts w:ascii="Verdana" w:hAnsi="Verdana"/>
          <w:sz w:val="20"/>
          <w:szCs w:val="20"/>
          <w:lang w:val="es-ES"/>
        </w:rPr>
        <w:t>previo</w:t>
      </w:r>
      <w:r>
        <w:rPr>
          <w:rFonts w:ascii="Verdana" w:hAnsi="Verdana"/>
          <w:sz w:val="20"/>
          <w:szCs w:val="20"/>
          <w:lang w:val="es-ES"/>
        </w:rPr>
        <w:t xml:space="preserve"> —</w:t>
      </w:r>
      <w:r w:rsidRPr="00464A05">
        <w:rPr>
          <w:rFonts w:ascii="Verdana" w:hAnsi="Verdana"/>
          <w:sz w:val="20"/>
          <w:szCs w:val="20"/>
          <w:lang w:val="es-ES"/>
        </w:rPr>
        <w:t>es decir, previsibles</w:t>
      </w:r>
      <w:r w:rsidRPr="00836A74">
        <w:rPr>
          <w:rStyle w:val="Refdenotaalpie"/>
          <w:rFonts w:ascii="Verdana" w:hAnsi="Verdana"/>
          <w:sz w:val="20"/>
          <w:szCs w:val="20"/>
          <w:lang w:val="es-ES"/>
        </w:rPr>
        <w:footnoteReference w:id="8"/>
      </w:r>
      <w:r>
        <w:rPr>
          <w:rFonts w:ascii="Verdana" w:hAnsi="Verdana"/>
          <w:sz w:val="20"/>
          <w:szCs w:val="20"/>
          <w:lang w:val="es-ES"/>
        </w:rPr>
        <w:t>— para que el órgano disciplinario</w:t>
      </w:r>
      <w:r w:rsidRPr="00464A05">
        <w:rPr>
          <w:rFonts w:ascii="Verdana" w:hAnsi="Verdana"/>
          <w:sz w:val="20"/>
          <w:szCs w:val="20"/>
          <w:lang w:val="es-ES"/>
        </w:rPr>
        <w:t xml:space="preserve"> pueda tener elementos de razonamiento e interpretación al momento de su aplicación y motivación. Aunque este último elemento no fue abordado en el caso, por las particularidades propias del asunto, lo cierto es que es un elemento fundamental para que las y los miembros de la judicatura encuentren certeza ante la potencial aplicación de tipos disciplinarios abiertos o indeterminados. </w:t>
      </w:r>
    </w:p>
    <w:p w14:paraId="161D68B9" w14:textId="77777777" w:rsidR="006C19B2" w:rsidRPr="00836A74" w:rsidRDefault="006C19B2" w:rsidP="00D61D5F">
      <w:pPr>
        <w:rPr>
          <w:rFonts w:ascii="Verdana" w:hAnsi="Verdana"/>
          <w:sz w:val="20"/>
          <w:szCs w:val="20"/>
          <w:lang w:val="es-ES"/>
        </w:rPr>
      </w:pPr>
    </w:p>
    <w:p w14:paraId="313B9ABC" w14:textId="77777777" w:rsidR="006D235B" w:rsidRDefault="006C19B2" w:rsidP="006D235B">
      <w:pPr>
        <w:pStyle w:val="Prrafodelista"/>
        <w:numPr>
          <w:ilvl w:val="0"/>
          <w:numId w:val="3"/>
        </w:numPr>
        <w:ind w:left="0" w:firstLine="0"/>
        <w:jc w:val="both"/>
        <w:rPr>
          <w:rFonts w:ascii="Verdana" w:hAnsi="Verdana"/>
          <w:sz w:val="20"/>
          <w:szCs w:val="20"/>
          <w:lang w:val="es-ES"/>
        </w:rPr>
      </w:pPr>
      <w:r w:rsidRPr="00836A74">
        <w:rPr>
          <w:rFonts w:ascii="Verdana" w:hAnsi="Verdana"/>
          <w:sz w:val="20"/>
          <w:szCs w:val="20"/>
          <w:lang w:val="es-ES"/>
        </w:rPr>
        <w:t xml:space="preserve">No obstante, la motivación en los procesos disciplinarios sancionatorios, en </w:t>
      </w:r>
      <w:r w:rsidR="00397301">
        <w:rPr>
          <w:rFonts w:ascii="Verdana" w:hAnsi="Verdana"/>
          <w:sz w:val="20"/>
          <w:szCs w:val="20"/>
          <w:lang w:val="es-ES"/>
        </w:rPr>
        <w:t>los</w:t>
      </w:r>
      <w:r w:rsidR="00397301" w:rsidRPr="00836A74">
        <w:rPr>
          <w:rFonts w:ascii="Verdana" w:hAnsi="Verdana"/>
          <w:sz w:val="20"/>
          <w:szCs w:val="20"/>
          <w:lang w:val="es-ES"/>
        </w:rPr>
        <w:t xml:space="preserve"> </w:t>
      </w:r>
      <w:r w:rsidRPr="00836A74">
        <w:rPr>
          <w:rFonts w:ascii="Verdana" w:hAnsi="Verdana"/>
          <w:sz w:val="20"/>
          <w:szCs w:val="20"/>
          <w:lang w:val="es-ES"/>
        </w:rPr>
        <w:t xml:space="preserve">que se apliquen las máximas sanciones a las y los miembros de la judicatura, a </w:t>
      </w:r>
      <w:r w:rsidR="0073736E">
        <w:rPr>
          <w:rFonts w:ascii="Verdana" w:hAnsi="Verdana"/>
          <w:sz w:val="20"/>
          <w:szCs w:val="20"/>
          <w:lang w:val="es-ES"/>
        </w:rPr>
        <w:t xml:space="preserve">nuestro </w:t>
      </w:r>
      <w:r w:rsidRPr="00836A74">
        <w:rPr>
          <w:rFonts w:ascii="Verdana" w:hAnsi="Verdana"/>
          <w:sz w:val="20"/>
          <w:szCs w:val="20"/>
          <w:lang w:val="es-ES"/>
        </w:rPr>
        <w:t>juicio, debe reunir determinados elementos para que pueda ser considerada como una adecuada motivación (entre ellas, la inclusión en la motivación de l</w:t>
      </w:r>
      <w:r>
        <w:rPr>
          <w:rFonts w:ascii="Verdana" w:hAnsi="Verdana"/>
          <w:sz w:val="20"/>
          <w:szCs w:val="20"/>
          <w:lang w:val="es-ES"/>
        </w:rPr>
        <w:t xml:space="preserve">os criterios jurisprudenciales </w:t>
      </w:r>
      <w:r w:rsidRPr="00836A74">
        <w:rPr>
          <w:rFonts w:ascii="Verdana" w:hAnsi="Verdana"/>
          <w:sz w:val="20"/>
          <w:szCs w:val="20"/>
          <w:lang w:val="es-ES"/>
        </w:rPr>
        <w:t>o interpretativos preexistentes). Esta última cuestión n</w:t>
      </w:r>
      <w:r>
        <w:rPr>
          <w:rFonts w:ascii="Verdana" w:hAnsi="Verdana"/>
          <w:sz w:val="20"/>
          <w:szCs w:val="20"/>
          <w:lang w:val="es-ES"/>
        </w:rPr>
        <w:t xml:space="preserve">o fue analizada por la Corte IDH </w:t>
      </w:r>
      <w:r w:rsidRPr="00836A74">
        <w:rPr>
          <w:rFonts w:ascii="Verdana" w:hAnsi="Verdana"/>
          <w:sz w:val="20"/>
          <w:szCs w:val="20"/>
          <w:lang w:val="es-ES"/>
        </w:rPr>
        <w:t xml:space="preserve">en ocasión del caso </w:t>
      </w:r>
      <w:r w:rsidRPr="00836A74">
        <w:rPr>
          <w:rFonts w:ascii="Verdana" w:hAnsi="Verdana"/>
          <w:i/>
          <w:iCs/>
          <w:sz w:val="20"/>
          <w:szCs w:val="20"/>
          <w:lang w:val="es-ES"/>
        </w:rPr>
        <w:t xml:space="preserve">López </w:t>
      </w:r>
      <w:proofErr w:type="spellStart"/>
      <w:r w:rsidRPr="00836A74">
        <w:rPr>
          <w:rFonts w:ascii="Verdana" w:hAnsi="Verdana"/>
          <w:i/>
          <w:iCs/>
          <w:sz w:val="20"/>
          <w:szCs w:val="20"/>
          <w:lang w:val="es-ES"/>
        </w:rPr>
        <w:t>Lone</w:t>
      </w:r>
      <w:proofErr w:type="spellEnd"/>
      <w:r w:rsidRPr="00836A74">
        <w:rPr>
          <w:rFonts w:ascii="Verdana" w:hAnsi="Verdana"/>
          <w:i/>
          <w:iCs/>
          <w:sz w:val="20"/>
          <w:szCs w:val="20"/>
          <w:lang w:val="es-ES"/>
        </w:rPr>
        <w:t xml:space="preserve"> y otros, </w:t>
      </w:r>
      <w:r w:rsidRPr="00836A74">
        <w:rPr>
          <w:rFonts w:ascii="Verdana" w:hAnsi="Verdana"/>
          <w:sz w:val="20"/>
          <w:szCs w:val="20"/>
          <w:lang w:val="es-ES"/>
        </w:rPr>
        <w:t>debido a que</w:t>
      </w:r>
      <w:r>
        <w:rPr>
          <w:rFonts w:ascii="Verdana" w:hAnsi="Verdana"/>
          <w:sz w:val="20"/>
          <w:szCs w:val="20"/>
          <w:lang w:val="es-ES"/>
        </w:rPr>
        <w:t>,</w:t>
      </w:r>
      <w:r w:rsidRPr="00836A74">
        <w:rPr>
          <w:rFonts w:ascii="Verdana" w:hAnsi="Verdana"/>
          <w:sz w:val="20"/>
          <w:szCs w:val="20"/>
          <w:lang w:val="es-ES"/>
        </w:rPr>
        <w:t xml:space="preserve"> como se indicó</w:t>
      </w:r>
      <w:r>
        <w:rPr>
          <w:rFonts w:ascii="Verdana" w:hAnsi="Verdana"/>
          <w:sz w:val="20"/>
          <w:szCs w:val="20"/>
          <w:lang w:val="es-ES"/>
        </w:rPr>
        <w:t>,</w:t>
      </w:r>
      <w:r w:rsidRPr="00836A74">
        <w:rPr>
          <w:rFonts w:ascii="Verdana" w:hAnsi="Verdana"/>
          <w:sz w:val="20"/>
          <w:szCs w:val="20"/>
          <w:lang w:val="es-ES"/>
        </w:rPr>
        <w:t xml:space="preserve"> existió “una ausencia de motivación”. </w:t>
      </w:r>
    </w:p>
    <w:p w14:paraId="56ABEA0C" w14:textId="77777777" w:rsidR="006D235B" w:rsidRPr="00443BA5" w:rsidRDefault="006D235B" w:rsidP="00443BA5">
      <w:pPr>
        <w:pStyle w:val="Prrafodelista"/>
        <w:rPr>
          <w:rFonts w:ascii="Verdana" w:hAnsi="Verdana"/>
          <w:sz w:val="20"/>
          <w:szCs w:val="20"/>
          <w:lang w:val="es-419"/>
        </w:rPr>
      </w:pPr>
    </w:p>
    <w:p w14:paraId="056F2028" w14:textId="231FE332" w:rsidR="00443BA5" w:rsidRPr="00751183" w:rsidRDefault="00D52C17" w:rsidP="00443BA5">
      <w:pPr>
        <w:pStyle w:val="Prrafodelista"/>
        <w:numPr>
          <w:ilvl w:val="0"/>
          <w:numId w:val="3"/>
        </w:numPr>
        <w:ind w:left="0" w:firstLine="0"/>
        <w:jc w:val="both"/>
        <w:rPr>
          <w:rFonts w:ascii="Verdana" w:hAnsi="Verdana"/>
          <w:sz w:val="20"/>
          <w:szCs w:val="20"/>
          <w:lang w:val="es-ES"/>
        </w:rPr>
      </w:pPr>
      <w:r w:rsidRPr="00751183">
        <w:rPr>
          <w:rFonts w:ascii="Verdana" w:hAnsi="Verdana"/>
          <w:sz w:val="20"/>
          <w:szCs w:val="20"/>
          <w:lang w:val="es-419"/>
        </w:rPr>
        <w:t xml:space="preserve">En la misma sentencia, la Corte IDH reafirmó que la destitución de jueces debe guiarse por el </w:t>
      </w:r>
      <w:r w:rsidR="0040600B" w:rsidRPr="00751183">
        <w:rPr>
          <w:rFonts w:ascii="Verdana" w:hAnsi="Verdana"/>
          <w:sz w:val="20"/>
          <w:szCs w:val="20"/>
          <w:lang w:val="es-419"/>
        </w:rPr>
        <w:t>“</w:t>
      </w:r>
      <w:r w:rsidRPr="00751183">
        <w:rPr>
          <w:rFonts w:ascii="Verdana" w:hAnsi="Verdana"/>
          <w:sz w:val="20"/>
          <w:szCs w:val="20"/>
          <w:lang w:val="es-419"/>
        </w:rPr>
        <w:t>principio de máxima gravedad</w:t>
      </w:r>
      <w:r w:rsidR="0040600B" w:rsidRPr="00751183">
        <w:rPr>
          <w:rFonts w:ascii="Verdana" w:hAnsi="Verdana"/>
          <w:sz w:val="20"/>
          <w:szCs w:val="20"/>
          <w:lang w:val="es-419"/>
        </w:rPr>
        <w:t>”</w:t>
      </w:r>
      <w:r w:rsidRPr="00751183">
        <w:rPr>
          <w:rFonts w:ascii="Verdana" w:hAnsi="Verdana"/>
          <w:sz w:val="20"/>
          <w:szCs w:val="20"/>
          <w:lang w:val="es-419"/>
        </w:rPr>
        <w:t xml:space="preserve">. En otras palabras, </w:t>
      </w:r>
      <w:r w:rsidR="0040600B" w:rsidRPr="00751183">
        <w:rPr>
          <w:rFonts w:ascii="Verdana" w:hAnsi="Verdana"/>
          <w:sz w:val="20"/>
          <w:szCs w:val="20"/>
          <w:lang w:val="es-419"/>
        </w:rPr>
        <w:t>“</w:t>
      </w:r>
      <w:r w:rsidR="00EC012D" w:rsidRPr="00751183">
        <w:rPr>
          <w:rFonts w:ascii="Verdana" w:hAnsi="Verdana"/>
          <w:sz w:val="20"/>
          <w:szCs w:val="20"/>
          <w:lang w:val="es-419"/>
        </w:rPr>
        <w:t xml:space="preserve">la protección de la independencia judicial exige que la destitución de </w:t>
      </w:r>
      <w:proofErr w:type="gramStart"/>
      <w:r w:rsidR="00EC012D" w:rsidRPr="00751183">
        <w:rPr>
          <w:rFonts w:ascii="Verdana" w:hAnsi="Verdana"/>
          <w:sz w:val="20"/>
          <w:szCs w:val="20"/>
          <w:lang w:val="es-419"/>
        </w:rPr>
        <w:t>jueces y juezas</w:t>
      </w:r>
      <w:proofErr w:type="gramEnd"/>
      <w:r w:rsidR="00EC012D" w:rsidRPr="00751183">
        <w:rPr>
          <w:rFonts w:ascii="Verdana" w:hAnsi="Verdana"/>
          <w:sz w:val="20"/>
          <w:szCs w:val="20"/>
          <w:lang w:val="es-419"/>
        </w:rPr>
        <w:t xml:space="preserve"> sea considerada como la </w:t>
      </w:r>
      <w:proofErr w:type="spellStart"/>
      <w:r w:rsidR="00EC012D" w:rsidRPr="00BB158D">
        <w:rPr>
          <w:rFonts w:ascii="Verdana" w:hAnsi="Verdana"/>
          <w:i/>
          <w:iCs/>
          <w:sz w:val="20"/>
          <w:szCs w:val="20"/>
          <w:lang w:val="es-419"/>
        </w:rPr>
        <w:t>ultima</w:t>
      </w:r>
      <w:proofErr w:type="spellEnd"/>
      <w:r w:rsidR="00EC012D" w:rsidRPr="00BB158D">
        <w:rPr>
          <w:rFonts w:ascii="Verdana" w:hAnsi="Verdana"/>
          <w:i/>
          <w:iCs/>
          <w:sz w:val="20"/>
          <w:szCs w:val="20"/>
          <w:lang w:val="es-419"/>
        </w:rPr>
        <w:t xml:space="preserve"> ratio</w:t>
      </w:r>
      <w:r w:rsidR="00EC012D" w:rsidRPr="00751183">
        <w:rPr>
          <w:rFonts w:ascii="Verdana" w:hAnsi="Verdana"/>
          <w:sz w:val="20"/>
          <w:szCs w:val="20"/>
          <w:lang w:val="es-419"/>
        </w:rPr>
        <w:t xml:space="preserve"> en materia disciplinaria judicial</w:t>
      </w:r>
      <w:r w:rsidR="006D235B" w:rsidRPr="00751183">
        <w:rPr>
          <w:rFonts w:ascii="Verdana" w:hAnsi="Verdana"/>
          <w:sz w:val="20"/>
          <w:szCs w:val="20"/>
          <w:lang w:val="es-419"/>
        </w:rPr>
        <w:t>”</w:t>
      </w:r>
      <w:r w:rsidR="006D235B" w:rsidRPr="00751183">
        <w:rPr>
          <w:rStyle w:val="Refdenotaalpie"/>
          <w:rFonts w:ascii="Verdana" w:hAnsi="Verdana"/>
          <w:sz w:val="20"/>
          <w:szCs w:val="20"/>
          <w:lang w:val="pt-BR"/>
        </w:rPr>
        <w:footnoteReference w:id="9"/>
      </w:r>
      <w:r w:rsidR="006D235B" w:rsidRPr="00751183">
        <w:rPr>
          <w:rFonts w:ascii="Verdana" w:hAnsi="Verdana"/>
          <w:sz w:val="20"/>
          <w:szCs w:val="20"/>
          <w:lang w:val="es-419"/>
        </w:rPr>
        <w:t xml:space="preserve">. </w:t>
      </w:r>
      <w:r w:rsidRPr="00751183">
        <w:rPr>
          <w:rFonts w:ascii="Verdana" w:hAnsi="Verdana"/>
          <w:sz w:val="20"/>
          <w:szCs w:val="20"/>
          <w:lang w:val="es-419"/>
        </w:rPr>
        <w:t xml:space="preserve">Este precepto se despliega en el </w:t>
      </w:r>
      <w:r w:rsidR="00BF688E" w:rsidRPr="00751183">
        <w:rPr>
          <w:rFonts w:ascii="Verdana" w:hAnsi="Verdana"/>
          <w:sz w:val="20"/>
          <w:szCs w:val="20"/>
          <w:lang w:val="es-419"/>
        </w:rPr>
        <w:t>ref</w:t>
      </w:r>
      <w:r w:rsidR="0040600B" w:rsidRPr="00751183">
        <w:rPr>
          <w:rFonts w:ascii="Verdana" w:hAnsi="Verdana"/>
          <w:sz w:val="20"/>
          <w:szCs w:val="20"/>
          <w:lang w:val="es-419"/>
        </w:rPr>
        <w:t>ue</w:t>
      </w:r>
      <w:r w:rsidR="00BF688E" w:rsidRPr="00751183">
        <w:rPr>
          <w:rFonts w:ascii="Verdana" w:hAnsi="Verdana"/>
          <w:sz w:val="20"/>
          <w:szCs w:val="20"/>
          <w:lang w:val="es-419"/>
        </w:rPr>
        <w:t>rzo</w:t>
      </w:r>
      <w:r w:rsidRPr="00751183">
        <w:rPr>
          <w:rFonts w:ascii="Verdana" w:hAnsi="Verdana"/>
          <w:sz w:val="20"/>
          <w:szCs w:val="20"/>
          <w:lang w:val="es-419"/>
        </w:rPr>
        <w:t xml:space="preserve"> de la carga </w:t>
      </w:r>
      <w:r w:rsidR="00BF688E" w:rsidRPr="00751183">
        <w:rPr>
          <w:rFonts w:ascii="Verdana" w:hAnsi="Verdana"/>
          <w:sz w:val="20"/>
          <w:szCs w:val="20"/>
          <w:lang w:val="es-419"/>
        </w:rPr>
        <w:t xml:space="preserve">argumentativa </w:t>
      </w:r>
      <w:r w:rsidRPr="00751183">
        <w:rPr>
          <w:rFonts w:ascii="Verdana" w:hAnsi="Verdana"/>
          <w:sz w:val="20"/>
          <w:szCs w:val="20"/>
          <w:lang w:val="es-419"/>
        </w:rPr>
        <w:t>de los órganos judiciales de demostrar plenamente las razones por las que la conducta examinada justificó la imposición de la sanción más grave en detrimento de penas menos restrictivas de los derechos de los acusados</w:t>
      </w:r>
      <w:r w:rsidR="00C75701">
        <w:rPr>
          <w:rFonts w:ascii="Verdana" w:hAnsi="Verdana"/>
          <w:sz w:val="20"/>
          <w:szCs w:val="20"/>
          <w:lang w:val="es-419"/>
        </w:rPr>
        <w:t>.</w:t>
      </w:r>
    </w:p>
    <w:p w14:paraId="240D6BA1" w14:textId="77777777" w:rsidR="006C19B2" w:rsidRPr="00D52C17" w:rsidRDefault="006C19B2" w:rsidP="003D6501">
      <w:pPr>
        <w:rPr>
          <w:rFonts w:ascii="Verdana" w:hAnsi="Verdana"/>
          <w:sz w:val="20"/>
          <w:szCs w:val="20"/>
          <w:lang w:val="es-ES"/>
        </w:rPr>
      </w:pPr>
    </w:p>
    <w:p w14:paraId="31E6B238" w14:textId="64994CAC" w:rsidR="006C19B2" w:rsidRPr="00751183" w:rsidRDefault="00751183" w:rsidP="00D61D5F">
      <w:pPr>
        <w:pStyle w:val="Prrafodelista"/>
        <w:numPr>
          <w:ilvl w:val="0"/>
          <w:numId w:val="3"/>
        </w:numPr>
        <w:ind w:left="0" w:firstLine="0"/>
        <w:jc w:val="both"/>
        <w:rPr>
          <w:rFonts w:ascii="Verdana" w:hAnsi="Verdana"/>
          <w:sz w:val="20"/>
          <w:szCs w:val="20"/>
          <w:lang w:val="es-ES"/>
        </w:rPr>
      </w:pPr>
      <w:r>
        <w:rPr>
          <w:rFonts w:ascii="Verdana" w:hAnsi="Verdana"/>
          <w:sz w:val="20"/>
          <w:szCs w:val="20"/>
          <w:lang w:val="es-ES"/>
        </w:rPr>
        <w:t>Si bien</w:t>
      </w:r>
      <w:r w:rsidR="006C19B2" w:rsidRPr="00751183">
        <w:rPr>
          <w:rFonts w:ascii="Verdana" w:hAnsi="Verdana"/>
          <w:sz w:val="20"/>
          <w:szCs w:val="20"/>
          <w:lang w:val="es-ES"/>
        </w:rPr>
        <w:t xml:space="preserve"> la precisión de una norma de naturaleza sancionatoria sea o pueda ser</w:t>
      </w:r>
      <w:r w:rsidR="006C19B2">
        <w:rPr>
          <w:rFonts w:ascii="Verdana" w:hAnsi="Verdana"/>
          <w:sz w:val="20"/>
          <w:szCs w:val="20"/>
          <w:lang w:val="es-ES"/>
        </w:rPr>
        <w:t xml:space="preserve"> diferente —</w:t>
      </w:r>
      <w:r w:rsidR="006C19B2" w:rsidRPr="00836A74">
        <w:rPr>
          <w:rFonts w:ascii="Verdana" w:hAnsi="Verdana"/>
          <w:sz w:val="20"/>
          <w:szCs w:val="20"/>
          <w:lang w:val="es-ES"/>
        </w:rPr>
        <w:t xml:space="preserve">como ha </w:t>
      </w:r>
      <w:r w:rsidR="006C19B2">
        <w:rPr>
          <w:rFonts w:ascii="Verdana" w:hAnsi="Verdana"/>
          <w:sz w:val="20"/>
          <w:szCs w:val="20"/>
          <w:lang w:val="es-ES"/>
        </w:rPr>
        <w:t>sido reconocido por el Tribunal Interamericano—</w:t>
      </w:r>
      <w:r w:rsidR="006C19B2" w:rsidRPr="00836A74">
        <w:rPr>
          <w:rFonts w:ascii="Verdana" w:hAnsi="Verdana"/>
          <w:sz w:val="20"/>
          <w:szCs w:val="20"/>
          <w:lang w:val="es-ES"/>
        </w:rPr>
        <w:t xml:space="preserve"> a la requerida por el principio de legalidad en </w:t>
      </w:r>
      <w:r w:rsidR="006C19B2">
        <w:rPr>
          <w:rFonts w:ascii="Verdana" w:hAnsi="Verdana"/>
          <w:sz w:val="20"/>
          <w:szCs w:val="20"/>
          <w:lang w:val="es-ES"/>
        </w:rPr>
        <w:t>materia penal (cuestión que está</w:t>
      </w:r>
      <w:r w:rsidR="006C19B2" w:rsidRPr="00836A74">
        <w:rPr>
          <w:rFonts w:ascii="Verdana" w:hAnsi="Verdana"/>
          <w:sz w:val="20"/>
          <w:szCs w:val="20"/>
          <w:lang w:val="es-ES"/>
        </w:rPr>
        <w:t xml:space="preserve"> relacionad</w:t>
      </w:r>
      <w:r w:rsidR="00014469">
        <w:rPr>
          <w:rFonts w:ascii="Verdana" w:hAnsi="Verdana"/>
          <w:sz w:val="20"/>
          <w:szCs w:val="20"/>
          <w:lang w:val="es-ES"/>
        </w:rPr>
        <w:t>a</w:t>
      </w:r>
      <w:r w:rsidR="006C19B2" w:rsidRPr="00836A74">
        <w:rPr>
          <w:rFonts w:ascii="Verdana" w:hAnsi="Verdana"/>
          <w:sz w:val="20"/>
          <w:szCs w:val="20"/>
          <w:lang w:val="es-ES"/>
        </w:rPr>
        <w:t xml:space="preserve"> con la </w:t>
      </w:r>
      <w:r w:rsidR="006C19B2" w:rsidRPr="00BF688E">
        <w:rPr>
          <w:rFonts w:ascii="Verdana" w:hAnsi="Verdana"/>
          <w:sz w:val="20"/>
          <w:szCs w:val="20"/>
          <w:lang w:val="es-ES"/>
        </w:rPr>
        <w:t>taxatividad y claridad)</w:t>
      </w:r>
      <w:r>
        <w:rPr>
          <w:rFonts w:ascii="Verdana" w:hAnsi="Verdana"/>
          <w:sz w:val="20"/>
          <w:szCs w:val="20"/>
          <w:lang w:val="es-ES"/>
        </w:rPr>
        <w:t>,</w:t>
      </w:r>
      <w:r w:rsidR="006C19B2" w:rsidRPr="00BF688E">
        <w:rPr>
          <w:rFonts w:ascii="Verdana" w:hAnsi="Verdana"/>
          <w:sz w:val="20"/>
          <w:szCs w:val="20"/>
          <w:lang w:val="es-ES"/>
        </w:rPr>
        <w:t xml:space="preserve"> no  exime, en automático, la obligación del Estado respecto de la generación de criterios objetivos </w:t>
      </w:r>
      <w:r w:rsidR="00DD2351" w:rsidRPr="00BF688E">
        <w:rPr>
          <w:rFonts w:ascii="Verdana" w:hAnsi="Verdana"/>
          <w:sz w:val="20"/>
          <w:szCs w:val="20"/>
          <w:lang w:val="es-ES"/>
        </w:rPr>
        <w:t xml:space="preserve">de </w:t>
      </w:r>
      <w:r w:rsidR="006F6372" w:rsidRPr="00BF688E">
        <w:rPr>
          <w:rFonts w:ascii="Verdana" w:hAnsi="Verdana"/>
          <w:sz w:val="20"/>
          <w:szCs w:val="20"/>
          <w:lang w:val="es-ES"/>
        </w:rPr>
        <w:t xml:space="preserve">la </w:t>
      </w:r>
      <w:r w:rsidR="00DD2351" w:rsidRPr="00BF688E">
        <w:rPr>
          <w:rFonts w:ascii="Verdana" w:hAnsi="Verdana"/>
          <w:sz w:val="20"/>
          <w:szCs w:val="20"/>
          <w:lang w:val="es-ES"/>
        </w:rPr>
        <w:t xml:space="preserve">interpretación </w:t>
      </w:r>
      <w:r w:rsidR="006C19B2" w:rsidRPr="00BF688E">
        <w:rPr>
          <w:rFonts w:ascii="Verdana" w:hAnsi="Verdana"/>
          <w:sz w:val="20"/>
          <w:szCs w:val="20"/>
          <w:lang w:val="es-ES"/>
        </w:rPr>
        <w:t>que sean previos y pongan un límite a la posible aplicación arbitraria de dichas normas</w:t>
      </w:r>
      <w:r w:rsidR="008163EB" w:rsidRPr="00BF688E">
        <w:rPr>
          <w:rFonts w:ascii="Verdana" w:hAnsi="Verdana"/>
          <w:sz w:val="20"/>
          <w:szCs w:val="20"/>
          <w:lang w:val="es-ES"/>
        </w:rPr>
        <w:t>,</w:t>
      </w:r>
      <w:r w:rsidR="006C19B2" w:rsidRPr="00BF688E">
        <w:rPr>
          <w:rFonts w:ascii="Verdana" w:hAnsi="Verdana"/>
          <w:b/>
          <w:bCs/>
          <w:sz w:val="20"/>
          <w:szCs w:val="20"/>
          <w:lang w:val="es-ES"/>
        </w:rPr>
        <w:t xml:space="preserve"> </w:t>
      </w:r>
      <w:r w:rsidR="006C19B2" w:rsidRPr="00BF688E">
        <w:rPr>
          <w:rFonts w:ascii="Verdana" w:hAnsi="Verdana"/>
          <w:sz w:val="20"/>
          <w:szCs w:val="20"/>
          <w:lang w:val="es-ES"/>
        </w:rPr>
        <w:t xml:space="preserve">ya sea en la vía normativa o en la vía </w:t>
      </w:r>
      <w:r w:rsidR="002A6A2A" w:rsidRPr="00BF688E">
        <w:rPr>
          <w:rFonts w:ascii="Verdana" w:hAnsi="Verdana"/>
          <w:sz w:val="20"/>
          <w:szCs w:val="20"/>
          <w:lang w:val="es-ES"/>
        </w:rPr>
        <w:t>jurisprudencia</w:t>
      </w:r>
      <w:r w:rsidR="003B5680">
        <w:rPr>
          <w:rFonts w:ascii="Verdana" w:hAnsi="Verdana"/>
          <w:sz w:val="20"/>
          <w:szCs w:val="20"/>
          <w:lang w:val="es-ES"/>
        </w:rPr>
        <w:t>l</w:t>
      </w:r>
      <w:r>
        <w:rPr>
          <w:rFonts w:ascii="Verdana" w:hAnsi="Verdana"/>
          <w:sz w:val="20"/>
          <w:szCs w:val="20"/>
          <w:lang w:val="es-ES"/>
        </w:rPr>
        <w:t>;</w:t>
      </w:r>
      <w:r w:rsidR="002C7270" w:rsidRPr="00BF688E">
        <w:rPr>
          <w:rFonts w:ascii="Verdana" w:hAnsi="Verdana"/>
          <w:sz w:val="20"/>
          <w:szCs w:val="20"/>
          <w:lang w:val="es-ES"/>
        </w:rPr>
        <w:t xml:space="preserve"> en especial</w:t>
      </w:r>
      <w:r w:rsidR="002C7270">
        <w:rPr>
          <w:rFonts w:ascii="Verdana" w:hAnsi="Verdana"/>
          <w:sz w:val="20"/>
          <w:szCs w:val="20"/>
          <w:lang w:val="es-ES"/>
        </w:rPr>
        <w:t xml:space="preserve"> cuando esas decisiones impactan en la independencia de la judicatura</w:t>
      </w:r>
      <w:r w:rsidR="0073736E">
        <w:rPr>
          <w:rFonts w:ascii="Verdana" w:hAnsi="Verdana"/>
          <w:sz w:val="20"/>
          <w:szCs w:val="20"/>
          <w:lang w:val="es-ES"/>
        </w:rPr>
        <w:t xml:space="preserve"> al aplicarse la máxima sanción como es la destitución de un juzgador, </w:t>
      </w:r>
      <w:r w:rsidR="002C7270">
        <w:rPr>
          <w:rFonts w:ascii="Verdana" w:hAnsi="Verdana"/>
          <w:sz w:val="20"/>
          <w:szCs w:val="20"/>
          <w:lang w:val="es-ES"/>
        </w:rPr>
        <w:t>por lo que se requiere una motivación reforzada que despeje toda duda de arbitrariedad</w:t>
      </w:r>
      <w:r w:rsidR="002C7270" w:rsidRPr="00751183">
        <w:rPr>
          <w:rFonts w:ascii="Verdana" w:hAnsi="Verdana"/>
          <w:sz w:val="20"/>
          <w:szCs w:val="20"/>
          <w:lang w:val="es-ES"/>
        </w:rPr>
        <w:t xml:space="preserve">. </w:t>
      </w:r>
      <w:r w:rsidR="00D52C17" w:rsidRPr="00751183">
        <w:rPr>
          <w:rFonts w:ascii="Verdana" w:hAnsi="Verdana"/>
          <w:sz w:val="20"/>
          <w:szCs w:val="20"/>
          <w:lang w:val="es-ES"/>
        </w:rPr>
        <w:t>La</w:t>
      </w:r>
      <w:r w:rsidR="00443BA5" w:rsidRPr="00751183">
        <w:rPr>
          <w:rFonts w:ascii="Verdana" w:hAnsi="Verdana"/>
          <w:sz w:val="20"/>
          <w:szCs w:val="20"/>
          <w:lang w:val="es-ES"/>
        </w:rPr>
        <w:t xml:space="preserve"> Corte IDH</w:t>
      </w:r>
      <w:r w:rsidR="00E45968" w:rsidRPr="00751183">
        <w:rPr>
          <w:rFonts w:ascii="Verdana" w:hAnsi="Verdana"/>
          <w:sz w:val="20"/>
          <w:szCs w:val="20"/>
          <w:lang w:val="es-ES"/>
        </w:rPr>
        <w:t xml:space="preserve"> </w:t>
      </w:r>
      <w:r w:rsidR="00D52C17" w:rsidRPr="00751183">
        <w:rPr>
          <w:rFonts w:ascii="Verdana" w:hAnsi="Verdana"/>
          <w:sz w:val="20"/>
          <w:szCs w:val="20"/>
          <w:lang w:val="es-ES"/>
        </w:rPr>
        <w:t xml:space="preserve">se pronunció sobre esta cuestión en el caso </w:t>
      </w:r>
      <w:r w:rsidR="00443BA5" w:rsidRPr="00751183">
        <w:rPr>
          <w:rFonts w:ascii="Verdana" w:hAnsi="Verdana"/>
          <w:i/>
          <w:iCs/>
          <w:sz w:val="20"/>
          <w:szCs w:val="20"/>
          <w:lang w:val="es-ES"/>
        </w:rPr>
        <w:t xml:space="preserve">López </w:t>
      </w:r>
      <w:proofErr w:type="spellStart"/>
      <w:r w:rsidR="00443BA5" w:rsidRPr="00751183">
        <w:rPr>
          <w:rFonts w:ascii="Verdana" w:hAnsi="Verdana"/>
          <w:i/>
          <w:iCs/>
          <w:sz w:val="20"/>
          <w:szCs w:val="20"/>
          <w:lang w:val="es-ES"/>
        </w:rPr>
        <w:t>Lone</w:t>
      </w:r>
      <w:proofErr w:type="spellEnd"/>
      <w:r w:rsidR="00443BA5" w:rsidRPr="00751183">
        <w:rPr>
          <w:rFonts w:ascii="Verdana" w:hAnsi="Verdana"/>
          <w:i/>
          <w:iCs/>
          <w:sz w:val="20"/>
          <w:szCs w:val="20"/>
          <w:lang w:val="es-ES"/>
        </w:rPr>
        <w:t xml:space="preserve"> vs. Honduras:</w:t>
      </w:r>
    </w:p>
    <w:p w14:paraId="1741A26B" w14:textId="77777777" w:rsidR="002A6A2A" w:rsidRPr="00BF688E" w:rsidRDefault="002A6A2A" w:rsidP="00443BA5">
      <w:pPr>
        <w:pStyle w:val="Prrafodelista"/>
        <w:rPr>
          <w:rFonts w:ascii="Verdana" w:hAnsi="Verdana"/>
          <w:sz w:val="20"/>
          <w:szCs w:val="20"/>
          <w:highlight w:val="yellow"/>
          <w:lang w:val="es-ES"/>
        </w:rPr>
      </w:pPr>
    </w:p>
    <w:p w14:paraId="16FE084D" w14:textId="77777777" w:rsidR="00BF688E" w:rsidRDefault="002A6A2A" w:rsidP="00BB158D">
      <w:pPr>
        <w:tabs>
          <w:tab w:val="left" w:pos="7797"/>
          <w:tab w:val="left" w:pos="8080"/>
        </w:tabs>
        <w:ind w:left="709" w:right="503"/>
        <w:jc w:val="both"/>
        <w:rPr>
          <w:rFonts w:ascii="Verdana" w:eastAsiaTheme="minorHAnsi" w:hAnsi="Verdana" w:cstheme="minorBidi"/>
          <w:sz w:val="16"/>
          <w:szCs w:val="16"/>
          <w:lang w:val="es-ES" w:eastAsia="en-US"/>
        </w:rPr>
      </w:pPr>
      <w:r w:rsidRPr="00751183">
        <w:rPr>
          <w:rFonts w:ascii="Verdana" w:eastAsiaTheme="minorHAnsi" w:hAnsi="Verdana" w:cstheme="minorBidi"/>
          <w:sz w:val="16"/>
          <w:szCs w:val="16"/>
          <w:lang w:val="es-ES" w:eastAsia="en-US"/>
        </w:rPr>
        <w:t xml:space="preserve">272. </w:t>
      </w:r>
      <w:r w:rsidR="00BF688E" w:rsidRPr="00751183">
        <w:rPr>
          <w:rFonts w:ascii="Verdana" w:eastAsiaTheme="minorHAnsi" w:hAnsi="Verdana" w:cstheme="minorBidi"/>
          <w:sz w:val="16"/>
          <w:szCs w:val="16"/>
          <w:lang w:val="es-ES" w:eastAsia="en-US"/>
        </w:rPr>
        <w:t xml:space="preserve">La Corte advierte que, aun cuando puede aceptarse que la precisión requerida en materia disciplinaria sancionatoria sea menor que en materia penal (supra párr. 257), el uso de supuestos abiertos o conceptos indeterminados tales como la “dignidad de la administración de justicia” o el “decoro del cargo” requiere el establecimiento de criterios objetivos que guíen la interpretación o contenido que debe darse a dichos conceptos a efectos de limitar la discrecionalidad en la aplicación de las sanciones. Estos criterios pueden ser establecidos por vía normativa o por medio de una interpretación jurisprudencial que enmarque estas nociones </w:t>
      </w:r>
      <w:r w:rsidR="00BF688E" w:rsidRPr="00751183">
        <w:rPr>
          <w:rFonts w:ascii="Verdana" w:eastAsiaTheme="minorHAnsi" w:hAnsi="Verdana" w:cstheme="minorBidi"/>
          <w:sz w:val="16"/>
          <w:szCs w:val="16"/>
          <w:lang w:val="es-ES" w:eastAsia="en-US"/>
        </w:rPr>
        <w:lastRenderedPageBreak/>
        <w:t>dentro del contexto, propósito y finalidad de la norma, de forma tal de evitar el uso arbitrario de dichos supuestos, con base en los prejuicios o concepciones personales y privadas del juzgador al momento de su aplicación</w:t>
      </w:r>
      <w:r w:rsidR="00BF688E" w:rsidRPr="00751183">
        <w:rPr>
          <w:rStyle w:val="Refdenotaalpie"/>
          <w:rFonts w:ascii="Verdana" w:eastAsiaTheme="minorHAnsi" w:hAnsi="Verdana" w:cstheme="minorBidi"/>
          <w:sz w:val="16"/>
          <w:szCs w:val="16"/>
          <w:lang w:val="es-ES" w:eastAsia="en-US"/>
        </w:rPr>
        <w:footnoteReference w:id="10"/>
      </w:r>
      <w:r w:rsidR="00BF688E" w:rsidRPr="00751183">
        <w:rPr>
          <w:rFonts w:ascii="Verdana" w:eastAsiaTheme="minorHAnsi" w:hAnsi="Verdana" w:cstheme="minorBidi"/>
          <w:sz w:val="16"/>
          <w:szCs w:val="16"/>
          <w:lang w:val="es-ES" w:eastAsia="en-US"/>
        </w:rPr>
        <w:t>.</w:t>
      </w:r>
    </w:p>
    <w:p w14:paraId="7A4FCC32" w14:textId="77777777" w:rsidR="003F4CD3" w:rsidRDefault="003F4CD3" w:rsidP="00D61D5F">
      <w:pPr>
        <w:pStyle w:val="Prrafodelista"/>
        <w:ind w:left="0"/>
        <w:jc w:val="both"/>
        <w:rPr>
          <w:rFonts w:ascii="Verdana" w:hAnsi="Verdana"/>
          <w:color w:val="000000" w:themeColor="text1"/>
          <w:sz w:val="20"/>
          <w:szCs w:val="20"/>
          <w:lang w:val="es-ES"/>
        </w:rPr>
      </w:pPr>
    </w:p>
    <w:p w14:paraId="6259850C" w14:textId="77777777" w:rsidR="006C19B2" w:rsidRPr="00E07543" w:rsidRDefault="006C19B2" w:rsidP="00E07543">
      <w:pPr>
        <w:pStyle w:val="Prrafodelista"/>
        <w:spacing w:line="276" w:lineRule="auto"/>
        <w:ind w:left="0"/>
        <w:jc w:val="center"/>
        <w:rPr>
          <w:rFonts w:ascii="Verdana" w:hAnsi="Verdana"/>
          <w:b/>
          <w:color w:val="000000" w:themeColor="text1"/>
          <w:sz w:val="20"/>
          <w:szCs w:val="20"/>
          <w:lang w:val="es-ES"/>
        </w:rPr>
      </w:pPr>
      <w:r w:rsidRPr="00E07543">
        <w:rPr>
          <w:rFonts w:ascii="Verdana" w:hAnsi="Verdana"/>
          <w:b/>
          <w:color w:val="000000" w:themeColor="text1"/>
          <w:sz w:val="20"/>
          <w:szCs w:val="20"/>
          <w:lang w:val="es-ES"/>
        </w:rPr>
        <w:t xml:space="preserve">II. LA INDEPENDENCIA JUDICIAL Y PRINCIPIO DE LEGALIDAD </w:t>
      </w:r>
    </w:p>
    <w:p w14:paraId="1F520EBA" w14:textId="328FF792" w:rsidR="006C19B2" w:rsidRPr="00E07543" w:rsidRDefault="006C19B2" w:rsidP="00E07543">
      <w:pPr>
        <w:pStyle w:val="Prrafodelista"/>
        <w:spacing w:line="276" w:lineRule="auto"/>
        <w:ind w:left="0"/>
        <w:jc w:val="center"/>
        <w:rPr>
          <w:rFonts w:ascii="Verdana" w:hAnsi="Verdana"/>
          <w:b/>
          <w:color w:val="000000" w:themeColor="text1"/>
          <w:sz w:val="20"/>
          <w:szCs w:val="20"/>
          <w:lang w:val="es-ES"/>
        </w:rPr>
      </w:pPr>
      <w:r w:rsidRPr="00E07543">
        <w:rPr>
          <w:rFonts w:ascii="Verdana" w:hAnsi="Verdana"/>
          <w:b/>
          <w:color w:val="000000" w:themeColor="text1"/>
          <w:sz w:val="20"/>
          <w:szCs w:val="20"/>
          <w:lang w:val="es-ES"/>
        </w:rPr>
        <w:t xml:space="preserve">EN EL CASO </w:t>
      </w:r>
      <w:r w:rsidR="00E07543" w:rsidRPr="00E07543">
        <w:rPr>
          <w:rFonts w:ascii="Verdana" w:hAnsi="Verdana"/>
          <w:b/>
          <w:color w:val="000000" w:themeColor="text1"/>
          <w:sz w:val="20"/>
          <w:szCs w:val="20"/>
          <w:lang w:val="es-ES"/>
        </w:rPr>
        <w:t>CAJAHUANCA VÁ</w:t>
      </w:r>
      <w:r w:rsidR="00A37171">
        <w:rPr>
          <w:rFonts w:ascii="Verdana" w:hAnsi="Verdana"/>
          <w:b/>
          <w:color w:val="000000" w:themeColor="text1"/>
          <w:sz w:val="20"/>
          <w:szCs w:val="20"/>
          <w:lang w:val="es-ES"/>
        </w:rPr>
        <w:t>S</w:t>
      </w:r>
      <w:r w:rsidR="00E07543" w:rsidRPr="00E07543">
        <w:rPr>
          <w:rFonts w:ascii="Verdana" w:hAnsi="Verdana"/>
          <w:b/>
          <w:color w:val="000000" w:themeColor="text1"/>
          <w:sz w:val="20"/>
          <w:szCs w:val="20"/>
          <w:lang w:val="es-ES"/>
        </w:rPr>
        <w:t>QUEZ</w:t>
      </w:r>
    </w:p>
    <w:p w14:paraId="2A0BC898" w14:textId="77777777" w:rsidR="006C19B2" w:rsidRPr="00836A74" w:rsidRDefault="006C19B2" w:rsidP="00D61D5F">
      <w:pPr>
        <w:pStyle w:val="Prrafodelista"/>
        <w:ind w:left="0"/>
        <w:jc w:val="center"/>
        <w:rPr>
          <w:rFonts w:ascii="Verdana" w:hAnsi="Verdana"/>
          <w:b/>
          <w:bCs/>
          <w:color w:val="000000" w:themeColor="text1"/>
          <w:sz w:val="20"/>
          <w:szCs w:val="20"/>
          <w:lang w:val="es-ES"/>
        </w:rPr>
      </w:pPr>
    </w:p>
    <w:p w14:paraId="48D72004" w14:textId="290F3748" w:rsidR="00FA4077" w:rsidRPr="00393E95" w:rsidRDefault="00C16453" w:rsidP="00D61D5F">
      <w:pPr>
        <w:pStyle w:val="PrrafodeSentencia"/>
        <w:numPr>
          <w:ilvl w:val="0"/>
          <w:numId w:val="3"/>
        </w:numPr>
        <w:tabs>
          <w:tab w:val="clear" w:pos="567"/>
        </w:tabs>
        <w:ind w:left="0" w:firstLine="0"/>
      </w:pPr>
      <w:r>
        <w:t>E</w:t>
      </w:r>
      <w:r w:rsidR="006C19B2">
        <w:t xml:space="preserve">n el caso concreto, </w:t>
      </w:r>
      <w:r w:rsidR="006C19B2" w:rsidRPr="00836A74">
        <w:t xml:space="preserve">la sanción aplicada al señor </w:t>
      </w:r>
      <w:proofErr w:type="spellStart"/>
      <w:r w:rsidR="00E07543">
        <w:t>Cajahuanca</w:t>
      </w:r>
      <w:proofErr w:type="spellEnd"/>
      <w:r w:rsidR="00E07543">
        <w:t xml:space="preserve"> Vá</w:t>
      </w:r>
      <w:r w:rsidR="00A37171">
        <w:t>s</w:t>
      </w:r>
      <w:r w:rsidR="00E07543">
        <w:t>quez</w:t>
      </w:r>
      <w:r w:rsidR="006C19B2" w:rsidRPr="00836A74">
        <w:t xml:space="preserve"> fue el numeral 2 del artículo 31 de la Ley Orgánica del Consejo Nacional de la Magistratura (en adelante “el art. 31.2 de la LOC”) de 25 de noviembre de 1994, la cual indica</w:t>
      </w:r>
      <w:r w:rsidR="00FA4077">
        <w:t xml:space="preserve"> que la sanción de destitución es procedente </w:t>
      </w:r>
      <w:r w:rsidR="00FA4077" w:rsidRPr="00FA4077">
        <w:t xml:space="preserve">por “[l]a comisión de un </w:t>
      </w:r>
      <w:r w:rsidR="00FA4077" w:rsidRPr="00FA4077">
        <w:rPr>
          <w:b/>
        </w:rPr>
        <w:t>hecho grave</w:t>
      </w:r>
      <w:r w:rsidR="00FA4077" w:rsidRPr="00FA4077">
        <w:t xml:space="preserve"> que sin ser delito compromete la </w:t>
      </w:r>
      <w:r w:rsidR="00FA4077" w:rsidRPr="00FA4077">
        <w:rPr>
          <w:b/>
        </w:rPr>
        <w:t>dignidad del cargo</w:t>
      </w:r>
      <w:r w:rsidR="00FA4077" w:rsidRPr="00FA4077">
        <w:t xml:space="preserve"> y la </w:t>
      </w:r>
      <w:r w:rsidR="00FA4077" w:rsidRPr="00FA4077">
        <w:rPr>
          <w:b/>
        </w:rPr>
        <w:t>desmerezca en el concepto público”</w:t>
      </w:r>
      <w:r w:rsidR="00FA4077" w:rsidRPr="00FA4077">
        <w:t xml:space="preserve"> </w:t>
      </w:r>
      <w:r w:rsidR="006D0ACC">
        <w:t>[é</w:t>
      </w:r>
      <w:r w:rsidR="00FA4077" w:rsidRPr="00FA4077">
        <w:t>nfasis añadido</w:t>
      </w:r>
      <w:r w:rsidR="006D0ACC">
        <w:t>]</w:t>
      </w:r>
      <w:r w:rsidR="00FA4077" w:rsidRPr="00FA4077">
        <w:t>.</w:t>
      </w:r>
    </w:p>
    <w:p w14:paraId="7FF41DDA" w14:textId="77777777" w:rsidR="006C19B2" w:rsidRPr="00836A74" w:rsidRDefault="006C19B2" w:rsidP="00D61D5F">
      <w:pPr>
        <w:pStyle w:val="PrrafodeSentencia"/>
        <w:numPr>
          <w:ilvl w:val="0"/>
          <w:numId w:val="0"/>
        </w:numPr>
        <w:tabs>
          <w:tab w:val="clear" w:pos="567"/>
        </w:tabs>
        <w:rPr>
          <w:b/>
        </w:rPr>
      </w:pPr>
    </w:p>
    <w:p w14:paraId="42A75671" w14:textId="084C9F78" w:rsidR="00DB06D2" w:rsidRDefault="006C19B2" w:rsidP="00DB06D2">
      <w:pPr>
        <w:pStyle w:val="PrrafodeSentencia"/>
        <w:numPr>
          <w:ilvl w:val="0"/>
          <w:numId w:val="3"/>
        </w:numPr>
        <w:tabs>
          <w:tab w:val="clear" w:pos="567"/>
        </w:tabs>
        <w:ind w:left="0" w:firstLine="0"/>
      </w:pPr>
      <w:r w:rsidRPr="00836A74">
        <w:t xml:space="preserve">De la lectura de la referida disposición </w:t>
      </w:r>
      <w:r>
        <w:t>se advierte</w:t>
      </w:r>
      <w:r w:rsidRPr="00836A74">
        <w:t xml:space="preserve"> que adolece de vaguedad, no solo respecto de lo que podría implicar “un hecho grave” o “las conductas que podrían ser calificadas como graves”</w:t>
      </w:r>
      <w:r>
        <w:t>,</w:t>
      </w:r>
      <w:r w:rsidRPr="00836A74">
        <w:t xml:space="preserve"> sino además de lo que implicaría “la dignidad del cargo” y “desmerecer en el concepto público”</w:t>
      </w:r>
      <w:r w:rsidR="00A37171">
        <w:t>;</w:t>
      </w:r>
      <w:r w:rsidR="006B0937">
        <w:t xml:space="preserve"> es decir, la aplicación de esta disposición implicaría necesariamente que la motivación est</w:t>
      </w:r>
      <w:r w:rsidR="00A37171">
        <w:t>é</w:t>
      </w:r>
      <w:r w:rsidR="006B0937">
        <w:t xml:space="preserve"> reforzada para que el contenido de estos tres conceptos </w:t>
      </w:r>
      <w:r w:rsidR="005002AD">
        <w:t>se desarrolle de manera clara (fáctica y normativamente)</w:t>
      </w:r>
      <w:r w:rsidRPr="00836A74">
        <w:t>.</w:t>
      </w:r>
      <w:r w:rsidR="00230B82">
        <w:t xml:space="preserve"> </w:t>
      </w:r>
      <w:r w:rsidR="005002AD">
        <w:t>Se debe precisar que</w:t>
      </w:r>
      <w:r w:rsidR="00230B82" w:rsidRPr="00393E95">
        <w:t xml:space="preserve"> </w:t>
      </w:r>
      <w:r w:rsidR="005002AD">
        <w:t xml:space="preserve">no fue </w:t>
      </w:r>
      <w:r w:rsidR="00230B82" w:rsidRPr="00393E95">
        <w:t xml:space="preserve">indicado por el Estado que se hayan desarrollado criterios objetivos </w:t>
      </w:r>
      <w:r w:rsidR="00230B82">
        <w:t>normativos o jurisprudenciales/</w:t>
      </w:r>
      <w:r w:rsidR="00230B82" w:rsidRPr="00393E95">
        <w:t xml:space="preserve">interpretativos </w:t>
      </w:r>
      <w:r w:rsidR="00230B82" w:rsidRPr="00230B82">
        <w:t>que permit</w:t>
      </w:r>
      <w:r w:rsidR="00CC19FB">
        <w:t>ieran</w:t>
      </w:r>
      <w:r w:rsidR="00230B82" w:rsidRPr="00230B82">
        <w:t xml:space="preserve"> </w:t>
      </w:r>
      <w:r w:rsidR="005002AD">
        <w:t xml:space="preserve">despejar </w:t>
      </w:r>
      <w:r w:rsidR="00230B82" w:rsidRPr="00230B82">
        <w:t>la vaguedad de estos términos, cuya textura</w:t>
      </w:r>
      <w:r w:rsidR="00BA5652">
        <w:t>,</w:t>
      </w:r>
      <w:r w:rsidR="00230B82" w:rsidRPr="00230B82">
        <w:t xml:space="preserve"> especialmente abierta</w:t>
      </w:r>
      <w:r w:rsidR="00BA5652">
        <w:t xml:space="preserve">, </w:t>
      </w:r>
      <w:r w:rsidR="00230B82" w:rsidRPr="00230B82">
        <w:t>implicaba riesgos para la independencia del poder judicial</w:t>
      </w:r>
      <w:r w:rsidR="00A42C89">
        <w:t xml:space="preserve"> sobre todo cuando se imputan posibles actos de corrupción</w:t>
      </w:r>
      <w:r w:rsidR="00230B82" w:rsidRPr="00230B82">
        <w:t>.</w:t>
      </w:r>
      <w:r w:rsidR="00230B82" w:rsidRPr="00836A74">
        <w:t xml:space="preserve"> </w:t>
      </w:r>
      <w:r w:rsidRPr="00836A74">
        <w:t xml:space="preserve"> </w:t>
      </w:r>
    </w:p>
    <w:p w14:paraId="4FBE5DD5" w14:textId="77777777" w:rsidR="00DB06D2" w:rsidRPr="00DB06D2" w:rsidRDefault="00DB06D2" w:rsidP="00DB06D2">
      <w:pPr>
        <w:rPr>
          <w:lang w:val="es-CR"/>
        </w:rPr>
      </w:pPr>
    </w:p>
    <w:p w14:paraId="263EDACC" w14:textId="38ADEEB2" w:rsidR="0081411A" w:rsidRPr="0081411A" w:rsidRDefault="00A93AB2" w:rsidP="00520E9A">
      <w:pPr>
        <w:pStyle w:val="PrrafodeSentencia"/>
        <w:numPr>
          <w:ilvl w:val="0"/>
          <w:numId w:val="3"/>
        </w:numPr>
        <w:tabs>
          <w:tab w:val="clear" w:pos="567"/>
        </w:tabs>
        <w:ind w:left="0" w:firstLine="0"/>
        <w:rPr>
          <w:bCs/>
        </w:rPr>
      </w:pPr>
      <w:r>
        <w:t>R</w:t>
      </w:r>
      <w:r w:rsidR="006C19B2" w:rsidRPr="00836A74">
        <w:t xml:space="preserve">especto de la amplitud del artículo 31.2 de la LOC, </w:t>
      </w:r>
      <w:r w:rsidR="006C19B2">
        <w:t>estim</w:t>
      </w:r>
      <w:r w:rsidR="00A37171">
        <w:t>amos</w:t>
      </w:r>
      <w:r w:rsidR="006C19B2">
        <w:t xml:space="preserve"> que </w:t>
      </w:r>
      <w:r w:rsidR="006C19B2" w:rsidRPr="00836A74">
        <w:t>el criterio mayoritario debió considerar que el C</w:t>
      </w:r>
      <w:r w:rsidR="006C19B2">
        <w:t>NM</w:t>
      </w:r>
      <w:r w:rsidR="006C19B2" w:rsidRPr="00836A74">
        <w:t xml:space="preserve">, al sancionar al señor </w:t>
      </w:r>
      <w:proofErr w:type="spellStart"/>
      <w:r w:rsidR="00A42C89">
        <w:t>Cajahuanca</w:t>
      </w:r>
      <w:proofErr w:type="spellEnd"/>
      <w:r w:rsidR="00A42C89">
        <w:t xml:space="preserve"> Vá</w:t>
      </w:r>
      <w:r w:rsidR="00AF6220">
        <w:t>s</w:t>
      </w:r>
      <w:r w:rsidR="00A42C89">
        <w:t>quez</w:t>
      </w:r>
      <w:r w:rsidR="006C19B2" w:rsidRPr="00836A74">
        <w:t xml:space="preserve"> utilizando la referida disposición, </w:t>
      </w:r>
      <w:r w:rsidR="00230B82" w:rsidRPr="00230B82">
        <w:t>aplicó una norma que no estaba suficientemente definida</w:t>
      </w:r>
      <w:r w:rsidR="00A42C89">
        <w:t xml:space="preserve"> (</w:t>
      </w:r>
      <w:r w:rsidR="00DC25E2">
        <w:t>ni normativa ni jurisprudencialmente</w:t>
      </w:r>
      <w:r w:rsidR="00A42C89">
        <w:t>)</w:t>
      </w:r>
      <w:r w:rsidR="00230B82" w:rsidRPr="00230B82">
        <w:t>, lo que constituye una violación del principio de legalidad</w:t>
      </w:r>
      <w:r w:rsidR="00DB06D2">
        <w:t xml:space="preserve"> (por ejemplo, afectando la previsibilidad de la norma)</w:t>
      </w:r>
      <w:r w:rsidR="00230B82" w:rsidRPr="00230B82">
        <w:t xml:space="preserve">, teniendo en consideración, además, que en la decisión no se precisan </w:t>
      </w:r>
      <w:r w:rsidR="00230B82">
        <w:t>los criterios interpretativos utilizados</w:t>
      </w:r>
      <w:r w:rsidR="00DC25E2">
        <w:t xml:space="preserve"> que pudieran orientar por</w:t>
      </w:r>
      <w:r w:rsidR="001B04CC">
        <w:t xml:space="preserve"> </w:t>
      </w:r>
      <w:r w:rsidR="00DC25E2">
        <w:t>qu</w:t>
      </w:r>
      <w:r w:rsidR="001B04CC">
        <w:t>é</w:t>
      </w:r>
      <w:r w:rsidR="00DC25E2">
        <w:t xml:space="preserve"> la aplicación de dicha norma era necesaria </w:t>
      </w:r>
      <w:r w:rsidR="00F259C6">
        <w:t xml:space="preserve">y comprendía las actuaciones realizadas por el señor </w:t>
      </w:r>
      <w:proofErr w:type="spellStart"/>
      <w:r w:rsidR="00F259C6">
        <w:t>Cajahuanca</w:t>
      </w:r>
      <w:proofErr w:type="spellEnd"/>
      <w:r w:rsidR="00F259C6">
        <w:t xml:space="preserve">. </w:t>
      </w:r>
    </w:p>
    <w:p w14:paraId="7DBD209F" w14:textId="77777777" w:rsidR="0081411A" w:rsidRPr="0081411A" w:rsidRDefault="0081411A" w:rsidP="0081411A">
      <w:pPr>
        <w:pStyle w:val="PrrafodeSentencia"/>
        <w:numPr>
          <w:ilvl w:val="0"/>
          <w:numId w:val="0"/>
        </w:numPr>
        <w:tabs>
          <w:tab w:val="clear" w:pos="567"/>
        </w:tabs>
        <w:rPr>
          <w:bCs/>
        </w:rPr>
      </w:pPr>
    </w:p>
    <w:p w14:paraId="76AF1848" w14:textId="50637A3F" w:rsidR="003D6501" w:rsidRPr="003D6501" w:rsidRDefault="00F05BC2" w:rsidP="003D6501">
      <w:pPr>
        <w:pStyle w:val="PrrafodeSentencia"/>
        <w:numPr>
          <w:ilvl w:val="0"/>
          <w:numId w:val="3"/>
        </w:numPr>
        <w:tabs>
          <w:tab w:val="clear" w:pos="567"/>
        </w:tabs>
        <w:ind w:left="0" w:firstLine="0"/>
        <w:rPr>
          <w:bCs/>
        </w:rPr>
      </w:pPr>
      <w:r>
        <w:t xml:space="preserve">De hecho, </w:t>
      </w:r>
      <w:r w:rsidR="0081411A">
        <w:t xml:space="preserve">adicionalmente y </w:t>
      </w:r>
      <w:r>
        <w:t>a diferencia de lo que sostiene la sentencia, de la revisión de la decisión emitida por el CNM, únicamente se trata de una descripción de hechos y la subsunción de esos hechos a la norma aplicada al caso</w:t>
      </w:r>
      <w:r w:rsidR="00A37171">
        <w:t>.</w:t>
      </w:r>
      <w:r>
        <w:t xml:space="preserve"> </w:t>
      </w:r>
      <w:r w:rsidR="00A37171">
        <w:t>S</w:t>
      </w:r>
      <w:r>
        <w:t xml:space="preserve">in embargo, no existe un solo indicio de esfuerzo argumentativo reforzado que permitiera </w:t>
      </w:r>
      <w:r w:rsidR="00002FBE">
        <w:t>identificar cómo esos hechos constituyen actos que comprometen la “</w:t>
      </w:r>
      <w:r w:rsidR="00002FBE" w:rsidRPr="00002FBE">
        <w:rPr>
          <w:bCs/>
        </w:rPr>
        <w:t xml:space="preserve">dignidad del cargo” y la “desmerezca en el concepto público”. </w:t>
      </w:r>
    </w:p>
    <w:p w14:paraId="473F3122" w14:textId="77777777" w:rsidR="006C19B2" w:rsidRPr="0086460B" w:rsidRDefault="006C19B2" w:rsidP="00D61D5F">
      <w:pPr>
        <w:pStyle w:val="PrrafodeSentencia"/>
        <w:numPr>
          <w:ilvl w:val="0"/>
          <w:numId w:val="0"/>
        </w:numPr>
        <w:tabs>
          <w:tab w:val="clear" w:pos="567"/>
        </w:tabs>
        <w:rPr>
          <w:lang w:val="es-ES"/>
        </w:rPr>
      </w:pPr>
    </w:p>
    <w:p w14:paraId="7385D728" w14:textId="2548DA68" w:rsidR="006C19B2" w:rsidRPr="00F259C6" w:rsidRDefault="006C19B2" w:rsidP="00520E9A">
      <w:pPr>
        <w:pStyle w:val="PrrafodeSentencia"/>
        <w:numPr>
          <w:ilvl w:val="0"/>
          <w:numId w:val="3"/>
        </w:numPr>
        <w:tabs>
          <w:tab w:val="clear" w:pos="567"/>
        </w:tabs>
        <w:ind w:left="0" w:firstLine="0"/>
      </w:pPr>
      <w:r w:rsidRPr="00836A74">
        <w:t>Desafortunadamente, el criterio mayoritario estimó que “</w:t>
      </w:r>
      <w:r w:rsidR="00A93AB2" w:rsidRPr="00BC5F7B">
        <w:t xml:space="preserve">la decisión del CNM de destituir al señor </w:t>
      </w:r>
      <w:proofErr w:type="spellStart"/>
      <w:r w:rsidR="00A93AB2" w:rsidRPr="00BC5F7B">
        <w:t>Cajahuanca</w:t>
      </w:r>
      <w:proofErr w:type="spellEnd"/>
      <w:r w:rsidR="00A93AB2" w:rsidRPr="00BC5F7B">
        <w:t xml:space="preserve"> Vásquez fue debidamente motivada y consideró la afectación de la conducta examinada en el ejercicio de la función judicial, la gravedad de la conducta y proporcionalidad de la sanción</w:t>
      </w:r>
      <w:r w:rsidR="001B04CC">
        <w:t>,</w:t>
      </w:r>
      <w:r w:rsidR="00A93AB2" w:rsidRPr="00BC5F7B">
        <w:rPr>
          <w:rStyle w:val="Refdenotaalpie"/>
        </w:rPr>
        <w:t xml:space="preserve"> </w:t>
      </w:r>
      <w:r w:rsidR="00A93AB2" w:rsidRPr="00BC5F7B">
        <w:t>y el contexto en el que se dio la actuación de las autoridades que impusieron la sanción</w:t>
      </w:r>
      <w:r w:rsidR="001B04CC">
        <w:t>”</w:t>
      </w:r>
      <w:r w:rsidR="001B04CC">
        <w:rPr>
          <w:rStyle w:val="Refdenotaalpie"/>
        </w:rPr>
        <w:footnoteReference w:id="11"/>
      </w:r>
      <w:r w:rsidR="00A93AB2" w:rsidRPr="00BC5F7B">
        <w:t xml:space="preserve">. Por todo ello, estima </w:t>
      </w:r>
      <w:r w:rsidR="00A37171">
        <w:t>la mayoría de los integrantes de</w:t>
      </w:r>
      <w:r w:rsidR="00A93AB2" w:rsidRPr="00BC5F7B">
        <w:t xml:space="preserve"> Corte</w:t>
      </w:r>
      <w:r w:rsidR="00A37171">
        <w:t xml:space="preserve"> IDJH</w:t>
      </w:r>
      <w:r w:rsidR="00A93AB2" w:rsidRPr="00BC5F7B">
        <w:t>, que no fue arbitraria</w:t>
      </w:r>
      <w:r w:rsidR="00A37171">
        <w:t xml:space="preserve">, por lo que se estimó que </w:t>
      </w:r>
      <w:r w:rsidR="00A93AB2" w:rsidRPr="00BC5F7B">
        <w:t>no se acreditó una violación a las garantías al debido proceso ni al principio de legalidad establecidos en la Convención</w:t>
      </w:r>
      <w:r w:rsidR="00A37171">
        <w:t xml:space="preserve"> Americana</w:t>
      </w:r>
      <w:r w:rsidRPr="00836A74">
        <w:t>.</w:t>
      </w:r>
    </w:p>
    <w:p w14:paraId="709C1BC1" w14:textId="77777777" w:rsidR="006C19B2" w:rsidRPr="00836A74" w:rsidRDefault="006C19B2" w:rsidP="00D61D5F">
      <w:pPr>
        <w:pStyle w:val="PrrafodeSentencia"/>
        <w:numPr>
          <w:ilvl w:val="0"/>
          <w:numId w:val="0"/>
        </w:numPr>
        <w:tabs>
          <w:tab w:val="clear" w:pos="567"/>
        </w:tabs>
      </w:pPr>
    </w:p>
    <w:p w14:paraId="787FE0A8" w14:textId="6A8A49FC" w:rsidR="006C19B2" w:rsidRPr="00836A74" w:rsidRDefault="006C19B2" w:rsidP="00D61D5F">
      <w:pPr>
        <w:pStyle w:val="PrrafodeSentencia"/>
        <w:numPr>
          <w:ilvl w:val="0"/>
          <w:numId w:val="3"/>
        </w:numPr>
        <w:tabs>
          <w:tab w:val="clear" w:pos="567"/>
        </w:tabs>
        <w:ind w:left="0" w:firstLine="0"/>
      </w:pPr>
      <w:r w:rsidRPr="00836A74">
        <w:t xml:space="preserve">En este punto cabe recordar lo indicado en el caso </w:t>
      </w:r>
      <w:r w:rsidRPr="00836A74">
        <w:rPr>
          <w:i/>
          <w:iCs/>
        </w:rPr>
        <w:t xml:space="preserve">López </w:t>
      </w:r>
      <w:proofErr w:type="spellStart"/>
      <w:r w:rsidRPr="00836A74">
        <w:rPr>
          <w:i/>
          <w:iCs/>
        </w:rPr>
        <w:t>Lone</w:t>
      </w:r>
      <w:proofErr w:type="spellEnd"/>
      <w:r w:rsidRPr="00836A74">
        <w:rPr>
          <w:i/>
          <w:iCs/>
        </w:rPr>
        <w:t xml:space="preserve"> y otros</w:t>
      </w:r>
      <w:r w:rsidRPr="00836A74">
        <w:t xml:space="preserve"> respecto que</w:t>
      </w:r>
      <w:r>
        <w:t>,</w:t>
      </w:r>
      <w:r w:rsidRPr="00836A74">
        <w:t xml:space="preserve"> ante la presencia de tipos sancionatorios indeterminados y ante la ausencia de normativa que desarrolle los criterios objetivos, la motivación</w:t>
      </w:r>
      <w:r>
        <w:t xml:space="preserve"> —</w:t>
      </w:r>
      <w:r w:rsidRPr="00836A74">
        <w:t xml:space="preserve">que desde </w:t>
      </w:r>
      <w:r w:rsidR="00A37171">
        <w:t>nuestra</w:t>
      </w:r>
      <w:r w:rsidRPr="00836A74">
        <w:t xml:space="preserve"> perspectiva se ve reflejada en la argumentación y razonamientos claros y detallado</w:t>
      </w:r>
      <w:r>
        <w:t>s—</w:t>
      </w:r>
      <w:r w:rsidRPr="00836A74">
        <w:t xml:space="preserve"> cobra una especial relevancia en la obligación del </w:t>
      </w:r>
      <w:r>
        <w:t>órgano disciplinario</w:t>
      </w:r>
      <w:r w:rsidRPr="00836A74">
        <w:t xml:space="preserve"> </w:t>
      </w:r>
      <w:r>
        <w:t xml:space="preserve">de </w:t>
      </w:r>
      <w:r w:rsidRPr="00836A74">
        <w:t>indicar cómo la conducta realizada encaja o se circunscribe dentro de los elementos indeterminados que contempla el tipo sancionatorio de carácter abierto</w:t>
      </w:r>
      <w:r>
        <w:t>;</w:t>
      </w:r>
      <w:r w:rsidRPr="00836A74">
        <w:t xml:space="preserve"> </w:t>
      </w:r>
      <w:r>
        <w:t>siendo que,</w:t>
      </w:r>
      <w:r w:rsidRPr="00836A74">
        <w:t xml:space="preserve"> además </w:t>
      </w:r>
      <w:r>
        <w:t xml:space="preserve">de </w:t>
      </w:r>
      <w:r w:rsidRPr="00836A74">
        <w:t xml:space="preserve">que dichos elementos indeterminados </w:t>
      </w:r>
      <w:r>
        <w:t xml:space="preserve">debían haber </w:t>
      </w:r>
      <w:r w:rsidRPr="00836A74">
        <w:t>sido previamente desarrollados por vía normativa o interpretativa, ese desarrollo normativo o interpretativo debe estar presente en la motivación del órgano sancionador.</w:t>
      </w:r>
      <w:r w:rsidR="00520E9A">
        <w:t xml:space="preserve"> </w:t>
      </w:r>
    </w:p>
    <w:p w14:paraId="0FF8F366" w14:textId="77777777" w:rsidR="006C19B2" w:rsidRPr="00836A74" w:rsidRDefault="006C19B2" w:rsidP="00D61D5F">
      <w:pPr>
        <w:pStyle w:val="PrrafodeSentencia"/>
        <w:numPr>
          <w:ilvl w:val="0"/>
          <w:numId w:val="0"/>
        </w:numPr>
        <w:tabs>
          <w:tab w:val="clear" w:pos="567"/>
        </w:tabs>
      </w:pPr>
    </w:p>
    <w:p w14:paraId="3DA86704" w14:textId="7DD18238" w:rsidR="003D6501" w:rsidRPr="003D6501" w:rsidRDefault="008D2F99" w:rsidP="003D6501">
      <w:pPr>
        <w:pStyle w:val="PrrafodeSentencia"/>
        <w:numPr>
          <w:ilvl w:val="0"/>
          <w:numId w:val="3"/>
        </w:numPr>
        <w:tabs>
          <w:tab w:val="clear" w:pos="567"/>
        </w:tabs>
        <w:ind w:left="0" w:firstLine="0"/>
      </w:pPr>
      <w:r>
        <w:t>Así, a</w:t>
      </w:r>
      <w:r w:rsidR="006C19B2" w:rsidRPr="00836A74">
        <w:t xml:space="preserve">nte la presencia de causales disciplinarias que utilicen conceptos indeterminados y la ausencia de normativa o bases internas que acoten el alcance de los tipos disciplinarios (por ejemplo, vía reglamentaria), </w:t>
      </w:r>
      <w:r w:rsidR="006C19B2" w:rsidRPr="00A37171">
        <w:rPr>
          <w:i/>
          <w:iCs/>
        </w:rPr>
        <w:t>la adecuada motivación adquiere un carácter más estricto y riguroso</w:t>
      </w:r>
      <w:r w:rsidR="00070BF5">
        <w:t>, en especial para despejar cualquier posible duda de arbitrariedad sobre conductas que igual son vagas, como posibles actos de corrupción</w:t>
      </w:r>
      <w:r w:rsidR="006C19B2">
        <w:t xml:space="preserve">. </w:t>
      </w:r>
      <w:r w:rsidR="00554054">
        <w:t>De este modo, n</w:t>
      </w:r>
      <w:r w:rsidR="006C19B2">
        <w:t>o debe</w:t>
      </w:r>
      <w:r w:rsidR="001D19D8">
        <w:t>n</w:t>
      </w:r>
      <w:r w:rsidR="006C19B2" w:rsidRPr="00836A74">
        <w:t xml:space="preserve"> únicamente exponer</w:t>
      </w:r>
      <w:r w:rsidR="006C19B2">
        <w:t>se los hechos y la norma aplicada</w:t>
      </w:r>
      <w:r w:rsidR="001D19D8">
        <w:t>,</w:t>
      </w:r>
      <w:r w:rsidR="006C19B2" w:rsidRPr="00836A74">
        <w:t xml:space="preserve"> sino que la motivación necesariamente tendría que argumentar qué se ha entendido o cómo ha</w:t>
      </w:r>
      <w:r w:rsidR="00397301">
        <w:t>n</w:t>
      </w:r>
      <w:r w:rsidR="006C19B2" w:rsidRPr="00836A74">
        <w:t xml:space="preserve"> sido desarrollado</w:t>
      </w:r>
      <w:r w:rsidR="00397301">
        <w:t>s</w:t>
      </w:r>
      <w:r w:rsidR="006C19B2" w:rsidRPr="00836A74">
        <w:t xml:space="preserve"> los elementos que conforman una causal disciplinaria abierta y cómo la conducta realizada encaja en el entendimiento de esa causal. </w:t>
      </w:r>
    </w:p>
    <w:p w14:paraId="2A63A394" w14:textId="77777777" w:rsidR="003D6501" w:rsidRPr="00D52C17" w:rsidRDefault="003D6501" w:rsidP="003D6501">
      <w:pPr>
        <w:rPr>
          <w:lang w:val="es-ES"/>
        </w:rPr>
      </w:pPr>
    </w:p>
    <w:p w14:paraId="32F251A1" w14:textId="697DAA15" w:rsidR="007B5437" w:rsidRDefault="00A37171" w:rsidP="007B5437">
      <w:pPr>
        <w:pStyle w:val="PrrafodeSentencia"/>
        <w:numPr>
          <w:ilvl w:val="0"/>
          <w:numId w:val="3"/>
        </w:numPr>
        <w:tabs>
          <w:tab w:val="clear" w:pos="567"/>
        </w:tabs>
        <w:ind w:left="0" w:firstLine="0"/>
      </w:pPr>
      <w:r>
        <w:t>Por supuesto, n</w:t>
      </w:r>
      <w:r w:rsidR="007B5437">
        <w:t xml:space="preserve">o se trata de eximir de todo tipo de responsabilidad a los integrantes de la judicatura de posibles actos de corrupción, sino que se trata de que precisamente las causales </w:t>
      </w:r>
      <w:r>
        <w:t>—</w:t>
      </w:r>
      <w:r w:rsidR="007B5437">
        <w:t>en las cuales se vean involucrados este tipo de conductas</w:t>
      </w:r>
      <w:r>
        <w:t>—,</w:t>
      </w:r>
      <w:r w:rsidR="007B5437">
        <w:t xml:space="preserve"> tengan la mayor certeza al momento de ser aplicadas, puesto que las decisiones por las cuales </w:t>
      </w:r>
      <w:r w:rsidR="00A30B3F">
        <w:t>se destituyen a ju</w:t>
      </w:r>
      <w:r>
        <w:t>zgadores</w:t>
      </w:r>
      <w:r w:rsidR="00A30B3F">
        <w:t xml:space="preserve"> deben carecer de toda</w:t>
      </w:r>
      <w:r w:rsidR="007B5437">
        <w:t xml:space="preserve"> arbitrariedad</w:t>
      </w:r>
      <w:r w:rsidR="00A30B3F">
        <w:t xml:space="preserve">, finalidad última que se pretende salvaguardar </w:t>
      </w:r>
      <w:r w:rsidR="00E50F97">
        <w:t xml:space="preserve">mediante las garantías que se le aplican a la independencia judicial y, en todo caso, que las </w:t>
      </w:r>
      <w:r>
        <w:t xml:space="preserve">juezas y jueces en definitiva </w:t>
      </w:r>
      <w:r w:rsidR="00E50F97">
        <w:t xml:space="preserve">no se vean sometidas a presiones internas y externas. </w:t>
      </w:r>
    </w:p>
    <w:p w14:paraId="1FE214AD" w14:textId="77777777" w:rsidR="00F72A24" w:rsidRDefault="00F72A24" w:rsidP="00F72A24">
      <w:pPr>
        <w:rPr>
          <w:lang w:val="es-CR"/>
        </w:rPr>
      </w:pPr>
    </w:p>
    <w:p w14:paraId="60AE82A3" w14:textId="6ADD6408" w:rsidR="00D07CEF" w:rsidRDefault="00F72A24" w:rsidP="00F72A24">
      <w:pPr>
        <w:pStyle w:val="Prrafodelista"/>
        <w:ind w:left="0"/>
        <w:jc w:val="center"/>
        <w:rPr>
          <w:rFonts w:ascii="Verdana" w:hAnsi="Verdana"/>
          <w:b/>
          <w:color w:val="000000" w:themeColor="text1"/>
          <w:sz w:val="20"/>
          <w:szCs w:val="20"/>
          <w:lang w:val="es-ES"/>
        </w:rPr>
      </w:pPr>
      <w:r>
        <w:rPr>
          <w:rFonts w:ascii="Verdana" w:hAnsi="Verdana"/>
          <w:b/>
          <w:color w:val="000000" w:themeColor="text1"/>
          <w:sz w:val="20"/>
          <w:szCs w:val="20"/>
          <w:lang w:val="es-ES"/>
        </w:rPr>
        <w:t>III</w:t>
      </w:r>
      <w:r w:rsidRPr="003F55F9">
        <w:rPr>
          <w:rFonts w:ascii="Verdana" w:hAnsi="Verdana"/>
          <w:b/>
          <w:color w:val="000000" w:themeColor="text1"/>
          <w:sz w:val="20"/>
          <w:szCs w:val="20"/>
          <w:lang w:val="es-ES"/>
        </w:rPr>
        <w:t xml:space="preserve">. </w:t>
      </w:r>
      <w:r>
        <w:rPr>
          <w:rFonts w:ascii="Verdana" w:hAnsi="Verdana"/>
          <w:b/>
          <w:color w:val="000000" w:themeColor="text1"/>
          <w:sz w:val="20"/>
          <w:szCs w:val="20"/>
          <w:lang w:val="es-ES"/>
        </w:rPr>
        <w:t>VULNERACIÓN A LA ESTABILIDAD LABORAL</w:t>
      </w:r>
      <w:r w:rsidRPr="003F55F9">
        <w:rPr>
          <w:rFonts w:ascii="Verdana" w:hAnsi="Verdana"/>
          <w:b/>
          <w:color w:val="000000" w:themeColor="text1"/>
          <w:sz w:val="20"/>
          <w:szCs w:val="20"/>
          <w:lang w:val="es-ES"/>
        </w:rPr>
        <w:t xml:space="preserve"> </w:t>
      </w:r>
      <w:r w:rsidR="00F25704">
        <w:rPr>
          <w:rFonts w:ascii="Verdana" w:hAnsi="Verdana"/>
          <w:b/>
          <w:color w:val="000000" w:themeColor="text1"/>
          <w:sz w:val="20"/>
          <w:szCs w:val="20"/>
          <w:lang w:val="es-ES"/>
        </w:rPr>
        <w:t>PROTEGIDA</w:t>
      </w:r>
    </w:p>
    <w:p w14:paraId="3F4001D8" w14:textId="3B7DB5A6" w:rsidR="00F72A24" w:rsidRPr="003F55F9" w:rsidRDefault="00F72A24" w:rsidP="00F72A24">
      <w:pPr>
        <w:pStyle w:val="Prrafodelista"/>
        <w:ind w:left="0"/>
        <w:jc w:val="center"/>
        <w:rPr>
          <w:rFonts w:ascii="Verdana" w:hAnsi="Verdana"/>
          <w:b/>
          <w:color w:val="000000" w:themeColor="text1"/>
          <w:sz w:val="20"/>
          <w:szCs w:val="20"/>
          <w:lang w:val="es-ES"/>
        </w:rPr>
      </w:pPr>
      <w:r>
        <w:rPr>
          <w:rFonts w:ascii="Verdana" w:hAnsi="Verdana"/>
          <w:b/>
          <w:color w:val="000000" w:themeColor="text1"/>
          <w:sz w:val="20"/>
          <w:szCs w:val="20"/>
          <w:lang w:val="es-ES"/>
        </w:rPr>
        <w:t>POR EL ARTÍCULO 26 DE LA CONVENCIÓN AMERICANA</w:t>
      </w:r>
    </w:p>
    <w:p w14:paraId="1593A2DF" w14:textId="77777777" w:rsidR="00F72A24" w:rsidRDefault="00F72A24" w:rsidP="00F72A24">
      <w:pPr>
        <w:rPr>
          <w:lang w:val="es-CR"/>
        </w:rPr>
      </w:pPr>
    </w:p>
    <w:p w14:paraId="6729E101" w14:textId="4FD86C66" w:rsidR="0034594D" w:rsidRDefault="006A4EBE" w:rsidP="0034594D">
      <w:pPr>
        <w:pStyle w:val="Prrafodelista"/>
        <w:numPr>
          <w:ilvl w:val="0"/>
          <w:numId w:val="3"/>
        </w:numPr>
        <w:pBdr>
          <w:top w:val="nil"/>
          <w:left w:val="nil"/>
          <w:bottom w:val="nil"/>
          <w:right w:val="nil"/>
          <w:between w:val="nil"/>
        </w:pBdr>
        <w:ind w:left="0" w:firstLine="0"/>
        <w:jc w:val="both"/>
        <w:rPr>
          <w:rFonts w:ascii="Verdana" w:eastAsia="Verdana" w:hAnsi="Verdana" w:cs="Verdana"/>
          <w:color w:val="000000"/>
          <w:sz w:val="20"/>
          <w:szCs w:val="20"/>
        </w:rPr>
      </w:pPr>
      <w:r>
        <w:rPr>
          <w:rFonts w:ascii="Verdana" w:eastAsia="Verdana" w:hAnsi="Verdana" w:cs="Verdana"/>
          <w:color w:val="000000"/>
          <w:sz w:val="20"/>
          <w:szCs w:val="20"/>
          <w:highlight w:val="white"/>
        </w:rPr>
        <w:t xml:space="preserve">Siguiendo los precedentes recientes de la Corte IDH, </w:t>
      </w:r>
      <w:r w:rsidR="0034594D">
        <w:rPr>
          <w:rFonts w:ascii="Verdana" w:eastAsia="Verdana" w:hAnsi="Verdana" w:cs="Verdana"/>
          <w:color w:val="000000"/>
          <w:sz w:val="20"/>
          <w:szCs w:val="20"/>
          <w:highlight w:val="white"/>
        </w:rPr>
        <w:t xml:space="preserve">consideramos que </w:t>
      </w:r>
      <w:r>
        <w:rPr>
          <w:rFonts w:ascii="Verdana" w:eastAsia="Verdana" w:hAnsi="Verdana" w:cs="Verdana"/>
          <w:color w:val="000000"/>
          <w:sz w:val="20"/>
          <w:szCs w:val="20"/>
          <w:highlight w:val="white"/>
        </w:rPr>
        <w:t xml:space="preserve">al haber sido destituido </w:t>
      </w:r>
      <w:r w:rsidR="0034594D">
        <w:rPr>
          <w:rFonts w:ascii="Verdana" w:eastAsia="Verdana" w:hAnsi="Verdana" w:cs="Verdana"/>
          <w:color w:val="000000"/>
          <w:sz w:val="20"/>
          <w:szCs w:val="20"/>
          <w:highlight w:val="white"/>
        </w:rPr>
        <w:t xml:space="preserve">arbitrariamente </w:t>
      </w:r>
      <w:r>
        <w:rPr>
          <w:rFonts w:ascii="Verdana" w:eastAsia="Verdana" w:hAnsi="Verdana" w:cs="Verdana"/>
          <w:color w:val="000000"/>
          <w:sz w:val="20"/>
          <w:szCs w:val="20"/>
          <w:highlight w:val="white"/>
        </w:rPr>
        <w:t xml:space="preserve">el señor </w:t>
      </w:r>
      <w:proofErr w:type="spellStart"/>
      <w:r>
        <w:rPr>
          <w:rFonts w:ascii="Verdana" w:eastAsia="Verdana" w:hAnsi="Verdana" w:cs="Verdana"/>
          <w:color w:val="000000"/>
          <w:sz w:val="20"/>
          <w:szCs w:val="20"/>
          <w:highlight w:val="white"/>
        </w:rPr>
        <w:t>Cajahuanca</w:t>
      </w:r>
      <w:proofErr w:type="spellEnd"/>
      <w:r>
        <w:rPr>
          <w:rFonts w:ascii="Verdana" w:eastAsia="Verdana" w:hAnsi="Verdana" w:cs="Verdana"/>
          <w:color w:val="000000"/>
          <w:sz w:val="20"/>
          <w:szCs w:val="20"/>
          <w:highlight w:val="white"/>
        </w:rPr>
        <w:t xml:space="preserve"> Vásquez de su cargo en la judicatura</w:t>
      </w:r>
      <w:r w:rsidR="00641DE8">
        <w:rPr>
          <w:rFonts w:ascii="Verdana" w:eastAsia="Verdana" w:hAnsi="Verdana" w:cs="Verdana"/>
          <w:color w:val="000000"/>
          <w:sz w:val="20"/>
          <w:szCs w:val="20"/>
          <w:highlight w:val="white"/>
        </w:rPr>
        <w:t xml:space="preserve"> a la luz de todo lo expuesto anteriormente</w:t>
      </w:r>
      <w:r>
        <w:rPr>
          <w:rFonts w:ascii="Verdana" w:eastAsia="Verdana" w:hAnsi="Verdana" w:cs="Verdana"/>
          <w:color w:val="000000"/>
          <w:sz w:val="20"/>
          <w:szCs w:val="20"/>
          <w:highlight w:val="white"/>
        </w:rPr>
        <w:t xml:space="preserve">, también se debió haber declarado violado el derecho al trabajo protegido por el artículo 26 de la Convención Americana. </w:t>
      </w:r>
      <w:r w:rsidR="00641DE8">
        <w:rPr>
          <w:rFonts w:ascii="Verdana" w:eastAsia="Verdana" w:hAnsi="Verdana" w:cs="Verdana"/>
          <w:color w:val="000000"/>
          <w:sz w:val="20"/>
          <w:szCs w:val="20"/>
          <w:highlight w:val="white"/>
        </w:rPr>
        <w:t>T</w:t>
      </w:r>
      <w:r>
        <w:rPr>
          <w:rFonts w:ascii="Verdana" w:eastAsia="Verdana" w:hAnsi="Verdana" w:cs="Verdana"/>
          <w:color w:val="000000"/>
          <w:sz w:val="20"/>
          <w:szCs w:val="20"/>
          <w:highlight w:val="white"/>
        </w:rPr>
        <w:t xml:space="preserve">al y como se consideró en el caso </w:t>
      </w:r>
      <w:r w:rsidR="0034594D" w:rsidRPr="0034594D">
        <w:rPr>
          <w:rFonts w:ascii="Verdana" w:eastAsia="Verdana" w:hAnsi="Verdana" w:cs="Verdana"/>
          <w:i/>
          <w:iCs/>
          <w:color w:val="000000"/>
          <w:sz w:val="20"/>
          <w:szCs w:val="20"/>
        </w:rPr>
        <w:t xml:space="preserve">Aguinaga </w:t>
      </w:r>
      <w:proofErr w:type="spellStart"/>
      <w:r w:rsidR="0034594D" w:rsidRPr="0034594D">
        <w:rPr>
          <w:rFonts w:ascii="Verdana" w:eastAsia="Verdana" w:hAnsi="Verdana" w:cs="Verdana"/>
          <w:i/>
          <w:iCs/>
          <w:color w:val="000000"/>
          <w:sz w:val="20"/>
          <w:szCs w:val="20"/>
        </w:rPr>
        <w:t>Aill</w:t>
      </w:r>
      <w:r w:rsidR="0034594D" w:rsidRPr="0034594D">
        <w:rPr>
          <w:rFonts w:ascii="Verdana" w:eastAsia="Verdana" w:hAnsi="Verdana" w:cs="Verdana"/>
          <w:i/>
          <w:iCs/>
          <w:color w:val="000000"/>
          <w:sz w:val="20"/>
          <w:szCs w:val="20"/>
          <w:highlight w:val="white"/>
        </w:rPr>
        <w:t>ó</w:t>
      </w:r>
      <w:r w:rsidR="0034594D" w:rsidRPr="0034594D">
        <w:rPr>
          <w:rFonts w:ascii="Verdana" w:eastAsia="Verdana" w:hAnsi="Verdana" w:cs="Verdana"/>
          <w:i/>
          <w:iCs/>
          <w:color w:val="000000"/>
          <w:sz w:val="20"/>
          <w:szCs w:val="20"/>
        </w:rPr>
        <w:t>n</w:t>
      </w:r>
      <w:proofErr w:type="spellEnd"/>
      <w:r w:rsidR="0034594D" w:rsidRPr="0034594D">
        <w:rPr>
          <w:rFonts w:ascii="Verdana" w:eastAsia="Verdana" w:hAnsi="Verdana" w:cs="Verdana"/>
          <w:i/>
          <w:iCs/>
          <w:color w:val="000000"/>
          <w:sz w:val="20"/>
          <w:szCs w:val="20"/>
        </w:rPr>
        <w:t xml:space="preserve"> Vs. Ecuador</w:t>
      </w:r>
      <w:r w:rsidR="0034594D">
        <w:rPr>
          <w:rStyle w:val="Refdenotaalpie"/>
          <w:rFonts w:ascii="Verdana" w:eastAsia="Verdana" w:hAnsi="Verdana" w:cs="Verdana"/>
          <w:color w:val="000000"/>
          <w:sz w:val="20"/>
          <w:szCs w:val="20"/>
        </w:rPr>
        <w:footnoteReference w:id="12"/>
      </w:r>
      <w:r w:rsidR="0034594D">
        <w:rPr>
          <w:rFonts w:ascii="Verdana" w:eastAsia="Verdana" w:hAnsi="Verdana" w:cs="Verdana"/>
          <w:color w:val="000000"/>
          <w:sz w:val="20"/>
          <w:szCs w:val="20"/>
        </w:rPr>
        <w:t xml:space="preserve">, </w:t>
      </w:r>
      <w:r w:rsidR="00F72A24" w:rsidRPr="0034594D">
        <w:rPr>
          <w:rFonts w:ascii="Verdana" w:eastAsia="Verdana" w:hAnsi="Verdana" w:cs="Verdana"/>
          <w:color w:val="000000"/>
          <w:sz w:val="20"/>
          <w:szCs w:val="20"/>
          <w:highlight w:val="white"/>
        </w:rPr>
        <w:t xml:space="preserve">la destitución de un juez </w:t>
      </w:r>
      <w:r w:rsidR="0034594D">
        <w:rPr>
          <w:rFonts w:ascii="Verdana" w:eastAsia="Verdana" w:hAnsi="Verdana" w:cs="Verdana"/>
          <w:color w:val="000000"/>
          <w:sz w:val="20"/>
          <w:szCs w:val="20"/>
          <w:highlight w:val="white"/>
        </w:rPr>
        <w:t xml:space="preserve">debe también analizarse </w:t>
      </w:r>
      <w:r w:rsidR="00F72A24" w:rsidRPr="0034594D">
        <w:rPr>
          <w:rFonts w:ascii="Verdana" w:eastAsia="Verdana" w:hAnsi="Verdana" w:cs="Verdana"/>
          <w:color w:val="000000"/>
          <w:sz w:val="20"/>
          <w:szCs w:val="20"/>
          <w:highlight w:val="white"/>
        </w:rPr>
        <w:t>desde la perspectiva del derecho al trabajo, en su dimensión a la estabilidad laboral</w:t>
      </w:r>
      <w:r w:rsidR="0034594D">
        <w:rPr>
          <w:rFonts w:ascii="Verdana" w:eastAsia="Verdana" w:hAnsi="Verdana" w:cs="Verdana"/>
          <w:color w:val="000000"/>
          <w:sz w:val="20"/>
          <w:szCs w:val="20"/>
          <w:highlight w:val="white"/>
        </w:rPr>
        <w:t xml:space="preserve">. </w:t>
      </w:r>
    </w:p>
    <w:p w14:paraId="2BF68A13" w14:textId="77777777" w:rsidR="0034594D" w:rsidRPr="0034594D" w:rsidRDefault="0034594D" w:rsidP="0034594D">
      <w:pPr>
        <w:pStyle w:val="Prrafodelista"/>
        <w:pBdr>
          <w:top w:val="nil"/>
          <w:left w:val="nil"/>
          <w:bottom w:val="nil"/>
          <w:right w:val="nil"/>
          <w:between w:val="nil"/>
        </w:pBdr>
        <w:ind w:left="0"/>
        <w:jc w:val="both"/>
        <w:rPr>
          <w:rFonts w:ascii="Verdana" w:eastAsia="Verdana" w:hAnsi="Verdana" w:cs="Verdana"/>
          <w:color w:val="000000"/>
          <w:sz w:val="20"/>
          <w:szCs w:val="20"/>
        </w:rPr>
      </w:pPr>
    </w:p>
    <w:p w14:paraId="1EB7ACFC" w14:textId="37E951A9" w:rsidR="00F72A24" w:rsidRPr="0034594D" w:rsidRDefault="0034594D" w:rsidP="00F25704">
      <w:pPr>
        <w:pStyle w:val="Prrafodelista"/>
        <w:numPr>
          <w:ilvl w:val="0"/>
          <w:numId w:val="3"/>
        </w:numPr>
        <w:pBdr>
          <w:top w:val="nil"/>
          <w:left w:val="nil"/>
          <w:bottom w:val="nil"/>
          <w:right w:val="nil"/>
          <w:between w:val="nil"/>
        </w:pBdr>
        <w:ind w:left="0" w:firstLine="0"/>
        <w:jc w:val="both"/>
        <w:rPr>
          <w:rFonts w:ascii="Verdana" w:eastAsia="Verdana" w:hAnsi="Verdana" w:cs="Verdana"/>
          <w:color w:val="000000"/>
          <w:sz w:val="20"/>
          <w:szCs w:val="20"/>
        </w:rPr>
      </w:pPr>
      <w:r>
        <w:rPr>
          <w:rFonts w:ascii="Verdana" w:eastAsia="Verdana" w:hAnsi="Verdana" w:cs="Verdana"/>
          <w:color w:val="000000"/>
          <w:sz w:val="20"/>
          <w:szCs w:val="20"/>
          <w:highlight w:val="white"/>
        </w:rPr>
        <w:t>En efecto, en dicho precedente l</w:t>
      </w:r>
      <w:r w:rsidR="00F72A24" w:rsidRPr="0034594D">
        <w:rPr>
          <w:rFonts w:ascii="Verdana" w:eastAsia="Verdana" w:hAnsi="Verdana" w:cs="Verdana"/>
          <w:color w:val="000000"/>
          <w:sz w:val="20"/>
          <w:szCs w:val="20"/>
          <w:highlight w:val="white"/>
        </w:rPr>
        <w:t xml:space="preserve">a Corte IDH reitera que </w:t>
      </w:r>
      <w:r w:rsidR="00F72A24" w:rsidRPr="0034594D">
        <w:rPr>
          <w:rFonts w:ascii="Verdana" w:eastAsia="Verdana" w:hAnsi="Verdana" w:cs="Verdana"/>
          <w:color w:val="000000"/>
          <w:sz w:val="20"/>
          <w:szCs w:val="20"/>
        </w:rPr>
        <w:t>para los operadores de justicia también es necesario que se les dote de “estabilidad laboral” como garantía diferenciada y reforzada de la independencia judicial, cuyo contenido es distinto de la garantía de “estabilidad/permanencia en el cargo” (art. 23.1.c de la Convención</w:t>
      </w:r>
      <w:r w:rsidR="00F72A24" w:rsidRPr="00970E31">
        <w:rPr>
          <w:vertAlign w:val="superscript"/>
        </w:rPr>
        <w:footnoteReference w:id="13"/>
      </w:r>
      <w:r w:rsidR="00F72A24" w:rsidRPr="0034594D">
        <w:rPr>
          <w:rFonts w:ascii="Verdana" w:eastAsia="Verdana" w:hAnsi="Verdana" w:cs="Verdana"/>
          <w:color w:val="000000"/>
          <w:sz w:val="20"/>
          <w:szCs w:val="20"/>
        </w:rPr>
        <w:t>). C</w:t>
      </w:r>
      <w:r w:rsidR="00F72A24" w:rsidRPr="0034594D">
        <w:rPr>
          <w:rFonts w:ascii="Verdana" w:eastAsia="Verdana" w:hAnsi="Verdana" w:cs="Verdana"/>
          <w:color w:val="000000"/>
          <w:sz w:val="20"/>
          <w:szCs w:val="20"/>
          <w:highlight w:val="white"/>
        </w:rPr>
        <w:t xml:space="preserve">omo lo hemos expresado en otra ocasión, cada derecho tiene su propio ámbito de </w:t>
      </w:r>
      <w:r w:rsidR="00F72A24" w:rsidRPr="0034594D">
        <w:rPr>
          <w:rFonts w:ascii="Verdana" w:eastAsia="Verdana" w:hAnsi="Verdana" w:cs="Verdana"/>
          <w:color w:val="000000"/>
          <w:sz w:val="20"/>
          <w:szCs w:val="20"/>
          <w:highlight w:val="white"/>
        </w:rPr>
        <w:lastRenderedPageBreak/>
        <w:t xml:space="preserve">protección, </w:t>
      </w:r>
      <w:r w:rsidR="00F72A24" w:rsidRPr="0034594D">
        <w:rPr>
          <w:rFonts w:ascii="Verdana" w:eastAsia="Verdana" w:hAnsi="Verdana" w:cs="Verdana"/>
          <w:color w:val="000000"/>
          <w:sz w:val="20"/>
          <w:szCs w:val="20"/>
        </w:rPr>
        <w:t>lo que permite su incidencia simultánea y no excluyente, bajo una concepción global e integral de la protección de la persona humana</w:t>
      </w:r>
      <w:r w:rsidR="00F72A24" w:rsidRPr="00970E31">
        <w:rPr>
          <w:vertAlign w:val="superscript"/>
        </w:rPr>
        <w:footnoteReference w:id="14"/>
      </w:r>
      <w:r w:rsidR="00F72A24" w:rsidRPr="0034594D">
        <w:rPr>
          <w:rFonts w:ascii="Verdana" w:eastAsia="Verdana" w:hAnsi="Verdana" w:cs="Verdana"/>
          <w:color w:val="000000"/>
          <w:sz w:val="20"/>
          <w:szCs w:val="20"/>
        </w:rPr>
        <w:t>.</w:t>
      </w:r>
    </w:p>
    <w:p w14:paraId="474033A2" w14:textId="77777777" w:rsidR="00982A83" w:rsidRDefault="00982A83" w:rsidP="00F25704">
      <w:pPr>
        <w:pStyle w:val="Prrafodelista"/>
        <w:pBdr>
          <w:top w:val="nil"/>
          <w:left w:val="nil"/>
          <w:bottom w:val="nil"/>
          <w:right w:val="nil"/>
          <w:between w:val="nil"/>
        </w:pBdr>
        <w:ind w:left="0"/>
        <w:jc w:val="both"/>
        <w:rPr>
          <w:rFonts w:ascii="Verdana" w:eastAsia="Verdana" w:hAnsi="Verdana" w:cs="Verdana"/>
          <w:color w:val="000000"/>
          <w:sz w:val="20"/>
          <w:szCs w:val="20"/>
        </w:rPr>
      </w:pPr>
    </w:p>
    <w:p w14:paraId="742879AD" w14:textId="18040310" w:rsidR="00F72A24" w:rsidRDefault="0034594D" w:rsidP="00F25704">
      <w:pPr>
        <w:pStyle w:val="Prrafodelista"/>
        <w:numPr>
          <w:ilvl w:val="0"/>
          <w:numId w:val="3"/>
        </w:numPr>
        <w:pBdr>
          <w:top w:val="nil"/>
          <w:left w:val="nil"/>
          <w:bottom w:val="nil"/>
          <w:right w:val="nil"/>
          <w:between w:val="nil"/>
        </w:pBdr>
        <w:ind w:left="0" w:firstLine="0"/>
        <w:jc w:val="both"/>
        <w:rPr>
          <w:rFonts w:ascii="Verdana" w:eastAsia="Verdana" w:hAnsi="Verdana" w:cs="Verdana"/>
          <w:color w:val="000000"/>
          <w:sz w:val="20"/>
          <w:szCs w:val="20"/>
        </w:rPr>
      </w:pPr>
      <w:r>
        <w:rPr>
          <w:rFonts w:ascii="Verdana" w:eastAsia="Verdana" w:hAnsi="Verdana" w:cs="Verdana"/>
          <w:color w:val="000000"/>
          <w:sz w:val="20"/>
          <w:szCs w:val="20"/>
        </w:rPr>
        <w:t xml:space="preserve">Tal y como se sostiene en el </w:t>
      </w:r>
      <w:r w:rsidRPr="00641DE8">
        <w:rPr>
          <w:rFonts w:ascii="Verdana" w:eastAsia="Verdana" w:hAnsi="Verdana" w:cs="Verdana"/>
          <w:i/>
          <w:iCs/>
          <w:color w:val="000000"/>
          <w:sz w:val="20"/>
          <w:szCs w:val="20"/>
        </w:rPr>
        <w:t xml:space="preserve">Caso Aguinaga </w:t>
      </w:r>
      <w:proofErr w:type="spellStart"/>
      <w:r w:rsidRPr="00641DE8">
        <w:rPr>
          <w:rFonts w:ascii="Verdana" w:eastAsia="Verdana" w:hAnsi="Verdana" w:cs="Verdana"/>
          <w:i/>
          <w:iCs/>
          <w:color w:val="000000"/>
          <w:sz w:val="20"/>
          <w:szCs w:val="20"/>
        </w:rPr>
        <w:t>Aillón</w:t>
      </w:r>
      <w:proofErr w:type="spellEnd"/>
      <w:r>
        <w:rPr>
          <w:rFonts w:ascii="Verdana" w:eastAsia="Verdana" w:hAnsi="Verdana" w:cs="Verdana"/>
          <w:color w:val="000000"/>
          <w:sz w:val="20"/>
          <w:szCs w:val="20"/>
        </w:rPr>
        <w:t xml:space="preserve">: </w:t>
      </w:r>
    </w:p>
    <w:p w14:paraId="3F8CCBAE" w14:textId="77777777" w:rsidR="00982A83" w:rsidRPr="00982A83" w:rsidRDefault="00982A83" w:rsidP="00F25704">
      <w:pPr>
        <w:pStyle w:val="Prrafodelista"/>
        <w:rPr>
          <w:rFonts w:ascii="Verdana" w:eastAsia="Verdana" w:hAnsi="Verdana" w:cs="Verdana"/>
          <w:color w:val="000000"/>
          <w:sz w:val="20"/>
          <w:szCs w:val="20"/>
        </w:rPr>
      </w:pPr>
    </w:p>
    <w:p w14:paraId="39ABAEB3" w14:textId="77777777" w:rsidR="00982A83" w:rsidRPr="00C16453" w:rsidRDefault="00982A83" w:rsidP="00BB158D">
      <w:pPr>
        <w:pStyle w:val="Prrafodelista"/>
        <w:tabs>
          <w:tab w:val="left" w:pos="8222"/>
        </w:tabs>
        <w:ind w:left="709" w:right="503"/>
        <w:jc w:val="both"/>
        <w:rPr>
          <w:rFonts w:ascii="Verdana" w:hAnsi="Verdana"/>
          <w:sz w:val="16"/>
          <w:szCs w:val="16"/>
          <w:lang w:val="es-ES"/>
        </w:rPr>
      </w:pPr>
      <w:r w:rsidRPr="00C16453">
        <w:rPr>
          <w:rFonts w:ascii="Verdana" w:hAnsi="Verdana"/>
          <w:sz w:val="16"/>
          <w:szCs w:val="16"/>
          <w:lang w:val="es-ES"/>
        </w:rPr>
        <w:t>[…]</w:t>
      </w:r>
    </w:p>
    <w:p w14:paraId="0A59E245" w14:textId="77777777" w:rsidR="00982A83" w:rsidRPr="00C16453" w:rsidRDefault="00982A83" w:rsidP="00BB158D">
      <w:pPr>
        <w:pStyle w:val="Prrafodelista"/>
        <w:tabs>
          <w:tab w:val="left" w:pos="8222"/>
        </w:tabs>
        <w:ind w:left="709" w:right="503"/>
        <w:jc w:val="both"/>
        <w:rPr>
          <w:rFonts w:ascii="Verdana" w:hAnsi="Verdana"/>
          <w:sz w:val="16"/>
          <w:szCs w:val="16"/>
          <w:lang w:val="es-ES"/>
        </w:rPr>
      </w:pPr>
    </w:p>
    <w:p w14:paraId="6F93B8A1" w14:textId="3D3574AC" w:rsidR="0034594D" w:rsidRPr="00982A83" w:rsidRDefault="00DE5E6E" w:rsidP="00BB158D">
      <w:pPr>
        <w:pStyle w:val="Prrafodelista"/>
        <w:pBdr>
          <w:top w:val="nil"/>
          <w:left w:val="nil"/>
          <w:bottom w:val="nil"/>
          <w:right w:val="nil"/>
          <w:between w:val="nil"/>
        </w:pBdr>
        <w:tabs>
          <w:tab w:val="left" w:pos="8222"/>
        </w:tabs>
        <w:ind w:left="709" w:right="571"/>
        <w:jc w:val="both"/>
        <w:rPr>
          <w:rFonts w:ascii="Verdana" w:eastAsia="Verdana" w:hAnsi="Verdana" w:cs="Verdana"/>
          <w:color w:val="000000"/>
          <w:sz w:val="20"/>
          <w:szCs w:val="20"/>
        </w:rPr>
      </w:pPr>
      <w:r w:rsidRPr="00982A83">
        <w:rPr>
          <w:rFonts w:ascii="Verdana" w:hAnsi="Verdana"/>
          <w:sz w:val="18"/>
          <w:szCs w:val="18"/>
        </w:rPr>
        <w:t xml:space="preserve">95. </w:t>
      </w:r>
      <w:r w:rsidR="00641DE8" w:rsidRPr="00982A83">
        <w:rPr>
          <w:rFonts w:ascii="Verdana" w:hAnsi="Verdana"/>
          <w:sz w:val="18"/>
          <w:szCs w:val="18"/>
        </w:rPr>
        <w:t xml:space="preserve">  </w:t>
      </w:r>
      <w:r w:rsidR="0034594D" w:rsidRPr="00982A83">
        <w:rPr>
          <w:rFonts w:ascii="Verdana" w:hAnsi="Verdana"/>
          <w:sz w:val="18"/>
          <w:szCs w:val="18"/>
        </w:rPr>
        <w:t>La Corte encuentra que, para el análisis que realizará respecto al derecho a la estabilidad</w:t>
      </w:r>
      <w:r w:rsidR="0034594D" w:rsidRPr="00982A83">
        <w:rPr>
          <w:rFonts w:ascii="Verdana" w:hAnsi="Verdana"/>
          <w:spacing w:val="-18"/>
          <w:sz w:val="18"/>
          <w:szCs w:val="18"/>
        </w:rPr>
        <w:t xml:space="preserve"> </w:t>
      </w:r>
      <w:r w:rsidR="0034594D" w:rsidRPr="00982A83">
        <w:rPr>
          <w:rFonts w:ascii="Verdana" w:hAnsi="Verdana"/>
          <w:sz w:val="18"/>
          <w:szCs w:val="18"/>
        </w:rPr>
        <w:t>laboral,</w:t>
      </w:r>
      <w:r w:rsidR="0034594D" w:rsidRPr="00982A83">
        <w:rPr>
          <w:rFonts w:ascii="Verdana" w:hAnsi="Verdana"/>
          <w:spacing w:val="-18"/>
          <w:sz w:val="18"/>
          <w:szCs w:val="18"/>
        </w:rPr>
        <w:t xml:space="preserve"> </w:t>
      </w:r>
      <w:r w:rsidR="0034594D" w:rsidRPr="00982A83">
        <w:rPr>
          <w:rFonts w:ascii="Verdana" w:hAnsi="Verdana"/>
          <w:sz w:val="18"/>
          <w:szCs w:val="18"/>
        </w:rPr>
        <w:t>resulta</w:t>
      </w:r>
      <w:r w:rsidR="0034594D" w:rsidRPr="00982A83">
        <w:rPr>
          <w:rFonts w:ascii="Verdana" w:hAnsi="Verdana"/>
          <w:spacing w:val="-17"/>
          <w:sz w:val="18"/>
          <w:szCs w:val="18"/>
        </w:rPr>
        <w:t xml:space="preserve"> </w:t>
      </w:r>
      <w:r w:rsidR="0034594D" w:rsidRPr="00982A83">
        <w:rPr>
          <w:rFonts w:ascii="Verdana" w:hAnsi="Verdana"/>
          <w:sz w:val="18"/>
          <w:szCs w:val="18"/>
        </w:rPr>
        <w:t>necesario</w:t>
      </w:r>
      <w:r w:rsidR="0034594D" w:rsidRPr="00982A83">
        <w:rPr>
          <w:rFonts w:ascii="Verdana" w:hAnsi="Verdana"/>
          <w:spacing w:val="-18"/>
          <w:sz w:val="18"/>
          <w:szCs w:val="18"/>
        </w:rPr>
        <w:t xml:space="preserve"> </w:t>
      </w:r>
      <w:r w:rsidR="0034594D" w:rsidRPr="00982A83">
        <w:rPr>
          <w:rFonts w:ascii="Verdana" w:hAnsi="Verdana"/>
          <w:sz w:val="18"/>
          <w:szCs w:val="18"/>
        </w:rPr>
        <w:t>considerar</w:t>
      </w:r>
      <w:r w:rsidR="0034594D" w:rsidRPr="00982A83">
        <w:rPr>
          <w:rFonts w:ascii="Verdana" w:hAnsi="Verdana"/>
          <w:spacing w:val="-17"/>
          <w:sz w:val="18"/>
          <w:szCs w:val="18"/>
        </w:rPr>
        <w:t xml:space="preserve"> </w:t>
      </w:r>
      <w:r w:rsidR="0034594D" w:rsidRPr="00982A83">
        <w:rPr>
          <w:rFonts w:ascii="Verdana" w:hAnsi="Verdana"/>
          <w:sz w:val="18"/>
          <w:szCs w:val="18"/>
        </w:rPr>
        <w:t>la</w:t>
      </w:r>
      <w:r w:rsidR="0034594D" w:rsidRPr="00982A83">
        <w:rPr>
          <w:rFonts w:ascii="Verdana" w:hAnsi="Verdana"/>
          <w:spacing w:val="-18"/>
          <w:sz w:val="18"/>
          <w:szCs w:val="18"/>
        </w:rPr>
        <w:t xml:space="preserve"> </w:t>
      </w:r>
      <w:r w:rsidR="0034594D" w:rsidRPr="00982A83">
        <w:rPr>
          <w:rFonts w:ascii="Verdana" w:hAnsi="Verdana"/>
          <w:sz w:val="18"/>
          <w:szCs w:val="18"/>
        </w:rPr>
        <w:t>simultaneidad</w:t>
      </w:r>
      <w:r w:rsidR="0034594D" w:rsidRPr="00982A83">
        <w:rPr>
          <w:rFonts w:ascii="Verdana" w:hAnsi="Verdana"/>
          <w:spacing w:val="-18"/>
          <w:sz w:val="18"/>
          <w:szCs w:val="18"/>
        </w:rPr>
        <w:t xml:space="preserve"> </w:t>
      </w:r>
      <w:r w:rsidR="0034594D" w:rsidRPr="00982A83">
        <w:rPr>
          <w:rFonts w:ascii="Verdana" w:hAnsi="Verdana"/>
          <w:sz w:val="18"/>
          <w:szCs w:val="18"/>
        </w:rPr>
        <w:t>con</w:t>
      </w:r>
      <w:r w:rsidR="0034594D" w:rsidRPr="00982A83">
        <w:rPr>
          <w:rFonts w:ascii="Verdana" w:hAnsi="Verdana"/>
          <w:spacing w:val="-17"/>
          <w:sz w:val="18"/>
          <w:szCs w:val="18"/>
        </w:rPr>
        <w:t xml:space="preserve"> </w:t>
      </w:r>
      <w:r w:rsidR="0034594D" w:rsidRPr="00982A83">
        <w:rPr>
          <w:rFonts w:ascii="Verdana" w:hAnsi="Verdana"/>
          <w:sz w:val="18"/>
          <w:szCs w:val="18"/>
        </w:rPr>
        <w:t>las</w:t>
      </w:r>
      <w:r w:rsidR="0034594D" w:rsidRPr="00982A83">
        <w:rPr>
          <w:rFonts w:ascii="Verdana" w:hAnsi="Verdana"/>
          <w:spacing w:val="-18"/>
          <w:sz w:val="18"/>
          <w:szCs w:val="18"/>
        </w:rPr>
        <w:t xml:space="preserve"> </w:t>
      </w:r>
      <w:r w:rsidR="0034594D" w:rsidRPr="00982A83">
        <w:rPr>
          <w:rFonts w:ascii="Verdana" w:hAnsi="Verdana"/>
          <w:sz w:val="18"/>
          <w:szCs w:val="18"/>
        </w:rPr>
        <w:t>violaciones</w:t>
      </w:r>
      <w:r w:rsidR="0034594D" w:rsidRPr="00982A83">
        <w:rPr>
          <w:rFonts w:ascii="Verdana" w:hAnsi="Verdana"/>
          <w:spacing w:val="-17"/>
          <w:sz w:val="18"/>
          <w:szCs w:val="18"/>
        </w:rPr>
        <w:t xml:space="preserve"> </w:t>
      </w:r>
      <w:r w:rsidR="0034594D" w:rsidRPr="00982A83">
        <w:rPr>
          <w:rFonts w:ascii="Verdana" w:hAnsi="Verdana"/>
          <w:sz w:val="18"/>
          <w:szCs w:val="18"/>
        </w:rPr>
        <w:t>a</w:t>
      </w:r>
      <w:r w:rsidR="0034594D" w:rsidRPr="00982A83">
        <w:rPr>
          <w:rFonts w:ascii="Verdana" w:hAnsi="Verdana"/>
          <w:spacing w:val="-18"/>
          <w:sz w:val="18"/>
          <w:szCs w:val="18"/>
        </w:rPr>
        <w:t xml:space="preserve"> </w:t>
      </w:r>
      <w:r w:rsidR="0034594D" w:rsidRPr="00982A83">
        <w:rPr>
          <w:rFonts w:ascii="Verdana" w:hAnsi="Verdana"/>
          <w:sz w:val="18"/>
          <w:szCs w:val="18"/>
        </w:rPr>
        <w:t xml:space="preserve">los </w:t>
      </w:r>
      <w:r w:rsidR="0034594D" w:rsidRPr="00982A83">
        <w:rPr>
          <w:rFonts w:ascii="Verdana" w:hAnsi="Verdana"/>
          <w:spacing w:val="-4"/>
          <w:sz w:val="18"/>
          <w:szCs w:val="18"/>
        </w:rPr>
        <w:t>otros</w:t>
      </w:r>
      <w:r w:rsidR="0034594D" w:rsidRPr="00982A83">
        <w:rPr>
          <w:rFonts w:ascii="Verdana" w:hAnsi="Verdana"/>
          <w:spacing w:val="-8"/>
          <w:sz w:val="18"/>
          <w:szCs w:val="18"/>
        </w:rPr>
        <w:t xml:space="preserve"> </w:t>
      </w:r>
      <w:r w:rsidR="0034594D" w:rsidRPr="00982A83">
        <w:rPr>
          <w:rFonts w:ascii="Verdana" w:hAnsi="Verdana"/>
          <w:spacing w:val="-4"/>
          <w:sz w:val="18"/>
          <w:szCs w:val="18"/>
        </w:rPr>
        <w:t>derechos</w:t>
      </w:r>
      <w:r w:rsidR="0034594D" w:rsidRPr="00982A83">
        <w:rPr>
          <w:rFonts w:ascii="Verdana" w:hAnsi="Verdana"/>
          <w:spacing w:val="-6"/>
          <w:sz w:val="18"/>
          <w:szCs w:val="18"/>
        </w:rPr>
        <w:t xml:space="preserve"> </w:t>
      </w:r>
      <w:r w:rsidR="0034594D" w:rsidRPr="00982A83">
        <w:rPr>
          <w:rFonts w:ascii="Verdana" w:hAnsi="Verdana"/>
          <w:spacing w:val="-4"/>
          <w:sz w:val="18"/>
          <w:szCs w:val="18"/>
        </w:rPr>
        <w:t>conforme</w:t>
      </w:r>
      <w:r w:rsidR="0034594D" w:rsidRPr="00982A83">
        <w:rPr>
          <w:rFonts w:ascii="Verdana" w:hAnsi="Verdana"/>
          <w:spacing w:val="-6"/>
          <w:sz w:val="18"/>
          <w:szCs w:val="18"/>
        </w:rPr>
        <w:t xml:space="preserve"> </w:t>
      </w:r>
      <w:r w:rsidR="0034594D" w:rsidRPr="00982A83">
        <w:rPr>
          <w:rFonts w:ascii="Verdana" w:hAnsi="Verdana"/>
          <w:spacing w:val="-4"/>
          <w:sz w:val="18"/>
          <w:szCs w:val="18"/>
        </w:rPr>
        <w:t>se</w:t>
      </w:r>
      <w:r w:rsidR="0034594D" w:rsidRPr="00982A83">
        <w:rPr>
          <w:rFonts w:ascii="Verdana" w:hAnsi="Verdana"/>
          <w:spacing w:val="-9"/>
          <w:sz w:val="18"/>
          <w:szCs w:val="18"/>
        </w:rPr>
        <w:t xml:space="preserve"> </w:t>
      </w:r>
      <w:r w:rsidR="0034594D" w:rsidRPr="00982A83">
        <w:rPr>
          <w:rFonts w:ascii="Verdana" w:hAnsi="Verdana"/>
          <w:spacing w:val="-4"/>
          <w:sz w:val="18"/>
          <w:szCs w:val="18"/>
        </w:rPr>
        <w:t>desarrolló</w:t>
      </w:r>
      <w:r w:rsidR="0034594D" w:rsidRPr="00982A83">
        <w:rPr>
          <w:rFonts w:ascii="Verdana" w:hAnsi="Verdana"/>
          <w:spacing w:val="-9"/>
          <w:sz w:val="18"/>
          <w:szCs w:val="18"/>
        </w:rPr>
        <w:t xml:space="preserve"> </w:t>
      </w:r>
      <w:r w:rsidR="0034594D" w:rsidRPr="00982A83">
        <w:rPr>
          <w:rFonts w:ascii="Verdana" w:hAnsi="Verdana"/>
          <w:spacing w:val="-4"/>
          <w:sz w:val="18"/>
          <w:szCs w:val="18"/>
        </w:rPr>
        <w:t>anteriormente</w:t>
      </w:r>
      <w:hyperlink w:anchor="_bookmark129" w:history="1">
        <w:r w:rsidR="0034594D" w:rsidRPr="00982A83">
          <w:rPr>
            <w:rFonts w:ascii="Verdana" w:hAnsi="Verdana"/>
            <w:spacing w:val="-4"/>
            <w:position w:val="7"/>
            <w:sz w:val="18"/>
            <w:szCs w:val="18"/>
            <w:vertAlign w:val="superscript"/>
          </w:rPr>
          <w:t>104</w:t>
        </w:r>
      </w:hyperlink>
      <w:r w:rsidR="0034594D" w:rsidRPr="00982A83">
        <w:rPr>
          <w:rFonts w:ascii="Verdana" w:hAnsi="Verdana"/>
          <w:spacing w:val="-4"/>
          <w:sz w:val="18"/>
          <w:szCs w:val="18"/>
        </w:rPr>
        <w:t>.</w:t>
      </w:r>
      <w:r w:rsidR="0034594D" w:rsidRPr="00982A83">
        <w:rPr>
          <w:rFonts w:ascii="Verdana" w:hAnsi="Verdana"/>
          <w:spacing w:val="-8"/>
          <w:sz w:val="18"/>
          <w:szCs w:val="18"/>
        </w:rPr>
        <w:t xml:space="preserve"> </w:t>
      </w:r>
      <w:r w:rsidR="0034594D" w:rsidRPr="00982A83">
        <w:rPr>
          <w:rFonts w:ascii="Verdana" w:hAnsi="Verdana"/>
          <w:spacing w:val="-4"/>
          <w:sz w:val="18"/>
          <w:szCs w:val="18"/>
        </w:rPr>
        <w:t>Al</w:t>
      </w:r>
      <w:r w:rsidR="0034594D" w:rsidRPr="00982A83">
        <w:rPr>
          <w:rFonts w:ascii="Verdana" w:hAnsi="Verdana"/>
          <w:spacing w:val="-7"/>
          <w:sz w:val="18"/>
          <w:szCs w:val="18"/>
        </w:rPr>
        <w:t xml:space="preserve"> </w:t>
      </w:r>
      <w:r w:rsidR="0034594D" w:rsidRPr="00982A83">
        <w:rPr>
          <w:rFonts w:ascii="Verdana" w:hAnsi="Verdana"/>
          <w:spacing w:val="-4"/>
          <w:sz w:val="18"/>
          <w:szCs w:val="18"/>
        </w:rPr>
        <w:t>respecto</w:t>
      </w:r>
      <w:r w:rsidR="0034594D" w:rsidRPr="00982A83">
        <w:rPr>
          <w:rFonts w:ascii="Verdana" w:hAnsi="Verdana"/>
          <w:spacing w:val="-9"/>
          <w:sz w:val="18"/>
          <w:szCs w:val="18"/>
        </w:rPr>
        <w:t xml:space="preserve"> </w:t>
      </w:r>
      <w:r w:rsidR="0034594D" w:rsidRPr="00982A83">
        <w:rPr>
          <w:rFonts w:ascii="Verdana" w:hAnsi="Verdana"/>
          <w:spacing w:val="-4"/>
          <w:sz w:val="18"/>
          <w:szCs w:val="18"/>
        </w:rPr>
        <w:t>la</w:t>
      </w:r>
      <w:r w:rsidR="0034594D" w:rsidRPr="00982A83">
        <w:rPr>
          <w:rFonts w:ascii="Verdana" w:hAnsi="Verdana"/>
          <w:spacing w:val="-7"/>
          <w:sz w:val="18"/>
          <w:szCs w:val="18"/>
        </w:rPr>
        <w:t xml:space="preserve"> </w:t>
      </w:r>
      <w:r w:rsidR="0034594D" w:rsidRPr="00982A83">
        <w:rPr>
          <w:rFonts w:ascii="Verdana" w:hAnsi="Verdana"/>
          <w:spacing w:val="-4"/>
          <w:sz w:val="18"/>
          <w:szCs w:val="18"/>
        </w:rPr>
        <w:t>Corte</w:t>
      </w:r>
      <w:r w:rsidR="0034594D" w:rsidRPr="00982A83">
        <w:rPr>
          <w:rFonts w:ascii="Verdana" w:hAnsi="Verdana"/>
          <w:spacing w:val="-6"/>
          <w:sz w:val="18"/>
          <w:szCs w:val="18"/>
        </w:rPr>
        <w:t xml:space="preserve"> </w:t>
      </w:r>
      <w:r w:rsidR="0034594D" w:rsidRPr="00982A83">
        <w:rPr>
          <w:rFonts w:ascii="Verdana" w:hAnsi="Verdana"/>
          <w:spacing w:val="-4"/>
          <w:sz w:val="18"/>
          <w:szCs w:val="18"/>
        </w:rPr>
        <w:t>ha</w:t>
      </w:r>
      <w:r w:rsidR="0034594D" w:rsidRPr="00982A83">
        <w:rPr>
          <w:rFonts w:ascii="Verdana" w:hAnsi="Verdana"/>
          <w:spacing w:val="-7"/>
          <w:sz w:val="18"/>
          <w:szCs w:val="18"/>
        </w:rPr>
        <w:t xml:space="preserve"> </w:t>
      </w:r>
      <w:r w:rsidR="0034594D" w:rsidRPr="00982A83">
        <w:rPr>
          <w:rFonts w:ascii="Verdana" w:hAnsi="Verdana"/>
          <w:spacing w:val="-4"/>
          <w:sz w:val="18"/>
          <w:szCs w:val="18"/>
        </w:rPr>
        <w:t xml:space="preserve">reconocido </w:t>
      </w:r>
      <w:r w:rsidR="0034594D" w:rsidRPr="00982A83">
        <w:rPr>
          <w:rFonts w:ascii="Verdana" w:hAnsi="Verdana"/>
          <w:sz w:val="18"/>
          <w:szCs w:val="18"/>
        </w:rPr>
        <w:t>que tanto los derechos civiles y políticos, como los económicos, sociales, culturales y ambientales</w:t>
      </w:r>
      <w:r w:rsidR="0034594D" w:rsidRPr="00982A83">
        <w:rPr>
          <w:rFonts w:ascii="Verdana" w:hAnsi="Verdana"/>
          <w:spacing w:val="-18"/>
          <w:sz w:val="18"/>
          <w:szCs w:val="18"/>
        </w:rPr>
        <w:t xml:space="preserve"> </w:t>
      </w:r>
      <w:r w:rsidR="0034594D" w:rsidRPr="00982A83">
        <w:rPr>
          <w:rFonts w:ascii="Verdana" w:hAnsi="Verdana"/>
          <w:sz w:val="18"/>
          <w:szCs w:val="18"/>
        </w:rPr>
        <w:t>(en</w:t>
      </w:r>
      <w:r w:rsidR="0034594D" w:rsidRPr="00982A83">
        <w:rPr>
          <w:rFonts w:ascii="Verdana" w:hAnsi="Verdana"/>
          <w:spacing w:val="-18"/>
          <w:sz w:val="18"/>
          <w:szCs w:val="18"/>
        </w:rPr>
        <w:t xml:space="preserve"> </w:t>
      </w:r>
      <w:r w:rsidR="0034594D" w:rsidRPr="00982A83">
        <w:rPr>
          <w:rFonts w:ascii="Verdana" w:hAnsi="Verdana"/>
          <w:sz w:val="18"/>
          <w:szCs w:val="18"/>
        </w:rPr>
        <w:t>adelante</w:t>
      </w:r>
      <w:r w:rsidR="0034594D" w:rsidRPr="00982A83">
        <w:rPr>
          <w:rFonts w:ascii="Verdana" w:hAnsi="Verdana"/>
          <w:spacing w:val="-17"/>
          <w:sz w:val="18"/>
          <w:szCs w:val="18"/>
        </w:rPr>
        <w:t xml:space="preserve"> </w:t>
      </w:r>
      <w:r w:rsidR="0034594D" w:rsidRPr="00982A83">
        <w:rPr>
          <w:rFonts w:ascii="Verdana" w:hAnsi="Verdana"/>
          <w:sz w:val="18"/>
          <w:szCs w:val="18"/>
        </w:rPr>
        <w:t>“los</w:t>
      </w:r>
      <w:r w:rsidR="0034594D" w:rsidRPr="00982A83">
        <w:rPr>
          <w:rFonts w:ascii="Verdana" w:hAnsi="Verdana"/>
          <w:spacing w:val="-18"/>
          <w:sz w:val="18"/>
          <w:szCs w:val="18"/>
        </w:rPr>
        <w:t xml:space="preserve"> </w:t>
      </w:r>
      <w:r w:rsidR="0034594D" w:rsidRPr="00982A83">
        <w:rPr>
          <w:rFonts w:ascii="Verdana" w:hAnsi="Verdana"/>
          <w:sz w:val="18"/>
          <w:szCs w:val="18"/>
        </w:rPr>
        <w:t>DESCA”),</w:t>
      </w:r>
      <w:r w:rsidR="0034594D" w:rsidRPr="00982A83">
        <w:rPr>
          <w:rFonts w:ascii="Verdana" w:hAnsi="Verdana"/>
          <w:spacing w:val="-17"/>
          <w:sz w:val="18"/>
          <w:szCs w:val="18"/>
        </w:rPr>
        <w:t xml:space="preserve"> </w:t>
      </w:r>
      <w:r w:rsidR="0034594D" w:rsidRPr="00982A83">
        <w:rPr>
          <w:rFonts w:ascii="Verdana" w:hAnsi="Verdana"/>
          <w:sz w:val="18"/>
          <w:szCs w:val="18"/>
        </w:rPr>
        <w:t>son</w:t>
      </w:r>
      <w:r w:rsidR="0034594D" w:rsidRPr="00982A83">
        <w:rPr>
          <w:rFonts w:ascii="Verdana" w:hAnsi="Verdana"/>
          <w:spacing w:val="-18"/>
          <w:sz w:val="18"/>
          <w:szCs w:val="18"/>
        </w:rPr>
        <w:t xml:space="preserve"> </w:t>
      </w:r>
      <w:r w:rsidR="0034594D" w:rsidRPr="00982A83">
        <w:rPr>
          <w:rFonts w:ascii="Verdana" w:hAnsi="Verdana"/>
          <w:sz w:val="18"/>
          <w:szCs w:val="18"/>
        </w:rPr>
        <w:t>inescindibles,</w:t>
      </w:r>
      <w:r w:rsidR="0034594D" w:rsidRPr="00982A83">
        <w:rPr>
          <w:rFonts w:ascii="Verdana" w:hAnsi="Verdana"/>
          <w:spacing w:val="-18"/>
          <w:sz w:val="18"/>
          <w:szCs w:val="18"/>
        </w:rPr>
        <w:t xml:space="preserve"> </w:t>
      </w:r>
      <w:r w:rsidR="0034594D" w:rsidRPr="00982A83">
        <w:rPr>
          <w:rFonts w:ascii="Verdana" w:hAnsi="Verdana"/>
          <w:sz w:val="18"/>
          <w:szCs w:val="18"/>
        </w:rPr>
        <w:t>por</w:t>
      </w:r>
      <w:r w:rsidR="0034594D" w:rsidRPr="00982A83">
        <w:rPr>
          <w:rFonts w:ascii="Verdana" w:hAnsi="Verdana"/>
          <w:spacing w:val="-17"/>
          <w:sz w:val="18"/>
          <w:szCs w:val="18"/>
        </w:rPr>
        <w:t xml:space="preserve"> </w:t>
      </w:r>
      <w:r w:rsidR="0034594D" w:rsidRPr="00982A83">
        <w:rPr>
          <w:rFonts w:ascii="Verdana" w:hAnsi="Verdana"/>
          <w:sz w:val="18"/>
          <w:szCs w:val="18"/>
        </w:rPr>
        <w:t>lo</w:t>
      </w:r>
      <w:r w:rsidR="0034594D" w:rsidRPr="00982A83">
        <w:rPr>
          <w:rFonts w:ascii="Verdana" w:hAnsi="Verdana"/>
          <w:spacing w:val="-18"/>
          <w:sz w:val="18"/>
          <w:szCs w:val="18"/>
        </w:rPr>
        <w:t xml:space="preserve"> </w:t>
      </w:r>
      <w:r w:rsidR="0034594D" w:rsidRPr="00982A83">
        <w:rPr>
          <w:rFonts w:ascii="Verdana" w:hAnsi="Verdana"/>
          <w:sz w:val="18"/>
          <w:szCs w:val="18"/>
        </w:rPr>
        <w:t>que</w:t>
      </w:r>
      <w:r w:rsidR="0034594D" w:rsidRPr="00982A83">
        <w:rPr>
          <w:rFonts w:ascii="Verdana" w:hAnsi="Verdana"/>
          <w:spacing w:val="-17"/>
          <w:sz w:val="18"/>
          <w:szCs w:val="18"/>
        </w:rPr>
        <w:t xml:space="preserve"> </w:t>
      </w:r>
      <w:r w:rsidR="0034594D" w:rsidRPr="00982A83">
        <w:rPr>
          <w:rFonts w:ascii="Verdana" w:hAnsi="Verdana"/>
          <w:sz w:val="18"/>
          <w:szCs w:val="18"/>
        </w:rPr>
        <w:t>su</w:t>
      </w:r>
      <w:r w:rsidR="0034594D" w:rsidRPr="00982A83">
        <w:rPr>
          <w:rFonts w:ascii="Verdana" w:hAnsi="Verdana"/>
          <w:spacing w:val="-18"/>
          <w:sz w:val="18"/>
          <w:szCs w:val="18"/>
        </w:rPr>
        <w:t xml:space="preserve"> </w:t>
      </w:r>
      <w:r w:rsidR="0034594D" w:rsidRPr="00982A83">
        <w:rPr>
          <w:rFonts w:ascii="Verdana" w:hAnsi="Verdana"/>
          <w:sz w:val="18"/>
          <w:szCs w:val="18"/>
        </w:rPr>
        <w:t>reconocimiento</w:t>
      </w:r>
      <w:r w:rsidR="0034594D" w:rsidRPr="00982A83">
        <w:rPr>
          <w:rFonts w:ascii="Verdana" w:hAnsi="Verdana"/>
          <w:spacing w:val="-17"/>
          <w:sz w:val="18"/>
          <w:szCs w:val="18"/>
        </w:rPr>
        <w:t xml:space="preserve"> </w:t>
      </w:r>
      <w:r w:rsidR="0034594D" w:rsidRPr="00982A83">
        <w:rPr>
          <w:rFonts w:ascii="Verdana" w:hAnsi="Verdana"/>
          <w:sz w:val="18"/>
          <w:szCs w:val="18"/>
        </w:rPr>
        <w:t>y goce indefectiblemente se guían por los principios universalidad, indivisibilidad, interdependencia</w:t>
      </w:r>
      <w:r w:rsidR="0034594D" w:rsidRPr="00982A83">
        <w:rPr>
          <w:rFonts w:ascii="Verdana" w:hAnsi="Verdana"/>
          <w:spacing w:val="-14"/>
          <w:sz w:val="18"/>
          <w:szCs w:val="18"/>
        </w:rPr>
        <w:t xml:space="preserve"> </w:t>
      </w:r>
      <w:r w:rsidR="0034594D" w:rsidRPr="00982A83">
        <w:rPr>
          <w:rFonts w:ascii="Verdana" w:hAnsi="Verdana"/>
          <w:sz w:val="18"/>
          <w:szCs w:val="18"/>
        </w:rPr>
        <w:t>e</w:t>
      </w:r>
      <w:r w:rsidR="0034594D" w:rsidRPr="00982A83">
        <w:rPr>
          <w:rFonts w:ascii="Verdana" w:hAnsi="Verdana"/>
          <w:spacing w:val="-15"/>
          <w:sz w:val="18"/>
          <w:szCs w:val="18"/>
        </w:rPr>
        <w:t xml:space="preserve"> </w:t>
      </w:r>
      <w:r w:rsidR="0034594D" w:rsidRPr="00982A83">
        <w:rPr>
          <w:rFonts w:ascii="Verdana" w:hAnsi="Verdana"/>
          <w:sz w:val="18"/>
          <w:szCs w:val="18"/>
        </w:rPr>
        <w:t>interrelación</w:t>
      </w:r>
      <w:hyperlink w:anchor="_bookmark130" w:history="1">
        <w:r w:rsidR="0034594D" w:rsidRPr="00982A83">
          <w:rPr>
            <w:rFonts w:ascii="Verdana" w:hAnsi="Verdana"/>
            <w:position w:val="7"/>
            <w:sz w:val="18"/>
            <w:szCs w:val="18"/>
            <w:vertAlign w:val="subscript"/>
          </w:rPr>
          <w:t>105</w:t>
        </w:r>
      </w:hyperlink>
      <w:r w:rsidR="0034594D" w:rsidRPr="00982A83">
        <w:rPr>
          <w:rFonts w:ascii="Verdana" w:hAnsi="Verdana"/>
          <w:sz w:val="18"/>
          <w:szCs w:val="18"/>
        </w:rPr>
        <w:t>.</w:t>
      </w:r>
      <w:r w:rsidR="0034594D" w:rsidRPr="00982A83">
        <w:rPr>
          <w:rFonts w:ascii="Verdana" w:hAnsi="Verdana"/>
          <w:spacing w:val="-15"/>
          <w:sz w:val="18"/>
          <w:szCs w:val="18"/>
        </w:rPr>
        <w:t xml:space="preserve"> </w:t>
      </w:r>
      <w:r w:rsidR="0034594D" w:rsidRPr="00982A83">
        <w:rPr>
          <w:rFonts w:ascii="Verdana" w:hAnsi="Verdana"/>
          <w:sz w:val="18"/>
          <w:szCs w:val="18"/>
        </w:rPr>
        <w:t>Lo</w:t>
      </w:r>
      <w:r w:rsidR="0034594D" w:rsidRPr="00982A83">
        <w:rPr>
          <w:rFonts w:ascii="Verdana" w:hAnsi="Verdana"/>
          <w:spacing w:val="-15"/>
          <w:sz w:val="18"/>
          <w:szCs w:val="18"/>
        </w:rPr>
        <w:t xml:space="preserve"> </w:t>
      </w:r>
      <w:r w:rsidR="0034594D" w:rsidRPr="00982A83">
        <w:rPr>
          <w:rFonts w:ascii="Verdana" w:hAnsi="Verdana"/>
          <w:sz w:val="18"/>
          <w:szCs w:val="18"/>
        </w:rPr>
        <w:t>anterior</w:t>
      </w:r>
      <w:r w:rsidR="0034594D" w:rsidRPr="00982A83">
        <w:rPr>
          <w:rFonts w:ascii="Verdana" w:hAnsi="Verdana"/>
          <w:spacing w:val="-15"/>
          <w:sz w:val="18"/>
          <w:szCs w:val="18"/>
        </w:rPr>
        <w:t xml:space="preserve"> </w:t>
      </w:r>
      <w:r w:rsidR="0034594D" w:rsidRPr="00982A83">
        <w:rPr>
          <w:rFonts w:ascii="Verdana" w:hAnsi="Verdana"/>
          <w:sz w:val="18"/>
          <w:szCs w:val="18"/>
        </w:rPr>
        <w:t>indica</w:t>
      </w:r>
      <w:r w:rsidR="0034594D" w:rsidRPr="00982A83">
        <w:rPr>
          <w:rFonts w:ascii="Verdana" w:hAnsi="Verdana"/>
          <w:spacing w:val="-14"/>
          <w:sz w:val="18"/>
          <w:szCs w:val="18"/>
        </w:rPr>
        <w:t xml:space="preserve"> </w:t>
      </w:r>
      <w:r w:rsidR="0034594D" w:rsidRPr="00982A83">
        <w:rPr>
          <w:rFonts w:ascii="Verdana" w:hAnsi="Verdana"/>
          <w:sz w:val="18"/>
          <w:szCs w:val="18"/>
        </w:rPr>
        <w:t>que</w:t>
      </w:r>
      <w:r w:rsidR="0034594D" w:rsidRPr="00982A83">
        <w:rPr>
          <w:rFonts w:ascii="Verdana" w:hAnsi="Verdana"/>
          <w:spacing w:val="-15"/>
          <w:sz w:val="18"/>
          <w:szCs w:val="18"/>
        </w:rPr>
        <w:t xml:space="preserve"> </w:t>
      </w:r>
      <w:r w:rsidR="0034594D" w:rsidRPr="00982A83">
        <w:rPr>
          <w:rFonts w:ascii="Verdana" w:hAnsi="Verdana"/>
          <w:sz w:val="18"/>
          <w:szCs w:val="18"/>
        </w:rPr>
        <w:t>ambas</w:t>
      </w:r>
      <w:r w:rsidR="0034594D" w:rsidRPr="00982A83">
        <w:rPr>
          <w:rFonts w:ascii="Verdana" w:hAnsi="Verdana"/>
          <w:spacing w:val="-13"/>
          <w:sz w:val="18"/>
          <w:szCs w:val="18"/>
        </w:rPr>
        <w:t xml:space="preserve"> </w:t>
      </w:r>
      <w:r w:rsidR="0034594D" w:rsidRPr="00982A83">
        <w:rPr>
          <w:rFonts w:ascii="Verdana" w:hAnsi="Verdana"/>
          <w:sz w:val="18"/>
          <w:szCs w:val="18"/>
        </w:rPr>
        <w:t>categorías</w:t>
      </w:r>
      <w:r w:rsidR="0034594D" w:rsidRPr="00982A83">
        <w:rPr>
          <w:rFonts w:ascii="Verdana" w:hAnsi="Verdana"/>
          <w:spacing w:val="-15"/>
          <w:sz w:val="18"/>
          <w:szCs w:val="18"/>
        </w:rPr>
        <w:t xml:space="preserve"> </w:t>
      </w:r>
      <w:r w:rsidR="0034594D" w:rsidRPr="00982A83">
        <w:rPr>
          <w:rFonts w:ascii="Verdana" w:hAnsi="Verdana"/>
          <w:sz w:val="18"/>
          <w:szCs w:val="18"/>
        </w:rPr>
        <w:t>de</w:t>
      </w:r>
      <w:r w:rsidR="0034594D" w:rsidRPr="00982A83">
        <w:rPr>
          <w:rFonts w:ascii="Verdana" w:hAnsi="Verdana"/>
          <w:spacing w:val="-15"/>
          <w:sz w:val="18"/>
          <w:szCs w:val="18"/>
        </w:rPr>
        <w:t xml:space="preserve"> </w:t>
      </w:r>
      <w:r w:rsidR="0034594D" w:rsidRPr="00982A83">
        <w:rPr>
          <w:rFonts w:ascii="Verdana" w:hAnsi="Verdana"/>
          <w:sz w:val="18"/>
          <w:szCs w:val="18"/>
        </w:rPr>
        <w:t>derechos deben</w:t>
      </w:r>
      <w:r w:rsidR="0034594D" w:rsidRPr="00982A83">
        <w:rPr>
          <w:rFonts w:ascii="Verdana" w:hAnsi="Verdana"/>
          <w:spacing w:val="-18"/>
          <w:sz w:val="18"/>
          <w:szCs w:val="18"/>
        </w:rPr>
        <w:t xml:space="preserve"> </w:t>
      </w:r>
      <w:r w:rsidR="0034594D" w:rsidRPr="00982A83">
        <w:rPr>
          <w:rFonts w:ascii="Verdana" w:hAnsi="Verdana"/>
          <w:sz w:val="18"/>
          <w:szCs w:val="18"/>
        </w:rPr>
        <w:t>ser</w:t>
      </w:r>
      <w:r w:rsidR="0034594D" w:rsidRPr="00982A83">
        <w:rPr>
          <w:rFonts w:ascii="Verdana" w:hAnsi="Verdana"/>
          <w:spacing w:val="-18"/>
          <w:sz w:val="18"/>
          <w:szCs w:val="18"/>
        </w:rPr>
        <w:t xml:space="preserve"> </w:t>
      </w:r>
      <w:r w:rsidR="0034594D" w:rsidRPr="00982A83">
        <w:rPr>
          <w:rFonts w:ascii="Verdana" w:hAnsi="Verdana"/>
          <w:sz w:val="18"/>
          <w:szCs w:val="18"/>
        </w:rPr>
        <w:t>entendidas</w:t>
      </w:r>
      <w:r w:rsidR="0034594D" w:rsidRPr="00982A83">
        <w:rPr>
          <w:rFonts w:ascii="Verdana" w:hAnsi="Verdana"/>
          <w:spacing w:val="-17"/>
          <w:sz w:val="18"/>
          <w:szCs w:val="18"/>
        </w:rPr>
        <w:t xml:space="preserve"> </w:t>
      </w:r>
      <w:r w:rsidR="0034594D" w:rsidRPr="00982A83">
        <w:rPr>
          <w:rFonts w:ascii="Verdana" w:hAnsi="Verdana"/>
          <w:sz w:val="18"/>
          <w:szCs w:val="18"/>
        </w:rPr>
        <w:t>integralmente</w:t>
      </w:r>
      <w:r w:rsidR="0034594D" w:rsidRPr="00982A83">
        <w:rPr>
          <w:rFonts w:ascii="Verdana" w:hAnsi="Verdana"/>
          <w:spacing w:val="-18"/>
          <w:sz w:val="18"/>
          <w:szCs w:val="18"/>
        </w:rPr>
        <w:t xml:space="preserve"> </w:t>
      </w:r>
      <w:r w:rsidR="0034594D" w:rsidRPr="00982A83">
        <w:rPr>
          <w:rFonts w:ascii="Verdana" w:hAnsi="Verdana"/>
          <w:sz w:val="18"/>
          <w:szCs w:val="18"/>
        </w:rPr>
        <w:t>y</w:t>
      </w:r>
      <w:r w:rsidR="0034594D" w:rsidRPr="00982A83">
        <w:rPr>
          <w:rFonts w:ascii="Verdana" w:hAnsi="Verdana"/>
          <w:spacing w:val="-17"/>
          <w:sz w:val="18"/>
          <w:szCs w:val="18"/>
        </w:rPr>
        <w:t xml:space="preserve"> </w:t>
      </w:r>
      <w:r w:rsidR="0034594D" w:rsidRPr="00982A83">
        <w:rPr>
          <w:rFonts w:ascii="Verdana" w:hAnsi="Verdana"/>
          <w:sz w:val="18"/>
          <w:szCs w:val="18"/>
        </w:rPr>
        <w:t>de</w:t>
      </w:r>
      <w:r w:rsidR="0034594D" w:rsidRPr="00982A83">
        <w:rPr>
          <w:rFonts w:ascii="Verdana" w:hAnsi="Verdana"/>
          <w:spacing w:val="-18"/>
          <w:sz w:val="18"/>
          <w:szCs w:val="18"/>
        </w:rPr>
        <w:t xml:space="preserve"> </w:t>
      </w:r>
      <w:r w:rsidR="0034594D" w:rsidRPr="00982A83">
        <w:rPr>
          <w:rFonts w:ascii="Verdana" w:hAnsi="Verdana"/>
          <w:sz w:val="18"/>
          <w:szCs w:val="18"/>
        </w:rPr>
        <w:t>forma</w:t>
      </w:r>
      <w:r w:rsidR="0034594D" w:rsidRPr="00982A83">
        <w:rPr>
          <w:rFonts w:ascii="Verdana" w:hAnsi="Verdana"/>
          <w:spacing w:val="-18"/>
          <w:sz w:val="18"/>
          <w:szCs w:val="18"/>
        </w:rPr>
        <w:t xml:space="preserve"> </w:t>
      </w:r>
      <w:r w:rsidR="0034594D" w:rsidRPr="00982A83">
        <w:rPr>
          <w:rFonts w:ascii="Verdana" w:hAnsi="Verdana"/>
          <w:sz w:val="18"/>
          <w:szCs w:val="18"/>
        </w:rPr>
        <w:t>conglobada</w:t>
      </w:r>
      <w:r w:rsidR="0034594D" w:rsidRPr="00982A83">
        <w:rPr>
          <w:rFonts w:ascii="Verdana" w:hAnsi="Verdana"/>
          <w:spacing w:val="-17"/>
          <w:sz w:val="18"/>
          <w:szCs w:val="18"/>
        </w:rPr>
        <w:t xml:space="preserve"> </w:t>
      </w:r>
      <w:r w:rsidR="0034594D" w:rsidRPr="00982A83">
        <w:rPr>
          <w:rFonts w:ascii="Verdana" w:hAnsi="Verdana"/>
          <w:sz w:val="18"/>
          <w:szCs w:val="18"/>
        </w:rPr>
        <w:t>como</w:t>
      </w:r>
      <w:r w:rsidR="0034594D" w:rsidRPr="00982A83">
        <w:rPr>
          <w:rFonts w:ascii="Verdana" w:hAnsi="Verdana"/>
          <w:spacing w:val="-18"/>
          <w:sz w:val="18"/>
          <w:szCs w:val="18"/>
        </w:rPr>
        <w:t xml:space="preserve"> </w:t>
      </w:r>
      <w:r w:rsidR="0034594D" w:rsidRPr="00982A83">
        <w:rPr>
          <w:rFonts w:ascii="Verdana" w:hAnsi="Verdana"/>
          <w:sz w:val="18"/>
          <w:szCs w:val="18"/>
        </w:rPr>
        <w:t>derechos</w:t>
      </w:r>
      <w:r w:rsidR="0034594D" w:rsidRPr="00982A83">
        <w:rPr>
          <w:rFonts w:ascii="Verdana" w:hAnsi="Verdana"/>
          <w:spacing w:val="-17"/>
          <w:sz w:val="18"/>
          <w:szCs w:val="18"/>
        </w:rPr>
        <w:t xml:space="preserve"> </w:t>
      </w:r>
      <w:r w:rsidR="0034594D" w:rsidRPr="00982A83">
        <w:rPr>
          <w:rFonts w:ascii="Verdana" w:hAnsi="Verdana"/>
          <w:sz w:val="18"/>
          <w:szCs w:val="18"/>
        </w:rPr>
        <w:t>humanos,</w:t>
      </w:r>
      <w:r w:rsidR="0034594D" w:rsidRPr="00982A83">
        <w:rPr>
          <w:rFonts w:ascii="Verdana" w:hAnsi="Verdana"/>
          <w:spacing w:val="-18"/>
          <w:sz w:val="18"/>
          <w:szCs w:val="18"/>
        </w:rPr>
        <w:t xml:space="preserve"> </w:t>
      </w:r>
      <w:r w:rsidR="0034594D" w:rsidRPr="00982A83">
        <w:rPr>
          <w:rFonts w:ascii="Verdana" w:hAnsi="Verdana"/>
          <w:sz w:val="18"/>
          <w:szCs w:val="18"/>
        </w:rPr>
        <w:t>sin jerarquías entre sí y como exigibles en todos los casos ante aquellas autoridades que resulten competentes</w:t>
      </w:r>
      <w:hyperlink w:anchor="_bookmark131" w:history="1">
        <w:r w:rsidR="0034594D" w:rsidRPr="00982A83">
          <w:rPr>
            <w:rFonts w:ascii="Verdana" w:hAnsi="Verdana"/>
            <w:position w:val="7"/>
            <w:sz w:val="18"/>
            <w:szCs w:val="18"/>
            <w:vertAlign w:val="subscript"/>
          </w:rPr>
          <w:t>106</w:t>
        </w:r>
      </w:hyperlink>
      <w:r w:rsidR="0034594D" w:rsidRPr="00982A83">
        <w:rPr>
          <w:rFonts w:ascii="Verdana" w:hAnsi="Verdana"/>
          <w:sz w:val="18"/>
          <w:szCs w:val="18"/>
        </w:rPr>
        <w:t>.</w:t>
      </w:r>
    </w:p>
    <w:p w14:paraId="111EECEE" w14:textId="77777777" w:rsidR="0034594D" w:rsidRPr="00DE5E6E" w:rsidRDefault="0034594D" w:rsidP="00BB158D">
      <w:pPr>
        <w:pStyle w:val="Textoindependiente"/>
        <w:tabs>
          <w:tab w:val="left" w:pos="8222"/>
        </w:tabs>
        <w:spacing w:before="11"/>
        <w:ind w:left="709" w:right="571"/>
        <w:rPr>
          <w:sz w:val="18"/>
          <w:szCs w:val="18"/>
        </w:rPr>
      </w:pPr>
    </w:p>
    <w:p w14:paraId="73C101BD" w14:textId="6D0B362A" w:rsidR="00F72A24" w:rsidRDefault="00DE5E6E" w:rsidP="00BB158D">
      <w:pPr>
        <w:pStyle w:val="Prrafodelista"/>
        <w:widowControl w:val="0"/>
        <w:tabs>
          <w:tab w:val="left" w:pos="8222"/>
        </w:tabs>
        <w:autoSpaceDE w:val="0"/>
        <w:autoSpaceDN w:val="0"/>
        <w:snapToGrid w:val="0"/>
        <w:ind w:left="709" w:right="573"/>
        <w:contextualSpacing w:val="0"/>
        <w:jc w:val="both"/>
        <w:rPr>
          <w:rFonts w:ascii="Verdana" w:hAnsi="Verdana"/>
          <w:sz w:val="18"/>
          <w:szCs w:val="18"/>
        </w:rPr>
      </w:pPr>
      <w:r w:rsidRPr="00DE5E6E">
        <w:rPr>
          <w:rFonts w:ascii="Verdana" w:hAnsi="Verdana"/>
          <w:sz w:val="18"/>
          <w:szCs w:val="18"/>
        </w:rPr>
        <w:t xml:space="preserve">96. </w:t>
      </w:r>
      <w:r w:rsidR="00641DE8">
        <w:rPr>
          <w:rFonts w:ascii="Verdana" w:hAnsi="Verdana"/>
          <w:sz w:val="18"/>
          <w:szCs w:val="18"/>
        </w:rPr>
        <w:t xml:space="preserve">  </w:t>
      </w:r>
      <w:r w:rsidR="0034594D" w:rsidRPr="00DE5E6E">
        <w:rPr>
          <w:rFonts w:ascii="Verdana" w:hAnsi="Verdana"/>
          <w:sz w:val="18"/>
          <w:szCs w:val="18"/>
        </w:rPr>
        <w:t>Debe</w:t>
      </w:r>
      <w:r w:rsidR="0034594D" w:rsidRPr="00DE5E6E">
        <w:rPr>
          <w:rFonts w:ascii="Verdana" w:hAnsi="Verdana"/>
          <w:spacing w:val="-1"/>
          <w:sz w:val="18"/>
          <w:szCs w:val="18"/>
        </w:rPr>
        <w:t xml:space="preserve"> </w:t>
      </w:r>
      <w:r w:rsidR="0034594D" w:rsidRPr="00DE5E6E">
        <w:rPr>
          <w:rFonts w:ascii="Verdana" w:hAnsi="Verdana"/>
          <w:sz w:val="18"/>
          <w:szCs w:val="18"/>
        </w:rPr>
        <w:t>considerarse,</w:t>
      </w:r>
      <w:r w:rsidR="0034594D" w:rsidRPr="00DE5E6E">
        <w:rPr>
          <w:rFonts w:ascii="Verdana" w:hAnsi="Verdana"/>
          <w:spacing w:val="-1"/>
          <w:sz w:val="18"/>
          <w:szCs w:val="18"/>
        </w:rPr>
        <w:t xml:space="preserve"> </w:t>
      </w:r>
      <w:r w:rsidR="0034594D" w:rsidRPr="00DE5E6E">
        <w:rPr>
          <w:rFonts w:ascii="Verdana" w:hAnsi="Verdana"/>
          <w:sz w:val="18"/>
          <w:szCs w:val="18"/>
        </w:rPr>
        <w:t>además,</w:t>
      </w:r>
      <w:r w:rsidR="0034594D" w:rsidRPr="00DE5E6E">
        <w:rPr>
          <w:rFonts w:ascii="Verdana" w:hAnsi="Verdana"/>
          <w:spacing w:val="-1"/>
          <w:sz w:val="18"/>
          <w:szCs w:val="18"/>
        </w:rPr>
        <w:t xml:space="preserve"> </w:t>
      </w:r>
      <w:r w:rsidR="0034594D" w:rsidRPr="00DE5E6E">
        <w:rPr>
          <w:rFonts w:ascii="Verdana" w:hAnsi="Verdana"/>
          <w:sz w:val="18"/>
          <w:szCs w:val="18"/>
        </w:rPr>
        <w:t>que</w:t>
      </w:r>
      <w:r w:rsidR="0034594D" w:rsidRPr="00DE5E6E">
        <w:rPr>
          <w:rFonts w:ascii="Verdana" w:hAnsi="Verdana"/>
          <w:spacing w:val="-1"/>
          <w:sz w:val="18"/>
          <w:szCs w:val="18"/>
        </w:rPr>
        <w:t xml:space="preserve"> </w:t>
      </w:r>
      <w:r w:rsidR="0034594D" w:rsidRPr="00DE5E6E">
        <w:rPr>
          <w:rFonts w:ascii="Verdana" w:hAnsi="Verdana"/>
          <w:sz w:val="18"/>
          <w:szCs w:val="18"/>
        </w:rPr>
        <w:t>los</w:t>
      </w:r>
      <w:r w:rsidR="0034594D" w:rsidRPr="00DE5E6E">
        <w:rPr>
          <w:rFonts w:ascii="Verdana" w:hAnsi="Verdana"/>
          <w:spacing w:val="-1"/>
          <w:sz w:val="18"/>
          <w:szCs w:val="18"/>
        </w:rPr>
        <w:t xml:space="preserve"> </w:t>
      </w:r>
      <w:r w:rsidR="0034594D" w:rsidRPr="00DE5E6E">
        <w:rPr>
          <w:rFonts w:ascii="Verdana" w:hAnsi="Verdana"/>
          <w:sz w:val="18"/>
          <w:szCs w:val="18"/>
        </w:rPr>
        <w:t>derechos</w:t>
      </w:r>
      <w:r w:rsidR="0034594D" w:rsidRPr="00DE5E6E">
        <w:rPr>
          <w:rFonts w:ascii="Verdana" w:hAnsi="Verdana"/>
          <w:spacing w:val="-1"/>
          <w:sz w:val="18"/>
          <w:szCs w:val="18"/>
        </w:rPr>
        <w:t xml:space="preserve"> </w:t>
      </w:r>
      <w:r w:rsidR="0034594D" w:rsidRPr="00DE5E6E">
        <w:rPr>
          <w:rFonts w:ascii="Verdana" w:hAnsi="Verdana"/>
          <w:sz w:val="18"/>
          <w:szCs w:val="18"/>
        </w:rPr>
        <w:t>humanos</w:t>
      </w:r>
      <w:r w:rsidR="0034594D" w:rsidRPr="00DE5E6E">
        <w:rPr>
          <w:rFonts w:ascii="Verdana" w:hAnsi="Verdana"/>
          <w:spacing w:val="-1"/>
          <w:sz w:val="18"/>
          <w:szCs w:val="18"/>
        </w:rPr>
        <w:t xml:space="preserve"> </w:t>
      </w:r>
      <w:r w:rsidR="0034594D" w:rsidRPr="00DE5E6E">
        <w:rPr>
          <w:rFonts w:ascii="Verdana" w:hAnsi="Verdana"/>
          <w:sz w:val="18"/>
          <w:szCs w:val="18"/>
        </w:rPr>
        <w:t xml:space="preserve">son interdependientes e </w:t>
      </w:r>
      <w:r w:rsidR="0034594D" w:rsidRPr="00DE5E6E">
        <w:rPr>
          <w:rFonts w:ascii="Verdana" w:hAnsi="Verdana"/>
          <w:spacing w:val="-2"/>
          <w:sz w:val="18"/>
          <w:szCs w:val="18"/>
        </w:rPr>
        <w:t>indivisibles</w:t>
      </w:r>
      <w:r w:rsidR="0034594D" w:rsidRPr="00DE5E6E">
        <w:rPr>
          <w:rFonts w:ascii="Verdana" w:hAnsi="Verdana"/>
          <w:spacing w:val="-16"/>
          <w:sz w:val="18"/>
          <w:szCs w:val="18"/>
        </w:rPr>
        <w:t xml:space="preserve"> </w:t>
      </w:r>
      <w:r w:rsidR="0034594D" w:rsidRPr="00DE5E6E">
        <w:rPr>
          <w:rFonts w:ascii="Verdana" w:hAnsi="Verdana"/>
          <w:spacing w:val="-2"/>
          <w:sz w:val="18"/>
          <w:szCs w:val="18"/>
        </w:rPr>
        <w:t>por</w:t>
      </w:r>
      <w:r w:rsidR="0034594D" w:rsidRPr="00DE5E6E">
        <w:rPr>
          <w:rFonts w:ascii="Verdana" w:hAnsi="Verdana"/>
          <w:spacing w:val="-16"/>
          <w:sz w:val="18"/>
          <w:szCs w:val="18"/>
        </w:rPr>
        <w:t xml:space="preserve"> </w:t>
      </w:r>
      <w:r w:rsidR="0034594D" w:rsidRPr="00DE5E6E">
        <w:rPr>
          <w:rFonts w:ascii="Verdana" w:hAnsi="Verdana"/>
          <w:spacing w:val="-2"/>
          <w:sz w:val="18"/>
          <w:szCs w:val="18"/>
        </w:rPr>
        <w:t>lo</w:t>
      </w:r>
      <w:r w:rsidR="0034594D" w:rsidRPr="00DE5E6E">
        <w:rPr>
          <w:rFonts w:ascii="Verdana" w:hAnsi="Verdana"/>
          <w:spacing w:val="-15"/>
          <w:sz w:val="18"/>
          <w:szCs w:val="18"/>
        </w:rPr>
        <w:t xml:space="preserve"> </w:t>
      </w:r>
      <w:r w:rsidR="0034594D" w:rsidRPr="00DE5E6E">
        <w:rPr>
          <w:rFonts w:ascii="Verdana" w:hAnsi="Verdana"/>
          <w:spacing w:val="-2"/>
          <w:sz w:val="18"/>
          <w:szCs w:val="18"/>
        </w:rPr>
        <w:t>que</w:t>
      </w:r>
      <w:r w:rsidR="0034594D" w:rsidRPr="00DE5E6E">
        <w:rPr>
          <w:rFonts w:ascii="Verdana" w:hAnsi="Verdana"/>
          <w:spacing w:val="-16"/>
          <w:sz w:val="18"/>
          <w:szCs w:val="18"/>
        </w:rPr>
        <w:t xml:space="preserve"> </w:t>
      </w:r>
      <w:r w:rsidR="0034594D" w:rsidRPr="00DE5E6E">
        <w:rPr>
          <w:rFonts w:ascii="Verdana" w:hAnsi="Verdana"/>
          <w:spacing w:val="-2"/>
          <w:sz w:val="18"/>
          <w:szCs w:val="18"/>
        </w:rPr>
        <w:t>no</w:t>
      </w:r>
      <w:r w:rsidR="0034594D" w:rsidRPr="00DE5E6E">
        <w:rPr>
          <w:rFonts w:ascii="Verdana" w:hAnsi="Verdana"/>
          <w:spacing w:val="-15"/>
          <w:sz w:val="18"/>
          <w:szCs w:val="18"/>
        </w:rPr>
        <w:t xml:space="preserve"> </w:t>
      </w:r>
      <w:r w:rsidR="0034594D" w:rsidRPr="00DE5E6E">
        <w:rPr>
          <w:rFonts w:ascii="Verdana" w:hAnsi="Verdana"/>
          <w:spacing w:val="-2"/>
          <w:sz w:val="18"/>
          <w:szCs w:val="18"/>
        </w:rPr>
        <w:t>es</w:t>
      </w:r>
      <w:r w:rsidR="0034594D" w:rsidRPr="00DE5E6E">
        <w:rPr>
          <w:rFonts w:ascii="Verdana" w:hAnsi="Verdana"/>
          <w:spacing w:val="-16"/>
          <w:sz w:val="18"/>
          <w:szCs w:val="18"/>
        </w:rPr>
        <w:t xml:space="preserve"> </w:t>
      </w:r>
      <w:r w:rsidR="0034594D" w:rsidRPr="00DE5E6E">
        <w:rPr>
          <w:rFonts w:ascii="Verdana" w:hAnsi="Verdana"/>
          <w:spacing w:val="-2"/>
          <w:sz w:val="18"/>
          <w:szCs w:val="18"/>
        </w:rPr>
        <w:t>admisible</w:t>
      </w:r>
      <w:r w:rsidR="0034594D" w:rsidRPr="00DE5E6E">
        <w:rPr>
          <w:rFonts w:ascii="Verdana" w:hAnsi="Verdana"/>
          <w:spacing w:val="-16"/>
          <w:sz w:val="18"/>
          <w:szCs w:val="18"/>
        </w:rPr>
        <w:t xml:space="preserve"> </w:t>
      </w:r>
      <w:r w:rsidR="0034594D" w:rsidRPr="00DE5E6E">
        <w:rPr>
          <w:rFonts w:ascii="Verdana" w:hAnsi="Verdana"/>
          <w:spacing w:val="-2"/>
          <w:sz w:val="18"/>
          <w:szCs w:val="18"/>
        </w:rPr>
        <w:t>la</w:t>
      </w:r>
      <w:r w:rsidR="0034594D" w:rsidRPr="00DE5E6E">
        <w:rPr>
          <w:rFonts w:ascii="Verdana" w:hAnsi="Verdana"/>
          <w:spacing w:val="-15"/>
          <w:sz w:val="18"/>
          <w:szCs w:val="18"/>
        </w:rPr>
        <w:t xml:space="preserve"> </w:t>
      </w:r>
      <w:r w:rsidR="0034594D" w:rsidRPr="00DE5E6E">
        <w:rPr>
          <w:rFonts w:ascii="Verdana" w:hAnsi="Verdana"/>
          <w:spacing w:val="-2"/>
          <w:sz w:val="18"/>
          <w:szCs w:val="18"/>
        </w:rPr>
        <w:t>hipótesis</w:t>
      </w:r>
      <w:r w:rsidR="0034594D" w:rsidRPr="00DE5E6E">
        <w:rPr>
          <w:rFonts w:ascii="Verdana" w:hAnsi="Verdana"/>
          <w:spacing w:val="-15"/>
          <w:sz w:val="18"/>
          <w:szCs w:val="18"/>
        </w:rPr>
        <w:t xml:space="preserve"> </w:t>
      </w:r>
      <w:r w:rsidR="0034594D" w:rsidRPr="00DE5E6E">
        <w:rPr>
          <w:rFonts w:ascii="Verdana" w:hAnsi="Verdana"/>
          <w:spacing w:val="-2"/>
          <w:sz w:val="18"/>
          <w:szCs w:val="18"/>
        </w:rPr>
        <w:t>de</w:t>
      </w:r>
      <w:r w:rsidR="0034594D" w:rsidRPr="00DE5E6E">
        <w:rPr>
          <w:rFonts w:ascii="Verdana" w:hAnsi="Verdana"/>
          <w:spacing w:val="-15"/>
          <w:sz w:val="18"/>
          <w:szCs w:val="18"/>
        </w:rPr>
        <w:t xml:space="preserve"> </w:t>
      </w:r>
      <w:r w:rsidR="0034594D" w:rsidRPr="00DE5E6E">
        <w:rPr>
          <w:rFonts w:ascii="Verdana" w:hAnsi="Verdana"/>
          <w:spacing w:val="-2"/>
          <w:sz w:val="18"/>
          <w:szCs w:val="18"/>
        </w:rPr>
        <w:t>que</w:t>
      </w:r>
      <w:r w:rsidR="0034594D" w:rsidRPr="00DE5E6E">
        <w:rPr>
          <w:rFonts w:ascii="Verdana" w:hAnsi="Verdana"/>
          <w:spacing w:val="-16"/>
          <w:sz w:val="18"/>
          <w:szCs w:val="18"/>
        </w:rPr>
        <w:t xml:space="preserve"> </w:t>
      </w:r>
      <w:r w:rsidR="0034594D" w:rsidRPr="00DE5E6E">
        <w:rPr>
          <w:rFonts w:ascii="Verdana" w:hAnsi="Verdana"/>
          <w:spacing w:val="-2"/>
          <w:sz w:val="18"/>
          <w:szCs w:val="18"/>
        </w:rPr>
        <w:t>los</w:t>
      </w:r>
      <w:r w:rsidR="0034594D" w:rsidRPr="00DE5E6E">
        <w:rPr>
          <w:rFonts w:ascii="Verdana" w:hAnsi="Verdana"/>
          <w:spacing w:val="-14"/>
          <w:sz w:val="18"/>
          <w:szCs w:val="18"/>
        </w:rPr>
        <w:t xml:space="preserve"> </w:t>
      </w:r>
      <w:r w:rsidR="0034594D" w:rsidRPr="00DE5E6E">
        <w:rPr>
          <w:rFonts w:ascii="Verdana" w:hAnsi="Verdana"/>
          <w:spacing w:val="-2"/>
          <w:sz w:val="18"/>
          <w:szCs w:val="18"/>
        </w:rPr>
        <w:t>DESCA</w:t>
      </w:r>
      <w:r w:rsidR="0034594D" w:rsidRPr="00DE5E6E">
        <w:rPr>
          <w:rFonts w:ascii="Verdana" w:hAnsi="Verdana"/>
          <w:spacing w:val="-16"/>
          <w:sz w:val="18"/>
          <w:szCs w:val="18"/>
        </w:rPr>
        <w:t xml:space="preserve"> </w:t>
      </w:r>
      <w:r w:rsidR="0034594D" w:rsidRPr="00DE5E6E">
        <w:rPr>
          <w:rFonts w:ascii="Verdana" w:hAnsi="Verdana"/>
          <w:spacing w:val="-2"/>
          <w:sz w:val="18"/>
          <w:szCs w:val="18"/>
        </w:rPr>
        <w:t>queden</w:t>
      </w:r>
      <w:r w:rsidR="0034594D" w:rsidRPr="00DE5E6E">
        <w:rPr>
          <w:rFonts w:ascii="Verdana" w:hAnsi="Verdana"/>
          <w:spacing w:val="-13"/>
          <w:sz w:val="18"/>
          <w:szCs w:val="18"/>
        </w:rPr>
        <w:t xml:space="preserve"> </w:t>
      </w:r>
      <w:r w:rsidR="0034594D" w:rsidRPr="00DE5E6E">
        <w:rPr>
          <w:rFonts w:ascii="Verdana" w:hAnsi="Verdana"/>
          <w:spacing w:val="-2"/>
          <w:sz w:val="18"/>
          <w:szCs w:val="18"/>
        </w:rPr>
        <w:t>abstraídos</w:t>
      </w:r>
      <w:r w:rsidR="0034594D" w:rsidRPr="00DE5E6E">
        <w:rPr>
          <w:rFonts w:ascii="Verdana" w:hAnsi="Verdana"/>
          <w:spacing w:val="-15"/>
          <w:sz w:val="18"/>
          <w:szCs w:val="18"/>
        </w:rPr>
        <w:t xml:space="preserve"> </w:t>
      </w:r>
      <w:r w:rsidR="0034594D" w:rsidRPr="00DE5E6E">
        <w:rPr>
          <w:rFonts w:ascii="Verdana" w:hAnsi="Verdana"/>
          <w:spacing w:val="-2"/>
          <w:sz w:val="18"/>
          <w:szCs w:val="18"/>
        </w:rPr>
        <w:t xml:space="preserve">del </w:t>
      </w:r>
      <w:r w:rsidR="0034594D" w:rsidRPr="00DE5E6E">
        <w:rPr>
          <w:rFonts w:ascii="Verdana" w:hAnsi="Verdana"/>
          <w:sz w:val="18"/>
          <w:szCs w:val="18"/>
        </w:rPr>
        <w:t>control</w:t>
      </w:r>
      <w:r w:rsidR="0034594D" w:rsidRPr="00DE5E6E">
        <w:rPr>
          <w:rFonts w:ascii="Verdana" w:hAnsi="Verdana"/>
          <w:spacing w:val="-1"/>
          <w:sz w:val="18"/>
          <w:szCs w:val="18"/>
        </w:rPr>
        <w:t xml:space="preserve"> </w:t>
      </w:r>
      <w:r w:rsidR="0034594D" w:rsidRPr="00DE5E6E">
        <w:rPr>
          <w:rFonts w:ascii="Verdana" w:hAnsi="Verdana"/>
          <w:sz w:val="18"/>
          <w:szCs w:val="18"/>
        </w:rPr>
        <w:t>jurisdiccional</w:t>
      </w:r>
      <w:r w:rsidR="0034594D" w:rsidRPr="00DE5E6E">
        <w:rPr>
          <w:rFonts w:ascii="Verdana" w:hAnsi="Verdana"/>
          <w:spacing w:val="-1"/>
          <w:sz w:val="18"/>
          <w:szCs w:val="18"/>
        </w:rPr>
        <w:t xml:space="preserve"> </w:t>
      </w:r>
      <w:r w:rsidR="0034594D" w:rsidRPr="00DE5E6E">
        <w:rPr>
          <w:rFonts w:ascii="Verdana" w:hAnsi="Verdana"/>
          <w:sz w:val="18"/>
          <w:szCs w:val="18"/>
        </w:rPr>
        <w:t>de este</w:t>
      </w:r>
      <w:r w:rsidR="0034594D" w:rsidRPr="00DE5E6E">
        <w:rPr>
          <w:rFonts w:ascii="Verdana" w:hAnsi="Verdana"/>
          <w:spacing w:val="-2"/>
          <w:sz w:val="18"/>
          <w:szCs w:val="18"/>
        </w:rPr>
        <w:t xml:space="preserve"> </w:t>
      </w:r>
      <w:r w:rsidR="0034594D" w:rsidRPr="00DE5E6E">
        <w:rPr>
          <w:rFonts w:ascii="Verdana" w:hAnsi="Verdana"/>
          <w:sz w:val="18"/>
          <w:szCs w:val="18"/>
        </w:rPr>
        <w:t>Tribunal</w:t>
      </w:r>
      <w:r w:rsidR="008436BE">
        <w:rPr>
          <w:rStyle w:val="Refdenotaalpie"/>
          <w:rFonts w:ascii="Verdana" w:hAnsi="Verdana"/>
          <w:sz w:val="18"/>
          <w:szCs w:val="18"/>
        </w:rPr>
        <w:footnoteReference w:id="15"/>
      </w:r>
      <w:r w:rsidR="0034594D" w:rsidRPr="00DE5E6E">
        <w:rPr>
          <w:rFonts w:ascii="Verdana" w:hAnsi="Verdana"/>
          <w:sz w:val="18"/>
          <w:szCs w:val="18"/>
        </w:rPr>
        <w:t>.</w:t>
      </w:r>
    </w:p>
    <w:p w14:paraId="631AC86C" w14:textId="77777777" w:rsidR="00B64E64" w:rsidRPr="00B64E64" w:rsidRDefault="00B64E64" w:rsidP="00B64E64">
      <w:pPr>
        <w:pStyle w:val="Prrafodelista"/>
        <w:widowControl w:val="0"/>
        <w:autoSpaceDE w:val="0"/>
        <w:autoSpaceDN w:val="0"/>
        <w:snapToGrid w:val="0"/>
        <w:ind w:left="567" w:right="573"/>
        <w:contextualSpacing w:val="0"/>
        <w:jc w:val="both"/>
        <w:rPr>
          <w:rFonts w:ascii="Verdana" w:hAnsi="Verdana"/>
          <w:sz w:val="18"/>
          <w:szCs w:val="18"/>
        </w:rPr>
      </w:pPr>
      <w:bookmarkStart w:id="0" w:name="_bookmark126"/>
      <w:bookmarkStart w:id="1" w:name="_bookmark127"/>
      <w:bookmarkStart w:id="2" w:name="_bookmark128"/>
      <w:bookmarkStart w:id="3" w:name="_bookmark129"/>
      <w:bookmarkStart w:id="4" w:name="_bookmark130"/>
      <w:bookmarkStart w:id="5" w:name="_bookmark131"/>
      <w:bookmarkStart w:id="6" w:name="_bookmark132"/>
      <w:bookmarkEnd w:id="0"/>
      <w:bookmarkEnd w:id="1"/>
      <w:bookmarkEnd w:id="2"/>
      <w:bookmarkEnd w:id="3"/>
      <w:bookmarkEnd w:id="4"/>
      <w:bookmarkEnd w:id="5"/>
      <w:bookmarkEnd w:id="6"/>
    </w:p>
    <w:p w14:paraId="307B8718" w14:textId="1AE94F67" w:rsidR="00F72A24" w:rsidRPr="00F72A24" w:rsidRDefault="00641DE8" w:rsidP="00641DE8">
      <w:pPr>
        <w:pStyle w:val="Prrafodelista"/>
        <w:numPr>
          <w:ilvl w:val="0"/>
          <w:numId w:val="3"/>
        </w:numPr>
        <w:pBdr>
          <w:top w:val="nil"/>
          <w:left w:val="nil"/>
          <w:bottom w:val="nil"/>
          <w:right w:val="nil"/>
          <w:between w:val="nil"/>
        </w:pBdr>
        <w:tabs>
          <w:tab w:val="left" w:pos="709"/>
        </w:tabs>
        <w:ind w:left="0" w:firstLine="0"/>
        <w:jc w:val="both"/>
        <w:rPr>
          <w:rFonts w:ascii="Verdana" w:eastAsia="Verdana" w:hAnsi="Verdana" w:cs="Verdana"/>
          <w:color w:val="000000"/>
          <w:sz w:val="20"/>
          <w:szCs w:val="20"/>
        </w:rPr>
      </w:pPr>
      <w:r>
        <w:rPr>
          <w:rFonts w:ascii="Verdana" w:eastAsia="Verdana" w:hAnsi="Verdana" w:cs="Verdana"/>
          <w:color w:val="000000"/>
          <w:sz w:val="20"/>
          <w:szCs w:val="20"/>
        </w:rPr>
        <w:t xml:space="preserve">Por lo tanto, en el presente caso, además de haberse declarado la violación del artículo 23.1 c) de la Convención Americana, </w:t>
      </w:r>
      <w:r w:rsidR="0089279C">
        <w:rPr>
          <w:rFonts w:ascii="Verdana" w:eastAsia="Verdana" w:hAnsi="Verdana" w:cs="Verdana"/>
          <w:color w:val="000000"/>
          <w:sz w:val="20"/>
          <w:szCs w:val="20"/>
        </w:rPr>
        <w:t xml:space="preserve">debió también declararse la violación al derecho del trabajo, protegido por el artículo 26 del mismo </w:t>
      </w:r>
      <w:proofErr w:type="spellStart"/>
      <w:r w:rsidR="0089279C">
        <w:rPr>
          <w:rFonts w:ascii="Verdana" w:eastAsia="Verdana" w:hAnsi="Verdana" w:cs="Verdana"/>
          <w:color w:val="000000"/>
          <w:sz w:val="20"/>
          <w:szCs w:val="20"/>
        </w:rPr>
        <w:t>intrumento</w:t>
      </w:r>
      <w:proofErr w:type="spellEnd"/>
      <w:r w:rsidR="0089279C">
        <w:rPr>
          <w:rFonts w:ascii="Verdana" w:eastAsia="Verdana" w:hAnsi="Verdana" w:cs="Verdana"/>
          <w:color w:val="000000"/>
          <w:sz w:val="20"/>
          <w:szCs w:val="20"/>
        </w:rPr>
        <w:t xml:space="preserve">, al afectarse la estabilidad en el empleo del señor </w:t>
      </w:r>
      <w:proofErr w:type="spellStart"/>
      <w:r w:rsidR="0089279C">
        <w:rPr>
          <w:rFonts w:ascii="Verdana" w:eastAsia="Verdana" w:hAnsi="Verdana" w:cs="Verdana"/>
          <w:color w:val="000000"/>
          <w:sz w:val="20"/>
          <w:szCs w:val="20"/>
        </w:rPr>
        <w:t>Cajahuanca</w:t>
      </w:r>
      <w:proofErr w:type="spellEnd"/>
      <w:r w:rsidR="0089279C">
        <w:rPr>
          <w:rFonts w:ascii="Verdana" w:eastAsia="Verdana" w:hAnsi="Verdana" w:cs="Verdana"/>
          <w:color w:val="000000"/>
          <w:sz w:val="20"/>
          <w:szCs w:val="20"/>
        </w:rPr>
        <w:t xml:space="preserve"> Vásquez</w:t>
      </w:r>
      <w:r w:rsidR="0089279C">
        <w:rPr>
          <w:rStyle w:val="Refdenotaalpie"/>
          <w:rFonts w:ascii="Verdana" w:eastAsia="Verdana" w:hAnsi="Verdana" w:cs="Verdana"/>
          <w:color w:val="000000"/>
          <w:sz w:val="20"/>
          <w:szCs w:val="20"/>
        </w:rPr>
        <w:footnoteReference w:id="16"/>
      </w:r>
      <w:r w:rsidR="0089279C">
        <w:rPr>
          <w:rFonts w:ascii="Verdana" w:eastAsia="Verdana" w:hAnsi="Verdana" w:cs="Verdana"/>
          <w:color w:val="000000"/>
          <w:sz w:val="20"/>
          <w:szCs w:val="20"/>
        </w:rPr>
        <w:t xml:space="preserve">. </w:t>
      </w:r>
    </w:p>
    <w:p w14:paraId="004B10CE" w14:textId="77777777" w:rsidR="006C19B2" w:rsidRPr="00836A74" w:rsidRDefault="006C19B2" w:rsidP="00D61D5F">
      <w:pPr>
        <w:pStyle w:val="PrrafodeSentencia"/>
        <w:numPr>
          <w:ilvl w:val="0"/>
          <w:numId w:val="0"/>
        </w:numPr>
        <w:tabs>
          <w:tab w:val="clear" w:pos="567"/>
        </w:tabs>
        <w:rPr>
          <w:b/>
          <w:bCs/>
          <w:color w:val="000000" w:themeColor="text1"/>
        </w:rPr>
      </w:pPr>
    </w:p>
    <w:p w14:paraId="5AD05A5E" w14:textId="0F18DF9A" w:rsidR="006C19B2" w:rsidRPr="009912AF" w:rsidRDefault="006C19B2" w:rsidP="00A37171">
      <w:pPr>
        <w:pStyle w:val="Prrafodelista"/>
        <w:ind w:left="0"/>
        <w:jc w:val="center"/>
        <w:rPr>
          <w:rFonts w:ascii="Verdana" w:hAnsi="Verdana"/>
          <w:b/>
          <w:color w:val="000000" w:themeColor="text1"/>
          <w:sz w:val="20"/>
          <w:szCs w:val="20"/>
          <w:lang w:val="es-ES"/>
        </w:rPr>
      </w:pPr>
      <w:r w:rsidRPr="009912AF">
        <w:rPr>
          <w:rFonts w:ascii="Verdana" w:hAnsi="Verdana"/>
          <w:b/>
          <w:color w:val="000000" w:themeColor="text1"/>
          <w:sz w:val="20"/>
          <w:szCs w:val="20"/>
          <w:lang w:val="es-ES"/>
        </w:rPr>
        <w:t>I</w:t>
      </w:r>
      <w:r w:rsidR="00D07CEF">
        <w:rPr>
          <w:rFonts w:ascii="Verdana" w:hAnsi="Verdana"/>
          <w:b/>
          <w:color w:val="000000" w:themeColor="text1"/>
          <w:sz w:val="20"/>
          <w:szCs w:val="20"/>
          <w:lang w:val="es-ES"/>
        </w:rPr>
        <w:t>V</w:t>
      </w:r>
      <w:r w:rsidRPr="009912AF">
        <w:rPr>
          <w:rFonts w:ascii="Verdana" w:hAnsi="Verdana"/>
          <w:b/>
          <w:color w:val="000000" w:themeColor="text1"/>
          <w:sz w:val="20"/>
          <w:szCs w:val="20"/>
          <w:lang w:val="es-ES"/>
        </w:rPr>
        <w:t xml:space="preserve">. DEBIDO PROCESO Y LA PROTECCIÓN JUDICIAL EN EL </w:t>
      </w:r>
      <w:r w:rsidR="00F52F94" w:rsidRPr="009912AF">
        <w:rPr>
          <w:rFonts w:ascii="Verdana" w:hAnsi="Verdana"/>
          <w:b/>
          <w:color w:val="000000" w:themeColor="text1"/>
          <w:sz w:val="20"/>
          <w:szCs w:val="20"/>
          <w:lang w:val="es-ES"/>
        </w:rPr>
        <w:t xml:space="preserve">PRESENTE </w:t>
      </w:r>
      <w:r w:rsidRPr="009912AF">
        <w:rPr>
          <w:rFonts w:ascii="Verdana" w:hAnsi="Verdana"/>
          <w:b/>
          <w:color w:val="000000" w:themeColor="text1"/>
          <w:sz w:val="20"/>
          <w:szCs w:val="20"/>
          <w:lang w:val="es-ES"/>
        </w:rPr>
        <w:t xml:space="preserve">CASO </w:t>
      </w:r>
    </w:p>
    <w:p w14:paraId="558C58D6" w14:textId="77777777" w:rsidR="006C19B2" w:rsidRPr="00836A74" w:rsidRDefault="006C19B2" w:rsidP="00D61D5F">
      <w:pPr>
        <w:pStyle w:val="PrrafodeSentencia"/>
        <w:numPr>
          <w:ilvl w:val="0"/>
          <w:numId w:val="0"/>
        </w:numPr>
        <w:tabs>
          <w:tab w:val="clear" w:pos="567"/>
        </w:tabs>
      </w:pPr>
    </w:p>
    <w:p w14:paraId="2E7366D6" w14:textId="5C5468A6" w:rsidR="00D36754" w:rsidRPr="00D36754" w:rsidRDefault="003A5888" w:rsidP="00D36754">
      <w:pPr>
        <w:pStyle w:val="PrrafodeSentencia"/>
        <w:numPr>
          <w:ilvl w:val="0"/>
          <w:numId w:val="3"/>
        </w:numPr>
        <w:tabs>
          <w:tab w:val="clear" w:pos="567"/>
        </w:tabs>
        <w:ind w:left="0" w:firstLine="0"/>
      </w:pPr>
      <w:r>
        <w:t xml:space="preserve">En este caso, al igual que </w:t>
      </w:r>
      <w:r w:rsidR="00A37171">
        <w:t xml:space="preserve">en </w:t>
      </w:r>
      <w:r>
        <w:t xml:space="preserve">el caso </w:t>
      </w:r>
      <w:r w:rsidRPr="009B2542">
        <w:rPr>
          <w:i/>
          <w:iCs/>
        </w:rPr>
        <w:t>Cordero Bernal</w:t>
      </w:r>
      <w:r>
        <w:t xml:space="preserve">, </w:t>
      </w:r>
      <w:r w:rsidR="006C19B2" w:rsidRPr="00836A74">
        <w:t xml:space="preserve">la Corte </w:t>
      </w:r>
      <w:r w:rsidR="006C19B2">
        <w:t xml:space="preserve">IDH </w:t>
      </w:r>
      <w:r w:rsidR="006C19B2" w:rsidRPr="00836A74">
        <w:t xml:space="preserve">encontró que la Constitución peruana disponía que las decisiones del Consejo Nacional de la Magistratura </w:t>
      </w:r>
      <w:r w:rsidR="006C19B2">
        <w:t xml:space="preserve">no eran revisables </w:t>
      </w:r>
      <w:r w:rsidR="006C19B2" w:rsidRPr="00836A74">
        <w:t xml:space="preserve">y los jueces interpretaban </w:t>
      </w:r>
      <w:r w:rsidR="006C19B2">
        <w:t xml:space="preserve">en el momento de los hechos </w:t>
      </w:r>
      <w:r w:rsidR="006C19B2" w:rsidRPr="00836A74">
        <w:t xml:space="preserve">que contra ellas solo procedía el recurso de amparo por violaciones al debido proceso, de modo que no </w:t>
      </w:r>
      <w:r w:rsidR="00F72A24">
        <w:t>se podría</w:t>
      </w:r>
      <w:r w:rsidR="00F25704">
        <w:t>n</w:t>
      </w:r>
      <w:r w:rsidR="00F72A24">
        <w:t xml:space="preserve"> alegar</w:t>
      </w:r>
      <w:r w:rsidR="006C19B2" w:rsidRPr="00836A74">
        <w:t xml:space="preserve"> violaciones a otros derechos fundamentales. </w:t>
      </w:r>
    </w:p>
    <w:p w14:paraId="2E3A45C1" w14:textId="77777777" w:rsidR="00FE2645" w:rsidRDefault="00FE2645" w:rsidP="00FE2645">
      <w:pPr>
        <w:pStyle w:val="PrrafodeSentencia"/>
        <w:numPr>
          <w:ilvl w:val="0"/>
          <w:numId w:val="0"/>
        </w:numPr>
        <w:tabs>
          <w:tab w:val="clear" w:pos="567"/>
        </w:tabs>
      </w:pPr>
    </w:p>
    <w:p w14:paraId="1FF99B7D" w14:textId="2013AE0E" w:rsidR="00D36754" w:rsidRPr="00751183" w:rsidRDefault="0086460B" w:rsidP="00443BA5">
      <w:pPr>
        <w:pStyle w:val="PrrafodeSentencia"/>
        <w:numPr>
          <w:ilvl w:val="0"/>
          <w:numId w:val="3"/>
        </w:numPr>
        <w:tabs>
          <w:tab w:val="clear" w:pos="567"/>
        </w:tabs>
        <w:ind w:left="0" w:firstLine="0"/>
        <w:rPr>
          <w:lang w:val="es-ES"/>
        </w:rPr>
      </w:pPr>
      <w:r w:rsidRPr="00751183">
        <w:rPr>
          <w:lang w:val="es-ES"/>
        </w:rPr>
        <w:t>Es importante señalar que</w:t>
      </w:r>
      <w:r w:rsidR="00772457" w:rsidRPr="00751183">
        <w:rPr>
          <w:lang w:val="es-ES"/>
        </w:rPr>
        <w:t xml:space="preserve"> no existía órgano jerárquicamente superior </w:t>
      </w:r>
      <w:r w:rsidRPr="00751183">
        <w:rPr>
          <w:lang w:val="es-ES"/>
        </w:rPr>
        <w:t>para revisar</w:t>
      </w:r>
      <w:r w:rsidR="00772457" w:rsidRPr="00751183">
        <w:rPr>
          <w:lang w:val="es-ES"/>
        </w:rPr>
        <w:t xml:space="preserve"> las decisiones del </w:t>
      </w:r>
      <w:r w:rsidRPr="00751183">
        <w:rPr>
          <w:lang w:val="es-ES"/>
        </w:rPr>
        <w:t>CNM</w:t>
      </w:r>
      <w:r w:rsidR="00772457" w:rsidRPr="00751183">
        <w:rPr>
          <w:lang w:val="es-ES"/>
        </w:rPr>
        <w:t xml:space="preserve">. Aunque el Sr. Cajahuanca </w:t>
      </w:r>
      <w:r w:rsidR="00751183" w:rsidRPr="00751183">
        <w:rPr>
          <w:lang w:val="es-ES"/>
        </w:rPr>
        <w:t>presentó</w:t>
      </w:r>
      <w:r w:rsidR="00772457" w:rsidRPr="00751183">
        <w:rPr>
          <w:lang w:val="es-ES"/>
        </w:rPr>
        <w:t xml:space="preserve"> cuatro </w:t>
      </w:r>
      <w:r w:rsidR="00EC012D" w:rsidRPr="00751183">
        <w:rPr>
          <w:lang w:val="es-ES"/>
        </w:rPr>
        <w:t>recursos distintos</w:t>
      </w:r>
      <w:r w:rsidR="00772457" w:rsidRPr="00751183">
        <w:rPr>
          <w:lang w:val="es-ES"/>
        </w:rPr>
        <w:t xml:space="preserve">, </w:t>
      </w:r>
      <w:r w:rsidRPr="00751183">
        <w:rPr>
          <w:lang w:val="es-ES"/>
        </w:rPr>
        <w:t>sus</w:t>
      </w:r>
      <w:r w:rsidR="00772457" w:rsidRPr="00751183">
        <w:rPr>
          <w:lang w:val="es-ES"/>
        </w:rPr>
        <w:t xml:space="preserve"> demanda</w:t>
      </w:r>
      <w:r w:rsidRPr="00751183">
        <w:rPr>
          <w:lang w:val="es-ES"/>
        </w:rPr>
        <w:t>s</w:t>
      </w:r>
      <w:r w:rsidR="00772457" w:rsidRPr="00751183">
        <w:rPr>
          <w:lang w:val="es-ES"/>
        </w:rPr>
        <w:t xml:space="preserve"> ni siquiera fue</w:t>
      </w:r>
      <w:r w:rsidRPr="00751183">
        <w:rPr>
          <w:lang w:val="es-ES"/>
        </w:rPr>
        <w:t>ron</w:t>
      </w:r>
      <w:r w:rsidR="00772457" w:rsidRPr="00751183">
        <w:rPr>
          <w:lang w:val="es-ES"/>
        </w:rPr>
        <w:t xml:space="preserve"> examinada</w:t>
      </w:r>
      <w:r w:rsidRPr="00751183">
        <w:rPr>
          <w:lang w:val="es-ES"/>
        </w:rPr>
        <w:t>s</w:t>
      </w:r>
      <w:r w:rsidR="00772457" w:rsidRPr="00751183">
        <w:rPr>
          <w:lang w:val="es-ES"/>
        </w:rPr>
        <w:t xml:space="preserve"> </w:t>
      </w:r>
      <w:r w:rsidRPr="00751183">
        <w:rPr>
          <w:lang w:val="es-ES"/>
        </w:rPr>
        <w:t xml:space="preserve">en </w:t>
      </w:r>
      <w:r w:rsidR="00EC012D" w:rsidRPr="00751183">
        <w:rPr>
          <w:lang w:val="es-ES"/>
        </w:rPr>
        <w:t>virtud</w:t>
      </w:r>
      <w:r w:rsidR="00772457" w:rsidRPr="00751183">
        <w:rPr>
          <w:lang w:val="es-ES"/>
        </w:rPr>
        <w:t xml:space="preserve"> de</w:t>
      </w:r>
      <w:r w:rsidRPr="00751183">
        <w:rPr>
          <w:lang w:val="es-ES"/>
        </w:rPr>
        <w:t xml:space="preserve"> </w:t>
      </w:r>
      <w:r w:rsidR="00EC012D" w:rsidRPr="00751183">
        <w:rPr>
          <w:lang w:val="es-ES"/>
        </w:rPr>
        <w:t>l</w:t>
      </w:r>
      <w:r w:rsidRPr="00751183">
        <w:rPr>
          <w:lang w:val="es-ES"/>
        </w:rPr>
        <w:t xml:space="preserve">a disposición </w:t>
      </w:r>
      <w:r w:rsidR="00772457" w:rsidRPr="00751183">
        <w:rPr>
          <w:lang w:val="es-ES"/>
        </w:rPr>
        <w:t>del artículo 142 de la Constitución peruana, que establec</w:t>
      </w:r>
      <w:r w:rsidRPr="00751183">
        <w:rPr>
          <w:lang w:val="es-ES"/>
        </w:rPr>
        <w:t>ía</w:t>
      </w:r>
      <w:r w:rsidR="00772457" w:rsidRPr="00751183">
        <w:rPr>
          <w:lang w:val="es-ES"/>
        </w:rPr>
        <w:t xml:space="preserve"> que </w:t>
      </w:r>
      <w:r w:rsidR="00751183" w:rsidRPr="00751183">
        <w:rPr>
          <w:lang w:val="es-ES"/>
        </w:rPr>
        <w:t>“</w:t>
      </w:r>
      <w:r w:rsidR="00EC012D" w:rsidRPr="00751183">
        <w:rPr>
          <w:lang w:val="es-ES"/>
        </w:rPr>
        <w:t>no son revisables en sede judicial, las resoluciones del Jurado Nacional de Elecciones en materia electoral, ni las del Consejo Nacional de Magistratura en materia de evaluación y ratificación de jueces</w:t>
      </w:r>
      <w:r w:rsidR="00443BA5" w:rsidRPr="00751183">
        <w:rPr>
          <w:lang w:val="es-ES"/>
        </w:rPr>
        <w:t>”</w:t>
      </w:r>
      <w:r w:rsidR="00825358" w:rsidRPr="00751183">
        <w:rPr>
          <w:rStyle w:val="Refdenotaalpie"/>
          <w:lang w:val="es-ES"/>
        </w:rPr>
        <w:footnoteReference w:id="17"/>
      </w:r>
      <w:r w:rsidR="00D36754" w:rsidRPr="00751183">
        <w:rPr>
          <w:lang w:val="es-ES"/>
        </w:rPr>
        <w:t xml:space="preserve">. </w:t>
      </w:r>
    </w:p>
    <w:p w14:paraId="527E7A79" w14:textId="77777777" w:rsidR="00E45968" w:rsidRPr="00772457" w:rsidRDefault="00E45968" w:rsidP="00E45968">
      <w:pPr>
        <w:rPr>
          <w:highlight w:val="green"/>
          <w:lang w:val="es-ES"/>
        </w:rPr>
      </w:pPr>
    </w:p>
    <w:p w14:paraId="32C045D9" w14:textId="086A1D3A" w:rsidR="0056279D" w:rsidRPr="00751183" w:rsidRDefault="008C65F6" w:rsidP="0056279D">
      <w:pPr>
        <w:pStyle w:val="PrrafodeSentencia"/>
        <w:numPr>
          <w:ilvl w:val="0"/>
          <w:numId w:val="3"/>
        </w:numPr>
        <w:tabs>
          <w:tab w:val="clear" w:pos="567"/>
          <w:tab w:val="left" w:pos="0"/>
        </w:tabs>
        <w:ind w:left="0" w:firstLine="0"/>
        <w:rPr>
          <w:lang w:val="es-ES"/>
        </w:rPr>
      </w:pPr>
      <w:r w:rsidRPr="00751183">
        <w:rPr>
          <w:lang w:val="es-ES"/>
        </w:rPr>
        <w:lastRenderedPageBreak/>
        <w:t>Cabe destacar que la propia convencionalidad de la disposición constitucional merece</w:t>
      </w:r>
      <w:r w:rsidR="00286D1A" w:rsidRPr="00751183">
        <w:rPr>
          <w:lang w:val="es-ES"/>
        </w:rPr>
        <w:t>ría</w:t>
      </w:r>
      <w:r w:rsidRPr="00751183">
        <w:rPr>
          <w:lang w:val="es-ES"/>
        </w:rPr>
        <w:t xml:space="preserve"> un análisis cuidadoso por parte de la Corte IDH o incluso de las instancias de control judicial del país. Disposiciones como las contenidas en el texto del art. 142 </w:t>
      </w:r>
      <w:r w:rsidR="00751183" w:rsidRPr="00751183">
        <w:rPr>
          <w:lang w:val="es-ES"/>
        </w:rPr>
        <w:t>—</w:t>
      </w:r>
      <w:r w:rsidRPr="00751183">
        <w:rPr>
          <w:lang w:val="es-ES"/>
        </w:rPr>
        <w:t xml:space="preserve">es decir, que establecen prohibiciones </w:t>
      </w:r>
      <w:r w:rsidRPr="00751183">
        <w:rPr>
          <w:i/>
          <w:iCs/>
          <w:lang w:val="es-ES"/>
        </w:rPr>
        <w:t>a priori</w:t>
      </w:r>
      <w:r w:rsidRPr="00751183">
        <w:rPr>
          <w:lang w:val="es-ES"/>
        </w:rPr>
        <w:t xml:space="preserve"> de recurrir</w:t>
      </w:r>
      <w:r w:rsidR="00EC012D" w:rsidRPr="00751183">
        <w:rPr>
          <w:lang w:val="es-ES"/>
        </w:rPr>
        <w:t xml:space="preserve"> </w:t>
      </w:r>
      <w:r w:rsidR="00751183" w:rsidRPr="00751183">
        <w:rPr>
          <w:lang w:val="es-ES"/>
        </w:rPr>
        <w:t>a</w:t>
      </w:r>
      <w:r w:rsidRPr="00751183">
        <w:rPr>
          <w:lang w:val="es-ES"/>
        </w:rPr>
        <w:t xml:space="preserve"> las decisiones de los órganos encargados de juzgar la conducta de los </w:t>
      </w:r>
      <w:r w:rsidR="00751183" w:rsidRPr="00751183">
        <w:rPr>
          <w:lang w:val="es-ES"/>
        </w:rPr>
        <w:t>juzgadores—</w:t>
      </w:r>
      <w:r w:rsidRPr="00751183">
        <w:rPr>
          <w:lang w:val="es-ES"/>
        </w:rPr>
        <w:t xml:space="preserve"> </w:t>
      </w:r>
      <w:r w:rsidR="001B75AC">
        <w:rPr>
          <w:lang w:val="es-ES"/>
        </w:rPr>
        <w:t>riñen</w:t>
      </w:r>
      <w:r w:rsidRPr="00751183">
        <w:rPr>
          <w:lang w:val="es-ES"/>
        </w:rPr>
        <w:t xml:space="preserve"> con el ámbito de protección del art. 25 de la Convención. Está bien establecido en la jurisprudencia de la Corte IDH que l</w:t>
      </w:r>
      <w:r w:rsidR="00825358" w:rsidRPr="00751183">
        <w:rPr>
          <w:lang w:val="es-ES"/>
        </w:rPr>
        <w:t>as garantías del debido proceso legal, incluso el</w:t>
      </w:r>
      <w:r w:rsidRPr="00751183">
        <w:rPr>
          <w:lang w:val="es-ES"/>
        </w:rPr>
        <w:t xml:space="preserve"> derecho a un recurso</w:t>
      </w:r>
      <w:r w:rsidR="00B82284" w:rsidRPr="00751183">
        <w:rPr>
          <w:lang w:val="es-ES"/>
        </w:rPr>
        <w:t xml:space="preserve"> efectivo</w:t>
      </w:r>
      <w:r w:rsidR="00825358" w:rsidRPr="00751183">
        <w:rPr>
          <w:lang w:val="es-ES"/>
        </w:rPr>
        <w:t>, son i</w:t>
      </w:r>
      <w:r w:rsidRPr="00751183">
        <w:rPr>
          <w:lang w:val="es-ES"/>
        </w:rPr>
        <w:t>neludible</w:t>
      </w:r>
      <w:r w:rsidR="00825358" w:rsidRPr="00751183">
        <w:rPr>
          <w:lang w:val="es-ES"/>
        </w:rPr>
        <w:t>s</w:t>
      </w:r>
      <w:r w:rsidRPr="00751183">
        <w:rPr>
          <w:lang w:val="es-ES"/>
        </w:rPr>
        <w:t xml:space="preserve"> en los procesos de cualquier naturaleza</w:t>
      </w:r>
      <w:r w:rsidR="00B82284" w:rsidRPr="00751183">
        <w:rPr>
          <w:lang w:val="es-ES"/>
        </w:rPr>
        <w:t>,</w:t>
      </w:r>
      <w:r w:rsidRPr="00751183">
        <w:rPr>
          <w:lang w:val="es-ES"/>
        </w:rPr>
        <w:t xml:space="preserve"> sea civil, penal, laboral o incluso disciplinario</w:t>
      </w:r>
      <w:r w:rsidR="00BF688E" w:rsidRPr="00751183">
        <w:rPr>
          <w:rStyle w:val="Refdenotaalpie"/>
          <w:lang w:val="es-ES"/>
        </w:rPr>
        <w:footnoteReference w:id="18"/>
      </w:r>
      <w:r w:rsidRPr="00751183">
        <w:rPr>
          <w:lang w:val="es-ES"/>
        </w:rPr>
        <w:t>.</w:t>
      </w:r>
    </w:p>
    <w:p w14:paraId="15445DC4" w14:textId="77777777" w:rsidR="0056279D" w:rsidRPr="00BF688E" w:rsidRDefault="0056279D" w:rsidP="0056279D">
      <w:pPr>
        <w:pStyle w:val="PrrafodeSentencia"/>
        <w:numPr>
          <w:ilvl w:val="0"/>
          <w:numId w:val="0"/>
        </w:numPr>
        <w:tabs>
          <w:tab w:val="clear" w:pos="567"/>
          <w:tab w:val="left" w:pos="0"/>
        </w:tabs>
        <w:rPr>
          <w:highlight w:val="yellow"/>
          <w:lang w:val="es-ES"/>
        </w:rPr>
      </w:pPr>
    </w:p>
    <w:p w14:paraId="2570C7EB" w14:textId="2A4646E4" w:rsidR="0056279D" w:rsidRPr="00751183" w:rsidRDefault="008C65F6" w:rsidP="0056279D">
      <w:pPr>
        <w:pStyle w:val="PrrafodeSentencia"/>
        <w:numPr>
          <w:ilvl w:val="0"/>
          <w:numId w:val="3"/>
        </w:numPr>
        <w:tabs>
          <w:tab w:val="clear" w:pos="567"/>
          <w:tab w:val="left" w:pos="0"/>
        </w:tabs>
        <w:ind w:left="0" w:firstLine="0"/>
        <w:rPr>
          <w:lang w:val="es-ES"/>
        </w:rPr>
      </w:pPr>
      <w:r w:rsidRPr="00751183">
        <w:rPr>
          <w:lang w:val="es-ES"/>
        </w:rPr>
        <w:t>En el</w:t>
      </w:r>
      <w:r w:rsidR="0056279D" w:rsidRPr="00751183">
        <w:rPr>
          <w:lang w:val="es-ES"/>
        </w:rPr>
        <w:t xml:space="preserve"> caso Tribunal Constitucional vs. Per</w:t>
      </w:r>
      <w:r w:rsidRPr="00751183">
        <w:rPr>
          <w:lang w:val="es-ES"/>
        </w:rPr>
        <w:t>ú</w:t>
      </w:r>
      <w:r w:rsidR="0056279D" w:rsidRPr="00751183">
        <w:rPr>
          <w:lang w:val="es-ES"/>
        </w:rPr>
        <w:t xml:space="preserve">, </w:t>
      </w:r>
      <w:r w:rsidRPr="00751183">
        <w:rPr>
          <w:lang w:val="es-ES"/>
        </w:rPr>
        <w:t>l</w:t>
      </w:r>
      <w:r w:rsidR="0056279D" w:rsidRPr="00751183">
        <w:rPr>
          <w:lang w:val="es-ES"/>
        </w:rPr>
        <w:t xml:space="preserve">a Corte IDH </w:t>
      </w:r>
      <w:r w:rsidRPr="00751183">
        <w:rPr>
          <w:lang w:val="es-ES"/>
        </w:rPr>
        <w:t>señaló</w:t>
      </w:r>
      <w:r w:rsidR="0056279D" w:rsidRPr="00751183">
        <w:rPr>
          <w:lang w:val="es-ES"/>
        </w:rPr>
        <w:t xml:space="preserve"> que </w:t>
      </w:r>
      <w:r w:rsidR="00751183" w:rsidRPr="00751183">
        <w:rPr>
          <w:lang w:val="es-ES"/>
        </w:rPr>
        <w:t>“</w:t>
      </w:r>
      <w:r w:rsidR="0056279D" w:rsidRPr="00751183">
        <w:rPr>
          <w:lang w:val="es-ES"/>
        </w:rPr>
        <w:t xml:space="preserve">la inexistencia de un recurso efectivo contra las violaciones de los derechos reconocidos por la Convención constituye una transgresión de </w:t>
      </w:r>
      <w:proofErr w:type="gramStart"/>
      <w:r w:rsidR="0056279D" w:rsidRPr="00751183">
        <w:rPr>
          <w:lang w:val="es-ES"/>
        </w:rPr>
        <w:t>la misma</w:t>
      </w:r>
      <w:proofErr w:type="gramEnd"/>
      <w:r w:rsidR="0056279D" w:rsidRPr="00751183">
        <w:rPr>
          <w:lang w:val="es-ES"/>
        </w:rPr>
        <w:t xml:space="preserve"> por el Estado Parte”</w:t>
      </w:r>
      <w:r w:rsidR="00825358" w:rsidRPr="00751183">
        <w:rPr>
          <w:rStyle w:val="Refdenotaalpie"/>
          <w:lang w:val="es-ES"/>
        </w:rPr>
        <w:footnoteReference w:id="19"/>
      </w:r>
      <w:r w:rsidR="0056279D" w:rsidRPr="00751183">
        <w:rPr>
          <w:lang w:val="es-ES"/>
        </w:rPr>
        <w:t>.</w:t>
      </w:r>
      <w:r w:rsidRPr="00751183">
        <w:t xml:space="preserve"> </w:t>
      </w:r>
      <w:r w:rsidRPr="00751183">
        <w:rPr>
          <w:lang w:val="es-ES"/>
        </w:rPr>
        <w:t>Este precepto es especialmente relevante en el caso de los procedimientos que pueden dar lugar al cese de magistrados, no sólo por el cercenamiento del derecho a la protección judicial, sino también por el menoscabo de la independencia judicial, ya que la imposibilidad de recurrir</w:t>
      </w:r>
      <w:r w:rsidR="00EC012D" w:rsidRPr="00751183">
        <w:rPr>
          <w:lang w:val="es-ES"/>
        </w:rPr>
        <w:t xml:space="preserve"> </w:t>
      </w:r>
      <w:r w:rsidRPr="00751183">
        <w:rPr>
          <w:lang w:val="es-ES"/>
        </w:rPr>
        <w:t>las resoluciones de los órganos disciplinarios permite que se perpetúen los ceses arbitrarios</w:t>
      </w:r>
      <w:r w:rsidR="0056279D" w:rsidRPr="00751183">
        <w:rPr>
          <w:lang w:val="es-ES"/>
        </w:rPr>
        <w:t>.</w:t>
      </w:r>
    </w:p>
    <w:p w14:paraId="6DD6FE37" w14:textId="77777777" w:rsidR="0056279D" w:rsidRPr="00BF688E" w:rsidRDefault="0056279D" w:rsidP="0056279D">
      <w:pPr>
        <w:rPr>
          <w:highlight w:val="yellow"/>
          <w:lang w:val="es-ES"/>
        </w:rPr>
      </w:pPr>
    </w:p>
    <w:p w14:paraId="0CBE4CBF" w14:textId="485F2D87" w:rsidR="00E45968" w:rsidRPr="00751183" w:rsidRDefault="00772457" w:rsidP="00E45968">
      <w:pPr>
        <w:pStyle w:val="PrrafodeSentencia"/>
        <w:numPr>
          <w:ilvl w:val="0"/>
          <w:numId w:val="3"/>
        </w:numPr>
        <w:tabs>
          <w:tab w:val="clear" w:pos="567"/>
        </w:tabs>
        <w:ind w:left="0" w:firstLine="0"/>
        <w:rPr>
          <w:lang w:val="es-ES"/>
        </w:rPr>
      </w:pPr>
      <w:r w:rsidRPr="00751183">
        <w:rPr>
          <w:lang w:val="es-ES"/>
        </w:rPr>
        <w:t xml:space="preserve">En virtud de la citada disposición constitucional, el único recurso disponible para revisar el </w:t>
      </w:r>
      <w:r w:rsidR="0086460B" w:rsidRPr="00751183">
        <w:rPr>
          <w:lang w:val="es-ES"/>
        </w:rPr>
        <w:t>acto de destitución</w:t>
      </w:r>
      <w:r w:rsidRPr="00751183">
        <w:rPr>
          <w:lang w:val="es-ES"/>
        </w:rPr>
        <w:t xml:space="preserve"> emitido por el CNM era </w:t>
      </w:r>
      <w:r w:rsidR="0086460B" w:rsidRPr="00751183">
        <w:rPr>
          <w:lang w:val="es-ES"/>
        </w:rPr>
        <w:t>la</w:t>
      </w:r>
      <w:r w:rsidRPr="00751183">
        <w:rPr>
          <w:lang w:val="es-ES"/>
        </w:rPr>
        <w:t xml:space="preserve"> solicitud de reconsideración</w:t>
      </w:r>
      <w:r w:rsidR="00EC012D" w:rsidRPr="00751183">
        <w:rPr>
          <w:lang w:val="es-ES"/>
        </w:rPr>
        <w:t xml:space="preserve">. </w:t>
      </w:r>
      <w:r w:rsidR="00751183" w:rsidRPr="00751183">
        <w:rPr>
          <w:lang w:val="es-ES"/>
        </w:rPr>
        <w:t>Inclusive</w:t>
      </w:r>
      <w:r w:rsidR="00EC012D" w:rsidRPr="00751183">
        <w:rPr>
          <w:lang w:val="es-ES"/>
        </w:rPr>
        <w:t xml:space="preserve">, la competencia para conocer y apreciar dicho recurso </w:t>
      </w:r>
      <w:r w:rsidR="00B82284" w:rsidRPr="00751183">
        <w:rPr>
          <w:lang w:val="es-ES"/>
        </w:rPr>
        <w:t xml:space="preserve">recaía sobre </w:t>
      </w:r>
      <w:r w:rsidRPr="00751183">
        <w:rPr>
          <w:lang w:val="es-ES"/>
        </w:rPr>
        <w:t>los mismos miembros que habían emitido la resolución inicial</w:t>
      </w:r>
      <w:r w:rsidR="00EC012D" w:rsidRPr="00751183">
        <w:rPr>
          <w:lang w:val="es-ES"/>
        </w:rPr>
        <w:t xml:space="preserve">. </w:t>
      </w:r>
      <w:r w:rsidRPr="00751183">
        <w:rPr>
          <w:lang w:val="es-ES"/>
        </w:rPr>
        <w:t xml:space="preserve">La solicitud del Sr. Cajahuanca fue denegada y su </w:t>
      </w:r>
      <w:r w:rsidR="00B82284" w:rsidRPr="00751183">
        <w:rPr>
          <w:lang w:val="es-ES"/>
        </w:rPr>
        <w:t>cese</w:t>
      </w:r>
      <w:r w:rsidRPr="00751183">
        <w:rPr>
          <w:lang w:val="es-ES"/>
        </w:rPr>
        <w:t xml:space="preserve"> confirmado</w:t>
      </w:r>
      <w:r w:rsidR="00E45968" w:rsidRPr="00751183">
        <w:rPr>
          <w:lang w:val="es-ES"/>
        </w:rPr>
        <w:t xml:space="preserve">. </w:t>
      </w:r>
    </w:p>
    <w:p w14:paraId="1F5589E4" w14:textId="77777777" w:rsidR="00443BA5" w:rsidRPr="00BF688E" w:rsidRDefault="00443BA5" w:rsidP="00443BA5">
      <w:pPr>
        <w:rPr>
          <w:highlight w:val="yellow"/>
          <w:lang w:val="es-ES"/>
        </w:rPr>
      </w:pPr>
    </w:p>
    <w:p w14:paraId="0438FFE8" w14:textId="79CBBAF7" w:rsidR="006C19B2" w:rsidRPr="00836A74" w:rsidRDefault="00E45968" w:rsidP="00D61D5F">
      <w:pPr>
        <w:pStyle w:val="PrrafodeSentencia"/>
        <w:numPr>
          <w:ilvl w:val="0"/>
          <w:numId w:val="3"/>
        </w:numPr>
        <w:tabs>
          <w:tab w:val="clear" w:pos="567"/>
        </w:tabs>
        <w:ind w:left="0" w:firstLine="0"/>
      </w:pPr>
      <w:r w:rsidRPr="00751183">
        <w:rPr>
          <w:lang w:val="es-419"/>
        </w:rPr>
        <w:t>A</w:t>
      </w:r>
      <w:r w:rsidR="00772457" w:rsidRPr="00751183">
        <w:rPr>
          <w:lang w:val="es-419"/>
        </w:rPr>
        <w:t>l</w:t>
      </w:r>
      <w:r w:rsidRPr="00751183">
        <w:rPr>
          <w:lang w:val="es-419"/>
        </w:rPr>
        <w:t xml:space="preserve"> </w:t>
      </w:r>
      <w:r w:rsidR="00772457" w:rsidRPr="00751183">
        <w:rPr>
          <w:lang w:val="es-419"/>
        </w:rPr>
        <w:t>present</w:t>
      </w:r>
      <w:r w:rsidRPr="00751183">
        <w:rPr>
          <w:lang w:val="es-419"/>
        </w:rPr>
        <w:t xml:space="preserve">ar </w:t>
      </w:r>
      <w:r w:rsidR="00772457" w:rsidRPr="00751183">
        <w:rPr>
          <w:lang w:val="es-419"/>
        </w:rPr>
        <w:t>un</w:t>
      </w:r>
      <w:r w:rsidRPr="00751183">
        <w:rPr>
          <w:lang w:val="es-419"/>
        </w:rPr>
        <w:t xml:space="preserve"> recurso de amparo p</w:t>
      </w:r>
      <w:r w:rsidR="00772457" w:rsidRPr="00751183">
        <w:rPr>
          <w:lang w:val="es-419"/>
        </w:rPr>
        <w:t xml:space="preserve">or la </w:t>
      </w:r>
      <w:r w:rsidRPr="00751183">
        <w:rPr>
          <w:lang w:val="es-419"/>
        </w:rPr>
        <w:t>v</w:t>
      </w:r>
      <w:r w:rsidR="00772457" w:rsidRPr="00751183">
        <w:rPr>
          <w:lang w:val="es-419"/>
        </w:rPr>
        <w:t>í</w:t>
      </w:r>
      <w:r w:rsidRPr="00751183">
        <w:rPr>
          <w:lang w:val="es-419"/>
        </w:rPr>
        <w:t>a judicial,</w:t>
      </w:r>
      <w:r w:rsidRPr="00BF688E">
        <w:rPr>
          <w:lang w:val="es-419"/>
        </w:rPr>
        <w:t xml:space="preserve"> </w:t>
      </w:r>
      <w:r w:rsidR="006C19B2" w:rsidRPr="00BF688E">
        <w:rPr>
          <w:lang w:val="es-419"/>
        </w:rPr>
        <w:t xml:space="preserve">el señor </w:t>
      </w:r>
      <w:proofErr w:type="spellStart"/>
      <w:r w:rsidR="00FE2645" w:rsidRPr="00BF688E">
        <w:rPr>
          <w:lang w:val="es-419"/>
        </w:rPr>
        <w:t>Cajahuanca</w:t>
      </w:r>
      <w:proofErr w:type="spellEnd"/>
      <w:r w:rsidR="00FE2645" w:rsidRPr="00BF688E">
        <w:rPr>
          <w:lang w:val="es-419"/>
        </w:rPr>
        <w:t xml:space="preserve"> Vásquez</w:t>
      </w:r>
      <w:r w:rsidR="006C19B2" w:rsidRPr="00BF688E">
        <w:rPr>
          <w:lang w:val="es-419"/>
        </w:rPr>
        <w:t xml:space="preserve"> alegó la violación </w:t>
      </w:r>
      <w:r w:rsidR="007C30E7" w:rsidRPr="00BF688E">
        <w:rPr>
          <w:lang w:val="es-419"/>
        </w:rPr>
        <w:t>a la igualdad</w:t>
      </w:r>
      <w:r w:rsidR="008D42AE" w:rsidRPr="00BF688E">
        <w:rPr>
          <w:lang w:val="es-419"/>
        </w:rPr>
        <w:t xml:space="preserve">, </w:t>
      </w:r>
      <w:r w:rsidR="00E14E7E" w:rsidRPr="00BF688E">
        <w:rPr>
          <w:lang w:val="es-419"/>
        </w:rPr>
        <w:t>la cual no fue analizada</w:t>
      </w:r>
      <w:r w:rsidR="006C19B2" w:rsidRPr="00BF688E">
        <w:rPr>
          <w:lang w:val="es-419"/>
        </w:rPr>
        <w:t xml:space="preserve">. </w:t>
      </w:r>
      <w:r w:rsidR="006C19B2" w:rsidRPr="00BF688E">
        <w:t>No obstante, el criterio mayoritario concluyó que “</w:t>
      </w:r>
      <w:r w:rsidR="00AD5F82" w:rsidRPr="00BF688E">
        <w:rPr>
          <w:rFonts w:eastAsiaTheme="minorHAnsi"/>
          <w:lang w:eastAsia="en-US"/>
        </w:rPr>
        <w:t>en las decisiones adoptadas en el proceso de amparo</w:t>
      </w:r>
      <w:r w:rsidR="00AD5F82" w:rsidRPr="00BC5F7B">
        <w:rPr>
          <w:rFonts w:eastAsiaTheme="minorHAnsi"/>
          <w:lang w:eastAsia="en-US"/>
        </w:rPr>
        <w:t xml:space="preserve">, los jueces nacionales examinaron si las resoluciones cuestionadas se adoptaron o no en observancia del debido proceso o si se advertía la vulneración de derechos constitucionales del señor </w:t>
      </w:r>
      <w:proofErr w:type="spellStart"/>
      <w:r w:rsidR="00AD5F82" w:rsidRPr="00BC5F7B">
        <w:rPr>
          <w:rFonts w:eastAsiaTheme="minorHAnsi"/>
          <w:lang w:eastAsia="en-US"/>
        </w:rPr>
        <w:t>Cajahuanca</w:t>
      </w:r>
      <w:proofErr w:type="spellEnd"/>
      <w:r w:rsidR="006C19B2" w:rsidRPr="00836A74">
        <w:t>”</w:t>
      </w:r>
      <w:r w:rsidR="006C19B2" w:rsidRPr="00836A74">
        <w:rPr>
          <w:rStyle w:val="Refdenotaalpie"/>
          <w:szCs w:val="20"/>
          <w:lang w:val="es-ES"/>
        </w:rPr>
        <w:footnoteReference w:id="20"/>
      </w:r>
      <w:r w:rsidR="006C19B2" w:rsidRPr="00836A74">
        <w:t>.</w:t>
      </w:r>
    </w:p>
    <w:p w14:paraId="19BE2BEB" w14:textId="77777777" w:rsidR="006C19B2" w:rsidRPr="00836A74" w:rsidRDefault="006C19B2" w:rsidP="00D61D5F">
      <w:pPr>
        <w:pStyle w:val="PrrafodeSentencia"/>
        <w:numPr>
          <w:ilvl w:val="0"/>
          <w:numId w:val="0"/>
        </w:numPr>
        <w:tabs>
          <w:tab w:val="clear" w:pos="567"/>
        </w:tabs>
      </w:pPr>
    </w:p>
    <w:p w14:paraId="2FA79889" w14:textId="349663DE" w:rsidR="006C19B2" w:rsidRPr="00AA1740" w:rsidRDefault="006C19B2" w:rsidP="00D61D5F">
      <w:pPr>
        <w:pStyle w:val="PrrafodeSentencia"/>
        <w:numPr>
          <w:ilvl w:val="0"/>
          <w:numId w:val="3"/>
        </w:numPr>
        <w:tabs>
          <w:tab w:val="clear" w:pos="567"/>
        </w:tabs>
        <w:ind w:left="0" w:firstLine="0"/>
      </w:pPr>
      <w:r>
        <w:t>Discrep</w:t>
      </w:r>
      <w:r w:rsidR="00F72A24">
        <w:t>amos</w:t>
      </w:r>
      <w:r>
        <w:t xml:space="preserve"> de la conclusión anterior. Debemos recordar que e</w:t>
      </w:r>
      <w:r w:rsidRPr="00836A74">
        <w:t xml:space="preserve">ste Tribunal </w:t>
      </w:r>
      <w:r>
        <w:t xml:space="preserve">Interamericana </w:t>
      </w:r>
      <w:r w:rsidRPr="00836A74">
        <w:t>ha señalado que el artículo 25.1 de la Convención prevé la obligación de los Estados Parte de garantizar, a todas las personas bajo su jurisdicción, un recurso judicial sencillo, rápido y efectivo contra actos violatorios de sus derechos fundamentales</w:t>
      </w:r>
      <w:r w:rsidRPr="00836A74">
        <w:rPr>
          <w:vertAlign w:val="superscript"/>
        </w:rPr>
        <w:footnoteReference w:id="21"/>
      </w:r>
      <w:r w:rsidRPr="00836A74">
        <w:t xml:space="preserve">. </w:t>
      </w:r>
      <w:r w:rsidRPr="00AA1740">
        <w:t xml:space="preserve">Teniendo en cuenta lo anterior, la Corte </w:t>
      </w:r>
      <w:r>
        <w:t xml:space="preserve">IDH </w:t>
      </w:r>
      <w:r w:rsidRPr="00AA1740">
        <w:t>ha señalado que, en los términos del artículo 25 de la Convención</w:t>
      </w:r>
      <w:r>
        <w:t xml:space="preserve"> Americana</w:t>
      </w:r>
      <w:r w:rsidRPr="00AA1740">
        <w:t>, es posible identificar la obligación del Estado de consagrar normativamente y asegurar la debida aplicación de recursos efectivos ante las autoridades competentes que amparen a todas las personas bajo su jurisdicción contra actos que violen sus derechos fundamentales o que conlleven la determinación de los derechos y obligaciones de estas</w:t>
      </w:r>
      <w:r w:rsidRPr="00836A74">
        <w:rPr>
          <w:vertAlign w:val="superscript"/>
        </w:rPr>
        <w:footnoteReference w:id="22"/>
      </w:r>
      <w:r w:rsidRPr="00AA1740">
        <w:t xml:space="preserve">. El derecho establecido en el artículo 25 se encuentra íntimamente </w:t>
      </w:r>
      <w:r w:rsidRPr="00AA1740">
        <w:lastRenderedPageBreak/>
        <w:t>ligado con la obligación general del artículo 1.1 de la Convención, al atribuir funciones de protección al derecho interno de los Estados Parte</w:t>
      </w:r>
      <w:r w:rsidRPr="00836A74">
        <w:rPr>
          <w:vertAlign w:val="superscript"/>
        </w:rPr>
        <w:footnoteReference w:id="23"/>
      </w:r>
      <w:r w:rsidRPr="00AA1740">
        <w:t>. A la vista de lo anterior, el Estado tiene la responsabilidad no solo de diseñar y consagrar normativamente un recurso eficaz, sino también la de asegurar la debida aplicación de dicho recurso por parte de sus autoridades judiciales</w:t>
      </w:r>
      <w:r w:rsidRPr="00836A74">
        <w:rPr>
          <w:vertAlign w:val="superscript"/>
        </w:rPr>
        <w:footnoteReference w:id="24"/>
      </w:r>
      <w:r w:rsidRPr="00AA1740">
        <w:t>.</w:t>
      </w:r>
    </w:p>
    <w:p w14:paraId="4B938228" w14:textId="77777777" w:rsidR="006C19B2" w:rsidRPr="00836A74" w:rsidRDefault="006C19B2" w:rsidP="00D61D5F">
      <w:pPr>
        <w:pStyle w:val="PrrafodeSentencia"/>
        <w:numPr>
          <w:ilvl w:val="0"/>
          <w:numId w:val="0"/>
        </w:numPr>
        <w:tabs>
          <w:tab w:val="clear" w:pos="567"/>
        </w:tabs>
      </w:pPr>
    </w:p>
    <w:p w14:paraId="74F50FD2" w14:textId="2246C93D" w:rsidR="006C19B2" w:rsidRPr="00836A74" w:rsidRDefault="006C19B2" w:rsidP="00D61D5F">
      <w:pPr>
        <w:pStyle w:val="PrrafodeSentencia"/>
        <w:numPr>
          <w:ilvl w:val="0"/>
          <w:numId w:val="3"/>
        </w:numPr>
        <w:tabs>
          <w:tab w:val="clear" w:pos="567"/>
        </w:tabs>
        <w:ind w:left="0" w:firstLine="0"/>
      </w:pPr>
      <w:r w:rsidRPr="00836A74">
        <w:t xml:space="preserve">En lo que se refiere específicamente a la efectividad del recurso, esta Corte </w:t>
      </w:r>
      <w:r w:rsidR="00F72A24">
        <w:t xml:space="preserve">IDH </w:t>
      </w:r>
      <w:r w:rsidRPr="00836A74">
        <w:t xml:space="preserve">ha establecido que </w:t>
      </w:r>
      <w:r w:rsidR="001B75AC">
        <w:t>“</w:t>
      </w:r>
      <w:r w:rsidRPr="00836A74">
        <w:t xml:space="preserve">el sentido de la protección del artículo </w:t>
      </w:r>
      <w:r w:rsidRPr="00836A74">
        <w:rPr>
          <w:i/>
          <w:iCs/>
          <w:u w:val="single"/>
        </w:rPr>
        <w:t>es la posibilidad real de acceder a un recurso judicial para que una autoridad competente y capaz de emitir una decisión vinculante, determine si ha habido o no una violación a algún derecho que la persona que reclama estima tener</w:t>
      </w:r>
      <w:r w:rsidRPr="00836A74">
        <w:t xml:space="preserve"> y que, en caso de ser encontrada una violación, el recurso sea útil para restituir al interesado en el goce de su derecho y repararlo</w:t>
      </w:r>
      <w:r w:rsidRPr="00836A74">
        <w:rPr>
          <w:vertAlign w:val="superscript"/>
        </w:rPr>
        <w:footnoteReference w:id="25"/>
      </w:r>
      <w:r w:rsidRPr="00836A74">
        <w:t>. Lo anterior no implica que se evalúe la efectividad de un recurso en función de que este produzca un resultado favorable para el demandante</w:t>
      </w:r>
      <w:r w:rsidR="001B75AC">
        <w:t>”</w:t>
      </w:r>
      <w:r w:rsidRPr="00836A74">
        <w:t xml:space="preserve"> [énfasis añadido]</w:t>
      </w:r>
      <w:r w:rsidRPr="00836A74">
        <w:rPr>
          <w:vertAlign w:val="superscript"/>
        </w:rPr>
        <w:footnoteReference w:id="26"/>
      </w:r>
      <w:r w:rsidRPr="00836A74">
        <w:t>.</w:t>
      </w:r>
    </w:p>
    <w:p w14:paraId="786CDC94" w14:textId="77777777" w:rsidR="006C19B2" w:rsidRPr="00836A74" w:rsidRDefault="006C19B2" w:rsidP="00D61D5F">
      <w:pPr>
        <w:pStyle w:val="PrrafodeSentencia"/>
        <w:numPr>
          <w:ilvl w:val="0"/>
          <w:numId w:val="0"/>
        </w:numPr>
        <w:tabs>
          <w:tab w:val="clear" w:pos="567"/>
        </w:tabs>
      </w:pPr>
    </w:p>
    <w:p w14:paraId="4FF6089D" w14:textId="5EC818EF" w:rsidR="0033483B" w:rsidRPr="00443BA5" w:rsidRDefault="006C19B2" w:rsidP="0033483B">
      <w:pPr>
        <w:pStyle w:val="PrrafodeSentencia"/>
        <w:numPr>
          <w:ilvl w:val="0"/>
          <w:numId w:val="3"/>
        </w:numPr>
        <w:tabs>
          <w:tab w:val="clear" w:pos="567"/>
        </w:tabs>
        <w:ind w:left="0" w:firstLine="0"/>
        <w:rPr>
          <w:lang w:val="es-419"/>
        </w:rPr>
      </w:pPr>
      <w:r w:rsidRPr="00836A74">
        <w:t xml:space="preserve">Conforme a lo anterior, el criterio mayoritario debió concluir que, aunque existía un recurso </w:t>
      </w:r>
      <w:proofErr w:type="gramStart"/>
      <w:r w:rsidRPr="00836A74">
        <w:t>de acuerdo a</w:t>
      </w:r>
      <w:proofErr w:type="gramEnd"/>
      <w:r w:rsidRPr="00836A74">
        <w:t xml:space="preserve"> la legislación peruana, este no era efectivo ya que acotaba su procedencia respecto de alegadas violaciones únicamente al debido proceso</w:t>
      </w:r>
      <w:r w:rsidR="001D19D8">
        <w:t>,</w:t>
      </w:r>
      <w:r w:rsidRPr="00836A74">
        <w:t xml:space="preserve"> pero no frente a la vulneración de derechos fundamentales que, como jueces, le son propios a las personas que conforman la judicatura en el supuesto de destituciones o de procedimientos disciplinarios sancionadores. </w:t>
      </w:r>
      <w:r>
        <w:t xml:space="preserve"> </w:t>
      </w:r>
      <w:r w:rsidRPr="00443BA5">
        <w:rPr>
          <w:lang w:val="es-419"/>
        </w:rPr>
        <w:t>No obstante, el criterio mayoritario únicamente se limitó a constatar la procedencia del recurso de amparo conforme a la única causal por la cual podía ser interpuesto</w:t>
      </w:r>
      <w:r w:rsidR="001E0D30" w:rsidRPr="00443BA5">
        <w:rPr>
          <w:lang w:val="es-419"/>
        </w:rPr>
        <w:t>.</w:t>
      </w:r>
    </w:p>
    <w:p w14:paraId="18ABF2C3" w14:textId="77777777" w:rsidR="0033483B" w:rsidRPr="00D52C17" w:rsidRDefault="0033483B" w:rsidP="0033483B">
      <w:pPr>
        <w:rPr>
          <w:lang w:val="es-ES"/>
        </w:rPr>
      </w:pPr>
    </w:p>
    <w:p w14:paraId="33C237F4" w14:textId="3D71837B" w:rsidR="006C19B2" w:rsidRDefault="006C19B2" w:rsidP="00D61D5F">
      <w:pPr>
        <w:pStyle w:val="PrrafodeSentencia"/>
        <w:numPr>
          <w:ilvl w:val="0"/>
          <w:numId w:val="3"/>
        </w:numPr>
        <w:tabs>
          <w:tab w:val="clear" w:pos="567"/>
        </w:tabs>
        <w:ind w:left="0" w:firstLine="0"/>
      </w:pPr>
      <w:r w:rsidRPr="00836A74">
        <w:t xml:space="preserve">Además, es de advertirse que, en virtud del artículo 2 de la Convención </w:t>
      </w:r>
      <w:r>
        <w:t>Americana (</w:t>
      </w:r>
      <w:r w:rsidRPr="00836A74">
        <w:t>derecho que también fue alegado como violado en este caso</w:t>
      </w:r>
      <w:r>
        <w:t>),</w:t>
      </w:r>
      <w:r w:rsidRPr="00836A74">
        <w:t xml:space="preserve"> el Estado estaba obligado a suprimir las prácticas de cualquier naturaleza que implicaran una violación a las garantías previstas en </w:t>
      </w:r>
      <w:r>
        <w:t>el Pacto de San José</w:t>
      </w:r>
      <w:r w:rsidRPr="00836A74">
        <w:t>. Por tanto, hubo una omisión del Estado al no adoptar las medidas necesarias para garantizar la posibilidad de interponer un recurso judicial sencillo, rápido y efectivo ante juez o tribunal competente, contra actos violatorios de los derechos fundamentales diferentes al debido proceso, ocurridos en el trámite de un proceso disciplinario. Esta omisión hubiera llevado a una violación del artículo 2 de la Convención en relación con</w:t>
      </w:r>
      <w:r>
        <w:t xml:space="preserve"> el</w:t>
      </w:r>
      <w:r w:rsidRPr="00836A74">
        <w:t xml:space="preserve"> derecho a la protección judicial. </w:t>
      </w:r>
    </w:p>
    <w:p w14:paraId="3CE94D0E" w14:textId="77777777" w:rsidR="006C19B2" w:rsidRDefault="006C19B2" w:rsidP="00D61D5F">
      <w:pPr>
        <w:pStyle w:val="PrrafodeSentencia"/>
        <w:numPr>
          <w:ilvl w:val="0"/>
          <w:numId w:val="0"/>
        </w:numPr>
        <w:tabs>
          <w:tab w:val="clear" w:pos="567"/>
        </w:tabs>
      </w:pPr>
    </w:p>
    <w:p w14:paraId="5D3DDB84" w14:textId="443815A9" w:rsidR="006C19B2" w:rsidRDefault="006C19B2" w:rsidP="00D61D5F">
      <w:pPr>
        <w:pStyle w:val="PrrafodeSentencia"/>
        <w:numPr>
          <w:ilvl w:val="0"/>
          <w:numId w:val="3"/>
        </w:numPr>
        <w:tabs>
          <w:tab w:val="clear" w:pos="567"/>
        </w:tabs>
        <w:ind w:left="0" w:firstLine="0"/>
      </w:pPr>
      <w:r>
        <w:t>Conforme a lo expuesto,</w:t>
      </w:r>
      <w:r w:rsidRPr="00836A74">
        <w:t xml:space="preserve"> estim</w:t>
      </w:r>
      <w:r w:rsidR="00F72A24">
        <w:t>amos</w:t>
      </w:r>
      <w:r w:rsidRPr="00836A74">
        <w:t xml:space="preserve"> </w:t>
      </w:r>
      <w:proofErr w:type="gramStart"/>
      <w:r w:rsidR="003F55F9" w:rsidRPr="00836A74">
        <w:t>que</w:t>
      </w:r>
      <w:proofErr w:type="gramEnd"/>
      <w:r w:rsidRPr="00836A74">
        <w:t xml:space="preserve"> </w:t>
      </w:r>
      <w:r>
        <w:t>si bien</w:t>
      </w:r>
      <w:r w:rsidRPr="00836A74">
        <w:t xml:space="preserve"> el señor </w:t>
      </w:r>
      <w:proofErr w:type="spellStart"/>
      <w:r w:rsidR="00FA45E0">
        <w:t>Cajahuanca</w:t>
      </w:r>
      <w:proofErr w:type="spellEnd"/>
      <w:r w:rsidR="00FA45E0">
        <w:t xml:space="preserve"> Vásquez</w:t>
      </w:r>
      <w:r w:rsidRPr="00836A74">
        <w:t xml:space="preserve"> tuvo acceso al recurso de amparo, </w:t>
      </w:r>
      <w:r w:rsidR="00615303">
        <w:t xml:space="preserve">el mismo </w:t>
      </w:r>
      <w:r w:rsidRPr="00836A74">
        <w:t xml:space="preserve">no constituyó un </w:t>
      </w:r>
      <w:r w:rsidRPr="00615303">
        <w:rPr>
          <w:i/>
          <w:iCs/>
        </w:rPr>
        <w:t>recurso judicial efectivo</w:t>
      </w:r>
      <w:r w:rsidRPr="00836A74">
        <w:t xml:space="preserve"> que le perm</w:t>
      </w:r>
      <w:r>
        <w:t>itiera exponer, ante un juez o t</w:t>
      </w:r>
      <w:r w:rsidRPr="00836A74">
        <w:t xml:space="preserve">ribunal competente, posibles actos violatorios de derechos fundamentales diferentes al debido proceso. </w:t>
      </w:r>
    </w:p>
    <w:p w14:paraId="6827FFAD" w14:textId="77777777" w:rsidR="00D801DF" w:rsidRPr="00D801DF" w:rsidRDefault="00D801DF" w:rsidP="00D801DF">
      <w:pPr>
        <w:rPr>
          <w:lang w:val="es-CR"/>
        </w:rPr>
      </w:pPr>
    </w:p>
    <w:p w14:paraId="291B3118" w14:textId="77777777" w:rsidR="006C19B2" w:rsidRPr="00836A74" w:rsidRDefault="006C19B2" w:rsidP="00D61D5F">
      <w:pPr>
        <w:pStyle w:val="PrrafodeSentencia"/>
        <w:numPr>
          <w:ilvl w:val="0"/>
          <w:numId w:val="0"/>
        </w:numPr>
        <w:tabs>
          <w:tab w:val="clear" w:pos="567"/>
        </w:tabs>
      </w:pPr>
    </w:p>
    <w:p w14:paraId="13372CE7" w14:textId="41933FAA" w:rsidR="006C19B2" w:rsidRPr="003F55F9" w:rsidRDefault="006C19B2" w:rsidP="00D61D5F">
      <w:pPr>
        <w:pStyle w:val="Prrafodelista"/>
        <w:ind w:left="0"/>
        <w:jc w:val="center"/>
        <w:rPr>
          <w:rFonts w:ascii="Verdana" w:hAnsi="Verdana"/>
          <w:b/>
          <w:color w:val="000000" w:themeColor="text1"/>
          <w:sz w:val="20"/>
          <w:szCs w:val="20"/>
          <w:lang w:val="es-ES"/>
        </w:rPr>
      </w:pPr>
      <w:r w:rsidRPr="003F55F9">
        <w:rPr>
          <w:rFonts w:ascii="Verdana" w:hAnsi="Verdana"/>
          <w:b/>
          <w:color w:val="000000" w:themeColor="text1"/>
          <w:sz w:val="20"/>
          <w:szCs w:val="20"/>
          <w:lang w:val="es-ES"/>
        </w:rPr>
        <w:t>V. CONCLUSI</w:t>
      </w:r>
      <w:r w:rsidR="00982A83">
        <w:rPr>
          <w:rFonts w:ascii="Verdana" w:hAnsi="Verdana"/>
          <w:b/>
          <w:color w:val="000000" w:themeColor="text1"/>
          <w:sz w:val="20"/>
          <w:szCs w:val="20"/>
          <w:lang w:val="es-ES"/>
        </w:rPr>
        <w:t>O</w:t>
      </w:r>
      <w:r w:rsidR="007C1CB7">
        <w:rPr>
          <w:rFonts w:ascii="Verdana" w:hAnsi="Verdana"/>
          <w:b/>
          <w:color w:val="000000" w:themeColor="text1"/>
          <w:sz w:val="20"/>
          <w:szCs w:val="20"/>
          <w:lang w:val="es-ES"/>
        </w:rPr>
        <w:t>N</w:t>
      </w:r>
      <w:r w:rsidR="00982A83">
        <w:rPr>
          <w:rFonts w:ascii="Verdana" w:hAnsi="Verdana"/>
          <w:b/>
          <w:color w:val="000000" w:themeColor="text1"/>
          <w:sz w:val="20"/>
          <w:szCs w:val="20"/>
          <w:lang w:val="es-ES"/>
        </w:rPr>
        <w:t>ES</w:t>
      </w:r>
      <w:r w:rsidRPr="003F55F9">
        <w:rPr>
          <w:rFonts w:ascii="Verdana" w:hAnsi="Verdana"/>
          <w:b/>
          <w:color w:val="000000" w:themeColor="text1"/>
          <w:sz w:val="20"/>
          <w:szCs w:val="20"/>
          <w:lang w:val="es-ES"/>
        </w:rPr>
        <w:t xml:space="preserve"> </w:t>
      </w:r>
    </w:p>
    <w:p w14:paraId="46C262D3" w14:textId="77777777" w:rsidR="006C19B2" w:rsidRDefault="006C19B2" w:rsidP="00D61D5F">
      <w:pPr>
        <w:pStyle w:val="Prrafodelista"/>
        <w:ind w:left="0"/>
        <w:jc w:val="both"/>
        <w:rPr>
          <w:rFonts w:ascii="Verdana" w:hAnsi="Verdana"/>
          <w:b/>
          <w:bCs/>
          <w:color w:val="000000" w:themeColor="text1"/>
          <w:sz w:val="20"/>
          <w:szCs w:val="20"/>
          <w:lang w:val="es-ES"/>
        </w:rPr>
      </w:pPr>
    </w:p>
    <w:p w14:paraId="79E69E97" w14:textId="320E1B71" w:rsidR="00180C5E" w:rsidRDefault="00101B82" w:rsidP="00180C5E">
      <w:pPr>
        <w:pStyle w:val="PrrafodeSentencia"/>
        <w:numPr>
          <w:ilvl w:val="0"/>
          <w:numId w:val="3"/>
        </w:numPr>
        <w:tabs>
          <w:tab w:val="clear" w:pos="567"/>
        </w:tabs>
        <w:ind w:left="0" w:firstLine="0"/>
      </w:pPr>
      <w:r>
        <w:t>Tal c</w:t>
      </w:r>
      <w:r w:rsidR="006C19B2" w:rsidRPr="00836A74">
        <w:t>omo he</w:t>
      </w:r>
      <w:r w:rsidR="00F72A24">
        <w:t>mos</w:t>
      </w:r>
      <w:r w:rsidR="006C19B2" w:rsidRPr="00836A74">
        <w:t xml:space="preserve"> </w:t>
      </w:r>
      <w:r w:rsidR="006C19B2">
        <w:t>puesto de manifiesto</w:t>
      </w:r>
      <w:r w:rsidR="006C19B2" w:rsidRPr="00836A74">
        <w:t xml:space="preserve"> en los párrafos precedentes, consider</w:t>
      </w:r>
      <w:r w:rsidR="0089279C">
        <w:t>amos</w:t>
      </w:r>
      <w:r w:rsidR="006C19B2" w:rsidRPr="00836A74">
        <w:t xml:space="preserve"> que </w:t>
      </w:r>
      <w:r w:rsidR="0089279C">
        <w:t xml:space="preserve">el presente caso </w:t>
      </w:r>
      <w:r w:rsidR="006C19B2" w:rsidRPr="00836A74">
        <w:t xml:space="preserve">pudo ser abordado desde otras perspectivas tanto en lo que refiere </w:t>
      </w:r>
      <w:r w:rsidR="006C19B2">
        <w:t xml:space="preserve">a la independencia judicial y al </w:t>
      </w:r>
      <w:r w:rsidR="006C19B2" w:rsidRPr="00836A74">
        <w:t>principio de legalidad</w:t>
      </w:r>
      <w:r w:rsidR="006C19B2">
        <w:t>,</w:t>
      </w:r>
      <w:r w:rsidR="006C19B2" w:rsidRPr="00836A74">
        <w:t xml:space="preserve"> como en lo que concierne a</w:t>
      </w:r>
      <w:r w:rsidR="006C19B2">
        <w:t>l debido proces</w:t>
      </w:r>
      <w:r w:rsidR="00D16CC5">
        <w:t>o,</w:t>
      </w:r>
      <w:r w:rsidR="006C19B2">
        <w:t xml:space="preserve"> </w:t>
      </w:r>
      <w:r w:rsidR="006C19B2" w:rsidRPr="00836A74">
        <w:t>la protección judicial</w:t>
      </w:r>
      <w:r w:rsidR="00D16CC5">
        <w:t>, el derecho al acceso a los cargos público en condiciones de igualdad y el derecho al trabajo</w:t>
      </w:r>
      <w:r w:rsidR="006C19B2" w:rsidRPr="00836A74">
        <w:t xml:space="preserve">. </w:t>
      </w:r>
      <w:r w:rsidR="006C19B2" w:rsidRPr="004323C0">
        <w:t>En la sentencia</w:t>
      </w:r>
      <w:r w:rsidR="0089279C">
        <w:t xml:space="preserve"> </w:t>
      </w:r>
      <w:r w:rsidR="006C19B2" w:rsidRPr="004323C0">
        <w:t>se debió declarar la violación a los artículos 8, 9, 23</w:t>
      </w:r>
      <w:r w:rsidR="00767B2F">
        <w:t>,</w:t>
      </w:r>
      <w:r w:rsidR="006C19B2" w:rsidRPr="004323C0">
        <w:t xml:space="preserve"> 25</w:t>
      </w:r>
      <w:r w:rsidR="00767B2F">
        <w:t xml:space="preserve"> y 26</w:t>
      </w:r>
      <w:r w:rsidR="006C19B2" w:rsidRPr="004323C0">
        <w:t>, en relación con l</w:t>
      </w:r>
      <w:r w:rsidR="00F72A24">
        <w:t>as obligaciones de respeto y garantía estatal, previstas en los</w:t>
      </w:r>
      <w:r w:rsidR="006C19B2" w:rsidRPr="004323C0">
        <w:t xml:space="preserve"> artículos 1 y 2 del Pacto de San José, </w:t>
      </w:r>
      <w:r w:rsidR="00F72A24">
        <w:t xml:space="preserve">y consecuentemente </w:t>
      </w:r>
      <w:r w:rsidR="006C19B2" w:rsidRPr="004323C0">
        <w:t xml:space="preserve">dictar </w:t>
      </w:r>
      <w:r>
        <w:t xml:space="preserve">las </w:t>
      </w:r>
      <w:r w:rsidR="006C19B2" w:rsidRPr="004323C0">
        <w:t xml:space="preserve">medidas de reparación </w:t>
      </w:r>
      <w:r w:rsidR="0089279C">
        <w:t xml:space="preserve">oportunas </w:t>
      </w:r>
      <w:r w:rsidR="006C19B2" w:rsidRPr="004323C0">
        <w:t xml:space="preserve">y no archivar el caso. </w:t>
      </w:r>
    </w:p>
    <w:p w14:paraId="1B3CE098" w14:textId="77777777" w:rsidR="00180C5E" w:rsidRDefault="00180C5E" w:rsidP="00180C5E">
      <w:pPr>
        <w:pStyle w:val="PrrafodeSentencia"/>
        <w:numPr>
          <w:ilvl w:val="0"/>
          <w:numId w:val="0"/>
        </w:numPr>
        <w:tabs>
          <w:tab w:val="clear" w:pos="567"/>
        </w:tabs>
      </w:pPr>
    </w:p>
    <w:p w14:paraId="7251491E" w14:textId="075D3772" w:rsidR="00CB6C06" w:rsidRDefault="006C19B2" w:rsidP="00180C5E">
      <w:pPr>
        <w:pStyle w:val="PrrafodeSentencia"/>
        <w:numPr>
          <w:ilvl w:val="0"/>
          <w:numId w:val="3"/>
        </w:numPr>
        <w:tabs>
          <w:tab w:val="clear" w:pos="567"/>
        </w:tabs>
        <w:ind w:left="0" w:firstLine="0"/>
      </w:pPr>
      <w:r w:rsidRPr="001C2EE0">
        <w:t>Estim</w:t>
      </w:r>
      <w:r w:rsidR="00F72A24">
        <w:t>amos</w:t>
      </w:r>
      <w:r w:rsidRPr="001C2EE0">
        <w:t xml:space="preserve"> que la Corte IDH pudo haber reafirmado su jurisprudencia sobre independencia judicial y </w:t>
      </w:r>
      <w:r>
        <w:t>profundizar</w:t>
      </w:r>
      <w:r w:rsidRPr="001C2EE0">
        <w:t xml:space="preserve"> </w:t>
      </w:r>
      <w:r w:rsidR="0089279C">
        <w:t xml:space="preserve">en </w:t>
      </w:r>
      <w:r w:rsidRPr="001C2EE0">
        <w:t xml:space="preserve">el </w:t>
      </w:r>
      <w:r>
        <w:t xml:space="preserve">análisis del </w:t>
      </w:r>
      <w:r w:rsidRPr="001C2EE0">
        <w:t xml:space="preserve">grado de motivación requerida en un proceso administrativo sancionador cuando el </w:t>
      </w:r>
      <w:r>
        <w:t>órgano disciplinario</w:t>
      </w:r>
      <w:r w:rsidRPr="001C2EE0">
        <w:t xml:space="preserve"> aplica la sanción más severa a un juez basado en tipos disciplinarios abiertos o indeterminados</w:t>
      </w:r>
      <w:r w:rsidR="0089279C">
        <w:t>,</w:t>
      </w:r>
      <w:r w:rsidR="00CB6C06">
        <w:t xml:space="preserve"> y que además implican posibles actos de corrupción en las magistraturas</w:t>
      </w:r>
      <w:r>
        <w:t>, ya que “la exigencia de motivación es aún mayor que en otros procesos disciplinarios”</w:t>
      </w:r>
      <w:r w:rsidRPr="00836A74">
        <w:rPr>
          <w:rStyle w:val="Refdenotaalpie"/>
          <w:szCs w:val="20"/>
          <w:lang w:val="es-ES"/>
        </w:rPr>
        <w:footnoteReference w:id="27"/>
      </w:r>
      <w:r>
        <w:t xml:space="preserve">.  </w:t>
      </w:r>
    </w:p>
    <w:p w14:paraId="296600B2" w14:textId="77777777" w:rsidR="00CB6C06" w:rsidRPr="00CB6C06" w:rsidRDefault="00CB6C06" w:rsidP="00CB6C06">
      <w:pPr>
        <w:rPr>
          <w:lang w:val="es-CR"/>
        </w:rPr>
      </w:pPr>
    </w:p>
    <w:p w14:paraId="25DAAEA4" w14:textId="4960971B" w:rsidR="0084237D" w:rsidRPr="0096610D" w:rsidRDefault="006C19B2" w:rsidP="00D61D5F">
      <w:pPr>
        <w:pStyle w:val="PrrafodeSentencia"/>
        <w:numPr>
          <w:ilvl w:val="0"/>
          <w:numId w:val="3"/>
        </w:numPr>
        <w:tabs>
          <w:tab w:val="clear" w:pos="567"/>
        </w:tabs>
        <w:ind w:left="0" w:firstLine="0"/>
      </w:pPr>
      <w:r w:rsidRPr="0096610D">
        <w:t xml:space="preserve">En un proceso administrativo sancionador a juzgadores en </w:t>
      </w:r>
      <w:r w:rsidR="001D19D8" w:rsidRPr="0096610D">
        <w:t xml:space="preserve">el </w:t>
      </w:r>
      <w:r w:rsidRPr="0096610D">
        <w:t xml:space="preserve">que se aplica la sanción basada en conceptos indeterminados, la motivación no solo se satisface con la mera descripción de hechos e indicar la norma aplicada, sino que es necesario que existan parámetros previos objetivos que le sean de utilidad al órgano sancionador para poder concluir que la conducta encaja de manera objetiva en la norma. Además, tal como sucede en este caso, si una norma contiene más de un elemento abierto es necesario que la motivación se ocupe de manera pormenorizada de ello. </w:t>
      </w:r>
      <w:r w:rsidR="00615303" w:rsidRPr="0096610D">
        <w:t>En estos supuestos</w:t>
      </w:r>
      <w:r w:rsidR="006E33F2" w:rsidRPr="0096610D">
        <w:t xml:space="preserve"> </w:t>
      </w:r>
      <w:r w:rsidR="00615303" w:rsidRPr="0096610D">
        <w:t xml:space="preserve">se </w:t>
      </w:r>
      <w:r w:rsidR="00615303" w:rsidRPr="0096610D">
        <w:rPr>
          <w:szCs w:val="20"/>
          <w:lang w:val="es-ES"/>
        </w:rPr>
        <w:t xml:space="preserve">requiere una </w:t>
      </w:r>
      <w:r w:rsidR="00615303" w:rsidRPr="0096610D">
        <w:rPr>
          <w:i/>
          <w:iCs/>
          <w:szCs w:val="20"/>
          <w:lang w:val="es-ES"/>
        </w:rPr>
        <w:t>motivación reforzada</w:t>
      </w:r>
      <w:r w:rsidR="00615303" w:rsidRPr="0096610D">
        <w:rPr>
          <w:szCs w:val="20"/>
          <w:lang w:val="es-ES"/>
        </w:rPr>
        <w:t xml:space="preserve"> que despeje toda duda de arbitrariedad, en tanto que, como lo ha afirmado la propia Corte IDH, </w:t>
      </w:r>
      <w:r w:rsidR="006E33F2" w:rsidRPr="0096610D">
        <w:rPr>
          <w:szCs w:val="20"/>
          <w:lang w:val="es-419"/>
        </w:rPr>
        <w:t xml:space="preserve">“la protección de la independencia judicial exige que la destitución de </w:t>
      </w:r>
      <w:proofErr w:type="gramStart"/>
      <w:r w:rsidR="006E33F2" w:rsidRPr="0096610D">
        <w:rPr>
          <w:szCs w:val="20"/>
          <w:lang w:val="es-419"/>
        </w:rPr>
        <w:t>jueces y juezas</w:t>
      </w:r>
      <w:proofErr w:type="gramEnd"/>
      <w:r w:rsidR="006E33F2" w:rsidRPr="0096610D">
        <w:rPr>
          <w:szCs w:val="20"/>
          <w:lang w:val="es-419"/>
        </w:rPr>
        <w:t xml:space="preserve"> sea considerada como la </w:t>
      </w:r>
      <w:proofErr w:type="spellStart"/>
      <w:r w:rsidR="006E33F2" w:rsidRPr="0096610D">
        <w:rPr>
          <w:szCs w:val="20"/>
          <w:lang w:val="es-419"/>
        </w:rPr>
        <w:t>ultima</w:t>
      </w:r>
      <w:proofErr w:type="spellEnd"/>
      <w:r w:rsidR="006E33F2" w:rsidRPr="0096610D">
        <w:rPr>
          <w:szCs w:val="20"/>
          <w:lang w:val="es-419"/>
        </w:rPr>
        <w:t xml:space="preserve"> ratio en materia disciplinaria judicial”</w:t>
      </w:r>
      <w:r w:rsidR="006E33F2" w:rsidRPr="0096610D">
        <w:rPr>
          <w:rStyle w:val="Refdenotaalpie"/>
          <w:szCs w:val="20"/>
          <w:lang w:val="pt-BR"/>
        </w:rPr>
        <w:footnoteReference w:id="28"/>
      </w:r>
      <w:r w:rsidR="006E33F2" w:rsidRPr="0096610D">
        <w:rPr>
          <w:szCs w:val="20"/>
          <w:lang w:val="es-419"/>
        </w:rPr>
        <w:t>.</w:t>
      </w:r>
    </w:p>
    <w:p w14:paraId="0AC8C3C8" w14:textId="530B84C8" w:rsidR="007A68EA" w:rsidRDefault="007A68EA" w:rsidP="007A68EA">
      <w:pPr>
        <w:rPr>
          <w:lang w:val="es-CR"/>
        </w:rPr>
      </w:pPr>
    </w:p>
    <w:p w14:paraId="0816548B" w14:textId="77777777" w:rsidR="00C75701" w:rsidRDefault="007A68EA" w:rsidP="00C75701">
      <w:pPr>
        <w:pStyle w:val="PrrafodeSentencia"/>
        <w:numPr>
          <w:ilvl w:val="0"/>
          <w:numId w:val="3"/>
        </w:numPr>
        <w:tabs>
          <w:tab w:val="clear" w:pos="567"/>
        </w:tabs>
        <w:ind w:left="0" w:firstLine="0"/>
      </w:pPr>
      <w:r>
        <w:t>L</w:t>
      </w:r>
      <w:r w:rsidRPr="00836A74">
        <w:t xml:space="preserve">o anterior se ve agravado </w:t>
      </w:r>
      <w:r>
        <w:t>en el caso, ya que al momento de los hechos</w:t>
      </w:r>
      <w:r w:rsidRPr="00836A74">
        <w:t xml:space="preserve"> no existía un recurso judicial efectivo que </w:t>
      </w:r>
      <w:r>
        <w:t xml:space="preserve">permitiera el análisis </w:t>
      </w:r>
      <w:r w:rsidRPr="00836A74">
        <w:t xml:space="preserve">de </w:t>
      </w:r>
      <w:r>
        <w:t>los</w:t>
      </w:r>
      <w:r w:rsidRPr="00836A74">
        <w:t xml:space="preserve"> derechos fundamentales </w:t>
      </w:r>
      <w:r>
        <w:t>en juego, sino sólo respecto al debido proceso, cuestión que años más tarde fue permitida por la jurisprudencia nacional, como indicó el Estado en la información suministrada al Tribunal Interamericano.</w:t>
      </w:r>
      <w:r w:rsidRPr="00836A74">
        <w:t xml:space="preserve"> </w:t>
      </w:r>
    </w:p>
    <w:p w14:paraId="72635C36" w14:textId="77777777" w:rsidR="00C75701" w:rsidRDefault="00C75701" w:rsidP="00C75701">
      <w:pPr>
        <w:pStyle w:val="PrrafodeSentencia"/>
        <w:numPr>
          <w:ilvl w:val="0"/>
          <w:numId w:val="0"/>
        </w:numPr>
        <w:tabs>
          <w:tab w:val="clear" w:pos="567"/>
        </w:tabs>
      </w:pPr>
    </w:p>
    <w:p w14:paraId="3FBC376F" w14:textId="5BB60ED1" w:rsidR="00862943" w:rsidRDefault="0089279C" w:rsidP="00C75701">
      <w:pPr>
        <w:pStyle w:val="PrrafodeSentencia"/>
        <w:numPr>
          <w:ilvl w:val="0"/>
          <w:numId w:val="3"/>
        </w:numPr>
        <w:tabs>
          <w:tab w:val="clear" w:pos="567"/>
        </w:tabs>
        <w:ind w:left="0" w:firstLine="0"/>
      </w:pPr>
      <w:r>
        <w:t>En suma, en un Estado constitucional y democrático de derecho e</w:t>
      </w:r>
      <w:r w:rsidRPr="00836A74">
        <w:t>s preciso extremar las precauciones para que las medidas</w:t>
      </w:r>
      <w:r>
        <w:t xml:space="preserve"> sancionatorias</w:t>
      </w:r>
      <w:r w:rsidRPr="00836A74">
        <w:t xml:space="preserve"> que se adopten sean en estricto respeto a los derechos básicos de las personas y previa una cuidadosa verificación de la </w:t>
      </w:r>
      <w:r>
        <w:t xml:space="preserve">efectiva existencia de la </w:t>
      </w:r>
      <w:r w:rsidRPr="00836A74">
        <w:t>conducta ilícita</w:t>
      </w:r>
      <w:r w:rsidRPr="00836A74">
        <w:rPr>
          <w:rStyle w:val="Refdenotaalpie"/>
          <w:szCs w:val="20"/>
          <w:lang w:val="es-ES"/>
        </w:rPr>
        <w:footnoteReference w:id="29"/>
      </w:r>
      <w:r w:rsidRPr="00836A74">
        <w:t xml:space="preserve">. </w:t>
      </w:r>
      <w:r>
        <w:t xml:space="preserve">Lo anterior es especialmente relevante cuando </w:t>
      </w:r>
      <w:r w:rsidRPr="00C75701">
        <w:rPr>
          <w:i/>
          <w:iCs/>
        </w:rPr>
        <w:t>la independencia judicial se encuentra en juego, al involucrarse las garantías de estabilidad e inamovilidad del juzgador</w:t>
      </w:r>
      <w:r>
        <w:t>. E</w:t>
      </w:r>
      <w:r w:rsidRPr="00836A74">
        <w:t>l principio de legalidad pres</w:t>
      </w:r>
      <w:r>
        <w:t xml:space="preserve">ide la actuación de los órganos </w:t>
      </w:r>
      <w:r w:rsidRPr="00836A74">
        <w:t xml:space="preserve">del Estado, en sus respectivas competencias, particularmente cuando viene al caso el </w:t>
      </w:r>
      <w:r w:rsidRPr="00836A74">
        <w:lastRenderedPageBreak/>
        <w:t>ejercicio del poder punitivo en el que se manifiesta, con máxima fuerza, una de las sanciones más intensas del Estado frente a la judicatura: la destitución</w:t>
      </w:r>
      <w:r w:rsidRPr="00836A74">
        <w:rPr>
          <w:rStyle w:val="Refdenotaalpie"/>
          <w:szCs w:val="20"/>
          <w:lang w:val="es-ES"/>
        </w:rPr>
        <w:footnoteReference w:id="30"/>
      </w:r>
      <w:r w:rsidRPr="00836A74">
        <w:t xml:space="preserve">. </w:t>
      </w:r>
    </w:p>
    <w:p w14:paraId="17BDB689" w14:textId="77777777" w:rsidR="007C61D9" w:rsidRDefault="007C61D9" w:rsidP="007C61D9">
      <w:pPr>
        <w:rPr>
          <w:lang w:val="es-CR"/>
        </w:rPr>
      </w:pPr>
    </w:p>
    <w:p w14:paraId="4593B242" w14:textId="77777777" w:rsidR="007C61D9" w:rsidRDefault="007C61D9" w:rsidP="007C61D9">
      <w:pPr>
        <w:pStyle w:val="PrrafodeSentencia"/>
        <w:numPr>
          <w:ilvl w:val="0"/>
          <w:numId w:val="0"/>
        </w:numPr>
        <w:tabs>
          <w:tab w:val="clear" w:pos="567"/>
        </w:tabs>
      </w:pPr>
    </w:p>
    <w:p w14:paraId="4E2A6A36" w14:textId="77777777" w:rsidR="007C61D9" w:rsidRDefault="007C61D9" w:rsidP="007C61D9">
      <w:pPr>
        <w:rPr>
          <w:lang w:val="es-CR"/>
        </w:rPr>
      </w:pPr>
    </w:p>
    <w:p w14:paraId="4C398A75" w14:textId="77777777" w:rsidR="007C61D9" w:rsidRPr="007A68EA" w:rsidRDefault="007C61D9" w:rsidP="007C61D9">
      <w:pPr>
        <w:rPr>
          <w:lang w:val="es-CR"/>
        </w:rPr>
      </w:pPr>
    </w:p>
    <w:p w14:paraId="56819979" w14:textId="77777777" w:rsidR="007C61D9" w:rsidRDefault="007C61D9" w:rsidP="007C61D9">
      <w:pPr>
        <w:pStyle w:val="PrrafodeSentencia"/>
        <w:numPr>
          <w:ilvl w:val="0"/>
          <w:numId w:val="0"/>
        </w:numPr>
        <w:tabs>
          <w:tab w:val="clear" w:pos="567"/>
        </w:tabs>
        <w:rPr>
          <w:b/>
          <w:bCs/>
        </w:rPr>
      </w:pPr>
    </w:p>
    <w:p w14:paraId="44E9912C" w14:textId="77777777" w:rsidR="007C61D9" w:rsidRPr="00FB40F5" w:rsidRDefault="007C61D9" w:rsidP="007C61D9">
      <w:pPr>
        <w:pBdr>
          <w:top w:val="nil"/>
          <w:left w:val="nil"/>
          <w:bottom w:val="nil"/>
          <w:right w:val="nil"/>
          <w:between w:val="nil"/>
        </w:pBdr>
        <w:ind w:right="96" w:firstLine="708"/>
        <w:jc w:val="both"/>
        <w:rPr>
          <w:rFonts w:ascii="Verdana" w:eastAsia="Verdana" w:hAnsi="Verdana" w:cs="Verdana"/>
          <w:color w:val="000000"/>
          <w:sz w:val="20"/>
          <w:szCs w:val="20"/>
          <w:lang w:val="pt-BR"/>
        </w:rPr>
      </w:pPr>
      <w:r w:rsidRPr="00FB40F5">
        <w:rPr>
          <w:rFonts w:ascii="Verdana" w:eastAsia="Verdana" w:hAnsi="Verdana" w:cs="Verdana"/>
          <w:color w:val="000000"/>
          <w:sz w:val="20"/>
          <w:szCs w:val="20"/>
          <w:lang w:val="pt-BR"/>
        </w:rPr>
        <w:t>Eduardo Ferrer Mac-Gregor Poisot                             Rodrigo Mudrovitsch</w:t>
      </w:r>
    </w:p>
    <w:p w14:paraId="4F731322" w14:textId="77777777" w:rsidR="007C61D9" w:rsidRDefault="007C61D9" w:rsidP="007C61D9">
      <w:pPr>
        <w:pBdr>
          <w:top w:val="nil"/>
          <w:left w:val="nil"/>
          <w:bottom w:val="nil"/>
          <w:right w:val="nil"/>
          <w:between w:val="nil"/>
        </w:pBdr>
        <w:ind w:left="1416" w:right="96" w:firstLine="707"/>
        <w:jc w:val="both"/>
        <w:rPr>
          <w:rFonts w:ascii="Verdana" w:eastAsia="Verdana" w:hAnsi="Verdana" w:cs="Verdana"/>
          <w:color w:val="000000"/>
          <w:sz w:val="20"/>
          <w:szCs w:val="20"/>
        </w:rPr>
      </w:pPr>
      <w:r>
        <w:rPr>
          <w:rFonts w:ascii="Verdana" w:eastAsia="Verdana" w:hAnsi="Verdana" w:cs="Verdana"/>
          <w:color w:val="000000"/>
          <w:sz w:val="20"/>
          <w:szCs w:val="20"/>
        </w:rPr>
        <w:t xml:space="preserve">Juez </w:t>
      </w:r>
      <w:r>
        <w:rPr>
          <w:rFonts w:ascii="Verdana" w:eastAsia="Verdana" w:hAnsi="Verdana" w:cs="Verdana"/>
          <w:color w:val="000000"/>
          <w:sz w:val="20"/>
          <w:szCs w:val="20"/>
        </w:rPr>
        <w:tab/>
      </w:r>
      <w:r>
        <w:rPr>
          <w:rFonts w:ascii="Verdana" w:eastAsia="Verdana" w:hAnsi="Verdana" w:cs="Verdana"/>
          <w:color w:val="000000"/>
          <w:sz w:val="20"/>
          <w:szCs w:val="20"/>
        </w:rPr>
        <w:tab/>
      </w:r>
      <w:r>
        <w:rPr>
          <w:rFonts w:ascii="Verdana" w:eastAsia="Verdana" w:hAnsi="Verdana" w:cs="Verdana"/>
          <w:color w:val="000000"/>
          <w:sz w:val="20"/>
          <w:szCs w:val="20"/>
        </w:rPr>
        <w:tab/>
      </w:r>
      <w:r>
        <w:rPr>
          <w:rFonts w:ascii="Verdana" w:eastAsia="Verdana" w:hAnsi="Verdana" w:cs="Verdana"/>
          <w:color w:val="000000"/>
          <w:sz w:val="20"/>
          <w:szCs w:val="20"/>
        </w:rPr>
        <w:tab/>
      </w:r>
      <w:r>
        <w:rPr>
          <w:rFonts w:ascii="Verdana" w:eastAsia="Verdana" w:hAnsi="Verdana" w:cs="Verdana"/>
          <w:color w:val="000000"/>
          <w:sz w:val="20"/>
          <w:szCs w:val="20"/>
        </w:rPr>
        <w:tab/>
      </w:r>
      <w:r>
        <w:rPr>
          <w:rFonts w:ascii="Verdana" w:eastAsia="Verdana" w:hAnsi="Verdana" w:cs="Verdana"/>
          <w:color w:val="000000"/>
          <w:sz w:val="20"/>
          <w:szCs w:val="20"/>
        </w:rPr>
        <w:tab/>
        <w:t xml:space="preserve">          </w:t>
      </w:r>
      <w:proofErr w:type="spellStart"/>
      <w:r>
        <w:rPr>
          <w:rFonts w:ascii="Verdana" w:eastAsia="Verdana" w:hAnsi="Verdana" w:cs="Verdana"/>
          <w:color w:val="000000"/>
          <w:sz w:val="20"/>
          <w:szCs w:val="20"/>
        </w:rPr>
        <w:t>Juez</w:t>
      </w:r>
      <w:proofErr w:type="spellEnd"/>
    </w:p>
    <w:p w14:paraId="0CB1EA81" w14:textId="77777777" w:rsidR="007C61D9" w:rsidRDefault="007C61D9" w:rsidP="007C61D9">
      <w:pPr>
        <w:rPr>
          <w:rFonts w:ascii="Verdana" w:eastAsia="Verdana" w:hAnsi="Verdana" w:cs="Verdana"/>
          <w:sz w:val="20"/>
          <w:szCs w:val="20"/>
        </w:rPr>
      </w:pPr>
    </w:p>
    <w:p w14:paraId="207E009A" w14:textId="77777777" w:rsidR="007C61D9" w:rsidRDefault="007C61D9" w:rsidP="007C61D9">
      <w:pPr>
        <w:rPr>
          <w:rFonts w:ascii="Verdana" w:eastAsia="Verdana" w:hAnsi="Verdana" w:cs="Verdana"/>
          <w:sz w:val="20"/>
          <w:szCs w:val="20"/>
        </w:rPr>
      </w:pPr>
    </w:p>
    <w:p w14:paraId="1CE9CE18" w14:textId="77777777" w:rsidR="007C61D9" w:rsidRDefault="007C61D9" w:rsidP="007C61D9">
      <w:pPr>
        <w:rPr>
          <w:rFonts w:ascii="Verdana" w:eastAsia="Verdana" w:hAnsi="Verdana" w:cs="Verdana"/>
          <w:sz w:val="20"/>
          <w:szCs w:val="20"/>
        </w:rPr>
      </w:pPr>
    </w:p>
    <w:p w14:paraId="50942065" w14:textId="77777777" w:rsidR="007C61D9" w:rsidRDefault="007C61D9" w:rsidP="007C61D9">
      <w:pPr>
        <w:rPr>
          <w:rFonts w:ascii="Verdana" w:eastAsia="Verdana" w:hAnsi="Verdana" w:cs="Verdana"/>
          <w:sz w:val="20"/>
          <w:szCs w:val="20"/>
        </w:rPr>
      </w:pPr>
    </w:p>
    <w:p w14:paraId="5DABACF0" w14:textId="77777777" w:rsidR="007C61D9" w:rsidRDefault="007C61D9" w:rsidP="007C61D9">
      <w:pPr>
        <w:rPr>
          <w:rFonts w:ascii="Verdana" w:eastAsia="Verdana" w:hAnsi="Verdana" w:cs="Verdana"/>
          <w:sz w:val="20"/>
          <w:szCs w:val="20"/>
        </w:rPr>
      </w:pPr>
    </w:p>
    <w:p w14:paraId="1E1662C2" w14:textId="77777777" w:rsidR="007C61D9" w:rsidRDefault="007C61D9" w:rsidP="007C61D9">
      <w:pPr>
        <w:rPr>
          <w:rFonts w:ascii="Verdana" w:eastAsia="Verdana" w:hAnsi="Verdana" w:cs="Verdana"/>
          <w:sz w:val="20"/>
          <w:szCs w:val="20"/>
        </w:rPr>
      </w:pPr>
    </w:p>
    <w:p w14:paraId="5BD771B5" w14:textId="77777777" w:rsidR="007C61D9" w:rsidRDefault="007C61D9" w:rsidP="007C61D9">
      <w:pPr>
        <w:rPr>
          <w:rFonts w:ascii="Verdana" w:eastAsia="Verdana" w:hAnsi="Verdana" w:cs="Verdana"/>
          <w:sz w:val="20"/>
          <w:szCs w:val="20"/>
        </w:rPr>
      </w:pPr>
      <w:r>
        <w:rPr>
          <w:rFonts w:ascii="Verdana" w:eastAsia="Verdana" w:hAnsi="Verdana" w:cs="Verdana"/>
          <w:sz w:val="20"/>
          <w:szCs w:val="20"/>
        </w:rPr>
        <w:t xml:space="preserve">           Pablo Saavedra Alessandri</w:t>
      </w:r>
    </w:p>
    <w:p w14:paraId="733226A9" w14:textId="77777777" w:rsidR="007C61D9" w:rsidRDefault="007C61D9" w:rsidP="007C61D9">
      <w:pPr>
        <w:pBdr>
          <w:top w:val="nil"/>
          <w:left w:val="nil"/>
          <w:bottom w:val="nil"/>
          <w:right w:val="nil"/>
          <w:between w:val="nil"/>
        </w:pBdr>
        <w:jc w:val="both"/>
        <w:rPr>
          <w:rFonts w:ascii="Verdana" w:eastAsia="Verdana" w:hAnsi="Verdana" w:cs="Verdana"/>
          <w:color w:val="000000"/>
          <w:sz w:val="20"/>
          <w:szCs w:val="20"/>
        </w:rPr>
      </w:pPr>
      <w:r>
        <w:rPr>
          <w:rFonts w:ascii="Verdana" w:eastAsia="Verdana" w:hAnsi="Verdana" w:cs="Verdana"/>
          <w:color w:val="000000"/>
          <w:sz w:val="20"/>
          <w:szCs w:val="20"/>
        </w:rPr>
        <w:tab/>
        <w:t xml:space="preserve">             Secretario</w:t>
      </w:r>
    </w:p>
    <w:p w14:paraId="61063107" w14:textId="77777777" w:rsidR="007C61D9" w:rsidRPr="007C61D9" w:rsidRDefault="007C61D9" w:rsidP="007C61D9"/>
    <w:sectPr w:rsidR="007C61D9" w:rsidRPr="007C61D9" w:rsidSect="002B26FC">
      <w:footerReference w:type="even" r:id="rId8"/>
      <w:footerReference w:type="default" r:id="rId9"/>
      <w:pgSz w:w="12240" w:h="15840"/>
      <w:pgMar w:top="1531" w:right="1814" w:bottom="153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183AC" w14:textId="77777777" w:rsidR="002B26FC" w:rsidRDefault="002B26FC" w:rsidP="005A1674">
      <w:r>
        <w:separator/>
      </w:r>
    </w:p>
  </w:endnote>
  <w:endnote w:type="continuationSeparator" w:id="0">
    <w:p w14:paraId="3FEFC6D3" w14:textId="77777777" w:rsidR="002B26FC" w:rsidRDefault="002B26FC" w:rsidP="005A1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821657086"/>
      <w:docPartObj>
        <w:docPartGallery w:val="Page Numbers (Bottom of Page)"/>
        <w:docPartUnique/>
      </w:docPartObj>
    </w:sdtPr>
    <w:sdtContent>
      <w:p w14:paraId="3062A89C" w14:textId="77777777" w:rsidR="00723577" w:rsidRDefault="00723577" w:rsidP="00FB7AF7">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3EB3360" w14:textId="77777777" w:rsidR="00723577" w:rsidRDefault="00723577" w:rsidP="0048290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629815"/>
      <w:docPartObj>
        <w:docPartGallery w:val="Page Numbers (Bottom of Page)"/>
        <w:docPartUnique/>
      </w:docPartObj>
    </w:sdtPr>
    <w:sdtContent>
      <w:p w14:paraId="14D3EED1" w14:textId="77777777" w:rsidR="00723577" w:rsidRDefault="00723577" w:rsidP="00FB7AF7">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EC5F46">
          <w:rPr>
            <w:rStyle w:val="Nmerodepgina"/>
            <w:noProof/>
          </w:rPr>
          <w:t>15</w:t>
        </w:r>
        <w:r>
          <w:rPr>
            <w:rStyle w:val="Nmerodepgina"/>
          </w:rPr>
          <w:fldChar w:fldCharType="end"/>
        </w:r>
      </w:p>
    </w:sdtContent>
  </w:sdt>
  <w:p w14:paraId="217D9734" w14:textId="77777777" w:rsidR="00723577" w:rsidRDefault="00723577" w:rsidP="0048290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36E73" w14:textId="77777777" w:rsidR="002B26FC" w:rsidRDefault="002B26FC" w:rsidP="005A1674">
      <w:r>
        <w:separator/>
      </w:r>
    </w:p>
  </w:footnote>
  <w:footnote w:type="continuationSeparator" w:id="0">
    <w:p w14:paraId="200DD526" w14:textId="77777777" w:rsidR="002B26FC" w:rsidRDefault="002B26FC" w:rsidP="005A1674">
      <w:r>
        <w:continuationSeparator/>
      </w:r>
    </w:p>
  </w:footnote>
  <w:footnote w:id="1">
    <w:p w14:paraId="70B8F9E9" w14:textId="60B1F43F" w:rsidR="00D03525" w:rsidRPr="00BB158D" w:rsidRDefault="00D03525" w:rsidP="00BB158D">
      <w:pPr>
        <w:pStyle w:val="Textonotapie"/>
        <w:spacing w:after="0" w:line="240" w:lineRule="auto"/>
        <w:jc w:val="both"/>
        <w:rPr>
          <w:rFonts w:ascii="Verdana" w:hAnsi="Verdana"/>
          <w:sz w:val="16"/>
          <w:szCs w:val="16"/>
        </w:rPr>
      </w:pPr>
      <w:r w:rsidRPr="00BB158D">
        <w:rPr>
          <w:rStyle w:val="Refdenotaalpie"/>
          <w:rFonts w:ascii="Verdana" w:hAnsi="Verdana"/>
          <w:sz w:val="16"/>
          <w:szCs w:val="16"/>
        </w:rPr>
        <w:footnoteRef/>
      </w:r>
      <w:r w:rsidRPr="00BB158D">
        <w:rPr>
          <w:rFonts w:ascii="Verdana" w:hAnsi="Verdana"/>
          <w:sz w:val="16"/>
          <w:szCs w:val="16"/>
        </w:rPr>
        <w:t xml:space="preserve"> </w:t>
      </w:r>
      <w:r w:rsidR="00EB6824" w:rsidRPr="00BB158D">
        <w:rPr>
          <w:rFonts w:ascii="Verdana" w:hAnsi="Verdana"/>
          <w:sz w:val="16"/>
          <w:szCs w:val="16"/>
        </w:rPr>
        <w:tab/>
      </w:r>
      <w:r w:rsidRPr="008436BE">
        <w:rPr>
          <w:rFonts w:ascii="Verdana" w:hAnsi="Verdana"/>
          <w:i/>
          <w:iCs/>
          <w:color w:val="000000" w:themeColor="text1"/>
          <w:sz w:val="16"/>
          <w:szCs w:val="16"/>
          <w:lang w:val="es-ES"/>
        </w:rPr>
        <w:t xml:space="preserve">Caso Cordero Bernal Vs. Perú. Excepción Preliminar y Fondo. </w:t>
      </w:r>
      <w:r w:rsidRPr="008436BE">
        <w:rPr>
          <w:rFonts w:ascii="Verdana" w:hAnsi="Verdana"/>
          <w:color w:val="000000" w:themeColor="text1"/>
          <w:sz w:val="16"/>
          <w:szCs w:val="16"/>
          <w:lang w:val="es-ES"/>
        </w:rPr>
        <w:t>Sentencia de 16 de febrero de 2021. Serie C No. 421. Voto</w:t>
      </w:r>
      <w:r w:rsidR="00584251" w:rsidRPr="008436BE">
        <w:rPr>
          <w:rFonts w:ascii="Verdana" w:hAnsi="Verdana"/>
          <w:color w:val="000000" w:themeColor="text1"/>
          <w:sz w:val="16"/>
          <w:szCs w:val="16"/>
          <w:lang w:val="es-ES"/>
        </w:rPr>
        <w:t>s</w:t>
      </w:r>
      <w:r w:rsidRPr="008436BE">
        <w:rPr>
          <w:rFonts w:ascii="Verdana" w:hAnsi="Verdana"/>
          <w:color w:val="000000" w:themeColor="text1"/>
          <w:sz w:val="16"/>
          <w:szCs w:val="16"/>
          <w:lang w:val="es-ES"/>
        </w:rPr>
        <w:t xml:space="preserve"> disidente</w:t>
      </w:r>
      <w:r w:rsidR="00584251" w:rsidRPr="008436BE">
        <w:rPr>
          <w:rFonts w:ascii="Verdana" w:hAnsi="Verdana"/>
          <w:color w:val="000000" w:themeColor="text1"/>
          <w:sz w:val="16"/>
          <w:szCs w:val="16"/>
          <w:lang w:val="es-ES"/>
        </w:rPr>
        <w:t>s</w:t>
      </w:r>
      <w:r w:rsidRPr="008436BE">
        <w:rPr>
          <w:rFonts w:ascii="Verdana" w:hAnsi="Verdana"/>
          <w:color w:val="000000" w:themeColor="text1"/>
          <w:sz w:val="16"/>
          <w:szCs w:val="16"/>
          <w:lang w:val="es-ES"/>
        </w:rPr>
        <w:t xml:space="preserve"> de</w:t>
      </w:r>
      <w:r w:rsidR="00584251" w:rsidRPr="008436BE">
        <w:rPr>
          <w:rFonts w:ascii="Verdana" w:hAnsi="Verdana"/>
          <w:color w:val="000000" w:themeColor="text1"/>
          <w:sz w:val="16"/>
          <w:szCs w:val="16"/>
          <w:lang w:val="es-ES"/>
        </w:rPr>
        <w:t xml:space="preserve"> los jueces</w:t>
      </w:r>
      <w:r w:rsidRPr="008436BE">
        <w:rPr>
          <w:rFonts w:ascii="Verdana" w:hAnsi="Verdana"/>
          <w:color w:val="000000" w:themeColor="text1"/>
          <w:sz w:val="16"/>
          <w:szCs w:val="16"/>
          <w:lang w:val="es-ES"/>
        </w:rPr>
        <w:t xml:space="preserve"> Eduardo Ferrer Mac-</w:t>
      </w:r>
      <w:proofErr w:type="spellStart"/>
      <w:r w:rsidRPr="008436BE">
        <w:rPr>
          <w:rFonts w:ascii="Verdana" w:hAnsi="Verdana"/>
          <w:color w:val="000000" w:themeColor="text1"/>
          <w:sz w:val="16"/>
          <w:szCs w:val="16"/>
          <w:lang w:val="es-ES"/>
        </w:rPr>
        <w:t>Gregor</w:t>
      </w:r>
      <w:proofErr w:type="spellEnd"/>
      <w:r w:rsidRPr="008436BE">
        <w:rPr>
          <w:rFonts w:ascii="Verdana" w:hAnsi="Verdana"/>
          <w:color w:val="000000" w:themeColor="text1"/>
          <w:sz w:val="16"/>
          <w:szCs w:val="16"/>
          <w:lang w:val="es-ES"/>
        </w:rPr>
        <w:t xml:space="preserve"> </w:t>
      </w:r>
      <w:proofErr w:type="spellStart"/>
      <w:r w:rsidRPr="008436BE">
        <w:rPr>
          <w:rFonts w:ascii="Verdana" w:hAnsi="Verdana"/>
          <w:color w:val="000000" w:themeColor="text1"/>
          <w:sz w:val="16"/>
          <w:szCs w:val="16"/>
          <w:lang w:val="es-ES"/>
        </w:rPr>
        <w:t>Poisot</w:t>
      </w:r>
      <w:proofErr w:type="spellEnd"/>
      <w:r w:rsidR="00584251" w:rsidRPr="008436BE">
        <w:rPr>
          <w:rFonts w:ascii="Verdana" w:hAnsi="Verdana"/>
          <w:color w:val="000000" w:themeColor="text1"/>
          <w:sz w:val="16"/>
          <w:szCs w:val="16"/>
          <w:lang w:val="es-ES"/>
        </w:rPr>
        <w:t xml:space="preserve"> y Patricio Pazmiño Freire.</w:t>
      </w:r>
    </w:p>
  </w:footnote>
  <w:footnote w:id="2">
    <w:p w14:paraId="122543E1" w14:textId="77777777" w:rsidR="006C19B2" w:rsidRPr="008436BE" w:rsidRDefault="006C19B2" w:rsidP="00BB158D">
      <w:pPr>
        <w:jc w:val="both"/>
        <w:rPr>
          <w:rFonts w:ascii="Verdana" w:hAnsi="Verdana" w:cs="Arial"/>
          <w:sz w:val="16"/>
          <w:szCs w:val="16"/>
        </w:rPr>
      </w:pPr>
      <w:r w:rsidRPr="008436BE">
        <w:rPr>
          <w:rStyle w:val="Refdenotaalpie"/>
          <w:rFonts w:ascii="Verdana" w:hAnsi="Verdana" w:cs="Arial"/>
          <w:sz w:val="16"/>
          <w:szCs w:val="16"/>
        </w:rPr>
        <w:footnoteRef/>
      </w:r>
      <w:r w:rsidRPr="008436BE">
        <w:rPr>
          <w:rFonts w:ascii="Verdana" w:hAnsi="Verdana" w:cs="Arial"/>
          <w:sz w:val="16"/>
          <w:szCs w:val="16"/>
        </w:rPr>
        <w:t xml:space="preserve"> </w:t>
      </w:r>
      <w:r w:rsidRPr="008436BE">
        <w:rPr>
          <w:rFonts w:ascii="Verdana" w:hAnsi="Verdana" w:cs="Arial"/>
          <w:sz w:val="16"/>
          <w:szCs w:val="16"/>
        </w:rPr>
        <w:tab/>
      </w:r>
      <w:r w:rsidRPr="008436BE">
        <w:rPr>
          <w:rFonts w:ascii="Verdana" w:hAnsi="Verdana" w:cs="Arial"/>
          <w:i/>
          <w:sz w:val="16"/>
          <w:szCs w:val="16"/>
        </w:rPr>
        <w:t xml:space="preserve">Cfr. Mutatis </w:t>
      </w:r>
      <w:r w:rsidRPr="008436BE">
        <w:rPr>
          <w:rFonts w:ascii="Verdana" w:hAnsi="Verdana" w:cs="Arial"/>
          <w:i/>
          <w:sz w:val="16"/>
          <w:szCs w:val="16"/>
          <w:lang w:val="es-ES"/>
        </w:rPr>
        <w:t>m</w:t>
      </w:r>
      <w:proofErr w:type="spellStart"/>
      <w:r w:rsidRPr="008436BE">
        <w:rPr>
          <w:rFonts w:ascii="Verdana" w:hAnsi="Verdana" w:cs="Arial"/>
          <w:i/>
          <w:sz w:val="16"/>
          <w:szCs w:val="16"/>
        </w:rPr>
        <w:t>utandis</w:t>
      </w:r>
      <w:proofErr w:type="spellEnd"/>
      <w:r w:rsidRPr="008436BE">
        <w:rPr>
          <w:rFonts w:ascii="Verdana" w:hAnsi="Verdana" w:cs="Arial"/>
          <w:i/>
          <w:sz w:val="16"/>
          <w:szCs w:val="16"/>
        </w:rPr>
        <w:t xml:space="preserve">, </w:t>
      </w:r>
      <w:r w:rsidRPr="008436BE">
        <w:rPr>
          <w:rFonts w:ascii="Verdana" w:hAnsi="Verdana" w:cs="Arial"/>
          <w:i/>
          <w:sz w:val="16"/>
          <w:szCs w:val="16"/>
          <w:shd w:val="clear" w:color="auto" w:fill="FFFFFF"/>
        </w:rPr>
        <w:t xml:space="preserve">Caso Urrutia </w:t>
      </w:r>
      <w:proofErr w:type="spellStart"/>
      <w:r w:rsidRPr="008436BE">
        <w:rPr>
          <w:rFonts w:ascii="Verdana" w:hAnsi="Verdana" w:cs="Arial"/>
          <w:i/>
          <w:sz w:val="16"/>
          <w:szCs w:val="16"/>
          <w:shd w:val="clear" w:color="auto" w:fill="FFFFFF"/>
        </w:rPr>
        <w:t>Laubreaux</w:t>
      </w:r>
      <w:proofErr w:type="spellEnd"/>
      <w:r w:rsidRPr="008436BE">
        <w:rPr>
          <w:rFonts w:ascii="Verdana" w:hAnsi="Verdana" w:cs="Arial"/>
          <w:i/>
          <w:sz w:val="16"/>
          <w:szCs w:val="16"/>
          <w:shd w:val="clear" w:color="auto" w:fill="FFFFFF"/>
        </w:rPr>
        <w:t xml:space="preserve"> Vs. Chile. Excepciones Preliminares, Fondo, Reparaciones y Costas</w:t>
      </w:r>
      <w:r w:rsidRPr="008436BE">
        <w:rPr>
          <w:rFonts w:ascii="Verdana" w:hAnsi="Verdana" w:cs="Arial"/>
          <w:sz w:val="16"/>
          <w:szCs w:val="16"/>
          <w:shd w:val="clear" w:color="auto" w:fill="FFFFFF"/>
        </w:rPr>
        <w:t xml:space="preserve">. Sentencia de 27 de agosto de 2020. Serie C No. 409, </w:t>
      </w:r>
      <w:r w:rsidRPr="008436BE">
        <w:rPr>
          <w:rFonts w:ascii="Verdana" w:hAnsi="Verdana" w:cs="Arial"/>
          <w:sz w:val="16"/>
          <w:szCs w:val="16"/>
        </w:rPr>
        <w:t>párr. 131</w:t>
      </w:r>
      <w:r w:rsidRPr="008436BE">
        <w:rPr>
          <w:rFonts w:ascii="Verdana" w:hAnsi="Verdana" w:cs="Arial"/>
          <w:sz w:val="16"/>
          <w:szCs w:val="16"/>
          <w:lang w:val="es-ES"/>
        </w:rPr>
        <w:t xml:space="preserve"> y</w:t>
      </w:r>
      <w:r w:rsidRPr="008436BE">
        <w:rPr>
          <w:rFonts w:ascii="Verdana" w:hAnsi="Verdana" w:cs="Arial"/>
          <w:sz w:val="16"/>
          <w:szCs w:val="16"/>
        </w:rPr>
        <w:t xml:space="preserve"> Principios Bangalore sobre la conducta judicial. Principios 1.1 al 1.6. </w:t>
      </w:r>
    </w:p>
  </w:footnote>
  <w:footnote w:id="3">
    <w:p w14:paraId="26437B17" w14:textId="4BCE9C2D" w:rsidR="00D03720" w:rsidRPr="008436BE" w:rsidRDefault="00D03720" w:rsidP="00BB158D">
      <w:pPr>
        <w:pStyle w:val="Textonotapie"/>
        <w:spacing w:after="0" w:line="240" w:lineRule="auto"/>
        <w:jc w:val="both"/>
        <w:rPr>
          <w:rFonts w:ascii="Verdana" w:hAnsi="Verdana"/>
          <w:sz w:val="16"/>
          <w:szCs w:val="16"/>
          <w:lang w:val="es-ES"/>
        </w:rPr>
      </w:pPr>
      <w:r w:rsidRPr="008436BE">
        <w:rPr>
          <w:rStyle w:val="Refdenotaalpie"/>
          <w:rFonts w:ascii="Verdana" w:hAnsi="Verdana"/>
          <w:sz w:val="16"/>
          <w:szCs w:val="16"/>
        </w:rPr>
        <w:footnoteRef/>
      </w:r>
      <w:r w:rsidRPr="008436BE">
        <w:rPr>
          <w:rFonts w:ascii="Verdana" w:hAnsi="Verdana"/>
          <w:sz w:val="16"/>
          <w:szCs w:val="16"/>
        </w:rPr>
        <w:t xml:space="preserve"> </w:t>
      </w:r>
      <w:r w:rsidRPr="008436BE">
        <w:rPr>
          <w:rFonts w:ascii="Verdana" w:hAnsi="Verdana"/>
          <w:sz w:val="16"/>
          <w:szCs w:val="16"/>
        </w:rPr>
        <w:tab/>
      </w:r>
      <w:r w:rsidRPr="008436BE">
        <w:rPr>
          <w:rFonts w:ascii="Verdana" w:hAnsi="Verdana"/>
          <w:sz w:val="16"/>
          <w:szCs w:val="16"/>
          <w:lang w:val="es-ES"/>
        </w:rPr>
        <w:t xml:space="preserve">Véase el Escrito de Solicitud de Argumentos y Pruebas, pág. 14. </w:t>
      </w:r>
    </w:p>
  </w:footnote>
  <w:footnote w:id="4">
    <w:p w14:paraId="6C1388B0" w14:textId="7B802A68" w:rsidR="00C01FFF" w:rsidRPr="008436BE" w:rsidRDefault="00C01FFF" w:rsidP="00BB158D">
      <w:pPr>
        <w:pStyle w:val="Textonotapie"/>
        <w:spacing w:after="0" w:line="240" w:lineRule="auto"/>
        <w:jc w:val="both"/>
        <w:rPr>
          <w:rFonts w:ascii="Verdana" w:hAnsi="Verdana"/>
          <w:sz w:val="16"/>
          <w:szCs w:val="16"/>
          <w:lang w:val="es-ES"/>
        </w:rPr>
      </w:pPr>
      <w:r w:rsidRPr="008436BE">
        <w:rPr>
          <w:rStyle w:val="Refdenotaalpie"/>
          <w:rFonts w:ascii="Verdana" w:hAnsi="Verdana"/>
          <w:sz w:val="16"/>
          <w:szCs w:val="16"/>
        </w:rPr>
        <w:footnoteRef/>
      </w:r>
      <w:r w:rsidRPr="008436BE">
        <w:rPr>
          <w:rFonts w:ascii="Verdana" w:hAnsi="Verdana"/>
          <w:sz w:val="16"/>
          <w:szCs w:val="16"/>
        </w:rPr>
        <w:t xml:space="preserve"> </w:t>
      </w:r>
      <w:r w:rsidRPr="008436BE">
        <w:rPr>
          <w:rFonts w:ascii="Verdana" w:hAnsi="Verdana"/>
          <w:sz w:val="16"/>
          <w:szCs w:val="16"/>
        </w:rPr>
        <w:tab/>
      </w:r>
      <w:proofErr w:type="spellStart"/>
      <w:r w:rsidRPr="008436BE">
        <w:rPr>
          <w:rFonts w:ascii="Verdana" w:hAnsi="Verdana"/>
          <w:i/>
          <w:iCs/>
          <w:sz w:val="16"/>
          <w:szCs w:val="16"/>
          <w:lang w:val="es-ES"/>
        </w:rPr>
        <w:t>Ibídem</w:t>
      </w:r>
      <w:proofErr w:type="spellEnd"/>
      <w:r w:rsidRPr="008436BE">
        <w:rPr>
          <w:rFonts w:ascii="Verdana" w:hAnsi="Verdana"/>
          <w:sz w:val="16"/>
          <w:szCs w:val="16"/>
          <w:lang w:val="es-ES"/>
        </w:rPr>
        <w:t>, pág. 9.</w:t>
      </w:r>
    </w:p>
  </w:footnote>
  <w:footnote w:id="5">
    <w:p w14:paraId="17901C09" w14:textId="78A977D7" w:rsidR="007E05CC" w:rsidRPr="008436BE" w:rsidRDefault="007E05CC" w:rsidP="00BB158D">
      <w:pPr>
        <w:pStyle w:val="Textonotapie"/>
        <w:spacing w:after="0" w:line="240" w:lineRule="auto"/>
        <w:jc w:val="both"/>
        <w:rPr>
          <w:rFonts w:ascii="Verdana" w:hAnsi="Verdana"/>
          <w:sz w:val="16"/>
          <w:szCs w:val="16"/>
          <w:lang w:val="es-ES"/>
        </w:rPr>
      </w:pPr>
      <w:r w:rsidRPr="008436BE">
        <w:rPr>
          <w:rStyle w:val="Refdenotaalpie"/>
          <w:rFonts w:ascii="Verdana" w:hAnsi="Verdana"/>
          <w:sz w:val="16"/>
          <w:szCs w:val="16"/>
        </w:rPr>
        <w:footnoteRef/>
      </w:r>
      <w:r w:rsidRPr="008436BE">
        <w:rPr>
          <w:rFonts w:ascii="Verdana" w:hAnsi="Verdana"/>
          <w:sz w:val="16"/>
          <w:szCs w:val="16"/>
        </w:rPr>
        <w:t xml:space="preserve"> </w:t>
      </w:r>
      <w:r w:rsidRPr="008436BE">
        <w:rPr>
          <w:rFonts w:ascii="Verdana" w:hAnsi="Verdana"/>
          <w:sz w:val="16"/>
          <w:szCs w:val="16"/>
        </w:rPr>
        <w:tab/>
      </w:r>
      <w:r w:rsidRPr="008436BE">
        <w:rPr>
          <w:rFonts w:ascii="Verdana" w:hAnsi="Verdana"/>
          <w:sz w:val="16"/>
          <w:szCs w:val="16"/>
          <w:lang w:val="es-ES"/>
        </w:rPr>
        <w:t>En efecto, la Corte</w:t>
      </w:r>
      <w:r w:rsidR="006A4EBE" w:rsidRPr="008436BE">
        <w:rPr>
          <w:rFonts w:ascii="Verdana" w:hAnsi="Verdana"/>
          <w:sz w:val="16"/>
          <w:szCs w:val="16"/>
          <w:lang w:val="es-ES"/>
        </w:rPr>
        <w:t xml:space="preserve"> IDH excluye los siguientes hechos invocados por los Defensores Públicos Interamericanos: “</w:t>
      </w:r>
      <w:r w:rsidR="006A4EBE" w:rsidRPr="008436BE">
        <w:rPr>
          <w:rStyle w:val="None"/>
          <w:rFonts w:ascii="Verdana" w:hAnsi="Verdana"/>
          <w:sz w:val="16"/>
          <w:szCs w:val="16"/>
        </w:rPr>
        <w:t xml:space="preserve">(i) las declaraciones del ex </w:t>
      </w:r>
      <w:proofErr w:type="gramStart"/>
      <w:r w:rsidR="006A4EBE" w:rsidRPr="008436BE">
        <w:rPr>
          <w:rStyle w:val="None"/>
          <w:rFonts w:ascii="Verdana" w:hAnsi="Verdana"/>
          <w:sz w:val="16"/>
          <w:szCs w:val="16"/>
        </w:rPr>
        <w:t>Presidente</w:t>
      </w:r>
      <w:proofErr w:type="gramEnd"/>
      <w:r w:rsidR="006A4EBE" w:rsidRPr="008436BE">
        <w:rPr>
          <w:rStyle w:val="None"/>
          <w:rFonts w:ascii="Verdana" w:hAnsi="Verdana"/>
          <w:sz w:val="16"/>
          <w:szCs w:val="16"/>
        </w:rPr>
        <w:t xml:space="preserve"> de la República Alberto Fujimori </w:t>
      </w:r>
      <w:proofErr w:type="spellStart"/>
      <w:r w:rsidR="006A4EBE" w:rsidRPr="008436BE">
        <w:rPr>
          <w:rStyle w:val="None"/>
          <w:rFonts w:ascii="Verdana" w:hAnsi="Verdana"/>
          <w:sz w:val="16"/>
          <w:szCs w:val="16"/>
        </w:rPr>
        <w:t>Fujimori</w:t>
      </w:r>
      <w:proofErr w:type="spellEnd"/>
      <w:r w:rsidR="006A4EBE" w:rsidRPr="008436BE">
        <w:rPr>
          <w:rStyle w:val="None"/>
          <w:rFonts w:ascii="Verdana" w:hAnsi="Verdana"/>
          <w:sz w:val="16"/>
          <w:szCs w:val="16"/>
        </w:rPr>
        <w:t xml:space="preserve"> de 16 de octubre de 1994; (</w:t>
      </w:r>
      <w:proofErr w:type="spellStart"/>
      <w:r w:rsidR="006A4EBE" w:rsidRPr="008436BE">
        <w:rPr>
          <w:rStyle w:val="None"/>
          <w:rFonts w:ascii="Verdana" w:hAnsi="Verdana"/>
          <w:sz w:val="16"/>
          <w:szCs w:val="16"/>
        </w:rPr>
        <w:t>ii</w:t>
      </w:r>
      <w:proofErr w:type="spellEnd"/>
      <w:r w:rsidR="006A4EBE" w:rsidRPr="008436BE">
        <w:rPr>
          <w:rStyle w:val="None"/>
          <w:rFonts w:ascii="Verdana" w:hAnsi="Verdana"/>
          <w:sz w:val="16"/>
          <w:szCs w:val="16"/>
        </w:rPr>
        <w:t xml:space="preserve">) el proceso penal seguido en contra del señor </w:t>
      </w:r>
      <w:proofErr w:type="spellStart"/>
      <w:r w:rsidR="006A4EBE" w:rsidRPr="008436BE">
        <w:rPr>
          <w:rStyle w:val="None"/>
          <w:rFonts w:ascii="Verdana" w:hAnsi="Verdana"/>
          <w:sz w:val="16"/>
          <w:szCs w:val="16"/>
        </w:rPr>
        <w:t>Cajahuanca</w:t>
      </w:r>
      <w:proofErr w:type="spellEnd"/>
      <w:r w:rsidR="006A4EBE" w:rsidRPr="008436BE">
        <w:rPr>
          <w:rStyle w:val="None"/>
          <w:rFonts w:ascii="Verdana" w:hAnsi="Verdana"/>
          <w:sz w:val="16"/>
          <w:szCs w:val="16"/>
        </w:rPr>
        <w:t xml:space="preserve"> Vásquez y su posterior absolución; (</w:t>
      </w:r>
      <w:proofErr w:type="spellStart"/>
      <w:r w:rsidR="006A4EBE" w:rsidRPr="008436BE">
        <w:rPr>
          <w:rStyle w:val="None"/>
          <w:rFonts w:ascii="Verdana" w:hAnsi="Verdana"/>
          <w:sz w:val="16"/>
          <w:szCs w:val="16"/>
        </w:rPr>
        <w:t>iii</w:t>
      </w:r>
      <w:proofErr w:type="spellEnd"/>
      <w:r w:rsidR="006A4EBE" w:rsidRPr="008436BE">
        <w:rPr>
          <w:rStyle w:val="None"/>
          <w:rFonts w:ascii="Verdana" w:hAnsi="Verdana"/>
          <w:sz w:val="16"/>
          <w:szCs w:val="16"/>
        </w:rPr>
        <w:t>) el proceso de indemnización por error judicial, y (</w:t>
      </w:r>
      <w:proofErr w:type="spellStart"/>
      <w:r w:rsidR="006A4EBE" w:rsidRPr="008436BE">
        <w:rPr>
          <w:rStyle w:val="None"/>
          <w:rFonts w:ascii="Verdana" w:hAnsi="Verdana"/>
          <w:sz w:val="16"/>
          <w:szCs w:val="16"/>
        </w:rPr>
        <w:t>iv</w:t>
      </w:r>
      <w:proofErr w:type="spellEnd"/>
      <w:r w:rsidR="006A4EBE" w:rsidRPr="008436BE">
        <w:rPr>
          <w:rStyle w:val="None"/>
          <w:rFonts w:ascii="Verdana" w:hAnsi="Verdana"/>
          <w:sz w:val="16"/>
          <w:szCs w:val="16"/>
        </w:rPr>
        <w:t>) el proceso de rehabilitación en la carrera judicial</w:t>
      </w:r>
      <w:r w:rsidR="006A4EBE" w:rsidRPr="008436BE">
        <w:rPr>
          <w:rStyle w:val="None"/>
          <w:rFonts w:ascii="Verdana" w:hAnsi="Verdana"/>
          <w:sz w:val="16"/>
          <w:szCs w:val="16"/>
          <w:lang w:val="es-ES"/>
        </w:rPr>
        <w:t>”. Véase párr. 4</w:t>
      </w:r>
      <w:r w:rsidR="00BC3FB5" w:rsidRPr="0085468F">
        <w:rPr>
          <w:rStyle w:val="None"/>
          <w:rFonts w:ascii="Verdana" w:hAnsi="Verdana"/>
          <w:sz w:val="16"/>
          <w:szCs w:val="16"/>
          <w:lang w:val="es-ES"/>
        </w:rPr>
        <w:t>5</w:t>
      </w:r>
      <w:r w:rsidR="006A4EBE" w:rsidRPr="008436BE">
        <w:rPr>
          <w:rStyle w:val="None"/>
          <w:rFonts w:ascii="Verdana" w:hAnsi="Verdana"/>
          <w:sz w:val="16"/>
          <w:szCs w:val="16"/>
          <w:lang w:val="es-ES"/>
        </w:rPr>
        <w:t xml:space="preserve"> de la Sentencia.</w:t>
      </w:r>
    </w:p>
  </w:footnote>
  <w:footnote w:id="6">
    <w:p w14:paraId="3AA9BBEC" w14:textId="77777777" w:rsidR="006C19B2" w:rsidRPr="008436BE" w:rsidRDefault="006C19B2" w:rsidP="00BB158D">
      <w:pPr>
        <w:pStyle w:val="Textonotapie"/>
        <w:tabs>
          <w:tab w:val="left" w:pos="709"/>
          <w:tab w:val="left" w:pos="9356"/>
        </w:tabs>
        <w:spacing w:after="0" w:line="240" w:lineRule="auto"/>
        <w:ind w:right="48"/>
        <w:jc w:val="both"/>
        <w:rPr>
          <w:rFonts w:ascii="Verdana" w:hAnsi="Verdana" w:cs="Arial"/>
          <w:color w:val="000000" w:themeColor="text1"/>
          <w:sz w:val="16"/>
          <w:szCs w:val="16"/>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t xml:space="preserve">El artículo 66.2 de la Convención Americana establece: “Si el fallo no expresare en todo o en parte la opinión unánime de los jueces, cualquiera de éstos tendrá derecho a que se agregue al fallo su opinión disidente o individual”. Asimismo, véanse los artículos 24.3 del Estatuto y 32.1 a), 65.2 y 67.4 del Reglamento, ambos de la Corte IDH. </w:t>
      </w:r>
    </w:p>
  </w:footnote>
  <w:footnote w:id="7">
    <w:p w14:paraId="6E461083" w14:textId="257276EB" w:rsidR="002F0AB2" w:rsidRPr="00BB158D" w:rsidRDefault="002F0AB2" w:rsidP="00BB158D">
      <w:pPr>
        <w:pStyle w:val="Textonotapie"/>
        <w:spacing w:after="0" w:line="240" w:lineRule="auto"/>
        <w:jc w:val="both"/>
        <w:rPr>
          <w:rFonts w:ascii="Verdana" w:hAnsi="Verdana"/>
          <w:sz w:val="16"/>
          <w:szCs w:val="16"/>
        </w:rPr>
      </w:pPr>
      <w:r w:rsidRPr="00BB158D">
        <w:rPr>
          <w:rStyle w:val="Refdenotaalpie"/>
          <w:rFonts w:ascii="Verdana" w:hAnsi="Verdana"/>
          <w:sz w:val="16"/>
          <w:szCs w:val="16"/>
        </w:rPr>
        <w:footnoteRef/>
      </w:r>
      <w:r w:rsidRPr="00BB158D">
        <w:rPr>
          <w:rFonts w:ascii="Verdana" w:hAnsi="Verdana"/>
          <w:sz w:val="16"/>
          <w:szCs w:val="16"/>
        </w:rPr>
        <w:t xml:space="preserve"> </w:t>
      </w:r>
      <w:r w:rsidRPr="00BB158D">
        <w:rPr>
          <w:rFonts w:ascii="Verdana" w:hAnsi="Verdana"/>
          <w:sz w:val="16"/>
          <w:szCs w:val="16"/>
        </w:rPr>
        <w:tab/>
      </w:r>
      <w:r w:rsidRPr="00885B02">
        <w:rPr>
          <w:rFonts w:ascii="Verdana" w:hAnsi="Verdana"/>
          <w:i/>
          <w:iCs/>
          <w:color w:val="000000" w:themeColor="text1"/>
          <w:sz w:val="16"/>
          <w:szCs w:val="16"/>
          <w:lang w:val="es-ES"/>
        </w:rPr>
        <w:t xml:space="preserve">Caso Cordero Bernal Vs. Perú. Excepción Preliminar y Fondo. </w:t>
      </w:r>
      <w:r w:rsidRPr="00885B02">
        <w:rPr>
          <w:rFonts w:ascii="Verdana" w:hAnsi="Verdana"/>
          <w:color w:val="000000" w:themeColor="text1"/>
          <w:sz w:val="16"/>
          <w:szCs w:val="16"/>
          <w:lang w:val="es-ES"/>
        </w:rPr>
        <w:t>Sentencia de 16 de febrero de 2021. Serie C No. 421. Voto disidente del juez Eduardo Ferrer Mac-</w:t>
      </w:r>
      <w:proofErr w:type="spellStart"/>
      <w:r w:rsidRPr="00885B02">
        <w:rPr>
          <w:rFonts w:ascii="Verdana" w:hAnsi="Verdana"/>
          <w:color w:val="000000" w:themeColor="text1"/>
          <w:sz w:val="16"/>
          <w:szCs w:val="16"/>
          <w:lang w:val="es-ES"/>
        </w:rPr>
        <w:t>Gregor</w:t>
      </w:r>
      <w:proofErr w:type="spellEnd"/>
      <w:r w:rsidRPr="00885B02">
        <w:rPr>
          <w:rFonts w:ascii="Verdana" w:hAnsi="Verdana"/>
          <w:color w:val="000000" w:themeColor="text1"/>
          <w:sz w:val="16"/>
          <w:szCs w:val="16"/>
          <w:lang w:val="es-ES"/>
        </w:rPr>
        <w:t xml:space="preserve"> </w:t>
      </w:r>
      <w:proofErr w:type="spellStart"/>
      <w:r w:rsidRPr="00885B02">
        <w:rPr>
          <w:rFonts w:ascii="Verdana" w:hAnsi="Verdana"/>
          <w:color w:val="000000" w:themeColor="text1"/>
          <w:sz w:val="16"/>
          <w:szCs w:val="16"/>
          <w:lang w:val="es-ES"/>
        </w:rPr>
        <w:t>Poisot</w:t>
      </w:r>
      <w:proofErr w:type="spellEnd"/>
      <w:r w:rsidRPr="00885B02">
        <w:rPr>
          <w:rFonts w:ascii="Verdana" w:hAnsi="Verdana"/>
          <w:color w:val="000000" w:themeColor="text1"/>
          <w:sz w:val="16"/>
          <w:szCs w:val="16"/>
          <w:lang w:val="es-ES"/>
        </w:rPr>
        <w:t>.</w:t>
      </w:r>
    </w:p>
  </w:footnote>
  <w:footnote w:id="8">
    <w:p w14:paraId="6AFB5222" w14:textId="0361DD42" w:rsidR="006C19B2" w:rsidRPr="008436BE" w:rsidRDefault="006C19B2" w:rsidP="00BB158D">
      <w:pPr>
        <w:jc w:val="both"/>
        <w:rPr>
          <w:rFonts w:ascii="Verdana" w:hAnsi="Verdana" w:cs="Arial"/>
          <w:color w:val="000000" w:themeColor="text1"/>
          <w:sz w:val="16"/>
          <w:szCs w:val="16"/>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lang w:val="es-ES"/>
        </w:rPr>
        <w:tab/>
      </w:r>
      <w:r w:rsidRPr="008436BE">
        <w:rPr>
          <w:rFonts w:ascii="Verdana" w:hAnsi="Verdana" w:cs="Arial"/>
          <w:color w:val="000000" w:themeColor="text1"/>
          <w:sz w:val="16"/>
          <w:szCs w:val="16"/>
        </w:rPr>
        <w:t xml:space="preserve">En este sentido, la jurisprudencia constante de la </w:t>
      </w:r>
      <w:r w:rsidR="007C16E8" w:rsidRPr="008436BE">
        <w:rPr>
          <w:rFonts w:ascii="Verdana" w:hAnsi="Verdana" w:cs="Arial"/>
          <w:color w:val="000000" w:themeColor="text1"/>
          <w:sz w:val="16"/>
          <w:szCs w:val="16"/>
        </w:rPr>
        <w:t>Corte IDH</w:t>
      </w:r>
      <w:r w:rsidRPr="008436BE">
        <w:rPr>
          <w:rFonts w:ascii="Verdana" w:hAnsi="Verdana" w:cs="Arial"/>
          <w:color w:val="000000" w:themeColor="text1"/>
          <w:sz w:val="16"/>
          <w:szCs w:val="16"/>
        </w:rPr>
        <w:t xml:space="preserve"> al respecto ha sostenido que la calificación de un hecho como ilícito y la fijación de sus efectos jurídicos deben ser preexistentes a la conducta del sujeto al que se considera infractor ya sea en materia penal o en materia administrativa sancionadora. De lo contrario, las personas no podrían orientar su comportamiento conforme a un orden jurídico vigente y cierto, en el que se expresan el reproche social y las consecuencias de éste. Véase en este sentido: </w:t>
      </w:r>
      <w:r w:rsidRPr="008436BE">
        <w:rPr>
          <w:rFonts w:ascii="Verdana" w:hAnsi="Verdana" w:cs="Arial"/>
          <w:i/>
          <w:iCs/>
          <w:color w:val="000000" w:themeColor="text1"/>
          <w:sz w:val="16"/>
          <w:szCs w:val="16"/>
          <w:shd w:val="clear" w:color="auto" w:fill="FFFFFF"/>
        </w:rPr>
        <w:t>Caso Baena Ricardo y otros Vs. Panamá. Fondo, Reparaciones y Costas</w:t>
      </w:r>
      <w:r w:rsidRPr="008436BE">
        <w:rPr>
          <w:rFonts w:ascii="Verdana" w:hAnsi="Verdana" w:cs="Arial"/>
          <w:color w:val="000000" w:themeColor="text1"/>
          <w:sz w:val="16"/>
          <w:szCs w:val="16"/>
          <w:shd w:val="clear" w:color="auto" w:fill="FFFFFF"/>
        </w:rPr>
        <w:t xml:space="preserve">. Sentencia de 2 de febrero de 2001. Serie C No. 72, párr. 106; </w:t>
      </w:r>
      <w:proofErr w:type="spellStart"/>
      <w:r w:rsidRPr="008436BE">
        <w:rPr>
          <w:rFonts w:ascii="Verdana" w:hAnsi="Verdana" w:cs="Arial"/>
          <w:i/>
          <w:iCs/>
          <w:color w:val="000000" w:themeColor="text1"/>
          <w:sz w:val="16"/>
          <w:szCs w:val="16"/>
          <w:shd w:val="clear" w:color="auto" w:fill="FFFFFF"/>
        </w:rPr>
        <w:t>Norín</w:t>
      </w:r>
      <w:proofErr w:type="spellEnd"/>
      <w:r w:rsidRPr="008436BE">
        <w:rPr>
          <w:rFonts w:ascii="Verdana" w:hAnsi="Verdana" w:cs="Arial"/>
          <w:i/>
          <w:iCs/>
          <w:color w:val="000000" w:themeColor="text1"/>
          <w:sz w:val="16"/>
          <w:szCs w:val="16"/>
          <w:shd w:val="clear" w:color="auto" w:fill="FFFFFF"/>
        </w:rPr>
        <w:t xml:space="preserve"> </w:t>
      </w:r>
      <w:proofErr w:type="spellStart"/>
      <w:r w:rsidRPr="008436BE">
        <w:rPr>
          <w:rFonts w:ascii="Verdana" w:hAnsi="Verdana" w:cs="Arial"/>
          <w:i/>
          <w:iCs/>
          <w:color w:val="000000" w:themeColor="text1"/>
          <w:sz w:val="16"/>
          <w:szCs w:val="16"/>
          <w:shd w:val="clear" w:color="auto" w:fill="FFFFFF"/>
        </w:rPr>
        <w:t>Catrimán</w:t>
      </w:r>
      <w:proofErr w:type="spellEnd"/>
      <w:r w:rsidRPr="008436BE">
        <w:rPr>
          <w:rFonts w:ascii="Verdana" w:hAnsi="Verdana" w:cs="Arial"/>
          <w:i/>
          <w:iCs/>
          <w:color w:val="000000" w:themeColor="text1"/>
          <w:sz w:val="16"/>
          <w:szCs w:val="16"/>
          <w:shd w:val="clear" w:color="auto" w:fill="FFFFFF"/>
        </w:rPr>
        <w:t xml:space="preserve"> y otros (Dirigentes, Miembros y Activista del Pueblo Indígena Mapuche) Vs. Chile. Fondo, Reparaciones y Costas. S</w:t>
      </w:r>
      <w:r w:rsidRPr="008436BE">
        <w:rPr>
          <w:rFonts w:ascii="Verdana" w:hAnsi="Verdana" w:cs="Arial"/>
          <w:color w:val="000000" w:themeColor="text1"/>
          <w:sz w:val="16"/>
          <w:szCs w:val="16"/>
          <w:shd w:val="clear" w:color="auto" w:fill="FFFFFF"/>
        </w:rPr>
        <w:t xml:space="preserve">entencia de 29 de mayo de 2014. Serie C No. 279, </w:t>
      </w:r>
      <w:proofErr w:type="spellStart"/>
      <w:r w:rsidRPr="008436BE">
        <w:rPr>
          <w:rFonts w:ascii="Verdana" w:hAnsi="Verdana" w:cs="Arial"/>
          <w:color w:val="000000" w:themeColor="text1"/>
          <w:sz w:val="16"/>
          <w:szCs w:val="16"/>
          <w:shd w:val="clear" w:color="auto" w:fill="FFFFFF"/>
        </w:rPr>
        <w:t>párr</w:t>
      </w:r>
      <w:proofErr w:type="spellEnd"/>
      <w:r w:rsidRPr="008436BE">
        <w:rPr>
          <w:rFonts w:ascii="Verdana" w:hAnsi="Verdana" w:cs="Arial"/>
          <w:color w:val="000000" w:themeColor="text1"/>
          <w:sz w:val="16"/>
          <w:szCs w:val="16"/>
          <w:shd w:val="clear" w:color="auto" w:fill="FFFFFF"/>
        </w:rPr>
        <w:t xml:space="preserve">, 161 y </w:t>
      </w:r>
      <w:r w:rsidRPr="008436BE">
        <w:rPr>
          <w:rFonts w:ascii="Verdana" w:hAnsi="Verdana" w:cs="Arial"/>
          <w:i/>
          <w:iCs/>
          <w:color w:val="000000" w:themeColor="text1"/>
          <w:sz w:val="16"/>
          <w:szCs w:val="16"/>
          <w:shd w:val="clear" w:color="auto" w:fill="FFFFFF"/>
        </w:rPr>
        <w:t xml:space="preserve">Caso Argüelles y otros Vs. Argentina. Excepciones Preliminares, Fondo, Reparaciones y Costas. </w:t>
      </w:r>
      <w:r w:rsidRPr="008436BE">
        <w:rPr>
          <w:rFonts w:ascii="Verdana" w:hAnsi="Verdana" w:cs="Arial"/>
          <w:color w:val="000000" w:themeColor="text1"/>
          <w:sz w:val="16"/>
          <w:szCs w:val="16"/>
          <w:shd w:val="clear" w:color="auto" w:fill="FFFFFF"/>
        </w:rPr>
        <w:t>Sentencia de 20 de noviembre de 2014. Serie C No. 288</w:t>
      </w:r>
      <w:r w:rsidRPr="008436BE">
        <w:rPr>
          <w:rFonts w:ascii="Verdana" w:hAnsi="Verdana" w:cs="Arial"/>
          <w:color w:val="000000" w:themeColor="text1"/>
          <w:sz w:val="16"/>
          <w:szCs w:val="16"/>
        </w:rPr>
        <w:t>, párr. 207.</w:t>
      </w:r>
    </w:p>
  </w:footnote>
  <w:footnote w:id="9">
    <w:p w14:paraId="4B86FA26" w14:textId="2BD14CE3" w:rsidR="006D235B" w:rsidRPr="00BB158D" w:rsidRDefault="006D235B" w:rsidP="00BB158D">
      <w:pPr>
        <w:pStyle w:val="Textonotapie"/>
        <w:spacing w:after="0" w:line="240" w:lineRule="auto"/>
        <w:jc w:val="both"/>
        <w:rPr>
          <w:rFonts w:ascii="Verdana" w:hAnsi="Verdana"/>
          <w:sz w:val="16"/>
          <w:szCs w:val="16"/>
          <w:lang w:val="es-419"/>
        </w:rPr>
      </w:pPr>
      <w:r w:rsidRPr="00BB158D">
        <w:rPr>
          <w:rFonts w:ascii="Verdana" w:eastAsia="Times New Roman" w:hAnsi="Verdana" w:cs="Arial"/>
          <w:color w:val="000000" w:themeColor="text1"/>
          <w:sz w:val="16"/>
          <w:szCs w:val="16"/>
          <w:vertAlign w:val="superscript"/>
          <w:lang w:val="es-MX" w:eastAsia="es-MX"/>
        </w:rPr>
        <w:footnoteRef/>
      </w:r>
      <w:r w:rsidRPr="00BB158D">
        <w:rPr>
          <w:rFonts w:ascii="Verdana" w:eastAsia="Times New Roman" w:hAnsi="Verdana" w:cs="Arial"/>
          <w:color w:val="000000" w:themeColor="text1"/>
          <w:sz w:val="16"/>
          <w:szCs w:val="16"/>
          <w:vertAlign w:val="superscript"/>
          <w:lang w:val="es-MX" w:eastAsia="es-MX"/>
        </w:rPr>
        <w:t xml:space="preserve"> </w:t>
      </w:r>
      <w:r w:rsidRPr="008436BE">
        <w:rPr>
          <w:rFonts w:ascii="Verdana" w:eastAsia="Times New Roman" w:hAnsi="Verdana" w:cs="Arial"/>
          <w:color w:val="000000" w:themeColor="text1"/>
          <w:sz w:val="16"/>
          <w:szCs w:val="16"/>
          <w:lang w:val="es-MX" w:eastAsia="es-MX"/>
        </w:rPr>
        <w:tab/>
      </w:r>
      <w:r w:rsidRPr="008436BE">
        <w:rPr>
          <w:rFonts w:ascii="Verdana" w:eastAsia="Times New Roman" w:hAnsi="Verdana" w:cs="Arial"/>
          <w:i/>
          <w:iCs/>
          <w:color w:val="000000" w:themeColor="text1"/>
          <w:sz w:val="16"/>
          <w:szCs w:val="16"/>
          <w:lang w:val="es-MX" w:eastAsia="es-MX"/>
        </w:rPr>
        <w:t xml:space="preserve">Caso López </w:t>
      </w:r>
      <w:proofErr w:type="spellStart"/>
      <w:r w:rsidRPr="008436BE">
        <w:rPr>
          <w:rFonts w:ascii="Verdana" w:eastAsia="Times New Roman" w:hAnsi="Verdana" w:cs="Arial"/>
          <w:i/>
          <w:iCs/>
          <w:color w:val="000000" w:themeColor="text1"/>
          <w:sz w:val="16"/>
          <w:szCs w:val="16"/>
          <w:lang w:val="es-MX" w:eastAsia="es-MX"/>
        </w:rPr>
        <w:t>Lone</w:t>
      </w:r>
      <w:proofErr w:type="spellEnd"/>
      <w:r w:rsidRPr="008436BE">
        <w:rPr>
          <w:rFonts w:ascii="Verdana" w:eastAsia="Times New Roman" w:hAnsi="Verdana" w:cs="Arial"/>
          <w:i/>
          <w:iCs/>
          <w:color w:val="000000" w:themeColor="text1"/>
          <w:sz w:val="16"/>
          <w:szCs w:val="16"/>
          <w:lang w:val="es-MX" w:eastAsia="es-MX"/>
        </w:rPr>
        <w:t xml:space="preserve"> y otros Vs. Honduras</w:t>
      </w:r>
      <w:r w:rsidRPr="008436BE">
        <w:rPr>
          <w:rFonts w:ascii="Verdana" w:eastAsia="Times New Roman" w:hAnsi="Verdana" w:cs="Arial"/>
          <w:color w:val="000000" w:themeColor="text1"/>
          <w:sz w:val="16"/>
          <w:szCs w:val="16"/>
          <w:lang w:val="es-MX" w:eastAsia="es-MX"/>
        </w:rPr>
        <w:t>. Excepción Preliminar, Fondo, Reparaciones y Costas. Sentencia de 5 de octubre de 2015. Serie C No. 302, párr. 259.</w:t>
      </w:r>
    </w:p>
  </w:footnote>
  <w:footnote w:id="10">
    <w:p w14:paraId="1FE02139" w14:textId="77777777" w:rsidR="00BF688E" w:rsidRPr="00BB158D" w:rsidRDefault="00BF688E" w:rsidP="00BB158D">
      <w:pPr>
        <w:pStyle w:val="Textonotapie"/>
        <w:spacing w:after="0" w:line="240" w:lineRule="auto"/>
        <w:jc w:val="both"/>
        <w:rPr>
          <w:rFonts w:ascii="Verdana" w:hAnsi="Verdana"/>
          <w:sz w:val="16"/>
          <w:szCs w:val="16"/>
          <w:lang w:val="es-419"/>
        </w:rPr>
      </w:pPr>
      <w:r w:rsidRPr="00BB158D">
        <w:rPr>
          <w:rStyle w:val="Refdenotaalpie"/>
          <w:rFonts w:ascii="Verdana" w:hAnsi="Verdana"/>
          <w:sz w:val="16"/>
          <w:szCs w:val="16"/>
        </w:rPr>
        <w:footnoteRef/>
      </w:r>
      <w:r w:rsidRPr="00BB158D">
        <w:rPr>
          <w:rFonts w:ascii="Verdana" w:hAnsi="Verdana"/>
          <w:sz w:val="16"/>
          <w:szCs w:val="16"/>
        </w:rPr>
        <w:t xml:space="preserve"> </w:t>
      </w:r>
      <w:r w:rsidRPr="00BB158D">
        <w:rPr>
          <w:rFonts w:ascii="Verdana" w:hAnsi="Verdana"/>
          <w:sz w:val="16"/>
          <w:szCs w:val="16"/>
        </w:rPr>
        <w:tab/>
      </w:r>
      <w:r w:rsidRPr="00BB158D">
        <w:rPr>
          <w:rFonts w:ascii="Verdana" w:eastAsia="Times New Roman" w:hAnsi="Verdana" w:cs="Arial"/>
          <w:i/>
          <w:iCs/>
          <w:color w:val="000000" w:themeColor="text1"/>
          <w:sz w:val="16"/>
          <w:szCs w:val="16"/>
          <w:lang w:val="es-MX" w:eastAsia="es-MX"/>
        </w:rPr>
        <w:t>Cfr.</w:t>
      </w:r>
      <w:r w:rsidRPr="008436BE">
        <w:rPr>
          <w:rFonts w:ascii="Verdana" w:eastAsia="Times New Roman" w:hAnsi="Verdana" w:cs="Arial"/>
          <w:color w:val="000000" w:themeColor="text1"/>
          <w:sz w:val="16"/>
          <w:szCs w:val="16"/>
          <w:lang w:val="es-MX" w:eastAsia="es-MX"/>
        </w:rPr>
        <w:t xml:space="preserve"> Corte IDH. </w:t>
      </w:r>
      <w:r w:rsidRPr="008436BE">
        <w:rPr>
          <w:rFonts w:ascii="Verdana" w:eastAsia="Times New Roman" w:hAnsi="Verdana" w:cs="Arial"/>
          <w:i/>
          <w:iCs/>
          <w:color w:val="000000" w:themeColor="text1"/>
          <w:sz w:val="16"/>
          <w:szCs w:val="16"/>
          <w:lang w:val="es-MX" w:eastAsia="es-MX"/>
        </w:rPr>
        <w:t xml:space="preserve">Caso López </w:t>
      </w:r>
      <w:proofErr w:type="spellStart"/>
      <w:r w:rsidRPr="008436BE">
        <w:rPr>
          <w:rFonts w:ascii="Verdana" w:eastAsia="Times New Roman" w:hAnsi="Verdana" w:cs="Arial"/>
          <w:i/>
          <w:iCs/>
          <w:color w:val="000000" w:themeColor="text1"/>
          <w:sz w:val="16"/>
          <w:szCs w:val="16"/>
          <w:lang w:val="es-MX" w:eastAsia="es-MX"/>
        </w:rPr>
        <w:t>Lone</w:t>
      </w:r>
      <w:proofErr w:type="spellEnd"/>
      <w:r w:rsidRPr="008436BE">
        <w:rPr>
          <w:rFonts w:ascii="Verdana" w:eastAsia="Times New Roman" w:hAnsi="Verdana" w:cs="Arial"/>
          <w:i/>
          <w:iCs/>
          <w:color w:val="000000" w:themeColor="text1"/>
          <w:sz w:val="16"/>
          <w:szCs w:val="16"/>
          <w:lang w:val="es-MX" w:eastAsia="es-MX"/>
        </w:rPr>
        <w:t xml:space="preserve"> y otros Vs. Honduras</w:t>
      </w:r>
      <w:r w:rsidRPr="008436BE">
        <w:rPr>
          <w:rFonts w:ascii="Verdana" w:eastAsia="Times New Roman" w:hAnsi="Verdana" w:cs="Arial"/>
          <w:color w:val="000000" w:themeColor="text1"/>
          <w:sz w:val="16"/>
          <w:szCs w:val="16"/>
          <w:lang w:val="es-MX" w:eastAsia="es-MX"/>
        </w:rPr>
        <w:t>. Excepción Preliminar, Fondo, Reparaciones y Costas. Sentencia de 5 de octubre de 2015. Serie C No. 302, párr. 272.</w:t>
      </w:r>
    </w:p>
  </w:footnote>
  <w:footnote w:id="11">
    <w:p w14:paraId="5FC29DE9" w14:textId="2993EC77" w:rsidR="001B04CC" w:rsidRPr="00BB158D" w:rsidRDefault="001B04CC" w:rsidP="00BB158D">
      <w:pPr>
        <w:pStyle w:val="Textonotapie"/>
        <w:spacing w:after="0" w:line="240" w:lineRule="auto"/>
        <w:jc w:val="both"/>
        <w:rPr>
          <w:rFonts w:ascii="Verdana" w:hAnsi="Verdana"/>
          <w:sz w:val="16"/>
          <w:szCs w:val="16"/>
          <w:lang w:val="es-ES"/>
        </w:rPr>
      </w:pPr>
      <w:r w:rsidRPr="00BB158D">
        <w:rPr>
          <w:rStyle w:val="Refdenotaalpie"/>
          <w:rFonts w:ascii="Verdana" w:hAnsi="Verdana"/>
          <w:sz w:val="16"/>
          <w:szCs w:val="16"/>
        </w:rPr>
        <w:footnoteRef/>
      </w:r>
      <w:r w:rsidRPr="00BB158D">
        <w:rPr>
          <w:rFonts w:ascii="Verdana" w:hAnsi="Verdana"/>
          <w:sz w:val="16"/>
          <w:szCs w:val="16"/>
        </w:rPr>
        <w:t xml:space="preserve"> </w:t>
      </w:r>
      <w:r w:rsidRPr="00BB158D">
        <w:rPr>
          <w:rFonts w:ascii="Verdana" w:hAnsi="Verdana"/>
          <w:sz w:val="16"/>
          <w:szCs w:val="16"/>
          <w:lang w:val="es-ES"/>
        </w:rPr>
        <w:tab/>
        <w:t>Párr. 110</w:t>
      </w:r>
      <w:r w:rsidR="00F25704" w:rsidRPr="00BB158D">
        <w:rPr>
          <w:rFonts w:ascii="Verdana" w:hAnsi="Verdana"/>
          <w:sz w:val="16"/>
          <w:szCs w:val="16"/>
          <w:lang w:val="es-ES"/>
        </w:rPr>
        <w:t xml:space="preserve"> de la </w:t>
      </w:r>
      <w:r w:rsidR="00BB158D">
        <w:rPr>
          <w:rFonts w:ascii="Verdana" w:hAnsi="Verdana"/>
          <w:sz w:val="16"/>
          <w:szCs w:val="16"/>
          <w:lang w:val="es-ES"/>
        </w:rPr>
        <w:t>S</w:t>
      </w:r>
      <w:r w:rsidR="00F25704" w:rsidRPr="00BB158D">
        <w:rPr>
          <w:rFonts w:ascii="Verdana" w:hAnsi="Verdana"/>
          <w:sz w:val="16"/>
          <w:szCs w:val="16"/>
          <w:lang w:val="es-ES"/>
        </w:rPr>
        <w:t>entencia</w:t>
      </w:r>
      <w:r w:rsidRPr="00BB158D">
        <w:rPr>
          <w:rFonts w:ascii="Verdana" w:hAnsi="Verdana"/>
          <w:sz w:val="16"/>
          <w:szCs w:val="16"/>
          <w:lang w:val="es-ES"/>
        </w:rPr>
        <w:t>.</w:t>
      </w:r>
    </w:p>
  </w:footnote>
  <w:footnote w:id="12">
    <w:p w14:paraId="689295F8" w14:textId="29D368EE" w:rsidR="0034594D" w:rsidRPr="00BB158D" w:rsidRDefault="0034594D" w:rsidP="00BB158D">
      <w:pPr>
        <w:pStyle w:val="Textonotapie"/>
        <w:spacing w:after="0" w:line="240" w:lineRule="auto"/>
        <w:jc w:val="both"/>
        <w:rPr>
          <w:rFonts w:ascii="Verdana" w:hAnsi="Verdana"/>
          <w:sz w:val="16"/>
          <w:szCs w:val="16"/>
          <w:lang w:val="es-ES"/>
        </w:rPr>
      </w:pPr>
      <w:r w:rsidRPr="00BB158D">
        <w:rPr>
          <w:rStyle w:val="Refdenotaalpie"/>
          <w:rFonts w:ascii="Verdana" w:hAnsi="Verdana"/>
          <w:sz w:val="16"/>
          <w:szCs w:val="16"/>
        </w:rPr>
        <w:footnoteRef/>
      </w:r>
      <w:r w:rsidRPr="00BB158D">
        <w:rPr>
          <w:rFonts w:ascii="Verdana" w:hAnsi="Verdana"/>
          <w:sz w:val="16"/>
          <w:szCs w:val="16"/>
        </w:rPr>
        <w:t xml:space="preserve"> </w:t>
      </w:r>
      <w:r w:rsidRPr="00BB158D">
        <w:rPr>
          <w:rFonts w:ascii="Verdana" w:hAnsi="Verdana"/>
          <w:sz w:val="16"/>
          <w:szCs w:val="16"/>
        </w:rPr>
        <w:tab/>
      </w:r>
      <w:r w:rsidR="0005267E" w:rsidRPr="008436BE">
        <w:rPr>
          <w:rFonts w:ascii="Verdana" w:hAnsi="Verdana"/>
          <w:i/>
          <w:iCs/>
          <w:color w:val="000000"/>
          <w:sz w:val="16"/>
          <w:szCs w:val="16"/>
        </w:rPr>
        <w:t>Cfr</w:t>
      </w:r>
      <w:r w:rsidR="0005267E" w:rsidRPr="008436BE">
        <w:rPr>
          <w:rFonts w:ascii="Verdana" w:hAnsi="Verdana"/>
          <w:color w:val="000000"/>
          <w:sz w:val="16"/>
          <w:szCs w:val="16"/>
        </w:rPr>
        <w:t xml:space="preserve">. </w:t>
      </w:r>
      <w:r w:rsidR="0005267E" w:rsidRPr="008436BE">
        <w:rPr>
          <w:rFonts w:ascii="Verdana" w:eastAsia="Verdana" w:hAnsi="Verdana" w:cs="Verdana"/>
          <w:i/>
          <w:color w:val="000000"/>
          <w:sz w:val="16"/>
          <w:szCs w:val="16"/>
        </w:rPr>
        <w:t xml:space="preserve">Caso Aguinaga </w:t>
      </w:r>
      <w:proofErr w:type="spellStart"/>
      <w:r w:rsidR="0005267E" w:rsidRPr="008436BE">
        <w:rPr>
          <w:rFonts w:ascii="Verdana" w:eastAsia="Verdana" w:hAnsi="Verdana" w:cs="Verdana"/>
          <w:i/>
          <w:color w:val="000000"/>
          <w:sz w:val="16"/>
          <w:szCs w:val="16"/>
        </w:rPr>
        <w:t>Aillón</w:t>
      </w:r>
      <w:proofErr w:type="spellEnd"/>
      <w:r w:rsidR="0005267E" w:rsidRPr="008436BE">
        <w:rPr>
          <w:rFonts w:ascii="Verdana" w:eastAsia="Verdana" w:hAnsi="Verdana" w:cs="Verdana"/>
          <w:i/>
          <w:color w:val="000000"/>
          <w:sz w:val="16"/>
          <w:szCs w:val="16"/>
        </w:rPr>
        <w:t xml:space="preserve"> Vs. Ecuador. Fondo, Reparaciones y Costas. </w:t>
      </w:r>
      <w:r w:rsidR="0005267E" w:rsidRPr="008436BE">
        <w:rPr>
          <w:rFonts w:ascii="Verdana" w:eastAsia="Verdana" w:hAnsi="Verdana" w:cs="Verdana"/>
          <w:iCs/>
          <w:color w:val="000000"/>
          <w:sz w:val="16"/>
          <w:szCs w:val="16"/>
        </w:rPr>
        <w:t>Sentencia de 30 de enero de 2023. Serie C No. 483</w:t>
      </w:r>
      <w:r w:rsidR="0005267E" w:rsidRPr="008436BE">
        <w:rPr>
          <w:rFonts w:ascii="Verdana" w:eastAsia="Verdana" w:hAnsi="Verdana" w:cs="Verdana"/>
          <w:iCs/>
          <w:color w:val="000000"/>
          <w:sz w:val="16"/>
          <w:szCs w:val="16"/>
          <w:lang w:val="es-ES"/>
        </w:rPr>
        <w:t>.</w:t>
      </w:r>
    </w:p>
  </w:footnote>
  <w:footnote w:id="13">
    <w:p w14:paraId="24A9F91D" w14:textId="26A514B2" w:rsidR="00F72A24" w:rsidRPr="008436BE" w:rsidRDefault="00F72A24" w:rsidP="00BB158D">
      <w:pPr>
        <w:pBdr>
          <w:top w:val="nil"/>
          <w:left w:val="nil"/>
          <w:bottom w:val="nil"/>
          <w:right w:val="nil"/>
          <w:between w:val="nil"/>
        </w:pBdr>
        <w:tabs>
          <w:tab w:val="left" w:pos="567"/>
        </w:tabs>
        <w:jc w:val="both"/>
        <w:rPr>
          <w:rFonts w:ascii="Verdana" w:eastAsia="Verdana" w:hAnsi="Verdana" w:cs="Verdana"/>
          <w:iCs/>
          <w:color w:val="000000"/>
          <w:sz w:val="16"/>
          <w:szCs w:val="16"/>
        </w:rPr>
      </w:pPr>
      <w:r w:rsidRPr="008436BE">
        <w:rPr>
          <w:rFonts w:ascii="Verdana" w:hAnsi="Verdana"/>
          <w:sz w:val="16"/>
          <w:szCs w:val="16"/>
          <w:vertAlign w:val="superscript"/>
        </w:rPr>
        <w:footnoteRef/>
      </w:r>
      <w:r w:rsidRPr="008436BE">
        <w:rPr>
          <w:rFonts w:ascii="Verdana" w:hAnsi="Verdana"/>
          <w:color w:val="000000"/>
          <w:sz w:val="16"/>
          <w:szCs w:val="16"/>
        </w:rPr>
        <w:t xml:space="preserve"> </w:t>
      </w:r>
      <w:r w:rsidRPr="008436BE">
        <w:rPr>
          <w:rFonts w:ascii="Verdana" w:hAnsi="Verdana"/>
          <w:color w:val="000000"/>
          <w:sz w:val="16"/>
          <w:szCs w:val="16"/>
        </w:rPr>
        <w:tab/>
      </w:r>
      <w:r w:rsidRPr="008436BE">
        <w:rPr>
          <w:rFonts w:ascii="Verdana" w:hAnsi="Verdana"/>
          <w:i/>
          <w:iCs/>
          <w:color w:val="000000"/>
          <w:sz w:val="16"/>
          <w:szCs w:val="16"/>
        </w:rPr>
        <w:t>Cfr</w:t>
      </w:r>
      <w:r w:rsidRPr="008436BE">
        <w:rPr>
          <w:rFonts w:ascii="Verdana" w:hAnsi="Verdana"/>
          <w:color w:val="000000"/>
          <w:sz w:val="16"/>
          <w:szCs w:val="16"/>
        </w:rPr>
        <w:t xml:space="preserve">. </w:t>
      </w:r>
      <w:r w:rsidRPr="008436BE">
        <w:rPr>
          <w:rFonts w:ascii="Verdana" w:eastAsia="Verdana" w:hAnsi="Verdana" w:cs="Verdana"/>
          <w:i/>
          <w:color w:val="000000"/>
          <w:sz w:val="16"/>
          <w:szCs w:val="16"/>
        </w:rPr>
        <w:t xml:space="preserve">Caso Aguinaga </w:t>
      </w:r>
      <w:proofErr w:type="spellStart"/>
      <w:r w:rsidRPr="008436BE">
        <w:rPr>
          <w:rFonts w:ascii="Verdana" w:eastAsia="Verdana" w:hAnsi="Verdana" w:cs="Verdana"/>
          <w:i/>
          <w:color w:val="000000"/>
          <w:sz w:val="16"/>
          <w:szCs w:val="16"/>
        </w:rPr>
        <w:t>Aillón</w:t>
      </w:r>
      <w:proofErr w:type="spellEnd"/>
      <w:r w:rsidRPr="008436BE">
        <w:rPr>
          <w:rFonts w:ascii="Verdana" w:eastAsia="Verdana" w:hAnsi="Verdana" w:cs="Verdana"/>
          <w:i/>
          <w:color w:val="000000"/>
          <w:sz w:val="16"/>
          <w:szCs w:val="16"/>
        </w:rPr>
        <w:t xml:space="preserve"> Vs. Ecuador</w:t>
      </w:r>
      <w:r w:rsidR="0005267E" w:rsidRPr="008436BE">
        <w:rPr>
          <w:rFonts w:ascii="Verdana" w:eastAsia="Verdana" w:hAnsi="Verdana" w:cs="Verdana"/>
          <w:i/>
          <w:color w:val="000000"/>
          <w:sz w:val="16"/>
          <w:szCs w:val="16"/>
        </w:rPr>
        <w:t xml:space="preserve">. Fondo, </w:t>
      </w:r>
      <w:proofErr w:type="spellStart"/>
      <w:r w:rsidR="0005267E" w:rsidRPr="008436BE">
        <w:rPr>
          <w:rFonts w:ascii="Verdana" w:eastAsia="Verdana" w:hAnsi="Verdana" w:cs="Verdana"/>
          <w:i/>
          <w:color w:val="000000"/>
          <w:sz w:val="16"/>
          <w:szCs w:val="16"/>
        </w:rPr>
        <w:t>Reparaciiones</w:t>
      </w:r>
      <w:proofErr w:type="spellEnd"/>
      <w:r w:rsidR="0005267E" w:rsidRPr="008436BE">
        <w:rPr>
          <w:rFonts w:ascii="Verdana" w:eastAsia="Verdana" w:hAnsi="Verdana" w:cs="Verdana"/>
          <w:i/>
          <w:color w:val="000000"/>
          <w:sz w:val="16"/>
          <w:szCs w:val="16"/>
        </w:rPr>
        <w:t xml:space="preserve"> y Costas. </w:t>
      </w:r>
      <w:r w:rsidR="0005267E" w:rsidRPr="008436BE">
        <w:rPr>
          <w:rFonts w:ascii="Verdana" w:eastAsia="Verdana" w:hAnsi="Verdana" w:cs="Verdana"/>
          <w:iCs/>
          <w:color w:val="000000"/>
          <w:sz w:val="16"/>
          <w:szCs w:val="16"/>
        </w:rPr>
        <w:t>Sentencia de 30 de enero de 2023. Serie C No. 483, párr. 89.</w:t>
      </w:r>
    </w:p>
  </w:footnote>
  <w:footnote w:id="14">
    <w:p w14:paraId="27C692D8" w14:textId="77777777" w:rsidR="00F72A24" w:rsidRPr="008436BE" w:rsidRDefault="00F72A24" w:rsidP="00BB158D">
      <w:pPr>
        <w:pBdr>
          <w:top w:val="nil"/>
          <w:left w:val="nil"/>
          <w:bottom w:val="nil"/>
          <w:right w:val="nil"/>
          <w:between w:val="nil"/>
        </w:pBdr>
        <w:tabs>
          <w:tab w:val="left" w:pos="567"/>
        </w:tabs>
        <w:jc w:val="both"/>
        <w:rPr>
          <w:rFonts w:ascii="Verdana" w:eastAsia="Verdana" w:hAnsi="Verdana" w:cs="Verdana"/>
          <w:color w:val="000000"/>
          <w:sz w:val="16"/>
          <w:szCs w:val="16"/>
        </w:rPr>
      </w:pPr>
      <w:r w:rsidRPr="008436BE">
        <w:rPr>
          <w:rFonts w:ascii="Verdana" w:hAnsi="Verdana"/>
          <w:sz w:val="16"/>
          <w:szCs w:val="16"/>
          <w:vertAlign w:val="superscript"/>
        </w:rPr>
        <w:footnoteRef/>
      </w:r>
      <w:r w:rsidRPr="008436BE">
        <w:rPr>
          <w:rFonts w:ascii="Verdana" w:eastAsia="Verdana" w:hAnsi="Verdana" w:cs="Verdana"/>
          <w:color w:val="000000"/>
          <w:sz w:val="16"/>
          <w:szCs w:val="16"/>
        </w:rPr>
        <w:t xml:space="preserve"> </w:t>
      </w:r>
      <w:r w:rsidRPr="008436BE">
        <w:rPr>
          <w:rFonts w:ascii="Verdana" w:eastAsia="Verdana" w:hAnsi="Verdana" w:cs="Verdana"/>
          <w:color w:val="000000"/>
          <w:sz w:val="16"/>
          <w:szCs w:val="16"/>
        </w:rPr>
        <w:tab/>
      </w:r>
      <w:r w:rsidRPr="008436BE">
        <w:rPr>
          <w:rFonts w:ascii="Verdana" w:eastAsia="Verdana" w:hAnsi="Verdana" w:cs="Verdana"/>
          <w:i/>
          <w:color w:val="000000"/>
          <w:sz w:val="16"/>
          <w:szCs w:val="16"/>
        </w:rPr>
        <w:t xml:space="preserve">Cfr. </w:t>
      </w:r>
      <w:r w:rsidRPr="008436BE">
        <w:rPr>
          <w:rFonts w:ascii="Verdana" w:eastAsia="Verdana" w:hAnsi="Verdana" w:cs="Verdana"/>
          <w:color w:val="000000"/>
          <w:sz w:val="16"/>
          <w:szCs w:val="16"/>
          <w:highlight w:val="white"/>
        </w:rPr>
        <w:t xml:space="preserve">Nuestro </w:t>
      </w:r>
      <w:r w:rsidRPr="008436BE">
        <w:rPr>
          <w:rFonts w:ascii="Verdana" w:eastAsia="Verdana" w:hAnsi="Verdana" w:cs="Verdana"/>
          <w:i/>
          <w:color w:val="000000"/>
          <w:sz w:val="16"/>
          <w:szCs w:val="16"/>
        </w:rPr>
        <w:t xml:space="preserve">Voto razonado conjunto </w:t>
      </w:r>
      <w:r w:rsidRPr="008436BE">
        <w:rPr>
          <w:rFonts w:ascii="Verdana" w:eastAsia="Verdana" w:hAnsi="Verdana" w:cs="Verdana"/>
          <w:color w:val="000000"/>
          <w:sz w:val="16"/>
          <w:szCs w:val="16"/>
        </w:rPr>
        <w:t xml:space="preserve">en el caso </w:t>
      </w:r>
      <w:r w:rsidRPr="008436BE">
        <w:rPr>
          <w:rFonts w:ascii="Verdana" w:eastAsia="Verdana" w:hAnsi="Verdana" w:cs="Verdana"/>
          <w:i/>
          <w:color w:val="000000"/>
          <w:sz w:val="16"/>
          <w:szCs w:val="16"/>
        </w:rPr>
        <w:t xml:space="preserve">Benites Cabrera y Otros Vs. Perú. Excepciones Preliminares, Fondo, Reparaciones y Costas. </w:t>
      </w:r>
      <w:r w:rsidRPr="008436BE">
        <w:rPr>
          <w:rFonts w:ascii="Verdana" w:eastAsia="Verdana" w:hAnsi="Verdana" w:cs="Verdana"/>
          <w:color w:val="000000"/>
          <w:sz w:val="16"/>
          <w:szCs w:val="16"/>
        </w:rPr>
        <w:t xml:space="preserve">Sentencia de 4 de octubre de 2022.  Serie C No. 465, </w:t>
      </w:r>
      <w:proofErr w:type="spellStart"/>
      <w:r w:rsidRPr="008436BE">
        <w:rPr>
          <w:rFonts w:ascii="Verdana" w:eastAsia="Verdana" w:hAnsi="Verdana" w:cs="Verdana"/>
          <w:color w:val="000000"/>
          <w:sz w:val="16"/>
          <w:szCs w:val="16"/>
        </w:rPr>
        <w:t>párrs</w:t>
      </w:r>
      <w:proofErr w:type="spellEnd"/>
      <w:r w:rsidRPr="008436BE">
        <w:rPr>
          <w:rFonts w:ascii="Verdana" w:eastAsia="Verdana" w:hAnsi="Verdana" w:cs="Verdana"/>
          <w:color w:val="000000"/>
          <w:sz w:val="16"/>
          <w:szCs w:val="16"/>
        </w:rPr>
        <w:t>. 33-43.</w:t>
      </w:r>
    </w:p>
  </w:footnote>
  <w:footnote w:id="15">
    <w:p w14:paraId="58C21956" w14:textId="28D116F3" w:rsidR="008436BE" w:rsidRPr="00BB158D" w:rsidRDefault="008436BE" w:rsidP="00BB158D">
      <w:pPr>
        <w:pStyle w:val="Textonotapie"/>
        <w:spacing w:after="0" w:line="240" w:lineRule="auto"/>
        <w:jc w:val="both"/>
        <w:rPr>
          <w:lang w:val="es-ES"/>
        </w:rPr>
      </w:pPr>
      <w:r w:rsidRPr="00BB158D">
        <w:rPr>
          <w:rStyle w:val="Refdenotaalpie"/>
          <w:rFonts w:ascii="Verdana" w:hAnsi="Verdana"/>
          <w:sz w:val="16"/>
          <w:szCs w:val="16"/>
        </w:rPr>
        <w:footnoteRef/>
      </w:r>
      <w:r w:rsidRPr="00BB158D">
        <w:rPr>
          <w:rFonts w:ascii="Verdana" w:hAnsi="Verdana"/>
          <w:sz w:val="16"/>
          <w:szCs w:val="16"/>
        </w:rPr>
        <w:t xml:space="preserve"> </w:t>
      </w:r>
      <w:r w:rsidRPr="00BB158D">
        <w:rPr>
          <w:rFonts w:ascii="Verdana" w:hAnsi="Verdana"/>
          <w:sz w:val="16"/>
          <w:szCs w:val="16"/>
        </w:rPr>
        <w:tab/>
      </w:r>
      <w:r w:rsidRPr="00BB158D">
        <w:rPr>
          <w:rFonts w:ascii="Verdana" w:hAnsi="Verdana"/>
          <w:i/>
          <w:iCs/>
          <w:sz w:val="16"/>
          <w:szCs w:val="16"/>
        </w:rPr>
        <w:t xml:space="preserve">Aguinaga </w:t>
      </w:r>
      <w:proofErr w:type="spellStart"/>
      <w:r w:rsidRPr="00BB158D">
        <w:rPr>
          <w:rFonts w:ascii="Verdana" w:hAnsi="Verdana"/>
          <w:i/>
          <w:iCs/>
          <w:sz w:val="16"/>
          <w:szCs w:val="16"/>
        </w:rPr>
        <w:t>Aillón</w:t>
      </w:r>
      <w:proofErr w:type="spellEnd"/>
      <w:r w:rsidRPr="00BB158D">
        <w:rPr>
          <w:rFonts w:ascii="Verdana" w:hAnsi="Verdana"/>
          <w:i/>
          <w:iCs/>
          <w:sz w:val="16"/>
          <w:szCs w:val="16"/>
        </w:rPr>
        <w:t xml:space="preserve"> Vs. Ecuador. Fondo, Reparaciones y Costas.</w:t>
      </w:r>
      <w:r w:rsidRPr="00BB158D">
        <w:rPr>
          <w:rFonts w:ascii="Verdana" w:hAnsi="Verdana"/>
          <w:sz w:val="16"/>
          <w:szCs w:val="16"/>
        </w:rPr>
        <w:t xml:space="preserve"> Sentencia de 30 de enero de 2023. Serie C No. 483</w:t>
      </w:r>
      <w:r w:rsidRPr="00BB158D">
        <w:rPr>
          <w:rFonts w:ascii="Verdana" w:hAnsi="Verdana"/>
          <w:sz w:val="16"/>
          <w:szCs w:val="16"/>
          <w:lang w:val="es-ES"/>
        </w:rPr>
        <w:t xml:space="preserve">, </w:t>
      </w:r>
      <w:proofErr w:type="spellStart"/>
      <w:r w:rsidRPr="00BB158D">
        <w:rPr>
          <w:rFonts w:ascii="Verdana" w:hAnsi="Verdana"/>
          <w:sz w:val="16"/>
          <w:szCs w:val="16"/>
          <w:lang w:val="es-ES"/>
        </w:rPr>
        <w:t>párrs</w:t>
      </w:r>
      <w:proofErr w:type="spellEnd"/>
      <w:r w:rsidRPr="00BB158D">
        <w:rPr>
          <w:rFonts w:ascii="Verdana" w:hAnsi="Verdana"/>
          <w:sz w:val="16"/>
          <w:szCs w:val="16"/>
          <w:lang w:val="es-ES"/>
        </w:rPr>
        <w:t>. 95</w:t>
      </w:r>
      <w:r w:rsidR="00885B02">
        <w:rPr>
          <w:rFonts w:ascii="Verdana" w:hAnsi="Verdana"/>
          <w:sz w:val="16"/>
          <w:szCs w:val="16"/>
          <w:lang w:val="es-ES"/>
        </w:rPr>
        <w:t>-</w:t>
      </w:r>
      <w:r w:rsidRPr="00BB158D">
        <w:rPr>
          <w:rFonts w:ascii="Verdana" w:hAnsi="Verdana"/>
          <w:sz w:val="16"/>
          <w:szCs w:val="16"/>
          <w:lang w:val="es-ES"/>
        </w:rPr>
        <w:t>96.</w:t>
      </w:r>
    </w:p>
  </w:footnote>
  <w:footnote w:id="16">
    <w:p w14:paraId="3AC5C9AE" w14:textId="5DAA6BCC" w:rsidR="0089279C" w:rsidRPr="008436BE" w:rsidRDefault="0089279C" w:rsidP="00BB158D">
      <w:pPr>
        <w:pStyle w:val="Textonotapie"/>
        <w:spacing w:after="0" w:line="240" w:lineRule="auto"/>
        <w:jc w:val="both"/>
        <w:rPr>
          <w:rFonts w:ascii="Verdana" w:hAnsi="Verdana"/>
          <w:sz w:val="16"/>
          <w:szCs w:val="16"/>
          <w:lang w:val="es-ES"/>
        </w:rPr>
      </w:pPr>
      <w:r w:rsidRPr="008436BE">
        <w:rPr>
          <w:rStyle w:val="Refdenotaalpie"/>
          <w:rFonts w:ascii="Verdana" w:hAnsi="Verdana"/>
          <w:sz w:val="16"/>
          <w:szCs w:val="16"/>
        </w:rPr>
        <w:footnoteRef/>
      </w:r>
      <w:r w:rsidRPr="008436BE">
        <w:rPr>
          <w:rFonts w:ascii="Verdana" w:hAnsi="Verdana"/>
          <w:sz w:val="16"/>
          <w:szCs w:val="16"/>
        </w:rPr>
        <w:t xml:space="preserve"> </w:t>
      </w:r>
      <w:r w:rsidRPr="008436BE">
        <w:rPr>
          <w:rFonts w:ascii="Verdana" w:hAnsi="Verdana"/>
          <w:sz w:val="16"/>
          <w:szCs w:val="16"/>
          <w:lang w:val="es-ES"/>
        </w:rPr>
        <w:tab/>
        <w:t xml:space="preserve">Este mismo criterio fue adoptado en cuanto a la estabilidad en el cargo/empleo de un fiscal, en el </w:t>
      </w:r>
      <w:r w:rsidRPr="008436BE">
        <w:rPr>
          <w:rFonts w:ascii="Verdana" w:hAnsi="Verdana"/>
          <w:i/>
          <w:iCs/>
          <w:sz w:val="16"/>
          <w:szCs w:val="16"/>
          <w:lang w:val="es-ES"/>
        </w:rPr>
        <w:t xml:space="preserve">Caso Nissen </w:t>
      </w:r>
      <w:proofErr w:type="spellStart"/>
      <w:r w:rsidRPr="008436BE">
        <w:rPr>
          <w:rFonts w:ascii="Verdana" w:hAnsi="Verdana"/>
          <w:i/>
          <w:iCs/>
          <w:sz w:val="16"/>
          <w:szCs w:val="16"/>
          <w:lang w:val="es-ES"/>
        </w:rPr>
        <w:t>Pessolani</w:t>
      </w:r>
      <w:proofErr w:type="spellEnd"/>
      <w:r w:rsidRPr="008436BE">
        <w:rPr>
          <w:rFonts w:ascii="Verdana" w:hAnsi="Verdana"/>
          <w:i/>
          <w:iCs/>
          <w:sz w:val="16"/>
          <w:szCs w:val="16"/>
          <w:lang w:val="es-ES"/>
        </w:rPr>
        <w:t xml:space="preserve"> Vs. Paraguay, </w:t>
      </w:r>
      <w:r w:rsidRPr="008436BE">
        <w:rPr>
          <w:rFonts w:ascii="Verdana" w:hAnsi="Verdana"/>
          <w:sz w:val="16"/>
          <w:szCs w:val="16"/>
          <w:lang w:val="es-ES"/>
        </w:rPr>
        <w:t>al declarar violado de manera autónoma y separada, los derechos políticos (art. 23.1.c) y el derecho al trabajo (art. 26).</w:t>
      </w:r>
    </w:p>
  </w:footnote>
  <w:footnote w:id="17">
    <w:p w14:paraId="198D2EFB" w14:textId="2C05A1B2" w:rsidR="00825358" w:rsidRPr="00BB158D" w:rsidRDefault="00825358" w:rsidP="00BB158D">
      <w:pPr>
        <w:pStyle w:val="Textonotapie"/>
        <w:spacing w:after="0" w:line="240" w:lineRule="auto"/>
        <w:jc w:val="both"/>
        <w:rPr>
          <w:rFonts w:ascii="Verdana" w:hAnsi="Verdana"/>
          <w:sz w:val="16"/>
          <w:szCs w:val="16"/>
          <w:lang w:val="es-419"/>
        </w:rPr>
      </w:pPr>
      <w:r w:rsidRPr="00BB158D">
        <w:rPr>
          <w:rStyle w:val="Refdenotaalpie"/>
          <w:rFonts w:ascii="Verdana" w:hAnsi="Verdana"/>
          <w:sz w:val="16"/>
          <w:szCs w:val="16"/>
        </w:rPr>
        <w:footnoteRef/>
      </w:r>
      <w:r w:rsidRPr="00BB158D">
        <w:rPr>
          <w:rFonts w:ascii="Verdana" w:hAnsi="Verdana"/>
          <w:sz w:val="16"/>
          <w:szCs w:val="16"/>
        </w:rPr>
        <w:t xml:space="preserve"> </w:t>
      </w:r>
      <w:r w:rsidRPr="00BB158D">
        <w:rPr>
          <w:rFonts w:ascii="Verdana" w:hAnsi="Verdana"/>
          <w:sz w:val="16"/>
          <w:szCs w:val="16"/>
          <w:lang w:val="es-419"/>
        </w:rPr>
        <w:tab/>
        <w:t xml:space="preserve">El texto vigente del artículo 142, debido a una disposición complementaria sobreviniente en la Constitución </w:t>
      </w:r>
      <w:r w:rsidR="00751183" w:rsidRPr="00BB158D">
        <w:rPr>
          <w:rFonts w:ascii="Verdana" w:hAnsi="Verdana"/>
          <w:sz w:val="16"/>
          <w:szCs w:val="16"/>
          <w:lang w:val="es-419"/>
        </w:rPr>
        <w:t>p</w:t>
      </w:r>
      <w:r w:rsidRPr="00BB158D">
        <w:rPr>
          <w:rFonts w:ascii="Verdana" w:hAnsi="Verdana"/>
          <w:sz w:val="16"/>
          <w:szCs w:val="16"/>
          <w:lang w:val="es-419"/>
        </w:rPr>
        <w:t xml:space="preserve">eruana, fue modificado de manera que el Consejo Nacional de la Magistratura pasó a denominarse “Junta Nacional de Justicia”, sin que </w:t>
      </w:r>
      <w:r w:rsidR="00B82284" w:rsidRPr="00BB158D">
        <w:rPr>
          <w:rFonts w:ascii="Verdana" w:hAnsi="Verdana"/>
          <w:sz w:val="16"/>
          <w:szCs w:val="16"/>
          <w:lang w:val="es-419"/>
        </w:rPr>
        <w:t xml:space="preserve">se </w:t>
      </w:r>
      <w:r w:rsidRPr="00BB158D">
        <w:rPr>
          <w:rFonts w:ascii="Verdana" w:hAnsi="Verdana"/>
          <w:sz w:val="16"/>
          <w:szCs w:val="16"/>
          <w:lang w:val="es-419"/>
        </w:rPr>
        <w:t>haya</w:t>
      </w:r>
      <w:r w:rsidR="001B75AC" w:rsidRPr="00BB158D">
        <w:rPr>
          <w:rFonts w:ascii="Verdana" w:hAnsi="Verdana"/>
          <w:sz w:val="16"/>
          <w:szCs w:val="16"/>
          <w:lang w:val="es-419"/>
        </w:rPr>
        <w:t>n</w:t>
      </w:r>
      <w:r w:rsidRPr="00BB158D">
        <w:rPr>
          <w:rFonts w:ascii="Verdana" w:hAnsi="Verdana"/>
          <w:sz w:val="16"/>
          <w:szCs w:val="16"/>
          <w:lang w:val="es-419"/>
        </w:rPr>
        <w:t xml:space="preserve"> </w:t>
      </w:r>
      <w:r w:rsidR="00B82284" w:rsidRPr="00BB158D">
        <w:rPr>
          <w:rFonts w:ascii="Verdana" w:hAnsi="Verdana"/>
          <w:sz w:val="16"/>
          <w:szCs w:val="16"/>
          <w:lang w:val="es-419"/>
        </w:rPr>
        <w:t xml:space="preserve">producido cambios en sus atribuciones. </w:t>
      </w:r>
    </w:p>
  </w:footnote>
  <w:footnote w:id="18">
    <w:p w14:paraId="1A3F8EB4" w14:textId="5DDC7330" w:rsidR="00BF688E" w:rsidRPr="00BB158D" w:rsidRDefault="00BF688E" w:rsidP="00BB158D">
      <w:pPr>
        <w:pStyle w:val="Textonotapie"/>
        <w:spacing w:after="0" w:line="240" w:lineRule="auto"/>
        <w:jc w:val="both"/>
        <w:rPr>
          <w:rFonts w:ascii="Verdana" w:hAnsi="Verdana"/>
          <w:sz w:val="16"/>
          <w:szCs w:val="16"/>
          <w:lang w:val="es-419"/>
        </w:rPr>
      </w:pPr>
      <w:r w:rsidRPr="00BB158D">
        <w:rPr>
          <w:rStyle w:val="Refdenotaalpie"/>
          <w:rFonts w:ascii="Verdana" w:hAnsi="Verdana"/>
          <w:sz w:val="16"/>
          <w:szCs w:val="16"/>
        </w:rPr>
        <w:footnoteRef/>
      </w:r>
      <w:r w:rsidRPr="00BB158D">
        <w:rPr>
          <w:rFonts w:ascii="Verdana" w:hAnsi="Verdana"/>
          <w:sz w:val="16"/>
          <w:szCs w:val="16"/>
        </w:rPr>
        <w:t xml:space="preserve"> </w:t>
      </w:r>
      <w:r w:rsidR="00825358" w:rsidRPr="00BB158D">
        <w:rPr>
          <w:rFonts w:ascii="Verdana" w:hAnsi="Verdana"/>
          <w:sz w:val="16"/>
          <w:szCs w:val="16"/>
        </w:rPr>
        <w:tab/>
      </w:r>
      <w:r w:rsidR="001B75AC" w:rsidRPr="00BB158D">
        <w:rPr>
          <w:rFonts w:ascii="Verdana" w:hAnsi="Verdana" w:cs="Arial"/>
          <w:i/>
          <w:sz w:val="16"/>
          <w:szCs w:val="16"/>
          <w:lang w:val="es-CR"/>
        </w:rPr>
        <w:t xml:space="preserve">Cfr. </w:t>
      </w:r>
      <w:r w:rsidR="00825358" w:rsidRPr="00BB158D">
        <w:rPr>
          <w:rFonts w:ascii="Verdana" w:hAnsi="Verdana" w:cs="Arial"/>
          <w:i/>
          <w:sz w:val="16"/>
          <w:szCs w:val="16"/>
          <w:lang w:val="es-MX"/>
        </w:rPr>
        <w:t>Caso Baena Ricardo y otros Vs. Panamá. Fondo, Reparaciones y Costas.</w:t>
      </w:r>
      <w:r w:rsidR="00825358" w:rsidRPr="008436BE">
        <w:rPr>
          <w:rFonts w:ascii="Verdana" w:hAnsi="Verdana" w:cs="Arial"/>
          <w:iCs/>
          <w:sz w:val="16"/>
          <w:szCs w:val="16"/>
          <w:lang w:val="es-MX"/>
        </w:rPr>
        <w:t xml:space="preserve"> Sentencia de 2 de febrero de 2001. Serie C No. 72, párr.124-127</w:t>
      </w:r>
      <w:r w:rsidR="00C75701">
        <w:rPr>
          <w:rFonts w:ascii="Verdana" w:hAnsi="Verdana" w:cs="Arial"/>
          <w:iCs/>
          <w:sz w:val="16"/>
          <w:szCs w:val="16"/>
          <w:lang w:val="es-MX"/>
        </w:rPr>
        <w:t>.</w:t>
      </w:r>
    </w:p>
  </w:footnote>
  <w:footnote w:id="19">
    <w:p w14:paraId="28E8A61D" w14:textId="76EF855F" w:rsidR="00825358" w:rsidRPr="00BB158D" w:rsidRDefault="00825358" w:rsidP="00BB158D">
      <w:pPr>
        <w:pStyle w:val="Textonotapie"/>
        <w:spacing w:after="0" w:line="240" w:lineRule="auto"/>
        <w:jc w:val="both"/>
        <w:rPr>
          <w:rFonts w:ascii="Verdana" w:hAnsi="Verdana"/>
          <w:sz w:val="16"/>
          <w:szCs w:val="16"/>
          <w:lang w:val="es-CR"/>
        </w:rPr>
      </w:pPr>
      <w:r w:rsidRPr="00BB158D">
        <w:rPr>
          <w:rStyle w:val="Refdenotaalpie"/>
          <w:rFonts w:ascii="Verdana" w:hAnsi="Verdana"/>
          <w:sz w:val="16"/>
          <w:szCs w:val="16"/>
        </w:rPr>
        <w:footnoteRef/>
      </w:r>
      <w:r w:rsidRPr="00BB158D">
        <w:rPr>
          <w:rFonts w:ascii="Verdana" w:hAnsi="Verdana"/>
          <w:sz w:val="16"/>
          <w:szCs w:val="16"/>
        </w:rPr>
        <w:t xml:space="preserve"> </w:t>
      </w:r>
      <w:r w:rsidR="00751183" w:rsidRPr="00BB158D">
        <w:rPr>
          <w:rFonts w:ascii="Verdana" w:hAnsi="Verdana"/>
          <w:sz w:val="16"/>
          <w:szCs w:val="16"/>
        </w:rPr>
        <w:tab/>
      </w:r>
      <w:r w:rsidRPr="00BB158D">
        <w:rPr>
          <w:rFonts w:ascii="Verdana" w:hAnsi="Verdana"/>
          <w:i/>
          <w:iCs/>
          <w:sz w:val="16"/>
          <w:szCs w:val="16"/>
        </w:rPr>
        <w:t>Caso del Tribunal Constitucional Vs. Perú. Fondo, Reparaciones y Costas.</w:t>
      </w:r>
      <w:r w:rsidRPr="00BB158D">
        <w:rPr>
          <w:rFonts w:ascii="Verdana" w:hAnsi="Verdana"/>
          <w:sz w:val="16"/>
          <w:szCs w:val="16"/>
        </w:rPr>
        <w:t xml:space="preserve"> Sentencia de 31 de enero de 2001. Serie C No. 71</w:t>
      </w:r>
      <w:r w:rsidRPr="00BB158D">
        <w:rPr>
          <w:rFonts w:ascii="Verdana" w:hAnsi="Verdana"/>
          <w:sz w:val="16"/>
          <w:szCs w:val="16"/>
          <w:lang w:val="es-CR"/>
        </w:rPr>
        <w:t>, párr. 89</w:t>
      </w:r>
      <w:r w:rsidR="00C75701">
        <w:rPr>
          <w:rFonts w:ascii="Verdana" w:hAnsi="Verdana"/>
          <w:sz w:val="16"/>
          <w:szCs w:val="16"/>
          <w:lang w:val="es-CR"/>
        </w:rPr>
        <w:t>.</w:t>
      </w:r>
    </w:p>
  </w:footnote>
  <w:footnote w:id="20">
    <w:p w14:paraId="07443F14" w14:textId="4BD6DD6A" w:rsidR="006C19B2" w:rsidRPr="008436BE" w:rsidRDefault="006C19B2" w:rsidP="00BB158D">
      <w:pPr>
        <w:pStyle w:val="Textonotapie"/>
        <w:spacing w:after="0" w:line="240" w:lineRule="auto"/>
        <w:jc w:val="both"/>
        <w:rPr>
          <w:rFonts w:ascii="Verdana" w:hAnsi="Verdana" w:cs="Arial"/>
          <w:color w:val="000000" w:themeColor="text1"/>
          <w:sz w:val="16"/>
          <w:szCs w:val="16"/>
          <w:lang w:val="es-ES"/>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ab/>
      </w:r>
      <w:r w:rsidR="001B75AC" w:rsidRPr="00BB158D">
        <w:rPr>
          <w:rFonts w:ascii="Verdana" w:hAnsi="Verdana" w:cs="Arial"/>
          <w:iCs/>
          <w:sz w:val="16"/>
          <w:szCs w:val="16"/>
          <w:lang w:val="es-ES"/>
        </w:rPr>
        <w:t>P</w:t>
      </w:r>
      <w:r w:rsidR="0089279C" w:rsidRPr="008436BE">
        <w:rPr>
          <w:rFonts w:ascii="Verdana" w:hAnsi="Verdana" w:cs="Arial"/>
          <w:iCs/>
          <w:sz w:val="16"/>
          <w:szCs w:val="16"/>
          <w:lang w:val="es-ES"/>
        </w:rPr>
        <w:t xml:space="preserve">árr. </w:t>
      </w:r>
      <w:r w:rsidR="001B75AC" w:rsidRPr="008436BE">
        <w:rPr>
          <w:rFonts w:ascii="Verdana" w:hAnsi="Verdana" w:cs="Arial"/>
          <w:iCs/>
          <w:sz w:val="16"/>
          <w:szCs w:val="16"/>
          <w:lang w:val="es-MX"/>
        </w:rPr>
        <w:t>128</w:t>
      </w:r>
      <w:r w:rsidR="001B75AC" w:rsidRPr="008436BE">
        <w:rPr>
          <w:rFonts w:ascii="Verdana" w:hAnsi="Verdana" w:cs="Arial"/>
          <w:iCs/>
          <w:color w:val="000000" w:themeColor="text1"/>
          <w:sz w:val="16"/>
          <w:szCs w:val="16"/>
          <w:lang w:val="es-ES"/>
        </w:rPr>
        <w:t xml:space="preserve"> </w:t>
      </w:r>
      <w:r w:rsidR="0089279C" w:rsidRPr="008436BE">
        <w:rPr>
          <w:rFonts w:ascii="Verdana" w:hAnsi="Verdana" w:cs="Arial"/>
          <w:iCs/>
          <w:color w:val="000000" w:themeColor="text1"/>
          <w:sz w:val="16"/>
          <w:szCs w:val="16"/>
          <w:lang w:val="es-ES"/>
        </w:rPr>
        <w:t>de la Sentencia.</w:t>
      </w:r>
    </w:p>
  </w:footnote>
  <w:footnote w:id="21">
    <w:p w14:paraId="603492AB" w14:textId="77777777" w:rsidR="006C19B2" w:rsidRPr="008436BE" w:rsidRDefault="006C19B2" w:rsidP="00BB158D">
      <w:pPr>
        <w:jc w:val="both"/>
        <w:rPr>
          <w:rFonts w:ascii="Verdana" w:hAnsi="Verdana" w:cs="Arial"/>
          <w:color w:val="000000" w:themeColor="text1"/>
          <w:sz w:val="16"/>
          <w:szCs w:val="16"/>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r>
      <w:r w:rsidRPr="008436BE">
        <w:rPr>
          <w:rFonts w:ascii="Verdana" w:hAnsi="Verdana" w:cs="Arial"/>
          <w:i/>
          <w:color w:val="000000" w:themeColor="text1"/>
          <w:sz w:val="16"/>
          <w:szCs w:val="16"/>
        </w:rPr>
        <w:t>Cfr. Caso Mejía Idrovo Vs. Ecuador. Excepciones Preliminares, Fondo, Reparaciones y Costas</w:t>
      </w:r>
      <w:r w:rsidRPr="008436BE">
        <w:rPr>
          <w:rFonts w:ascii="Verdana" w:hAnsi="Verdana" w:cs="Arial"/>
          <w:color w:val="000000" w:themeColor="text1"/>
          <w:sz w:val="16"/>
          <w:szCs w:val="16"/>
        </w:rPr>
        <w:t xml:space="preserve">. Sentencia de 5 de julio de 2011, Serie C No. 228, párr. 95, y </w:t>
      </w:r>
      <w:r w:rsidRPr="008436BE">
        <w:rPr>
          <w:rFonts w:ascii="Verdana" w:hAnsi="Verdana" w:cs="Arial"/>
          <w:i/>
          <w:iCs/>
          <w:color w:val="000000" w:themeColor="text1"/>
          <w:sz w:val="16"/>
          <w:szCs w:val="16"/>
        </w:rPr>
        <w:t xml:space="preserve">Caso </w:t>
      </w:r>
      <w:r w:rsidRPr="008436BE">
        <w:rPr>
          <w:rFonts w:ascii="Verdana" w:hAnsi="Verdana" w:cs="Arial"/>
          <w:i/>
          <w:iCs/>
          <w:color w:val="000000" w:themeColor="text1"/>
          <w:sz w:val="16"/>
          <w:szCs w:val="16"/>
          <w:shd w:val="clear" w:color="auto" w:fill="FFFFFF"/>
        </w:rPr>
        <w:t>Martínez Esquivia Vs. Colombia. Excepciones preliminares, Fondo y Reparaciones</w:t>
      </w:r>
      <w:r w:rsidRPr="008436BE">
        <w:rPr>
          <w:rFonts w:ascii="Verdana" w:hAnsi="Verdana" w:cs="Arial"/>
          <w:color w:val="000000" w:themeColor="text1"/>
          <w:sz w:val="16"/>
          <w:szCs w:val="16"/>
          <w:shd w:val="clear" w:color="auto" w:fill="FFFFFF"/>
        </w:rPr>
        <w:t>. Sentencia de 6 de octubre de 2020. Serie C No. 412, párr. 130</w:t>
      </w:r>
      <w:r w:rsidRPr="008436BE">
        <w:rPr>
          <w:rFonts w:ascii="Verdana" w:hAnsi="Verdana" w:cs="Arial"/>
          <w:color w:val="000000" w:themeColor="text1"/>
          <w:sz w:val="16"/>
          <w:szCs w:val="16"/>
        </w:rPr>
        <w:t>.</w:t>
      </w:r>
    </w:p>
  </w:footnote>
  <w:footnote w:id="22">
    <w:p w14:paraId="5BEB90FF" w14:textId="77777777" w:rsidR="006C19B2" w:rsidRPr="008436BE" w:rsidRDefault="006C19B2" w:rsidP="00BB158D">
      <w:pPr>
        <w:jc w:val="both"/>
        <w:rPr>
          <w:rFonts w:ascii="Verdana" w:hAnsi="Verdana" w:cs="Arial"/>
          <w:color w:val="000000" w:themeColor="text1"/>
          <w:sz w:val="16"/>
          <w:szCs w:val="16"/>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r>
      <w:r w:rsidRPr="008436BE">
        <w:rPr>
          <w:rFonts w:ascii="Verdana" w:hAnsi="Verdana" w:cs="Arial"/>
          <w:i/>
          <w:color w:val="000000" w:themeColor="text1"/>
          <w:sz w:val="16"/>
          <w:szCs w:val="16"/>
        </w:rPr>
        <w:t xml:space="preserve">Cfr. </w:t>
      </w:r>
      <w:r w:rsidRPr="008436BE">
        <w:rPr>
          <w:rFonts w:ascii="Verdana" w:hAnsi="Verdana" w:cs="Arial"/>
          <w:i/>
          <w:color w:val="000000" w:themeColor="text1"/>
          <w:sz w:val="16"/>
          <w:szCs w:val="16"/>
          <w:shd w:val="clear" w:color="auto" w:fill="FFFFFF"/>
        </w:rPr>
        <w:t>Caso de los “Niños de la Calle” (Villagrán Morales y otros) Vs. Guatemala. Fondo</w:t>
      </w:r>
      <w:r w:rsidRPr="008436BE">
        <w:rPr>
          <w:rFonts w:ascii="Verdana" w:hAnsi="Verdana" w:cs="Arial"/>
          <w:color w:val="000000" w:themeColor="text1"/>
          <w:sz w:val="16"/>
          <w:szCs w:val="16"/>
          <w:shd w:val="clear" w:color="auto" w:fill="FFFFFF"/>
        </w:rPr>
        <w:t xml:space="preserve">. Sentencia de 19 de noviembre de 1999. Serie C No. 63, </w:t>
      </w:r>
      <w:r w:rsidRPr="008436BE">
        <w:rPr>
          <w:rFonts w:ascii="Verdana" w:hAnsi="Verdana" w:cs="Arial"/>
          <w:color w:val="000000" w:themeColor="text1"/>
          <w:sz w:val="16"/>
          <w:szCs w:val="16"/>
        </w:rPr>
        <w:t xml:space="preserve">párr. 237, y </w:t>
      </w:r>
      <w:r w:rsidRPr="008436BE">
        <w:rPr>
          <w:rFonts w:ascii="Verdana" w:hAnsi="Verdana" w:cs="Arial"/>
          <w:i/>
          <w:color w:val="000000" w:themeColor="text1"/>
          <w:sz w:val="16"/>
          <w:szCs w:val="16"/>
          <w:shd w:val="clear" w:color="auto" w:fill="FFFFFF"/>
        </w:rPr>
        <w:t>Caso Noguera y otra Vs. Paraguay. Fondo, Reparaciones y Costas.</w:t>
      </w:r>
      <w:r w:rsidRPr="008436BE">
        <w:rPr>
          <w:rFonts w:ascii="Verdana" w:hAnsi="Verdana" w:cs="Arial"/>
          <w:color w:val="000000" w:themeColor="text1"/>
          <w:sz w:val="16"/>
          <w:szCs w:val="16"/>
          <w:shd w:val="clear" w:color="auto" w:fill="FFFFFF"/>
        </w:rPr>
        <w:t xml:space="preserve"> Sentencia de 9 de marzo de 2020. Serie C No. 401</w:t>
      </w:r>
      <w:r w:rsidRPr="008436BE">
        <w:rPr>
          <w:rFonts w:ascii="Verdana" w:hAnsi="Verdana" w:cs="Arial"/>
          <w:bCs/>
          <w:color w:val="000000" w:themeColor="text1"/>
          <w:sz w:val="16"/>
          <w:szCs w:val="16"/>
        </w:rPr>
        <w:t>,</w:t>
      </w:r>
      <w:r w:rsidRPr="008436BE">
        <w:rPr>
          <w:rFonts w:ascii="Verdana" w:hAnsi="Verdana" w:cs="Arial"/>
          <w:color w:val="000000" w:themeColor="text1"/>
          <w:sz w:val="16"/>
          <w:szCs w:val="16"/>
        </w:rPr>
        <w:t xml:space="preserve"> párr. 79.</w:t>
      </w:r>
    </w:p>
  </w:footnote>
  <w:footnote w:id="23">
    <w:p w14:paraId="77266F89" w14:textId="77777777" w:rsidR="006C19B2" w:rsidRPr="008436BE" w:rsidRDefault="006C19B2" w:rsidP="00BB158D">
      <w:pPr>
        <w:jc w:val="both"/>
        <w:rPr>
          <w:rFonts w:ascii="Verdana" w:hAnsi="Verdana" w:cs="Arial"/>
          <w:color w:val="000000" w:themeColor="text1"/>
          <w:sz w:val="16"/>
          <w:szCs w:val="16"/>
          <w:shd w:val="clear" w:color="auto" w:fill="FFFFFF"/>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r>
      <w:r w:rsidRPr="008436BE">
        <w:rPr>
          <w:rFonts w:ascii="Verdana" w:hAnsi="Verdana" w:cs="Arial"/>
          <w:i/>
          <w:color w:val="000000" w:themeColor="text1"/>
          <w:sz w:val="16"/>
          <w:szCs w:val="16"/>
        </w:rPr>
        <w:t>Cfr. Caso Castillo Páez Vs. Perú. Fondo.</w:t>
      </w:r>
      <w:r w:rsidRPr="008436BE">
        <w:rPr>
          <w:rFonts w:ascii="Verdana" w:hAnsi="Verdana" w:cs="Arial"/>
          <w:color w:val="000000" w:themeColor="text1"/>
          <w:sz w:val="16"/>
          <w:szCs w:val="16"/>
        </w:rPr>
        <w:t xml:space="preserve"> Sentencia de 3 de noviembre de 1997. Serie C No. 34, párr. 83, y </w:t>
      </w:r>
      <w:r w:rsidRPr="008436BE">
        <w:rPr>
          <w:rFonts w:ascii="Verdana" w:hAnsi="Verdana" w:cs="Arial"/>
          <w:i/>
          <w:color w:val="000000" w:themeColor="text1"/>
          <w:sz w:val="16"/>
          <w:szCs w:val="16"/>
          <w:shd w:val="clear" w:color="auto" w:fill="FFFFFF"/>
        </w:rPr>
        <w:t>Caso López y otros Vs. Argentina</w:t>
      </w:r>
      <w:r w:rsidRPr="008436BE">
        <w:rPr>
          <w:rFonts w:ascii="Verdana" w:hAnsi="Verdana" w:cs="Arial"/>
          <w:color w:val="000000" w:themeColor="text1"/>
          <w:sz w:val="16"/>
          <w:szCs w:val="16"/>
          <w:shd w:val="clear" w:color="auto" w:fill="FFFFFF"/>
        </w:rPr>
        <w:t xml:space="preserve">. </w:t>
      </w:r>
      <w:r w:rsidRPr="008436BE">
        <w:rPr>
          <w:rFonts w:ascii="Verdana" w:hAnsi="Verdana" w:cs="Arial"/>
          <w:i/>
          <w:iCs/>
          <w:color w:val="000000" w:themeColor="text1"/>
          <w:sz w:val="16"/>
          <w:szCs w:val="16"/>
          <w:shd w:val="clear" w:color="auto" w:fill="FFFFFF"/>
        </w:rPr>
        <w:t>Excepciones Preliminares, Fondo, Reparaciones y Costas</w:t>
      </w:r>
      <w:r w:rsidRPr="008436BE">
        <w:rPr>
          <w:rFonts w:ascii="Verdana" w:hAnsi="Verdana" w:cs="Arial"/>
          <w:color w:val="000000" w:themeColor="text1"/>
          <w:sz w:val="16"/>
          <w:szCs w:val="16"/>
          <w:shd w:val="clear" w:color="auto" w:fill="FFFFFF"/>
        </w:rPr>
        <w:t>. Sentencia de 25 de noviembre de 2019. Serie C No. 396, párr. 209.</w:t>
      </w:r>
    </w:p>
  </w:footnote>
  <w:footnote w:id="24">
    <w:p w14:paraId="1891C000" w14:textId="77777777" w:rsidR="006C19B2" w:rsidRPr="008436BE" w:rsidRDefault="006C19B2" w:rsidP="00BB158D">
      <w:pPr>
        <w:pStyle w:val="Textonotapie"/>
        <w:spacing w:after="0" w:line="240" w:lineRule="auto"/>
        <w:jc w:val="both"/>
        <w:rPr>
          <w:rFonts w:ascii="Verdana" w:hAnsi="Verdana" w:cs="Arial"/>
          <w:color w:val="000000" w:themeColor="text1"/>
          <w:sz w:val="16"/>
          <w:szCs w:val="16"/>
          <w:shd w:val="clear" w:color="auto" w:fill="FFFFFF"/>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r>
      <w:r w:rsidRPr="008436BE">
        <w:rPr>
          <w:rFonts w:ascii="Verdana" w:hAnsi="Verdana" w:cs="Arial"/>
          <w:i/>
          <w:color w:val="000000" w:themeColor="text1"/>
          <w:sz w:val="16"/>
          <w:szCs w:val="16"/>
        </w:rPr>
        <w:t xml:space="preserve">Cfr. </w:t>
      </w:r>
      <w:r w:rsidRPr="008436BE">
        <w:rPr>
          <w:rFonts w:ascii="Verdana" w:hAnsi="Verdana" w:cs="Arial"/>
          <w:i/>
          <w:color w:val="000000" w:themeColor="text1"/>
          <w:sz w:val="16"/>
          <w:szCs w:val="16"/>
          <w:shd w:val="clear" w:color="auto" w:fill="FFFFFF"/>
        </w:rPr>
        <w:t>Caso de los “Niños de la Calle” (Villagrán Morales y otros) Vs. Guatemala. Fondo</w:t>
      </w:r>
      <w:r w:rsidRPr="008436BE">
        <w:rPr>
          <w:rFonts w:ascii="Verdana" w:hAnsi="Verdana" w:cs="Arial"/>
          <w:color w:val="000000" w:themeColor="text1"/>
          <w:sz w:val="16"/>
          <w:szCs w:val="16"/>
          <w:shd w:val="clear" w:color="auto" w:fill="FFFFFF"/>
        </w:rPr>
        <w:t>, S</w:t>
      </w:r>
      <w:r w:rsidRPr="008436BE">
        <w:rPr>
          <w:rFonts w:ascii="Verdana" w:eastAsia="Times New Roman" w:hAnsi="Verdana" w:cs="Arial"/>
          <w:color w:val="000000" w:themeColor="text1"/>
          <w:sz w:val="16"/>
          <w:szCs w:val="16"/>
          <w:shd w:val="clear" w:color="auto" w:fill="FFFFFF"/>
          <w:lang w:eastAsia="es-MX"/>
        </w:rPr>
        <w:t>entencia de 19 de noviembre de 1999. Serie C No. 63,</w:t>
      </w:r>
      <w:r w:rsidRPr="008436BE">
        <w:rPr>
          <w:rFonts w:ascii="Verdana" w:hAnsi="Verdana" w:cs="Arial"/>
          <w:color w:val="000000" w:themeColor="text1"/>
          <w:sz w:val="16"/>
          <w:szCs w:val="16"/>
          <w:shd w:val="clear" w:color="auto" w:fill="FFFFFF"/>
        </w:rPr>
        <w:t xml:space="preserve"> </w:t>
      </w:r>
      <w:r w:rsidRPr="008436BE">
        <w:rPr>
          <w:rFonts w:ascii="Verdana" w:hAnsi="Verdana" w:cs="Arial"/>
          <w:color w:val="000000" w:themeColor="text1"/>
          <w:sz w:val="16"/>
          <w:szCs w:val="16"/>
        </w:rPr>
        <w:t xml:space="preserve">párr. 237, y </w:t>
      </w:r>
      <w:r w:rsidRPr="008436BE">
        <w:rPr>
          <w:rFonts w:ascii="Verdana" w:hAnsi="Verdana" w:cs="Arial"/>
          <w:i/>
          <w:color w:val="000000" w:themeColor="text1"/>
          <w:sz w:val="16"/>
          <w:szCs w:val="16"/>
          <w:shd w:val="clear" w:color="auto" w:fill="FFFFFF"/>
        </w:rPr>
        <w:t>Caso López y otros Vs. Argentina</w:t>
      </w:r>
      <w:r w:rsidRPr="008436BE">
        <w:rPr>
          <w:rFonts w:ascii="Verdana" w:hAnsi="Verdana" w:cs="Arial"/>
          <w:color w:val="000000" w:themeColor="text1"/>
          <w:sz w:val="16"/>
          <w:szCs w:val="16"/>
          <w:shd w:val="clear" w:color="auto" w:fill="FFFFFF"/>
        </w:rPr>
        <w:t xml:space="preserve">, </w:t>
      </w:r>
      <w:r w:rsidRPr="008436BE">
        <w:rPr>
          <w:rFonts w:ascii="Verdana" w:eastAsia="Times New Roman" w:hAnsi="Verdana" w:cs="Arial"/>
          <w:i/>
          <w:iCs/>
          <w:color w:val="000000" w:themeColor="text1"/>
          <w:sz w:val="16"/>
          <w:szCs w:val="16"/>
          <w:shd w:val="clear" w:color="auto" w:fill="FFFFFF"/>
          <w:lang w:eastAsia="es-MX"/>
        </w:rPr>
        <w:t>Excepciones Preliminares, Fondo, Reparaciones y Costas</w:t>
      </w:r>
      <w:r w:rsidRPr="008436BE">
        <w:rPr>
          <w:rFonts w:ascii="Verdana" w:eastAsia="Times New Roman" w:hAnsi="Verdana" w:cs="Arial"/>
          <w:color w:val="000000" w:themeColor="text1"/>
          <w:sz w:val="16"/>
          <w:szCs w:val="16"/>
          <w:shd w:val="clear" w:color="auto" w:fill="FFFFFF"/>
          <w:lang w:eastAsia="es-MX"/>
        </w:rPr>
        <w:t>. Sentencia de 25 de noviembre de 2019. Serie C No. 396</w:t>
      </w:r>
      <w:r w:rsidRPr="008436BE">
        <w:rPr>
          <w:rFonts w:ascii="Verdana" w:hAnsi="Verdana" w:cs="Arial"/>
          <w:color w:val="000000" w:themeColor="text1"/>
          <w:sz w:val="16"/>
          <w:szCs w:val="16"/>
          <w:shd w:val="clear" w:color="auto" w:fill="FFFFFF"/>
        </w:rPr>
        <w:t>, párr. 209.</w:t>
      </w:r>
    </w:p>
  </w:footnote>
  <w:footnote w:id="25">
    <w:p w14:paraId="2A7F82C3" w14:textId="77777777" w:rsidR="006C19B2" w:rsidRPr="008436BE" w:rsidRDefault="006C19B2" w:rsidP="00BB158D">
      <w:pPr>
        <w:pStyle w:val="Textonotapie"/>
        <w:spacing w:after="0" w:line="240" w:lineRule="auto"/>
        <w:jc w:val="both"/>
        <w:rPr>
          <w:rFonts w:ascii="Verdana" w:hAnsi="Verdana" w:cs="Arial"/>
          <w:color w:val="000000" w:themeColor="text1"/>
          <w:sz w:val="16"/>
          <w:szCs w:val="16"/>
          <w:shd w:val="clear" w:color="auto" w:fill="FFFFFF"/>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r>
      <w:r w:rsidRPr="008436BE">
        <w:rPr>
          <w:rFonts w:ascii="Verdana" w:hAnsi="Verdana" w:cs="Arial"/>
          <w:i/>
          <w:color w:val="000000" w:themeColor="text1"/>
          <w:sz w:val="16"/>
          <w:szCs w:val="16"/>
        </w:rPr>
        <w:t>Cfr.</w:t>
      </w:r>
      <w:r w:rsidRPr="008436BE">
        <w:rPr>
          <w:rFonts w:ascii="Verdana" w:hAnsi="Verdana" w:cs="Arial"/>
          <w:color w:val="000000" w:themeColor="text1"/>
          <w:sz w:val="16"/>
          <w:szCs w:val="16"/>
        </w:rPr>
        <w:t xml:space="preserve"> </w:t>
      </w:r>
      <w:r w:rsidRPr="008436BE">
        <w:rPr>
          <w:rFonts w:ascii="Verdana" w:hAnsi="Verdana" w:cs="Arial"/>
          <w:i/>
          <w:color w:val="000000" w:themeColor="text1"/>
          <w:sz w:val="16"/>
          <w:szCs w:val="16"/>
        </w:rPr>
        <w:t>Garantías Judiciales en Estados de Emergencia</w:t>
      </w:r>
      <w:r w:rsidRPr="008436BE">
        <w:rPr>
          <w:rFonts w:ascii="Verdana" w:hAnsi="Verdana" w:cs="Arial"/>
          <w:color w:val="000000" w:themeColor="text1"/>
          <w:sz w:val="16"/>
          <w:szCs w:val="16"/>
        </w:rPr>
        <w:t xml:space="preserve"> (arts. 27.2, 25 y 8 Convención Americana sobre Derechos Humanos). Opinión Consultiva OC-9/87 de 6 de octubre de 1987. Serie A, No. 9, párr. 24; </w:t>
      </w:r>
      <w:r w:rsidRPr="008436BE">
        <w:rPr>
          <w:rFonts w:ascii="Verdana" w:hAnsi="Verdana" w:cs="Arial"/>
          <w:i/>
          <w:color w:val="000000" w:themeColor="text1"/>
          <w:sz w:val="16"/>
          <w:szCs w:val="16"/>
        </w:rPr>
        <w:t>Caso Castañeda Gutman Vs. México. Excepciones Preliminares, Fondo, Reparaciones y Costas.</w:t>
      </w:r>
      <w:r w:rsidRPr="008436BE">
        <w:rPr>
          <w:rFonts w:ascii="Verdana" w:hAnsi="Verdana" w:cs="Arial"/>
          <w:color w:val="000000" w:themeColor="text1"/>
          <w:sz w:val="16"/>
          <w:szCs w:val="16"/>
        </w:rPr>
        <w:t xml:space="preserve"> Sentencia de 6 de agosto de 2008. Serie C No. 184, párr. 100, y </w:t>
      </w:r>
      <w:r w:rsidRPr="008436BE">
        <w:rPr>
          <w:rFonts w:ascii="Verdana" w:hAnsi="Verdana" w:cs="Arial"/>
          <w:i/>
          <w:color w:val="000000" w:themeColor="text1"/>
          <w:sz w:val="16"/>
          <w:szCs w:val="16"/>
          <w:shd w:val="clear" w:color="auto" w:fill="FFFFFF"/>
        </w:rPr>
        <w:t>Caso López y otros Vs. Argentina</w:t>
      </w:r>
      <w:r w:rsidRPr="008436BE">
        <w:rPr>
          <w:rFonts w:ascii="Verdana" w:hAnsi="Verdana" w:cs="Arial"/>
          <w:color w:val="000000" w:themeColor="text1"/>
          <w:sz w:val="16"/>
          <w:szCs w:val="16"/>
          <w:shd w:val="clear" w:color="auto" w:fill="FFFFFF"/>
        </w:rPr>
        <w:t xml:space="preserve">, </w:t>
      </w:r>
      <w:r w:rsidRPr="008436BE">
        <w:rPr>
          <w:rFonts w:ascii="Verdana" w:eastAsia="Times New Roman" w:hAnsi="Verdana" w:cs="Arial"/>
          <w:i/>
          <w:iCs/>
          <w:color w:val="000000" w:themeColor="text1"/>
          <w:sz w:val="16"/>
          <w:szCs w:val="16"/>
          <w:shd w:val="clear" w:color="auto" w:fill="FFFFFF"/>
          <w:lang w:eastAsia="es-MX"/>
        </w:rPr>
        <w:t>Excepciones Preliminares, Fondo, Reparaciones y Costas</w:t>
      </w:r>
      <w:r w:rsidRPr="008436BE">
        <w:rPr>
          <w:rFonts w:ascii="Verdana" w:eastAsia="Times New Roman" w:hAnsi="Verdana" w:cs="Arial"/>
          <w:color w:val="000000" w:themeColor="text1"/>
          <w:sz w:val="16"/>
          <w:szCs w:val="16"/>
          <w:shd w:val="clear" w:color="auto" w:fill="FFFFFF"/>
          <w:lang w:eastAsia="es-MX"/>
        </w:rPr>
        <w:t>. Sentencia de 25 de noviembre de 2019. Serie C No. 396</w:t>
      </w:r>
      <w:r w:rsidRPr="008436BE">
        <w:rPr>
          <w:rFonts w:ascii="Verdana" w:hAnsi="Verdana" w:cs="Arial"/>
          <w:color w:val="000000" w:themeColor="text1"/>
          <w:sz w:val="16"/>
          <w:szCs w:val="16"/>
          <w:shd w:val="clear" w:color="auto" w:fill="FFFFFF"/>
        </w:rPr>
        <w:t>, párr. 210.</w:t>
      </w:r>
    </w:p>
  </w:footnote>
  <w:footnote w:id="26">
    <w:p w14:paraId="78C8469B" w14:textId="17D4E0DC" w:rsidR="006C19B2" w:rsidRPr="008436BE" w:rsidRDefault="006C19B2" w:rsidP="00BB158D">
      <w:pPr>
        <w:jc w:val="both"/>
        <w:rPr>
          <w:rFonts w:ascii="Verdana" w:hAnsi="Verdana" w:cs="Arial"/>
          <w:color w:val="000000" w:themeColor="text1"/>
          <w:sz w:val="16"/>
          <w:szCs w:val="16"/>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r>
      <w:r w:rsidRPr="008436BE">
        <w:rPr>
          <w:rFonts w:ascii="Verdana" w:hAnsi="Verdana" w:cs="Arial"/>
          <w:i/>
          <w:color w:val="000000" w:themeColor="text1"/>
          <w:sz w:val="16"/>
          <w:szCs w:val="16"/>
          <w:shd w:val="clear" w:color="auto" w:fill="FFFFFF"/>
        </w:rPr>
        <w:t>Caso López y otros Vs. Argentina</w:t>
      </w:r>
      <w:r w:rsidRPr="008436BE">
        <w:rPr>
          <w:rFonts w:ascii="Verdana" w:hAnsi="Verdana" w:cs="Arial"/>
          <w:color w:val="000000" w:themeColor="text1"/>
          <w:sz w:val="16"/>
          <w:szCs w:val="16"/>
          <w:shd w:val="clear" w:color="auto" w:fill="FFFFFF"/>
        </w:rPr>
        <w:t xml:space="preserve">, </w:t>
      </w:r>
      <w:r w:rsidRPr="008436BE">
        <w:rPr>
          <w:rFonts w:ascii="Verdana" w:hAnsi="Verdana" w:cs="Arial"/>
          <w:i/>
          <w:iCs/>
          <w:color w:val="000000" w:themeColor="text1"/>
          <w:sz w:val="16"/>
          <w:szCs w:val="16"/>
          <w:shd w:val="clear" w:color="auto" w:fill="FFFFFF"/>
        </w:rPr>
        <w:t>Excepciones Preliminares, Fondo, Reparaciones y Costas</w:t>
      </w:r>
      <w:r w:rsidRPr="008436BE">
        <w:rPr>
          <w:rFonts w:ascii="Verdana" w:hAnsi="Verdana" w:cs="Arial"/>
          <w:color w:val="000000" w:themeColor="text1"/>
          <w:sz w:val="16"/>
          <w:szCs w:val="16"/>
          <w:shd w:val="clear" w:color="auto" w:fill="FFFFFF"/>
        </w:rPr>
        <w:t>. Sentencia de 25 de noviembre de 2019. Serie C No. 396, párr. 210.</w:t>
      </w:r>
    </w:p>
  </w:footnote>
  <w:footnote w:id="27">
    <w:p w14:paraId="433FB66C" w14:textId="0BA3B395" w:rsidR="006C19B2" w:rsidRPr="008436BE" w:rsidRDefault="006C19B2" w:rsidP="00BB158D">
      <w:pPr>
        <w:pStyle w:val="Textonotapie"/>
        <w:spacing w:after="0" w:line="240" w:lineRule="auto"/>
        <w:jc w:val="both"/>
        <w:rPr>
          <w:rFonts w:ascii="Verdana" w:hAnsi="Verdana" w:cs="Arial"/>
          <w:color w:val="000000" w:themeColor="text1"/>
          <w:sz w:val="16"/>
          <w:szCs w:val="16"/>
          <w:lang w:val="es-ES"/>
        </w:rPr>
      </w:pPr>
      <w:r w:rsidRPr="008436BE">
        <w:rPr>
          <w:rStyle w:val="Refdenotaalpie"/>
          <w:rFonts w:ascii="Verdana" w:hAnsi="Verdana" w:cs="Arial"/>
          <w:color w:val="000000" w:themeColor="text1"/>
          <w:sz w:val="16"/>
          <w:szCs w:val="16"/>
        </w:rPr>
        <w:footnoteRef/>
      </w:r>
      <w:r w:rsidRPr="008436BE">
        <w:rPr>
          <w:rFonts w:ascii="Verdana" w:hAnsi="Verdana" w:cs="Arial"/>
          <w:color w:val="000000" w:themeColor="text1"/>
          <w:sz w:val="16"/>
          <w:szCs w:val="16"/>
        </w:rPr>
        <w:t xml:space="preserve"> </w:t>
      </w:r>
      <w:r w:rsidRPr="008436BE">
        <w:rPr>
          <w:rFonts w:ascii="Verdana" w:hAnsi="Verdana" w:cs="Arial"/>
          <w:color w:val="000000" w:themeColor="text1"/>
          <w:sz w:val="16"/>
          <w:szCs w:val="16"/>
        </w:rPr>
        <w:tab/>
      </w:r>
      <w:r w:rsidRPr="008436BE">
        <w:rPr>
          <w:rFonts w:ascii="Verdana" w:eastAsia="Times New Roman" w:hAnsi="Verdana" w:cs="Arial"/>
          <w:i/>
          <w:iCs/>
          <w:color w:val="000000" w:themeColor="text1"/>
          <w:sz w:val="16"/>
          <w:szCs w:val="16"/>
          <w:shd w:val="clear" w:color="auto" w:fill="FFFFFF"/>
          <w:lang w:eastAsia="es-MX"/>
        </w:rPr>
        <w:t xml:space="preserve">Caso López </w:t>
      </w:r>
      <w:proofErr w:type="spellStart"/>
      <w:r w:rsidRPr="008436BE">
        <w:rPr>
          <w:rFonts w:ascii="Verdana" w:eastAsia="Times New Roman" w:hAnsi="Verdana" w:cs="Arial"/>
          <w:i/>
          <w:iCs/>
          <w:color w:val="000000" w:themeColor="text1"/>
          <w:sz w:val="16"/>
          <w:szCs w:val="16"/>
          <w:shd w:val="clear" w:color="auto" w:fill="FFFFFF"/>
          <w:lang w:eastAsia="es-MX"/>
        </w:rPr>
        <w:t>Lone</w:t>
      </w:r>
      <w:proofErr w:type="spellEnd"/>
      <w:r w:rsidRPr="008436BE">
        <w:rPr>
          <w:rFonts w:ascii="Verdana" w:eastAsia="Times New Roman" w:hAnsi="Verdana" w:cs="Arial"/>
          <w:i/>
          <w:iCs/>
          <w:color w:val="000000" w:themeColor="text1"/>
          <w:sz w:val="16"/>
          <w:szCs w:val="16"/>
          <w:shd w:val="clear" w:color="auto" w:fill="FFFFFF"/>
          <w:lang w:eastAsia="es-MX"/>
        </w:rPr>
        <w:t xml:space="preserve"> y otros Vs. Honduras. Excepción Preliminar, Fondo, Reparaciones y Costas</w:t>
      </w:r>
      <w:r w:rsidRPr="008436BE">
        <w:rPr>
          <w:rFonts w:ascii="Verdana" w:eastAsia="Times New Roman" w:hAnsi="Verdana" w:cs="Arial"/>
          <w:color w:val="000000" w:themeColor="text1"/>
          <w:sz w:val="16"/>
          <w:szCs w:val="16"/>
          <w:shd w:val="clear" w:color="auto" w:fill="FFFFFF"/>
          <w:lang w:eastAsia="es-MX"/>
        </w:rPr>
        <w:t xml:space="preserve">. Sentencia de 5 de octubre de 2015. Serie C No. 302, </w:t>
      </w:r>
      <w:r w:rsidRPr="008436BE">
        <w:rPr>
          <w:rFonts w:ascii="Verdana" w:hAnsi="Verdana" w:cs="Arial"/>
          <w:color w:val="000000" w:themeColor="text1"/>
          <w:sz w:val="16"/>
          <w:szCs w:val="16"/>
          <w:lang w:val="es-ES"/>
        </w:rPr>
        <w:t>párr.</w:t>
      </w:r>
      <w:r w:rsidRPr="008436BE">
        <w:rPr>
          <w:rFonts w:ascii="Verdana" w:hAnsi="Verdana" w:cs="Arial"/>
          <w:color w:val="000000" w:themeColor="text1"/>
          <w:sz w:val="16"/>
          <w:szCs w:val="16"/>
        </w:rPr>
        <w:t xml:space="preserve"> 267</w:t>
      </w:r>
      <w:r w:rsidRPr="008436BE">
        <w:rPr>
          <w:rFonts w:ascii="Verdana" w:hAnsi="Verdana" w:cs="Arial"/>
          <w:color w:val="000000" w:themeColor="text1"/>
          <w:sz w:val="16"/>
          <w:szCs w:val="16"/>
          <w:lang w:val="es-ES"/>
        </w:rPr>
        <w:t>.</w:t>
      </w:r>
    </w:p>
  </w:footnote>
  <w:footnote w:id="28">
    <w:p w14:paraId="4AF227B6" w14:textId="2A73A891" w:rsidR="006E33F2" w:rsidRPr="00BB158D" w:rsidRDefault="006E33F2" w:rsidP="00BB158D">
      <w:pPr>
        <w:pStyle w:val="Textonotapie"/>
        <w:spacing w:after="0" w:line="240" w:lineRule="auto"/>
        <w:jc w:val="both"/>
        <w:rPr>
          <w:rFonts w:ascii="Verdana" w:hAnsi="Verdana"/>
          <w:sz w:val="16"/>
          <w:szCs w:val="16"/>
          <w:lang w:val="es-419"/>
        </w:rPr>
      </w:pPr>
      <w:r w:rsidRPr="008436BE">
        <w:rPr>
          <w:rFonts w:ascii="Verdana" w:eastAsia="Times New Roman" w:hAnsi="Verdana" w:cs="Arial"/>
          <w:color w:val="000000" w:themeColor="text1"/>
          <w:sz w:val="16"/>
          <w:szCs w:val="16"/>
          <w:lang w:val="es-MX" w:eastAsia="es-MX"/>
        </w:rPr>
        <w:footnoteRef/>
      </w:r>
      <w:r w:rsidRPr="008436BE">
        <w:rPr>
          <w:rFonts w:ascii="Verdana" w:eastAsia="Times New Roman" w:hAnsi="Verdana" w:cs="Arial"/>
          <w:color w:val="000000" w:themeColor="text1"/>
          <w:sz w:val="16"/>
          <w:szCs w:val="16"/>
          <w:lang w:val="es-MX" w:eastAsia="es-MX"/>
        </w:rPr>
        <w:t xml:space="preserve"> </w:t>
      </w:r>
      <w:r w:rsidRPr="008436BE">
        <w:rPr>
          <w:rFonts w:ascii="Verdana" w:eastAsia="Times New Roman" w:hAnsi="Verdana" w:cs="Arial"/>
          <w:color w:val="000000" w:themeColor="text1"/>
          <w:sz w:val="16"/>
          <w:szCs w:val="16"/>
          <w:lang w:val="es-MX" w:eastAsia="es-MX"/>
        </w:rPr>
        <w:tab/>
        <w:t xml:space="preserve">Corte IDH. </w:t>
      </w:r>
      <w:r w:rsidRPr="008436BE">
        <w:rPr>
          <w:rFonts w:ascii="Verdana" w:eastAsia="Times New Roman" w:hAnsi="Verdana" w:cs="Arial"/>
          <w:i/>
          <w:iCs/>
          <w:color w:val="000000" w:themeColor="text1"/>
          <w:sz w:val="16"/>
          <w:szCs w:val="16"/>
          <w:lang w:val="es-MX" w:eastAsia="es-MX"/>
        </w:rPr>
        <w:t xml:space="preserve">Caso López </w:t>
      </w:r>
      <w:proofErr w:type="spellStart"/>
      <w:r w:rsidRPr="008436BE">
        <w:rPr>
          <w:rFonts w:ascii="Verdana" w:eastAsia="Times New Roman" w:hAnsi="Verdana" w:cs="Arial"/>
          <w:i/>
          <w:iCs/>
          <w:color w:val="000000" w:themeColor="text1"/>
          <w:sz w:val="16"/>
          <w:szCs w:val="16"/>
          <w:lang w:val="es-MX" w:eastAsia="es-MX"/>
        </w:rPr>
        <w:t>Lone</w:t>
      </w:r>
      <w:proofErr w:type="spellEnd"/>
      <w:r w:rsidRPr="008436BE">
        <w:rPr>
          <w:rFonts w:ascii="Verdana" w:eastAsia="Times New Roman" w:hAnsi="Verdana" w:cs="Arial"/>
          <w:i/>
          <w:iCs/>
          <w:color w:val="000000" w:themeColor="text1"/>
          <w:sz w:val="16"/>
          <w:szCs w:val="16"/>
          <w:lang w:val="es-MX" w:eastAsia="es-MX"/>
        </w:rPr>
        <w:t xml:space="preserve"> y otros Vs. Honduras</w:t>
      </w:r>
      <w:r w:rsidRPr="008436BE">
        <w:rPr>
          <w:rFonts w:ascii="Verdana" w:eastAsia="Times New Roman" w:hAnsi="Verdana" w:cs="Arial"/>
          <w:color w:val="000000" w:themeColor="text1"/>
          <w:sz w:val="16"/>
          <w:szCs w:val="16"/>
          <w:lang w:val="es-MX" w:eastAsia="es-MX"/>
        </w:rPr>
        <w:t>. Excepción Preliminar, Fondo, Reparaciones y Costas. Sentencia de 5 de octubre de 2015. Serie C No. 302, párr. 259.</w:t>
      </w:r>
    </w:p>
  </w:footnote>
  <w:footnote w:id="29">
    <w:p w14:paraId="1F1FB763" w14:textId="77777777" w:rsidR="0089279C" w:rsidRPr="008436BE" w:rsidRDefault="0089279C" w:rsidP="00BB158D">
      <w:pPr>
        <w:pStyle w:val="Textonotapie"/>
        <w:spacing w:after="0" w:line="240" w:lineRule="auto"/>
        <w:jc w:val="both"/>
        <w:rPr>
          <w:rFonts w:ascii="Verdana" w:hAnsi="Verdana"/>
          <w:color w:val="000000" w:themeColor="text1"/>
          <w:sz w:val="16"/>
          <w:szCs w:val="16"/>
          <w:lang w:val="es-ES"/>
        </w:rPr>
      </w:pPr>
      <w:r w:rsidRPr="008436BE">
        <w:rPr>
          <w:rStyle w:val="Refdenotaalpie"/>
          <w:rFonts w:ascii="Verdana" w:hAnsi="Verdana"/>
          <w:color w:val="000000" w:themeColor="text1"/>
          <w:sz w:val="16"/>
          <w:szCs w:val="16"/>
        </w:rPr>
        <w:footnoteRef/>
      </w:r>
      <w:r w:rsidRPr="008436BE">
        <w:rPr>
          <w:rFonts w:ascii="Verdana" w:hAnsi="Verdana"/>
          <w:color w:val="000000" w:themeColor="text1"/>
          <w:sz w:val="16"/>
          <w:szCs w:val="16"/>
        </w:rPr>
        <w:t xml:space="preserve"> </w:t>
      </w:r>
      <w:r w:rsidRPr="008436BE">
        <w:rPr>
          <w:rFonts w:ascii="Verdana" w:hAnsi="Verdana"/>
          <w:color w:val="000000" w:themeColor="text1"/>
          <w:sz w:val="16"/>
          <w:szCs w:val="16"/>
        </w:rPr>
        <w:tab/>
      </w:r>
      <w:r w:rsidRPr="008436BE">
        <w:rPr>
          <w:rFonts w:ascii="Verdana" w:hAnsi="Verdana"/>
          <w:i/>
          <w:color w:val="000000" w:themeColor="text1"/>
          <w:sz w:val="16"/>
          <w:szCs w:val="16"/>
        </w:rPr>
        <w:t>Cfr.</w:t>
      </w:r>
      <w:r w:rsidRPr="008436BE">
        <w:rPr>
          <w:rFonts w:ascii="Verdana" w:hAnsi="Verdana"/>
          <w:color w:val="000000" w:themeColor="text1"/>
          <w:sz w:val="16"/>
          <w:szCs w:val="16"/>
        </w:rPr>
        <w:t xml:space="preserve"> </w:t>
      </w:r>
      <w:r w:rsidRPr="008436BE">
        <w:rPr>
          <w:rFonts w:ascii="Verdana" w:eastAsia="Times New Roman" w:hAnsi="Verdana" w:cs="Arial"/>
          <w:i/>
          <w:iCs/>
          <w:color w:val="000000" w:themeColor="text1"/>
          <w:sz w:val="16"/>
          <w:szCs w:val="16"/>
          <w:shd w:val="clear" w:color="auto" w:fill="FFFFFF"/>
          <w:lang w:eastAsia="es-MX"/>
        </w:rPr>
        <w:t>Caso Baena Ricardo y otros Vs. Panamá. Fondo, Reparaciones y Costas</w:t>
      </w:r>
      <w:r w:rsidRPr="008436BE">
        <w:rPr>
          <w:rFonts w:ascii="Verdana" w:eastAsia="Times New Roman" w:hAnsi="Verdana" w:cs="Arial"/>
          <w:color w:val="000000" w:themeColor="text1"/>
          <w:sz w:val="16"/>
          <w:szCs w:val="16"/>
          <w:shd w:val="clear" w:color="auto" w:fill="FFFFFF"/>
          <w:lang w:eastAsia="es-MX"/>
        </w:rPr>
        <w:t>. Sentencia de 2 de febrero de 2001. Serie C No. 72, párr</w:t>
      </w:r>
      <w:r w:rsidRPr="008436BE">
        <w:rPr>
          <w:rFonts w:ascii="Verdana" w:eastAsia="Times New Roman" w:hAnsi="Verdana" w:cs="Arial"/>
          <w:color w:val="000000" w:themeColor="text1"/>
          <w:sz w:val="16"/>
          <w:szCs w:val="16"/>
          <w:shd w:val="clear" w:color="auto" w:fill="FFFFFF"/>
          <w:lang w:val="es-ES" w:eastAsia="es-MX"/>
        </w:rPr>
        <w:t xml:space="preserve">. </w:t>
      </w:r>
      <w:r w:rsidRPr="008436BE">
        <w:rPr>
          <w:rFonts w:ascii="Verdana" w:hAnsi="Verdana"/>
          <w:color w:val="000000" w:themeColor="text1"/>
          <w:sz w:val="16"/>
          <w:szCs w:val="16"/>
          <w:lang w:val="es-ES"/>
        </w:rPr>
        <w:t>106.</w:t>
      </w:r>
    </w:p>
  </w:footnote>
  <w:footnote w:id="30">
    <w:p w14:paraId="1ECB087D" w14:textId="3EEF0749" w:rsidR="0089279C" w:rsidRPr="008436BE" w:rsidRDefault="0089279C" w:rsidP="00BB158D">
      <w:pPr>
        <w:pStyle w:val="Textonotapie"/>
        <w:spacing w:after="0" w:line="240" w:lineRule="auto"/>
        <w:jc w:val="both"/>
        <w:rPr>
          <w:rFonts w:ascii="Verdana" w:hAnsi="Verdana"/>
          <w:color w:val="000000" w:themeColor="text1"/>
          <w:sz w:val="16"/>
          <w:szCs w:val="16"/>
          <w:lang w:val="es-ES"/>
        </w:rPr>
      </w:pPr>
      <w:r w:rsidRPr="008436BE">
        <w:rPr>
          <w:rStyle w:val="Refdenotaalpie"/>
          <w:rFonts w:ascii="Verdana" w:hAnsi="Verdana"/>
          <w:color w:val="000000" w:themeColor="text1"/>
          <w:sz w:val="16"/>
          <w:szCs w:val="16"/>
        </w:rPr>
        <w:footnoteRef/>
      </w:r>
      <w:r w:rsidRPr="008436BE">
        <w:rPr>
          <w:rFonts w:ascii="Verdana" w:hAnsi="Verdana"/>
          <w:color w:val="000000" w:themeColor="text1"/>
          <w:sz w:val="16"/>
          <w:szCs w:val="16"/>
        </w:rPr>
        <w:t xml:space="preserve"> </w:t>
      </w:r>
      <w:r w:rsidRPr="008436BE">
        <w:rPr>
          <w:rFonts w:ascii="Verdana" w:hAnsi="Verdana"/>
          <w:color w:val="000000" w:themeColor="text1"/>
          <w:sz w:val="16"/>
          <w:szCs w:val="16"/>
        </w:rPr>
        <w:tab/>
      </w:r>
      <w:r w:rsidRPr="008436BE">
        <w:rPr>
          <w:rFonts w:ascii="Verdana" w:hAnsi="Verdana"/>
          <w:i/>
          <w:color w:val="000000" w:themeColor="text1"/>
          <w:sz w:val="16"/>
          <w:szCs w:val="16"/>
        </w:rPr>
        <w:t>Cfr.</w:t>
      </w:r>
      <w:r w:rsidRPr="008436BE">
        <w:rPr>
          <w:rFonts w:ascii="Verdana" w:hAnsi="Verdana"/>
          <w:color w:val="000000" w:themeColor="text1"/>
          <w:sz w:val="16"/>
          <w:szCs w:val="16"/>
        </w:rPr>
        <w:t xml:space="preserve"> </w:t>
      </w:r>
      <w:proofErr w:type="gramStart"/>
      <w:r w:rsidRPr="008436BE">
        <w:rPr>
          <w:rFonts w:ascii="Verdana" w:hAnsi="Verdana"/>
          <w:i/>
          <w:color w:val="000000" w:themeColor="text1"/>
          <w:sz w:val="16"/>
          <w:szCs w:val="16"/>
          <w:lang w:val="es-ES"/>
        </w:rPr>
        <w:t xml:space="preserve">Mutatis </w:t>
      </w:r>
      <w:proofErr w:type="spellStart"/>
      <w:r w:rsidRPr="008436BE">
        <w:rPr>
          <w:rFonts w:ascii="Verdana" w:hAnsi="Verdana"/>
          <w:i/>
          <w:color w:val="000000" w:themeColor="text1"/>
          <w:sz w:val="16"/>
          <w:szCs w:val="16"/>
          <w:lang w:val="es-ES"/>
        </w:rPr>
        <w:t>mutandi</w:t>
      </w:r>
      <w:proofErr w:type="spellEnd"/>
      <w:proofErr w:type="gramEnd"/>
      <w:r w:rsidRPr="008436BE">
        <w:rPr>
          <w:rFonts w:ascii="Verdana" w:hAnsi="Verdana"/>
          <w:i/>
          <w:color w:val="000000" w:themeColor="text1"/>
          <w:sz w:val="16"/>
          <w:szCs w:val="16"/>
          <w:lang w:val="es-ES"/>
        </w:rPr>
        <w:t>,</w:t>
      </w:r>
      <w:r w:rsidR="007A68EA" w:rsidRPr="008436BE">
        <w:rPr>
          <w:rFonts w:ascii="Verdana" w:hAnsi="Verdana"/>
          <w:i/>
          <w:color w:val="000000" w:themeColor="text1"/>
          <w:sz w:val="16"/>
          <w:szCs w:val="16"/>
          <w:lang w:val="es-ES"/>
        </w:rPr>
        <w:t xml:space="preserve"> </w:t>
      </w:r>
      <w:r w:rsidRPr="008436BE">
        <w:rPr>
          <w:rFonts w:ascii="Verdana" w:hAnsi="Verdana"/>
          <w:i/>
          <w:color w:val="000000" w:themeColor="text1"/>
          <w:sz w:val="16"/>
          <w:szCs w:val="16"/>
          <w:lang w:val="es-ES"/>
        </w:rPr>
        <w:t>ídem</w:t>
      </w:r>
      <w:r w:rsidRPr="008436BE">
        <w:rPr>
          <w:rFonts w:ascii="Verdana" w:hAnsi="Verdana"/>
          <w:color w:val="000000" w:themeColor="text1"/>
          <w:sz w:val="16"/>
          <w:szCs w:val="16"/>
          <w:lang w:val="es-ES"/>
        </w:rPr>
        <w:t>.</w:t>
      </w:r>
      <w:r w:rsidR="007A68EA" w:rsidRPr="008436BE">
        <w:rPr>
          <w:rFonts w:ascii="Verdana" w:hAnsi="Verdana"/>
          <w:color w:val="000000" w:themeColor="text1"/>
          <w:sz w:val="16"/>
          <w:szCs w:val="16"/>
          <w:lang w:val="es-ES"/>
        </w:rPr>
        <w:t xml:space="preserve"> Asimismo, véase el voto disidente del juez Eduardo Ferrer Mac-</w:t>
      </w:r>
      <w:proofErr w:type="spellStart"/>
      <w:r w:rsidR="007A68EA" w:rsidRPr="008436BE">
        <w:rPr>
          <w:rFonts w:ascii="Verdana" w:hAnsi="Verdana"/>
          <w:color w:val="000000" w:themeColor="text1"/>
          <w:sz w:val="16"/>
          <w:szCs w:val="16"/>
          <w:lang w:val="es-ES"/>
        </w:rPr>
        <w:t>Gregor</w:t>
      </w:r>
      <w:proofErr w:type="spellEnd"/>
      <w:r w:rsidR="007A68EA" w:rsidRPr="008436BE">
        <w:rPr>
          <w:rFonts w:ascii="Verdana" w:hAnsi="Verdana"/>
          <w:color w:val="000000" w:themeColor="text1"/>
          <w:sz w:val="16"/>
          <w:szCs w:val="16"/>
          <w:lang w:val="es-ES"/>
        </w:rPr>
        <w:t xml:space="preserve">, en el </w:t>
      </w:r>
      <w:r w:rsidR="007A68EA" w:rsidRPr="008436BE">
        <w:rPr>
          <w:rFonts w:ascii="Verdana" w:hAnsi="Verdana"/>
          <w:i/>
          <w:iCs/>
          <w:color w:val="000000" w:themeColor="text1"/>
          <w:sz w:val="16"/>
          <w:szCs w:val="16"/>
          <w:lang w:val="es-ES"/>
        </w:rPr>
        <w:t>Caso Cordero Bernal Vs. Perú</w:t>
      </w:r>
      <w:r w:rsidR="007A68EA" w:rsidRPr="008436BE">
        <w:rPr>
          <w:rFonts w:ascii="Verdana" w:hAnsi="Verdana"/>
          <w:color w:val="000000" w:themeColor="text1"/>
          <w:sz w:val="16"/>
          <w:szCs w:val="16"/>
          <w:lang w:val="es-ES"/>
        </w:rPr>
        <w:t xml:space="preserve">, </w:t>
      </w:r>
      <w:r w:rsidR="007A68EA" w:rsidRPr="008436BE">
        <w:rPr>
          <w:rFonts w:ascii="Verdana" w:hAnsi="Verdana"/>
          <w:i/>
          <w:iCs/>
          <w:color w:val="000000" w:themeColor="text1"/>
          <w:sz w:val="16"/>
          <w:szCs w:val="16"/>
          <w:lang w:val="es-ES"/>
        </w:rPr>
        <w:t>supra</w:t>
      </w:r>
      <w:r w:rsidR="007A68EA" w:rsidRPr="008436BE">
        <w:rPr>
          <w:rFonts w:ascii="Verdana" w:hAnsi="Verdana"/>
          <w:color w:val="000000" w:themeColor="text1"/>
          <w:sz w:val="16"/>
          <w:szCs w:val="16"/>
          <w:lang w:val="es-ES"/>
        </w:rPr>
        <w:t>, párr. 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6B66"/>
    <w:multiLevelType w:val="hybridMultilevel"/>
    <w:tmpl w:val="6A6E934C"/>
    <w:lvl w:ilvl="0" w:tplc="6D5CE7FA">
      <w:start w:val="1"/>
      <w:numFmt w:val="decimal"/>
      <w:pStyle w:val="PrrafodeSentencia"/>
      <w:lvlText w:val="%1."/>
      <w:lvlJc w:val="left"/>
      <w:pPr>
        <w:ind w:left="5130" w:hanging="360"/>
      </w:pPr>
      <w:rPr>
        <w:rFonts w:hint="default"/>
        <w:b w:val="0"/>
        <w:i w:val="0"/>
        <w:strike w:val="0"/>
        <w:color w:val="auto"/>
        <w:sz w:val="20"/>
        <w:szCs w:val="20"/>
        <w:vertAlign w:val="baseline"/>
        <w:lang w:val="es-CR"/>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11CC0247"/>
    <w:multiLevelType w:val="hybridMultilevel"/>
    <w:tmpl w:val="A302FE20"/>
    <w:lvl w:ilvl="0" w:tplc="BFD25530">
      <w:start w:val="259"/>
      <w:numFmt w:val="decimal"/>
      <w:lvlText w:val="%1."/>
      <w:lvlJc w:val="left"/>
      <w:pPr>
        <w:ind w:left="800" w:hanging="44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56D05DF"/>
    <w:multiLevelType w:val="hybridMultilevel"/>
    <w:tmpl w:val="881AEC8A"/>
    <w:lvl w:ilvl="0" w:tplc="A2506B06">
      <w:start w:val="1"/>
      <w:numFmt w:val="decimal"/>
      <w:lvlText w:val="%1."/>
      <w:lvlJc w:val="left"/>
      <w:pPr>
        <w:ind w:left="360" w:hanging="360"/>
      </w:pPr>
      <w:rPr>
        <w:b w:val="0"/>
        <w:bCs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5EC5C34"/>
    <w:multiLevelType w:val="hybridMultilevel"/>
    <w:tmpl w:val="91F87C02"/>
    <w:lvl w:ilvl="0" w:tplc="BBDA3684">
      <w:start w:val="1"/>
      <w:numFmt w:val="decimal"/>
      <w:lvlText w:val="%1."/>
      <w:lvlJc w:val="left"/>
      <w:pPr>
        <w:ind w:left="3479" w:hanging="360"/>
      </w:pPr>
      <w:rPr>
        <w:rFonts w:ascii="Verdana" w:hAnsi="Verdana" w:hint="default"/>
        <w:b w:val="0"/>
        <w:i w:val="0"/>
        <w:color w:val="auto"/>
        <w:sz w:val="20"/>
        <w:szCs w:val="20"/>
      </w:rPr>
    </w:lvl>
    <w:lvl w:ilvl="1" w:tplc="C23AC0AA">
      <w:start w:val="1"/>
      <w:numFmt w:val="lowerLetter"/>
      <w:lvlText w:val="%2)"/>
      <w:lvlJc w:val="left"/>
      <w:pPr>
        <w:ind w:left="1080" w:hanging="360"/>
      </w:pPr>
      <w:rPr>
        <w:rFonts w:hint="default"/>
        <w:i/>
      </w:rPr>
    </w:lvl>
    <w:lvl w:ilvl="2" w:tplc="0409001B" w:tentative="1">
      <w:start w:val="1"/>
      <w:numFmt w:val="lowerRoman"/>
      <w:lvlText w:val="%3."/>
      <w:lvlJc w:val="right"/>
      <w:pPr>
        <w:ind w:left="1800" w:hanging="180"/>
      </w:pPr>
    </w:lvl>
    <w:lvl w:ilvl="3" w:tplc="140A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15632EE"/>
    <w:multiLevelType w:val="hybridMultilevel"/>
    <w:tmpl w:val="8E54B978"/>
    <w:lvl w:ilvl="0" w:tplc="32961A62">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15:restartNumberingAfterBreak="0">
    <w:nsid w:val="42D94D7E"/>
    <w:multiLevelType w:val="hybridMultilevel"/>
    <w:tmpl w:val="2034EDBE"/>
    <w:lvl w:ilvl="0" w:tplc="2B58457C">
      <w:start w:val="1"/>
      <w:numFmt w:val="low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49492862"/>
    <w:multiLevelType w:val="hybridMultilevel"/>
    <w:tmpl w:val="A774A02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9D94945"/>
    <w:multiLevelType w:val="hybridMultilevel"/>
    <w:tmpl w:val="C49C2F5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A2C4CD1"/>
    <w:multiLevelType w:val="hybridMultilevel"/>
    <w:tmpl w:val="B2340CB6"/>
    <w:lvl w:ilvl="0" w:tplc="22965372">
      <w:start w:val="257"/>
      <w:numFmt w:val="decimal"/>
      <w:lvlText w:val="%1."/>
      <w:lvlJc w:val="left"/>
      <w:pPr>
        <w:ind w:left="800" w:hanging="44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0BD3755"/>
    <w:multiLevelType w:val="hybridMultilevel"/>
    <w:tmpl w:val="E26A99B0"/>
    <w:lvl w:ilvl="0" w:tplc="762AB6E2">
      <w:start w:val="1"/>
      <w:numFmt w:val="decimal"/>
      <w:lvlText w:val="%1."/>
      <w:lvlJc w:val="left"/>
      <w:pPr>
        <w:ind w:left="400" w:hanging="708"/>
      </w:pPr>
      <w:rPr>
        <w:rFonts w:ascii="Verdana" w:eastAsia="Verdana" w:hAnsi="Verdana" w:cs="Verdana" w:hint="default"/>
        <w:b w:val="0"/>
        <w:bCs w:val="0"/>
        <w:i w:val="0"/>
        <w:iCs w:val="0"/>
        <w:w w:val="99"/>
        <w:sz w:val="20"/>
        <w:szCs w:val="20"/>
        <w:lang w:val="es-ES" w:eastAsia="en-US" w:bidi="ar-SA"/>
      </w:rPr>
    </w:lvl>
    <w:lvl w:ilvl="1" w:tplc="7CD8D8D0">
      <w:start w:val="1"/>
      <w:numFmt w:val="lowerLetter"/>
      <w:lvlText w:val="%2)"/>
      <w:lvlJc w:val="left"/>
      <w:pPr>
        <w:ind w:left="1120" w:hanging="360"/>
      </w:pPr>
      <w:rPr>
        <w:rFonts w:hint="default"/>
        <w:w w:val="99"/>
        <w:lang w:val="es-ES" w:eastAsia="en-US" w:bidi="ar-SA"/>
      </w:rPr>
    </w:lvl>
    <w:lvl w:ilvl="2" w:tplc="4802D630">
      <w:numFmt w:val="bullet"/>
      <w:lvlText w:val="•"/>
      <w:lvlJc w:val="left"/>
      <w:pPr>
        <w:ind w:left="2035" w:hanging="360"/>
      </w:pPr>
      <w:rPr>
        <w:rFonts w:hint="default"/>
        <w:lang w:val="es-ES" w:eastAsia="en-US" w:bidi="ar-SA"/>
      </w:rPr>
    </w:lvl>
    <w:lvl w:ilvl="3" w:tplc="A66861FC">
      <w:numFmt w:val="bullet"/>
      <w:lvlText w:val="•"/>
      <w:lvlJc w:val="left"/>
      <w:pPr>
        <w:ind w:left="2951" w:hanging="360"/>
      </w:pPr>
      <w:rPr>
        <w:rFonts w:hint="default"/>
        <w:lang w:val="es-ES" w:eastAsia="en-US" w:bidi="ar-SA"/>
      </w:rPr>
    </w:lvl>
    <w:lvl w:ilvl="4" w:tplc="75D61412">
      <w:numFmt w:val="bullet"/>
      <w:lvlText w:val="•"/>
      <w:lvlJc w:val="left"/>
      <w:pPr>
        <w:ind w:left="3866" w:hanging="360"/>
      </w:pPr>
      <w:rPr>
        <w:rFonts w:hint="default"/>
        <w:lang w:val="es-ES" w:eastAsia="en-US" w:bidi="ar-SA"/>
      </w:rPr>
    </w:lvl>
    <w:lvl w:ilvl="5" w:tplc="61FEADDA">
      <w:numFmt w:val="bullet"/>
      <w:lvlText w:val="•"/>
      <w:lvlJc w:val="left"/>
      <w:pPr>
        <w:ind w:left="4782" w:hanging="360"/>
      </w:pPr>
      <w:rPr>
        <w:rFonts w:hint="default"/>
        <w:lang w:val="es-ES" w:eastAsia="en-US" w:bidi="ar-SA"/>
      </w:rPr>
    </w:lvl>
    <w:lvl w:ilvl="6" w:tplc="1724329C">
      <w:numFmt w:val="bullet"/>
      <w:lvlText w:val="•"/>
      <w:lvlJc w:val="left"/>
      <w:pPr>
        <w:ind w:left="5697" w:hanging="360"/>
      </w:pPr>
      <w:rPr>
        <w:rFonts w:hint="default"/>
        <w:lang w:val="es-ES" w:eastAsia="en-US" w:bidi="ar-SA"/>
      </w:rPr>
    </w:lvl>
    <w:lvl w:ilvl="7" w:tplc="F2A40D3A">
      <w:numFmt w:val="bullet"/>
      <w:lvlText w:val="•"/>
      <w:lvlJc w:val="left"/>
      <w:pPr>
        <w:ind w:left="6613" w:hanging="360"/>
      </w:pPr>
      <w:rPr>
        <w:rFonts w:hint="default"/>
        <w:lang w:val="es-ES" w:eastAsia="en-US" w:bidi="ar-SA"/>
      </w:rPr>
    </w:lvl>
    <w:lvl w:ilvl="8" w:tplc="C254B8A4">
      <w:numFmt w:val="bullet"/>
      <w:lvlText w:val="•"/>
      <w:lvlJc w:val="left"/>
      <w:pPr>
        <w:ind w:left="7528" w:hanging="360"/>
      </w:pPr>
      <w:rPr>
        <w:rFonts w:hint="default"/>
        <w:lang w:val="es-ES" w:eastAsia="en-US" w:bidi="ar-SA"/>
      </w:rPr>
    </w:lvl>
  </w:abstractNum>
  <w:abstractNum w:abstractNumId="10" w15:restartNumberingAfterBreak="0">
    <w:nsid w:val="615D6ECD"/>
    <w:multiLevelType w:val="hybridMultilevel"/>
    <w:tmpl w:val="20D8447E"/>
    <w:lvl w:ilvl="0" w:tplc="2968E114">
      <w:start w:val="1"/>
      <w:numFmt w:val="lowerLetter"/>
      <w:lvlText w:val="%1)"/>
      <w:lvlJc w:val="left"/>
      <w:pPr>
        <w:ind w:left="1080" w:hanging="360"/>
      </w:pPr>
      <w:rPr>
        <w:rFonts w:ascii="Verdana" w:hAnsi="Verdana" w:cs="Verdana" w:hint="default"/>
        <w:sz w:val="20"/>
        <w:szCs w:val="20"/>
      </w:rPr>
    </w:lvl>
    <w:lvl w:ilvl="1" w:tplc="140A0019">
      <w:start w:val="1"/>
      <w:numFmt w:val="decimal"/>
      <w:lvlText w:val="%2."/>
      <w:lvlJc w:val="left"/>
      <w:pPr>
        <w:tabs>
          <w:tab w:val="num" w:pos="0"/>
        </w:tabs>
      </w:pPr>
      <w:rPr>
        <w:rFonts w:hint="default"/>
        <w:b w:val="0"/>
        <w:bCs w:val="0"/>
        <w:color w:val="auto"/>
        <w:sz w:val="20"/>
        <w:szCs w:val="20"/>
        <w:lang w:val="es-MX"/>
      </w:rPr>
    </w:lvl>
    <w:lvl w:ilvl="2" w:tplc="140A001B">
      <w:start w:val="1"/>
      <w:numFmt w:val="lowerLetter"/>
      <w:lvlText w:val="%3)"/>
      <w:lvlJc w:val="left"/>
      <w:pPr>
        <w:ind w:left="2700" w:hanging="360"/>
      </w:pPr>
      <w:rPr>
        <w:rFonts w:ascii="Verdana" w:hAnsi="Verdana" w:cs="Verdana" w:hint="default"/>
        <w:b w:val="0"/>
        <w:bCs w:val="0"/>
        <w:sz w:val="20"/>
        <w:szCs w:val="20"/>
      </w:rPr>
    </w:lvl>
    <w:lvl w:ilvl="3" w:tplc="140A000F">
      <w:start w:val="1"/>
      <w:numFmt w:val="decimal"/>
      <w:lvlText w:val="%4."/>
      <w:lvlJc w:val="left"/>
      <w:pPr>
        <w:ind w:left="3240" w:hanging="360"/>
      </w:pPr>
    </w:lvl>
    <w:lvl w:ilvl="4" w:tplc="140A0019">
      <w:start w:val="1"/>
      <w:numFmt w:val="lowerLetter"/>
      <w:lvlText w:val="%5."/>
      <w:lvlJc w:val="left"/>
      <w:pPr>
        <w:ind w:left="3960" w:hanging="360"/>
      </w:pPr>
    </w:lvl>
    <w:lvl w:ilvl="5" w:tplc="140A001B">
      <w:start w:val="1"/>
      <w:numFmt w:val="lowerRoman"/>
      <w:lvlText w:val="%6."/>
      <w:lvlJc w:val="right"/>
      <w:pPr>
        <w:ind w:left="4680" w:hanging="180"/>
      </w:pPr>
    </w:lvl>
    <w:lvl w:ilvl="6" w:tplc="140A000F">
      <w:start w:val="1"/>
      <w:numFmt w:val="decimal"/>
      <w:lvlText w:val="%7."/>
      <w:lvlJc w:val="left"/>
      <w:pPr>
        <w:ind w:left="5400" w:hanging="360"/>
      </w:pPr>
    </w:lvl>
    <w:lvl w:ilvl="7" w:tplc="140A0019">
      <w:start w:val="1"/>
      <w:numFmt w:val="lowerLetter"/>
      <w:lvlText w:val="%8."/>
      <w:lvlJc w:val="left"/>
      <w:pPr>
        <w:ind w:left="6120" w:hanging="360"/>
      </w:pPr>
    </w:lvl>
    <w:lvl w:ilvl="8" w:tplc="140A001B">
      <w:start w:val="1"/>
      <w:numFmt w:val="lowerRoman"/>
      <w:lvlText w:val="%9."/>
      <w:lvlJc w:val="right"/>
      <w:pPr>
        <w:ind w:left="6840" w:hanging="180"/>
      </w:pPr>
    </w:lvl>
  </w:abstractNum>
  <w:abstractNum w:abstractNumId="11" w15:restartNumberingAfterBreak="0">
    <w:nsid w:val="68FD7D50"/>
    <w:multiLevelType w:val="multilevel"/>
    <w:tmpl w:val="D36EC6EC"/>
    <w:lvl w:ilvl="0">
      <w:start w:val="1"/>
      <w:numFmt w:val="decimal"/>
      <w:lvlText w:val="%1."/>
      <w:lvlJc w:val="left"/>
      <w:pPr>
        <w:ind w:left="5078" w:hanging="825"/>
      </w:pPr>
      <w:rPr>
        <w:b w:val="0"/>
        <w:i w:val="0"/>
        <w:strike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557DE6"/>
    <w:multiLevelType w:val="hybridMultilevel"/>
    <w:tmpl w:val="D21C26E8"/>
    <w:lvl w:ilvl="0" w:tplc="28DE1D34">
      <w:start w:val="22"/>
      <w:numFmt w:val="decimal"/>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3" w15:restartNumberingAfterBreak="0">
    <w:nsid w:val="759351D3"/>
    <w:multiLevelType w:val="hybridMultilevel"/>
    <w:tmpl w:val="72BE4A3C"/>
    <w:lvl w:ilvl="0" w:tplc="6804CA1A">
      <w:start w:val="1"/>
      <w:numFmt w:val="decimal"/>
      <w:lvlText w:val="%1."/>
      <w:lvlJc w:val="left"/>
      <w:pPr>
        <w:ind w:left="720" w:hanging="360"/>
      </w:pPr>
      <w:rPr>
        <w:rFonts w:ascii="Verdana" w:hAnsi="Verdan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13598595">
    <w:abstractNumId w:val="13"/>
  </w:num>
  <w:num w:numId="2" w16cid:durableId="641423168">
    <w:abstractNumId w:val="7"/>
  </w:num>
  <w:num w:numId="3" w16cid:durableId="222910263">
    <w:abstractNumId w:val="2"/>
  </w:num>
  <w:num w:numId="4" w16cid:durableId="1972979676">
    <w:abstractNumId w:val="10"/>
  </w:num>
  <w:num w:numId="5" w16cid:durableId="1842155920">
    <w:abstractNumId w:val="0"/>
  </w:num>
  <w:num w:numId="6" w16cid:durableId="978457232">
    <w:abstractNumId w:val="1"/>
  </w:num>
  <w:num w:numId="7" w16cid:durableId="179202057">
    <w:abstractNumId w:val="8"/>
  </w:num>
  <w:num w:numId="8" w16cid:durableId="79299328">
    <w:abstractNumId w:val="11"/>
  </w:num>
  <w:num w:numId="9" w16cid:durableId="873419185">
    <w:abstractNumId w:val="5"/>
  </w:num>
  <w:num w:numId="10" w16cid:durableId="964580490">
    <w:abstractNumId w:val="4"/>
  </w:num>
  <w:num w:numId="11" w16cid:durableId="893198431">
    <w:abstractNumId w:val="3"/>
  </w:num>
  <w:num w:numId="12" w16cid:durableId="1751459819">
    <w:abstractNumId w:val="6"/>
  </w:num>
  <w:num w:numId="13" w16cid:durableId="1672097744">
    <w:abstractNumId w:val="12"/>
  </w:num>
  <w:num w:numId="14" w16cid:durableId="13864183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B52"/>
    <w:rsid w:val="00002FBE"/>
    <w:rsid w:val="00006873"/>
    <w:rsid w:val="00010E29"/>
    <w:rsid w:val="0001391A"/>
    <w:rsid w:val="00014469"/>
    <w:rsid w:val="000221BB"/>
    <w:rsid w:val="00035848"/>
    <w:rsid w:val="0003756C"/>
    <w:rsid w:val="00037575"/>
    <w:rsid w:val="00044862"/>
    <w:rsid w:val="00050F57"/>
    <w:rsid w:val="0005267E"/>
    <w:rsid w:val="000707BD"/>
    <w:rsid w:val="00070BF5"/>
    <w:rsid w:val="00093B8E"/>
    <w:rsid w:val="000B60F9"/>
    <w:rsid w:val="000F54B1"/>
    <w:rsid w:val="00101B82"/>
    <w:rsid w:val="00104B9E"/>
    <w:rsid w:val="001063E1"/>
    <w:rsid w:val="00106FC0"/>
    <w:rsid w:val="0011045E"/>
    <w:rsid w:val="00120D37"/>
    <w:rsid w:val="001259F7"/>
    <w:rsid w:val="001300BB"/>
    <w:rsid w:val="00134BE2"/>
    <w:rsid w:val="00151EA9"/>
    <w:rsid w:val="00152545"/>
    <w:rsid w:val="00154961"/>
    <w:rsid w:val="001650CC"/>
    <w:rsid w:val="00167206"/>
    <w:rsid w:val="00180C5E"/>
    <w:rsid w:val="00184761"/>
    <w:rsid w:val="00185B50"/>
    <w:rsid w:val="001A5499"/>
    <w:rsid w:val="001A677C"/>
    <w:rsid w:val="001B04CC"/>
    <w:rsid w:val="001B75AC"/>
    <w:rsid w:val="001C2EE0"/>
    <w:rsid w:val="001C552E"/>
    <w:rsid w:val="001D19D8"/>
    <w:rsid w:val="001D631C"/>
    <w:rsid w:val="001E0D30"/>
    <w:rsid w:val="001E1AC3"/>
    <w:rsid w:val="001E4487"/>
    <w:rsid w:val="001F7300"/>
    <w:rsid w:val="00202626"/>
    <w:rsid w:val="0022516A"/>
    <w:rsid w:val="002300F6"/>
    <w:rsid w:val="00230B82"/>
    <w:rsid w:val="00233301"/>
    <w:rsid w:val="002357D8"/>
    <w:rsid w:val="002450F6"/>
    <w:rsid w:val="002660A9"/>
    <w:rsid w:val="00280A7C"/>
    <w:rsid w:val="00286D1A"/>
    <w:rsid w:val="002A0262"/>
    <w:rsid w:val="002A6A2A"/>
    <w:rsid w:val="002B26FC"/>
    <w:rsid w:val="002C7270"/>
    <w:rsid w:val="002C7DC9"/>
    <w:rsid w:val="002F0AB2"/>
    <w:rsid w:val="002F5EE4"/>
    <w:rsid w:val="00310E4B"/>
    <w:rsid w:val="0031555B"/>
    <w:rsid w:val="0031663D"/>
    <w:rsid w:val="00321F3F"/>
    <w:rsid w:val="00322450"/>
    <w:rsid w:val="00325D70"/>
    <w:rsid w:val="003261D8"/>
    <w:rsid w:val="0033483B"/>
    <w:rsid w:val="0033687A"/>
    <w:rsid w:val="0034594D"/>
    <w:rsid w:val="00346A32"/>
    <w:rsid w:val="00350214"/>
    <w:rsid w:val="00365F1B"/>
    <w:rsid w:val="003668B9"/>
    <w:rsid w:val="0037065C"/>
    <w:rsid w:val="003710B4"/>
    <w:rsid w:val="00371F23"/>
    <w:rsid w:val="00373FE5"/>
    <w:rsid w:val="00382053"/>
    <w:rsid w:val="00383907"/>
    <w:rsid w:val="00386B21"/>
    <w:rsid w:val="00387679"/>
    <w:rsid w:val="00392D33"/>
    <w:rsid w:val="00394ED6"/>
    <w:rsid w:val="00397301"/>
    <w:rsid w:val="00397537"/>
    <w:rsid w:val="003A1ECC"/>
    <w:rsid w:val="003A5888"/>
    <w:rsid w:val="003B5625"/>
    <w:rsid w:val="003B5680"/>
    <w:rsid w:val="003C26EF"/>
    <w:rsid w:val="003C461F"/>
    <w:rsid w:val="003C79F7"/>
    <w:rsid w:val="003D4FE6"/>
    <w:rsid w:val="003D5A06"/>
    <w:rsid w:val="003D6501"/>
    <w:rsid w:val="003E48A7"/>
    <w:rsid w:val="003F1D32"/>
    <w:rsid w:val="003F4CD3"/>
    <w:rsid w:val="003F55F9"/>
    <w:rsid w:val="00402202"/>
    <w:rsid w:val="0040600B"/>
    <w:rsid w:val="00421998"/>
    <w:rsid w:val="00427985"/>
    <w:rsid w:val="0042799E"/>
    <w:rsid w:val="0043150F"/>
    <w:rsid w:val="004323C0"/>
    <w:rsid w:val="004347D3"/>
    <w:rsid w:val="00434AFB"/>
    <w:rsid w:val="00435791"/>
    <w:rsid w:val="0043642A"/>
    <w:rsid w:val="00443BA5"/>
    <w:rsid w:val="00457324"/>
    <w:rsid w:val="00457583"/>
    <w:rsid w:val="0046456D"/>
    <w:rsid w:val="00464A05"/>
    <w:rsid w:val="004662E6"/>
    <w:rsid w:val="00471E80"/>
    <w:rsid w:val="0048290A"/>
    <w:rsid w:val="0048297E"/>
    <w:rsid w:val="00483989"/>
    <w:rsid w:val="00486671"/>
    <w:rsid w:val="00487AC7"/>
    <w:rsid w:val="00493519"/>
    <w:rsid w:val="004B3E64"/>
    <w:rsid w:val="004C3F33"/>
    <w:rsid w:val="004D06D5"/>
    <w:rsid w:val="005002AD"/>
    <w:rsid w:val="00506BE4"/>
    <w:rsid w:val="0051138F"/>
    <w:rsid w:val="00512778"/>
    <w:rsid w:val="00520E9A"/>
    <w:rsid w:val="00521387"/>
    <w:rsid w:val="0053354C"/>
    <w:rsid w:val="00554054"/>
    <w:rsid w:val="00556547"/>
    <w:rsid w:val="0056279D"/>
    <w:rsid w:val="00571B35"/>
    <w:rsid w:val="00572B61"/>
    <w:rsid w:val="00574E82"/>
    <w:rsid w:val="00576BF3"/>
    <w:rsid w:val="005828EE"/>
    <w:rsid w:val="00584251"/>
    <w:rsid w:val="00585D3D"/>
    <w:rsid w:val="005913AF"/>
    <w:rsid w:val="005A1212"/>
    <w:rsid w:val="005A1674"/>
    <w:rsid w:val="005B1D76"/>
    <w:rsid w:val="005C695D"/>
    <w:rsid w:val="005E3155"/>
    <w:rsid w:val="005E55F0"/>
    <w:rsid w:val="005F2B52"/>
    <w:rsid w:val="005F74A0"/>
    <w:rsid w:val="005F7EF4"/>
    <w:rsid w:val="0060357E"/>
    <w:rsid w:val="00606729"/>
    <w:rsid w:val="00607FCD"/>
    <w:rsid w:val="00615303"/>
    <w:rsid w:val="0061722D"/>
    <w:rsid w:val="00626768"/>
    <w:rsid w:val="00631FA8"/>
    <w:rsid w:val="00637DF1"/>
    <w:rsid w:val="00641DE8"/>
    <w:rsid w:val="00642ECF"/>
    <w:rsid w:val="006469D6"/>
    <w:rsid w:val="0064790E"/>
    <w:rsid w:val="00647AF8"/>
    <w:rsid w:val="00647DF0"/>
    <w:rsid w:val="00655FA2"/>
    <w:rsid w:val="0065616C"/>
    <w:rsid w:val="00657189"/>
    <w:rsid w:val="00663A1A"/>
    <w:rsid w:val="006666B3"/>
    <w:rsid w:val="006672E8"/>
    <w:rsid w:val="00676BBE"/>
    <w:rsid w:val="00682C13"/>
    <w:rsid w:val="0068395B"/>
    <w:rsid w:val="0068478A"/>
    <w:rsid w:val="006848AB"/>
    <w:rsid w:val="006932EA"/>
    <w:rsid w:val="0069363C"/>
    <w:rsid w:val="00693D51"/>
    <w:rsid w:val="006A4DDA"/>
    <w:rsid w:val="006A4EBE"/>
    <w:rsid w:val="006B0937"/>
    <w:rsid w:val="006B4C36"/>
    <w:rsid w:val="006C19B2"/>
    <w:rsid w:val="006D0ACC"/>
    <w:rsid w:val="006D235B"/>
    <w:rsid w:val="006D7612"/>
    <w:rsid w:val="006E1581"/>
    <w:rsid w:val="006E187C"/>
    <w:rsid w:val="006E33F2"/>
    <w:rsid w:val="006F6372"/>
    <w:rsid w:val="006F71FB"/>
    <w:rsid w:val="00700EEB"/>
    <w:rsid w:val="00705289"/>
    <w:rsid w:val="00713290"/>
    <w:rsid w:val="00722E99"/>
    <w:rsid w:val="00723577"/>
    <w:rsid w:val="00730D42"/>
    <w:rsid w:val="0073736E"/>
    <w:rsid w:val="0074174E"/>
    <w:rsid w:val="00744240"/>
    <w:rsid w:val="007476E2"/>
    <w:rsid w:val="00751183"/>
    <w:rsid w:val="00767B2F"/>
    <w:rsid w:val="00772457"/>
    <w:rsid w:val="00773420"/>
    <w:rsid w:val="0077444A"/>
    <w:rsid w:val="00777120"/>
    <w:rsid w:val="0078058E"/>
    <w:rsid w:val="00793E45"/>
    <w:rsid w:val="007A177C"/>
    <w:rsid w:val="007A63AA"/>
    <w:rsid w:val="007A68EA"/>
    <w:rsid w:val="007B5437"/>
    <w:rsid w:val="007B6252"/>
    <w:rsid w:val="007C16E8"/>
    <w:rsid w:val="007C1CB7"/>
    <w:rsid w:val="007C30E7"/>
    <w:rsid w:val="007C5A02"/>
    <w:rsid w:val="007C61D9"/>
    <w:rsid w:val="007C7DED"/>
    <w:rsid w:val="007D033B"/>
    <w:rsid w:val="007D0FD7"/>
    <w:rsid w:val="007D46BE"/>
    <w:rsid w:val="007D6516"/>
    <w:rsid w:val="007E05CC"/>
    <w:rsid w:val="007E1D79"/>
    <w:rsid w:val="007E3393"/>
    <w:rsid w:val="007F1DB7"/>
    <w:rsid w:val="0081411A"/>
    <w:rsid w:val="008163EB"/>
    <w:rsid w:val="00820055"/>
    <w:rsid w:val="00825358"/>
    <w:rsid w:val="00832C41"/>
    <w:rsid w:val="0083382A"/>
    <w:rsid w:val="00836A74"/>
    <w:rsid w:val="0084237D"/>
    <w:rsid w:val="008436BE"/>
    <w:rsid w:val="00847AE3"/>
    <w:rsid w:val="00853068"/>
    <w:rsid w:val="0085647B"/>
    <w:rsid w:val="00860B54"/>
    <w:rsid w:val="00862943"/>
    <w:rsid w:val="0086460B"/>
    <w:rsid w:val="008646B5"/>
    <w:rsid w:val="00866EAB"/>
    <w:rsid w:val="00867BC6"/>
    <w:rsid w:val="008743BE"/>
    <w:rsid w:val="00881EDF"/>
    <w:rsid w:val="00885B02"/>
    <w:rsid w:val="008876C2"/>
    <w:rsid w:val="0089279C"/>
    <w:rsid w:val="008A2CD5"/>
    <w:rsid w:val="008A61BA"/>
    <w:rsid w:val="008A6F72"/>
    <w:rsid w:val="008B06F3"/>
    <w:rsid w:val="008B1267"/>
    <w:rsid w:val="008B4F13"/>
    <w:rsid w:val="008C0FDC"/>
    <w:rsid w:val="008C4D89"/>
    <w:rsid w:val="008C65F6"/>
    <w:rsid w:val="008D1BA3"/>
    <w:rsid w:val="008D2F99"/>
    <w:rsid w:val="008D377F"/>
    <w:rsid w:val="008D3E6F"/>
    <w:rsid w:val="008D42AE"/>
    <w:rsid w:val="008D72A4"/>
    <w:rsid w:val="008E12DC"/>
    <w:rsid w:val="008E3FA4"/>
    <w:rsid w:val="008F498A"/>
    <w:rsid w:val="008F53E1"/>
    <w:rsid w:val="00902E68"/>
    <w:rsid w:val="0090510D"/>
    <w:rsid w:val="00913B19"/>
    <w:rsid w:val="00917A4D"/>
    <w:rsid w:val="00921EF2"/>
    <w:rsid w:val="00922B8D"/>
    <w:rsid w:val="00930459"/>
    <w:rsid w:val="0093172F"/>
    <w:rsid w:val="009345B4"/>
    <w:rsid w:val="00942AC9"/>
    <w:rsid w:val="00944584"/>
    <w:rsid w:val="00947A57"/>
    <w:rsid w:val="00953E40"/>
    <w:rsid w:val="0096610D"/>
    <w:rsid w:val="0096778A"/>
    <w:rsid w:val="0097324C"/>
    <w:rsid w:val="00982A83"/>
    <w:rsid w:val="009875E4"/>
    <w:rsid w:val="009912AF"/>
    <w:rsid w:val="009A281D"/>
    <w:rsid w:val="009A29A5"/>
    <w:rsid w:val="009A38B7"/>
    <w:rsid w:val="009B2542"/>
    <w:rsid w:val="009C405A"/>
    <w:rsid w:val="009C5D71"/>
    <w:rsid w:val="009D5D73"/>
    <w:rsid w:val="009F33D6"/>
    <w:rsid w:val="00A02006"/>
    <w:rsid w:val="00A041B5"/>
    <w:rsid w:val="00A04525"/>
    <w:rsid w:val="00A10B3E"/>
    <w:rsid w:val="00A16E0E"/>
    <w:rsid w:val="00A24B08"/>
    <w:rsid w:val="00A24D02"/>
    <w:rsid w:val="00A307F0"/>
    <w:rsid w:val="00A30B3F"/>
    <w:rsid w:val="00A359EF"/>
    <w:rsid w:val="00A37171"/>
    <w:rsid w:val="00A42C89"/>
    <w:rsid w:val="00A47944"/>
    <w:rsid w:val="00A50C61"/>
    <w:rsid w:val="00A643A2"/>
    <w:rsid w:val="00A72BBD"/>
    <w:rsid w:val="00A808DA"/>
    <w:rsid w:val="00A81254"/>
    <w:rsid w:val="00A84BF1"/>
    <w:rsid w:val="00A93AB2"/>
    <w:rsid w:val="00AA1740"/>
    <w:rsid w:val="00AB122C"/>
    <w:rsid w:val="00AD4628"/>
    <w:rsid w:val="00AD5F82"/>
    <w:rsid w:val="00AE33ED"/>
    <w:rsid w:val="00AE6BA3"/>
    <w:rsid w:val="00AE7C46"/>
    <w:rsid w:val="00AF6220"/>
    <w:rsid w:val="00AF7FDB"/>
    <w:rsid w:val="00B02656"/>
    <w:rsid w:val="00B1499E"/>
    <w:rsid w:val="00B23F63"/>
    <w:rsid w:val="00B30030"/>
    <w:rsid w:val="00B301F9"/>
    <w:rsid w:val="00B44D5F"/>
    <w:rsid w:val="00B46CF5"/>
    <w:rsid w:val="00B64E64"/>
    <w:rsid w:val="00B70976"/>
    <w:rsid w:val="00B7726E"/>
    <w:rsid w:val="00B82284"/>
    <w:rsid w:val="00BA2FD0"/>
    <w:rsid w:val="00BA5652"/>
    <w:rsid w:val="00BA6554"/>
    <w:rsid w:val="00BB158D"/>
    <w:rsid w:val="00BB48E7"/>
    <w:rsid w:val="00BC3FB5"/>
    <w:rsid w:val="00BE0679"/>
    <w:rsid w:val="00BE0739"/>
    <w:rsid w:val="00BE2AA2"/>
    <w:rsid w:val="00BE6CCD"/>
    <w:rsid w:val="00BF688E"/>
    <w:rsid w:val="00C01FFF"/>
    <w:rsid w:val="00C16453"/>
    <w:rsid w:val="00C16CAA"/>
    <w:rsid w:val="00C26A64"/>
    <w:rsid w:val="00C30318"/>
    <w:rsid w:val="00C35385"/>
    <w:rsid w:val="00C35ED5"/>
    <w:rsid w:val="00C52099"/>
    <w:rsid w:val="00C5297B"/>
    <w:rsid w:val="00C75701"/>
    <w:rsid w:val="00C826B9"/>
    <w:rsid w:val="00C86F0C"/>
    <w:rsid w:val="00C87758"/>
    <w:rsid w:val="00C974CB"/>
    <w:rsid w:val="00C979CE"/>
    <w:rsid w:val="00CA2AAD"/>
    <w:rsid w:val="00CB4595"/>
    <w:rsid w:val="00CB6C06"/>
    <w:rsid w:val="00CC19FB"/>
    <w:rsid w:val="00CC7970"/>
    <w:rsid w:val="00CD159B"/>
    <w:rsid w:val="00CD32AD"/>
    <w:rsid w:val="00CE5DA3"/>
    <w:rsid w:val="00CE76F3"/>
    <w:rsid w:val="00D03525"/>
    <w:rsid w:val="00D03720"/>
    <w:rsid w:val="00D07CEF"/>
    <w:rsid w:val="00D16CC5"/>
    <w:rsid w:val="00D16ED1"/>
    <w:rsid w:val="00D36754"/>
    <w:rsid w:val="00D40D7A"/>
    <w:rsid w:val="00D52C17"/>
    <w:rsid w:val="00D61D5F"/>
    <w:rsid w:val="00D65766"/>
    <w:rsid w:val="00D746DB"/>
    <w:rsid w:val="00D769C5"/>
    <w:rsid w:val="00D801DF"/>
    <w:rsid w:val="00D82199"/>
    <w:rsid w:val="00D8379A"/>
    <w:rsid w:val="00D8602C"/>
    <w:rsid w:val="00DA2C52"/>
    <w:rsid w:val="00DB06D2"/>
    <w:rsid w:val="00DB2E97"/>
    <w:rsid w:val="00DB3F6E"/>
    <w:rsid w:val="00DB4FA1"/>
    <w:rsid w:val="00DC005A"/>
    <w:rsid w:val="00DC25E2"/>
    <w:rsid w:val="00DC298A"/>
    <w:rsid w:val="00DD018A"/>
    <w:rsid w:val="00DD2351"/>
    <w:rsid w:val="00DE5E6E"/>
    <w:rsid w:val="00DE6E22"/>
    <w:rsid w:val="00E07543"/>
    <w:rsid w:val="00E115C2"/>
    <w:rsid w:val="00E119E9"/>
    <w:rsid w:val="00E1248C"/>
    <w:rsid w:val="00E14E7E"/>
    <w:rsid w:val="00E25388"/>
    <w:rsid w:val="00E279BC"/>
    <w:rsid w:val="00E307EA"/>
    <w:rsid w:val="00E36640"/>
    <w:rsid w:val="00E42A6B"/>
    <w:rsid w:val="00E43641"/>
    <w:rsid w:val="00E45968"/>
    <w:rsid w:val="00E50F97"/>
    <w:rsid w:val="00E5678C"/>
    <w:rsid w:val="00E7063A"/>
    <w:rsid w:val="00E7249A"/>
    <w:rsid w:val="00E83D8C"/>
    <w:rsid w:val="00E8602F"/>
    <w:rsid w:val="00E874FB"/>
    <w:rsid w:val="00E95AD7"/>
    <w:rsid w:val="00EA309D"/>
    <w:rsid w:val="00EB2122"/>
    <w:rsid w:val="00EB6824"/>
    <w:rsid w:val="00EB7421"/>
    <w:rsid w:val="00EC012D"/>
    <w:rsid w:val="00EC5F46"/>
    <w:rsid w:val="00EC7219"/>
    <w:rsid w:val="00ED408D"/>
    <w:rsid w:val="00ED68D8"/>
    <w:rsid w:val="00EE12A2"/>
    <w:rsid w:val="00EF3E88"/>
    <w:rsid w:val="00F03459"/>
    <w:rsid w:val="00F04959"/>
    <w:rsid w:val="00F05BC2"/>
    <w:rsid w:val="00F060DC"/>
    <w:rsid w:val="00F13096"/>
    <w:rsid w:val="00F24696"/>
    <w:rsid w:val="00F250CF"/>
    <w:rsid w:val="00F25481"/>
    <w:rsid w:val="00F25704"/>
    <w:rsid w:val="00F259C6"/>
    <w:rsid w:val="00F37AC4"/>
    <w:rsid w:val="00F52F94"/>
    <w:rsid w:val="00F60369"/>
    <w:rsid w:val="00F72A24"/>
    <w:rsid w:val="00F80C6E"/>
    <w:rsid w:val="00F9782E"/>
    <w:rsid w:val="00FA184E"/>
    <w:rsid w:val="00FA2116"/>
    <w:rsid w:val="00FA3E0F"/>
    <w:rsid w:val="00FA4077"/>
    <w:rsid w:val="00FA45E0"/>
    <w:rsid w:val="00FB5114"/>
    <w:rsid w:val="00FB7AF7"/>
    <w:rsid w:val="00FC57C5"/>
    <w:rsid w:val="00FC75CD"/>
    <w:rsid w:val="00FD1D11"/>
    <w:rsid w:val="00FE0318"/>
    <w:rsid w:val="00FE1A53"/>
    <w:rsid w:val="00FE2645"/>
    <w:rsid w:val="00FE28F0"/>
    <w:rsid w:val="00FE2D6F"/>
    <w:rsid w:val="00FE2EDA"/>
    <w:rsid w:val="00FF34A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F1F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A4D"/>
    <w:rPr>
      <w:rFonts w:ascii="Times New Roman" w:eastAsia="Times New Roman" w:hAnsi="Times New Roman" w:cs="Times New Roman"/>
      <w:lang w:eastAsia="es-MX"/>
    </w:rPr>
  </w:style>
  <w:style w:type="paragraph" w:styleId="Ttulo4">
    <w:name w:val="heading 4"/>
    <w:basedOn w:val="Prrafodelista"/>
    <w:next w:val="Normal"/>
    <w:link w:val="Ttulo4Car"/>
    <w:qFormat/>
    <w:rsid w:val="00FE2D6F"/>
    <w:pPr>
      <w:widowControl w:val="0"/>
      <w:pBdr>
        <w:top w:val="nil"/>
        <w:left w:val="nil"/>
        <w:bottom w:val="nil"/>
        <w:right w:val="nil"/>
        <w:between w:val="nil"/>
        <w:bar w:val="nil"/>
      </w:pBdr>
      <w:spacing w:line="276" w:lineRule="auto"/>
      <w:ind w:left="1440" w:hanging="360"/>
      <w:contextualSpacing w:val="0"/>
      <w:jc w:val="both"/>
      <w:outlineLvl w:val="3"/>
    </w:pPr>
    <w:rPr>
      <w:rFonts w:ascii="Verdana" w:eastAsia="Verdana" w:hAnsi="Verdana" w:cs="Verdana"/>
      <w:b/>
      <w:bCs/>
      <w:color w:val="000000"/>
      <w:sz w:val="20"/>
      <w:szCs w:val="20"/>
      <w:u w:color="000000"/>
      <w:bdr w:val="nil"/>
      <w:lang w:val="es-ES_tradnl"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otnote,List Paragraph1,Párrafo de lista1,Colorful List - Accent 11,List Paragraph2,Lista vistosa - Énfasis 11,Subtle Emphasis1,Footnote1,List Paragraph11,Parrafos"/>
    <w:basedOn w:val="Normal"/>
    <w:link w:val="PrrafodelistaCar"/>
    <w:uiPriority w:val="1"/>
    <w:qFormat/>
    <w:rsid w:val="007A177C"/>
    <w:pPr>
      <w:ind w:left="720"/>
      <w:contextualSpacing/>
    </w:pPr>
    <w:rPr>
      <w:rFonts w:asciiTheme="minorHAnsi" w:eastAsiaTheme="minorHAnsi" w:hAnsiTheme="minorHAnsi" w:cstheme="minorBidi"/>
      <w:lang w:eastAsia="en-US"/>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C,ft"/>
    <w:basedOn w:val="Normal"/>
    <w:link w:val="TextonotapieCar"/>
    <w:uiPriority w:val="99"/>
    <w:unhideWhenUsed/>
    <w:qFormat/>
    <w:rsid w:val="005A1674"/>
    <w:pPr>
      <w:spacing w:after="200" w:line="276" w:lineRule="auto"/>
    </w:pPr>
    <w:rPr>
      <w:rFonts w:ascii="Calibri" w:eastAsia="Calibri" w:hAnsi="Calibri"/>
      <w:sz w:val="20"/>
      <w:szCs w:val="20"/>
      <w:lang w:val="x-none"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basedOn w:val="Fuentedeprrafopredeter"/>
    <w:link w:val="Textonotapie"/>
    <w:uiPriority w:val="99"/>
    <w:qFormat/>
    <w:rsid w:val="005A1674"/>
    <w:rPr>
      <w:rFonts w:ascii="Calibri" w:eastAsia="Calibri" w:hAnsi="Calibri" w:cs="Times New Roman"/>
      <w:sz w:val="20"/>
      <w:szCs w:val="20"/>
      <w:lang w:val="x-none"/>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link w:val="4GChar"/>
    <w:unhideWhenUsed/>
    <w:qFormat/>
    <w:rsid w:val="005A1674"/>
    <w:rPr>
      <w:vertAlign w:val="superscript"/>
    </w:rPr>
  </w:style>
  <w:style w:type="character" w:styleId="Refdecomentario">
    <w:name w:val="annotation reference"/>
    <w:basedOn w:val="Fuentedeprrafopredeter"/>
    <w:unhideWhenUsed/>
    <w:rsid w:val="0096778A"/>
    <w:rPr>
      <w:sz w:val="16"/>
      <w:szCs w:val="16"/>
    </w:rPr>
  </w:style>
  <w:style w:type="paragraph" w:styleId="Textocomentario">
    <w:name w:val="annotation text"/>
    <w:basedOn w:val="Normal"/>
    <w:link w:val="TextocomentarioCar"/>
    <w:uiPriority w:val="99"/>
    <w:unhideWhenUsed/>
    <w:rsid w:val="0096778A"/>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96778A"/>
    <w:rPr>
      <w:sz w:val="20"/>
      <w:szCs w:val="20"/>
    </w:rPr>
  </w:style>
  <w:style w:type="paragraph" w:styleId="Asuntodelcomentario">
    <w:name w:val="annotation subject"/>
    <w:basedOn w:val="Textocomentario"/>
    <w:next w:val="Textocomentario"/>
    <w:link w:val="AsuntodelcomentarioCar"/>
    <w:uiPriority w:val="99"/>
    <w:semiHidden/>
    <w:unhideWhenUsed/>
    <w:rsid w:val="0096778A"/>
    <w:rPr>
      <w:b/>
      <w:bCs/>
    </w:rPr>
  </w:style>
  <w:style w:type="character" w:customStyle="1" w:styleId="AsuntodelcomentarioCar">
    <w:name w:val="Asunto del comentario Car"/>
    <w:basedOn w:val="TextocomentarioCar"/>
    <w:link w:val="Asuntodelcomentario"/>
    <w:uiPriority w:val="99"/>
    <w:semiHidden/>
    <w:rsid w:val="0096778A"/>
    <w:rPr>
      <w:b/>
      <w:bCs/>
      <w:sz w:val="20"/>
      <w:szCs w:val="20"/>
    </w:rPr>
  </w:style>
  <w:style w:type="paragraph" w:styleId="Sinespaciado">
    <w:name w:val="No Spacing"/>
    <w:uiPriority w:val="1"/>
    <w:qFormat/>
    <w:rsid w:val="003261D8"/>
    <w:pPr>
      <w:jc w:val="both"/>
    </w:pPr>
    <w:rPr>
      <w:rFonts w:ascii="Verdana" w:eastAsia="Calibri" w:hAnsi="Verdana" w:cs="Calibri"/>
      <w:sz w:val="20"/>
      <w:szCs w:val="22"/>
    </w:rPr>
  </w:style>
  <w:style w:type="character" w:customStyle="1" w:styleId="PrrafodelistaCar">
    <w:name w:val="Párrafo de lista Car"/>
    <w:aliases w:val="Footnote Car,List Paragraph1 Car,Párrafo de lista1 Car,Colorful List - Accent 11 Car,List Paragraph2 Car,Lista vistosa - Énfasis 11 Car,Subtle Emphasis1 Car,Footnote1 Car,List Paragraph11 Car,Parrafos Car"/>
    <w:link w:val="Prrafodelista"/>
    <w:uiPriority w:val="34"/>
    <w:rsid w:val="003261D8"/>
  </w:style>
  <w:style w:type="paragraph" w:customStyle="1" w:styleId="PrrafodeSentencia">
    <w:name w:val="*. Párrafo de Sentencia"/>
    <w:basedOn w:val="Normal"/>
    <w:next w:val="Normal"/>
    <w:link w:val="PrrafodeSentenciaChar"/>
    <w:qFormat/>
    <w:rsid w:val="003261D8"/>
    <w:pPr>
      <w:numPr>
        <w:numId w:val="5"/>
      </w:numPr>
      <w:tabs>
        <w:tab w:val="left" w:pos="567"/>
      </w:tabs>
      <w:ind w:left="0" w:firstLine="0"/>
      <w:jc w:val="both"/>
    </w:pPr>
    <w:rPr>
      <w:rFonts w:ascii="Verdana" w:eastAsia="Batang" w:hAnsi="Verdana"/>
      <w:spacing w:val="-4"/>
      <w:sz w:val="20"/>
      <w:szCs w:val="22"/>
      <w:lang w:val="es-CR"/>
    </w:rPr>
  </w:style>
  <w:style w:type="character" w:customStyle="1" w:styleId="PrrafodeSentenciaChar">
    <w:name w:val="*. Párrafo de Sentencia Char"/>
    <w:basedOn w:val="Fuentedeprrafopredeter"/>
    <w:link w:val="PrrafodeSentencia"/>
    <w:rsid w:val="003261D8"/>
    <w:rPr>
      <w:rFonts w:ascii="Verdana" w:eastAsia="Batang" w:hAnsi="Verdana" w:cs="Times New Roman"/>
      <w:spacing w:val="-4"/>
      <w:sz w:val="20"/>
      <w:szCs w:val="22"/>
      <w:lang w:val="es-CR" w:eastAsia="es-MX"/>
    </w:rPr>
  </w:style>
  <w:style w:type="paragraph" w:customStyle="1" w:styleId="Default">
    <w:name w:val="Default"/>
    <w:rsid w:val="007D6516"/>
    <w:pPr>
      <w:autoSpaceDE w:val="0"/>
      <w:autoSpaceDN w:val="0"/>
      <w:adjustRightInd w:val="0"/>
    </w:pPr>
    <w:rPr>
      <w:rFonts w:ascii="Verdana" w:hAnsi="Verdana" w:cs="Verdana"/>
      <w:color w:val="000000"/>
    </w:rPr>
  </w:style>
  <w:style w:type="character" w:customStyle="1" w:styleId="Ttulo4Car">
    <w:name w:val="Título 4 Car"/>
    <w:basedOn w:val="Fuentedeprrafopredeter"/>
    <w:link w:val="Ttulo4"/>
    <w:rsid w:val="00FE2D6F"/>
    <w:rPr>
      <w:rFonts w:ascii="Verdana" w:eastAsia="Verdana" w:hAnsi="Verdana" w:cs="Verdana"/>
      <w:b/>
      <w:bCs/>
      <w:color w:val="000000"/>
      <w:sz w:val="20"/>
      <w:szCs w:val="20"/>
      <w:u w:color="000000"/>
      <w:bdr w:val="nil"/>
      <w:lang w:val="es-ES_tradnl" w:eastAsia="es-CR"/>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qFormat/>
    <w:rsid w:val="00FE2D6F"/>
    <w:pPr>
      <w:jc w:val="both"/>
    </w:pPr>
    <w:rPr>
      <w:rFonts w:asciiTheme="minorHAnsi" w:eastAsiaTheme="minorHAnsi" w:hAnsiTheme="minorHAnsi" w:cstheme="minorBidi"/>
      <w:vertAlign w:val="superscript"/>
      <w:lang w:eastAsia="en-US"/>
    </w:rPr>
  </w:style>
  <w:style w:type="paragraph" w:customStyle="1" w:styleId="FootnotesrefssChar1Char">
    <w:name w:val="Footnotes refss Char1 Char"/>
    <w:aliases w:val="Texto de nota al pie Char1 Char,Appel note de bas de page Char1 Char,Footnote number Char1 Char,referencia nota al pie Char1 Char,BVI fnr Char1 Char,f Char1 Char,4_G Char1 Char,16 Point Char1 Char"/>
    <w:basedOn w:val="Normal"/>
    <w:uiPriority w:val="99"/>
    <w:qFormat/>
    <w:rsid w:val="00700EEB"/>
    <w:pPr>
      <w:spacing w:after="160" w:line="240" w:lineRule="exact"/>
    </w:pPr>
    <w:rPr>
      <w:rFonts w:asciiTheme="minorHAnsi" w:eastAsiaTheme="minorHAnsi" w:hAnsiTheme="minorHAnsi" w:cstheme="minorBidi"/>
      <w:sz w:val="22"/>
      <w:szCs w:val="22"/>
      <w:vertAlign w:val="superscript"/>
      <w:lang w:val="es-GT" w:eastAsia="en-US"/>
    </w:rPr>
  </w:style>
  <w:style w:type="character" w:styleId="Textoennegrita">
    <w:name w:val="Strong"/>
    <w:aliases w:val="Heading 2.1"/>
    <w:basedOn w:val="Fuentedeprrafopredeter"/>
    <w:uiPriority w:val="22"/>
    <w:qFormat/>
    <w:rsid w:val="00700EEB"/>
    <w:rPr>
      <w:b/>
      <w:bCs/>
    </w:rPr>
  </w:style>
  <w:style w:type="paragraph" w:styleId="NormalWeb">
    <w:name w:val="Normal (Web)"/>
    <w:basedOn w:val="Normal"/>
    <w:uiPriority w:val="99"/>
    <w:semiHidden/>
    <w:unhideWhenUsed/>
    <w:rsid w:val="00F60369"/>
    <w:pPr>
      <w:spacing w:before="100" w:beforeAutospacing="1" w:after="100" w:afterAutospacing="1"/>
    </w:pPr>
  </w:style>
  <w:style w:type="paragraph" w:styleId="Piedepgina">
    <w:name w:val="footer"/>
    <w:basedOn w:val="Normal"/>
    <w:link w:val="PiedepginaCar"/>
    <w:uiPriority w:val="99"/>
    <w:unhideWhenUsed/>
    <w:rsid w:val="0048290A"/>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48290A"/>
  </w:style>
  <w:style w:type="character" w:styleId="Nmerodepgina">
    <w:name w:val="page number"/>
    <w:basedOn w:val="Fuentedeprrafopredeter"/>
    <w:uiPriority w:val="99"/>
    <w:semiHidden/>
    <w:unhideWhenUsed/>
    <w:rsid w:val="0048290A"/>
  </w:style>
  <w:style w:type="character" w:customStyle="1" w:styleId="apple-converted-space">
    <w:name w:val="apple-converted-space"/>
    <w:basedOn w:val="Fuentedeprrafopredeter"/>
    <w:rsid w:val="001259F7"/>
  </w:style>
  <w:style w:type="character" w:styleId="Hipervnculo">
    <w:name w:val="Hyperlink"/>
    <w:uiPriority w:val="99"/>
    <w:rsid w:val="003C461F"/>
    <w:rPr>
      <w:u w:val="single"/>
    </w:rPr>
  </w:style>
  <w:style w:type="character" w:customStyle="1" w:styleId="Mencinsinresolver1">
    <w:name w:val="Mención sin resolver1"/>
    <w:basedOn w:val="Fuentedeprrafopredeter"/>
    <w:uiPriority w:val="99"/>
    <w:semiHidden/>
    <w:unhideWhenUsed/>
    <w:rsid w:val="006C19B2"/>
    <w:rPr>
      <w:color w:val="605E5C"/>
      <w:shd w:val="clear" w:color="auto" w:fill="E1DFDD"/>
    </w:rPr>
  </w:style>
  <w:style w:type="character" w:styleId="Hipervnculovisitado">
    <w:name w:val="FollowedHyperlink"/>
    <w:basedOn w:val="Fuentedeprrafopredeter"/>
    <w:uiPriority w:val="99"/>
    <w:semiHidden/>
    <w:unhideWhenUsed/>
    <w:rsid w:val="006C19B2"/>
    <w:rPr>
      <w:color w:val="954F72" w:themeColor="followedHyperlink"/>
      <w:u w:val="single"/>
    </w:rPr>
  </w:style>
  <w:style w:type="paragraph" w:styleId="Revisin">
    <w:name w:val="Revision"/>
    <w:hidden/>
    <w:uiPriority w:val="99"/>
    <w:semiHidden/>
    <w:rsid w:val="006C19B2"/>
    <w:rPr>
      <w:rFonts w:ascii="Times New Roman" w:eastAsia="Times New Roman" w:hAnsi="Times New Roman" w:cs="Times New Roman"/>
      <w:lang w:eastAsia="es-MX"/>
    </w:rPr>
  </w:style>
  <w:style w:type="paragraph" w:styleId="Textodeglobo">
    <w:name w:val="Balloon Text"/>
    <w:basedOn w:val="Normal"/>
    <w:link w:val="TextodegloboCar"/>
    <w:uiPriority w:val="99"/>
    <w:semiHidden/>
    <w:unhideWhenUsed/>
    <w:rsid w:val="00B7097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976"/>
    <w:rPr>
      <w:rFonts w:ascii="Segoe UI" w:eastAsia="Times New Roman" w:hAnsi="Segoe UI" w:cs="Segoe UI"/>
      <w:sz w:val="18"/>
      <w:szCs w:val="18"/>
      <w:lang w:eastAsia="es-MX"/>
    </w:rPr>
  </w:style>
  <w:style w:type="character" w:customStyle="1" w:styleId="None">
    <w:name w:val="None"/>
    <w:rsid w:val="006A4EBE"/>
  </w:style>
  <w:style w:type="paragraph" w:styleId="Textoindependiente">
    <w:name w:val="Body Text"/>
    <w:basedOn w:val="Normal"/>
    <w:link w:val="TextoindependienteCar"/>
    <w:uiPriority w:val="1"/>
    <w:qFormat/>
    <w:rsid w:val="0034594D"/>
    <w:pPr>
      <w:widowControl w:val="0"/>
      <w:autoSpaceDE w:val="0"/>
      <w:autoSpaceDN w:val="0"/>
    </w:pPr>
    <w:rPr>
      <w:rFonts w:ascii="Verdana" w:eastAsia="Verdana" w:hAnsi="Verdana" w:cs="Verdana"/>
      <w:sz w:val="20"/>
      <w:szCs w:val="20"/>
      <w:lang w:val="es-ES" w:eastAsia="en-US"/>
    </w:rPr>
  </w:style>
  <w:style w:type="character" w:customStyle="1" w:styleId="TextoindependienteCar">
    <w:name w:val="Texto independiente Car"/>
    <w:basedOn w:val="Fuentedeprrafopredeter"/>
    <w:link w:val="Textoindependiente"/>
    <w:uiPriority w:val="1"/>
    <w:rsid w:val="0034594D"/>
    <w:rPr>
      <w:rFonts w:ascii="Verdana" w:eastAsia="Verdana" w:hAnsi="Verdana" w:cs="Verdana"/>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07469">
      <w:bodyDiv w:val="1"/>
      <w:marLeft w:val="0"/>
      <w:marRight w:val="0"/>
      <w:marTop w:val="0"/>
      <w:marBottom w:val="0"/>
      <w:divBdr>
        <w:top w:val="none" w:sz="0" w:space="0" w:color="auto"/>
        <w:left w:val="none" w:sz="0" w:space="0" w:color="auto"/>
        <w:bottom w:val="none" w:sz="0" w:space="0" w:color="auto"/>
        <w:right w:val="none" w:sz="0" w:space="0" w:color="auto"/>
      </w:divBdr>
    </w:div>
    <w:div w:id="388960507">
      <w:bodyDiv w:val="1"/>
      <w:marLeft w:val="0"/>
      <w:marRight w:val="0"/>
      <w:marTop w:val="0"/>
      <w:marBottom w:val="0"/>
      <w:divBdr>
        <w:top w:val="none" w:sz="0" w:space="0" w:color="auto"/>
        <w:left w:val="none" w:sz="0" w:space="0" w:color="auto"/>
        <w:bottom w:val="none" w:sz="0" w:space="0" w:color="auto"/>
        <w:right w:val="none" w:sz="0" w:space="0" w:color="auto"/>
      </w:divBdr>
    </w:div>
    <w:div w:id="615605741">
      <w:bodyDiv w:val="1"/>
      <w:marLeft w:val="0"/>
      <w:marRight w:val="0"/>
      <w:marTop w:val="0"/>
      <w:marBottom w:val="0"/>
      <w:divBdr>
        <w:top w:val="none" w:sz="0" w:space="0" w:color="auto"/>
        <w:left w:val="none" w:sz="0" w:space="0" w:color="auto"/>
        <w:bottom w:val="none" w:sz="0" w:space="0" w:color="auto"/>
        <w:right w:val="none" w:sz="0" w:space="0" w:color="auto"/>
      </w:divBdr>
    </w:div>
    <w:div w:id="858156399">
      <w:bodyDiv w:val="1"/>
      <w:marLeft w:val="0"/>
      <w:marRight w:val="0"/>
      <w:marTop w:val="0"/>
      <w:marBottom w:val="0"/>
      <w:divBdr>
        <w:top w:val="none" w:sz="0" w:space="0" w:color="auto"/>
        <w:left w:val="none" w:sz="0" w:space="0" w:color="auto"/>
        <w:bottom w:val="none" w:sz="0" w:space="0" w:color="auto"/>
        <w:right w:val="none" w:sz="0" w:space="0" w:color="auto"/>
      </w:divBdr>
    </w:div>
    <w:div w:id="1759249438">
      <w:bodyDiv w:val="1"/>
      <w:marLeft w:val="0"/>
      <w:marRight w:val="0"/>
      <w:marTop w:val="0"/>
      <w:marBottom w:val="0"/>
      <w:divBdr>
        <w:top w:val="none" w:sz="0" w:space="0" w:color="auto"/>
        <w:left w:val="none" w:sz="0" w:space="0" w:color="auto"/>
        <w:bottom w:val="none" w:sz="0" w:space="0" w:color="auto"/>
        <w:right w:val="none" w:sz="0" w:space="0" w:color="auto"/>
      </w:divBdr>
    </w:div>
    <w:div w:id="1794323343">
      <w:bodyDiv w:val="1"/>
      <w:marLeft w:val="0"/>
      <w:marRight w:val="0"/>
      <w:marTop w:val="0"/>
      <w:marBottom w:val="0"/>
      <w:divBdr>
        <w:top w:val="none" w:sz="0" w:space="0" w:color="auto"/>
        <w:left w:val="none" w:sz="0" w:space="0" w:color="auto"/>
        <w:bottom w:val="none" w:sz="0" w:space="0" w:color="auto"/>
        <w:right w:val="none" w:sz="0" w:space="0" w:color="auto"/>
      </w:divBdr>
    </w:div>
    <w:div w:id="1894610889">
      <w:bodyDiv w:val="1"/>
      <w:marLeft w:val="0"/>
      <w:marRight w:val="0"/>
      <w:marTop w:val="0"/>
      <w:marBottom w:val="0"/>
      <w:divBdr>
        <w:top w:val="none" w:sz="0" w:space="0" w:color="auto"/>
        <w:left w:val="none" w:sz="0" w:space="0" w:color="auto"/>
        <w:bottom w:val="none" w:sz="0" w:space="0" w:color="auto"/>
        <w:right w:val="none" w:sz="0" w:space="0" w:color="auto"/>
      </w:divBdr>
      <w:divsChild>
        <w:div w:id="1656034058">
          <w:marLeft w:val="0"/>
          <w:marRight w:val="0"/>
          <w:marTop w:val="0"/>
          <w:marBottom w:val="0"/>
          <w:divBdr>
            <w:top w:val="none" w:sz="0" w:space="0" w:color="auto"/>
            <w:left w:val="none" w:sz="0" w:space="0" w:color="auto"/>
            <w:bottom w:val="none" w:sz="0" w:space="0" w:color="auto"/>
            <w:right w:val="none" w:sz="0" w:space="0" w:color="auto"/>
          </w:divBdr>
          <w:divsChild>
            <w:div w:id="1619678517">
              <w:marLeft w:val="0"/>
              <w:marRight w:val="0"/>
              <w:marTop w:val="0"/>
              <w:marBottom w:val="0"/>
              <w:divBdr>
                <w:top w:val="none" w:sz="0" w:space="0" w:color="auto"/>
                <w:left w:val="none" w:sz="0" w:space="0" w:color="auto"/>
                <w:bottom w:val="none" w:sz="0" w:space="0" w:color="auto"/>
                <w:right w:val="none" w:sz="0" w:space="0" w:color="auto"/>
              </w:divBdr>
              <w:divsChild>
                <w:div w:id="154370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51711">
      <w:bodyDiv w:val="1"/>
      <w:marLeft w:val="0"/>
      <w:marRight w:val="0"/>
      <w:marTop w:val="0"/>
      <w:marBottom w:val="0"/>
      <w:divBdr>
        <w:top w:val="none" w:sz="0" w:space="0" w:color="auto"/>
        <w:left w:val="none" w:sz="0" w:space="0" w:color="auto"/>
        <w:bottom w:val="none" w:sz="0" w:space="0" w:color="auto"/>
        <w:right w:val="none" w:sz="0" w:space="0" w:color="auto"/>
      </w:divBdr>
    </w:div>
    <w:div w:id="208950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49919-6E8E-4960-9F94-392CD6DD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5475</Words>
  <Characters>30115</Characters>
  <Application>Microsoft Office Word</Application>
  <DocSecurity>0</DocSecurity>
  <Lines>250</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2024-01-17T23:29:00Z</dcterms:created>
  <dcterms:modified xsi:type="dcterms:W3CDTF">2024-01-17T23:29:00Z</dcterms:modified>
</cp:coreProperties>
</file>