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2B89D" w14:textId="77777777" w:rsidR="00D03525" w:rsidRPr="00354B1E" w:rsidRDefault="00D03525" w:rsidP="006B7EA6">
      <w:pPr>
        <w:jc w:val="both"/>
        <w:rPr>
          <w:rFonts w:ascii="Verdana" w:eastAsia="Verdana" w:hAnsi="Verdana" w:cs="Verdana"/>
          <w:sz w:val="20"/>
          <w:szCs w:val="20"/>
          <w:lang w:val="es-ES"/>
        </w:rPr>
      </w:pPr>
    </w:p>
    <w:p w14:paraId="19986593" w14:textId="77777777" w:rsidR="0055554A" w:rsidRDefault="00E16F61" w:rsidP="0055554A">
      <w:pPr>
        <w:spacing w:line="360" w:lineRule="auto"/>
        <w:ind w:left="720" w:hanging="720"/>
        <w:jc w:val="center"/>
        <w:rPr>
          <w:rFonts w:ascii="Verdana" w:eastAsia="Verdana" w:hAnsi="Verdana" w:cs="Verdana"/>
          <w:b/>
          <w:sz w:val="20"/>
          <w:szCs w:val="20"/>
        </w:rPr>
      </w:pPr>
      <w:r w:rsidRPr="00721E65">
        <w:rPr>
          <w:rFonts w:ascii="Verdana" w:eastAsia="Verdana" w:hAnsi="Verdana" w:cs="Verdana"/>
          <w:b/>
          <w:sz w:val="20"/>
          <w:szCs w:val="20"/>
        </w:rPr>
        <w:t xml:space="preserve">VOTO CONCURRENTE DE LOS JUECES </w:t>
      </w:r>
    </w:p>
    <w:p w14:paraId="7FE48D27" w14:textId="756E0A91" w:rsidR="0055554A" w:rsidRDefault="00E16F61" w:rsidP="0055554A">
      <w:pPr>
        <w:spacing w:line="360" w:lineRule="auto"/>
        <w:ind w:left="720" w:hanging="720"/>
        <w:jc w:val="center"/>
        <w:rPr>
          <w:rFonts w:ascii="Verdana" w:eastAsia="Verdana" w:hAnsi="Verdana" w:cs="Verdana"/>
          <w:b/>
          <w:sz w:val="20"/>
          <w:szCs w:val="20"/>
        </w:rPr>
      </w:pPr>
      <w:r w:rsidRPr="00721E65">
        <w:rPr>
          <w:rFonts w:ascii="Verdana" w:eastAsia="Verdana" w:hAnsi="Verdana" w:cs="Verdana"/>
          <w:b/>
          <w:sz w:val="20"/>
          <w:szCs w:val="20"/>
        </w:rPr>
        <w:t xml:space="preserve">RICARDO C. PÉREZ MANRIQUE, </w:t>
      </w:r>
    </w:p>
    <w:p w14:paraId="13D171B9" w14:textId="77777777" w:rsidR="0055554A" w:rsidRDefault="00E16F61" w:rsidP="0055554A">
      <w:pPr>
        <w:spacing w:line="360" w:lineRule="auto"/>
        <w:jc w:val="center"/>
        <w:rPr>
          <w:rFonts w:ascii="Verdana" w:eastAsia="Verdana" w:hAnsi="Verdana" w:cs="Verdana"/>
          <w:b/>
          <w:sz w:val="20"/>
          <w:szCs w:val="20"/>
        </w:rPr>
      </w:pPr>
      <w:r w:rsidRPr="00721E65">
        <w:rPr>
          <w:rFonts w:ascii="Verdana" w:eastAsia="Verdana" w:hAnsi="Verdana" w:cs="Verdana"/>
          <w:b/>
          <w:sz w:val="20"/>
          <w:szCs w:val="20"/>
        </w:rPr>
        <w:t xml:space="preserve">EDUARDO FERRER MAC-GREGOR POISOT </w:t>
      </w:r>
    </w:p>
    <w:p w14:paraId="5218DA19" w14:textId="067D667D" w:rsidR="00E16F61" w:rsidRPr="0055554A" w:rsidRDefault="00E16F61" w:rsidP="0055554A">
      <w:pPr>
        <w:spacing w:line="360" w:lineRule="auto"/>
        <w:jc w:val="center"/>
        <w:rPr>
          <w:rFonts w:ascii="Verdana" w:eastAsia="Verdana" w:hAnsi="Verdana" w:cs="Verdana"/>
          <w:b/>
          <w:sz w:val="20"/>
          <w:szCs w:val="20"/>
        </w:rPr>
      </w:pPr>
      <w:r w:rsidRPr="00721E65">
        <w:rPr>
          <w:rFonts w:ascii="Verdana" w:eastAsia="Verdana" w:hAnsi="Verdana" w:cs="Verdana"/>
          <w:b/>
          <w:sz w:val="20"/>
          <w:szCs w:val="20"/>
        </w:rPr>
        <w:t>Y RODRIGO MUDROVITSCH</w:t>
      </w:r>
    </w:p>
    <w:p w14:paraId="4C4122C8" w14:textId="6A354EC4" w:rsidR="004432F6" w:rsidRPr="00354B1E" w:rsidRDefault="004432F6" w:rsidP="00E16F61">
      <w:pPr>
        <w:rPr>
          <w:rFonts w:ascii="Verdana" w:hAnsi="Verdana"/>
          <w:sz w:val="20"/>
          <w:szCs w:val="20"/>
          <w:lang w:val="es-ES"/>
        </w:rPr>
      </w:pPr>
    </w:p>
    <w:p w14:paraId="79E02E5E" w14:textId="77777777" w:rsidR="004432F6" w:rsidRPr="00E16F61" w:rsidRDefault="004432F6" w:rsidP="00B87990">
      <w:pPr>
        <w:autoSpaceDE w:val="0"/>
        <w:autoSpaceDN w:val="0"/>
        <w:adjustRightInd w:val="0"/>
        <w:jc w:val="center"/>
        <w:rPr>
          <w:rFonts w:ascii="Verdana" w:eastAsia="MS Mincho" w:hAnsi="Verdana"/>
          <w:b/>
          <w:i/>
          <w:iCs/>
          <w:sz w:val="20"/>
          <w:szCs w:val="20"/>
          <w:u w:val="single"/>
          <w:lang w:val="es-ES" w:eastAsia="es-ES" w:bidi="en-US"/>
        </w:rPr>
      </w:pPr>
      <w:r w:rsidRPr="00E16F61">
        <w:rPr>
          <w:rFonts w:ascii="Verdana" w:eastAsia="MS Mincho" w:hAnsi="Verdana"/>
          <w:b/>
          <w:i/>
          <w:iCs/>
          <w:sz w:val="20"/>
          <w:szCs w:val="20"/>
          <w:u w:val="single"/>
          <w:lang w:val="es-ES" w:eastAsia="es-ES" w:bidi="en-US"/>
        </w:rPr>
        <w:t>CASO HABITANTES DE LA OROYA VS. PERÚ</w:t>
      </w:r>
    </w:p>
    <w:p w14:paraId="285FB294" w14:textId="77777777" w:rsidR="004432F6" w:rsidRPr="00354B1E" w:rsidRDefault="004432F6" w:rsidP="00B87990">
      <w:pPr>
        <w:autoSpaceDE w:val="0"/>
        <w:autoSpaceDN w:val="0"/>
        <w:adjustRightInd w:val="0"/>
        <w:jc w:val="center"/>
        <w:rPr>
          <w:rFonts w:ascii="Verdana" w:eastAsia="MS Mincho" w:hAnsi="Verdana"/>
          <w:bCs/>
          <w:sz w:val="20"/>
          <w:szCs w:val="20"/>
          <w:lang w:val="es-ES" w:eastAsia="es-ES" w:bidi="en-US"/>
        </w:rPr>
      </w:pPr>
    </w:p>
    <w:p w14:paraId="7A5296ED" w14:textId="77777777" w:rsidR="004432F6" w:rsidRPr="00E16F61" w:rsidRDefault="004432F6" w:rsidP="00B87990">
      <w:pPr>
        <w:pStyle w:val="Ttulo"/>
        <w:numPr>
          <w:ilvl w:val="0"/>
          <w:numId w:val="0"/>
        </w:numPr>
        <w:ind w:right="-138"/>
        <w:jc w:val="center"/>
        <w:rPr>
          <w:rFonts w:eastAsia="MS Mincho"/>
          <w:sz w:val="18"/>
          <w:szCs w:val="18"/>
          <w:lang w:val="es-ES"/>
        </w:rPr>
      </w:pPr>
      <w:r w:rsidRPr="00E16F61">
        <w:rPr>
          <w:rFonts w:eastAsia="MS Mincho"/>
          <w:sz w:val="18"/>
          <w:szCs w:val="18"/>
          <w:lang w:val="es-ES"/>
        </w:rPr>
        <w:t>SENTENCIA DE 27 DE NOVIEMBRE DE 2023</w:t>
      </w:r>
    </w:p>
    <w:p w14:paraId="4D750705" w14:textId="77777777" w:rsidR="004432F6" w:rsidRPr="00E16F61" w:rsidRDefault="004432F6" w:rsidP="00B87990">
      <w:pPr>
        <w:pStyle w:val="Ttulo"/>
        <w:numPr>
          <w:ilvl w:val="0"/>
          <w:numId w:val="0"/>
        </w:numPr>
        <w:ind w:right="-138"/>
        <w:jc w:val="center"/>
        <w:rPr>
          <w:rFonts w:eastAsia="MS Mincho"/>
          <w:i/>
          <w:sz w:val="18"/>
          <w:szCs w:val="18"/>
          <w:lang w:val="es-ES"/>
        </w:rPr>
      </w:pPr>
      <w:r w:rsidRPr="00E16F61">
        <w:rPr>
          <w:rFonts w:eastAsia="MS Mincho"/>
          <w:i/>
          <w:sz w:val="18"/>
          <w:szCs w:val="18"/>
          <w:lang w:val="es-ES"/>
        </w:rPr>
        <w:t>(Excepciones Preliminares, Fondo, Reparaciones y Costas)</w:t>
      </w:r>
    </w:p>
    <w:p w14:paraId="2A6AC51F" w14:textId="77777777" w:rsidR="00E16F61" w:rsidRDefault="00E16F61" w:rsidP="0055554A">
      <w:pPr>
        <w:rPr>
          <w:rFonts w:ascii="Verdana" w:hAnsi="Verdana"/>
          <w:b/>
          <w:bCs/>
          <w:sz w:val="20"/>
          <w:szCs w:val="20"/>
          <w:lang w:val="es-ES"/>
        </w:rPr>
      </w:pPr>
    </w:p>
    <w:p w14:paraId="0A3D95B5" w14:textId="76AB7314" w:rsidR="006C19B2" w:rsidRPr="00793679" w:rsidRDefault="004416AB" w:rsidP="004416AB">
      <w:pPr>
        <w:jc w:val="center"/>
        <w:rPr>
          <w:rFonts w:ascii="Verdana" w:hAnsi="Verdana"/>
          <w:b/>
          <w:bCs/>
          <w:sz w:val="20"/>
          <w:szCs w:val="20"/>
          <w:lang w:val="es-ES"/>
        </w:rPr>
      </w:pPr>
      <w:r w:rsidRPr="00793679">
        <w:rPr>
          <w:rFonts w:ascii="Verdana" w:hAnsi="Verdana"/>
          <w:b/>
          <w:bCs/>
          <w:sz w:val="20"/>
          <w:szCs w:val="20"/>
          <w:lang w:val="es-ES"/>
        </w:rPr>
        <w:t xml:space="preserve">INTRODUCCIÓN </w:t>
      </w:r>
    </w:p>
    <w:p w14:paraId="11DBE623" w14:textId="22951589" w:rsidR="00B87990" w:rsidRPr="00354B1E" w:rsidRDefault="00B87990" w:rsidP="006B7EA6">
      <w:pPr>
        <w:jc w:val="both"/>
        <w:rPr>
          <w:rFonts w:ascii="Verdana" w:hAnsi="Verdana"/>
          <w:b/>
          <w:bCs/>
          <w:sz w:val="20"/>
          <w:szCs w:val="20"/>
          <w:lang w:val="es-ES"/>
        </w:rPr>
      </w:pPr>
    </w:p>
    <w:p w14:paraId="19FB89C1" w14:textId="0D1094E9" w:rsidR="00DB789F" w:rsidRPr="00DB789F" w:rsidRDefault="00F16841" w:rsidP="00164BBE">
      <w:pPr>
        <w:pStyle w:val="Prrafodelista"/>
        <w:widowControl w:val="0"/>
        <w:numPr>
          <w:ilvl w:val="0"/>
          <w:numId w:val="22"/>
        </w:numPr>
        <w:autoSpaceDE w:val="0"/>
        <w:autoSpaceDN w:val="0"/>
        <w:ind w:left="0" w:firstLine="0"/>
        <w:contextualSpacing w:val="0"/>
        <w:jc w:val="both"/>
        <w:rPr>
          <w:rFonts w:ascii="Verdana" w:hAnsi="Verdana"/>
          <w:b/>
          <w:bCs/>
          <w:color w:val="000000" w:themeColor="text1"/>
          <w:sz w:val="20"/>
          <w:szCs w:val="20"/>
          <w:lang w:val="es-ES"/>
        </w:rPr>
      </w:pPr>
      <w:r w:rsidRPr="00354B1E">
        <w:rPr>
          <w:rFonts w:ascii="Verdana" w:hAnsi="Verdana"/>
          <w:color w:val="000000" w:themeColor="text1"/>
          <w:sz w:val="20"/>
          <w:szCs w:val="20"/>
          <w:lang w:val="es-ES"/>
        </w:rPr>
        <w:t>No es la primera vez que la Corte Interamericana de Derechos Humanos (en adelante “la Corte IDH” o “el Tribunal”) se pronuncia sobre el derecho al medio ambiente</w:t>
      </w:r>
      <w:r w:rsidR="00DB789F">
        <w:rPr>
          <w:rFonts w:ascii="Verdana" w:hAnsi="Verdana"/>
          <w:color w:val="000000" w:themeColor="text1"/>
          <w:sz w:val="20"/>
          <w:szCs w:val="20"/>
          <w:lang w:val="es-ES"/>
        </w:rPr>
        <w:t xml:space="preserve">. </w:t>
      </w:r>
      <w:r w:rsidRPr="00354B1E">
        <w:rPr>
          <w:rFonts w:ascii="Verdana" w:hAnsi="Verdana"/>
          <w:color w:val="000000" w:themeColor="text1"/>
          <w:sz w:val="20"/>
          <w:szCs w:val="20"/>
          <w:lang w:val="es-ES"/>
        </w:rPr>
        <w:t>Estim</w:t>
      </w:r>
      <w:r w:rsidR="00E16F61">
        <w:rPr>
          <w:rFonts w:ascii="Verdana" w:hAnsi="Verdana"/>
          <w:color w:val="000000" w:themeColor="text1"/>
          <w:sz w:val="20"/>
          <w:szCs w:val="20"/>
          <w:lang w:val="es-ES"/>
        </w:rPr>
        <w:t>amos</w:t>
      </w:r>
      <w:r w:rsidRPr="00354B1E">
        <w:rPr>
          <w:rFonts w:ascii="Verdana" w:hAnsi="Verdana"/>
          <w:color w:val="000000" w:themeColor="text1"/>
          <w:sz w:val="20"/>
          <w:szCs w:val="20"/>
          <w:lang w:val="es-ES"/>
        </w:rPr>
        <w:t xml:space="preserve">, sin embargo, la pertinencia de emitir este voto concurrente para resaltar </w:t>
      </w:r>
      <w:r w:rsidR="00793679">
        <w:rPr>
          <w:rFonts w:ascii="Verdana" w:hAnsi="Verdana"/>
          <w:color w:val="000000" w:themeColor="text1"/>
          <w:sz w:val="20"/>
          <w:szCs w:val="20"/>
          <w:lang w:val="es-ES"/>
        </w:rPr>
        <w:t>como</w:t>
      </w:r>
      <w:r w:rsidRPr="00354B1E">
        <w:rPr>
          <w:rFonts w:ascii="Verdana" w:hAnsi="Verdana"/>
          <w:color w:val="000000" w:themeColor="text1"/>
          <w:sz w:val="20"/>
          <w:szCs w:val="20"/>
          <w:lang w:val="es-ES"/>
        </w:rPr>
        <w:t xml:space="preserve">, paulatinamente, </w:t>
      </w:r>
      <w:r w:rsidR="00DB789F">
        <w:rPr>
          <w:rFonts w:ascii="Verdana" w:hAnsi="Verdana"/>
          <w:color w:val="000000" w:themeColor="text1"/>
          <w:sz w:val="20"/>
          <w:szCs w:val="20"/>
          <w:lang w:val="es-ES"/>
        </w:rPr>
        <w:t xml:space="preserve">este derecho </w:t>
      </w:r>
      <w:r w:rsidRPr="00354B1E">
        <w:rPr>
          <w:rFonts w:ascii="Verdana" w:hAnsi="Verdana"/>
          <w:color w:val="000000" w:themeColor="text1"/>
          <w:sz w:val="20"/>
          <w:szCs w:val="20"/>
          <w:lang w:val="es-ES"/>
        </w:rPr>
        <w:t xml:space="preserve">se hace cada vez más latente en el ámbito interamericano, especialmente desde la </w:t>
      </w:r>
      <w:r w:rsidR="00354B1E" w:rsidRPr="00354B1E">
        <w:rPr>
          <w:rFonts w:ascii="Verdana" w:hAnsi="Verdana"/>
          <w:color w:val="000000" w:themeColor="text1"/>
          <w:sz w:val="20"/>
          <w:szCs w:val="20"/>
          <w:lang w:val="es-ES"/>
        </w:rPr>
        <w:t>Opinión</w:t>
      </w:r>
      <w:r w:rsidRPr="00354B1E">
        <w:rPr>
          <w:rFonts w:ascii="Verdana" w:hAnsi="Verdana"/>
          <w:color w:val="000000" w:themeColor="text1"/>
          <w:sz w:val="20"/>
          <w:szCs w:val="20"/>
          <w:lang w:val="es-ES"/>
        </w:rPr>
        <w:t xml:space="preserve"> Consultiva No. </w:t>
      </w:r>
      <w:r w:rsidR="00354B1E" w:rsidRPr="00354B1E">
        <w:rPr>
          <w:rFonts w:ascii="Verdana" w:hAnsi="Verdana"/>
          <w:color w:val="000000" w:themeColor="text1"/>
          <w:sz w:val="20"/>
          <w:szCs w:val="20"/>
          <w:lang w:val="es-ES"/>
        </w:rPr>
        <w:t>23 de</w:t>
      </w:r>
      <w:r w:rsidRPr="00354B1E">
        <w:rPr>
          <w:rFonts w:ascii="Verdana" w:hAnsi="Verdana"/>
          <w:color w:val="000000" w:themeColor="text1"/>
          <w:sz w:val="20"/>
          <w:szCs w:val="20"/>
          <w:lang w:val="es-ES"/>
        </w:rPr>
        <w:t xml:space="preserve"> 201</w:t>
      </w:r>
      <w:r w:rsidR="005D6386">
        <w:rPr>
          <w:rFonts w:ascii="Verdana" w:hAnsi="Verdana"/>
          <w:color w:val="000000" w:themeColor="text1"/>
          <w:sz w:val="20"/>
          <w:szCs w:val="20"/>
          <w:lang w:val="es-ES"/>
        </w:rPr>
        <w:t>7</w:t>
      </w:r>
      <w:r w:rsidR="00E16F61">
        <w:rPr>
          <w:rStyle w:val="Refdenotaalpie"/>
          <w:rFonts w:ascii="Verdana" w:hAnsi="Verdana"/>
          <w:color w:val="000000" w:themeColor="text1"/>
          <w:sz w:val="20"/>
          <w:szCs w:val="20"/>
          <w:lang w:val="es-ES"/>
        </w:rPr>
        <w:footnoteReference w:id="1"/>
      </w:r>
      <w:r w:rsidRPr="00354B1E">
        <w:rPr>
          <w:rFonts w:ascii="Verdana" w:hAnsi="Verdana"/>
          <w:color w:val="000000" w:themeColor="text1"/>
          <w:sz w:val="20"/>
          <w:szCs w:val="20"/>
          <w:lang w:val="es-ES"/>
        </w:rPr>
        <w:t xml:space="preserve">. </w:t>
      </w:r>
    </w:p>
    <w:p w14:paraId="7A0F548C" w14:textId="77777777" w:rsidR="00DB789F" w:rsidRDefault="00DB789F" w:rsidP="00DB789F">
      <w:pPr>
        <w:pStyle w:val="Prrafodelista"/>
        <w:widowControl w:val="0"/>
        <w:autoSpaceDE w:val="0"/>
        <w:autoSpaceDN w:val="0"/>
        <w:ind w:left="0"/>
        <w:contextualSpacing w:val="0"/>
        <w:jc w:val="both"/>
        <w:rPr>
          <w:rFonts w:ascii="Verdana" w:hAnsi="Verdana"/>
          <w:b/>
          <w:bCs/>
          <w:color w:val="000000" w:themeColor="text1"/>
          <w:sz w:val="20"/>
          <w:szCs w:val="20"/>
          <w:lang w:val="es-ES"/>
        </w:rPr>
      </w:pPr>
    </w:p>
    <w:p w14:paraId="1D5E3924" w14:textId="3FC18375" w:rsidR="00F16841" w:rsidRPr="00164BBE" w:rsidRDefault="00F16841" w:rsidP="00164BBE">
      <w:pPr>
        <w:pStyle w:val="Prrafodelista"/>
        <w:widowControl w:val="0"/>
        <w:numPr>
          <w:ilvl w:val="0"/>
          <w:numId w:val="22"/>
        </w:numPr>
        <w:autoSpaceDE w:val="0"/>
        <w:autoSpaceDN w:val="0"/>
        <w:ind w:left="0" w:firstLine="0"/>
        <w:contextualSpacing w:val="0"/>
        <w:jc w:val="both"/>
        <w:rPr>
          <w:rFonts w:ascii="Verdana" w:hAnsi="Verdana"/>
          <w:b/>
          <w:bCs/>
          <w:color w:val="000000" w:themeColor="text1"/>
          <w:sz w:val="20"/>
          <w:szCs w:val="20"/>
          <w:lang w:val="es-ES"/>
        </w:rPr>
      </w:pPr>
      <w:r w:rsidRPr="00164BBE">
        <w:rPr>
          <w:rFonts w:ascii="Verdana" w:hAnsi="Verdana"/>
          <w:color w:val="000000" w:themeColor="text1"/>
          <w:sz w:val="20"/>
          <w:szCs w:val="20"/>
          <w:lang w:val="es-ES"/>
        </w:rPr>
        <w:t>El reconocimiento de</w:t>
      </w:r>
      <w:r w:rsidR="00793679">
        <w:rPr>
          <w:rFonts w:ascii="Verdana" w:hAnsi="Verdana"/>
          <w:color w:val="000000" w:themeColor="text1"/>
          <w:sz w:val="20"/>
          <w:szCs w:val="20"/>
          <w:lang w:val="es-ES"/>
        </w:rPr>
        <w:t xml:space="preserve">l </w:t>
      </w:r>
      <w:r w:rsidR="00F847B6">
        <w:rPr>
          <w:rFonts w:ascii="Verdana" w:hAnsi="Verdana"/>
          <w:color w:val="000000" w:themeColor="text1"/>
          <w:sz w:val="20"/>
          <w:szCs w:val="20"/>
          <w:lang w:val="es-ES"/>
        </w:rPr>
        <w:t xml:space="preserve">derecho al </w:t>
      </w:r>
      <w:r w:rsidR="00793679">
        <w:rPr>
          <w:rFonts w:ascii="Verdana" w:hAnsi="Verdana"/>
          <w:color w:val="000000" w:themeColor="text1"/>
          <w:sz w:val="20"/>
          <w:szCs w:val="20"/>
          <w:lang w:val="es-ES"/>
        </w:rPr>
        <w:t>medio ambiente</w:t>
      </w:r>
      <w:r w:rsidRPr="00164BBE">
        <w:rPr>
          <w:rFonts w:ascii="Verdana" w:hAnsi="Verdana"/>
          <w:color w:val="000000" w:themeColor="text1"/>
          <w:sz w:val="20"/>
          <w:szCs w:val="20"/>
          <w:lang w:val="es-ES"/>
        </w:rPr>
        <w:t xml:space="preserve"> ha llegado de forma tardía en todas las </w:t>
      </w:r>
      <w:r w:rsidR="00354B1E" w:rsidRPr="00164BBE">
        <w:rPr>
          <w:rFonts w:ascii="Verdana" w:hAnsi="Verdana"/>
          <w:color w:val="000000" w:themeColor="text1"/>
          <w:sz w:val="20"/>
          <w:szCs w:val="20"/>
          <w:lang w:val="es-ES"/>
        </w:rPr>
        <w:t>latitudes</w:t>
      </w:r>
      <w:r w:rsidR="00DB789F">
        <w:rPr>
          <w:rFonts w:ascii="Verdana" w:hAnsi="Verdana"/>
          <w:color w:val="000000" w:themeColor="text1"/>
          <w:sz w:val="20"/>
          <w:szCs w:val="20"/>
          <w:lang w:val="es-ES"/>
        </w:rPr>
        <w:t>,</w:t>
      </w:r>
      <w:r w:rsidR="00164BBE" w:rsidRPr="00164BBE">
        <w:rPr>
          <w:rFonts w:ascii="Verdana" w:hAnsi="Verdana"/>
          <w:color w:val="000000" w:themeColor="text1"/>
          <w:sz w:val="20"/>
          <w:szCs w:val="20"/>
          <w:lang w:val="es-ES"/>
        </w:rPr>
        <w:t xml:space="preserve"> como recientemente lo ha realizado la </w:t>
      </w:r>
      <w:r w:rsidR="0020256B">
        <w:rPr>
          <w:rFonts w:ascii="Verdana" w:hAnsi="Verdana"/>
          <w:color w:val="000000" w:themeColor="text1"/>
          <w:sz w:val="20"/>
          <w:szCs w:val="20"/>
          <w:lang w:val="es-ES"/>
        </w:rPr>
        <w:t xml:space="preserve">Organización de </w:t>
      </w:r>
      <w:r w:rsidR="0043034F">
        <w:rPr>
          <w:rFonts w:ascii="Verdana" w:hAnsi="Verdana"/>
          <w:color w:val="000000" w:themeColor="text1"/>
          <w:sz w:val="20"/>
          <w:szCs w:val="20"/>
          <w:lang w:val="es-ES"/>
        </w:rPr>
        <w:t xml:space="preserve">las </w:t>
      </w:r>
      <w:r w:rsidR="0020256B">
        <w:rPr>
          <w:rFonts w:ascii="Verdana" w:hAnsi="Verdana"/>
          <w:color w:val="000000" w:themeColor="text1"/>
          <w:sz w:val="20"/>
          <w:szCs w:val="20"/>
          <w:lang w:val="es-ES"/>
        </w:rPr>
        <w:t>Naciones Unidas (</w:t>
      </w:r>
      <w:r w:rsidR="00164BBE" w:rsidRPr="00164BBE">
        <w:rPr>
          <w:rFonts w:ascii="Verdana" w:hAnsi="Verdana"/>
          <w:color w:val="000000" w:themeColor="text1"/>
          <w:sz w:val="20"/>
          <w:szCs w:val="20"/>
          <w:lang w:val="es-ES"/>
        </w:rPr>
        <w:t>ONU</w:t>
      </w:r>
      <w:r w:rsidR="0020256B">
        <w:rPr>
          <w:rFonts w:ascii="Verdana" w:hAnsi="Verdana"/>
          <w:color w:val="000000" w:themeColor="text1"/>
          <w:sz w:val="20"/>
          <w:szCs w:val="20"/>
          <w:lang w:val="es-ES"/>
        </w:rPr>
        <w:t>)</w:t>
      </w:r>
      <w:r w:rsidR="00164BBE" w:rsidRPr="00164BBE">
        <w:rPr>
          <w:rFonts w:ascii="Verdana" w:hAnsi="Verdana"/>
          <w:color w:val="000000" w:themeColor="text1"/>
          <w:sz w:val="20"/>
          <w:szCs w:val="20"/>
          <w:lang w:val="es-ES"/>
        </w:rPr>
        <w:t xml:space="preserve"> en 2022</w:t>
      </w:r>
      <w:r w:rsidR="000C29C5" w:rsidRPr="00354B1E">
        <w:rPr>
          <w:rStyle w:val="Refdenotaalpie"/>
          <w:rFonts w:ascii="Verdana" w:hAnsi="Verdana"/>
          <w:sz w:val="20"/>
          <w:szCs w:val="20"/>
          <w:lang w:val="es-ES"/>
        </w:rPr>
        <w:footnoteReference w:id="2"/>
      </w:r>
      <w:r w:rsidR="00164BBE" w:rsidRPr="00164BBE">
        <w:rPr>
          <w:rFonts w:ascii="Verdana" w:hAnsi="Verdana"/>
          <w:color w:val="000000" w:themeColor="text1"/>
          <w:sz w:val="20"/>
          <w:szCs w:val="20"/>
          <w:lang w:val="es-ES"/>
        </w:rPr>
        <w:t xml:space="preserve">, </w:t>
      </w:r>
      <w:r w:rsidRPr="00164BBE">
        <w:rPr>
          <w:rFonts w:ascii="Verdana" w:hAnsi="Verdana"/>
          <w:color w:val="000000" w:themeColor="text1"/>
          <w:sz w:val="20"/>
          <w:szCs w:val="20"/>
          <w:lang w:val="es-ES"/>
        </w:rPr>
        <w:t xml:space="preserve">pero el ritmo acelerado de </w:t>
      </w:r>
      <w:r w:rsidR="00833FBD">
        <w:rPr>
          <w:rFonts w:ascii="Verdana" w:hAnsi="Verdana"/>
          <w:color w:val="000000" w:themeColor="text1"/>
          <w:sz w:val="20"/>
          <w:szCs w:val="20"/>
          <w:lang w:val="es-ES"/>
        </w:rPr>
        <w:t xml:space="preserve">su proyección </w:t>
      </w:r>
      <w:r w:rsidRPr="00164BBE">
        <w:rPr>
          <w:rFonts w:ascii="Verdana" w:hAnsi="Verdana"/>
          <w:color w:val="000000" w:themeColor="text1"/>
          <w:sz w:val="20"/>
          <w:szCs w:val="20"/>
          <w:lang w:val="es-ES"/>
        </w:rPr>
        <w:t>a nivel internacional hace que sea necesario visibilizar su importancia</w:t>
      </w:r>
      <w:r w:rsidR="0020256B">
        <w:rPr>
          <w:rFonts w:ascii="Verdana" w:hAnsi="Verdana"/>
          <w:color w:val="000000" w:themeColor="text1"/>
          <w:sz w:val="20"/>
          <w:szCs w:val="20"/>
          <w:lang w:val="es-ES"/>
        </w:rPr>
        <w:t>, tanto</w:t>
      </w:r>
      <w:r w:rsidR="001134BA">
        <w:rPr>
          <w:rFonts w:ascii="Verdana" w:hAnsi="Verdana"/>
          <w:color w:val="000000" w:themeColor="text1"/>
          <w:sz w:val="20"/>
          <w:szCs w:val="20"/>
          <w:lang w:val="es-ES"/>
        </w:rPr>
        <w:t xml:space="preserve"> </w:t>
      </w:r>
      <w:r w:rsidRPr="00164BBE">
        <w:rPr>
          <w:rFonts w:ascii="Verdana" w:hAnsi="Verdana"/>
          <w:color w:val="000000" w:themeColor="text1"/>
          <w:sz w:val="20"/>
          <w:szCs w:val="20"/>
          <w:lang w:val="es-ES"/>
        </w:rPr>
        <w:t xml:space="preserve">para las generaciones actuales como para las futuras. </w:t>
      </w:r>
    </w:p>
    <w:p w14:paraId="25E98423" w14:textId="77777777" w:rsidR="00F16841" w:rsidRPr="00354B1E" w:rsidRDefault="00F16841" w:rsidP="00F16841">
      <w:pPr>
        <w:pStyle w:val="Prrafodelista"/>
        <w:widowControl w:val="0"/>
        <w:autoSpaceDE w:val="0"/>
        <w:autoSpaceDN w:val="0"/>
        <w:ind w:left="0"/>
        <w:contextualSpacing w:val="0"/>
        <w:jc w:val="both"/>
        <w:rPr>
          <w:rFonts w:ascii="Verdana" w:hAnsi="Verdana"/>
          <w:b/>
          <w:bCs/>
          <w:color w:val="000000" w:themeColor="text1"/>
          <w:sz w:val="20"/>
          <w:szCs w:val="20"/>
          <w:lang w:val="es-ES"/>
        </w:rPr>
      </w:pPr>
    </w:p>
    <w:p w14:paraId="49B006EC" w14:textId="50DD85C3" w:rsidR="00166EB6" w:rsidRPr="00354B1E" w:rsidRDefault="00F16841" w:rsidP="00166EB6">
      <w:pPr>
        <w:pStyle w:val="Prrafodelista"/>
        <w:widowControl w:val="0"/>
        <w:numPr>
          <w:ilvl w:val="0"/>
          <w:numId w:val="22"/>
        </w:numPr>
        <w:autoSpaceDE w:val="0"/>
        <w:autoSpaceDN w:val="0"/>
        <w:ind w:left="0" w:firstLine="0"/>
        <w:contextualSpacing w:val="0"/>
        <w:jc w:val="both"/>
        <w:rPr>
          <w:rFonts w:ascii="Verdana" w:hAnsi="Verdana"/>
          <w:b/>
          <w:bCs/>
          <w:color w:val="000000" w:themeColor="text1"/>
          <w:sz w:val="20"/>
          <w:szCs w:val="20"/>
          <w:lang w:val="es-ES"/>
        </w:rPr>
      </w:pPr>
      <w:r w:rsidRPr="00354B1E">
        <w:rPr>
          <w:rFonts w:ascii="Verdana" w:hAnsi="Verdana"/>
          <w:color w:val="000000" w:themeColor="text1"/>
          <w:sz w:val="20"/>
          <w:szCs w:val="20"/>
          <w:lang w:val="es-ES"/>
        </w:rPr>
        <w:t xml:space="preserve">En el caso </w:t>
      </w:r>
      <w:r w:rsidRPr="00354B1E">
        <w:rPr>
          <w:rFonts w:ascii="Verdana" w:eastAsia="MS Mincho" w:hAnsi="Verdana"/>
          <w:bCs/>
          <w:i/>
          <w:iCs/>
          <w:sz w:val="20"/>
          <w:szCs w:val="20"/>
          <w:lang w:val="es-ES" w:eastAsia="es-ES" w:bidi="en-US"/>
        </w:rPr>
        <w:t xml:space="preserve">Habitantes de </w:t>
      </w:r>
      <w:r w:rsidR="006F7F0F">
        <w:rPr>
          <w:rFonts w:ascii="Verdana" w:eastAsia="MS Mincho" w:hAnsi="Verdana"/>
          <w:bCs/>
          <w:i/>
          <w:iCs/>
          <w:sz w:val="20"/>
          <w:szCs w:val="20"/>
          <w:lang w:val="es-ES" w:eastAsia="es-ES" w:bidi="en-US"/>
        </w:rPr>
        <w:t>L</w:t>
      </w:r>
      <w:r w:rsidRPr="00354B1E">
        <w:rPr>
          <w:rFonts w:ascii="Verdana" w:eastAsia="MS Mincho" w:hAnsi="Verdana"/>
          <w:bCs/>
          <w:i/>
          <w:iCs/>
          <w:sz w:val="20"/>
          <w:szCs w:val="20"/>
          <w:lang w:val="es-ES" w:eastAsia="es-ES" w:bidi="en-US"/>
        </w:rPr>
        <w:t>a Oroya Vs. Perú</w:t>
      </w:r>
      <w:r w:rsidR="00DB789F">
        <w:rPr>
          <w:rFonts w:ascii="Verdana" w:eastAsia="MS Mincho" w:hAnsi="Verdana"/>
          <w:bCs/>
          <w:i/>
          <w:iCs/>
          <w:sz w:val="20"/>
          <w:szCs w:val="20"/>
          <w:lang w:val="es-ES" w:eastAsia="es-ES" w:bidi="en-US"/>
        </w:rPr>
        <w:t xml:space="preserve">, </w:t>
      </w:r>
      <w:r w:rsidRPr="00354B1E">
        <w:rPr>
          <w:rFonts w:ascii="Verdana" w:hAnsi="Verdana"/>
          <w:color w:val="000000" w:themeColor="text1"/>
          <w:sz w:val="20"/>
          <w:szCs w:val="20"/>
          <w:lang w:val="es-ES"/>
        </w:rPr>
        <w:t>la Corte I</w:t>
      </w:r>
      <w:r w:rsidR="00E16F61">
        <w:rPr>
          <w:rFonts w:ascii="Verdana" w:hAnsi="Verdana"/>
          <w:color w:val="000000" w:themeColor="text1"/>
          <w:sz w:val="20"/>
          <w:szCs w:val="20"/>
          <w:lang w:val="es-ES"/>
        </w:rPr>
        <w:t>DH</w:t>
      </w:r>
      <w:r w:rsidRPr="00354B1E">
        <w:rPr>
          <w:rFonts w:ascii="Verdana" w:hAnsi="Verdana"/>
          <w:color w:val="000000" w:themeColor="text1"/>
          <w:sz w:val="20"/>
          <w:szCs w:val="20"/>
          <w:lang w:val="es-ES"/>
        </w:rPr>
        <w:t xml:space="preserve"> </w:t>
      </w:r>
      <w:r w:rsidR="00833FBD">
        <w:rPr>
          <w:rFonts w:ascii="Verdana" w:hAnsi="Verdana"/>
          <w:color w:val="000000" w:themeColor="text1"/>
          <w:sz w:val="20"/>
          <w:szCs w:val="20"/>
          <w:lang w:val="es-ES"/>
        </w:rPr>
        <w:t xml:space="preserve">puso en el centro de gravedad de la sentencia </w:t>
      </w:r>
      <w:r w:rsidR="00A606FD">
        <w:rPr>
          <w:rFonts w:ascii="Verdana" w:hAnsi="Verdana"/>
          <w:color w:val="000000" w:themeColor="text1"/>
          <w:sz w:val="20"/>
          <w:szCs w:val="20"/>
          <w:lang w:val="es-ES"/>
        </w:rPr>
        <w:t>a</w:t>
      </w:r>
      <w:r w:rsidR="00363421">
        <w:rPr>
          <w:rFonts w:ascii="Verdana" w:hAnsi="Verdana"/>
          <w:color w:val="000000" w:themeColor="text1"/>
          <w:sz w:val="20"/>
          <w:szCs w:val="20"/>
          <w:lang w:val="es-ES"/>
        </w:rPr>
        <w:t>l</w:t>
      </w:r>
      <w:r w:rsidR="00833FBD">
        <w:rPr>
          <w:rFonts w:ascii="Verdana" w:hAnsi="Verdana"/>
          <w:color w:val="000000" w:themeColor="text1"/>
          <w:sz w:val="20"/>
          <w:szCs w:val="20"/>
          <w:lang w:val="es-ES"/>
        </w:rPr>
        <w:t xml:space="preserve"> derecho al medio ambiente y su vinculación con otros derechos que estimó violados. Se </w:t>
      </w:r>
      <w:r w:rsidR="00DB789F">
        <w:rPr>
          <w:rFonts w:ascii="Verdana" w:hAnsi="Verdana"/>
          <w:color w:val="000000" w:themeColor="text1"/>
          <w:sz w:val="20"/>
          <w:szCs w:val="20"/>
          <w:lang w:val="es-ES"/>
        </w:rPr>
        <w:t>d</w:t>
      </w:r>
      <w:r w:rsidRPr="00354B1E">
        <w:rPr>
          <w:rFonts w:ascii="Verdana" w:hAnsi="Verdana"/>
          <w:color w:val="000000" w:themeColor="text1"/>
          <w:sz w:val="20"/>
          <w:szCs w:val="20"/>
          <w:lang w:val="es-ES"/>
        </w:rPr>
        <w:t xml:space="preserve">eclaró la </w:t>
      </w:r>
      <w:r w:rsidR="00354B1E" w:rsidRPr="00354B1E">
        <w:rPr>
          <w:rFonts w:ascii="Verdana" w:hAnsi="Verdana"/>
          <w:color w:val="000000" w:themeColor="text1"/>
          <w:sz w:val="20"/>
          <w:szCs w:val="20"/>
          <w:lang w:val="es-ES"/>
        </w:rPr>
        <w:t>responsabilidad</w:t>
      </w:r>
      <w:r w:rsidRPr="00354B1E">
        <w:rPr>
          <w:rFonts w:ascii="Verdana" w:hAnsi="Verdana"/>
          <w:color w:val="000000" w:themeColor="text1"/>
          <w:sz w:val="20"/>
          <w:szCs w:val="20"/>
          <w:lang w:val="es-ES"/>
        </w:rPr>
        <w:t xml:space="preserve"> internacional del Estado por la vulneración de </w:t>
      </w:r>
      <w:r w:rsidR="00166EB6" w:rsidRPr="00354B1E">
        <w:rPr>
          <w:rFonts w:ascii="Verdana" w:hAnsi="Verdana"/>
          <w:color w:val="000000" w:themeColor="text1"/>
          <w:sz w:val="20"/>
          <w:szCs w:val="20"/>
          <w:lang w:val="es-ES"/>
        </w:rPr>
        <w:t>los derechos al medio ambiente, salud, vida</w:t>
      </w:r>
      <w:r w:rsidR="00592ECE">
        <w:rPr>
          <w:rFonts w:ascii="Verdana" w:hAnsi="Verdana"/>
          <w:color w:val="000000" w:themeColor="text1"/>
          <w:sz w:val="20"/>
          <w:szCs w:val="20"/>
          <w:lang w:val="es-ES"/>
        </w:rPr>
        <w:t>, vida</w:t>
      </w:r>
      <w:r w:rsidR="00A606FD">
        <w:rPr>
          <w:rFonts w:ascii="Verdana" w:hAnsi="Verdana"/>
          <w:color w:val="000000" w:themeColor="text1"/>
          <w:sz w:val="20"/>
          <w:szCs w:val="20"/>
          <w:lang w:val="es-ES"/>
        </w:rPr>
        <w:t xml:space="preserve"> digna</w:t>
      </w:r>
      <w:r w:rsidR="00166EB6" w:rsidRPr="00354B1E">
        <w:rPr>
          <w:rFonts w:ascii="Verdana" w:hAnsi="Verdana"/>
          <w:color w:val="000000" w:themeColor="text1"/>
          <w:sz w:val="20"/>
          <w:szCs w:val="20"/>
          <w:lang w:val="es-ES"/>
        </w:rPr>
        <w:t>, integridad</w:t>
      </w:r>
      <w:r w:rsidR="00592ECE">
        <w:rPr>
          <w:rFonts w:ascii="Verdana" w:hAnsi="Verdana"/>
          <w:color w:val="000000" w:themeColor="text1"/>
          <w:sz w:val="20"/>
          <w:szCs w:val="20"/>
          <w:lang w:val="es-ES"/>
        </w:rPr>
        <w:t xml:space="preserve"> personal</w:t>
      </w:r>
      <w:r w:rsidR="00166EB6" w:rsidRPr="00354B1E">
        <w:rPr>
          <w:rFonts w:ascii="Verdana" w:hAnsi="Verdana"/>
          <w:color w:val="000000" w:themeColor="text1"/>
          <w:sz w:val="20"/>
          <w:szCs w:val="20"/>
          <w:lang w:val="es-ES"/>
        </w:rPr>
        <w:t xml:space="preserve">, niñez, acceso a la información, participación política, </w:t>
      </w:r>
      <w:r w:rsidR="00354B1E" w:rsidRPr="00354B1E">
        <w:rPr>
          <w:rFonts w:ascii="Verdana" w:hAnsi="Verdana"/>
          <w:color w:val="000000" w:themeColor="text1"/>
          <w:sz w:val="20"/>
          <w:szCs w:val="20"/>
          <w:lang w:val="es-ES"/>
        </w:rPr>
        <w:t>incumplimiento</w:t>
      </w:r>
      <w:r w:rsidR="00166EB6" w:rsidRPr="00354B1E">
        <w:rPr>
          <w:rFonts w:ascii="Verdana" w:hAnsi="Verdana"/>
          <w:color w:val="000000" w:themeColor="text1"/>
          <w:sz w:val="20"/>
          <w:szCs w:val="20"/>
          <w:lang w:val="es-ES"/>
        </w:rPr>
        <w:t xml:space="preserve"> del deber </w:t>
      </w:r>
      <w:r w:rsidR="000C29C5">
        <w:rPr>
          <w:rFonts w:ascii="Verdana" w:hAnsi="Verdana"/>
          <w:color w:val="000000" w:themeColor="text1"/>
          <w:sz w:val="20"/>
          <w:szCs w:val="20"/>
          <w:lang w:val="es-ES"/>
        </w:rPr>
        <w:t xml:space="preserve">de </w:t>
      </w:r>
      <w:r w:rsidR="00166EB6" w:rsidRPr="00354B1E">
        <w:rPr>
          <w:rFonts w:ascii="Verdana" w:hAnsi="Verdana"/>
          <w:color w:val="000000" w:themeColor="text1"/>
          <w:sz w:val="20"/>
          <w:szCs w:val="20"/>
          <w:lang w:val="es-ES"/>
        </w:rPr>
        <w:t>investigar</w:t>
      </w:r>
      <w:r w:rsidR="003F0CC3" w:rsidRPr="003F0CC3">
        <w:rPr>
          <w:rFonts w:ascii="Verdana" w:hAnsi="Verdana"/>
          <w:color w:val="000000" w:themeColor="text1"/>
          <w:sz w:val="20"/>
          <w:szCs w:val="20"/>
          <w:lang w:val="es-ES"/>
        </w:rPr>
        <w:t xml:space="preserve"> </w:t>
      </w:r>
      <w:r w:rsidR="003F0CC3">
        <w:rPr>
          <w:rFonts w:ascii="Verdana" w:hAnsi="Verdana"/>
          <w:color w:val="000000" w:themeColor="text1"/>
          <w:sz w:val="20"/>
          <w:szCs w:val="20"/>
          <w:lang w:val="es-ES"/>
        </w:rPr>
        <w:t xml:space="preserve">y </w:t>
      </w:r>
      <w:r w:rsidR="003F0CC3" w:rsidRPr="00354B1E">
        <w:rPr>
          <w:rFonts w:ascii="Verdana" w:hAnsi="Verdana"/>
          <w:color w:val="000000" w:themeColor="text1"/>
          <w:sz w:val="20"/>
          <w:szCs w:val="20"/>
          <w:lang w:val="es-ES"/>
        </w:rPr>
        <w:t xml:space="preserve">recurso judicial efectivo </w:t>
      </w:r>
      <w:r w:rsidR="00166EB6" w:rsidRPr="00354B1E">
        <w:rPr>
          <w:rFonts w:ascii="Verdana" w:hAnsi="Verdana"/>
          <w:color w:val="000000" w:themeColor="text1"/>
          <w:sz w:val="20"/>
          <w:szCs w:val="20"/>
          <w:lang w:val="es-ES"/>
        </w:rPr>
        <w:t xml:space="preserve">contenidos en los artículos </w:t>
      </w:r>
      <w:r w:rsidR="00C73D21">
        <w:rPr>
          <w:rFonts w:ascii="Verdana" w:hAnsi="Verdana"/>
          <w:color w:val="000000" w:themeColor="text1"/>
          <w:sz w:val="20"/>
          <w:szCs w:val="20"/>
          <w:lang w:val="es-ES"/>
        </w:rPr>
        <w:t xml:space="preserve">26, </w:t>
      </w:r>
      <w:r w:rsidR="00166EB6" w:rsidRPr="00354B1E">
        <w:rPr>
          <w:rFonts w:ascii="Verdana" w:hAnsi="Verdana"/>
          <w:color w:val="000000" w:themeColor="text1"/>
          <w:sz w:val="20"/>
          <w:szCs w:val="20"/>
          <w:lang w:val="es-ES"/>
        </w:rPr>
        <w:t>4</w:t>
      </w:r>
      <w:r w:rsidR="00592ECE">
        <w:rPr>
          <w:rFonts w:ascii="Verdana" w:hAnsi="Verdana"/>
          <w:color w:val="000000" w:themeColor="text1"/>
          <w:sz w:val="20"/>
          <w:szCs w:val="20"/>
          <w:lang w:val="es-ES"/>
        </w:rPr>
        <w:t>.1</w:t>
      </w:r>
      <w:r w:rsidR="00166EB6" w:rsidRPr="00354B1E">
        <w:rPr>
          <w:rFonts w:ascii="Verdana" w:hAnsi="Verdana"/>
          <w:color w:val="000000" w:themeColor="text1"/>
          <w:sz w:val="20"/>
          <w:szCs w:val="20"/>
          <w:lang w:val="es-ES"/>
        </w:rPr>
        <w:t xml:space="preserve">, 5, 13, 23, </w:t>
      </w:r>
      <w:r w:rsidR="00C73D21">
        <w:rPr>
          <w:rFonts w:ascii="Verdana" w:hAnsi="Verdana"/>
          <w:color w:val="000000" w:themeColor="text1"/>
          <w:sz w:val="20"/>
          <w:szCs w:val="20"/>
          <w:lang w:val="es-ES"/>
        </w:rPr>
        <w:t>8.1</w:t>
      </w:r>
      <w:r w:rsidR="00945BD9">
        <w:rPr>
          <w:rFonts w:ascii="Verdana" w:hAnsi="Verdana"/>
          <w:color w:val="000000" w:themeColor="text1"/>
          <w:sz w:val="20"/>
          <w:szCs w:val="20"/>
          <w:lang w:val="es-ES"/>
        </w:rPr>
        <w:t xml:space="preserve"> y 2</w:t>
      </w:r>
      <w:r w:rsidR="00166EB6" w:rsidRPr="00354B1E">
        <w:rPr>
          <w:rFonts w:ascii="Verdana" w:hAnsi="Verdana"/>
          <w:color w:val="000000" w:themeColor="text1"/>
          <w:sz w:val="20"/>
          <w:szCs w:val="20"/>
          <w:lang w:val="es-ES"/>
        </w:rPr>
        <w:t>5</w:t>
      </w:r>
      <w:r w:rsidR="00E16F61">
        <w:rPr>
          <w:rFonts w:ascii="Verdana" w:hAnsi="Verdana"/>
          <w:color w:val="000000" w:themeColor="text1"/>
          <w:sz w:val="20"/>
          <w:szCs w:val="20"/>
          <w:lang w:val="es-ES"/>
        </w:rPr>
        <w:t>,</w:t>
      </w:r>
      <w:r w:rsidR="00166EB6" w:rsidRPr="00354B1E">
        <w:rPr>
          <w:rFonts w:ascii="Verdana" w:hAnsi="Verdana"/>
          <w:color w:val="000000" w:themeColor="text1"/>
          <w:sz w:val="20"/>
          <w:szCs w:val="20"/>
          <w:lang w:val="es-ES"/>
        </w:rPr>
        <w:t xml:space="preserve"> </w:t>
      </w:r>
      <w:r w:rsidR="00C73D21">
        <w:rPr>
          <w:rFonts w:ascii="Verdana" w:hAnsi="Verdana"/>
          <w:color w:val="000000" w:themeColor="text1"/>
          <w:sz w:val="20"/>
          <w:szCs w:val="20"/>
          <w:lang w:val="es-ES"/>
        </w:rPr>
        <w:t>en relación con la</w:t>
      </w:r>
      <w:r w:rsidR="00945BD9">
        <w:rPr>
          <w:rFonts w:ascii="Verdana" w:hAnsi="Verdana"/>
          <w:color w:val="000000" w:themeColor="text1"/>
          <w:sz w:val="20"/>
          <w:szCs w:val="20"/>
          <w:lang w:val="es-ES"/>
        </w:rPr>
        <w:t>s</w:t>
      </w:r>
      <w:r w:rsidR="00C73D21">
        <w:rPr>
          <w:rFonts w:ascii="Verdana" w:hAnsi="Verdana"/>
          <w:color w:val="000000" w:themeColor="text1"/>
          <w:sz w:val="20"/>
          <w:szCs w:val="20"/>
          <w:lang w:val="es-ES"/>
        </w:rPr>
        <w:t xml:space="preserve"> obligaci</w:t>
      </w:r>
      <w:r w:rsidR="00945BD9">
        <w:rPr>
          <w:rFonts w:ascii="Verdana" w:hAnsi="Verdana"/>
          <w:color w:val="000000" w:themeColor="text1"/>
          <w:sz w:val="20"/>
          <w:szCs w:val="20"/>
          <w:lang w:val="es-ES"/>
        </w:rPr>
        <w:t>ones</w:t>
      </w:r>
      <w:r w:rsidR="00C73D21">
        <w:rPr>
          <w:rFonts w:ascii="Verdana" w:hAnsi="Verdana"/>
          <w:color w:val="000000" w:themeColor="text1"/>
          <w:sz w:val="20"/>
          <w:szCs w:val="20"/>
          <w:lang w:val="es-ES"/>
        </w:rPr>
        <w:t xml:space="preserve"> general</w:t>
      </w:r>
      <w:r w:rsidR="00945BD9">
        <w:rPr>
          <w:rFonts w:ascii="Verdana" w:hAnsi="Verdana"/>
          <w:color w:val="000000" w:themeColor="text1"/>
          <w:sz w:val="20"/>
          <w:szCs w:val="20"/>
          <w:lang w:val="es-ES"/>
        </w:rPr>
        <w:t>es</w:t>
      </w:r>
      <w:r w:rsidR="00C73D21">
        <w:rPr>
          <w:rFonts w:ascii="Verdana" w:hAnsi="Verdana"/>
          <w:color w:val="000000" w:themeColor="text1"/>
          <w:sz w:val="20"/>
          <w:szCs w:val="20"/>
          <w:lang w:val="es-ES"/>
        </w:rPr>
        <w:t xml:space="preserve"> de</w:t>
      </w:r>
      <w:r w:rsidR="00945BD9">
        <w:rPr>
          <w:rFonts w:ascii="Verdana" w:hAnsi="Verdana"/>
          <w:color w:val="000000" w:themeColor="text1"/>
          <w:sz w:val="20"/>
          <w:szCs w:val="20"/>
          <w:lang w:val="es-ES"/>
        </w:rPr>
        <w:t xml:space="preserve"> los</w:t>
      </w:r>
      <w:r w:rsidR="00C73D21">
        <w:rPr>
          <w:rFonts w:ascii="Verdana" w:hAnsi="Verdana"/>
          <w:color w:val="000000" w:themeColor="text1"/>
          <w:sz w:val="20"/>
          <w:szCs w:val="20"/>
          <w:lang w:val="es-ES"/>
        </w:rPr>
        <w:t xml:space="preserve"> artículo</w:t>
      </w:r>
      <w:r w:rsidR="00945BD9">
        <w:rPr>
          <w:rFonts w:ascii="Verdana" w:hAnsi="Verdana"/>
          <w:color w:val="000000" w:themeColor="text1"/>
          <w:sz w:val="20"/>
          <w:szCs w:val="20"/>
          <w:lang w:val="es-ES"/>
        </w:rPr>
        <w:t>s</w:t>
      </w:r>
      <w:r w:rsidR="00C73D21">
        <w:rPr>
          <w:rFonts w:ascii="Verdana" w:hAnsi="Verdana"/>
          <w:color w:val="000000" w:themeColor="text1"/>
          <w:sz w:val="20"/>
          <w:szCs w:val="20"/>
          <w:lang w:val="es-ES"/>
        </w:rPr>
        <w:t xml:space="preserve"> 1.1</w:t>
      </w:r>
      <w:r w:rsidR="00945BD9">
        <w:rPr>
          <w:rFonts w:ascii="Verdana" w:hAnsi="Verdana"/>
          <w:color w:val="000000" w:themeColor="text1"/>
          <w:sz w:val="20"/>
          <w:szCs w:val="20"/>
          <w:lang w:val="es-ES"/>
        </w:rPr>
        <w:t xml:space="preserve"> y 2 de la Convención Americana</w:t>
      </w:r>
      <w:r w:rsidR="00C34CA2" w:rsidRPr="00C34CA2">
        <w:rPr>
          <w:rFonts w:ascii="Verdana" w:hAnsi="Verdana"/>
          <w:color w:val="000000" w:themeColor="text1"/>
          <w:sz w:val="20"/>
          <w:szCs w:val="20"/>
          <w:lang w:val="es-ES"/>
        </w:rPr>
        <w:t xml:space="preserve"> </w:t>
      </w:r>
      <w:r w:rsidR="00C34CA2">
        <w:rPr>
          <w:rFonts w:ascii="Verdana" w:hAnsi="Verdana"/>
          <w:color w:val="000000" w:themeColor="text1"/>
          <w:sz w:val="20"/>
          <w:szCs w:val="20"/>
          <w:lang w:val="es-ES"/>
        </w:rPr>
        <w:t>sobre Derechos Humanos (en adelante “la Convención Americana”</w:t>
      </w:r>
      <w:r w:rsidR="00FC6A07">
        <w:rPr>
          <w:rFonts w:ascii="Verdana" w:hAnsi="Verdana"/>
          <w:color w:val="000000" w:themeColor="text1"/>
          <w:sz w:val="20"/>
          <w:szCs w:val="20"/>
          <w:lang w:val="es-ES"/>
        </w:rPr>
        <w:t xml:space="preserve"> o “</w:t>
      </w:r>
      <w:r w:rsidR="00FC6A07" w:rsidRPr="00FC6A07">
        <w:rPr>
          <w:rFonts w:ascii="Verdana" w:hAnsi="Verdana"/>
          <w:color w:val="000000" w:themeColor="text1"/>
          <w:sz w:val="20"/>
          <w:szCs w:val="20"/>
          <w:lang w:val="es-ES"/>
        </w:rPr>
        <w:t>Pacto de San José</w:t>
      </w:r>
      <w:r w:rsidR="00FC6A07">
        <w:rPr>
          <w:rFonts w:ascii="Verdana" w:hAnsi="Verdana"/>
          <w:color w:val="000000" w:themeColor="text1"/>
          <w:sz w:val="20"/>
          <w:szCs w:val="20"/>
          <w:lang w:val="es-ES"/>
        </w:rPr>
        <w:t>”</w:t>
      </w:r>
      <w:r w:rsidR="00C34CA2">
        <w:rPr>
          <w:rFonts w:ascii="Verdana" w:hAnsi="Verdana"/>
          <w:color w:val="000000" w:themeColor="text1"/>
          <w:sz w:val="20"/>
          <w:szCs w:val="20"/>
          <w:lang w:val="es-ES"/>
        </w:rPr>
        <w:t>)</w:t>
      </w:r>
      <w:r w:rsidR="00C73D21">
        <w:rPr>
          <w:rFonts w:ascii="Verdana" w:hAnsi="Verdana"/>
          <w:color w:val="000000" w:themeColor="text1"/>
          <w:sz w:val="20"/>
          <w:szCs w:val="20"/>
          <w:lang w:val="es-ES"/>
        </w:rPr>
        <w:t xml:space="preserve">, </w:t>
      </w:r>
      <w:r w:rsidR="00166EB6" w:rsidRPr="00354B1E">
        <w:rPr>
          <w:rFonts w:ascii="Verdana" w:hAnsi="Verdana"/>
          <w:color w:val="000000" w:themeColor="text1"/>
          <w:sz w:val="20"/>
          <w:szCs w:val="20"/>
          <w:lang w:val="es-ES"/>
        </w:rPr>
        <w:t xml:space="preserve">en perjuicio de </w:t>
      </w:r>
      <w:r w:rsidR="003F0CC3">
        <w:rPr>
          <w:rFonts w:ascii="Verdana" w:hAnsi="Verdana"/>
          <w:color w:val="000000" w:themeColor="text1"/>
          <w:sz w:val="20"/>
          <w:szCs w:val="20"/>
          <w:lang w:val="es-ES"/>
        </w:rPr>
        <w:t xml:space="preserve">80 </w:t>
      </w:r>
      <w:r w:rsidR="00166EB6" w:rsidRPr="00354B1E">
        <w:rPr>
          <w:rFonts w:ascii="Verdana" w:hAnsi="Verdana"/>
          <w:color w:val="000000" w:themeColor="text1"/>
          <w:sz w:val="20"/>
          <w:szCs w:val="20"/>
          <w:lang w:val="es-ES"/>
        </w:rPr>
        <w:t xml:space="preserve">habitantes de </w:t>
      </w:r>
      <w:r w:rsidR="00A606FD">
        <w:rPr>
          <w:rFonts w:ascii="Verdana" w:hAnsi="Verdana"/>
          <w:color w:val="000000" w:themeColor="text1"/>
          <w:sz w:val="20"/>
          <w:szCs w:val="20"/>
          <w:lang w:val="es-ES"/>
        </w:rPr>
        <w:t>L</w:t>
      </w:r>
      <w:r w:rsidR="00166EB6" w:rsidRPr="00354B1E">
        <w:rPr>
          <w:rFonts w:ascii="Verdana" w:hAnsi="Verdana"/>
          <w:color w:val="000000" w:themeColor="text1"/>
          <w:sz w:val="20"/>
          <w:szCs w:val="20"/>
          <w:lang w:val="es-ES"/>
        </w:rPr>
        <w:t xml:space="preserve">a </w:t>
      </w:r>
      <w:r w:rsidR="00A606FD">
        <w:rPr>
          <w:rFonts w:ascii="Verdana" w:hAnsi="Verdana"/>
          <w:color w:val="000000" w:themeColor="text1"/>
          <w:sz w:val="20"/>
          <w:szCs w:val="20"/>
          <w:lang w:val="es-ES"/>
        </w:rPr>
        <w:t>Oroya</w:t>
      </w:r>
      <w:r w:rsidR="00A975DC">
        <w:rPr>
          <w:rStyle w:val="Refdenotaalpie"/>
          <w:rFonts w:ascii="Verdana" w:hAnsi="Verdana"/>
          <w:color w:val="000000" w:themeColor="text1"/>
          <w:sz w:val="20"/>
          <w:szCs w:val="20"/>
          <w:lang w:val="es-ES"/>
        </w:rPr>
        <w:footnoteReference w:id="3"/>
      </w:r>
      <w:r w:rsidR="00A975DC">
        <w:rPr>
          <w:rFonts w:ascii="Verdana" w:hAnsi="Verdana"/>
          <w:color w:val="000000" w:themeColor="text1"/>
          <w:sz w:val="20"/>
          <w:szCs w:val="20"/>
          <w:lang w:val="es-ES"/>
        </w:rPr>
        <w:t xml:space="preserve">, </w:t>
      </w:r>
      <w:r w:rsidR="003F0CC3">
        <w:rPr>
          <w:rFonts w:ascii="Verdana" w:hAnsi="Verdana"/>
          <w:color w:val="000000" w:themeColor="text1"/>
          <w:sz w:val="20"/>
          <w:szCs w:val="20"/>
          <w:lang w:val="es-ES"/>
        </w:rPr>
        <w:t xml:space="preserve">teniendo dichas violaciones, por su naturaleza, un </w:t>
      </w:r>
      <w:r w:rsidR="00A975DC">
        <w:rPr>
          <w:rFonts w:ascii="Verdana" w:hAnsi="Verdana"/>
          <w:color w:val="000000" w:themeColor="text1"/>
          <w:sz w:val="20"/>
          <w:szCs w:val="20"/>
          <w:lang w:val="es-ES"/>
        </w:rPr>
        <w:t>“alcance colectivo”</w:t>
      </w:r>
      <w:r w:rsidR="00A975DC">
        <w:rPr>
          <w:rStyle w:val="Refdenotaalpie"/>
          <w:rFonts w:ascii="Verdana" w:hAnsi="Verdana"/>
          <w:color w:val="000000" w:themeColor="text1"/>
          <w:sz w:val="20"/>
          <w:szCs w:val="20"/>
          <w:lang w:val="es-ES"/>
        </w:rPr>
        <w:footnoteReference w:id="4"/>
      </w:r>
      <w:r w:rsidR="00166EB6" w:rsidRPr="00354B1E">
        <w:rPr>
          <w:rFonts w:ascii="Verdana" w:hAnsi="Verdana"/>
          <w:color w:val="000000" w:themeColor="text1"/>
          <w:sz w:val="20"/>
          <w:szCs w:val="20"/>
          <w:lang w:val="es-ES"/>
        </w:rPr>
        <w:t xml:space="preserve">. En el caso, la Corte IDH </w:t>
      </w:r>
      <w:r w:rsidR="00B66E5A">
        <w:rPr>
          <w:rFonts w:ascii="Verdana" w:hAnsi="Verdana"/>
          <w:color w:val="000000" w:themeColor="text1"/>
          <w:sz w:val="20"/>
          <w:szCs w:val="20"/>
          <w:lang w:val="es-ES"/>
        </w:rPr>
        <w:t>declaró</w:t>
      </w:r>
      <w:r w:rsidR="00166EB6" w:rsidRPr="00354B1E">
        <w:rPr>
          <w:rFonts w:ascii="Verdana" w:hAnsi="Verdana"/>
          <w:color w:val="000000" w:themeColor="text1"/>
          <w:sz w:val="20"/>
          <w:szCs w:val="20"/>
          <w:lang w:val="es-ES"/>
        </w:rPr>
        <w:t xml:space="preserve"> violados todos estos derechos ya que se habían afectado como </w:t>
      </w:r>
      <w:r w:rsidR="00354B1E" w:rsidRPr="00354B1E">
        <w:rPr>
          <w:rFonts w:ascii="Verdana" w:hAnsi="Verdana"/>
          <w:color w:val="000000" w:themeColor="text1"/>
          <w:sz w:val="20"/>
          <w:szCs w:val="20"/>
          <w:lang w:val="es-ES"/>
        </w:rPr>
        <w:t>consecuencia</w:t>
      </w:r>
      <w:r w:rsidR="00166EB6" w:rsidRPr="00354B1E">
        <w:rPr>
          <w:rFonts w:ascii="Verdana" w:hAnsi="Verdana"/>
          <w:color w:val="000000" w:themeColor="text1"/>
          <w:sz w:val="20"/>
          <w:szCs w:val="20"/>
          <w:lang w:val="es-ES"/>
        </w:rPr>
        <w:t xml:space="preserve"> de </w:t>
      </w:r>
      <w:r w:rsidR="0020256B">
        <w:rPr>
          <w:rFonts w:ascii="Verdana" w:hAnsi="Verdana"/>
          <w:color w:val="000000" w:themeColor="text1"/>
          <w:sz w:val="20"/>
          <w:szCs w:val="20"/>
          <w:lang w:val="es-ES"/>
        </w:rPr>
        <w:t xml:space="preserve">los </w:t>
      </w:r>
      <w:r w:rsidR="00166EB6" w:rsidRPr="00354B1E">
        <w:rPr>
          <w:rFonts w:ascii="Verdana" w:hAnsi="Verdana"/>
          <w:color w:val="000000" w:themeColor="text1"/>
          <w:sz w:val="20"/>
          <w:szCs w:val="20"/>
          <w:lang w:val="es-ES"/>
        </w:rPr>
        <w:t>a</w:t>
      </w:r>
      <w:r w:rsidR="00354B1E">
        <w:rPr>
          <w:rFonts w:ascii="Verdana" w:hAnsi="Verdana"/>
          <w:color w:val="000000" w:themeColor="text1"/>
          <w:sz w:val="20"/>
          <w:szCs w:val="20"/>
          <w:lang w:val="es-ES"/>
        </w:rPr>
        <w:t>l</w:t>
      </w:r>
      <w:r w:rsidR="00166EB6" w:rsidRPr="00354B1E">
        <w:rPr>
          <w:rFonts w:ascii="Verdana" w:hAnsi="Verdana"/>
          <w:color w:val="000000" w:themeColor="text1"/>
          <w:sz w:val="20"/>
          <w:szCs w:val="20"/>
          <w:lang w:val="es-ES"/>
        </w:rPr>
        <w:t xml:space="preserve">tos </w:t>
      </w:r>
      <w:r w:rsidR="00E16F61">
        <w:rPr>
          <w:rFonts w:ascii="Verdana" w:hAnsi="Verdana"/>
          <w:color w:val="000000" w:themeColor="text1"/>
          <w:sz w:val="20"/>
          <w:szCs w:val="20"/>
          <w:lang w:val="es-ES"/>
        </w:rPr>
        <w:t xml:space="preserve">niveles </w:t>
      </w:r>
      <w:r w:rsidR="00166EB6" w:rsidRPr="00354B1E">
        <w:rPr>
          <w:rFonts w:ascii="Verdana" w:hAnsi="Verdana"/>
          <w:color w:val="000000" w:themeColor="text1"/>
          <w:sz w:val="20"/>
          <w:szCs w:val="20"/>
          <w:lang w:val="es-ES"/>
        </w:rPr>
        <w:t xml:space="preserve">de contaminación </w:t>
      </w:r>
      <w:r w:rsidR="0020256B">
        <w:rPr>
          <w:rFonts w:ascii="Verdana" w:hAnsi="Verdana"/>
          <w:color w:val="000000" w:themeColor="text1"/>
          <w:sz w:val="20"/>
          <w:szCs w:val="20"/>
          <w:lang w:val="es-ES"/>
        </w:rPr>
        <w:t>derivados</w:t>
      </w:r>
      <w:r w:rsidR="0020256B" w:rsidRPr="00354B1E">
        <w:rPr>
          <w:rFonts w:ascii="Verdana" w:hAnsi="Verdana"/>
          <w:color w:val="000000" w:themeColor="text1"/>
          <w:sz w:val="20"/>
          <w:szCs w:val="20"/>
          <w:lang w:val="es-ES"/>
        </w:rPr>
        <w:t xml:space="preserve"> </w:t>
      </w:r>
      <w:r w:rsidR="0020256B">
        <w:rPr>
          <w:rFonts w:ascii="Verdana" w:hAnsi="Verdana"/>
          <w:color w:val="000000" w:themeColor="text1"/>
          <w:sz w:val="20"/>
          <w:szCs w:val="20"/>
          <w:lang w:val="es-ES"/>
        </w:rPr>
        <w:t>d</w:t>
      </w:r>
      <w:r w:rsidR="00166EB6" w:rsidRPr="00354B1E">
        <w:rPr>
          <w:rFonts w:ascii="Verdana" w:hAnsi="Verdana"/>
          <w:color w:val="000000" w:themeColor="text1"/>
          <w:sz w:val="20"/>
          <w:szCs w:val="20"/>
          <w:lang w:val="es-ES"/>
        </w:rPr>
        <w:t xml:space="preserve">el Complejo </w:t>
      </w:r>
      <w:r w:rsidR="00354B1E" w:rsidRPr="00354B1E">
        <w:rPr>
          <w:rFonts w:ascii="Verdana" w:hAnsi="Verdana"/>
          <w:color w:val="000000" w:themeColor="text1"/>
          <w:sz w:val="20"/>
          <w:szCs w:val="20"/>
          <w:lang w:val="es-ES"/>
        </w:rPr>
        <w:t>Metalúrgico</w:t>
      </w:r>
      <w:r w:rsidR="00166EB6" w:rsidRPr="00354B1E">
        <w:rPr>
          <w:rFonts w:ascii="Verdana" w:hAnsi="Verdana"/>
          <w:color w:val="000000" w:themeColor="text1"/>
          <w:sz w:val="20"/>
          <w:szCs w:val="20"/>
          <w:lang w:val="es-ES"/>
        </w:rPr>
        <w:t xml:space="preserve"> de </w:t>
      </w:r>
      <w:r w:rsidR="00B21C1F">
        <w:rPr>
          <w:rFonts w:ascii="Verdana" w:hAnsi="Verdana"/>
          <w:color w:val="000000" w:themeColor="text1"/>
          <w:sz w:val="20"/>
          <w:szCs w:val="20"/>
          <w:lang w:val="es-ES"/>
        </w:rPr>
        <w:t>L</w:t>
      </w:r>
      <w:r w:rsidR="00166EB6" w:rsidRPr="00354B1E">
        <w:rPr>
          <w:rFonts w:ascii="Verdana" w:hAnsi="Verdana"/>
          <w:color w:val="000000" w:themeColor="text1"/>
          <w:sz w:val="20"/>
          <w:szCs w:val="20"/>
          <w:lang w:val="es-ES"/>
        </w:rPr>
        <w:t>a Oroya</w:t>
      </w:r>
      <w:r w:rsidR="00A84638">
        <w:rPr>
          <w:rStyle w:val="Refdenotaalpie"/>
          <w:rFonts w:ascii="Verdana" w:hAnsi="Verdana"/>
          <w:color w:val="000000" w:themeColor="text1"/>
          <w:sz w:val="20"/>
          <w:szCs w:val="20"/>
          <w:lang w:val="es-ES"/>
        </w:rPr>
        <w:footnoteReference w:id="5"/>
      </w:r>
      <w:r w:rsidR="00B21C1F">
        <w:rPr>
          <w:rFonts w:ascii="Verdana" w:hAnsi="Verdana"/>
          <w:color w:val="000000" w:themeColor="text1"/>
          <w:sz w:val="20"/>
          <w:szCs w:val="20"/>
          <w:lang w:val="es-ES"/>
        </w:rPr>
        <w:t xml:space="preserve">, que implicó </w:t>
      </w:r>
      <w:r w:rsidR="00B21C1F" w:rsidRPr="002410D8">
        <w:rPr>
          <w:rFonts w:ascii="Verdana" w:eastAsia="Verdana" w:hAnsi="Verdana" w:cs="Verdana"/>
          <w:sz w:val="20"/>
          <w:szCs w:val="20"/>
          <w:lang w:val="es-ES"/>
        </w:rPr>
        <w:t>más de cien años de violaciones con riesgos de irreversibilidad</w:t>
      </w:r>
      <w:r w:rsidR="001134BA">
        <w:rPr>
          <w:rFonts w:ascii="Verdana" w:hAnsi="Verdana"/>
          <w:color w:val="000000" w:themeColor="text1"/>
          <w:sz w:val="20"/>
          <w:szCs w:val="20"/>
          <w:lang w:val="es-ES"/>
        </w:rPr>
        <w:t>. En su sentencia,</w:t>
      </w:r>
      <w:r w:rsidR="00166EB6" w:rsidRPr="00354B1E">
        <w:rPr>
          <w:rFonts w:ascii="Verdana" w:hAnsi="Verdana"/>
          <w:color w:val="000000" w:themeColor="text1"/>
          <w:sz w:val="20"/>
          <w:szCs w:val="20"/>
          <w:lang w:val="es-ES"/>
        </w:rPr>
        <w:t xml:space="preserve"> el Tribunal dio por probado </w:t>
      </w:r>
      <w:r w:rsidR="00B66E5A">
        <w:rPr>
          <w:rFonts w:ascii="Verdana" w:hAnsi="Verdana"/>
          <w:color w:val="000000" w:themeColor="text1"/>
          <w:sz w:val="20"/>
          <w:szCs w:val="20"/>
          <w:lang w:val="es-ES"/>
        </w:rPr>
        <w:t xml:space="preserve">la referida </w:t>
      </w:r>
      <w:r w:rsidR="00166EB6" w:rsidRPr="00354B1E">
        <w:rPr>
          <w:rFonts w:ascii="Verdana" w:hAnsi="Verdana"/>
          <w:color w:val="000000" w:themeColor="text1"/>
          <w:sz w:val="20"/>
          <w:szCs w:val="20"/>
          <w:lang w:val="es-ES"/>
        </w:rPr>
        <w:t xml:space="preserve">contaminación </w:t>
      </w:r>
      <w:r w:rsidR="00166EB6" w:rsidRPr="00354B1E">
        <w:rPr>
          <w:rFonts w:ascii="Verdana" w:hAnsi="Verdana"/>
          <w:color w:val="000000" w:themeColor="text1"/>
          <w:sz w:val="20"/>
          <w:szCs w:val="20"/>
          <w:lang w:val="es-ES"/>
        </w:rPr>
        <w:lastRenderedPageBreak/>
        <w:t>y que el Estado conocía est</w:t>
      </w:r>
      <w:r w:rsidR="00E16F61">
        <w:rPr>
          <w:rFonts w:ascii="Verdana" w:hAnsi="Verdana"/>
          <w:color w:val="000000" w:themeColor="text1"/>
          <w:sz w:val="20"/>
          <w:szCs w:val="20"/>
          <w:lang w:val="es-ES"/>
        </w:rPr>
        <w:t>a</w:t>
      </w:r>
      <w:r w:rsidR="00166EB6" w:rsidRPr="00354B1E">
        <w:rPr>
          <w:rFonts w:ascii="Verdana" w:hAnsi="Verdana"/>
          <w:color w:val="000000" w:themeColor="text1"/>
          <w:sz w:val="20"/>
          <w:szCs w:val="20"/>
          <w:lang w:val="es-ES"/>
        </w:rPr>
        <w:t xml:space="preserve"> situación que constituía un riesgo significativo para el ambiente y la salud de las personas</w:t>
      </w:r>
      <w:r w:rsidR="00166EB6" w:rsidRPr="00354B1E">
        <w:rPr>
          <w:rStyle w:val="Refdenotaalpie"/>
          <w:rFonts w:ascii="Verdana" w:hAnsi="Verdana"/>
          <w:color w:val="000000" w:themeColor="text1"/>
          <w:sz w:val="20"/>
          <w:szCs w:val="20"/>
          <w:lang w:val="es-ES"/>
        </w:rPr>
        <w:footnoteReference w:id="6"/>
      </w:r>
      <w:r w:rsidR="00166EB6" w:rsidRPr="00354B1E">
        <w:rPr>
          <w:rFonts w:ascii="Verdana" w:hAnsi="Verdana"/>
          <w:color w:val="000000" w:themeColor="text1"/>
          <w:sz w:val="20"/>
          <w:szCs w:val="20"/>
          <w:lang w:val="es-ES"/>
        </w:rPr>
        <w:t xml:space="preserve">. </w:t>
      </w:r>
    </w:p>
    <w:p w14:paraId="0106783C" w14:textId="77777777" w:rsidR="00166EB6" w:rsidRPr="00354B1E" w:rsidRDefault="00166EB6" w:rsidP="00166EB6">
      <w:pPr>
        <w:pStyle w:val="Prrafodelista"/>
        <w:rPr>
          <w:rFonts w:ascii="Verdana" w:hAnsi="Verdana"/>
          <w:color w:val="000000" w:themeColor="text1"/>
          <w:sz w:val="20"/>
          <w:szCs w:val="20"/>
          <w:lang w:val="es-ES"/>
        </w:rPr>
      </w:pPr>
    </w:p>
    <w:p w14:paraId="0AF8FF9D" w14:textId="7A8D1ACD" w:rsidR="00800C94" w:rsidRPr="00354B1E" w:rsidRDefault="00166EB6" w:rsidP="00800C94">
      <w:pPr>
        <w:pStyle w:val="Prrafodelista"/>
        <w:widowControl w:val="0"/>
        <w:numPr>
          <w:ilvl w:val="0"/>
          <w:numId w:val="22"/>
        </w:numPr>
        <w:autoSpaceDE w:val="0"/>
        <w:autoSpaceDN w:val="0"/>
        <w:ind w:left="0" w:firstLine="0"/>
        <w:contextualSpacing w:val="0"/>
        <w:jc w:val="both"/>
        <w:rPr>
          <w:rFonts w:ascii="Verdana" w:hAnsi="Verdana"/>
          <w:b/>
          <w:bCs/>
          <w:color w:val="000000" w:themeColor="text1"/>
          <w:sz w:val="20"/>
          <w:szCs w:val="20"/>
          <w:lang w:val="es-ES"/>
        </w:rPr>
      </w:pPr>
      <w:r w:rsidRPr="00354B1E">
        <w:rPr>
          <w:rFonts w:ascii="Verdana" w:hAnsi="Verdana"/>
          <w:color w:val="000000" w:themeColor="text1"/>
          <w:sz w:val="20"/>
          <w:szCs w:val="20"/>
          <w:lang w:val="es-ES"/>
        </w:rPr>
        <w:t>A</w:t>
      </w:r>
      <w:r w:rsidR="00F16841" w:rsidRPr="00354B1E">
        <w:rPr>
          <w:rFonts w:ascii="Verdana" w:hAnsi="Verdana"/>
          <w:color w:val="000000" w:themeColor="text1"/>
          <w:sz w:val="20"/>
          <w:szCs w:val="20"/>
          <w:lang w:val="es-ES"/>
        </w:rPr>
        <w:t xml:space="preserve"> </w:t>
      </w:r>
      <w:r w:rsidR="00E16F61">
        <w:rPr>
          <w:rFonts w:ascii="Verdana" w:hAnsi="Verdana"/>
          <w:color w:val="000000" w:themeColor="text1"/>
          <w:sz w:val="20"/>
          <w:szCs w:val="20"/>
          <w:lang w:val="es-ES"/>
        </w:rPr>
        <w:t>nuestro juicio</w:t>
      </w:r>
      <w:r w:rsidR="00F16841" w:rsidRPr="00354B1E">
        <w:rPr>
          <w:rFonts w:ascii="Verdana" w:hAnsi="Verdana"/>
          <w:color w:val="000000" w:themeColor="text1"/>
          <w:sz w:val="20"/>
          <w:szCs w:val="20"/>
          <w:lang w:val="es-ES"/>
        </w:rPr>
        <w:t xml:space="preserve">, </w:t>
      </w:r>
      <w:r w:rsidRPr="00354B1E">
        <w:rPr>
          <w:rFonts w:ascii="Verdana" w:hAnsi="Verdana"/>
          <w:color w:val="000000" w:themeColor="text1"/>
          <w:sz w:val="20"/>
          <w:szCs w:val="20"/>
          <w:lang w:val="es-ES"/>
        </w:rPr>
        <w:t xml:space="preserve">este caso </w:t>
      </w:r>
      <w:r w:rsidR="00F16841" w:rsidRPr="00354B1E">
        <w:rPr>
          <w:rFonts w:ascii="Verdana" w:hAnsi="Verdana"/>
          <w:color w:val="000000" w:themeColor="text1"/>
          <w:sz w:val="20"/>
          <w:szCs w:val="20"/>
          <w:lang w:val="es-ES"/>
        </w:rPr>
        <w:t xml:space="preserve">pone de relieve y cristaliza de manera contundente el impacto que tiene la no garantía de </w:t>
      </w:r>
      <w:r w:rsidR="00E16F61">
        <w:rPr>
          <w:rFonts w:ascii="Verdana" w:hAnsi="Verdana"/>
          <w:color w:val="000000" w:themeColor="text1"/>
          <w:sz w:val="20"/>
          <w:szCs w:val="20"/>
          <w:lang w:val="es-ES"/>
        </w:rPr>
        <w:t xml:space="preserve">los </w:t>
      </w:r>
      <w:r w:rsidR="00F16841" w:rsidRPr="00354B1E">
        <w:rPr>
          <w:rFonts w:ascii="Verdana" w:hAnsi="Verdana"/>
          <w:color w:val="000000" w:themeColor="text1"/>
          <w:sz w:val="20"/>
          <w:szCs w:val="20"/>
          <w:lang w:val="es-ES"/>
        </w:rPr>
        <w:t>derechos sociales</w:t>
      </w:r>
      <w:r w:rsidR="00E16F61">
        <w:rPr>
          <w:rFonts w:ascii="Verdana" w:hAnsi="Verdana"/>
          <w:color w:val="000000" w:themeColor="text1"/>
          <w:sz w:val="20"/>
          <w:szCs w:val="20"/>
          <w:lang w:val="es-ES"/>
        </w:rPr>
        <w:t xml:space="preserve"> —</w:t>
      </w:r>
      <w:r w:rsidR="00F16841" w:rsidRPr="00354B1E">
        <w:rPr>
          <w:rFonts w:ascii="Verdana" w:hAnsi="Verdana"/>
          <w:color w:val="000000" w:themeColor="text1"/>
          <w:sz w:val="20"/>
          <w:szCs w:val="20"/>
          <w:lang w:val="es-ES"/>
        </w:rPr>
        <w:t>como el medio ambiente y la salud</w:t>
      </w:r>
      <w:r w:rsidR="00E16F61">
        <w:rPr>
          <w:rFonts w:ascii="Verdana" w:hAnsi="Verdana"/>
          <w:color w:val="000000" w:themeColor="text1"/>
          <w:sz w:val="20"/>
          <w:szCs w:val="20"/>
          <w:lang w:val="es-ES"/>
        </w:rPr>
        <w:t>—</w:t>
      </w:r>
      <w:r w:rsidR="00F16841" w:rsidRPr="00354B1E">
        <w:rPr>
          <w:rFonts w:ascii="Verdana" w:hAnsi="Verdana"/>
          <w:color w:val="000000" w:themeColor="text1"/>
          <w:sz w:val="20"/>
          <w:szCs w:val="20"/>
          <w:lang w:val="es-ES"/>
        </w:rPr>
        <w:t xml:space="preserve"> en las personas, especialmente cuando se trata de afectaciones que se prolongan en el tiempo sin que se adopten las medidas que son adecuadas y efectivas (con base a las obligaciones ambientales). En particular, des</w:t>
      </w:r>
      <w:r w:rsidR="00E16F61">
        <w:rPr>
          <w:rFonts w:ascii="Verdana" w:hAnsi="Verdana"/>
          <w:color w:val="000000" w:themeColor="text1"/>
          <w:sz w:val="20"/>
          <w:szCs w:val="20"/>
          <w:lang w:val="es-ES"/>
        </w:rPr>
        <w:t>eamos</w:t>
      </w:r>
      <w:r w:rsidR="00F16841" w:rsidRPr="00354B1E">
        <w:rPr>
          <w:rFonts w:ascii="Verdana" w:hAnsi="Verdana"/>
          <w:color w:val="000000" w:themeColor="text1"/>
          <w:sz w:val="20"/>
          <w:szCs w:val="20"/>
          <w:lang w:val="es-ES"/>
        </w:rPr>
        <w:t xml:space="preserve"> poner de manifiesto cómo la jurisprudencia y normativa interamericana se ha ido transformando</w:t>
      </w:r>
      <w:r w:rsidR="00363421">
        <w:rPr>
          <w:rFonts w:ascii="Verdana" w:hAnsi="Verdana"/>
          <w:color w:val="000000" w:themeColor="text1"/>
          <w:sz w:val="20"/>
          <w:szCs w:val="20"/>
          <w:lang w:val="es-ES"/>
        </w:rPr>
        <w:t>, evolucionando</w:t>
      </w:r>
      <w:r w:rsidR="00F16841" w:rsidRPr="00354B1E">
        <w:rPr>
          <w:rFonts w:ascii="Verdana" w:hAnsi="Verdana"/>
          <w:color w:val="000000" w:themeColor="text1"/>
          <w:sz w:val="20"/>
          <w:szCs w:val="20"/>
          <w:lang w:val="es-ES"/>
        </w:rPr>
        <w:t xml:space="preserve"> y ampliando, de manera gradual, al grado de identificar que el derecho al medio ambiente es un derecho </w:t>
      </w:r>
      <w:r w:rsidR="00A84638">
        <w:rPr>
          <w:rFonts w:ascii="Verdana" w:hAnsi="Verdana"/>
          <w:color w:val="000000" w:themeColor="text1"/>
          <w:sz w:val="20"/>
          <w:szCs w:val="20"/>
          <w:lang w:val="es-ES"/>
        </w:rPr>
        <w:t xml:space="preserve">autónomo </w:t>
      </w:r>
      <w:r w:rsidR="00F16841" w:rsidRPr="00354B1E">
        <w:rPr>
          <w:rFonts w:ascii="Verdana" w:hAnsi="Verdana"/>
          <w:color w:val="000000" w:themeColor="text1"/>
          <w:sz w:val="20"/>
          <w:szCs w:val="20"/>
          <w:lang w:val="es-ES"/>
        </w:rPr>
        <w:t xml:space="preserve">tutelado por </w:t>
      </w:r>
      <w:r w:rsidR="000E45A5">
        <w:rPr>
          <w:rFonts w:ascii="Verdana" w:hAnsi="Verdana"/>
          <w:color w:val="000000" w:themeColor="text1"/>
          <w:sz w:val="20"/>
          <w:szCs w:val="20"/>
          <w:lang w:val="es-ES"/>
        </w:rPr>
        <w:t xml:space="preserve">el artículo 26 de </w:t>
      </w:r>
      <w:r w:rsidR="00F16841" w:rsidRPr="00354B1E">
        <w:rPr>
          <w:rFonts w:ascii="Verdana" w:hAnsi="Verdana"/>
          <w:color w:val="000000" w:themeColor="text1"/>
          <w:sz w:val="20"/>
          <w:szCs w:val="20"/>
          <w:lang w:val="es-ES"/>
        </w:rPr>
        <w:t>la Convención Americana</w:t>
      </w:r>
      <w:r w:rsidR="001134BA">
        <w:rPr>
          <w:rFonts w:ascii="Verdana" w:hAnsi="Verdana"/>
          <w:color w:val="000000" w:themeColor="text1"/>
          <w:sz w:val="20"/>
          <w:szCs w:val="20"/>
          <w:lang w:val="es-ES"/>
        </w:rPr>
        <w:t xml:space="preserve"> </w:t>
      </w:r>
      <w:r w:rsidR="000E45A5">
        <w:rPr>
          <w:rFonts w:ascii="Verdana" w:hAnsi="Verdana"/>
          <w:color w:val="000000" w:themeColor="text1"/>
          <w:sz w:val="20"/>
          <w:szCs w:val="20"/>
          <w:lang w:val="es-ES"/>
        </w:rPr>
        <w:t xml:space="preserve">—en su dimensión individual y colectiva—, y que </w:t>
      </w:r>
      <w:r w:rsidR="00F16841" w:rsidRPr="00354B1E">
        <w:rPr>
          <w:rFonts w:ascii="Verdana" w:hAnsi="Verdana"/>
          <w:color w:val="000000" w:themeColor="text1"/>
          <w:sz w:val="20"/>
          <w:szCs w:val="20"/>
          <w:lang w:val="es-ES"/>
        </w:rPr>
        <w:t xml:space="preserve">en los </w:t>
      </w:r>
      <w:r w:rsidR="00354B1E" w:rsidRPr="00354B1E">
        <w:rPr>
          <w:rFonts w:ascii="Verdana" w:hAnsi="Verdana"/>
          <w:color w:val="000000" w:themeColor="text1"/>
          <w:sz w:val="20"/>
          <w:szCs w:val="20"/>
          <w:lang w:val="es-ES"/>
        </w:rPr>
        <w:t>últimos años</w:t>
      </w:r>
      <w:r w:rsidR="00F16841" w:rsidRPr="00354B1E">
        <w:rPr>
          <w:rFonts w:ascii="Verdana" w:hAnsi="Verdana"/>
          <w:color w:val="000000" w:themeColor="text1"/>
          <w:sz w:val="20"/>
          <w:szCs w:val="20"/>
          <w:lang w:val="es-ES"/>
        </w:rPr>
        <w:t xml:space="preserve"> se ha puesto en el centro de la jurisprudencia interamericana. </w:t>
      </w:r>
    </w:p>
    <w:p w14:paraId="0D72D772" w14:textId="77777777" w:rsidR="00800C94" w:rsidRPr="00354B1E" w:rsidRDefault="00800C94" w:rsidP="00800C94">
      <w:pPr>
        <w:pStyle w:val="Prrafodelista"/>
        <w:rPr>
          <w:rFonts w:ascii="Verdana" w:hAnsi="Verdana"/>
          <w:color w:val="000000" w:themeColor="text1"/>
          <w:sz w:val="20"/>
          <w:szCs w:val="20"/>
          <w:lang w:val="es-ES"/>
        </w:rPr>
      </w:pPr>
    </w:p>
    <w:p w14:paraId="660C47C4" w14:textId="318A2C05" w:rsidR="004416AB" w:rsidRPr="008E72FA" w:rsidRDefault="00F16841" w:rsidP="00833FBD">
      <w:pPr>
        <w:pStyle w:val="Prrafodelista"/>
        <w:widowControl w:val="0"/>
        <w:numPr>
          <w:ilvl w:val="0"/>
          <w:numId w:val="22"/>
        </w:numPr>
        <w:autoSpaceDE w:val="0"/>
        <w:autoSpaceDN w:val="0"/>
        <w:ind w:left="0" w:firstLine="0"/>
        <w:contextualSpacing w:val="0"/>
        <w:jc w:val="both"/>
        <w:rPr>
          <w:rFonts w:ascii="Verdana" w:hAnsi="Verdana"/>
          <w:color w:val="000000" w:themeColor="text1"/>
          <w:sz w:val="20"/>
          <w:szCs w:val="20"/>
          <w:lang w:val="es-ES"/>
        </w:rPr>
      </w:pPr>
      <w:r w:rsidRPr="008E72FA">
        <w:rPr>
          <w:rFonts w:ascii="Verdana" w:hAnsi="Verdana"/>
          <w:color w:val="000000" w:themeColor="text1"/>
          <w:sz w:val="20"/>
          <w:szCs w:val="20"/>
          <w:lang w:val="es-ES"/>
        </w:rPr>
        <w:t>De ahí que estim</w:t>
      </w:r>
      <w:r w:rsidR="00E16F61" w:rsidRPr="008E72FA">
        <w:rPr>
          <w:rFonts w:ascii="Verdana" w:hAnsi="Verdana"/>
          <w:color w:val="000000" w:themeColor="text1"/>
          <w:sz w:val="20"/>
          <w:szCs w:val="20"/>
          <w:lang w:val="es-ES"/>
        </w:rPr>
        <w:t>amos</w:t>
      </w:r>
      <w:r w:rsidRPr="008E72FA">
        <w:rPr>
          <w:rFonts w:ascii="Verdana" w:hAnsi="Verdana"/>
          <w:color w:val="000000" w:themeColor="text1"/>
          <w:sz w:val="20"/>
          <w:szCs w:val="20"/>
          <w:lang w:val="es-ES"/>
        </w:rPr>
        <w:t xml:space="preserve"> pertinente desarrollar en el presente voto </w:t>
      </w:r>
      <w:r w:rsidR="00793679" w:rsidRPr="008E72FA">
        <w:rPr>
          <w:rFonts w:ascii="Verdana" w:hAnsi="Verdana"/>
          <w:color w:val="000000" w:themeColor="text1"/>
          <w:sz w:val="20"/>
          <w:szCs w:val="20"/>
          <w:lang w:val="es-ES"/>
        </w:rPr>
        <w:t>cinco</w:t>
      </w:r>
      <w:r w:rsidR="00E16F61" w:rsidRPr="008E72FA">
        <w:rPr>
          <w:rFonts w:ascii="Verdana" w:hAnsi="Verdana"/>
          <w:color w:val="000000" w:themeColor="text1"/>
          <w:sz w:val="20"/>
          <w:szCs w:val="20"/>
          <w:lang w:val="es-ES"/>
        </w:rPr>
        <w:t xml:space="preserve"> </w:t>
      </w:r>
      <w:r w:rsidR="00793679" w:rsidRPr="008E72FA">
        <w:rPr>
          <w:rFonts w:ascii="Verdana" w:hAnsi="Verdana"/>
          <w:color w:val="000000" w:themeColor="text1"/>
          <w:sz w:val="20"/>
          <w:szCs w:val="20"/>
          <w:lang w:val="es-ES"/>
        </w:rPr>
        <w:t>ámbitos relacionados con el derecho al medio ambiente y su impacto en las generaciones presentes y futuras.</w:t>
      </w:r>
      <w:r w:rsidRPr="008E72FA">
        <w:rPr>
          <w:rFonts w:ascii="Verdana" w:hAnsi="Verdana"/>
          <w:color w:val="000000" w:themeColor="text1"/>
          <w:sz w:val="20"/>
          <w:szCs w:val="20"/>
          <w:lang w:val="es-ES"/>
        </w:rPr>
        <w:t xml:space="preserve"> Por una parte, </w:t>
      </w:r>
      <w:r w:rsidR="00793679" w:rsidRPr="008E72FA">
        <w:rPr>
          <w:rFonts w:ascii="Verdana" w:hAnsi="Verdana"/>
          <w:color w:val="000000" w:themeColor="text1"/>
          <w:sz w:val="20"/>
          <w:szCs w:val="20"/>
          <w:lang w:val="es-ES"/>
        </w:rPr>
        <w:t xml:space="preserve">(i) </w:t>
      </w:r>
      <w:r w:rsidRPr="008E72FA">
        <w:rPr>
          <w:rFonts w:ascii="Verdana" w:hAnsi="Verdana"/>
          <w:color w:val="000000" w:themeColor="text1"/>
          <w:sz w:val="20"/>
          <w:szCs w:val="20"/>
          <w:lang w:val="es-ES"/>
        </w:rPr>
        <w:t xml:space="preserve">visibilizar </w:t>
      </w:r>
      <w:r w:rsidR="00166EB6" w:rsidRPr="008E72FA">
        <w:rPr>
          <w:rFonts w:ascii="Verdana" w:hAnsi="Verdana"/>
          <w:color w:val="000000" w:themeColor="text1"/>
          <w:sz w:val="20"/>
          <w:szCs w:val="20"/>
          <w:lang w:val="es-ES"/>
        </w:rPr>
        <w:t>cómo este fallo se inserta en un contexto que he</w:t>
      </w:r>
      <w:r w:rsidR="00793679" w:rsidRPr="008E72FA">
        <w:rPr>
          <w:rFonts w:ascii="Verdana" w:hAnsi="Verdana"/>
          <w:color w:val="000000" w:themeColor="text1"/>
          <w:sz w:val="20"/>
          <w:szCs w:val="20"/>
          <w:lang w:val="es-ES"/>
        </w:rPr>
        <w:t>mos</w:t>
      </w:r>
      <w:r w:rsidR="00166EB6" w:rsidRPr="008E72FA">
        <w:rPr>
          <w:rFonts w:ascii="Verdana" w:hAnsi="Verdana"/>
          <w:color w:val="000000" w:themeColor="text1"/>
          <w:sz w:val="20"/>
          <w:szCs w:val="20"/>
          <w:lang w:val="es-ES"/>
        </w:rPr>
        <w:t xml:space="preserve"> denominado “verde” en el derecho internacional de los derechos humanos</w:t>
      </w:r>
      <w:r w:rsidR="007F790E" w:rsidRPr="008E72FA">
        <w:rPr>
          <w:rFonts w:ascii="Verdana" w:hAnsi="Verdana"/>
          <w:color w:val="000000" w:themeColor="text1"/>
          <w:sz w:val="20"/>
          <w:szCs w:val="20"/>
          <w:lang w:val="es-ES"/>
        </w:rPr>
        <w:t xml:space="preserve"> (</w:t>
      </w:r>
      <w:r w:rsidR="002E4A42" w:rsidRPr="008E72FA">
        <w:rPr>
          <w:rFonts w:ascii="Verdana" w:hAnsi="Verdana"/>
          <w:i/>
          <w:iCs/>
          <w:color w:val="000000" w:themeColor="text1"/>
          <w:sz w:val="20"/>
          <w:szCs w:val="20"/>
          <w:lang w:val="es-ES"/>
        </w:rPr>
        <w:t xml:space="preserve">infra </w:t>
      </w:r>
      <w:r w:rsidR="007F790E" w:rsidRPr="008E72FA">
        <w:rPr>
          <w:rFonts w:ascii="Verdana" w:hAnsi="Verdana"/>
          <w:i/>
          <w:iCs/>
          <w:color w:val="000000" w:themeColor="text1"/>
          <w:sz w:val="20"/>
          <w:szCs w:val="20"/>
          <w:u w:val="single"/>
          <w:lang w:val="es-ES"/>
        </w:rPr>
        <w:t>párrs. 6 a 15</w:t>
      </w:r>
      <w:r w:rsidR="007F790E" w:rsidRPr="008E72FA">
        <w:rPr>
          <w:rFonts w:ascii="Verdana" w:hAnsi="Verdana"/>
          <w:color w:val="000000" w:themeColor="text1"/>
          <w:sz w:val="20"/>
          <w:szCs w:val="20"/>
          <w:lang w:val="es-ES"/>
        </w:rPr>
        <w:t>)</w:t>
      </w:r>
      <w:r w:rsidR="00166EB6" w:rsidRPr="008E72FA">
        <w:rPr>
          <w:rFonts w:ascii="Verdana" w:hAnsi="Verdana"/>
          <w:color w:val="000000" w:themeColor="text1"/>
          <w:sz w:val="20"/>
          <w:szCs w:val="20"/>
          <w:lang w:val="es-ES"/>
        </w:rPr>
        <w:t xml:space="preserve">. En segundo lugar, </w:t>
      </w:r>
      <w:r w:rsidR="00793679" w:rsidRPr="008E72FA">
        <w:rPr>
          <w:rFonts w:ascii="Verdana" w:hAnsi="Verdana"/>
          <w:color w:val="000000" w:themeColor="text1"/>
          <w:sz w:val="20"/>
          <w:szCs w:val="20"/>
          <w:lang w:val="es-ES"/>
        </w:rPr>
        <w:t xml:space="preserve">(ii) </w:t>
      </w:r>
      <w:r w:rsidR="00354B1E" w:rsidRPr="008E72FA">
        <w:rPr>
          <w:rFonts w:ascii="Verdana" w:hAnsi="Verdana"/>
          <w:color w:val="000000" w:themeColor="text1"/>
          <w:sz w:val="20"/>
          <w:szCs w:val="20"/>
          <w:lang w:val="es-ES"/>
        </w:rPr>
        <w:t>la evolución</w:t>
      </w:r>
      <w:r w:rsidR="00166EB6" w:rsidRPr="008E72FA">
        <w:rPr>
          <w:rFonts w:ascii="Verdana" w:hAnsi="Verdana"/>
          <w:color w:val="000000" w:themeColor="text1"/>
          <w:sz w:val="20"/>
          <w:szCs w:val="20"/>
          <w:lang w:val="es-ES"/>
        </w:rPr>
        <w:t xml:space="preserve"> de la jurisprudencia </w:t>
      </w:r>
      <w:r w:rsidR="0055554A" w:rsidRPr="008E72FA">
        <w:rPr>
          <w:rFonts w:ascii="Verdana" w:hAnsi="Verdana"/>
          <w:color w:val="000000" w:themeColor="text1"/>
          <w:sz w:val="20"/>
          <w:szCs w:val="20"/>
          <w:lang w:val="es-ES"/>
        </w:rPr>
        <w:t xml:space="preserve">interamericana </w:t>
      </w:r>
      <w:r w:rsidR="00166EB6" w:rsidRPr="008E72FA">
        <w:rPr>
          <w:rFonts w:ascii="Verdana" w:hAnsi="Verdana"/>
          <w:color w:val="000000" w:themeColor="text1"/>
          <w:sz w:val="20"/>
          <w:szCs w:val="20"/>
          <w:lang w:val="es-ES"/>
        </w:rPr>
        <w:t xml:space="preserve">sobre medio ambiente </w:t>
      </w:r>
      <w:r w:rsidR="007F790E" w:rsidRPr="008E72FA">
        <w:rPr>
          <w:rFonts w:ascii="Verdana" w:hAnsi="Verdana"/>
          <w:color w:val="000000" w:themeColor="text1"/>
          <w:sz w:val="20"/>
          <w:szCs w:val="20"/>
          <w:lang w:val="es-ES"/>
        </w:rPr>
        <w:t>(</w:t>
      </w:r>
      <w:r w:rsidR="002E4A42" w:rsidRPr="008E72FA">
        <w:rPr>
          <w:rFonts w:ascii="Verdana" w:hAnsi="Verdana"/>
          <w:i/>
          <w:iCs/>
          <w:color w:val="000000" w:themeColor="text1"/>
          <w:sz w:val="20"/>
          <w:szCs w:val="20"/>
          <w:lang w:val="es-ES"/>
        </w:rPr>
        <w:t xml:space="preserve">infra </w:t>
      </w:r>
      <w:r w:rsidR="007F790E" w:rsidRPr="008E72FA">
        <w:rPr>
          <w:rFonts w:ascii="Verdana" w:hAnsi="Verdana"/>
          <w:i/>
          <w:iCs/>
          <w:color w:val="000000" w:themeColor="text1"/>
          <w:sz w:val="20"/>
          <w:szCs w:val="20"/>
          <w:u w:val="single"/>
          <w:lang w:val="es-ES"/>
        </w:rPr>
        <w:t xml:space="preserve">párrs. 16 a </w:t>
      </w:r>
      <w:r w:rsidR="0055554A" w:rsidRPr="008E72FA">
        <w:rPr>
          <w:rFonts w:ascii="Verdana" w:hAnsi="Verdana"/>
          <w:i/>
          <w:iCs/>
          <w:color w:val="000000" w:themeColor="text1"/>
          <w:sz w:val="20"/>
          <w:szCs w:val="20"/>
          <w:u w:val="single"/>
          <w:lang w:val="es-ES"/>
        </w:rPr>
        <w:t>37</w:t>
      </w:r>
      <w:r w:rsidR="007F790E" w:rsidRPr="008E72FA">
        <w:rPr>
          <w:rFonts w:ascii="Verdana" w:hAnsi="Verdana"/>
          <w:color w:val="000000" w:themeColor="text1"/>
          <w:sz w:val="20"/>
          <w:szCs w:val="20"/>
          <w:lang w:val="es-ES"/>
        </w:rPr>
        <w:t>)</w:t>
      </w:r>
      <w:r w:rsidR="00166EB6" w:rsidRPr="008E72FA">
        <w:rPr>
          <w:rFonts w:ascii="Verdana" w:hAnsi="Verdana"/>
          <w:color w:val="000000" w:themeColor="text1"/>
          <w:sz w:val="20"/>
          <w:szCs w:val="20"/>
          <w:lang w:val="es-ES"/>
        </w:rPr>
        <w:t xml:space="preserve">. </w:t>
      </w:r>
      <w:r w:rsidR="00E16F61" w:rsidRPr="008E72FA">
        <w:rPr>
          <w:rFonts w:ascii="Verdana" w:hAnsi="Verdana"/>
          <w:color w:val="000000" w:themeColor="text1"/>
          <w:sz w:val="20"/>
          <w:szCs w:val="20"/>
          <w:lang w:val="es-ES"/>
        </w:rPr>
        <w:t xml:space="preserve">En tercer término, </w:t>
      </w:r>
      <w:r w:rsidR="00793679" w:rsidRPr="008E72FA">
        <w:rPr>
          <w:rFonts w:ascii="Verdana" w:hAnsi="Verdana"/>
          <w:color w:val="000000" w:themeColor="text1"/>
          <w:sz w:val="20"/>
          <w:szCs w:val="20"/>
          <w:lang w:val="es-ES"/>
        </w:rPr>
        <w:t xml:space="preserve">(iii) </w:t>
      </w:r>
      <w:r w:rsidR="00166EB6" w:rsidRPr="008E72FA">
        <w:rPr>
          <w:rFonts w:ascii="Verdana" w:hAnsi="Verdana"/>
          <w:color w:val="000000" w:themeColor="text1"/>
          <w:sz w:val="20"/>
          <w:szCs w:val="20"/>
          <w:lang w:val="es-ES"/>
        </w:rPr>
        <w:t xml:space="preserve">destacar </w:t>
      </w:r>
      <w:r w:rsidR="00354B1E" w:rsidRPr="008E72FA">
        <w:rPr>
          <w:rFonts w:ascii="Verdana" w:hAnsi="Verdana"/>
          <w:color w:val="000000" w:themeColor="text1"/>
          <w:sz w:val="20"/>
          <w:szCs w:val="20"/>
          <w:lang w:val="es-ES"/>
        </w:rPr>
        <w:t>algunos aspectos</w:t>
      </w:r>
      <w:r w:rsidR="00166EB6" w:rsidRPr="008E72FA">
        <w:rPr>
          <w:rFonts w:ascii="Verdana" w:hAnsi="Verdana"/>
          <w:color w:val="000000" w:themeColor="text1"/>
          <w:sz w:val="20"/>
          <w:szCs w:val="20"/>
          <w:lang w:val="es-ES"/>
        </w:rPr>
        <w:t xml:space="preserve"> en materia de medio ambiente</w:t>
      </w:r>
      <w:r w:rsidR="00363421" w:rsidRPr="008E72FA">
        <w:rPr>
          <w:rFonts w:ascii="Verdana" w:hAnsi="Verdana"/>
          <w:color w:val="000000" w:themeColor="text1"/>
          <w:sz w:val="20"/>
          <w:szCs w:val="20"/>
          <w:lang w:val="es-ES"/>
        </w:rPr>
        <w:t xml:space="preserve"> </w:t>
      </w:r>
      <w:r w:rsidR="00166EB6" w:rsidRPr="008E72FA">
        <w:rPr>
          <w:rFonts w:ascii="Verdana" w:hAnsi="Verdana"/>
          <w:color w:val="000000" w:themeColor="text1"/>
          <w:sz w:val="20"/>
          <w:szCs w:val="20"/>
          <w:lang w:val="es-ES"/>
        </w:rPr>
        <w:t xml:space="preserve">que </w:t>
      </w:r>
      <w:r w:rsidR="00363421" w:rsidRPr="008E72FA">
        <w:rPr>
          <w:rFonts w:ascii="Verdana" w:hAnsi="Verdana"/>
          <w:color w:val="000000" w:themeColor="text1"/>
          <w:sz w:val="20"/>
          <w:szCs w:val="20"/>
          <w:lang w:val="es-ES"/>
        </w:rPr>
        <w:t>se abordan en la sentencia</w:t>
      </w:r>
      <w:r w:rsidR="007F790E" w:rsidRPr="008E72FA">
        <w:rPr>
          <w:rFonts w:ascii="Verdana" w:hAnsi="Verdana"/>
          <w:color w:val="000000" w:themeColor="text1"/>
          <w:sz w:val="20"/>
          <w:szCs w:val="20"/>
          <w:lang w:val="es-ES"/>
        </w:rPr>
        <w:t xml:space="preserve"> (</w:t>
      </w:r>
      <w:r w:rsidR="002E4A42" w:rsidRPr="008E72FA">
        <w:rPr>
          <w:rFonts w:ascii="Verdana" w:hAnsi="Verdana"/>
          <w:i/>
          <w:iCs/>
          <w:color w:val="000000" w:themeColor="text1"/>
          <w:sz w:val="20"/>
          <w:szCs w:val="20"/>
          <w:lang w:val="es-ES"/>
        </w:rPr>
        <w:t xml:space="preserve">infra </w:t>
      </w:r>
      <w:r w:rsidR="007F790E" w:rsidRPr="008E72FA">
        <w:rPr>
          <w:rFonts w:ascii="Verdana" w:hAnsi="Verdana"/>
          <w:i/>
          <w:iCs/>
          <w:color w:val="000000" w:themeColor="text1"/>
          <w:sz w:val="20"/>
          <w:szCs w:val="20"/>
          <w:u w:val="single"/>
          <w:lang w:val="es-ES"/>
        </w:rPr>
        <w:t xml:space="preserve">párrs. </w:t>
      </w:r>
      <w:r w:rsidR="0055554A" w:rsidRPr="008E72FA">
        <w:rPr>
          <w:rFonts w:ascii="Verdana" w:hAnsi="Verdana"/>
          <w:i/>
          <w:iCs/>
          <w:color w:val="000000" w:themeColor="text1"/>
          <w:sz w:val="20"/>
          <w:szCs w:val="20"/>
          <w:u w:val="single"/>
          <w:lang w:val="es-ES"/>
        </w:rPr>
        <w:t>38</w:t>
      </w:r>
      <w:r w:rsidR="007F790E" w:rsidRPr="008E72FA">
        <w:rPr>
          <w:rFonts w:ascii="Verdana" w:hAnsi="Verdana"/>
          <w:i/>
          <w:iCs/>
          <w:color w:val="000000" w:themeColor="text1"/>
          <w:sz w:val="20"/>
          <w:szCs w:val="20"/>
          <w:u w:val="single"/>
          <w:lang w:val="es-ES"/>
        </w:rPr>
        <w:t xml:space="preserve"> a </w:t>
      </w:r>
      <w:r w:rsidR="0055554A" w:rsidRPr="008E72FA">
        <w:rPr>
          <w:rFonts w:ascii="Verdana" w:hAnsi="Verdana"/>
          <w:i/>
          <w:iCs/>
          <w:color w:val="000000" w:themeColor="text1"/>
          <w:sz w:val="20"/>
          <w:szCs w:val="20"/>
          <w:u w:val="single"/>
          <w:lang w:val="es-ES"/>
        </w:rPr>
        <w:t>45</w:t>
      </w:r>
      <w:r w:rsidR="007F790E" w:rsidRPr="008E72FA">
        <w:rPr>
          <w:rFonts w:ascii="Verdana" w:hAnsi="Verdana"/>
          <w:color w:val="000000" w:themeColor="text1"/>
          <w:sz w:val="20"/>
          <w:szCs w:val="20"/>
          <w:lang w:val="es-ES"/>
        </w:rPr>
        <w:t>)</w:t>
      </w:r>
      <w:r w:rsidR="00166EB6" w:rsidRPr="008E72FA">
        <w:rPr>
          <w:rFonts w:ascii="Verdana" w:hAnsi="Verdana"/>
          <w:color w:val="000000" w:themeColor="text1"/>
          <w:sz w:val="20"/>
          <w:szCs w:val="20"/>
          <w:lang w:val="es-ES"/>
        </w:rPr>
        <w:t xml:space="preserve">. </w:t>
      </w:r>
      <w:r w:rsidR="00E16F61" w:rsidRPr="008E72FA">
        <w:rPr>
          <w:rFonts w:ascii="Verdana" w:hAnsi="Verdana"/>
          <w:color w:val="000000" w:themeColor="text1"/>
          <w:sz w:val="20"/>
          <w:szCs w:val="20"/>
          <w:lang w:val="es-ES"/>
        </w:rPr>
        <w:t>En cuarto lugar,</w:t>
      </w:r>
      <w:r w:rsidR="00793679" w:rsidRPr="008E72FA">
        <w:rPr>
          <w:rFonts w:ascii="Verdana" w:hAnsi="Verdana"/>
          <w:color w:val="000000" w:themeColor="text1"/>
          <w:sz w:val="20"/>
          <w:szCs w:val="20"/>
          <w:lang w:val="es-ES"/>
        </w:rPr>
        <w:t xml:space="preserve"> (iv) </w:t>
      </w:r>
      <w:r w:rsidR="00833FBD" w:rsidRPr="008E72FA">
        <w:rPr>
          <w:rFonts w:ascii="Verdana" w:hAnsi="Verdana"/>
          <w:color w:val="000000" w:themeColor="text1"/>
          <w:sz w:val="20"/>
          <w:szCs w:val="20"/>
          <w:lang w:val="es-ES"/>
        </w:rPr>
        <w:t xml:space="preserve">visibilizar la </w:t>
      </w:r>
      <w:r w:rsidR="00F847B6" w:rsidRPr="008E72FA">
        <w:rPr>
          <w:rFonts w:ascii="Verdana" w:hAnsi="Verdana"/>
          <w:color w:val="000000" w:themeColor="text1"/>
          <w:sz w:val="20"/>
          <w:szCs w:val="20"/>
          <w:lang w:val="es-ES"/>
        </w:rPr>
        <w:t>dimensión</w:t>
      </w:r>
      <w:r w:rsidR="00833FBD" w:rsidRPr="008E72FA">
        <w:rPr>
          <w:rFonts w:ascii="Verdana" w:hAnsi="Verdana"/>
          <w:color w:val="000000" w:themeColor="text1"/>
          <w:sz w:val="20"/>
          <w:szCs w:val="20"/>
          <w:lang w:val="es-ES"/>
        </w:rPr>
        <w:t xml:space="preserve"> colectiva de este derecho</w:t>
      </w:r>
      <w:r w:rsidR="00F847B6" w:rsidRPr="008E72FA">
        <w:rPr>
          <w:rFonts w:ascii="Verdana" w:hAnsi="Verdana"/>
          <w:color w:val="000000" w:themeColor="text1"/>
          <w:sz w:val="20"/>
          <w:szCs w:val="20"/>
          <w:lang w:val="es-ES"/>
        </w:rPr>
        <w:t xml:space="preserve"> y su relevancia en materia de reparaciones colectivas y de no repetición</w:t>
      </w:r>
      <w:r w:rsidR="007F790E" w:rsidRPr="008E72FA">
        <w:rPr>
          <w:rFonts w:ascii="Verdana" w:hAnsi="Verdana"/>
          <w:color w:val="000000" w:themeColor="text1"/>
          <w:sz w:val="20"/>
          <w:szCs w:val="20"/>
          <w:lang w:val="es-ES"/>
        </w:rPr>
        <w:t xml:space="preserve"> (</w:t>
      </w:r>
      <w:r w:rsidR="002E4A42" w:rsidRPr="008E72FA">
        <w:rPr>
          <w:rFonts w:ascii="Verdana" w:hAnsi="Verdana"/>
          <w:i/>
          <w:iCs/>
          <w:color w:val="000000" w:themeColor="text1"/>
          <w:sz w:val="20"/>
          <w:szCs w:val="20"/>
          <w:lang w:val="es-ES"/>
        </w:rPr>
        <w:t xml:space="preserve">infra </w:t>
      </w:r>
      <w:r w:rsidR="007F790E" w:rsidRPr="008E72FA">
        <w:rPr>
          <w:rFonts w:ascii="Verdana" w:hAnsi="Verdana"/>
          <w:i/>
          <w:iCs/>
          <w:color w:val="000000" w:themeColor="text1"/>
          <w:sz w:val="20"/>
          <w:szCs w:val="20"/>
          <w:u w:val="single"/>
          <w:lang w:val="es-ES"/>
        </w:rPr>
        <w:t xml:space="preserve">párrs. </w:t>
      </w:r>
      <w:r w:rsidR="0055554A" w:rsidRPr="008E72FA">
        <w:rPr>
          <w:rFonts w:ascii="Verdana" w:hAnsi="Verdana"/>
          <w:i/>
          <w:iCs/>
          <w:color w:val="000000" w:themeColor="text1"/>
          <w:sz w:val="20"/>
          <w:szCs w:val="20"/>
          <w:u w:val="single"/>
          <w:lang w:val="es-ES"/>
        </w:rPr>
        <w:t>46</w:t>
      </w:r>
      <w:r w:rsidR="007F790E" w:rsidRPr="008E72FA">
        <w:rPr>
          <w:rFonts w:ascii="Verdana" w:hAnsi="Verdana"/>
          <w:i/>
          <w:iCs/>
          <w:color w:val="000000" w:themeColor="text1"/>
          <w:sz w:val="20"/>
          <w:szCs w:val="20"/>
          <w:u w:val="single"/>
          <w:lang w:val="es-ES"/>
        </w:rPr>
        <w:t xml:space="preserve"> a </w:t>
      </w:r>
      <w:r w:rsidR="0055554A" w:rsidRPr="008E72FA">
        <w:rPr>
          <w:rFonts w:ascii="Verdana" w:hAnsi="Verdana"/>
          <w:i/>
          <w:iCs/>
          <w:color w:val="000000" w:themeColor="text1"/>
          <w:sz w:val="20"/>
          <w:szCs w:val="20"/>
          <w:u w:val="single"/>
          <w:lang w:val="es-ES"/>
        </w:rPr>
        <w:t>70</w:t>
      </w:r>
      <w:r w:rsidR="007F790E" w:rsidRPr="008E72FA">
        <w:rPr>
          <w:rFonts w:ascii="Verdana" w:hAnsi="Verdana"/>
          <w:color w:val="000000" w:themeColor="text1"/>
          <w:sz w:val="20"/>
          <w:szCs w:val="20"/>
          <w:lang w:val="es-ES"/>
        </w:rPr>
        <w:t>)</w:t>
      </w:r>
      <w:r w:rsidR="00833FBD" w:rsidRPr="008E72FA">
        <w:rPr>
          <w:rFonts w:ascii="Verdana" w:hAnsi="Verdana"/>
          <w:color w:val="000000" w:themeColor="text1"/>
          <w:sz w:val="20"/>
          <w:szCs w:val="20"/>
          <w:lang w:val="es-ES"/>
        </w:rPr>
        <w:t xml:space="preserve">. En quinto término, </w:t>
      </w:r>
      <w:r w:rsidR="00F847B6" w:rsidRPr="008E72FA">
        <w:rPr>
          <w:rFonts w:ascii="Verdana" w:hAnsi="Verdana"/>
          <w:color w:val="000000" w:themeColor="text1"/>
          <w:sz w:val="20"/>
          <w:szCs w:val="20"/>
          <w:lang w:val="es-ES"/>
        </w:rPr>
        <w:t xml:space="preserve">(v) destacar </w:t>
      </w:r>
      <w:r w:rsidR="00ED3E9D" w:rsidRPr="008E72FA">
        <w:rPr>
          <w:rFonts w:ascii="Verdana" w:hAnsi="Verdana"/>
          <w:color w:val="000000" w:themeColor="text1"/>
          <w:sz w:val="20"/>
          <w:szCs w:val="20"/>
          <w:lang w:val="es-ES"/>
        </w:rPr>
        <w:t xml:space="preserve">el carácter </w:t>
      </w:r>
      <w:r w:rsidR="00ED3E9D" w:rsidRPr="008E72FA">
        <w:rPr>
          <w:rFonts w:ascii="Verdana" w:hAnsi="Verdana"/>
          <w:i/>
          <w:iCs/>
          <w:color w:val="000000" w:themeColor="text1"/>
          <w:sz w:val="20"/>
          <w:szCs w:val="20"/>
          <w:lang w:val="es-ES"/>
        </w:rPr>
        <w:t>de jus cogens</w:t>
      </w:r>
      <w:r w:rsidR="00ED3E9D" w:rsidRPr="008E72FA">
        <w:rPr>
          <w:rFonts w:ascii="Verdana" w:hAnsi="Verdana"/>
          <w:color w:val="000000" w:themeColor="text1"/>
          <w:sz w:val="20"/>
          <w:szCs w:val="20"/>
          <w:lang w:val="es-ES"/>
        </w:rPr>
        <w:t xml:space="preserve"> de la protección del medio ambiente y profundizar en el principio de equidad intergeneracional</w:t>
      </w:r>
      <w:r w:rsidR="007F790E" w:rsidRPr="008E72FA">
        <w:rPr>
          <w:rFonts w:ascii="Verdana" w:hAnsi="Verdana"/>
          <w:color w:val="000000" w:themeColor="text1"/>
          <w:sz w:val="20"/>
          <w:szCs w:val="20"/>
          <w:lang w:val="es-ES"/>
        </w:rPr>
        <w:t xml:space="preserve"> (</w:t>
      </w:r>
      <w:r w:rsidR="002E4A42" w:rsidRPr="008E72FA">
        <w:rPr>
          <w:rFonts w:ascii="Verdana" w:hAnsi="Verdana"/>
          <w:i/>
          <w:iCs/>
          <w:color w:val="000000" w:themeColor="text1"/>
          <w:sz w:val="20"/>
          <w:szCs w:val="20"/>
          <w:lang w:val="es-ES"/>
        </w:rPr>
        <w:t xml:space="preserve">infra </w:t>
      </w:r>
      <w:r w:rsidR="007F790E" w:rsidRPr="008E72FA">
        <w:rPr>
          <w:rFonts w:ascii="Verdana" w:hAnsi="Verdana"/>
          <w:i/>
          <w:iCs/>
          <w:color w:val="000000" w:themeColor="text1"/>
          <w:sz w:val="20"/>
          <w:szCs w:val="20"/>
          <w:u w:val="single"/>
          <w:lang w:val="es-ES"/>
        </w:rPr>
        <w:t xml:space="preserve">párrs. </w:t>
      </w:r>
      <w:r w:rsidR="0055554A" w:rsidRPr="008E72FA">
        <w:rPr>
          <w:rFonts w:ascii="Verdana" w:hAnsi="Verdana"/>
          <w:i/>
          <w:iCs/>
          <w:color w:val="000000" w:themeColor="text1"/>
          <w:sz w:val="20"/>
          <w:szCs w:val="20"/>
          <w:u w:val="single"/>
          <w:lang w:val="es-ES"/>
        </w:rPr>
        <w:t>71</w:t>
      </w:r>
      <w:r w:rsidR="007F790E" w:rsidRPr="008E72FA">
        <w:rPr>
          <w:rFonts w:ascii="Verdana" w:hAnsi="Verdana"/>
          <w:i/>
          <w:iCs/>
          <w:color w:val="000000" w:themeColor="text1"/>
          <w:sz w:val="20"/>
          <w:szCs w:val="20"/>
          <w:u w:val="single"/>
          <w:lang w:val="es-ES"/>
        </w:rPr>
        <w:t xml:space="preserve"> a </w:t>
      </w:r>
      <w:r w:rsidR="0055554A" w:rsidRPr="008E72FA">
        <w:rPr>
          <w:rFonts w:ascii="Verdana" w:hAnsi="Verdana"/>
          <w:i/>
          <w:iCs/>
          <w:color w:val="000000" w:themeColor="text1"/>
          <w:sz w:val="20"/>
          <w:szCs w:val="20"/>
          <w:u w:val="single"/>
          <w:lang w:val="es-ES"/>
        </w:rPr>
        <w:t>16</w:t>
      </w:r>
      <w:r w:rsidR="00B854B6" w:rsidRPr="008E72FA">
        <w:rPr>
          <w:rFonts w:ascii="Verdana" w:hAnsi="Verdana"/>
          <w:i/>
          <w:iCs/>
          <w:color w:val="000000" w:themeColor="text1"/>
          <w:sz w:val="20"/>
          <w:szCs w:val="20"/>
          <w:u w:val="single"/>
          <w:lang w:val="es-ES"/>
        </w:rPr>
        <w:t>0</w:t>
      </w:r>
      <w:r w:rsidR="007F790E" w:rsidRPr="008E72FA">
        <w:rPr>
          <w:rFonts w:ascii="Verdana" w:hAnsi="Verdana"/>
          <w:color w:val="000000" w:themeColor="text1"/>
          <w:sz w:val="20"/>
          <w:szCs w:val="20"/>
          <w:lang w:val="es-ES"/>
        </w:rPr>
        <w:t>)</w:t>
      </w:r>
      <w:r w:rsidR="00793679" w:rsidRPr="008E72FA">
        <w:rPr>
          <w:rFonts w:ascii="Verdana" w:hAnsi="Verdana"/>
          <w:color w:val="000000" w:themeColor="text1"/>
          <w:sz w:val="20"/>
          <w:szCs w:val="20"/>
          <w:lang w:val="es-ES"/>
        </w:rPr>
        <w:t xml:space="preserve">. Finalmente, se </w:t>
      </w:r>
      <w:r w:rsidR="00FE602F" w:rsidRPr="008E72FA">
        <w:rPr>
          <w:rFonts w:ascii="Verdana" w:hAnsi="Verdana"/>
          <w:color w:val="000000" w:themeColor="text1"/>
          <w:sz w:val="20"/>
          <w:szCs w:val="20"/>
          <w:lang w:val="es-ES"/>
        </w:rPr>
        <w:t>expondrán</w:t>
      </w:r>
      <w:r w:rsidR="00793679" w:rsidRPr="008E72FA">
        <w:rPr>
          <w:rFonts w:ascii="Verdana" w:hAnsi="Verdana"/>
          <w:color w:val="000000" w:themeColor="text1"/>
          <w:sz w:val="20"/>
          <w:szCs w:val="20"/>
          <w:lang w:val="es-ES"/>
        </w:rPr>
        <w:t xml:space="preserve"> unas conclusiones generales</w:t>
      </w:r>
      <w:r w:rsidR="007F790E" w:rsidRPr="008E72FA">
        <w:rPr>
          <w:rFonts w:ascii="Verdana" w:hAnsi="Verdana"/>
          <w:color w:val="000000" w:themeColor="text1"/>
          <w:sz w:val="20"/>
          <w:szCs w:val="20"/>
          <w:lang w:val="es-ES"/>
        </w:rPr>
        <w:t xml:space="preserve"> (</w:t>
      </w:r>
      <w:r w:rsidR="002E4A42" w:rsidRPr="008E72FA">
        <w:rPr>
          <w:rFonts w:ascii="Verdana" w:hAnsi="Verdana"/>
          <w:i/>
          <w:iCs/>
          <w:color w:val="000000" w:themeColor="text1"/>
          <w:sz w:val="20"/>
          <w:szCs w:val="20"/>
          <w:lang w:val="es-ES"/>
        </w:rPr>
        <w:t xml:space="preserve">infra </w:t>
      </w:r>
      <w:r w:rsidR="007F790E" w:rsidRPr="008E72FA">
        <w:rPr>
          <w:rFonts w:ascii="Verdana" w:hAnsi="Verdana"/>
          <w:i/>
          <w:iCs/>
          <w:color w:val="000000" w:themeColor="text1"/>
          <w:sz w:val="20"/>
          <w:szCs w:val="20"/>
          <w:u w:val="single"/>
          <w:lang w:val="es-ES"/>
        </w:rPr>
        <w:t xml:space="preserve">párrs. </w:t>
      </w:r>
      <w:r w:rsidR="0055554A" w:rsidRPr="008E72FA">
        <w:rPr>
          <w:rFonts w:ascii="Verdana" w:hAnsi="Verdana"/>
          <w:i/>
          <w:iCs/>
          <w:color w:val="000000" w:themeColor="text1"/>
          <w:sz w:val="20"/>
          <w:szCs w:val="20"/>
          <w:u w:val="single"/>
          <w:lang w:val="es-ES"/>
        </w:rPr>
        <w:t>16</w:t>
      </w:r>
      <w:r w:rsidR="00B854B6" w:rsidRPr="008E72FA">
        <w:rPr>
          <w:rFonts w:ascii="Verdana" w:hAnsi="Verdana"/>
          <w:i/>
          <w:iCs/>
          <w:color w:val="000000" w:themeColor="text1"/>
          <w:sz w:val="20"/>
          <w:szCs w:val="20"/>
          <w:u w:val="single"/>
          <w:lang w:val="es-ES"/>
        </w:rPr>
        <w:t>1</w:t>
      </w:r>
      <w:r w:rsidR="007F790E" w:rsidRPr="008E72FA">
        <w:rPr>
          <w:rFonts w:ascii="Verdana" w:hAnsi="Verdana"/>
          <w:i/>
          <w:iCs/>
          <w:color w:val="000000" w:themeColor="text1"/>
          <w:sz w:val="20"/>
          <w:szCs w:val="20"/>
          <w:u w:val="single"/>
          <w:lang w:val="es-ES"/>
        </w:rPr>
        <w:t xml:space="preserve"> a </w:t>
      </w:r>
      <w:r w:rsidR="0055554A" w:rsidRPr="008E72FA">
        <w:rPr>
          <w:rFonts w:ascii="Verdana" w:hAnsi="Verdana"/>
          <w:i/>
          <w:iCs/>
          <w:color w:val="000000" w:themeColor="text1"/>
          <w:sz w:val="20"/>
          <w:szCs w:val="20"/>
          <w:u w:val="single"/>
          <w:lang w:val="es-ES"/>
        </w:rPr>
        <w:t>17</w:t>
      </w:r>
      <w:r w:rsidR="00B854B6" w:rsidRPr="008E72FA">
        <w:rPr>
          <w:rFonts w:ascii="Verdana" w:hAnsi="Verdana"/>
          <w:i/>
          <w:iCs/>
          <w:color w:val="000000" w:themeColor="text1"/>
          <w:sz w:val="20"/>
          <w:szCs w:val="20"/>
          <w:u w:val="single"/>
          <w:lang w:val="es-ES"/>
        </w:rPr>
        <w:t>7</w:t>
      </w:r>
      <w:r w:rsidR="007F790E" w:rsidRPr="008E72FA">
        <w:rPr>
          <w:rFonts w:ascii="Verdana" w:hAnsi="Verdana"/>
          <w:color w:val="000000" w:themeColor="text1"/>
          <w:sz w:val="20"/>
          <w:szCs w:val="20"/>
          <w:lang w:val="es-ES"/>
        </w:rPr>
        <w:t>)</w:t>
      </w:r>
      <w:r w:rsidR="00793679" w:rsidRPr="008E72FA">
        <w:rPr>
          <w:rFonts w:ascii="Verdana" w:hAnsi="Verdana"/>
          <w:color w:val="000000" w:themeColor="text1"/>
          <w:sz w:val="20"/>
          <w:szCs w:val="20"/>
          <w:lang w:val="es-ES"/>
        </w:rPr>
        <w:t>.</w:t>
      </w:r>
    </w:p>
    <w:p w14:paraId="4DC6EF6B" w14:textId="77777777" w:rsidR="004416AB" w:rsidRPr="000430E4" w:rsidRDefault="004416AB" w:rsidP="004416AB">
      <w:pPr>
        <w:pStyle w:val="Prrafodelista"/>
        <w:ind w:left="0"/>
        <w:jc w:val="both"/>
        <w:rPr>
          <w:rFonts w:ascii="Verdana" w:hAnsi="Verdana"/>
          <w:sz w:val="20"/>
          <w:szCs w:val="20"/>
          <w:lang w:val="es-ES"/>
        </w:rPr>
      </w:pPr>
    </w:p>
    <w:p w14:paraId="442A1C8C" w14:textId="18A2A04D" w:rsidR="004416AB" w:rsidRPr="00FE602F" w:rsidRDefault="004416AB" w:rsidP="00A0298F">
      <w:pPr>
        <w:spacing w:line="276" w:lineRule="auto"/>
        <w:jc w:val="center"/>
        <w:rPr>
          <w:rFonts w:ascii="Verdana" w:hAnsi="Verdana"/>
          <w:b/>
          <w:sz w:val="20"/>
          <w:szCs w:val="20"/>
          <w:lang w:val="es-ES"/>
        </w:rPr>
      </w:pPr>
      <w:r w:rsidRPr="000430E4">
        <w:rPr>
          <w:rFonts w:ascii="Verdana" w:hAnsi="Verdana"/>
          <w:b/>
          <w:sz w:val="20"/>
          <w:szCs w:val="20"/>
          <w:lang w:val="es-ES"/>
        </w:rPr>
        <w:t>I. “UN CONTEXTO VERDE”: UNA RADIOGRAFIA DE LOS SISTEMAS</w:t>
      </w:r>
      <w:r w:rsidRPr="00FE602F">
        <w:rPr>
          <w:rFonts w:ascii="Verdana" w:hAnsi="Verdana"/>
          <w:b/>
          <w:sz w:val="20"/>
          <w:szCs w:val="20"/>
          <w:lang w:val="es-ES"/>
        </w:rPr>
        <w:t xml:space="preserve"> INTERNACIONALES DE PROTECCIÓN DE DERECHOS HUMANOS SOBRE EL MEDIO AMBIENTE Y EL CAMBIO CLIMÁTICO</w:t>
      </w:r>
    </w:p>
    <w:p w14:paraId="00EAA0DE" w14:textId="77777777" w:rsidR="004416AB" w:rsidRPr="00354B1E" w:rsidRDefault="004416AB" w:rsidP="004416AB">
      <w:pPr>
        <w:pStyle w:val="Prrafodelista"/>
        <w:ind w:left="0"/>
        <w:jc w:val="both"/>
        <w:rPr>
          <w:rFonts w:ascii="Verdana" w:hAnsi="Verdana"/>
          <w:sz w:val="20"/>
          <w:szCs w:val="20"/>
          <w:lang w:val="es-ES"/>
        </w:rPr>
      </w:pPr>
    </w:p>
    <w:p w14:paraId="3C1F8099" w14:textId="6B2A357A" w:rsidR="00DB0CC6" w:rsidRPr="00E16F61" w:rsidRDefault="00363421" w:rsidP="00E16F61">
      <w:pPr>
        <w:jc w:val="both"/>
        <w:rPr>
          <w:rFonts w:ascii="Verdana" w:hAnsi="Verdana"/>
          <w:sz w:val="20"/>
          <w:szCs w:val="20"/>
          <w:lang w:val="es-ES"/>
        </w:rPr>
      </w:pPr>
      <w:r>
        <w:rPr>
          <w:rFonts w:ascii="Verdana" w:hAnsi="Verdana"/>
          <w:sz w:val="20"/>
          <w:szCs w:val="20"/>
          <w:lang w:val="es-ES" w:eastAsia="es-ES"/>
        </w:rPr>
        <w:t>6</w:t>
      </w:r>
      <w:r w:rsidR="00E16F61">
        <w:rPr>
          <w:rFonts w:ascii="Verdana" w:hAnsi="Verdana"/>
          <w:sz w:val="20"/>
          <w:szCs w:val="20"/>
          <w:lang w:val="es-ES" w:eastAsia="es-ES"/>
        </w:rPr>
        <w:t xml:space="preserve">. </w:t>
      </w:r>
      <w:r w:rsidR="00E16F61">
        <w:rPr>
          <w:rFonts w:ascii="Verdana" w:hAnsi="Verdana"/>
          <w:sz w:val="20"/>
          <w:szCs w:val="20"/>
          <w:lang w:val="es-ES" w:eastAsia="es-ES"/>
        </w:rPr>
        <w:tab/>
      </w:r>
      <w:r w:rsidR="00CE37DA" w:rsidRPr="00E16F61">
        <w:rPr>
          <w:rFonts w:ascii="Verdana" w:hAnsi="Verdana"/>
          <w:sz w:val="20"/>
          <w:szCs w:val="20"/>
          <w:lang w:val="es-ES" w:eastAsia="es-ES"/>
        </w:rPr>
        <w:t xml:space="preserve">Durante los últimos años el derecho nacional y el derecho internacional de los derechos humanos han centrado su atención en una problemática que ya no solo se queda aislada en un espacio geográfico de nuestro planeta: las afectaciones al medio ambiente y su impacto en el cambio climático. </w:t>
      </w:r>
      <w:r w:rsidR="00CE37DA" w:rsidRPr="00E16F61">
        <w:rPr>
          <w:rFonts w:ascii="Verdana" w:hAnsi="Verdana"/>
          <w:sz w:val="20"/>
          <w:szCs w:val="20"/>
          <w:lang w:val="es-ES"/>
        </w:rPr>
        <w:t>Al realizar una radiografía del derecho internacional actual, podemos constatar la existencia de un derecho que podemos denominar “verde”.</w:t>
      </w:r>
    </w:p>
    <w:p w14:paraId="2A435ACD" w14:textId="74FF2570" w:rsidR="00DB0CC6" w:rsidRPr="00354B1E" w:rsidRDefault="00DB0CC6" w:rsidP="006B7EA6">
      <w:pPr>
        <w:pStyle w:val="Prrafodelista"/>
        <w:ind w:left="0"/>
        <w:jc w:val="both"/>
        <w:rPr>
          <w:rFonts w:ascii="Verdana" w:eastAsia="Times New Roman" w:hAnsi="Verdana"/>
          <w:sz w:val="20"/>
          <w:szCs w:val="20"/>
          <w:lang w:val="es-ES" w:eastAsia="es-ES"/>
        </w:rPr>
      </w:pPr>
    </w:p>
    <w:p w14:paraId="7B4C3803" w14:textId="09E3CB4D" w:rsidR="00DB0CC6" w:rsidRPr="00354B1E" w:rsidRDefault="00B87990" w:rsidP="006B7EA6">
      <w:pPr>
        <w:pStyle w:val="Prrafodelista"/>
        <w:ind w:left="0"/>
        <w:jc w:val="both"/>
        <w:rPr>
          <w:rFonts w:ascii="Verdana" w:hAnsi="Verdana"/>
          <w:i/>
          <w:iCs/>
          <w:sz w:val="20"/>
          <w:szCs w:val="20"/>
          <w:u w:val="single"/>
          <w:lang w:val="es-ES"/>
        </w:rPr>
      </w:pPr>
      <w:r w:rsidRPr="00354B1E">
        <w:rPr>
          <w:rFonts w:ascii="Verdana" w:eastAsia="Times New Roman" w:hAnsi="Verdana"/>
          <w:i/>
          <w:iCs/>
          <w:sz w:val="20"/>
          <w:szCs w:val="20"/>
          <w:u w:val="single"/>
          <w:lang w:val="es-ES" w:eastAsia="es-ES"/>
        </w:rPr>
        <w:t xml:space="preserve">I.1. </w:t>
      </w:r>
      <w:r w:rsidR="00DB0CC6" w:rsidRPr="00354B1E">
        <w:rPr>
          <w:rFonts w:ascii="Verdana" w:eastAsia="Times New Roman" w:hAnsi="Verdana"/>
          <w:i/>
          <w:iCs/>
          <w:sz w:val="20"/>
          <w:szCs w:val="20"/>
          <w:u w:val="single"/>
          <w:lang w:val="es-ES" w:eastAsia="es-ES"/>
        </w:rPr>
        <w:t>Sistema de Naciones Unidas</w:t>
      </w:r>
    </w:p>
    <w:p w14:paraId="2C531F75" w14:textId="77777777" w:rsidR="00BB12B3" w:rsidRPr="00354B1E" w:rsidRDefault="00BB12B3" w:rsidP="006B7EA6">
      <w:pPr>
        <w:pStyle w:val="Prrafodelista"/>
        <w:ind w:left="0"/>
        <w:jc w:val="both"/>
        <w:rPr>
          <w:rFonts w:ascii="Verdana" w:hAnsi="Verdana"/>
          <w:sz w:val="20"/>
          <w:szCs w:val="20"/>
          <w:lang w:val="es-ES"/>
        </w:rPr>
      </w:pPr>
    </w:p>
    <w:p w14:paraId="714AA1DC" w14:textId="71225AA1" w:rsidR="00800C94" w:rsidRPr="00354B1E" w:rsidRDefault="00363421" w:rsidP="00164BBE">
      <w:pPr>
        <w:pStyle w:val="Prrafodelista"/>
        <w:ind w:left="0"/>
        <w:jc w:val="both"/>
        <w:rPr>
          <w:rFonts w:ascii="Verdana" w:hAnsi="Verdana" w:cs="Calibri"/>
          <w:sz w:val="20"/>
          <w:szCs w:val="20"/>
          <w:lang w:val="es-ES"/>
        </w:rPr>
      </w:pPr>
      <w:r>
        <w:rPr>
          <w:rFonts w:ascii="Verdana" w:hAnsi="Verdana"/>
          <w:sz w:val="20"/>
          <w:szCs w:val="20"/>
          <w:lang w:val="es-ES"/>
        </w:rPr>
        <w:t>7</w:t>
      </w:r>
      <w:r w:rsidR="00164BBE">
        <w:rPr>
          <w:rFonts w:ascii="Verdana" w:hAnsi="Verdana"/>
          <w:sz w:val="20"/>
          <w:szCs w:val="20"/>
          <w:lang w:val="es-ES"/>
        </w:rPr>
        <w:t xml:space="preserve">. </w:t>
      </w:r>
      <w:r w:rsidR="00164BBE">
        <w:rPr>
          <w:rFonts w:ascii="Verdana" w:hAnsi="Verdana"/>
          <w:sz w:val="20"/>
          <w:szCs w:val="20"/>
          <w:lang w:val="es-ES"/>
        </w:rPr>
        <w:tab/>
      </w:r>
      <w:r w:rsidR="00800C94" w:rsidRPr="00354B1E">
        <w:rPr>
          <w:rFonts w:ascii="Verdana" w:hAnsi="Verdana"/>
          <w:sz w:val="20"/>
          <w:szCs w:val="20"/>
          <w:lang w:val="es-ES"/>
        </w:rPr>
        <w:t>E</w:t>
      </w:r>
      <w:r w:rsidR="00BB12B3" w:rsidRPr="00354B1E">
        <w:rPr>
          <w:rFonts w:ascii="Verdana" w:hAnsi="Verdana"/>
          <w:sz w:val="20"/>
          <w:szCs w:val="20"/>
          <w:lang w:val="es-ES"/>
        </w:rPr>
        <w:t xml:space="preserve">n el caso del Sistema Universal de Derechos Humanos, un punto de inflexión ocurrió en el año 2022 cuando la Asamblea General de las Naciones </w:t>
      </w:r>
      <w:r w:rsidR="003D3392" w:rsidRPr="00354B1E">
        <w:rPr>
          <w:rFonts w:ascii="Verdana" w:hAnsi="Verdana"/>
          <w:sz w:val="20"/>
          <w:szCs w:val="20"/>
          <w:lang w:val="es-ES"/>
        </w:rPr>
        <w:t>Unidas reconoció</w:t>
      </w:r>
      <w:r w:rsidR="00BB12B3" w:rsidRPr="00354B1E">
        <w:rPr>
          <w:rFonts w:ascii="Verdana" w:hAnsi="Verdana"/>
          <w:sz w:val="20"/>
          <w:szCs w:val="20"/>
          <w:lang w:val="es-ES"/>
        </w:rPr>
        <w:t xml:space="preserve"> “el derecho a un medio ambiente limpio, saludable y sostenible como un derecho humano”</w:t>
      </w:r>
      <w:r w:rsidR="00BB12B3" w:rsidRPr="00354B1E">
        <w:rPr>
          <w:rStyle w:val="Refdenotaalpie"/>
          <w:rFonts w:ascii="Verdana" w:hAnsi="Verdana"/>
          <w:sz w:val="20"/>
          <w:szCs w:val="20"/>
          <w:lang w:val="es-ES"/>
        </w:rPr>
        <w:footnoteReference w:id="7"/>
      </w:r>
      <w:r w:rsidR="00BB12B3" w:rsidRPr="00354B1E">
        <w:rPr>
          <w:rFonts w:ascii="Verdana" w:hAnsi="Verdana"/>
          <w:sz w:val="20"/>
          <w:szCs w:val="20"/>
          <w:lang w:val="es-ES"/>
        </w:rPr>
        <w:t xml:space="preserve">. </w:t>
      </w:r>
    </w:p>
    <w:p w14:paraId="786365DF" w14:textId="77777777" w:rsidR="00800C94" w:rsidRPr="00354B1E" w:rsidRDefault="00800C94" w:rsidP="00800C94">
      <w:pPr>
        <w:pStyle w:val="Prrafodelista"/>
        <w:ind w:left="0"/>
        <w:jc w:val="both"/>
        <w:rPr>
          <w:rFonts w:ascii="Verdana" w:hAnsi="Verdana" w:cs="Calibri"/>
          <w:sz w:val="20"/>
          <w:szCs w:val="20"/>
          <w:lang w:val="es-ES"/>
        </w:rPr>
      </w:pPr>
    </w:p>
    <w:p w14:paraId="47A3E669" w14:textId="2A6CAF72" w:rsidR="003D3392" w:rsidRPr="00354B1E" w:rsidRDefault="0041792F" w:rsidP="0041792F">
      <w:pPr>
        <w:pStyle w:val="Prrafodelista"/>
        <w:ind w:left="0"/>
        <w:jc w:val="both"/>
        <w:rPr>
          <w:rFonts w:ascii="Verdana" w:hAnsi="Verdana" w:cs="Calibri"/>
          <w:sz w:val="20"/>
          <w:szCs w:val="20"/>
          <w:lang w:val="es-ES"/>
        </w:rPr>
      </w:pPr>
      <w:r>
        <w:rPr>
          <w:rFonts w:ascii="Verdana" w:hAnsi="Verdana"/>
          <w:sz w:val="20"/>
          <w:szCs w:val="20"/>
          <w:lang w:val="es-ES"/>
        </w:rPr>
        <w:t xml:space="preserve">8. </w:t>
      </w:r>
      <w:r>
        <w:rPr>
          <w:rFonts w:ascii="Verdana" w:hAnsi="Verdana"/>
          <w:sz w:val="20"/>
          <w:szCs w:val="20"/>
          <w:lang w:val="es-ES"/>
        </w:rPr>
        <w:tab/>
      </w:r>
      <w:r w:rsidR="00BB12B3" w:rsidRPr="00354B1E">
        <w:rPr>
          <w:rFonts w:ascii="Verdana" w:hAnsi="Verdana"/>
          <w:sz w:val="20"/>
          <w:szCs w:val="20"/>
          <w:lang w:val="es-ES"/>
        </w:rPr>
        <w:t xml:space="preserve">Este paso no fue en </w:t>
      </w:r>
      <w:r w:rsidR="003D3392" w:rsidRPr="00354B1E">
        <w:rPr>
          <w:rFonts w:ascii="Verdana" w:hAnsi="Verdana"/>
          <w:sz w:val="20"/>
          <w:szCs w:val="20"/>
          <w:lang w:val="es-ES"/>
        </w:rPr>
        <w:t>aislado,</w:t>
      </w:r>
      <w:r w:rsidR="00BB12B3" w:rsidRPr="00354B1E">
        <w:rPr>
          <w:rFonts w:ascii="Verdana" w:hAnsi="Verdana"/>
          <w:sz w:val="20"/>
          <w:szCs w:val="20"/>
          <w:lang w:val="es-ES"/>
        </w:rPr>
        <w:t xml:space="preserve"> sino que cristalizó la paulatina evolución de este derecho y que, en diferentes jurisdicciones regionales internacionales de derechos humanos se había avanzado en la materia. Por ejemplo, en el mismo seno de Naciones </w:t>
      </w:r>
      <w:r w:rsidR="00BB12B3" w:rsidRPr="00354B1E">
        <w:rPr>
          <w:rFonts w:ascii="Verdana" w:hAnsi="Verdana" w:cs="Calibri"/>
          <w:sz w:val="20"/>
          <w:szCs w:val="20"/>
          <w:lang w:val="es-ES"/>
        </w:rPr>
        <w:t xml:space="preserve">Unidas el Comité de los Derechos del </w:t>
      </w:r>
      <w:r w:rsidR="003D3392" w:rsidRPr="00354B1E">
        <w:rPr>
          <w:rFonts w:ascii="Verdana" w:hAnsi="Verdana" w:cs="Calibri"/>
          <w:sz w:val="20"/>
          <w:szCs w:val="20"/>
          <w:lang w:val="es-ES"/>
        </w:rPr>
        <w:t>Niño,</w:t>
      </w:r>
      <w:r w:rsidR="00BB12B3" w:rsidRPr="00354B1E">
        <w:rPr>
          <w:rFonts w:ascii="Verdana" w:hAnsi="Verdana" w:cs="Calibri"/>
          <w:sz w:val="20"/>
          <w:szCs w:val="20"/>
          <w:lang w:val="es-ES"/>
        </w:rPr>
        <w:t xml:space="preserve"> </w:t>
      </w:r>
      <w:r w:rsidR="003D3392" w:rsidRPr="00354B1E">
        <w:rPr>
          <w:rFonts w:ascii="Verdana" w:hAnsi="Verdana" w:cs="Calibri"/>
          <w:sz w:val="20"/>
          <w:szCs w:val="20"/>
          <w:lang w:val="es-ES"/>
        </w:rPr>
        <w:t>aunque no ha entrado en el fondo de</w:t>
      </w:r>
      <w:r w:rsidR="0043034F">
        <w:rPr>
          <w:rFonts w:ascii="Verdana" w:hAnsi="Verdana" w:cs="Calibri"/>
          <w:sz w:val="20"/>
          <w:szCs w:val="20"/>
          <w:lang w:val="es-ES"/>
        </w:rPr>
        <w:t>l</w:t>
      </w:r>
      <w:r w:rsidR="003D3392" w:rsidRPr="00354B1E">
        <w:rPr>
          <w:rFonts w:ascii="Verdana" w:hAnsi="Verdana" w:cs="Calibri"/>
          <w:sz w:val="20"/>
          <w:szCs w:val="20"/>
          <w:lang w:val="es-ES"/>
        </w:rPr>
        <w:t xml:space="preserve"> asunto sobre la materia</w:t>
      </w:r>
      <w:r>
        <w:rPr>
          <w:rFonts w:ascii="Verdana" w:hAnsi="Verdana" w:cs="Calibri"/>
          <w:sz w:val="20"/>
          <w:szCs w:val="20"/>
          <w:lang w:val="es-ES"/>
        </w:rPr>
        <w:t>,</w:t>
      </w:r>
      <w:r w:rsidR="003D3392" w:rsidRPr="00354B1E">
        <w:rPr>
          <w:rFonts w:ascii="Verdana" w:hAnsi="Verdana" w:cs="Calibri"/>
          <w:sz w:val="20"/>
          <w:szCs w:val="20"/>
          <w:lang w:val="es-ES"/>
        </w:rPr>
        <w:t xml:space="preserve"> s</w:t>
      </w:r>
      <w:r w:rsidR="0043034F">
        <w:rPr>
          <w:rFonts w:ascii="Verdana" w:hAnsi="Verdana" w:cs="Calibri"/>
          <w:sz w:val="20"/>
          <w:szCs w:val="20"/>
          <w:lang w:val="es-ES"/>
        </w:rPr>
        <w:t>í</w:t>
      </w:r>
      <w:r w:rsidR="003D3392" w:rsidRPr="00354B1E">
        <w:rPr>
          <w:rFonts w:ascii="Verdana" w:hAnsi="Verdana" w:cs="Calibri"/>
          <w:sz w:val="20"/>
          <w:szCs w:val="20"/>
          <w:lang w:val="es-ES"/>
        </w:rPr>
        <w:t xml:space="preserve"> ha dejado </w:t>
      </w:r>
      <w:r w:rsidR="002E4A42">
        <w:rPr>
          <w:rFonts w:ascii="Verdana" w:hAnsi="Verdana" w:cs="Calibri"/>
          <w:sz w:val="20"/>
          <w:szCs w:val="20"/>
          <w:lang w:val="es-ES"/>
        </w:rPr>
        <w:t>entre</w:t>
      </w:r>
      <w:r w:rsidR="003D3392" w:rsidRPr="00354B1E">
        <w:rPr>
          <w:rFonts w:ascii="Verdana" w:hAnsi="Verdana" w:cs="Calibri"/>
          <w:sz w:val="20"/>
          <w:szCs w:val="20"/>
          <w:lang w:val="es-ES"/>
        </w:rPr>
        <w:t xml:space="preserve">ver que </w:t>
      </w:r>
      <w:r w:rsidR="002E4A42">
        <w:rPr>
          <w:rFonts w:ascii="Verdana" w:hAnsi="Verdana" w:cs="Calibri"/>
          <w:sz w:val="20"/>
          <w:szCs w:val="20"/>
          <w:lang w:val="es-ES"/>
        </w:rPr>
        <w:t>el</w:t>
      </w:r>
      <w:r w:rsidR="003D3392" w:rsidRPr="00354B1E">
        <w:rPr>
          <w:rFonts w:ascii="Verdana" w:hAnsi="Verdana" w:cs="Calibri"/>
          <w:sz w:val="20"/>
          <w:szCs w:val="20"/>
          <w:lang w:val="es-ES"/>
        </w:rPr>
        <w:t xml:space="preserve"> derecho </w:t>
      </w:r>
      <w:r w:rsidR="002E4A42">
        <w:rPr>
          <w:rFonts w:ascii="Verdana" w:hAnsi="Verdana" w:cs="Calibri"/>
          <w:sz w:val="20"/>
          <w:szCs w:val="20"/>
          <w:lang w:val="es-ES"/>
        </w:rPr>
        <w:t xml:space="preserve">al medio ambiente </w:t>
      </w:r>
      <w:r w:rsidR="003D3392" w:rsidRPr="00354B1E">
        <w:rPr>
          <w:rFonts w:ascii="Verdana" w:hAnsi="Verdana" w:cs="Calibri"/>
          <w:sz w:val="20"/>
          <w:szCs w:val="20"/>
          <w:lang w:val="es-ES"/>
        </w:rPr>
        <w:t xml:space="preserve">puede ser </w:t>
      </w:r>
      <w:r w:rsidR="002E4A42" w:rsidRPr="00354B1E">
        <w:rPr>
          <w:rFonts w:ascii="Verdana" w:hAnsi="Verdana" w:cs="Calibri"/>
          <w:sz w:val="20"/>
          <w:szCs w:val="20"/>
          <w:lang w:val="es-ES"/>
        </w:rPr>
        <w:t xml:space="preserve">potencialmente </w:t>
      </w:r>
      <w:r w:rsidR="003D3392" w:rsidRPr="00354B1E">
        <w:rPr>
          <w:rFonts w:ascii="Verdana" w:hAnsi="Verdana" w:cs="Calibri"/>
          <w:sz w:val="20"/>
          <w:szCs w:val="20"/>
          <w:lang w:val="es-ES"/>
        </w:rPr>
        <w:t xml:space="preserve">analizado desde la Convención sobre </w:t>
      </w:r>
      <w:r>
        <w:rPr>
          <w:rFonts w:ascii="Verdana" w:hAnsi="Verdana" w:cs="Calibri"/>
          <w:sz w:val="20"/>
          <w:szCs w:val="20"/>
          <w:lang w:val="es-ES"/>
        </w:rPr>
        <w:t>los derechos de la niñez</w:t>
      </w:r>
      <w:r w:rsidR="0010371E" w:rsidRPr="00354B1E">
        <w:rPr>
          <w:rStyle w:val="Refdenotaalpie"/>
          <w:rFonts w:ascii="Verdana" w:hAnsi="Verdana" w:cs="Calibri"/>
          <w:sz w:val="20"/>
          <w:szCs w:val="20"/>
          <w:lang w:val="es-ES"/>
        </w:rPr>
        <w:footnoteReference w:id="8"/>
      </w:r>
      <w:r w:rsidR="003D3392" w:rsidRPr="00354B1E">
        <w:rPr>
          <w:rFonts w:ascii="Verdana" w:hAnsi="Verdana" w:cs="Calibri"/>
          <w:sz w:val="20"/>
          <w:szCs w:val="20"/>
          <w:lang w:val="es-ES"/>
        </w:rPr>
        <w:t xml:space="preserve">. De igual forma, el Comité de Derechos Humanos ha tenido recientes pronunciamientos que dan cuenta, de forma indirecta, que las afectaciones al medio ambiente </w:t>
      </w:r>
      <w:r w:rsidR="00EB3A0C">
        <w:rPr>
          <w:rFonts w:ascii="Verdana" w:hAnsi="Verdana" w:cs="Calibri"/>
          <w:sz w:val="20"/>
          <w:szCs w:val="20"/>
          <w:lang w:val="es-ES"/>
        </w:rPr>
        <w:t>podrían tener</w:t>
      </w:r>
      <w:r w:rsidR="00EB3A0C" w:rsidRPr="00354B1E">
        <w:rPr>
          <w:rFonts w:ascii="Verdana" w:hAnsi="Verdana" w:cs="Calibri"/>
          <w:sz w:val="20"/>
          <w:szCs w:val="20"/>
          <w:lang w:val="es-ES"/>
        </w:rPr>
        <w:t xml:space="preserve"> </w:t>
      </w:r>
      <w:r w:rsidR="003D3392" w:rsidRPr="00354B1E">
        <w:rPr>
          <w:rFonts w:ascii="Verdana" w:hAnsi="Verdana" w:cs="Calibri"/>
          <w:sz w:val="20"/>
          <w:szCs w:val="20"/>
          <w:lang w:val="es-ES"/>
        </w:rPr>
        <w:t>un impacto en derechos protegidos por el Pacto Internacional de Derechos Civiles y Políticos</w:t>
      </w:r>
      <w:r w:rsidR="00800C94" w:rsidRPr="00354B1E">
        <w:rPr>
          <w:rStyle w:val="Refdenotaalpie"/>
          <w:rFonts w:ascii="Verdana" w:hAnsi="Verdana" w:cs="Calibri"/>
          <w:sz w:val="20"/>
          <w:szCs w:val="20"/>
          <w:lang w:val="es-ES"/>
        </w:rPr>
        <w:footnoteReference w:id="9"/>
      </w:r>
      <w:r w:rsidR="003D3392" w:rsidRPr="00354B1E">
        <w:rPr>
          <w:rFonts w:ascii="Verdana" w:hAnsi="Verdana" w:cs="Calibri"/>
          <w:sz w:val="20"/>
          <w:szCs w:val="20"/>
          <w:lang w:val="es-ES"/>
        </w:rPr>
        <w:t xml:space="preserve">. </w:t>
      </w:r>
    </w:p>
    <w:p w14:paraId="535D0BB7" w14:textId="77777777" w:rsidR="003D3392" w:rsidRPr="00354B1E" w:rsidRDefault="003D3392" w:rsidP="006B7EA6">
      <w:pPr>
        <w:pStyle w:val="Prrafodelista"/>
        <w:jc w:val="both"/>
        <w:rPr>
          <w:rFonts w:ascii="Verdana" w:hAnsi="Verdana" w:cs="Calibri"/>
          <w:sz w:val="20"/>
          <w:szCs w:val="20"/>
          <w:lang w:val="es-ES"/>
        </w:rPr>
      </w:pPr>
    </w:p>
    <w:p w14:paraId="387AA01B" w14:textId="0710EEFD" w:rsidR="003D3392" w:rsidRPr="00354B1E" w:rsidRDefault="0041792F" w:rsidP="0041792F">
      <w:pPr>
        <w:pStyle w:val="Prrafodelista"/>
        <w:ind w:left="0"/>
        <w:jc w:val="both"/>
        <w:rPr>
          <w:rFonts w:ascii="Verdana" w:hAnsi="Verdana" w:cs="Calibri"/>
          <w:sz w:val="20"/>
          <w:szCs w:val="20"/>
          <w:lang w:val="es-ES"/>
        </w:rPr>
      </w:pPr>
      <w:r>
        <w:rPr>
          <w:rFonts w:ascii="Verdana" w:hAnsi="Verdana" w:cs="Calibri"/>
          <w:sz w:val="20"/>
          <w:szCs w:val="20"/>
          <w:lang w:val="es-ES"/>
        </w:rPr>
        <w:t xml:space="preserve">9. </w:t>
      </w:r>
      <w:r>
        <w:rPr>
          <w:rFonts w:ascii="Verdana" w:hAnsi="Verdana" w:cs="Calibri"/>
          <w:sz w:val="20"/>
          <w:szCs w:val="20"/>
          <w:lang w:val="es-ES"/>
        </w:rPr>
        <w:tab/>
      </w:r>
      <w:r w:rsidR="003D3392" w:rsidRPr="00354B1E">
        <w:rPr>
          <w:rFonts w:ascii="Verdana" w:hAnsi="Verdana" w:cs="Calibri"/>
          <w:sz w:val="20"/>
          <w:szCs w:val="20"/>
          <w:lang w:val="es-ES"/>
        </w:rPr>
        <w:t>Por otro lado, se debe poner especial atención a la Observación General No.</w:t>
      </w:r>
      <w:r w:rsidR="00BB60D8" w:rsidRPr="00354B1E">
        <w:rPr>
          <w:rFonts w:ascii="Verdana" w:hAnsi="Verdana" w:cs="Calibri"/>
          <w:sz w:val="20"/>
          <w:szCs w:val="20"/>
          <w:lang w:val="es-ES"/>
        </w:rPr>
        <w:t xml:space="preserve"> 26 (2022)</w:t>
      </w:r>
      <w:r w:rsidR="00EB3A0C">
        <w:rPr>
          <w:rFonts w:ascii="Verdana" w:hAnsi="Verdana" w:cs="Calibri"/>
          <w:sz w:val="20"/>
          <w:szCs w:val="20"/>
          <w:lang w:val="es-ES"/>
        </w:rPr>
        <w:t xml:space="preserve"> del Comité de Derechos Económicos, Sociales y Culturales</w:t>
      </w:r>
      <w:r w:rsidR="00BB60D8" w:rsidRPr="00354B1E">
        <w:rPr>
          <w:rFonts w:ascii="Verdana" w:hAnsi="Verdana" w:cs="Calibri"/>
          <w:sz w:val="20"/>
          <w:szCs w:val="20"/>
          <w:lang w:val="es-ES"/>
        </w:rPr>
        <w:t xml:space="preserve"> relativa a los derechos sobre la tierra y los derechos económicos, sociales y culturales</w:t>
      </w:r>
      <w:r>
        <w:rPr>
          <w:rFonts w:ascii="Verdana" w:hAnsi="Verdana" w:cs="Calibri"/>
          <w:sz w:val="20"/>
          <w:szCs w:val="20"/>
          <w:lang w:val="es-ES"/>
        </w:rPr>
        <w:t>,</w:t>
      </w:r>
      <w:r w:rsidR="00BB60D8" w:rsidRPr="00354B1E">
        <w:rPr>
          <w:rFonts w:ascii="Verdana" w:hAnsi="Verdana" w:cs="Calibri"/>
          <w:sz w:val="20"/>
          <w:szCs w:val="20"/>
          <w:lang w:val="es-ES"/>
        </w:rPr>
        <w:t xml:space="preserve"> en la cual se indicó que “el uso sostenible de la tierra es esencial para garantizar el derecho a un medio ambiente limpio, saludable y sostenible y para promover el derecho al desarrollo, entre otros derechos”</w:t>
      </w:r>
      <w:r w:rsidR="00BB60D8" w:rsidRPr="00354B1E">
        <w:rPr>
          <w:rStyle w:val="Refdenotaalpie"/>
          <w:rFonts w:ascii="Verdana" w:hAnsi="Verdana" w:cs="Calibri"/>
          <w:sz w:val="20"/>
          <w:szCs w:val="20"/>
          <w:lang w:val="es-ES"/>
        </w:rPr>
        <w:footnoteReference w:id="10"/>
      </w:r>
      <w:r w:rsidR="00BB60D8" w:rsidRPr="00354B1E">
        <w:rPr>
          <w:rFonts w:ascii="Verdana" w:hAnsi="Verdana" w:cs="Calibri"/>
          <w:sz w:val="20"/>
          <w:szCs w:val="20"/>
          <w:lang w:val="es-ES"/>
        </w:rPr>
        <w:t xml:space="preserve">. De igual forma, el Comité de los Derechos del Niño, en su Observación General No. </w:t>
      </w:r>
      <w:r w:rsidR="00250394" w:rsidRPr="00354B1E">
        <w:rPr>
          <w:rFonts w:ascii="Verdana" w:hAnsi="Verdana" w:cs="Calibri"/>
          <w:sz w:val="20"/>
          <w:szCs w:val="20"/>
          <w:lang w:val="es-ES"/>
        </w:rPr>
        <w:t xml:space="preserve">26 (2023), </w:t>
      </w:r>
      <w:r w:rsidR="00A302E0" w:rsidRPr="00354B1E">
        <w:rPr>
          <w:rFonts w:ascii="Verdana" w:hAnsi="Verdana" w:cs="Calibri"/>
          <w:sz w:val="20"/>
          <w:szCs w:val="20"/>
          <w:lang w:val="es-ES"/>
        </w:rPr>
        <w:t>ha señalado que “</w:t>
      </w:r>
      <w:r w:rsidR="00A302E0" w:rsidRPr="00354B1E">
        <w:rPr>
          <w:rFonts w:ascii="Verdana" w:hAnsi="Verdana"/>
          <w:sz w:val="20"/>
          <w:szCs w:val="20"/>
          <w:lang w:val="es-ES"/>
        </w:rPr>
        <w:t>un medio ambiente limpio, saludable y sostenible es tanto un derecho humano per se cómo una condición necesaria para el pleno disfrute de un amplio abanico de derechos”</w:t>
      </w:r>
      <w:r w:rsidR="00A302E0" w:rsidRPr="00354B1E">
        <w:rPr>
          <w:rStyle w:val="Refdenotaalpie"/>
          <w:rFonts w:ascii="Verdana" w:hAnsi="Verdana"/>
          <w:sz w:val="20"/>
          <w:szCs w:val="20"/>
          <w:lang w:val="es-ES"/>
        </w:rPr>
        <w:footnoteReference w:id="11"/>
      </w:r>
      <w:r w:rsidR="00A302E0" w:rsidRPr="00354B1E">
        <w:rPr>
          <w:rFonts w:ascii="Verdana" w:hAnsi="Verdana"/>
          <w:sz w:val="20"/>
          <w:szCs w:val="20"/>
          <w:lang w:val="es-ES"/>
        </w:rPr>
        <w:t>.</w:t>
      </w:r>
    </w:p>
    <w:p w14:paraId="205FF014" w14:textId="77777777" w:rsidR="00A302E0" w:rsidRPr="00354B1E" w:rsidRDefault="00A302E0" w:rsidP="006B7EA6">
      <w:pPr>
        <w:pStyle w:val="Prrafodelista"/>
        <w:jc w:val="both"/>
        <w:rPr>
          <w:rFonts w:ascii="Verdana" w:hAnsi="Verdana" w:cs="Calibri"/>
          <w:sz w:val="20"/>
          <w:szCs w:val="20"/>
          <w:lang w:val="es-ES"/>
        </w:rPr>
      </w:pPr>
    </w:p>
    <w:p w14:paraId="09017F57" w14:textId="51008983" w:rsidR="008D4BEA" w:rsidRPr="00354B1E" w:rsidRDefault="0041792F" w:rsidP="0041792F">
      <w:pPr>
        <w:pStyle w:val="Prrafodelista"/>
        <w:ind w:left="0"/>
        <w:jc w:val="both"/>
        <w:rPr>
          <w:rFonts w:ascii="Verdana" w:hAnsi="Verdana" w:cs="Calibri"/>
          <w:sz w:val="20"/>
          <w:szCs w:val="20"/>
          <w:lang w:val="es-ES"/>
        </w:rPr>
      </w:pPr>
      <w:r>
        <w:rPr>
          <w:rFonts w:ascii="Verdana" w:hAnsi="Verdana" w:cs="Calibri"/>
          <w:sz w:val="20"/>
          <w:szCs w:val="20"/>
          <w:lang w:val="es-ES"/>
        </w:rPr>
        <w:t xml:space="preserve">10. </w:t>
      </w:r>
      <w:r>
        <w:rPr>
          <w:rFonts w:ascii="Verdana" w:hAnsi="Verdana" w:cs="Calibri"/>
          <w:sz w:val="20"/>
          <w:szCs w:val="20"/>
          <w:lang w:val="es-ES"/>
        </w:rPr>
        <w:tab/>
      </w:r>
      <w:r w:rsidR="00A302E0" w:rsidRPr="00354B1E">
        <w:rPr>
          <w:rFonts w:ascii="Verdana" w:hAnsi="Verdana" w:cs="Calibri"/>
          <w:sz w:val="20"/>
          <w:szCs w:val="20"/>
          <w:lang w:val="es-ES"/>
        </w:rPr>
        <w:t xml:space="preserve">Tampoco podemos olvidar el mandato y los diversos informes que ha emitido el Relator Especial de Naciones Unidas sobre los derechos humanos y el medio ambiente, así como el mandato y los diversos informes proferidos por el Relator Especial sobre </w:t>
      </w:r>
      <w:r w:rsidR="00C9238D">
        <w:rPr>
          <w:rFonts w:ascii="Verdana" w:hAnsi="Verdana" w:cs="Calibri"/>
          <w:sz w:val="20"/>
          <w:szCs w:val="20"/>
          <w:lang w:val="es-ES"/>
        </w:rPr>
        <w:t>el c</w:t>
      </w:r>
      <w:r w:rsidR="00A302E0" w:rsidRPr="00354B1E">
        <w:rPr>
          <w:rFonts w:ascii="Verdana" w:hAnsi="Verdana" w:cs="Calibri"/>
          <w:sz w:val="20"/>
          <w:szCs w:val="20"/>
          <w:lang w:val="es-ES"/>
        </w:rPr>
        <w:t xml:space="preserve">ambio </w:t>
      </w:r>
      <w:r w:rsidR="00C9238D">
        <w:rPr>
          <w:rFonts w:ascii="Verdana" w:hAnsi="Verdana" w:cs="Calibri"/>
          <w:sz w:val="20"/>
          <w:szCs w:val="20"/>
          <w:lang w:val="es-ES"/>
        </w:rPr>
        <w:t>c</w:t>
      </w:r>
      <w:r w:rsidR="00A302E0" w:rsidRPr="00354B1E">
        <w:rPr>
          <w:rFonts w:ascii="Verdana" w:hAnsi="Verdana" w:cs="Calibri"/>
          <w:sz w:val="20"/>
          <w:szCs w:val="20"/>
          <w:lang w:val="es-ES"/>
        </w:rPr>
        <w:t>limático</w:t>
      </w:r>
      <w:r w:rsidR="008D4BEA" w:rsidRPr="00354B1E">
        <w:rPr>
          <w:rStyle w:val="Refdenotaalpie"/>
          <w:rFonts w:ascii="Verdana" w:hAnsi="Verdana" w:cs="Calibri"/>
          <w:sz w:val="20"/>
          <w:szCs w:val="20"/>
          <w:lang w:val="es-ES"/>
        </w:rPr>
        <w:footnoteReference w:id="12"/>
      </w:r>
      <w:r w:rsidR="008D4BEA" w:rsidRPr="00354B1E">
        <w:rPr>
          <w:rFonts w:ascii="Verdana" w:hAnsi="Verdana" w:cs="Calibri"/>
          <w:sz w:val="20"/>
          <w:szCs w:val="20"/>
          <w:lang w:val="es-ES"/>
        </w:rPr>
        <w:t xml:space="preserve">. </w:t>
      </w:r>
    </w:p>
    <w:p w14:paraId="197EEF72" w14:textId="77777777" w:rsidR="008D4BEA" w:rsidRPr="00354B1E" w:rsidRDefault="008D4BEA" w:rsidP="008D4BEA">
      <w:pPr>
        <w:pStyle w:val="Prrafodelista"/>
        <w:rPr>
          <w:rFonts w:ascii="Verdana" w:hAnsi="Verdana" w:cs="Calibri"/>
          <w:sz w:val="20"/>
          <w:szCs w:val="20"/>
          <w:lang w:val="es-ES"/>
        </w:rPr>
      </w:pPr>
    </w:p>
    <w:p w14:paraId="5F2EC59D" w14:textId="7B7E80A0" w:rsidR="00A302E0" w:rsidRPr="00354B1E" w:rsidRDefault="0041792F" w:rsidP="0041792F">
      <w:pPr>
        <w:pStyle w:val="Prrafodelista"/>
        <w:ind w:left="0"/>
        <w:jc w:val="both"/>
        <w:rPr>
          <w:rFonts w:ascii="Verdana" w:hAnsi="Verdana" w:cs="Calibri"/>
          <w:sz w:val="20"/>
          <w:szCs w:val="20"/>
          <w:lang w:val="es-ES"/>
        </w:rPr>
      </w:pPr>
      <w:r>
        <w:rPr>
          <w:rFonts w:ascii="Verdana" w:hAnsi="Verdana" w:cs="Calibri"/>
          <w:sz w:val="20"/>
          <w:szCs w:val="20"/>
          <w:lang w:val="es-ES"/>
        </w:rPr>
        <w:t xml:space="preserve">11. </w:t>
      </w:r>
      <w:r>
        <w:rPr>
          <w:rFonts w:ascii="Verdana" w:hAnsi="Verdana" w:cs="Calibri"/>
          <w:sz w:val="20"/>
          <w:szCs w:val="20"/>
          <w:lang w:val="es-ES"/>
        </w:rPr>
        <w:tab/>
      </w:r>
      <w:r w:rsidR="00A302E0" w:rsidRPr="00354B1E">
        <w:rPr>
          <w:rFonts w:ascii="Verdana" w:hAnsi="Verdana" w:cs="Calibri"/>
          <w:sz w:val="20"/>
          <w:szCs w:val="20"/>
          <w:lang w:val="es-ES"/>
        </w:rPr>
        <w:t xml:space="preserve">Finalmente, </w:t>
      </w:r>
      <w:r>
        <w:rPr>
          <w:rFonts w:ascii="Verdana" w:hAnsi="Verdana" w:cs="Calibri"/>
          <w:sz w:val="20"/>
          <w:szCs w:val="20"/>
          <w:lang w:val="es-ES"/>
        </w:rPr>
        <w:t xml:space="preserve">la importancia de la temática a nivel global se advierte con el </w:t>
      </w:r>
      <w:r w:rsidR="00A302E0" w:rsidRPr="00354B1E">
        <w:rPr>
          <w:rFonts w:ascii="Verdana" w:hAnsi="Verdana" w:cs="Calibri"/>
          <w:sz w:val="20"/>
          <w:szCs w:val="20"/>
          <w:lang w:val="es-ES"/>
        </w:rPr>
        <w:t xml:space="preserve">paso trascendental que ha dado el Consejo General de Naciones Unidas al solicitarle </w:t>
      </w:r>
      <w:r w:rsidR="00DB0CC6" w:rsidRPr="00354B1E">
        <w:rPr>
          <w:rFonts w:ascii="Verdana" w:hAnsi="Verdana" w:cs="Calibri"/>
          <w:sz w:val="20"/>
          <w:szCs w:val="20"/>
          <w:lang w:val="es-ES"/>
        </w:rPr>
        <w:t>a la Corte Internacional de Justicia u</w:t>
      </w:r>
      <w:r w:rsidR="00DB0CC6" w:rsidRPr="00354B1E">
        <w:rPr>
          <w:rFonts w:ascii="Verdana" w:hAnsi="Verdana"/>
          <w:sz w:val="20"/>
          <w:szCs w:val="20"/>
          <w:shd w:val="clear" w:color="auto" w:fill="FFFFFF"/>
          <w:lang w:val="es-ES"/>
        </w:rPr>
        <w:t xml:space="preserve">na </w:t>
      </w:r>
      <w:r w:rsidR="004272AB" w:rsidRPr="00354B1E">
        <w:rPr>
          <w:rFonts w:ascii="Verdana" w:hAnsi="Verdana"/>
          <w:sz w:val="20"/>
          <w:szCs w:val="20"/>
          <w:shd w:val="clear" w:color="auto" w:fill="FFFFFF"/>
          <w:lang w:val="es-ES"/>
        </w:rPr>
        <w:t>O</w:t>
      </w:r>
      <w:r w:rsidR="00DB0CC6" w:rsidRPr="00354B1E">
        <w:rPr>
          <w:rFonts w:ascii="Verdana" w:hAnsi="Verdana"/>
          <w:sz w:val="20"/>
          <w:szCs w:val="20"/>
          <w:shd w:val="clear" w:color="auto" w:fill="FFFFFF"/>
          <w:lang w:val="es-ES"/>
        </w:rPr>
        <w:t xml:space="preserve">pinión </w:t>
      </w:r>
      <w:r w:rsidR="004272AB" w:rsidRPr="00354B1E">
        <w:rPr>
          <w:rFonts w:ascii="Verdana" w:hAnsi="Verdana"/>
          <w:sz w:val="20"/>
          <w:szCs w:val="20"/>
          <w:shd w:val="clear" w:color="auto" w:fill="FFFFFF"/>
          <w:lang w:val="es-ES"/>
        </w:rPr>
        <w:t>C</w:t>
      </w:r>
      <w:r w:rsidR="00DB0CC6" w:rsidRPr="00354B1E">
        <w:rPr>
          <w:rFonts w:ascii="Verdana" w:hAnsi="Verdana"/>
          <w:sz w:val="20"/>
          <w:szCs w:val="20"/>
          <w:shd w:val="clear" w:color="auto" w:fill="FFFFFF"/>
          <w:lang w:val="es-ES"/>
        </w:rPr>
        <w:t>onsultiva sobre las obligaciones de los Estados con respecto al cambio climático</w:t>
      </w:r>
      <w:r w:rsidR="00DB0CC6" w:rsidRPr="00354B1E">
        <w:rPr>
          <w:rStyle w:val="Refdenotaalpie"/>
          <w:rFonts w:ascii="Verdana" w:hAnsi="Verdana"/>
          <w:sz w:val="20"/>
          <w:szCs w:val="20"/>
          <w:shd w:val="clear" w:color="auto" w:fill="FFFFFF"/>
          <w:lang w:val="es-ES"/>
        </w:rPr>
        <w:footnoteReference w:id="13"/>
      </w:r>
      <w:r w:rsidR="00DB0CC6" w:rsidRPr="00354B1E">
        <w:rPr>
          <w:rFonts w:ascii="Verdana" w:hAnsi="Verdana"/>
          <w:sz w:val="20"/>
          <w:szCs w:val="20"/>
          <w:shd w:val="clear" w:color="auto" w:fill="FFFFFF"/>
          <w:lang w:val="es-ES"/>
        </w:rPr>
        <w:t>.</w:t>
      </w:r>
    </w:p>
    <w:p w14:paraId="6F3EB0EA" w14:textId="77777777" w:rsidR="0063519F" w:rsidRPr="00354B1E" w:rsidRDefault="0063519F" w:rsidP="006B7EA6">
      <w:pPr>
        <w:pStyle w:val="Prrafodelista"/>
        <w:jc w:val="both"/>
        <w:rPr>
          <w:rFonts w:ascii="Verdana" w:hAnsi="Verdana" w:cs="Calibri"/>
          <w:sz w:val="20"/>
          <w:szCs w:val="20"/>
          <w:lang w:val="es-ES"/>
        </w:rPr>
      </w:pPr>
    </w:p>
    <w:p w14:paraId="327936F9" w14:textId="460A1040" w:rsidR="0063519F" w:rsidRPr="00354B1E" w:rsidRDefault="00B87990" w:rsidP="006B7EA6">
      <w:pPr>
        <w:pStyle w:val="Prrafodelista"/>
        <w:ind w:left="0"/>
        <w:jc w:val="both"/>
        <w:rPr>
          <w:rFonts w:ascii="Verdana" w:hAnsi="Verdana" w:cs="Calibri"/>
          <w:i/>
          <w:iCs/>
          <w:sz w:val="20"/>
          <w:szCs w:val="20"/>
          <w:u w:val="single"/>
          <w:lang w:val="es-ES"/>
        </w:rPr>
      </w:pPr>
      <w:r w:rsidRPr="00354B1E">
        <w:rPr>
          <w:rFonts w:ascii="Verdana" w:eastAsia="Times New Roman" w:hAnsi="Verdana"/>
          <w:i/>
          <w:iCs/>
          <w:sz w:val="20"/>
          <w:szCs w:val="20"/>
          <w:u w:val="single"/>
          <w:lang w:val="es-ES" w:eastAsia="es-ES"/>
        </w:rPr>
        <w:t xml:space="preserve">I.2. </w:t>
      </w:r>
      <w:r w:rsidR="0063519F" w:rsidRPr="00354B1E">
        <w:rPr>
          <w:rFonts w:ascii="Verdana" w:hAnsi="Verdana" w:cs="Calibri"/>
          <w:i/>
          <w:iCs/>
          <w:sz w:val="20"/>
          <w:szCs w:val="20"/>
          <w:u w:val="single"/>
          <w:lang w:val="es-ES"/>
        </w:rPr>
        <w:t xml:space="preserve">Sistema Europeo de Derechos Humanos. </w:t>
      </w:r>
    </w:p>
    <w:p w14:paraId="680F0FF8" w14:textId="77777777" w:rsidR="00CE37DA" w:rsidRPr="00354B1E" w:rsidRDefault="00CE37DA" w:rsidP="006B7EA6">
      <w:pPr>
        <w:pStyle w:val="Prrafodelista"/>
        <w:ind w:left="0"/>
        <w:jc w:val="both"/>
        <w:rPr>
          <w:rFonts w:ascii="Verdana" w:hAnsi="Verdana"/>
          <w:sz w:val="20"/>
          <w:szCs w:val="20"/>
          <w:lang w:val="es-ES"/>
        </w:rPr>
      </w:pPr>
    </w:p>
    <w:p w14:paraId="65C7AA52" w14:textId="5C27252C" w:rsidR="0063519F" w:rsidRPr="00354B1E" w:rsidRDefault="0041792F" w:rsidP="0041792F">
      <w:pPr>
        <w:pStyle w:val="Prrafodelista"/>
        <w:ind w:left="0"/>
        <w:jc w:val="both"/>
        <w:rPr>
          <w:rFonts w:ascii="Verdana" w:hAnsi="Verdana"/>
          <w:sz w:val="20"/>
          <w:szCs w:val="20"/>
          <w:lang w:val="es-ES"/>
        </w:rPr>
      </w:pPr>
      <w:r>
        <w:rPr>
          <w:rFonts w:ascii="Verdana" w:eastAsia="Times New Roman" w:hAnsi="Verdana"/>
          <w:sz w:val="20"/>
          <w:szCs w:val="20"/>
          <w:lang w:val="es-ES" w:eastAsia="es-ES"/>
        </w:rPr>
        <w:t xml:space="preserve">12. </w:t>
      </w:r>
      <w:r>
        <w:rPr>
          <w:rFonts w:ascii="Verdana" w:eastAsia="Times New Roman" w:hAnsi="Verdana"/>
          <w:sz w:val="20"/>
          <w:szCs w:val="20"/>
          <w:lang w:val="es-ES" w:eastAsia="es-ES"/>
        </w:rPr>
        <w:tab/>
        <w:t>N</w:t>
      </w:r>
      <w:r w:rsidR="0063519F" w:rsidRPr="00354B1E">
        <w:rPr>
          <w:rFonts w:ascii="Verdana" w:eastAsia="Times New Roman" w:hAnsi="Verdana"/>
          <w:sz w:val="20"/>
          <w:szCs w:val="20"/>
          <w:lang w:val="es-ES" w:eastAsia="es-ES"/>
        </w:rPr>
        <w:t>i el Convenio Europeo de Derechos Humanos ni la Carta Social Europea de Derechos Humanos ha</w:t>
      </w:r>
      <w:r w:rsidR="003573E7" w:rsidRPr="00354B1E">
        <w:rPr>
          <w:rFonts w:ascii="Verdana" w:eastAsia="Times New Roman" w:hAnsi="Verdana"/>
          <w:sz w:val="20"/>
          <w:szCs w:val="20"/>
          <w:lang w:val="es-ES" w:eastAsia="es-ES"/>
        </w:rPr>
        <w:t xml:space="preserve">n reconocido el derecho al medio ambiente sano de manera expresa. En el caso del Tribunal Europeo, se debe precisar que el reconocimiento del medio </w:t>
      </w:r>
      <w:r w:rsidR="00762E3B" w:rsidRPr="00354B1E">
        <w:rPr>
          <w:rFonts w:ascii="Verdana" w:eastAsia="Times New Roman" w:hAnsi="Verdana"/>
          <w:sz w:val="20"/>
          <w:szCs w:val="20"/>
          <w:lang w:val="es-ES" w:eastAsia="es-ES"/>
        </w:rPr>
        <w:t>ambiente</w:t>
      </w:r>
      <w:r w:rsidR="003573E7" w:rsidRPr="00354B1E">
        <w:rPr>
          <w:rFonts w:ascii="Verdana" w:eastAsia="Times New Roman" w:hAnsi="Verdana"/>
          <w:sz w:val="20"/>
          <w:szCs w:val="20"/>
          <w:lang w:val="es-ES" w:eastAsia="es-ES"/>
        </w:rPr>
        <w:t xml:space="preserve"> se ha </w:t>
      </w:r>
      <w:r>
        <w:rPr>
          <w:rFonts w:ascii="Verdana" w:eastAsia="Times New Roman" w:hAnsi="Verdana"/>
          <w:sz w:val="20"/>
          <w:szCs w:val="20"/>
          <w:lang w:val="es-ES" w:eastAsia="es-ES"/>
        </w:rPr>
        <w:t>realizado</w:t>
      </w:r>
      <w:r w:rsidR="003573E7" w:rsidRPr="00354B1E">
        <w:rPr>
          <w:rFonts w:ascii="Verdana" w:eastAsia="Times New Roman" w:hAnsi="Verdana"/>
          <w:sz w:val="20"/>
          <w:szCs w:val="20"/>
          <w:lang w:val="es-ES" w:eastAsia="es-ES"/>
        </w:rPr>
        <w:t xml:space="preserve"> mediante lo que se ha denominado “justiciabilidad indirecta” como dan cuenta diversos asuntos. Sin embargo, lo relevante, en este momento, en la sede de ese Tribunal, es que </w:t>
      </w:r>
      <w:r w:rsidR="00762E3B" w:rsidRPr="00354B1E">
        <w:rPr>
          <w:rFonts w:ascii="Verdana" w:eastAsia="Times New Roman" w:hAnsi="Verdana"/>
          <w:sz w:val="20"/>
          <w:szCs w:val="20"/>
          <w:lang w:val="es-ES" w:eastAsia="es-ES"/>
        </w:rPr>
        <w:t xml:space="preserve">existen algunos pronunciamientos pendientes que involucran de manera frontal las obligaciones en materia de medio ambiente </w:t>
      </w:r>
      <w:r w:rsidR="00E2374D">
        <w:rPr>
          <w:rFonts w:ascii="Verdana" w:eastAsia="Times New Roman" w:hAnsi="Verdana"/>
          <w:sz w:val="20"/>
          <w:szCs w:val="20"/>
          <w:lang w:val="es-ES" w:eastAsia="es-ES"/>
        </w:rPr>
        <w:t xml:space="preserve">y cambio climático </w:t>
      </w:r>
      <w:r w:rsidR="00DF7AD9">
        <w:rPr>
          <w:rFonts w:ascii="Verdana" w:eastAsia="Times New Roman" w:hAnsi="Verdana"/>
          <w:sz w:val="20"/>
          <w:szCs w:val="20"/>
          <w:lang w:val="es-ES" w:eastAsia="es-ES"/>
        </w:rPr>
        <w:t xml:space="preserve">de </w:t>
      </w:r>
      <w:r w:rsidR="00762E3B" w:rsidRPr="00354B1E">
        <w:rPr>
          <w:rFonts w:ascii="Verdana" w:eastAsia="Times New Roman" w:hAnsi="Verdana"/>
          <w:sz w:val="20"/>
          <w:szCs w:val="20"/>
          <w:lang w:val="es-ES" w:eastAsia="es-ES"/>
        </w:rPr>
        <w:t>los países que integran el Consejo de Europa</w:t>
      </w:r>
      <w:r w:rsidR="00762E3B" w:rsidRPr="00354B1E">
        <w:rPr>
          <w:rStyle w:val="Refdenotaalpie"/>
          <w:rFonts w:ascii="Verdana" w:eastAsia="Times New Roman" w:hAnsi="Verdana"/>
          <w:sz w:val="20"/>
          <w:szCs w:val="20"/>
          <w:lang w:val="es-ES" w:eastAsia="es-ES"/>
        </w:rPr>
        <w:footnoteReference w:id="14"/>
      </w:r>
      <w:r w:rsidR="00762E3B" w:rsidRPr="00354B1E">
        <w:rPr>
          <w:rFonts w:ascii="Verdana" w:eastAsia="Times New Roman" w:hAnsi="Verdana"/>
          <w:sz w:val="20"/>
          <w:szCs w:val="20"/>
          <w:lang w:val="es-ES" w:eastAsia="es-ES"/>
        </w:rPr>
        <w:t xml:space="preserve">. </w:t>
      </w:r>
    </w:p>
    <w:p w14:paraId="27822F9E" w14:textId="77777777" w:rsidR="0063519F" w:rsidRPr="00354B1E" w:rsidRDefault="0063519F" w:rsidP="006B7EA6">
      <w:pPr>
        <w:pStyle w:val="Prrafodelista"/>
        <w:ind w:left="0"/>
        <w:jc w:val="both"/>
        <w:rPr>
          <w:rFonts w:ascii="Verdana" w:hAnsi="Verdana"/>
          <w:sz w:val="20"/>
          <w:szCs w:val="20"/>
          <w:lang w:val="es-ES"/>
        </w:rPr>
      </w:pPr>
    </w:p>
    <w:p w14:paraId="0881F4F1" w14:textId="7A3A2A45" w:rsidR="00762E3B" w:rsidRPr="00354B1E" w:rsidRDefault="0041792F" w:rsidP="0041792F">
      <w:pPr>
        <w:pStyle w:val="Prrafodelista"/>
        <w:ind w:left="0"/>
        <w:jc w:val="both"/>
        <w:rPr>
          <w:rFonts w:ascii="Verdana" w:hAnsi="Verdana"/>
          <w:sz w:val="20"/>
          <w:szCs w:val="20"/>
          <w:lang w:val="es-ES"/>
        </w:rPr>
      </w:pPr>
      <w:r>
        <w:rPr>
          <w:rFonts w:ascii="Verdana" w:eastAsia="Times New Roman" w:hAnsi="Verdana"/>
          <w:sz w:val="20"/>
          <w:szCs w:val="20"/>
          <w:lang w:val="es-ES" w:eastAsia="es-ES"/>
        </w:rPr>
        <w:t xml:space="preserve">13. </w:t>
      </w:r>
      <w:r>
        <w:rPr>
          <w:rFonts w:ascii="Verdana" w:eastAsia="Times New Roman" w:hAnsi="Verdana"/>
          <w:sz w:val="20"/>
          <w:szCs w:val="20"/>
          <w:lang w:val="es-ES" w:eastAsia="es-ES"/>
        </w:rPr>
        <w:tab/>
      </w:r>
      <w:r w:rsidR="00762E3B" w:rsidRPr="00354B1E">
        <w:rPr>
          <w:rFonts w:ascii="Verdana" w:eastAsia="Times New Roman" w:hAnsi="Verdana"/>
          <w:sz w:val="20"/>
          <w:szCs w:val="20"/>
          <w:lang w:val="es-ES" w:eastAsia="es-ES"/>
        </w:rPr>
        <w:t xml:space="preserve">Por otro lado, </w:t>
      </w:r>
      <w:r w:rsidR="00BC578E" w:rsidRPr="00354B1E">
        <w:rPr>
          <w:rFonts w:ascii="Verdana" w:eastAsia="Times New Roman" w:hAnsi="Verdana"/>
          <w:sz w:val="20"/>
          <w:szCs w:val="20"/>
          <w:lang w:val="es-ES" w:eastAsia="es-ES"/>
        </w:rPr>
        <w:t xml:space="preserve">quizá el aspecto </w:t>
      </w:r>
      <w:r w:rsidR="008D4BEA" w:rsidRPr="00354B1E">
        <w:rPr>
          <w:rFonts w:ascii="Verdana" w:eastAsia="Times New Roman" w:hAnsi="Verdana"/>
          <w:sz w:val="20"/>
          <w:szCs w:val="20"/>
          <w:lang w:val="es-ES" w:eastAsia="es-ES"/>
        </w:rPr>
        <w:t>más</w:t>
      </w:r>
      <w:r w:rsidR="00BC578E" w:rsidRPr="00354B1E">
        <w:rPr>
          <w:rFonts w:ascii="Verdana" w:eastAsia="Times New Roman" w:hAnsi="Verdana"/>
          <w:sz w:val="20"/>
          <w:szCs w:val="20"/>
          <w:lang w:val="es-ES" w:eastAsia="es-ES"/>
        </w:rPr>
        <w:t xml:space="preserve"> innovador lo ha reali</w:t>
      </w:r>
      <w:r w:rsidR="00062B40" w:rsidRPr="00354B1E">
        <w:rPr>
          <w:rFonts w:ascii="Verdana" w:eastAsia="Times New Roman" w:hAnsi="Verdana"/>
          <w:sz w:val="20"/>
          <w:szCs w:val="20"/>
          <w:lang w:val="es-ES" w:eastAsia="es-ES"/>
        </w:rPr>
        <w:t>zado el Comité Europeo de Derechos Sociales, el cual se encarga de la supervisión y aplicación de la Carta Social Europea</w:t>
      </w:r>
      <w:r>
        <w:rPr>
          <w:rFonts w:ascii="Verdana" w:eastAsia="Times New Roman" w:hAnsi="Verdana"/>
          <w:sz w:val="20"/>
          <w:szCs w:val="20"/>
          <w:lang w:val="es-ES" w:eastAsia="es-ES"/>
        </w:rPr>
        <w:t>. Si bien</w:t>
      </w:r>
      <w:r w:rsidR="00522F79" w:rsidRPr="00354B1E">
        <w:rPr>
          <w:rFonts w:ascii="Verdana" w:eastAsia="Times New Roman" w:hAnsi="Verdana"/>
          <w:sz w:val="20"/>
          <w:szCs w:val="20"/>
          <w:lang w:val="es-ES" w:eastAsia="es-ES"/>
        </w:rPr>
        <w:t xml:space="preserve"> la Carta de Turín no contempla “un derecho al medio ambiente” el referido Comité ha indicado que este derecho se encuentra subsumido en el derecho a la salud protegido por el artículo </w:t>
      </w:r>
      <w:r w:rsidR="0010371E" w:rsidRPr="00354B1E">
        <w:rPr>
          <w:rFonts w:ascii="Verdana" w:eastAsia="Times New Roman" w:hAnsi="Verdana"/>
          <w:sz w:val="20"/>
          <w:szCs w:val="20"/>
          <w:lang w:val="es-ES" w:eastAsia="es-ES"/>
        </w:rPr>
        <w:t>11 de la Carta de Turín</w:t>
      </w:r>
      <w:r w:rsidR="00B95FB4" w:rsidRPr="00354B1E">
        <w:rPr>
          <w:rStyle w:val="Refdenotaalpie"/>
          <w:rFonts w:ascii="Verdana" w:eastAsia="Times New Roman" w:hAnsi="Verdana"/>
          <w:sz w:val="20"/>
          <w:szCs w:val="20"/>
          <w:lang w:val="es-ES" w:eastAsia="es-ES"/>
        </w:rPr>
        <w:footnoteReference w:id="15"/>
      </w:r>
      <w:r w:rsidR="00522F79" w:rsidRPr="00354B1E">
        <w:rPr>
          <w:rFonts w:ascii="Verdana" w:eastAsia="Times New Roman" w:hAnsi="Verdana"/>
          <w:sz w:val="20"/>
          <w:szCs w:val="20"/>
          <w:lang w:val="es-ES" w:eastAsia="es-ES"/>
        </w:rPr>
        <w:t>.</w:t>
      </w:r>
    </w:p>
    <w:p w14:paraId="4C316769" w14:textId="77777777" w:rsidR="00762E3B" w:rsidRPr="00354B1E" w:rsidRDefault="00762E3B" w:rsidP="006B7EA6">
      <w:pPr>
        <w:pStyle w:val="Prrafodelista"/>
        <w:ind w:left="0"/>
        <w:jc w:val="both"/>
        <w:rPr>
          <w:rFonts w:ascii="Verdana" w:eastAsia="Times New Roman" w:hAnsi="Verdana"/>
          <w:sz w:val="20"/>
          <w:szCs w:val="20"/>
          <w:lang w:val="es-ES" w:eastAsia="es-ES"/>
        </w:rPr>
      </w:pPr>
    </w:p>
    <w:p w14:paraId="209E5400" w14:textId="520FEE6D" w:rsidR="00B95FB4" w:rsidRPr="00354B1E" w:rsidRDefault="00B87990" w:rsidP="006B7EA6">
      <w:pPr>
        <w:pStyle w:val="Prrafodelista"/>
        <w:ind w:left="0"/>
        <w:jc w:val="both"/>
        <w:rPr>
          <w:rFonts w:ascii="Verdana" w:hAnsi="Verdana"/>
          <w:i/>
          <w:iCs/>
          <w:sz w:val="20"/>
          <w:szCs w:val="20"/>
          <w:u w:val="single"/>
          <w:lang w:val="es-ES"/>
        </w:rPr>
      </w:pPr>
      <w:r w:rsidRPr="00354B1E">
        <w:rPr>
          <w:rFonts w:ascii="Verdana" w:eastAsia="Times New Roman" w:hAnsi="Verdana"/>
          <w:i/>
          <w:iCs/>
          <w:sz w:val="20"/>
          <w:szCs w:val="20"/>
          <w:u w:val="single"/>
          <w:lang w:val="es-ES" w:eastAsia="es-ES"/>
        </w:rPr>
        <w:t xml:space="preserve">I.3. </w:t>
      </w:r>
      <w:r w:rsidR="00B95FB4" w:rsidRPr="00354B1E">
        <w:rPr>
          <w:rFonts w:ascii="Verdana" w:eastAsia="Times New Roman" w:hAnsi="Verdana"/>
          <w:i/>
          <w:iCs/>
          <w:sz w:val="20"/>
          <w:szCs w:val="20"/>
          <w:u w:val="single"/>
          <w:lang w:val="es-ES" w:eastAsia="es-ES"/>
        </w:rPr>
        <w:t xml:space="preserve">Sistema Africano de Derechos Humanos </w:t>
      </w:r>
    </w:p>
    <w:p w14:paraId="445D1DB2" w14:textId="77777777" w:rsidR="00365F1B" w:rsidRPr="00354B1E" w:rsidRDefault="00365F1B" w:rsidP="006B7EA6">
      <w:pPr>
        <w:pStyle w:val="Prrafodelista"/>
        <w:ind w:left="0"/>
        <w:jc w:val="both"/>
        <w:rPr>
          <w:rFonts w:ascii="Verdana" w:hAnsi="Verdana"/>
          <w:sz w:val="20"/>
          <w:szCs w:val="20"/>
          <w:lang w:val="es-ES"/>
        </w:rPr>
      </w:pPr>
    </w:p>
    <w:p w14:paraId="450B8961" w14:textId="5C22D7EB" w:rsidR="00D43BA4" w:rsidRPr="00354B1E" w:rsidRDefault="0041792F" w:rsidP="0041792F">
      <w:pPr>
        <w:pStyle w:val="Prrafodelista"/>
        <w:ind w:left="0"/>
        <w:jc w:val="both"/>
        <w:rPr>
          <w:rFonts w:ascii="Verdana" w:eastAsia="Times New Roman" w:hAnsi="Verdana"/>
          <w:sz w:val="20"/>
          <w:szCs w:val="20"/>
          <w:lang w:val="es-ES" w:eastAsia="es-ES"/>
        </w:rPr>
      </w:pPr>
      <w:r>
        <w:rPr>
          <w:rFonts w:ascii="Verdana" w:hAnsi="Verdana"/>
          <w:sz w:val="20"/>
          <w:szCs w:val="20"/>
          <w:lang w:val="es-ES"/>
        </w:rPr>
        <w:t xml:space="preserve">14. </w:t>
      </w:r>
      <w:r>
        <w:rPr>
          <w:rFonts w:ascii="Verdana" w:hAnsi="Verdana"/>
          <w:sz w:val="20"/>
          <w:szCs w:val="20"/>
          <w:lang w:val="es-ES"/>
        </w:rPr>
        <w:tab/>
      </w:r>
      <w:r w:rsidR="006B7EA6" w:rsidRPr="00354B1E">
        <w:rPr>
          <w:rFonts w:ascii="Verdana" w:hAnsi="Verdana"/>
          <w:sz w:val="20"/>
          <w:szCs w:val="20"/>
          <w:lang w:val="es-ES"/>
        </w:rPr>
        <w:t xml:space="preserve">Finalmente, en el caso de este Sistema, la Carta Africana de Derechos Humanos y de los Pueblos indica que: </w:t>
      </w:r>
      <w:r w:rsidR="006B7EA6" w:rsidRPr="00354B1E">
        <w:rPr>
          <w:rFonts w:ascii="Verdana" w:hAnsi="Verdana"/>
          <w:i/>
          <w:iCs/>
          <w:sz w:val="20"/>
          <w:szCs w:val="20"/>
          <w:lang w:val="es-ES"/>
        </w:rPr>
        <w:t xml:space="preserve">"Todos los pueblos tendrán derecho a un medio ambiente general satisfactorio y favorable a su desarrollo". </w:t>
      </w:r>
      <w:r w:rsidR="006B7EA6" w:rsidRPr="00354B1E">
        <w:rPr>
          <w:rFonts w:ascii="Verdana" w:hAnsi="Verdana"/>
          <w:sz w:val="20"/>
          <w:szCs w:val="20"/>
          <w:lang w:val="es-ES"/>
        </w:rPr>
        <w:t xml:space="preserve">Al respecto, la Comisión Africana de Derechos Humanos y de los Pueblos, ha señalado que </w:t>
      </w:r>
      <w:r w:rsidR="00395EE5" w:rsidRPr="00354B1E">
        <w:rPr>
          <w:rFonts w:ascii="Verdana" w:hAnsi="Verdana"/>
          <w:sz w:val="20"/>
          <w:szCs w:val="20"/>
          <w:lang w:val="es-ES"/>
        </w:rPr>
        <w:t xml:space="preserve">el “derecho al medio ambiente” se encuentra garantizado por lo contemplado en el artículo 24. Con base en ello, </w:t>
      </w:r>
      <w:r w:rsidR="00D43BA4" w:rsidRPr="00354B1E">
        <w:rPr>
          <w:rFonts w:ascii="Verdana" w:hAnsi="Verdana"/>
          <w:sz w:val="20"/>
          <w:szCs w:val="20"/>
          <w:lang w:val="es-ES"/>
        </w:rPr>
        <w:t>ha precisado que el derecho al medio ambiente se encuentra estrechamente relacionado con los derechos económicos, sociales y culturales, en la medida que el medio ambiente afecta la calidad de vida y la seguridad de los individuos</w:t>
      </w:r>
      <w:r w:rsidR="008D4BEA" w:rsidRPr="00354B1E">
        <w:rPr>
          <w:rStyle w:val="Refdenotaalpie"/>
          <w:rFonts w:ascii="Verdana" w:hAnsi="Verdana"/>
          <w:sz w:val="20"/>
          <w:szCs w:val="20"/>
          <w:lang w:val="es-ES"/>
        </w:rPr>
        <w:footnoteReference w:id="16"/>
      </w:r>
      <w:r w:rsidR="00D43BA4" w:rsidRPr="00354B1E">
        <w:rPr>
          <w:rFonts w:ascii="Verdana" w:hAnsi="Verdana"/>
          <w:sz w:val="20"/>
          <w:szCs w:val="20"/>
          <w:lang w:val="es-ES"/>
        </w:rPr>
        <w:t xml:space="preserve">. </w:t>
      </w:r>
    </w:p>
    <w:p w14:paraId="032A5CCA" w14:textId="77777777" w:rsidR="00D43BA4" w:rsidRPr="00354B1E" w:rsidRDefault="00D43BA4" w:rsidP="00D43BA4">
      <w:pPr>
        <w:pStyle w:val="Prrafodelista"/>
        <w:ind w:left="0"/>
        <w:jc w:val="both"/>
        <w:rPr>
          <w:rFonts w:ascii="Verdana" w:eastAsia="Times New Roman" w:hAnsi="Verdana"/>
          <w:sz w:val="20"/>
          <w:szCs w:val="20"/>
          <w:lang w:val="es-ES" w:eastAsia="es-ES"/>
        </w:rPr>
      </w:pPr>
    </w:p>
    <w:p w14:paraId="00591620" w14:textId="4075B562" w:rsidR="006B7EA6" w:rsidRPr="00354B1E" w:rsidRDefault="0041792F" w:rsidP="0041792F">
      <w:pPr>
        <w:pStyle w:val="Prrafodelista"/>
        <w:ind w:left="0"/>
        <w:jc w:val="both"/>
        <w:rPr>
          <w:rFonts w:ascii="Verdana" w:eastAsia="Times New Roman" w:hAnsi="Verdana"/>
          <w:sz w:val="20"/>
          <w:szCs w:val="20"/>
          <w:lang w:val="es-ES" w:eastAsia="es-ES"/>
        </w:rPr>
      </w:pPr>
      <w:r>
        <w:rPr>
          <w:rFonts w:ascii="Verdana" w:eastAsia="Times New Roman" w:hAnsi="Verdana"/>
          <w:sz w:val="20"/>
          <w:szCs w:val="20"/>
          <w:lang w:val="es-ES" w:eastAsia="es-ES"/>
        </w:rPr>
        <w:t xml:space="preserve">15. </w:t>
      </w:r>
      <w:r>
        <w:rPr>
          <w:rFonts w:ascii="Verdana" w:eastAsia="Times New Roman" w:hAnsi="Verdana"/>
          <w:sz w:val="20"/>
          <w:szCs w:val="20"/>
          <w:lang w:val="es-ES" w:eastAsia="es-ES"/>
        </w:rPr>
        <w:tab/>
      </w:r>
      <w:r w:rsidR="00D43BA4" w:rsidRPr="00354B1E">
        <w:rPr>
          <w:rFonts w:ascii="Verdana" w:eastAsia="Times New Roman" w:hAnsi="Verdana"/>
          <w:sz w:val="20"/>
          <w:szCs w:val="20"/>
          <w:lang w:val="es-ES" w:eastAsia="es-ES"/>
        </w:rPr>
        <w:t>Así, el artículo 24 impone a los Estado obligaciones claras</w:t>
      </w:r>
      <w:r w:rsidR="00033F9F" w:rsidRPr="00354B1E">
        <w:rPr>
          <w:rFonts w:ascii="Verdana" w:eastAsia="Times New Roman" w:hAnsi="Verdana"/>
          <w:sz w:val="20"/>
          <w:szCs w:val="20"/>
          <w:lang w:val="es-ES" w:eastAsia="es-ES"/>
        </w:rPr>
        <w:t xml:space="preserve">, lo que se debe traducir en medidas razonables para prevenir la contaminación y la degradación ecológica, promover la conservación y </w:t>
      </w:r>
      <w:r w:rsidR="001C0E97" w:rsidRPr="00354B1E">
        <w:rPr>
          <w:rFonts w:ascii="Verdana" w:eastAsia="Times New Roman" w:hAnsi="Verdana"/>
          <w:sz w:val="20"/>
          <w:szCs w:val="20"/>
          <w:lang w:val="es-ES" w:eastAsia="es-ES"/>
        </w:rPr>
        <w:t xml:space="preserve">asegurar el desarrollo y uso ecológicamente sostenible de los recursos naturales. </w:t>
      </w:r>
      <w:r w:rsidR="00200BDA" w:rsidRPr="00354B1E">
        <w:rPr>
          <w:rFonts w:ascii="Verdana" w:eastAsia="Times New Roman" w:hAnsi="Verdana"/>
          <w:sz w:val="20"/>
          <w:szCs w:val="20"/>
          <w:lang w:val="es-ES" w:eastAsia="es-ES"/>
        </w:rPr>
        <w:t xml:space="preserve">Además, se impone a los Estados que se deben </w:t>
      </w:r>
      <w:r w:rsidR="006B7EA6" w:rsidRPr="00354B1E">
        <w:rPr>
          <w:rFonts w:ascii="Verdana" w:hAnsi="Verdana"/>
          <w:sz w:val="20"/>
          <w:szCs w:val="20"/>
          <w:lang w:val="es-ES"/>
        </w:rPr>
        <w:t>ordenar o al menos permitir un seguimiento científico independiente de los entornos amenazados, exigir y publicar estudios de impacto ambiental y social antes de cualquier desarrollo industrial importante</w:t>
      </w:r>
      <w:r w:rsidR="00DF7AD9">
        <w:rPr>
          <w:rFonts w:ascii="Verdana" w:hAnsi="Verdana"/>
          <w:sz w:val="20"/>
          <w:szCs w:val="20"/>
          <w:lang w:val="es-ES"/>
        </w:rPr>
        <w:t>;</w:t>
      </w:r>
      <w:r w:rsidR="006B7EA6" w:rsidRPr="00354B1E">
        <w:rPr>
          <w:rFonts w:ascii="Verdana" w:hAnsi="Verdana"/>
          <w:sz w:val="20"/>
          <w:szCs w:val="20"/>
          <w:lang w:val="es-ES"/>
        </w:rPr>
        <w:t xml:space="preserve"> realizar un seguimiento adecuado y proporcionar información a aquellas comunidades expuestas a materiales y actividades peligrosos y brindando oportunidades significativas para que las personas sean escuchadas y participen en las decisiones de desarrollo que afectan a sus comunidades</w:t>
      </w:r>
      <w:r w:rsidR="00441DF6" w:rsidRPr="00354B1E">
        <w:rPr>
          <w:rStyle w:val="Refdenotaalpie"/>
          <w:rFonts w:ascii="Verdana" w:hAnsi="Verdana"/>
          <w:sz w:val="20"/>
          <w:szCs w:val="20"/>
          <w:lang w:val="es-ES"/>
        </w:rPr>
        <w:footnoteReference w:id="17"/>
      </w:r>
      <w:r w:rsidR="006B7EA6" w:rsidRPr="00354B1E">
        <w:rPr>
          <w:rFonts w:ascii="Verdana" w:hAnsi="Verdana"/>
          <w:sz w:val="20"/>
          <w:szCs w:val="20"/>
          <w:lang w:val="es-ES"/>
        </w:rPr>
        <w:t>.</w:t>
      </w:r>
    </w:p>
    <w:p w14:paraId="7A0AD745" w14:textId="77777777" w:rsidR="00B87990" w:rsidRPr="00354B1E" w:rsidRDefault="00B87990" w:rsidP="00B87990">
      <w:pPr>
        <w:pStyle w:val="Prrafodelista"/>
        <w:ind w:left="0"/>
        <w:jc w:val="both"/>
        <w:rPr>
          <w:rFonts w:ascii="Verdana" w:eastAsia="Times New Roman" w:hAnsi="Verdana"/>
          <w:sz w:val="20"/>
          <w:szCs w:val="20"/>
          <w:lang w:val="es-ES" w:eastAsia="es-ES"/>
        </w:rPr>
      </w:pPr>
    </w:p>
    <w:p w14:paraId="748D03F4" w14:textId="48BA51D1" w:rsidR="00106FC0" w:rsidRPr="00354B1E" w:rsidRDefault="00B51BDA" w:rsidP="00A0298F">
      <w:pPr>
        <w:spacing w:line="276" w:lineRule="auto"/>
        <w:jc w:val="center"/>
        <w:rPr>
          <w:rFonts w:ascii="Verdana" w:hAnsi="Verdana"/>
          <w:b/>
          <w:sz w:val="20"/>
          <w:szCs w:val="20"/>
          <w:lang w:val="es-ES"/>
        </w:rPr>
      </w:pPr>
      <w:r w:rsidRPr="00354B1E">
        <w:rPr>
          <w:rFonts w:ascii="Verdana" w:hAnsi="Verdana"/>
          <w:b/>
          <w:sz w:val="20"/>
          <w:szCs w:val="20"/>
          <w:lang w:val="es-ES"/>
        </w:rPr>
        <w:t>I</w:t>
      </w:r>
      <w:r w:rsidR="006C19B2" w:rsidRPr="00354B1E">
        <w:rPr>
          <w:rFonts w:ascii="Verdana" w:hAnsi="Verdana"/>
          <w:b/>
          <w:sz w:val="20"/>
          <w:szCs w:val="20"/>
          <w:lang w:val="es-ES"/>
        </w:rPr>
        <w:t xml:space="preserve">I. </w:t>
      </w:r>
      <w:r w:rsidR="004432F6" w:rsidRPr="00354B1E">
        <w:rPr>
          <w:rFonts w:ascii="Verdana" w:hAnsi="Verdana"/>
          <w:b/>
          <w:sz w:val="20"/>
          <w:szCs w:val="20"/>
          <w:lang w:val="es-ES"/>
        </w:rPr>
        <w:t xml:space="preserve">EL DERECHO AL MEDIO AMBIENTE SANO EN </w:t>
      </w:r>
      <w:r w:rsidR="00FE0661">
        <w:rPr>
          <w:rFonts w:ascii="Verdana" w:hAnsi="Verdana"/>
          <w:b/>
          <w:sz w:val="20"/>
          <w:szCs w:val="20"/>
          <w:lang w:val="es-ES"/>
        </w:rPr>
        <w:t>LA</w:t>
      </w:r>
      <w:r w:rsidR="004432F6" w:rsidRPr="00354B1E">
        <w:rPr>
          <w:rFonts w:ascii="Verdana" w:hAnsi="Verdana"/>
          <w:b/>
          <w:sz w:val="20"/>
          <w:szCs w:val="20"/>
          <w:lang w:val="es-ES"/>
        </w:rPr>
        <w:t xml:space="preserve"> JURISPRUDENCIA DE LA CORTE INTERAMERICANA</w:t>
      </w:r>
    </w:p>
    <w:p w14:paraId="499354A6" w14:textId="77777777" w:rsidR="004432F6" w:rsidRPr="00354B1E" w:rsidRDefault="004432F6" w:rsidP="006B7EA6">
      <w:pPr>
        <w:pStyle w:val="Prrafodelista"/>
        <w:ind w:left="0"/>
        <w:jc w:val="both"/>
        <w:rPr>
          <w:rFonts w:ascii="Verdana" w:hAnsi="Verdana"/>
          <w:sz w:val="20"/>
          <w:szCs w:val="20"/>
          <w:lang w:val="es-ES"/>
        </w:rPr>
      </w:pPr>
    </w:p>
    <w:p w14:paraId="5BB32A71" w14:textId="48685EB0" w:rsidR="00756F61" w:rsidRPr="00354B1E" w:rsidRDefault="00B51BDA" w:rsidP="006B7EA6">
      <w:pPr>
        <w:pStyle w:val="Prrafodelista"/>
        <w:ind w:left="0"/>
        <w:jc w:val="both"/>
        <w:rPr>
          <w:rFonts w:ascii="Verdana" w:hAnsi="Verdana"/>
          <w:i/>
          <w:iCs/>
          <w:sz w:val="20"/>
          <w:szCs w:val="20"/>
          <w:u w:val="single"/>
          <w:lang w:val="es-ES"/>
        </w:rPr>
      </w:pPr>
      <w:r w:rsidRPr="00354B1E">
        <w:rPr>
          <w:rFonts w:ascii="Verdana" w:hAnsi="Verdana"/>
          <w:i/>
          <w:iCs/>
          <w:sz w:val="20"/>
          <w:szCs w:val="20"/>
          <w:u w:val="single"/>
          <w:lang w:val="es-ES"/>
        </w:rPr>
        <w:t>1</w:t>
      </w:r>
      <w:r w:rsidR="00756F61" w:rsidRPr="00354B1E">
        <w:rPr>
          <w:rFonts w:ascii="Verdana" w:hAnsi="Verdana"/>
          <w:i/>
          <w:iCs/>
          <w:sz w:val="20"/>
          <w:szCs w:val="20"/>
          <w:u w:val="single"/>
          <w:lang w:val="es-ES"/>
        </w:rPr>
        <w:t xml:space="preserve">. El medio ambiente en la jurisprudencia </w:t>
      </w:r>
      <w:r w:rsidR="00FE0661">
        <w:rPr>
          <w:rFonts w:ascii="Verdana" w:hAnsi="Verdana"/>
          <w:i/>
          <w:iCs/>
          <w:sz w:val="20"/>
          <w:szCs w:val="20"/>
          <w:u w:val="single"/>
          <w:lang w:val="es-ES"/>
        </w:rPr>
        <w:t>por la vía de la conexidad con los derechos civiles y pol</w:t>
      </w:r>
      <w:r w:rsidR="00FE602F">
        <w:rPr>
          <w:rFonts w:ascii="Verdana" w:hAnsi="Verdana"/>
          <w:i/>
          <w:iCs/>
          <w:sz w:val="20"/>
          <w:szCs w:val="20"/>
          <w:u w:val="single"/>
          <w:lang w:val="es-ES"/>
        </w:rPr>
        <w:t>íticos</w:t>
      </w:r>
      <w:r w:rsidR="00756F61" w:rsidRPr="00354B1E">
        <w:rPr>
          <w:rFonts w:ascii="Verdana" w:hAnsi="Verdana"/>
          <w:i/>
          <w:iCs/>
          <w:sz w:val="20"/>
          <w:szCs w:val="20"/>
          <w:u w:val="single"/>
          <w:lang w:val="es-ES"/>
        </w:rPr>
        <w:t xml:space="preserve"> </w:t>
      </w:r>
    </w:p>
    <w:p w14:paraId="3835289D" w14:textId="77777777" w:rsidR="006C19B2" w:rsidRPr="00354B1E" w:rsidRDefault="006C19B2" w:rsidP="006B7EA6">
      <w:pPr>
        <w:pStyle w:val="Prrafodelista"/>
        <w:ind w:left="0"/>
        <w:jc w:val="both"/>
        <w:rPr>
          <w:rFonts w:ascii="Verdana" w:hAnsi="Verdana"/>
          <w:sz w:val="20"/>
          <w:szCs w:val="20"/>
          <w:lang w:val="es-ES"/>
        </w:rPr>
      </w:pPr>
    </w:p>
    <w:p w14:paraId="636C8F16" w14:textId="7EBC5467" w:rsidR="002F773D" w:rsidRPr="00354B1E" w:rsidRDefault="0041792F" w:rsidP="0041792F">
      <w:pPr>
        <w:pStyle w:val="Prrafodelista"/>
        <w:ind w:left="0"/>
        <w:jc w:val="both"/>
        <w:rPr>
          <w:rFonts w:ascii="Verdana" w:hAnsi="Verdana"/>
          <w:sz w:val="20"/>
          <w:szCs w:val="20"/>
          <w:lang w:val="es-ES"/>
        </w:rPr>
      </w:pPr>
      <w:r>
        <w:rPr>
          <w:rFonts w:ascii="Verdana" w:hAnsi="Verdana" w:cs="Arial"/>
          <w:sz w:val="20"/>
          <w:szCs w:val="20"/>
          <w:lang w:val="es-ES"/>
        </w:rPr>
        <w:t xml:space="preserve">16. </w:t>
      </w:r>
      <w:r>
        <w:rPr>
          <w:rFonts w:ascii="Verdana" w:hAnsi="Verdana" w:cs="Arial"/>
          <w:sz w:val="20"/>
          <w:szCs w:val="20"/>
          <w:lang w:val="es-ES"/>
        </w:rPr>
        <w:tab/>
      </w:r>
      <w:r w:rsidR="002F773D" w:rsidRPr="00354B1E">
        <w:rPr>
          <w:rFonts w:ascii="Verdana" w:hAnsi="Verdana" w:cs="Arial"/>
          <w:sz w:val="20"/>
          <w:szCs w:val="20"/>
          <w:lang w:val="es-ES"/>
        </w:rPr>
        <w:t xml:space="preserve">El derecho al medio ambiente sano ha sido protegido de manera indirecta través del artículo 21 (mediante la propiedad colectiva de los pueblos indígenas y tribales), artículo 23 (mediante la participación efectiva de consulta) y el artículo 13 (mediante el acceso a la información). </w:t>
      </w:r>
    </w:p>
    <w:p w14:paraId="40D54152" w14:textId="77777777" w:rsidR="002F773D" w:rsidRPr="00354B1E" w:rsidRDefault="002F773D" w:rsidP="006B7EA6">
      <w:pPr>
        <w:pStyle w:val="Prrafodelista"/>
        <w:ind w:left="0"/>
        <w:jc w:val="both"/>
        <w:rPr>
          <w:rFonts w:ascii="Verdana" w:hAnsi="Verdana"/>
          <w:sz w:val="20"/>
          <w:szCs w:val="20"/>
          <w:lang w:val="es-ES"/>
        </w:rPr>
      </w:pPr>
    </w:p>
    <w:p w14:paraId="4B4941D3" w14:textId="104FE90B" w:rsidR="002F773D" w:rsidRPr="00354B1E" w:rsidRDefault="0041792F" w:rsidP="0041792F">
      <w:pPr>
        <w:pStyle w:val="Prrafodelista"/>
        <w:ind w:left="0"/>
        <w:jc w:val="both"/>
        <w:rPr>
          <w:rFonts w:ascii="Verdana" w:hAnsi="Verdana"/>
          <w:sz w:val="20"/>
          <w:szCs w:val="20"/>
          <w:lang w:val="es-ES"/>
        </w:rPr>
      </w:pPr>
      <w:r>
        <w:rPr>
          <w:rFonts w:ascii="Verdana" w:hAnsi="Verdana" w:cs="Arial"/>
          <w:sz w:val="20"/>
          <w:szCs w:val="20"/>
          <w:lang w:val="es-ES"/>
        </w:rPr>
        <w:t xml:space="preserve">17. </w:t>
      </w:r>
      <w:r>
        <w:rPr>
          <w:rFonts w:ascii="Verdana" w:hAnsi="Verdana" w:cs="Arial"/>
          <w:sz w:val="20"/>
          <w:szCs w:val="20"/>
          <w:lang w:val="es-ES"/>
        </w:rPr>
        <w:tab/>
      </w:r>
      <w:r w:rsidR="002F773D" w:rsidRPr="00354B1E">
        <w:rPr>
          <w:rFonts w:ascii="Verdana" w:hAnsi="Verdana" w:cs="Arial"/>
          <w:sz w:val="20"/>
          <w:szCs w:val="20"/>
          <w:lang w:val="es-ES"/>
        </w:rPr>
        <w:t xml:space="preserve">La protección al medio ambiente ha tenido mayor presencia en la jurisprudencia interamericana en lo relativo a la propiedad colectiva de los pueblos y comunidades indígenas y tribales, que ha protegido principalmente el Tribunal Interamericano mediante el </w:t>
      </w:r>
      <w:r w:rsidR="00B51BDA" w:rsidRPr="00354B1E">
        <w:rPr>
          <w:rFonts w:ascii="Verdana" w:hAnsi="Verdana" w:cs="Arial"/>
          <w:sz w:val="20"/>
          <w:szCs w:val="20"/>
          <w:lang w:val="es-ES"/>
        </w:rPr>
        <w:t>artículo</w:t>
      </w:r>
      <w:r w:rsidR="002F773D" w:rsidRPr="00354B1E">
        <w:rPr>
          <w:rFonts w:ascii="Verdana" w:hAnsi="Verdana" w:cs="Arial"/>
          <w:sz w:val="20"/>
          <w:szCs w:val="20"/>
          <w:lang w:val="es-ES"/>
        </w:rPr>
        <w:t xml:space="preserve"> 21 de la </w:t>
      </w:r>
      <w:r w:rsidR="006D0AC0">
        <w:rPr>
          <w:rFonts w:ascii="Verdana" w:hAnsi="Verdana" w:cs="Arial"/>
          <w:sz w:val="20"/>
          <w:szCs w:val="20"/>
          <w:lang w:val="es-ES"/>
        </w:rPr>
        <w:t>Convención Americana</w:t>
      </w:r>
      <w:r w:rsidR="002F773D" w:rsidRPr="00354B1E">
        <w:rPr>
          <w:rFonts w:ascii="Verdana" w:hAnsi="Verdana" w:cs="Arial"/>
          <w:sz w:val="20"/>
          <w:szCs w:val="20"/>
          <w:lang w:val="es-ES"/>
        </w:rPr>
        <w:t xml:space="preserve">. La Corte IDH ha resaltado la importancia de la protección, preservación y mejoramiento del medio ambiente contenido en el artículo 11 </w:t>
      </w:r>
      <w:r>
        <w:rPr>
          <w:rFonts w:ascii="Verdana" w:hAnsi="Verdana" w:cs="Arial"/>
          <w:sz w:val="20"/>
          <w:szCs w:val="20"/>
          <w:lang w:val="es-ES"/>
        </w:rPr>
        <w:t xml:space="preserve">del </w:t>
      </w:r>
      <w:r w:rsidR="002F773D" w:rsidRPr="00354B1E">
        <w:rPr>
          <w:rFonts w:ascii="Verdana" w:hAnsi="Verdana" w:cs="Arial"/>
          <w:sz w:val="20"/>
          <w:szCs w:val="20"/>
          <w:lang w:val="es-ES"/>
        </w:rPr>
        <w:t>Protocolo de San Salvador</w:t>
      </w:r>
      <w:r w:rsidR="006D0AC0">
        <w:rPr>
          <w:rStyle w:val="Refdenotaalpie"/>
          <w:rFonts w:ascii="Verdana" w:hAnsi="Verdana" w:cs="Arial"/>
          <w:sz w:val="20"/>
          <w:szCs w:val="20"/>
          <w:lang w:val="es-ES"/>
        </w:rPr>
        <w:footnoteReference w:id="18"/>
      </w:r>
      <w:r w:rsidR="008E72FA">
        <w:rPr>
          <w:rFonts w:ascii="Verdana" w:hAnsi="Verdana" w:cs="Arial"/>
          <w:sz w:val="20"/>
          <w:szCs w:val="20"/>
          <w:lang w:val="es-ES"/>
        </w:rPr>
        <w:t>,</w:t>
      </w:r>
      <w:r w:rsidR="002F773D" w:rsidRPr="00354B1E">
        <w:rPr>
          <w:rFonts w:ascii="Verdana" w:hAnsi="Verdana" w:cs="Arial"/>
          <w:sz w:val="20"/>
          <w:szCs w:val="20"/>
          <w:lang w:val="es-ES"/>
        </w:rPr>
        <w:t xml:space="preserve"> como un derecho humano esencial relacionado con el derecho a la vida digna derivado del artículo 4 de</w:t>
      </w:r>
      <w:r w:rsidR="00FC6A07">
        <w:rPr>
          <w:rFonts w:ascii="Verdana" w:hAnsi="Verdana" w:cs="Arial"/>
          <w:sz w:val="20"/>
          <w:szCs w:val="20"/>
          <w:lang w:val="es-ES"/>
        </w:rPr>
        <w:t>l</w:t>
      </w:r>
      <w:r w:rsidR="002F773D" w:rsidRPr="00354B1E">
        <w:rPr>
          <w:rFonts w:ascii="Verdana" w:hAnsi="Verdana" w:cs="Arial"/>
          <w:sz w:val="20"/>
          <w:szCs w:val="20"/>
          <w:lang w:val="es-ES"/>
        </w:rPr>
        <w:t xml:space="preserve"> </w:t>
      </w:r>
      <w:r w:rsidR="00FC6A07" w:rsidRPr="00FC6A07">
        <w:rPr>
          <w:rFonts w:ascii="Verdana" w:hAnsi="Verdana" w:cs="Arial"/>
          <w:sz w:val="20"/>
          <w:szCs w:val="20"/>
          <w:lang w:val="es-ES"/>
        </w:rPr>
        <w:t>Pacto de San José</w:t>
      </w:r>
      <w:r>
        <w:rPr>
          <w:rFonts w:ascii="Verdana" w:hAnsi="Verdana" w:cs="Arial"/>
          <w:sz w:val="20"/>
          <w:szCs w:val="20"/>
          <w:lang w:val="es-ES"/>
        </w:rPr>
        <w:t>;</w:t>
      </w:r>
      <w:r w:rsidR="002F773D" w:rsidRPr="00354B1E">
        <w:rPr>
          <w:rFonts w:ascii="Verdana" w:hAnsi="Verdana" w:cs="Arial"/>
          <w:sz w:val="20"/>
          <w:szCs w:val="20"/>
          <w:lang w:val="es-ES"/>
        </w:rPr>
        <w:t xml:space="preserve"> a la luz del </w:t>
      </w:r>
      <w:r w:rsidR="002F773D" w:rsidRPr="00354B1E">
        <w:rPr>
          <w:rFonts w:ascii="Verdana" w:hAnsi="Verdana" w:cs="Arial"/>
          <w:i/>
          <w:sz w:val="20"/>
          <w:szCs w:val="20"/>
          <w:lang w:val="es-ES"/>
        </w:rPr>
        <w:t>corpus iuris</w:t>
      </w:r>
      <w:r w:rsidR="002F773D" w:rsidRPr="00354B1E">
        <w:rPr>
          <w:rFonts w:ascii="Verdana" w:hAnsi="Verdana" w:cs="Arial"/>
          <w:sz w:val="20"/>
          <w:szCs w:val="20"/>
          <w:lang w:val="es-ES"/>
        </w:rPr>
        <w:t xml:space="preserve"> internacional existente sobre la protección especial que requieren los miembros de las comunidades indígenas “en relación con el deber general de garantía contenido en el artículo 1.1 y con el deber de desarrollo progresivo contenido en el artículo 26 de la misma”</w:t>
      </w:r>
      <w:r w:rsidR="002F773D" w:rsidRPr="00354B1E">
        <w:rPr>
          <w:rStyle w:val="Refdenotaalpie"/>
          <w:rFonts w:ascii="Verdana" w:hAnsi="Verdana" w:cs="Arial"/>
          <w:sz w:val="20"/>
          <w:szCs w:val="20"/>
          <w:lang w:val="es-ES"/>
        </w:rPr>
        <w:footnoteReference w:id="19"/>
      </w:r>
      <w:r w:rsidR="002F773D" w:rsidRPr="00354B1E">
        <w:rPr>
          <w:rFonts w:ascii="Verdana" w:hAnsi="Verdana" w:cs="Arial"/>
          <w:sz w:val="20"/>
          <w:szCs w:val="20"/>
          <w:lang w:val="es-ES"/>
        </w:rPr>
        <w:t xml:space="preserve">. </w:t>
      </w:r>
    </w:p>
    <w:p w14:paraId="546F1591" w14:textId="77777777" w:rsidR="002F773D" w:rsidRPr="00354B1E" w:rsidRDefault="002F773D" w:rsidP="006B7EA6">
      <w:pPr>
        <w:pStyle w:val="Prrafodelista"/>
        <w:jc w:val="both"/>
        <w:rPr>
          <w:rFonts w:ascii="Verdana" w:hAnsi="Verdana" w:cs="Arial"/>
          <w:sz w:val="20"/>
          <w:szCs w:val="20"/>
          <w:lang w:val="es-ES"/>
        </w:rPr>
      </w:pPr>
    </w:p>
    <w:p w14:paraId="16FE9536" w14:textId="2C428AE4" w:rsidR="00ED3E9D" w:rsidRPr="00E74078" w:rsidRDefault="008F6A3F" w:rsidP="00ED3E9D">
      <w:pPr>
        <w:pStyle w:val="Prrafodelista"/>
        <w:ind w:left="0"/>
        <w:jc w:val="both"/>
        <w:rPr>
          <w:rFonts w:ascii="Verdana" w:hAnsi="Verdana"/>
          <w:color w:val="ED0000"/>
          <w:sz w:val="20"/>
          <w:szCs w:val="20"/>
          <w:lang w:val="es-ES"/>
        </w:rPr>
      </w:pPr>
      <w:r>
        <w:rPr>
          <w:rFonts w:ascii="Verdana" w:hAnsi="Verdana" w:cs="Arial"/>
          <w:sz w:val="20"/>
          <w:szCs w:val="20"/>
          <w:lang w:val="es-ES"/>
        </w:rPr>
        <w:t xml:space="preserve">18. </w:t>
      </w:r>
      <w:r>
        <w:rPr>
          <w:rFonts w:ascii="Verdana" w:hAnsi="Verdana" w:cs="Arial"/>
          <w:sz w:val="20"/>
          <w:szCs w:val="20"/>
          <w:lang w:val="es-ES"/>
        </w:rPr>
        <w:tab/>
      </w:r>
      <w:r w:rsidR="002F773D" w:rsidRPr="00354B1E">
        <w:rPr>
          <w:rFonts w:ascii="Verdana" w:hAnsi="Verdana" w:cs="Arial"/>
          <w:sz w:val="20"/>
          <w:szCs w:val="20"/>
          <w:lang w:val="es-ES"/>
        </w:rPr>
        <w:t>La Corte I</w:t>
      </w:r>
      <w:r>
        <w:rPr>
          <w:rFonts w:ascii="Verdana" w:hAnsi="Verdana" w:cs="Arial"/>
          <w:sz w:val="20"/>
          <w:szCs w:val="20"/>
          <w:lang w:val="es-ES"/>
        </w:rPr>
        <w:t>DH</w:t>
      </w:r>
      <w:r w:rsidR="002F773D" w:rsidRPr="00354B1E">
        <w:rPr>
          <w:rFonts w:ascii="Verdana" w:hAnsi="Verdana" w:cs="Arial"/>
          <w:sz w:val="20"/>
          <w:szCs w:val="20"/>
          <w:lang w:val="es-ES"/>
        </w:rPr>
        <w:t xml:space="preserve"> ha reconocido que las comunidades sufren de la desposesión de los territorios indígenas y tribales, daños que se le ocasionan al mismo territorio y que, además, los pueblos indígenas y tribales </w:t>
      </w:r>
      <w:r w:rsidR="002F773D" w:rsidRPr="00354B1E">
        <w:rPr>
          <w:rFonts w:ascii="Verdana" w:hAnsi="Verdana" w:cs="Arial"/>
          <w:i/>
          <w:sz w:val="20"/>
          <w:szCs w:val="20"/>
          <w:lang w:val="es-ES"/>
        </w:rPr>
        <w:t>tienen derecho a la conservación y protección de su medio ambiente</w:t>
      </w:r>
      <w:r w:rsidR="002F773D" w:rsidRPr="00354B1E">
        <w:rPr>
          <w:rFonts w:ascii="Verdana" w:hAnsi="Verdana" w:cs="Arial"/>
          <w:sz w:val="20"/>
          <w:szCs w:val="20"/>
          <w:lang w:val="es-ES"/>
        </w:rPr>
        <w:t xml:space="preserve"> y de la capacidad productiva de sus territorios y recursos naturales</w:t>
      </w:r>
      <w:r w:rsidR="002F773D" w:rsidRPr="00354B1E">
        <w:rPr>
          <w:rStyle w:val="Refdenotaalpie"/>
          <w:rFonts w:ascii="Verdana" w:hAnsi="Verdana" w:cs="Arial"/>
          <w:sz w:val="20"/>
          <w:szCs w:val="20"/>
          <w:lang w:val="es-ES"/>
        </w:rPr>
        <w:footnoteReference w:id="20"/>
      </w:r>
      <w:r w:rsidR="002F773D" w:rsidRPr="00354B1E">
        <w:rPr>
          <w:rFonts w:ascii="Verdana" w:hAnsi="Verdana" w:cs="Arial"/>
          <w:sz w:val="20"/>
          <w:szCs w:val="20"/>
          <w:lang w:val="es-ES"/>
        </w:rPr>
        <w:t xml:space="preserve">. De esta manera, podemos </w:t>
      </w:r>
      <w:r>
        <w:rPr>
          <w:rFonts w:ascii="Verdana" w:hAnsi="Verdana" w:cs="Arial"/>
          <w:sz w:val="20"/>
          <w:szCs w:val="20"/>
          <w:lang w:val="es-ES"/>
        </w:rPr>
        <w:t>advertir</w:t>
      </w:r>
      <w:r w:rsidR="002F773D" w:rsidRPr="00354B1E">
        <w:rPr>
          <w:rFonts w:ascii="Verdana" w:hAnsi="Verdana" w:cs="Arial"/>
          <w:sz w:val="20"/>
          <w:szCs w:val="20"/>
          <w:lang w:val="es-ES"/>
        </w:rPr>
        <w:t xml:space="preserve"> dos vertientes de garantías de protección: a) la consulta</w:t>
      </w:r>
      <w:r>
        <w:rPr>
          <w:rFonts w:ascii="Verdana" w:hAnsi="Verdana" w:cs="Arial"/>
          <w:sz w:val="20"/>
          <w:szCs w:val="20"/>
          <w:lang w:val="es-ES"/>
        </w:rPr>
        <w:t xml:space="preserve"> —</w:t>
      </w:r>
      <w:r w:rsidR="002F773D" w:rsidRPr="00354B1E">
        <w:rPr>
          <w:rFonts w:ascii="Verdana" w:hAnsi="Verdana" w:cs="Arial"/>
          <w:sz w:val="20"/>
          <w:szCs w:val="20"/>
          <w:lang w:val="es-ES"/>
        </w:rPr>
        <w:t xml:space="preserve">en </w:t>
      </w:r>
      <w:r w:rsidR="001934E2" w:rsidRPr="00354B1E">
        <w:rPr>
          <w:rFonts w:ascii="Verdana" w:hAnsi="Verdana" w:cs="Arial"/>
          <w:sz w:val="20"/>
          <w:szCs w:val="20"/>
          <w:lang w:val="es-ES"/>
        </w:rPr>
        <w:t>específico</w:t>
      </w:r>
      <w:r w:rsidR="002F773D" w:rsidRPr="00354B1E">
        <w:rPr>
          <w:rFonts w:ascii="Verdana" w:hAnsi="Verdana" w:cs="Arial"/>
          <w:sz w:val="20"/>
          <w:szCs w:val="20"/>
          <w:lang w:val="es-ES"/>
        </w:rPr>
        <w:t xml:space="preserve"> los estudios de impacto ambiental y social</w:t>
      </w:r>
      <w:r>
        <w:rPr>
          <w:rFonts w:ascii="Verdana" w:hAnsi="Verdana" w:cs="Arial"/>
          <w:sz w:val="20"/>
          <w:szCs w:val="20"/>
          <w:lang w:val="es-ES"/>
        </w:rPr>
        <w:t>—</w:t>
      </w:r>
      <w:r w:rsidR="002F773D" w:rsidRPr="00354B1E">
        <w:rPr>
          <w:rFonts w:ascii="Verdana" w:hAnsi="Verdana" w:cs="Arial"/>
          <w:sz w:val="20"/>
          <w:szCs w:val="20"/>
          <w:lang w:val="es-ES"/>
        </w:rPr>
        <w:t xml:space="preserve"> y b) la compatibilidad de las reservas naturales con los derechos tradicionales indígenas.</w:t>
      </w:r>
    </w:p>
    <w:p w14:paraId="1687F5A1" w14:textId="77777777" w:rsidR="002F773D" w:rsidRPr="00ED3E9D" w:rsidRDefault="002F773D" w:rsidP="00ED3E9D">
      <w:pPr>
        <w:jc w:val="both"/>
        <w:rPr>
          <w:rFonts w:ascii="Verdana" w:hAnsi="Verdana" w:cs="Arial"/>
          <w:sz w:val="20"/>
          <w:szCs w:val="20"/>
          <w:lang w:val="es-ES"/>
        </w:rPr>
      </w:pPr>
    </w:p>
    <w:p w14:paraId="6E206DF1" w14:textId="0CD55044" w:rsidR="002F773D" w:rsidRPr="00354B1E" w:rsidRDefault="008F6A3F" w:rsidP="008F6A3F">
      <w:pPr>
        <w:pStyle w:val="Prrafodelista"/>
        <w:ind w:left="0"/>
        <w:jc w:val="both"/>
        <w:rPr>
          <w:rFonts w:ascii="Verdana" w:hAnsi="Verdana"/>
          <w:sz w:val="20"/>
          <w:szCs w:val="20"/>
          <w:lang w:val="es-ES"/>
        </w:rPr>
      </w:pPr>
      <w:r>
        <w:rPr>
          <w:rFonts w:ascii="Verdana" w:hAnsi="Verdana" w:cs="Arial"/>
          <w:sz w:val="20"/>
          <w:szCs w:val="20"/>
          <w:lang w:val="es-ES"/>
        </w:rPr>
        <w:t xml:space="preserve">19. </w:t>
      </w:r>
      <w:r>
        <w:rPr>
          <w:rFonts w:ascii="Verdana" w:hAnsi="Verdana" w:cs="Arial"/>
          <w:sz w:val="20"/>
          <w:szCs w:val="20"/>
          <w:lang w:val="es-ES"/>
        </w:rPr>
        <w:tab/>
      </w:r>
      <w:r w:rsidR="002F773D" w:rsidRPr="00354B1E">
        <w:rPr>
          <w:rFonts w:ascii="Verdana" w:hAnsi="Verdana" w:cs="Arial"/>
          <w:sz w:val="20"/>
          <w:szCs w:val="20"/>
          <w:lang w:val="es-ES"/>
        </w:rPr>
        <w:t xml:space="preserve">Sobre la consulta indígena y la falta de estudios de impacto ambiental y social como garantía de protección al ambiente, en el caso del </w:t>
      </w:r>
      <w:r w:rsidR="002F773D" w:rsidRPr="00354B1E">
        <w:rPr>
          <w:rFonts w:ascii="Verdana" w:hAnsi="Verdana" w:cs="Arial"/>
          <w:i/>
          <w:sz w:val="20"/>
          <w:szCs w:val="20"/>
          <w:lang w:val="es-ES"/>
        </w:rPr>
        <w:t xml:space="preserve">Pueblo Saramaka Vs. Surinam, </w:t>
      </w:r>
      <w:r w:rsidR="002F773D" w:rsidRPr="00354B1E">
        <w:rPr>
          <w:rFonts w:ascii="Verdana" w:hAnsi="Verdana" w:cs="Arial"/>
          <w:sz w:val="20"/>
          <w:szCs w:val="20"/>
          <w:lang w:val="es-ES"/>
        </w:rPr>
        <w:t>ante la ausencia de: a) un proceso de consulta previa, libre, informada y de buena fe, b) beneficios compartidos y c) estudios de impacto ambiental y social</w:t>
      </w:r>
      <w:r w:rsidR="00DF7AD9">
        <w:rPr>
          <w:rFonts w:ascii="Verdana" w:hAnsi="Verdana" w:cs="Arial"/>
          <w:sz w:val="20"/>
          <w:szCs w:val="20"/>
          <w:lang w:val="es-ES"/>
        </w:rPr>
        <w:t>;</w:t>
      </w:r>
      <w:r w:rsidR="002F773D" w:rsidRPr="00354B1E">
        <w:rPr>
          <w:rFonts w:ascii="Verdana" w:hAnsi="Verdana" w:cs="Arial"/>
          <w:sz w:val="20"/>
          <w:szCs w:val="20"/>
          <w:lang w:val="es-ES"/>
        </w:rPr>
        <w:t xml:space="preserve"> el Tribunal Interamericano consideró que las concesiones madereras otorgadas por el Estado sobre el territorio Saramaka </w:t>
      </w:r>
      <w:r w:rsidR="002F773D" w:rsidRPr="00354B1E">
        <w:rPr>
          <w:rFonts w:ascii="Verdana" w:hAnsi="Verdana" w:cs="Arial"/>
          <w:i/>
          <w:sz w:val="20"/>
          <w:szCs w:val="20"/>
          <w:lang w:val="es-ES"/>
        </w:rPr>
        <w:t>dañó el ambiente</w:t>
      </w:r>
      <w:r w:rsidR="002F773D" w:rsidRPr="00354B1E">
        <w:rPr>
          <w:rFonts w:ascii="Verdana" w:hAnsi="Verdana" w:cs="Arial"/>
          <w:sz w:val="20"/>
          <w:szCs w:val="20"/>
          <w:lang w:val="es-ES"/>
        </w:rPr>
        <w:t xml:space="preserve"> y el deterioro tuvo un impacto negativo sobre las tierras y los recursos naturales que los miembros del pueblo habían utilizado tradicionalmente, </w:t>
      </w:r>
      <w:r w:rsidR="002F773D" w:rsidRPr="00354B1E">
        <w:rPr>
          <w:rFonts w:ascii="Verdana" w:eastAsiaTheme="minorEastAsia" w:hAnsi="Verdana" w:cs="Arial"/>
          <w:sz w:val="20"/>
          <w:szCs w:val="20"/>
          <w:lang w:val="es-ES"/>
        </w:rPr>
        <w:t xml:space="preserve">los que se </w:t>
      </w:r>
      <w:r w:rsidR="00354B1E" w:rsidRPr="00354B1E">
        <w:rPr>
          <w:rFonts w:ascii="Verdana" w:eastAsiaTheme="minorEastAsia" w:hAnsi="Verdana" w:cs="Arial"/>
          <w:sz w:val="20"/>
          <w:szCs w:val="20"/>
          <w:lang w:val="es-ES"/>
        </w:rPr>
        <w:t>encuentran</w:t>
      </w:r>
      <w:r w:rsidR="002F773D" w:rsidRPr="00354B1E">
        <w:rPr>
          <w:rFonts w:ascii="Verdana" w:eastAsiaTheme="minorEastAsia" w:hAnsi="Verdana" w:cs="Arial"/>
          <w:sz w:val="20"/>
          <w:szCs w:val="20"/>
          <w:lang w:val="es-ES"/>
        </w:rPr>
        <w:t xml:space="preserve">, en todo o en parte, dentro de los límites del territorio sobre el cual tenían un derecho a la propiedad comunal. Además, el Estado </w:t>
      </w:r>
      <w:r w:rsidR="00721EEC" w:rsidRPr="00354B1E">
        <w:rPr>
          <w:rFonts w:ascii="Verdana" w:eastAsiaTheme="minorEastAsia" w:hAnsi="Verdana" w:cs="Arial"/>
          <w:sz w:val="20"/>
          <w:szCs w:val="20"/>
          <w:lang w:val="es-ES"/>
        </w:rPr>
        <w:t>no había</w:t>
      </w:r>
      <w:r w:rsidR="002F773D" w:rsidRPr="00354B1E">
        <w:rPr>
          <w:rFonts w:ascii="Verdana" w:eastAsiaTheme="minorEastAsia" w:hAnsi="Verdana" w:cs="Arial"/>
          <w:sz w:val="20"/>
          <w:szCs w:val="20"/>
          <w:lang w:val="es-ES"/>
        </w:rPr>
        <w:t xml:space="preserve"> llevado a cabo la supervisión de estudios ambientales y sociales previos ni puso en práctica garantías o mecanismos a fin de asegurar que estas concesiones madereras no causaran un daño mayor al territorio y comunidades del clan Saramaka. En suma, concluyó que se configuraba una violación al derecho de propiedad de los integrantes del pueblo Saramaka reconocido en el artículo 21 del Pacto de San José, en relación con el artículo 1.1 de dicho instrumento</w:t>
      </w:r>
      <w:r w:rsidR="002F773D" w:rsidRPr="00354B1E">
        <w:rPr>
          <w:rStyle w:val="Refdenotaalpie"/>
          <w:rFonts w:ascii="Verdana" w:eastAsiaTheme="minorEastAsia" w:hAnsi="Verdana" w:cs="Arial"/>
          <w:sz w:val="20"/>
          <w:szCs w:val="20"/>
          <w:lang w:val="es-ES"/>
        </w:rPr>
        <w:footnoteReference w:id="21"/>
      </w:r>
      <w:r w:rsidR="002F773D" w:rsidRPr="00354B1E">
        <w:rPr>
          <w:rFonts w:ascii="Verdana" w:eastAsiaTheme="minorEastAsia" w:hAnsi="Verdana" w:cs="Arial"/>
          <w:sz w:val="20"/>
          <w:szCs w:val="20"/>
          <w:lang w:val="es-ES"/>
        </w:rPr>
        <w:t>.</w:t>
      </w:r>
    </w:p>
    <w:p w14:paraId="0071C4F9" w14:textId="77777777" w:rsidR="002F773D" w:rsidRPr="00354B1E" w:rsidRDefault="002F773D" w:rsidP="006B7EA6">
      <w:pPr>
        <w:pStyle w:val="Prrafodelista"/>
        <w:ind w:left="0"/>
        <w:jc w:val="both"/>
        <w:rPr>
          <w:rFonts w:ascii="Verdana" w:hAnsi="Verdana"/>
          <w:sz w:val="20"/>
          <w:szCs w:val="20"/>
          <w:lang w:val="es-ES"/>
        </w:rPr>
      </w:pPr>
    </w:p>
    <w:p w14:paraId="7D2ECF5A" w14:textId="0E4405DE" w:rsidR="002F773D" w:rsidRPr="00354B1E" w:rsidRDefault="008F6A3F" w:rsidP="008F6A3F">
      <w:pPr>
        <w:pStyle w:val="Prrafodelista"/>
        <w:ind w:left="0"/>
        <w:jc w:val="both"/>
        <w:rPr>
          <w:rFonts w:ascii="Verdana" w:hAnsi="Verdana"/>
          <w:sz w:val="20"/>
          <w:szCs w:val="20"/>
          <w:lang w:val="es-ES"/>
        </w:rPr>
      </w:pPr>
      <w:r>
        <w:rPr>
          <w:rFonts w:ascii="Verdana" w:eastAsiaTheme="minorEastAsia" w:hAnsi="Verdana" w:cs="Arial"/>
          <w:sz w:val="20"/>
          <w:szCs w:val="20"/>
          <w:lang w:val="es-ES"/>
        </w:rPr>
        <w:t xml:space="preserve">20. </w:t>
      </w:r>
      <w:r>
        <w:rPr>
          <w:rFonts w:ascii="Verdana" w:eastAsiaTheme="minorEastAsia" w:hAnsi="Verdana" w:cs="Arial"/>
          <w:sz w:val="20"/>
          <w:szCs w:val="20"/>
          <w:lang w:val="es-ES"/>
        </w:rPr>
        <w:tab/>
      </w:r>
      <w:r w:rsidR="002F773D" w:rsidRPr="00354B1E">
        <w:rPr>
          <w:rFonts w:ascii="Verdana" w:eastAsiaTheme="minorEastAsia" w:hAnsi="Verdana" w:cs="Arial"/>
          <w:sz w:val="20"/>
          <w:szCs w:val="20"/>
          <w:lang w:val="es-ES"/>
        </w:rPr>
        <w:t xml:space="preserve">En el </w:t>
      </w:r>
      <w:r w:rsidR="00FC6A07" w:rsidRPr="008E72FA">
        <w:rPr>
          <w:rFonts w:ascii="Verdana" w:eastAsiaTheme="minorEastAsia" w:hAnsi="Verdana" w:cs="Arial"/>
          <w:sz w:val="20"/>
          <w:szCs w:val="20"/>
          <w:lang w:val="es-ES"/>
        </w:rPr>
        <w:t>c</w:t>
      </w:r>
      <w:r w:rsidR="002F773D" w:rsidRPr="008E72FA">
        <w:rPr>
          <w:rFonts w:ascii="Verdana" w:eastAsiaTheme="minorEastAsia" w:hAnsi="Verdana" w:cs="Arial"/>
          <w:sz w:val="20"/>
          <w:szCs w:val="20"/>
          <w:lang w:val="es-ES"/>
        </w:rPr>
        <w:t>aso del</w:t>
      </w:r>
      <w:r w:rsidR="002F773D" w:rsidRPr="00354B1E">
        <w:rPr>
          <w:rFonts w:ascii="Verdana" w:eastAsiaTheme="minorEastAsia" w:hAnsi="Verdana" w:cs="Arial"/>
          <w:i/>
          <w:sz w:val="20"/>
          <w:szCs w:val="20"/>
          <w:lang w:val="es-ES"/>
        </w:rPr>
        <w:t xml:space="preserve"> Pueblo Indígena Kichwa de Sarayaku Vs. Ecuador</w:t>
      </w:r>
      <w:r w:rsidR="002F773D" w:rsidRPr="00354B1E">
        <w:rPr>
          <w:rFonts w:ascii="Verdana" w:eastAsiaTheme="minorEastAsia" w:hAnsi="Verdana" w:cs="Arial"/>
          <w:sz w:val="20"/>
          <w:szCs w:val="20"/>
          <w:lang w:val="es-ES"/>
        </w:rPr>
        <w:t xml:space="preserve">, sobre la obligación de llevar a cabo estudios de impacto ambiental, </w:t>
      </w:r>
      <w:r>
        <w:rPr>
          <w:rFonts w:ascii="Verdana" w:eastAsiaTheme="minorEastAsia" w:hAnsi="Verdana" w:cs="Arial"/>
          <w:sz w:val="20"/>
          <w:szCs w:val="20"/>
          <w:lang w:val="es-ES"/>
        </w:rPr>
        <w:t xml:space="preserve">la Corte IDH </w:t>
      </w:r>
      <w:r w:rsidR="002F773D" w:rsidRPr="00354B1E">
        <w:rPr>
          <w:rFonts w:ascii="Verdana" w:eastAsiaTheme="minorEastAsia" w:hAnsi="Verdana" w:cs="Arial"/>
          <w:sz w:val="20"/>
          <w:szCs w:val="20"/>
          <w:lang w:val="es-ES"/>
        </w:rPr>
        <w:t>se refirió por primera vez al Convenio 169 de la Organización Internacional de</w:t>
      </w:r>
      <w:r w:rsidR="00AE43D7">
        <w:rPr>
          <w:rFonts w:ascii="Verdana" w:eastAsiaTheme="minorEastAsia" w:hAnsi="Verdana" w:cs="Arial"/>
          <w:sz w:val="20"/>
          <w:szCs w:val="20"/>
          <w:lang w:val="es-ES"/>
        </w:rPr>
        <w:t>l</w:t>
      </w:r>
      <w:r w:rsidR="002F773D" w:rsidRPr="00354B1E">
        <w:rPr>
          <w:rFonts w:ascii="Verdana" w:eastAsiaTheme="minorEastAsia" w:hAnsi="Verdana" w:cs="Arial"/>
          <w:sz w:val="20"/>
          <w:szCs w:val="20"/>
          <w:lang w:val="es-ES"/>
        </w:rPr>
        <w:t xml:space="preserve"> Trabajo y consideró que los gobiernos deberían velar para que se efectúen los estudios de impacto ambiental y social, en cooperación con los pueblos interesados, a fin de evaluar la incidencia social, espiritual y cultural y sobre el medio ambiente que las actividades de desarrollo previstas puedan tener sobre esos pueblos. Los resultados de los estudios de impacto ambiental y social deberán ser considerados como criterios fundamentales para la ejecución de las actividades mencionadas</w:t>
      </w:r>
      <w:r w:rsidR="002F773D" w:rsidRPr="00354B1E">
        <w:rPr>
          <w:rStyle w:val="Refdenotaalpie"/>
          <w:rFonts w:ascii="Verdana" w:eastAsiaTheme="minorEastAsia" w:hAnsi="Verdana" w:cs="Arial"/>
          <w:sz w:val="20"/>
          <w:szCs w:val="20"/>
          <w:lang w:val="es-ES"/>
        </w:rPr>
        <w:footnoteReference w:id="22"/>
      </w:r>
      <w:r w:rsidR="002F773D" w:rsidRPr="00354B1E">
        <w:rPr>
          <w:rFonts w:ascii="Verdana" w:eastAsiaTheme="minorEastAsia" w:hAnsi="Verdana" w:cs="Arial"/>
          <w:sz w:val="20"/>
          <w:szCs w:val="20"/>
          <w:lang w:val="es-ES"/>
        </w:rPr>
        <w:t>.</w:t>
      </w:r>
      <w:r w:rsidR="002F773D" w:rsidRPr="00354B1E">
        <w:rPr>
          <w:rFonts w:ascii="Verdana" w:eastAsiaTheme="minorEastAsia" w:hAnsi="Verdana" w:cs="Arial"/>
          <w:b/>
          <w:sz w:val="20"/>
          <w:szCs w:val="20"/>
          <w:lang w:val="es-ES"/>
        </w:rPr>
        <w:t xml:space="preserve"> </w:t>
      </w:r>
    </w:p>
    <w:p w14:paraId="07D5B393" w14:textId="77777777" w:rsidR="002F773D" w:rsidRPr="00354B1E" w:rsidRDefault="002F773D" w:rsidP="006B7EA6">
      <w:pPr>
        <w:pStyle w:val="Prrafodelista"/>
        <w:jc w:val="both"/>
        <w:rPr>
          <w:rFonts w:ascii="Verdana" w:eastAsiaTheme="minorEastAsia" w:hAnsi="Verdana" w:cs="Arial"/>
          <w:sz w:val="20"/>
          <w:szCs w:val="20"/>
          <w:lang w:val="es-ES"/>
        </w:rPr>
      </w:pPr>
    </w:p>
    <w:p w14:paraId="6A8980C0" w14:textId="0FD4DED5" w:rsidR="001934E2" w:rsidRPr="00354B1E" w:rsidRDefault="008F6A3F" w:rsidP="008F6A3F">
      <w:pPr>
        <w:pStyle w:val="Prrafodelista"/>
        <w:ind w:left="0"/>
        <w:jc w:val="both"/>
        <w:rPr>
          <w:rFonts w:ascii="Verdana" w:hAnsi="Verdana"/>
          <w:sz w:val="20"/>
          <w:szCs w:val="20"/>
          <w:lang w:val="es-ES"/>
        </w:rPr>
      </w:pPr>
      <w:r>
        <w:rPr>
          <w:rFonts w:ascii="Verdana" w:eastAsiaTheme="minorEastAsia" w:hAnsi="Verdana" w:cs="Arial"/>
          <w:sz w:val="20"/>
          <w:szCs w:val="20"/>
          <w:lang w:val="es-ES"/>
        </w:rPr>
        <w:t xml:space="preserve">21. </w:t>
      </w:r>
      <w:r>
        <w:rPr>
          <w:rFonts w:ascii="Verdana" w:eastAsiaTheme="minorEastAsia" w:hAnsi="Verdana" w:cs="Arial"/>
          <w:sz w:val="20"/>
          <w:szCs w:val="20"/>
          <w:lang w:val="es-ES"/>
        </w:rPr>
        <w:tab/>
      </w:r>
      <w:r w:rsidR="002F773D" w:rsidRPr="00354B1E">
        <w:rPr>
          <w:rFonts w:ascii="Verdana" w:eastAsiaTheme="minorEastAsia" w:hAnsi="Verdana" w:cs="Arial"/>
          <w:sz w:val="20"/>
          <w:szCs w:val="20"/>
          <w:lang w:val="es-ES"/>
        </w:rPr>
        <w:t xml:space="preserve">De esta forma, tanto en los casos </w:t>
      </w:r>
      <w:r w:rsidR="002F773D" w:rsidRPr="00354B1E">
        <w:rPr>
          <w:rFonts w:ascii="Verdana" w:eastAsiaTheme="minorEastAsia" w:hAnsi="Verdana" w:cs="Arial"/>
          <w:i/>
          <w:sz w:val="20"/>
          <w:szCs w:val="20"/>
          <w:lang w:val="es-ES"/>
        </w:rPr>
        <w:t>Saramaka</w:t>
      </w:r>
      <w:r w:rsidR="002F773D" w:rsidRPr="00354B1E">
        <w:rPr>
          <w:rFonts w:ascii="Verdana" w:eastAsiaTheme="minorEastAsia" w:hAnsi="Verdana" w:cs="Arial"/>
          <w:sz w:val="20"/>
          <w:szCs w:val="20"/>
          <w:lang w:val="es-ES"/>
        </w:rPr>
        <w:t xml:space="preserve"> y </w:t>
      </w:r>
      <w:r w:rsidR="002F773D" w:rsidRPr="00354B1E">
        <w:rPr>
          <w:rFonts w:ascii="Verdana" w:eastAsiaTheme="minorEastAsia" w:hAnsi="Verdana" w:cs="Arial"/>
          <w:i/>
          <w:sz w:val="20"/>
          <w:szCs w:val="20"/>
          <w:lang w:val="es-ES"/>
        </w:rPr>
        <w:t>Sarayaku</w:t>
      </w:r>
      <w:r>
        <w:rPr>
          <w:rFonts w:ascii="Verdana" w:eastAsiaTheme="minorEastAsia" w:hAnsi="Verdana" w:cs="Arial"/>
          <w:i/>
          <w:sz w:val="20"/>
          <w:szCs w:val="20"/>
          <w:lang w:val="es-ES"/>
        </w:rPr>
        <w:t>,</w:t>
      </w:r>
      <w:r w:rsidR="002F773D" w:rsidRPr="00354B1E">
        <w:rPr>
          <w:rFonts w:ascii="Verdana" w:eastAsiaTheme="minorEastAsia" w:hAnsi="Verdana" w:cs="Arial"/>
          <w:i/>
          <w:sz w:val="20"/>
          <w:szCs w:val="20"/>
          <w:lang w:val="es-ES"/>
        </w:rPr>
        <w:t xml:space="preserve"> </w:t>
      </w:r>
      <w:r w:rsidR="002F773D" w:rsidRPr="00354B1E">
        <w:rPr>
          <w:rFonts w:ascii="Verdana" w:eastAsiaTheme="minorEastAsia" w:hAnsi="Verdana" w:cs="Arial"/>
          <w:sz w:val="20"/>
          <w:szCs w:val="20"/>
          <w:lang w:val="es-ES"/>
        </w:rPr>
        <w:t xml:space="preserve">el Tribunal Interamericano consolidó </w:t>
      </w:r>
      <w:r w:rsidR="00194342">
        <w:rPr>
          <w:rFonts w:ascii="Verdana" w:eastAsiaTheme="minorEastAsia" w:hAnsi="Verdana" w:cs="Arial"/>
          <w:sz w:val="20"/>
          <w:szCs w:val="20"/>
          <w:lang w:val="es-ES"/>
        </w:rPr>
        <w:t xml:space="preserve">el criterio consistente en </w:t>
      </w:r>
      <w:r w:rsidR="002F773D" w:rsidRPr="00354B1E">
        <w:rPr>
          <w:rFonts w:ascii="Verdana" w:eastAsiaTheme="minorEastAsia" w:hAnsi="Verdana" w:cs="Arial"/>
          <w:sz w:val="20"/>
          <w:szCs w:val="20"/>
          <w:lang w:val="es-ES"/>
        </w:rPr>
        <w:t xml:space="preserve">que la realización de tales estudios constituye una de las salvaguardas para garantizar que las restricciones impuestas a las comunidades indígenas o tribales respecto del derecho a la propiedad por la emisión de concesiones dentro de su </w:t>
      </w:r>
      <w:r w:rsidR="00B51BDA" w:rsidRPr="00354B1E">
        <w:rPr>
          <w:rFonts w:ascii="Verdana" w:eastAsiaTheme="minorEastAsia" w:hAnsi="Verdana" w:cs="Arial"/>
          <w:sz w:val="20"/>
          <w:szCs w:val="20"/>
          <w:lang w:val="es-ES"/>
        </w:rPr>
        <w:t>territorio</w:t>
      </w:r>
      <w:r w:rsidR="002F773D" w:rsidRPr="00354B1E">
        <w:rPr>
          <w:rFonts w:ascii="Verdana" w:eastAsiaTheme="minorEastAsia" w:hAnsi="Verdana" w:cs="Arial"/>
          <w:sz w:val="20"/>
          <w:szCs w:val="20"/>
          <w:lang w:val="es-ES"/>
        </w:rPr>
        <w:t xml:space="preserve"> no impliquen una denegación de su subsistencia como pueblo. En ese sentido, </w:t>
      </w:r>
      <w:r>
        <w:rPr>
          <w:rFonts w:ascii="Verdana" w:eastAsiaTheme="minorEastAsia" w:hAnsi="Verdana" w:cs="Arial"/>
          <w:sz w:val="20"/>
          <w:szCs w:val="20"/>
          <w:lang w:val="es-ES"/>
        </w:rPr>
        <w:t xml:space="preserve">la Corte IDH </w:t>
      </w:r>
      <w:r w:rsidR="002F773D" w:rsidRPr="00354B1E">
        <w:rPr>
          <w:rFonts w:ascii="Verdana" w:eastAsiaTheme="minorEastAsia" w:hAnsi="Verdana" w:cs="Arial"/>
          <w:sz w:val="20"/>
          <w:szCs w:val="20"/>
          <w:lang w:val="es-ES"/>
        </w:rPr>
        <w:t>estableció que los Estados deben garantizar que no se emitirá́ ninguna concesión dentro del territorio de una comunidad indígena hasta que entidades independientes y técnicamente capaces, bajo la supervisión del Estado, realicen un estudio previo de impacto social y ambiental.</w:t>
      </w:r>
    </w:p>
    <w:p w14:paraId="381D43C8" w14:textId="77777777" w:rsidR="001934E2" w:rsidRPr="00354B1E" w:rsidRDefault="001934E2" w:rsidP="001934E2">
      <w:pPr>
        <w:pStyle w:val="Prrafodelista"/>
        <w:rPr>
          <w:rFonts w:ascii="Verdana" w:eastAsiaTheme="minorEastAsia" w:hAnsi="Verdana" w:cs="Arial"/>
          <w:sz w:val="20"/>
          <w:szCs w:val="20"/>
          <w:lang w:val="es-ES"/>
        </w:rPr>
      </w:pPr>
    </w:p>
    <w:p w14:paraId="5D54CDC2" w14:textId="06E5D1E8" w:rsidR="002F773D" w:rsidRPr="00354B1E" w:rsidRDefault="008F6A3F" w:rsidP="008F6A3F">
      <w:pPr>
        <w:pStyle w:val="Prrafodelista"/>
        <w:ind w:left="0"/>
        <w:jc w:val="both"/>
        <w:rPr>
          <w:rFonts w:ascii="Verdana" w:hAnsi="Verdana"/>
          <w:sz w:val="20"/>
          <w:szCs w:val="20"/>
          <w:lang w:val="es-ES"/>
        </w:rPr>
      </w:pPr>
      <w:r>
        <w:rPr>
          <w:rFonts w:ascii="Verdana" w:eastAsiaTheme="minorEastAsia" w:hAnsi="Verdana" w:cs="Arial"/>
          <w:sz w:val="20"/>
          <w:szCs w:val="20"/>
          <w:lang w:val="es-ES"/>
        </w:rPr>
        <w:t xml:space="preserve">22. </w:t>
      </w:r>
      <w:r>
        <w:rPr>
          <w:rFonts w:ascii="Verdana" w:eastAsiaTheme="minorEastAsia" w:hAnsi="Verdana" w:cs="Arial"/>
          <w:sz w:val="20"/>
          <w:szCs w:val="20"/>
          <w:lang w:val="es-ES"/>
        </w:rPr>
        <w:tab/>
      </w:r>
      <w:r w:rsidR="002F773D" w:rsidRPr="00354B1E">
        <w:rPr>
          <w:rFonts w:ascii="Verdana" w:eastAsiaTheme="minorEastAsia" w:hAnsi="Verdana" w:cs="Arial"/>
          <w:sz w:val="20"/>
          <w:szCs w:val="20"/>
          <w:lang w:val="es-ES"/>
        </w:rPr>
        <w:t xml:space="preserve">Además, la </w:t>
      </w:r>
      <w:r w:rsidR="001934E2" w:rsidRPr="00354B1E">
        <w:rPr>
          <w:rFonts w:ascii="Verdana" w:eastAsiaTheme="minorEastAsia" w:hAnsi="Verdana" w:cs="Arial"/>
          <w:sz w:val="20"/>
          <w:szCs w:val="20"/>
          <w:lang w:val="es-ES"/>
        </w:rPr>
        <w:t>Corte IDH</w:t>
      </w:r>
      <w:r w:rsidR="002F773D" w:rsidRPr="00354B1E">
        <w:rPr>
          <w:rFonts w:ascii="Verdana" w:eastAsiaTheme="minorEastAsia" w:hAnsi="Verdana" w:cs="Arial"/>
          <w:sz w:val="20"/>
          <w:szCs w:val="20"/>
          <w:lang w:val="es-ES"/>
        </w:rPr>
        <w:t xml:space="preserve"> determinó que los Estudios de Impacto </w:t>
      </w:r>
      <w:r w:rsidR="002F773D" w:rsidRPr="008E72FA">
        <w:rPr>
          <w:rFonts w:ascii="Verdana" w:eastAsiaTheme="minorEastAsia" w:hAnsi="Verdana" w:cs="Arial"/>
          <w:sz w:val="20"/>
          <w:szCs w:val="20"/>
          <w:lang w:val="es-ES"/>
        </w:rPr>
        <w:t xml:space="preserve">Ambiental </w:t>
      </w:r>
      <w:r w:rsidR="002F773D" w:rsidRPr="008F6A3F">
        <w:rPr>
          <w:rFonts w:ascii="Verdana" w:eastAsiaTheme="minorEastAsia" w:hAnsi="Verdana" w:cs="Arial"/>
          <w:iCs/>
          <w:sz w:val="20"/>
          <w:szCs w:val="20"/>
          <w:lang w:val="es-ES"/>
        </w:rPr>
        <w:t xml:space="preserve">“sirven para </w:t>
      </w:r>
      <w:r w:rsidR="002F773D" w:rsidRPr="008F6A3F">
        <w:rPr>
          <w:rFonts w:ascii="Verdana" w:eastAsiaTheme="minorEastAsia" w:hAnsi="Verdana" w:cs="Arial"/>
          <w:i/>
          <w:sz w:val="20"/>
          <w:szCs w:val="20"/>
          <w:lang w:val="es-ES"/>
        </w:rPr>
        <w:t>evaluar el posible daño o impacto</w:t>
      </w:r>
      <w:r w:rsidR="002F773D" w:rsidRPr="008F6A3F">
        <w:rPr>
          <w:rFonts w:ascii="Verdana" w:eastAsiaTheme="minorEastAsia" w:hAnsi="Verdana" w:cs="Arial"/>
          <w:iCs/>
          <w:sz w:val="20"/>
          <w:szCs w:val="20"/>
          <w:lang w:val="es-ES"/>
        </w:rPr>
        <w:t xml:space="preserve"> que un proyecto de desarrollo o inversión puede tener sobre la propiedad y comunidad en cuestión. El objetivo de [los mismos] no es [únicamente] tener alguna medida objetiva del posible impacto sobre la tierra y las personas, sino también [...] asegurar que los miembros del pueblo [...] tengan conocimiento de los posibles riesgos, incluidos los riesgos ambientales y de salubridad”, para que puedan evaluar si aceptan el plan de desarrollo o inversión propuesto, “con conocimiento y de forma voluntaria”</w:t>
      </w:r>
      <w:r w:rsidR="002F773D" w:rsidRPr="00354B1E">
        <w:rPr>
          <w:rStyle w:val="Refdenotaalpie"/>
          <w:rFonts w:ascii="Verdana" w:eastAsiaTheme="minorEastAsia" w:hAnsi="Verdana" w:cs="Arial"/>
          <w:sz w:val="20"/>
          <w:szCs w:val="20"/>
          <w:lang w:val="es-ES"/>
        </w:rPr>
        <w:footnoteReference w:id="23"/>
      </w:r>
      <w:r w:rsidR="002F773D" w:rsidRPr="00354B1E">
        <w:rPr>
          <w:rFonts w:ascii="Verdana" w:eastAsiaTheme="minorEastAsia" w:hAnsi="Verdana" w:cs="Arial"/>
          <w:sz w:val="20"/>
          <w:szCs w:val="20"/>
          <w:lang w:val="es-ES"/>
        </w:rPr>
        <w:t xml:space="preserve">. </w:t>
      </w:r>
    </w:p>
    <w:p w14:paraId="08AE4193" w14:textId="77777777" w:rsidR="002F773D" w:rsidRPr="00354B1E" w:rsidRDefault="002F773D" w:rsidP="006B7EA6">
      <w:pPr>
        <w:pStyle w:val="Prrafodelista"/>
        <w:ind w:left="0"/>
        <w:jc w:val="both"/>
        <w:rPr>
          <w:rFonts w:ascii="Verdana" w:hAnsi="Verdana"/>
          <w:sz w:val="20"/>
          <w:szCs w:val="20"/>
          <w:lang w:val="es-ES"/>
        </w:rPr>
      </w:pPr>
    </w:p>
    <w:p w14:paraId="49F319EB" w14:textId="58045313" w:rsidR="002F773D" w:rsidRPr="00E5791C" w:rsidRDefault="008F6A3F" w:rsidP="008F6A3F">
      <w:pPr>
        <w:pStyle w:val="Prrafodelista"/>
        <w:ind w:left="0"/>
        <w:jc w:val="both"/>
        <w:rPr>
          <w:rFonts w:ascii="Verdana" w:hAnsi="Verdana" w:cs="Arial"/>
          <w:sz w:val="20"/>
          <w:szCs w:val="20"/>
          <w:lang w:val="es-ES"/>
        </w:rPr>
      </w:pPr>
      <w:r>
        <w:rPr>
          <w:rFonts w:ascii="Verdana" w:hAnsi="Verdana" w:cs="Arial"/>
          <w:sz w:val="20"/>
          <w:szCs w:val="20"/>
          <w:lang w:val="es-ES"/>
        </w:rPr>
        <w:t xml:space="preserve">23. </w:t>
      </w:r>
      <w:r>
        <w:rPr>
          <w:rFonts w:ascii="Verdana" w:hAnsi="Verdana" w:cs="Arial"/>
          <w:sz w:val="20"/>
          <w:szCs w:val="20"/>
          <w:lang w:val="es-ES"/>
        </w:rPr>
        <w:tab/>
      </w:r>
      <w:r w:rsidR="00E5791C">
        <w:rPr>
          <w:rFonts w:ascii="Verdana" w:hAnsi="Verdana" w:cs="Arial"/>
          <w:sz w:val="20"/>
          <w:szCs w:val="20"/>
          <w:lang w:val="es-ES"/>
        </w:rPr>
        <w:t xml:space="preserve">Respecto al segundo punto mencionado, relativo a </w:t>
      </w:r>
      <w:r w:rsidR="00E5791C" w:rsidRPr="00354B1E">
        <w:rPr>
          <w:rFonts w:ascii="Verdana" w:hAnsi="Verdana" w:cs="Arial"/>
          <w:sz w:val="20"/>
          <w:szCs w:val="20"/>
          <w:lang w:val="es-ES"/>
        </w:rPr>
        <w:t>la compatibilidad de las reservas naturales con los derechos tradicionales indígenas</w:t>
      </w:r>
      <w:r w:rsidR="00E5791C">
        <w:rPr>
          <w:rFonts w:ascii="Verdana" w:hAnsi="Verdana" w:cs="Arial"/>
          <w:sz w:val="20"/>
          <w:szCs w:val="20"/>
          <w:lang w:val="es-ES"/>
        </w:rPr>
        <w:t>, l</w:t>
      </w:r>
      <w:r w:rsidR="002F773D" w:rsidRPr="00354B1E">
        <w:rPr>
          <w:rFonts w:ascii="Verdana" w:hAnsi="Verdana" w:cs="Arial"/>
          <w:sz w:val="20"/>
          <w:szCs w:val="20"/>
          <w:lang w:val="es-ES"/>
        </w:rPr>
        <w:t>a Corte I</w:t>
      </w:r>
      <w:r>
        <w:rPr>
          <w:rFonts w:ascii="Verdana" w:hAnsi="Verdana" w:cs="Arial"/>
          <w:sz w:val="20"/>
          <w:szCs w:val="20"/>
          <w:lang w:val="es-ES"/>
        </w:rPr>
        <w:t>DH</w:t>
      </w:r>
      <w:r w:rsidR="002F773D" w:rsidRPr="00354B1E">
        <w:rPr>
          <w:rFonts w:ascii="Verdana" w:hAnsi="Verdana" w:cs="Arial"/>
          <w:sz w:val="20"/>
          <w:szCs w:val="20"/>
          <w:lang w:val="es-ES"/>
        </w:rPr>
        <w:t xml:space="preserve"> también ha reconocido que la protección al medio ambiente puede ser una causa de utilidad pública, lo cual puede justificar el motivo y el fin de una expropiación, en relación con la privación del derecho a la propiedad privada</w:t>
      </w:r>
      <w:r w:rsidR="002F773D" w:rsidRPr="00354B1E">
        <w:rPr>
          <w:rStyle w:val="Refdenotaalpie"/>
          <w:rFonts w:ascii="Verdana" w:hAnsi="Verdana" w:cs="Arial"/>
          <w:sz w:val="20"/>
          <w:szCs w:val="20"/>
          <w:lang w:val="es-ES"/>
        </w:rPr>
        <w:footnoteReference w:id="24"/>
      </w:r>
      <w:r w:rsidR="002F773D" w:rsidRPr="00354B1E">
        <w:rPr>
          <w:rFonts w:ascii="Verdana" w:hAnsi="Verdana" w:cs="Arial"/>
          <w:sz w:val="20"/>
          <w:szCs w:val="20"/>
          <w:lang w:val="es-ES"/>
        </w:rPr>
        <w:t>.</w:t>
      </w:r>
      <w:r w:rsidR="002F773D" w:rsidRPr="00354B1E">
        <w:rPr>
          <w:rFonts w:ascii="Verdana" w:hAnsi="Verdana" w:cs="Arial"/>
          <w:b/>
          <w:sz w:val="20"/>
          <w:szCs w:val="20"/>
          <w:lang w:val="es-ES"/>
        </w:rPr>
        <w:t xml:space="preserve"> </w:t>
      </w:r>
      <w:r w:rsidR="002F773D" w:rsidRPr="00354B1E">
        <w:rPr>
          <w:rFonts w:ascii="Verdana" w:hAnsi="Verdana" w:cs="Arial"/>
          <w:sz w:val="20"/>
          <w:szCs w:val="20"/>
          <w:lang w:val="es-ES"/>
        </w:rPr>
        <w:t xml:space="preserve">Respecto al establecimiento de las áreas protegidas que causan limitaciones a los derechos territoriales de los pueblos indígenas, en el caso </w:t>
      </w:r>
      <w:r w:rsidR="002F773D" w:rsidRPr="00354B1E">
        <w:rPr>
          <w:rFonts w:ascii="Verdana" w:hAnsi="Verdana" w:cs="Arial"/>
          <w:i/>
          <w:sz w:val="20"/>
          <w:szCs w:val="20"/>
          <w:lang w:val="es-ES"/>
        </w:rPr>
        <w:t>Xákmok Kásek</w:t>
      </w:r>
      <w:r w:rsidR="002F773D" w:rsidRPr="00354B1E">
        <w:rPr>
          <w:rFonts w:ascii="Verdana" w:hAnsi="Verdana" w:cs="Arial"/>
          <w:sz w:val="20"/>
          <w:szCs w:val="20"/>
          <w:lang w:val="es-ES"/>
        </w:rPr>
        <w:t xml:space="preserve"> </w:t>
      </w:r>
      <w:r w:rsidR="002F773D" w:rsidRPr="00354B1E">
        <w:rPr>
          <w:rFonts w:ascii="Verdana" w:hAnsi="Verdana" w:cs="Arial"/>
          <w:i/>
          <w:sz w:val="20"/>
          <w:szCs w:val="20"/>
          <w:lang w:val="es-ES"/>
        </w:rPr>
        <w:t>Vs. Paraguay</w:t>
      </w:r>
      <w:r w:rsidR="002F773D" w:rsidRPr="00354B1E">
        <w:rPr>
          <w:rFonts w:ascii="Verdana" w:hAnsi="Verdana" w:cs="Arial"/>
          <w:sz w:val="20"/>
          <w:szCs w:val="20"/>
          <w:lang w:val="es-ES"/>
        </w:rPr>
        <w:t xml:space="preserve">, el Tribunal determinó que </w:t>
      </w:r>
      <w:r w:rsidR="002F773D" w:rsidRPr="008E72FA">
        <w:rPr>
          <w:rFonts w:ascii="Verdana" w:hAnsi="Verdana" w:cs="Arial"/>
          <w:sz w:val="20"/>
          <w:szCs w:val="20"/>
          <w:lang w:val="es-ES"/>
        </w:rPr>
        <w:t>“[...] el Estado deb[ía] adoptar las medidas necesarias para que [su legislación interna relativa a un área protegida] no [fuera] un obstáculo para la devolución de las tierras tradicionales a los miembros de la Comunidad”</w:t>
      </w:r>
      <w:r w:rsidR="002F773D" w:rsidRPr="00354B1E">
        <w:rPr>
          <w:rStyle w:val="Refdenotaalpie"/>
          <w:rFonts w:ascii="Verdana" w:hAnsi="Verdana" w:cs="Arial"/>
          <w:i/>
          <w:sz w:val="20"/>
          <w:szCs w:val="20"/>
          <w:lang w:val="es-ES"/>
        </w:rPr>
        <w:footnoteReference w:id="25"/>
      </w:r>
      <w:r w:rsidR="002F773D" w:rsidRPr="00354B1E">
        <w:rPr>
          <w:rFonts w:ascii="Verdana" w:hAnsi="Verdana" w:cs="Arial"/>
          <w:i/>
          <w:sz w:val="20"/>
          <w:szCs w:val="20"/>
          <w:lang w:val="es-ES"/>
        </w:rPr>
        <w:t xml:space="preserve">. </w:t>
      </w:r>
      <w:r w:rsidR="002F773D" w:rsidRPr="00354B1E">
        <w:rPr>
          <w:rFonts w:ascii="Verdana" w:hAnsi="Verdana" w:cs="Arial"/>
          <w:sz w:val="20"/>
          <w:szCs w:val="20"/>
          <w:lang w:val="es-ES"/>
        </w:rPr>
        <w:t xml:space="preserve">Complementando lo anterior, en el caso </w:t>
      </w:r>
      <w:r w:rsidR="002F773D" w:rsidRPr="00354B1E">
        <w:rPr>
          <w:rFonts w:ascii="Verdana" w:hAnsi="Verdana" w:cs="Arial"/>
          <w:i/>
          <w:sz w:val="20"/>
          <w:szCs w:val="20"/>
          <w:lang w:val="es-ES"/>
        </w:rPr>
        <w:t>Kaliña y Lokono Vs. Surinam</w:t>
      </w:r>
      <w:r w:rsidR="002F773D" w:rsidRPr="00354B1E">
        <w:rPr>
          <w:rFonts w:ascii="Verdana" w:hAnsi="Verdana" w:cs="Arial"/>
          <w:sz w:val="20"/>
          <w:szCs w:val="20"/>
          <w:lang w:val="es-ES"/>
        </w:rPr>
        <w:t xml:space="preserve">, la Corte IDH precisó que: </w:t>
      </w:r>
    </w:p>
    <w:p w14:paraId="6A110A45" w14:textId="77777777" w:rsidR="002F773D" w:rsidRPr="00354B1E" w:rsidRDefault="002F773D" w:rsidP="006B7EA6">
      <w:pPr>
        <w:pStyle w:val="Prrafodelista"/>
        <w:jc w:val="both"/>
        <w:rPr>
          <w:rFonts w:ascii="Verdana" w:hAnsi="Verdana"/>
          <w:sz w:val="20"/>
          <w:szCs w:val="20"/>
          <w:lang w:val="es-ES"/>
        </w:rPr>
      </w:pPr>
    </w:p>
    <w:p w14:paraId="6B7B7DD5" w14:textId="2CA91D50" w:rsidR="002F773D" w:rsidRPr="008E72FA" w:rsidRDefault="002F773D" w:rsidP="00721EEC">
      <w:pPr>
        <w:tabs>
          <w:tab w:val="left" w:pos="709"/>
          <w:tab w:val="left" w:pos="851"/>
          <w:tab w:val="left" w:pos="9356"/>
        </w:tabs>
        <w:ind w:left="708" w:right="645"/>
        <w:jc w:val="both"/>
        <w:rPr>
          <w:rFonts w:ascii="Verdana" w:eastAsiaTheme="minorEastAsia" w:hAnsi="Verdana" w:cs="Arial"/>
          <w:sz w:val="18"/>
          <w:szCs w:val="18"/>
          <w:lang w:val="es-ES"/>
        </w:rPr>
      </w:pPr>
      <w:r w:rsidRPr="008E72FA">
        <w:rPr>
          <w:rFonts w:ascii="Verdana" w:eastAsiaTheme="minorEastAsia" w:hAnsi="Verdana" w:cs="Arial"/>
          <w:sz w:val="18"/>
          <w:szCs w:val="18"/>
          <w:lang w:val="es-ES"/>
        </w:rPr>
        <w:t xml:space="preserve">173. La Corte considera relevante hacer referencia a la necesidad de compatibilizar la protección de las áreas protegidas con el adecuado uso y goce de los territorios tradicionales de los pueblos indígenas. En este sentido, la Corte estima que un área protegida, consiste no solamente en la dimensión biológica, sino también en la sociocultural y que, por tanto, incorpora un enfoque interdisciplinario y participativo. En este sentido, los pueblos indígenas, por lo general, pueden desempeñar un rol relevante en la conservación de la naturaleza, dado que ciertos usos tradicionales conllevan </w:t>
      </w:r>
      <w:r w:rsidR="001934E2" w:rsidRPr="008E72FA">
        <w:rPr>
          <w:rFonts w:ascii="Verdana" w:eastAsiaTheme="minorEastAsia" w:hAnsi="Verdana" w:cs="Arial"/>
          <w:sz w:val="18"/>
          <w:szCs w:val="18"/>
          <w:lang w:val="es-ES"/>
        </w:rPr>
        <w:t>prácticas</w:t>
      </w:r>
      <w:r w:rsidRPr="008E72FA">
        <w:rPr>
          <w:rFonts w:ascii="Verdana" w:eastAsiaTheme="minorEastAsia" w:hAnsi="Verdana" w:cs="Arial"/>
          <w:sz w:val="18"/>
          <w:szCs w:val="18"/>
          <w:lang w:val="es-ES"/>
        </w:rPr>
        <w:t xml:space="preserve"> de sustentabilidad y se consideran fundamentales para la eficacia de las estrategias de conservación. Por ello, el respeto de los derechos de los pueblos </w:t>
      </w:r>
      <w:r w:rsidR="001934E2" w:rsidRPr="008E72FA">
        <w:rPr>
          <w:rFonts w:ascii="Verdana" w:eastAsiaTheme="minorEastAsia" w:hAnsi="Verdana" w:cs="Arial"/>
          <w:sz w:val="18"/>
          <w:szCs w:val="18"/>
          <w:lang w:val="es-ES"/>
        </w:rPr>
        <w:t>indígenas</w:t>
      </w:r>
      <w:r w:rsidRPr="008E72FA">
        <w:rPr>
          <w:rFonts w:ascii="Verdana" w:eastAsiaTheme="minorEastAsia" w:hAnsi="Verdana" w:cs="Arial"/>
          <w:sz w:val="18"/>
          <w:szCs w:val="18"/>
          <w:lang w:val="es-ES"/>
        </w:rPr>
        <w:t xml:space="preserve"> puede redundar positivamente en la conservación del medioambiente. A</w:t>
      </w:r>
      <w:r w:rsidR="008E72FA">
        <w:rPr>
          <w:rFonts w:ascii="Verdana" w:eastAsiaTheme="minorEastAsia" w:hAnsi="Verdana" w:cs="Arial"/>
          <w:sz w:val="18"/>
          <w:szCs w:val="18"/>
          <w:lang w:val="es-ES"/>
        </w:rPr>
        <w:t>s</w:t>
      </w:r>
      <w:r w:rsidRPr="008E72FA">
        <w:rPr>
          <w:rFonts w:ascii="Verdana" w:eastAsiaTheme="minorEastAsia" w:hAnsi="Verdana" w:cs="Arial"/>
          <w:sz w:val="18"/>
          <w:szCs w:val="18"/>
          <w:lang w:val="es-ES"/>
        </w:rPr>
        <w:t>í, el derecho de los pueblos indígenas y las normas internacionales de medio ambiente deben comprenderse como</w:t>
      </w:r>
      <w:r w:rsidRPr="008E72FA">
        <w:rPr>
          <w:rFonts w:ascii="Verdana" w:hAnsi="Verdana" w:cs="Arial"/>
          <w:sz w:val="18"/>
          <w:szCs w:val="18"/>
          <w:lang w:val="es-ES"/>
        </w:rPr>
        <w:t xml:space="preserve"> </w:t>
      </w:r>
      <w:r w:rsidRPr="008E72FA">
        <w:rPr>
          <w:rFonts w:ascii="Verdana" w:eastAsiaTheme="minorEastAsia" w:hAnsi="Verdana" w:cs="Arial"/>
          <w:sz w:val="18"/>
          <w:szCs w:val="18"/>
          <w:lang w:val="es-ES"/>
        </w:rPr>
        <w:t>derechos complementarios y no excluyentes</w:t>
      </w:r>
      <w:r w:rsidRPr="008E72FA">
        <w:rPr>
          <w:rStyle w:val="Refdenotaalpie"/>
          <w:rFonts w:ascii="Verdana" w:eastAsiaTheme="minorEastAsia" w:hAnsi="Verdana" w:cs="Arial"/>
          <w:sz w:val="18"/>
          <w:szCs w:val="18"/>
          <w:lang w:val="es-ES"/>
        </w:rPr>
        <w:footnoteReference w:id="26"/>
      </w:r>
      <w:r w:rsidRPr="008E72FA">
        <w:rPr>
          <w:rFonts w:ascii="Verdana" w:eastAsiaTheme="minorEastAsia" w:hAnsi="Verdana" w:cs="Arial"/>
          <w:sz w:val="18"/>
          <w:szCs w:val="18"/>
          <w:lang w:val="es-ES"/>
        </w:rPr>
        <w:t xml:space="preserve">. </w:t>
      </w:r>
    </w:p>
    <w:p w14:paraId="0E3633A0" w14:textId="77777777" w:rsidR="002F773D" w:rsidRPr="00354B1E" w:rsidRDefault="002F773D" w:rsidP="006B7EA6">
      <w:pPr>
        <w:jc w:val="both"/>
        <w:rPr>
          <w:rFonts w:ascii="Verdana" w:hAnsi="Verdana" w:cs="Arial"/>
          <w:sz w:val="16"/>
          <w:szCs w:val="16"/>
          <w:lang w:val="es-ES"/>
        </w:rPr>
      </w:pPr>
    </w:p>
    <w:p w14:paraId="3382599B" w14:textId="53EC90FE" w:rsidR="002F773D" w:rsidRPr="00354B1E" w:rsidRDefault="008F6A3F" w:rsidP="008F6A3F">
      <w:pPr>
        <w:pStyle w:val="Prrafodelista"/>
        <w:ind w:left="0"/>
        <w:jc w:val="both"/>
        <w:rPr>
          <w:rFonts w:ascii="Verdana" w:hAnsi="Verdana"/>
          <w:sz w:val="20"/>
          <w:szCs w:val="20"/>
          <w:lang w:val="es-ES"/>
        </w:rPr>
      </w:pPr>
      <w:r>
        <w:rPr>
          <w:rFonts w:ascii="Verdana" w:hAnsi="Verdana" w:cs="Arial"/>
          <w:sz w:val="20"/>
          <w:szCs w:val="20"/>
          <w:lang w:val="es-ES"/>
        </w:rPr>
        <w:t xml:space="preserve">24. </w:t>
      </w:r>
      <w:r>
        <w:rPr>
          <w:rFonts w:ascii="Verdana" w:hAnsi="Verdana" w:cs="Arial"/>
          <w:sz w:val="20"/>
          <w:szCs w:val="20"/>
          <w:lang w:val="es-ES"/>
        </w:rPr>
        <w:tab/>
      </w:r>
      <w:r w:rsidR="002F773D" w:rsidRPr="00354B1E">
        <w:rPr>
          <w:rFonts w:ascii="Verdana" w:hAnsi="Verdana" w:cs="Arial"/>
          <w:sz w:val="20"/>
          <w:szCs w:val="20"/>
          <w:lang w:val="es-ES"/>
        </w:rPr>
        <w:t>La Corte IDH ha sido de la idea de que, en principio, existe una compatibilidad entre las áreas naturales protegidas y el derecho de los pueblos indígenas y tribales en la protección de los recursos naturales sobre sus territorios, destacando que los pueblos indígenas y tribales, por su interrelación con la naturaleza y formas de vida, pueden contribuir de manera relevante en dicha conservación. En este sentido, los criterios de a) participación efectiva, b) acceso y uso de sus territorios tradicionales</w:t>
      </w:r>
      <w:r w:rsidR="002F773D" w:rsidRPr="00354B1E">
        <w:rPr>
          <w:rFonts w:ascii="Verdana" w:hAnsi="Verdana" w:cs="Arial"/>
          <w:position w:val="16138"/>
          <w:sz w:val="20"/>
          <w:szCs w:val="20"/>
          <w:lang w:val="es-ES"/>
        </w:rPr>
        <w:t xml:space="preserve"> </w:t>
      </w:r>
      <w:r w:rsidR="002F773D" w:rsidRPr="00354B1E">
        <w:rPr>
          <w:rFonts w:ascii="Verdana" w:hAnsi="Verdana" w:cs="Arial"/>
          <w:sz w:val="20"/>
          <w:szCs w:val="20"/>
          <w:lang w:val="es-ES"/>
        </w:rPr>
        <w:t>y c) de recibir beneficios de la conservación</w:t>
      </w:r>
      <w:r w:rsidR="002F773D" w:rsidRPr="00354B1E">
        <w:rPr>
          <w:rFonts w:ascii="Verdana" w:hAnsi="Verdana" w:cs="Arial"/>
          <w:position w:val="16138"/>
          <w:sz w:val="20"/>
          <w:szCs w:val="20"/>
          <w:lang w:val="es-ES"/>
        </w:rPr>
        <w:t xml:space="preserve"> </w:t>
      </w:r>
      <w:r w:rsidR="002F773D" w:rsidRPr="00354B1E">
        <w:rPr>
          <w:rFonts w:ascii="Verdana" w:hAnsi="Verdana" w:cs="Arial"/>
          <w:sz w:val="20"/>
          <w:szCs w:val="20"/>
          <w:lang w:val="es-ES"/>
        </w:rPr>
        <w:t>—todos ellos, siempre y cuando sean compatibles con la protección y utilización sostenible—</w:t>
      </w:r>
      <w:r w:rsidR="000943B6">
        <w:rPr>
          <w:rFonts w:ascii="Verdana" w:hAnsi="Verdana" w:cs="Arial"/>
          <w:sz w:val="20"/>
          <w:szCs w:val="20"/>
          <w:lang w:val="es-ES"/>
        </w:rPr>
        <w:t xml:space="preserve"> </w:t>
      </w:r>
      <w:r w:rsidR="002F773D" w:rsidRPr="00354B1E">
        <w:rPr>
          <w:rFonts w:ascii="Verdana" w:hAnsi="Verdana" w:cs="Arial"/>
          <w:sz w:val="20"/>
          <w:szCs w:val="20"/>
          <w:lang w:val="es-ES"/>
        </w:rPr>
        <w:t>resultan elementos fundamentales para alcanzar dicha compatibilidad</w:t>
      </w:r>
      <w:r w:rsidR="002F773D" w:rsidRPr="00354B1E">
        <w:rPr>
          <w:rStyle w:val="Refdenotaalpie"/>
          <w:rFonts w:ascii="Verdana" w:hAnsi="Verdana" w:cs="Arial"/>
          <w:sz w:val="20"/>
          <w:szCs w:val="20"/>
          <w:lang w:val="es-ES"/>
        </w:rPr>
        <w:footnoteReference w:id="27"/>
      </w:r>
      <w:r w:rsidR="002F773D" w:rsidRPr="00354B1E">
        <w:rPr>
          <w:rFonts w:ascii="Verdana" w:hAnsi="Verdana" w:cs="Arial"/>
          <w:sz w:val="20"/>
          <w:szCs w:val="20"/>
          <w:lang w:val="es-ES"/>
        </w:rPr>
        <w:t>.</w:t>
      </w:r>
      <w:r w:rsidR="002F773D" w:rsidRPr="00354B1E">
        <w:rPr>
          <w:rFonts w:ascii="Verdana" w:hAnsi="Verdana" w:cs="Arial"/>
          <w:sz w:val="20"/>
          <w:szCs w:val="20"/>
          <w:lang w:val="es-ES"/>
        </w:rPr>
        <w:tab/>
      </w:r>
    </w:p>
    <w:p w14:paraId="61C8FB4D" w14:textId="77777777" w:rsidR="002F773D" w:rsidRPr="00354B1E" w:rsidRDefault="002F773D" w:rsidP="006B7EA6">
      <w:pPr>
        <w:pStyle w:val="Prrafodelista"/>
        <w:ind w:left="0"/>
        <w:jc w:val="both"/>
        <w:rPr>
          <w:rFonts w:ascii="Verdana" w:hAnsi="Verdana"/>
          <w:sz w:val="20"/>
          <w:szCs w:val="20"/>
          <w:lang w:val="es-ES"/>
        </w:rPr>
      </w:pPr>
    </w:p>
    <w:p w14:paraId="14658338" w14:textId="3093D43B" w:rsidR="002F773D" w:rsidRPr="00354B1E" w:rsidRDefault="008F6A3F" w:rsidP="008F6A3F">
      <w:pPr>
        <w:pStyle w:val="Prrafodelista"/>
        <w:ind w:left="0"/>
        <w:jc w:val="both"/>
        <w:rPr>
          <w:rFonts w:ascii="Verdana" w:hAnsi="Verdana"/>
          <w:sz w:val="20"/>
          <w:szCs w:val="20"/>
          <w:lang w:val="es-ES"/>
        </w:rPr>
      </w:pPr>
      <w:r>
        <w:rPr>
          <w:rFonts w:ascii="Verdana" w:eastAsiaTheme="minorEastAsia" w:hAnsi="Verdana" w:cs="Arial"/>
          <w:sz w:val="20"/>
          <w:szCs w:val="20"/>
          <w:lang w:val="es-ES"/>
        </w:rPr>
        <w:t xml:space="preserve">25. </w:t>
      </w:r>
      <w:r>
        <w:rPr>
          <w:rFonts w:ascii="Verdana" w:eastAsiaTheme="minorEastAsia" w:hAnsi="Verdana" w:cs="Arial"/>
          <w:sz w:val="20"/>
          <w:szCs w:val="20"/>
          <w:lang w:val="es-ES"/>
        </w:rPr>
        <w:tab/>
      </w:r>
      <w:r w:rsidR="002F773D" w:rsidRPr="00354B1E">
        <w:rPr>
          <w:rFonts w:ascii="Verdana" w:eastAsiaTheme="minorEastAsia" w:hAnsi="Verdana" w:cs="Arial"/>
          <w:sz w:val="20"/>
          <w:szCs w:val="20"/>
          <w:lang w:val="es-ES"/>
        </w:rPr>
        <w:t xml:space="preserve">En suma, este Tribunal Interamericano ha estimado que los Estados vulneran los derechos a la propiedad colectiva, identidad cultural y participación en asuntos públicos de las víctimas, principalmente al impedir la participación efectiva y el acceso a parte de su territorio tradicional y recursos naturales, así como al no garantizar de manera efectiva el territorio tradicional de las comunidades afectadas por la degradación del medio ambiente, lo cual configura </w:t>
      </w:r>
      <w:r w:rsidR="000943B6">
        <w:rPr>
          <w:rFonts w:ascii="Verdana" w:eastAsiaTheme="minorEastAsia" w:hAnsi="Verdana" w:cs="Arial"/>
          <w:sz w:val="20"/>
          <w:szCs w:val="20"/>
          <w:lang w:val="es-ES"/>
        </w:rPr>
        <w:t>una</w:t>
      </w:r>
      <w:r w:rsidR="002F773D" w:rsidRPr="00354B1E">
        <w:rPr>
          <w:rFonts w:ascii="Verdana" w:eastAsiaTheme="minorEastAsia" w:hAnsi="Verdana" w:cs="Arial"/>
          <w:sz w:val="20"/>
          <w:szCs w:val="20"/>
          <w:lang w:val="es-ES"/>
        </w:rPr>
        <w:t xml:space="preserve"> violación de los artículos 21 y 23 de la Convención Americana</w:t>
      </w:r>
      <w:r w:rsidR="002F773D" w:rsidRPr="00354B1E">
        <w:rPr>
          <w:rStyle w:val="Refdenotaalpie"/>
          <w:rFonts w:ascii="Verdana" w:eastAsiaTheme="minorEastAsia" w:hAnsi="Verdana" w:cs="Arial"/>
          <w:sz w:val="20"/>
          <w:szCs w:val="20"/>
          <w:lang w:val="es-ES"/>
        </w:rPr>
        <w:footnoteReference w:id="28"/>
      </w:r>
      <w:r w:rsidR="002F773D" w:rsidRPr="00354B1E">
        <w:rPr>
          <w:rFonts w:ascii="Verdana" w:eastAsiaTheme="minorEastAsia" w:hAnsi="Verdana" w:cs="Arial"/>
          <w:sz w:val="20"/>
          <w:szCs w:val="20"/>
          <w:lang w:val="es-ES"/>
        </w:rPr>
        <w:t xml:space="preserve">. </w:t>
      </w:r>
    </w:p>
    <w:p w14:paraId="1567BB1C" w14:textId="77777777" w:rsidR="002F773D" w:rsidRPr="00354B1E" w:rsidRDefault="002F773D" w:rsidP="006B7EA6">
      <w:pPr>
        <w:pStyle w:val="Prrafodelista"/>
        <w:jc w:val="both"/>
        <w:rPr>
          <w:rFonts w:ascii="Verdana" w:eastAsiaTheme="minorEastAsia" w:hAnsi="Verdana" w:cs="Arial"/>
          <w:sz w:val="20"/>
          <w:szCs w:val="20"/>
          <w:lang w:val="es-ES"/>
        </w:rPr>
      </w:pPr>
    </w:p>
    <w:p w14:paraId="440A5668" w14:textId="4A12B775" w:rsidR="007A6A20" w:rsidRPr="00354B1E" w:rsidRDefault="008F6A3F" w:rsidP="008F6A3F">
      <w:pPr>
        <w:pStyle w:val="Prrafodelista"/>
        <w:ind w:left="0"/>
        <w:jc w:val="both"/>
        <w:rPr>
          <w:rFonts w:ascii="Verdana" w:hAnsi="Verdana"/>
          <w:sz w:val="20"/>
          <w:szCs w:val="20"/>
          <w:lang w:val="es-ES"/>
        </w:rPr>
      </w:pPr>
      <w:r>
        <w:rPr>
          <w:rFonts w:ascii="Verdana" w:eastAsiaTheme="minorEastAsia" w:hAnsi="Verdana" w:cs="Arial"/>
          <w:sz w:val="20"/>
          <w:szCs w:val="20"/>
          <w:lang w:val="es-ES"/>
        </w:rPr>
        <w:t>2</w:t>
      </w:r>
      <w:r w:rsidR="00783415">
        <w:rPr>
          <w:rFonts w:ascii="Verdana" w:eastAsiaTheme="minorEastAsia" w:hAnsi="Verdana" w:cs="Arial"/>
          <w:sz w:val="20"/>
          <w:szCs w:val="20"/>
          <w:lang w:val="es-ES"/>
        </w:rPr>
        <w:t>6</w:t>
      </w:r>
      <w:r>
        <w:rPr>
          <w:rFonts w:ascii="Verdana" w:eastAsiaTheme="minorEastAsia" w:hAnsi="Verdana" w:cs="Arial"/>
          <w:sz w:val="20"/>
          <w:szCs w:val="20"/>
          <w:lang w:val="es-ES"/>
        </w:rPr>
        <w:t xml:space="preserve">. </w:t>
      </w:r>
      <w:r>
        <w:rPr>
          <w:rFonts w:ascii="Verdana" w:eastAsiaTheme="minorEastAsia" w:hAnsi="Verdana" w:cs="Arial"/>
          <w:sz w:val="20"/>
          <w:szCs w:val="20"/>
          <w:lang w:val="es-ES"/>
        </w:rPr>
        <w:tab/>
      </w:r>
      <w:r w:rsidR="002F773D" w:rsidRPr="00354B1E">
        <w:rPr>
          <w:rFonts w:ascii="Verdana" w:eastAsiaTheme="minorEastAsia" w:hAnsi="Verdana" w:cs="Arial"/>
          <w:sz w:val="20"/>
          <w:szCs w:val="20"/>
          <w:lang w:val="es-ES"/>
        </w:rPr>
        <w:t xml:space="preserve">Respecto al derecho a buscar y recibir información, protegido por el artículo 13 de la Convención Americana, en el caso </w:t>
      </w:r>
      <w:r w:rsidR="002F773D" w:rsidRPr="00354B1E">
        <w:rPr>
          <w:rFonts w:ascii="Verdana" w:eastAsiaTheme="minorEastAsia" w:hAnsi="Verdana" w:cs="Arial"/>
          <w:i/>
          <w:sz w:val="20"/>
          <w:szCs w:val="20"/>
          <w:lang w:val="es-ES"/>
        </w:rPr>
        <w:t>Claude Reyes y otros Vs. Chile</w:t>
      </w:r>
      <w:r w:rsidR="002F773D" w:rsidRPr="008E72FA">
        <w:rPr>
          <w:rFonts w:ascii="Verdana" w:eastAsiaTheme="minorEastAsia" w:hAnsi="Verdana" w:cs="Arial"/>
          <w:i/>
          <w:sz w:val="20"/>
          <w:szCs w:val="20"/>
          <w:lang w:val="es-ES"/>
        </w:rPr>
        <w:t xml:space="preserve">, </w:t>
      </w:r>
      <w:r w:rsidR="002F773D" w:rsidRPr="00354B1E">
        <w:rPr>
          <w:rFonts w:ascii="Verdana" w:eastAsiaTheme="minorEastAsia" w:hAnsi="Verdana" w:cs="Arial"/>
          <w:sz w:val="20"/>
          <w:szCs w:val="20"/>
          <w:lang w:val="es-ES"/>
        </w:rPr>
        <w:t>ante una negativa del Estado de brindar a las víctimas toda la información que requerían del Comité́ de Inversiones Extranjeras, en relación con la empresa forestal Trillium y el Proyecto Río Cóndor</w:t>
      </w:r>
      <w:r w:rsidR="00E5791C">
        <w:rPr>
          <w:rFonts w:ascii="Verdana" w:eastAsiaTheme="minorEastAsia" w:hAnsi="Verdana" w:cs="Arial"/>
          <w:sz w:val="20"/>
          <w:szCs w:val="20"/>
          <w:lang w:val="es-ES"/>
        </w:rPr>
        <w:t>;</w:t>
      </w:r>
      <w:r w:rsidR="002F773D" w:rsidRPr="00354B1E">
        <w:rPr>
          <w:rFonts w:ascii="Verdana" w:eastAsiaTheme="minorEastAsia" w:hAnsi="Verdana" w:cs="Arial"/>
          <w:sz w:val="20"/>
          <w:szCs w:val="20"/>
          <w:lang w:val="es-ES"/>
        </w:rPr>
        <w:t xml:space="preserve"> el cual era un proyecto de deforestación que se llevaría a cabo en la décimo segunda región de Chile y podía ser perjudicial para el medio ambiente e impedir el desarrollo sostenible de Chile, </w:t>
      </w:r>
      <w:r w:rsidR="002F773D" w:rsidRPr="00354B1E">
        <w:rPr>
          <w:rFonts w:ascii="Verdana" w:hAnsi="Verdana" w:cs="Arial"/>
          <w:sz w:val="20"/>
          <w:szCs w:val="20"/>
          <w:lang w:val="es-ES"/>
        </w:rPr>
        <w:t>la Corte IDH estimó que el artículo 13 de</w:t>
      </w:r>
      <w:r w:rsidR="005743D6">
        <w:rPr>
          <w:rFonts w:ascii="Verdana" w:hAnsi="Verdana" w:cs="Arial"/>
          <w:sz w:val="20"/>
          <w:szCs w:val="20"/>
          <w:lang w:val="es-ES"/>
        </w:rPr>
        <w:t>l</w:t>
      </w:r>
      <w:r w:rsidR="002F773D" w:rsidRPr="00354B1E">
        <w:rPr>
          <w:rFonts w:ascii="Verdana" w:hAnsi="Verdana" w:cs="Arial"/>
          <w:sz w:val="20"/>
          <w:szCs w:val="20"/>
          <w:lang w:val="es-ES"/>
        </w:rPr>
        <w:t xml:space="preserve"> </w:t>
      </w:r>
      <w:r w:rsidR="005743D6" w:rsidRPr="005743D6">
        <w:rPr>
          <w:rFonts w:ascii="Verdana" w:hAnsi="Verdana" w:cs="Arial"/>
          <w:sz w:val="20"/>
          <w:szCs w:val="20"/>
          <w:lang w:val="es-ES"/>
        </w:rPr>
        <w:t>Pacto de San José</w:t>
      </w:r>
      <w:r w:rsidR="002F773D" w:rsidRPr="00354B1E">
        <w:rPr>
          <w:rFonts w:ascii="Verdana" w:hAnsi="Verdana" w:cs="Arial"/>
          <w:sz w:val="20"/>
          <w:szCs w:val="20"/>
          <w:lang w:val="es-ES"/>
        </w:rPr>
        <w:t xml:space="preserve">, al estipular expresamente los derechos a “buscar” y a “recibir” “informaciones”, protege el derecho que tiene toda persona a solicitar el acceso a la información bajo el control del Estado, con las salvedades permitidas bajo el régimen de restricciones de la Convención Americana. Consecuentemente, a criterio el Tribunal Interamericano, “dicho artículo ampara el derecho de las personas a recibir dicha información y la obligación positiva del Estado de suministrarla, de tal forma que la persona pueda tener acceso a conocer esa información o reciba una respuesta fundamentada cuando por algún motivo permitido por la Convención el Estado pueda limitar el acceso a la misma para el caso concreto. Dicha información debe ser entregada sin necesidad de acreditar un interés directo para su obtención o una afectación personal, salvo en los casos en que se aplique una </w:t>
      </w:r>
      <w:r w:rsidR="00692FD6" w:rsidRPr="00354B1E">
        <w:rPr>
          <w:rFonts w:ascii="Verdana" w:hAnsi="Verdana" w:cs="Arial"/>
          <w:sz w:val="20"/>
          <w:szCs w:val="20"/>
          <w:lang w:val="es-ES"/>
        </w:rPr>
        <w:t>legítima</w:t>
      </w:r>
      <w:r w:rsidR="002F773D" w:rsidRPr="00354B1E">
        <w:rPr>
          <w:rFonts w:ascii="Verdana" w:hAnsi="Verdana" w:cs="Arial"/>
          <w:sz w:val="20"/>
          <w:szCs w:val="20"/>
          <w:lang w:val="es-ES"/>
        </w:rPr>
        <w:t xml:space="preserve"> restricción. Su entrega a una persona puede permitir a su vez que ésta circule en la sociedad de manera que pueda conocerla, acceder a ella y valorarla”</w:t>
      </w:r>
      <w:r w:rsidR="002F773D" w:rsidRPr="00354B1E">
        <w:rPr>
          <w:rStyle w:val="Refdenotaalpie"/>
          <w:rFonts w:ascii="Verdana" w:hAnsi="Verdana" w:cs="Arial"/>
          <w:sz w:val="20"/>
          <w:szCs w:val="20"/>
          <w:lang w:val="es-ES"/>
        </w:rPr>
        <w:footnoteReference w:id="29"/>
      </w:r>
      <w:r w:rsidR="002F773D" w:rsidRPr="00354B1E">
        <w:rPr>
          <w:rFonts w:ascii="Verdana" w:hAnsi="Verdana" w:cs="Arial"/>
          <w:sz w:val="20"/>
          <w:szCs w:val="20"/>
          <w:lang w:val="es-ES"/>
        </w:rPr>
        <w:t>.</w:t>
      </w:r>
    </w:p>
    <w:p w14:paraId="39144602" w14:textId="77777777" w:rsidR="003F3972" w:rsidRPr="00354B1E" w:rsidRDefault="003F3972" w:rsidP="006B7EA6">
      <w:pPr>
        <w:pStyle w:val="Prrafodelista"/>
        <w:ind w:left="0"/>
        <w:jc w:val="both"/>
        <w:rPr>
          <w:rFonts w:ascii="Verdana" w:hAnsi="Verdana" w:cs="Arial"/>
          <w:sz w:val="20"/>
          <w:szCs w:val="20"/>
          <w:lang w:val="es-ES"/>
        </w:rPr>
      </w:pPr>
    </w:p>
    <w:p w14:paraId="37383795" w14:textId="54A69347" w:rsidR="003F3972" w:rsidRPr="00354B1E" w:rsidRDefault="00176968" w:rsidP="006B7EA6">
      <w:pPr>
        <w:pStyle w:val="Prrafodelista"/>
        <w:ind w:left="0"/>
        <w:jc w:val="both"/>
        <w:rPr>
          <w:rFonts w:ascii="Verdana" w:hAnsi="Verdana"/>
          <w:i/>
          <w:iCs/>
          <w:sz w:val="20"/>
          <w:szCs w:val="20"/>
          <w:u w:val="single"/>
          <w:lang w:val="es-ES"/>
        </w:rPr>
      </w:pPr>
      <w:r w:rsidRPr="00354B1E">
        <w:rPr>
          <w:rFonts w:ascii="Verdana" w:hAnsi="Verdana"/>
          <w:i/>
          <w:iCs/>
          <w:sz w:val="20"/>
          <w:szCs w:val="20"/>
          <w:u w:val="single"/>
          <w:lang w:val="es-ES"/>
        </w:rPr>
        <w:t>2</w:t>
      </w:r>
      <w:r w:rsidR="003F3972" w:rsidRPr="00354B1E">
        <w:rPr>
          <w:rFonts w:ascii="Verdana" w:hAnsi="Verdana"/>
          <w:i/>
          <w:iCs/>
          <w:sz w:val="20"/>
          <w:szCs w:val="20"/>
          <w:u w:val="single"/>
          <w:lang w:val="es-ES"/>
        </w:rPr>
        <w:t xml:space="preserve">. El </w:t>
      </w:r>
      <w:r w:rsidR="00FE0661">
        <w:rPr>
          <w:rFonts w:ascii="Verdana" w:hAnsi="Verdana"/>
          <w:i/>
          <w:iCs/>
          <w:sz w:val="20"/>
          <w:szCs w:val="20"/>
          <w:u w:val="single"/>
          <w:lang w:val="es-ES"/>
        </w:rPr>
        <w:t xml:space="preserve">derecho al </w:t>
      </w:r>
      <w:r w:rsidR="003F3972" w:rsidRPr="00354B1E">
        <w:rPr>
          <w:rFonts w:ascii="Verdana" w:hAnsi="Verdana"/>
          <w:i/>
          <w:iCs/>
          <w:sz w:val="20"/>
          <w:szCs w:val="20"/>
          <w:u w:val="single"/>
          <w:lang w:val="es-ES"/>
        </w:rPr>
        <w:t xml:space="preserve">medio ambiente </w:t>
      </w:r>
      <w:r w:rsidR="00FE0661">
        <w:rPr>
          <w:rFonts w:ascii="Verdana" w:hAnsi="Verdana"/>
          <w:i/>
          <w:iCs/>
          <w:sz w:val="20"/>
          <w:szCs w:val="20"/>
          <w:u w:val="single"/>
          <w:lang w:val="es-ES"/>
        </w:rPr>
        <w:t>y su justiciabilidad directa</w:t>
      </w:r>
      <w:r w:rsidR="003F3972" w:rsidRPr="00354B1E">
        <w:rPr>
          <w:rFonts w:ascii="Verdana" w:hAnsi="Verdana"/>
          <w:i/>
          <w:iCs/>
          <w:sz w:val="20"/>
          <w:szCs w:val="20"/>
          <w:u w:val="single"/>
          <w:lang w:val="es-ES"/>
        </w:rPr>
        <w:t xml:space="preserve"> </w:t>
      </w:r>
    </w:p>
    <w:p w14:paraId="395FCB82" w14:textId="46CF01A5" w:rsidR="009E1DE1" w:rsidRPr="00354B1E" w:rsidRDefault="009E1DE1" w:rsidP="006B7EA6">
      <w:pPr>
        <w:pStyle w:val="Prrafodelista"/>
        <w:ind w:left="0"/>
        <w:jc w:val="both"/>
        <w:rPr>
          <w:rFonts w:ascii="Verdana" w:hAnsi="Verdana"/>
          <w:b/>
          <w:bCs/>
          <w:i/>
          <w:iCs/>
          <w:sz w:val="20"/>
          <w:szCs w:val="20"/>
          <w:lang w:val="es-ES"/>
        </w:rPr>
      </w:pPr>
    </w:p>
    <w:p w14:paraId="5CCE0011" w14:textId="6138D4E3" w:rsidR="00C70266" w:rsidRPr="00354B1E" w:rsidRDefault="008F6A3F" w:rsidP="008F6A3F">
      <w:pPr>
        <w:pStyle w:val="Prrafodelista"/>
        <w:ind w:left="0"/>
        <w:jc w:val="both"/>
        <w:rPr>
          <w:rFonts w:ascii="Verdana" w:hAnsi="Verdana"/>
          <w:b/>
          <w:bCs/>
          <w:i/>
          <w:iCs/>
          <w:sz w:val="20"/>
          <w:szCs w:val="20"/>
          <w:lang w:val="es-ES"/>
        </w:rPr>
      </w:pPr>
      <w:r>
        <w:rPr>
          <w:rFonts w:ascii="Verdana" w:hAnsi="Verdana"/>
          <w:sz w:val="20"/>
          <w:szCs w:val="20"/>
          <w:lang w:val="es-ES"/>
        </w:rPr>
        <w:t>2</w:t>
      </w:r>
      <w:r w:rsidR="00783415">
        <w:rPr>
          <w:rFonts w:ascii="Verdana" w:hAnsi="Verdana"/>
          <w:sz w:val="20"/>
          <w:szCs w:val="20"/>
          <w:lang w:val="es-ES"/>
        </w:rPr>
        <w:t>7</w:t>
      </w:r>
      <w:r>
        <w:rPr>
          <w:rFonts w:ascii="Verdana" w:hAnsi="Verdana"/>
          <w:sz w:val="20"/>
          <w:szCs w:val="20"/>
          <w:lang w:val="es-ES"/>
        </w:rPr>
        <w:t xml:space="preserve">. </w:t>
      </w:r>
      <w:r>
        <w:rPr>
          <w:rFonts w:ascii="Verdana" w:hAnsi="Verdana"/>
          <w:sz w:val="20"/>
          <w:szCs w:val="20"/>
          <w:lang w:val="es-ES"/>
        </w:rPr>
        <w:tab/>
      </w:r>
      <w:r w:rsidR="00176968" w:rsidRPr="00354B1E">
        <w:rPr>
          <w:rFonts w:ascii="Verdana" w:hAnsi="Verdana"/>
          <w:sz w:val="20"/>
          <w:szCs w:val="20"/>
          <w:lang w:val="es-ES"/>
        </w:rPr>
        <w:t xml:space="preserve">En el caso de la justiciabilidad directa, antes de </w:t>
      </w:r>
      <w:r w:rsidR="00E5791C">
        <w:rPr>
          <w:rFonts w:ascii="Verdana" w:hAnsi="Verdana"/>
          <w:sz w:val="20"/>
          <w:szCs w:val="20"/>
          <w:lang w:val="es-ES"/>
        </w:rPr>
        <w:t>la presente</w:t>
      </w:r>
      <w:r w:rsidR="00176968" w:rsidRPr="00354B1E">
        <w:rPr>
          <w:rFonts w:ascii="Verdana" w:hAnsi="Verdana"/>
          <w:sz w:val="20"/>
          <w:szCs w:val="20"/>
          <w:lang w:val="es-ES"/>
        </w:rPr>
        <w:t xml:space="preserve"> sentencia, el Tribunal Interamericano </w:t>
      </w:r>
      <w:r w:rsidR="00C70266" w:rsidRPr="00354B1E">
        <w:rPr>
          <w:rFonts w:ascii="Verdana" w:hAnsi="Verdana"/>
          <w:sz w:val="20"/>
          <w:szCs w:val="20"/>
          <w:lang w:val="es-ES"/>
        </w:rPr>
        <w:t xml:space="preserve">se pronunció en dos ocasiones: por un lado, </w:t>
      </w:r>
      <w:r w:rsidR="00E5791C">
        <w:rPr>
          <w:rFonts w:ascii="Verdana" w:hAnsi="Verdana"/>
          <w:sz w:val="20"/>
          <w:szCs w:val="20"/>
          <w:lang w:val="es-ES"/>
        </w:rPr>
        <w:t xml:space="preserve">en </w:t>
      </w:r>
      <w:r w:rsidR="00C70266" w:rsidRPr="00354B1E">
        <w:rPr>
          <w:rFonts w:ascii="Verdana" w:hAnsi="Verdana"/>
          <w:sz w:val="20"/>
          <w:szCs w:val="20"/>
          <w:lang w:val="es-ES"/>
        </w:rPr>
        <w:t>la Opinión Consultiva No. 23 sobre las obligaciones de los Estados en materia de medio ambiente relacionadas con el derecho a la vida y la integridad personal</w:t>
      </w:r>
      <w:r w:rsidR="00E5791C">
        <w:rPr>
          <w:rFonts w:ascii="Verdana" w:hAnsi="Verdana"/>
          <w:sz w:val="20"/>
          <w:szCs w:val="20"/>
          <w:lang w:val="es-ES"/>
        </w:rPr>
        <w:t xml:space="preserve"> (2017);</w:t>
      </w:r>
      <w:r w:rsidR="00C70266" w:rsidRPr="00354B1E">
        <w:rPr>
          <w:rFonts w:ascii="Verdana" w:hAnsi="Verdana"/>
          <w:sz w:val="20"/>
          <w:szCs w:val="20"/>
          <w:lang w:val="es-ES"/>
        </w:rPr>
        <w:t xml:space="preserve"> y, por el otro, en el caso </w:t>
      </w:r>
      <w:r w:rsidR="00C70266" w:rsidRPr="00354B1E">
        <w:rPr>
          <w:rFonts w:ascii="Verdana" w:hAnsi="Verdana" w:cs="Open Sans"/>
          <w:i/>
          <w:iCs/>
          <w:sz w:val="20"/>
          <w:szCs w:val="20"/>
          <w:shd w:val="clear" w:color="auto" w:fill="FFFFFF"/>
          <w:lang w:val="es-ES"/>
        </w:rPr>
        <w:t>Comunidades Indígenas Miembros de la Asociación Lhaka Honhat (Nuestra Tierra) Vs. Argentina</w:t>
      </w:r>
      <w:r w:rsidR="00E5791C">
        <w:rPr>
          <w:rFonts w:ascii="Verdana" w:hAnsi="Verdana" w:cs="Open Sans"/>
          <w:i/>
          <w:iCs/>
          <w:sz w:val="20"/>
          <w:szCs w:val="20"/>
          <w:shd w:val="clear" w:color="auto" w:fill="FFFFFF"/>
          <w:lang w:val="es-ES"/>
        </w:rPr>
        <w:t xml:space="preserve"> </w:t>
      </w:r>
      <w:r w:rsidR="00E5791C">
        <w:rPr>
          <w:rFonts w:ascii="Verdana" w:hAnsi="Verdana" w:cs="Open Sans"/>
          <w:sz w:val="20"/>
          <w:szCs w:val="20"/>
          <w:shd w:val="clear" w:color="auto" w:fill="FFFFFF"/>
          <w:lang w:val="es-ES"/>
        </w:rPr>
        <w:t>(2020)</w:t>
      </w:r>
      <w:r w:rsidR="00C70266" w:rsidRPr="00354B1E">
        <w:rPr>
          <w:rFonts w:ascii="Verdana" w:hAnsi="Verdana" w:cs="Open Sans"/>
          <w:i/>
          <w:iCs/>
          <w:sz w:val="20"/>
          <w:szCs w:val="20"/>
          <w:shd w:val="clear" w:color="auto" w:fill="FFFFFF"/>
          <w:lang w:val="es-ES"/>
        </w:rPr>
        <w:t>.</w:t>
      </w:r>
    </w:p>
    <w:p w14:paraId="64F5728B" w14:textId="77777777" w:rsidR="003F3972" w:rsidRPr="00354B1E" w:rsidRDefault="003F3972" w:rsidP="006B7EA6">
      <w:pPr>
        <w:pStyle w:val="Prrafodelista"/>
        <w:ind w:left="0"/>
        <w:jc w:val="both"/>
        <w:rPr>
          <w:rFonts w:ascii="Verdana" w:hAnsi="Verdana"/>
          <w:sz w:val="20"/>
          <w:szCs w:val="20"/>
          <w:lang w:val="es-ES"/>
        </w:rPr>
      </w:pPr>
    </w:p>
    <w:p w14:paraId="3857AB9D" w14:textId="2CADE798" w:rsidR="009E1DE1" w:rsidRPr="00354B1E" w:rsidRDefault="00FE602F" w:rsidP="006B7EA6">
      <w:pPr>
        <w:pStyle w:val="Prrafodelista"/>
        <w:ind w:left="0"/>
        <w:jc w:val="both"/>
        <w:rPr>
          <w:rFonts w:ascii="Verdana" w:hAnsi="Verdana"/>
          <w:i/>
          <w:iCs/>
          <w:sz w:val="20"/>
          <w:szCs w:val="20"/>
          <w:u w:val="single"/>
          <w:lang w:val="es-ES"/>
        </w:rPr>
      </w:pPr>
      <w:r>
        <w:rPr>
          <w:rFonts w:ascii="Verdana" w:hAnsi="Verdana"/>
          <w:i/>
          <w:iCs/>
          <w:sz w:val="20"/>
          <w:szCs w:val="20"/>
          <w:u w:val="single"/>
          <w:lang w:val="es-ES"/>
        </w:rPr>
        <w:t>2.1</w:t>
      </w:r>
      <w:r w:rsidR="003F3972" w:rsidRPr="00354B1E">
        <w:rPr>
          <w:rFonts w:ascii="Verdana" w:hAnsi="Verdana"/>
          <w:i/>
          <w:iCs/>
          <w:sz w:val="20"/>
          <w:szCs w:val="20"/>
          <w:u w:val="single"/>
          <w:lang w:val="es-ES"/>
        </w:rPr>
        <w:t>. La Opinión Consultiva No. 23</w:t>
      </w:r>
    </w:p>
    <w:p w14:paraId="3566AA67" w14:textId="77777777" w:rsidR="009E1DE1" w:rsidRPr="00354B1E" w:rsidRDefault="009E1DE1" w:rsidP="006B7EA6">
      <w:pPr>
        <w:pStyle w:val="Prrafodelista"/>
        <w:ind w:left="0"/>
        <w:jc w:val="both"/>
        <w:rPr>
          <w:rFonts w:ascii="Verdana" w:hAnsi="Verdana"/>
          <w:b/>
          <w:bCs/>
          <w:sz w:val="20"/>
          <w:szCs w:val="20"/>
          <w:lang w:val="es-ES"/>
        </w:rPr>
      </w:pPr>
    </w:p>
    <w:p w14:paraId="1B846D16" w14:textId="043CBD28" w:rsidR="003B6D91" w:rsidRPr="00354B1E" w:rsidRDefault="008F6A3F" w:rsidP="008F6A3F">
      <w:pPr>
        <w:pStyle w:val="Prrafodelista"/>
        <w:ind w:left="0"/>
        <w:jc w:val="both"/>
        <w:rPr>
          <w:rFonts w:ascii="Verdana" w:hAnsi="Verdana"/>
          <w:b/>
          <w:bCs/>
          <w:sz w:val="20"/>
          <w:szCs w:val="20"/>
          <w:lang w:val="es-ES"/>
        </w:rPr>
      </w:pPr>
      <w:r>
        <w:rPr>
          <w:rFonts w:ascii="Verdana" w:hAnsi="Verdana" w:cs="Arial"/>
          <w:sz w:val="20"/>
          <w:szCs w:val="20"/>
          <w:shd w:val="clear" w:color="auto" w:fill="FFFFFF"/>
          <w:lang w:val="es-ES"/>
        </w:rPr>
        <w:t>2</w:t>
      </w:r>
      <w:r w:rsidR="00783415">
        <w:rPr>
          <w:rFonts w:ascii="Verdana" w:hAnsi="Verdana" w:cs="Arial"/>
          <w:sz w:val="20"/>
          <w:szCs w:val="20"/>
          <w:shd w:val="clear" w:color="auto" w:fill="FFFFFF"/>
          <w:lang w:val="es-ES"/>
        </w:rPr>
        <w:t>8</w:t>
      </w:r>
      <w:r>
        <w:rPr>
          <w:rFonts w:ascii="Verdana" w:hAnsi="Verdana" w:cs="Arial"/>
          <w:sz w:val="20"/>
          <w:szCs w:val="20"/>
          <w:shd w:val="clear" w:color="auto" w:fill="FFFFFF"/>
          <w:lang w:val="es-ES"/>
        </w:rPr>
        <w:t xml:space="preserve">. </w:t>
      </w:r>
      <w:r>
        <w:rPr>
          <w:rFonts w:ascii="Verdana" w:hAnsi="Verdana" w:cs="Arial"/>
          <w:sz w:val="20"/>
          <w:szCs w:val="20"/>
          <w:shd w:val="clear" w:color="auto" w:fill="FFFFFF"/>
          <w:lang w:val="es-ES"/>
        </w:rPr>
        <w:tab/>
      </w:r>
      <w:r w:rsidR="003B6D91" w:rsidRPr="00354B1E">
        <w:rPr>
          <w:rFonts w:ascii="Verdana" w:hAnsi="Verdana" w:cs="Arial"/>
          <w:sz w:val="20"/>
          <w:szCs w:val="20"/>
          <w:shd w:val="clear" w:color="auto" w:fill="FFFFFF"/>
          <w:lang w:val="es-ES"/>
        </w:rPr>
        <w:t>En la OC</w:t>
      </w:r>
      <w:r w:rsidR="00E5791C">
        <w:rPr>
          <w:rFonts w:ascii="Verdana" w:hAnsi="Verdana" w:cs="Arial"/>
          <w:sz w:val="20"/>
          <w:szCs w:val="20"/>
          <w:shd w:val="clear" w:color="auto" w:fill="FFFFFF"/>
          <w:lang w:val="es-ES"/>
        </w:rPr>
        <w:t>-23</w:t>
      </w:r>
      <w:r w:rsidR="003B6D91" w:rsidRPr="00354B1E">
        <w:rPr>
          <w:rFonts w:ascii="Verdana" w:hAnsi="Verdana" w:cs="Arial"/>
          <w:sz w:val="20"/>
          <w:szCs w:val="20"/>
          <w:shd w:val="clear" w:color="auto" w:fill="FFFFFF"/>
          <w:lang w:val="es-ES"/>
        </w:rPr>
        <w:t>, l</w:t>
      </w:r>
      <w:r w:rsidR="00FD07F6" w:rsidRPr="00354B1E">
        <w:rPr>
          <w:rFonts w:ascii="Verdana" w:hAnsi="Verdana" w:cs="Arial"/>
          <w:sz w:val="20"/>
          <w:szCs w:val="20"/>
          <w:shd w:val="clear" w:color="auto" w:fill="FFFFFF"/>
          <w:lang w:val="es-ES"/>
        </w:rPr>
        <w:t>a Corte IDH precis</w:t>
      </w:r>
      <w:r w:rsidR="003B6D91" w:rsidRPr="00354B1E">
        <w:rPr>
          <w:rFonts w:ascii="Verdana" w:hAnsi="Verdana" w:cs="Arial"/>
          <w:sz w:val="20"/>
          <w:szCs w:val="20"/>
          <w:shd w:val="clear" w:color="auto" w:fill="FFFFFF"/>
          <w:lang w:val="es-ES"/>
        </w:rPr>
        <w:t xml:space="preserve">ó </w:t>
      </w:r>
      <w:r w:rsidR="00FD07F6" w:rsidRPr="00354B1E">
        <w:rPr>
          <w:rFonts w:ascii="Verdana" w:hAnsi="Verdana" w:cs="Arial"/>
          <w:sz w:val="20"/>
          <w:szCs w:val="20"/>
          <w:shd w:val="clear" w:color="auto" w:fill="FFFFFF"/>
          <w:lang w:val="es-ES"/>
        </w:rPr>
        <w:t xml:space="preserve">que </w:t>
      </w:r>
      <w:r w:rsidR="00FD07F6" w:rsidRPr="00354B1E">
        <w:rPr>
          <w:rFonts w:ascii="Verdana" w:hAnsi="Verdana" w:cs="Arial"/>
          <w:sz w:val="20"/>
          <w:szCs w:val="20"/>
          <w:lang w:val="es-ES"/>
        </w:rPr>
        <w:t>es importante resaltar que el derecho al medio ambiente sano como derecho autónomo, a diferencia de otros derechos, protege los componentes del medio ambiente, tales como bosques, ríos, mares y otros, como intereses jurídicos en sí mismos, aún en ausencia de certeza o evidencia sobre el riesgo a las personas individuales. Se trata de proteger la naturaleza y el medio ambiente no solamente por su conexidad con una utilidad para el ser humano o por los efectos que su degradación podría causar en otros derechos de las personas, como la salud, la vida o la integridad personal, sino por su importancia para los demás organismos vivos con quienes se comparte el planeta, también merecedores de protección en sí mismos</w:t>
      </w:r>
      <w:r w:rsidR="00FD07F6" w:rsidRPr="00354B1E">
        <w:rPr>
          <w:rStyle w:val="Refdenotaalpie"/>
          <w:rFonts w:ascii="Verdana" w:hAnsi="Verdana" w:cs="Arial"/>
          <w:sz w:val="20"/>
          <w:szCs w:val="20"/>
          <w:lang w:val="es-ES"/>
        </w:rPr>
        <w:footnoteReference w:id="30"/>
      </w:r>
      <w:r w:rsidR="00FD07F6" w:rsidRPr="00354B1E">
        <w:rPr>
          <w:rFonts w:ascii="Verdana" w:hAnsi="Verdana" w:cs="Arial"/>
          <w:sz w:val="20"/>
          <w:szCs w:val="20"/>
          <w:lang w:val="es-ES"/>
        </w:rPr>
        <w:t>.</w:t>
      </w:r>
    </w:p>
    <w:p w14:paraId="03E19242" w14:textId="77777777" w:rsidR="003B6D91" w:rsidRPr="00354B1E" w:rsidRDefault="003B6D91" w:rsidP="003B6D91">
      <w:pPr>
        <w:pStyle w:val="Prrafodelista"/>
        <w:ind w:left="0"/>
        <w:jc w:val="both"/>
        <w:rPr>
          <w:rFonts w:ascii="Verdana" w:hAnsi="Verdana"/>
          <w:b/>
          <w:bCs/>
          <w:sz w:val="20"/>
          <w:szCs w:val="20"/>
          <w:lang w:val="es-ES"/>
        </w:rPr>
      </w:pPr>
    </w:p>
    <w:p w14:paraId="646496BB" w14:textId="47B45203" w:rsidR="00D7326D" w:rsidRPr="00354B1E" w:rsidRDefault="008F6A3F" w:rsidP="008F6A3F">
      <w:pPr>
        <w:pStyle w:val="Prrafodelista"/>
        <w:ind w:left="0"/>
        <w:jc w:val="both"/>
        <w:rPr>
          <w:rFonts w:ascii="Verdana" w:hAnsi="Verdana"/>
          <w:b/>
          <w:bCs/>
          <w:sz w:val="20"/>
          <w:szCs w:val="20"/>
          <w:lang w:val="es-ES"/>
        </w:rPr>
      </w:pPr>
      <w:r>
        <w:rPr>
          <w:rFonts w:ascii="Verdana" w:hAnsi="Verdana" w:cs="Arial"/>
          <w:sz w:val="20"/>
          <w:szCs w:val="20"/>
          <w:shd w:val="clear" w:color="auto" w:fill="FFFFFF"/>
          <w:lang w:val="es-ES"/>
        </w:rPr>
        <w:t>2</w:t>
      </w:r>
      <w:r w:rsidR="00783415">
        <w:rPr>
          <w:rFonts w:ascii="Verdana" w:hAnsi="Verdana" w:cs="Arial"/>
          <w:sz w:val="20"/>
          <w:szCs w:val="20"/>
          <w:shd w:val="clear" w:color="auto" w:fill="FFFFFF"/>
          <w:lang w:val="es-ES"/>
        </w:rPr>
        <w:t>9</w:t>
      </w:r>
      <w:r>
        <w:rPr>
          <w:rFonts w:ascii="Verdana" w:hAnsi="Verdana" w:cs="Arial"/>
          <w:sz w:val="20"/>
          <w:szCs w:val="20"/>
          <w:shd w:val="clear" w:color="auto" w:fill="FFFFFF"/>
          <w:lang w:val="es-ES"/>
        </w:rPr>
        <w:t xml:space="preserve">. </w:t>
      </w:r>
      <w:r>
        <w:rPr>
          <w:rFonts w:ascii="Verdana" w:hAnsi="Verdana" w:cs="Arial"/>
          <w:sz w:val="20"/>
          <w:szCs w:val="20"/>
          <w:shd w:val="clear" w:color="auto" w:fill="FFFFFF"/>
          <w:lang w:val="es-ES"/>
        </w:rPr>
        <w:tab/>
      </w:r>
      <w:r w:rsidR="00FD07F6" w:rsidRPr="00354B1E">
        <w:rPr>
          <w:rFonts w:ascii="Verdana" w:hAnsi="Verdana" w:cs="Arial"/>
          <w:sz w:val="20"/>
          <w:szCs w:val="20"/>
          <w:shd w:val="clear" w:color="auto" w:fill="FFFFFF"/>
          <w:lang w:val="es-ES"/>
        </w:rPr>
        <w:t xml:space="preserve">En términos generales, la Opinión puede seccionarse en tres grandes bloques: i) la jurisdicción en materia ambiental, ii) la relación de otros derechos humanos con el derecho al medio ambiente y iii) las obligaciones en materia ambiental que deben observarse. </w:t>
      </w:r>
    </w:p>
    <w:p w14:paraId="01F75F5A" w14:textId="77777777" w:rsidR="00D7326D" w:rsidRPr="00354B1E" w:rsidRDefault="00D7326D" w:rsidP="00D7326D">
      <w:pPr>
        <w:pStyle w:val="Prrafodelista"/>
        <w:rPr>
          <w:rFonts w:ascii="Verdana" w:hAnsi="Verdana" w:cs="Arial"/>
          <w:sz w:val="20"/>
          <w:szCs w:val="20"/>
          <w:shd w:val="clear" w:color="auto" w:fill="FFFFFF"/>
          <w:lang w:val="es-ES"/>
        </w:rPr>
      </w:pPr>
    </w:p>
    <w:p w14:paraId="5612841E" w14:textId="446E9802" w:rsidR="00D7326D" w:rsidRPr="00354B1E" w:rsidRDefault="00783415" w:rsidP="008F6A3F">
      <w:pPr>
        <w:pStyle w:val="Prrafodelista"/>
        <w:ind w:left="0"/>
        <w:jc w:val="both"/>
        <w:rPr>
          <w:rFonts w:ascii="Verdana" w:hAnsi="Verdana"/>
          <w:b/>
          <w:bCs/>
          <w:sz w:val="20"/>
          <w:szCs w:val="20"/>
          <w:lang w:val="es-ES"/>
        </w:rPr>
      </w:pPr>
      <w:r>
        <w:rPr>
          <w:rFonts w:ascii="Verdana" w:hAnsi="Verdana" w:cs="Arial"/>
          <w:sz w:val="20"/>
          <w:szCs w:val="20"/>
          <w:shd w:val="clear" w:color="auto" w:fill="FFFFFF"/>
          <w:lang w:val="es-ES"/>
        </w:rPr>
        <w:t>30</w:t>
      </w:r>
      <w:r w:rsidR="008F6A3F">
        <w:rPr>
          <w:rFonts w:ascii="Verdana" w:hAnsi="Verdana" w:cs="Arial"/>
          <w:sz w:val="20"/>
          <w:szCs w:val="20"/>
          <w:shd w:val="clear" w:color="auto" w:fill="FFFFFF"/>
          <w:lang w:val="es-ES"/>
        </w:rPr>
        <w:t xml:space="preserve">. </w:t>
      </w:r>
      <w:r w:rsidR="008F6A3F">
        <w:rPr>
          <w:rFonts w:ascii="Verdana" w:hAnsi="Verdana" w:cs="Arial"/>
          <w:sz w:val="20"/>
          <w:szCs w:val="20"/>
          <w:shd w:val="clear" w:color="auto" w:fill="FFFFFF"/>
          <w:lang w:val="es-ES"/>
        </w:rPr>
        <w:tab/>
      </w:r>
      <w:r w:rsidR="00FD07F6" w:rsidRPr="00354B1E">
        <w:rPr>
          <w:rFonts w:ascii="Verdana" w:hAnsi="Verdana" w:cs="Arial"/>
          <w:sz w:val="20"/>
          <w:szCs w:val="20"/>
          <w:shd w:val="clear" w:color="auto" w:fill="FFFFFF"/>
          <w:lang w:val="es-ES"/>
        </w:rPr>
        <w:t xml:space="preserve">En cuanto al primer punto, la Corte IDH hace una distinción entre territorio y jurisdicción. El Tribunal precisa que es el segundo termino el que debe de prevalecer en el caso de determinar quién es </w:t>
      </w:r>
      <w:r w:rsidR="00E5791C">
        <w:rPr>
          <w:rFonts w:ascii="Verdana" w:hAnsi="Verdana" w:cs="Arial"/>
          <w:sz w:val="20"/>
          <w:szCs w:val="20"/>
          <w:shd w:val="clear" w:color="auto" w:fill="FFFFFF"/>
          <w:lang w:val="es-ES"/>
        </w:rPr>
        <w:t xml:space="preserve">el </w:t>
      </w:r>
      <w:r w:rsidR="00FD07F6" w:rsidRPr="00354B1E">
        <w:rPr>
          <w:rFonts w:ascii="Verdana" w:hAnsi="Verdana" w:cs="Arial"/>
          <w:sz w:val="20"/>
          <w:szCs w:val="20"/>
          <w:shd w:val="clear" w:color="auto" w:fill="FFFFFF"/>
          <w:lang w:val="es-ES"/>
        </w:rPr>
        <w:t>Estado al cual potencialmente se le puede imputar la responsabilidad internacional. La OC identifica que a partir del concepto “Estado de origen” se puede identificar quién o quiénes serían sobre los que recaería la responsabilidad internacional. La Corte IDH considera que el Estado de origen es aquel que dentro de su jurisdicción permite o bien tolera que se desarrollen potenciales agentes contaminantes (en el incumplimiento de sus obligaciones en materia ambiental. Véase cuadro</w:t>
      </w:r>
      <w:r w:rsidR="00B75CEF">
        <w:rPr>
          <w:rFonts w:ascii="Verdana" w:hAnsi="Verdana" w:cs="Arial"/>
          <w:sz w:val="20"/>
          <w:szCs w:val="20"/>
          <w:shd w:val="clear" w:color="auto" w:fill="FFFFFF"/>
          <w:lang w:val="es-ES"/>
        </w:rPr>
        <w:t xml:space="preserve"> del párrafo 33 d</w:t>
      </w:r>
      <w:r w:rsidR="002073CF">
        <w:rPr>
          <w:rFonts w:ascii="Verdana" w:hAnsi="Verdana" w:cs="Arial"/>
          <w:sz w:val="20"/>
          <w:szCs w:val="20"/>
          <w:shd w:val="clear" w:color="auto" w:fill="FFFFFF"/>
          <w:lang w:val="es-ES"/>
        </w:rPr>
        <w:t>el</w:t>
      </w:r>
      <w:r w:rsidR="00B75CEF">
        <w:rPr>
          <w:rFonts w:ascii="Verdana" w:hAnsi="Verdana" w:cs="Arial"/>
          <w:sz w:val="20"/>
          <w:szCs w:val="20"/>
          <w:shd w:val="clear" w:color="auto" w:fill="FFFFFF"/>
          <w:lang w:val="es-ES"/>
        </w:rPr>
        <w:t xml:space="preserve"> voto</w:t>
      </w:r>
      <w:r w:rsidR="00FD07F6" w:rsidRPr="00354B1E">
        <w:rPr>
          <w:rFonts w:ascii="Verdana" w:hAnsi="Verdana" w:cs="Arial"/>
          <w:sz w:val="20"/>
          <w:szCs w:val="20"/>
          <w:shd w:val="clear" w:color="auto" w:fill="FFFFFF"/>
          <w:lang w:val="es-ES"/>
        </w:rPr>
        <w:t>)</w:t>
      </w:r>
      <w:r w:rsidR="00FD07F6" w:rsidRPr="00354B1E">
        <w:rPr>
          <w:rStyle w:val="Refdenotaalpie"/>
          <w:rFonts w:ascii="Verdana" w:hAnsi="Verdana" w:cs="Arial"/>
          <w:sz w:val="20"/>
          <w:szCs w:val="20"/>
          <w:shd w:val="clear" w:color="auto" w:fill="FFFFFF"/>
          <w:lang w:val="es-ES"/>
        </w:rPr>
        <w:footnoteReference w:id="31"/>
      </w:r>
      <w:r w:rsidR="00FD07F6" w:rsidRPr="00354B1E">
        <w:rPr>
          <w:rFonts w:ascii="Verdana" w:hAnsi="Verdana" w:cs="Arial"/>
          <w:sz w:val="20"/>
          <w:szCs w:val="20"/>
          <w:shd w:val="clear" w:color="auto" w:fill="FFFFFF"/>
          <w:lang w:val="es-ES"/>
        </w:rPr>
        <w:t xml:space="preserve">. </w:t>
      </w:r>
    </w:p>
    <w:p w14:paraId="1F6369D0" w14:textId="77777777" w:rsidR="00D7326D" w:rsidRPr="00354B1E" w:rsidRDefault="00D7326D" w:rsidP="00D7326D">
      <w:pPr>
        <w:pStyle w:val="Prrafodelista"/>
        <w:rPr>
          <w:rFonts w:ascii="Verdana" w:hAnsi="Verdana" w:cs="Arial"/>
          <w:sz w:val="20"/>
          <w:szCs w:val="20"/>
          <w:shd w:val="clear" w:color="auto" w:fill="FFFFFF"/>
          <w:lang w:val="es-ES"/>
        </w:rPr>
      </w:pPr>
    </w:p>
    <w:p w14:paraId="3FD78982" w14:textId="758227DC" w:rsidR="00D7326D" w:rsidRPr="00354B1E" w:rsidRDefault="008F6A3F" w:rsidP="008F6A3F">
      <w:pPr>
        <w:pStyle w:val="Prrafodelista"/>
        <w:ind w:left="0"/>
        <w:jc w:val="both"/>
        <w:rPr>
          <w:rFonts w:ascii="Verdana" w:hAnsi="Verdana"/>
          <w:b/>
          <w:bCs/>
          <w:sz w:val="20"/>
          <w:szCs w:val="20"/>
          <w:lang w:val="es-ES"/>
        </w:rPr>
      </w:pPr>
      <w:r>
        <w:rPr>
          <w:rFonts w:ascii="Verdana" w:hAnsi="Verdana" w:cs="Arial"/>
          <w:sz w:val="20"/>
          <w:szCs w:val="20"/>
          <w:shd w:val="clear" w:color="auto" w:fill="FFFFFF"/>
          <w:lang w:val="es-ES"/>
        </w:rPr>
        <w:t>3</w:t>
      </w:r>
      <w:r w:rsidR="00783415">
        <w:rPr>
          <w:rFonts w:ascii="Verdana" w:hAnsi="Verdana" w:cs="Arial"/>
          <w:sz w:val="20"/>
          <w:szCs w:val="20"/>
          <w:shd w:val="clear" w:color="auto" w:fill="FFFFFF"/>
          <w:lang w:val="es-ES"/>
        </w:rPr>
        <w:t>1</w:t>
      </w:r>
      <w:r>
        <w:rPr>
          <w:rFonts w:ascii="Verdana" w:hAnsi="Verdana" w:cs="Arial"/>
          <w:sz w:val="20"/>
          <w:szCs w:val="20"/>
          <w:shd w:val="clear" w:color="auto" w:fill="FFFFFF"/>
          <w:lang w:val="es-ES"/>
        </w:rPr>
        <w:t xml:space="preserve">. </w:t>
      </w:r>
      <w:r>
        <w:rPr>
          <w:rFonts w:ascii="Verdana" w:hAnsi="Verdana" w:cs="Arial"/>
          <w:sz w:val="20"/>
          <w:szCs w:val="20"/>
          <w:shd w:val="clear" w:color="auto" w:fill="FFFFFF"/>
          <w:lang w:val="es-ES"/>
        </w:rPr>
        <w:tab/>
      </w:r>
      <w:r w:rsidR="00FD07F6" w:rsidRPr="00354B1E">
        <w:rPr>
          <w:rFonts w:ascii="Verdana" w:hAnsi="Verdana" w:cs="Arial"/>
          <w:sz w:val="20"/>
          <w:szCs w:val="20"/>
          <w:shd w:val="clear" w:color="auto" w:fill="FFFFFF"/>
          <w:lang w:val="es-ES"/>
        </w:rPr>
        <w:t xml:space="preserve">Otro concepto que es de especial relevancia en este apartado es el de “conductas extraterritoriales en materia ambiental”. La Corte IDH es consiente que la violación al medio ambiente no respeta fronteras por lo que muchas veces los agentes contaminantes que se generen en el Estado de origen tendrán un impacto en el territorio/jurisdicción de Estados terceros. Bajo este panorama, la Corte IDH considera que será el Estado de origen el que tendrá la posible responsabilidad internacional por violaciones al medio ambiente que se generen en Estados terceros, está conclusión la Corte IDH la realiza en el entendimiento que es el Estado de origen el que ejerce una especie de </w:t>
      </w:r>
      <w:r w:rsidR="00FD07F6" w:rsidRPr="00354B1E">
        <w:rPr>
          <w:rFonts w:ascii="Verdana" w:hAnsi="Verdana" w:cs="Arial"/>
          <w:i/>
          <w:iCs/>
          <w:sz w:val="20"/>
          <w:szCs w:val="20"/>
          <w:shd w:val="clear" w:color="auto" w:fill="FFFFFF"/>
          <w:lang w:val="es-ES"/>
        </w:rPr>
        <w:t xml:space="preserve">control efectivo </w:t>
      </w:r>
      <w:r w:rsidR="00FD07F6" w:rsidRPr="00354B1E">
        <w:rPr>
          <w:rFonts w:ascii="Verdana" w:hAnsi="Verdana" w:cs="Arial"/>
          <w:sz w:val="20"/>
          <w:szCs w:val="20"/>
          <w:shd w:val="clear" w:color="auto" w:fill="FFFFFF"/>
          <w:lang w:val="es-ES"/>
        </w:rPr>
        <w:t>dentro de la jurisdicción de otros Estados</w:t>
      </w:r>
      <w:r w:rsidR="00FD07F6" w:rsidRPr="00354B1E">
        <w:rPr>
          <w:rStyle w:val="Refdenotaalpie"/>
          <w:rFonts w:ascii="Verdana" w:hAnsi="Verdana" w:cs="Arial"/>
          <w:sz w:val="20"/>
          <w:szCs w:val="20"/>
          <w:shd w:val="clear" w:color="auto" w:fill="FFFFFF"/>
          <w:lang w:val="es-ES"/>
        </w:rPr>
        <w:footnoteReference w:id="32"/>
      </w:r>
      <w:r w:rsidR="00FD07F6" w:rsidRPr="00354B1E">
        <w:rPr>
          <w:rFonts w:ascii="Verdana" w:hAnsi="Verdana" w:cs="Arial"/>
          <w:sz w:val="20"/>
          <w:szCs w:val="20"/>
          <w:shd w:val="clear" w:color="auto" w:fill="FFFFFF"/>
          <w:lang w:val="es-ES"/>
        </w:rPr>
        <w:t>. La noción de control efectivo ha sido desarrollada principalmente en situaciones de conflicto armado internacional, pero de manera reciente que se ha empezado a aplicar en la protección del derecho al medio ambiente</w:t>
      </w:r>
      <w:r w:rsidR="00FD07F6" w:rsidRPr="00354B1E">
        <w:rPr>
          <w:rStyle w:val="Refdenotaalpie"/>
          <w:rFonts w:ascii="Verdana" w:hAnsi="Verdana" w:cs="Arial"/>
          <w:sz w:val="20"/>
          <w:szCs w:val="20"/>
          <w:shd w:val="clear" w:color="auto" w:fill="FFFFFF"/>
          <w:lang w:val="es-ES"/>
        </w:rPr>
        <w:footnoteReference w:id="33"/>
      </w:r>
      <w:r w:rsidR="00FD07F6" w:rsidRPr="00354B1E">
        <w:rPr>
          <w:rFonts w:ascii="Verdana" w:hAnsi="Verdana" w:cs="Arial"/>
          <w:sz w:val="20"/>
          <w:szCs w:val="20"/>
          <w:shd w:val="clear" w:color="auto" w:fill="FFFFFF"/>
          <w:lang w:val="es-ES"/>
        </w:rPr>
        <w:t>.</w:t>
      </w:r>
    </w:p>
    <w:p w14:paraId="4AC3180B" w14:textId="77777777" w:rsidR="00D7326D" w:rsidRPr="00354B1E" w:rsidRDefault="00D7326D" w:rsidP="00D7326D">
      <w:pPr>
        <w:pStyle w:val="Prrafodelista"/>
        <w:rPr>
          <w:rFonts w:ascii="Verdana" w:hAnsi="Verdana" w:cs="Arial"/>
          <w:sz w:val="20"/>
          <w:szCs w:val="20"/>
          <w:shd w:val="clear" w:color="auto" w:fill="FFFFFF"/>
          <w:lang w:val="es-ES"/>
        </w:rPr>
      </w:pPr>
    </w:p>
    <w:p w14:paraId="3DA4DE16" w14:textId="3EB4970A" w:rsidR="00D7326D" w:rsidRPr="00354B1E" w:rsidRDefault="008F6A3F" w:rsidP="008F6A3F">
      <w:pPr>
        <w:pStyle w:val="Prrafodelista"/>
        <w:ind w:left="0"/>
        <w:jc w:val="both"/>
        <w:rPr>
          <w:rFonts w:ascii="Verdana" w:hAnsi="Verdana"/>
          <w:b/>
          <w:bCs/>
          <w:sz w:val="20"/>
          <w:szCs w:val="20"/>
          <w:lang w:val="es-ES"/>
        </w:rPr>
      </w:pPr>
      <w:r>
        <w:rPr>
          <w:rFonts w:ascii="Verdana" w:hAnsi="Verdana" w:cs="Arial"/>
          <w:sz w:val="20"/>
          <w:szCs w:val="20"/>
          <w:shd w:val="clear" w:color="auto" w:fill="FFFFFF"/>
          <w:lang w:val="es-ES"/>
        </w:rPr>
        <w:t>3</w:t>
      </w:r>
      <w:r w:rsidR="00783415">
        <w:rPr>
          <w:rFonts w:ascii="Verdana" w:hAnsi="Verdana" w:cs="Arial"/>
          <w:sz w:val="20"/>
          <w:szCs w:val="20"/>
          <w:shd w:val="clear" w:color="auto" w:fill="FFFFFF"/>
          <w:lang w:val="es-ES"/>
        </w:rPr>
        <w:t>2</w:t>
      </w:r>
      <w:r>
        <w:rPr>
          <w:rFonts w:ascii="Verdana" w:hAnsi="Verdana" w:cs="Arial"/>
          <w:sz w:val="20"/>
          <w:szCs w:val="20"/>
          <w:shd w:val="clear" w:color="auto" w:fill="FFFFFF"/>
          <w:lang w:val="es-ES"/>
        </w:rPr>
        <w:t xml:space="preserve">. </w:t>
      </w:r>
      <w:r>
        <w:rPr>
          <w:rFonts w:ascii="Verdana" w:hAnsi="Verdana" w:cs="Arial"/>
          <w:sz w:val="20"/>
          <w:szCs w:val="20"/>
          <w:shd w:val="clear" w:color="auto" w:fill="FFFFFF"/>
          <w:lang w:val="es-ES"/>
        </w:rPr>
        <w:tab/>
      </w:r>
      <w:r w:rsidR="00FD07F6" w:rsidRPr="00354B1E">
        <w:rPr>
          <w:rFonts w:ascii="Verdana" w:hAnsi="Verdana" w:cs="Arial"/>
          <w:sz w:val="20"/>
          <w:szCs w:val="20"/>
          <w:shd w:val="clear" w:color="auto" w:fill="FFFFFF"/>
          <w:lang w:val="es-ES"/>
        </w:rPr>
        <w:t>En el segundo apartado, la Corte IDH indicó que se aplicaban las obligaciones de respeto, garantía y no discriminación en cuanto al contenido de este derecho. Precisó que dada la relación que tiene el derecho al medio ambiente sano con otros derechos existen derecho</w:t>
      </w:r>
      <w:r w:rsidR="00453802">
        <w:rPr>
          <w:rFonts w:ascii="Verdana" w:hAnsi="Verdana" w:cs="Arial"/>
          <w:sz w:val="20"/>
          <w:szCs w:val="20"/>
          <w:shd w:val="clear" w:color="auto" w:fill="FFFFFF"/>
          <w:lang w:val="es-ES"/>
        </w:rPr>
        <w:t>s</w:t>
      </w:r>
      <w:r w:rsidR="00FD07F6" w:rsidRPr="00354B1E">
        <w:rPr>
          <w:rFonts w:ascii="Verdana" w:hAnsi="Verdana" w:cs="Arial"/>
          <w:sz w:val="20"/>
          <w:szCs w:val="20"/>
          <w:shd w:val="clear" w:color="auto" w:fill="FFFFFF"/>
          <w:lang w:val="es-ES"/>
        </w:rPr>
        <w:t xml:space="preserve"> que pueden ser susceptibles a ser “vulnerables por la degradación ambiental” </w:t>
      </w:r>
      <w:r w:rsidR="00E5791C">
        <w:rPr>
          <w:rFonts w:ascii="Verdana" w:hAnsi="Verdana" w:cs="Arial"/>
          <w:sz w:val="20"/>
          <w:szCs w:val="20"/>
          <w:shd w:val="clear" w:color="auto" w:fill="FFFFFF"/>
          <w:lang w:val="es-ES"/>
        </w:rPr>
        <w:t>—</w:t>
      </w:r>
      <w:r w:rsidR="00FD07F6" w:rsidRPr="00354B1E">
        <w:rPr>
          <w:rFonts w:ascii="Verdana" w:hAnsi="Verdana" w:cs="Arial"/>
          <w:sz w:val="20"/>
          <w:szCs w:val="20"/>
          <w:shd w:val="clear" w:color="auto" w:fill="FFFFFF"/>
          <w:lang w:val="es-ES"/>
        </w:rPr>
        <w:t>como el derecho a la vida, integridad personal o salud</w:t>
      </w:r>
      <w:r w:rsidR="00E5791C">
        <w:rPr>
          <w:rFonts w:ascii="Verdana" w:hAnsi="Verdana" w:cs="Arial"/>
          <w:sz w:val="20"/>
          <w:szCs w:val="20"/>
          <w:shd w:val="clear" w:color="auto" w:fill="FFFFFF"/>
          <w:lang w:val="es-ES"/>
        </w:rPr>
        <w:t xml:space="preserve">— </w:t>
      </w:r>
      <w:r w:rsidR="00FD07F6" w:rsidRPr="00354B1E">
        <w:rPr>
          <w:rFonts w:ascii="Verdana" w:hAnsi="Verdana" w:cs="Arial"/>
          <w:sz w:val="20"/>
          <w:szCs w:val="20"/>
          <w:shd w:val="clear" w:color="auto" w:fill="FFFFFF"/>
          <w:lang w:val="es-ES"/>
        </w:rPr>
        <w:t>o derechos que pueden servir como un “instrumento” para garantizar el derecho</w:t>
      </w:r>
      <w:r w:rsidR="004935D3">
        <w:rPr>
          <w:rFonts w:ascii="Verdana" w:hAnsi="Verdana" w:cs="Arial"/>
          <w:sz w:val="20"/>
          <w:szCs w:val="20"/>
          <w:shd w:val="clear" w:color="auto" w:fill="FFFFFF"/>
          <w:lang w:val="es-ES"/>
        </w:rPr>
        <w:t xml:space="preserve"> en cuestión</w:t>
      </w:r>
      <w:r w:rsidR="00FD07F6" w:rsidRPr="00354B1E">
        <w:rPr>
          <w:rFonts w:ascii="Verdana" w:hAnsi="Verdana" w:cs="Arial"/>
          <w:sz w:val="20"/>
          <w:szCs w:val="20"/>
          <w:shd w:val="clear" w:color="auto" w:fill="FFFFFF"/>
          <w:lang w:val="es-ES"/>
        </w:rPr>
        <w:t xml:space="preserve"> (como el </w:t>
      </w:r>
      <w:r w:rsidR="004935D3">
        <w:rPr>
          <w:rFonts w:ascii="Verdana" w:hAnsi="Verdana" w:cs="Arial"/>
          <w:sz w:val="20"/>
          <w:szCs w:val="20"/>
          <w:shd w:val="clear" w:color="auto" w:fill="FFFFFF"/>
          <w:lang w:val="es-ES"/>
        </w:rPr>
        <w:t xml:space="preserve">de </w:t>
      </w:r>
      <w:r w:rsidR="00FD07F6" w:rsidRPr="00354B1E">
        <w:rPr>
          <w:rFonts w:ascii="Verdana" w:hAnsi="Verdana" w:cs="Arial"/>
          <w:sz w:val="20"/>
          <w:szCs w:val="20"/>
          <w:shd w:val="clear" w:color="auto" w:fill="FFFFFF"/>
          <w:lang w:val="es-ES"/>
        </w:rPr>
        <w:t>acceso a la información o el derecho a la participación política)</w:t>
      </w:r>
      <w:r w:rsidR="00FD07F6" w:rsidRPr="00354B1E">
        <w:rPr>
          <w:rStyle w:val="Refdenotaalpie"/>
          <w:rFonts w:ascii="Verdana" w:hAnsi="Verdana" w:cs="Arial"/>
          <w:sz w:val="20"/>
          <w:szCs w:val="20"/>
          <w:shd w:val="clear" w:color="auto" w:fill="FFFFFF"/>
          <w:lang w:val="es-ES"/>
        </w:rPr>
        <w:footnoteReference w:id="34"/>
      </w:r>
      <w:r w:rsidR="00FD07F6" w:rsidRPr="00354B1E">
        <w:rPr>
          <w:rFonts w:ascii="Verdana" w:hAnsi="Verdana" w:cs="Arial"/>
          <w:sz w:val="20"/>
          <w:szCs w:val="20"/>
          <w:shd w:val="clear" w:color="auto" w:fill="FFFFFF"/>
          <w:lang w:val="es-ES"/>
        </w:rPr>
        <w:t>.</w:t>
      </w:r>
    </w:p>
    <w:p w14:paraId="78E8D38C" w14:textId="77777777" w:rsidR="00D7326D" w:rsidRPr="00354B1E" w:rsidRDefault="00D7326D" w:rsidP="00D7326D">
      <w:pPr>
        <w:pStyle w:val="Prrafodelista"/>
        <w:rPr>
          <w:rFonts w:ascii="Verdana" w:hAnsi="Verdana" w:cs="Arial"/>
          <w:sz w:val="20"/>
          <w:szCs w:val="20"/>
          <w:shd w:val="clear" w:color="auto" w:fill="FFFFFF"/>
          <w:lang w:val="es-ES"/>
        </w:rPr>
      </w:pPr>
    </w:p>
    <w:p w14:paraId="4484D8C8" w14:textId="4B1870CF" w:rsidR="004935D3" w:rsidRPr="008D518D" w:rsidRDefault="008F6A3F" w:rsidP="008F6A3F">
      <w:pPr>
        <w:pStyle w:val="Prrafodelista"/>
        <w:ind w:left="0"/>
        <w:jc w:val="both"/>
        <w:rPr>
          <w:rFonts w:ascii="Verdana" w:hAnsi="Verdana" w:cs="Arial"/>
          <w:sz w:val="20"/>
          <w:szCs w:val="20"/>
          <w:shd w:val="clear" w:color="auto" w:fill="FFFFFF"/>
          <w:lang w:val="es-ES"/>
        </w:rPr>
      </w:pPr>
      <w:r>
        <w:rPr>
          <w:rFonts w:ascii="Verdana" w:hAnsi="Verdana" w:cs="Arial"/>
          <w:sz w:val="20"/>
          <w:szCs w:val="20"/>
          <w:shd w:val="clear" w:color="auto" w:fill="FFFFFF"/>
          <w:lang w:val="es-ES"/>
        </w:rPr>
        <w:t>3</w:t>
      </w:r>
      <w:r w:rsidR="00783415">
        <w:rPr>
          <w:rFonts w:ascii="Verdana" w:hAnsi="Verdana" w:cs="Arial"/>
          <w:sz w:val="20"/>
          <w:szCs w:val="20"/>
          <w:shd w:val="clear" w:color="auto" w:fill="FFFFFF"/>
          <w:lang w:val="es-ES"/>
        </w:rPr>
        <w:t>3</w:t>
      </w:r>
      <w:r>
        <w:rPr>
          <w:rFonts w:ascii="Verdana" w:hAnsi="Verdana" w:cs="Arial"/>
          <w:sz w:val="20"/>
          <w:szCs w:val="20"/>
          <w:shd w:val="clear" w:color="auto" w:fill="FFFFFF"/>
          <w:lang w:val="es-ES"/>
        </w:rPr>
        <w:t xml:space="preserve">. </w:t>
      </w:r>
      <w:r>
        <w:rPr>
          <w:rFonts w:ascii="Verdana" w:hAnsi="Verdana" w:cs="Arial"/>
          <w:sz w:val="20"/>
          <w:szCs w:val="20"/>
          <w:shd w:val="clear" w:color="auto" w:fill="FFFFFF"/>
          <w:lang w:val="es-ES"/>
        </w:rPr>
        <w:tab/>
      </w:r>
      <w:r w:rsidR="00FD07F6" w:rsidRPr="00354B1E">
        <w:rPr>
          <w:rFonts w:ascii="Verdana" w:hAnsi="Verdana" w:cs="Arial"/>
          <w:sz w:val="20"/>
          <w:szCs w:val="20"/>
          <w:shd w:val="clear" w:color="auto" w:fill="FFFFFF"/>
          <w:lang w:val="es-ES"/>
        </w:rPr>
        <w:t>La Corte IDH h</w:t>
      </w:r>
      <w:r w:rsidR="00D7326D" w:rsidRPr="00354B1E">
        <w:rPr>
          <w:rFonts w:ascii="Verdana" w:hAnsi="Verdana" w:cs="Arial"/>
          <w:sz w:val="20"/>
          <w:szCs w:val="20"/>
          <w:shd w:val="clear" w:color="auto" w:fill="FFFFFF"/>
          <w:lang w:val="es-ES"/>
        </w:rPr>
        <w:t xml:space="preserve">izo </w:t>
      </w:r>
      <w:r w:rsidR="00FD07F6" w:rsidRPr="00354B1E">
        <w:rPr>
          <w:rFonts w:ascii="Verdana" w:hAnsi="Verdana" w:cs="Arial"/>
          <w:sz w:val="20"/>
          <w:szCs w:val="20"/>
          <w:shd w:val="clear" w:color="auto" w:fill="FFFFFF"/>
          <w:lang w:val="es-ES"/>
        </w:rPr>
        <w:t>un importante desarrollo respecto de las obligaciones en materia ambiental</w:t>
      </w:r>
      <w:r w:rsidR="00E5791C">
        <w:rPr>
          <w:rFonts w:ascii="Verdana" w:hAnsi="Verdana" w:cs="Arial"/>
          <w:sz w:val="20"/>
          <w:szCs w:val="20"/>
          <w:shd w:val="clear" w:color="auto" w:fill="FFFFFF"/>
          <w:lang w:val="es-ES"/>
        </w:rPr>
        <w:t>,</w:t>
      </w:r>
      <w:r w:rsidR="00FD07F6" w:rsidRPr="00354B1E">
        <w:rPr>
          <w:rFonts w:ascii="Verdana" w:hAnsi="Verdana" w:cs="Arial"/>
          <w:sz w:val="20"/>
          <w:szCs w:val="20"/>
          <w:shd w:val="clear" w:color="auto" w:fill="FFFFFF"/>
          <w:lang w:val="es-ES"/>
        </w:rPr>
        <w:t xml:space="preserve"> el cual puede ser resumido de la siguiente forma:</w:t>
      </w:r>
    </w:p>
    <w:p w14:paraId="764AE80E" w14:textId="77777777" w:rsidR="00FD07F6" w:rsidRPr="00354B1E" w:rsidRDefault="00FD07F6" w:rsidP="006B7EA6">
      <w:pPr>
        <w:snapToGrid w:val="0"/>
        <w:ind w:firstLine="708"/>
        <w:jc w:val="both"/>
        <w:rPr>
          <w:rFonts w:ascii="Verdana" w:hAnsi="Verdana" w:cs="Arial"/>
          <w:sz w:val="16"/>
          <w:szCs w:val="16"/>
          <w:shd w:val="clear" w:color="auto" w:fill="FFFFFF"/>
          <w:lang w:val="es-ES"/>
        </w:rPr>
      </w:pPr>
    </w:p>
    <w:tbl>
      <w:tblPr>
        <w:tblW w:w="9080" w:type="dxa"/>
        <w:tblCellMar>
          <w:left w:w="0" w:type="dxa"/>
          <w:right w:w="0" w:type="dxa"/>
        </w:tblCellMar>
        <w:tblLook w:val="0420" w:firstRow="1" w:lastRow="0" w:firstColumn="0" w:lastColumn="0" w:noHBand="0" w:noVBand="1"/>
      </w:tblPr>
      <w:tblGrid>
        <w:gridCol w:w="2002"/>
        <w:gridCol w:w="1870"/>
        <w:gridCol w:w="2754"/>
        <w:gridCol w:w="2441"/>
        <w:gridCol w:w="13"/>
      </w:tblGrid>
      <w:tr w:rsidR="00DB1DC7" w:rsidRPr="00354B1E" w14:paraId="430543D8" w14:textId="77777777" w:rsidTr="00C34CA2">
        <w:trPr>
          <w:trHeight w:val="1830"/>
        </w:trPr>
        <w:tc>
          <w:tcPr>
            <w:tcW w:w="2002" w:type="dxa"/>
            <w:tcMar>
              <w:top w:w="72" w:type="dxa"/>
              <w:left w:w="144" w:type="dxa"/>
              <w:bottom w:w="72" w:type="dxa"/>
              <w:right w:w="144" w:type="dxa"/>
            </w:tcMar>
            <w:hideMark/>
          </w:tcPr>
          <w:p w14:paraId="32B56496" w14:textId="77777777" w:rsidR="00FD07F6" w:rsidRPr="00354B1E" w:rsidRDefault="00FD07F6" w:rsidP="006B7EA6">
            <w:pPr>
              <w:snapToGrid w:val="0"/>
              <w:ind w:firstLine="708"/>
              <w:jc w:val="both"/>
              <w:rPr>
                <w:rFonts w:ascii="Verdana" w:hAnsi="Verdana" w:cs="Arial"/>
                <w:b/>
                <w:bCs/>
                <w:sz w:val="16"/>
                <w:szCs w:val="16"/>
                <w:shd w:val="clear" w:color="auto" w:fill="FFFFFF"/>
                <w:lang w:val="es-ES"/>
              </w:rPr>
            </w:pPr>
          </w:p>
          <w:p w14:paraId="73E09FF0" w14:textId="77777777" w:rsidR="00FD07F6" w:rsidRPr="00354B1E" w:rsidRDefault="00FD07F6" w:rsidP="006B7EA6">
            <w:pPr>
              <w:snapToGrid w:val="0"/>
              <w:ind w:firstLine="708"/>
              <w:jc w:val="both"/>
              <w:rPr>
                <w:rFonts w:ascii="Verdana" w:hAnsi="Verdana" w:cs="Arial"/>
                <w:b/>
                <w:bCs/>
                <w:sz w:val="16"/>
                <w:szCs w:val="16"/>
                <w:shd w:val="clear" w:color="auto" w:fill="FFFFFF"/>
                <w:lang w:val="es-ES"/>
              </w:rPr>
            </w:pPr>
          </w:p>
          <w:p w14:paraId="0B64A50A" w14:textId="77777777" w:rsidR="00FD07F6" w:rsidRPr="00354B1E" w:rsidRDefault="00FD07F6" w:rsidP="006B7EA6">
            <w:pPr>
              <w:snapToGrid w:val="0"/>
              <w:ind w:firstLine="708"/>
              <w:jc w:val="both"/>
              <w:rPr>
                <w:rFonts w:ascii="Verdana" w:hAnsi="Verdana" w:cs="Arial"/>
                <w:b/>
                <w:bCs/>
                <w:sz w:val="16"/>
                <w:szCs w:val="16"/>
                <w:shd w:val="clear" w:color="auto" w:fill="FFFFFF"/>
                <w:lang w:val="es-ES"/>
              </w:rPr>
            </w:pPr>
          </w:p>
          <w:p w14:paraId="2F1C2502" w14:textId="77777777" w:rsidR="00FD07F6" w:rsidRPr="00354B1E" w:rsidRDefault="00FD07F6" w:rsidP="006B7EA6">
            <w:pPr>
              <w:snapToGrid w:val="0"/>
              <w:jc w:val="both"/>
              <w:rPr>
                <w:rFonts w:ascii="Verdana" w:hAnsi="Verdana" w:cs="Arial"/>
                <w:sz w:val="16"/>
                <w:szCs w:val="16"/>
                <w:shd w:val="clear" w:color="auto" w:fill="FFFFFF"/>
                <w:lang w:val="es-ES"/>
              </w:rPr>
            </w:pPr>
            <w:r w:rsidRPr="00354B1E">
              <w:rPr>
                <w:rFonts w:ascii="Verdana" w:hAnsi="Verdana" w:cs="Arial"/>
                <w:b/>
                <w:bCs/>
                <w:sz w:val="16"/>
                <w:szCs w:val="16"/>
                <w:shd w:val="clear" w:color="auto" w:fill="FFFFFF"/>
                <w:lang w:val="es-ES"/>
              </w:rPr>
              <w:t>I. Prevención</w:t>
            </w:r>
          </w:p>
        </w:tc>
        <w:tc>
          <w:tcPr>
            <w:tcW w:w="1870" w:type="dxa"/>
            <w:vMerge w:val="restart"/>
            <w:tcMar>
              <w:top w:w="72" w:type="dxa"/>
              <w:left w:w="144" w:type="dxa"/>
              <w:bottom w:w="72" w:type="dxa"/>
              <w:right w:w="144" w:type="dxa"/>
            </w:tcMar>
            <w:hideMark/>
          </w:tcPr>
          <w:p w14:paraId="65C4964A" w14:textId="5E1CA3F1" w:rsidR="00FD07F6" w:rsidRPr="00354B1E" w:rsidRDefault="00FD07F6" w:rsidP="00D7326D">
            <w:pPr>
              <w:snapToGrid w:val="0"/>
              <w:rPr>
                <w:rFonts w:ascii="Verdana" w:hAnsi="Verdana" w:cs="Arial"/>
                <w:sz w:val="16"/>
                <w:szCs w:val="16"/>
                <w:shd w:val="clear" w:color="auto" w:fill="FFFFFF"/>
                <w:lang w:val="es-ES"/>
              </w:rPr>
            </w:pPr>
            <w:r w:rsidRPr="00354B1E">
              <w:rPr>
                <w:rFonts w:ascii="Verdana" w:hAnsi="Verdana" w:cs="Arial"/>
                <w:sz w:val="16"/>
                <w:szCs w:val="16"/>
                <w:shd w:val="clear" w:color="auto" w:fill="FFFFFF"/>
                <w:lang w:val="es-ES"/>
              </w:rPr>
              <w:t xml:space="preserve">1.- Ámbito de </w:t>
            </w:r>
            <w:r w:rsidR="004E4C27">
              <w:rPr>
                <w:rFonts w:ascii="Verdana" w:hAnsi="Verdana" w:cs="Arial"/>
                <w:sz w:val="16"/>
                <w:szCs w:val="16"/>
                <w:shd w:val="clear" w:color="auto" w:fill="FFFFFF"/>
                <w:lang w:val="es-ES"/>
              </w:rPr>
              <w:t>a</w:t>
            </w:r>
            <w:r w:rsidRPr="00354B1E">
              <w:rPr>
                <w:rFonts w:ascii="Verdana" w:hAnsi="Verdana" w:cs="Arial"/>
                <w:sz w:val="16"/>
                <w:szCs w:val="16"/>
                <w:shd w:val="clear" w:color="auto" w:fill="FFFFFF"/>
                <w:lang w:val="es-ES"/>
              </w:rPr>
              <w:t>plicación</w:t>
            </w:r>
          </w:p>
          <w:p w14:paraId="41C6898C" w14:textId="77777777" w:rsidR="00FD07F6" w:rsidRPr="00354B1E" w:rsidRDefault="00FD07F6" w:rsidP="00D7326D">
            <w:pPr>
              <w:snapToGrid w:val="0"/>
              <w:ind w:firstLine="708"/>
              <w:rPr>
                <w:rFonts w:ascii="Verdana" w:hAnsi="Verdana" w:cs="Arial"/>
                <w:sz w:val="16"/>
                <w:szCs w:val="16"/>
                <w:shd w:val="clear" w:color="auto" w:fill="FFFFFF"/>
                <w:lang w:val="es-ES"/>
              </w:rPr>
            </w:pPr>
          </w:p>
          <w:p w14:paraId="78979294" w14:textId="77777777" w:rsidR="00FD07F6" w:rsidRPr="00354B1E" w:rsidRDefault="00FD07F6" w:rsidP="00D7326D">
            <w:pPr>
              <w:snapToGrid w:val="0"/>
              <w:rPr>
                <w:rFonts w:ascii="Verdana" w:hAnsi="Verdana" w:cs="Arial"/>
                <w:sz w:val="16"/>
                <w:szCs w:val="16"/>
                <w:shd w:val="clear" w:color="auto" w:fill="FFFFFF"/>
                <w:lang w:val="es-ES"/>
              </w:rPr>
            </w:pPr>
            <w:r w:rsidRPr="00354B1E">
              <w:rPr>
                <w:rFonts w:ascii="Verdana" w:hAnsi="Verdana" w:cs="Arial"/>
                <w:sz w:val="16"/>
                <w:szCs w:val="16"/>
                <w:shd w:val="clear" w:color="auto" w:fill="FFFFFF"/>
                <w:lang w:val="es-ES"/>
              </w:rPr>
              <w:t>2.- Tipo de daño</w:t>
            </w:r>
          </w:p>
          <w:p w14:paraId="69DF25FC" w14:textId="77777777" w:rsidR="00FD07F6" w:rsidRPr="00354B1E" w:rsidRDefault="00FD07F6" w:rsidP="00D7326D">
            <w:pPr>
              <w:snapToGrid w:val="0"/>
              <w:ind w:firstLine="708"/>
              <w:rPr>
                <w:rFonts w:ascii="Verdana" w:hAnsi="Verdana" w:cs="Arial"/>
                <w:sz w:val="16"/>
                <w:szCs w:val="16"/>
                <w:shd w:val="clear" w:color="auto" w:fill="FFFFFF"/>
                <w:lang w:val="es-ES"/>
              </w:rPr>
            </w:pPr>
          </w:p>
          <w:p w14:paraId="30C115E1" w14:textId="77777777" w:rsidR="00FD07F6" w:rsidRPr="00354B1E" w:rsidRDefault="00FD07F6" w:rsidP="00D7326D">
            <w:pPr>
              <w:snapToGrid w:val="0"/>
              <w:rPr>
                <w:rFonts w:ascii="Verdana" w:hAnsi="Verdana" w:cs="Arial"/>
                <w:sz w:val="16"/>
                <w:szCs w:val="16"/>
                <w:shd w:val="clear" w:color="auto" w:fill="FFFFFF"/>
                <w:lang w:val="es-ES"/>
              </w:rPr>
            </w:pPr>
            <w:r w:rsidRPr="00354B1E">
              <w:rPr>
                <w:rFonts w:ascii="Verdana" w:hAnsi="Verdana" w:cs="Arial"/>
                <w:sz w:val="16"/>
                <w:szCs w:val="16"/>
                <w:shd w:val="clear" w:color="auto" w:fill="FFFFFF"/>
                <w:lang w:val="es-ES"/>
              </w:rPr>
              <w:t>3.- Medidas especiales</w:t>
            </w:r>
          </w:p>
        </w:tc>
        <w:tc>
          <w:tcPr>
            <w:tcW w:w="2754" w:type="dxa"/>
            <w:vMerge w:val="restart"/>
            <w:tcMar>
              <w:top w:w="72" w:type="dxa"/>
              <w:left w:w="144" w:type="dxa"/>
              <w:bottom w:w="72" w:type="dxa"/>
              <w:right w:w="144" w:type="dxa"/>
            </w:tcMar>
            <w:hideMark/>
          </w:tcPr>
          <w:p w14:paraId="7A7130B3" w14:textId="77777777" w:rsidR="00FD07F6" w:rsidRPr="00354B1E" w:rsidRDefault="00FD07F6" w:rsidP="006B7EA6">
            <w:pPr>
              <w:numPr>
                <w:ilvl w:val="0"/>
                <w:numId w:val="16"/>
              </w:numPr>
              <w:snapToGrid w:val="0"/>
              <w:jc w:val="both"/>
              <w:rPr>
                <w:rFonts w:ascii="Verdana" w:hAnsi="Verdana" w:cs="Arial"/>
                <w:sz w:val="16"/>
                <w:szCs w:val="16"/>
                <w:shd w:val="clear" w:color="auto" w:fill="FFFFFF"/>
                <w:lang w:val="es-ES"/>
              </w:rPr>
            </w:pPr>
            <w:r w:rsidRPr="00354B1E">
              <w:rPr>
                <w:rFonts w:ascii="Verdana" w:hAnsi="Verdana" w:cs="Arial"/>
                <w:noProof/>
                <w:sz w:val="16"/>
                <w:szCs w:val="16"/>
                <w:lang w:val="es-CR" w:eastAsia="es-CR"/>
              </w:rPr>
              <mc:AlternateContent>
                <mc:Choice Requires="wps">
                  <w:drawing>
                    <wp:anchor distT="0" distB="0" distL="114300" distR="114300" simplePos="0" relativeHeight="251661312" behindDoc="0" locked="0" layoutInCell="1" allowOverlap="1" wp14:anchorId="1EFD5910" wp14:editId="672828C3">
                      <wp:simplePos x="0" y="0"/>
                      <wp:positionH relativeFrom="column">
                        <wp:posOffset>-67587</wp:posOffset>
                      </wp:positionH>
                      <wp:positionV relativeFrom="paragraph">
                        <wp:posOffset>-64674</wp:posOffset>
                      </wp:positionV>
                      <wp:extent cx="301925" cy="2070339"/>
                      <wp:effectExtent l="0" t="0" r="22225" b="25400"/>
                      <wp:wrapNone/>
                      <wp:docPr id="3" name="Abrir llave 1"/>
                      <wp:cNvGraphicFramePr/>
                      <a:graphic xmlns:a="http://schemas.openxmlformats.org/drawingml/2006/main">
                        <a:graphicData uri="http://schemas.microsoft.com/office/word/2010/wordprocessingShape">
                          <wps:wsp>
                            <wps:cNvSpPr/>
                            <wps:spPr>
                              <a:xfrm>
                                <a:off x="0" y="0"/>
                                <a:ext cx="301925" cy="2070339"/>
                              </a:xfrm>
                              <a:prstGeom prst="lef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039B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 o:spid="_x0000_s1026" type="#_x0000_t87" style="position:absolute;margin-left:-5.3pt;margin-top:-5.1pt;width:23.75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" adj="262" strokecolor="#4472c4 [3204]" strokeweight="1pt">
                      <v:stroke joinstyle="miter"/>
                    </v:shape>
                  </w:pict>
                </mc:Fallback>
              </mc:AlternateContent>
            </w:r>
            <w:r w:rsidRPr="00354B1E">
              <w:rPr>
                <w:rFonts w:ascii="Verdana" w:hAnsi="Verdana" w:cs="Arial"/>
                <w:sz w:val="16"/>
                <w:szCs w:val="16"/>
                <w:shd w:val="clear" w:color="auto" w:fill="FFFFFF"/>
                <w:lang w:val="es-ES"/>
              </w:rPr>
              <w:t>Deber de regulación</w:t>
            </w:r>
          </w:p>
          <w:p w14:paraId="63664CAB" w14:textId="77777777" w:rsidR="00FD07F6" w:rsidRPr="00354B1E" w:rsidRDefault="00FD07F6" w:rsidP="006B7EA6">
            <w:pPr>
              <w:snapToGrid w:val="0"/>
              <w:ind w:left="720"/>
              <w:jc w:val="both"/>
              <w:rPr>
                <w:rFonts w:ascii="Verdana" w:hAnsi="Verdana" w:cs="Arial"/>
                <w:sz w:val="16"/>
                <w:szCs w:val="16"/>
                <w:shd w:val="clear" w:color="auto" w:fill="FFFFFF"/>
                <w:lang w:val="es-ES"/>
              </w:rPr>
            </w:pPr>
          </w:p>
          <w:p w14:paraId="66982FE2" w14:textId="77777777" w:rsidR="00FD07F6" w:rsidRPr="00354B1E" w:rsidRDefault="00FD07F6" w:rsidP="006B7EA6">
            <w:pPr>
              <w:numPr>
                <w:ilvl w:val="0"/>
                <w:numId w:val="16"/>
              </w:numPr>
              <w:snapToGrid w:val="0"/>
              <w:jc w:val="both"/>
              <w:rPr>
                <w:rFonts w:ascii="Verdana" w:hAnsi="Verdana" w:cs="Arial"/>
                <w:sz w:val="16"/>
                <w:szCs w:val="16"/>
                <w:shd w:val="clear" w:color="auto" w:fill="FFFFFF"/>
                <w:lang w:val="es-ES"/>
              </w:rPr>
            </w:pPr>
            <w:r w:rsidRPr="00354B1E">
              <w:rPr>
                <w:rFonts w:ascii="Verdana" w:hAnsi="Verdana" w:cs="Arial"/>
                <w:sz w:val="16"/>
                <w:szCs w:val="16"/>
                <w:shd w:val="clear" w:color="auto" w:fill="FFFFFF"/>
                <w:lang w:val="es-ES"/>
              </w:rPr>
              <w:t>Obligación de supervisar y fiscalizar</w:t>
            </w:r>
          </w:p>
          <w:p w14:paraId="7771E34A" w14:textId="77777777" w:rsidR="00FD07F6" w:rsidRPr="00354B1E" w:rsidRDefault="00FD07F6" w:rsidP="006B7EA6">
            <w:pPr>
              <w:pStyle w:val="Prrafodelista"/>
              <w:jc w:val="both"/>
              <w:rPr>
                <w:rFonts w:ascii="Verdana" w:hAnsi="Verdana" w:cs="Arial"/>
                <w:sz w:val="16"/>
                <w:szCs w:val="16"/>
                <w:shd w:val="clear" w:color="auto" w:fill="FFFFFF"/>
                <w:lang w:val="es-ES"/>
              </w:rPr>
            </w:pPr>
          </w:p>
          <w:p w14:paraId="67298731" w14:textId="69DF5A3D" w:rsidR="00FD07F6" w:rsidRPr="00354B1E" w:rsidRDefault="00FD07F6" w:rsidP="006B7EA6">
            <w:pPr>
              <w:snapToGrid w:val="0"/>
              <w:ind w:left="720"/>
              <w:jc w:val="both"/>
              <w:rPr>
                <w:rFonts w:ascii="Verdana" w:hAnsi="Verdana" w:cs="Arial"/>
                <w:sz w:val="16"/>
                <w:szCs w:val="16"/>
                <w:shd w:val="clear" w:color="auto" w:fill="FFFFFF"/>
                <w:lang w:val="es-ES"/>
              </w:rPr>
            </w:pPr>
          </w:p>
          <w:p w14:paraId="3F343FA3" w14:textId="77777777" w:rsidR="00FD07F6" w:rsidRPr="00354B1E" w:rsidRDefault="00FD07F6" w:rsidP="006B7EA6">
            <w:pPr>
              <w:numPr>
                <w:ilvl w:val="0"/>
                <w:numId w:val="16"/>
              </w:numPr>
              <w:snapToGrid w:val="0"/>
              <w:jc w:val="both"/>
              <w:rPr>
                <w:rFonts w:ascii="Verdana" w:hAnsi="Verdana" w:cs="Arial"/>
                <w:sz w:val="16"/>
                <w:szCs w:val="16"/>
                <w:shd w:val="clear" w:color="auto" w:fill="FFFFFF"/>
                <w:lang w:val="es-ES"/>
              </w:rPr>
            </w:pPr>
            <w:r w:rsidRPr="00354B1E">
              <w:rPr>
                <w:rFonts w:ascii="Verdana" w:hAnsi="Verdana" w:cs="Arial"/>
                <w:sz w:val="16"/>
                <w:szCs w:val="16"/>
                <w:shd w:val="clear" w:color="auto" w:fill="FFFFFF"/>
                <w:lang w:val="es-ES"/>
              </w:rPr>
              <w:t>Requerir y aprobar estudios de impacto ambiental</w:t>
            </w:r>
          </w:p>
          <w:p w14:paraId="527A2C13" w14:textId="77777777" w:rsidR="00FD07F6" w:rsidRPr="00354B1E" w:rsidRDefault="00FD07F6" w:rsidP="006B7EA6">
            <w:pPr>
              <w:snapToGrid w:val="0"/>
              <w:ind w:left="720"/>
              <w:jc w:val="both"/>
              <w:rPr>
                <w:rFonts w:ascii="Verdana" w:hAnsi="Verdana" w:cs="Arial"/>
                <w:sz w:val="16"/>
                <w:szCs w:val="16"/>
                <w:shd w:val="clear" w:color="auto" w:fill="FFFFFF"/>
                <w:lang w:val="es-ES"/>
              </w:rPr>
            </w:pPr>
          </w:p>
          <w:p w14:paraId="33F9C944" w14:textId="77777777" w:rsidR="00FD07F6" w:rsidRPr="00354B1E" w:rsidRDefault="00FD07F6" w:rsidP="006B7EA6">
            <w:pPr>
              <w:numPr>
                <w:ilvl w:val="0"/>
                <w:numId w:val="16"/>
              </w:numPr>
              <w:snapToGrid w:val="0"/>
              <w:jc w:val="both"/>
              <w:rPr>
                <w:rFonts w:ascii="Verdana" w:hAnsi="Verdana" w:cs="Arial"/>
                <w:sz w:val="16"/>
                <w:szCs w:val="16"/>
                <w:shd w:val="clear" w:color="auto" w:fill="FFFFFF"/>
                <w:lang w:val="es-ES"/>
              </w:rPr>
            </w:pPr>
            <w:r w:rsidRPr="00354B1E">
              <w:rPr>
                <w:rFonts w:ascii="Verdana" w:hAnsi="Verdana" w:cs="Arial"/>
                <w:sz w:val="16"/>
                <w:szCs w:val="16"/>
                <w:shd w:val="clear" w:color="auto" w:fill="FFFFFF"/>
                <w:lang w:val="es-ES"/>
              </w:rPr>
              <w:t>Establecer un plan de contingencia</w:t>
            </w:r>
          </w:p>
          <w:p w14:paraId="10AB12EB" w14:textId="77777777" w:rsidR="00FD07F6" w:rsidRPr="00354B1E" w:rsidRDefault="00FD07F6" w:rsidP="006B7EA6">
            <w:pPr>
              <w:snapToGrid w:val="0"/>
              <w:jc w:val="both"/>
              <w:rPr>
                <w:rFonts w:ascii="Verdana" w:hAnsi="Verdana" w:cs="Arial"/>
                <w:sz w:val="16"/>
                <w:szCs w:val="16"/>
                <w:shd w:val="clear" w:color="auto" w:fill="FFFFFF"/>
                <w:lang w:val="es-ES"/>
              </w:rPr>
            </w:pPr>
          </w:p>
          <w:p w14:paraId="0E01735A" w14:textId="77777777" w:rsidR="00FD07F6" w:rsidRPr="00354B1E" w:rsidRDefault="00FD07F6" w:rsidP="006B7EA6">
            <w:pPr>
              <w:numPr>
                <w:ilvl w:val="0"/>
                <w:numId w:val="16"/>
              </w:numPr>
              <w:snapToGrid w:val="0"/>
              <w:jc w:val="both"/>
              <w:rPr>
                <w:rFonts w:ascii="Verdana" w:hAnsi="Verdana" w:cs="Arial"/>
                <w:sz w:val="16"/>
                <w:szCs w:val="16"/>
                <w:shd w:val="clear" w:color="auto" w:fill="FFFFFF"/>
                <w:lang w:val="es-ES"/>
              </w:rPr>
            </w:pPr>
            <w:r w:rsidRPr="00354B1E">
              <w:rPr>
                <w:rFonts w:ascii="Verdana" w:hAnsi="Verdana" w:cs="Arial"/>
                <w:sz w:val="16"/>
                <w:szCs w:val="16"/>
                <w:shd w:val="clear" w:color="auto" w:fill="FFFFFF"/>
                <w:lang w:val="es-ES"/>
              </w:rPr>
              <w:t>Deber de mitigar en casos de ocurrencia de daño ambiental</w:t>
            </w:r>
          </w:p>
        </w:tc>
        <w:tc>
          <w:tcPr>
            <w:tcW w:w="2454" w:type="dxa"/>
            <w:gridSpan w:val="2"/>
            <w:vMerge w:val="restart"/>
            <w:tcMar>
              <w:top w:w="72" w:type="dxa"/>
              <w:left w:w="144" w:type="dxa"/>
              <w:bottom w:w="72" w:type="dxa"/>
              <w:right w:w="144" w:type="dxa"/>
            </w:tcMar>
            <w:hideMark/>
          </w:tcPr>
          <w:p w14:paraId="68B2FD17" w14:textId="41C4A9CF" w:rsidR="00FD07F6" w:rsidRPr="00354B1E" w:rsidRDefault="00FD07F6" w:rsidP="006B7EA6">
            <w:pPr>
              <w:numPr>
                <w:ilvl w:val="0"/>
                <w:numId w:val="17"/>
              </w:numPr>
              <w:snapToGrid w:val="0"/>
              <w:jc w:val="both"/>
              <w:rPr>
                <w:rFonts w:ascii="Verdana" w:hAnsi="Verdana" w:cs="Arial"/>
                <w:sz w:val="16"/>
                <w:szCs w:val="16"/>
                <w:shd w:val="clear" w:color="auto" w:fill="FFFFFF"/>
                <w:lang w:val="es-ES"/>
              </w:rPr>
            </w:pPr>
            <w:r w:rsidRPr="00354B1E">
              <w:rPr>
                <w:rFonts w:ascii="Verdana" w:hAnsi="Verdana" w:cs="Arial"/>
                <w:noProof/>
                <w:sz w:val="16"/>
                <w:szCs w:val="16"/>
                <w:lang w:val="es-CR" w:eastAsia="es-CR"/>
              </w:rPr>
              <mc:AlternateContent>
                <mc:Choice Requires="wps">
                  <w:drawing>
                    <wp:anchor distT="0" distB="0" distL="114300" distR="114300" simplePos="0" relativeHeight="251660288" behindDoc="0" locked="0" layoutInCell="1" allowOverlap="1" wp14:anchorId="7390C290" wp14:editId="43F449DF">
                      <wp:simplePos x="0" y="0"/>
                      <wp:positionH relativeFrom="column">
                        <wp:posOffset>-30708</wp:posOffset>
                      </wp:positionH>
                      <wp:positionV relativeFrom="paragraph">
                        <wp:posOffset>4337</wp:posOffset>
                      </wp:positionV>
                      <wp:extent cx="217853" cy="2182483"/>
                      <wp:effectExtent l="0" t="0" r="10795" b="27940"/>
                      <wp:wrapNone/>
                      <wp:docPr id="4" name="Abrir llave 2"/>
                      <wp:cNvGraphicFramePr/>
                      <a:graphic xmlns:a="http://schemas.openxmlformats.org/drawingml/2006/main">
                        <a:graphicData uri="http://schemas.microsoft.com/office/word/2010/wordprocessingShape">
                          <wps:wsp>
                            <wps:cNvSpPr/>
                            <wps:spPr>
                              <a:xfrm>
                                <a:off x="0" y="0"/>
                                <a:ext cx="217853" cy="2182483"/>
                              </a:xfrm>
                              <a:prstGeom prst="lef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06C8A" id="Abrir llave 2" o:spid="_x0000_s1026" type="#_x0000_t87" style="position:absolute;margin-left:-2.4pt;margin-top:.35pt;width:17.15pt;height:17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" adj="180" strokecolor="#4472c4 [3204]" strokeweight="1pt">
                      <v:stroke joinstyle="miter"/>
                    </v:shape>
                  </w:pict>
                </mc:Fallback>
              </mc:AlternateContent>
            </w:r>
            <w:r w:rsidRPr="00354B1E">
              <w:rPr>
                <w:rFonts w:ascii="Verdana" w:hAnsi="Verdana" w:cs="Arial"/>
                <w:sz w:val="16"/>
                <w:szCs w:val="16"/>
                <w:shd w:val="clear" w:color="auto" w:fill="FFFFFF"/>
                <w:lang w:val="es-ES"/>
              </w:rPr>
              <w:t>Llevarse a cabo antes de la</w:t>
            </w:r>
            <w:r w:rsidR="004E4C27">
              <w:rPr>
                <w:rFonts w:ascii="Verdana" w:hAnsi="Verdana" w:cs="Arial"/>
                <w:sz w:val="16"/>
                <w:szCs w:val="16"/>
                <w:shd w:val="clear" w:color="auto" w:fill="FFFFFF"/>
                <w:lang w:val="es-ES"/>
              </w:rPr>
              <w:t xml:space="preserve"> </w:t>
            </w:r>
            <w:r w:rsidRPr="00354B1E">
              <w:rPr>
                <w:rFonts w:ascii="Verdana" w:hAnsi="Verdana" w:cs="Arial"/>
                <w:sz w:val="16"/>
                <w:szCs w:val="16"/>
                <w:shd w:val="clear" w:color="auto" w:fill="FFFFFF"/>
                <w:lang w:val="es-ES"/>
              </w:rPr>
              <w:t>realización</w:t>
            </w:r>
            <w:r w:rsidR="004E4C27">
              <w:rPr>
                <w:rFonts w:ascii="Verdana" w:hAnsi="Verdana" w:cs="Arial"/>
                <w:sz w:val="16"/>
                <w:szCs w:val="16"/>
                <w:shd w:val="clear" w:color="auto" w:fill="FFFFFF"/>
                <w:lang w:val="es-ES"/>
              </w:rPr>
              <w:t xml:space="preserve"> </w:t>
            </w:r>
            <w:r w:rsidRPr="00354B1E">
              <w:rPr>
                <w:rFonts w:ascii="Verdana" w:hAnsi="Verdana" w:cs="Arial"/>
                <w:sz w:val="16"/>
                <w:szCs w:val="16"/>
                <w:shd w:val="clear" w:color="auto" w:fill="FFFFFF"/>
                <w:lang w:val="es-ES"/>
              </w:rPr>
              <w:t>de la actividad </w:t>
            </w:r>
            <w:r w:rsidRPr="00354B1E">
              <w:rPr>
                <w:rFonts w:ascii="Arial" w:hAnsi="Arial" w:cs="Arial"/>
                <w:sz w:val="16"/>
                <w:szCs w:val="16"/>
                <w:shd w:val="clear" w:color="auto" w:fill="FFFFFF"/>
                <w:lang w:val="es-ES"/>
              </w:rPr>
              <w:t>​</w:t>
            </w:r>
          </w:p>
          <w:p w14:paraId="35A43A71" w14:textId="58ED5357" w:rsidR="00FD07F6" w:rsidRPr="00354B1E" w:rsidRDefault="00FD07F6" w:rsidP="006B7EA6">
            <w:pPr>
              <w:numPr>
                <w:ilvl w:val="0"/>
                <w:numId w:val="17"/>
              </w:numPr>
              <w:snapToGrid w:val="0"/>
              <w:jc w:val="both"/>
              <w:rPr>
                <w:rFonts w:ascii="Verdana" w:hAnsi="Verdana" w:cs="Arial"/>
                <w:sz w:val="16"/>
                <w:szCs w:val="16"/>
                <w:shd w:val="clear" w:color="auto" w:fill="FFFFFF"/>
                <w:lang w:val="es-ES"/>
              </w:rPr>
            </w:pPr>
            <w:r w:rsidRPr="00354B1E">
              <w:rPr>
                <w:rFonts w:ascii="Verdana" w:hAnsi="Verdana" w:cs="Arial"/>
                <w:sz w:val="16"/>
                <w:szCs w:val="16"/>
                <w:shd w:val="clear" w:color="auto" w:fill="FFFFFF"/>
                <w:lang w:val="es-ES"/>
              </w:rPr>
              <w:t>Realizado por entidades independientes bajo la</w:t>
            </w:r>
            <w:r w:rsidR="004E4C27">
              <w:rPr>
                <w:rFonts w:ascii="Verdana" w:hAnsi="Verdana" w:cs="Arial"/>
                <w:sz w:val="16"/>
                <w:szCs w:val="16"/>
                <w:shd w:val="clear" w:color="auto" w:fill="FFFFFF"/>
                <w:lang w:val="es-ES"/>
              </w:rPr>
              <w:t xml:space="preserve"> </w:t>
            </w:r>
            <w:r w:rsidRPr="00354B1E">
              <w:rPr>
                <w:rFonts w:ascii="Verdana" w:hAnsi="Verdana" w:cs="Arial"/>
                <w:sz w:val="16"/>
                <w:szCs w:val="16"/>
                <w:shd w:val="clear" w:color="auto" w:fill="FFFFFF"/>
                <w:lang w:val="es-ES"/>
              </w:rPr>
              <w:t>supervisión</w:t>
            </w:r>
            <w:r w:rsidR="008E72FA">
              <w:rPr>
                <w:rFonts w:ascii="Verdana" w:hAnsi="Verdana" w:cs="Arial"/>
                <w:sz w:val="16"/>
                <w:szCs w:val="16"/>
                <w:shd w:val="clear" w:color="auto" w:fill="FFFFFF"/>
                <w:lang w:val="es-ES"/>
              </w:rPr>
              <w:t xml:space="preserve"> </w:t>
            </w:r>
            <w:r w:rsidRPr="00354B1E">
              <w:rPr>
                <w:rFonts w:ascii="Verdana" w:hAnsi="Verdana" w:cs="Arial"/>
                <w:sz w:val="16"/>
                <w:szCs w:val="16"/>
                <w:shd w:val="clear" w:color="auto" w:fill="FFFFFF"/>
                <w:lang w:val="es-ES"/>
              </w:rPr>
              <w:t>del Estado </w:t>
            </w:r>
            <w:r w:rsidRPr="00354B1E">
              <w:rPr>
                <w:rFonts w:ascii="Arial" w:hAnsi="Arial" w:cs="Arial"/>
                <w:sz w:val="16"/>
                <w:szCs w:val="16"/>
                <w:shd w:val="clear" w:color="auto" w:fill="FFFFFF"/>
                <w:lang w:val="es-ES"/>
              </w:rPr>
              <w:t>​</w:t>
            </w:r>
          </w:p>
          <w:p w14:paraId="7862C7C8" w14:textId="77777777" w:rsidR="00FD07F6" w:rsidRPr="00354B1E" w:rsidRDefault="00FD07F6" w:rsidP="006B7EA6">
            <w:pPr>
              <w:numPr>
                <w:ilvl w:val="0"/>
                <w:numId w:val="17"/>
              </w:numPr>
              <w:snapToGrid w:val="0"/>
              <w:jc w:val="both"/>
              <w:rPr>
                <w:rFonts w:ascii="Verdana" w:hAnsi="Verdana" w:cs="Arial"/>
                <w:sz w:val="16"/>
                <w:szCs w:val="16"/>
                <w:shd w:val="clear" w:color="auto" w:fill="FFFFFF"/>
                <w:lang w:val="es-ES"/>
              </w:rPr>
            </w:pPr>
            <w:r w:rsidRPr="00354B1E">
              <w:rPr>
                <w:rFonts w:ascii="Verdana" w:hAnsi="Verdana" w:cs="Arial"/>
                <w:sz w:val="16"/>
                <w:szCs w:val="16"/>
                <w:shd w:val="clear" w:color="auto" w:fill="FFFFFF"/>
                <w:lang w:val="es-ES"/>
              </w:rPr>
              <w:t>Abarcar el impacto acumulado </w:t>
            </w:r>
            <w:r w:rsidRPr="00354B1E">
              <w:rPr>
                <w:rFonts w:ascii="Arial" w:hAnsi="Arial" w:cs="Arial"/>
                <w:sz w:val="16"/>
                <w:szCs w:val="16"/>
                <w:shd w:val="clear" w:color="auto" w:fill="FFFFFF"/>
                <w:lang w:val="es-ES"/>
              </w:rPr>
              <w:t>​</w:t>
            </w:r>
          </w:p>
          <w:p w14:paraId="00972F7B" w14:textId="77777777" w:rsidR="00FD07F6" w:rsidRPr="00354B1E" w:rsidRDefault="00FD07F6" w:rsidP="006B7EA6">
            <w:pPr>
              <w:numPr>
                <w:ilvl w:val="0"/>
                <w:numId w:val="17"/>
              </w:numPr>
              <w:snapToGrid w:val="0"/>
              <w:jc w:val="both"/>
              <w:rPr>
                <w:rFonts w:ascii="Verdana" w:hAnsi="Verdana" w:cs="Arial"/>
                <w:sz w:val="16"/>
                <w:szCs w:val="16"/>
                <w:shd w:val="clear" w:color="auto" w:fill="FFFFFF"/>
                <w:lang w:val="es-ES"/>
              </w:rPr>
            </w:pPr>
            <w:r w:rsidRPr="00354B1E">
              <w:rPr>
                <w:rFonts w:ascii="Verdana" w:hAnsi="Verdana" w:cs="Arial"/>
                <w:sz w:val="16"/>
                <w:szCs w:val="16"/>
                <w:shd w:val="clear" w:color="auto" w:fill="FFFFFF"/>
                <w:lang w:val="es-ES"/>
              </w:rPr>
              <w:t>Respetar tradiciones y cultura de los pueblos indígenas</w:t>
            </w:r>
          </w:p>
        </w:tc>
      </w:tr>
      <w:tr w:rsidR="00DB1DC7" w:rsidRPr="00354B1E" w14:paraId="625C5782" w14:textId="77777777" w:rsidTr="00C34CA2">
        <w:trPr>
          <w:trHeight w:val="1830"/>
        </w:trPr>
        <w:tc>
          <w:tcPr>
            <w:tcW w:w="2002" w:type="dxa"/>
            <w:tcMar>
              <w:top w:w="72" w:type="dxa"/>
              <w:left w:w="144" w:type="dxa"/>
              <w:bottom w:w="72" w:type="dxa"/>
              <w:right w:w="144" w:type="dxa"/>
            </w:tcMar>
            <w:hideMark/>
          </w:tcPr>
          <w:p w14:paraId="3C089E38" w14:textId="77777777" w:rsidR="00FD07F6" w:rsidRPr="00354B1E" w:rsidRDefault="00FD07F6" w:rsidP="006B7EA6">
            <w:pPr>
              <w:snapToGrid w:val="0"/>
              <w:ind w:firstLine="708"/>
              <w:jc w:val="both"/>
              <w:rPr>
                <w:rFonts w:ascii="Verdana" w:hAnsi="Verdana" w:cs="Arial"/>
                <w:b/>
                <w:bCs/>
                <w:sz w:val="16"/>
                <w:szCs w:val="16"/>
                <w:shd w:val="clear" w:color="auto" w:fill="FFFFFF"/>
                <w:lang w:val="es-ES"/>
              </w:rPr>
            </w:pPr>
            <w:r w:rsidRPr="00354B1E">
              <w:rPr>
                <w:rFonts w:ascii="Verdana" w:hAnsi="Verdana" w:cs="Arial"/>
                <w:noProof/>
                <w:sz w:val="16"/>
                <w:szCs w:val="16"/>
                <w:lang w:val="es-CR" w:eastAsia="es-CR"/>
              </w:rPr>
              <mc:AlternateContent>
                <mc:Choice Requires="wps">
                  <w:drawing>
                    <wp:anchor distT="0" distB="0" distL="114300" distR="114300" simplePos="0" relativeHeight="251659264" behindDoc="0" locked="0" layoutInCell="1" allowOverlap="1" wp14:anchorId="6EA25CB4" wp14:editId="4F3BE2BD">
                      <wp:simplePos x="0" y="0"/>
                      <wp:positionH relativeFrom="column">
                        <wp:posOffset>969072</wp:posOffset>
                      </wp:positionH>
                      <wp:positionV relativeFrom="paragraph">
                        <wp:posOffset>-1319112</wp:posOffset>
                      </wp:positionV>
                      <wp:extent cx="269630" cy="1189249"/>
                      <wp:effectExtent l="0" t="0" r="16510" b="11430"/>
                      <wp:wrapNone/>
                      <wp:docPr id="2" name="Abrir llave 3"/>
                      <wp:cNvGraphicFramePr/>
                      <a:graphic xmlns:a="http://schemas.openxmlformats.org/drawingml/2006/main">
                        <a:graphicData uri="http://schemas.microsoft.com/office/word/2010/wordprocessingShape">
                          <wps:wsp>
                            <wps:cNvSpPr/>
                            <wps:spPr>
                              <a:xfrm>
                                <a:off x="0" y="0"/>
                                <a:ext cx="269630" cy="1189249"/>
                              </a:xfrm>
                              <a:prstGeom prst="lef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1729A2" id="Abrir llave 3" o:spid="_x0000_s1026" type="#_x0000_t87" style="position:absolute;margin-left:76.3pt;margin-top:-103.85pt;width:21.25pt;height:93.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" adj="408" strokecolor="#4472c4 [3204]" strokeweight="1pt">
                      <v:stroke joinstyle="miter"/>
                    </v:shape>
                  </w:pict>
                </mc:Fallback>
              </mc:AlternateContent>
            </w:r>
          </w:p>
          <w:p w14:paraId="31AAAD1A" w14:textId="77777777" w:rsidR="00FD07F6" w:rsidRPr="00354B1E" w:rsidRDefault="00FD07F6" w:rsidP="006B7EA6">
            <w:pPr>
              <w:snapToGrid w:val="0"/>
              <w:ind w:firstLine="708"/>
              <w:jc w:val="both"/>
              <w:rPr>
                <w:rFonts w:ascii="Verdana" w:hAnsi="Verdana" w:cs="Arial"/>
                <w:b/>
                <w:bCs/>
                <w:sz w:val="16"/>
                <w:szCs w:val="16"/>
                <w:shd w:val="clear" w:color="auto" w:fill="FFFFFF"/>
                <w:lang w:val="es-ES"/>
              </w:rPr>
            </w:pPr>
          </w:p>
          <w:p w14:paraId="7BBF815A" w14:textId="77777777" w:rsidR="00FD07F6" w:rsidRPr="00354B1E" w:rsidRDefault="00FD07F6" w:rsidP="006B7EA6">
            <w:pPr>
              <w:snapToGrid w:val="0"/>
              <w:ind w:firstLine="708"/>
              <w:jc w:val="both"/>
              <w:rPr>
                <w:rFonts w:ascii="Verdana" w:hAnsi="Verdana" w:cs="Arial"/>
                <w:b/>
                <w:bCs/>
                <w:sz w:val="16"/>
                <w:szCs w:val="16"/>
                <w:shd w:val="clear" w:color="auto" w:fill="FFFFFF"/>
                <w:lang w:val="es-ES"/>
              </w:rPr>
            </w:pPr>
          </w:p>
          <w:p w14:paraId="7CD261C3" w14:textId="77777777" w:rsidR="00FD07F6" w:rsidRPr="00354B1E" w:rsidRDefault="00FD07F6" w:rsidP="006B7EA6">
            <w:pPr>
              <w:snapToGrid w:val="0"/>
              <w:jc w:val="both"/>
              <w:rPr>
                <w:rFonts w:ascii="Verdana" w:hAnsi="Verdana" w:cs="Arial"/>
                <w:b/>
                <w:bCs/>
                <w:sz w:val="16"/>
                <w:szCs w:val="16"/>
                <w:shd w:val="clear" w:color="auto" w:fill="FFFFFF"/>
                <w:lang w:val="es-ES"/>
              </w:rPr>
            </w:pPr>
          </w:p>
          <w:p w14:paraId="2DFD70A6" w14:textId="77777777" w:rsidR="00FD07F6" w:rsidRPr="00354B1E" w:rsidRDefault="00FD07F6" w:rsidP="006B7EA6">
            <w:pPr>
              <w:snapToGrid w:val="0"/>
              <w:jc w:val="both"/>
              <w:rPr>
                <w:rFonts w:ascii="Verdana" w:hAnsi="Verdana" w:cs="Arial"/>
                <w:b/>
                <w:bCs/>
                <w:sz w:val="16"/>
                <w:szCs w:val="16"/>
                <w:shd w:val="clear" w:color="auto" w:fill="FFFFFF"/>
                <w:lang w:val="es-ES"/>
              </w:rPr>
            </w:pPr>
          </w:p>
          <w:p w14:paraId="6ED75F0D" w14:textId="77777777" w:rsidR="00FD07F6" w:rsidRPr="00354B1E" w:rsidRDefault="00FD07F6" w:rsidP="006B7EA6">
            <w:pPr>
              <w:snapToGrid w:val="0"/>
              <w:jc w:val="both"/>
              <w:rPr>
                <w:rFonts w:ascii="Verdana" w:hAnsi="Verdana" w:cs="Arial"/>
                <w:b/>
                <w:bCs/>
                <w:sz w:val="16"/>
                <w:szCs w:val="16"/>
                <w:shd w:val="clear" w:color="auto" w:fill="FFFFFF"/>
                <w:lang w:val="es-ES"/>
              </w:rPr>
            </w:pPr>
          </w:p>
          <w:p w14:paraId="57667241" w14:textId="77777777" w:rsidR="00FD07F6" w:rsidRPr="00354B1E" w:rsidRDefault="00FD07F6" w:rsidP="006B7EA6">
            <w:pPr>
              <w:snapToGrid w:val="0"/>
              <w:jc w:val="both"/>
              <w:rPr>
                <w:rFonts w:ascii="Verdana" w:hAnsi="Verdana" w:cs="Arial"/>
                <w:sz w:val="16"/>
                <w:szCs w:val="16"/>
                <w:shd w:val="clear" w:color="auto" w:fill="FFFFFF"/>
                <w:lang w:val="es-ES"/>
              </w:rPr>
            </w:pPr>
            <w:r w:rsidRPr="00354B1E">
              <w:rPr>
                <w:rFonts w:ascii="Verdana" w:hAnsi="Verdana" w:cs="Arial"/>
                <w:b/>
                <w:bCs/>
                <w:sz w:val="16"/>
                <w:szCs w:val="16"/>
                <w:shd w:val="clear" w:color="auto" w:fill="FFFFFF"/>
                <w:lang w:val="es-ES"/>
              </w:rPr>
              <w:t>II Precaución</w:t>
            </w:r>
          </w:p>
        </w:tc>
        <w:tc>
          <w:tcPr>
            <w:tcW w:w="1870" w:type="dxa"/>
            <w:vMerge/>
            <w:tcMar>
              <w:top w:w="72" w:type="dxa"/>
              <w:left w:w="144" w:type="dxa"/>
              <w:bottom w:w="72" w:type="dxa"/>
              <w:right w:w="144" w:type="dxa"/>
            </w:tcMar>
            <w:hideMark/>
          </w:tcPr>
          <w:p w14:paraId="1039FD42" w14:textId="77777777" w:rsidR="00FD07F6" w:rsidRPr="00354B1E" w:rsidRDefault="00FD07F6" w:rsidP="006B7EA6">
            <w:pPr>
              <w:snapToGrid w:val="0"/>
              <w:ind w:firstLine="708"/>
              <w:jc w:val="both"/>
              <w:rPr>
                <w:rFonts w:ascii="Verdana" w:hAnsi="Verdana" w:cs="Arial"/>
                <w:sz w:val="16"/>
                <w:szCs w:val="16"/>
                <w:shd w:val="clear" w:color="auto" w:fill="FFFFFF"/>
                <w:lang w:val="es-ES"/>
              </w:rPr>
            </w:pPr>
          </w:p>
        </w:tc>
        <w:tc>
          <w:tcPr>
            <w:tcW w:w="2754" w:type="dxa"/>
            <w:vMerge/>
            <w:vAlign w:val="center"/>
            <w:hideMark/>
          </w:tcPr>
          <w:p w14:paraId="1BB5980F" w14:textId="77777777" w:rsidR="00FD07F6" w:rsidRPr="00354B1E" w:rsidRDefault="00FD07F6" w:rsidP="006B7EA6">
            <w:pPr>
              <w:snapToGrid w:val="0"/>
              <w:ind w:firstLine="708"/>
              <w:jc w:val="both"/>
              <w:rPr>
                <w:rFonts w:ascii="Verdana" w:hAnsi="Verdana" w:cs="Arial"/>
                <w:sz w:val="16"/>
                <w:szCs w:val="16"/>
                <w:shd w:val="clear" w:color="auto" w:fill="FFFFFF"/>
                <w:lang w:val="es-ES"/>
              </w:rPr>
            </w:pPr>
          </w:p>
        </w:tc>
        <w:tc>
          <w:tcPr>
            <w:tcW w:w="2454" w:type="dxa"/>
            <w:gridSpan w:val="2"/>
            <w:vMerge/>
            <w:vAlign w:val="center"/>
            <w:hideMark/>
          </w:tcPr>
          <w:p w14:paraId="20972B14" w14:textId="77777777" w:rsidR="00FD07F6" w:rsidRPr="00354B1E" w:rsidRDefault="00FD07F6" w:rsidP="006B7EA6">
            <w:pPr>
              <w:snapToGrid w:val="0"/>
              <w:ind w:firstLine="708"/>
              <w:jc w:val="both"/>
              <w:rPr>
                <w:rFonts w:ascii="Verdana" w:hAnsi="Verdana" w:cs="Arial"/>
                <w:sz w:val="16"/>
                <w:szCs w:val="16"/>
                <w:shd w:val="clear" w:color="auto" w:fill="FFFFFF"/>
                <w:lang w:val="es-ES"/>
              </w:rPr>
            </w:pPr>
          </w:p>
        </w:tc>
      </w:tr>
      <w:tr w:rsidR="00DB1DC7" w:rsidRPr="00354B1E" w14:paraId="71CDDF42" w14:textId="77777777" w:rsidTr="00C34CA2">
        <w:trPr>
          <w:trHeight w:val="609"/>
        </w:trPr>
        <w:tc>
          <w:tcPr>
            <w:tcW w:w="2002" w:type="dxa"/>
            <w:vMerge w:val="restart"/>
            <w:tcMar>
              <w:top w:w="72" w:type="dxa"/>
              <w:left w:w="144" w:type="dxa"/>
              <w:bottom w:w="72" w:type="dxa"/>
              <w:right w:w="144" w:type="dxa"/>
            </w:tcMar>
            <w:hideMark/>
          </w:tcPr>
          <w:p w14:paraId="0B960DBE" w14:textId="5154F046" w:rsidR="00FD07F6" w:rsidRPr="00354B1E" w:rsidRDefault="00D7326D" w:rsidP="006B7EA6">
            <w:pPr>
              <w:snapToGrid w:val="0"/>
              <w:ind w:firstLine="708"/>
              <w:jc w:val="both"/>
              <w:rPr>
                <w:rFonts w:ascii="Verdana" w:hAnsi="Verdana" w:cs="Arial"/>
                <w:b/>
                <w:bCs/>
                <w:sz w:val="16"/>
                <w:szCs w:val="16"/>
                <w:shd w:val="clear" w:color="auto" w:fill="FFFFFF"/>
                <w:lang w:val="es-ES"/>
              </w:rPr>
            </w:pPr>
            <w:r w:rsidRPr="00354B1E">
              <w:rPr>
                <w:rFonts w:ascii="Verdana" w:hAnsi="Verdana" w:cs="Arial"/>
                <w:noProof/>
                <w:sz w:val="16"/>
                <w:szCs w:val="16"/>
                <w:lang w:val="es-CR" w:eastAsia="es-CR"/>
              </w:rPr>
              <mc:AlternateContent>
                <mc:Choice Requires="wps">
                  <w:drawing>
                    <wp:anchor distT="0" distB="0" distL="114300" distR="114300" simplePos="0" relativeHeight="251662336" behindDoc="0" locked="0" layoutInCell="1" allowOverlap="1" wp14:anchorId="447307A8" wp14:editId="2EFEE87E">
                      <wp:simplePos x="0" y="0"/>
                      <wp:positionH relativeFrom="column">
                        <wp:posOffset>1045414</wp:posOffset>
                      </wp:positionH>
                      <wp:positionV relativeFrom="paragraph">
                        <wp:posOffset>-164884</wp:posOffset>
                      </wp:positionV>
                      <wp:extent cx="181154" cy="759124"/>
                      <wp:effectExtent l="0" t="0" r="28575" b="22225"/>
                      <wp:wrapNone/>
                      <wp:docPr id="5" name="Abrir llave 4"/>
                      <wp:cNvGraphicFramePr/>
                      <a:graphic xmlns:a="http://schemas.openxmlformats.org/drawingml/2006/main">
                        <a:graphicData uri="http://schemas.microsoft.com/office/word/2010/wordprocessingShape">
                          <wps:wsp>
                            <wps:cNvSpPr/>
                            <wps:spPr>
                              <a:xfrm>
                                <a:off x="0" y="0"/>
                                <a:ext cx="181154" cy="759124"/>
                              </a:xfrm>
                              <a:prstGeom prst="lef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4D462" id="Abrir llave 4" o:spid="_x0000_s1026" type="#_x0000_t87" style="position:absolute;margin-left:82.3pt;margin-top:-13pt;width:14.25pt;height:5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" adj="430" strokecolor="#4472c4 [3204]" strokeweight="1pt">
                      <v:stroke joinstyle="miter"/>
                    </v:shape>
                  </w:pict>
                </mc:Fallback>
              </mc:AlternateContent>
            </w:r>
          </w:p>
          <w:p w14:paraId="1699DAA3" w14:textId="77777777" w:rsidR="00FD07F6" w:rsidRPr="00354B1E" w:rsidRDefault="00FD07F6" w:rsidP="006B7EA6">
            <w:pPr>
              <w:snapToGrid w:val="0"/>
              <w:ind w:firstLine="708"/>
              <w:jc w:val="both"/>
              <w:rPr>
                <w:rFonts w:ascii="Verdana" w:hAnsi="Verdana" w:cs="Arial"/>
                <w:b/>
                <w:bCs/>
                <w:sz w:val="16"/>
                <w:szCs w:val="16"/>
                <w:shd w:val="clear" w:color="auto" w:fill="FFFFFF"/>
                <w:lang w:val="es-ES"/>
              </w:rPr>
            </w:pPr>
          </w:p>
          <w:p w14:paraId="276563ED" w14:textId="77777777" w:rsidR="00FD07F6" w:rsidRPr="00354B1E" w:rsidRDefault="00FD07F6" w:rsidP="006B7EA6">
            <w:pPr>
              <w:snapToGrid w:val="0"/>
              <w:jc w:val="both"/>
              <w:rPr>
                <w:rFonts w:ascii="Verdana" w:hAnsi="Verdana" w:cs="Arial"/>
                <w:sz w:val="16"/>
                <w:szCs w:val="16"/>
                <w:shd w:val="clear" w:color="auto" w:fill="FFFFFF"/>
                <w:lang w:val="es-ES"/>
              </w:rPr>
            </w:pPr>
            <w:r w:rsidRPr="00354B1E">
              <w:rPr>
                <w:rFonts w:ascii="Verdana" w:hAnsi="Verdana" w:cs="Arial"/>
                <w:b/>
                <w:bCs/>
                <w:sz w:val="16"/>
                <w:szCs w:val="16"/>
                <w:shd w:val="clear" w:color="auto" w:fill="FFFFFF"/>
                <w:lang w:val="es-ES"/>
              </w:rPr>
              <w:t>III Cooperación</w:t>
            </w:r>
          </w:p>
        </w:tc>
        <w:tc>
          <w:tcPr>
            <w:tcW w:w="4624" w:type="dxa"/>
            <w:gridSpan w:val="2"/>
            <w:vMerge w:val="restart"/>
            <w:tcMar>
              <w:top w:w="72" w:type="dxa"/>
              <w:left w:w="144" w:type="dxa"/>
              <w:bottom w:w="72" w:type="dxa"/>
              <w:right w:w="144" w:type="dxa"/>
            </w:tcMar>
            <w:hideMark/>
          </w:tcPr>
          <w:p w14:paraId="4CC149B3" w14:textId="4B0450ED" w:rsidR="00FD07F6" w:rsidRPr="00354B1E" w:rsidRDefault="00FD07F6" w:rsidP="00D7326D">
            <w:pPr>
              <w:snapToGrid w:val="0"/>
              <w:ind w:hanging="19"/>
              <w:jc w:val="both"/>
              <w:rPr>
                <w:rFonts w:ascii="Verdana" w:hAnsi="Verdana" w:cs="Arial"/>
                <w:sz w:val="16"/>
                <w:szCs w:val="16"/>
                <w:shd w:val="clear" w:color="auto" w:fill="FFFFFF"/>
                <w:lang w:val="es-ES"/>
              </w:rPr>
            </w:pPr>
            <w:r w:rsidRPr="00354B1E">
              <w:rPr>
                <w:rFonts w:ascii="Verdana" w:hAnsi="Verdana" w:cs="Arial"/>
                <w:sz w:val="16"/>
                <w:szCs w:val="16"/>
                <w:shd w:val="clear" w:color="auto" w:fill="FFFFFF"/>
                <w:lang w:val="es-ES"/>
              </w:rPr>
              <w:t>1.- Deber de notificación</w:t>
            </w:r>
          </w:p>
          <w:p w14:paraId="2E352FC5" w14:textId="77777777" w:rsidR="00FD07F6" w:rsidRPr="00354B1E" w:rsidRDefault="00FD07F6" w:rsidP="00D7326D">
            <w:pPr>
              <w:snapToGrid w:val="0"/>
              <w:jc w:val="both"/>
              <w:rPr>
                <w:rFonts w:ascii="Verdana" w:hAnsi="Verdana" w:cs="Arial"/>
                <w:sz w:val="16"/>
                <w:szCs w:val="16"/>
                <w:shd w:val="clear" w:color="auto" w:fill="FFFFFF"/>
                <w:lang w:val="es-ES"/>
              </w:rPr>
            </w:pPr>
            <w:r w:rsidRPr="00354B1E">
              <w:rPr>
                <w:rFonts w:ascii="Verdana" w:hAnsi="Verdana" w:cs="Arial"/>
                <w:sz w:val="16"/>
                <w:szCs w:val="16"/>
                <w:shd w:val="clear" w:color="auto" w:fill="FFFFFF"/>
                <w:lang w:val="es-ES"/>
              </w:rPr>
              <w:t>2.- Deber de consultar y negociar con los Estados potencialmente afectados</w:t>
            </w:r>
          </w:p>
          <w:p w14:paraId="497666F1" w14:textId="77777777" w:rsidR="00FD07F6" w:rsidRPr="00354B1E" w:rsidRDefault="00FD07F6" w:rsidP="00D7326D">
            <w:pPr>
              <w:snapToGrid w:val="0"/>
              <w:ind w:hanging="19"/>
              <w:jc w:val="both"/>
              <w:rPr>
                <w:rFonts w:ascii="Verdana" w:hAnsi="Verdana" w:cs="Arial"/>
                <w:sz w:val="16"/>
                <w:szCs w:val="16"/>
                <w:shd w:val="clear" w:color="auto" w:fill="FFFFFF"/>
                <w:lang w:val="es-ES"/>
              </w:rPr>
            </w:pPr>
            <w:r w:rsidRPr="00354B1E">
              <w:rPr>
                <w:rFonts w:ascii="Verdana" w:hAnsi="Verdana" w:cs="Arial"/>
                <w:sz w:val="16"/>
                <w:szCs w:val="16"/>
                <w:shd w:val="clear" w:color="auto" w:fill="FFFFFF"/>
                <w:lang w:val="es-ES"/>
              </w:rPr>
              <w:t>3.- Intercambio de información</w:t>
            </w:r>
          </w:p>
        </w:tc>
        <w:tc>
          <w:tcPr>
            <w:tcW w:w="2454" w:type="dxa"/>
            <w:gridSpan w:val="2"/>
            <w:tcMar>
              <w:top w:w="72" w:type="dxa"/>
              <w:left w:w="144" w:type="dxa"/>
              <w:bottom w:w="72" w:type="dxa"/>
              <w:right w:w="144" w:type="dxa"/>
            </w:tcMar>
            <w:hideMark/>
          </w:tcPr>
          <w:p w14:paraId="5E58053D" w14:textId="77777777" w:rsidR="00FD07F6" w:rsidRPr="00354B1E" w:rsidRDefault="00FD07F6" w:rsidP="006B7EA6">
            <w:pPr>
              <w:snapToGrid w:val="0"/>
              <w:ind w:firstLine="708"/>
              <w:jc w:val="both"/>
              <w:rPr>
                <w:rFonts w:ascii="Verdana" w:hAnsi="Verdana" w:cs="Arial"/>
                <w:sz w:val="16"/>
                <w:szCs w:val="16"/>
                <w:shd w:val="clear" w:color="auto" w:fill="FFFFFF"/>
                <w:lang w:val="es-ES"/>
              </w:rPr>
            </w:pPr>
          </w:p>
        </w:tc>
      </w:tr>
      <w:tr w:rsidR="00DB1DC7" w:rsidRPr="00354B1E" w14:paraId="44405DA7" w14:textId="77777777" w:rsidTr="00C34CA2">
        <w:trPr>
          <w:trHeight w:val="609"/>
        </w:trPr>
        <w:tc>
          <w:tcPr>
            <w:tcW w:w="2002" w:type="dxa"/>
            <w:vMerge/>
            <w:vAlign w:val="center"/>
            <w:hideMark/>
          </w:tcPr>
          <w:p w14:paraId="01FAC89D" w14:textId="77777777" w:rsidR="00FD07F6" w:rsidRPr="00354B1E" w:rsidRDefault="00FD07F6" w:rsidP="006B7EA6">
            <w:pPr>
              <w:snapToGrid w:val="0"/>
              <w:ind w:firstLine="708"/>
              <w:jc w:val="both"/>
              <w:rPr>
                <w:rFonts w:ascii="Verdana" w:hAnsi="Verdana" w:cs="Arial"/>
                <w:sz w:val="16"/>
                <w:szCs w:val="16"/>
                <w:shd w:val="clear" w:color="auto" w:fill="FFFFFF"/>
                <w:lang w:val="es-ES"/>
              </w:rPr>
            </w:pPr>
          </w:p>
        </w:tc>
        <w:tc>
          <w:tcPr>
            <w:tcW w:w="4624" w:type="dxa"/>
            <w:gridSpan w:val="2"/>
            <w:vMerge/>
            <w:tcMar>
              <w:top w:w="72" w:type="dxa"/>
              <w:left w:w="144" w:type="dxa"/>
              <w:bottom w:w="72" w:type="dxa"/>
              <w:right w:w="144" w:type="dxa"/>
            </w:tcMar>
            <w:hideMark/>
          </w:tcPr>
          <w:p w14:paraId="0CEED63A" w14:textId="77777777" w:rsidR="00FD07F6" w:rsidRPr="00354B1E" w:rsidRDefault="00FD07F6" w:rsidP="006B7EA6">
            <w:pPr>
              <w:snapToGrid w:val="0"/>
              <w:ind w:firstLine="708"/>
              <w:jc w:val="both"/>
              <w:rPr>
                <w:rFonts w:ascii="Verdana" w:hAnsi="Verdana" w:cs="Arial"/>
                <w:sz w:val="16"/>
                <w:szCs w:val="16"/>
                <w:shd w:val="clear" w:color="auto" w:fill="FFFFFF"/>
                <w:lang w:val="es-ES"/>
              </w:rPr>
            </w:pPr>
          </w:p>
        </w:tc>
        <w:tc>
          <w:tcPr>
            <w:tcW w:w="2454" w:type="dxa"/>
            <w:gridSpan w:val="2"/>
            <w:tcMar>
              <w:top w:w="72" w:type="dxa"/>
              <w:left w:w="144" w:type="dxa"/>
              <w:bottom w:w="72" w:type="dxa"/>
              <w:right w:w="144" w:type="dxa"/>
            </w:tcMar>
            <w:hideMark/>
          </w:tcPr>
          <w:p w14:paraId="419D2279" w14:textId="77777777" w:rsidR="00FD07F6" w:rsidRPr="00354B1E" w:rsidRDefault="00FD07F6" w:rsidP="006B7EA6">
            <w:pPr>
              <w:snapToGrid w:val="0"/>
              <w:ind w:firstLine="708"/>
              <w:jc w:val="both"/>
              <w:rPr>
                <w:rFonts w:ascii="Verdana" w:hAnsi="Verdana" w:cs="Arial"/>
                <w:sz w:val="16"/>
                <w:szCs w:val="16"/>
                <w:shd w:val="clear" w:color="auto" w:fill="FFFFFF"/>
                <w:lang w:val="es-ES"/>
              </w:rPr>
            </w:pPr>
          </w:p>
        </w:tc>
      </w:tr>
      <w:tr w:rsidR="00DB1DC7" w:rsidRPr="00354B1E" w14:paraId="60CCCABB" w14:textId="77777777" w:rsidTr="0010371E">
        <w:trPr>
          <w:trHeight w:val="20"/>
        </w:trPr>
        <w:tc>
          <w:tcPr>
            <w:tcW w:w="2002" w:type="dxa"/>
            <w:vMerge/>
            <w:vAlign w:val="center"/>
            <w:hideMark/>
          </w:tcPr>
          <w:p w14:paraId="7455BB30" w14:textId="77777777" w:rsidR="00FD07F6" w:rsidRPr="00354B1E" w:rsidRDefault="00FD07F6" w:rsidP="006B7EA6">
            <w:pPr>
              <w:snapToGrid w:val="0"/>
              <w:ind w:firstLine="708"/>
              <w:jc w:val="both"/>
              <w:rPr>
                <w:rFonts w:ascii="Verdana" w:hAnsi="Verdana" w:cs="Arial"/>
                <w:sz w:val="16"/>
                <w:szCs w:val="16"/>
                <w:shd w:val="clear" w:color="auto" w:fill="FFFFFF"/>
                <w:lang w:val="es-ES"/>
              </w:rPr>
            </w:pPr>
          </w:p>
        </w:tc>
        <w:tc>
          <w:tcPr>
            <w:tcW w:w="4624" w:type="dxa"/>
            <w:gridSpan w:val="2"/>
            <w:vMerge/>
            <w:tcMar>
              <w:top w:w="72" w:type="dxa"/>
              <w:left w:w="144" w:type="dxa"/>
              <w:bottom w:w="72" w:type="dxa"/>
              <w:right w:w="144" w:type="dxa"/>
            </w:tcMar>
            <w:hideMark/>
          </w:tcPr>
          <w:p w14:paraId="17FB1361" w14:textId="77777777" w:rsidR="00FD07F6" w:rsidRPr="00354B1E" w:rsidRDefault="00FD07F6" w:rsidP="006B7EA6">
            <w:pPr>
              <w:snapToGrid w:val="0"/>
              <w:ind w:firstLine="708"/>
              <w:jc w:val="both"/>
              <w:rPr>
                <w:rFonts w:ascii="Verdana" w:hAnsi="Verdana" w:cs="Arial"/>
                <w:sz w:val="16"/>
                <w:szCs w:val="16"/>
                <w:shd w:val="clear" w:color="auto" w:fill="FFFFFF"/>
                <w:lang w:val="es-ES"/>
              </w:rPr>
            </w:pPr>
          </w:p>
        </w:tc>
        <w:tc>
          <w:tcPr>
            <w:tcW w:w="2454" w:type="dxa"/>
            <w:gridSpan w:val="2"/>
            <w:tcMar>
              <w:top w:w="72" w:type="dxa"/>
              <w:left w:w="144" w:type="dxa"/>
              <w:bottom w:w="72" w:type="dxa"/>
              <w:right w:w="144" w:type="dxa"/>
            </w:tcMar>
            <w:hideMark/>
          </w:tcPr>
          <w:p w14:paraId="16233C4B" w14:textId="77777777" w:rsidR="00FD07F6" w:rsidRPr="00354B1E" w:rsidRDefault="00FD07F6" w:rsidP="006B7EA6">
            <w:pPr>
              <w:snapToGrid w:val="0"/>
              <w:ind w:firstLine="708"/>
              <w:jc w:val="both"/>
              <w:rPr>
                <w:rFonts w:ascii="Verdana" w:hAnsi="Verdana" w:cs="Arial"/>
                <w:sz w:val="16"/>
                <w:szCs w:val="16"/>
                <w:shd w:val="clear" w:color="auto" w:fill="FFFFFF"/>
                <w:lang w:val="es-ES"/>
              </w:rPr>
            </w:pPr>
          </w:p>
        </w:tc>
      </w:tr>
      <w:tr w:rsidR="00DB1DC7" w:rsidRPr="00354B1E" w14:paraId="7B041707" w14:textId="77777777" w:rsidTr="005369E1">
        <w:trPr>
          <w:gridAfter w:val="1"/>
          <w:wAfter w:w="13" w:type="dxa"/>
          <w:trHeight w:val="1204"/>
        </w:trPr>
        <w:tc>
          <w:tcPr>
            <w:tcW w:w="2002" w:type="dxa"/>
            <w:tcMar>
              <w:top w:w="72" w:type="dxa"/>
              <w:left w:w="144" w:type="dxa"/>
              <w:bottom w:w="72" w:type="dxa"/>
              <w:right w:w="144" w:type="dxa"/>
            </w:tcMar>
            <w:hideMark/>
          </w:tcPr>
          <w:p w14:paraId="2B8A5EB2" w14:textId="77777777" w:rsidR="00FD07F6" w:rsidRPr="00354B1E" w:rsidRDefault="00FD07F6" w:rsidP="006B7EA6">
            <w:pPr>
              <w:snapToGrid w:val="0"/>
              <w:ind w:firstLine="708"/>
              <w:jc w:val="both"/>
              <w:rPr>
                <w:rFonts w:ascii="Verdana" w:hAnsi="Verdana" w:cs="Arial"/>
                <w:b/>
                <w:bCs/>
                <w:sz w:val="16"/>
                <w:szCs w:val="16"/>
                <w:shd w:val="clear" w:color="auto" w:fill="FFFFFF"/>
                <w:lang w:val="es-ES"/>
              </w:rPr>
            </w:pPr>
          </w:p>
          <w:p w14:paraId="765FA8AE" w14:textId="77777777" w:rsidR="00FD07F6" w:rsidRPr="00354B1E" w:rsidRDefault="00FD07F6" w:rsidP="006B7EA6">
            <w:pPr>
              <w:snapToGrid w:val="0"/>
              <w:ind w:firstLine="708"/>
              <w:jc w:val="both"/>
              <w:rPr>
                <w:rFonts w:ascii="Verdana" w:hAnsi="Verdana" w:cs="Arial"/>
                <w:b/>
                <w:bCs/>
                <w:sz w:val="16"/>
                <w:szCs w:val="16"/>
                <w:shd w:val="clear" w:color="auto" w:fill="FFFFFF"/>
                <w:lang w:val="es-ES"/>
              </w:rPr>
            </w:pPr>
          </w:p>
          <w:p w14:paraId="4ED70921" w14:textId="77777777" w:rsidR="00FD07F6" w:rsidRPr="00354B1E" w:rsidRDefault="00FD07F6" w:rsidP="006B7EA6">
            <w:pPr>
              <w:snapToGrid w:val="0"/>
              <w:jc w:val="both"/>
              <w:rPr>
                <w:rFonts w:ascii="Verdana" w:hAnsi="Verdana" w:cs="Arial"/>
                <w:sz w:val="16"/>
                <w:szCs w:val="16"/>
                <w:shd w:val="clear" w:color="auto" w:fill="FFFFFF"/>
                <w:lang w:val="es-ES"/>
              </w:rPr>
            </w:pPr>
            <w:r w:rsidRPr="00354B1E">
              <w:rPr>
                <w:rFonts w:ascii="Verdana" w:hAnsi="Verdana" w:cs="Arial"/>
                <w:b/>
                <w:bCs/>
                <w:sz w:val="16"/>
                <w:szCs w:val="16"/>
                <w:shd w:val="clear" w:color="auto" w:fill="FFFFFF"/>
                <w:lang w:val="es-ES"/>
              </w:rPr>
              <w:t>IV Procesales</w:t>
            </w:r>
          </w:p>
        </w:tc>
        <w:tc>
          <w:tcPr>
            <w:tcW w:w="4624" w:type="dxa"/>
            <w:gridSpan w:val="2"/>
            <w:tcMar>
              <w:top w:w="72" w:type="dxa"/>
              <w:left w:w="144" w:type="dxa"/>
              <w:bottom w:w="72" w:type="dxa"/>
              <w:right w:w="144" w:type="dxa"/>
            </w:tcMar>
            <w:hideMark/>
          </w:tcPr>
          <w:p w14:paraId="2A8622D0" w14:textId="3EA45DD5" w:rsidR="00FD07F6" w:rsidRPr="00354B1E" w:rsidRDefault="00FD07F6" w:rsidP="006B7EA6">
            <w:pPr>
              <w:snapToGrid w:val="0"/>
              <w:jc w:val="both"/>
              <w:rPr>
                <w:rFonts w:ascii="Verdana" w:hAnsi="Verdana" w:cs="Arial"/>
                <w:sz w:val="16"/>
                <w:szCs w:val="16"/>
                <w:shd w:val="clear" w:color="auto" w:fill="FFFFFF"/>
                <w:lang w:val="es-ES"/>
              </w:rPr>
            </w:pPr>
          </w:p>
          <w:p w14:paraId="76F247A5" w14:textId="6B7396BB" w:rsidR="00FD07F6" w:rsidRPr="00354B1E" w:rsidRDefault="00D7326D" w:rsidP="006B7EA6">
            <w:pPr>
              <w:snapToGrid w:val="0"/>
              <w:ind w:firstLine="708"/>
              <w:jc w:val="both"/>
              <w:rPr>
                <w:rFonts w:ascii="Verdana" w:hAnsi="Verdana" w:cs="Arial"/>
                <w:sz w:val="16"/>
                <w:szCs w:val="16"/>
                <w:shd w:val="clear" w:color="auto" w:fill="FFFFFF"/>
                <w:lang w:val="es-ES"/>
              </w:rPr>
            </w:pPr>
            <w:r w:rsidRPr="00354B1E">
              <w:rPr>
                <w:rFonts w:ascii="Verdana" w:hAnsi="Verdana" w:cs="Arial"/>
                <w:noProof/>
                <w:sz w:val="16"/>
                <w:szCs w:val="16"/>
                <w:lang w:val="es-CR" w:eastAsia="es-CR"/>
              </w:rPr>
              <mc:AlternateContent>
                <mc:Choice Requires="wps">
                  <w:drawing>
                    <wp:anchor distT="0" distB="0" distL="114300" distR="114300" simplePos="0" relativeHeight="251663360" behindDoc="0" locked="0" layoutInCell="1" allowOverlap="1" wp14:anchorId="00160CEC" wp14:editId="15901B83">
                      <wp:simplePos x="0" y="0"/>
                      <wp:positionH relativeFrom="column">
                        <wp:posOffset>317608</wp:posOffset>
                      </wp:positionH>
                      <wp:positionV relativeFrom="paragraph">
                        <wp:posOffset>14845</wp:posOffset>
                      </wp:positionV>
                      <wp:extent cx="112143" cy="474452"/>
                      <wp:effectExtent l="0" t="0" r="21590" b="20955"/>
                      <wp:wrapNone/>
                      <wp:docPr id="1" name="Abrir llave 5"/>
                      <wp:cNvGraphicFramePr/>
                      <a:graphic xmlns:a="http://schemas.openxmlformats.org/drawingml/2006/main">
                        <a:graphicData uri="http://schemas.microsoft.com/office/word/2010/wordprocessingShape">
                          <wps:wsp>
                            <wps:cNvSpPr/>
                            <wps:spPr>
                              <a:xfrm>
                                <a:off x="0" y="0"/>
                                <a:ext cx="112143" cy="474452"/>
                              </a:xfrm>
                              <a:prstGeom prst="lef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77668" id="Abrir llave 5" o:spid="_x0000_s1026" type="#_x0000_t87" style="position:absolute;margin-left:25pt;margin-top:1.15pt;width:8.8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" adj="425" strokecolor="#4472c4 [3204]" strokeweight="1pt">
                      <v:stroke joinstyle="miter"/>
                    </v:shape>
                  </w:pict>
                </mc:Fallback>
              </mc:AlternateContent>
            </w:r>
            <w:r w:rsidR="00FD07F6" w:rsidRPr="00354B1E">
              <w:rPr>
                <w:rFonts w:ascii="Verdana" w:hAnsi="Verdana" w:cs="Arial"/>
                <w:sz w:val="16"/>
                <w:szCs w:val="16"/>
                <w:shd w:val="clear" w:color="auto" w:fill="FFFFFF"/>
                <w:lang w:val="es-ES"/>
              </w:rPr>
              <w:t>1.- Acceso a la información</w:t>
            </w:r>
          </w:p>
          <w:p w14:paraId="47B38D16" w14:textId="0792627A" w:rsidR="00FD07F6" w:rsidRPr="00354B1E" w:rsidRDefault="00FD07F6" w:rsidP="006B7EA6">
            <w:pPr>
              <w:snapToGrid w:val="0"/>
              <w:ind w:firstLine="708"/>
              <w:jc w:val="both"/>
              <w:rPr>
                <w:rFonts w:ascii="Verdana" w:hAnsi="Verdana" w:cs="Arial"/>
                <w:sz w:val="16"/>
                <w:szCs w:val="16"/>
                <w:shd w:val="clear" w:color="auto" w:fill="FFFFFF"/>
                <w:lang w:val="es-ES"/>
              </w:rPr>
            </w:pPr>
            <w:r w:rsidRPr="00354B1E">
              <w:rPr>
                <w:rFonts w:ascii="Verdana" w:hAnsi="Verdana" w:cs="Arial"/>
                <w:sz w:val="16"/>
                <w:szCs w:val="16"/>
                <w:shd w:val="clear" w:color="auto" w:fill="FFFFFF"/>
                <w:lang w:val="es-ES"/>
              </w:rPr>
              <w:t xml:space="preserve">2.- Participación </w:t>
            </w:r>
            <w:r w:rsidR="00383756">
              <w:rPr>
                <w:rFonts w:ascii="Verdana" w:hAnsi="Verdana" w:cs="Arial"/>
                <w:sz w:val="16"/>
                <w:szCs w:val="16"/>
                <w:shd w:val="clear" w:color="auto" w:fill="FFFFFF"/>
                <w:lang w:val="es-ES"/>
              </w:rPr>
              <w:t>p</w:t>
            </w:r>
            <w:r w:rsidRPr="00354B1E">
              <w:rPr>
                <w:rFonts w:ascii="Verdana" w:hAnsi="Verdana" w:cs="Arial"/>
                <w:sz w:val="16"/>
                <w:szCs w:val="16"/>
                <w:shd w:val="clear" w:color="auto" w:fill="FFFFFF"/>
                <w:lang w:val="es-ES"/>
              </w:rPr>
              <w:t>olítica</w:t>
            </w:r>
          </w:p>
          <w:p w14:paraId="4E38607B" w14:textId="3309D8AC" w:rsidR="00FD07F6" w:rsidRPr="00354B1E" w:rsidRDefault="00FD07F6" w:rsidP="006B7EA6">
            <w:pPr>
              <w:snapToGrid w:val="0"/>
              <w:ind w:firstLine="708"/>
              <w:jc w:val="both"/>
              <w:rPr>
                <w:rFonts w:ascii="Verdana" w:hAnsi="Verdana" w:cs="Arial"/>
                <w:sz w:val="16"/>
                <w:szCs w:val="16"/>
                <w:shd w:val="clear" w:color="auto" w:fill="FFFFFF"/>
                <w:lang w:val="es-ES"/>
              </w:rPr>
            </w:pPr>
            <w:r w:rsidRPr="00354B1E">
              <w:rPr>
                <w:rFonts w:ascii="Verdana" w:hAnsi="Verdana" w:cs="Arial"/>
                <w:sz w:val="16"/>
                <w:szCs w:val="16"/>
                <w:shd w:val="clear" w:color="auto" w:fill="FFFFFF"/>
                <w:lang w:val="es-ES"/>
              </w:rPr>
              <w:t xml:space="preserve">3.– Acceso a la </w:t>
            </w:r>
            <w:r w:rsidR="00383756">
              <w:rPr>
                <w:rFonts w:ascii="Verdana" w:hAnsi="Verdana" w:cs="Arial"/>
                <w:sz w:val="16"/>
                <w:szCs w:val="16"/>
                <w:shd w:val="clear" w:color="auto" w:fill="FFFFFF"/>
                <w:lang w:val="es-ES"/>
              </w:rPr>
              <w:t>j</w:t>
            </w:r>
            <w:r w:rsidRPr="00354B1E">
              <w:rPr>
                <w:rFonts w:ascii="Verdana" w:hAnsi="Verdana" w:cs="Arial"/>
                <w:sz w:val="16"/>
                <w:szCs w:val="16"/>
                <w:shd w:val="clear" w:color="auto" w:fill="FFFFFF"/>
                <w:lang w:val="es-ES"/>
              </w:rPr>
              <w:t>usticia</w:t>
            </w:r>
          </w:p>
          <w:p w14:paraId="63DA2034" w14:textId="77777777" w:rsidR="00FD07F6" w:rsidRPr="00354B1E" w:rsidRDefault="00FD07F6" w:rsidP="006B7EA6">
            <w:pPr>
              <w:snapToGrid w:val="0"/>
              <w:jc w:val="both"/>
              <w:rPr>
                <w:rFonts w:ascii="Verdana" w:hAnsi="Verdana" w:cs="Arial"/>
                <w:sz w:val="16"/>
                <w:szCs w:val="16"/>
                <w:shd w:val="clear" w:color="auto" w:fill="FFFFFF"/>
                <w:lang w:val="es-ES"/>
              </w:rPr>
            </w:pPr>
          </w:p>
          <w:p w14:paraId="42125CB5" w14:textId="77777777" w:rsidR="00FD07F6" w:rsidRPr="00354B1E" w:rsidRDefault="00FD07F6" w:rsidP="006B7EA6">
            <w:pPr>
              <w:snapToGrid w:val="0"/>
              <w:ind w:right="-88"/>
              <w:jc w:val="both"/>
              <w:rPr>
                <w:rFonts w:ascii="Verdana" w:hAnsi="Verdana" w:cs="Arial"/>
                <w:sz w:val="16"/>
                <w:szCs w:val="16"/>
                <w:shd w:val="clear" w:color="auto" w:fill="FFFFFF"/>
                <w:lang w:val="es-ES"/>
              </w:rPr>
            </w:pPr>
          </w:p>
        </w:tc>
        <w:tc>
          <w:tcPr>
            <w:tcW w:w="2441" w:type="dxa"/>
            <w:tcMar>
              <w:top w:w="72" w:type="dxa"/>
              <w:left w:w="144" w:type="dxa"/>
              <w:bottom w:w="72" w:type="dxa"/>
              <w:right w:w="144" w:type="dxa"/>
            </w:tcMar>
            <w:hideMark/>
          </w:tcPr>
          <w:p w14:paraId="557B6238" w14:textId="77777777" w:rsidR="00FD07F6" w:rsidRPr="00354B1E" w:rsidRDefault="00FD07F6" w:rsidP="006B7EA6">
            <w:pPr>
              <w:snapToGrid w:val="0"/>
              <w:jc w:val="both"/>
              <w:rPr>
                <w:rFonts w:ascii="Verdana" w:hAnsi="Verdana" w:cs="Arial"/>
                <w:sz w:val="20"/>
                <w:szCs w:val="20"/>
                <w:shd w:val="clear" w:color="auto" w:fill="FFFFFF"/>
                <w:lang w:val="es-ES"/>
              </w:rPr>
            </w:pPr>
          </w:p>
          <w:p w14:paraId="7973EFB5" w14:textId="77777777" w:rsidR="00FD07F6" w:rsidRPr="00354B1E" w:rsidRDefault="00FD07F6" w:rsidP="006B7EA6">
            <w:pPr>
              <w:snapToGrid w:val="0"/>
              <w:jc w:val="both"/>
              <w:rPr>
                <w:rFonts w:ascii="Verdana" w:hAnsi="Verdana" w:cs="Arial"/>
                <w:sz w:val="20"/>
                <w:szCs w:val="20"/>
                <w:shd w:val="clear" w:color="auto" w:fill="FFFFFF"/>
                <w:lang w:val="es-ES"/>
              </w:rPr>
            </w:pPr>
          </w:p>
          <w:p w14:paraId="6FBFEC23" w14:textId="77777777" w:rsidR="00FD07F6" w:rsidRPr="00354B1E" w:rsidRDefault="00FD07F6" w:rsidP="006B7EA6">
            <w:pPr>
              <w:snapToGrid w:val="0"/>
              <w:jc w:val="both"/>
              <w:rPr>
                <w:rFonts w:ascii="Verdana" w:hAnsi="Verdana" w:cs="Arial"/>
                <w:sz w:val="20"/>
                <w:szCs w:val="20"/>
                <w:shd w:val="clear" w:color="auto" w:fill="FFFFFF"/>
                <w:lang w:val="es-ES"/>
              </w:rPr>
            </w:pPr>
          </w:p>
          <w:p w14:paraId="30D2DE72" w14:textId="77777777" w:rsidR="00FD07F6" w:rsidRPr="00354B1E" w:rsidRDefault="00FD07F6" w:rsidP="006B7EA6">
            <w:pPr>
              <w:snapToGrid w:val="0"/>
              <w:jc w:val="both"/>
              <w:rPr>
                <w:rFonts w:ascii="Verdana" w:hAnsi="Verdana" w:cs="Arial"/>
                <w:sz w:val="20"/>
                <w:szCs w:val="20"/>
                <w:shd w:val="clear" w:color="auto" w:fill="FFFFFF"/>
                <w:lang w:val="es-ES"/>
              </w:rPr>
            </w:pPr>
          </w:p>
          <w:p w14:paraId="0A8DBFCF" w14:textId="58C684F9" w:rsidR="00FD07F6" w:rsidRPr="00354B1E" w:rsidRDefault="00FD07F6" w:rsidP="006B7EA6">
            <w:pPr>
              <w:snapToGrid w:val="0"/>
              <w:jc w:val="both"/>
              <w:rPr>
                <w:rFonts w:ascii="Verdana" w:hAnsi="Verdana" w:cs="Arial"/>
                <w:sz w:val="20"/>
                <w:szCs w:val="20"/>
                <w:shd w:val="clear" w:color="auto" w:fill="FFFFFF"/>
                <w:lang w:val="es-ES"/>
              </w:rPr>
            </w:pPr>
          </w:p>
        </w:tc>
      </w:tr>
    </w:tbl>
    <w:p w14:paraId="46825B7C" w14:textId="11A0260C" w:rsidR="00FD07F6" w:rsidRPr="00354B1E" w:rsidRDefault="008F6A3F" w:rsidP="008F6A3F">
      <w:pPr>
        <w:pStyle w:val="Prrafodelista"/>
        <w:snapToGrid w:val="0"/>
        <w:ind w:left="0"/>
        <w:jc w:val="both"/>
        <w:rPr>
          <w:rFonts w:ascii="Verdana" w:hAnsi="Verdana" w:cs="Arial"/>
          <w:sz w:val="20"/>
          <w:szCs w:val="20"/>
          <w:shd w:val="clear" w:color="auto" w:fill="FFFFFF"/>
          <w:lang w:val="es-ES"/>
        </w:rPr>
      </w:pPr>
      <w:r>
        <w:rPr>
          <w:rFonts w:ascii="Verdana" w:hAnsi="Verdana" w:cs="Arial"/>
          <w:sz w:val="20"/>
          <w:szCs w:val="20"/>
          <w:shd w:val="clear" w:color="auto" w:fill="FFFFFF"/>
          <w:lang w:val="es-ES"/>
        </w:rPr>
        <w:t>3</w:t>
      </w:r>
      <w:r w:rsidR="00783415">
        <w:rPr>
          <w:rFonts w:ascii="Verdana" w:hAnsi="Verdana" w:cs="Arial"/>
          <w:sz w:val="20"/>
          <w:szCs w:val="20"/>
          <w:shd w:val="clear" w:color="auto" w:fill="FFFFFF"/>
          <w:lang w:val="es-ES"/>
        </w:rPr>
        <w:t>4</w:t>
      </w:r>
      <w:r>
        <w:rPr>
          <w:rFonts w:ascii="Verdana" w:hAnsi="Verdana" w:cs="Arial"/>
          <w:sz w:val="20"/>
          <w:szCs w:val="20"/>
          <w:shd w:val="clear" w:color="auto" w:fill="FFFFFF"/>
          <w:lang w:val="es-ES"/>
        </w:rPr>
        <w:t xml:space="preserve">. </w:t>
      </w:r>
      <w:r>
        <w:rPr>
          <w:rFonts w:ascii="Verdana" w:hAnsi="Verdana" w:cs="Arial"/>
          <w:sz w:val="20"/>
          <w:szCs w:val="20"/>
          <w:shd w:val="clear" w:color="auto" w:fill="FFFFFF"/>
          <w:lang w:val="es-ES"/>
        </w:rPr>
        <w:tab/>
      </w:r>
      <w:r w:rsidR="00FD07F6" w:rsidRPr="00354B1E">
        <w:rPr>
          <w:rFonts w:ascii="Verdana" w:hAnsi="Verdana" w:cs="Arial"/>
          <w:sz w:val="20"/>
          <w:szCs w:val="20"/>
          <w:shd w:val="clear" w:color="auto" w:fill="FFFFFF"/>
          <w:lang w:val="es-ES"/>
        </w:rPr>
        <w:t xml:space="preserve">En cuanto a las obligaciones hay dos cuestiones que deben destacarse: la obligación de prevención y la obligación de protección </w:t>
      </w:r>
      <w:r w:rsidR="00E5791C">
        <w:rPr>
          <w:rFonts w:ascii="Verdana" w:hAnsi="Verdana" w:cs="Arial"/>
          <w:sz w:val="20"/>
          <w:szCs w:val="20"/>
          <w:shd w:val="clear" w:color="auto" w:fill="FFFFFF"/>
          <w:lang w:val="es-ES"/>
        </w:rPr>
        <w:t>—</w:t>
      </w:r>
      <w:r w:rsidR="00FD07F6" w:rsidRPr="00354B1E">
        <w:rPr>
          <w:rFonts w:ascii="Verdana" w:hAnsi="Verdana" w:cs="Arial"/>
          <w:sz w:val="20"/>
          <w:szCs w:val="20"/>
          <w:shd w:val="clear" w:color="auto" w:fill="FFFFFF"/>
          <w:lang w:val="es-ES"/>
        </w:rPr>
        <w:t>mejor conocido como principio precautorio</w:t>
      </w:r>
      <w:r w:rsidR="00E5791C">
        <w:rPr>
          <w:rFonts w:ascii="Verdana" w:hAnsi="Verdana" w:cs="Arial"/>
          <w:sz w:val="20"/>
          <w:szCs w:val="20"/>
          <w:shd w:val="clear" w:color="auto" w:fill="FFFFFF"/>
          <w:lang w:val="es-ES"/>
        </w:rPr>
        <w:t>—</w:t>
      </w:r>
      <w:r w:rsidR="00FD07F6" w:rsidRPr="00354B1E">
        <w:rPr>
          <w:rFonts w:ascii="Verdana" w:hAnsi="Verdana" w:cs="Arial"/>
          <w:sz w:val="20"/>
          <w:szCs w:val="20"/>
          <w:shd w:val="clear" w:color="auto" w:fill="FFFFFF"/>
          <w:lang w:val="es-ES"/>
        </w:rPr>
        <w:t xml:space="preserve">. La Corte IDH identifica que la diferencia entre ambas es que mientras que en la primera existe una certeza científica sobre cuáles serían las consecuencias ambientales </w:t>
      </w:r>
      <w:r w:rsidR="00E5791C">
        <w:rPr>
          <w:rFonts w:ascii="Verdana" w:hAnsi="Verdana" w:cs="Arial"/>
          <w:sz w:val="20"/>
          <w:szCs w:val="20"/>
          <w:shd w:val="clear" w:color="auto" w:fill="FFFFFF"/>
          <w:lang w:val="es-ES"/>
        </w:rPr>
        <w:t>(</w:t>
      </w:r>
      <w:r w:rsidR="00FD07F6" w:rsidRPr="00354B1E">
        <w:rPr>
          <w:rFonts w:ascii="Verdana" w:hAnsi="Verdana" w:cs="Arial"/>
          <w:sz w:val="20"/>
          <w:szCs w:val="20"/>
          <w:shd w:val="clear" w:color="auto" w:fill="FFFFFF"/>
          <w:lang w:val="es-ES"/>
        </w:rPr>
        <w:t>frente a las que operan las sub-obligaciones como regular, fiscalizar, estudios de impacto ambiental, etc.); en el caso de la segunda obligación</w:t>
      </w:r>
      <w:r w:rsidR="00E5791C">
        <w:rPr>
          <w:rFonts w:ascii="Verdana" w:hAnsi="Verdana" w:cs="Arial"/>
          <w:sz w:val="20"/>
          <w:szCs w:val="20"/>
          <w:shd w:val="clear" w:color="auto" w:fill="FFFFFF"/>
          <w:lang w:val="es-ES"/>
        </w:rPr>
        <w:t>,</w:t>
      </w:r>
      <w:r w:rsidR="00FD07F6" w:rsidRPr="00354B1E">
        <w:rPr>
          <w:rFonts w:ascii="Verdana" w:hAnsi="Verdana" w:cs="Arial"/>
          <w:sz w:val="20"/>
          <w:szCs w:val="20"/>
          <w:shd w:val="clear" w:color="auto" w:fill="FFFFFF"/>
          <w:lang w:val="es-ES"/>
        </w:rPr>
        <w:t xml:space="preserve"> opera cuando </w:t>
      </w:r>
      <w:r w:rsidR="00FD07F6" w:rsidRPr="00354B1E">
        <w:rPr>
          <w:rFonts w:ascii="Verdana" w:hAnsi="Verdana" w:cs="Arial"/>
          <w:i/>
          <w:iCs/>
          <w:sz w:val="20"/>
          <w:szCs w:val="20"/>
          <w:shd w:val="clear" w:color="auto" w:fill="FFFFFF"/>
          <w:lang w:val="es-ES"/>
        </w:rPr>
        <w:t xml:space="preserve">no exista certeza científica </w:t>
      </w:r>
      <w:r w:rsidR="00FD07F6" w:rsidRPr="00354B1E">
        <w:rPr>
          <w:rFonts w:ascii="Verdana" w:hAnsi="Verdana" w:cs="Arial"/>
          <w:sz w:val="20"/>
          <w:szCs w:val="20"/>
          <w:shd w:val="clear" w:color="auto" w:fill="FFFFFF"/>
          <w:lang w:val="es-ES"/>
        </w:rPr>
        <w:t xml:space="preserve">sobre las consecuencias ambientales, pero ello no exime que el Estado tome medidas para hacer frente a los posibles daños ambientales. Finalmente, la Corte IDH refiere que estas obligaciones tienen que materializarse observando una “debida diligencia”, la cual no es definida por la Corte ya que únicamente refiere que </w:t>
      </w:r>
      <w:r w:rsidR="00453802">
        <w:rPr>
          <w:rFonts w:ascii="Verdana" w:hAnsi="Verdana" w:cs="Arial"/>
          <w:sz w:val="20"/>
          <w:szCs w:val="20"/>
          <w:shd w:val="clear" w:color="auto" w:fill="FFFFFF"/>
          <w:lang w:val="es-ES"/>
        </w:rPr>
        <w:t>é</w:t>
      </w:r>
      <w:r w:rsidR="00FD07F6" w:rsidRPr="00354B1E">
        <w:rPr>
          <w:rFonts w:ascii="Verdana" w:hAnsi="Verdana" w:cs="Arial"/>
          <w:sz w:val="20"/>
          <w:szCs w:val="20"/>
          <w:shd w:val="clear" w:color="auto" w:fill="FFFFFF"/>
          <w:lang w:val="es-ES"/>
        </w:rPr>
        <w:t>st</w:t>
      </w:r>
      <w:r w:rsidR="00453802">
        <w:rPr>
          <w:rFonts w:ascii="Verdana" w:hAnsi="Verdana" w:cs="Arial"/>
          <w:sz w:val="20"/>
          <w:szCs w:val="20"/>
          <w:shd w:val="clear" w:color="auto" w:fill="FFFFFF"/>
          <w:lang w:val="es-ES"/>
        </w:rPr>
        <w:t>a</w:t>
      </w:r>
      <w:r w:rsidR="00FD07F6" w:rsidRPr="00354B1E">
        <w:rPr>
          <w:rFonts w:ascii="Verdana" w:hAnsi="Verdana" w:cs="Arial"/>
          <w:sz w:val="20"/>
          <w:szCs w:val="20"/>
          <w:shd w:val="clear" w:color="auto" w:fill="FFFFFF"/>
          <w:lang w:val="es-ES"/>
        </w:rPr>
        <w:t xml:space="preserve"> debe surtir efectos siempre que existan posibles “daños significativos al derecho a la vida o a la integridad” de las personas</w:t>
      </w:r>
      <w:r w:rsidR="00FD07F6" w:rsidRPr="00354B1E">
        <w:rPr>
          <w:rStyle w:val="Refdenotaalpie"/>
          <w:rFonts w:ascii="Verdana" w:hAnsi="Verdana" w:cs="Arial"/>
          <w:sz w:val="20"/>
          <w:szCs w:val="20"/>
          <w:shd w:val="clear" w:color="auto" w:fill="FFFFFF"/>
          <w:lang w:val="es-ES"/>
        </w:rPr>
        <w:footnoteReference w:id="35"/>
      </w:r>
      <w:r w:rsidR="00FD07F6" w:rsidRPr="00354B1E">
        <w:rPr>
          <w:rFonts w:ascii="Verdana" w:hAnsi="Verdana" w:cs="Arial"/>
          <w:sz w:val="20"/>
          <w:szCs w:val="20"/>
          <w:shd w:val="clear" w:color="auto" w:fill="FFFFFF"/>
          <w:lang w:val="es-ES"/>
        </w:rPr>
        <w:t>.</w:t>
      </w:r>
    </w:p>
    <w:p w14:paraId="2A8F84CD" w14:textId="77777777" w:rsidR="00015F38" w:rsidRPr="00354B1E" w:rsidRDefault="00015F38" w:rsidP="006B7EA6">
      <w:pPr>
        <w:pStyle w:val="Prrafodelista"/>
        <w:jc w:val="both"/>
        <w:rPr>
          <w:rFonts w:ascii="Verdana" w:hAnsi="Verdana"/>
          <w:sz w:val="20"/>
          <w:szCs w:val="20"/>
          <w:lang w:val="es-ES"/>
        </w:rPr>
      </w:pPr>
    </w:p>
    <w:p w14:paraId="4BC047CE" w14:textId="60A40EA8" w:rsidR="00015F38" w:rsidRPr="008E72FA" w:rsidRDefault="00FE602F" w:rsidP="006B7EA6">
      <w:pPr>
        <w:pStyle w:val="Prrafodelista"/>
        <w:ind w:left="0"/>
        <w:jc w:val="both"/>
        <w:rPr>
          <w:rFonts w:ascii="Verdana" w:hAnsi="Verdana" w:cs="Open Sans"/>
          <w:i/>
          <w:iCs/>
          <w:sz w:val="20"/>
          <w:szCs w:val="20"/>
          <w:u w:val="single"/>
          <w:shd w:val="clear" w:color="auto" w:fill="FFFFFF"/>
          <w:lang w:val="es-ES"/>
        </w:rPr>
      </w:pPr>
      <w:r w:rsidRPr="008E72FA">
        <w:rPr>
          <w:rFonts w:ascii="Verdana" w:hAnsi="Verdana"/>
          <w:i/>
          <w:iCs/>
          <w:sz w:val="20"/>
          <w:szCs w:val="20"/>
          <w:u w:val="single"/>
          <w:lang w:val="es-ES"/>
        </w:rPr>
        <w:t>2.2</w:t>
      </w:r>
      <w:r w:rsidR="007632F6" w:rsidRPr="008E72FA">
        <w:rPr>
          <w:rFonts w:ascii="Verdana" w:hAnsi="Verdana"/>
          <w:i/>
          <w:iCs/>
          <w:sz w:val="20"/>
          <w:szCs w:val="20"/>
          <w:u w:val="single"/>
          <w:lang w:val="es-ES"/>
        </w:rPr>
        <w:t xml:space="preserve">. El caso </w:t>
      </w:r>
      <w:r w:rsidR="006561FD" w:rsidRPr="008E72FA">
        <w:rPr>
          <w:rFonts w:ascii="Verdana" w:hAnsi="Verdana" w:cs="Open Sans"/>
          <w:i/>
          <w:iCs/>
          <w:sz w:val="20"/>
          <w:szCs w:val="20"/>
          <w:u w:val="single"/>
          <w:shd w:val="clear" w:color="auto" w:fill="FFFFFF"/>
          <w:lang w:val="es-ES"/>
        </w:rPr>
        <w:t>Comunidades Indígenas Miembros de la Asociación Lhaka Honhat (Nuestra Tierra) Vs. Argentina</w:t>
      </w:r>
    </w:p>
    <w:p w14:paraId="0D4F9742" w14:textId="77777777" w:rsidR="00D7326D" w:rsidRPr="00354B1E" w:rsidRDefault="00D7326D" w:rsidP="006B7EA6">
      <w:pPr>
        <w:pStyle w:val="Prrafodelista"/>
        <w:ind w:left="0"/>
        <w:jc w:val="both"/>
        <w:rPr>
          <w:rFonts w:ascii="Verdana" w:hAnsi="Verdana" w:cs="Open Sans"/>
          <w:b/>
          <w:bCs/>
          <w:i/>
          <w:iCs/>
          <w:sz w:val="20"/>
          <w:szCs w:val="20"/>
          <w:shd w:val="clear" w:color="auto" w:fill="FFFFFF"/>
          <w:lang w:val="es-ES"/>
        </w:rPr>
      </w:pPr>
    </w:p>
    <w:p w14:paraId="7B5F989A" w14:textId="011FF9D5" w:rsidR="00815D77" w:rsidRPr="00354B1E" w:rsidRDefault="008F6A3F" w:rsidP="008F6A3F">
      <w:pPr>
        <w:pStyle w:val="Prrafodelista"/>
        <w:snapToGrid w:val="0"/>
        <w:ind w:left="0"/>
        <w:jc w:val="both"/>
        <w:rPr>
          <w:rFonts w:ascii="Verdana" w:hAnsi="Verdana" w:cs="Arial"/>
          <w:i/>
          <w:iCs/>
          <w:sz w:val="20"/>
          <w:szCs w:val="20"/>
          <w:lang w:val="es-ES"/>
        </w:rPr>
      </w:pPr>
      <w:r>
        <w:rPr>
          <w:rFonts w:ascii="Verdana" w:hAnsi="Verdana" w:cs="Arial"/>
          <w:sz w:val="20"/>
          <w:szCs w:val="20"/>
          <w:shd w:val="clear" w:color="auto" w:fill="FFFFFF"/>
          <w:lang w:val="es-ES"/>
        </w:rPr>
        <w:t>3</w:t>
      </w:r>
      <w:r w:rsidR="00783415">
        <w:rPr>
          <w:rFonts w:ascii="Verdana" w:hAnsi="Verdana" w:cs="Arial"/>
          <w:sz w:val="20"/>
          <w:szCs w:val="20"/>
          <w:shd w:val="clear" w:color="auto" w:fill="FFFFFF"/>
          <w:lang w:val="es-ES"/>
        </w:rPr>
        <w:t>5</w:t>
      </w:r>
      <w:r>
        <w:rPr>
          <w:rFonts w:ascii="Verdana" w:hAnsi="Verdana" w:cs="Arial"/>
          <w:sz w:val="20"/>
          <w:szCs w:val="20"/>
          <w:shd w:val="clear" w:color="auto" w:fill="FFFFFF"/>
          <w:lang w:val="es-ES"/>
        </w:rPr>
        <w:t xml:space="preserve">. </w:t>
      </w:r>
      <w:r>
        <w:rPr>
          <w:rFonts w:ascii="Verdana" w:hAnsi="Verdana" w:cs="Arial"/>
          <w:sz w:val="20"/>
          <w:szCs w:val="20"/>
          <w:shd w:val="clear" w:color="auto" w:fill="FFFFFF"/>
          <w:lang w:val="es-ES"/>
        </w:rPr>
        <w:tab/>
      </w:r>
      <w:r w:rsidR="00C22E48" w:rsidRPr="00354B1E">
        <w:rPr>
          <w:rFonts w:ascii="Verdana" w:hAnsi="Verdana" w:cs="Arial"/>
          <w:sz w:val="20"/>
          <w:szCs w:val="20"/>
          <w:shd w:val="clear" w:color="auto" w:fill="FFFFFF"/>
          <w:lang w:val="es-ES"/>
        </w:rPr>
        <w:t xml:space="preserve">En el caso de las </w:t>
      </w:r>
      <w:r w:rsidR="00C22E48" w:rsidRPr="00354B1E">
        <w:rPr>
          <w:rFonts w:ascii="Verdana" w:hAnsi="Verdana" w:cs="Arial"/>
          <w:i/>
          <w:iCs/>
          <w:sz w:val="20"/>
          <w:szCs w:val="20"/>
          <w:shd w:val="clear" w:color="auto" w:fill="FFFFFF"/>
          <w:lang w:val="es-ES"/>
        </w:rPr>
        <w:t>Comunidades Indígenas Miembros de la Asociación Lhaka Honhat (Nuestra Tierra) Vs. Argentina</w:t>
      </w:r>
      <w:r w:rsidR="00FE602F">
        <w:rPr>
          <w:rFonts w:ascii="Verdana" w:hAnsi="Verdana" w:cs="Arial"/>
          <w:sz w:val="20"/>
          <w:szCs w:val="20"/>
          <w:shd w:val="clear" w:color="auto" w:fill="FFFFFF"/>
          <w:lang w:val="es-ES"/>
        </w:rPr>
        <w:t>,</w:t>
      </w:r>
      <w:r w:rsidR="008E2099" w:rsidRPr="00354B1E">
        <w:rPr>
          <w:rFonts w:ascii="Verdana" w:hAnsi="Verdana" w:cs="Arial"/>
          <w:sz w:val="20"/>
          <w:szCs w:val="20"/>
          <w:shd w:val="clear" w:color="auto" w:fill="FFFFFF"/>
          <w:lang w:val="es-ES"/>
        </w:rPr>
        <w:t xml:space="preserve"> el Estado fue declarado responsable internacionalmente debido a que las poblaciones criollas introdujeron ganado en el territorio ancestral indígena, el cual consumía plantas que las comunidades indígenas usaban para su alimentación tradicional, así como sus fuentes de agua tradicional (las cuales se encontraban contaminadas con heces de ganado). Adicionalmente, existía un problema de tala ilegal. Todo lo anterior también vulneró el derecho a participar en la vida cultural debido a que el no disfrutar de los derechos anteriormente descritos</w:t>
      </w:r>
      <w:r w:rsidR="009A5FA0">
        <w:rPr>
          <w:rFonts w:ascii="Verdana" w:hAnsi="Verdana" w:cs="Arial"/>
          <w:sz w:val="20"/>
          <w:szCs w:val="20"/>
          <w:shd w:val="clear" w:color="auto" w:fill="FFFFFF"/>
          <w:lang w:val="es-ES"/>
        </w:rPr>
        <w:t>,</w:t>
      </w:r>
      <w:r w:rsidR="008E2099" w:rsidRPr="00354B1E">
        <w:rPr>
          <w:rFonts w:ascii="Verdana" w:hAnsi="Verdana" w:cs="Arial"/>
          <w:sz w:val="20"/>
          <w:szCs w:val="20"/>
          <w:shd w:val="clear" w:color="auto" w:fill="FFFFFF"/>
          <w:lang w:val="es-ES"/>
        </w:rPr>
        <w:t xml:space="preserve"> también impactaba en la continuidad de sus prácticas culturales.</w:t>
      </w:r>
    </w:p>
    <w:p w14:paraId="29D111F9" w14:textId="77777777" w:rsidR="00815D77" w:rsidRPr="00354B1E" w:rsidRDefault="00815D77" w:rsidP="00815D77">
      <w:pPr>
        <w:pStyle w:val="Prrafodelista"/>
        <w:snapToGrid w:val="0"/>
        <w:ind w:left="0"/>
        <w:jc w:val="both"/>
        <w:rPr>
          <w:rFonts w:ascii="Verdana" w:hAnsi="Verdana" w:cs="Arial"/>
          <w:i/>
          <w:iCs/>
          <w:sz w:val="20"/>
          <w:szCs w:val="20"/>
          <w:lang w:val="es-ES"/>
        </w:rPr>
      </w:pPr>
    </w:p>
    <w:p w14:paraId="66820456" w14:textId="24ECC9DF" w:rsidR="00C22E48" w:rsidRPr="00354B1E" w:rsidRDefault="008F6A3F" w:rsidP="008F6A3F">
      <w:pPr>
        <w:pStyle w:val="Prrafodelista"/>
        <w:snapToGrid w:val="0"/>
        <w:ind w:left="0"/>
        <w:jc w:val="both"/>
        <w:rPr>
          <w:rFonts w:ascii="Verdana" w:hAnsi="Verdana" w:cs="Arial"/>
          <w:i/>
          <w:iCs/>
          <w:sz w:val="20"/>
          <w:szCs w:val="20"/>
          <w:lang w:val="es-ES"/>
        </w:rPr>
      </w:pPr>
      <w:r>
        <w:rPr>
          <w:rFonts w:ascii="Verdana" w:hAnsi="Verdana" w:cs="Arial"/>
          <w:sz w:val="20"/>
          <w:szCs w:val="20"/>
          <w:shd w:val="clear" w:color="auto" w:fill="FFFFFF"/>
          <w:lang w:val="es-ES"/>
        </w:rPr>
        <w:t>3</w:t>
      </w:r>
      <w:r w:rsidR="00783415">
        <w:rPr>
          <w:rFonts w:ascii="Verdana" w:hAnsi="Verdana" w:cs="Arial"/>
          <w:sz w:val="20"/>
          <w:szCs w:val="20"/>
          <w:shd w:val="clear" w:color="auto" w:fill="FFFFFF"/>
          <w:lang w:val="es-ES"/>
        </w:rPr>
        <w:t>6</w:t>
      </w:r>
      <w:r>
        <w:rPr>
          <w:rFonts w:ascii="Verdana" w:hAnsi="Verdana" w:cs="Arial"/>
          <w:sz w:val="20"/>
          <w:szCs w:val="20"/>
          <w:shd w:val="clear" w:color="auto" w:fill="FFFFFF"/>
          <w:lang w:val="es-ES"/>
        </w:rPr>
        <w:t xml:space="preserve">. </w:t>
      </w:r>
      <w:r>
        <w:rPr>
          <w:rFonts w:ascii="Verdana" w:hAnsi="Verdana" w:cs="Arial"/>
          <w:sz w:val="20"/>
          <w:szCs w:val="20"/>
          <w:shd w:val="clear" w:color="auto" w:fill="FFFFFF"/>
          <w:lang w:val="es-ES"/>
        </w:rPr>
        <w:tab/>
      </w:r>
      <w:r w:rsidR="00815D77" w:rsidRPr="00354B1E">
        <w:rPr>
          <w:rFonts w:ascii="Verdana" w:hAnsi="Verdana" w:cs="Arial"/>
          <w:sz w:val="20"/>
          <w:szCs w:val="20"/>
          <w:shd w:val="clear" w:color="auto" w:fill="FFFFFF"/>
          <w:lang w:val="es-ES"/>
        </w:rPr>
        <w:t xml:space="preserve">En el caso, </w:t>
      </w:r>
      <w:r w:rsidR="00C22E48" w:rsidRPr="00354B1E">
        <w:rPr>
          <w:rFonts w:ascii="Verdana" w:hAnsi="Verdana" w:cs="Arial"/>
          <w:sz w:val="20"/>
          <w:szCs w:val="20"/>
          <w:shd w:val="clear" w:color="auto" w:fill="FFFFFF"/>
          <w:lang w:val="es-ES"/>
        </w:rPr>
        <w:t>la Corte IDH declaró</w:t>
      </w:r>
      <w:r w:rsidR="00815D77" w:rsidRPr="00354B1E">
        <w:rPr>
          <w:rFonts w:ascii="Verdana" w:hAnsi="Verdana" w:cs="Arial"/>
          <w:sz w:val="20"/>
          <w:szCs w:val="20"/>
          <w:shd w:val="clear" w:color="auto" w:fill="FFFFFF"/>
          <w:lang w:val="es-ES"/>
        </w:rPr>
        <w:t xml:space="preserve">, </w:t>
      </w:r>
      <w:r w:rsidR="005369E1" w:rsidRPr="00354B1E">
        <w:rPr>
          <w:rFonts w:ascii="Verdana" w:hAnsi="Verdana" w:cs="Arial"/>
          <w:sz w:val="20"/>
          <w:szCs w:val="20"/>
          <w:shd w:val="clear" w:color="auto" w:fill="FFFFFF"/>
          <w:lang w:val="es-ES"/>
        </w:rPr>
        <w:t>por primera vez</w:t>
      </w:r>
      <w:r w:rsidR="00815D77" w:rsidRPr="00354B1E">
        <w:rPr>
          <w:rFonts w:ascii="Verdana" w:hAnsi="Verdana" w:cs="Arial"/>
          <w:sz w:val="20"/>
          <w:szCs w:val="20"/>
          <w:shd w:val="clear" w:color="auto" w:fill="FFFFFF"/>
          <w:lang w:val="es-ES"/>
        </w:rPr>
        <w:t xml:space="preserve"> </w:t>
      </w:r>
      <w:r w:rsidR="005369E1" w:rsidRPr="00354B1E">
        <w:rPr>
          <w:rFonts w:ascii="Verdana" w:hAnsi="Verdana" w:cs="Arial"/>
          <w:sz w:val="20"/>
          <w:szCs w:val="20"/>
          <w:shd w:val="clear" w:color="auto" w:fill="FFFFFF"/>
          <w:lang w:val="es-ES"/>
        </w:rPr>
        <w:t>en un caso contencioso,</w:t>
      </w:r>
      <w:r w:rsidR="00C22E48" w:rsidRPr="00354B1E">
        <w:rPr>
          <w:rFonts w:ascii="Verdana" w:hAnsi="Verdana" w:cs="Arial"/>
          <w:sz w:val="20"/>
          <w:szCs w:val="20"/>
          <w:shd w:val="clear" w:color="auto" w:fill="FFFFFF"/>
          <w:lang w:val="es-ES"/>
        </w:rPr>
        <w:t xml:space="preserve"> la vulneración del derecho al medio </w:t>
      </w:r>
      <w:r w:rsidR="00FE602F">
        <w:rPr>
          <w:rFonts w:ascii="Verdana" w:hAnsi="Verdana" w:cs="Arial"/>
          <w:sz w:val="20"/>
          <w:szCs w:val="20"/>
          <w:shd w:val="clear" w:color="auto" w:fill="FFFFFF"/>
          <w:lang w:val="es-ES"/>
        </w:rPr>
        <w:t>ambiente</w:t>
      </w:r>
      <w:r w:rsidR="00F33013">
        <w:rPr>
          <w:rFonts w:ascii="Verdana" w:hAnsi="Verdana" w:cs="Arial"/>
          <w:sz w:val="20"/>
          <w:szCs w:val="20"/>
          <w:shd w:val="clear" w:color="auto" w:fill="FFFFFF"/>
          <w:lang w:val="es-ES"/>
        </w:rPr>
        <w:t xml:space="preserve"> contenido en el artículo 26 de la Convención Americana</w:t>
      </w:r>
      <w:r w:rsidR="00FE602F">
        <w:rPr>
          <w:rFonts w:ascii="Verdana" w:hAnsi="Verdana" w:cs="Arial"/>
          <w:sz w:val="20"/>
          <w:szCs w:val="20"/>
          <w:shd w:val="clear" w:color="auto" w:fill="FFFFFF"/>
          <w:lang w:val="es-ES"/>
        </w:rPr>
        <w:t xml:space="preserve">, </w:t>
      </w:r>
      <w:r w:rsidR="00C22E48" w:rsidRPr="00354B1E">
        <w:rPr>
          <w:rFonts w:ascii="Verdana" w:hAnsi="Verdana" w:cs="Arial"/>
          <w:sz w:val="20"/>
          <w:szCs w:val="20"/>
          <w:shd w:val="clear" w:color="auto" w:fill="FFFFFF"/>
          <w:lang w:val="es-ES"/>
        </w:rPr>
        <w:t xml:space="preserve">ya que en el territorio indígena </w:t>
      </w:r>
      <w:r w:rsidR="005369E1" w:rsidRPr="00354B1E">
        <w:rPr>
          <w:rFonts w:ascii="Verdana" w:hAnsi="Verdana" w:cs="Arial"/>
          <w:sz w:val="20"/>
          <w:szCs w:val="20"/>
          <w:shd w:val="clear" w:color="auto" w:fill="FFFFFF"/>
          <w:lang w:val="es-ES"/>
        </w:rPr>
        <w:t xml:space="preserve">de dicha comunidad </w:t>
      </w:r>
      <w:r w:rsidR="00C22E48" w:rsidRPr="00354B1E">
        <w:rPr>
          <w:rFonts w:ascii="Verdana" w:hAnsi="Verdana" w:cs="Arial"/>
          <w:sz w:val="20"/>
          <w:szCs w:val="20"/>
          <w:shd w:val="clear" w:color="auto" w:fill="FFFFFF"/>
          <w:lang w:val="es-ES"/>
        </w:rPr>
        <w:t xml:space="preserve">se habían realizado </w:t>
      </w:r>
      <w:r w:rsidR="00C22E48" w:rsidRPr="00354B1E">
        <w:rPr>
          <w:rFonts w:ascii="Verdana" w:hAnsi="Verdana" w:cs="Arial"/>
          <w:sz w:val="20"/>
          <w:szCs w:val="20"/>
          <w:lang w:val="es-ES"/>
        </w:rPr>
        <w:t xml:space="preserve">actividades de tala y extracción ilegal de madera y otros recursos naturales, y que tales actividades </w:t>
      </w:r>
      <w:r w:rsidR="00815D77" w:rsidRPr="00354B1E">
        <w:rPr>
          <w:rFonts w:ascii="Verdana" w:hAnsi="Verdana" w:cs="Arial"/>
          <w:sz w:val="20"/>
          <w:szCs w:val="20"/>
          <w:lang w:val="es-ES"/>
        </w:rPr>
        <w:t>habían</w:t>
      </w:r>
      <w:r w:rsidR="00C22E48" w:rsidRPr="00354B1E">
        <w:rPr>
          <w:rFonts w:ascii="Verdana" w:hAnsi="Verdana" w:cs="Arial"/>
          <w:sz w:val="20"/>
          <w:szCs w:val="20"/>
          <w:lang w:val="es-ES"/>
        </w:rPr>
        <w:t xml:space="preserve"> sido puestas en conocimiento de las autoridades estatales</w:t>
      </w:r>
      <w:r w:rsidR="00C22E48" w:rsidRPr="00354B1E">
        <w:rPr>
          <w:rStyle w:val="Refdenotaalpie"/>
          <w:rFonts w:ascii="Verdana" w:hAnsi="Verdana" w:cs="Arial"/>
          <w:sz w:val="20"/>
          <w:szCs w:val="20"/>
          <w:lang w:val="es-ES"/>
        </w:rPr>
        <w:footnoteReference w:id="36"/>
      </w:r>
      <w:r w:rsidR="00C22E48" w:rsidRPr="00354B1E">
        <w:rPr>
          <w:rFonts w:ascii="Verdana" w:hAnsi="Verdana" w:cs="Arial"/>
          <w:sz w:val="20"/>
          <w:szCs w:val="20"/>
          <w:lang w:val="es-ES"/>
        </w:rPr>
        <w:t xml:space="preserve">. </w:t>
      </w:r>
      <w:r w:rsidR="00002A1A" w:rsidRPr="00354B1E">
        <w:rPr>
          <w:rFonts w:ascii="Verdana" w:hAnsi="Verdana" w:cs="Arial"/>
          <w:sz w:val="20"/>
          <w:szCs w:val="20"/>
          <w:shd w:val="clear" w:color="auto" w:fill="FFFFFF"/>
          <w:lang w:val="es-ES"/>
        </w:rPr>
        <w:t xml:space="preserve"> </w:t>
      </w:r>
    </w:p>
    <w:p w14:paraId="24ED5460" w14:textId="77777777" w:rsidR="00C22E48" w:rsidRPr="00354B1E" w:rsidRDefault="00C22E48" w:rsidP="00C22E48">
      <w:pPr>
        <w:pStyle w:val="Prrafodelista"/>
        <w:rPr>
          <w:rFonts w:ascii="Verdana" w:hAnsi="Verdana" w:cs="Arial"/>
          <w:sz w:val="20"/>
          <w:szCs w:val="20"/>
          <w:shd w:val="clear" w:color="auto" w:fill="FFFFFF"/>
          <w:lang w:val="es-ES"/>
        </w:rPr>
      </w:pPr>
    </w:p>
    <w:p w14:paraId="37AD3680" w14:textId="4E1B85C5" w:rsidR="00815D77" w:rsidRPr="00354B1E" w:rsidRDefault="008F6A3F" w:rsidP="008F6A3F">
      <w:pPr>
        <w:pStyle w:val="Prrafodelista"/>
        <w:snapToGrid w:val="0"/>
        <w:ind w:left="0"/>
        <w:jc w:val="both"/>
        <w:rPr>
          <w:rFonts w:ascii="Verdana" w:hAnsi="Verdana" w:cs="Arial"/>
          <w:i/>
          <w:iCs/>
          <w:sz w:val="20"/>
          <w:szCs w:val="20"/>
          <w:lang w:val="es-ES"/>
        </w:rPr>
      </w:pPr>
      <w:r>
        <w:rPr>
          <w:rFonts w:ascii="Verdana" w:hAnsi="Verdana" w:cs="Arial"/>
          <w:sz w:val="20"/>
          <w:szCs w:val="20"/>
          <w:shd w:val="clear" w:color="auto" w:fill="FFFFFF"/>
          <w:lang w:val="es-ES"/>
        </w:rPr>
        <w:t>3</w:t>
      </w:r>
      <w:r w:rsidR="00783415">
        <w:rPr>
          <w:rFonts w:ascii="Verdana" w:hAnsi="Verdana" w:cs="Arial"/>
          <w:sz w:val="20"/>
          <w:szCs w:val="20"/>
          <w:shd w:val="clear" w:color="auto" w:fill="FFFFFF"/>
          <w:lang w:val="es-ES"/>
        </w:rPr>
        <w:t>7</w:t>
      </w:r>
      <w:r>
        <w:rPr>
          <w:rFonts w:ascii="Verdana" w:hAnsi="Verdana" w:cs="Arial"/>
          <w:sz w:val="20"/>
          <w:szCs w:val="20"/>
          <w:shd w:val="clear" w:color="auto" w:fill="FFFFFF"/>
          <w:lang w:val="es-ES"/>
        </w:rPr>
        <w:t xml:space="preserve">. </w:t>
      </w:r>
      <w:r>
        <w:rPr>
          <w:rFonts w:ascii="Verdana" w:hAnsi="Verdana" w:cs="Arial"/>
          <w:sz w:val="20"/>
          <w:szCs w:val="20"/>
          <w:shd w:val="clear" w:color="auto" w:fill="FFFFFF"/>
          <w:lang w:val="es-ES"/>
        </w:rPr>
        <w:tab/>
      </w:r>
      <w:r w:rsidR="00002A1A" w:rsidRPr="00354B1E">
        <w:rPr>
          <w:rFonts w:ascii="Verdana" w:hAnsi="Verdana" w:cs="Arial"/>
          <w:sz w:val="20"/>
          <w:szCs w:val="20"/>
          <w:shd w:val="clear" w:color="auto" w:fill="FFFFFF"/>
          <w:lang w:val="es-ES"/>
        </w:rPr>
        <w:t>Aunque este caso constituye un gran precedente en el contexto de</w:t>
      </w:r>
      <w:r w:rsidR="001E5B42">
        <w:rPr>
          <w:rFonts w:ascii="Verdana" w:hAnsi="Verdana" w:cs="Arial"/>
          <w:sz w:val="20"/>
          <w:szCs w:val="20"/>
          <w:shd w:val="clear" w:color="auto" w:fill="FFFFFF"/>
          <w:lang w:val="es-ES"/>
        </w:rPr>
        <w:t xml:space="preserve"> la</w:t>
      </w:r>
      <w:r w:rsidR="00002A1A" w:rsidRPr="00354B1E">
        <w:rPr>
          <w:rFonts w:ascii="Verdana" w:hAnsi="Verdana" w:cs="Arial"/>
          <w:sz w:val="20"/>
          <w:szCs w:val="20"/>
          <w:shd w:val="clear" w:color="auto" w:fill="FFFFFF"/>
          <w:lang w:val="es-ES"/>
        </w:rPr>
        <w:t xml:space="preserve"> justiciabilidad de los DESCA</w:t>
      </w:r>
      <w:r w:rsidR="001E5B42">
        <w:rPr>
          <w:rFonts w:ascii="Verdana" w:hAnsi="Verdana" w:cs="Arial"/>
          <w:sz w:val="20"/>
          <w:szCs w:val="20"/>
          <w:shd w:val="clear" w:color="auto" w:fill="FFFFFF"/>
          <w:lang w:val="es-ES"/>
        </w:rPr>
        <w:t>,</w:t>
      </w:r>
      <w:r w:rsidR="00815D77" w:rsidRPr="00354B1E">
        <w:rPr>
          <w:rFonts w:ascii="Verdana" w:hAnsi="Verdana" w:cs="Arial"/>
          <w:sz w:val="20"/>
          <w:szCs w:val="20"/>
          <w:shd w:val="clear" w:color="auto" w:fill="FFFFFF"/>
          <w:lang w:val="es-ES"/>
        </w:rPr>
        <w:t xml:space="preserve"> </w:t>
      </w:r>
      <w:r w:rsidR="001E5B42">
        <w:rPr>
          <w:rFonts w:ascii="Verdana" w:hAnsi="Verdana" w:cs="Arial"/>
          <w:sz w:val="20"/>
          <w:szCs w:val="20"/>
          <w:shd w:val="clear" w:color="auto" w:fill="FFFFFF"/>
          <w:lang w:val="es-ES"/>
        </w:rPr>
        <w:t>específicamente para el derecho al</w:t>
      </w:r>
      <w:r w:rsidR="00815D77" w:rsidRPr="00354B1E">
        <w:rPr>
          <w:rFonts w:ascii="Verdana" w:hAnsi="Verdana" w:cs="Arial"/>
          <w:sz w:val="20"/>
          <w:szCs w:val="20"/>
          <w:shd w:val="clear" w:color="auto" w:fill="FFFFFF"/>
          <w:lang w:val="es-ES"/>
        </w:rPr>
        <w:t xml:space="preserve"> medio ambiente,</w:t>
      </w:r>
      <w:r w:rsidR="00002A1A" w:rsidRPr="00354B1E">
        <w:rPr>
          <w:rFonts w:ascii="Verdana" w:hAnsi="Verdana" w:cs="Arial"/>
          <w:sz w:val="20"/>
          <w:szCs w:val="20"/>
          <w:shd w:val="clear" w:color="auto" w:fill="FFFFFF"/>
          <w:lang w:val="es-ES"/>
        </w:rPr>
        <w:t xml:space="preserve"> en el </w:t>
      </w:r>
      <w:r w:rsidR="001E5B42">
        <w:rPr>
          <w:rFonts w:ascii="Verdana" w:hAnsi="Verdana" w:cs="Arial"/>
          <w:sz w:val="20"/>
          <w:szCs w:val="20"/>
          <w:shd w:val="clear" w:color="auto" w:fill="FFFFFF"/>
          <w:lang w:val="es-ES"/>
        </w:rPr>
        <w:t>contexto</w:t>
      </w:r>
      <w:r w:rsidR="001E5B42" w:rsidRPr="00354B1E">
        <w:rPr>
          <w:rFonts w:ascii="Verdana" w:hAnsi="Verdana" w:cs="Arial"/>
          <w:sz w:val="20"/>
          <w:szCs w:val="20"/>
          <w:shd w:val="clear" w:color="auto" w:fill="FFFFFF"/>
          <w:lang w:val="es-ES"/>
        </w:rPr>
        <w:t xml:space="preserve"> </w:t>
      </w:r>
      <w:r w:rsidR="00002A1A" w:rsidRPr="00354B1E">
        <w:rPr>
          <w:rFonts w:ascii="Verdana" w:hAnsi="Verdana" w:cs="Arial"/>
          <w:sz w:val="20"/>
          <w:szCs w:val="20"/>
          <w:shd w:val="clear" w:color="auto" w:fill="FFFFFF"/>
          <w:lang w:val="es-ES"/>
        </w:rPr>
        <w:t>de pueblos indígenas</w:t>
      </w:r>
      <w:r w:rsidR="00815D77" w:rsidRPr="00354B1E">
        <w:rPr>
          <w:rFonts w:ascii="Verdana" w:hAnsi="Verdana" w:cs="Arial"/>
          <w:sz w:val="20"/>
          <w:szCs w:val="20"/>
          <w:shd w:val="clear" w:color="auto" w:fill="FFFFFF"/>
          <w:lang w:val="es-ES"/>
        </w:rPr>
        <w:t>,</w:t>
      </w:r>
      <w:r w:rsidR="00002A1A" w:rsidRPr="00354B1E">
        <w:rPr>
          <w:rFonts w:ascii="Verdana" w:hAnsi="Verdana" w:cs="Arial"/>
          <w:sz w:val="20"/>
          <w:szCs w:val="20"/>
          <w:shd w:val="clear" w:color="auto" w:fill="FFFFFF"/>
          <w:lang w:val="es-ES"/>
        </w:rPr>
        <w:t xml:space="preserve"> se debe puntualizar que</w:t>
      </w:r>
      <w:r w:rsidR="00815D77" w:rsidRPr="00354B1E">
        <w:rPr>
          <w:rFonts w:ascii="Verdana" w:hAnsi="Verdana" w:cs="Arial"/>
          <w:sz w:val="20"/>
          <w:szCs w:val="20"/>
          <w:shd w:val="clear" w:color="auto" w:fill="FFFFFF"/>
          <w:lang w:val="es-ES"/>
        </w:rPr>
        <w:t xml:space="preserve"> la Corte IDH no desarrolló estándares relativos a este derecho ya que la cuestión analizada en el </w:t>
      </w:r>
      <w:r w:rsidR="001E5B42">
        <w:rPr>
          <w:rFonts w:ascii="Verdana" w:hAnsi="Verdana" w:cs="Arial"/>
          <w:sz w:val="20"/>
          <w:szCs w:val="20"/>
          <w:shd w:val="clear" w:color="auto" w:fill="FFFFFF"/>
          <w:lang w:val="es-ES"/>
        </w:rPr>
        <w:t>asunto</w:t>
      </w:r>
      <w:r w:rsidR="001E5B42" w:rsidRPr="00354B1E">
        <w:rPr>
          <w:rFonts w:ascii="Verdana" w:hAnsi="Verdana" w:cs="Arial"/>
          <w:sz w:val="20"/>
          <w:szCs w:val="20"/>
          <w:shd w:val="clear" w:color="auto" w:fill="FFFFFF"/>
          <w:lang w:val="es-ES"/>
        </w:rPr>
        <w:t xml:space="preserve"> </w:t>
      </w:r>
      <w:r w:rsidR="00815D77" w:rsidRPr="00354B1E">
        <w:rPr>
          <w:rFonts w:ascii="Verdana" w:hAnsi="Verdana" w:cs="Arial"/>
          <w:sz w:val="20"/>
          <w:szCs w:val="20"/>
          <w:shd w:val="clear" w:color="auto" w:fill="FFFFFF"/>
          <w:lang w:val="es-ES"/>
        </w:rPr>
        <w:t xml:space="preserve">únicamente se circunscribió a la falta de adopción de medidas para evitar la tala de </w:t>
      </w:r>
      <w:r w:rsidR="00354B1E" w:rsidRPr="00354B1E">
        <w:rPr>
          <w:rFonts w:ascii="Verdana" w:hAnsi="Verdana" w:cs="Arial"/>
          <w:sz w:val="20"/>
          <w:szCs w:val="20"/>
          <w:shd w:val="clear" w:color="auto" w:fill="FFFFFF"/>
          <w:lang w:val="es-ES"/>
        </w:rPr>
        <w:t>árboles</w:t>
      </w:r>
      <w:r w:rsidR="00815D77" w:rsidRPr="00354B1E">
        <w:rPr>
          <w:rFonts w:ascii="Verdana" w:hAnsi="Verdana" w:cs="Arial"/>
          <w:sz w:val="20"/>
          <w:szCs w:val="20"/>
          <w:shd w:val="clear" w:color="auto" w:fill="FFFFFF"/>
          <w:lang w:val="es-ES"/>
        </w:rPr>
        <w:t xml:space="preserve"> dentro del territorio ancestral. </w:t>
      </w:r>
    </w:p>
    <w:p w14:paraId="1FE214AD" w14:textId="77777777" w:rsidR="00F72A24" w:rsidRPr="00354B1E" w:rsidRDefault="00F72A24" w:rsidP="00702A2C">
      <w:pPr>
        <w:jc w:val="both"/>
        <w:rPr>
          <w:rFonts w:ascii="Verdana" w:hAnsi="Verdana"/>
          <w:sz w:val="20"/>
          <w:szCs w:val="20"/>
          <w:lang w:val="es-ES"/>
        </w:rPr>
      </w:pPr>
    </w:p>
    <w:p w14:paraId="3F4001D8" w14:textId="09DE5020" w:rsidR="00F72A24" w:rsidRPr="00354B1E" w:rsidRDefault="00F72A24" w:rsidP="00960947">
      <w:pPr>
        <w:pStyle w:val="Prrafodelista"/>
        <w:spacing w:line="276" w:lineRule="auto"/>
        <w:ind w:left="0"/>
        <w:jc w:val="center"/>
        <w:rPr>
          <w:rFonts w:ascii="Verdana" w:hAnsi="Verdana"/>
          <w:b/>
          <w:sz w:val="20"/>
          <w:szCs w:val="20"/>
          <w:lang w:val="es-ES"/>
        </w:rPr>
      </w:pPr>
      <w:r w:rsidRPr="00354B1E">
        <w:rPr>
          <w:rFonts w:ascii="Verdana" w:hAnsi="Verdana"/>
          <w:b/>
          <w:sz w:val="20"/>
          <w:szCs w:val="20"/>
          <w:lang w:val="es-ES"/>
        </w:rPr>
        <w:t>I</w:t>
      </w:r>
      <w:r w:rsidR="00702A2C" w:rsidRPr="00354B1E">
        <w:rPr>
          <w:rFonts w:ascii="Verdana" w:hAnsi="Verdana"/>
          <w:b/>
          <w:sz w:val="20"/>
          <w:szCs w:val="20"/>
          <w:lang w:val="es-ES"/>
        </w:rPr>
        <w:t>I</w:t>
      </w:r>
      <w:r w:rsidRPr="00354B1E">
        <w:rPr>
          <w:rFonts w:ascii="Verdana" w:hAnsi="Verdana"/>
          <w:b/>
          <w:sz w:val="20"/>
          <w:szCs w:val="20"/>
          <w:lang w:val="es-ES"/>
        </w:rPr>
        <w:t xml:space="preserve">I. VULNERACIÓN </w:t>
      </w:r>
      <w:r w:rsidR="002F773D" w:rsidRPr="00354B1E">
        <w:rPr>
          <w:rFonts w:ascii="Verdana" w:hAnsi="Verdana"/>
          <w:b/>
          <w:sz w:val="20"/>
          <w:szCs w:val="20"/>
          <w:lang w:val="es-ES"/>
        </w:rPr>
        <w:t xml:space="preserve">DEL DERECHO AL MEDIO AMBIENTE EN EL CASO </w:t>
      </w:r>
      <w:r w:rsidR="00F76B5C">
        <w:rPr>
          <w:rFonts w:ascii="Verdana" w:hAnsi="Verdana"/>
          <w:b/>
          <w:sz w:val="20"/>
          <w:szCs w:val="20"/>
          <w:lang w:val="es-ES"/>
        </w:rPr>
        <w:t>HABITANTES</w:t>
      </w:r>
      <w:r w:rsidR="00F25F2A">
        <w:rPr>
          <w:rFonts w:ascii="Verdana" w:hAnsi="Verdana"/>
          <w:b/>
          <w:sz w:val="20"/>
          <w:szCs w:val="20"/>
          <w:lang w:val="es-ES"/>
        </w:rPr>
        <w:t xml:space="preserve"> DE LA </w:t>
      </w:r>
      <w:r w:rsidR="002F773D" w:rsidRPr="00354B1E">
        <w:rPr>
          <w:rFonts w:ascii="Verdana" w:hAnsi="Verdana"/>
          <w:b/>
          <w:sz w:val="20"/>
          <w:szCs w:val="20"/>
          <w:lang w:val="es-ES"/>
        </w:rPr>
        <w:t>OROYA</w:t>
      </w:r>
    </w:p>
    <w:p w14:paraId="1593A2DF" w14:textId="77777777" w:rsidR="00F72A24" w:rsidRPr="00354B1E" w:rsidRDefault="00F72A24" w:rsidP="006B7EA6">
      <w:pPr>
        <w:jc w:val="both"/>
        <w:rPr>
          <w:rFonts w:ascii="Verdana" w:hAnsi="Verdana"/>
          <w:sz w:val="20"/>
          <w:szCs w:val="20"/>
          <w:lang w:val="es-ES"/>
        </w:rPr>
      </w:pPr>
    </w:p>
    <w:p w14:paraId="6729E101" w14:textId="2D152468" w:rsidR="0034594D" w:rsidRPr="00354B1E" w:rsidRDefault="008F6A3F" w:rsidP="009D1D1D">
      <w:pPr>
        <w:pStyle w:val="Prrafodelista"/>
        <w:pBdr>
          <w:top w:val="nil"/>
          <w:left w:val="nil"/>
          <w:bottom w:val="nil"/>
          <w:right w:val="nil"/>
          <w:between w:val="nil"/>
        </w:pBdr>
        <w:ind w:left="0"/>
        <w:jc w:val="both"/>
        <w:rPr>
          <w:rFonts w:ascii="Verdana" w:eastAsia="Verdana" w:hAnsi="Verdana" w:cs="Verdana"/>
          <w:sz w:val="20"/>
          <w:szCs w:val="20"/>
          <w:lang w:val="es-ES"/>
        </w:rPr>
      </w:pPr>
      <w:r>
        <w:rPr>
          <w:rFonts w:ascii="Verdana" w:eastAsia="Verdana" w:hAnsi="Verdana" w:cs="Verdana"/>
          <w:sz w:val="20"/>
          <w:szCs w:val="20"/>
          <w:lang w:val="es-ES"/>
        </w:rPr>
        <w:t>3</w:t>
      </w:r>
      <w:r w:rsidR="00783415">
        <w:rPr>
          <w:rFonts w:ascii="Verdana" w:eastAsia="Verdana" w:hAnsi="Verdana" w:cs="Verdana"/>
          <w:sz w:val="20"/>
          <w:szCs w:val="20"/>
          <w:lang w:val="es-ES"/>
        </w:rPr>
        <w:t>8</w:t>
      </w:r>
      <w:r>
        <w:rPr>
          <w:rFonts w:ascii="Verdana" w:eastAsia="Verdana" w:hAnsi="Verdana" w:cs="Verdana"/>
          <w:sz w:val="20"/>
          <w:szCs w:val="20"/>
          <w:lang w:val="es-ES"/>
        </w:rPr>
        <w:t xml:space="preserve">. </w:t>
      </w:r>
      <w:r>
        <w:rPr>
          <w:rFonts w:ascii="Verdana" w:eastAsia="Verdana" w:hAnsi="Verdana" w:cs="Verdana"/>
          <w:sz w:val="20"/>
          <w:szCs w:val="20"/>
          <w:lang w:val="es-ES"/>
        </w:rPr>
        <w:tab/>
      </w:r>
      <w:r w:rsidR="00F25F2A">
        <w:rPr>
          <w:rFonts w:ascii="Verdana" w:eastAsia="Verdana" w:hAnsi="Verdana" w:cs="Verdana"/>
          <w:sz w:val="20"/>
          <w:szCs w:val="20"/>
          <w:lang w:val="es-ES"/>
        </w:rPr>
        <w:t>C</w:t>
      </w:r>
      <w:r w:rsidR="00815D77" w:rsidRPr="00354B1E">
        <w:rPr>
          <w:rFonts w:ascii="Verdana" w:eastAsia="Verdana" w:hAnsi="Verdana" w:cs="Verdana"/>
          <w:sz w:val="20"/>
          <w:szCs w:val="20"/>
          <w:lang w:val="es-ES"/>
        </w:rPr>
        <w:t xml:space="preserve">omo se describió en el apartado I, </w:t>
      </w:r>
      <w:r w:rsidR="00F25F2A">
        <w:rPr>
          <w:rFonts w:ascii="Verdana" w:eastAsia="Verdana" w:hAnsi="Verdana" w:cs="Verdana"/>
          <w:sz w:val="20"/>
          <w:szCs w:val="20"/>
          <w:lang w:val="es-ES"/>
        </w:rPr>
        <w:t xml:space="preserve">el presente caso </w:t>
      </w:r>
      <w:r w:rsidR="00815D77" w:rsidRPr="00354B1E">
        <w:rPr>
          <w:rFonts w:ascii="Verdana" w:eastAsia="Verdana" w:hAnsi="Verdana" w:cs="Verdana"/>
          <w:sz w:val="20"/>
          <w:szCs w:val="20"/>
          <w:lang w:val="es-ES"/>
        </w:rPr>
        <w:t xml:space="preserve">se inserta en un contexto en el que el derecho internacional de los derechos humanos ha puesto en el centro de su atención las afectaciones al medio ambiente y el cambio climático como uno de los focos centrales </w:t>
      </w:r>
      <w:r w:rsidR="0055408D" w:rsidRPr="00354B1E">
        <w:rPr>
          <w:rFonts w:ascii="Verdana" w:eastAsia="Verdana" w:hAnsi="Verdana" w:cs="Verdana"/>
          <w:sz w:val="20"/>
          <w:szCs w:val="20"/>
          <w:lang w:val="es-ES"/>
        </w:rPr>
        <w:t xml:space="preserve">en el análisis de los derechos humanos de las personas en todo el mundo. </w:t>
      </w:r>
    </w:p>
    <w:p w14:paraId="5A58AEC9" w14:textId="77777777" w:rsidR="0055408D" w:rsidRPr="00354B1E" w:rsidRDefault="0055408D" w:rsidP="0055408D">
      <w:pPr>
        <w:pStyle w:val="Prrafodelista"/>
        <w:pBdr>
          <w:top w:val="nil"/>
          <w:left w:val="nil"/>
          <w:bottom w:val="nil"/>
          <w:right w:val="nil"/>
          <w:between w:val="nil"/>
        </w:pBdr>
        <w:ind w:left="0"/>
        <w:jc w:val="both"/>
        <w:rPr>
          <w:rFonts w:ascii="Verdana" w:eastAsia="Verdana" w:hAnsi="Verdana" w:cs="Verdana"/>
          <w:sz w:val="20"/>
          <w:szCs w:val="20"/>
          <w:lang w:val="es-ES"/>
        </w:rPr>
      </w:pPr>
    </w:p>
    <w:p w14:paraId="597C9A95" w14:textId="087C8F52" w:rsidR="0055408D" w:rsidRPr="00354B1E" w:rsidRDefault="009D1D1D" w:rsidP="009D1D1D">
      <w:pPr>
        <w:pStyle w:val="Prrafodelista"/>
        <w:pBdr>
          <w:top w:val="nil"/>
          <w:left w:val="nil"/>
          <w:bottom w:val="nil"/>
          <w:right w:val="nil"/>
          <w:between w:val="nil"/>
        </w:pBdr>
        <w:ind w:left="0"/>
        <w:jc w:val="both"/>
        <w:rPr>
          <w:rFonts w:ascii="Verdana" w:eastAsia="Verdana" w:hAnsi="Verdana" w:cs="Verdana"/>
          <w:sz w:val="20"/>
          <w:szCs w:val="20"/>
          <w:lang w:val="es-ES"/>
        </w:rPr>
      </w:pPr>
      <w:r>
        <w:rPr>
          <w:rFonts w:ascii="Verdana" w:eastAsia="Verdana" w:hAnsi="Verdana" w:cs="Verdana"/>
          <w:sz w:val="20"/>
          <w:szCs w:val="20"/>
          <w:lang w:val="es-ES"/>
        </w:rPr>
        <w:t>3</w:t>
      </w:r>
      <w:r w:rsidR="00783415">
        <w:rPr>
          <w:rFonts w:ascii="Verdana" w:eastAsia="Verdana" w:hAnsi="Verdana" w:cs="Verdana"/>
          <w:sz w:val="20"/>
          <w:szCs w:val="20"/>
          <w:lang w:val="es-ES"/>
        </w:rPr>
        <w:t>9</w:t>
      </w:r>
      <w:r>
        <w:rPr>
          <w:rFonts w:ascii="Verdana" w:eastAsia="Verdana" w:hAnsi="Verdana" w:cs="Verdana"/>
          <w:sz w:val="20"/>
          <w:szCs w:val="20"/>
          <w:lang w:val="es-ES"/>
        </w:rPr>
        <w:t xml:space="preserve">. </w:t>
      </w:r>
      <w:r>
        <w:rPr>
          <w:rFonts w:ascii="Verdana" w:eastAsia="Verdana" w:hAnsi="Verdana" w:cs="Verdana"/>
          <w:sz w:val="20"/>
          <w:szCs w:val="20"/>
          <w:lang w:val="es-ES"/>
        </w:rPr>
        <w:tab/>
      </w:r>
      <w:r w:rsidR="0055408D" w:rsidRPr="00354B1E">
        <w:rPr>
          <w:rFonts w:ascii="Verdana" w:eastAsia="Verdana" w:hAnsi="Verdana" w:cs="Verdana"/>
          <w:sz w:val="20"/>
          <w:szCs w:val="20"/>
          <w:lang w:val="es-ES"/>
        </w:rPr>
        <w:t xml:space="preserve">En particular, el caso que analizó la Corte </w:t>
      </w:r>
      <w:r w:rsidR="00DC2E88" w:rsidRPr="00354B1E">
        <w:rPr>
          <w:rFonts w:ascii="Verdana" w:eastAsia="Verdana" w:hAnsi="Verdana" w:cs="Verdana"/>
          <w:sz w:val="20"/>
          <w:szCs w:val="20"/>
          <w:lang w:val="es-ES"/>
        </w:rPr>
        <w:t>IDH</w:t>
      </w:r>
      <w:r w:rsidR="003E1B30" w:rsidRPr="00354B1E">
        <w:rPr>
          <w:rFonts w:ascii="Verdana" w:eastAsia="Verdana" w:hAnsi="Verdana" w:cs="Verdana"/>
          <w:sz w:val="20"/>
          <w:szCs w:val="20"/>
          <w:lang w:val="es-ES"/>
        </w:rPr>
        <w:t xml:space="preserve"> presenta ciertos avances inclusive frente a la Opinión Consultiva No. 23</w:t>
      </w:r>
      <w:r w:rsidR="00FE0661">
        <w:rPr>
          <w:rFonts w:ascii="Verdana" w:eastAsia="Verdana" w:hAnsi="Verdana" w:cs="Verdana"/>
          <w:sz w:val="20"/>
          <w:szCs w:val="20"/>
          <w:lang w:val="es-ES"/>
        </w:rPr>
        <w:t>,</w:t>
      </w:r>
      <w:r w:rsidR="003E1B30" w:rsidRPr="00354B1E">
        <w:rPr>
          <w:rFonts w:ascii="Verdana" w:eastAsia="Verdana" w:hAnsi="Verdana" w:cs="Verdana"/>
          <w:sz w:val="20"/>
          <w:szCs w:val="20"/>
          <w:lang w:val="es-ES"/>
        </w:rPr>
        <w:t xml:space="preserve"> que en su momento constituyó (y lo sigue siendo) un instrumento de vanguardia en la materia cuando fue emitida por este Tribunal internacional. </w:t>
      </w:r>
    </w:p>
    <w:p w14:paraId="33A45C61" w14:textId="77777777" w:rsidR="006951B7" w:rsidRPr="00354B1E" w:rsidRDefault="006951B7" w:rsidP="006951B7">
      <w:pPr>
        <w:pStyle w:val="Prrafodelista"/>
        <w:rPr>
          <w:rFonts w:ascii="Verdana" w:eastAsia="Verdana" w:hAnsi="Verdana" w:cs="Verdana"/>
          <w:sz w:val="20"/>
          <w:szCs w:val="20"/>
          <w:lang w:val="es-ES"/>
        </w:rPr>
      </w:pPr>
    </w:p>
    <w:p w14:paraId="573BA4C7" w14:textId="4A8FECBD" w:rsidR="007F40B1" w:rsidRPr="00354B1E" w:rsidRDefault="00783415" w:rsidP="009D1D1D">
      <w:pPr>
        <w:pStyle w:val="Prrafodelista"/>
        <w:pBdr>
          <w:top w:val="nil"/>
          <w:left w:val="nil"/>
          <w:bottom w:val="nil"/>
          <w:right w:val="nil"/>
          <w:between w:val="nil"/>
        </w:pBdr>
        <w:ind w:left="0"/>
        <w:jc w:val="both"/>
        <w:rPr>
          <w:rFonts w:ascii="Verdana" w:eastAsia="Verdana" w:hAnsi="Verdana" w:cs="Verdana"/>
          <w:sz w:val="20"/>
          <w:szCs w:val="20"/>
          <w:lang w:val="es-ES"/>
        </w:rPr>
      </w:pPr>
      <w:r>
        <w:rPr>
          <w:rFonts w:ascii="Verdana" w:eastAsia="Verdana" w:hAnsi="Verdana" w:cs="Verdana"/>
          <w:sz w:val="20"/>
          <w:szCs w:val="20"/>
          <w:lang w:val="es-ES"/>
        </w:rPr>
        <w:t>40</w:t>
      </w:r>
      <w:r w:rsidR="009D1D1D">
        <w:rPr>
          <w:rFonts w:ascii="Verdana" w:eastAsia="Verdana" w:hAnsi="Verdana" w:cs="Verdana"/>
          <w:sz w:val="20"/>
          <w:szCs w:val="20"/>
          <w:lang w:val="es-ES"/>
        </w:rPr>
        <w:t xml:space="preserve">. </w:t>
      </w:r>
      <w:r w:rsidR="009D1D1D">
        <w:rPr>
          <w:rFonts w:ascii="Verdana" w:eastAsia="Verdana" w:hAnsi="Verdana" w:cs="Verdana"/>
          <w:sz w:val="20"/>
          <w:szCs w:val="20"/>
          <w:lang w:val="es-ES"/>
        </w:rPr>
        <w:tab/>
      </w:r>
      <w:r w:rsidR="00C46348" w:rsidRPr="00354B1E">
        <w:rPr>
          <w:rFonts w:ascii="Verdana" w:eastAsia="Verdana" w:hAnsi="Verdana" w:cs="Verdana"/>
          <w:sz w:val="20"/>
          <w:szCs w:val="20"/>
          <w:lang w:val="es-ES"/>
        </w:rPr>
        <w:t xml:space="preserve">En primer lugar, constituye el primer precedente en el que el Tribunal Interamericano hace un pronunciamiento sobre cómo “la contaminación” </w:t>
      </w:r>
      <w:r w:rsidR="00FE0661">
        <w:rPr>
          <w:rFonts w:ascii="Verdana" w:eastAsia="Verdana" w:hAnsi="Verdana" w:cs="Verdana"/>
          <w:sz w:val="20"/>
          <w:szCs w:val="20"/>
          <w:lang w:val="es-ES"/>
        </w:rPr>
        <w:t>—</w:t>
      </w:r>
      <w:r w:rsidR="00C46348" w:rsidRPr="00354B1E">
        <w:rPr>
          <w:rFonts w:ascii="Verdana" w:eastAsia="Verdana" w:hAnsi="Verdana" w:cs="Verdana"/>
          <w:sz w:val="20"/>
          <w:szCs w:val="20"/>
          <w:lang w:val="es-ES"/>
        </w:rPr>
        <w:t>en este caso del aire</w:t>
      </w:r>
      <w:r w:rsidR="00A606FD">
        <w:rPr>
          <w:rFonts w:ascii="Verdana" w:eastAsia="Verdana" w:hAnsi="Verdana" w:cs="Verdana"/>
          <w:sz w:val="20"/>
          <w:szCs w:val="20"/>
          <w:lang w:val="es-ES"/>
        </w:rPr>
        <w:t>,</w:t>
      </w:r>
      <w:r w:rsidR="00C46348" w:rsidRPr="00354B1E">
        <w:rPr>
          <w:rFonts w:ascii="Verdana" w:eastAsia="Verdana" w:hAnsi="Verdana" w:cs="Verdana"/>
          <w:sz w:val="20"/>
          <w:szCs w:val="20"/>
          <w:lang w:val="es-ES"/>
        </w:rPr>
        <w:t xml:space="preserve"> agua</w:t>
      </w:r>
      <w:r w:rsidR="00A606FD">
        <w:rPr>
          <w:rFonts w:ascii="Verdana" w:eastAsia="Verdana" w:hAnsi="Verdana" w:cs="Verdana"/>
          <w:sz w:val="20"/>
          <w:szCs w:val="20"/>
          <w:lang w:val="es-ES"/>
        </w:rPr>
        <w:t xml:space="preserve"> y suelo</w:t>
      </w:r>
      <w:r w:rsidR="00FE0661">
        <w:rPr>
          <w:rFonts w:ascii="Verdana" w:eastAsia="Verdana" w:hAnsi="Verdana" w:cs="Verdana"/>
          <w:sz w:val="20"/>
          <w:szCs w:val="20"/>
          <w:lang w:val="es-ES"/>
        </w:rPr>
        <w:t>—</w:t>
      </w:r>
      <w:r w:rsidR="00C46348" w:rsidRPr="00354B1E">
        <w:rPr>
          <w:rFonts w:ascii="Verdana" w:eastAsia="Verdana" w:hAnsi="Verdana" w:cs="Verdana"/>
          <w:sz w:val="20"/>
          <w:szCs w:val="20"/>
          <w:lang w:val="es-ES"/>
        </w:rPr>
        <w:t xml:space="preserve"> </w:t>
      </w:r>
      <w:r w:rsidR="00DC2E88" w:rsidRPr="00354B1E">
        <w:rPr>
          <w:rFonts w:ascii="Verdana" w:eastAsia="Verdana" w:hAnsi="Verdana" w:cs="Verdana"/>
          <w:sz w:val="20"/>
          <w:szCs w:val="20"/>
          <w:lang w:val="es-ES"/>
        </w:rPr>
        <w:t xml:space="preserve">tiene afectaciones directas en derechos convencionalizados (como el medio ambiente). </w:t>
      </w:r>
      <w:r w:rsidR="00031317" w:rsidRPr="00354B1E">
        <w:rPr>
          <w:rFonts w:ascii="Verdana" w:eastAsia="Verdana" w:hAnsi="Verdana" w:cs="Verdana"/>
          <w:sz w:val="20"/>
          <w:szCs w:val="20"/>
          <w:lang w:val="es-ES"/>
        </w:rPr>
        <w:t xml:space="preserve">Además, a </w:t>
      </w:r>
      <w:r w:rsidR="00FE0661">
        <w:rPr>
          <w:rFonts w:ascii="Verdana" w:eastAsia="Verdana" w:hAnsi="Verdana" w:cs="Verdana"/>
          <w:sz w:val="20"/>
          <w:szCs w:val="20"/>
          <w:lang w:val="es-ES"/>
        </w:rPr>
        <w:t xml:space="preserve">nuestro </w:t>
      </w:r>
      <w:r w:rsidR="00031317" w:rsidRPr="00354B1E">
        <w:rPr>
          <w:rFonts w:ascii="Verdana" w:eastAsia="Verdana" w:hAnsi="Verdana" w:cs="Verdana"/>
          <w:sz w:val="20"/>
          <w:szCs w:val="20"/>
          <w:lang w:val="es-ES"/>
        </w:rPr>
        <w:t>criterio, constituye de particular relevancia que este Tribunal catalogue que todas y todos tiene</w:t>
      </w:r>
      <w:r w:rsidR="00FE0661">
        <w:rPr>
          <w:rFonts w:ascii="Verdana" w:eastAsia="Verdana" w:hAnsi="Verdana" w:cs="Verdana"/>
          <w:sz w:val="20"/>
          <w:szCs w:val="20"/>
          <w:lang w:val="es-ES"/>
        </w:rPr>
        <w:t>n</w:t>
      </w:r>
      <w:r w:rsidR="00031317" w:rsidRPr="00354B1E">
        <w:rPr>
          <w:rFonts w:ascii="Verdana" w:eastAsia="Verdana" w:hAnsi="Verdana" w:cs="Verdana"/>
          <w:sz w:val="20"/>
          <w:szCs w:val="20"/>
          <w:lang w:val="es-ES"/>
        </w:rPr>
        <w:t xml:space="preserve"> un “derecho </w:t>
      </w:r>
      <w:r w:rsidR="008C4AFF" w:rsidRPr="00354B1E">
        <w:rPr>
          <w:rFonts w:ascii="Verdana" w:eastAsia="Batang" w:hAnsi="Verdana" w:cs="Times"/>
          <w:sz w:val="20"/>
          <w:szCs w:val="20"/>
          <w:lang w:val="es-ES" w:eastAsia="es-CR"/>
        </w:rPr>
        <w:t>a respirar un aire cuyos niveles de contaminación no constituyan un riesgo significativo al goce de sus derechos humanos”</w:t>
      </w:r>
      <w:r w:rsidR="008C4AFF" w:rsidRPr="00354B1E">
        <w:rPr>
          <w:rStyle w:val="Refdenotaalpie"/>
          <w:rFonts w:ascii="Verdana" w:eastAsia="Verdana" w:hAnsi="Verdana" w:cs="Verdana"/>
          <w:sz w:val="20"/>
          <w:szCs w:val="20"/>
          <w:lang w:val="es-ES"/>
        </w:rPr>
        <w:footnoteReference w:id="37"/>
      </w:r>
      <w:r w:rsidR="008C4AFF" w:rsidRPr="00354B1E">
        <w:rPr>
          <w:rFonts w:ascii="Verdana" w:eastAsia="Batang" w:hAnsi="Verdana" w:cs="Times"/>
          <w:sz w:val="20"/>
          <w:szCs w:val="20"/>
          <w:lang w:val="es-ES" w:eastAsia="es-CR"/>
        </w:rPr>
        <w:t>.</w:t>
      </w:r>
      <w:r w:rsidR="00870D42" w:rsidRPr="00354B1E">
        <w:rPr>
          <w:rFonts w:ascii="Verdana" w:eastAsia="Verdana" w:hAnsi="Verdana" w:cs="Verdana"/>
          <w:sz w:val="20"/>
          <w:szCs w:val="20"/>
          <w:lang w:val="es-ES"/>
        </w:rPr>
        <w:t xml:space="preserve"> Este pronunciamiento </w:t>
      </w:r>
      <w:r w:rsidR="005E3905" w:rsidRPr="00354B1E">
        <w:rPr>
          <w:rFonts w:ascii="Verdana" w:eastAsia="Verdana" w:hAnsi="Verdana" w:cs="Verdana"/>
          <w:sz w:val="20"/>
          <w:szCs w:val="20"/>
          <w:lang w:val="es-ES"/>
        </w:rPr>
        <w:t xml:space="preserve">está en sintonía con lo que ha indicado el Comité Europeo de Derechos Sociales </w:t>
      </w:r>
      <w:r w:rsidR="00E31B1E" w:rsidRPr="00354B1E">
        <w:rPr>
          <w:rFonts w:ascii="Verdana" w:eastAsia="Verdana" w:hAnsi="Verdana" w:cs="Verdana"/>
          <w:sz w:val="20"/>
          <w:szCs w:val="20"/>
          <w:lang w:val="es-ES"/>
        </w:rPr>
        <w:t>en relación con</w:t>
      </w:r>
      <w:r w:rsidR="005E3905" w:rsidRPr="00354B1E">
        <w:rPr>
          <w:rFonts w:ascii="Verdana" w:eastAsia="Verdana" w:hAnsi="Verdana" w:cs="Verdana"/>
          <w:sz w:val="20"/>
          <w:szCs w:val="20"/>
          <w:lang w:val="es-ES"/>
        </w:rPr>
        <w:t xml:space="preserve"> las obligaciones de los Estados para la protección del aire</w:t>
      </w:r>
      <w:r w:rsidR="005E3905" w:rsidRPr="00354B1E">
        <w:rPr>
          <w:rStyle w:val="Refdenotaalpie"/>
          <w:rFonts w:ascii="Verdana" w:eastAsia="Verdana" w:hAnsi="Verdana" w:cs="Verdana"/>
          <w:sz w:val="20"/>
          <w:szCs w:val="20"/>
          <w:lang w:val="es-ES"/>
        </w:rPr>
        <w:footnoteReference w:id="38"/>
      </w:r>
      <w:r w:rsidR="005E3905" w:rsidRPr="00354B1E">
        <w:rPr>
          <w:rFonts w:ascii="Verdana" w:eastAsia="Verdana" w:hAnsi="Verdana" w:cs="Verdana"/>
          <w:sz w:val="20"/>
          <w:szCs w:val="20"/>
          <w:lang w:val="es-ES"/>
        </w:rPr>
        <w:t xml:space="preserve">. </w:t>
      </w:r>
    </w:p>
    <w:p w14:paraId="0DA215C0" w14:textId="77777777" w:rsidR="00B034EA" w:rsidRPr="00354B1E" w:rsidRDefault="00B034EA" w:rsidP="00B034EA">
      <w:pPr>
        <w:pStyle w:val="Prrafodelista"/>
        <w:rPr>
          <w:rFonts w:ascii="Verdana" w:eastAsia="Verdana" w:hAnsi="Verdana" w:cs="Verdana"/>
          <w:sz w:val="20"/>
          <w:szCs w:val="20"/>
          <w:lang w:val="es-ES"/>
        </w:rPr>
      </w:pPr>
    </w:p>
    <w:p w14:paraId="3988ABC4" w14:textId="1FA3037C" w:rsidR="00A369A0" w:rsidRPr="00354B1E" w:rsidRDefault="009D1D1D" w:rsidP="009D1D1D">
      <w:pPr>
        <w:pStyle w:val="Prrafodelista"/>
        <w:pBdr>
          <w:top w:val="nil"/>
          <w:left w:val="nil"/>
          <w:bottom w:val="nil"/>
          <w:right w:val="nil"/>
          <w:between w:val="nil"/>
        </w:pBdr>
        <w:ind w:left="0"/>
        <w:jc w:val="both"/>
        <w:rPr>
          <w:rFonts w:ascii="Verdana" w:eastAsia="Verdana" w:hAnsi="Verdana" w:cs="Verdana"/>
          <w:sz w:val="20"/>
          <w:szCs w:val="20"/>
          <w:lang w:val="es-ES"/>
        </w:rPr>
      </w:pPr>
      <w:r>
        <w:rPr>
          <w:rFonts w:ascii="Verdana" w:eastAsia="Verdana" w:hAnsi="Verdana" w:cs="Verdana"/>
          <w:sz w:val="20"/>
          <w:szCs w:val="20"/>
          <w:lang w:val="es-ES"/>
        </w:rPr>
        <w:t>4</w:t>
      </w:r>
      <w:r w:rsidR="00783415">
        <w:rPr>
          <w:rFonts w:ascii="Verdana" w:eastAsia="Verdana" w:hAnsi="Verdana" w:cs="Verdana"/>
          <w:sz w:val="20"/>
          <w:szCs w:val="20"/>
          <w:lang w:val="es-ES"/>
        </w:rPr>
        <w:t>1</w:t>
      </w:r>
      <w:r>
        <w:rPr>
          <w:rFonts w:ascii="Verdana" w:eastAsia="Verdana" w:hAnsi="Verdana" w:cs="Verdana"/>
          <w:sz w:val="20"/>
          <w:szCs w:val="20"/>
          <w:lang w:val="es-ES"/>
        </w:rPr>
        <w:t xml:space="preserve">. </w:t>
      </w:r>
      <w:r>
        <w:rPr>
          <w:rFonts w:ascii="Verdana" w:eastAsia="Verdana" w:hAnsi="Verdana" w:cs="Verdana"/>
          <w:sz w:val="20"/>
          <w:szCs w:val="20"/>
          <w:lang w:val="es-ES"/>
        </w:rPr>
        <w:tab/>
      </w:r>
      <w:r w:rsidR="00B034EA" w:rsidRPr="00354B1E">
        <w:rPr>
          <w:rFonts w:ascii="Verdana" w:eastAsia="Verdana" w:hAnsi="Verdana" w:cs="Verdana"/>
          <w:sz w:val="20"/>
          <w:szCs w:val="20"/>
          <w:lang w:val="es-ES"/>
        </w:rPr>
        <w:t xml:space="preserve">En segundo lugar, </w:t>
      </w:r>
      <w:r w:rsidR="00286A97" w:rsidRPr="00354B1E">
        <w:rPr>
          <w:rFonts w:ascii="Verdana" w:eastAsia="Verdana" w:hAnsi="Verdana" w:cs="Verdana"/>
          <w:sz w:val="20"/>
          <w:szCs w:val="20"/>
          <w:lang w:val="es-ES"/>
        </w:rPr>
        <w:t>el Tribunal Interamericano hace una especial puntualización respecto de cómo se debe considerar “el agua” como elemento</w:t>
      </w:r>
      <w:r w:rsidR="007A4E8A" w:rsidRPr="00354B1E">
        <w:rPr>
          <w:rFonts w:ascii="Verdana" w:eastAsia="Verdana" w:hAnsi="Verdana" w:cs="Verdana"/>
          <w:sz w:val="20"/>
          <w:szCs w:val="20"/>
          <w:lang w:val="es-ES"/>
        </w:rPr>
        <w:t xml:space="preserve"> </w:t>
      </w:r>
      <w:r w:rsidR="00A369A0" w:rsidRPr="00354B1E">
        <w:rPr>
          <w:rFonts w:ascii="Verdana" w:eastAsia="Verdana" w:hAnsi="Verdana" w:cs="Verdana"/>
          <w:sz w:val="20"/>
          <w:szCs w:val="20"/>
          <w:lang w:val="es-ES"/>
        </w:rPr>
        <w:t>dentro del derecho al medio ambiente</w:t>
      </w:r>
      <w:r w:rsidR="00F25F2A">
        <w:rPr>
          <w:rFonts w:ascii="Verdana" w:eastAsia="Verdana" w:hAnsi="Verdana" w:cs="Verdana"/>
          <w:sz w:val="20"/>
          <w:szCs w:val="20"/>
          <w:lang w:val="es-ES"/>
        </w:rPr>
        <w:t>. Así,</w:t>
      </w:r>
      <w:r w:rsidR="00A369A0" w:rsidRPr="00354B1E">
        <w:rPr>
          <w:rFonts w:ascii="Verdana" w:eastAsia="Verdana" w:hAnsi="Verdana" w:cs="Verdana"/>
          <w:sz w:val="20"/>
          <w:szCs w:val="20"/>
          <w:lang w:val="es-ES"/>
        </w:rPr>
        <w:t xml:space="preserve"> el Tribunal Interamericano identifica, por un lado, “una faceta sustantiva</w:t>
      </w:r>
      <w:r w:rsidR="00660D85">
        <w:rPr>
          <w:rFonts w:ascii="Verdana" w:eastAsia="Verdana" w:hAnsi="Verdana" w:cs="Verdana"/>
          <w:sz w:val="20"/>
          <w:szCs w:val="20"/>
          <w:lang w:val="es-ES"/>
        </w:rPr>
        <w:t>”</w:t>
      </w:r>
      <w:r w:rsidR="00F157E7" w:rsidRPr="00354B1E">
        <w:rPr>
          <w:rFonts w:ascii="Verdana" w:eastAsia="Verdana" w:hAnsi="Verdana" w:cs="Verdana"/>
          <w:sz w:val="20"/>
          <w:szCs w:val="20"/>
          <w:lang w:val="es-ES"/>
        </w:rPr>
        <w:t xml:space="preserve"> del agua como un elemento </w:t>
      </w:r>
      <w:r w:rsidR="00C64488" w:rsidRPr="00354B1E">
        <w:rPr>
          <w:rFonts w:ascii="Verdana" w:eastAsia="Verdana" w:hAnsi="Verdana" w:cs="Verdana"/>
          <w:sz w:val="20"/>
          <w:szCs w:val="20"/>
          <w:lang w:val="es-ES"/>
        </w:rPr>
        <w:t xml:space="preserve">que tiene un valor en sí mismo </w:t>
      </w:r>
      <w:r w:rsidR="00FE0661">
        <w:rPr>
          <w:rFonts w:ascii="Verdana" w:eastAsia="Verdana" w:hAnsi="Verdana" w:cs="Verdana"/>
          <w:sz w:val="20"/>
          <w:szCs w:val="20"/>
          <w:lang w:val="es-ES"/>
        </w:rPr>
        <w:t>—</w:t>
      </w:r>
      <w:r w:rsidR="00C64488" w:rsidRPr="00354B1E">
        <w:rPr>
          <w:rFonts w:ascii="Verdana" w:eastAsia="Verdana" w:hAnsi="Verdana" w:cs="Verdana"/>
          <w:sz w:val="20"/>
          <w:szCs w:val="20"/>
          <w:lang w:val="es-ES"/>
        </w:rPr>
        <w:t xml:space="preserve">por </w:t>
      </w:r>
      <w:r w:rsidR="00E31B1E" w:rsidRPr="00354B1E">
        <w:rPr>
          <w:rFonts w:ascii="Verdana" w:eastAsia="Verdana" w:hAnsi="Verdana" w:cs="Verdana"/>
          <w:sz w:val="20"/>
          <w:szCs w:val="20"/>
          <w:lang w:val="es-ES"/>
        </w:rPr>
        <w:t>ejemplo,</w:t>
      </w:r>
      <w:r w:rsidR="00C64488" w:rsidRPr="00354B1E">
        <w:rPr>
          <w:rFonts w:ascii="Verdana" w:eastAsia="Verdana" w:hAnsi="Verdana" w:cs="Verdana"/>
          <w:sz w:val="20"/>
          <w:szCs w:val="20"/>
          <w:lang w:val="es-ES"/>
        </w:rPr>
        <w:t xml:space="preserve"> cuando </w:t>
      </w:r>
      <w:r w:rsidR="00E31B1E" w:rsidRPr="00354B1E">
        <w:rPr>
          <w:rFonts w:ascii="Verdana" w:eastAsia="Verdana" w:hAnsi="Verdana" w:cs="Verdana"/>
          <w:sz w:val="20"/>
          <w:szCs w:val="20"/>
          <w:lang w:val="es-ES"/>
        </w:rPr>
        <w:t>se ha reconocido a los ríos como sujetos de derecho</w:t>
      </w:r>
      <w:r w:rsidR="00FE0661">
        <w:rPr>
          <w:rFonts w:ascii="Verdana" w:eastAsia="Verdana" w:hAnsi="Verdana" w:cs="Verdana"/>
          <w:sz w:val="20"/>
          <w:szCs w:val="20"/>
          <w:lang w:val="es-ES"/>
        </w:rPr>
        <w:t>—</w:t>
      </w:r>
      <w:r w:rsidR="00F25F2A">
        <w:rPr>
          <w:rFonts w:ascii="Verdana" w:eastAsia="Verdana" w:hAnsi="Verdana" w:cs="Verdana"/>
          <w:sz w:val="20"/>
          <w:szCs w:val="20"/>
          <w:lang w:val="es-ES"/>
        </w:rPr>
        <w:t>;</w:t>
      </w:r>
      <w:r w:rsidR="00FE0661">
        <w:rPr>
          <w:rFonts w:ascii="Verdana" w:eastAsia="Verdana" w:hAnsi="Verdana" w:cs="Verdana"/>
          <w:sz w:val="20"/>
          <w:szCs w:val="20"/>
          <w:lang w:val="es-ES"/>
        </w:rPr>
        <w:t xml:space="preserve"> </w:t>
      </w:r>
      <w:r w:rsidR="00E31B1E" w:rsidRPr="00354B1E">
        <w:rPr>
          <w:rFonts w:ascii="Verdana" w:eastAsia="Verdana" w:hAnsi="Verdana" w:cs="Verdana"/>
          <w:sz w:val="20"/>
          <w:szCs w:val="20"/>
          <w:lang w:val="es-ES"/>
        </w:rPr>
        <w:t>y la segunda</w:t>
      </w:r>
      <w:r w:rsidR="00FE0661">
        <w:rPr>
          <w:rFonts w:ascii="Verdana" w:eastAsia="Verdana" w:hAnsi="Verdana" w:cs="Verdana"/>
          <w:sz w:val="20"/>
          <w:szCs w:val="20"/>
          <w:lang w:val="es-ES"/>
        </w:rPr>
        <w:t>,</w:t>
      </w:r>
      <w:r w:rsidR="00E31B1E" w:rsidRPr="00354B1E">
        <w:rPr>
          <w:rFonts w:ascii="Verdana" w:eastAsia="Verdana" w:hAnsi="Verdana" w:cs="Verdana"/>
          <w:sz w:val="20"/>
          <w:szCs w:val="20"/>
          <w:lang w:val="es-ES"/>
        </w:rPr>
        <w:t xml:space="preserve"> cuando se refiere al agua como derecho autónomo, es decir, cuando el Tribunal se vea llamado </w:t>
      </w:r>
      <w:r w:rsidR="00453802">
        <w:rPr>
          <w:rFonts w:ascii="Verdana" w:eastAsia="Verdana" w:hAnsi="Verdana" w:cs="Verdana"/>
          <w:sz w:val="20"/>
          <w:szCs w:val="20"/>
          <w:lang w:val="es-ES"/>
        </w:rPr>
        <w:t xml:space="preserve">a determinar </w:t>
      </w:r>
      <w:r w:rsidR="00E31B1E" w:rsidRPr="00354B1E">
        <w:rPr>
          <w:rFonts w:ascii="Verdana" w:eastAsia="Verdana" w:hAnsi="Verdana" w:cs="Verdana"/>
          <w:sz w:val="20"/>
          <w:szCs w:val="20"/>
          <w:lang w:val="es-ES"/>
        </w:rPr>
        <w:t>si el acceso o no al agua vulnera derechos de los individuos que protege la Convención Americana</w:t>
      </w:r>
      <w:r w:rsidR="00E31B1E" w:rsidRPr="00354B1E">
        <w:rPr>
          <w:rStyle w:val="Refdenotaalpie"/>
          <w:rFonts w:ascii="Verdana" w:eastAsia="Verdana" w:hAnsi="Verdana" w:cs="Verdana"/>
          <w:sz w:val="20"/>
          <w:szCs w:val="20"/>
          <w:lang w:val="es-ES"/>
        </w:rPr>
        <w:footnoteReference w:id="39"/>
      </w:r>
      <w:r w:rsidR="00E31B1E" w:rsidRPr="00354B1E">
        <w:rPr>
          <w:rFonts w:ascii="Verdana" w:eastAsia="Verdana" w:hAnsi="Verdana" w:cs="Verdana"/>
          <w:sz w:val="20"/>
          <w:szCs w:val="20"/>
          <w:lang w:val="es-ES"/>
        </w:rPr>
        <w:t>. En suma, est</w:t>
      </w:r>
      <w:r w:rsidR="00FE0661">
        <w:rPr>
          <w:rFonts w:ascii="Verdana" w:eastAsia="Verdana" w:hAnsi="Verdana" w:cs="Verdana"/>
          <w:sz w:val="20"/>
          <w:szCs w:val="20"/>
          <w:lang w:val="es-ES"/>
        </w:rPr>
        <w:t>a</w:t>
      </w:r>
      <w:r w:rsidR="00E31B1E" w:rsidRPr="00354B1E">
        <w:rPr>
          <w:rFonts w:ascii="Verdana" w:eastAsia="Verdana" w:hAnsi="Verdana" w:cs="Verdana"/>
          <w:sz w:val="20"/>
          <w:szCs w:val="20"/>
          <w:lang w:val="es-ES"/>
        </w:rPr>
        <w:t xml:space="preserve"> importante distinción que realiza la Corte IDH es de vital importancia porque lo que está detrás de esta clasificación es poner sobre relieve </w:t>
      </w:r>
      <w:r w:rsidR="00E538D5" w:rsidRPr="00354B1E">
        <w:rPr>
          <w:rFonts w:ascii="Verdana" w:eastAsia="Verdana" w:hAnsi="Verdana" w:cs="Verdana"/>
          <w:sz w:val="20"/>
          <w:szCs w:val="20"/>
          <w:lang w:val="es-ES"/>
        </w:rPr>
        <w:t>aquellos casos</w:t>
      </w:r>
      <w:r w:rsidR="00E31B1E" w:rsidRPr="00354B1E">
        <w:rPr>
          <w:rFonts w:ascii="Verdana" w:eastAsia="Verdana" w:hAnsi="Verdana" w:cs="Verdana"/>
          <w:sz w:val="20"/>
          <w:szCs w:val="20"/>
          <w:lang w:val="es-ES"/>
        </w:rPr>
        <w:t xml:space="preserve"> que deberán ser analizados desde el contenido del derecho al medio ambiente</w:t>
      </w:r>
      <w:r w:rsidR="00FE0661">
        <w:rPr>
          <w:rFonts w:ascii="Verdana" w:eastAsia="Verdana" w:hAnsi="Verdana" w:cs="Verdana"/>
          <w:sz w:val="20"/>
          <w:szCs w:val="20"/>
          <w:lang w:val="es-ES"/>
        </w:rPr>
        <w:t>,</w:t>
      </w:r>
      <w:r w:rsidR="00E31B1E" w:rsidRPr="00354B1E">
        <w:rPr>
          <w:rFonts w:ascii="Verdana" w:eastAsia="Verdana" w:hAnsi="Verdana" w:cs="Verdana"/>
          <w:sz w:val="20"/>
          <w:szCs w:val="20"/>
          <w:lang w:val="es-ES"/>
        </w:rPr>
        <w:t xml:space="preserve"> de aquellos </w:t>
      </w:r>
      <w:r w:rsidR="00FE0661">
        <w:rPr>
          <w:rFonts w:ascii="Verdana" w:eastAsia="Verdana" w:hAnsi="Verdana" w:cs="Verdana"/>
          <w:sz w:val="20"/>
          <w:szCs w:val="20"/>
          <w:lang w:val="es-ES"/>
        </w:rPr>
        <w:t xml:space="preserve">otros </w:t>
      </w:r>
      <w:r w:rsidR="00E31B1E" w:rsidRPr="00354B1E">
        <w:rPr>
          <w:rFonts w:ascii="Verdana" w:eastAsia="Verdana" w:hAnsi="Verdana" w:cs="Verdana"/>
          <w:sz w:val="20"/>
          <w:szCs w:val="20"/>
          <w:lang w:val="es-ES"/>
        </w:rPr>
        <w:t>casos que las violaciones se deban observar desde el contenido del derecho al agua</w:t>
      </w:r>
      <w:r w:rsidR="00F33013">
        <w:rPr>
          <w:rFonts w:ascii="Verdana" w:eastAsia="Verdana" w:hAnsi="Verdana" w:cs="Verdana"/>
          <w:sz w:val="20"/>
          <w:szCs w:val="20"/>
          <w:lang w:val="es-ES"/>
        </w:rPr>
        <w:t>, como derecho autónomo, protegido también por el artículo 26 del Pacto de San José.</w:t>
      </w:r>
      <w:r w:rsidR="00E31B1E" w:rsidRPr="00354B1E">
        <w:rPr>
          <w:rFonts w:ascii="Verdana" w:eastAsia="Verdana" w:hAnsi="Verdana" w:cs="Verdana"/>
          <w:sz w:val="20"/>
          <w:szCs w:val="20"/>
          <w:lang w:val="es-ES"/>
        </w:rPr>
        <w:t xml:space="preserve"> </w:t>
      </w:r>
    </w:p>
    <w:p w14:paraId="0471D50E" w14:textId="77777777" w:rsidR="00E538D5" w:rsidRPr="00354B1E" w:rsidRDefault="00E538D5" w:rsidP="00E538D5">
      <w:pPr>
        <w:pStyle w:val="Prrafodelista"/>
        <w:rPr>
          <w:rFonts w:ascii="Verdana" w:eastAsia="Verdana" w:hAnsi="Verdana" w:cs="Verdana"/>
          <w:sz w:val="20"/>
          <w:szCs w:val="20"/>
          <w:lang w:val="es-ES"/>
        </w:rPr>
      </w:pPr>
    </w:p>
    <w:p w14:paraId="54C7B05D" w14:textId="3C0CE3DB" w:rsidR="00E538D5" w:rsidRPr="00354B1E" w:rsidRDefault="009D1D1D" w:rsidP="009D1D1D">
      <w:pPr>
        <w:pStyle w:val="Prrafodelista"/>
        <w:pBdr>
          <w:top w:val="nil"/>
          <w:left w:val="nil"/>
          <w:bottom w:val="nil"/>
          <w:right w:val="nil"/>
          <w:between w:val="nil"/>
        </w:pBdr>
        <w:ind w:left="0"/>
        <w:jc w:val="both"/>
        <w:rPr>
          <w:rFonts w:ascii="Verdana" w:eastAsia="Verdana" w:hAnsi="Verdana" w:cs="Verdana"/>
          <w:sz w:val="20"/>
          <w:szCs w:val="20"/>
          <w:lang w:val="es-ES"/>
        </w:rPr>
      </w:pPr>
      <w:r>
        <w:rPr>
          <w:rFonts w:ascii="Verdana" w:eastAsia="Verdana" w:hAnsi="Verdana" w:cs="Verdana"/>
          <w:sz w:val="20"/>
          <w:szCs w:val="20"/>
          <w:lang w:val="es-ES"/>
        </w:rPr>
        <w:t>4</w:t>
      </w:r>
      <w:r w:rsidR="00783415">
        <w:rPr>
          <w:rFonts w:ascii="Verdana" w:eastAsia="Verdana" w:hAnsi="Verdana" w:cs="Verdana"/>
          <w:sz w:val="20"/>
          <w:szCs w:val="20"/>
          <w:lang w:val="es-ES"/>
        </w:rPr>
        <w:t>2</w:t>
      </w:r>
      <w:r>
        <w:rPr>
          <w:rFonts w:ascii="Verdana" w:eastAsia="Verdana" w:hAnsi="Verdana" w:cs="Verdana"/>
          <w:sz w:val="20"/>
          <w:szCs w:val="20"/>
          <w:lang w:val="es-ES"/>
        </w:rPr>
        <w:t xml:space="preserve">. </w:t>
      </w:r>
      <w:r>
        <w:rPr>
          <w:rFonts w:ascii="Verdana" w:eastAsia="Verdana" w:hAnsi="Verdana" w:cs="Verdana"/>
          <w:sz w:val="20"/>
          <w:szCs w:val="20"/>
          <w:lang w:val="es-ES"/>
        </w:rPr>
        <w:tab/>
      </w:r>
      <w:r w:rsidR="00E538D5" w:rsidRPr="00354B1E">
        <w:rPr>
          <w:rFonts w:ascii="Verdana" w:eastAsia="Verdana" w:hAnsi="Verdana" w:cs="Verdana"/>
          <w:sz w:val="20"/>
          <w:szCs w:val="20"/>
          <w:lang w:val="es-ES"/>
        </w:rPr>
        <w:t>En tercer lugar, el Tribunal Interamericano refiere la importancia del principio de “equidad intergeneracional”</w:t>
      </w:r>
      <w:r w:rsidR="00E538D5" w:rsidRPr="00354B1E">
        <w:rPr>
          <w:rStyle w:val="Refdenotaalpie"/>
          <w:rFonts w:ascii="Verdana" w:eastAsia="Verdana" w:hAnsi="Verdana" w:cs="Verdana"/>
          <w:sz w:val="20"/>
          <w:szCs w:val="20"/>
          <w:lang w:val="es-ES"/>
        </w:rPr>
        <w:footnoteReference w:id="40"/>
      </w:r>
      <w:r w:rsidR="00E538D5" w:rsidRPr="00354B1E">
        <w:rPr>
          <w:rFonts w:ascii="Verdana" w:eastAsia="Verdana" w:hAnsi="Verdana" w:cs="Verdana"/>
          <w:sz w:val="20"/>
          <w:szCs w:val="20"/>
          <w:lang w:val="es-ES"/>
        </w:rPr>
        <w:t xml:space="preserve">. La mención de este principio en esta sentencia no es aislada, ya que a diferencia de muchos derechos humanos que protege la Convención Americana, el contenido del derecho al medio ambiente no puede reducirse a medidas de reparación </w:t>
      </w:r>
      <w:r w:rsidR="00FE0661">
        <w:rPr>
          <w:rFonts w:ascii="Verdana" w:eastAsia="Verdana" w:hAnsi="Verdana" w:cs="Verdana"/>
          <w:sz w:val="20"/>
          <w:szCs w:val="20"/>
          <w:lang w:val="es-ES"/>
        </w:rPr>
        <w:t>—</w:t>
      </w:r>
      <w:r w:rsidR="00E538D5" w:rsidRPr="00354B1E">
        <w:rPr>
          <w:rFonts w:ascii="Verdana" w:eastAsia="Verdana" w:hAnsi="Verdana" w:cs="Verdana"/>
          <w:sz w:val="20"/>
          <w:szCs w:val="20"/>
          <w:lang w:val="es-ES"/>
        </w:rPr>
        <w:t>o políticas que se adopten desde esa perspectiva</w:t>
      </w:r>
      <w:r w:rsidR="00FE0661">
        <w:rPr>
          <w:rFonts w:ascii="Verdana" w:eastAsia="Verdana" w:hAnsi="Verdana" w:cs="Verdana"/>
          <w:sz w:val="20"/>
          <w:szCs w:val="20"/>
          <w:lang w:val="es-ES"/>
        </w:rPr>
        <w:t>—</w:t>
      </w:r>
      <w:r w:rsidR="00E538D5" w:rsidRPr="00354B1E">
        <w:rPr>
          <w:rFonts w:ascii="Verdana" w:eastAsia="Verdana" w:hAnsi="Verdana" w:cs="Verdana"/>
          <w:sz w:val="20"/>
          <w:szCs w:val="20"/>
          <w:lang w:val="es-ES"/>
        </w:rPr>
        <w:t xml:space="preserve"> bajo la lógica que únicamente tendrán impacto en un periodo de tiempo corto (y por tanto impactando a un grupo de personas en una generación). Por el contrario, las medidas que se adopten desde la perspectiva de</w:t>
      </w:r>
      <w:r w:rsidR="00FE0661">
        <w:rPr>
          <w:rFonts w:ascii="Verdana" w:eastAsia="Verdana" w:hAnsi="Verdana" w:cs="Verdana"/>
          <w:sz w:val="20"/>
          <w:szCs w:val="20"/>
          <w:lang w:val="es-ES"/>
        </w:rPr>
        <w:t>l</w:t>
      </w:r>
      <w:r w:rsidR="00E538D5" w:rsidRPr="00354B1E">
        <w:rPr>
          <w:rFonts w:ascii="Verdana" w:eastAsia="Verdana" w:hAnsi="Verdana" w:cs="Verdana"/>
          <w:sz w:val="20"/>
          <w:szCs w:val="20"/>
          <w:lang w:val="es-ES"/>
        </w:rPr>
        <w:t xml:space="preserve"> medio ambiente no tienen que perder de vista que la salvaguarda de los bienes ambientales (por ejemplo, en este caso,</w:t>
      </w:r>
      <w:r w:rsidR="00DF7AD9">
        <w:rPr>
          <w:rFonts w:ascii="Verdana" w:eastAsia="Verdana" w:hAnsi="Verdana" w:cs="Verdana"/>
          <w:sz w:val="20"/>
          <w:szCs w:val="20"/>
          <w:lang w:val="es-ES"/>
        </w:rPr>
        <w:t xml:space="preserve"> </w:t>
      </w:r>
      <w:r w:rsidR="00E538D5" w:rsidRPr="00354B1E">
        <w:rPr>
          <w:rFonts w:ascii="Verdana" w:eastAsia="Verdana" w:hAnsi="Verdana" w:cs="Verdana"/>
          <w:sz w:val="20"/>
          <w:szCs w:val="20"/>
          <w:lang w:val="es-ES"/>
        </w:rPr>
        <w:t>aire</w:t>
      </w:r>
      <w:r w:rsidR="00DF7AD9">
        <w:rPr>
          <w:rFonts w:ascii="Verdana" w:eastAsia="Verdana" w:hAnsi="Verdana" w:cs="Verdana"/>
          <w:sz w:val="20"/>
          <w:szCs w:val="20"/>
          <w:lang w:val="es-ES"/>
        </w:rPr>
        <w:t>, agua y suelo</w:t>
      </w:r>
      <w:r w:rsidR="00E538D5" w:rsidRPr="00354B1E">
        <w:rPr>
          <w:rFonts w:ascii="Verdana" w:eastAsia="Verdana" w:hAnsi="Verdana" w:cs="Verdana"/>
          <w:sz w:val="20"/>
          <w:szCs w:val="20"/>
          <w:lang w:val="es-ES"/>
        </w:rPr>
        <w:t xml:space="preserve">) ineludiblemente tendrán un impacto en generaciones futuras a </w:t>
      </w:r>
      <w:r w:rsidR="00954D55">
        <w:rPr>
          <w:rFonts w:ascii="Verdana" w:eastAsia="Verdana" w:hAnsi="Verdana" w:cs="Verdana"/>
          <w:sz w:val="20"/>
          <w:szCs w:val="20"/>
          <w:lang w:val="es-ES"/>
        </w:rPr>
        <w:t xml:space="preserve">corto y </w:t>
      </w:r>
      <w:r w:rsidR="00E538D5" w:rsidRPr="00354B1E">
        <w:rPr>
          <w:rFonts w:ascii="Verdana" w:eastAsia="Verdana" w:hAnsi="Verdana" w:cs="Verdana"/>
          <w:sz w:val="20"/>
          <w:szCs w:val="20"/>
          <w:lang w:val="es-ES"/>
        </w:rPr>
        <w:t xml:space="preserve">largo plazo. También implica reconocer la responsabilidad que tiene </w:t>
      </w:r>
      <w:r w:rsidR="00F33013">
        <w:rPr>
          <w:rFonts w:ascii="Verdana" w:eastAsia="Verdana" w:hAnsi="Verdana" w:cs="Verdana"/>
          <w:sz w:val="20"/>
          <w:szCs w:val="20"/>
          <w:lang w:val="es-ES"/>
        </w:rPr>
        <w:t xml:space="preserve">la Corte IDH </w:t>
      </w:r>
      <w:r w:rsidR="00E538D5" w:rsidRPr="00354B1E">
        <w:rPr>
          <w:rFonts w:ascii="Verdana" w:eastAsia="Verdana" w:hAnsi="Verdana" w:cs="Verdana"/>
          <w:sz w:val="20"/>
          <w:szCs w:val="20"/>
          <w:lang w:val="es-ES"/>
        </w:rPr>
        <w:t xml:space="preserve">en esta época </w:t>
      </w:r>
      <w:r w:rsidR="00453802">
        <w:rPr>
          <w:rFonts w:ascii="Verdana" w:eastAsia="Verdana" w:hAnsi="Verdana" w:cs="Verdana"/>
          <w:sz w:val="20"/>
          <w:szCs w:val="20"/>
          <w:lang w:val="es-ES"/>
        </w:rPr>
        <w:t xml:space="preserve">con </w:t>
      </w:r>
      <w:r w:rsidR="00E538D5" w:rsidRPr="00354B1E">
        <w:rPr>
          <w:rFonts w:ascii="Verdana" w:eastAsia="Verdana" w:hAnsi="Verdana" w:cs="Verdana"/>
          <w:sz w:val="20"/>
          <w:szCs w:val="20"/>
          <w:lang w:val="es-ES"/>
        </w:rPr>
        <w:t xml:space="preserve">las siguientes generaciones. </w:t>
      </w:r>
    </w:p>
    <w:p w14:paraId="22424FAD" w14:textId="77777777" w:rsidR="00E538D5" w:rsidRPr="00354B1E" w:rsidRDefault="00E538D5" w:rsidP="00E538D5">
      <w:pPr>
        <w:pStyle w:val="Prrafodelista"/>
        <w:rPr>
          <w:rFonts w:ascii="Verdana" w:eastAsia="Verdana" w:hAnsi="Verdana" w:cs="Verdana"/>
          <w:sz w:val="20"/>
          <w:szCs w:val="20"/>
          <w:lang w:val="es-ES"/>
        </w:rPr>
      </w:pPr>
    </w:p>
    <w:p w14:paraId="6508B065" w14:textId="5879D74C" w:rsidR="00E06016" w:rsidRPr="000430E4" w:rsidRDefault="009D1D1D" w:rsidP="009D1D1D">
      <w:pPr>
        <w:pStyle w:val="Prrafodelista"/>
        <w:pBdr>
          <w:top w:val="nil"/>
          <w:left w:val="nil"/>
          <w:bottom w:val="nil"/>
          <w:right w:val="nil"/>
          <w:between w:val="nil"/>
        </w:pBdr>
        <w:ind w:left="0"/>
        <w:jc w:val="both"/>
        <w:rPr>
          <w:rFonts w:ascii="Verdana" w:eastAsia="Verdana" w:hAnsi="Verdana" w:cs="Verdana"/>
          <w:sz w:val="20"/>
          <w:szCs w:val="20"/>
          <w:lang w:val="es-ES"/>
        </w:rPr>
      </w:pPr>
      <w:r>
        <w:rPr>
          <w:rFonts w:ascii="Verdana" w:eastAsia="Verdana" w:hAnsi="Verdana" w:cs="Verdana"/>
          <w:sz w:val="20"/>
          <w:szCs w:val="20"/>
          <w:lang w:val="es-ES"/>
        </w:rPr>
        <w:t>4</w:t>
      </w:r>
      <w:r w:rsidR="00783415">
        <w:rPr>
          <w:rFonts w:ascii="Verdana" w:eastAsia="Verdana" w:hAnsi="Verdana" w:cs="Verdana"/>
          <w:sz w:val="20"/>
          <w:szCs w:val="20"/>
          <w:lang w:val="es-ES"/>
        </w:rPr>
        <w:t>3</w:t>
      </w:r>
      <w:r>
        <w:rPr>
          <w:rFonts w:ascii="Verdana" w:eastAsia="Verdana" w:hAnsi="Verdana" w:cs="Verdana"/>
          <w:sz w:val="20"/>
          <w:szCs w:val="20"/>
          <w:lang w:val="es-ES"/>
        </w:rPr>
        <w:t xml:space="preserve">. </w:t>
      </w:r>
      <w:r>
        <w:rPr>
          <w:rFonts w:ascii="Verdana" w:eastAsia="Verdana" w:hAnsi="Verdana" w:cs="Verdana"/>
          <w:sz w:val="20"/>
          <w:szCs w:val="20"/>
          <w:lang w:val="es-ES"/>
        </w:rPr>
        <w:tab/>
      </w:r>
      <w:r w:rsidR="00E538D5" w:rsidRPr="00354B1E">
        <w:rPr>
          <w:rFonts w:ascii="Verdana" w:eastAsia="Verdana" w:hAnsi="Verdana" w:cs="Verdana"/>
          <w:sz w:val="20"/>
          <w:szCs w:val="20"/>
          <w:lang w:val="es-ES"/>
        </w:rPr>
        <w:t xml:space="preserve">En cuarto lugar, </w:t>
      </w:r>
      <w:r w:rsidR="00954D55">
        <w:rPr>
          <w:rFonts w:ascii="Verdana" w:eastAsia="Verdana" w:hAnsi="Verdana" w:cs="Verdana"/>
          <w:sz w:val="20"/>
          <w:szCs w:val="20"/>
          <w:lang w:val="es-ES"/>
        </w:rPr>
        <w:t>la Corte IDH</w:t>
      </w:r>
      <w:r w:rsidR="00DD3196" w:rsidRPr="00354B1E">
        <w:rPr>
          <w:rFonts w:ascii="Verdana" w:eastAsia="Verdana" w:hAnsi="Verdana" w:cs="Verdana"/>
          <w:sz w:val="20"/>
          <w:szCs w:val="20"/>
          <w:lang w:val="es-ES"/>
        </w:rPr>
        <w:t xml:space="preserve"> deja un mensaje muy contundente sobre la importancia de que la comunidad internacional reconozca progresivamente la prohibición de conductas que lesionen al medio ambiente como una norma imperativa de derecho internacional (</w:t>
      </w:r>
      <w:r w:rsidR="00DD3196" w:rsidRPr="00354B1E">
        <w:rPr>
          <w:rFonts w:ascii="Verdana" w:eastAsia="Verdana" w:hAnsi="Verdana" w:cs="Verdana"/>
          <w:i/>
          <w:iCs/>
          <w:sz w:val="20"/>
          <w:szCs w:val="20"/>
          <w:lang w:val="es-ES"/>
        </w:rPr>
        <w:t>ius cogens</w:t>
      </w:r>
      <w:r w:rsidR="00DD3196" w:rsidRPr="00354B1E">
        <w:rPr>
          <w:rFonts w:ascii="Verdana" w:eastAsia="Verdana" w:hAnsi="Verdana" w:cs="Verdana"/>
          <w:sz w:val="20"/>
          <w:szCs w:val="20"/>
          <w:lang w:val="es-ES"/>
        </w:rPr>
        <w:t>)</w:t>
      </w:r>
      <w:r w:rsidR="00DD3196" w:rsidRPr="00354B1E">
        <w:rPr>
          <w:rStyle w:val="Refdenotaalpie"/>
          <w:rFonts w:ascii="Verdana" w:eastAsia="Verdana" w:hAnsi="Verdana" w:cs="Verdana"/>
          <w:sz w:val="20"/>
          <w:szCs w:val="20"/>
          <w:lang w:val="es-ES"/>
        </w:rPr>
        <w:footnoteReference w:id="41"/>
      </w:r>
      <w:r w:rsidR="00DD3196" w:rsidRPr="00354B1E">
        <w:rPr>
          <w:rFonts w:ascii="Verdana" w:eastAsia="Verdana" w:hAnsi="Verdana" w:cs="Verdana"/>
          <w:sz w:val="20"/>
          <w:szCs w:val="20"/>
          <w:lang w:val="es-ES"/>
        </w:rPr>
        <w:t xml:space="preserve">. Al respecto, debemos recordar que la base de este tipo de normas parte del núcleo que no se admite una “justificación” por parte de las autoridades de los Estados para transgredir los bienes que se protegen. Es decir, por ejemplo, no existe una razón válida y justificable para torturar, desaparecer forzadamente o someter a esclavitud a una persona. Ese es el mismo razonamiento que se encuentra detrás del pronunciamiento de la Corte IDH en este caso: la comunidad internacional debe </w:t>
      </w:r>
      <w:r w:rsidR="00DD3196" w:rsidRPr="000430E4">
        <w:rPr>
          <w:rFonts w:ascii="Verdana" w:eastAsia="Verdana" w:hAnsi="Verdana" w:cs="Verdana"/>
          <w:sz w:val="20"/>
          <w:szCs w:val="20"/>
          <w:lang w:val="es-ES"/>
        </w:rPr>
        <w:t>reconocer que el Derecho Internacional no admite una justificación y una permisión para que todos los bienes que integran el medio ambiente sean vulnerados. Est</w:t>
      </w:r>
      <w:r w:rsidR="00954D55" w:rsidRPr="000430E4">
        <w:rPr>
          <w:rFonts w:ascii="Verdana" w:eastAsia="Verdana" w:hAnsi="Verdana" w:cs="Verdana"/>
          <w:sz w:val="20"/>
          <w:szCs w:val="20"/>
          <w:lang w:val="es-ES"/>
        </w:rPr>
        <w:t>a</w:t>
      </w:r>
      <w:r w:rsidR="00DD3196" w:rsidRPr="000430E4">
        <w:rPr>
          <w:rFonts w:ascii="Verdana" w:eastAsia="Verdana" w:hAnsi="Verdana" w:cs="Verdana"/>
          <w:sz w:val="20"/>
          <w:szCs w:val="20"/>
          <w:lang w:val="es-ES"/>
        </w:rPr>
        <w:t xml:space="preserve"> razón cobra mayor congruencia con el propio </w:t>
      </w:r>
      <w:r w:rsidR="00DD3196" w:rsidRPr="000430E4">
        <w:rPr>
          <w:rFonts w:ascii="Verdana" w:eastAsia="Verdana" w:hAnsi="Verdana" w:cs="Verdana"/>
          <w:i/>
          <w:iCs/>
          <w:sz w:val="20"/>
          <w:szCs w:val="20"/>
          <w:lang w:val="es-ES"/>
        </w:rPr>
        <w:t>principio de equidad intergeneracional</w:t>
      </w:r>
      <w:r w:rsidR="00301678" w:rsidRPr="000430E4">
        <w:rPr>
          <w:rFonts w:ascii="Verdana" w:eastAsia="Verdana" w:hAnsi="Verdana" w:cs="Verdana"/>
          <w:sz w:val="20"/>
          <w:szCs w:val="20"/>
          <w:lang w:val="es-ES"/>
        </w:rPr>
        <w:t>, ya que</w:t>
      </w:r>
      <w:r w:rsidR="002410D8">
        <w:rPr>
          <w:rFonts w:ascii="Verdana" w:eastAsia="Verdana" w:hAnsi="Verdana" w:cs="Verdana"/>
          <w:sz w:val="20"/>
          <w:szCs w:val="20"/>
          <w:lang w:val="es-ES"/>
        </w:rPr>
        <w:t>,</w:t>
      </w:r>
      <w:r w:rsidR="00DD3196" w:rsidRPr="000430E4">
        <w:rPr>
          <w:rFonts w:ascii="Verdana" w:eastAsia="Verdana" w:hAnsi="Verdana" w:cs="Verdana"/>
          <w:sz w:val="20"/>
          <w:szCs w:val="20"/>
          <w:lang w:val="es-ES"/>
        </w:rPr>
        <w:t xml:space="preserve"> a nosotros en este momento, nos corresponde salvaguardar lo que en</w:t>
      </w:r>
      <w:r w:rsidR="00954D55" w:rsidRPr="000430E4">
        <w:rPr>
          <w:rFonts w:ascii="Verdana" w:eastAsia="Verdana" w:hAnsi="Verdana" w:cs="Verdana"/>
          <w:sz w:val="20"/>
          <w:szCs w:val="20"/>
          <w:lang w:val="es-ES"/>
        </w:rPr>
        <w:t xml:space="preserve"> </w:t>
      </w:r>
      <w:r w:rsidR="00DD3196" w:rsidRPr="000430E4">
        <w:rPr>
          <w:rFonts w:ascii="Verdana" w:eastAsia="Verdana" w:hAnsi="Verdana" w:cs="Verdana"/>
          <w:sz w:val="20"/>
          <w:szCs w:val="20"/>
          <w:lang w:val="es-ES"/>
        </w:rPr>
        <w:t>todo caso deberán disfrutar las generaciones futuras</w:t>
      </w:r>
      <w:r w:rsidR="00301678" w:rsidRPr="000430E4">
        <w:rPr>
          <w:rFonts w:ascii="Verdana" w:eastAsia="Verdana" w:hAnsi="Verdana" w:cs="Verdana"/>
          <w:sz w:val="20"/>
          <w:szCs w:val="20"/>
          <w:lang w:val="es-ES"/>
        </w:rPr>
        <w:t xml:space="preserve">. Estas dimensiones serán desarrolladas </w:t>
      </w:r>
      <w:r w:rsidR="005E63ED">
        <w:rPr>
          <w:rFonts w:ascii="Verdana" w:eastAsia="Verdana" w:hAnsi="Verdana" w:cs="Verdana"/>
          <w:sz w:val="20"/>
          <w:szCs w:val="20"/>
          <w:lang w:val="es-ES"/>
        </w:rPr>
        <w:t xml:space="preserve">y profundizadas </w:t>
      </w:r>
      <w:r w:rsidR="00301678" w:rsidRPr="000430E4">
        <w:rPr>
          <w:rFonts w:ascii="Verdana" w:eastAsia="Verdana" w:hAnsi="Verdana" w:cs="Verdana"/>
          <w:sz w:val="20"/>
          <w:szCs w:val="20"/>
          <w:lang w:val="es-ES"/>
        </w:rPr>
        <w:t xml:space="preserve">en el epígrafe </w:t>
      </w:r>
      <w:r w:rsidR="001425D3" w:rsidRPr="000430E4">
        <w:rPr>
          <w:rFonts w:ascii="Verdana" w:eastAsia="Verdana" w:hAnsi="Verdana" w:cs="Verdana"/>
          <w:sz w:val="20"/>
          <w:szCs w:val="20"/>
          <w:lang w:val="es-ES"/>
        </w:rPr>
        <w:t>quinto</w:t>
      </w:r>
      <w:r w:rsidR="00301678" w:rsidRPr="000430E4">
        <w:rPr>
          <w:rFonts w:ascii="Verdana" w:eastAsia="Verdana" w:hAnsi="Verdana" w:cs="Verdana"/>
          <w:sz w:val="20"/>
          <w:szCs w:val="20"/>
          <w:lang w:val="es-ES"/>
        </w:rPr>
        <w:t xml:space="preserve"> del presente voto.</w:t>
      </w:r>
    </w:p>
    <w:p w14:paraId="24DBE08D" w14:textId="1D6FCC98" w:rsidR="00E538D5" w:rsidRPr="000430E4" w:rsidRDefault="00DD3196" w:rsidP="00E06016">
      <w:pPr>
        <w:pStyle w:val="Prrafodelista"/>
        <w:pBdr>
          <w:top w:val="nil"/>
          <w:left w:val="nil"/>
          <w:bottom w:val="nil"/>
          <w:right w:val="nil"/>
          <w:between w:val="nil"/>
        </w:pBdr>
        <w:ind w:left="0"/>
        <w:jc w:val="both"/>
        <w:rPr>
          <w:rFonts w:ascii="Verdana" w:eastAsia="Verdana" w:hAnsi="Verdana" w:cs="Verdana"/>
          <w:sz w:val="20"/>
          <w:szCs w:val="20"/>
          <w:lang w:val="es-ES"/>
        </w:rPr>
      </w:pPr>
      <w:r w:rsidRPr="000430E4">
        <w:rPr>
          <w:rFonts w:ascii="Verdana" w:eastAsia="Verdana" w:hAnsi="Verdana" w:cs="Verdana"/>
          <w:sz w:val="20"/>
          <w:szCs w:val="20"/>
          <w:lang w:val="es-ES"/>
        </w:rPr>
        <w:t xml:space="preserve"> </w:t>
      </w:r>
    </w:p>
    <w:p w14:paraId="304EB3E0" w14:textId="59772B01" w:rsidR="00FE0661" w:rsidRDefault="00FE0661" w:rsidP="009D1D1D">
      <w:pPr>
        <w:pStyle w:val="Prrafodelista"/>
        <w:pBdr>
          <w:top w:val="nil"/>
          <w:left w:val="nil"/>
          <w:bottom w:val="nil"/>
          <w:right w:val="nil"/>
          <w:between w:val="nil"/>
        </w:pBdr>
        <w:ind w:left="0"/>
        <w:jc w:val="both"/>
        <w:rPr>
          <w:rFonts w:ascii="Verdana" w:eastAsia="Verdana" w:hAnsi="Verdana" w:cs="Verdana"/>
          <w:sz w:val="20"/>
          <w:szCs w:val="20"/>
          <w:lang w:val="es-ES"/>
        </w:rPr>
      </w:pPr>
      <w:r w:rsidRPr="002410D8">
        <w:rPr>
          <w:rFonts w:ascii="Verdana" w:eastAsia="Verdana" w:hAnsi="Verdana" w:cs="Verdana"/>
          <w:sz w:val="20"/>
          <w:szCs w:val="20"/>
          <w:lang w:val="es-ES"/>
        </w:rPr>
        <w:t>4</w:t>
      </w:r>
      <w:r w:rsidR="00783415">
        <w:rPr>
          <w:rFonts w:ascii="Verdana" w:eastAsia="Verdana" w:hAnsi="Verdana" w:cs="Verdana"/>
          <w:sz w:val="20"/>
          <w:szCs w:val="20"/>
          <w:lang w:val="es-ES"/>
        </w:rPr>
        <w:t>4</w:t>
      </w:r>
      <w:r w:rsidRPr="002410D8">
        <w:rPr>
          <w:rFonts w:ascii="Verdana" w:eastAsia="Verdana" w:hAnsi="Verdana" w:cs="Verdana"/>
          <w:sz w:val="20"/>
          <w:szCs w:val="20"/>
          <w:lang w:val="es-ES"/>
        </w:rPr>
        <w:t xml:space="preserve">. </w:t>
      </w:r>
      <w:r w:rsidR="00D07038">
        <w:rPr>
          <w:rFonts w:ascii="Verdana" w:eastAsia="Verdana" w:hAnsi="Verdana" w:cs="Verdana"/>
          <w:sz w:val="20"/>
          <w:szCs w:val="20"/>
          <w:lang w:val="es-ES"/>
        </w:rPr>
        <w:tab/>
      </w:r>
      <w:r w:rsidR="002410D8" w:rsidRPr="002410D8">
        <w:rPr>
          <w:rFonts w:ascii="Verdana" w:eastAsia="Verdana" w:hAnsi="Verdana" w:cs="Verdana"/>
          <w:sz w:val="20"/>
          <w:szCs w:val="20"/>
          <w:lang w:val="es-ES"/>
        </w:rPr>
        <w:t xml:space="preserve">En quinto lugar, debe destacarse la dimensión colectiva del derecho al medio </w:t>
      </w:r>
      <w:r w:rsidR="002410D8" w:rsidRPr="002A1B62">
        <w:rPr>
          <w:rFonts w:ascii="Verdana" w:eastAsia="Verdana" w:hAnsi="Verdana" w:cs="Verdana"/>
          <w:sz w:val="20"/>
          <w:szCs w:val="20"/>
          <w:lang w:val="es-ES"/>
        </w:rPr>
        <w:t>ambiente</w:t>
      </w:r>
      <w:r w:rsidR="002A1B62" w:rsidRPr="002A1B62">
        <w:rPr>
          <w:rFonts w:ascii="Verdana" w:eastAsia="Verdana" w:hAnsi="Verdana" w:cs="Verdana"/>
          <w:sz w:val="20"/>
          <w:szCs w:val="20"/>
          <w:lang w:val="es-ES" w:eastAsia="es-MX"/>
        </w:rPr>
        <w:t xml:space="preserve"> </w:t>
      </w:r>
      <w:r w:rsidR="002A1B62" w:rsidRPr="002A1B62">
        <w:rPr>
          <w:rFonts w:ascii="Verdana" w:eastAsia="Verdana" w:hAnsi="Verdana" w:cs="Verdana"/>
          <w:sz w:val="20"/>
          <w:szCs w:val="20"/>
          <w:lang w:val="es-ES"/>
        </w:rPr>
        <w:t>y las reparaciones también colectivas y de no repetición que</w:t>
      </w:r>
      <w:r w:rsidR="002410D8" w:rsidRPr="002A1B62">
        <w:rPr>
          <w:rFonts w:ascii="Verdana" w:eastAsia="Verdana" w:hAnsi="Verdana" w:cs="Verdana"/>
          <w:sz w:val="20"/>
          <w:szCs w:val="20"/>
          <w:lang w:val="es-ES"/>
        </w:rPr>
        <w:t>, en el caso de la Comunidad de La</w:t>
      </w:r>
      <w:r w:rsidR="002410D8" w:rsidRPr="002410D8">
        <w:rPr>
          <w:rFonts w:ascii="Verdana" w:eastAsia="Verdana" w:hAnsi="Verdana" w:cs="Verdana"/>
          <w:sz w:val="20"/>
          <w:szCs w:val="20"/>
          <w:lang w:val="es-ES"/>
        </w:rPr>
        <w:t xml:space="preserve"> Oroya, reflejan una justa compensación por más de cien años de violaciones con riesgos de irreversibilidad. El establecimiento de garantías colectivas de no repetición permite </w:t>
      </w:r>
      <w:r w:rsidR="002A1B62">
        <w:rPr>
          <w:rFonts w:ascii="Verdana" w:eastAsia="Verdana" w:hAnsi="Verdana" w:cs="Verdana"/>
          <w:sz w:val="20"/>
          <w:szCs w:val="20"/>
          <w:lang w:val="es-ES"/>
        </w:rPr>
        <w:t>reparar</w:t>
      </w:r>
      <w:r w:rsidR="002410D8" w:rsidRPr="002410D8">
        <w:rPr>
          <w:rFonts w:ascii="Verdana" w:eastAsia="Verdana" w:hAnsi="Verdana" w:cs="Verdana"/>
          <w:sz w:val="20"/>
          <w:szCs w:val="20"/>
          <w:lang w:val="es-ES"/>
        </w:rPr>
        <w:t xml:space="preserve"> a la comunidad afectada por los daños ambientales y prevenir los riesgos para las generaciones futuras. Esta dimensión colectiva se desarrollará en el cuarto apartado de este voto.</w:t>
      </w:r>
    </w:p>
    <w:p w14:paraId="72DF83FF" w14:textId="77777777" w:rsidR="00FE0661" w:rsidRDefault="00FE0661" w:rsidP="009D1D1D">
      <w:pPr>
        <w:pStyle w:val="Prrafodelista"/>
        <w:pBdr>
          <w:top w:val="nil"/>
          <w:left w:val="nil"/>
          <w:bottom w:val="nil"/>
          <w:right w:val="nil"/>
          <w:between w:val="nil"/>
        </w:pBdr>
        <w:ind w:left="0"/>
        <w:jc w:val="both"/>
        <w:rPr>
          <w:rFonts w:ascii="Verdana" w:eastAsia="Verdana" w:hAnsi="Verdana" w:cs="Verdana"/>
          <w:sz w:val="20"/>
          <w:szCs w:val="20"/>
          <w:lang w:val="es-ES"/>
        </w:rPr>
      </w:pPr>
    </w:p>
    <w:p w14:paraId="650F77B2" w14:textId="3C3C5B71" w:rsidR="00E06016" w:rsidRDefault="009D1D1D" w:rsidP="009D1D1D">
      <w:pPr>
        <w:pStyle w:val="Prrafodelista"/>
        <w:pBdr>
          <w:top w:val="nil"/>
          <w:left w:val="nil"/>
          <w:bottom w:val="nil"/>
          <w:right w:val="nil"/>
          <w:between w:val="nil"/>
        </w:pBdr>
        <w:ind w:left="0"/>
        <w:jc w:val="both"/>
        <w:rPr>
          <w:rFonts w:ascii="Verdana" w:eastAsia="Verdana" w:hAnsi="Verdana" w:cs="Verdana"/>
          <w:sz w:val="20"/>
          <w:szCs w:val="20"/>
          <w:lang w:val="es-ES"/>
        </w:rPr>
      </w:pPr>
      <w:r>
        <w:rPr>
          <w:rFonts w:ascii="Verdana" w:eastAsia="Verdana" w:hAnsi="Verdana" w:cs="Verdana"/>
          <w:sz w:val="20"/>
          <w:szCs w:val="20"/>
          <w:lang w:val="es-ES"/>
        </w:rPr>
        <w:t>4</w:t>
      </w:r>
      <w:r w:rsidR="00783415">
        <w:rPr>
          <w:rFonts w:ascii="Verdana" w:eastAsia="Verdana" w:hAnsi="Verdana" w:cs="Verdana"/>
          <w:sz w:val="20"/>
          <w:szCs w:val="20"/>
          <w:lang w:val="es-ES"/>
        </w:rPr>
        <w:t>5</w:t>
      </w:r>
      <w:r>
        <w:rPr>
          <w:rFonts w:ascii="Verdana" w:eastAsia="Verdana" w:hAnsi="Verdana" w:cs="Verdana"/>
          <w:sz w:val="20"/>
          <w:szCs w:val="20"/>
          <w:lang w:val="es-ES"/>
        </w:rPr>
        <w:t xml:space="preserve">. </w:t>
      </w:r>
      <w:r>
        <w:rPr>
          <w:rFonts w:ascii="Verdana" w:eastAsia="Verdana" w:hAnsi="Verdana" w:cs="Verdana"/>
          <w:sz w:val="20"/>
          <w:szCs w:val="20"/>
          <w:lang w:val="es-ES"/>
        </w:rPr>
        <w:tab/>
      </w:r>
      <w:r w:rsidR="00E06016" w:rsidRPr="00354B1E">
        <w:rPr>
          <w:rFonts w:ascii="Verdana" w:eastAsia="Verdana" w:hAnsi="Verdana" w:cs="Verdana"/>
          <w:sz w:val="20"/>
          <w:szCs w:val="20"/>
          <w:lang w:val="es-ES"/>
        </w:rPr>
        <w:t xml:space="preserve">Finalmente, no debe pasar </w:t>
      </w:r>
      <w:r w:rsidR="00D07038">
        <w:rPr>
          <w:rFonts w:ascii="Verdana" w:eastAsia="Verdana" w:hAnsi="Verdana" w:cs="Verdana"/>
          <w:sz w:val="20"/>
          <w:szCs w:val="20"/>
          <w:lang w:val="es-ES"/>
        </w:rPr>
        <w:t>inadvertido</w:t>
      </w:r>
      <w:r w:rsidR="00E06016" w:rsidRPr="00354B1E">
        <w:rPr>
          <w:rFonts w:ascii="Verdana" w:eastAsia="Verdana" w:hAnsi="Verdana" w:cs="Verdana"/>
          <w:sz w:val="20"/>
          <w:szCs w:val="20"/>
          <w:lang w:val="es-ES"/>
        </w:rPr>
        <w:t xml:space="preserve"> que la Corte IDH sigue consolidando la capacidad de diferenciar el contenido de derechos donde tradicionalmente subsumía el contenido del medio ambiente (por ejemplo, la vida o la integridad personal). </w:t>
      </w:r>
      <w:r w:rsidR="00954D55">
        <w:rPr>
          <w:rFonts w:ascii="Verdana" w:eastAsia="Verdana" w:hAnsi="Verdana" w:cs="Verdana"/>
          <w:sz w:val="20"/>
          <w:szCs w:val="20"/>
          <w:lang w:val="es-ES"/>
        </w:rPr>
        <w:t>Es de vital</w:t>
      </w:r>
      <w:r w:rsidR="00E06016" w:rsidRPr="00354B1E">
        <w:rPr>
          <w:rFonts w:ascii="Verdana" w:eastAsia="Verdana" w:hAnsi="Verdana" w:cs="Verdana"/>
          <w:sz w:val="20"/>
          <w:szCs w:val="20"/>
          <w:lang w:val="es-ES"/>
        </w:rPr>
        <w:t xml:space="preserve"> importancia </w:t>
      </w:r>
      <w:r w:rsidR="00954D55">
        <w:rPr>
          <w:rFonts w:ascii="Verdana" w:eastAsia="Verdana" w:hAnsi="Verdana" w:cs="Verdana"/>
          <w:sz w:val="20"/>
          <w:szCs w:val="20"/>
          <w:lang w:val="es-ES"/>
        </w:rPr>
        <w:t>que</w:t>
      </w:r>
      <w:r w:rsidR="00E06016" w:rsidRPr="00354B1E">
        <w:rPr>
          <w:rFonts w:ascii="Verdana" w:eastAsia="Verdana" w:hAnsi="Verdana" w:cs="Verdana"/>
          <w:sz w:val="20"/>
          <w:szCs w:val="20"/>
          <w:lang w:val="es-ES"/>
        </w:rPr>
        <w:t xml:space="preserve"> cada derecho del Pacto de San José t</w:t>
      </w:r>
      <w:r w:rsidR="00954D55">
        <w:rPr>
          <w:rFonts w:ascii="Verdana" w:eastAsia="Verdana" w:hAnsi="Verdana" w:cs="Verdana"/>
          <w:sz w:val="20"/>
          <w:szCs w:val="20"/>
          <w:lang w:val="es-ES"/>
        </w:rPr>
        <w:t>enga</w:t>
      </w:r>
      <w:r w:rsidR="00E06016" w:rsidRPr="00354B1E">
        <w:rPr>
          <w:rFonts w:ascii="Verdana" w:eastAsia="Verdana" w:hAnsi="Verdana" w:cs="Verdana"/>
          <w:sz w:val="20"/>
          <w:szCs w:val="20"/>
          <w:lang w:val="es-ES"/>
        </w:rPr>
        <w:t xml:space="preserve"> un espectro de protección diferenciado y específico</w:t>
      </w:r>
      <w:r w:rsidR="00954D55">
        <w:rPr>
          <w:rFonts w:ascii="Verdana" w:eastAsia="Verdana" w:hAnsi="Verdana" w:cs="Verdana"/>
          <w:sz w:val="20"/>
          <w:szCs w:val="20"/>
          <w:lang w:val="es-ES"/>
        </w:rPr>
        <w:t xml:space="preserve">. De lo contrario, no permite </w:t>
      </w:r>
      <w:r w:rsidR="00E06016" w:rsidRPr="00354B1E">
        <w:rPr>
          <w:rFonts w:ascii="Verdana" w:eastAsia="Verdana" w:hAnsi="Verdana" w:cs="Verdana"/>
          <w:sz w:val="20"/>
          <w:szCs w:val="20"/>
          <w:lang w:val="es-ES"/>
        </w:rPr>
        <w:t>delinear de manera adecuada su contenido</w:t>
      </w:r>
      <w:r w:rsidR="00954D55">
        <w:rPr>
          <w:rFonts w:ascii="Verdana" w:eastAsia="Verdana" w:hAnsi="Verdana" w:cs="Verdana"/>
          <w:sz w:val="20"/>
          <w:szCs w:val="20"/>
          <w:lang w:val="es-ES"/>
        </w:rPr>
        <w:t>, impidiendo</w:t>
      </w:r>
      <w:r w:rsidR="00E06016" w:rsidRPr="00354B1E">
        <w:rPr>
          <w:rFonts w:ascii="Verdana" w:eastAsia="Verdana" w:hAnsi="Verdana" w:cs="Verdana"/>
          <w:sz w:val="20"/>
          <w:szCs w:val="20"/>
          <w:lang w:val="es-ES"/>
        </w:rPr>
        <w:t xml:space="preserve"> </w:t>
      </w:r>
      <w:r w:rsidR="00954D55">
        <w:rPr>
          <w:rFonts w:ascii="Verdana" w:eastAsia="Verdana" w:hAnsi="Verdana" w:cs="Verdana"/>
          <w:sz w:val="20"/>
          <w:szCs w:val="20"/>
          <w:lang w:val="es-ES"/>
        </w:rPr>
        <w:t xml:space="preserve">en ocasiones que no se </w:t>
      </w:r>
      <w:r w:rsidR="00E06016" w:rsidRPr="00354B1E">
        <w:rPr>
          <w:rFonts w:ascii="Verdana" w:eastAsia="Verdana" w:hAnsi="Verdana" w:cs="Verdana"/>
          <w:sz w:val="20"/>
          <w:szCs w:val="20"/>
          <w:lang w:val="es-ES"/>
        </w:rPr>
        <w:t>pueda desdoblar un adecuado análisis de las violaciones a la Convención Americana</w:t>
      </w:r>
      <w:r w:rsidR="00F33013">
        <w:rPr>
          <w:rFonts w:ascii="Verdana" w:eastAsia="Verdana" w:hAnsi="Verdana" w:cs="Verdana"/>
          <w:sz w:val="20"/>
          <w:szCs w:val="20"/>
          <w:lang w:val="es-ES"/>
        </w:rPr>
        <w:t xml:space="preserve"> y evita traslapes innecesarios entre derechos</w:t>
      </w:r>
      <w:r w:rsidR="00E06016" w:rsidRPr="00354B1E">
        <w:rPr>
          <w:rFonts w:ascii="Verdana" w:eastAsia="Verdana" w:hAnsi="Verdana" w:cs="Verdana"/>
          <w:sz w:val="20"/>
          <w:szCs w:val="20"/>
          <w:lang w:val="es-ES"/>
        </w:rPr>
        <w:t xml:space="preserve">. Así, en este caso, lo relevante de abordar de manera diferenciada el derecho al medio ambiente, así como el derecho a la salud, es que la Corte IDH puede pronunciarse de manera directa sobre aspectos que deben ser evaluados conforme a obligaciones propias de los DESCA, como lo </w:t>
      </w:r>
      <w:r w:rsidR="00301678">
        <w:rPr>
          <w:rFonts w:ascii="Verdana" w:eastAsia="Verdana" w:hAnsi="Verdana" w:cs="Verdana"/>
          <w:sz w:val="20"/>
          <w:szCs w:val="20"/>
          <w:lang w:val="es-ES"/>
        </w:rPr>
        <w:t>son</w:t>
      </w:r>
      <w:r w:rsidR="00E06016" w:rsidRPr="00354B1E">
        <w:rPr>
          <w:rFonts w:ascii="Verdana" w:eastAsia="Verdana" w:hAnsi="Verdana" w:cs="Verdana"/>
          <w:sz w:val="20"/>
          <w:szCs w:val="20"/>
          <w:lang w:val="es-ES"/>
        </w:rPr>
        <w:t xml:space="preserve"> las obligaciones de progresividad (o bien desde la prohibición de regresividad)</w:t>
      </w:r>
      <w:r w:rsidR="00E06016" w:rsidRPr="00354B1E">
        <w:rPr>
          <w:rStyle w:val="Refdenotaalpie"/>
          <w:rFonts w:ascii="Verdana" w:eastAsia="Verdana" w:hAnsi="Verdana" w:cs="Verdana"/>
          <w:sz w:val="20"/>
          <w:szCs w:val="20"/>
          <w:lang w:val="es-ES"/>
        </w:rPr>
        <w:footnoteReference w:id="42"/>
      </w:r>
      <w:r w:rsidR="00E06016" w:rsidRPr="00354B1E">
        <w:rPr>
          <w:rFonts w:ascii="Verdana" w:eastAsia="Verdana" w:hAnsi="Verdana" w:cs="Verdana"/>
          <w:sz w:val="20"/>
          <w:szCs w:val="20"/>
          <w:lang w:val="es-ES"/>
        </w:rPr>
        <w:t xml:space="preserve">. De invisibilizarse los derechos sociales mediante los derechos civiles y políticos, se corre el riesgo de que los análisis de hechos que configuren lesiones a las personas únicamente tengan un acercamiento limitado. </w:t>
      </w:r>
      <w:r w:rsidR="00954D55">
        <w:rPr>
          <w:rFonts w:ascii="Verdana" w:eastAsia="Verdana" w:hAnsi="Verdana" w:cs="Verdana"/>
          <w:sz w:val="20"/>
          <w:szCs w:val="20"/>
          <w:lang w:val="es-ES"/>
        </w:rPr>
        <w:t>Por supuesto, considerando en todo caso la universalidad, indivisibilidad, interdependencia e interrelación de todos los derechos, sean civiles, políticos, económicos, sociales, culturales o ambientales.</w:t>
      </w:r>
    </w:p>
    <w:p w14:paraId="6827FFAD" w14:textId="5C228AB1" w:rsidR="00D801DF" w:rsidRDefault="00D801DF" w:rsidP="006B7EA6">
      <w:pPr>
        <w:jc w:val="both"/>
        <w:rPr>
          <w:rFonts w:ascii="Verdana" w:hAnsi="Verdana"/>
          <w:sz w:val="20"/>
          <w:szCs w:val="20"/>
          <w:lang w:val="es-ES"/>
        </w:rPr>
      </w:pPr>
    </w:p>
    <w:p w14:paraId="7364E051" w14:textId="4B84695F" w:rsidR="009D1D1D" w:rsidRPr="00783415" w:rsidRDefault="009D1D1D" w:rsidP="00783415">
      <w:pPr>
        <w:pStyle w:val="Prrafodelista"/>
        <w:ind w:left="0"/>
        <w:jc w:val="center"/>
        <w:rPr>
          <w:rFonts w:ascii="Verdana" w:hAnsi="Verdana"/>
          <w:b/>
          <w:sz w:val="20"/>
          <w:szCs w:val="20"/>
          <w:lang w:val="es-ES"/>
        </w:rPr>
      </w:pPr>
      <w:r w:rsidRPr="000430E4">
        <w:rPr>
          <w:rFonts w:ascii="Verdana" w:hAnsi="Verdana"/>
          <w:b/>
          <w:sz w:val="20"/>
          <w:szCs w:val="20"/>
          <w:lang w:val="es-ES"/>
        </w:rPr>
        <w:t>IV. LA DIMENSIÓN COLECTIVA DEL DERECHO AL MEDIO AMBIENTE Y SU RELEVANCIA EN MATERIA DE REPARACIONES COLECTIVAS Y DE NO REPETICIÓN</w:t>
      </w:r>
    </w:p>
    <w:p w14:paraId="60579CE4" w14:textId="1C2AC3DA" w:rsidR="009D1D1D" w:rsidRPr="008E72FA" w:rsidRDefault="009D1D1D" w:rsidP="009D1D1D">
      <w:pPr>
        <w:pStyle w:val="Prrafodelista"/>
        <w:ind w:left="0"/>
        <w:jc w:val="center"/>
        <w:rPr>
          <w:rFonts w:ascii="Verdana" w:hAnsi="Verdana"/>
          <w:color w:val="000000" w:themeColor="text1"/>
          <w:sz w:val="20"/>
          <w:szCs w:val="20"/>
          <w:lang w:val="es-ES"/>
        </w:rPr>
      </w:pPr>
    </w:p>
    <w:p w14:paraId="00DE31FE" w14:textId="620549A1" w:rsidR="00894833" w:rsidRPr="00DF433D" w:rsidRDefault="00783415" w:rsidP="00783415">
      <w:pPr>
        <w:pStyle w:val="Prrafodelista"/>
        <w:ind w:left="0"/>
        <w:jc w:val="both"/>
        <w:rPr>
          <w:rFonts w:ascii="Verdana" w:hAnsi="Verdana"/>
          <w:bCs/>
          <w:sz w:val="20"/>
          <w:szCs w:val="20"/>
          <w:lang w:val="es-ES"/>
        </w:rPr>
      </w:pPr>
      <w:bookmarkStart w:id="0" w:name="_Hlk158889580"/>
      <w:r>
        <w:rPr>
          <w:rFonts w:ascii="Verdana" w:hAnsi="Verdana"/>
          <w:bCs/>
          <w:sz w:val="20"/>
          <w:szCs w:val="20"/>
          <w:lang w:val="es-ES"/>
        </w:rPr>
        <w:t xml:space="preserve">46. </w:t>
      </w:r>
      <w:r>
        <w:rPr>
          <w:rFonts w:ascii="Verdana" w:hAnsi="Verdana"/>
          <w:bCs/>
          <w:sz w:val="20"/>
          <w:szCs w:val="20"/>
          <w:lang w:val="es-ES"/>
        </w:rPr>
        <w:tab/>
      </w:r>
      <w:r w:rsidR="00482024" w:rsidRPr="007E2DAF">
        <w:rPr>
          <w:rFonts w:ascii="Verdana" w:hAnsi="Verdana"/>
          <w:bCs/>
          <w:sz w:val="20"/>
          <w:szCs w:val="20"/>
          <w:lang w:val="es-ES"/>
        </w:rPr>
        <w:t xml:space="preserve">Después de examinar el estado del arte en relación con la protección del medio ambiente </w:t>
      </w:r>
      <w:r w:rsidR="00482024" w:rsidRPr="00B854B6">
        <w:rPr>
          <w:rFonts w:ascii="Verdana" w:hAnsi="Verdana"/>
          <w:bCs/>
          <w:sz w:val="20"/>
          <w:szCs w:val="20"/>
          <w:lang w:val="es-ES"/>
        </w:rPr>
        <w:t xml:space="preserve">en </w:t>
      </w:r>
      <w:r w:rsidR="00FF0734" w:rsidRPr="00B854B6">
        <w:rPr>
          <w:rFonts w:ascii="Verdana" w:hAnsi="Verdana"/>
          <w:bCs/>
          <w:sz w:val="20"/>
          <w:szCs w:val="20"/>
          <w:lang w:val="es-ES"/>
        </w:rPr>
        <w:t xml:space="preserve">el derecho internacional de los derechos humanos y la evolución jurisprudencial </w:t>
      </w:r>
      <w:r w:rsidR="00152AF9" w:rsidRPr="00B854B6">
        <w:rPr>
          <w:rFonts w:ascii="Verdana" w:hAnsi="Verdana"/>
          <w:bCs/>
          <w:sz w:val="20"/>
          <w:szCs w:val="20"/>
          <w:lang w:val="es-ES"/>
        </w:rPr>
        <w:t xml:space="preserve">sobre la materia </w:t>
      </w:r>
      <w:r w:rsidR="005734BE">
        <w:rPr>
          <w:rFonts w:ascii="Verdana" w:hAnsi="Verdana"/>
          <w:bCs/>
          <w:sz w:val="20"/>
          <w:szCs w:val="20"/>
          <w:lang w:val="es-ES"/>
        </w:rPr>
        <w:t xml:space="preserve">realizada </w:t>
      </w:r>
      <w:r w:rsidR="00FF0734" w:rsidRPr="00B854B6">
        <w:rPr>
          <w:rFonts w:ascii="Verdana" w:hAnsi="Verdana"/>
          <w:bCs/>
          <w:sz w:val="20"/>
          <w:szCs w:val="20"/>
          <w:lang w:val="es-ES"/>
        </w:rPr>
        <w:t xml:space="preserve">por este Tribunal, así como resaltar algunos aspectos concretos relevantes </w:t>
      </w:r>
      <w:r w:rsidR="00152AF9" w:rsidRPr="00B854B6">
        <w:rPr>
          <w:rFonts w:ascii="Verdana" w:hAnsi="Verdana"/>
          <w:bCs/>
          <w:sz w:val="20"/>
          <w:szCs w:val="20"/>
          <w:lang w:val="es-ES"/>
        </w:rPr>
        <w:t>en</w:t>
      </w:r>
      <w:r w:rsidR="00FF0734" w:rsidRPr="00B854B6">
        <w:rPr>
          <w:rFonts w:ascii="Verdana" w:hAnsi="Verdana"/>
          <w:bCs/>
          <w:sz w:val="20"/>
          <w:szCs w:val="20"/>
          <w:lang w:val="es-ES"/>
        </w:rPr>
        <w:t xml:space="preserve"> la sentencia, </w:t>
      </w:r>
      <w:r w:rsidR="00482024" w:rsidRPr="00B854B6">
        <w:rPr>
          <w:rFonts w:ascii="Verdana" w:hAnsi="Verdana"/>
          <w:bCs/>
          <w:sz w:val="20"/>
          <w:szCs w:val="20"/>
          <w:lang w:val="es-ES"/>
        </w:rPr>
        <w:t xml:space="preserve">esta sección </w:t>
      </w:r>
      <w:r w:rsidR="00FF0734" w:rsidRPr="00B854B6">
        <w:rPr>
          <w:rFonts w:ascii="Verdana" w:hAnsi="Verdana"/>
          <w:bCs/>
          <w:sz w:val="20"/>
          <w:szCs w:val="20"/>
          <w:lang w:val="es-ES"/>
        </w:rPr>
        <w:t>del voto</w:t>
      </w:r>
      <w:r w:rsidR="00FF0734">
        <w:rPr>
          <w:rFonts w:ascii="Verdana" w:hAnsi="Verdana"/>
          <w:bCs/>
          <w:sz w:val="20"/>
          <w:szCs w:val="20"/>
          <w:lang w:val="es-ES"/>
        </w:rPr>
        <w:t xml:space="preserve"> </w:t>
      </w:r>
      <w:r w:rsidR="00482024" w:rsidRPr="007E2DAF">
        <w:rPr>
          <w:rFonts w:ascii="Verdana" w:hAnsi="Verdana"/>
          <w:bCs/>
          <w:sz w:val="20"/>
          <w:szCs w:val="20"/>
          <w:lang w:val="es-ES"/>
        </w:rPr>
        <w:t xml:space="preserve">se dedicará </w:t>
      </w:r>
      <w:r w:rsidR="000B616C">
        <w:rPr>
          <w:rFonts w:ascii="Verdana" w:hAnsi="Verdana"/>
          <w:bCs/>
          <w:sz w:val="20"/>
          <w:szCs w:val="20"/>
          <w:lang w:val="es-ES"/>
        </w:rPr>
        <w:t xml:space="preserve">a </w:t>
      </w:r>
      <w:r w:rsidR="00482024" w:rsidRPr="007E2DAF">
        <w:rPr>
          <w:rFonts w:ascii="Verdana" w:hAnsi="Verdana"/>
          <w:bCs/>
          <w:sz w:val="20"/>
          <w:szCs w:val="20"/>
          <w:lang w:val="es-ES"/>
        </w:rPr>
        <w:t xml:space="preserve">la dimensión colectiva del derecho a un medio </w:t>
      </w:r>
      <w:r w:rsidR="00482024" w:rsidRPr="00DF433D">
        <w:rPr>
          <w:rFonts w:ascii="Verdana" w:hAnsi="Verdana"/>
          <w:bCs/>
          <w:sz w:val="20"/>
          <w:szCs w:val="20"/>
          <w:lang w:val="es-ES"/>
        </w:rPr>
        <w:t>ambiente sano en este caso y</w:t>
      </w:r>
      <w:r w:rsidR="002A1B62" w:rsidRPr="00DF433D">
        <w:rPr>
          <w:rFonts w:ascii="Verdana" w:hAnsi="Verdana"/>
          <w:bCs/>
          <w:sz w:val="20"/>
          <w:szCs w:val="20"/>
          <w:lang w:val="es-ES"/>
        </w:rPr>
        <w:t xml:space="preserve"> a</w:t>
      </w:r>
      <w:r w:rsidR="00482024" w:rsidRPr="00DF433D">
        <w:rPr>
          <w:rFonts w:ascii="Verdana" w:hAnsi="Verdana"/>
          <w:bCs/>
          <w:sz w:val="20"/>
          <w:szCs w:val="20"/>
          <w:lang w:val="es-ES"/>
        </w:rPr>
        <w:t xml:space="preserve"> los impactos de este entendimiento sobre las reparaciones colectivas, especialmente las garantías de no repetición</w:t>
      </w:r>
      <w:r w:rsidR="00A40944" w:rsidRPr="00DF433D">
        <w:rPr>
          <w:rFonts w:ascii="Verdana" w:hAnsi="Verdana"/>
          <w:bCs/>
          <w:sz w:val="20"/>
          <w:szCs w:val="20"/>
          <w:lang w:val="es-ES"/>
        </w:rPr>
        <w:t xml:space="preserve">. </w:t>
      </w:r>
      <w:r w:rsidR="0010705E" w:rsidRPr="00DF433D">
        <w:rPr>
          <w:rFonts w:ascii="Verdana" w:hAnsi="Verdana"/>
          <w:bCs/>
          <w:sz w:val="20"/>
          <w:szCs w:val="20"/>
          <w:lang w:val="es-ES"/>
        </w:rPr>
        <w:t xml:space="preserve"> </w:t>
      </w:r>
    </w:p>
    <w:p w14:paraId="4D30C74B" w14:textId="77777777" w:rsidR="00894833" w:rsidRPr="00DF433D" w:rsidRDefault="00894833" w:rsidP="00894833">
      <w:pPr>
        <w:pStyle w:val="Prrafodelista"/>
        <w:ind w:left="0"/>
        <w:jc w:val="both"/>
        <w:rPr>
          <w:rFonts w:ascii="Verdana" w:hAnsi="Verdana"/>
          <w:bCs/>
          <w:sz w:val="20"/>
          <w:szCs w:val="20"/>
          <w:lang w:val="es-ES"/>
        </w:rPr>
      </w:pPr>
    </w:p>
    <w:p w14:paraId="4072F34B" w14:textId="7F45F105" w:rsidR="00894833" w:rsidRPr="00DF433D" w:rsidRDefault="00783415" w:rsidP="00783415">
      <w:pPr>
        <w:pStyle w:val="Prrafodelista"/>
        <w:ind w:left="0"/>
        <w:jc w:val="both"/>
        <w:rPr>
          <w:rFonts w:ascii="Verdana" w:hAnsi="Verdana"/>
          <w:bCs/>
          <w:sz w:val="20"/>
          <w:szCs w:val="20"/>
          <w:lang w:val="es-ES"/>
        </w:rPr>
      </w:pPr>
      <w:r>
        <w:rPr>
          <w:rFonts w:ascii="Verdana" w:hAnsi="Verdana"/>
          <w:bCs/>
          <w:sz w:val="20"/>
          <w:szCs w:val="20"/>
          <w:lang w:val="es-ES"/>
        </w:rPr>
        <w:t xml:space="preserve">47. </w:t>
      </w:r>
      <w:r>
        <w:rPr>
          <w:rFonts w:ascii="Verdana" w:hAnsi="Verdana"/>
          <w:bCs/>
          <w:sz w:val="20"/>
          <w:szCs w:val="20"/>
          <w:lang w:val="es-ES"/>
        </w:rPr>
        <w:tab/>
      </w:r>
      <w:r w:rsidR="00482024" w:rsidRPr="00DF433D">
        <w:rPr>
          <w:rFonts w:ascii="Verdana" w:hAnsi="Verdana"/>
          <w:bCs/>
          <w:sz w:val="20"/>
          <w:szCs w:val="20"/>
          <w:lang w:val="es-ES"/>
        </w:rPr>
        <w:t xml:space="preserve">Este caso </w:t>
      </w:r>
      <w:r w:rsidR="002A1B62" w:rsidRPr="00DF433D">
        <w:rPr>
          <w:rFonts w:ascii="Verdana" w:hAnsi="Verdana"/>
          <w:bCs/>
          <w:sz w:val="20"/>
          <w:szCs w:val="20"/>
          <w:lang w:val="es-ES"/>
        </w:rPr>
        <w:t xml:space="preserve">se </w:t>
      </w:r>
      <w:r w:rsidR="00482024" w:rsidRPr="00DF433D">
        <w:rPr>
          <w:rFonts w:ascii="Verdana" w:hAnsi="Verdana"/>
          <w:bCs/>
          <w:sz w:val="20"/>
          <w:szCs w:val="20"/>
          <w:lang w:val="es-ES"/>
        </w:rPr>
        <w:t xml:space="preserve">destaca por </w:t>
      </w:r>
      <w:r w:rsidR="002A1B62" w:rsidRPr="00DF433D">
        <w:rPr>
          <w:rFonts w:ascii="Verdana" w:hAnsi="Verdana"/>
          <w:bCs/>
          <w:sz w:val="20"/>
          <w:szCs w:val="20"/>
          <w:lang w:val="es-ES"/>
        </w:rPr>
        <w:t>la</w:t>
      </w:r>
      <w:r w:rsidR="00482024" w:rsidRPr="00DF433D">
        <w:rPr>
          <w:rFonts w:ascii="Verdana" w:hAnsi="Verdana"/>
          <w:bCs/>
          <w:sz w:val="20"/>
          <w:szCs w:val="20"/>
          <w:lang w:val="es-ES"/>
        </w:rPr>
        <w:t xml:space="preserve"> discusión de los impactos ambientales</w:t>
      </w:r>
      <w:r w:rsidR="002A1B62" w:rsidRPr="00DF433D">
        <w:rPr>
          <w:rFonts w:ascii="Verdana" w:hAnsi="Verdana"/>
          <w:bCs/>
          <w:sz w:val="20"/>
          <w:szCs w:val="20"/>
          <w:lang w:val="es-ES"/>
        </w:rPr>
        <w:t xml:space="preserve"> colectivos de las actividades </w:t>
      </w:r>
      <w:r w:rsidR="00931116" w:rsidRPr="00DF433D">
        <w:rPr>
          <w:rFonts w:ascii="Verdana" w:hAnsi="Verdana"/>
          <w:bCs/>
          <w:sz w:val="20"/>
          <w:szCs w:val="20"/>
          <w:lang w:val="es-ES"/>
        </w:rPr>
        <w:t>extractivas</w:t>
      </w:r>
      <w:r w:rsidR="00482024" w:rsidRPr="00DF433D">
        <w:rPr>
          <w:rFonts w:ascii="Verdana" w:hAnsi="Verdana"/>
          <w:bCs/>
          <w:sz w:val="20"/>
          <w:szCs w:val="20"/>
          <w:lang w:val="es-ES"/>
        </w:rPr>
        <w:t xml:space="preserve">. A partir de 1922, el </w:t>
      </w:r>
      <w:r w:rsidR="00482024" w:rsidRPr="00DF433D">
        <w:rPr>
          <w:rFonts w:ascii="Verdana" w:hAnsi="Verdana"/>
          <w:bCs/>
          <w:i/>
          <w:iCs/>
          <w:sz w:val="20"/>
          <w:szCs w:val="20"/>
          <w:lang w:val="es-ES"/>
        </w:rPr>
        <w:t xml:space="preserve">Complejo Metalúrgico de La Oroya </w:t>
      </w:r>
      <w:r w:rsidR="00482024" w:rsidRPr="00DF433D">
        <w:rPr>
          <w:rFonts w:ascii="Verdana" w:hAnsi="Verdana"/>
          <w:bCs/>
          <w:sz w:val="20"/>
          <w:szCs w:val="20"/>
          <w:lang w:val="es-ES"/>
        </w:rPr>
        <w:t>("CMLO"), un complejo metalúrgico privado, nacionalizado en 1974</w:t>
      </w:r>
      <w:r w:rsidR="00345BC3" w:rsidRPr="00DF433D">
        <w:rPr>
          <w:rFonts w:ascii="Verdana" w:hAnsi="Verdana"/>
          <w:bCs/>
          <w:sz w:val="20"/>
          <w:szCs w:val="20"/>
          <w:lang w:val="es-ES"/>
        </w:rPr>
        <w:t>,</w:t>
      </w:r>
      <w:r w:rsidR="00482024" w:rsidRPr="00DF433D">
        <w:rPr>
          <w:rFonts w:ascii="Verdana" w:hAnsi="Verdana"/>
          <w:bCs/>
          <w:sz w:val="20"/>
          <w:szCs w:val="20"/>
          <w:lang w:val="es-ES"/>
        </w:rPr>
        <w:t xml:space="preserve"> operado por el Estado hasta 1997, y posteriormente privatizado por la </w:t>
      </w:r>
      <w:r w:rsidR="00482024" w:rsidRPr="00DF433D">
        <w:rPr>
          <w:rFonts w:ascii="Verdana" w:hAnsi="Verdana"/>
          <w:bCs/>
          <w:i/>
          <w:iCs/>
          <w:sz w:val="20"/>
          <w:szCs w:val="20"/>
          <w:lang w:val="es-ES"/>
        </w:rPr>
        <w:t>empresa Doe Run</w:t>
      </w:r>
      <w:r w:rsidR="00482024" w:rsidRPr="00DF433D">
        <w:rPr>
          <w:rFonts w:ascii="Verdana" w:hAnsi="Verdana"/>
          <w:bCs/>
          <w:sz w:val="20"/>
          <w:szCs w:val="20"/>
          <w:lang w:val="es-ES"/>
        </w:rPr>
        <w:t>, comenzó a procesar minerales como plomo, cobre, zinc, plata, oro, cadmio, mercurio y arsénico en la ciudad de La Oroya</w:t>
      </w:r>
      <w:r w:rsidR="000E0E4D" w:rsidRPr="00DF433D">
        <w:rPr>
          <w:rStyle w:val="Refdenotaalpie"/>
          <w:rFonts w:ascii="Verdana" w:hAnsi="Verdana"/>
          <w:bCs/>
          <w:sz w:val="20"/>
          <w:szCs w:val="20"/>
          <w:lang w:val="pt-BR"/>
        </w:rPr>
        <w:footnoteReference w:id="43"/>
      </w:r>
      <w:r w:rsidR="004A73DE" w:rsidRPr="00DF433D">
        <w:rPr>
          <w:rFonts w:ascii="Verdana" w:hAnsi="Verdana"/>
          <w:bCs/>
          <w:sz w:val="20"/>
          <w:szCs w:val="20"/>
          <w:lang w:val="es-ES"/>
        </w:rPr>
        <w:t>.</w:t>
      </w:r>
      <w:r w:rsidR="00482024" w:rsidRPr="00DF433D">
        <w:rPr>
          <w:rFonts w:ascii="Verdana" w:hAnsi="Verdana"/>
          <w:bCs/>
          <w:sz w:val="20"/>
          <w:szCs w:val="20"/>
          <w:lang w:val="es-ES"/>
        </w:rPr>
        <w:t xml:space="preserve"> Las actividades se suspendieron en 2009, pero se reanudaron parcialmente entre 2012 y 2014. Durante más de 100 años de actividad, la extracción de minerales ha expuesto históricamente a los residentes de la región a niveles nocivos de contaminación</w:t>
      </w:r>
      <w:r w:rsidR="004A73DE" w:rsidRPr="00DF433D">
        <w:rPr>
          <w:rFonts w:ascii="Verdana" w:hAnsi="Verdana"/>
          <w:bCs/>
          <w:sz w:val="20"/>
          <w:szCs w:val="20"/>
          <w:lang w:val="es-ES"/>
        </w:rPr>
        <w:t xml:space="preserve">. </w:t>
      </w:r>
    </w:p>
    <w:p w14:paraId="14EC4BA8" w14:textId="77777777" w:rsidR="00894833" w:rsidRPr="00DF433D" w:rsidRDefault="00894833" w:rsidP="00894833">
      <w:pPr>
        <w:pStyle w:val="Prrafodelista"/>
        <w:rPr>
          <w:rFonts w:ascii="Verdana" w:hAnsi="Verdana"/>
          <w:bCs/>
          <w:color w:val="000000" w:themeColor="text1"/>
          <w:sz w:val="20"/>
          <w:szCs w:val="20"/>
          <w:lang w:val="es-ES"/>
        </w:rPr>
      </w:pPr>
    </w:p>
    <w:p w14:paraId="2500B2F1" w14:textId="3C6D32FE" w:rsidR="00894833" w:rsidRPr="00DF433D" w:rsidRDefault="00783415" w:rsidP="00783415">
      <w:pPr>
        <w:pStyle w:val="Prrafodelista"/>
        <w:ind w:left="0"/>
        <w:jc w:val="both"/>
        <w:rPr>
          <w:rFonts w:ascii="Verdana" w:hAnsi="Verdana"/>
          <w:bCs/>
          <w:sz w:val="20"/>
          <w:szCs w:val="20"/>
          <w:lang w:val="es-ES"/>
        </w:rPr>
      </w:pPr>
      <w:r>
        <w:rPr>
          <w:rFonts w:ascii="Verdana" w:hAnsi="Verdana"/>
          <w:bCs/>
          <w:sz w:val="20"/>
          <w:szCs w:val="20"/>
          <w:lang w:val="es-ES"/>
        </w:rPr>
        <w:t xml:space="preserve">48. </w:t>
      </w:r>
      <w:r>
        <w:rPr>
          <w:rFonts w:ascii="Verdana" w:hAnsi="Verdana"/>
          <w:bCs/>
          <w:sz w:val="20"/>
          <w:szCs w:val="20"/>
          <w:lang w:val="es-ES"/>
        </w:rPr>
        <w:tab/>
      </w:r>
      <w:r w:rsidR="00482024" w:rsidRPr="00DF433D">
        <w:rPr>
          <w:rFonts w:ascii="Verdana" w:hAnsi="Verdana"/>
          <w:bCs/>
          <w:sz w:val="20"/>
          <w:szCs w:val="20"/>
          <w:lang w:val="es-ES"/>
        </w:rPr>
        <w:t>Según la sentencia,</w:t>
      </w:r>
      <w:r w:rsidR="00345BC3" w:rsidRPr="00DF433D">
        <w:rPr>
          <w:rFonts w:ascii="Verdana" w:hAnsi="Verdana"/>
          <w:bCs/>
          <w:sz w:val="20"/>
          <w:szCs w:val="20"/>
          <w:lang w:val="es-ES"/>
        </w:rPr>
        <w:t xml:space="preserve"> y en conformidad con los datos de la Organización Mundial de la Salud,</w:t>
      </w:r>
      <w:r w:rsidR="00482024" w:rsidRPr="00DF433D">
        <w:rPr>
          <w:rFonts w:ascii="Verdana" w:hAnsi="Verdana"/>
          <w:bCs/>
          <w:sz w:val="20"/>
          <w:szCs w:val="20"/>
          <w:lang w:val="es-ES"/>
        </w:rPr>
        <w:t xml:space="preserve"> cuatro de los diez metales que más amenazan la salud pública estaban presentes en la comunidad de La Oroya: plomo, cadmio, mercurio y arsénico</w:t>
      </w:r>
      <w:r w:rsidR="00517939" w:rsidRPr="00DF433D">
        <w:rPr>
          <w:rStyle w:val="Refdenotaalpie"/>
          <w:rFonts w:ascii="Verdana" w:hAnsi="Verdana"/>
          <w:bCs/>
          <w:sz w:val="20"/>
          <w:szCs w:val="20"/>
          <w:lang w:val="pt-BR"/>
        </w:rPr>
        <w:footnoteReference w:id="44"/>
      </w:r>
      <w:r w:rsidR="00517939" w:rsidRPr="00DF433D">
        <w:rPr>
          <w:rFonts w:ascii="Verdana" w:hAnsi="Verdana"/>
          <w:bCs/>
          <w:sz w:val="20"/>
          <w:szCs w:val="20"/>
          <w:lang w:val="es-ES"/>
        </w:rPr>
        <w:t>.</w:t>
      </w:r>
      <w:r w:rsidR="00345BC3" w:rsidRPr="00DF433D">
        <w:rPr>
          <w:rFonts w:ascii="Verdana" w:hAnsi="Verdana"/>
          <w:bCs/>
          <w:sz w:val="20"/>
          <w:szCs w:val="20"/>
          <w:lang w:val="es-ES"/>
        </w:rPr>
        <w:t xml:space="preserve"> La sumisión de los habitantes de la localidad por largos períodos de tiempo a estos agentes contaminantes ha llevado </w:t>
      </w:r>
      <w:r w:rsidR="00482024" w:rsidRPr="00DF433D">
        <w:rPr>
          <w:rFonts w:ascii="Verdana" w:hAnsi="Verdana"/>
          <w:bCs/>
          <w:sz w:val="20"/>
          <w:szCs w:val="20"/>
          <w:lang w:val="es-ES"/>
        </w:rPr>
        <w:t xml:space="preserve">a las víctimas a </w:t>
      </w:r>
      <w:r w:rsidR="00345BC3" w:rsidRPr="00DF433D">
        <w:rPr>
          <w:rFonts w:ascii="Verdana" w:hAnsi="Verdana"/>
          <w:bCs/>
          <w:sz w:val="20"/>
          <w:szCs w:val="20"/>
          <w:lang w:val="es-ES"/>
        </w:rPr>
        <w:t>relatar</w:t>
      </w:r>
      <w:r w:rsidR="00482024" w:rsidRPr="00DF433D">
        <w:rPr>
          <w:rFonts w:ascii="Verdana" w:hAnsi="Verdana"/>
          <w:bCs/>
          <w:sz w:val="20"/>
          <w:szCs w:val="20"/>
          <w:lang w:val="es-ES"/>
        </w:rPr>
        <w:t xml:space="preserve"> graves problemas de salud como cáncer, anemia, desnutrición, irritación gástrica, infecciones respiratorias y problemas cutáneos. No es de extrañar que se detectaran niveles de plata superiores a los permitidos en la sangre de l</w:t>
      </w:r>
      <w:r w:rsidR="001B6E14">
        <w:rPr>
          <w:rFonts w:ascii="Verdana" w:hAnsi="Verdana"/>
          <w:bCs/>
          <w:sz w:val="20"/>
          <w:szCs w:val="20"/>
          <w:lang w:val="es-ES"/>
        </w:rPr>
        <w:t>as niñas y</w:t>
      </w:r>
      <w:r w:rsidR="00482024" w:rsidRPr="00DF433D">
        <w:rPr>
          <w:rFonts w:ascii="Verdana" w:hAnsi="Verdana"/>
          <w:bCs/>
          <w:sz w:val="20"/>
          <w:szCs w:val="20"/>
          <w:lang w:val="es-ES"/>
        </w:rPr>
        <w:t xml:space="preserve"> niños</w:t>
      </w:r>
      <w:r w:rsidR="003478B3" w:rsidRPr="00DF433D">
        <w:rPr>
          <w:rStyle w:val="Refdenotaalpie"/>
          <w:rFonts w:ascii="Verdana" w:hAnsi="Verdana"/>
          <w:bCs/>
          <w:sz w:val="20"/>
          <w:szCs w:val="20"/>
          <w:lang w:val="pt-BR"/>
        </w:rPr>
        <w:footnoteReference w:id="45"/>
      </w:r>
      <w:r w:rsidR="003478B3" w:rsidRPr="00DF433D">
        <w:rPr>
          <w:rFonts w:ascii="Verdana" w:hAnsi="Verdana"/>
          <w:bCs/>
          <w:sz w:val="20"/>
          <w:szCs w:val="20"/>
          <w:lang w:val="es-ES"/>
        </w:rPr>
        <w:t>.</w:t>
      </w:r>
    </w:p>
    <w:p w14:paraId="53B2C304" w14:textId="77777777" w:rsidR="00894833" w:rsidRPr="00DF433D" w:rsidRDefault="00894833" w:rsidP="004D6FD8">
      <w:pPr>
        <w:rPr>
          <w:color w:val="000000" w:themeColor="text1"/>
          <w:lang w:val="es-ES"/>
        </w:rPr>
      </w:pPr>
    </w:p>
    <w:p w14:paraId="74AAA386" w14:textId="439DD354" w:rsidR="00626D60" w:rsidRPr="00DF433D" w:rsidRDefault="00783415" w:rsidP="00783415">
      <w:pPr>
        <w:pStyle w:val="Prrafodelista"/>
        <w:ind w:left="0"/>
        <w:jc w:val="both"/>
        <w:rPr>
          <w:rFonts w:ascii="Verdana" w:hAnsi="Verdana"/>
          <w:bCs/>
          <w:sz w:val="20"/>
          <w:szCs w:val="20"/>
          <w:lang w:val="es-ES"/>
        </w:rPr>
      </w:pPr>
      <w:r>
        <w:rPr>
          <w:rFonts w:ascii="Verdana" w:hAnsi="Verdana"/>
          <w:bCs/>
          <w:sz w:val="20"/>
          <w:szCs w:val="20"/>
          <w:lang w:val="es-ES"/>
        </w:rPr>
        <w:t>49.</w:t>
      </w:r>
      <w:r>
        <w:rPr>
          <w:rFonts w:ascii="Verdana" w:hAnsi="Verdana"/>
          <w:bCs/>
          <w:sz w:val="20"/>
          <w:szCs w:val="20"/>
          <w:lang w:val="es-ES"/>
        </w:rPr>
        <w:tab/>
      </w:r>
      <w:r w:rsidR="00482024" w:rsidRPr="00DF433D">
        <w:rPr>
          <w:rFonts w:ascii="Verdana" w:hAnsi="Verdana"/>
          <w:bCs/>
          <w:sz w:val="20"/>
          <w:szCs w:val="20"/>
          <w:lang w:val="es-ES"/>
        </w:rPr>
        <w:t>Al reconocer que el daño a la salud de las víctimas fue resultado de una violación colectiva al derecho a un medio ambiente sano</w:t>
      </w:r>
      <w:r w:rsidR="00B27258" w:rsidRPr="00DF433D">
        <w:rPr>
          <w:rStyle w:val="Refdenotaalpie"/>
          <w:rFonts w:ascii="Verdana" w:hAnsi="Verdana"/>
          <w:bCs/>
          <w:sz w:val="20"/>
          <w:szCs w:val="20"/>
          <w:lang w:val="pt-BR"/>
        </w:rPr>
        <w:footnoteReference w:id="46"/>
      </w:r>
      <w:r w:rsidR="00B27258" w:rsidRPr="00DF433D">
        <w:rPr>
          <w:rFonts w:ascii="Verdana" w:hAnsi="Verdana"/>
          <w:bCs/>
          <w:sz w:val="20"/>
          <w:szCs w:val="20"/>
          <w:lang w:val="es-ES"/>
        </w:rPr>
        <w:t>,</w:t>
      </w:r>
      <w:r w:rsidR="00482024" w:rsidRPr="00DF433D">
        <w:rPr>
          <w:rFonts w:ascii="Verdana" w:hAnsi="Verdana"/>
          <w:bCs/>
          <w:sz w:val="20"/>
          <w:szCs w:val="20"/>
          <w:lang w:val="es-ES"/>
        </w:rPr>
        <w:t xml:space="preserve"> la Corte IDH puso en práctica, en </w:t>
      </w:r>
      <w:r w:rsidR="00345BC3" w:rsidRPr="00DF433D">
        <w:rPr>
          <w:rFonts w:ascii="Verdana" w:hAnsi="Verdana"/>
          <w:bCs/>
          <w:sz w:val="20"/>
          <w:szCs w:val="20"/>
          <w:lang w:val="es-ES"/>
        </w:rPr>
        <w:t>su jurisdicción contenciosa</w:t>
      </w:r>
      <w:r w:rsidR="00482024" w:rsidRPr="00DF433D">
        <w:rPr>
          <w:rFonts w:ascii="Verdana" w:hAnsi="Verdana"/>
          <w:bCs/>
          <w:sz w:val="20"/>
          <w:szCs w:val="20"/>
          <w:lang w:val="es-ES"/>
        </w:rPr>
        <w:t xml:space="preserve">, las consideraciones emitidas por </w:t>
      </w:r>
      <w:r w:rsidR="00345BC3" w:rsidRPr="00DF433D">
        <w:rPr>
          <w:rFonts w:ascii="Verdana" w:hAnsi="Verdana"/>
          <w:bCs/>
          <w:sz w:val="20"/>
          <w:szCs w:val="20"/>
          <w:lang w:val="es-ES"/>
        </w:rPr>
        <w:t>el propio Tribunal</w:t>
      </w:r>
      <w:r w:rsidR="00482024" w:rsidRPr="00DF433D">
        <w:rPr>
          <w:rFonts w:ascii="Verdana" w:hAnsi="Verdana"/>
          <w:bCs/>
          <w:sz w:val="20"/>
          <w:szCs w:val="20"/>
          <w:lang w:val="es-ES"/>
        </w:rPr>
        <w:t xml:space="preserve"> cuando emitió la Opinión Consultiva No. 23 en 2017. </w:t>
      </w:r>
      <w:r w:rsidR="00482024" w:rsidRPr="00DF433D">
        <w:rPr>
          <w:rFonts w:ascii="Verdana" w:hAnsi="Verdana"/>
          <w:bCs/>
          <w:sz w:val="20"/>
          <w:szCs w:val="20"/>
          <w:lang w:val="es-419"/>
        </w:rPr>
        <w:t xml:space="preserve">En esa ocasión, la Corte IDH estableció que </w:t>
      </w:r>
      <w:r w:rsidR="00130411" w:rsidRPr="00DF433D">
        <w:rPr>
          <w:rFonts w:ascii="Verdana" w:hAnsi="Verdana"/>
          <w:bCs/>
          <w:sz w:val="20"/>
          <w:szCs w:val="20"/>
          <w:lang w:val="es-419"/>
        </w:rPr>
        <w:t>“</w:t>
      </w:r>
      <w:r w:rsidR="00130411" w:rsidRPr="008E72FA">
        <w:rPr>
          <w:rFonts w:ascii="Verdana" w:hAnsi="Verdana"/>
          <w:iCs/>
          <w:sz w:val="20"/>
          <w:szCs w:val="20"/>
        </w:rPr>
        <w:t>el derecho humano a un medio ambiente sano se ha entendido como un derecho con connotaciones tanto individuales como colectivas. En su dimensión colectiva, el derecho a un medio ambiente sano constituye un interés universal, que se debe tanto a las generaciones presentes y futuras</w:t>
      </w:r>
      <w:r w:rsidR="00752132" w:rsidRPr="008E72FA">
        <w:rPr>
          <w:rFonts w:ascii="Verdana" w:hAnsi="Verdana"/>
          <w:iCs/>
          <w:sz w:val="20"/>
          <w:szCs w:val="20"/>
        </w:rPr>
        <w:t xml:space="preserve"> </w:t>
      </w:r>
      <w:r w:rsidR="00264C00">
        <w:rPr>
          <w:rFonts w:ascii="Verdana" w:hAnsi="Verdana"/>
          <w:iCs/>
          <w:sz w:val="20"/>
          <w:szCs w:val="20"/>
        </w:rPr>
        <w:t>[</w:t>
      </w:r>
      <w:r w:rsidR="00752132" w:rsidRPr="008E72FA">
        <w:rPr>
          <w:rFonts w:ascii="Verdana" w:hAnsi="Verdana"/>
          <w:iCs/>
          <w:sz w:val="20"/>
          <w:szCs w:val="20"/>
        </w:rPr>
        <w:t>…</w:t>
      </w:r>
      <w:r w:rsidR="00264C00">
        <w:rPr>
          <w:rFonts w:ascii="Verdana" w:hAnsi="Verdana"/>
          <w:iCs/>
          <w:sz w:val="20"/>
          <w:szCs w:val="20"/>
        </w:rPr>
        <w:t>]</w:t>
      </w:r>
      <w:r w:rsidR="00130411" w:rsidRPr="00264C00">
        <w:rPr>
          <w:rFonts w:ascii="Verdana" w:hAnsi="Verdana"/>
          <w:bCs/>
          <w:sz w:val="20"/>
          <w:szCs w:val="20"/>
          <w:lang w:val="es-419"/>
        </w:rPr>
        <w:t>”</w:t>
      </w:r>
      <w:r w:rsidR="00130411" w:rsidRPr="00DF433D">
        <w:rPr>
          <w:rStyle w:val="Refdenotaalpie"/>
          <w:rFonts w:ascii="Verdana" w:hAnsi="Verdana"/>
          <w:bCs/>
          <w:sz w:val="20"/>
          <w:szCs w:val="20"/>
          <w:lang w:val="es-419"/>
        </w:rPr>
        <w:footnoteReference w:id="47"/>
      </w:r>
      <w:r w:rsidR="00130411" w:rsidRPr="00DF433D">
        <w:rPr>
          <w:rFonts w:ascii="Verdana" w:hAnsi="Verdana"/>
          <w:bCs/>
          <w:sz w:val="20"/>
          <w:szCs w:val="20"/>
          <w:lang w:val="es-ES"/>
        </w:rPr>
        <w:t>.</w:t>
      </w:r>
      <w:r w:rsidR="00152AF9">
        <w:rPr>
          <w:rFonts w:ascii="Verdana" w:hAnsi="Verdana"/>
          <w:bCs/>
          <w:sz w:val="20"/>
          <w:szCs w:val="20"/>
          <w:lang w:val="es-ES"/>
        </w:rPr>
        <w:t xml:space="preserve"> </w:t>
      </w:r>
      <w:r w:rsidR="00482024" w:rsidRPr="00DF433D">
        <w:rPr>
          <w:rFonts w:ascii="Verdana" w:hAnsi="Verdana"/>
          <w:bCs/>
          <w:sz w:val="20"/>
          <w:szCs w:val="20"/>
          <w:lang w:val="es-ES"/>
        </w:rPr>
        <w:t xml:space="preserve">La posibilidad de reconocer a la colectividad como principal afectada por los daños ambientales causados por la explotación de minerales refuerza también que la protección de la naturaleza no sólo se relaciona con el ser humano, sino también </w:t>
      </w:r>
      <w:r w:rsidR="00626D60" w:rsidRPr="00F51504">
        <w:rPr>
          <w:rFonts w:ascii="Verdana" w:hAnsi="Verdana"/>
          <w:bCs/>
          <w:sz w:val="20"/>
          <w:szCs w:val="20"/>
          <w:lang w:val="es-ES"/>
        </w:rPr>
        <w:t>“</w:t>
      </w:r>
      <w:r w:rsidR="00626D60" w:rsidRPr="008E72FA">
        <w:rPr>
          <w:rFonts w:ascii="Verdana" w:hAnsi="Verdana"/>
          <w:iCs/>
          <w:sz w:val="20"/>
          <w:szCs w:val="20"/>
          <w:lang w:val="es-ES"/>
        </w:rPr>
        <w:t>por su importancia para los demás organismos vivos con quienes se comparte el planeta, también merecedores de protección en sí mismos</w:t>
      </w:r>
      <w:r w:rsidR="00626D60" w:rsidRPr="00F51504">
        <w:rPr>
          <w:rFonts w:ascii="Verdana" w:hAnsi="Verdana"/>
          <w:bCs/>
          <w:sz w:val="20"/>
          <w:szCs w:val="20"/>
          <w:lang w:val="es-ES"/>
        </w:rPr>
        <w:t>”</w:t>
      </w:r>
      <w:r w:rsidR="00626D60" w:rsidRPr="00DF433D">
        <w:rPr>
          <w:rFonts w:ascii="Verdana" w:hAnsi="Verdana"/>
          <w:bCs/>
          <w:sz w:val="20"/>
          <w:szCs w:val="20"/>
          <w:lang w:val="es-ES"/>
        </w:rPr>
        <w:t>,</w:t>
      </w:r>
      <w:r w:rsidR="00482024" w:rsidRPr="00DF433D">
        <w:rPr>
          <w:rFonts w:ascii="Verdana" w:hAnsi="Verdana"/>
          <w:bCs/>
          <w:sz w:val="20"/>
          <w:szCs w:val="20"/>
          <w:lang w:val="es-ES"/>
        </w:rPr>
        <w:t xml:space="preserve"> como postula la citada opinión consultiva</w:t>
      </w:r>
      <w:r w:rsidR="00626D60" w:rsidRPr="00DF433D">
        <w:rPr>
          <w:rStyle w:val="Refdenotaalpie"/>
          <w:rFonts w:ascii="Verdana" w:hAnsi="Verdana"/>
          <w:bCs/>
          <w:sz w:val="20"/>
          <w:szCs w:val="20"/>
          <w:lang w:val="pt-BR"/>
        </w:rPr>
        <w:footnoteReference w:id="48"/>
      </w:r>
      <w:r w:rsidR="00626D60" w:rsidRPr="00DF433D">
        <w:rPr>
          <w:rFonts w:ascii="Verdana" w:hAnsi="Verdana"/>
          <w:bCs/>
          <w:sz w:val="20"/>
          <w:szCs w:val="20"/>
          <w:lang w:val="es-ES"/>
        </w:rPr>
        <w:t>.</w:t>
      </w:r>
    </w:p>
    <w:p w14:paraId="51504BBC" w14:textId="77777777" w:rsidR="00626D60" w:rsidRPr="00DF433D" w:rsidRDefault="00626D60" w:rsidP="00626D60">
      <w:pPr>
        <w:pStyle w:val="Prrafodelista"/>
        <w:rPr>
          <w:rFonts w:ascii="Verdana" w:hAnsi="Verdana"/>
          <w:bCs/>
          <w:color w:val="4472C4" w:themeColor="accent1"/>
          <w:sz w:val="20"/>
          <w:szCs w:val="20"/>
          <w:lang w:val="es-ES"/>
        </w:rPr>
      </w:pPr>
    </w:p>
    <w:p w14:paraId="3F9712D1" w14:textId="5AFD9D83" w:rsidR="005F13D4" w:rsidRPr="00DF433D" w:rsidRDefault="00783415" w:rsidP="00783415">
      <w:pPr>
        <w:pStyle w:val="Prrafodelista"/>
        <w:ind w:left="0"/>
        <w:jc w:val="both"/>
        <w:rPr>
          <w:rFonts w:ascii="Verdana" w:hAnsi="Verdana"/>
          <w:bCs/>
          <w:color w:val="4472C4" w:themeColor="accent1"/>
          <w:sz w:val="20"/>
          <w:szCs w:val="20"/>
          <w:lang w:val="es-419"/>
        </w:rPr>
      </w:pPr>
      <w:r>
        <w:rPr>
          <w:rFonts w:ascii="Verdana" w:hAnsi="Verdana"/>
          <w:bCs/>
          <w:sz w:val="20"/>
          <w:szCs w:val="20"/>
          <w:lang w:val="es-ES"/>
        </w:rPr>
        <w:t xml:space="preserve">50. </w:t>
      </w:r>
      <w:r>
        <w:rPr>
          <w:rFonts w:ascii="Verdana" w:hAnsi="Verdana"/>
          <w:bCs/>
          <w:sz w:val="20"/>
          <w:szCs w:val="20"/>
          <w:lang w:val="es-ES"/>
        </w:rPr>
        <w:tab/>
      </w:r>
      <w:r w:rsidR="00882F08" w:rsidRPr="00DF433D">
        <w:rPr>
          <w:rFonts w:ascii="Verdana" w:hAnsi="Verdana"/>
          <w:bCs/>
          <w:sz w:val="20"/>
          <w:szCs w:val="20"/>
          <w:lang w:val="es-ES"/>
        </w:rPr>
        <w:t xml:space="preserve">El mismo </w:t>
      </w:r>
      <w:r w:rsidR="00345BC3" w:rsidRPr="00DF433D">
        <w:rPr>
          <w:rFonts w:ascii="Verdana" w:hAnsi="Verdana"/>
          <w:bCs/>
          <w:sz w:val="20"/>
          <w:szCs w:val="20"/>
          <w:lang w:val="es-ES"/>
        </w:rPr>
        <w:t>documento</w:t>
      </w:r>
      <w:r w:rsidR="00882F08" w:rsidRPr="00DF433D">
        <w:rPr>
          <w:rFonts w:ascii="Verdana" w:hAnsi="Verdana"/>
          <w:bCs/>
          <w:sz w:val="20"/>
          <w:szCs w:val="20"/>
          <w:lang w:val="es-ES"/>
        </w:rPr>
        <w:t xml:space="preserve"> también presenta conclusiones adicionales sobre la relación intrínseca entre los derechos al medio ambiente y a una vida digna, según las cuales la protección del medio ambiente es una de las condiciones para el disfrute de una vida digna a través del acceso a la salud, a la alimentación y a niveles aceptables de calidad del aire y del agua</w:t>
      </w:r>
      <w:r w:rsidR="00C27DFE" w:rsidRPr="00DF433D">
        <w:rPr>
          <w:rStyle w:val="Refdenotaalpie"/>
          <w:rFonts w:ascii="Verdana" w:hAnsi="Verdana"/>
          <w:bCs/>
          <w:sz w:val="20"/>
          <w:szCs w:val="20"/>
          <w:lang w:val="pt-BR"/>
        </w:rPr>
        <w:footnoteReference w:id="49"/>
      </w:r>
      <w:r w:rsidR="00C27DFE" w:rsidRPr="00DF433D">
        <w:rPr>
          <w:rFonts w:ascii="Verdana" w:hAnsi="Verdana"/>
          <w:bCs/>
          <w:sz w:val="20"/>
          <w:szCs w:val="20"/>
          <w:lang w:val="es-ES"/>
        </w:rPr>
        <w:t>.</w:t>
      </w:r>
      <w:r w:rsidR="00626D60" w:rsidRPr="00DF433D">
        <w:rPr>
          <w:rFonts w:ascii="Verdana" w:hAnsi="Verdana"/>
          <w:bCs/>
          <w:sz w:val="20"/>
          <w:szCs w:val="20"/>
          <w:lang w:val="es-ES"/>
        </w:rPr>
        <w:t xml:space="preserve"> </w:t>
      </w:r>
      <w:r w:rsidR="00110D24" w:rsidRPr="00DF433D">
        <w:rPr>
          <w:rFonts w:ascii="Verdana" w:hAnsi="Verdana"/>
          <w:bCs/>
          <w:sz w:val="20"/>
          <w:szCs w:val="20"/>
          <w:lang w:val="es-ES"/>
        </w:rPr>
        <w:t xml:space="preserve">La contaminación del suelo, el agua y el aire, como ocurrió en la Comunidad de La Oroya, pone en peligro la salud de los residentes, ya que </w:t>
      </w:r>
      <w:r w:rsidR="00110D24" w:rsidRPr="00DF433D">
        <w:rPr>
          <w:rFonts w:ascii="Verdana" w:hAnsi="Verdana"/>
          <w:sz w:val="20"/>
          <w:szCs w:val="20"/>
          <w:lang w:val="es-ES"/>
        </w:rPr>
        <w:t xml:space="preserve">no se satisface plenamente </w:t>
      </w:r>
      <w:r w:rsidR="00110D24" w:rsidRPr="00DF433D">
        <w:rPr>
          <w:rFonts w:ascii="Verdana" w:hAnsi="Verdana"/>
          <w:bCs/>
          <w:sz w:val="20"/>
          <w:szCs w:val="20"/>
          <w:lang w:val="es-ES"/>
        </w:rPr>
        <w:t xml:space="preserve">el </w:t>
      </w:r>
      <w:r w:rsidR="00E8688B" w:rsidRPr="00F51504">
        <w:rPr>
          <w:rFonts w:ascii="Verdana" w:hAnsi="Verdana"/>
          <w:bCs/>
          <w:sz w:val="20"/>
          <w:szCs w:val="20"/>
          <w:lang w:val="es-ES"/>
        </w:rPr>
        <w:t>“</w:t>
      </w:r>
      <w:r w:rsidR="00E8688B" w:rsidRPr="008E72FA">
        <w:rPr>
          <w:rFonts w:ascii="Verdana" w:hAnsi="Verdana"/>
          <w:iCs/>
          <w:sz w:val="20"/>
          <w:szCs w:val="20"/>
          <w:lang w:val="es-ES"/>
        </w:rPr>
        <w:t>estado de completo bienestar físico, mental y social, y no solamente la ausencia de afecciones o enfermedades</w:t>
      </w:r>
      <w:r w:rsidR="00E8688B" w:rsidRPr="00F51504">
        <w:rPr>
          <w:rFonts w:ascii="Verdana" w:hAnsi="Verdana"/>
          <w:sz w:val="20"/>
          <w:szCs w:val="20"/>
          <w:lang w:val="es-ES"/>
        </w:rPr>
        <w:t>”</w:t>
      </w:r>
      <w:r w:rsidR="00F03FBF" w:rsidRPr="00DF433D">
        <w:rPr>
          <w:rStyle w:val="Refdenotaalpie"/>
          <w:rFonts w:ascii="Verdana" w:hAnsi="Verdana"/>
          <w:sz w:val="20"/>
          <w:szCs w:val="20"/>
          <w:lang w:val="es-ES"/>
        </w:rPr>
        <w:footnoteReference w:id="50"/>
      </w:r>
      <w:r w:rsidR="00F03FBF" w:rsidRPr="00DF433D">
        <w:rPr>
          <w:rFonts w:ascii="Verdana" w:hAnsi="Verdana"/>
          <w:sz w:val="20"/>
          <w:szCs w:val="20"/>
          <w:lang w:val="es-ES"/>
        </w:rPr>
        <w:t>.</w:t>
      </w:r>
      <w:r w:rsidR="00E8688B" w:rsidRPr="00DF433D">
        <w:rPr>
          <w:rFonts w:ascii="Verdana" w:hAnsi="Verdana"/>
          <w:sz w:val="20"/>
          <w:szCs w:val="20"/>
          <w:lang w:val="es-ES"/>
        </w:rPr>
        <w:t xml:space="preserve"> </w:t>
      </w:r>
      <w:r w:rsidR="00110D24" w:rsidRPr="00DF433D">
        <w:rPr>
          <w:rFonts w:ascii="Verdana" w:hAnsi="Verdana"/>
          <w:sz w:val="20"/>
          <w:szCs w:val="20"/>
          <w:lang w:val="es-419"/>
        </w:rPr>
        <w:t xml:space="preserve">En la propia sentencia, el Tribunal reconoce que </w:t>
      </w:r>
      <w:r w:rsidR="005F13D4" w:rsidRPr="00F51504">
        <w:rPr>
          <w:rFonts w:ascii="Verdana" w:hAnsi="Verdana"/>
          <w:sz w:val="20"/>
          <w:szCs w:val="20"/>
          <w:lang w:val="es-419"/>
        </w:rPr>
        <w:t>“</w:t>
      </w:r>
      <w:r w:rsidR="005F13D4" w:rsidRPr="008E72FA">
        <w:rPr>
          <w:rFonts w:ascii="Verdana" w:hAnsi="Verdana"/>
          <w:iCs/>
          <w:sz w:val="20"/>
          <w:szCs w:val="20"/>
          <w:lang w:val="es-419"/>
        </w:rPr>
        <w:t>las presuntas víctimas del caso se encontraron en una situación de riesgo significativo para su salud ante la exposición durante años a altos niveles de metales pesados y de contaminación ambiental en La Oroya</w:t>
      </w:r>
      <w:r w:rsidR="005F13D4" w:rsidRPr="00F51504">
        <w:rPr>
          <w:rFonts w:ascii="Verdana" w:hAnsi="Verdana"/>
          <w:sz w:val="20"/>
          <w:szCs w:val="20"/>
          <w:lang w:val="es-419"/>
        </w:rPr>
        <w:t>”</w:t>
      </w:r>
      <w:r w:rsidR="005F13D4" w:rsidRPr="00DF433D">
        <w:rPr>
          <w:rStyle w:val="Refdenotaalpie"/>
          <w:rFonts w:ascii="Verdana" w:hAnsi="Verdana"/>
          <w:sz w:val="20"/>
          <w:szCs w:val="20"/>
          <w:lang w:val="es-419"/>
        </w:rPr>
        <w:footnoteReference w:id="51"/>
      </w:r>
      <w:r w:rsidR="005F13D4" w:rsidRPr="00DF433D">
        <w:rPr>
          <w:rFonts w:ascii="Verdana" w:hAnsi="Verdana"/>
          <w:sz w:val="20"/>
          <w:szCs w:val="20"/>
          <w:lang w:val="es-419"/>
        </w:rPr>
        <w:t xml:space="preserve">. </w:t>
      </w:r>
    </w:p>
    <w:p w14:paraId="21B9BBD6" w14:textId="77777777" w:rsidR="005F13D4" w:rsidRPr="00DF433D" w:rsidRDefault="005F13D4" w:rsidP="005F13D4">
      <w:pPr>
        <w:pStyle w:val="Prrafodelista"/>
        <w:rPr>
          <w:rFonts w:ascii="Verdana" w:hAnsi="Verdana"/>
          <w:color w:val="4472C4" w:themeColor="accent1"/>
          <w:sz w:val="20"/>
          <w:szCs w:val="20"/>
          <w:lang w:val="es-419"/>
        </w:rPr>
      </w:pPr>
    </w:p>
    <w:p w14:paraId="249053C8" w14:textId="7E8C9DC7" w:rsidR="00AA1BF7" w:rsidRPr="00DF433D" w:rsidRDefault="00783415" w:rsidP="00783415">
      <w:pPr>
        <w:pStyle w:val="Prrafodelista"/>
        <w:ind w:left="0"/>
        <w:jc w:val="both"/>
        <w:rPr>
          <w:rFonts w:ascii="Verdana" w:hAnsi="Verdana"/>
          <w:bCs/>
          <w:sz w:val="20"/>
          <w:szCs w:val="20"/>
          <w:lang w:val="es-ES"/>
        </w:rPr>
      </w:pPr>
      <w:r>
        <w:rPr>
          <w:rFonts w:ascii="Verdana" w:hAnsi="Verdana"/>
          <w:sz w:val="20"/>
          <w:szCs w:val="20"/>
          <w:lang w:val="es-ES"/>
        </w:rPr>
        <w:t xml:space="preserve">51. </w:t>
      </w:r>
      <w:r>
        <w:rPr>
          <w:rFonts w:ascii="Verdana" w:hAnsi="Verdana"/>
          <w:sz w:val="20"/>
          <w:szCs w:val="20"/>
          <w:lang w:val="es-ES"/>
        </w:rPr>
        <w:tab/>
      </w:r>
      <w:r w:rsidR="00110D24" w:rsidRPr="00DF433D">
        <w:rPr>
          <w:rFonts w:ascii="Verdana" w:hAnsi="Verdana"/>
          <w:sz w:val="20"/>
          <w:szCs w:val="20"/>
          <w:lang w:val="es-ES"/>
        </w:rPr>
        <w:t xml:space="preserve">Además de que la contaminación ambiental representó un riesgo significativo para la salud de las víctimas expuestas en la comunidad de La Oroya, la sentencia también reconoce que la violación del deber de prevención por parte del Estado implicó que los pobladores de la región desconocieran el alcance y la nocividad de los riesgos </w:t>
      </w:r>
      <w:r w:rsidR="00CC4967" w:rsidRPr="00DF433D">
        <w:rPr>
          <w:rFonts w:ascii="Verdana" w:hAnsi="Verdana"/>
          <w:sz w:val="20"/>
          <w:szCs w:val="20"/>
          <w:lang w:val="es-ES"/>
        </w:rPr>
        <w:t xml:space="preserve">de </w:t>
      </w:r>
      <w:r w:rsidR="00F03FBF" w:rsidRPr="00DF433D">
        <w:rPr>
          <w:rFonts w:ascii="Verdana" w:hAnsi="Verdana"/>
          <w:sz w:val="20"/>
          <w:szCs w:val="20"/>
          <w:lang w:val="es-ES"/>
        </w:rPr>
        <w:t>intoxicación</w:t>
      </w:r>
      <w:r w:rsidR="00626D60" w:rsidRPr="00DF433D">
        <w:rPr>
          <w:rStyle w:val="Refdenotaalpie"/>
          <w:rFonts w:ascii="Verdana" w:hAnsi="Verdana"/>
          <w:sz w:val="20"/>
          <w:szCs w:val="20"/>
          <w:lang w:val="pt-BR"/>
        </w:rPr>
        <w:footnoteReference w:id="52"/>
      </w:r>
      <w:r w:rsidR="00626D60" w:rsidRPr="00DF433D">
        <w:rPr>
          <w:rFonts w:ascii="Verdana" w:hAnsi="Verdana"/>
          <w:sz w:val="20"/>
          <w:szCs w:val="20"/>
          <w:lang w:val="es-ES"/>
        </w:rPr>
        <w:t>.</w:t>
      </w:r>
      <w:r w:rsidR="00F03FBF" w:rsidRPr="00DF433D">
        <w:rPr>
          <w:rFonts w:ascii="Verdana" w:hAnsi="Verdana"/>
          <w:sz w:val="20"/>
          <w:szCs w:val="20"/>
          <w:lang w:val="es-ES"/>
        </w:rPr>
        <w:t xml:space="preserve"> </w:t>
      </w:r>
      <w:r w:rsidR="00110D24" w:rsidRPr="00DF433D">
        <w:rPr>
          <w:rFonts w:ascii="Verdana" w:hAnsi="Verdana"/>
          <w:sz w:val="20"/>
          <w:szCs w:val="20"/>
          <w:lang w:val="es-ES"/>
        </w:rPr>
        <w:t xml:space="preserve">La falta de información científica sobre los riesgos a los que estaban sometidas las personas </w:t>
      </w:r>
      <w:r w:rsidR="001B6E14">
        <w:rPr>
          <w:rFonts w:ascii="Verdana" w:hAnsi="Verdana"/>
          <w:sz w:val="20"/>
          <w:szCs w:val="20"/>
          <w:lang w:val="es-ES"/>
        </w:rPr>
        <w:t>—</w:t>
      </w:r>
      <w:r w:rsidR="00110D24" w:rsidRPr="00DF433D">
        <w:rPr>
          <w:rFonts w:ascii="Verdana" w:hAnsi="Verdana"/>
          <w:sz w:val="20"/>
          <w:szCs w:val="20"/>
          <w:lang w:val="es-ES"/>
        </w:rPr>
        <w:t>debido a la ausencia o insuficiencia de marcos legales, estudios de impacto ambiental y planes de contingencia</w:t>
      </w:r>
      <w:r w:rsidR="001B6E14">
        <w:rPr>
          <w:rFonts w:ascii="Verdana" w:hAnsi="Verdana"/>
          <w:sz w:val="20"/>
          <w:szCs w:val="20"/>
          <w:lang w:val="es-ES"/>
        </w:rPr>
        <w:t>—</w:t>
      </w:r>
      <w:r w:rsidR="00110D24" w:rsidRPr="00DF433D">
        <w:rPr>
          <w:rFonts w:ascii="Verdana" w:hAnsi="Verdana"/>
          <w:sz w:val="20"/>
          <w:szCs w:val="20"/>
          <w:lang w:val="es-ES"/>
        </w:rPr>
        <w:t xml:space="preserve"> generó una situación de vulnerabilidad frente a las actividades de la empresa minera. El acceso a la información sobre el medio ambiente se considera una cuestión de interés público y debe garantizarse de manera accesible, </w:t>
      </w:r>
      <w:r w:rsidR="00F03FBF" w:rsidRPr="00DF433D">
        <w:rPr>
          <w:rFonts w:ascii="Verdana" w:hAnsi="Verdana"/>
          <w:sz w:val="20"/>
          <w:szCs w:val="20"/>
          <w:lang w:val="es-ES"/>
        </w:rPr>
        <w:t>efectiva</w:t>
      </w:r>
      <w:r w:rsidR="00110D24" w:rsidRPr="00DF433D">
        <w:rPr>
          <w:rFonts w:ascii="Verdana" w:hAnsi="Verdana"/>
          <w:sz w:val="20"/>
          <w:szCs w:val="20"/>
          <w:lang w:val="es-ES"/>
        </w:rPr>
        <w:t xml:space="preserve"> y oportuna</w:t>
      </w:r>
      <w:r w:rsidR="003951F8" w:rsidRPr="00DF433D">
        <w:rPr>
          <w:rStyle w:val="Refdenotaalpie"/>
          <w:rFonts w:ascii="Verdana" w:hAnsi="Verdana"/>
          <w:sz w:val="20"/>
          <w:szCs w:val="20"/>
          <w:lang w:val="pt-BR"/>
        </w:rPr>
        <w:footnoteReference w:id="53"/>
      </w:r>
      <w:r w:rsidR="003951F8" w:rsidRPr="00DF433D">
        <w:rPr>
          <w:rFonts w:ascii="Verdana" w:hAnsi="Verdana"/>
          <w:sz w:val="20"/>
          <w:szCs w:val="20"/>
          <w:lang w:val="es-ES"/>
        </w:rPr>
        <w:t>.</w:t>
      </w:r>
      <w:r w:rsidR="00B22215" w:rsidRPr="00DF433D">
        <w:rPr>
          <w:rFonts w:ascii="Verdana" w:hAnsi="Verdana"/>
          <w:sz w:val="20"/>
          <w:szCs w:val="20"/>
          <w:lang w:val="es-ES"/>
        </w:rPr>
        <w:t xml:space="preserve"> </w:t>
      </w:r>
    </w:p>
    <w:p w14:paraId="45A9ECDE" w14:textId="77777777" w:rsidR="00B22215" w:rsidRPr="00DF433D" w:rsidRDefault="00B22215" w:rsidP="00B22215">
      <w:pPr>
        <w:pStyle w:val="Prrafodelista"/>
        <w:ind w:left="0"/>
        <w:jc w:val="both"/>
        <w:rPr>
          <w:rFonts w:ascii="Verdana" w:hAnsi="Verdana"/>
          <w:bCs/>
          <w:sz w:val="20"/>
          <w:szCs w:val="20"/>
          <w:lang w:val="es-ES"/>
        </w:rPr>
      </w:pPr>
    </w:p>
    <w:p w14:paraId="69BD7722" w14:textId="58FF990C" w:rsidR="00AA1BF7" w:rsidRPr="00DF433D" w:rsidRDefault="00783415" w:rsidP="00783415">
      <w:pPr>
        <w:pStyle w:val="Prrafodelista"/>
        <w:ind w:left="0"/>
        <w:jc w:val="both"/>
        <w:rPr>
          <w:rFonts w:ascii="Verdana" w:hAnsi="Verdana"/>
          <w:bCs/>
          <w:sz w:val="20"/>
          <w:szCs w:val="20"/>
          <w:lang w:val="es-ES"/>
        </w:rPr>
      </w:pPr>
      <w:r>
        <w:rPr>
          <w:rFonts w:ascii="Verdana" w:hAnsi="Verdana"/>
          <w:bCs/>
          <w:sz w:val="20"/>
          <w:szCs w:val="20"/>
          <w:lang w:val="es-ES"/>
        </w:rPr>
        <w:t xml:space="preserve">52. </w:t>
      </w:r>
      <w:r>
        <w:rPr>
          <w:rFonts w:ascii="Verdana" w:hAnsi="Verdana"/>
          <w:bCs/>
          <w:sz w:val="20"/>
          <w:szCs w:val="20"/>
          <w:lang w:val="es-ES"/>
        </w:rPr>
        <w:tab/>
      </w:r>
      <w:r w:rsidR="00FC57C2" w:rsidRPr="00DF433D">
        <w:rPr>
          <w:rFonts w:ascii="Verdana" w:hAnsi="Verdana"/>
          <w:bCs/>
          <w:sz w:val="20"/>
          <w:szCs w:val="20"/>
          <w:lang w:val="es-ES"/>
        </w:rPr>
        <w:t xml:space="preserve">La vulnerabilidad de las víctimas debido a la falta de información sobre los riesgos ambientales de las actividades mineras es un factor central en </w:t>
      </w:r>
      <w:r w:rsidR="009E49F1" w:rsidRPr="00DF433D">
        <w:rPr>
          <w:rFonts w:ascii="Verdana" w:hAnsi="Verdana"/>
          <w:bCs/>
          <w:sz w:val="20"/>
          <w:szCs w:val="20"/>
          <w:lang w:val="es-ES"/>
        </w:rPr>
        <w:t>el presente caso</w:t>
      </w:r>
      <w:r w:rsidR="00FC57C2" w:rsidRPr="00DF433D">
        <w:rPr>
          <w:rFonts w:ascii="Verdana" w:hAnsi="Verdana"/>
          <w:bCs/>
          <w:sz w:val="20"/>
          <w:szCs w:val="20"/>
          <w:lang w:val="es-ES"/>
        </w:rPr>
        <w:t>. En términos de daño ambiental, los pueblos indígenas, l</w:t>
      </w:r>
      <w:r w:rsidR="001B6E14">
        <w:rPr>
          <w:rFonts w:ascii="Verdana" w:hAnsi="Verdana"/>
          <w:bCs/>
          <w:sz w:val="20"/>
          <w:szCs w:val="20"/>
          <w:lang w:val="es-ES"/>
        </w:rPr>
        <w:t>as niñas y</w:t>
      </w:r>
      <w:r w:rsidR="00FC57C2" w:rsidRPr="00DF433D">
        <w:rPr>
          <w:rFonts w:ascii="Verdana" w:hAnsi="Verdana"/>
          <w:bCs/>
          <w:sz w:val="20"/>
          <w:szCs w:val="20"/>
          <w:lang w:val="es-ES"/>
        </w:rPr>
        <w:t xml:space="preserve"> niños, las personas que viven en extrema pobreza, las minorías y las personas con discapacidad son más susceptibles a los riesgos derivados de la explotación del medio ambiente, ya sea porque viven en zonas ambientalmente protegidas o porque dependen económicamente de los recursos naturales</w:t>
      </w:r>
      <w:r w:rsidR="00AA1BF7" w:rsidRPr="00DF433D">
        <w:rPr>
          <w:rStyle w:val="Refdenotaalpie"/>
          <w:rFonts w:ascii="Verdana" w:hAnsi="Verdana"/>
          <w:bCs/>
          <w:sz w:val="20"/>
          <w:szCs w:val="20"/>
          <w:lang w:val="pt-BR"/>
        </w:rPr>
        <w:footnoteReference w:id="54"/>
      </w:r>
      <w:r w:rsidR="00C0666A" w:rsidRPr="00DF433D">
        <w:rPr>
          <w:rFonts w:ascii="Verdana" w:hAnsi="Verdana"/>
          <w:bCs/>
          <w:sz w:val="20"/>
          <w:szCs w:val="20"/>
          <w:lang w:val="es-ES"/>
        </w:rPr>
        <w:t>,</w:t>
      </w:r>
      <w:r w:rsidR="00F03FBF" w:rsidRPr="00DF433D">
        <w:rPr>
          <w:rFonts w:ascii="Verdana" w:hAnsi="Verdana"/>
          <w:bCs/>
          <w:sz w:val="20"/>
          <w:szCs w:val="20"/>
          <w:lang w:val="es-ES"/>
        </w:rPr>
        <w:t xml:space="preserve"> </w:t>
      </w:r>
      <w:r w:rsidR="0052292E">
        <w:rPr>
          <w:rFonts w:ascii="Verdana" w:hAnsi="Verdana"/>
          <w:bCs/>
          <w:sz w:val="20"/>
          <w:szCs w:val="20"/>
          <w:lang w:val="es-ES"/>
        </w:rPr>
        <w:t>o bien</w:t>
      </w:r>
      <w:r w:rsidR="0052292E" w:rsidRPr="00DF433D">
        <w:rPr>
          <w:rFonts w:ascii="Verdana" w:hAnsi="Verdana"/>
          <w:bCs/>
          <w:sz w:val="20"/>
          <w:szCs w:val="20"/>
          <w:lang w:val="es-ES"/>
        </w:rPr>
        <w:t xml:space="preserve"> </w:t>
      </w:r>
      <w:r w:rsidR="00FC57C2" w:rsidRPr="00DF433D">
        <w:rPr>
          <w:rFonts w:ascii="Verdana" w:hAnsi="Verdana"/>
          <w:bCs/>
          <w:sz w:val="20"/>
          <w:szCs w:val="20"/>
          <w:lang w:val="es-ES"/>
        </w:rPr>
        <w:t xml:space="preserve">por sus condiciones personales de mayor vulnerabilidad. En el caso de la Comunidad de La Oroya, el Estado no presentó pruebas capaces de demostrar que no era responsable </w:t>
      </w:r>
      <w:r w:rsidR="009E49F1" w:rsidRPr="00DF433D">
        <w:rPr>
          <w:rFonts w:ascii="Verdana" w:hAnsi="Verdana"/>
          <w:bCs/>
          <w:sz w:val="20"/>
          <w:szCs w:val="20"/>
          <w:lang w:val="es-ES"/>
        </w:rPr>
        <w:t>por</w:t>
      </w:r>
      <w:r w:rsidR="00FC57C2" w:rsidRPr="00DF433D">
        <w:rPr>
          <w:rFonts w:ascii="Verdana" w:hAnsi="Verdana"/>
          <w:bCs/>
          <w:sz w:val="20"/>
          <w:szCs w:val="20"/>
          <w:lang w:val="es-ES"/>
        </w:rPr>
        <w:t xml:space="preserve"> la exposición y contaminación de los pobladores de la región, lo que se vio agravado por la falta de acceso a información sobre los riesgos reales a los que estaban expuestos los pobladores. </w:t>
      </w:r>
      <w:r w:rsidR="00FC57C2" w:rsidRPr="00DF433D">
        <w:rPr>
          <w:rFonts w:ascii="Verdana" w:hAnsi="Verdana"/>
          <w:sz w:val="20"/>
          <w:szCs w:val="20"/>
          <w:lang w:val="es-ES"/>
        </w:rPr>
        <w:t>En este caso, tanto el Estado como la empresa minera tenían responsabilidades en términos de regulación y supervisión de las actividades de riesgo</w:t>
      </w:r>
      <w:r w:rsidR="00197142" w:rsidRPr="00DF433D">
        <w:rPr>
          <w:rStyle w:val="Refdenotaalpie"/>
          <w:rFonts w:ascii="Verdana" w:hAnsi="Verdana"/>
          <w:sz w:val="20"/>
          <w:szCs w:val="20"/>
          <w:lang w:val="pt-BR"/>
        </w:rPr>
        <w:footnoteReference w:id="55"/>
      </w:r>
      <w:r w:rsidR="00197142" w:rsidRPr="00DF433D">
        <w:rPr>
          <w:rFonts w:ascii="Verdana" w:hAnsi="Verdana"/>
          <w:sz w:val="20"/>
          <w:szCs w:val="20"/>
          <w:lang w:val="es-ES"/>
        </w:rPr>
        <w:t>.</w:t>
      </w:r>
    </w:p>
    <w:p w14:paraId="3EEDCD4F" w14:textId="77777777" w:rsidR="00F70550" w:rsidRPr="00DF433D" w:rsidRDefault="00F70550" w:rsidP="00F70550">
      <w:pPr>
        <w:pStyle w:val="Prrafodelista"/>
        <w:rPr>
          <w:rFonts w:ascii="Verdana" w:hAnsi="Verdana"/>
          <w:bCs/>
          <w:sz w:val="20"/>
          <w:szCs w:val="20"/>
          <w:lang w:val="es-ES"/>
        </w:rPr>
      </w:pPr>
    </w:p>
    <w:p w14:paraId="55126D09" w14:textId="5465B6F3" w:rsidR="00F70550" w:rsidRPr="00DF433D" w:rsidRDefault="00783415" w:rsidP="00783415">
      <w:pPr>
        <w:pStyle w:val="Prrafodelista"/>
        <w:ind w:left="0"/>
        <w:jc w:val="both"/>
        <w:rPr>
          <w:rFonts w:ascii="Verdana" w:hAnsi="Verdana"/>
          <w:bCs/>
          <w:sz w:val="20"/>
          <w:szCs w:val="20"/>
          <w:lang w:val="es-419"/>
        </w:rPr>
      </w:pPr>
      <w:r>
        <w:rPr>
          <w:rFonts w:ascii="Verdana" w:hAnsi="Verdana"/>
          <w:bCs/>
          <w:sz w:val="20"/>
          <w:szCs w:val="20"/>
          <w:lang w:val="es-ES"/>
        </w:rPr>
        <w:t xml:space="preserve">53. </w:t>
      </w:r>
      <w:r>
        <w:rPr>
          <w:rFonts w:ascii="Verdana" w:hAnsi="Verdana"/>
          <w:bCs/>
          <w:sz w:val="20"/>
          <w:szCs w:val="20"/>
          <w:lang w:val="es-ES"/>
        </w:rPr>
        <w:tab/>
      </w:r>
      <w:r w:rsidR="00FC57C2" w:rsidRPr="00DF433D">
        <w:rPr>
          <w:rFonts w:ascii="Verdana" w:hAnsi="Verdana"/>
          <w:bCs/>
          <w:sz w:val="20"/>
          <w:szCs w:val="20"/>
          <w:lang w:val="es-ES"/>
        </w:rPr>
        <w:t xml:space="preserve">Las obligaciones estatales se referían a abstenerse de contaminar ilícitamente el medio ambiente y </w:t>
      </w:r>
      <w:r w:rsidR="002832BA" w:rsidRPr="00DF433D">
        <w:rPr>
          <w:rFonts w:ascii="Verdana" w:hAnsi="Verdana"/>
          <w:bCs/>
          <w:sz w:val="20"/>
          <w:szCs w:val="20"/>
          <w:lang w:val="es-ES"/>
        </w:rPr>
        <w:t xml:space="preserve">a </w:t>
      </w:r>
      <w:r w:rsidR="00FC57C2" w:rsidRPr="00DF433D">
        <w:rPr>
          <w:rFonts w:ascii="Verdana" w:hAnsi="Verdana"/>
          <w:bCs/>
          <w:sz w:val="20"/>
          <w:szCs w:val="20"/>
          <w:lang w:val="es-ES"/>
        </w:rPr>
        <w:t>garantizar la adopción de medidas para proteger la vida digna de la población local</w:t>
      </w:r>
      <w:r w:rsidR="00F70550" w:rsidRPr="00DF433D">
        <w:rPr>
          <w:rStyle w:val="Refdenotaalpie"/>
          <w:rFonts w:ascii="Verdana" w:hAnsi="Verdana"/>
          <w:bCs/>
          <w:sz w:val="20"/>
          <w:szCs w:val="20"/>
          <w:lang w:val="pt-BR"/>
        </w:rPr>
        <w:footnoteReference w:id="56"/>
      </w:r>
      <w:r w:rsidR="00F70550" w:rsidRPr="00DF433D">
        <w:rPr>
          <w:rFonts w:ascii="Verdana" w:hAnsi="Verdana"/>
          <w:bCs/>
          <w:sz w:val="20"/>
          <w:szCs w:val="20"/>
          <w:lang w:val="es-ES"/>
        </w:rPr>
        <w:t>.</w:t>
      </w:r>
      <w:r w:rsidR="00A144C6" w:rsidRPr="00DF433D">
        <w:rPr>
          <w:rFonts w:ascii="Verdana" w:hAnsi="Verdana"/>
          <w:bCs/>
          <w:sz w:val="20"/>
          <w:szCs w:val="20"/>
          <w:lang w:val="es-ES"/>
        </w:rPr>
        <w:t xml:space="preserve"> </w:t>
      </w:r>
      <w:r w:rsidR="00FC57C2" w:rsidRPr="00DF433D">
        <w:rPr>
          <w:rFonts w:ascii="Verdana" w:hAnsi="Verdana"/>
          <w:bCs/>
          <w:sz w:val="20"/>
          <w:szCs w:val="20"/>
          <w:lang w:val="es-ES"/>
        </w:rPr>
        <w:t>En los términos de la Opinión Consultiva n</w:t>
      </w:r>
      <w:r w:rsidR="0052292E">
        <w:rPr>
          <w:rFonts w:ascii="Verdana" w:hAnsi="Verdana"/>
          <w:bCs/>
          <w:sz w:val="20"/>
          <w:szCs w:val="20"/>
          <w:lang w:val="es-ES"/>
        </w:rPr>
        <w:t>o.</w:t>
      </w:r>
      <w:r w:rsidR="00FC57C2" w:rsidRPr="00DF433D">
        <w:rPr>
          <w:rFonts w:ascii="Verdana" w:hAnsi="Verdana"/>
          <w:bCs/>
          <w:sz w:val="20"/>
          <w:szCs w:val="20"/>
          <w:lang w:val="es-ES"/>
        </w:rPr>
        <w:t xml:space="preserve"> 23 de 2017, el deber de prevención se extiende a terceros que pongan en peligro bienes jurídicamente protegidos como la vida y la integridad personal. </w:t>
      </w:r>
      <w:r w:rsidR="00FC57C2" w:rsidRPr="00DF433D">
        <w:rPr>
          <w:rFonts w:ascii="Verdana" w:hAnsi="Verdana"/>
          <w:bCs/>
          <w:sz w:val="20"/>
          <w:szCs w:val="20"/>
          <w:lang w:val="es-419"/>
        </w:rPr>
        <w:t xml:space="preserve">Tanto el </w:t>
      </w:r>
      <w:r w:rsidR="00FC57C2" w:rsidRPr="00F90E79">
        <w:rPr>
          <w:rFonts w:ascii="Verdana" w:hAnsi="Verdana"/>
          <w:bCs/>
          <w:sz w:val="20"/>
          <w:szCs w:val="20"/>
          <w:lang w:val="es-419"/>
        </w:rPr>
        <w:t>párrafo 12</w:t>
      </w:r>
      <w:r w:rsidR="00484AE7" w:rsidRPr="00F90E79">
        <w:rPr>
          <w:rFonts w:ascii="Verdana" w:hAnsi="Verdana"/>
          <w:bCs/>
          <w:sz w:val="20"/>
          <w:szCs w:val="20"/>
          <w:lang w:val="es-419"/>
        </w:rPr>
        <w:t>6</w:t>
      </w:r>
      <w:r w:rsidR="00FC57C2" w:rsidRPr="00DF433D">
        <w:rPr>
          <w:rFonts w:ascii="Verdana" w:hAnsi="Verdana"/>
          <w:bCs/>
          <w:sz w:val="20"/>
          <w:szCs w:val="20"/>
          <w:lang w:val="es-419"/>
        </w:rPr>
        <w:t xml:space="preserve"> de la sentencia como los siguientes términos postulados por la Corte IDH en 2017</w:t>
      </w:r>
      <w:r w:rsidR="001B6E14">
        <w:rPr>
          <w:rFonts w:ascii="Verdana" w:hAnsi="Verdana"/>
          <w:bCs/>
          <w:sz w:val="20"/>
          <w:szCs w:val="20"/>
          <w:lang w:val="es-419"/>
        </w:rPr>
        <w:t>,</w:t>
      </w:r>
      <w:r w:rsidR="00FC57C2" w:rsidRPr="00DF433D">
        <w:rPr>
          <w:rFonts w:ascii="Verdana" w:hAnsi="Verdana"/>
          <w:bCs/>
          <w:sz w:val="20"/>
          <w:szCs w:val="20"/>
          <w:lang w:val="es-419"/>
        </w:rPr>
        <w:t xml:space="preserve"> establecen que </w:t>
      </w:r>
      <w:r w:rsidR="008D390A" w:rsidRPr="00DF433D">
        <w:rPr>
          <w:rFonts w:ascii="Verdana" w:hAnsi="Verdana"/>
          <w:bCs/>
          <w:sz w:val="20"/>
          <w:szCs w:val="20"/>
          <w:lang w:val="es-419"/>
        </w:rPr>
        <w:t>“</w:t>
      </w:r>
      <w:r w:rsidR="006E2D69" w:rsidRPr="008E72FA">
        <w:rPr>
          <w:rFonts w:ascii="Verdana" w:hAnsi="Verdana"/>
          <w:bCs/>
          <w:iCs/>
          <w:sz w:val="20"/>
          <w:szCs w:val="20"/>
          <w:lang w:val="es-419"/>
        </w:rPr>
        <w:t>e</w:t>
      </w:r>
      <w:r w:rsidR="008D390A" w:rsidRPr="008E72FA">
        <w:rPr>
          <w:rFonts w:ascii="Verdana" w:hAnsi="Verdana"/>
          <w:iCs/>
          <w:sz w:val="20"/>
          <w:szCs w:val="20"/>
        </w:rPr>
        <w:t>n el marco de la protección del medio ambiente, la responsabilidad internacional del Estado derivada de la conducta de terceros puede resultar de la falta de regulación, supervisión o fiscalización de las actividades de estos terceros que causen un daño al medio ambiente</w:t>
      </w:r>
      <w:r w:rsidR="008D390A" w:rsidRPr="0052292E">
        <w:rPr>
          <w:rFonts w:ascii="Verdana" w:hAnsi="Verdana"/>
          <w:bCs/>
          <w:sz w:val="20"/>
          <w:szCs w:val="20"/>
          <w:lang w:val="es-419"/>
        </w:rPr>
        <w:t>”</w:t>
      </w:r>
      <w:r w:rsidR="008D390A" w:rsidRPr="00DF433D">
        <w:rPr>
          <w:rStyle w:val="Refdenotaalpie"/>
          <w:rFonts w:ascii="Verdana" w:hAnsi="Verdana"/>
          <w:bCs/>
          <w:sz w:val="20"/>
          <w:szCs w:val="20"/>
          <w:lang w:val="es-419"/>
        </w:rPr>
        <w:footnoteReference w:id="57"/>
      </w:r>
      <w:r w:rsidR="00434885" w:rsidRPr="00DF433D">
        <w:rPr>
          <w:rFonts w:ascii="Verdana" w:hAnsi="Verdana"/>
          <w:bCs/>
          <w:sz w:val="20"/>
          <w:szCs w:val="20"/>
          <w:lang w:val="es-419"/>
        </w:rPr>
        <w:t>.</w:t>
      </w:r>
    </w:p>
    <w:p w14:paraId="1DB0A6CE" w14:textId="77777777" w:rsidR="009E49F1" w:rsidRPr="00DF433D" w:rsidRDefault="009E49F1" w:rsidP="009E49F1">
      <w:pPr>
        <w:pStyle w:val="Prrafodelista"/>
        <w:ind w:left="0"/>
        <w:jc w:val="both"/>
        <w:rPr>
          <w:rFonts w:ascii="Verdana" w:hAnsi="Verdana"/>
          <w:bCs/>
          <w:sz w:val="20"/>
          <w:szCs w:val="20"/>
          <w:lang w:val="es-419"/>
        </w:rPr>
      </w:pPr>
    </w:p>
    <w:p w14:paraId="529343C7" w14:textId="39015CE0" w:rsidR="00391FD2" w:rsidRPr="00DF433D" w:rsidRDefault="00783415" w:rsidP="00783415">
      <w:pPr>
        <w:pStyle w:val="Prrafodelista"/>
        <w:ind w:left="0"/>
        <w:jc w:val="both"/>
        <w:rPr>
          <w:rFonts w:ascii="Verdana" w:hAnsi="Verdana"/>
          <w:bCs/>
          <w:sz w:val="20"/>
          <w:szCs w:val="20"/>
          <w:lang w:val="es-ES"/>
        </w:rPr>
      </w:pPr>
      <w:r>
        <w:rPr>
          <w:rFonts w:ascii="Verdana" w:hAnsi="Verdana"/>
          <w:bCs/>
          <w:sz w:val="20"/>
          <w:szCs w:val="20"/>
          <w:lang w:val="es-ES"/>
        </w:rPr>
        <w:t xml:space="preserve">54. </w:t>
      </w:r>
      <w:r>
        <w:rPr>
          <w:rFonts w:ascii="Verdana" w:hAnsi="Verdana"/>
          <w:bCs/>
          <w:sz w:val="20"/>
          <w:szCs w:val="20"/>
          <w:lang w:val="es-ES"/>
        </w:rPr>
        <w:tab/>
      </w:r>
      <w:r w:rsidR="00FC57C2" w:rsidRPr="00DF433D">
        <w:rPr>
          <w:rFonts w:ascii="Verdana" w:hAnsi="Verdana"/>
          <w:bCs/>
          <w:sz w:val="20"/>
          <w:szCs w:val="20"/>
          <w:lang w:val="es-ES"/>
        </w:rPr>
        <w:t>Tres elementos son esenciales para definir el alcance del deber de prevención del Estado en relación con los riesgos de daño ambiental significativo: el contexto, la naturaleza y la magnitud del proyecto</w:t>
      </w:r>
      <w:r w:rsidR="00434885" w:rsidRPr="00DF433D">
        <w:rPr>
          <w:rStyle w:val="Refdenotaalpie"/>
          <w:rFonts w:ascii="Verdana" w:hAnsi="Verdana"/>
          <w:bCs/>
          <w:sz w:val="20"/>
          <w:szCs w:val="20"/>
          <w:lang w:val="pt-BR"/>
        </w:rPr>
        <w:footnoteReference w:id="58"/>
      </w:r>
      <w:r w:rsidR="00434885" w:rsidRPr="00DF433D">
        <w:rPr>
          <w:rFonts w:ascii="Verdana" w:hAnsi="Verdana"/>
          <w:bCs/>
          <w:sz w:val="20"/>
          <w:szCs w:val="20"/>
          <w:lang w:val="es-ES"/>
        </w:rPr>
        <w:t>.</w:t>
      </w:r>
      <w:r w:rsidR="007653DD" w:rsidRPr="00DF433D">
        <w:rPr>
          <w:rFonts w:ascii="Verdana" w:hAnsi="Verdana"/>
          <w:bCs/>
          <w:sz w:val="20"/>
          <w:szCs w:val="20"/>
          <w:lang w:val="es-ES"/>
        </w:rPr>
        <w:t xml:space="preserve"> </w:t>
      </w:r>
      <w:r w:rsidR="00FC57C2" w:rsidRPr="00DF433D">
        <w:rPr>
          <w:rFonts w:ascii="Verdana" w:hAnsi="Verdana"/>
          <w:bCs/>
          <w:sz w:val="20"/>
          <w:szCs w:val="20"/>
          <w:lang w:val="es-ES"/>
        </w:rPr>
        <w:t>En el caso de la Comunidad de La Oroya, han transcurrido alrededor de cien años de explotación minera</w:t>
      </w:r>
      <w:r w:rsidR="002832BA" w:rsidRPr="00DF433D">
        <w:rPr>
          <w:rFonts w:ascii="Verdana" w:hAnsi="Verdana"/>
          <w:bCs/>
          <w:sz w:val="20"/>
          <w:szCs w:val="20"/>
          <w:lang w:val="es-ES"/>
        </w:rPr>
        <w:t xml:space="preserve">. De </w:t>
      </w:r>
      <w:r w:rsidR="00FC57C2" w:rsidRPr="00DF433D">
        <w:rPr>
          <w:rFonts w:ascii="Verdana" w:hAnsi="Verdana"/>
          <w:bCs/>
          <w:sz w:val="20"/>
          <w:szCs w:val="20"/>
          <w:lang w:val="es-ES"/>
        </w:rPr>
        <w:t>1922 hasta 1993 las actividades se desarrollaron sin ningún marco legal respecto a la contaminación del lugar y</w:t>
      </w:r>
      <w:r w:rsidR="009E49F1" w:rsidRPr="00DF433D">
        <w:rPr>
          <w:rFonts w:ascii="Verdana" w:hAnsi="Verdana"/>
          <w:bCs/>
          <w:sz w:val="20"/>
          <w:szCs w:val="20"/>
          <w:lang w:val="es-ES"/>
        </w:rPr>
        <w:t xml:space="preserve"> a</w:t>
      </w:r>
      <w:r w:rsidR="00FC57C2" w:rsidRPr="00DF433D">
        <w:rPr>
          <w:rFonts w:ascii="Verdana" w:hAnsi="Verdana"/>
          <w:bCs/>
          <w:sz w:val="20"/>
          <w:szCs w:val="20"/>
          <w:lang w:val="es-ES"/>
        </w:rPr>
        <w:t xml:space="preserve"> los riesgos ambientales que implicaba la operación. A pesar de que la Evaluación de Impacto Ambiental (EIA) o el Programa de Adecuación y Manejo Ambiental se hicieron obligatorios tras la promulgación del </w:t>
      </w:r>
      <w:r w:rsidR="00FC57C2" w:rsidRPr="00DF433D">
        <w:rPr>
          <w:rFonts w:ascii="Verdana" w:hAnsi="Verdana"/>
          <w:i/>
          <w:iCs/>
          <w:sz w:val="20"/>
          <w:szCs w:val="20"/>
          <w:lang w:val="es-ES"/>
        </w:rPr>
        <w:t xml:space="preserve">Reglamento para la Protección Ambiental en </w:t>
      </w:r>
      <w:r w:rsidR="009E49F1" w:rsidRPr="00DF433D">
        <w:rPr>
          <w:rFonts w:ascii="Verdana" w:hAnsi="Verdana"/>
          <w:i/>
          <w:iCs/>
          <w:sz w:val="20"/>
          <w:szCs w:val="20"/>
          <w:lang w:val="es-ES"/>
        </w:rPr>
        <w:t xml:space="preserve">la </w:t>
      </w:r>
      <w:r w:rsidR="00FC57C2" w:rsidRPr="00DF433D">
        <w:rPr>
          <w:rFonts w:ascii="Verdana" w:hAnsi="Verdana"/>
          <w:i/>
          <w:iCs/>
          <w:sz w:val="20"/>
          <w:szCs w:val="20"/>
          <w:lang w:val="es-ES"/>
        </w:rPr>
        <w:t>Actividad Miner</w:t>
      </w:r>
      <w:r w:rsidR="009E49F1" w:rsidRPr="00DF433D">
        <w:rPr>
          <w:rFonts w:ascii="Verdana" w:hAnsi="Verdana"/>
          <w:i/>
          <w:iCs/>
          <w:sz w:val="20"/>
          <w:szCs w:val="20"/>
          <w:lang w:val="es-ES"/>
        </w:rPr>
        <w:t xml:space="preserve">o </w:t>
      </w:r>
      <w:r w:rsidR="00FC57C2" w:rsidRPr="00DF433D">
        <w:rPr>
          <w:rFonts w:ascii="Verdana" w:hAnsi="Verdana"/>
          <w:i/>
          <w:iCs/>
          <w:sz w:val="20"/>
          <w:szCs w:val="20"/>
          <w:lang w:val="es-ES"/>
        </w:rPr>
        <w:t>Metalúrgica</w:t>
      </w:r>
      <w:r w:rsidR="00FC57C2" w:rsidRPr="008E72FA">
        <w:rPr>
          <w:rFonts w:ascii="Verdana" w:hAnsi="Verdana"/>
          <w:iCs/>
          <w:sz w:val="20"/>
          <w:szCs w:val="20"/>
          <w:lang w:val="es-ES"/>
        </w:rPr>
        <w:t xml:space="preserve"> en</w:t>
      </w:r>
      <w:r w:rsidR="00FC57C2" w:rsidRPr="00DF433D">
        <w:rPr>
          <w:rFonts w:ascii="Verdana" w:hAnsi="Verdana"/>
          <w:i/>
          <w:iCs/>
          <w:sz w:val="20"/>
          <w:szCs w:val="20"/>
          <w:lang w:val="es-ES"/>
        </w:rPr>
        <w:t xml:space="preserve"> </w:t>
      </w:r>
      <w:r w:rsidR="007653DD" w:rsidRPr="00DF433D">
        <w:rPr>
          <w:rFonts w:ascii="Verdana" w:hAnsi="Verdana"/>
          <w:sz w:val="20"/>
          <w:szCs w:val="20"/>
          <w:lang w:val="es-ES"/>
        </w:rPr>
        <w:t>1993</w:t>
      </w:r>
      <w:r w:rsidR="007653DD" w:rsidRPr="00DF433D">
        <w:rPr>
          <w:rStyle w:val="Refdenotaalpie"/>
          <w:rFonts w:ascii="Verdana" w:hAnsi="Verdana"/>
          <w:bCs/>
          <w:sz w:val="20"/>
          <w:szCs w:val="20"/>
          <w:lang w:val="pt-BR"/>
        </w:rPr>
        <w:footnoteReference w:id="59"/>
      </w:r>
      <w:r w:rsidR="009E49F1" w:rsidRPr="00DF433D">
        <w:rPr>
          <w:rFonts w:ascii="Verdana" w:hAnsi="Verdana"/>
          <w:sz w:val="20"/>
          <w:szCs w:val="20"/>
          <w:lang w:val="es-ES"/>
        </w:rPr>
        <w:t xml:space="preserve"> </w:t>
      </w:r>
      <w:r w:rsidR="00FC57C2" w:rsidRPr="00DF433D">
        <w:rPr>
          <w:rFonts w:ascii="Verdana" w:hAnsi="Verdana"/>
          <w:bCs/>
          <w:sz w:val="20"/>
          <w:szCs w:val="20"/>
          <w:lang w:val="es-ES"/>
        </w:rPr>
        <w:t>resultaron insuficientes para la protección integral de los habitantes de la comunidad</w:t>
      </w:r>
      <w:r w:rsidR="00FC57C2" w:rsidRPr="00DF433D">
        <w:rPr>
          <w:rFonts w:ascii="Verdana" w:hAnsi="Verdana"/>
          <w:sz w:val="20"/>
          <w:szCs w:val="20"/>
          <w:lang w:val="es-ES"/>
        </w:rPr>
        <w:t xml:space="preserve">. </w:t>
      </w:r>
      <w:r w:rsidR="00FC57C2" w:rsidRPr="00DF433D">
        <w:rPr>
          <w:rFonts w:ascii="Verdana" w:hAnsi="Verdana"/>
          <w:bCs/>
          <w:sz w:val="20"/>
          <w:szCs w:val="20"/>
          <w:lang w:val="es-ES"/>
        </w:rPr>
        <w:t xml:space="preserve">Durante más de setenta años, la población local </w:t>
      </w:r>
      <w:r w:rsidR="003D4FD9" w:rsidRPr="00DF433D">
        <w:rPr>
          <w:rFonts w:ascii="Verdana" w:hAnsi="Verdana"/>
          <w:bCs/>
          <w:sz w:val="20"/>
          <w:szCs w:val="20"/>
          <w:lang w:val="es-ES"/>
        </w:rPr>
        <w:t xml:space="preserve">desconocía </w:t>
      </w:r>
      <w:r w:rsidR="00FC57C2" w:rsidRPr="00DF433D">
        <w:rPr>
          <w:rFonts w:ascii="Verdana" w:hAnsi="Verdana"/>
          <w:bCs/>
          <w:sz w:val="20"/>
          <w:szCs w:val="20"/>
          <w:lang w:val="es-ES"/>
        </w:rPr>
        <w:t xml:space="preserve">los riesgos ambientales </w:t>
      </w:r>
      <w:r w:rsidR="003D4FD9" w:rsidRPr="00DF433D">
        <w:rPr>
          <w:rFonts w:ascii="Verdana" w:hAnsi="Verdana"/>
          <w:bCs/>
          <w:sz w:val="20"/>
          <w:szCs w:val="20"/>
          <w:lang w:val="es-ES"/>
        </w:rPr>
        <w:t xml:space="preserve">específicos </w:t>
      </w:r>
      <w:r w:rsidR="00FC57C2" w:rsidRPr="00DF433D">
        <w:rPr>
          <w:rFonts w:ascii="Verdana" w:hAnsi="Verdana"/>
          <w:bCs/>
          <w:sz w:val="20"/>
          <w:szCs w:val="20"/>
          <w:lang w:val="es-ES"/>
        </w:rPr>
        <w:t>a los que estaba sometid</w:t>
      </w:r>
      <w:r w:rsidR="003D4FD9" w:rsidRPr="00DF433D">
        <w:rPr>
          <w:rFonts w:ascii="Verdana" w:hAnsi="Verdana"/>
          <w:bCs/>
          <w:sz w:val="20"/>
          <w:szCs w:val="20"/>
          <w:lang w:val="es-ES"/>
        </w:rPr>
        <w:t>a</w:t>
      </w:r>
      <w:r w:rsidR="00FC57C2" w:rsidRPr="00DF433D">
        <w:rPr>
          <w:rFonts w:ascii="Verdana" w:hAnsi="Verdana"/>
          <w:bCs/>
          <w:sz w:val="20"/>
          <w:szCs w:val="20"/>
          <w:lang w:val="es-ES"/>
        </w:rPr>
        <w:t>, aun cuando sabían que los daños eran preocupantes porque La Oroya era considerada una de las diez ciudades con mayores niveles de contaminación atmosférica en el mundo</w:t>
      </w:r>
      <w:r w:rsidR="00391FD2" w:rsidRPr="00DF433D">
        <w:rPr>
          <w:rStyle w:val="Refdenotaalpie"/>
          <w:rFonts w:ascii="Verdana" w:hAnsi="Verdana"/>
          <w:bCs/>
          <w:sz w:val="20"/>
          <w:szCs w:val="20"/>
          <w:lang w:val="pt-BR"/>
        </w:rPr>
        <w:footnoteReference w:id="60"/>
      </w:r>
      <w:r w:rsidR="00391FD2" w:rsidRPr="00DF433D">
        <w:rPr>
          <w:rFonts w:ascii="Verdana" w:hAnsi="Verdana"/>
          <w:bCs/>
          <w:sz w:val="20"/>
          <w:szCs w:val="20"/>
          <w:lang w:val="es-ES"/>
        </w:rPr>
        <w:t xml:space="preserve">. </w:t>
      </w:r>
    </w:p>
    <w:p w14:paraId="41A40F34" w14:textId="77777777" w:rsidR="007B7CFF" w:rsidRPr="00DF433D" w:rsidRDefault="007B7CFF" w:rsidP="001D3E11">
      <w:pPr>
        <w:rPr>
          <w:rFonts w:ascii="Verdana" w:hAnsi="Verdana"/>
          <w:bCs/>
          <w:sz w:val="20"/>
          <w:szCs w:val="20"/>
          <w:lang w:val="es-ES"/>
        </w:rPr>
      </w:pPr>
    </w:p>
    <w:p w14:paraId="248D93AF" w14:textId="2ACBBBF1" w:rsidR="00DD0CD9" w:rsidRPr="00DF433D" w:rsidRDefault="00783415" w:rsidP="00DD0CD9">
      <w:pPr>
        <w:pStyle w:val="Prrafodelista"/>
        <w:ind w:left="0"/>
        <w:jc w:val="both"/>
        <w:rPr>
          <w:rFonts w:ascii="Verdana" w:hAnsi="Verdana"/>
          <w:bCs/>
          <w:sz w:val="20"/>
          <w:szCs w:val="20"/>
          <w:lang w:val="es-ES"/>
        </w:rPr>
      </w:pPr>
      <w:r>
        <w:rPr>
          <w:rFonts w:ascii="Verdana" w:hAnsi="Verdana"/>
          <w:bCs/>
          <w:sz w:val="20"/>
          <w:szCs w:val="20"/>
          <w:lang w:val="es-ES"/>
        </w:rPr>
        <w:t xml:space="preserve">55. </w:t>
      </w:r>
      <w:r>
        <w:rPr>
          <w:rFonts w:ascii="Verdana" w:hAnsi="Verdana"/>
          <w:bCs/>
          <w:sz w:val="20"/>
          <w:szCs w:val="20"/>
          <w:lang w:val="es-ES"/>
        </w:rPr>
        <w:tab/>
      </w:r>
      <w:r w:rsidR="00FC57C2" w:rsidRPr="00DF433D">
        <w:rPr>
          <w:rFonts w:ascii="Verdana" w:hAnsi="Verdana"/>
          <w:bCs/>
          <w:sz w:val="20"/>
          <w:szCs w:val="20"/>
          <w:lang w:val="es-ES"/>
        </w:rPr>
        <w:t xml:space="preserve">El riesgo de irreversibilidad de la contaminación causada por las actividades del </w:t>
      </w:r>
      <w:r w:rsidR="00FC57C2" w:rsidRPr="00DF433D">
        <w:rPr>
          <w:rFonts w:ascii="Verdana" w:hAnsi="Verdana"/>
          <w:bCs/>
          <w:i/>
          <w:iCs/>
          <w:sz w:val="20"/>
          <w:szCs w:val="20"/>
          <w:lang w:val="es-ES"/>
        </w:rPr>
        <w:t xml:space="preserve">Complejo Metalúrgico de La Oroya </w:t>
      </w:r>
      <w:r w:rsidR="00FC57C2" w:rsidRPr="00DF433D">
        <w:rPr>
          <w:rFonts w:ascii="Verdana" w:hAnsi="Verdana"/>
          <w:bCs/>
          <w:sz w:val="20"/>
          <w:szCs w:val="20"/>
          <w:lang w:val="es-ES"/>
        </w:rPr>
        <w:t>impulsa el cumplimiento de obligaciones colectivas en relación con el principio de precaución y el principio de equidad intergeneracional. El primero se define como</w:t>
      </w:r>
      <w:r w:rsidR="0052292E">
        <w:rPr>
          <w:rFonts w:ascii="Verdana" w:hAnsi="Verdana"/>
          <w:bCs/>
          <w:sz w:val="20"/>
          <w:szCs w:val="20"/>
          <w:lang w:val="es-ES"/>
        </w:rPr>
        <w:t xml:space="preserve"> el</w:t>
      </w:r>
      <w:r w:rsidR="001D3E11" w:rsidRPr="00DF433D">
        <w:rPr>
          <w:rFonts w:ascii="Verdana" w:hAnsi="Verdana"/>
          <w:bCs/>
          <w:sz w:val="20"/>
          <w:szCs w:val="20"/>
          <w:lang w:val="es-ES"/>
        </w:rPr>
        <w:t xml:space="preserve"> </w:t>
      </w:r>
      <w:r w:rsidR="001D3E11" w:rsidRPr="0052292E">
        <w:rPr>
          <w:rFonts w:ascii="Verdana" w:hAnsi="Verdana"/>
          <w:bCs/>
          <w:sz w:val="20"/>
          <w:szCs w:val="20"/>
          <w:lang w:val="es-ES"/>
        </w:rPr>
        <w:t>“</w:t>
      </w:r>
      <w:r w:rsidR="001D3E11" w:rsidRPr="008E72FA">
        <w:rPr>
          <w:rFonts w:ascii="Verdana" w:eastAsia="Batang" w:hAnsi="Verdana" w:cs="Times"/>
          <w:iCs/>
          <w:sz w:val="20"/>
          <w:szCs w:val="20"/>
          <w:lang w:val="es-ES" w:eastAsia="es-CR"/>
        </w:rPr>
        <w:t>deber de los Estados de preservar el ambiente para permitir a las generaciones futuras oportunidades de desarrollo y de viabilidad de la vida humana</w:t>
      </w:r>
      <w:r w:rsidR="0052292E">
        <w:rPr>
          <w:rFonts w:ascii="Verdana" w:hAnsi="Verdana"/>
          <w:bCs/>
          <w:sz w:val="20"/>
          <w:szCs w:val="20"/>
          <w:lang w:val="es-ES"/>
        </w:rPr>
        <w:t>”</w:t>
      </w:r>
      <w:r w:rsidR="00DD0CD9" w:rsidRPr="00DF433D">
        <w:rPr>
          <w:rFonts w:ascii="Verdana" w:hAnsi="Verdana"/>
          <w:bCs/>
          <w:sz w:val="20"/>
          <w:szCs w:val="20"/>
          <w:lang w:val="es-ES"/>
        </w:rPr>
        <w:t xml:space="preserve"> y el segundo se refiere a la obligación de los Estados de</w:t>
      </w:r>
      <w:r w:rsidR="001D3E11" w:rsidRPr="00DF433D">
        <w:rPr>
          <w:rFonts w:ascii="Verdana" w:hAnsi="Verdana"/>
          <w:bCs/>
          <w:sz w:val="20"/>
          <w:szCs w:val="20"/>
          <w:lang w:val="es-ES"/>
        </w:rPr>
        <w:t xml:space="preserve"> </w:t>
      </w:r>
      <w:r w:rsidR="001D3E11" w:rsidRPr="0052292E">
        <w:rPr>
          <w:rFonts w:ascii="Verdana" w:hAnsi="Verdana"/>
          <w:bCs/>
          <w:sz w:val="20"/>
          <w:szCs w:val="20"/>
          <w:lang w:val="es-ES"/>
        </w:rPr>
        <w:t>“</w:t>
      </w:r>
      <w:r w:rsidR="001D3E11" w:rsidRPr="008E72FA">
        <w:rPr>
          <w:rFonts w:ascii="Verdana" w:hAnsi="Verdana"/>
          <w:iCs/>
          <w:sz w:val="20"/>
          <w:szCs w:val="20"/>
          <w:lang w:val="es-ES"/>
        </w:rPr>
        <w:t>coadyuvar activamente por medio de la generación de políticas ambientales orientadas a que las generaciones actuales dejen condiciones de estabilidad ambiental que permitan a las generaciones venideras similares oportunidades de desarrollo</w:t>
      </w:r>
      <w:r w:rsidR="001D3E11" w:rsidRPr="0052292E">
        <w:rPr>
          <w:rFonts w:ascii="Verdana" w:hAnsi="Verdana"/>
          <w:bCs/>
          <w:sz w:val="20"/>
          <w:szCs w:val="20"/>
          <w:lang w:val="es-ES"/>
        </w:rPr>
        <w:t>”</w:t>
      </w:r>
      <w:r w:rsidR="001D3E11" w:rsidRPr="00DF433D">
        <w:rPr>
          <w:rFonts w:ascii="Verdana" w:hAnsi="Verdana"/>
          <w:bCs/>
          <w:sz w:val="20"/>
          <w:szCs w:val="20"/>
          <w:lang w:val="es-ES"/>
        </w:rPr>
        <w:t xml:space="preserve">, conforme </w:t>
      </w:r>
      <w:r w:rsidR="0052292E">
        <w:rPr>
          <w:rFonts w:ascii="Verdana" w:hAnsi="Verdana"/>
          <w:bCs/>
          <w:sz w:val="20"/>
          <w:szCs w:val="20"/>
          <w:lang w:val="es-ES"/>
        </w:rPr>
        <w:t xml:space="preserve">a lo </w:t>
      </w:r>
      <w:r w:rsidR="001D3E11" w:rsidRPr="00DF433D">
        <w:rPr>
          <w:rFonts w:ascii="Verdana" w:hAnsi="Verdana"/>
          <w:bCs/>
          <w:sz w:val="20"/>
          <w:szCs w:val="20"/>
          <w:lang w:val="es-ES"/>
        </w:rPr>
        <w:t>enfatizado p</w:t>
      </w:r>
      <w:r w:rsidR="00DD0CD9" w:rsidRPr="00DF433D">
        <w:rPr>
          <w:rFonts w:ascii="Verdana" w:hAnsi="Verdana"/>
          <w:bCs/>
          <w:sz w:val="20"/>
          <w:szCs w:val="20"/>
          <w:lang w:val="es-ES"/>
        </w:rPr>
        <w:t>or la</w:t>
      </w:r>
      <w:r w:rsidR="001D3E11" w:rsidRPr="00DF433D">
        <w:rPr>
          <w:rFonts w:ascii="Verdana" w:hAnsi="Verdana"/>
          <w:bCs/>
          <w:sz w:val="20"/>
          <w:szCs w:val="20"/>
          <w:lang w:val="es-ES"/>
        </w:rPr>
        <w:t xml:space="preserve"> senten</w:t>
      </w:r>
      <w:r w:rsidR="00DD0CD9" w:rsidRPr="00DF433D">
        <w:rPr>
          <w:rFonts w:ascii="Verdana" w:hAnsi="Verdana"/>
          <w:bCs/>
          <w:sz w:val="20"/>
          <w:szCs w:val="20"/>
          <w:lang w:val="es-ES"/>
        </w:rPr>
        <w:t>ci</w:t>
      </w:r>
      <w:r w:rsidR="001D3E11" w:rsidRPr="00DF433D">
        <w:rPr>
          <w:rFonts w:ascii="Verdana" w:hAnsi="Verdana"/>
          <w:bCs/>
          <w:sz w:val="20"/>
          <w:szCs w:val="20"/>
          <w:lang w:val="es-ES"/>
        </w:rPr>
        <w:t>a d</w:t>
      </w:r>
      <w:r w:rsidR="00DD0CD9" w:rsidRPr="00DF433D">
        <w:rPr>
          <w:rFonts w:ascii="Verdana" w:hAnsi="Verdana"/>
          <w:bCs/>
          <w:sz w:val="20"/>
          <w:szCs w:val="20"/>
          <w:lang w:val="es-ES"/>
        </w:rPr>
        <w:t xml:space="preserve">el </w:t>
      </w:r>
      <w:r w:rsidR="001D3E11" w:rsidRPr="00DF433D">
        <w:rPr>
          <w:rFonts w:ascii="Verdana" w:hAnsi="Verdana"/>
          <w:bCs/>
          <w:sz w:val="20"/>
          <w:szCs w:val="20"/>
          <w:lang w:val="es-ES"/>
        </w:rPr>
        <w:t>caso</w:t>
      </w:r>
      <w:r w:rsidR="001D3E11" w:rsidRPr="00DF433D">
        <w:rPr>
          <w:rStyle w:val="Refdenotaalpie"/>
          <w:rFonts w:ascii="Verdana" w:hAnsi="Verdana"/>
          <w:bCs/>
          <w:sz w:val="20"/>
          <w:szCs w:val="20"/>
          <w:lang w:val="pt-BR"/>
        </w:rPr>
        <w:footnoteReference w:id="61"/>
      </w:r>
      <w:r w:rsidR="00326AFB">
        <w:rPr>
          <w:rFonts w:ascii="Verdana" w:hAnsi="Verdana"/>
          <w:bCs/>
          <w:sz w:val="20"/>
          <w:szCs w:val="20"/>
          <w:lang w:val="es-ES"/>
        </w:rPr>
        <w:t>.</w:t>
      </w:r>
    </w:p>
    <w:p w14:paraId="138FEB0C" w14:textId="77777777" w:rsidR="00783415" w:rsidRDefault="00783415" w:rsidP="00783415">
      <w:pPr>
        <w:pStyle w:val="Prrafodelista"/>
        <w:ind w:left="0"/>
        <w:jc w:val="both"/>
        <w:rPr>
          <w:rFonts w:ascii="Verdana" w:hAnsi="Verdana"/>
          <w:bCs/>
          <w:sz w:val="20"/>
          <w:szCs w:val="20"/>
          <w:lang w:val="es-ES"/>
        </w:rPr>
      </w:pPr>
    </w:p>
    <w:p w14:paraId="39A69C5D" w14:textId="1C0471CA" w:rsidR="00270F2E" w:rsidRPr="00DF433D" w:rsidRDefault="00783415" w:rsidP="00783415">
      <w:pPr>
        <w:pStyle w:val="Prrafodelista"/>
        <w:ind w:left="0"/>
        <w:jc w:val="both"/>
        <w:rPr>
          <w:rFonts w:ascii="Verdana" w:hAnsi="Verdana"/>
          <w:bCs/>
          <w:sz w:val="20"/>
          <w:szCs w:val="20"/>
          <w:lang w:val="es-ES"/>
        </w:rPr>
      </w:pPr>
      <w:r>
        <w:rPr>
          <w:rFonts w:ascii="Verdana" w:hAnsi="Verdana"/>
          <w:bCs/>
          <w:sz w:val="20"/>
          <w:szCs w:val="20"/>
          <w:lang w:val="es-ES"/>
        </w:rPr>
        <w:t xml:space="preserve">56. </w:t>
      </w:r>
      <w:r>
        <w:rPr>
          <w:rFonts w:ascii="Verdana" w:hAnsi="Verdana"/>
          <w:bCs/>
          <w:sz w:val="20"/>
          <w:szCs w:val="20"/>
          <w:lang w:val="es-ES"/>
        </w:rPr>
        <w:tab/>
      </w:r>
      <w:r w:rsidR="006F2159" w:rsidRPr="00DF433D">
        <w:rPr>
          <w:rFonts w:ascii="Verdana" w:hAnsi="Verdana"/>
          <w:bCs/>
          <w:sz w:val="20"/>
          <w:szCs w:val="20"/>
          <w:lang w:val="es-ES"/>
        </w:rPr>
        <w:t xml:space="preserve">Conscientes de más de cien años de violaciones con riesgos de irreversibilidad, es posible dar fe de la </w:t>
      </w:r>
      <w:r w:rsidR="006F2159" w:rsidRPr="00DF433D">
        <w:rPr>
          <w:rFonts w:ascii="Verdana" w:hAnsi="Verdana"/>
          <w:bCs/>
          <w:sz w:val="20"/>
          <w:szCs w:val="20"/>
          <w:u w:val="single"/>
          <w:lang w:val="es-ES"/>
        </w:rPr>
        <w:t>magnitud</w:t>
      </w:r>
      <w:r w:rsidR="006F2159" w:rsidRPr="008E72FA">
        <w:rPr>
          <w:rFonts w:ascii="Verdana" w:hAnsi="Verdana"/>
          <w:bCs/>
          <w:sz w:val="20"/>
          <w:szCs w:val="20"/>
          <w:lang w:val="es-ES"/>
        </w:rPr>
        <w:t xml:space="preserve"> </w:t>
      </w:r>
      <w:r w:rsidR="006F2159" w:rsidRPr="00DF433D">
        <w:rPr>
          <w:rFonts w:ascii="Verdana" w:hAnsi="Verdana"/>
          <w:bCs/>
          <w:sz w:val="20"/>
          <w:szCs w:val="20"/>
          <w:lang w:val="es-ES"/>
        </w:rPr>
        <w:t>del daño ambiental causado a la comunidad de La Oroya. El término "zona de sacrificio", utilizado por el perito Marco</w:t>
      </w:r>
      <w:r w:rsidR="009F285D">
        <w:rPr>
          <w:rFonts w:ascii="Verdana" w:hAnsi="Verdana"/>
          <w:bCs/>
          <w:sz w:val="20"/>
          <w:szCs w:val="20"/>
          <w:lang w:val="es-ES"/>
        </w:rPr>
        <w:t>s</w:t>
      </w:r>
      <w:r w:rsidR="006F2159" w:rsidRPr="00DF433D">
        <w:rPr>
          <w:rFonts w:ascii="Verdana" w:hAnsi="Verdana"/>
          <w:bCs/>
          <w:sz w:val="20"/>
          <w:szCs w:val="20"/>
          <w:lang w:val="es-ES"/>
        </w:rPr>
        <w:t xml:space="preserve"> Orellana y reforzado por la sentencia de la </w:t>
      </w:r>
      <w:r w:rsidR="003376CE" w:rsidRPr="00DF433D">
        <w:rPr>
          <w:rFonts w:ascii="Verdana" w:hAnsi="Verdana"/>
          <w:bCs/>
          <w:sz w:val="20"/>
          <w:szCs w:val="20"/>
          <w:lang w:val="es-ES"/>
        </w:rPr>
        <w:t>Corte</w:t>
      </w:r>
      <w:r w:rsidR="00B27258" w:rsidRPr="00DF433D">
        <w:rPr>
          <w:rFonts w:ascii="Verdana" w:hAnsi="Verdana"/>
          <w:bCs/>
          <w:sz w:val="20"/>
          <w:szCs w:val="20"/>
          <w:lang w:val="es-ES"/>
        </w:rPr>
        <w:t xml:space="preserve"> IDH</w:t>
      </w:r>
      <w:r w:rsidR="003376CE" w:rsidRPr="00DF433D">
        <w:rPr>
          <w:rStyle w:val="Refdenotaalpie"/>
          <w:rFonts w:ascii="Verdana" w:hAnsi="Verdana"/>
          <w:bCs/>
          <w:sz w:val="20"/>
          <w:szCs w:val="20"/>
          <w:lang w:val="pt-BR"/>
        </w:rPr>
        <w:footnoteReference w:id="62"/>
      </w:r>
      <w:r w:rsidR="00B27258" w:rsidRPr="00DF433D">
        <w:rPr>
          <w:rFonts w:ascii="Verdana" w:hAnsi="Verdana"/>
          <w:bCs/>
          <w:sz w:val="20"/>
          <w:szCs w:val="20"/>
          <w:lang w:val="es-ES"/>
        </w:rPr>
        <w:t>,</w:t>
      </w:r>
      <w:r w:rsidR="003376CE" w:rsidRPr="00DF433D">
        <w:rPr>
          <w:rFonts w:ascii="Verdana" w:hAnsi="Verdana"/>
          <w:bCs/>
          <w:sz w:val="20"/>
          <w:szCs w:val="20"/>
          <w:lang w:val="es-ES"/>
        </w:rPr>
        <w:t xml:space="preserve"> </w:t>
      </w:r>
      <w:r w:rsidR="006F2159" w:rsidRPr="00DF433D">
        <w:rPr>
          <w:rFonts w:ascii="Verdana" w:hAnsi="Verdana"/>
          <w:bCs/>
          <w:sz w:val="20"/>
          <w:szCs w:val="20"/>
          <w:lang w:val="es-ES"/>
        </w:rPr>
        <w:t xml:space="preserve">cristaliza los efectos trascendentales causados por la exposición histórica a altos niveles de contaminación en la región de la localidad de La Oroya. </w:t>
      </w:r>
      <w:r w:rsidR="006F2159" w:rsidRPr="008E72FA">
        <w:rPr>
          <w:rFonts w:ascii="Verdana" w:hAnsi="Verdana"/>
          <w:bCs/>
          <w:sz w:val="20"/>
          <w:szCs w:val="20"/>
          <w:lang w:val="es-ES"/>
        </w:rPr>
        <w:t>En este sentido, la Corte IDH señaló</w:t>
      </w:r>
      <w:r w:rsidR="00B27258" w:rsidRPr="00DF433D">
        <w:rPr>
          <w:rFonts w:ascii="Verdana" w:hAnsi="Verdana"/>
          <w:bCs/>
          <w:sz w:val="20"/>
          <w:szCs w:val="20"/>
          <w:lang w:val="es-ES"/>
        </w:rPr>
        <w:t>:</w:t>
      </w:r>
    </w:p>
    <w:p w14:paraId="47C97E3E" w14:textId="77777777" w:rsidR="00270F2E" w:rsidRPr="00B21C1F" w:rsidRDefault="00270F2E" w:rsidP="00270F2E">
      <w:pPr>
        <w:pStyle w:val="Prrafodelista"/>
        <w:rPr>
          <w:rFonts w:ascii="Verdana" w:hAnsi="Verdana" w:cs="Open Sans"/>
          <w:color w:val="4472C4" w:themeColor="accent1"/>
          <w:sz w:val="18"/>
          <w:szCs w:val="18"/>
          <w:shd w:val="clear" w:color="auto" w:fill="FFFFFF"/>
          <w:lang w:val="es-ES"/>
        </w:rPr>
      </w:pPr>
    </w:p>
    <w:p w14:paraId="0E109DDD" w14:textId="66C90160" w:rsidR="00270F2E" w:rsidRPr="008E72FA" w:rsidRDefault="00270F2E" w:rsidP="0052292E">
      <w:pPr>
        <w:ind w:left="709" w:right="645"/>
        <w:jc w:val="both"/>
        <w:rPr>
          <w:rFonts w:ascii="Verdana" w:eastAsiaTheme="minorEastAsia" w:hAnsi="Verdana" w:cs="Arial"/>
          <w:sz w:val="18"/>
          <w:szCs w:val="18"/>
          <w:lang w:val="es-ES"/>
        </w:rPr>
      </w:pPr>
      <w:r w:rsidRPr="008E72FA">
        <w:rPr>
          <w:rFonts w:ascii="Verdana" w:eastAsiaTheme="minorEastAsia" w:hAnsi="Verdana" w:cs="Arial"/>
          <w:sz w:val="18"/>
          <w:szCs w:val="18"/>
          <w:lang w:val="es-ES"/>
        </w:rPr>
        <w:t>En ese sentido, este Tribunal considera que la gravedad y duración de la contaminación producida por el CMLO durante décadas permite presumir que La Oroya se constituyó como una “zona de sacrificio”, pues se encontró durante años sujeta a altos niveles de contaminación ambiental que afectaron el aire, el agua y el suelo, y en esa medida pusieron en riesgo la salud, integridad y la vida de sus habitantes</w:t>
      </w:r>
      <w:r w:rsidRPr="008E72FA">
        <w:rPr>
          <w:rStyle w:val="Refdenotaalpie"/>
          <w:rFonts w:ascii="Verdana" w:eastAsiaTheme="minorEastAsia" w:hAnsi="Verdana" w:cs="Arial"/>
          <w:sz w:val="18"/>
          <w:szCs w:val="18"/>
          <w:lang w:val="es-ES"/>
        </w:rPr>
        <w:footnoteReference w:id="63"/>
      </w:r>
      <w:r w:rsidRPr="008E72FA">
        <w:rPr>
          <w:rFonts w:ascii="Verdana" w:eastAsiaTheme="minorEastAsia" w:hAnsi="Verdana" w:cs="Arial"/>
          <w:sz w:val="18"/>
          <w:szCs w:val="18"/>
          <w:lang w:val="es-ES"/>
        </w:rPr>
        <w:t xml:space="preserve">. </w:t>
      </w:r>
    </w:p>
    <w:p w14:paraId="68EE96E5" w14:textId="59054314" w:rsidR="00534392" w:rsidRPr="00DF433D" w:rsidRDefault="00A46936" w:rsidP="005D4403">
      <w:pPr>
        <w:jc w:val="both"/>
        <w:rPr>
          <w:rFonts w:ascii="Verdana" w:hAnsi="Verdana"/>
          <w:bCs/>
          <w:sz w:val="20"/>
          <w:szCs w:val="20"/>
          <w:lang w:val="es-419"/>
        </w:rPr>
      </w:pPr>
      <w:r w:rsidRPr="00DF433D">
        <w:rPr>
          <w:rFonts w:ascii="Verdana" w:hAnsi="Verdana" w:cs="Open Sans"/>
          <w:color w:val="4472C4" w:themeColor="accent1"/>
          <w:sz w:val="20"/>
          <w:szCs w:val="20"/>
          <w:shd w:val="clear" w:color="auto" w:fill="FFFFFF"/>
          <w:lang w:val="es-419"/>
        </w:rPr>
        <w:t xml:space="preserve"> </w:t>
      </w:r>
    </w:p>
    <w:p w14:paraId="4AA8FB4F" w14:textId="52F52D45" w:rsidR="00E30C13" w:rsidRPr="00DF433D" w:rsidRDefault="00783415" w:rsidP="00783415">
      <w:pPr>
        <w:pStyle w:val="Prrafodelista"/>
        <w:ind w:left="0"/>
        <w:jc w:val="both"/>
        <w:rPr>
          <w:rFonts w:ascii="Verdana" w:hAnsi="Verdana" w:cs="Open Sans"/>
          <w:sz w:val="20"/>
          <w:szCs w:val="20"/>
          <w:shd w:val="clear" w:color="auto" w:fill="FFFFFF"/>
          <w:lang w:val="es-ES"/>
        </w:rPr>
      </w:pPr>
      <w:r>
        <w:rPr>
          <w:rFonts w:ascii="Verdana" w:hAnsi="Verdana"/>
          <w:bCs/>
          <w:sz w:val="20"/>
          <w:szCs w:val="20"/>
          <w:lang w:val="es-ES"/>
        </w:rPr>
        <w:t xml:space="preserve">57. </w:t>
      </w:r>
      <w:r>
        <w:rPr>
          <w:rFonts w:ascii="Verdana" w:hAnsi="Verdana"/>
          <w:bCs/>
          <w:sz w:val="20"/>
          <w:szCs w:val="20"/>
          <w:lang w:val="es-ES"/>
        </w:rPr>
        <w:tab/>
      </w:r>
      <w:r w:rsidR="0060371A" w:rsidRPr="00DF433D">
        <w:rPr>
          <w:rFonts w:ascii="Verdana" w:hAnsi="Verdana"/>
          <w:bCs/>
          <w:sz w:val="20"/>
          <w:szCs w:val="20"/>
          <w:lang w:val="es-ES"/>
        </w:rPr>
        <w:t>Desde esta perspectiva de la Comunidad de La Oroya como "zona de sacrificio", Sultana afirma que "algunas vidas y ecosistemas se vuelven desechables y sacrificables, siendo alimentados por fuerzas estructurales, tanto históricas como contemporáneas"</w:t>
      </w:r>
      <w:r w:rsidR="00373455" w:rsidRPr="00DF433D">
        <w:rPr>
          <w:rStyle w:val="Refdenotaalpie"/>
          <w:rFonts w:ascii="Verdana" w:hAnsi="Verdana"/>
          <w:bCs/>
          <w:sz w:val="20"/>
          <w:szCs w:val="20"/>
          <w:lang w:val="es-419"/>
        </w:rPr>
        <w:footnoteReference w:id="64"/>
      </w:r>
      <w:r w:rsidR="00373455" w:rsidRPr="00DF433D">
        <w:rPr>
          <w:rFonts w:ascii="Verdana" w:hAnsi="Verdana"/>
          <w:bCs/>
          <w:sz w:val="20"/>
          <w:szCs w:val="20"/>
          <w:lang w:val="es-ES"/>
        </w:rPr>
        <w:t>.</w:t>
      </w:r>
      <w:r w:rsidR="0060371A" w:rsidRPr="00DF433D">
        <w:rPr>
          <w:rFonts w:ascii="Verdana" w:hAnsi="Verdana"/>
          <w:bCs/>
          <w:sz w:val="20"/>
          <w:szCs w:val="20"/>
          <w:lang w:val="es-ES"/>
        </w:rPr>
        <w:t xml:space="preserve"> El caso de La Oroya no es aislado en la jurisprudencia interamericana en materia de violaciones ambientales, ya que el </w:t>
      </w:r>
      <w:r w:rsidR="0060371A" w:rsidRPr="00DF433D">
        <w:rPr>
          <w:rFonts w:ascii="Verdana" w:hAnsi="Verdana" w:cs="Open Sans"/>
          <w:i/>
          <w:iCs/>
          <w:sz w:val="20"/>
          <w:szCs w:val="20"/>
          <w:shd w:val="clear" w:color="auto" w:fill="FFFFFF"/>
          <w:lang w:val="es-ES"/>
        </w:rPr>
        <w:t xml:space="preserve">caso Comunidades Indígenas Miembros de la Asociación Lhaka Honhat (Nuestra Tierra) Vs. Argentina (2020) </w:t>
      </w:r>
      <w:r w:rsidR="0060371A" w:rsidRPr="00DF433D">
        <w:rPr>
          <w:rFonts w:ascii="Verdana" w:hAnsi="Verdana" w:cs="Open Sans"/>
          <w:sz w:val="20"/>
          <w:szCs w:val="20"/>
          <w:shd w:val="clear" w:color="auto" w:fill="FFFFFF"/>
          <w:lang w:val="es-ES"/>
        </w:rPr>
        <w:t xml:space="preserve">fue paradigmático al declarar la autonomía de este derecho en </w:t>
      </w:r>
      <w:r w:rsidR="003D4FD9" w:rsidRPr="00DF433D">
        <w:rPr>
          <w:rFonts w:ascii="Verdana" w:hAnsi="Verdana" w:cs="Open Sans"/>
          <w:sz w:val="20"/>
          <w:szCs w:val="20"/>
          <w:shd w:val="clear" w:color="auto" w:fill="FFFFFF"/>
          <w:lang w:val="es-ES"/>
        </w:rPr>
        <w:t>el ámbito contencioso</w:t>
      </w:r>
      <w:r w:rsidR="0060371A" w:rsidRPr="00DF433D">
        <w:rPr>
          <w:rFonts w:ascii="Verdana" w:hAnsi="Verdana" w:cs="Open Sans"/>
          <w:sz w:val="20"/>
          <w:szCs w:val="20"/>
          <w:shd w:val="clear" w:color="auto" w:fill="FFFFFF"/>
          <w:lang w:val="es-ES"/>
        </w:rPr>
        <w:t xml:space="preserve">. </w:t>
      </w:r>
    </w:p>
    <w:p w14:paraId="7C79610C" w14:textId="77777777" w:rsidR="003D4FD9" w:rsidRPr="00DF433D" w:rsidRDefault="003D4FD9" w:rsidP="003D4FD9">
      <w:pPr>
        <w:pStyle w:val="Prrafodelista"/>
        <w:ind w:left="0"/>
        <w:jc w:val="both"/>
        <w:rPr>
          <w:rFonts w:ascii="Verdana" w:hAnsi="Verdana" w:cs="Open Sans"/>
          <w:sz w:val="20"/>
          <w:szCs w:val="20"/>
          <w:shd w:val="clear" w:color="auto" w:fill="FFFFFF"/>
          <w:lang w:val="es-ES"/>
        </w:rPr>
      </w:pPr>
    </w:p>
    <w:p w14:paraId="257D81A6" w14:textId="1C827ED4" w:rsidR="00107D66" w:rsidRPr="00DF433D" w:rsidRDefault="00783415" w:rsidP="00783415">
      <w:pPr>
        <w:pStyle w:val="Prrafodelista"/>
        <w:ind w:left="0"/>
        <w:jc w:val="both"/>
        <w:rPr>
          <w:rFonts w:ascii="Verdana" w:hAnsi="Verdana" w:cs="Open Sans"/>
          <w:sz w:val="20"/>
          <w:szCs w:val="20"/>
          <w:shd w:val="clear" w:color="auto" w:fill="FFFFFF"/>
          <w:lang w:val="es-419"/>
        </w:rPr>
      </w:pPr>
      <w:r>
        <w:rPr>
          <w:rFonts w:ascii="Verdana" w:hAnsi="Verdana" w:cs="Open Sans"/>
          <w:sz w:val="20"/>
          <w:szCs w:val="20"/>
          <w:shd w:val="clear" w:color="auto" w:fill="FFFFFF"/>
          <w:lang w:val="es-ES"/>
        </w:rPr>
        <w:t xml:space="preserve">58. </w:t>
      </w:r>
      <w:r>
        <w:rPr>
          <w:rFonts w:ascii="Verdana" w:hAnsi="Verdana" w:cs="Open Sans"/>
          <w:sz w:val="20"/>
          <w:szCs w:val="20"/>
          <w:shd w:val="clear" w:color="auto" w:fill="FFFFFF"/>
          <w:lang w:val="es-ES"/>
        </w:rPr>
        <w:tab/>
      </w:r>
      <w:r w:rsidR="0060371A" w:rsidRPr="00DF433D">
        <w:rPr>
          <w:rFonts w:ascii="Verdana" w:hAnsi="Verdana" w:cs="Open Sans"/>
          <w:sz w:val="20"/>
          <w:szCs w:val="20"/>
          <w:shd w:val="clear" w:color="auto" w:fill="FFFFFF"/>
          <w:lang w:val="es-ES"/>
        </w:rPr>
        <w:t>Al reconocer la dimensión colectiva de una violación, el Tribunal</w:t>
      </w:r>
      <w:r w:rsidR="0060371A" w:rsidRPr="00DF433D">
        <w:rPr>
          <w:rFonts w:ascii="Verdana" w:hAnsi="Verdana" w:cs="Open Sans"/>
          <w:sz w:val="20"/>
          <w:szCs w:val="20"/>
          <w:shd w:val="clear" w:color="auto" w:fill="FFFFFF"/>
        </w:rPr>
        <w:t xml:space="preserve"> </w:t>
      </w:r>
      <w:r w:rsidR="0060371A" w:rsidRPr="00DF433D">
        <w:rPr>
          <w:rFonts w:ascii="Verdana" w:hAnsi="Verdana" w:cs="Open Sans"/>
          <w:sz w:val="20"/>
          <w:szCs w:val="20"/>
          <w:shd w:val="clear" w:color="auto" w:fill="FFFFFF"/>
          <w:lang w:val="es-ES"/>
        </w:rPr>
        <w:t>no se limita a atribuir un calificativo a la conducta estatal. Se trata de una declaración que tiene consecuencias directas sobre las medidas adoptadas por la Corte</w:t>
      </w:r>
      <w:r w:rsidR="00E97C4F">
        <w:rPr>
          <w:rFonts w:ascii="Verdana" w:hAnsi="Verdana" w:cs="Open Sans"/>
          <w:sz w:val="20"/>
          <w:szCs w:val="20"/>
          <w:shd w:val="clear" w:color="auto" w:fill="FFFFFF"/>
          <w:lang w:val="es-ES"/>
        </w:rPr>
        <w:t xml:space="preserve"> IDH</w:t>
      </w:r>
      <w:r w:rsidR="0060371A" w:rsidRPr="00DF433D">
        <w:rPr>
          <w:rFonts w:ascii="Verdana" w:hAnsi="Verdana" w:cs="Open Sans"/>
          <w:sz w:val="20"/>
          <w:szCs w:val="20"/>
          <w:shd w:val="clear" w:color="auto" w:fill="FFFFFF"/>
          <w:lang w:val="es-ES"/>
        </w:rPr>
        <w:t xml:space="preserve">, especialmente en materia de reparaciones. El </w:t>
      </w:r>
      <w:r w:rsidR="0060371A" w:rsidRPr="00DF433D">
        <w:rPr>
          <w:rFonts w:ascii="Verdana" w:hAnsi="Verdana" w:cs="Open Sans"/>
          <w:i/>
          <w:iCs/>
          <w:sz w:val="20"/>
          <w:szCs w:val="20"/>
          <w:shd w:val="clear" w:color="auto" w:fill="FFFFFF"/>
          <w:lang w:val="es-ES"/>
        </w:rPr>
        <w:t xml:space="preserve">corpus iuris </w:t>
      </w:r>
      <w:r w:rsidR="0060371A" w:rsidRPr="00DF433D">
        <w:rPr>
          <w:rFonts w:ascii="Verdana" w:hAnsi="Verdana" w:cs="Open Sans"/>
          <w:sz w:val="20"/>
          <w:szCs w:val="20"/>
          <w:shd w:val="clear" w:color="auto" w:fill="FFFFFF"/>
          <w:lang w:val="es-ES"/>
        </w:rPr>
        <w:t>interamericano ha permitido el desarrollo de instrumentos jurídicos capaces de hacer frente a violaciones de esta naturaleza, con dos mecanismos principales que se analizarán a continuación. El primero radica en la posibilidad de abrir la lista de víctimas prescrita en el artículo 35.2 del Reglamento de la Corte IDH. El segundo</w:t>
      </w:r>
      <w:r w:rsidR="002832BA" w:rsidRPr="00DF433D">
        <w:rPr>
          <w:rFonts w:ascii="Verdana" w:hAnsi="Verdana" w:cs="Open Sans"/>
          <w:sz w:val="20"/>
          <w:szCs w:val="20"/>
          <w:shd w:val="clear" w:color="auto" w:fill="FFFFFF"/>
          <w:lang w:val="es-ES"/>
        </w:rPr>
        <w:t>, enfoque de esta sección,</w:t>
      </w:r>
      <w:r w:rsidR="0060371A" w:rsidRPr="00DF433D">
        <w:rPr>
          <w:rFonts w:ascii="Verdana" w:hAnsi="Verdana" w:cs="Open Sans"/>
          <w:sz w:val="20"/>
          <w:szCs w:val="20"/>
          <w:shd w:val="clear" w:color="auto" w:fill="FFFFFF"/>
          <w:lang w:val="es-ES"/>
        </w:rPr>
        <w:t xml:space="preserve"> se refiere al desarrollo de la jurisprudencia sobre medidas de reparación colectiva</w:t>
      </w:r>
      <w:r w:rsidR="000B616C">
        <w:rPr>
          <w:rFonts w:ascii="Verdana" w:hAnsi="Verdana" w:cs="Open Sans"/>
          <w:sz w:val="20"/>
          <w:szCs w:val="20"/>
          <w:shd w:val="clear" w:color="auto" w:fill="FFFFFF"/>
          <w:lang w:val="es-ES"/>
        </w:rPr>
        <w:t>s</w:t>
      </w:r>
      <w:r w:rsidR="0060371A" w:rsidRPr="00DF433D">
        <w:rPr>
          <w:rFonts w:ascii="Verdana" w:hAnsi="Verdana" w:cs="Open Sans"/>
          <w:sz w:val="20"/>
          <w:szCs w:val="20"/>
          <w:shd w:val="clear" w:color="auto" w:fill="FFFFFF"/>
          <w:lang w:val="es-ES"/>
        </w:rPr>
        <w:t xml:space="preserve">, especialmente en la forma de garantías de no repetición. </w:t>
      </w:r>
    </w:p>
    <w:p w14:paraId="77D800BF" w14:textId="77777777" w:rsidR="00386AD9" w:rsidRPr="00DF433D" w:rsidRDefault="00386AD9" w:rsidP="004D6FD8">
      <w:pPr>
        <w:pStyle w:val="Prrafodelista"/>
        <w:rPr>
          <w:rFonts w:ascii="Verdana" w:hAnsi="Verdana" w:cs="Open Sans"/>
          <w:sz w:val="20"/>
          <w:szCs w:val="20"/>
          <w:shd w:val="clear" w:color="auto" w:fill="FFFFFF"/>
          <w:lang w:val="es-419"/>
        </w:rPr>
      </w:pPr>
    </w:p>
    <w:p w14:paraId="5BB67944" w14:textId="3982B8D4" w:rsidR="009F171B" w:rsidRPr="00DF433D" w:rsidRDefault="00783415" w:rsidP="00783415">
      <w:pPr>
        <w:pStyle w:val="Prrafodelista"/>
        <w:ind w:left="0"/>
        <w:jc w:val="both"/>
        <w:rPr>
          <w:rFonts w:ascii="Verdana" w:hAnsi="Verdana"/>
          <w:bCs/>
          <w:color w:val="4472C4" w:themeColor="accent1"/>
          <w:sz w:val="20"/>
          <w:szCs w:val="20"/>
          <w:lang w:val="es-ES"/>
        </w:rPr>
      </w:pPr>
      <w:r>
        <w:rPr>
          <w:rFonts w:ascii="Verdana" w:hAnsi="Verdana"/>
          <w:bCs/>
          <w:sz w:val="20"/>
          <w:szCs w:val="20"/>
          <w:lang w:val="es-ES"/>
        </w:rPr>
        <w:t xml:space="preserve">59. </w:t>
      </w:r>
      <w:r>
        <w:rPr>
          <w:rFonts w:ascii="Verdana" w:hAnsi="Verdana"/>
          <w:bCs/>
          <w:sz w:val="20"/>
          <w:szCs w:val="20"/>
          <w:lang w:val="es-ES"/>
        </w:rPr>
        <w:tab/>
      </w:r>
      <w:r w:rsidR="0060371A" w:rsidRPr="00DF433D">
        <w:rPr>
          <w:rFonts w:ascii="Verdana" w:hAnsi="Verdana"/>
          <w:bCs/>
          <w:sz w:val="20"/>
          <w:szCs w:val="20"/>
          <w:lang w:val="es-ES"/>
        </w:rPr>
        <w:t xml:space="preserve">En cuanto a la identificación de las víctimas, el artículo 35.1 del Reglamento de la Corte IDH establece que la Comisión deberá someter el caso a la Corte IDH con la debida identificación de las presuntas víctimas en el momento procesal oportuno. Por regla general, las víctimas deben ser identificadas en el Informe de Fondo y, si posteriormente se añaden nuevas víctimas, el derecho de defensa del Estado quedará debidamente salvaguardado. A su vez, el artículo 35.2 del Reglamento de la Corte </w:t>
      </w:r>
      <w:r w:rsidR="00E97C4F">
        <w:rPr>
          <w:rFonts w:ascii="Verdana" w:hAnsi="Verdana"/>
          <w:bCs/>
          <w:sz w:val="20"/>
          <w:szCs w:val="20"/>
          <w:lang w:val="es-ES"/>
        </w:rPr>
        <w:t xml:space="preserve">IDH </w:t>
      </w:r>
      <w:r w:rsidR="0060371A" w:rsidRPr="00DF433D">
        <w:rPr>
          <w:rFonts w:ascii="Verdana" w:hAnsi="Verdana"/>
          <w:bCs/>
          <w:sz w:val="20"/>
          <w:szCs w:val="20"/>
          <w:lang w:val="es-ES"/>
        </w:rPr>
        <w:t>establece que</w:t>
      </w:r>
      <w:r w:rsidR="009F171B" w:rsidRPr="00DF433D">
        <w:rPr>
          <w:rFonts w:ascii="Verdana" w:hAnsi="Verdana"/>
          <w:bCs/>
          <w:sz w:val="20"/>
          <w:szCs w:val="20"/>
          <w:lang w:val="es-ES"/>
        </w:rPr>
        <w:t xml:space="preserve"> “</w:t>
      </w:r>
      <w:r w:rsidR="009E0647">
        <w:rPr>
          <w:rFonts w:ascii="Verdana" w:hAnsi="Verdana"/>
          <w:bCs/>
          <w:sz w:val="20"/>
          <w:szCs w:val="20"/>
          <w:lang w:val="es-ES"/>
        </w:rPr>
        <w:t>[c]</w:t>
      </w:r>
      <w:r w:rsidR="002832BA" w:rsidRPr="00DF433D">
        <w:rPr>
          <w:rFonts w:ascii="Verdana" w:hAnsi="Verdana"/>
          <w:bCs/>
          <w:sz w:val="20"/>
          <w:szCs w:val="20"/>
          <w:lang w:val="es-ES"/>
        </w:rPr>
        <w:t>uando se justificare que no fue posible identificar a alguna o algunas presuntas víctimas de los hechos del caso por tratarse de casos de violaciones masivas o colectivas, el Tribunal decidirá en su oportunidad si las considera víctimas</w:t>
      </w:r>
      <w:r w:rsidR="009F171B" w:rsidRPr="00DF433D">
        <w:rPr>
          <w:rFonts w:ascii="Verdana" w:hAnsi="Verdana"/>
          <w:bCs/>
          <w:sz w:val="20"/>
          <w:szCs w:val="20"/>
          <w:lang w:val="es-ES"/>
        </w:rPr>
        <w:t>”.</w:t>
      </w:r>
      <w:r w:rsidR="0060371A" w:rsidRPr="00DF433D">
        <w:rPr>
          <w:rFonts w:ascii="Verdana" w:hAnsi="Verdana"/>
          <w:bCs/>
          <w:sz w:val="20"/>
          <w:szCs w:val="20"/>
          <w:lang w:val="es-ES"/>
        </w:rPr>
        <w:t xml:space="preserve"> </w:t>
      </w:r>
    </w:p>
    <w:p w14:paraId="582CDD52" w14:textId="77777777" w:rsidR="009F171B" w:rsidRPr="00DF433D" w:rsidRDefault="009F171B" w:rsidP="000B3A1B">
      <w:pPr>
        <w:rPr>
          <w:rFonts w:ascii="Verdana" w:hAnsi="Verdana"/>
          <w:bCs/>
          <w:sz w:val="20"/>
          <w:szCs w:val="20"/>
          <w:lang w:val="es-ES"/>
        </w:rPr>
      </w:pPr>
    </w:p>
    <w:p w14:paraId="4C336C41" w14:textId="7E4360A1" w:rsidR="009F171B" w:rsidRPr="00DF433D" w:rsidRDefault="00783415" w:rsidP="00783415">
      <w:pPr>
        <w:pStyle w:val="Prrafodelista"/>
        <w:ind w:left="0"/>
        <w:jc w:val="both"/>
        <w:rPr>
          <w:rFonts w:ascii="Verdana" w:hAnsi="Verdana"/>
          <w:bCs/>
          <w:color w:val="4472C4" w:themeColor="accent1"/>
          <w:sz w:val="20"/>
          <w:szCs w:val="20"/>
          <w:lang w:val="es-ES"/>
        </w:rPr>
      </w:pPr>
      <w:r>
        <w:rPr>
          <w:rFonts w:ascii="Verdana" w:hAnsi="Verdana"/>
          <w:bCs/>
          <w:sz w:val="20"/>
          <w:szCs w:val="20"/>
          <w:lang w:val="es-ES"/>
        </w:rPr>
        <w:t xml:space="preserve">60. </w:t>
      </w:r>
      <w:r>
        <w:rPr>
          <w:rFonts w:ascii="Verdana" w:hAnsi="Verdana"/>
          <w:bCs/>
          <w:sz w:val="20"/>
          <w:szCs w:val="20"/>
          <w:lang w:val="es-ES"/>
        </w:rPr>
        <w:tab/>
      </w:r>
      <w:r w:rsidR="002832BA" w:rsidRPr="00DF433D">
        <w:rPr>
          <w:rFonts w:ascii="Verdana" w:hAnsi="Verdana"/>
          <w:bCs/>
          <w:sz w:val="20"/>
          <w:szCs w:val="20"/>
          <w:lang w:val="es-ES"/>
        </w:rPr>
        <w:t>L</w:t>
      </w:r>
      <w:r w:rsidR="009564E4" w:rsidRPr="00DF433D">
        <w:rPr>
          <w:rFonts w:ascii="Verdana" w:hAnsi="Verdana"/>
          <w:bCs/>
          <w:sz w:val="20"/>
          <w:szCs w:val="20"/>
          <w:lang w:val="es-ES"/>
        </w:rPr>
        <w:t>a consolidada jurisprudencia de la Corte IDH ya ha postulado determinadas hipótesis como susceptibles de aplicación del artículo 35.2 del Reglamento de</w:t>
      </w:r>
      <w:r w:rsidR="002832BA" w:rsidRPr="00DF433D">
        <w:rPr>
          <w:rFonts w:ascii="Verdana" w:hAnsi="Verdana"/>
          <w:bCs/>
          <w:sz w:val="20"/>
          <w:szCs w:val="20"/>
          <w:lang w:val="es-ES"/>
        </w:rPr>
        <w:t xml:space="preserve"> la Corte IDH</w:t>
      </w:r>
      <w:r w:rsidR="009564E4" w:rsidRPr="00DF433D">
        <w:rPr>
          <w:rFonts w:ascii="Verdana" w:hAnsi="Verdana"/>
          <w:bCs/>
          <w:sz w:val="20"/>
          <w:szCs w:val="20"/>
          <w:lang w:val="es-ES"/>
        </w:rPr>
        <w:t>, tales como la ocurrencia de conflictos armados, el desplazamiento forzado o la destrucción de los cuerpos de las víctimas, la desaparición de familias enteras, la dificultad de acceso a las zonas donde se han producido violaciones de los derechos humanos, la falta de registro de los habitantes del lugar debido al tiempo, las características particulares de las víctimas, la migración, las omisiones investigativas por parte del Estado que contribuyen a la identificación incompleta de las víctimas, la esclavitud</w:t>
      </w:r>
      <w:r w:rsidR="00541A79" w:rsidRPr="00DF433D">
        <w:rPr>
          <w:rStyle w:val="Refdenotaalpie"/>
          <w:rFonts w:ascii="Verdana" w:hAnsi="Verdana"/>
          <w:bCs/>
          <w:sz w:val="20"/>
          <w:szCs w:val="20"/>
          <w:lang w:val="pt-BR"/>
        </w:rPr>
        <w:footnoteReference w:id="65"/>
      </w:r>
      <w:r w:rsidR="003D4FD9" w:rsidRPr="00DF433D">
        <w:rPr>
          <w:rFonts w:ascii="Verdana" w:hAnsi="Verdana"/>
          <w:bCs/>
          <w:sz w:val="20"/>
          <w:szCs w:val="20"/>
          <w:lang w:val="es-ES"/>
        </w:rPr>
        <w:t>,</w:t>
      </w:r>
      <w:r w:rsidR="009564E4" w:rsidRPr="00DF433D">
        <w:rPr>
          <w:rFonts w:ascii="Verdana" w:hAnsi="Verdana"/>
          <w:bCs/>
          <w:sz w:val="20"/>
          <w:szCs w:val="20"/>
          <w:lang w:val="es-ES"/>
        </w:rPr>
        <w:t xml:space="preserve"> </w:t>
      </w:r>
      <w:r w:rsidR="003D4FD9" w:rsidRPr="00DF433D">
        <w:rPr>
          <w:rFonts w:ascii="Verdana" w:hAnsi="Verdana"/>
          <w:bCs/>
          <w:sz w:val="20"/>
          <w:szCs w:val="20"/>
          <w:lang w:val="es-ES"/>
        </w:rPr>
        <w:t>y, más recientemente, la práctica de actividades de inteligencia clandestinas</w:t>
      </w:r>
      <w:r w:rsidR="00541A79" w:rsidRPr="00DF433D">
        <w:rPr>
          <w:rStyle w:val="Refdenotaalpie"/>
          <w:rFonts w:ascii="Verdana" w:hAnsi="Verdana"/>
          <w:bCs/>
          <w:sz w:val="20"/>
          <w:szCs w:val="20"/>
          <w:lang w:val="es-ES"/>
        </w:rPr>
        <w:footnoteReference w:id="66"/>
      </w:r>
      <w:r w:rsidR="009F171B" w:rsidRPr="00DF433D">
        <w:rPr>
          <w:rFonts w:ascii="Verdana" w:hAnsi="Verdana"/>
          <w:bCs/>
          <w:sz w:val="20"/>
          <w:szCs w:val="20"/>
          <w:lang w:val="es-ES"/>
        </w:rPr>
        <w:t xml:space="preserve">. </w:t>
      </w:r>
      <w:r w:rsidR="009564E4" w:rsidRPr="00DF433D">
        <w:rPr>
          <w:rFonts w:ascii="Verdana" w:hAnsi="Verdana"/>
          <w:bCs/>
          <w:sz w:val="20"/>
          <w:szCs w:val="20"/>
          <w:lang w:val="es-ES"/>
        </w:rPr>
        <w:t xml:space="preserve">La lista de ejemplos de casos en los que se aplica el artículo 35.2 del Reglamento </w:t>
      </w:r>
      <w:r w:rsidR="003D4FD9" w:rsidRPr="00DF433D">
        <w:rPr>
          <w:rFonts w:ascii="Verdana" w:hAnsi="Verdana"/>
          <w:bCs/>
          <w:sz w:val="20"/>
          <w:szCs w:val="20"/>
          <w:lang w:val="es-ES"/>
        </w:rPr>
        <w:t xml:space="preserve">de la Corte IDH </w:t>
      </w:r>
      <w:r w:rsidR="009564E4" w:rsidRPr="00DF433D">
        <w:rPr>
          <w:rFonts w:ascii="Verdana" w:hAnsi="Verdana"/>
          <w:bCs/>
          <w:sz w:val="20"/>
          <w:szCs w:val="20"/>
          <w:lang w:val="es-ES"/>
        </w:rPr>
        <w:t xml:space="preserve">confirma el amplio alcance de la disposición, impidiendo que la delimitación de las víctimas se vea comprometida por un formalismo excesivo, como se señala en el caso </w:t>
      </w:r>
      <w:r w:rsidR="00183C12" w:rsidRPr="00DF433D">
        <w:rPr>
          <w:rFonts w:ascii="Verdana" w:hAnsi="Verdana"/>
          <w:bCs/>
          <w:i/>
          <w:iCs/>
          <w:sz w:val="20"/>
          <w:szCs w:val="20"/>
          <w:lang w:val="es-ES"/>
        </w:rPr>
        <w:t>Masacres de Rio Negro vs. Guatemala</w:t>
      </w:r>
      <w:r w:rsidR="009F171B" w:rsidRPr="00DF433D">
        <w:rPr>
          <w:rStyle w:val="Refdenotaalpie"/>
          <w:rFonts w:ascii="Verdana" w:hAnsi="Verdana"/>
          <w:bCs/>
          <w:sz w:val="20"/>
          <w:szCs w:val="20"/>
          <w:lang w:val="pt-BR"/>
        </w:rPr>
        <w:footnoteReference w:id="67"/>
      </w:r>
      <w:r w:rsidR="009F171B" w:rsidRPr="00DF433D">
        <w:rPr>
          <w:rFonts w:ascii="Verdana" w:hAnsi="Verdana"/>
          <w:bCs/>
          <w:sz w:val="20"/>
          <w:szCs w:val="20"/>
          <w:lang w:val="es-ES"/>
        </w:rPr>
        <w:t xml:space="preserve">. </w:t>
      </w:r>
    </w:p>
    <w:p w14:paraId="5AE382D6" w14:textId="77777777" w:rsidR="00107D66" w:rsidRPr="00DF433D" w:rsidRDefault="00107D66" w:rsidP="004D6FD8">
      <w:pPr>
        <w:rPr>
          <w:rFonts w:ascii="Verdana" w:hAnsi="Verdana" w:cs="Open Sans"/>
          <w:sz w:val="20"/>
          <w:szCs w:val="20"/>
          <w:shd w:val="clear" w:color="auto" w:fill="FFFFFF"/>
          <w:lang w:val="es-ES"/>
        </w:rPr>
      </w:pPr>
    </w:p>
    <w:p w14:paraId="33373335" w14:textId="723C5192" w:rsidR="00534392" w:rsidRPr="00DF433D" w:rsidRDefault="00783415" w:rsidP="00783415">
      <w:pPr>
        <w:pStyle w:val="Prrafodelista"/>
        <w:ind w:left="0"/>
        <w:jc w:val="both"/>
        <w:rPr>
          <w:rFonts w:ascii="Verdana" w:hAnsi="Verdana"/>
          <w:bCs/>
          <w:sz w:val="20"/>
          <w:szCs w:val="20"/>
          <w:lang w:val="es-ES"/>
        </w:rPr>
      </w:pPr>
      <w:r>
        <w:rPr>
          <w:rFonts w:ascii="Verdana" w:hAnsi="Verdana"/>
          <w:bCs/>
          <w:sz w:val="20"/>
          <w:szCs w:val="20"/>
          <w:lang w:val="es-ES"/>
        </w:rPr>
        <w:t xml:space="preserve">61. </w:t>
      </w:r>
      <w:r>
        <w:rPr>
          <w:rFonts w:ascii="Verdana" w:hAnsi="Verdana"/>
          <w:bCs/>
          <w:sz w:val="20"/>
          <w:szCs w:val="20"/>
          <w:lang w:val="es-ES"/>
        </w:rPr>
        <w:tab/>
      </w:r>
      <w:r w:rsidR="00EC4440" w:rsidRPr="00DF433D">
        <w:rPr>
          <w:rFonts w:ascii="Verdana" w:hAnsi="Verdana"/>
          <w:bCs/>
          <w:sz w:val="20"/>
          <w:szCs w:val="20"/>
          <w:lang w:val="es-ES"/>
        </w:rPr>
        <w:t xml:space="preserve">Aunque el </w:t>
      </w:r>
      <w:r w:rsidR="002832BA" w:rsidRPr="00DF433D">
        <w:rPr>
          <w:rFonts w:ascii="Verdana" w:hAnsi="Verdana"/>
          <w:bCs/>
          <w:sz w:val="20"/>
          <w:szCs w:val="20"/>
          <w:lang w:val="es-ES"/>
        </w:rPr>
        <w:t xml:space="preserve">presente </w:t>
      </w:r>
      <w:r w:rsidR="00EC4440" w:rsidRPr="00DF433D">
        <w:rPr>
          <w:rFonts w:ascii="Verdana" w:hAnsi="Verdana"/>
          <w:bCs/>
          <w:sz w:val="20"/>
          <w:szCs w:val="20"/>
          <w:lang w:val="es-ES"/>
        </w:rPr>
        <w:t xml:space="preserve">caso ante la Corte IDH no implicaba la aplicación del artículo 35.2, la trayectoria jurisprudencial ha mostrado una comprensión cada vez más clara de las medidas que pueden adoptarse en caso de daño colectivo. </w:t>
      </w:r>
      <w:r w:rsidR="00EC4440" w:rsidRPr="00DF433D">
        <w:rPr>
          <w:rFonts w:ascii="Verdana" w:hAnsi="Verdana" w:cs="Open Sans"/>
          <w:sz w:val="20"/>
          <w:szCs w:val="20"/>
          <w:shd w:val="clear" w:color="auto" w:fill="FFFFFF"/>
          <w:lang w:val="es-ES"/>
        </w:rPr>
        <w:t xml:space="preserve">Las respuestas dadas por la Corte IDH al daño colectivo causado por el impacto ambiental de las actividades metalúrgicas en la Comunidad de La Oroya permiten reajustar el alcance de las medidas de reparación y sus efectos de no repetición para preservar la vida de las generaciones actuales y futuras. En </w:t>
      </w:r>
      <w:r w:rsidR="00EC4440" w:rsidRPr="00DF433D">
        <w:rPr>
          <w:rFonts w:ascii="Verdana" w:hAnsi="Verdana"/>
          <w:bCs/>
          <w:sz w:val="20"/>
          <w:szCs w:val="20"/>
          <w:lang w:val="es-ES"/>
        </w:rPr>
        <w:t xml:space="preserve">este sentido, los siguientes párrafos estarán dedicados al </w:t>
      </w:r>
      <w:r w:rsidR="000037BB" w:rsidRPr="00DF433D">
        <w:rPr>
          <w:rFonts w:ascii="Verdana" w:hAnsi="Verdana"/>
          <w:bCs/>
          <w:sz w:val="20"/>
          <w:szCs w:val="20"/>
          <w:lang w:val="es-ES"/>
        </w:rPr>
        <w:t>exame</w:t>
      </w:r>
      <w:r w:rsidR="00152AF9">
        <w:rPr>
          <w:rFonts w:ascii="Verdana" w:hAnsi="Verdana"/>
          <w:bCs/>
          <w:sz w:val="20"/>
          <w:szCs w:val="20"/>
          <w:lang w:val="es-ES"/>
        </w:rPr>
        <w:t>n</w:t>
      </w:r>
      <w:r w:rsidR="000037BB" w:rsidRPr="00DF433D">
        <w:rPr>
          <w:rFonts w:ascii="Verdana" w:hAnsi="Verdana"/>
          <w:bCs/>
          <w:sz w:val="20"/>
          <w:szCs w:val="20"/>
          <w:lang w:val="es-ES"/>
        </w:rPr>
        <w:t xml:space="preserve"> de este relevante</w:t>
      </w:r>
      <w:r w:rsidR="00EC4440" w:rsidRPr="00DF433D">
        <w:rPr>
          <w:rFonts w:ascii="Verdana" w:hAnsi="Verdana"/>
          <w:bCs/>
          <w:sz w:val="20"/>
          <w:szCs w:val="20"/>
          <w:lang w:val="es-ES"/>
        </w:rPr>
        <w:t xml:space="preserve"> mecanismo adoptado por la Corte </w:t>
      </w:r>
      <w:r w:rsidR="002832BA" w:rsidRPr="00DF433D">
        <w:rPr>
          <w:rFonts w:ascii="Verdana" w:hAnsi="Verdana"/>
          <w:bCs/>
          <w:sz w:val="20"/>
          <w:szCs w:val="20"/>
          <w:lang w:val="es-ES"/>
        </w:rPr>
        <w:t>IDH</w:t>
      </w:r>
      <w:r w:rsidR="00EC4440" w:rsidRPr="00DF433D">
        <w:rPr>
          <w:rFonts w:ascii="Verdana" w:hAnsi="Verdana"/>
          <w:bCs/>
          <w:sz w:val="20"/>
          <w:szCs w:val="20"/>
          <w:lang w:val="es-ES"/>
        </w:rPr>
        <w:t xml:space="preserve"> para tratar </w:t>
      </w:r>
      <w:r w:rsidR="000037BB" w:rsidRPr="00DF433D">
        <w:rPr>
          <w:rFonts w:ascii="Verdana" w:hAnsi="Verdana"/>
          <w:bCs/>
          <w:sz w:val="20"/>
          <w:szCs w:val="20"/>
          <w:lang w:val="es-ES"/>
        </w:rPr>
        <w:t xml:space="preserve">de las afectaciones </w:t>
      </w:r>
      <w:r w:rsidR="00EC4440" w:rsidRPr="00DF433D">
        <w:rPr>
          <w:rFonts w:ascii="Verdana" w:hAnsi="Verdana"/>
          <w:bCs/>
          <w:sz w:val="20"/>
          <w:szCs w:val="20"/>
          <w:lang w:val="es-ES"/>
        </w:rPr>
        <w:t>colectivas de derechos humanos, a saber, las reparaciones colectivas</w:t>
      </w:r>
      <w:r w:rsidR="00F26B64" w:rsidRPr="00DF433D">
        <w:rPr>
          <w:rFonts w:ascii="Verdana" w:hAnsi="Verdana"/>
          <w:bCs/>
          <w:sz w:val="20"/>
          <w:szCs w:val="20"/>
          <w:lang w:val="es-ES"/>
        </w:rPr>
        <w:t xml:space="preserve">. </w:t>
      </w:r>
    </w:p>
    <w:p w14:paraId="5FD726AC" w14:textId="77777777" w:rsidR="005553E8" w:rsidRPr="00DF433D" w:rsidRDefault="005553E8" w:rsidP="004D6FD8">
      <w:pPr>
        <w:pStyle w:val="Prrafodelista"/>
        <w:ind w:left="0"/>
        <w:jc w:val="both"/>
        <w:rPr>
          <w:rFonts w:ascii="Verdana" w:hAnsi="Verdana"/>
          <w:bCs/>
          <w:sz w:val="20"/>
          <w:szCs w:val="20"/>
          <w:lang w:val="es-419"/>
        </w:rPr>
      </w:pPr>
    </w:p>
    <w:p w14:paraId="64567696" w14:textId="08C6E5C0" w:rsidR="00FE2D07" w:rsidRPr="00DF433D" w:rsidRDefault="00783415" w:rsidP="00783415">
      <w:pPr>
        <w:pStyle w:val="Prrafodelista"/>
        <w:ind w:left="0"/>
        <w:jc w:val="both"/>
        <w:rPr>
          <w:rFonts w:ascii="Verdana" w:hAnsi="Verdana"/>
          <w:bCs/>
          <w:sz w:val="20"/>
          <w:szCs w:val="20"/>
          <w:lang w:val="es-ES"/>
        </w:rPr>
      </w:pPr>
      <w:r>
        <w:rPr>
          <w:rFonts w:ascii="Verdana" w:hAnsi="Verdana" w:cs="Open Sans"/>
          <w:sz w:val="20"/>
          <w:szCs w:val="20"/>
          <w:shd w:val="clear" w:color="auto" w:fill="FFFFFF"/>
          <w:lang w:val="es-ES"/>
        </w:rPr>
        <w:t xml:space="preserve">62. </w:t>
      </w:r>
      <w:r>
        <w:rPr>
          <w:rFonts w:ascii="Verdana" w:hAnsi="Verdana" w:cs="Open Sans"/>
          <w:sz w:val="20"/>
          <w:szCs w:val="20"/>
          <w:shd w:val="clear" w:color="auto" w:fill="FFFFFF"/>
          <w:lang w:val="es-ES"/>
        </w:rPr>
        <w:tab/>
      </w:r>
      <w:r w:rsidR="00045D07" w:rsidRPr="00DF433D">
        <w:rPr>
          <w:rFonts w:ascii="Verdana" w:hAnsi="Verdana" w:cs="Open Sans"/>
          <w:sz w:val="20"/>
          <w:szCs w:val="20"/>
          <w:shd w:val="clear" w:color="auto" w:fill="FFFFFF"/>
          <w:lang w:val="es-ES"/>
        </w:rPr>
        <w:t>La adopción de remedios de impacto difuso es una práctica ya consolidada en la jurisprudencia de la Corte</w:t>
      </w:r>
      <w:r w:rsidR="000B616C">
        <w:rPr>
          <w:rFonts w:ascii="Verdana" w:hAnsi="Verdana" w:cs="Open Sans"/>
          <w:sz w:val="20"/>
          <w:szCs w:val="20"/>
          <w:shd w:val="clear" w:color="auto" w:fill="FFFFFF"/>
          <w:lang w:val="es-ES"/>
        </w:rPr>
        <w:t xml:space="preserve"> IDH</w:t>
      </w:r>
      <w:r w:rsidR="00045D07" w:rsidRPr="00DF433D">
        <w:rPr>
          <w:rFonts w:ascii="Verdana" w:hAnsi="Verdana" w:cs="Open Sans"/>
          <w:sz w:val="20"/>
          <w:szCs w:val="20"/>
          <w:shd w:val="clear" w:color="auto" w:fill="FFFFFF"/>
          <w:lang w:val="es-ES"/>
        </w:rPr>
        <w:t xml:space="preserve">, especialmente en situaciones en las que </w:t>
      </w:r>
      <w:r w:rsidR="000B616C">
        <w:rPr>
          <w:rFonts w:ascii="Verdana" w:hAnsi="Verdana" w:cs="Open Sans"/>
          <w:sz w:val="20"/>
          <w:szCs w:val="20"/>
          <w:shd w:val="clear" w:color="auto" w:fill="FFFFFF"/>
          <w:lang w:val="es-ES"/>
        </w:rPr>
        <w:t>el Tribunal</w:t>
      </w:r>
      <w:r w:rsidR="00045D07" w:rsidRPr="00DF433D">
        <w:rPr>
          <w:rFonts w:ascii="Verdana" w:hAnsi="Verdana" w:cs="Open Sans"/>
          <w:sz w:val="20"/>
          <w:szCs w:val="20"/>
          <w:shd w:val="clear" w:color="auto" w:fill="FFFFFF"/>
          <w:lang w:val="es-ES"/>
        </w:rPr>
        <w:t xml:space="preserve"> se ha enfrentado a violaciones cuya magnitud y alcance son difíciles de medir y que afectan la vida y la memoria de las comunidades en las que ocurrieron. Tales medidas pueden identificarse, por ejemplo, en el caso</w:t>
      </w:r>
      <w:r w:rsidR="002F6951" w:rsidRPr="00DF433D">
        <w:rPr>
          <w:rFonts w:ascii="Verdana" w:hAnsi="Verdana" w:cs="Open Sans"/>
          <w:i/>
          <w:iCs/>
          <w:sz w:val="20"/>
          <w:szCs w:val="20"/>
          <w:shd w:val="clear" w:color="auto" w:fill="FFFFFF"/>
          <w:lang w:val="es-ES"/>
        </w:rPr>
        <w:t xml:space="preserve"> Masacre Plan de Sánchez vs. Guatemala </w:t>
      </w:r>
      <w:r w:rsidR="002F6951" w:rsidRPr="00DF433D">
        <w:rPr>
          <w:rFonts w:ascii="Verdana" w:hAnsi="Verdana" w:cs="Open Sans"/>
          <w:sz w:val="20"/>
          <w:szCs w:val="20"/>
          <w:shd w:val="clear" w:color="auto" w:fill="FFFFFF"/>
          <w:lang w:val="es-ES"/>
        </w:rPr>
        <w:t>(2004). En es</w:t>
      </w:r>
      <w:r w:rsidR="00045D07" w:rsidRPr="00DF433D">
        <w:rPr>
          <w:rFonts w:ascii="Verdana" w:hAnsi="Verdana" w:cs="Open Sans"/>
          <w:sz w:val="20"/>
          <w:szCs w:val="20"/>
          <w:shd w:val="clear" w:color="auto" w:fill="FFFFFF"/>
          <w:lang w:val="es-ES"/>
        </w:rPr>
        <w:t>a ocasión</w:t>
      </w:r>
      <w:r w:rsidR="002F6951" w:rsidRPr="00DF433D">
        <w:rPr>
          <w:rFonts w:ascii="Verdana" w:hAnsi="Verdana" w:cs="Open Sans"/>
          <w:sz w:val="20"/>
          <w:szCs w:val="20"/>
          <w:shd w:val="clear" w:color="auto" w:fill="FFFFFF"/>
          <w:lang w:val="es-ES"/>
        </w:rPr>
        <w:t xml:space="preserve">, la </w:t>
      </w:r>
      <w:r w:rsidR="00045D07" w:rsidRPr="00DF433D">
        <w:rPr>
          <w:rFonts w:ascii="Verdana" w:hAnsi="Verdana" w:cs="Open Sans"/>
          <w:sz w:val="20"/>
          <w:szCs w:val="20"/>
          <w:shd w:val="clear" w:color="auto" w:fill="FFFFFF"/>
          <w:lang w:val="es-ES"/>
        </w:rPr>
        <w:t>intervención</w:t>
      </w:r>
      <w:r w:rsidR="002F6951" w:rsidRPr="00DF433D">
        <w:rPr>
          <w:rFonts w:ascii="Verdana" w:hAnsi="Verdana" w:cs="Open Sans"/>
          <w:sz w:val="20"/>
          <w:szCs w:val="20"/>
          <w:shd w:val="clear" w:color="auto" w:fill="FFFFFF"/>
          <w:lang w:val="es-ES"/>
        </w:rPr>
        <w:t xml:space="preserve"> del Ejército guatemalteco causó </w:t>
      </w:r>
      <w:r w:rsidR="00045D07" w:rsidRPr="00DF433D">
        <w:rPr>
          <w:rFonts w:ascii="Verdana" w:hAnsi="Verdana" w:cs="Open Sans"/>
          <w:sz w:val="20"/>
          <w:szCs w:val="20"/>
          <w:shd w:val="clear" w:color="auto" w:fill="FFFFFF"/>
          <w:lang w:val="es-ES"/>
        </w:rPr>
        <w:t xml:space="preserve">la muerte de </w:t>
      </w:r>
      <w:r w:rsidR="002F6951" w:rsidRPr="00DF433D">
        <w:rPr>
          <w:rFonts w:ascii="Verdana" w:hAnsi="Verdana" w:cs="Open Sans"/>
          <w:sz w:val="20"/>
          <w:szCs w:val="20"/>
          <w:shd w:val="clear" w:color="auto" w:fill="FFFFFF"/>
          <w:lang w:val="es-ES"/>
        </w:rPr>
        <w:t>268</w:t>
      </w:r>
      <w:r w:rsidR="00045D07" w:rsidRPr="00DF433D">
        <w:rPr>
          <w:rFonts w:ascii="Verdana" w:hAnsi="Verdana" w:cs="Open Sans"/>
          <w:sz w:val="20"/>
          <w:szCs w:val="20"/>
          <w:shd w:val="clear" w:color="auto" w:fill="FFFFFF"/>
          <w:lang w:val="es-ES"/>
        </w:rPr>
        <w:t xml:space="preserve"> personas</w:t>
      </w:r>
      <w:r w:rsidR="002F6951" w:rsidRPr="00DF433D">
        <w:rPr>
          <w:rFonts w:ascii="Verdana" w:hAnsi="Verdana" w:cs="Open Sans"/>
          <w:sz w:val="20"/>
          <w:szCs w:val="20"/>
          <w:shd w:val="clear" w:color="auto" w:fill="FFFFFF"/>
          <w:lang w:val="es-ES"/>
        </w:rPr>
        <w:t xml:space="preserve"> del Pueblo</w:t>
      </w:r>
      <w:r w:rsidR="00045D07" w:rsidRPr="00DF433D">
        <w:rPr>
          <w:rFonts w:ascii="Verdana" w:hAnsi="Verdana" w:cs="Open Sans"/>
          <w:sz w:val="20"/>
          <w:szCs w:val="20"/>
          <w:shd w:val="clear" w:color="auto" w:fill="FFFFFF"/>
          <w:lang w:val="es-ES"/>
        </w:rPr>
        <w:t xml:space="preserve"> indígena</w:t>
      </w:r>
      <w:r w:rsidR="002F6951" w:rsidRPr="00DF433D">
        <w:rPr>
          <w:rFonts w:ascii="Verdana" w:hAnsi="Verdana" w:cs="Open Sans"/>
          <w:sz w:val="20"/>
          <w:szCs w:val="20"/>
          <w:shd w:val="clear" w:color="auto" w:fill="FFFFFF"/>
          <w:lang w:val="es-ES"/>
        </w:rPr>
        <w:t xml:space="preserve"> Maya Achí en el territorio de la Aldea Plan de Sánchez</w:t>
      </w:r>
      <w:r w:rsidR="00045D07" w:rsidRPr="00DF433D">
        <w:rPr>
          <w:rFonts w:ascii="Verdana" w:hAnsi="Verdana" w:cs="Open Sans"/>
          <w:sz w:val="20"/>
          <w:szCs w:val="20"/>
          <w:shd w:val="clear" w:color="auto" w:fill="FFFFFF"/>
          <w:lang w:val="es-ES"/>
        </w:rPr>
        <w:t>,</w:t>
      </w:r>
      <w:r w:rsidR="002F6951" w:rsidRPr="00DF433D">
        <w:rPr>
          <w:rFonts w:ascii="Verdana" w:hAnsi="Verdana" w:cs="Open Sans"/>
          <w:sz w:val="20"/>
          <w:szCs w:val="20"/>
          <w:shd w:val="clear" w:color="auto" w:fill="FFFFFF"/>
          <w:lang w:val="es-ES"/>
        </w:rPr>
        <w:t xml:space="preserve"> </w:t>
      </w:r>
      <w:r w:rsidR="00045D07" w:rsidRPr="00DF433D">
        <w:rPr>
          <w:rFonts w:ascii="Verdana" w:hAnsi="Verdana" w:cs="Open Sans"/>
          <w:sz w:val="20"/>
          <w:szCs w:val="20"/>
          <w:shd w:val="clear" w:color="auto" w:fill="FFFFFF"/>
          <w:lang w:val="es-419"/>
        </w:rPr>
        <w:t xml:space="preserve">lo que llevó </w:t>
      </w:r>
      <w:r w:rsidR="008647B8">
        <w:rPr>
          <w:rFonts w:ascii="Verdana" w:hAnsi="Verdana" w:cs="Open Sans"/>
          <w:sz w:val="20"/>
          <w:szCs w:val="20"/>
          <w:shd w:val="clear" w:color="auto" w:fill="FFFFFF"/>
          <w:lang w:val="es-419"/>
        </w:rPr>
        <w:t xml:space="preserve">a </w:t>
      </w:r>
      <w:r w:rsidR="00045D07" w:rsidRPr="00DF433D">
        <w:rPr>
          <w:rFonts w:ascii="Verdana" w:hAnsi="Verdana" w:cs="Open Sans"/>
          <w:sz w:val="20"/>
          <w:szCs w:val="20"/>
          <w:shd w:val="clear" w:color="auto" w:fill="FFFFFF"/>
          <w:lang w:val="es-419"/>
        </w:rPr>
        <w:t>la Corte IDH a establecer</w:t>
      </w:r>
      <w:r w:rsidR="002F6951" w:rsidRPr="00DF433D">
        <w:rPr>
          <w:rFonts w:ascii="Verdana" w:hAnsi="Verdana" w:cs="Open Sans"/>
          <w:sz w:val="20"/>
          <w:szCs w:val="20"/>
          <w:shd w:val="clear" w:color="auto" w:fill="FFFFFF"/>
          <w:lang w:val="es-419"/>
        </w:rPr>
        <w:t xml:space="preserve"> la suma de US$25,000.00 para </w:t>
      </w:r>
      <w:r w:rsidR="0031409A" w:rsidRPr="00DF433D">
        <w:rPr>
          <w:rFonts w:ascii="Verdana" w:hAnsi="Verdana" w:cs="Open Sans"/>
          <w:sz w:val="20"/>
          <w:szCs w:val="20"/>
          <w:shd w:val="clear" w:color="auto" w:fill="FFFFFF"/>
          <w:lang w:val="es-419"/>
        </w:rPr>
        <w:t>“despertar la conciencia pública, para evitar la repetición de hechos como los ocurridos en el presente caso, y para conservar viva la memoria de las personas fallecidas”</w:t>
      </w:r>
      <w:r w:rsidR="0031409A" w:rsidRPr="00DF433D">
        <w:rPr>
          <w:rStyle w:val="Refdenotaalpie"/>
          <w:rFonts w:ascii="Verdana" w:hAnsi="Verdana" w:cs="Open Sans"/>
          <w:sz w:val="20"/>
          <w:szCs w:val="20"/>
          <w:shd w:val="clear" w:color="auto" w:fill="FFFFFF"/>
          <w:lang w:val="es-419"/>
        </w:rPr>
        <w:footnoteReference w:id="68"/>
      </w:r>
      <w:r w:rsidR="0031409A" w:rsidRPr="00DF433D">
        <w:rPr>
          <w:rFonts w:ascii="Verdana" w:hAnsi="Verdana" w:cs="Open Sans"/>
          <w:sz w:val="20"/>
          <w:szCs w:val="20"/>
          <w:shd w:val="clear" w:color="auto" w:fill="FFFFFF"/>
          <w:lang w:val="es-419"/>
        </w:rPr>
        <w:t xml:space="preserve">. </w:t>
      </w:r>
      <w:r w:rsidR="002F6951" w:rsidRPr="00DF433D">
        <w:rPr>
          <w:rFonts w:ascii="Verdana" w:hAnsi="Verdana" w:cs="Open Sans"/>
          <w:sz w:val="20"/>
          <w:szCs w:val="20"/>
          <w:shd w:val="clear" w:color="auto" w:fill="FFFFFF"/>
          <w:lang w:val="es-ES"/>
        </w:rPr>
        <w:t>La</w:t>
      </w:r>
      <w:r w:rsidR="0031409A" w:rsidRPr="00DF433D">
        <w:rPr>
          <w:rFonts w:ascii="Verdana" w:hAnsi="Verdana" w:cs="Open Sans"/>
          <w:sz w:val="20"/>
          <w:szCs w:val="20"/>
          <w:shd w:val="clear" w:color="auto" w:fill="FFFFFF"/>
          <w:lang w:val="es-ES"/>
        </w:rPr>
        <w:t xml:space="preserve"> Corte IDH</w:t>
      </w:r>
      <w:r w:rsidR="002F6951" w:rsidRPr="00DF433D">
        <w:rPr>
          <w:rFonts w:ascii="Verdana" w:hAnsi="Verdana" w:cs="Open Sans"/>
          <w:sz w:val="20"/>
          <w:szCs w:val="20"/>
          <w:shd w:val="clear" w:color="auto" w:fill="FFFFFF"/>
          <w:lang w:val="es-ES"/>
        </w:rPr>
        <w:t xml:space="preserve"> también definió mecanismos colectivos para mejorar la salud, la educación y la infraestructura de la comunidad, a saber: estudio y difusión de la cultura indígena maya Achí, mejoras en el sistema de alcantarillado y </w:t>
      </w:r>
      <w:r w:rsidR="00045D07" w:rsidRPr="00DF433D">
        <w:rPr>
          <w:rFonts w:ascii="Verdana" w:hAnsi="Verdana" w:cs="Open Sans"/>
          <w:sz w:val="20"/>
          <w:szCs w:val="20"/>
          <w:shd w:val="clear" w:color="auto" w:fill="FFFFFF"/>
          <w:lang w:val="es-ES"/>
        </w:rPr>
        <w:t xml:space="preserve">de </w:t>
      </w:r>
      <w:r w:rsidR="002F6951" w:rsidRPr="00DF433D">
        <w:rPr>
          <w:rFonts w:ascii="Verdana" w:hAnsi="Verdana" w:cs="Open Sans"/>
          <w:sz w:val="20"/>
          <w:szCs w:val="20"/>
          <w:shd w:val="clear" w:color="auto" w:fill="FFFFFF"/>
          <w:lang w:val="es-ES"/>
        </w:rPr>
        <w:t>suministro de agua potable, y el establecimiento de centros de salud y educación en la comunidad con capacitación intercultural</w:t>
      </w:r>
      <w:r w:rsidR="0031409A" w:rsidRPr="00DF433D">
        <w:rPr>
          <w:rStyle w:val="Refdenotaalpie"/>
          <w:rFonts w:ascii="Verdana" w:hAnsi="Verdana" w:cs="Open Sans"/>
          <w:sz w:val="20"/>
          <w:szCs w:val="20"/>
          <w:shd w:val="clear" w:color="auto" w:fill="FFFFFF"/>
          <w:lang w:val="pt-BR"/>
        </w:rPr>
        <w:footnoteReference w:id="69"/>
      </w:r>
      <w:r w:rsidR="0031409A" w:rsidRPr="00DF433D">
        <w:rPr>
          <w:rFonts w:ascii="Verdana" w:hAnsi="Verdana" w:cs="Open Sans"/>
          <w:sz w:val="20"/>
          <w:szCs w:val="20"/>
          <w:shd w:val="clear" w:color="auto" w:fill="FFFFFF"/>
          <w:lang w:val="es-ES"/>
        </w:rPr>
        <w:t xml:space="preserve">. </w:t>
      </w:r>
    </w:p>
    <w:p w14:paraId="089385A9" w14:textId="77777777" w:rsidR="00BA4A00" w:rsidRPr="00DF433D" w:rsidRDefault="00BA4A00" w:rsidP="004D6FD8">
      <w:pPr>
        <w:pStyle w:val="Prrafodelista"/>
        <w:ind w:left="0"/>
        <w:jc w:val="both"/>
        <w:rPr>
          <w:rFonts w:ascii="Verdana" w:hAnsi="Verdana"/>
          <w:bCs/>
          <w:sz w:val="20"/>
          <w:szCs w:val="20"/>
          <w:lang w:val="es-ES"/>
        </w:rPr>
      </w:pPr>
    </w:p>
    <w:p w14:paraId="637ED96B" w14:textId="3C6442DA" w:rsidR="0036459E" w:rsidRPr="00DF433D" w:rsidRDefault="00783415" w:rsidP="00783415">
      <w:pPr>
        <w:pStyle w:val="Prrafodelista"/>
        <w:ind w:left="0"/>
        <w:jc w:val="both"/>
        <w:rPr>
          <w:rFonts w:ascii="Verdana" w:hAnsi="Verdana"/>
          <w:bCs/>
          <w:sz w:val="20"/>
          <w:szCs w:val="20"/>
          <w:lang w:val="es-ES"/>
        </w:rPr>
      </w:pPr>
      <w:r>
        <w:rPr>
          <w:rFonts w:ascii="Verdana" w:hAnsi="Verdana"/>
          <w:bCs/>
          <w:sz w:val="20"/>
          <w:szCs w:val="20"/>
          <w:lang w:val="es-ES"/>
        </w:rPr>
        <w:t xml:space="preserve">63. </w:t>
      </w:r>
      <w:r>
        <w:rPr>
          <w:rFonts w:ascii="Verdana" w:hAnsi="Verdana"/>
          <w:bCs/>
          <w:sz w:val="20"/>
          <w:szCs w:val="20"/>
          <w:lang w:val="es-ES"/>
        </w:rPr>
        <w:tab/>
      </w:r>
      <w:r w:rsidR="000937F0" w:rsidRPr="00DF433D">
        <w:rPr>
          <w:rFonts w:ascii="Verdana" w:hAnsi="Verdana"/>
          <w:bCs/>
          <w:sz w:val="20"/>
          <w:szCs w:val="20"/>
          <w:lang w:val="es-ES"/>
        </w:rPr>
        <w:t xml:space="preserve">En situaciones </w:t>
      </w:r>
      <w:r w:rsidR="00045D07" w:rsidRPr="00DF433D">
        <w:rPr>
          <w:rFonts w:ascii="Verdana" w:hAnsi="Verdana"/>
          <w:bCs/>
          <w:sz w:val="20"/>
          <w:szCs w:val="20"/>
          <w:lang w:val="es-ES"/>
        </w:rPr>
        <w:t>relativas a grupos de mayor</w:t>
      </w:r>
      <w:r w:rsidR="000937F0" w:rsidRPr="00DF433D">
        <w:rPr>
          <w:rFonts w:ascii="Verdana" w:hAnsi="Verdana"/>
          <w:bCs/>
          <w:sz w:val="20"/>
          <w:szCs w:val="20"/>
          <w:lang w:val="es-ES"/>
        </w:rPr>
        <w:t xml:space="preserve"> vulnerabilidad, como violaciones ocurridas en comunidades indígenas, la Corte IDH ha prestado especial atención a la implementación de programas de salud, vivienda y educación para los habitantes de la comunidad, como </w:t>
      </w:r>
      <w:r w:rsidR="00045D07" w:rsidRPr="00DF433D">
        <w:rPr>
          <w:rFonts w:ascii="Verdana" w:hAnsi="Verdana"/>
          <w:bCs/>
          <w:sz w:val="20"/>
          <w:szCs w:val="20"/>
          <w:lang w:val="es-ES"/>
        </w:rPr>
        <w:t>sucedió a los</w:t>
      </w:r>
      <w:r w:rsidR="000937F0" w:rsidRPr="00DF433D">
        <w:rPr>
          <w:rFonts w:ascii="Verdana" w:hAnsi="Verdana"/>
          <w:bCs/>
          <w:sz w:val="20"/>
          <w:szCs w:val="20"/>
          <w:lang w:val="es-ES"/>
        </w:rPr>
        <w:t xml:space="preserve"> caso</w:t>
      </w:r>
      <w:r w:rsidR="00045D07" w:rsidRPr="00DF433D">
        <w:rPr>
          <w:rFonts w:ascii="Verdana" w:hAnsi="Verdana"/>
          <w:bCs/>
          <w:sz w:val="20"/>
          <w:szCs w:val="20"/>
          <w:lang w:val="es-ES"/>
        </w:rPr>
        <w:t>s</w:t>
      </w:r>
      <w:r w:rsidR="000937F0" w:rsidRPr="00DF433D">
        <w:rPr>
          <w:rFonts w:ascii="Verdana" w:hAnsi="Verdana"/>
          <w:bCs/>
          <w:sz w:val="20"/>
          <w:szCs w:val="20"/>
          <w:lang w:val="es-ES"/>
        </w:rPr>
        <w:t xml:space="preserve"> </w:t>
      </w:r>
      <w:r w:rsidR="000937F0" w:rsidRPr="00DF433D">
        <w:rPr>
          <w:rFonts w:ascii="Verdana" w:hAnsi="Verdana"/>
          <w:bCs/>
          <w:i/>
          <w:iCs/>
          <w:sz w:val="20"/>
          <w:szCs w:val="20"/>
          <w:lang w:val="es-ES"/>
        </w:rPr>
        <w:t>Comunidad Moiwana Vs. Surinam</w:t>
      </w:r>
      <w:r w:rsidR="00BA4A00" w:rsidRPr="00DF433D">
        <w:rPr>
          <w:rFonts w:ascii="Verdana" w:hAnsi="Verdana"/>
          <w:bCs/>
          <w:sz w:val="20"/>
          <w:szCs w:val="20"/>
          <w:lang w:val="es-ES"/>
        </w:rPr>
        <w:t xml:space="preserve"> (2005)</w:t>
      </w:r>
      <w:r w:rsidR="00BA4A00" w:rsidRPr="00DF433D">
        <w:rPr>
          <w:rStyle w:val="Refdenotaalpie"/>
          <w:rFonts w:ascii="Verdana" w:hAnsi="Verdana"/>
          <w:bCs/>
          <w:sz w:val="20"/>
          <w:szCs w:val="20"/>
          <w:lang w:val="pt-BR"/>
        </w:rPr>
        <w:footnoteReference w:id="70"/>
      </w:r>
      <w:r w:rsidR="00BA4A00" w:rsidRPr="00DF433D">
        <w:rPr>
          <w:rFonts w:ascii="Verdana" w:hAnsi="Verdana"/>
          <w:bCs/>
          <w:sz w:val="20"/>
          <w:szCs w:val="20"/>
          <w:lang w:val="es-ES"/>
        </w:rPr>
        <w:t xml:space="preserve">, </w:t>
      </w:r>
      <w:r w:rsidR="00BA4A00" w:rsidRPr="00DF433D">
        <w:rPr>
          <w:rFonts w:ascii="Verdana" w:hAnsi="Verdana"/>
          <w:bCs/>
          <w:i/>
          <w:iCs/>
          <w:sz w:val="20"/>
          <w:szCs w:val="20"/>
          <w:lang w:val="es-ES"/>
        </w:rPr>
        <w:t>Comunidad Indígena Yakye Axa Vs. Paraguay</w:t>
      </w:r>
      <w:r w:rsidR="00BA4A00" w:rsidRPr="00DF433D">
        <w:rPr>
          <w:rFonts w:ascii="Verdana" w:hAnsi="Verdana"/>
          <w:bCs/>
          <w:sz w:val="20"/>
          <w:szCs w:val="20"/>
          <w:lang w:val="es-ES"/>
        </w:rPr>
        <w:t xml:space="preserve"> (2005)</w:t>
      </w:r>
      <w:r w:rsidR="00BA4A00" w:rsidRPr="00DF433D">
        <w:rPr>
          <w:rStyle w:val="Refdenotaalpie"/>
          <w:rFonts w:ascii="Verdana" w:hAnsi="Verdana"/>
          <w:bCs/>
          <w:sz w:val="20"/>
          <w:szCs w:val="20"/>
          <w:lang w:val="pt-BR"/>
        </w:rPr>
        <w:footnoteReference w:id="71"/>
      </w:r>
      <w:r w:rsidR="00BA4A00" w:rsidRPr="00DF433D">
        <w:rPr>
          <w:rFonts w:ascii="Verdana" w:hAnsi="Verdana"/>
          <w:bCs/>
          <w:sz w:val="20"/>
          <w:szCs w:val="20"/>
          <w:lang w:val="es-ES"/>
        </w:rPr>
        <w:t xml:space="preserve"> </w:t>
      </w:r>
      <w:r w:rsidR="000937F0" w:rsidRPr="00DF433D">
        <w:rPr>
          <w:rFonts w:ascii="Verdana" w:hAnsi="Verdana"/>
          <w:bCs/>
          <w:sz w:val="20"/>
          <w:szCs w:val="20"/>
          <w:lang w:val="es-ES"/>
        </w:rPr>
        <w:t>y</w:t>
      </w:r>
      <w:r w:rsidR="00BA4A00" w:rsidRPr="00DF433D">
        <w:rPr>
          <w:rFonts w:ascii="Verdana" w:hAnsi="Verdana"/>
          <w:bCs/>
          <w:sz w:val="20"/>
          <w:szCs w:val="20"/>
          <w:lang w:val="es-ES"/>
        </w:rPr>
        <w:t xml:space="preserve"> </w:t>
      </w:r>
      <w:r w:rsidR="00BA4A00" w:rsidRPr="00DF433D">
        <w:rPr>
          <w:rFonts w:ascii="Verdana" w:hAnsi="Verdana"/>
          <w:bCs/>
          <w:i/>
          <w:iCs/>
          <w:sz w:val="20"/>
          <w:szCs w:val="20"/>
          <w:lang w:val="es-ES"/>
        </w:rPr>
        <w:t xml:space="preserve">Comunidad Indígena Sawhoyamaxa Vs. </w:t>
      </w:r>
      <w:r w:rsidR="00BA4A00" w:rsidRPr="00DF433D">
        <w:rPr>
          <w:rFonts w:ascii="Verdana" w:hAnsi="Verdana"/>
          <w:bCs/>
          <w:i/>
          <w:iCs/>
          <w:sz w:val="20"/>
          <w:szCs w:val="20"/>
          <w:lang w:val="es-419"/>
        </w:rPr>
        <w:t xml:space="preserve">Paraguay </w:t>
      </w:r>
      <w:r w:rsidR="00BA4A00" w:rsidRPr="008E72FA">
        <w:rPr>
          <w:rFonts w:ascii="Verdana" w:hAnsi="Verdana"/>
          <w:bCs/>
          <w:iCs/>
          <w:sz w:val="20"/>
          <w:szCs w:val="20"/>
          <w:lang w:val="es-419"/>
        </w:rPr>
        <w:t>(2006)</w:t>
      </w:r>
      <w:r w:rsidR="00BA4A00" w:rsidRPr="00DF433D">
        <w:rPr>
          <w:rStyle w:val="Refdenotaalpie"/>
          <w:rFonts w:ascii="Verdana" w:hAnsi="Verdana"/>
          <w:bCs/>
          <w:sz w:val="20"/>
          <w:szCs w:val="20"/>
          <w:lang w:val="pt-BR"/>
        </w:rPr>
        <w:footnoteReference w:id="72"/>
      </w:r>
      <w:r w:rsidR="00BA4A00" w:rsidRPr="00DF433D">
        <w:rPr>
          <w:rFonts w:ascii="Verdana" w:hAnsi="Verdana"/>
          <w:bCs/>
          <w:sz w:val="20"/>
          <w:szCs w:val="20"/>
          <w:lang w:val="es-419"/>
        </w:rPr>
        <w:t xml:space="preserve">. </w:t>
      </w:r>
      <w:r w:rsidR="000937F0" w:rsidRPr="00DF433D">
        <w:rPr>
          <w:rFonts w:ascii="Verdana" w:hAnsi="Verdana"/>
          <w:bCs/>
          <w:sz w:val="20"/>
          <w:szCs w:val="20"/>
          <w:lang w:val="es-ES"/>
        </w:rPr>
        <w:t>Ya</w:t>
      </w:r>
      <w:r w:rsidR="00BA4A00" w:rsidRPr="00DF433D">
        <w:rPr>
          <w:rFonts w:ascii="Verdana" w:hAnsi="Verdana"/>
          <w:bCs/>
          <w:sz w:val="20"/>
          <w:szCs w:val="20"/>
          <w:lang w:val="es-ES"/>
        </w:rPr>
        <w:t xml:space="preserve"> e</w:t>
      </w:r>
      <w:r w:rsidR="000937F0" w:rsidRPr="00DF433D">
        <w:rPr>
          <w:rFonts w:ascii="Verdana" w:hAnsi="Verdana"/>
          <w:bCs/>
          <w:sz w:val="20"/>
          <w:szCs w:val="20"/>
          <w:lang w:val="es-ES"/>
        </w:rPr>
        <w:t>n</w:t>
      </w:r>
      <w:r w:rsidR="00BA4A00" w:rsidRPr="00DF433D">
        <w:rPr>
          <w:rFonts w:ascii="Verdana" w:hAnsi="Verdana"/>
          <w:bCs/>
          <w:sz w:val="20"/>
          <w:szCs w:val="20"/>
          <w:lang w:val="es-ES"/>
        </w:rPr>
        <w:t xml:space="preserve"> otras situa</w:t>
      </w:r>
      <w:r w:rsidR="000937F0" w:rsidRPr="00DF433D">
        <w:rPr>
          <w:rFonts w:ascii="Verdana" w:hAnsi="Verdana"/>
          <w:bCs/>
          <w:sz w:val="20"/>
          <w:szCs w:val="20"/>
          <w:lang w:val="es-ES"/>
        </w:rPr>
        <w:t>cion</w:t>
      </w:r>
      <w:r w:rsidR="00BA4A00" w:rsidRPr="00DF433D">
        <w:rPr>
          <w:rFonts w:ascii="Verdana" w:hAnsi="Verdana"/>
          <w:bCs/>
          <w:sz w:val="20"/>
          <w:szCs w:val="20"/>
          <w:lang w:val="es-ES"/>
        </w:rPr>
        <w:t xml:space="preserve">es como </w:t>
      </w:r>
      <w:r w:rsidR="000937F0" w:rsidRPr="00DF433D">
        <w:rPr>
          <w:rFonts w:ascii="Verdana" w:hAnsi="Verdana"/>
          <w:bCs/>
          <w:sz w:val="20"/>
          <w:szCs w:val="20"/>
          <w:lang w:val="es-ES"/>
        </w:rPr>
        <w:t>en el</w:t>
      </w:r>
      <w:r w:rsidR="00BA4A00" w:rsidRPr="00DF433D">
        <w:rPr>
          <w:rFonts w:ascii="Verdana" w:hAnsi="Verdana"/>
          <w:bCs/>
          <w:sz w:val="20"/>
          <w:szCs w:val="20"/>
          <w:lang w:val="es-ES"/>
        </w:rPr>
        <w:t xml:space="preserve"> </w:t>
      </w:r>
      <w:r w:rsidR="008647B8">
        <w:rPr>
          <w:rFonts w:ascii="Verdana" w:hAnsi="Verdana"/>
          <w:bCs/>
          <w:iCs/>
          <w:sz w:val="20"/>
          <w:szCs w:val="20"/>
          <w:lang w:val="es-ES"/>
        </w:rPr>
        <w:t>c</w:t>
      </w:r>
      <w:r w:rsidR="004E272E" w:rsidRPr="008E72FA">
        <w:rPr>
          <w:rFonts w:ascii="Verdana" w:hAnsi="Verdana"/>
          <w:bCs/>
          <w:iCs/>
          <w:sz w:val="20"/>
          <w:szCs w:val="20"/>
          <w:lang w:val="es-ES"/>
        </w:rPr>
        <w:t xml:space="preserve">aso </w:t>
      </w:r>
      <w:r w:rsidR="004E272E" w:rsidRPr="00DF433D">
        <w:rPr>
          <w:rFonts w:ascii="Verdana" w:hAnsi="Verdana"/>
          <w:bCs/>
          <w:i/>
          <w:iCs/>
          <w:sz w:val="20"/>
          <w:szCs w:val="20"/>
          <w:lang w:val="es-ES"/>
        </w:rPr>
        <w:t xml:space="preserve">Comunidad Indígena Xákmok Kásek Vs. Paraguay </w:t>
      </w:r>
      <w:r w:rsidR="004E272E" w:rsidRPr="008E72FA">
        <w:rPr>
          <w:rFonts w:ascii="Verdana" w:hAnsi="Verdana"/>
          <w:bCs/>
          <w:iCs/>
          <w:sz w:val="20"/>
          <w:szCs w:val="20"/>
          <w:lang w:val="es-ES"/>
        </w:rPr>
        <w:t>(2010)</w:t>
      </w:r>
      <w:r w:rsidR="004E272E" w:rsidRPr="00DF433D">
        <w:rPr>
          <w:rFonts w:ascii="Verdana" w:hAnsi="Verdana"/>
          <w:bCs/>
          <w:sz w:val="20"/>
          <w:szCs w:val="20"/>
          <w:lang w:val="es-ES"/>
        </w:rPr>
        <w:t xml:space="preserve">, </w:t>
      </w:r>
      <w:r w:rsidR="000937F0" w:rsidRPr="00DF433D">
        <w:rPr>
          <w:rFonts w:ascii="Verdana" w:hAnsi="Verdana"/>
          <w:bCs/>
          <w:sz w:val="20"/>
          <w:szCs w:val="20"/>
          <w:lang w:val="es-ES"/>
        </w:rPr>
        <w:t>l</w:t>
      </w:r>
      <w:r w:rsidR="004E272E" w:rsidRPr="00DF433D">
        <w:rPr>
          <w:rFonts w:ascii="Verdana" w:hAnsi="Verdana"/>
          <w:bCs/>
          <w:sz w:val="20"/>
          <w:szCs w:val="20"/>
          <w:lang w:val="es-ES"/>
        </w:rPr>
        <w:t>a Corte IDH</w:t>
      </w:r>
      <w:bookmarkStart w:id="1" w:name="_Hlk158893622"/>
      <w:r w:rsidR="000937F0" w:rsidRPr="00DF433D">
        <w:rPr>
          <w:rFonts w:ascii="Verdana" w:hAnsi="Verdana"/>
          <w:bCs/>
          <w:sz w:val="20"/>
          <w:szCs w:val="20"/>
          <w:lang w:val="es-ES"/>
        </w:rPr>
        <w:t xml:space="preserve"> </w:t>
      </w:r>
      <w:r w:rsidR="00045D07" w:rsidRPr="00DF433D">
        <w:rPr>
          <w:rFonts w:ascii="Verdana" w:hAnsi="Verdana"/>
          <w:bCs/>
          <w:sz w:val="20"/>
          <w:szCs w:val="20"/>
          <w:lang w:val="es-ES"/>
        </w:rPr>
        <w:t>ha determinado</w:t>
      </w:r>
      <w:r w:rsidR="000937F0" w:rsidRPr="00DF433D">
        <w:rPr>
          <w:rFonts w:ascii="Verdana" w:hAnsi="Verdana"/>
          <w:bCs/>
          <w:sz w:val="20"/>
          <w:szCs w:val="20"/>
          <w:lang w:val="es-ES"/>
        </w:rPr>
        <w:t xml:space="preserve"> el desarrollo de estudios especializados sobre el suministro de agua, la gestión de la higiene</w:t>
      </w:r>
      <w:r w:rsidR="00045D07" w:rsidRPr="00DF433D">
        <w:rPr>
          <w:rFonts w:ascii="Verdana" w:hAnsi="Verdana"/>
          <w:bCs/>
          <w:sz w:val="20"/>
          <w:szCs w:val="20"/>
          <w:lang w:val="es-ES"/>
        </w:rPr>
        <w:t xml:space="preserve"> y</w:t>
      </w:r>
      <w:r w:rsidR="000937F0" w:rsidRPr="00DF433D">
        <w:rPr>
          <w:rFonts w:ascii="Verdana" w:hAnsi="Verdana"/>
          <w:bCs/>
          <w:sz w:val="20"/>
          <w:szCs w:val="20"/>
          <w:lang w:val="es-ES"/>
        </w:rPr>
        <w:t xml:space="preserve"> la prestación de servicios médicos y educativos a la comunidad</w:t>
      </w:r>
      <w:bookmarkEnd w:id="1"/>
      <w:r w:rsidR="004E272E" w:rsidRPr="00DF433D">
        <w:rPr>
          <w:rStyle w:val="Refdenotaalpie"/>
          <w:rFonts w:ascii="Verdana" w:hAnsi="Verdana"/>
          <w:bCs/>
          <w:sz w:val="20"/>
          <w:szCs w:val="20"/>
          <w:lang w:val="pt-BR"/>
        </w:rPr>
        <w:footnoteReference w:id="73"/>
      </w:r>
      <w:r w:rsidR="004E272E" w:rsidRPr="00DF433D">
        <w:rPr>
          <w:rFonts w:ascii="Verdana" w:hAnsi="Verdana"/>
          <w:bCs/>
          <w:sz w:val="20"/>
          <w:szCs w:val="20"/>
          <w:lang w:val="es-ES"/>
        </w:rPr>
        <w:t xml:space="preserve">. </w:t>
      </w:r>
      <w:r w:rsidR="000937F0" w:rsidRPr="00DF433D">
        <w:rPr>
          <w:rFonts w:ascii="Verdana" w:hAnsi="Verdana" w:cs="Open Sans"/>
          <w:sz w:val="20"/>
          <w:szCs w:val="20"/>
          <w:shd w:val="clear" w:color="auto" w:fill="FFFFFF"/>
          <w:lang w:val="es-ES"/>
        </w:rPr>
        <w:t>También se han ordenado programas de re</w:t>
      </w:r>
      <w:r w:rsidR="00045D07" w:rsidRPr="00DF433D">
        <w:rPr>
          <w:rFonts w:ascii="Verdana" w:hAnsi="Verdana" w:cs="Open Sans"/>
          <w:sz w:val="20"/>
          <w:szCs w:val="20"/>
          <w:shd w:val="clear" w:color="auto" w:fill="FFFFFF"/>
          <w:lang w:val="es-ES"/>
        </w:rPr>
        <w:t>cuperación y preservación</w:t>
      </w:r>
      <w:r w:rsidR="000937F0" w:rsidRPr="00DF433D">
        <w:rPr>
          <w:rFonts w:ascii="Verdana" w:hAnsi="Verdana" w:cs="Open Sans"/>
          <w:sz w:val="20"/>
          <w:szCs w:val="20"/>
          <w:shd w:val="clear" w:color="auto" w:fill="FFFFFF"/>
          <w:lang w:val="es-ES"/>
        </w:rPr>
        <w:t xml:space="preserve"> de la cultura de los pueblos indígenas, de acuerdo con su identidad cultural y cosmovisión, como en el </w:t>
      </w:r>
      <w:r w:rsidR="008647B8">
        <w:rPr>
          <w:rFonts w:ascii="Verdana" w:hAnsi="Verdana" w:cs="Open Sans"/>
          <w:iCs/>
          <w:sz w:val="20"/>
          <w:szCs w:val="20"/>
          <w:shd w:val="clear" w:color="auto" w:fill="FFFFFF"/>
          <w:lang w:val="es-ES"/>
        </w:rPr>
        <w:t>c</w:t>
      </w:r>
      <w:r w:rsidR="0036459E" w:rsidRPr="008E72FA">
        <w:rPr>
          <w:rFonts w:ascii="Verdana" w:hAnsi="Verdana" w:cs="Open Sans"/>
          <w:iCs/>
          <w:sz w:val="20"/>
          <w:szCs w:val="20"/>
          <w:shd w:val="clear" w:color="auto" w:fill="FFFFFF"/>
          <w:lang w:val="es-ES"/>
        </w:rPr>
        <w:t>aso</w:t>
      </w:r>
      <w:r w:rsidR="0036459E" w:rsidRPr="00DF433D">
        <w:rPr>
          <w:rFonts w:ascii="Verdana" w:hAnsi="Verdana" w:cs="Open Sans"/>
          <w:i/>
          <w:iCs/>
          <w:sz w:val="20"/>
          <w:szCs w:val="20"/>
          <w:shd w:val="clear" w:color="auto" w:fill="FFFFFF"/>
          <w:lang w:val="es-ES"/>
        </w:rPr>
        <w:t xml:space="preserve"> Masacres de Río Negro Vs. Guatemala</w:t>
      </w:r>
      <w:r w:rsidR="0036459E" w:rsidRPr="00DF433D">
        <w:rPr>
          <w:rFonts w:ascii="Verdana" w:hAnsi="Verdana" w:cs="Open Sans"/>
          <w:sz w:val="20"/>
          <w:szCs w:val="20"/>
          <w:shd w:val="clear" w:color="auto" w:fill="FFFFFF"/>
          <w:lang w:val="es-ES"/>
        </w:rPr>
        <w:t xml:space="preserve"> (2021)</w:t>
      </w:r>
      <w:r w:rsidR="0036459E" w:rsidRPr="00DF433D">
        <w:rPr>
          <w:rStyle w:val="Refdenotaalpie"/>
          <w:rFonts w:ascii="Verdana" w:hAnsi="Verdana" w:cs="Open Sans"/>
          <w:sz w:val="20"/>
          <w:szCs w:val="20"/>
          <w:shd w:val="clear" w:color="auto" w:fill="FFFFFF"/>
          <w:lang w:val="pt-BR"/>
        </w:rPr>
        <w:footnoteReference w:id="74"/>
      </w:r>
      <w:r w:rsidR="0036459E" w:rsidRPr="00DF433D">
        <w:rPr>
          <w:rFonts w:ascii="Verdana" w:hAnsi="Verdana" w:cs="Open Sans"/>
          <w:sz w:val="20"/>
          <w:szCs w:val="20"/>
          <w:shd w:val="clear" w:color="auto" w:fill="FFFFFF"/>
          <w:lang w:val="es-ES"/>
        </w:rPr>
        <w:t>.</w:t>
      </w:r>
    </w:p>
    <w:p w14:paraId="4045755A" w14:textId="77777777" w:rsidR="004E272E" w:rsidRPr="00DF433D" w:rsidRDefault="004E272E" w:rsidP="004D6FD8">
      <w:pPr>
        <w:pStyle w:val="Prrafodelista"/>
        <w:rPr>
          <w:rFonts w:ascii="Verdana" w:hAnsi="Verdana"/>
          <w:bCs/>
          <w:sz w:val="20"/>
          <w:szCs w:val="20"/>
          <w:lang w:val="es-ES"/>
        </w:rPr>
      </w:pPr>
    </w:p>
    <w:p w14:paraId="4269A62D" w14:textId="1A8C636B" w:rsidR="00BA4A00" w:rsidRPr="00DF433D" w:rsidRDefault="00783415" w:rsidP="00783415">
      <w:pPr>
        <w:pStyle w:val="Prrafodelista"/>
        <w:ind w:left="0"/>
        <w:jc w:val="both"/>
        <w:rPr>
          <w:rFonts w:ascii="Verdana" w:hAnsi="Verdana"/>
          <w:bCs/>
          <w:sz w:val="20"/>
          <w:szCs w:val="20"/>
          <w:lang w:val="es-ES"/>
        </w:rPr>
      </w:pPr>
      <w:r>
        <w:rPr>
          <w:rFonts w:ascii="Verdana" w:hAnsi="Verdana"/>
          <w:bCs/>
          <w:sz w:val="20"/>
          <w:szCs w:val="20"/>
          <w:lang w:val="es-ES"/>
        </w:rPr>
        <w:t xml:space="preserve">64. </w:t>
      </w:r>
      <w:r>
        <w:rPr>
          <w:rFonts w:ascii="Verdana" w:hAnsi="Verdana"/>
          <w:bCs/>
          <w:sz w:val="20"/>
          <w:szCs w:val="20"/>
          <w:lang w:val="es-ES"/>
        </w:rPr>
        <w:tab/>
      </w:r>
      <w:r w:rsidR="007F31AB" w:rsidRPr="00DF433D">
        <w:rPr>
          <w:rFonts w:ascii="Verdana" w:hAnsi="Verdana"/>
          <w:bCs/>
          <w:sz w:val="20"/>
          <w:szCs w:val="20"/>
          <w:lang w:val="es-ES"/>
        </w:rPr>
        <w:t xml:space="preserve">Los impactos colectivos de las violaciones de derechos humanos son especialmente sensibles en relación con el territorio indígena. En el </w:t>
      </w:r>
      <w:r w:rsidR="007F31AB" w:rsidRPr="008E72FA">
        <w:rPr>
          <w:rFonts w:ascii="Verdana" w:hAnsi="Verdana"/>
          <w:bCs/>
          <w:iCs/>
          <w:sz w:val="20"/>
          <w:szCs w:val="20"/>
          <w:lang w:val="es-ES"/>
        </w:rPr>
        <w:t>caso</w:t>
      </w:r>
      <w:r w:rsidR="007F31AB" w:rsidRPr="00DF433D">
        <w:rPr>
          <w:rFonts w:ascii="Verdana" w:hAnsi="Verdana"/>
          <w:bCs/>
          <w:i/>
          <w:iCs/>
          <w:sz w:val="20"/>
          <w:szCs w:val="20"/>
          <w:lang w:val="es-ES"/>
        </w:rPr>
        <w:t xml:space="preserve"> Comunidad Indígena Xákmok Kásek Vs. Paraguay </w:t>
      </w:r>
      <w:r w:rsidR="007F31AB" w:rsidRPr="008E72FA">
        <w:rPr>
          <w:rFonts w:ascii="Verdana" w:hAnsi="Verdana"/>
          <w:bCs/>
          <w:iCs/>
          <w:sz w:val="20"/>
          <w:szCs w:val="20"/>
          <w:lang w:val="es-ES"/>
        </w:rPr>
        <w:t>(2010)</w:t>
      </w:r>
      <w:r w:rsidR="007F31AB" w:rsidRPr="00DF433D">
        <w:rPr>
          <w:rFonts w:ascii="Verdana" w:hAnsi="Verdana"/>
          <w:bCs/>
          <w:i/>
          <w:iCs/>
          <w:sz w:val="20"/>
          <w:szCs w:val="20"/>
          <w:lang w:val="es-ES"/>
        </w:rPr>
        <w:t xml:space="preserve">, </w:t>
      </w:r>
      <w:r w:rsidR="007F31AB" w:rsidRPr="00DF433D">
        <w:rPr>
          <w:rFonts w:ascii="Verdana" w:hAnsi="Verdana"/>
          <w:bCs/>
          <w:sz w:val="20"/>
          <w:szCs w:val="20"/>
          <w:lang w:val="es-ES"/>
        </w:rPr>
        <w:t>por</w:t>
      </w:r>
      <w:r w:rsidR="007F31AB" w:rsidRPr="00DF433D">
        <w:rPr>
          <w:rFonts w:ascii="Verdana" w:hAnsi="Verdana"/>
          <w:bCs/>
          <w:i/>
          <w:iCs/>
          <w:sz w:val="20"/>
          <w:szCs w:val="20"/>
          <w:lang w:val="es-ES"/>
        </w:rPr>
        <w:t xml:space="preserve"> </w:t>
      </w:r>
      <w:r w:rsidR="007F31AB" w:rsidRPr="00DF433D">
        <w:rPr>
          <w:rFonts w:ascii="Verdana" w:hAnsi="Verdana"/>
          <w:bCs/>
          <w:sz w:val="20"/>
          <w:szCs w:val="20"/>
          <w:lang w:val="es-ES"/>
        </w:rPr>
        <w:t>ejemplo, la creación de un Fondo de Desarrollo Comunitario t</w:t>
      </w:r>
      <w:r w:rsidR="008F43AB">
        <w:rPr>
          <w:rFonts w:ascii="Verdana" w:hAnsi="Verdana"/>
          <w:bCs/>
          <w:sz w:val="20"/>
          <w:szCs w:val="20"/>
          <w:lang w:val="es-ES"/>
        </w:rPr>
        <w:t>uvo</w:t>
      </w:r>
      <w:r w:rsidR="007F31AB" w:rsidRPr="00DF433D">
        <w:rPr>
          <w:rFonts w:ascii="Verdana" w:hAnsi="Verdana"/>
          <w:bCs/>
          <w:sz w:val="20"/>
          <w:szCs w:val="20"/>
          <w:lang w:val="es-ES"/>
        </w:rPr>
        <w:t xml:space="preserve"> como objetivo no sólo la reparación del daño causado, sino también la preservación cultural de las tradiciones indígenas para las generaciones futuras, tal y como establece la Corte IDH en los siguientes términos</w:t>
      </w:r>
      <w:r w:rsidR="004E272E" w:rsidRPr="00DF433D">
        <w:rPr>
          <w:rFonts w:ascii="Verdana" w:hAnsi="Verdana"/>
          <w:bCs/>
          <w:sz w:val="20"/>
          <w:szCs w:val="20"/>
          <w:lang w:val="es-ES"/>
        </w:rPr>
        <w:t xml:space="preserve">: </w:t>
      </w:r>
    </w:p>
    <w:p w14:paraId="0B767A1E" w14:textId="77777777" w:rsidR="004E272E" w:rsidRPr="00B21C1F" w:rsidRDefault="004E272E" w:rsidP="004D6FD8">
      <w:pPr>
        <w:pStyle w:val="Prrafodelista"/>
        <w:rPr>
          <w:rFonts w:ascii="Verdana" w:hAnsi="Verdana"/>
          <w:bCs/>
          <w:sz w:val="18"/>
          <w:szCs w:val="18"/>
          <w:lang w:val="es-ES"/>
        </w:rPr>
      </w:pPr>
    </w:p>
    <w:p w14:paraId="66763558" w14:textId="0E228C17" w:rsidR="004E272E" w:rsidRPr="00B21C1F" w:rsidRDefault="004E272E" w:rsidP="0080324A">
      <w:pPr>
        <w:ind w:left="709" w:right="645"/>
        <w:jc w:val="both"/>
        <w:rPr>
          <w:rFonts w:ascii="Verdana" w:hAnsi="Verdana"/>
          <w:bCs/>
          <w:sz w:val="18"/>
          <w:szCs w:val="18"/>
          <w:lang w:val="es-419"/>
        </w:rPr>
      </w:pPr>
      <w:r w:rsidRPr="00B21C1F">
        <w:rPr>
          <w:rFonts w:ascii="Verdana" w:hAnsi="Verdana"/>
          <w:bCs/>
          <w:sz w:val="18"/>
          <w:szCs w:val="18"/>
          <w:lang w:val="es-419"/>
        </w:rPr>
        <w:t xml:space="preserve">321. Este Tribunal valorará al momento de fijar el daño inmaterial la significación especial que la tierra tiene para los pueblos indígenas en general, y para los miembros de la Comunidad Xákmok Kásek en particular (supra párr. 107, 149 y 174 a 182), lo que implica que toda denegación al goce o ejercicio de los derechos territoriales acarrea el menoscabo de valores muy representativos para los miembros de dichos pueblos, </w:t>
      </w:r>
      <w:r w:rsidR="0080324A" w:rsidRPr="0080324A">
        <w:rPr>
          <w:rFonts w:ascii="Verdana" w:hAnsi="Verdana"/>
          <w:bCs/>
          <w:sz w:val="18"/>
          <w:szCs w:val="18"/>
          <w:lang w:val="es-419"/>
        </w:rPr>
        <w:t>quienes corren el peligro de perder o sufrir daños irreparables en su vida e identidad y en el patrimonio cultural por transmitirse a las futuras generaciones</w:t>
      </w:r>
      <w:r w:rsidR="0080324A">
        <w:rPr>
          <w:rFonts w:ascii="Verdana" w:hAnsi="Verdana"/>
          <w:bCs/>
          <w:sz w:val="18"/>
          <w:szCs w:val="18"/>
          <w:lang w:val="es-419"/>
        </w:rPr>
        <w:t>.</w:t>
      </w:r>
    </w:p>
    <w:p w14:paraId="395336C2" w14:textId="77777777" w:rsidR="004E272E" w:rsidRPr="00B21C1F" w:rsidRDefault="004E272E" w:rsidP="0080324A">
      <w:pPr>
        <w:ind w:left="709" w:right="645"/>
        <w:rPr>
          <w:rFonts w:ascii="Verdana" w:hAnsi="Verdana"/>
          <w:bCs/>
          <w:sz w:val="18"/>
          <w:szCs w:val="18"/>
          <w:lang w:val="es-419"/>
        </w:rPr>
      </w:pPr>
    </w:p>
    <w:p w14:paraId="6ADA1D7C" w14:textId="5A4F266D" w:rsidR="004E272E" w:rsidRPr="00B21C1F" w:rsidRDefault="004E272E" w:rsidP="0080324A">
      <w:pPr>
        <w:ind w:left="709" w:right="645"/>
        <w:jc w:val="both"/>
        <w:rPr>
          <w:rFonts w:ascii="Verdana" w:hAnsi="Verdana"/>
          <w:bCs/>
          <w:sz w:val="18"/>
          <w:szCs w:val="18"/>
          <w:lang w:val="es-419"/>
        </w:rPr>
      </w:pPr>
      <w:r w:rsidRPr="00B21C1F">
        <w:rPr>
          <w:rFonts w:ascii="Verdana" w:hAnsi="Verdana"/>
          <w:bCs/>
          <w:sz w:val="18"/>
          <w:szCs w:val="18"/>
          <w:lang w:val="es-419"/>
        </w:rPr>
        <w:t xml:space="preserve">323. Tomando en cuenta lo anterior y como lo ha hecho en casos anteriores, la Corte considera procedente ordenar en equidad que el Estado cree un fondo de desarrollo comunitario como compensación por el daño inmaterial que los miembros de la Comunidad han sufrido. </w:t>
      </w:r>
      <w:r w:rsidR="0080324A">
        <w:rPr>
          <w:rFonts w:ascii="Verdana" w:hAnsi="Verdana"/>
          <w:bCs/>
          <w:sz w:val="18"/>
          <w:szCs w:val="18"/>
          <w:lang w:val="es-419"/>
        </w:rPr>
        <w:t>[</w:t>
      </w:r>
      <w:r w:rsidRPr="00B21C1F">
        <w:rPr>
          <w:rFonts w:ascii="Verdana" w:hAnsi="Verdana"/>
          <w:bCs/>
          <w:sz w:val="18"/>
          <w:szCs w:val="18"/>
          <w:lang w:val="es-419"/>
        </w:rPr>
        <w:t>…</w:t>
      </w:r>
      <w:r w:rsidR="0080324A">
        <w:rPr>
          <w:rFonts w:ascii="Verdana" w:hAnsi="Verdana"/>
          <w:bCs/>
          <w:sz w:val="18"/>
          <w:szCs w:val="18"/>
          <w:lang w:val="es-419"/>
        </w:rPr>
        <w:t>]</w:t>
      </w:r>
      <w:r w:rsidRPr="00B21C1F">
        <w:rPr>
          <w:rFonts w:ascii="Verdana" w:hAnsi="Verdana"/>
          <w:bCs/>
          <w:sz w:val="18"/>
          <w:szCs w:val="18"/>
          <w:lang w:val="es-419"/>
        </w:rPr>
        <w:t xml:space="preserve"> respecto del cual se deben destinar recursos, entre otras cosas, para la implementación de proyectos educacionales, habitacionales, de seguridad alimentaria y de salud, así como de suministro de agua potable y la construcción de infraestructura sanitaria, en beneficio de los miembros de la Comunidad</w:t>
      </w:r>
      <w:r w:rsidR="00117A51" w:rsidRPr="00B21C1F">
        <w:rPr>
          <w:rStyle w:val="Refdenotaalpie"/>
          <w:rFonts w:ascii="Verdana" w:hAnsi="Verdana"/>
          <w:bCs/>
          <w:sz w:val="18"/>
          <w:szCs w:val="18"/>
          <w:lang w:val="es-419"/>
        </w:rPr>
        <w:footnoteReference w:id="75"/>
      </w:r>
      <w:r w:rsidRPr="00B21C1F">
        <w:rPr>
          <w:rFonts w:ascii="Verdana" w:hAnsi="Verdana"/>
          <w:bCs/>
          <w:sz w:val="18"/>
          <w:szCs w:val="18"/>
          <w:lang w:val="es-419"/>
        </w:rPr>
        <w:t>.</w:t>
      </w:r>
    </w:p>
    <w:p w14:paraId="5C839026" w14:textId="77777777" w:rsidR="004E49E1" w:rsidRPr="00DF433D" w:rsidRDefault="004E49E1" w:rsidP="004E49E1">
      <w:pPr>
        <w:pStyle w:val="Prrafodelista"/>
        <w:rPr>
          <w:rFonts w:ascii="Verdana" w:hAnsi="Verdana"/>
          <w:bCs/>
          <w:sz w:val="20"/>
          <w:szCs w:val="20"/>
          <w:lang w:val="es-419"/>
        </w:rPr>
      </w:pPr>
    </w:p>
    <w:p w14:paraId="0809A029" w14:textId="7E33A715" w:rsidR="0036459E" w:rsidRPr="00DF433D" w:rsidRDefault="00783415" w:rsidP="00783415">
      <w:pPr>
        <w:pStyle w:val="Prrafodelista"/>
        <w:ind w:left="0"/>
        <w:jc w:val="both"/>
        <w:rPr>
          <w:rFonts w:ascii="Verdana" w:hAnsi="Verdana"/>
          <w:bCs/>
          <w:sz w:val="20"/>
          <w:szCs w:val="20"/>
          <w:lang w:val="es-ES"/>
        </w:rPr>
      </w:pPr>
      <w:r>
        <w:rPr>
          <w:rFonts w:ascii="Verdana" w:hAnsi="Verdana"/>
          <w:bCs/>
          <w:sz w:val="20"/>
          <w:szCs w:val="20"/>
          <w:lang w:val="es-ES"/>
        </w:rPr>
        <w:t xml:space="preserve">65. </w:t>
      </w:r>
      <w:r>
        <w:rPr>
          <w:rFonts w:ascii="Verdana" w:hAnsi="Verdana"/>
          <w:bCs/>
          <w:sz w:val="20"/>
          <w:szCs w:val="20"/>
          <w:lang w:val="es-ES"/>
        </w:rPr>
        <w:tab/>
      </w:r>
      <w:r w:rsidR="007F31AB" w:rsidRPr="00DF433D">
        <w:rPr>
          <w:rFonts w:ascii="Verdana" w:hAnsi="Verdana"/>
          <w:bCs/>
          <w:sz w:val="20"/>
          <w:szCs w:val="20"/>
          <w:lang w:val="es-ES"/>
        </w:rPr>
        <w:t xml:space="preserve">El alcance de las medidas de no repetición en el caso de la Comunidad de La Oroya se suma a la cadena de precedentes de la Corte IDH sobre reparaciones en casos en los que las actividades extractivas causan daños ambientales intergeneracionales. En el </w:t>
      </w:r>
      <w:r w:rsidR="007F31AB" w:rsidRPr="008E72FA">
        <w:rPr>
          <w:rFonts w:ascii="Verdana" w:hAnsi="Verdana"/>
          <w:bCs/>
          <w:iCs/>
          <w:sz w:val="20"/>
          <w:szCs w:val="20"/>
          <w:lang w:val="es-ES"/>
        </w:rPr>
        <w:t>caso</w:t>
      </w:r>
      <w:r w:rsidR="007F31AB" w:rsidRPr="00DF433D">
        <w:rPr>
          <w:rFonts w:ascii="Verdana" w:hAnsi="Verdana"/>
          <w:bCs/>
          <w:i/>
          <w:iCs/>
          <w:sz w:val="20"/>
          <w:szCs w:val="20"/>
          <w:lang w:val="es-ES"/>
        </w:rPr>
        <w:t xml:space="preserve"> Pueblos Kaliña y Lokono Vs. Surinam </w:t>
      </w:r>
      <w:r w:rsidR="007F31AB" w:rsidRPr="00DF433D">
        <w:rPr>
          <w:rFonts w:ascii="Verdana" w:hAnsi="Verdana"/>
          <w:bCs/>
          <w:sz w:val="20"/>
          <w:szCs w:val="20"/>
          <w:lang w:val="es-ES"/>
        </w:rPr>
        <w:t>(2015), el contexto fáctico de las violaciones involucra actividades de extracción de mineral en el territorio de una reserva ambiental</w:t>
      </w:r>
      <w:r w:rsidR="00FE2D07" w:rsidRPr="00DF433D">
        <w:rPr>
          <w:rStyle w:val="Refdenotaalpie"/>
          <w:rFonts w:ascii="Verdana" w:hAnsi="Verdana"/>
          <w:bCs/>
          <w:sz w:val="20"/>
          <w:szCs w:val="20"/>
          <w:lang w:val="pt-BR"/>
        </w:rPr>
        <w:footnoteReference w:id="76"/>
      </w:r>
      <w:r w:rsidR="0036459E" w:rsidRPr="00DF433D">
        <w:rPr>
          <w:rFonts w:ascii="Verdana" w:hAnsi="Verdana"/>
          <w:bCs/>
          <w:sz w:val="20"/>
          <w:szCs w:val="20"/>
          <w:lang w:val="es-ES"/>
        </w:rPr>
        <w:t>.</w:t>
      </w:r>
      <w:r w:rsidR="00045D07" w:rsidRPr="00DF433D">
        <w:rPr>
          <w:rFonts w:ascii="Verdana" w:hAnsi="Verdana"/>
          <w:bCs/>
          <w:sz w:val="20"/>
          <w:szCs w:val="20"/>
          <w:lang w:val="es-ES"/>
        </w:rPr>
        <w:t xml:space="preserve"> </w:t>
      </w:r>
      <w:r w:rsidR="007F31AB" w:rsidRPr="00DF433D">
        <w:rPr>
          <w:rFonts w:ascii="Verdana" w:hAnsi="Verdana"/>
          <w:bCs/>
          <w:sz w:val="20"/>
          <w:szCs w:val="20"/>
          <w:lang w:val="es-ES"/>
        </w:rPr>
        <w:t xml:space="preserve">Las medidas de no repetición, a su vez, estaban dirigidas a desarrollar un plan de rehabilitación de la zona, </w:t>
      </w:r>
      <w:r w:rsidR="00045D07" w:rsidRPr="00DF433D">
        <w:rPr>
          <w:rFonts w:ascii="Verdana" w:hAnsi="Verdana"/>
          <w:bCs/>
          <w:sz w:val="20"/>
          <w:szCs w:val="20"/>
          <w:lang w:val="es-ES"/>
        </w:rPr>
        <w:t>la</w:t>
      </w:r>
      <w:r w:rsidR="007F31AB" w:rsidRPr="00DF433D">
        <w:rPr>
          <w:rFonts w:ascii="Verdana" w:hAnsi="Verdana"/>
          <w:bCs/>
          <w:sz w:val="20"/>
          <w:szCs w:val="20"/>
          <w:lang w:val="es-ES"/>
        </w:rPr>
        <w:t xml:space="preserve"> evaluación integral actualizada del territorio afectado, </w:t>
      </w:r>
      <w:r w:rsidR="00045D07" w:rsidRPr="00DF433D">
        <w:rPr>
          <w:rFonts w:ascii="Verdana" w:hAnsi="Verdana"/>
          <w:bCs/>
          <w:sz w:val="20"/>
          <w:szCs w:val="20"/>
          <w:lang w:val="es-ES"/>
        </w:rPr>
        <w:t xml:space="preserve">las </w:t>
      </w:r>
      <w:r w:rsidR="007F31AB" w:rsidRPr="00DF433D">
        <w:rPr>
          <w:rFonts w:ascii="Verdana" w:hAnsi="Verdana"/>
          <w:bCs/>
          <w:sz w:val="20"/>
          <w:szCs w:val="20"/>
          <w:lang w:val="es-ES"/>
        </w:rPr>
        <w:t>medidas para eliminar los daños causados y un mecanismo de supervisión y vigilancia del plan de rehabilitación de la comunidad</w:t>
      </w:r>
      <w:r w:rsidR="0036459E" w:rsidRPr="00DF433D">
        <w:rPr>
          <w:rStyle w:val="Refdenotaalpie"/>
          <w:rFonts w:ascii="Verdana" w:hAnsi="Verdana"/>
          <w:bCs/>
          <w:sz w:val="20"/>
          <w:szCs w:val="20"/>
          <w:lang w:val="pt-BR"/>
        </w:rPr>
        <w:footnoteReference w:id="77"/>
      </w:r>
      <w:r w:rsidR="0036459E" w:rsidRPr="00DF433D">
        <w:rPr>
          <w:rFonts w:ascii="Verdana" w:hAnsi="Verdana"/>
          <w:bCs/>
          <w:sz w:val="20"/>
          <w:szCs w:val="20"/>
          <w:lang w:val="es-ES"/>
        </w:rPr>
        <w:t xml:space="preserve">. </w:t>
      </w:r>
    </w:p>
    <w:p w14:paraId="4C869347" w14:textId="77777777" w:rsidR="0036459E" w:rsidRPr="00DF433D" w:rsidRDefault="0036459E" w:rsidP="004D6FD8">
      <w:pPr>
        <w:pStyle w:val="Prrafodelista"/>
        <w:ind w:left="0"/>
        <w:jc w:val="both"/>
        <w:rPr>
          <w:rFonts w:ascii="Verdana" w:hAnsi="Verdana"/>
          <w:bCs/>
          <w:sz w:val="20"/>
          <w:szCs w:val="20"/>
          <w:lang w:val="es-ES"/>
        </w:rPr>
      </w:pPr>
    </w:p>
    <w:p w14:paraId="0D7CE7B3" w14:textId="62446C28" w:rsidR="003F29D8" w:rsidRPr="00DF433D" w:rsidRDefault="00783415" w:rsidP="00783415">
      <w:pPr>
        <w:pStyle w:val="Prrafodelista"/>
        <w:ind w:left="0"/>
        <w:jc w:val="both"/>
        <w:rPr>
          <w:rFonts w:ascii="Verdana" w:hAnsi="Verdana"/>
          <w:bCs/>
          <w:sz w:val="20"/>
          <w:szCs w:val="20"/>
          <w:lang w:val="es-ES"/>
        </w:rPr>
      </w:pPr>
      <w:r>
        <w:rPr>
          <w:rFonts w:ascii="Verdana" w:hAnsi="Verdana"/>
          <w:bCs/>
          <w:sz w:val="20"/>
          <w:szCs w:val="20"/>
          <w:lang w:val="es-ES"/>
        </w:rPr>
        <w:t xml:space="preserve">66. </w:t>
      </w:r>
      <w:r>
        <w:rPr>
          <w:rFonts w:ascii="Verdana" w:hAnsi="Verdana"/>
          <w:bCs/>
          <w:sz w:val="20"/>
          <w:szCs w:val="20"/>
          <w:lang w:val="es-ES"/>
        </w:rPr>
        <w:tab/>
      </w:r>
      <w:r w:rsidR="00490084" w:rsidRPr="00DF433D">
        <w:rPr>
          <w:rFonts w:ascii="Verdana" w:hAnsi="Verdana"/>
          <w:bCs/>
          <w:sz w:val="20"/>
          <w:szCs w:val="20"/>
          <w:lang w:val="es-ES"/>
        </w:rPr>
        <w:t xml:space="preserve">En el caso de La Oroya, las medidas de reparación establecidas por la sentencia también se comprometen a garantizar el máximo alcance debido a la magnitud de las violaciones. Cabe recordar que, durante la fase escrita del proceso, los representantes realizaron observaciones sobre el número total de personas afectadas por la contaminación. El principal reclamo de la representación se refería a la incompatibilidad entre el número de víctimas identificadas por el Informe de Fondo elaborado por la Comisión Interamericana y el verdadero número de personas afectadas por la contaminación en la Comunidad de La Oroya, ya que los daños causados por los impactos ambientales afectan no </w:t>
      </w:r>
      <w:r w:rsidR="00490084" w:rsidRPr="00DF433D">
        <w:rPr>
          <w:rFonts w:ascii="Verdana" w:hAnsi="Verdana"/>
          <w:bCs/>
          <w:color w:val="000000" w:themeColor="text1"/>
          <w:sz w:val="20"/>
          <w:szCs w:val="20"/>
          <w:lang w:val="es-ES"/>
        </w:rPr>
        <w:t xml:space="preserve">sólo </w:t>
      </w:r>
      <w:r w:rsidR="00490084" w:rsidRPr="00DF433D">
        <w:rPr>
          <w:rFonts w:ascii="Verdana" w:hAnsi="Verdana"/>
          <w:bCs/>
          <w:sz w:val="20"/>
          <w:szCs w:val="20"/>
          <w:lang w:val="es-ES"/>
        </w:rPr>
        <w:t xml:space="preserve">a </w:t>
      </w:r>
      <w:r w:rsidR="00490084" w:rsidRPr="00DF433D">
        <w:rPr>
          <w:rFonts w:ascii="Verdana" w:hAnsi="Verdana"/>
          <w:bCs/>
          <w:color w:val="000000" w:themeColor="text1"/>
          <w:sz w:val="20"/>
          <w:szCs w:val="20"/>
          <w:lang w:val="es-ES"/>
        </w:rPr>
        <w:t>ciertos habitantes de la zona, sino a la comunidad en su conjunto</w:t>
      </w:r>
      <w:r w:rsidR="003F29D8" w:rsidRPr="00DF433D">
        <w:rPr>
          <w:rStyle w:val="Refdenotaalpie"/>
          <w:rFonts w:ascii="Verdana" w:hAnsi="Verdana"/>
          <w:bCs/>
          <w:color w:val="000000" w:themeColor="text1"/>
          <w:sz w:val="20"/>
          <w:szCs w:val="20"/>
          <w:lang w:val="pt-BR"/>
        </w:rPr>
        <w:footnoteReference w:id="78"/>
      </w:r>
      <w:r w:rsidR="003F29D8" w:rsidRPr="00DF433D">
        <w:rPr>
          <w:rFonts w:ascii="Verdana" w:hAnsi="Verdana"/>
          <w:bCs/>
          <w:color w:val="000000" w:themeColor="text1"/>
          <w:sz w:val="20"/>
          <w:szCs w:val="20"/>
          <w:lang w:val="es-ES"/>
        </w:rPr>
        <w:t>.</w:t>
      </w:r>
      <w:r w:rsidR="007E22C6" w:rsidRPr="00DF433D">
        <w:rPr>
          <w:rFonts w:ascii="Verdana" w:hAnsi="Verdana"/>
          <w:bCs/>
          <w:color w:val="000000" w:themeColor="text1"/>
          <w:sz w:val="20"/>
          <w:szCs w:val="20"/>
          <w:lang w:val="es-ES"/>
        </w:rPr>
        <w:t xml:space="preserve"> Por ello, exigieron que las medidas de reparación establecidas por la Corte IDH consideren las afectaciones de manera colectiva</w:t>
      </w:r>
      <w:r w:rsidR="003F29D8" w:rsidRPr="00DF433D">
        <w:rPr>
          <w:rFonts w:ascii="Verdana" w:hAnsi="Verdana"/>
          <w:bCs/>
          <w:color w:val="000000" w:themeColor="text1"/>
          <w:sz w:val="20"/>
          <w:szCs w:val="20"/>
          <w:lang w:val="es-ES"/>
        </w:rPr>
        <w:t xml:space="preserve">. </w:t>
      </w:r>
    </w:p>
    <w:p w14:paraId="7B93503A" w14:textId="77777777" w:rsidR="003F29D8" w:rsidRPr="00DF433D" w:rsidRDefault="003F29D8" w:rsidP="004D6FD8">
      <w:pPr>
        <w:pStyle w:val="Prrafodelista"/>
        <w:rPr>
          <w:rFonts w:ascii="Verdana" w:hAnsi="Verdana"/>
          <w:bCs/>
          <w:sz w:val="20"/>
          <w:szCs w:val="20"/>
          <w:lang w:val="es-ES"/>
        </w:rPr>
      </w:pPr>
    </w:p>
    <w:p w14:paraId="215C72BE" w14:textId="5AE2EB0E" w:rsidR="00BB7BC1" w:rsidRPr="00DF433D" w:rsidRDefault="00783415" w:rsidP="00783415">
      <w:pPr>
        <w:pStyle w:val="Prrafodelista"/>
        <w:ind w:left="0"/>
        <w:jc w:val="both"/>
        <w:rPr>
          <w:rFonts w:ascii="Verdana" w:hAnsi="Verdana"/>
          <w:bCs/>
          <w:sz w:val="20"/>
          <w:szCs w:val="20"/>
          <w:lang w:val="es-ES"/>
        </w:rPr>
      </w:pPr>
      <w:r>
        <w:rPr>
          <w:rFonts w:ascii="Verdana" w:hAnsi="Verdana"/>
          <w:bCs/>
          <w:sz w:val="20"/>
          <w:szCs w:val="20"/>
          <w:lang w:val="es-ES"/>
        </w:rPr>
        <w:t xml:space="preserve">67. </w:t>
      </w:r>
      <w:r>
        <w:rPr>
          <w:rFonts w:ascii="Verdana" w:hAnsi="Verdana"/>
          <w:bCs/>
          <w:sz w:val="20"/>
          <w:szCs w:val="20"/>
          <w:lang w:val="es-ES"/>
        </w:rPr>
        <w:tab/>
      </w:r>
      <w:r w:rsidR="00FE25CD" w:rsidRPr="00DF433D">
        <w:rPr>
          <w:rFonts w:ascii="Verdana" w:hAnsi="Verdana"/>
          <w:bCs/>
          <w:sz w:val="20"/>
          <w:szCs w:val="20"/>
          <w:lang w:val="es-ES"/>
        </w:rPr>
        <w:t xml:space="preserve">En este sentido, las medidas otorgadas incluyen un diagnóstico del estado de contaminación del aire, </w:t>
      </w:r>
      <w:r w:rsidR="00045D07" w:rsidRPr="00DF433D">
        <w:rPr>
          <w:rFonts w:ascii="Verdana" w:hAnsi="Verdana"/>
          <w:bCs/>
          <w:sz w:val="20"/>
          <w:szCs w:val="20"/>
          <w:lang w:val="es-ES"/>
        </w:rPr>
        <w:t>del agua</w:t>
      </w:r>
      <w:r w:rsidR="00A606FD">
        <w:rPr>
          <w:rFonts w:ascii="Verdana" w:hAnsi="Verdana"/>
          <w:bCs/>
          <w:sz w:val="20"/>
          <w:szCs w:val="20"/>
          <w:lang w:val="es-ES"/>
        </w:rPr>
        <w:t xml:space="preserve"> y del suelo</w:t>
      </w:r>
      <w:r w:rsidR="00FE25CD" w:rsidRPr="00DF433D">
        <w:rPr>
          <w:rFonts w:ascii="Verdana" w:hAnsi="Verdana"/>
          <w:bCs/>
          <w:sz w:val="20"/>
          <w:szCs w:val="20"/>
          <w:lang w:val="es-ES"/>
        </w:rPr>
        <w:t xml:space="preserve"> en la ciudad de La Oroya y un plan de acción para contener los daños en las zonas afectadas</w:t>
      </w:r>
      <w:r w:rsidR="004E49E1" w:rsidRPr="00DF433D">
        <w:rPr>
          <w:rStyle w:val="Refdenotaalpie"/>
          <w:rFonts w:ascii="Verdana" w:hAnsi="Verdana"/>
          <w:bCs/>
          <w:sz w:val="20"/>
          <w:szCs w:val="20"/>
          <w:lang w:val="pt-BR"/>
        </w:rPr>
        <w:footnoteReference w:id="79"/>
      </w:r>
      <w:r w:rsidR="004E49E1" w:rsidRPr="00DF433D">
        <w:rPr>
          <w:rFonts w:ascii="Verdana" w:hAnsi="Verdana"/>
          <w:bCs/>
          <w:sz w:val="20"/>
          <w:szCs w:val="20"/>
          <w:lang w:val="es-ES"/>
        </w:rPr>
        <w:t>.</w:t>
      </w:r>
      <w:r w:rsidR="00FE25CD" w:rsidRPr="00DF433D">
        <w:rPr>
          <w:rFonts w:ascii="Verdana" w:hAnsi="Verdana"/>
          <w:bCs/>
          <w:sz w:val="20"/>
          <w:szCs w:val="20"/>
          <w:lang w:val="es-ES"/>
        </w:rPr>
        <w:t xml:space="preserve"> También incluyen la creación de mecanismos de participación efectiva para conocer e impugnar el plan de acción antes, durante y después de su ejecución</w:t>
      </w:r>
      <w:r w:rsidR="009769DA" w:rsidRPr="00DF433D">
        <w:rPr>
          <w:rStyle w:val="Refdenotaalpie"/>
          <w:rFonts w:ascii="Verdana" w:hAnsi="Verdana"/>
          <w:bCs/>
          <w:sz w:val="20"/>
          <w:szCs w:val="20"/>
          <w:lang w:val="pt-BR"/>
        </w:rPr>
        <w:footnoteReference w:id="80"/>
      </w:r>
      <w:r w:rsidR="009769DA" w:rsidRPr="00DF433D">
        <w:rPr>
          <w:rFonts w:ascii="Verdana" w:hAnsi="Verdana"/>
          <w:bCs/>
          <w:sz w:val="20"/>
          <w:szCs w:val="20"/>
          <w:lang w:val="es-ES"/>
        </w:rPr>
        <w:t>.</w:t>
      </w:r>
      <w:bookmarkStart w:id="2" w:name="_Hlk158893913"/>
      <w:r w:rsidR="00FE25CD" w:rsidRPr="00DF433D">
        <w:rPr>
          <w:rFonts w:ascii="Verdana" w:hAnsi="Verdana"/>
          <w:bCs/>
          <w:sz w:val="20"/>
          <w:szCs w:val="20"/>
          <w:lang w:val="es-ES"/>
        </w:rPr>
        <w:t xml:space="preserve"> </w:t>
      </w:r>
      <w:bookmarkEnd w:id="2"/>
      <w:r w:rsidR="00FE25CD" w:rsidRPr="00DF433D">
        <w:rPr>
          <w:rFonts w:ascii="Verdana" w:hAnsi="Verdana"/>
          <w:bCs/>
          <w:sz w:val="20"/>
          <w:szCs w:val="20"/>
          <w:lang w:val="es-ES"/>
        </w:rPr>
        <w:t>Como medidas de no repetición se establecieron los siguientes protocolos (i) el Estado debe compatibilizar la normativa existente con los estándares de calidad del aire</w:t>
      </w:r>
      <w:r w:rsidR="00B464CD" w:rsidRPr="00DF433D">
        <w:rPr>
          <w:rStyle w:val="Refdenotaalpie"/>
          <w:rFonts w:ascii="Verdana" w:hAnsi="Verdana"/>
          <w:bCs/>
          <w:sz w:val="20"/>
          <w:szCs w:val="20"/>
          <w:lang w:val="pt-BR"/>
        </w:rPr>
        <w:footnoteReference w:id="81"/>
      </w:r>
      <w:r w:rsidR="00B464CD" w:rsidRPr="00DF433D">
        <w:rPr>
          <w:rFonts w:ascii="Verdana" w:hAnsi="Verdana"/>
          <w:bCs/>
          <w:sz w:val="20"/>
          <w:szCs w:val="20"/>
          <w:lang w:val="es-ES"/>
        </w:rPr>
        <w:t>;</w:t>
      </w:r>
      <w:r w:rsidR="00045D07" w:rsidRPr="00DF433D">
        <w:rPr>
          <w:rFonts w:ascii="Verdana" w:hAnsi="Verdana"/>
          <w:bCs/>
          <w:sz w:val="20"/>
          <w:szCs w:val="20"/>
          <w:lang w:val="es-ES"/>
        </w:rPr>
        <w:t xml:space="preserve"> </w:t>
      </w:r>
      <w:r w:rsidR="00FE25CD" w:rsidRPr="00DF433D">
        <w:rPr>
          <w:rFonts w:ascii="Verdana" w:hAnsi="Verdana"/>
          <w:bCs/>
          <w:sz w:val="20"/>
          <w:szCs w:val="20"/>
          <w:lang w:val="es-ES"/>
        </w:rPr>
        <w:t>(ii) el Estado debe garantizar el correcto funcionamiento de los sistemas de alerta en la ciudad de La Oroya, así como desarrollar un sistema de monitoreo de la calidad del aire, agua</w:t>
      </w:r>
      <w:r w:rsidR="00A606FD">
        <w:rPr>
          <w:rFonts w:ascii="Verdana" w:hAnsi="Verdana"/>
          <w:bCs/>
          <w:sz w:val="20"/>
          <w:szCs w:val="20"/>
          <w:lang w:val="es-ES"/>
        </w:rPr>
        <w:t xml:space="preserve"> y suelo</w:t>
      </w:r>
      <w:r w:rsidR="00F83C6E">
        <w:rPr>
          <w:rFonts w:ascii="Verdana" w:hAnsi="Verdana"/>
          <w:bCs/>
          <w:sz w:val="20"/>
          <w:szCs w:val="20"/>
          <w:lang w:val="es-ES"/>
        </w:rPr>
        <w:t>;</w:t>
      </w:r>
      <w:r w:rsidR="00B464CD" w:rsidRPr="00DF433D">
        <w:rPr>
          <w:rStyle w:val="Refdenotaalpie"/>
          <w:rFonts w:ascii="Verdana" w:hAnsi="Verdana"/>
          <w:bCs/>
          <w:sz w:val="20"/>
          <w:szCs w:val="20"/>
          <w:lang w:val="pt-BR"/>
        </w:rPr>
        <w:footnoteReference w:id="82"/>
      </w:r>
      <w:r w:rsidR="00143CBF" w:rsidRPr="00DF433D">
        <w:rPr>
          <w:rFonts w:ascii="Verdana" w:hAnsi="Verdana"/>
          <w:bCs/>
          <w:sz w:val="20"/>
          <w:szCs w:val="20"/>
          <w:lang w:val="es-ES"/>
        </w:rPr>
        <w:t xml:space="preserve"> </w:t>
      </w:r>
      <w:r w:rsidR="00FE25CD" w:rsidRPr="00DF433D">
        <w:rPr>
          <w:rFonts w:ascii="Verdana" w:hAnsi="Verdana"/>
          <w:bCs/>
          <w:sz w:val="20"/>
          <w:szCs w:val="20"/>
          <w:lang w:val="es-ES"/>
        </w:rPr>
        <w:t>(iii) también se establece la atención médica inmediata y especializada para los habitantes de La Oroya que sufran síntomas o enfermedades derivadas de la contaminación</w:t>
      </w:r>
      <w:r w:rsidR="00F83C6E">
        <w:rPr>
          <w:rFonts w:ascii="Verdana" w:hAnsi="Verdana"/>
          <w:bCs/>
          <w:sz w:val="20"/>
          <w:szCs w:val="20"/>
          <w:lang w:val="es-ES"/>
        </w:rPr>
        <w:t>,</w:t>
      </w:r>
      <w:r w:rsidR="00FE25CD" w:rsidRPr="00DF433D">
        <w:rPr>
          <w:rFonts w:ascii="Verdana" w:hAnsi="Verdana"/>
          <w:bCs/>
          <w:sz w:val="20"/>
          <w:szCs w:val="20"/>
          <w:lang w:val="es-ES"/>
        </w:rPr>
        <w:t xml:space="preserve"> y (iv) la creación de un Fondo de Asistencia para tratamientos médicos fuera de la ciudad de La Oroya</w:t>
      </w:r>
      <w:r w:rsidR="00143CBF" w:rsidRPr="00DF433D">
        <w:rPr>
          <w:rStyle w:val="Refdenotaalpie"/>
          <w:rFonts w:ascii="Verdana" w:hAnsi="Verdana"/>
          <w:bCs/>
          <w:sz w:val="20"/>
          <w:szCs w:val="20"/>
          <w:lang w:val="pt-BR"/>
        </w:rPr>
        <w:footnoteReference w:id="83"/>
      </w:r>
      <w:r w:rsidR="00013092" w:rsidRPr="00DF433D">
        <w:rPr>
          <w:rFonts w:ascii="Verdana" w:hAnsi="Verdana"/>
          <w:bCs/>
          <w:sz w:val="20"/>
          <w:szCs w:val="20"/>
          <w:lang w:val="es-ES"/>
        </w:rPr>
        <w:t>.</w:t>
      </w:r>
    </w:p>
    <w:p w14:paraId="7FC4762D" w14:textId="77777777" w:rsidR="00143CBF" w:rsidRPr="00DF433D" w:rsidRDefault="00143CBF" w:rsidP="004D6FD8">
      <w:pPr>
        <w:rPr>
          <w:rFonts w:ascii="Verdana" w:hAnsi="Verdana"/>
          <w:bCs/>
          <w:sz w:val="20"/>
          <w:szCs w:val="20"/>
          <w:lang w:val="es-ES"/>
        </w:rPr>
      </w:pPr>
    </w:p>
    <w:p w14:paraId="6D42EE9F" w14:textId="565CB80E" w:rsidR="003E5765" w:rsidRPr="006C3606" w:rsidRDefault="00783415" w:rsidP="00783415">
      <w:pPr>
        <w:pStyle w:val="Prrafodelista"/>
        <w:ind w:left="0"/>
        <w:jc w:val="both"/>
        <w:rPr>
          <w:rFonts w:ascii="Verdana" w:hAnsi="Verdana"/>
          <w:bCs/>
          <w:sz w:val="20"/>
          <w:szCs w:val="20"/>
          <w:lang w:val="es-ES"/>
        </w:rPr>
      </w:pPr>
      <w:r>
        <w:rPr>
          <w:rFonts w:ascii="Verdana" w:hAnsi="Verdana"/>
          <w:bCs/>
          <w:sz w:val="20"/>
          <w:szCs w:val="20"/>
          <w:lang w:val="es-ES"/>
        </w:rPr>
        <w:t xml:space="preserve">68. </w:t>
      </w:r>
      <w:r>
        <w:rPr>
          <w:rFonts w:ascii="Verdana" w:hAnsi="Verdana"/>
          <w:bCs/>
          <w:sz w:val="20"/>
          <w:szCs w:val="20"/>
          <w:lang w:val="es-ES"/>
        </w:rPr>
        <w:tab/>
      </w:r>
      <w:r w:rsidR="006C3606" w:rsidRPr="00DF433D">
        <w:rPr>
          <w:rFonts w:ascii="Verdana" w:hAnsi="Verdana"/>
          <w:bCs/>
          <w:sz w:val="20"/>
          <w:szCs w:val="20"/>
          <w:lang w:val="es-ES"/>
        </w:rPr>
        <w:t xml:space="preserve">En cuanto a las actividades de CMLO, las medidas de no repetición estipulan que las operaciones de la empresa deben cumplir </w:t>
      </w:r>
      <w:r w:rsidR="00753DB7" w:rsidRPr="00DF433D">
        <w:rPr>
          <w:rFonts w:ascii="Verdana" w:hAnsi="Verdana"/>
          <w:bCs/>
          <w:sz w:val="20"/>
          <w:szCs w:val="20"/>
          <w:lang w:val="es-ES"/>
        </w:rPr>
        <w:t xml:space="preserve">los </w:t>
      </w:r>
      <w:r w:rsidR="005A23B9" w:rsidRPr="00DF433D">
        <w:rPr>
          <w:rFonts w:ascii="Verdana" w:hAnsi="Verdana"/>
          <w:bCs/>
          <w:sz w:val="20"/>
          <w:szCs w:val="20"/>
          <w:lang w:val="es-ES"/>
        </w:rPr>
        <w:t>parámetros</w:t>
      </w:r>
      <w:r w:rsidR="006C3606" w:rsidRPr="00DF433D">
        <w:rPr>
          <w:rFonts w:ascii="Verdana" w:hAnsi="Verdana"/>
          <w:bCs/>
          <w:i/>
          <w:iCs/>
          <w:sz w:val="20"/>
          <w:szCs w:val="20"/>
          <w:lang w:val="es-ES"/>
        </w:rPr>
        <w:t xml:space="preserve"> </w:t>
      </w:r>
      <w:r w:rsidR="006C3606" w:rsidRPr="00DF433D">
        <w:rPr>
          <w:rFonts w:ascii="Verdana" w:hAnsi="Verdana"/>
          <w:bCs/>
          <w:sz w:val="20"/>
          <w:szCs w:val="20"/>
          <w:lang w:val="es-ES"/>
        </w:rPr>
        <w:t>medioambientales internacionales y estar supervisadas por un plan de compensación medioambiental en vista de los daños ya causados</w:t>
      </w:r>
      <w:r w:rsidR="00143CBF" w:rsidRPr="00DF433D">
        <w:rPr>
          <w:rStyle w:val="Refdenotaalpie"/>
          <w:rFonts w:ascii="Verdana" w:hAnsi="Verdana"/>
          <w:bCs/>
          <w:sz w:val="20"/>
          <w:szCs w:val="20"/>
          <w:lang w:val="pt-BR"/>
        </w:rPr>
        <w:footnoteReference w:id="84"/>
      </w:r>
      <w:r w:rsidR="00143CBF" w:rsidRPr="00DF433D">
        <w:rPr>
          <w:rFonts w:ascii="Verdana" w:hAnsi="Verdana"/>
          <w:bCs/>
          <w:sz w:val="20"/>
          <w:szCs w:val="20"/>
          <w:lang w:val="es-ES"/>
        </w:rPr>
        <w:t>.</w:t>
      </w:r>
      <w:r w:rsidR="006C3606" w:rsidRPr="00DF433D">
        <w:rPr>
          <w:rFonts w:ascii="Verdana" w:hAnsi="Verdana"/>
          <w:bCs/>
          <w:sz w:val="20"/>
          <w:szCs w:val="20"/>
          <w:lang w:val="es-ES"/>
        </w:rPr>
        <w:t xml:space="preserve"> En cuanto a la administración pública, la sentencia prevé un plan de formación permanente para las autoridades públicas</w:t>
      </w:r>
      <w:r w:rsidR="00961580" w:rsidRPr="00DF433D">
        <w:rPr>
          <w:rStyle w:val="Refdenotaalpie"/>
          <w:rFonts w:ascii="Verdana" w:hAnsi="Verdana"/>
          <w:bCs/>
          <w:sz w:val="20"/>
          <w:szCs w:val="20"/>
          <w:lang w:val="pt-BR"/>
        </w:rPr>
        <w:footnoteReference w:id="85"/>
      </w:r>
      <w:r w:rsidR="006062F4" w:rsidRPr="00DF433D">
        <w:rPr>
          <w:rStyle w:val="Refdenotaalpie"/>
          <w:rFonts w:ascii="Verdana" w:hAnsi="Verdana"/>
          <w:bCs/>
          <w:sz w:val="20"/>
          <w:szCs w:val="20"/>
          <w:lang w:val="es-ES"/>
        </w:rPr>
        <w:t xml:space="preserve"> </w:t>
      </w:r>
      <w:r w:rsidR="006C3606" w:rsidRPr="00DF433D">
        <w:rPr>
          <w:rFonts w:ascii="Verdana" w:hAnsi="Verdana"/>
          <w:bCs/>
          <w:sz w:val="20"/>
          <w:szCs w:val="20"/>
          <w:lang w:val="es-ES"/>
        </w:rPr>
        <w:t>y un sistema de información con datos actualizados sobre la calidad del aire y las zonas contaminadas</w:t>
      </w:r>
      <w:r w:rsidR="006C3606" w:rsidRPr="00DF433D">
        <w:rPr>
          <w:rStyle w:val="Refdenotaalpie"/>
          <w:rFonts w:ascii="Verdana" w:hAnsi="Verdana"/>
          <w:bCs/>
          <w:sz w:val="20"/>
          <w:szCs w:val="20"/>
          <w:lang w:val="pt-BR"/>
        </w:rPr>
        <w:footnoteReference w:id="86"/>
      </w:r>
      <w:r w:rsidR="006C3606" w:rsidRPr="00DF433D">
        <w:rPr>
          <w:rFonts w:ascii="Verdana" w:hAnsi="Verdana"/>
          <w:bCs/>
          <w:sz w:val="20"/>
          <w:szCs w:val="20"/>
          <w:lang w:val="es-ES"/>
        </w:rPr>
        <w:t>. Por último, el Tribunal establece un plan de reubicación para los habitantes de La Oroya que deseen abandonar la ciudad debido a los riesgos medioambientales derivados de la contaminación</w:t>
      </w:r>
      <w:r w:rsidR="00961580" w:rsidRPr="00DF433D">
        <w:rPr>
          <w:rStyle w:val="Refdenotaalpie"/>
          <w:rFonts w:ascii="Verdana" w:hAnsi="Verdana"/>
          <w:bCs/>
          <w:sz w:val="20"/>
          <w:szCs w:val="20"/>
          <w:lang w:val="pt-BR"/>
        </w:rPr>
        <w:footnoteReference w:id="87"/>
      </w:r>
      <w:r w:rsidR="00961580" w:rsidRPr="00DF433D">
        <w:rPr>
          <w:rFonts w:ascii="Verdana" w:hAnsi="Verdana"/>
          <w:bCs/>
          <w:sz w:val="20"/>
          <w:szCs w:val="20"/>
          <w:lang w:val="es-ES"/>
        </w:rPr>
        <w:t>.</w:t>
      </w:r>
      <w:r w:rsidR="006C3606" w:rsidRPr="00DF433D">
        <w:rPr>
          <w:rFonts w:ascii="Verdana" w:hAnsi="Verdana"/>
          <w:bCs/>
          <w:sz w:val="20"/>
          <w:szCs w:val="20"/>
          <w:lang w:val="es-ES"/>
        </w:rPr>
        <w:t xml:space="preserve"> El impacto colectivo</w:t>
      </w:r>
      <w:r w:rsidR="006C3606" w:rsidRPr="007E2DAF">
        <w:rPr>
          <w:rFonts w:ascii="Verdana" w:hAnsi="Verdana"/>
          <w:bCs/>
          <w:sz w:val="20"/>
          <w:szCs w:val="20"/>
          <w:lang w:val="es-ES"/>
        </w:rPr>
        <w:t xml:space="preserve"> de las medidas de reparación es proporcional a la magnitud </w:t>
      </w:r>
      <w:r w:rsidR="00152AF9">
        <w:rPr>
          <w:rFonts w:ascii="Verdana" w:hAnsi="Verdana"/>
          <w:bCs/>
          <w:sz w:val="20"/>
          <w:szCs w:val="20"/>
          <w:lang w:val="es-ES"/>
        </w:rPr>
        <w:t>de</w:t>
      </w:r>
      <w:r w:rsidR="006C3606" w:rsidRPr="007E2DAF">
        <w:rPr>
          <w:rFonts w:ascii="Verdana" w:hAnsi="Verdana"/>
          <w:bCs/>
          <w:sz w:val="20"/>
          <w:szCs w:val="20"/>
          <w:lang w:val="es-ES"/>
        </w:rPr>
        <w:t xml:space="preserve"> </w:t>
      </w:r>
      <w:r w:rsidR="006062F4">
        <w:rPr>
          <w:rFonts w:ascii="Verdana" w:hAnsi="Verdana"/>
          <w:bCs/>
          <w:sz w:val="20"/>
          <w:szCs w:val="20"/>
          <w:lang w:val="es-ES"/>
        </w:rPr>
        <w:t xml:space="preserve">la </w:t>
      </w:r>
      <w:r w:rsidR="006C3606" w:rsidRPr="007E2DAF">
        <w:rPr>
          <w:rFonts w:ascii="Verdana" w:hAnsi="Verdana"/>
          <w:bCs/>
          <w:sz w:val="20"/>
          <w:szCs w:val="20"/>
          <w:lang w:val="es-ES"/>
        </w:rPr>
        <w:t>irreversibilidad de los daños causados por las actividades del CMLO durante más de cien años</w:t>
      </w:r>
      <w:r w:rsidR="00FC48E3" w:rsidRPr="006C3606">
        <w:rPr>
          <w:rFonts w:ascii="Verdana" w:hAnsi="Verdana"/>
          <w:bCs/>
          <w:sz w:val="20"/>
          <w:szCs w:val="20"/>
          <w:lang w:val="es-ES"/>
        </w:rPr>
        <w:t xml:space="preserve">. </w:t>
      </w:r>
    </w:p>
    <w:p w14:paraId="4186E991" w14:textId="77777777" w:rsidR="00635D90" w:rsidRPr="006C3606" w:rsidRDefault="00635D90" w:rsidP="00503694">
      <w:pPr>
        <w:pStyle w:val="Prrafodelista"/>
        <w:ind w:left="0"/>
        <w:jc w:val="both"/>
        <w:rPr>
          <w:rFonts w:ascii="Verdana" w:hAnsi="Verdana"/>
          <w:bCs/>
          <w:sz w:val="20"/>
          <w:szCs w:val="20"/>
          <w:lang w:val="es-ES"/>
        </w:rPr>
      </w:pPr>
    </w:p>
    <w:p w14:paraId="30523D08" w14:textId="507650CA" w:rsidR="00D373F6" w:rsidRPr="00611BB8" w:rsidRDefault="00783415" w:rsidP="00783415">
      <w:pPr>
        <w:pStyle w:val="Prrafodelista"/>
        <w:ind w:left="0"/>
        <w:jc w:val="both"/>
        <w:rPr>
          <w:rFonts w:ascii="Verdana" w:hAnsi="Verdana"/>
          <w:bCs/>
          <w:sz w:val="20"/>
          <w:szCs w:val="20"/>
          <w:lang w:val="es-ES"/>
        </w:rPr>
      </w:pPr>
      <w:r>
        <w:rPr>
          <w:rFonts w:ascii="Verdana" w:hAnsi="Verdana"/>
          <w:bCs/>
          <w:sz w:val="20"/>
          <w:szCs w:val="20"/>
          <w:lang w:val="es-ES"/>
        </w:rPr>
        <w:t xml:space="preserve">69. </w:t>
      </w:r>
      <w:r>
        <w:rPr>
          <w:rFonts w:ascii="Verdana" w:hAnsi="Verdana"/>
          <w:bCs/>
          <w:sz w:val="20"/>
          <w:szCs w:val="20"/>
          <w:lang w:val="es-ES"/>
        </w:rPr>
        <w:tab/>
      </w:r>
      <w:r w:rsidR="006C3606" w:rsidRPr="007E2DAF">
        <w:rPr>
          <w:rFonts w:ascii="Verdana" w:hAnsi="Verdana"/>
          <w:bCs/>
          <w:sz w:val="20"/>
          <w:szCs w:val="20"/>
          <w:lang w:val="es-ES"/>
        </w:rPr>
        <w:t xml:space="preserve">El establecimiento de medidas de no repetición de alcance colectivo en relación con </w:t>
      </w:r>
      <w:r w:rsidR="00F76B5C">
        <w:rPr>
          <w:rFonts w:ascii="Verdana" w:hAnsi="Verdana"/>
          <w:bCs/>
          <w:sz w:val="20"/>
          <w:szCs w:val="20"/>
          <w:lang w:val="es-ES"/>
        </w:rPr>
        <w:t>los habitantes</w:t>
      </w:r>
      <w:r w:rsidR="006C3606" w:rsidRPr="007E2DAF">
        <w:rPr>
          <w:rFonts w:ascii="Verdana" w:hAnsi="Verdana"/>
          <w:bCs/>
          <w:sz w:val="20"/>
          <w:szCs w:val="20"/>
          <w:lang w:val="es-ES"/>
        </w:rPr>
        <w:t xml:space="preserve"> de La Oroya permite asegurar la efectividad del principio de precaución y del principio de equidad intergeneracional. Así, se crearon mecanismos para contener los daños existentes y trazar el alcance de los riesgos futuros. Según el Informe de Fondo de la Comisión Interamericana, alrededor de 23 de las víctimas eran niños, que se vieron afectados por enfermedades o alteraciones de la salud</w:t>
      </w:r>
      <w:r w:rsidR="009A143B" w:rsidRPr="00C62FB7">
        <w:rPr>
          <w:rStyle w:val="Refdenotaalpie"/>
          <w:rFonts w:ascii="Verdana" w:hAnsi="Verdana"/>
          <w:bCs/>
          <w:sz w:val="20"/>
          <w:szCs w:val="20"/>
          <w:lang w:val="pt-BR"/>
        </w:rPr>
        <w:footnoteReference w:id="88"/>
      </w:r>
      <w:r w:rsidR="00611BB8" w:rsidRPr="007E2DAF">
        <w:rPr>
          <w:rFonts w:ascii="Verdana" w:hAnsi="Verdana"/>
          <w:bCs/>
          <w:sz w:val="20"/>
          <w:szCs w:val="20"/>
          <w:lang w:val="es-ES"/>
        </w:rPr>
        <w:t xml:space="preserve">. Una de ellas tenía 14 años cuando se le diagnosticó cáncer como consecuencia de la contaminación ambiental y falleció. El impacto agravado en la vida de </w:t>
      </w:r>
      <w:r w:rsidR="00152AF9">
        <w:rPr>
          <w:rFonts w:ascii="Verdana" w:hAnsi="Verdana"/>
          <w:bCs/>
          <w:sz w:val="20"/>
          <w:szCs w:val="20"/>
          <w:lang w:val="es-ES"/>
        </w:rPr>
        <w:t xml:space="preserve">las </w:t>
      </w:r>
      <w:r w:rsidR="00152AF9" w:rsidRPr="00B854B6">
        <w:rPr>
          <w:rFonts w:ascii="Verdana" w:hAnsi="Verdana"/>
          <w:bCs/>
          <w:sz w:val="20"/>
          <w:szCs w:val="20"/>
          <w:lang w:val="es-ES"/>
        </w:rPr>
        <w:t xml:space="preserve">niñas, </w:t>
      </w:r>
      <w:r w:rsidR="00611BB8" w:rsidRPr="00B854B6">
        <w:rPr>
          <w:rFonts w:ascii="Verdana" w:hAnsi="Verdana"/>
          <w:bCs/>
          <w:sz w:val="20"/>
          <w:szCs w:val="20"/>
          <w:lang w:val="es-ES"/>
        </w:rPr>
        <w:t>niños</w:t>
      </w:r>
      <w:r w:rsidR="00611BB8" w:rsidRPr="007E2DAF">
        <w:rPr>
          <w:rFonts w:ascii="Verdana" w:hAnsi="Verdana"/>
          <w:bCs/>
          <w:sz w:val="20"/>
          <w:szCs w:val="20"/>
          <w:lang w:val="es-ES"/>
        </w:rPr>
        <w:t xml:space="preserve"> y adolescentes hace que las medidas de no repetición deban ser preventivas y no meramente paliativas de los daños ya causados</w:t>
      </w:r>
      <w:r w:rsidR="00EF4CDC" w:rsidRPr="00611BB8">
        <w:rPr>
          <w:rFonts w:ascii="Verdana" w:hAnsi="Verdana"/>
          <w:bCs/>
          <w:sz w:val="20"/>
          <w:szCs w:val="20"/>
          <w:lang w:val="es-ES"/>
        </w:rPr>
        <w:t xml:space="preserve">. </w:t>
      </w:r>
    </w:p>
    <w:p w14:paraId="41C9DC8A" w14:textId="77777777" w:rsidR="007F44CF" w:rsidRPr="00611BB8" w:rsidRDefault="007F44CF" w:rsidP="007F44CF">
      <w:pPr>
        <w:pStyle w:val="Prrafodelista"/>
        <w:rPr>
          <w:rFonts w:ascii="Verdana" w:hAnsi="Verdana"/>
          <w:bCs/>
          <w:sz w:val="20"/>
          <w:szCs w:val="20"/>
          <w:lang w:val="es-ES"/>
        </w:rPr>
      </w:pPr>
    </w:p>
    <w:p w14:paraId="651ADFDA" w14:textId="2AFE76C8" w:rsidR="00611BB8" w:rsidRPr="007E2DAF" w:rsidRDefault="00783415" w:rsidP="001F1C97">
      <w:pPr>
        <w:pStyle w:val="Prrafodelista"/>
        <w:ind w:left="0"/>
        <w:jc w:val="both"/>
        <w:rPr>
          <w:rFonts w:ascii="Verdana" w:hAnsi="Verdana"/>
          <w:bCs/>
          <w:sz w:val="20"/>
          <w:szCs w:val="20"/>
          <w:lang w:val="es-ES"/>
        </w:rPr>
      </w:pPr>
      <w:r>
        <w:rPr>
          <w:rFonts w:ascii="Verdana" w:hAnsi="Verdana"/>
          <w:bCs/>
          <w:sz w:val="20"/>
          <w:szCs w:val="20"/>
          <w:lang w:val="es-ES"/>
        </w:rPr>
        <w:t xml:space="preserve">70. </w:t>
      </w:r>
      <w:r>
        <w:rPr>
          <w:rFonts w:ascii="Verdana" w:hAnsi="Verdana"/>
          <w:bCs/>
          <w:sz w:val="20"/>
          <w:szCs w:val="20"/>
          <w:lang w:val="es-ES"/>
        </w:rPr>
        <w:tab/>
      </w:r>
      <w:r w:rsidR="00611BB8" w:rsidRPr="007E2DAF">
        <w:rPr>
          <w:rFonts w:ascii="Verdana" w:hAnsi="Verdana"/>
          <w:bCs/>
          <w:sz w:val="20"/>
          <w:szCs w:val="20"/>
          <w:lang w:val="es-ES"/>
        </w:rPr>
        <w:t xml:space="preserve">Los fundamentos que guían la sentencia tienen en cuenta el impacto colectivo de los daños ambientales y establecen medidas de no repetición capaces de reducir los riesgos para las generaciones futuras. En este sentido, en la actual etapa de desarrollo jurisprudencial sobre derechos económicos, sociales, culturales y ambientales, el caso </w:t>
      </w:r>
      <w:r w:rsidR="00F76B5C">
        <w:rPr>
          <w:rFonts w:ascii="Verdana" w:hAnsi="Verdana"/>
          <w:bCs/>
          <w:i/>
          <w:iCs/>
          <w:sz w:val="20"/>
          <w:szCs w:val="20"/>
          <w:lang w:val="es-ES"/>
        </w:rPr>
        <w:t xml:space="preserve">Habitantes de </w:t>
      </w:r>
      <w:r w:rsidR="006F7F0F">
        <w:rPr>
          <w:rFonts w:ascii="Verdana" w:hAnsi="Verdana"/>
          <w:bCs/>
          <w:i/>
          <w:iCs/>
          <w:sz w:val="20"/>
          <w:szCs w:val="20"/>
          <w:lang w:val="es-ES"/>
        </w:rPr>
        <w:t>L</w:t>
      </w:r>
      <w:r w:rsidR="00F76B5C">
        <w:rPr>
          <w:rFonts w:ascii="Verdana" w:hAnsi="Verdana"/>
          <w:bCs/>
          <w:i/>
          <w:iCs/>
          <w:sz w:val="20"/>
          <w:szCs w:val="20"/>
          <w:lang w:val="es-ES"/>
        </w:rPr>
        <w:t>a</w:t>
      </w:r>
      <w:r w:rsidR="00611BB8" w:rsidRPr="007E2DAF">
        <w:rPr>
          <w:rFonts w:ascii="Verdana" w:hAnsi="Verdana"/>
          <w:bCs/>
          <w:i/>
          <w:iCs/>
          <w:sz w:val="20"/>
          <w:szCs w:val="20"/>
          <w:lang w:val="es-ES"/>
        </w:rPr>
        <w:t xml:space="preserve"> Oroya vs. Perú </w:t>
      </w:r>
      <w:r w:rsidR="00611BB8" w:rsidRPr="00FB390D">
        <w:rPr>
          <w:rFonts w:ascii="Verdana" w:hAnsi="Verdana"/>
          <w:bCs/>
          <w:sz w:val="20"/>
          <w:szCs w:val="20"/>
          <w:lang w:val="es-ES"/>
        </w:rPr>
        <w:t>es</w:t>
      </w:r>
      <w:r w:rsidR="00611BB8" w:rsidRPr="007E2DAF">
        <w:rPr>
          <w:rFonts w:ascii="Verdana" w:hAnsi="Verdana"/>
          <w:bCs/>
          <w:i/>
          <w:iCs/>
          <w:sz w:val="20"/>
          <w:szCs w:val="20"/>
          <w:lang w:val="es-ES"/>
        </w:rPr>
        <w:t xml:space="preserve"> </w:t>
      </w:r>
      <w:r w:rsidR="00611BB8" w:rsidRPr="007E2DAF">
        <w:rPr>
          <w:rFonts w:ascii="Verdana" w:hAnsi="Verdana"/>
          <w:bCs/>
          <w:sz w:val="20"/>
          <w:szCs w:val="20"/>
          <w:lang w:val="es-ES"/>
        </w:rPr>
        <w:t xml:space="preserve">una importante fuente de </w:t>
      </w:r>
      <w:r w:rsidR="00611BB8" w:rsidRPr="006062F4">
        <w:rPr>
          <w:rFonts w:ascii="Verdana" w:hAnsi="Verdana"/>
          <w:bCs/>
          <w:sz w:val="20"/>
          <w:szCs w:val="20"/>
          <w:lang w:val="es-ES"/>
        </w:rPr>
        <w:t>estándares</w:t>
      </w:r>
      <w:r w:rsidR="00611BB8" w:rsidRPr="007E2DAF">
        <w:rPr>
          <w:rFonts w:ascii="Verdana" w:hAnsi="Verdana"/>
          <w:bCs/>
          <w:i/>
          <w:iCs/>
          <w:sz w:val="20"/>
          <w:szCs w:val="20"/>
          <w:lang w:val="es-ES"/>
        </w:rPr>
        <w:t xml:space="preserve"> </w:t>
      </w:r>
      <w:r w:rsidR="00611BB8" w:rsidRPr="007E2DAF">
        <w:rPr>
          <w:rFonts w:ascii="Verdana" w:hAnsi="Verdana"/>
          <w:bCs/>
          <w:sz w:val="20"/>
          <w:szCs w:val="20"/>
          <w:lang w:val="es-ES"/>
        </w:rPr>
        <w:t xml:space="preserve">para los Estados en relación con sus obligaciones de asegurar condiciones equitativas de desarrollo frente al cambio climático. </w:t>
      </w:r>
    </w:p>
    <w:p w14:paraId="66BED9AE" w14:textId="695BC2F6" w:rsidR="009D1D1D" w:rsidRPr="00B67326" w:rsidRDefault="005B741D" w:rsidP="00B67326">
      <w:pPr>
        <w:pStyle w:val="Prrafodelista"/>
        <w:ind w:left="0"/>
        <w:jc w:val="both"/>
        <w:rPr>
          <w:rFonts w:ascii="Verdana" w:hAnsi="Verdana"/>
          <w:bCs/>
          <w:sz w:val="20"/>
          <w:szCs w:val="20"/>
          <w:lang w:val="es-419"/>
        </w:rPr>
      </w:pPr>
      <w:r w:rsidRPr="002A1B62">
        <w:rPr>
          <w:rFonts w:ascii="Verdana" w:hAnsi="Verdana"/>
          <w:bCs/>
          <w:sz w:val="20"/>
          <w:szCs w:val="20"/>
          <w:lang w:val="es-419"/>
        </w:rPr>
        <w:t xml:space="preserve"> </w:t>
      </w:r>
    </w:p>
    <w:p w14:paraId="494D7AAC" w14:textId="6ABFADFC" w:rsidR="00ED3E9D" w:rsidRDefault="009D1D1D" w:rsidP="009D1D1D">
      <w:pPr>
        <w:pStyle w:val="Prrafodelista"/>
        <w:ind w:left="0"/>
        <w:jc w:val="center"/>
        <w:rPr>
          <w:rFonts w:ascii="Verdana" w:hAnsi="Verdana"/>
          <w:b/>
          <w:sz w:val="20"/>
          <w:szCs w:val="20"/>
          <w:lang w:val="es-ES"/>
        </w:rPr>
      </w:pPr>
      <w:r w:rsidRPr="000430E4">
        <w:rPr>
          <w:rFonts w:ascii="Verdana" w:hAnsi="Verdana"/>
          <w:b/>
          <w:sz w:val="20"/>
          <w:szCs w:val="20"/>
          <w:lang w:val="es-ES"/>
        </w:rPr>
        <w:t xml:space="preserve">V. </w:t>
      </w:r>
      <w:r w:rsidR="00ED3E9D">
        <w:rPr>
          <w:rFonts w:ascii="Verdana" w:hAnsi="Verdana"/>
          <w:b/>
          <w:sz w:val="20"/>
          <w:szCs w:val="20"/>
          <w:lang w:val="es-ES"/>
        </w:rPr>
        <w:t xml:space="preserve">EL CARÁCTER DE </w:t>
      </w:r>
      <w:r w:rsidR="00ED3E9D" w:rsidRPr="00ED3E9D">
        <w:rPr>
          <w:rFonts w:ascii="Verdana" w:hAnsi="Verdana"/>
          <w:b/>
          <w:i/>
          <w:iCs/>
          <w:sz w:val="20"/>
          <w:szCs w:val="20"/>
          <w:lang w:val="es-ES"/>
        </w:rPr>
        <w:t>JUS COGENS</w:t>
      </w:r>
      <w:r w:rsidR="00ED3E9D">
        <w:rPr>
          <w:rFonts w:ascii="Verdana" w:hAnsi="Verdana"/>
          <w:b/>
          <w:sz w:val="20"/>
          <w:szCs w:val="20"/>
          <w:lang w:val="es-ES"/>
        </w:rPr>
        <w:t xml:space="preserve"> DE LA PROTECCIÓN DEL MEDIO AMBIENTE Y EL PRINCIPIO DE EQUIDAD INTERGENERACIONAL</w:t>
      </w:r>
    </w:p>
    <w:p w14:paraId="372D1EF4" w14:textId="77777777" w:rsidR="00301678" w:rsidRPr="000430E4" w:rsidRDefault="00301678" w:rsidP="009D1D1D">
      <w:pPr>
        <w:pStyle w:val="Prrafodelista"/>
        <w:ind w:left="0"/>
        <w:jc w:val="center"/>
        <w:rPr>
          <w:rFonts w:ascii="Verdana" w:hAnsi="Verdana"/>
          <w:b/>
          <w:sz w:val="20"/>
          <w:szCs w:val="20"/>
          <w:lang w:val="es-ES"/>
        </w:rPr>
      </w:pPr>
    </w:p>
    <w:p w14:paraId="637CF73D" w14:textId="77777777" w:rsidR="00E35190" w:rsidRDefault="00E35190" w:rsidP="00E35190">
      <w:pPr>
        <w:pStyle w:val="Prrafodelista"/>
        <w:numPr>
          <w:ilvl w:val="0"/>
          <w:numId w:val="27"/>
        </w:numPr>
        <w:rPr>
          <w:rFonts w:ascii="Verdana" w:eastAsia="Verdana" w:hAnsi="Verdana" w:cs="Verdana"/>
          <w:sz w:val="20"/>
          <w:szCs w:val="20"/>
          <w:u w:val="single"/>
          <w:lang w:val="es-ES"/>
        </w:rPr>
      </w:pPr>
      <w:r w:rsidRPr="00C67F66">
        <w:rPr>
          <w:rFonts w:ascii="Verdana" w:eastAsia="Verdana" w:hAnsi="Verdana" w:cs="Verdana"/>
          <w:sz w:val="20"/>
          <w:szCs w:val="20"/>
          <w:u w:val="single"/>
          <w:lang w:val="es-ES"/>
        </w:rPr>
        <w:t>La protección del medio ambiente como norma imperativa de derecho internacional (</w:t>
      </w:r>
      <w:r w:rsidRPr="00726D0A">
        <w:rPr>
          <w:rFonts w:ascii="Verdana" w:eastAsia="Verdana" w:hAnsi="Verdana" w:cs="Verdana"/>
          <w:i/>
          <w:iCs/>
          <w:sz w:val="20"/>
          <w:szCs w:val="20"/>
          <w:u w:val="single"/>
          <w:lang w:val="es-ES"/>
        </w:rPr>
        <w:t>jus cogens</w:t>
      </w:r>
      <w:r w:rsidRPr="00C67F66">
        <w:rPr>
          <w:rFonts w:ascii="Verdana" w:eastAsia="Verdana" w:hAnsi="Verdana" w:cs="Verdana"/>
          <w:sz w:val="20"/>
          <w:szCs w:val="20"/>
          <w:u w:val="single"/>
          <w:lang w:val="es-ES"/>
        </w:rPr>
        <w:t>)</w:t>
      </w:r>
    </w:p>
    <w:p w14:paraId="4C25BF25" w14:textId="77777777" w:rsidR="00E35190" w:rsidRPr="00A63D64" w:rsidRDefault="00E35190" w:rsidP="00E35190">
      <w:pPr>
        <w:pStyle w:val="Prrafodelista"/>
        <w:ind w:left="1080"/>
        <w:rPr>
          <w:rFonts w:ascii="Verdana" w:eastAsia="Verdana" w:hAnsi="Verdana" w:cs="Verdana"/>
          <w:sz w:val="20"/>
          <w:szCs w:val="20"/>
          <w:u w:val="single"/>
          <w:lang w:val="es-ES"/>
        </w:rPr>
      </w:pPr>
    </w:p>
    <w:p w14:paraId="5F22BC11" w14:textId="054A2531" w:rsidR="00E35190" w:rsidRDefault="00783415" w:rsidP="00783415">
      <w:pPr>
        <w:pStyle w:val="Prrafodelista"/>
        <w:ind w:left="0"/>
        <w:jc w:val="both"/>
        <w:rPr>
          <w:rFonts w:ascii="Verdana" w:hAnsi="Verdana"/>
          <w:sz w:val="20"/>
          <w:szCs w:val="20"/>
          <w:lang w:val="es-ES"/>
        </w:rPr>
      </w:pPr>
      <w:r>
        <w:rPr>
          <w:rFonts w:ascii="Verdana" w:hAnsi="Verdana"/>
          <w:sz w:val="20"/>
          <w:szCs w:val="20"/>
          <w:lang w:val="es-ES"/>
        </w:rPr>
        <w:t xml:space="preserve">71. </w:t>
      </w:r>
      <w:r>
        <w:rPr>
          <w:rFonts w:ascii="Verdana" w:hAnsi="Verdana"/>
          <w:sz w:val="20"/>
          <w:szCs w:val="20"/>
          <w:lang w:val="es-ES"/>
        </w:rPr>
        <w:tab/>
      </w:r>
      <w:r w:rsidR="00E35190" w:rsidRPr="00F05E66">
        <w:rPr>
          <w:rFonts w:ascii="Verdana" w:hAnsi="Verdana"/>
          <w:sz w:val="20"/>
          <w:szCs w:val="20"/>
          <w:lang w:val="es-ES"/>
        </w:rPr>
        <w:t>La sentencia reconoce la trascendencia de la obligación internacional de protección del medio ambiente contra actos que causen “daños graves, extensos, duraderos e irreversibles al medio ambiente en un escenario de crisis climática que atenta contra la supervivencia de las especies”</w:t>
      </w:r>
      <w:r w:rsidR="00E35190">
        <w:rPr>
          <w:rStyle w:val="Refdenotaalpie"/>
          <w:rFonts w:ascii="Verdana" w:eastAsiaTheme="majorEastAsia" w:hAnsi="Verdana"/>
          <w:sz w:val="20"/>
          <w:szCs w:val="20"/>
          <w:lang w:val="es-ES"/>
        </w:rPr>
        <w:footnoteReference w:id="89"/>
      </w:r>
      <w:r w:rsidR="00E35190" w:rsidRPr="00F05E66">
        <w:rPr>
          <w:rFonts w:ascii="Verdana" w:hAnsi="Verdana"/>
          <w:sz w:val="20"/>
          <w:szCs w:val="20"/>
          <w:lang w:val="es-ES"/>
        </w:rPr>
        <w:t xml:space="preserve"> y, en este sentido, refiere a su reconocimiento progresivo como una norma imperativa de derecho internacional</w:t>
      </w:r>
      <w:r w:rsidR="00E35190">
        <w:rPr>
          <w:rFonts w:ascii="Verdana" w:hAnsi="Verdana"/>
          <w:sz w:val="20"/>
          <w:szCs w:val="20"/>
          <w:lang w:val="es-ES"/>
        </w:rPr>
        <w:t xml:space="preserve"> (</w:t>
      </w:r>
      <w:r w:rsidR="00E35190" w:rsidRPr="00B854B6">
        <w:rPr>
          <w:rFonts w:ascii="Verdana" w:hAnsi="Verdana"/>
          <w:i/>
          <w:iCs/>
          <w:sz w:val="20"/>
          <w:szCs w:val="20"/>
          <w:lang w:val="es-ES"/>
        </w:rPr>
        <w:t>jus cogens</w:t>
      </w:r>
      <w:r w:rsidR="00E35190">
        <w:rPr>
          <w:rFonts w:ascii="Verdana" w:hAnsi="Verdana"/>
          <w:sz w:val="20"/>
          <w:szCs w:val="20"/>
          <w:lang w:val="es-ES"/>
        </w:rPr>
        <w:t>)</w:t>
      </w:r>
      <w:r w:rsidR="00E35190" w:rsidRPr="00F05E66">
        <w:rPr>
          <w:rFonts w:ascii="Verdana" w:hAnsi="Verdana"/>
          <w:sz w:val="20"/>
          <w:szCs w:val="20"/>
          <w:lang w:val="es-ES"/>
        </w:rPr>
        <w:t xml:space="preserve"> por parte de la comunidad internacional; teniendo en cuenta tanto el interés de las generaciones presentes y futuras, así como su importancia para la supervivencia de la humanidad. Estimamos importante ahondar en la consideración de la obligación de protección del medio ambiente como una norma de </w:t>
      </w:r>
      <w:r w:rsidR="00E35190" w:rsidRPr="00726D0A">
        <w:rPr>
          <w:rFonts w:ascii="Verdana" w:hAnsi="Verdana"/>
          <w:i/>
          <w:iCs/>
          <w:sz w:val="20"/>
          <w:szCs w:val="20"/>
          <w:lang w:val="es-ES"/>
        </w:rPr>
        <w:t>jus cogens</w:t>
      </w:r>
      <w:r w:rsidR="00E35190">
        <w:rPr>
          <w:rFonts w:ascii="Verdana" w:hAnsi="Verdana"/>
          <w:sz w:val="20"/>
          <w:szCs w:val="20"/>
          <w:lang w:val="es-ES"/>
        </w:rPr>
        <w:t>, en tanto éste constituye uno de los primeros pronunciamientos jurisprudenciales en este sentido</w:t>
      </w:r>
      <w:r w:rsidR="00E35190" w:rsidRPr="00F05E66">
        <w:rPr>
          <w:rFonts w:ascii="Verdana" w:hAnsi="Verdana"/>
          <w:sz w:val="20"/>
          <w:szCs w:val="20"/>
          <w:lang w:val="es-ES"/>
        </w:rPr>
        <w:t>.</w:t>
      </w:r>
      <w:r w:rsidR="00E35190">
        <w:rPr>
          <w:rFonts w:ascii="Verdana" w:hAnsi="Verdana"/>
          <w:sz w:val="20"/>
          <w:szCs w:val="20"/>
          <w:lang w:val="es-ES"/>
        </w:rPr>
        <w:t xml:space="preserve"> </w:t>
      </w:r>
      <w:r w:rsidR="00E35190" w:rsidRPr="00BC29B0">
        <w:rPr>
          <w:rFonts w:ascii="Verdana" w:hAnsi="Verdana"/>
          <w:sz w:val="20"/>
          <w:szCs w:val="20"/>
          <w:lang w:val="es-ES"/>
        </w:rPr>
        <w:t>Profundizaremos en esta afirmación que consideramos de gran trascendencia</w:t>
      </w:r>
      <w:r w:rsidR="005D6386">
        <w:rPr>
          <w:rFonts w:ascii="Verdana" w:hAnsi="Verdana"/>
          <w:sz w:val="20"/>
          <w:szCs w:val="20"/>
          <w:lang w:val="es-ES"/>
        </w:rPr>
        <w:t>,</w:t>
      </w:r>
      <w:r w:rsidR="00E35190" w:rsidRPr="00BC29B0">
        <w:rPr>
          <w:rFonts w:ascii="Verdana" w:hAnsi="Verdana"/>
          <w:sz w:val="20"/>
          <w:szCs w:val="20"/>
          <w:lang w:val="es-ES"/>
        </w:rPr>
        <w:t xml:space="preserve"> en la medida que </w:t>
      </w:r>
      <w:r w:rsidR="000C279D">
        <w:rPr>
          <w:rFonts w:ascii="Verdana" w:hAnsi="Verdana"/>
          <w:sz w:val="20"/>
          <w:szCs w:val="20"/>
          <w:lang w:val="es-ES"/>
        </w:rPr>
        <w:t xml:space="preserve">a nuestro criterio </w:t>
      </w:r>
      <w:r w:rsidR="00E35190" w:rsidRPr="00BC29B0">
        <w:rPr>
          <w:rFonts w:ascii="Verdana" w:hAnsi="Verdana"/>
          <w:sz w:val="20"/>
          <w:szCs w:val="20"/>
          <w:lang w:val="es-ES"/>
        </w:rPr>
        <w:t xml:space="preserve">en el estado actual de evolución del Derecho Internacional la protección del medio ambiente y la obligación de no dañar al mismo tiene el carácter de </w:t>
      </w:r>
      <w:r w:rsidR="00E35190" w:rsidRPr="00B854B6">
        <w:rPr>
          <w:rFonts w:ascii="Verdana" w:hAnsi="Verdana"/>
          <w:i/>
          <w:iCs/>
          <w:sz w:val="20"/>
          <w:szCs w:val="20"/>
          <w:lang w:val="es-ES"/>
        </w:rPr>
        <w:t>jus cogens</w:t>
      </w:r>
      <w:r w:rsidR="00E35190" w:rsidRPr="00BC29B0">
        <w:rPr>
          <w:rFonts w:ascii="Verdana" w:hAnsi="Verdana"/>
          <w:sz w:val="20"/>
          <w:szCs w:val="20"/>
          <w:lang w:val="es-ES"/>
        </w:rPr>
        <w:t>, sin perjuicio de ser un proceso en desarrollo permanente por su propia naturaleza.</w:t>
      </w:r>
    </w:p>
    <w:p w14:paraId="5295B8E8" w14:textId="77777777" w:rsidR="00E35190" w:rsidRDefault="00E35190" w:rsidP="00E35190">
      <w:pPr>
        <w:pStyle w:val="Prrafodelista"/>
        <w:ind w:left="0"/>
        <w:jc w:val="both"/>
        <w:rPr>
          <w:rFonts w:ascii="Verdana" w:hAnsi="Verdana"/>
          <w:sz w:val="20"/>
          <w:szCs w:val="20"/>
          <w:lang w:val="es-ES"/>
        </w:rPr>
      </w:pPr>
    </w:p>
    <w:p w14:paraId="54E3893A" w14:textId="740F321B" w:rsidR="00E35190" w:rsidRDefault="00783415" w:rsidP="00783415">
      <w:pPr>
        <w:pStyle w:val="Prrafodelista"/>
        <w:ind w:left="0"/>
        <w:jc w:val="both"/>
        <w:rPr>
          <w:rFonts w:ascii="Verdana" w:hAnsi="Verdana"/>
          <w:sz w:val="20"/>
          <w:szCs w:val="20"/>
          <w:lang w:val="es-ES"/>
        </w:rPr>
      </w:pPr>
      <w:r>
        <w:rPr>
          <w:rFonts w:ascii="Verdana" w:hAnsi="Verdana"/>
          <w:sz w:val="20"/>
          <w:szCs w:val="20"/>
          <w:lang w:val="es-ES"/>
        </w:rPr>
        <w:t xml:space="preserve">72. </w:t>
      </w:r>
      <w:r>
        <w:rPr>
          <w:rFonts w:ascii="Verdana" w:hAnsi="Verdana"/>
          <w:sz w:val="20"/>
          <w:szCs w:val="20"/>
          <w:lang w:val="es-ES"/>
        </w:rPr>
        <w:tab/>
      </w:r>
      <w:r w:rsidR="00E35190">
        <w:rPr>
          <w:rFonts w:ascii="Verdana" w:hAnsi="Verdana"/>
          <w:sz w:val="20"/>
          <w:szCs w:val="20"/>
          <w:lang w:val="es-ES"/>
        </w:rPr>
        <w:t xml:space="preserve">La Corte IDH ya se ha referido al </w:t>
      </w:r>
      <w:r w:rsidR="00E35190" w:rsidRPr="00726D0A">
        <w:rPr>
          <w:rFonts w:ascii="Verdana" w:hAnsi="Verdana"/>
          <w:i/>
          <w:iCs/>
          <w:sz w:val="20"/>
          <w:szCs w:val="20"/>
          <w:lang w:val="es-ES"/>
        </w:rPr>
        <w:t>jus cogens</w:t>
      </w:r>
      <w:r w:rsidR="00E35190">
        <w:rPr>
          <w:rFonts w:ascii="Verdana" w:hAnsi="Verdana"/>
          <w:sz w:val="20"/>
          <w:szCs w:val="20"/>
          <w:lang w:val="es-ES"/>
        </w:rPr>
        <w:t xml:space="preserve"> señalando que “se presenta como la expresión jurídica de la propia comunidad internacional como un todo que, a raíz de su superior valor universal, constituye un conjunto de normas indispensables para la existencia de la comunidad internacional y para garantizar valores esenciales o fundamentales de la persona humana. Esto es, aquellos valores que se relacionan con la vida y la dignidad humana, la paz y la seguridad”</w:t>
      </w:r>
      <w:r w:rsidR="00E35190">
        <w:rPr>
          <w:rStyle w:val="Refdenotaalpie"/>
          <w:rFonts w:ascii="Verdana" w:eastAsiaTheme="majorEastAsia" w:hAnsi="Verdana"/>
          <w:sz w:val="20"/>
          <w:szCs w:val="20"/>
          <w:lang w:val="es-ES"/>
        </w:rPr>
        <w:footnoteReference w:id="90"/>
      </w:r>
      <w:r w:rsidR="00E35190">
        <w:rPr>
          <w:rFonts w:ascii="Verdana" w:hAnsi="Verdana"/>
          <w:sz w:val="20"/>
          <w:szCs w:val="20"/>
          <w:lang w:val="es-ES"/>
        </w:rPr>
        <w:t xml:space="preserve">; de forma tal que cristalizan y protegen derechos </w:t>
      </w:r>
      <w:r w:rsidR="00726D0A">
        <w:rPr>
          <w:rFonts w:ascii="Verdana" w:hAnsi="Verdana"/>
          <w:sz w:val="20"/>
          <w:szCs w:val="20"/>
          <w:lang w:val="es-ES"/>
        </w:rPr>
        <w:t>f</w:t>
      </w:r>
      <w:r w:rsidR="00E35190">
        <w:rPr>
          <w:rFonts w:ascii="Verdana" w:hAnsi="Verdana"/>
          <w:sz w:val="20"/>
          <w:szCs w:val="20"/>
          <w:lang w:val="es-ES"/>
        </w:rPr>
        <w:t>undamentale</w:t>
      </w:r>
      <w:r w:rsidR="00726D0A">
        <w:rPr>
          <w:rFonts w:ascii="Verdana" w:hAnsi="Verdana"/>
          <w:sz w:val="20"/>
          <w:szCs w:val="20"/>
          <w:lang w:val="es-ES"/>
        </w:rPr>
        <w:t>s</w:t>
      </w:r>
      <w:r w:rsidR="002965AD">
        <w:rPr>
          <w:rFonts w:ascii="Verdana" w:hAnsi="Verdana"/>
          <w:sz w:val="20"/>
          <w:szCs w:val="20"/>
          <w:lang w:val="es-ES"/>
        </w:rPr>
        <w:t xml:space="preserve"> </w:t>
      </w:r>
      <w:r w:rsidR="00E35190">
        <w:rPr>
          <w:rFonts w:ascii="Verdana" w:hAnsi="Verdana"/>
          <w:sz w:val="20"/>
          <w:szCs w:val="20"/>
          <w:lang w:val="es-ES"/>
        </w:rPr>
        <w:t xml:space="preserve">así como valores universales sin los cuales la sociedad no prosperaría. </w:t>
      </w:r>
    </w:p>
    <w:p w14:paraId="381453F5" w14:textId="77777777" w:rsidR="00E35190" w:rsidRPr="007C341D" w:rsidRDefault="00E35190" w:rsidP="00E35190">
      <w:pPr>
        <w:pStyle w:val="Prrafodelista"/>
        <w:rPr>
          <w:rFonts w:ascii="Verdana" w:hAnsi="Verdana"/>
          <w:sz w:val="20"/>
          <w:szCs w:val="20"/>
          <w:lang w:val="es-ES"/>
        </w:rPr>
      </w:pPr>
    </w:p>
    <w:p w14:paraId="7EE5A854" w14:textId="19082EBE" w:rsidR="00E35190" w:rsidRDefault="00783415" w:rsidP="00783415">
      <w:pPr>
        <w:pStyle w:val="Prrafodelista"/>
        <w:ind w:left="0"/>
        <w:jc w:val="both"/>
        <w:rPr>
          <w:rFonts w:ascii="Verdana" w:hAnsi="Verdana"/>
          <w:sz w:val="20"/>
          <w:szCs w:val="20"/>
          <w:lang w:val="es-ES"/>
        </w:rPr>
      </w:pPr>
      <w:r>
        <w:rPr>
          <w:rFonts w:ascii="Verdana" w:hAnsi="Verdana"/>
          <w:sz w:val="20"/>
          <w:szCs w:val="20"/>
          <w:lang w:val="es-ES"/>
        </w:rPr>
        <w:t xml:space="preserve">73. </w:t>
      </w:r>
      <w:r>
        <w:rPr>
          <w:rFonts w:ascii="Verdana" w:hAnsi="Verdana"/>
          <w:sz w:val="20"/>
          <w:szCs w:val="20"/>
          <w:lang w:val="es-ES"/>
        </w:rPr>
        <w:tab/>
      </w:r>
      <w:r w:rsidR="00E35190">
        <w:rPr>
          <w:rFonts w:ascii="Verdana" w:hAnsi="Verdana"/>
          <w:sz w:val="20"/>
          <w:szCs w:val="20"/>
          <w:lang w:val="es-ES"/>
        </w:rPr>
        <w:t xml:space="preserve">De esta manera, las normas de </w:t>
      </w:r>
      <w:r w:rsidR="00E35190" w:rsidRPr="00726D0A">
        <w:rPr>
          <w:rFonts w:ascii="Verdana" w:hAnsi="Verdana"/>
          <w:i/>
          <w:iCs/>
          <w:sz w:val="20"/>
          <w:szCs w:val="20"/>
          <w:lang w:val="es-ES"/>
        </w:rPr>
        <w:t>jus cogens</w:t>
      </w:r>
      <w:r w:rsidR="00E35190">
        <w:rPr>
          <w:rFonts w:ascii="Verdana" w:hAnsi="Verdana"/>
          <w:sz w:val="20"/>
          <w:szCs w:val="20"/>
          <w:lang w:val="es-ES"/>
        </w:rPr>
        <w:t xml:space="preserve"> encarnan o cristalizan intereses y valores generales o universales de la comunidad de Estados y no de los Estados en particular, tal como lo ha indicado la Corte Internacional de Justicia: “los Estados contratantes no tienen intereses propios; sólo tienen, todos y cada uno, un interés común, a saber, la realización de esos altos fines que son la razón de ser de la convención”</w:t>
      </w:r>
      <w:r w:rsidR="00E35190">
        <w:rPr>
          <w:rStyle w:val="Refdenotaalpie"/>
          <w:rFonts w:ascii="Verdana" w:eastAsiaTheme="majorEastAsia" w:hAnsi="Verdana"/>
          <w:sz w:val="20"/>
          <w:szCs w:val="20"/>
          <w:lang w:val="es-ES"/>
        </w:rPr>
        <w:footnoteReference w:id="91"/>
      </w:r>
      <w:r w:rsidR="00726D0A">
        <w:rPr>
          <w:rFonts w:ascii="Verdana" w:hAnsi="Verdana"/>
          <w:sz w:val="20"/>
          <w:szCs w:val="20"/>
          <w:lang w:val="es-ES"/>
        </w:rPr>
        <w:t>.</w:t>
      </w:r>
    </w:p>
    <w:p w14:paraId="4B77A5E9" w14:textId="77777777" w:rsidR="00E35190" w:rsidRPr="007C341D" w:rsidRDefault="00E35190" w:rsidP="00E35190">
      <w:pPr>
        <w:pStyle w:val="Prrafodelista"/>
        <w:rPr>
          <w:rFonts w:ascii="Verdana" w:hAnsi="Verdana"/>
          <w:sz w:val="20"/>
          <w:szCs w:val="20"/>
          <w:lang w:val="es-ES"/>
        </w:rPr>
      </w:pPr>
    </w:p>
    <w:p w14:paraId="4824BE2D" w14:textId="374DB9EF" w:rsidR="00E35190" w:rsidRDefault="00783415" w:rsidP="00783415">
      <w:pPr>
        <w:pStyle w:val="Prrafodelista"/>
        <w:ind w:left="0"/>
        <w:jc w:val="both"/>
        <w:rPr>
          <w:rFonts w:ascii="Verdana" w:hAnsi="Verdana"/>
          <w:sz w:val="20"/>
          <w:szCs w:val="20"/>
          <w:lang w:val="es-ES"/>
        </w:rPr>
      </w:pPr>
      <w:r>
        <w:rPr>
          <w:rFonts w:ascii="Verdana" w:hAnsi="Verdana"/>
          <w:sz w:val="20"/>
          <w:szCs w:val="20"/>
          <w:lang w:val="es-ES"/>
        </w:rPr>
        <w:t xml:space="preserve">74. </w:t>
      </w:r>
      <w:r>
        <w:rPr>
          <w:rFonts w:ascii="Verdana" w:hAnsi="Verdana"/>
          <w:sz w:val="20"/>
          <w:szCs w:val="20"/>
          <w:lang w:val="es-ES"/>
        </w:rPr>
        <w:tab/>
      </w:r>
      <w:r w:rsidR="00E35190">
        <w:rPr>
          <w:rFonts w:ascii="Verdana" w:hAnsi="Verdana"/>
          <w:sz w:val="20"/>
          <w:szCs w:val="20"/>
          <w:lang w:val="es-ES"/>
        </w:rPr>
        <w:t xml:space="preserve">Como consecuencia de lo anterior, se limita la libertad convencional de los Estados, así como tampoco les es posible negar el carácter de </w:t>
      </w:r>
      <w:r w:rsidR="00E35190" w:rsidRPr="00726D0A">
        <w:rPr>
          <w:rFonts w:ascii="Verdana" w:hAnsi="Verdana"/>
          <w:i/>
          <w:iCs/>
          <w:sz w:val="20"/>
          <w:szCs w:val="20"/>
          <w:lang w:val="es-ES"/>
        </w:rPr>
        <w:t>jus cogens</w:t>
      </w:r>
      <w:r w:rsidR="00E35190">
        <w:rPr>
          <w:rFonts w:ascii="Verdana" w:hAnsi="Verdana"/>
          <w:sz w:val="20"/>
          <w:szCs w:val="20"/>
          <w:lang w:val="es-ES"/>
        </w:rPr>
        <w:t xml:space="preserve"> para sustraerse individualmente de su cumplimiento; toda vez que son normas que se encuentran firmemente arraigadas en la convicción jurídica de las naciones y porque son indispensables para la existencia misma de la comunidad internacional. De ahí que, con su reconocimiento, se está protegiendo a la comunidad internacional en su conjunto contra actos, hechos u omisiones de un Estado que atenten contra el bien jurídico universal que es el medio ambiente. </w:t>
      </w:r>
    </w:p>
    <w:p w14:paraId="44A098B8" w14:textId="77777777" w:rsidR="00E35190" w:rsidRPr="008A6BBC" w:rsidRDefault="00E35190" w:rsidP="00E35190">
      <w:pPr>
        <w:pStyle w:val="Prrafodelista"/>
        <w:rPr>
          <w:rFonts w:ascii="Verdana" w:hAnsi="Verdana"/>
          <w:sz w:val="20"/>
          <w:szCs w:val="20"/>
          <w:lang w:val="es-ES"/>
        </w:rPr>
      </w:pPr>
    </w:p>
    <w:p w14:paraId="600F928C" w14:textId="78C707F7" w:rsidR="00E35190" w:rsidRPr="008A6BBC" w:rsidRDefault="00AF63FA" w:rsidP="00AF63FA">
      <w:pPr>
        <w:pStyle w:val="Prrafodelista"/>
        <w:ind w:left="0"/>
        <w:jc w:val="both"/>
        <w:rPr>
          <w:rFonts w:ascii="Verdana" w:hAnsi="Verdana"/>
          <w:sz w:val="20"/>
          <w:szCs w:val="20"/>
          <w:lang w:val="es-ES"/>
        </w:rPr>
      </w:pPr>
      <w:r>
        <w:rPr>
          <w:rFonts w:ascii="Verdana" w:hAnsi="Verdana"/>
          <w:sz w:val="20"/>
          <w:szCs w:val="20"/>
          <w:lang w:val="es-ES"/>
        </w:rPr>
        <w:t>75.</w:t>
      </w:r>
      <w:r>
        <w:rPr>
          <w:rFonts w:ascii="Verdana" w:hAnsi="Verdana"/>
          <w:sz w:val="20"/>
          <w:szCs w:val="20"/>
          <w:lang w:val="es-ES"/>
        </w:rPr>
        <w:tab/>
      </w:r>
      <w:r w:rsidR="00E35190">
        <w:rPr>
          <w:rFonts w:ascii="Verdana" w:hAnsi="Verdana"/>
          <w:sz w:val="20"/>
          <w:szCs w:val="20"/>
          <w:lang w:val="es-ES"/>
        </w:rPr>
        <w:t>La Comisión de Derecho Internacional ha definido a la norma imperativa de derecho internacional como “una norma aceptada y reconocida por la comunidad internacional de Estados en su conjunto como norma que no admite acuerdo en contrario y que solo puede ser modificada por una norma ulterior de derecho internacional general que tenga el mismo carácter”</w:t>
      </w:r>
      <w:r w:rsidR="00E35190">
        <w:rPr>
          <w:rStyle w:val="Refdenotaalpie"/>
          <w:rFonts w:ascii="Verdana" w:eastAsiaTheme="majorEastAsia" w:hAnsi="Verdana"/>
          <w:sz w:val="20"/>
          <w:szCs w:val="20"/>
          <w:lang w:val="es-ES"/>
        </w:rPr>
        <w:footnoteReference w:id="92"/>
      </w:r>
      <w:r w:rsidR="00E35190">
        <w:rPr>
          <w:rFonts w:ascii="Verdana" w:hAnsi="Verdana"/>
          <w:sz w:val="20"/>
          <w:szCs w:val="20"/>
          <w:lang w:val="es-ES"/>
        </w:rPr>
        <w:t>; destacando, a su vez, que reflejan y protegen valores fundamentales de la comunidad internacional, son jerárquicamente superiores a otras normas de derecho internacional y universalmente aplicables</w:t>
      </w:r>
      <w:r w:rsidR="00E35190">
        <w:rPr>
          <w:rStyle w:val="Refdenotaalpie"/>
          <w:rFonts w:ascii="Verdana" w:eastAsiaTheme="majorEastAsia" w:hAnsi="Verdana"/>
          <w:sz w:val="20"/>
          <w:szCs w:val="20"/>
          <w:lang w:val="es-ES"/>
        </w:rPr>
        <w:footnoteReference w:id="93"/>
      </w:r>
      <w:r w:rsidR="005E63ED">
        <w:rPr>
          <w:rFonts w:ascii="Verdana" w:hAnsi="Verdana"/>
          <w:sz w:val="20"/>
          <w:szCs w:val="20"/>
          <w:lang w:val="es-ES"/>
        </w:rPr>
        <w:t>.</w:t>
      </w:r>
    </w:p>
    <w:p w14:paraId="5075FE8B" w14:textId="77777777" w:rsidR="00E35190" w:rsidRPr="008A6BBC" w:rsidRDefault="00E35190" w:rsidP="00E35190">
      <w:pPr>
        <w:pStyle w:val="Prrafodelista"/>
        <w:rPr>
          <w:rFonts w:ascii="Verdana" w:hAnsi="Verdana"/>
          <w:sz w:val="20"/>
          <w:szCs w:val="20"/>
          <w:lang w:val="es-ES"/>
        </w:rPr>
      </w:pPr>
    </w:p>
    <w:p w14:paraId="59B2F3BC" w14:textId="0A2BE6FE" w:rsidR="00E35190" w:rsidRPr="00721149"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76. </w:t>
      </w:r>
      <w:r>
        <w:rPr>
          <w:rFonts w:ascii="Verdana" w:hAnsi="Verdana"/>
          <w:sz w:val="20"/>
          <w:szCs w:val="20"/>
          <w:lang w:val="es-ES"/>
        </w:rPr>
        <w:tab/>
      </w:r>
      <w:r w:rsidR="00E35190" w:rsidRPr="00721149">
        <w:rPr>
          <w:rFonts w:ascii="Verdana" w:hAnsi="Verdana"/>
          <w:sz w:val="20"/>
          <w:szCs w:val="20"/>
          <w:lang w:val="es-ES"/>
        </w:rPr>
        <w:t xml:space="preserve">El estado actual del medio ambiente y su impacto en cada uno de sus componentes </w:t>
      </w:r>
      <w:r w:rsidR="00D07038">
        <w:rPr>
          <w:rFonts w:ascii="Verdana" w:hAnsi="Verdana"/>
          <w:sz w:val="20"/>
          <w:szCs w:val="20"/>
          <w:lang w:val="es-ES"/>
        </w:rPr>
        <w:t>—</w:t>
      </w:r>
      <w:r w:rsidR="00E35190" w:rsidRPr="00721149">
        <w:rPr>
          <w:rFonts w:ascii="Verdana" w:hAnsi="Verdana"/>
          <w:sz w:val="20"/>
          <w:szCs w:val="20"/>
          <w:lang w:val="es-ES"/>
        </w:rPr>
        <w:t>dentro de los que se encuentra la especie humana</w:t>
      </w:r>
      <w:r w:rsidR="00D07038">
        <w:rPr>
          <w:rFonts w:ascii="Verdana" w:hAnsi="Verdana"/>
          <w:sz w:val="20"/>
          <w:szCs w:val="20"/>
          <w:lang w:val="es-ES"/>
        </w:rPr>
        <w:t>—</w:t>
      </w:r>
      <w:r w:rsidR="00E35190" w:rsidRPr="00721149">
        <w:rPr>
          <w:rFonts w:ascii="Verdana" w:hAnsi="Verdana"/>
          <w:sz w:val="20"/>
          <w:szCs w:val="20"/>
          <w:lang w:val="es-ES"/>
        </w:rPr>
        <w:t xml:space="preserve"> impone una mayor reflexión sobre las obligaciones estatales en este punto. Nunca como ahora las actividades desarrolladas en el planeta por el ser humano han causado tanta degradación ambiental y, de no desplegar los mecanismos jurídicos necesarios y adecuar la conducta a esos estándares, los pronósticos no parecen augurar una situación mejor. En este sentido, este tribunal interamericano está llamado a proteger</w:t>
      </w:r>
      <w:r w:rsidR="000C279D">
        <w:rPr>
          <w:rFonts w:ascii="Verdana" w:hAnsi="Verdana"/>
          <w:sz w:val="20"/>
          <w:szCs w:val="20"/>
          <w:lang w:val="es-ES"/>
        </w:rPr>
        <w:t xml:space="preserve"> y garantizar </w:t>
      </w:r>
      <w:r w:rsidR="00E35190" w:rsidRPr="00721149">
        <w:rPr>
          <w:rFonts w:ascii="Verdana" w:hAnsi="Verdana"/>
          <w:sz w:val="20"/>
          <w:szCs w:val="20"/>
          <w:lang w:val="es-ES"/>
        </w:rPr>
        <w:t>los intereses de las generaciones presentes y futuras, en virtud del principio de equidad intergeneracional como se desarrollará más adelante en el presente voto.</w:t>
      </w:r>
    </w:p>
    <w:p w14:paraId="413D59F3" w14:textId="77777777" w:rsidR="00E35190" w:rsidRPr="00574857" w:rsidRDefault="00E35190" w:rsidP="00E35190">
      <w:pPr>
        <w:pStyle w:val="Prrafodelista"/>
        <w:rPr>
          <w:rFonts w:ascii="Verdana" w:hAnsi="Verdana"/>
          <w:sz w:val="20"/>
          <w:szCs w:val="20"/>
          <w:lang w:val="es-ES"/>
        </w:rPr>
      </w:pPr>
    </w:p>
    <w:p w14:paraId="69B09345" w14:textId="601E7E44"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77. </w:t>
      </w:r>
      <w:r>
        <w:rPr>
          <w:rFonts w:ascii="Verdana" w:hAnsi="Verdana"/>
          <w:sz w:val="20"/>
          <w:szCs w:val="20"/>
          <w:lang w:val="es-ES"/>
        </w:rPr>
        <w:tab/>
      </w:r>
      <w:r w:rsidR="00E35190">
        <w:rPr>
          <w:rFonts w:ascii="Verdana" w:hAnsi="Verdana"/>
          <w:sz w:val="20"/>
          <w:szCs w:val="20"/>
          <w:lang w:val="es-ES"/>
        </w:rPr>
        <w:t>De la protección del medio ambiente depende la supervivencia de la especie humana y, por extensión, de la comunidad internacional en su conjunto. La dimensión colectiva del derecho a vivir en un medio ambiente limpio, sano y sostenible se proyecta no solo entre las personas, sino también en la comunidad de Estados, dada la particularidad de que los ecosistemas, la contaminación y todo el fenómeno ambiental van más allá de las fronteras nacionales, tal como ha sido sostenido por este tribunal. En oportunidad de la Opinión Consultiva No. 23 se indicó que: “[m]uchas afectaciones al medio ambiente entrañan daños transfronterizos. La contaminación de un país puede convertirse en el problema de derechos ambientales y humanos de otro, en particular cuando los medios contaminantes, como el aire y el agua, cruzan fácilmente las fronteras”</w:t>
      </w:r>
      <w:r w:rsidR="00E35190">
        <w:rPr>
          <w:rStyle w:val="Refdenotaalpie"/>
          <w:rFonts w:ascii="Verdana" w:eastAsiaTheme="majorEastAsia" w:hAnsi="Verdana"/>
          <w:sz w:val="20"/>
          <w:szCs w:val="20"/>
          <w:lang w:val="es-ES"/>
        </w:rPr>
        <w:footnoteReference w:id="94"/>
      </w:r>
      <w:r w:rsidR="00E35190">
        <w:rPr>
          <w:rFonts w:ascii="Verdana" w:hAnsi="Verdana"/>
          <w:sz w:val="20"/>
          <w:szCs w:val="20"/>
          <w:lang w:val="es-ES"/>
        </w:rPr>
        <w:t>.</w:t>
      </w:r>
    </w:p>
    <w:p w14:paraId="360EAFA9" w14:textId="77777777" w:rsidR="00E35190" w:rsidRPr="00FE663B" w:rsidRDefault="00E35190" w:rsidP="00E35190">
      <w:pPr>
        <w:pStyle w:val="Prrafodelista"/>
        <w:rPr>
          <w:rFonts w:ascii="Verdana" w:hAnsi="Verdana"/>
          <w:sz w:val="20"/>
          <w:szCs w:val="20"/>
          <w:lang w:val="es-ES"/>
        </w:rPr>
      </w:pPr>
    </w:p>
    <w:p w14:paraId="6C75A7F4" w14:textId="3527C2B9"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78. </w:t>
      </w:r>
      <w:r>
        <w:rPr>
          <w:rFonts w:ascii="Verdana" w:hAnsi="Verdana"/>
          <w:sz w:val="20"/>
          <w:szCs w:val="20"/>
          <w:lang w:val="es-ES"/>
        </w:rPr>
        <w:tab/>
      </w:r>
      <w:r w:rsidR="00E35190">
        <w:rPr>
          <w:rFonts w:ascii="Verdana" w:hAnsi="Verdana"/>
          <w:sz w:val="20"/>
          <w:szCs w:val="20"/>
          <w:lang w:val="es-ES"/>
        </w:rPr>
        <w:t xml:space="preserve">De ahí que la obligación de protección del medio ambiente como norma de </w:t>
      </w:r>
      <w:r w:rsidR="00E35190" w:rsidRPr="00D07038">
        <w:rPr>
          <w:rFonts w:ascii="Verdana" w:hAnsi="Verdana"/>
          <w:i/>
          <w:iCs/>
          <w:sz w:val="20"/>
          <w:szCs w:val="20"/>
          <w:lang w:val="es-ES"/>
        </w:rPr>
        <w:t>jus cogens</w:t>
      </w:r>
      <w:r w:rsidR="00E35190">
        <w:rPr>
          <w:rFonts w:ascii="Verdana" w:hAnsi="Verdana"/>
          <w:sz w:val="20"/>
          <w:szCs w:val="20"/>
          <w:lang w:val="es-ES"/>
        </w:rPr>
        <w:t xml:space="preserve"> cristaliza o recoge el valor fundamental de la comunidad internacional de reconocer al medio ambiente como soporte de los Estados y condición </w:t>
      </w:r>
      <w:r w:rsidR="00E35190" w:rsidRPr="008E72FA">
        <w:rPr>
          <w:rFonts w:ascii="Verdana" w:hAnsi="Verdana"/>
          <w:i/>
          <w:sz w:val="20"/>
          <w:szCs w:val="20"/>
          <w:lang w:val="es-ES"/>
        </w:rPr>
        <w:t>sine qua non</w:t>
      </w:r>
      <w:r w:rsidR="00E35190">
        <w:rPr>
          <w:rFonts w:ascii="Verdana" w:hAnsi="Verdana"/>
          <w:sz w:val="20"/>
          <w:szCs w:val="20"/>
          <w:lang w:val="es-ES"/>
        </w:rPr>
        <w:t xml:space="preserve"> para su existencia. Asimismo, de la protección al medio ambiente depende también la seguridad internacional, erigida como valor recogido en el Preámbulo de la Carta de las Naciones Unidas y en el artículo 2 de la Carta de la Organización de los Estados Americanos.</w:t>
      </w:r>
    </w:p>
    <w:p w14:paraId="78B9395E" w14:textId="77777777" w:rsidR="00E35190" w:rsidRPr="004D1535" w:rsidRDefault="00E35190" w:rsidP="00E35190">
      <w:pPr>
        <w:pStyle w:val="Prrafodelista"/>
        <w:rPr>
          <w:rFonts w:ascii="Verdana" w:hAnsi="Verdana"/>
          <w:sz w:val="20"/>
          <w:szCs w:val="20"/>
          <w:lang w:val="es-ES"/>
        </w:rPr>
      </w:pPr>
    </w:p>
    <w:p w14:paraId="74DAC38E" w14:textId="1B45F0A6" w:rsidR="00E35190" w:rsidRPr="000C279D"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79. </w:t>
      </w:r>
      <w:r>
        <w:rPr>
          <w:rFonts w:ascii="Verdana" w:hAnsi="Verdana"/>
          <w:sz w:val="20"/>
          <w:szCs w:val="20"/>
          <w:lang w:val="es-ES"/>
        </w:rPr>
        <w:tab/>
      </w:r>
      <w:r w:rsidR="00E35190" w:rsidRPr="000C279D">
        <w:rPr>
          <w:rFonts w:ascii="Verdana" w:hAnsi="Verdana"/>
          <w:sz w:val="20"/>
          <w:szCs w:val="20"/>
          <w:lang w:val="es-ES"/>
        </w:rPr>
        <w:t xml:space="preserve">Las normas de </w:t>
      </w:r>
      <w:r w:rsidR="00E35190" w:rsidRPr="00D07038">
        <w:rPr>
          <w:rFonts w:ascii="Verdana" w:hAnsi="Verdana"/>
          <w:i/>
          <w:iCs/>
          <w:sz w:val="20"/>
          <w:szCs w:val="20"/>
          <w:lang w:val="es-ES"/>
        </w:rPr>
        <w:t>jus cogens</w:t>
      </w:r>
      <w:r w:rsidR="00E35190" w:rsidRPr="000C279D">
        <w:rPr>
          <w:rFonts w:ascii="Verdana" w:hAnsi="Verdana"/>
          <w:sz w:val="20"/>
          <w:szCs w:val="20"/>
          <w:lang w:val="es-ES"/>
        </w:rPr>
        <w:t xml:space="preserve"> protegen lo que se considera intolerable por la comunidad internacional porque entraña una amenaza a la subsistencia de la comunidad misma</w:t>
      </w:r>
      <w:r w:rsidR="00D822EC" w:rsidRPr="000C279D">
        <w:rPr>
          <w:rFonts w:ascii="Verdana" w:hAnsi="Verdana"/>
          <w:sz w:val="20"/>
          <w:szCs w:val="20"/>
          <w:lang w:val="es-ES"/>
        </w:rPr>
        <w:t>,</w:t>
      </w:r>
      <w:r w:rsidR="00E35190" w:rsidRPr="000C279D">
        <w:rPr>
          <w:rFonts w:ascii="Verdana" w:hAnsi="Verdana"/>
          <w:sz w:val="20"/>
          <w:szCs w:val="20"/>
          <w:lang w:val="es-ES"/>
        </w:rPr>
        <w:t xml:space="preserve"> de los pueblos o de los valores fundamentales. En este sentido, el objeto de las normas imperativas de derecho internacional está dado por valores sociales trascendentes, fruto de cierto grado de desarrollo de la comunidad internacional y de sus sistemas jurídicos.</w:t>
      </w:r>
      <w:r w:rsidR="00E35190" w:rsidRPr="000C279D">
        <w:rPr>
          <w:rStyle w:val="Refdenotaalpie"/>
          <w:rFonts w:ascii="Verdana" w:hAnsi="Verdana"/>
          <w:sz w:val="20"/>
          <w:szCs w:val="20"/>
          <w:lang w:val="es-ES"/>
        </w:rPr>
        <w:footnoteReference w:id="95"/>
      </w:r>
      <w:r w:rsidR="00E35190" w:rsidRPr="000C279D">
        <w:rPr>
          <w:rFonts w:ascii="Verdana" w:hAnsi="Verdana"/>
          <w:sz w:val="20"/>
          <w:szCs w:val="20"/>
          <w:lang w:val="es-ES"/>
        </w:rPr>
        <w:t xml:space="preserve"> En similar sentido se ha pronunciado el juez Augusto </w:t>
      </w:r>
      <w:bookmarkStart w:id="3" w:name="_Hlk160013182"/>
      <w:r w:rsidR="00E35190" w:rsidRPr="000C279D">
        <w:rPr>
          <w:rFonts w:ascii="Verdana" w:hAnsi="Verdana"/>
          <w:sz w:val="20"/>
          <w:szCs w:val="20"/>
          <w:lang w:val="es-ES"/>
        </w:rPr>
        <w:t xml:space="preserve">Cançado Trindade </w:t>
      </w:r>
      <w:bookmarkEnd w:id="3"/>
      <w:r w:rsidR="00E35190" w:rsidRPr="000C279D">
        <w:rPr>
          <w:rFonts w:ascii="Verdana" w:hAnsi="Verdana"/>
          <w:sz w:val="20"/>
          <w:szCs w:val="20"/>
          <w:lang w:val="es-ES"/>
        </w:rPr>
        <w:t>en su voto concurrente en la Opinión Consultiva No. 18:</w:t>
      </w:r>
    </w:p>
    <w:p w14:paraId="078D1AE5" w14:textId="77777777" w:rsidR="00E35190" w:rsidRPr="000C279D" w:rsidRDefault="00E35190" w:rsidP="00E35190">
      <w:pPr>
        <w:pStyle w:val="Prrafodelista"/>
        <w:rPr>
          <w:rFonts w:ascii="Verdana" w:hAnsi="Verdana"/>
          <w:sz w:val="20"/>
          <w:szCs w:val="20"/>
          <w:lang w:val="es-ES"/>
        </w:rPr>
      </w:pPr>
    </w:p>
    <w:p w14:paraId="4B4D83DB" w14:textId="1944C835" w:rsidR="00E35190" w:rsidRPr="000C279D" w:rsidRDefault="00E35190" w:rsidP="00BA6C0C">
      <w:pPr>
        <w:pStyle w:val="Prrafodelista"/>
        <w:ind w:left="709" w:right="645"/>
        <w:jc w:val="both"/>
        <w:rPr>
          <w:rFonts w:ascii="Verdana" w:hAnsi="Verdana"/>
          <w:sz w:val="18"/>
          <w:szCs w:val="18"/>
          <w:lang w:val="es-ES"/>
        </w:rPr>
      </w:pPr>
      <w:r w:rsidRPr="000C279D">
        <w:rPr>
          <w:rFonts w:ascii="Verdana" w:hAnsi="Verdana"/>
          <w:sz w:val="18"/>
          <w:szCs w:val="18"/>
          <w:lang w:val="es-ES"/>
        </w:rPr>
        <w:t xml:space="preserve">En realidad, cuando reconocemos principios fundamentales que conforman el substratum del propio ordenamiento jurídico, ya nos adentramos en el dominio del </w:t>
      </w:r>
      <w:r w:rsidRPr="00D07038">
        <w:rPr>
          <w:rFonts w:ascii="Verdana" w:hAnsi="Verdana"/>
          <w:i/>
          <w:iCs/>
          <w:sz w:val="18"/>
          <w:szCs w:val="18"/>
          <w:lang w:val="es-ES"/>
        </w:rPr>
        <w:t>jus cogens</w:t>
      </w:r>
      <w:r w:rsidRPr="000C279D">
        <w:rPr>
          <w:rFonts w:ascii="Verdana" w:hAnsi="Verdana"/>
          <w:sz w:val="18"/>
          <w:szCs w:val="18"/>
          <w:lang w:val="es-ES"/>
        </w:rPr>
        <w:t xml:space="preserve">, del derecho imperativo </w:t>
      </w:r>
      <w:r w:rsidR="00BF5F90">
        <w:rPr>
          <w:rFonts w:ascii="Verdana" w:hAnsi="Verdana"/>
          <w:sz w:val="18"/>
          <w:szCs w:val="18"/>
          <w:lang w:val="es-ES"/>
        </w:rPr>
        <w:t>[</w:t>
      </w:r>
      <w:r w:rsidRPr="000C279D">
        <w:rPr>
          <w:rFonts w:ascii="Verdana" w:hAnsi="Verdana"/>
          <w:sz w:val="18"/>
          <w:szCs w:val="18"/>
          <w:lang w:val="es-ES"/>
        </w:rPr>
        <w:t>…</w:t>
      </w:r>
      <w:r w:rsidR="00BF5F90">
        <w:rPr>
          <w:rFonts w:ascii="Verdana" w:hAnsi="Verdana"/>
          <w:sz w:val="18"/>
          <w:szCs w:val="18"/>
          <w:lang w:val="es-ES"/>
        </w:rPr>
        <w:t>]</w:t>
      </w:r>
      <w:r w:rsidRPr="000C279D">
        <w:rPr>
          <w:rFonts w:ascii="Verdana" w:hAnsi="Verdana"/>
          <w:sz w:val="18"/>
          <w:szCs w:val="18"/>
          <w:lang w:val="es-ES"/>
        </w:rPr>
        <w:t xml:space="preserve"> [E]s perfectamente posible visualizar el derecho imperativo (</w:t>
      </w:r>
      <w:r w:rsidRPr="00D07038">
        <w:rPr>
          <w:rFonts w:ascii="Verdana" w:hAnsi="Verdana"/>
          <w:i/>
          <w:iCs/>
          <w:sz w:val="18"/>
          <w:szCs w:val="18"/>
          <w:lang w:val="es-ES"/>
        </w:rPr>
        <w:t>jus cogens</w:t>
      </w:r>
      <w:r w:rsidRPr="000C279D">
        <w:rPr>
          <w:rFonts w:ascii="Verdana" w:hAnsi="Verdana"/>
          <w:sz w:val="18"/>
          <w:szCs w:val="18"/>
          <w:lang w:val="es-ES"/>
        </w:rPr>
        <w:t xml:space="preserve">) como identificado con los principios generales del derecho de orden material, que son garantes del propio ordenamiento jurídico, de su unidad, integridad y cohesión. Tales principios son necesarios (el </w:t>
      </w:r>
      <w:r w:rsidRPr="00726D0A">
        <w:rPr>
          <w:rFonts w:ascii="Verdana" w:hAnsi="Verdana"/>
          <w:i/>
          <w:iCs/>
          <w:sz w:val="18"/>
          <w:szCs w:val="18"/>
          <w:lang w:val="es-ES"/>
        </w:rPr>
        <w:t>jus necessarium</w:t>
      </w:r>
      <w:r w:rsidRPr="000C279D">
        <w:rPr>
          <w:rFonts w:ascii="Verdana" w:hAnsi="Verdana"/>
          <w:sz w:val="18"/>
          <w:szCs w:val="18"/>
          <w:lang w:val="es-ES"/>
        </w:rPr>
        <w:t xml:space="preserve">), son anteriores y superiores a la voluntad </w:t>
      </w:r>
      <w:r w:rsidR="004E158C">
        <w:rPr>
          <w:rFonts w:ascii="Verdana" w:hAnsi="Verdana"/>
          <w:sz w:val="18"/>
          <w:szCs w:val="18"/>
          <w:lang w:val="es-ES"/>
        </w:rPr>
        <w:t>[</w:t>
      </w:r>
      <w:r w:rsidRPr="000C279D">
        <w:rPr>
          <w:rFonts w:ascii="Verdana" w:hAnsi="Verdana"/>
          <w:sz w:val="18"/>
          <w:szCs w:val="18"/>
          <w:lang w:val="es-ES"/>
        </w:rPr>
        <w:t>…</w:t>
      </w:r>
      <w:r w:rsidR="004E158C">
        <w:rPr>
          <w:rFonts w:ascii="Verdana" w:hAnsi="Verdana"/>
          <w:sz w:val="18"/>
          <w:szCs w:val="18"/>
          <w:lang w:val="es-ES"/>
        </w:rPr>
        <w:t>]</w:t>
      </w:r>
      <w:r w:rsidRPr="000C279D">
        <w:rPr>
          <w:rFonts w:ascii="Verdana" w:hAnsi="Verdana"/>
          <w:sz w:val="18"/>
          <w:szCs w:val="18"/>
          <w:lang w:val="es-ES"/>
        </w:rPr>
        <w:t xml:space="preserve"> son consustanciales al propio orden jurídico internacional</w:t>
      </w:r>
      <w:r w:rsidRPr="000C279D">
        <w:rPr>
          <w:rStyle w:val="Refdenotaalpie"/>
          <w:rFonts w:ascii="Verdana" w:hAnsi="Verdana"/>
          <w:sz w:val="18"/>
          <w:szCs w:val="18"/>
          <w:lang w:val="es-ES"/>
        </w:rPr>
        <w:footnoteReference w:id="96"/>
      </w:r>
      <w:r w:rsidR="005E63ED">
        <w:rPr>
          <w:rFonts w:ascii="Verdana" w:hAnsi="Verdana"/>
          <w:sz w:val="18"/>
          <w:szCs w:val="18"/>
          <w:lang w:val="es-ES"/>
        </w:rPr>
        <w:t>.</w:t>
      </w:r>
    </w:p>
    <w:p w14:paraId="77C83907" w14:textId="77777777" w:rsidR="00E35190" w:rsidRDefault="00E35190" w:rsidP="00E35190">
      <w:pPr>
        <w:pStyle w:val="Prrafodelista"/>
        <w:ind w:left="0"/>
        <w:jc w:val="both"/>
        <w:rPr>
          <w:rFonts w:ascii="Verdana" w:hAnsi="Verdana"/>
          <w:color w:val="00B050"/>
          <w:sz w:val="20"/>
          <w:szCs w:val="20"/>
          <w:lang w:val="es-ES"/>
        </w:rPr>
      </w:pPr>
    </w:p>
    <w:p w14:paraId="5740C4E4" w14:textId="28C586DC" w:rsidR="00E35190" w:rsidRPr="000C279D"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80. </w:t>
      </w:r>
      <w:r>
        <w:rPr>
          <w:rFonts w:ascii="Verdana" w:hAnsi="Verdana"/>
          <w:sz w:val="20"/>
          <w:szCs w:val="20"/>
          <w:lang w:val="es-ES"/>
        </w:rPr>
        <w:tab/>
      </w:r>
      <w:r w:rsidR="00E35190" w:rsidRPr="000C279D">
        <w:rPr>
          <w:rFonts w:ascii="Verdana" w:hAnsi="Verdana"/>
          <w:sz w:val="20"/>
          <w:szCs w:val="20"/>
          <w:lang w:val="es-ES"/>
        </w:rPr>
        <w:t xml:space="preserve">Como se ha venido señalando, no puede concebirse la existencia de un orden jurídico internacional </w:t>
      </w:r>
      <w:r w:rsidR="00726D0A">
        <w:rPr>
          <w:rFonts w:ascii="Verdana" w:hAnsi="Verdana"/>
          <w:sz w:val="20"/>
          <w:szCs w:val="20"/>
          <w:lang w:val="es-ES"/>
        </w:rPr>
        <w:t>—</w:t>
      </w:r>
      <w:r w:rsidR="00E35190" w:rsidRPr="000C279D">
        <w:rPr>
          <w:rFonts w:ascii="Verdana" w:hAnsi="Verdana"/>
          <w:sz w:val="20"/>
          <w:szCs w:val="20"/>
          <w:lang w:val="es-ES"/>
        </w:rPr>
        <w:t>ni doméstico</w:t>
      </w:r>
      <w:r w:rsidR="00726D0A">
        <w:rPr>
          <w:rFonts w:ascii="Verdana" w:hAnsi="Verdana"/>
          <w:sz w:val="20"/>
          <w:szCs w:val="20"/>
          <w:lang w:val="es-ES"/>
        </w:rPr>
        <w:t>—</w:t>
      </w:r>
      <w:r w:rsidR="00E35190" w:rsidRPr="000C279D">
        <w:rPr>
          <w:rFonts w:ascii="Verdana" w:hAnsi="Verdana"/>
          <w:sz w:val="20"/>
          <w:szCs w:val="20"/>
          <w:lang w:val="es-ES"/>
        </w:rPr>
        <w:t xml:space="preserve"> si no existe un medio ambiente en condiciones suficientes de subsistencia, tanto para el ser humano como para los restantes componentes. Ello toda vez que el ambiente se erige como soporte de los elementos del Estado, por lo que su afectación pone en riesgo al Estado mismo</w:t>
      </w:r>
      <w:r w:rsidR="000C279D" w:rsidRPr="000C279D">
        <w:rPr>
          <w:rFonts w:ascii="Verdana" w:hAnsi="Verdana"/>
          <w:sz w:val="20"/>
          <w:szCs w:val="20"/>
          <w:lang w:val="es-ES"/>
        </w:rPr>
        <w:t xml:space="preserve"> y a la humanidad toda.</w:t>
      </w:r>
    </w:p>
    <w:p w14:paraId="6ACE48B3" w14:textId="77777777" w:rsidR="00E35190" w:rsidRPr="000C279D" w:rsidRDefault="00E35190" w:rsidP="00E35190">
      <w:pPr>
        <w:pStyle w:val="Prrafodelista"/>
        <w:ind w:left="0"/>
        <w:jc w:val="both"/>
        <w:rPr>
          <w:rFonts w:ascii="Verdana" w:hAnsi="Verdana"/>
          <w:sz w:val="20"/>
          <w:szCs w:val="20"/>
          <w:lang w:val="es-ES"/>
        </w:rPr>
      </w:pPr>
    </w:p>
    <w:p w14:paraId="06C7EE1F" w14:textId="1438E2CC" w:rsidR="00E35190" w:rsidRPr="000C279D"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81. </w:t>
      </w:r>
      <w:r>
        <w:rPr>
          <w:rFonts w:ascii="Verdana" w:hAnsi="Verdana"/>
          <w:sz w:val="20"/>
          <w:szCs w:val="20"/>
          <w:lang w:val="es-ES"/>
        </w:rPr>
        <w:tab/>
      </w:r>
      <w:r w:rsidR="00E35190" w:rsidRPr="000C279D">
        <w:rPr>
          <w:rFonts w:ascii="Verdana" w:hAnsi="Verdana"/>
          <w:sz w:val="20"/>
          <w:szCs w:val="20"/>
          <w:lang w:val="es-ES"/>
        </w:rPr>
        <w:t xml:space="preserve">La Comisión de Derecho Internacional ha señalado que para la identificación de una norma de </w:t>
      </w:r>
      <w:r w:rsidR="00E35190" w:rsidRPr="00D07038">
        <w:rPr>
          <w:rFonts w:ascii="Verdana" w:hAnsi="Verdana"/>
          <w:i/>
          <w:iCs/>
          <w:sz w:val="20"/>
          <w:szCs w:val="20"/>
          <w:lang w:val="es-ES"/>
        </w:rPr>
        <w:t xml:space="preserve">jus cogens </w:t>
      </w:r>
      <w:r w:rsidR="00E35190" w:rsidRPr="000C279D">
        <w:rPr>
          <w:rFonts w:ascii="Verdana" w:hAnsi="Verdana"/>
          <w:sz w:val="20"/>
          <w:szCs w:val="20"/>
          <w:lang w:val="es-ES"/>
        </w:rPr>
        <w:t>se requiere establecer que cumpla con dos criterios. A saber, i) que se trate de una norma de derecho internacional general; y ii) que sea aceptada y reconocida por la comunidad internacional de Estados en su conjunto como una norma que no admite acuerdo en contrario y solo puede ser modificada por una norma ulterior que tenga el mismo carácter</w:t>
      </w:r>
      <w:r w:rsidR="00E35190" w:rsidRPr="000C279D">
        <w:rPr>
          <w:rStyle w:val="Refdenotaalpie"/>
          <w:rFonts w:ascii="Verdana" w:hAnsi="Verdana"/>
          <w:sz w:val="20"/>
          <w:szCs w:val="20"/>
          <w:lang w:val="es-ES"/>
        </w:rPr>
        <w:footnoteReference w:id="97"/>
      </w:r>
      <w:r w:rsidR="00726D0A">
        <w:rPr>
          <w:rFonts w:ascii="Verdana" w:hAnsi="Verdana"/>
          <w:sz w:val="20"/>
          <w:szCs w:val="20"/>
          <w:lang w:val="es-ES"/>
        </w:rPr>
        <w:t>.</w:t>
      </w:r>
    </w:p>
    <w:p w14:paraId="3F06CEBD" w14:textId="77777777" w:rsidR="00E35190" w:rsidRPr="000C279D" w:rsidRDefault="00E35190" w:rsidP="00E35190">
      <w:pPr>
        <w:pStyle w:val="Prrafodelista"/>
        <w:rPr>
          <w:rFonts w:ascii="Verdana" w:hAnsi="Verdana"/>
          <w:sz w:val="20"/>
          <w:szCs w:val="20"/>
          <w:lang w:val="es-ES"/>
        </w:rPr>
      </w:pPr>
    </w:p>
    <w:p w14:paraId="0335FA56" w14:textId="600351A2" w:rsidR="00E35190" w:rsidRPr="000C279D"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82. </w:t>
      </w:r>
      <w:r>
        <w:rPr>
          <w:rFonts w:ascii="Verdana" w:hAnsi="Verdana"/>
          <w:sz w:val="20"/>
          <w:szCs w:val="20"/>
          <w:lang w:val="es-ES"/>
        </w:rPr>
        <w:tab/>
      </w:r>
      <w:r w:rsidR="00E35190" w:rsidRPr="000C279D">
        <w:rPr>
          <w:rFonts w:ascii="Verdana" w:hAnsi="Verdana"/>
          <w:sz w:val="20"/>
          <w:szCs w:val="20"/>
          <w:lang w:val="es-ES"/>
        </w:rPr>
        <w:t xml:space="preserve">Consideramos que el estado actual de la cuestión permite concluir que la obligación de protección del medio ambiente reviste las notas de una norma de </w:t>
      </w:r>
      <w:r w:rsidR="00E35190" w:rsidRPr="00726D0A">
        <w:rPr>
          <w:rFonts w:ascii="Verdana" w:hAnsi="Verdana"/>
          <w:i/>
          <w:iCs/>
          <w:sz w:val="20"/>
          <w:szCs w:val="20"/>
          <w:lang w:val="es-ES"/>
        </w:rPr>
        <w:t>jus cogens</w:t>
      </w:r>
      <w:r w:rsidR="00E35190" w:rsidRPr="000C279D">
        <w:rPr>
          <w:rFonts w:ascii="Verdana" w:hAnsi="Verdana"/>
          <w:sz w:val="20"/>
          <w:szCs w:val="20"/>
          <w:lang w:val="es-ES"/>
        </w:rPr>
        <w:t xml:space="preserve">. </w:t>
      </w:r>
    </w:p>
    <w:p w14:paraId="48D16845" w14:textId="77777777" w:rsidR="00E35190" w:rsidRPr="000C279D" w:rsidRDefault="00E35190" w:rsidP="00E35190">
      <w:pPr>
        <w:pStyle w:val="Prrafodelista"/>
        <w:rPr>
          <w:rFonts w:ascii="Verdana" w:hAnsi="Verdana"/>
          <w:sz w:val="20"/>
          <w:szCs w:val="20"/>
          <w:lang w:val="es-ES"/>
        </w:rPr>
      </w:pPr>
    </w:p>
    <w:p w14:paraId="2499ED4C" w14:textId="2AC8868B" w:rsidR="00E35190" w:rsidRPr="000C279D"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83. </w:t>
      </w:r>
      <w:r>
        <w:rPr>
          <w:rFonts w:ascii="Verdana" w:hAnsi="Verdana"/>
          <w:sz w:val="20"/>
          <w:szCs w:val="20"/>
          <w:lang w:val="es-ES"/>
        </w:rPr>
        <w:tab/>
      </w:r>
      <w:r w:rsidR="00E35190" w:rsidRPr="000C279D">
        <w:rPr>
          <w:rFonts w:ascii="Verdana" w:hAnsi="Verdana"/>
          <w:sz w:val="20"/>
          <w:szCs w:val="20"/>
          <w:lang w:val="es-ES"/>
        </w:rPr>
        <w:t xml:space="preserve">El derecho internacional consuetudinario es la base más común de las normas de </w:t>
      </w:r>
      <w:r w:rsidR="00E35190" w:rsidRPr="00D07038">
        <w:rPr>
          <w:rFonts w:ascii="Verdana" w:hAnsi="Verdana"/>
          <w:i/>
          <w:iCs/>
          <w:sz w:val="20"/>
          <w:szCs w:val="20"/>
          <w:lang w:val="es-ES"/>
        </w:rPr>
        <w:t>jus cogens</w:t>
      </w:r>
      <w:r w:rsidR="00E35190" w:rsidRPr="000C279D">
        <w:rPr>
          <w:rFonts w:ascii="Verdana" w:hAnsi="Verdana"/>
          <w:sz w:val="20"/>
          <w:szCs w:val="20"/>
          <w:lang w:val="es-ES"/>
        </w:rPr>
        <w:t xml:space="preserve">. En este sentido, el artículo 38 del Estatuto de la Corte Internacional de Justicia refiere a la costumbre internacional “como prueba de una práctica generalmente aceptada como derecho”. Existe consenso en que la costumbre se compone de dos elementos: un </w:t>
      </w:r>
      <w:r w:rsidR="00E35190" w:rsidRPr="00726D0A">
        <w:rPr>
          <w:rFonts w:ascii="Verdana" w:hAnsi="Verdana"/>
          <w:i/>
          <w:iCs/>
          <w:sz w:val="20"/>
          <w:szCs w:val="20"/>
          <w:lang w:val="es-ES"/>
        </w:rPr>
        <w:t xml:space="preserve">usus, diurnitas </w:t>
      </w:r>
      <w:r w:rsidR="00E35190" w:rsidRPr="000C279D">
        <w:rPr>
          <w:rFonts w:ascii="Verdana" w:hAnsi="Verdana"/>
          <w:sz w:val="20"/>
          <w:szCs w:val="20"/>
          <w:lang w:val="es-ES"/>
        </w:rPr>
        <w:t xml:space="preserve">o elemento material y la </w:t>
      </w:r>
      <w:r w:rsidR="00E35190" w:rsidRPr="00326AFB">
        <w:rPr>
          <w:rFonts w:ascii="Verdana" w:hAnsi="Verdana"/>
          <w:i/>
          <w:iCs/>
          <w:sz w:val="20"/>
          <w:szCs w:val="20"/>
          <w:lang w:val="es-ES"/>
        </w:rPr>
        <w:t>opinio iuris necessitatis</w:t>
      </w:r>
      <w:r w:rsidR="00E35190" w:rsidRPr="000C279D">
        <w:rPr>
          <w:rFonts w:ascii="Verdana" w:hAnsi="Verdana"/>
          <w:sz w:val="20"/>
          <w:szCs w:val="20"/>
          <w:lang w:val="es-ES"/>
        </w:rPr>
        <w:t xml:space="preserve"> o elemento psicológico. </w:t>
      </w:r>
    </w:p>
    <w:p w14:paraId="40313900" w14:textId="77777777" w:rsidR="00E35190" w:rsidRPr="000C279D" w:rsidRDefault="00E35190" w:rsidP="00E35190">
      <w:pPr>
        <w:pStyle w:val="Prrafodelista"/>
        <w:rPr>
          <w:rFonts w:ascii="Verdana" w:hAnsi="Verdana"/>
          <w:sz w:val="20"/>
          <w:szCs w:val="20"/>
          <w:lang w:val="es-ES"/>
        </w:rPr>
      </w:pPr>
    </w:p>
    <w:p w14:paraId="3B649E46" w14:textId="27D59183" w:rsidR="00E35190" w:rsidRPr="000C279D"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84. </w:t>
      </w:r>
      <w:r>
        <w:rPr>
          <w:rFonts w:ascii="Verdana" w:hAnsi="Verdana"/>
          <w:sz w:val="20"/>
          <w:szCs w:val="20"/>
          <w:lang w:val="es-ES"/>
        </w:rPr>
        <w:tab/>
      </w:r>
      <w:r w:rsidR="00E35190" w:rsidRPr="000C279D">
        <w:rPr>
          <w:rFonts w:ascii="Verdana" w:hAnsi="Verdana"/>
          <w:sz w:val="20"/>
          <w:szCs w:val="20"/>
          <w:lang w:val="es-ES"/>
        </w:rPr>
        <w:t xml:space="preserve">En cuanto al primer elemento, se manifiesta en la actuación positiva de órganos estatales, v.gr., el dictado de leyes, sentencias internas, instrucciones, prácticas en organizaciones internacionales, entre otros. Pues bien, es posible sostener que existe una práctica generalizada en la comunidad internacional que entiende la relevancia de la protección del ambiente. Esta práctica internacional consiste en tomar </w:t>
      </w:r>
      <w:r w:rsidR="000C279D" w:rsidRPr="000C279D">
        <w:rPr>
          <w:rFonts w:ascii="Verdana" w:hAnsi="Verdana"/>
          <w:sz w:val="20"/>
          <w:szCs w:val="20"/>
          <w:lang w:val="es-ES"/>
        </w:rPr>
        <w:t xml:space="preserve">numerosas </w:t>
      </w:r>
      <w:r w:rsidR="00E35190" w:rsidRPr="000C279D">
        <w:rPr>
          <w:rFonts w:ascii="Verdana" w:hAnsi="Verdana"/>
          <w:sz w:val="20"/>
          <w:szCs w:val="20"/>
          <w:lang w:val="es-ES"/>
        </w:rPr>
        <w:t>medidas o acciones para revertir u ocuparse del cuidado, protección y promoción del ambiente y se cristaliza en los múltiples instrumentos de distinto carácter que la comunidad de Estados ha convenido. A modo enunciativo, destacan la Conferencia de Naciones Unidas sobre el Medio Ambiente de Estocolmo de 1972 donde participaron ciento trece Estados</w:t>
      </w:r>
      <w:r w:rsidR="00E35190" w:rsidRPr="000C279D">
        <w:rPr>
          <w:rStyle w:val="Refdenotaalpie"/>
          <w:rFonts w:ascii="Verdana" w:hAnsi="Verdana"/>
          <w:sz w:val="20"/>
          <w:szCs w:val="20"/>
          <w:lang w:val="es-ES"/>
        </w:rPr>
        <w:footnoteReference w:id="98"/>
      </w:r>
      <w:r w:rsidR="00E35190" w:rsidRPr="000C279D">
        <w:rPr>
          <w:rFonts w:ascii="Verdana" w:hAnsi="Verdana"/>
          <w:sz w:val="20"/>
          <w:szCs w:val="20"/>
          <w:lang w:val="es-ES"/>
        </w:rPr>
        <w:t>; la Carta Mundial de la Naturaleza suscrita por ciento dieciocho Estados; la Conferencia de Naciones Unidas sobre Medio Ambiente y Desarrollo en Río con la participación de ciento diez Estados; la Cumbre Mundial sobre Desarrollo Sostenible en Johannesburgo de 2002</w:t>
      </w:r>
      <w:r w:rsidR="00E35190" w:rsidRPr="000C279D">
        <w:rPr>
          <w:rStyle w:val="Refdenotaalpie"/>
          <w:rFonts w:ascii="Verdana" w:hAnsi="Verdana"/>
          <w:sz w:val="20"/>
          <w:szCs w:val="20"/>
          <w:lang w:val="es-ES"/>
        </w:rPr>
        <w:footnoteReference w:id="99"/>
      </w:r>
      <w:r w:rsidR="00326AFB">
        <w:rPr>
          <w:rFonts w:ascii="Verdana" w:hAnsi="Verdana"/>
          <w:sz w:val="20"/>
          <w:szCs w:val="20"/>
          <w:lang w:val="es-ES"/>
        </w:rPr>
        <w:t xml:space="preserve"> </w:t>
      </w:r>
      <w:r w:rsidR="00E35190" w:rsidRPr="000C279D">
        <w:rPr>
          <w:rStyle w:val="Refdenotaalpie"/>
          <w:rFonts w:ascii="Verdana" w:hAnsi="Verdana"/>
          <w:sz w:val="20"/>
          <w:szCs w:val="20"/>
          <w:lang w:val="es-ES"/>
        </w:rPr>
        <w:footnoteReference w:id="100"/>
      </w:r>
      <w:r w:rsidR="00E35190" w:rsidRPr="000C279D">
        <w:rPr>
          <w:rFonts w:ascii="Verdana" w:hAnsi="Verdana"/>
          <w:sz w:val="20"/>
          <w:szCs w:val="20"/>
          <w:lang w:val="es-ES"/>
        </w:rPr>
        <w:t>. Ello también aparece recogido en la práctica interna de varios Estados de la región, al ser consagrado en normas constitucionales</w:t>
      </w:r>
      <w:r w:rsidR="00E35190" w:rsidRPr="000C279D">
        <w:rPr>
          <w:rStyle w:val="Refdenotaalpie"/>
          <w:rFonts w:ascii="Verdana" w:hAnsi="Verdana"/>
          <w:sz w:val="20"/>
          <w:szCs w:val="20"/>
          <w:lang w:val="es-ES"/>
        </w:rPr>
        <w:footnoteReference w:id="101"/>
      </w:r>
      <w:r w:rsidR="00326AFB">
        <w:rPr>
          <w:rFonts w:ascii="Verdana" w:hAnsi="Verdana"/>
          <w:sz w:val="20"/>
          <w:szCs w:val="20"/>
          <w:lang w:val="es-ES"/>
        </w:rPr>
        <w:t>.</w:t>
      </w:r>
    </w:p>
    <w:p w14:paraId="1E18C523" w14:textId="77777777" w:rsidR="00E35190" w:rsidRPr="000C279D" w:rsidRDefault="00E35190" w:rsidP="00E35190">
      <w:pPr>
        <w:pStyle w:val="Prrafodelista"/>
        <w:ind w:left="0"/>
        <w:jc w:val="both"/>
        <w:rPr>
          <w:rFonts w:ascii="Verdana" w:hAnsi="Verdana"/>
          <w:sz w:val="20"/>
          <w:szCs w:val="20"/>
          <w:lang w:val="es-ES"/>
        </w:rPr>
      </w:pPr>
    </w:p>
    <w:p w14:paraId="374FA429" w14:textId="45D4FEA8" w:rsidR="00E35190" w:rsidRPr="000C279D"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85. </w:t>
      </w:r>
      <w:r>
        <w:rPr>
          <w:rFonts w:ascii="Verdana" w:hAnsi="Verdana"/>
          <w:sz w:val="20"/>
          <w:szCs w:val="20"/>
          <w:lang w:val="es-ES"/>
        </w:rPr>
        <w:tab/>
      </w:r>
      <w:r w:rsidR="00E35190" w:rsidRPr="000C279D">
        <w:rPr>
          <w:rFonts w:ascii="Verdana" w:hAnsi="Verdana"/>
          <w:sz w:val="20"/>
          <w:szCs w:val="20"/>
          <w:lang w:val="es-ES"/>
        </w:rPr>
        <w:t>El segundo elemento de la costumbre internacional requiere la convicción de que se trata de una norma jurídicamente obligatoria. Así, la resolución de Naciones Unidas sobre el derecho humano al medio am</w:t>
      </w:r>
      <w:r w:rsidR="00326AFB">
        <w:rPr>
          <w:rFonts w:ascii="Verdana" w:hAnsi="Verdana"/>
          <w:sz w:val="20"/>
          <w:szCs w:val="20"/>
          <w:lang w:val="es-ES"/>
        </w:rPr>
        <w:t>b</w:t>
      </w:r>
      <w:r w:rsidR="00E35190" w:rsidRPr="000C279D">
        <w:rPr>
          <w:rFonts w:ascii="Verdana" w:hAnsi="Verdana"/>
          <w:sz w:val="20"/>
          <w:szCs w:val="20"/>
          <w:lang w:val="es-ES"/>
        </w:rPr>
        <w:t>iente limpio, saludable y sostenible</w:t>
      </w:r>
      <w:r w:rsidR="00E35190" w:rsidRPr="000C279D">
        <w:rPr>
          <w:rStyle w:val="Refdenotaalpie"/>
          <w:rFonts w:ascii="Verdana" w:hAnsi="Verdana"/>
          <w:sz w:val="20"/>
          <w:szCs w:val="20"/>
          <w:lang w:val="es-ES"/>
        </w:rPr>
        <w:footnoteReference w:id="102"/>
      </w:r>
      <w:r w:rsidR="00326AFB">
        <w:rPr>
          <w:rFonts w:ascii="Verdana" w:hAnsi="Verdana"/>
          <w:sz w:val="20"/>
          <w:szCs w:val="20"/>
          <w:lang w:val="es-ES"/>
        </w:rPr>
        <w:t>,</w:t>
      </w:r>
      <w:r w:rsidR="00E35190" w:rsidRPr="000C279D">
        <w:rPr>
          <w:rFonts w:ascii="Verdana" w:hAnsi="Verdana"/>
          <w:sz w:val="20"/>
          <w:szCs w:val="20"/>
          <w:lang w:val="es-ES"/>
        </w:rPr>
        <w:t xml:space="preserve"> fue adoptada por ciento sesenta y un votos a favor y ocho, en contra. En este punto, es necesario recordar que se requiere que sea reconocida como tal por la generalidad de Estados, sin que sea preciso la unanimidad. Se </w:t>
      </w:r>
      <w:r w:rsidR="00FB7571" w:rsidRPr="000C279D">
        <w:rPr>
          <w:rFonts w:ascii="Verdana" w:hAnsi="Verdana"/>
          <w:sz w:val="20"/>
          <w:szCs w:val="20"/>
          <w:lang w:val="es-ES"/>
        </w:rPr>
        <w:t>colige entonces</w:t>
      </w:r>
      <w:r w:rsidR="00E35190" w:rsidRPr="000C279D">
        <w:rPr>
          <w:rFonts w:ascii="Verdana" w:hAnsi="Verdana"/>
          <w:sz w:val="20"/>
          <w:szCs w:val="20"/>
          <w:lang w:val="es-ES"/>
        </w:rPr>
        <w:t xml:space="preserve"> que la generalidad de Estados se pronunció a favor del reconocimiento como derecho humano, teniendo en cuenta que la resolución no crea ni consagra, sino que declara una realidad preexistente (el derecho humano al medio ambiente limpio, saludable y sostenible), que ya se estaba gestando en múltiples instrumentos internacionales como ha sido desarrollado precedentemente. </w:t>
      </w:r>
    </w:p>
    <w:p w14:paraId="05598793" w14:textId="77777777" w:rsidR="00E35190" w:rsidRPr="000C279D" w:rsidRDefault="00E35190" w:rsidP="00E35190">
      <w:pPr>
        <w:pStyle w:val="Prrafodelista"/>
        <w:rPr>
          <w:rFonts w:ascii="Verdana" w:hAnsi="Verdana"/>
          <w:sz w:val="20"/>
          <w:szCs w:val="20"/>
          <w:lang w:val="es-ES"/>
        </w:rPr>
      </w:pPr>
    </w:p>
    <w:p w14:paraId="56B2BB3D" w14:textId="0AC08C75" w:rsidR="00E35190" w:rsidRPr="000C279D"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86. </w:t>
      </w:r>
      <w:r>
        <w:rPr>
          <w:rFonts w:ascii="Verdana" w:hAnsi="Verdana"/>
          <w:sz w:val="20"/>
          <w:szCs w:val="20"/>
          <w:lang w:val="es-ES"/>
        </w:rPr>
        <w:tab/>
      </w:r>
      <w:r w:rsidR="00E35190" w:rsidRPr="000C279D">
        <w:rPr>
          <w:rFonts w:ascii="Verdana" w:hAnsi="Verdana"/>
          <w:sz w:val="20"/>
          <w:szCs w:val="20"/>
          <w:lang w:val="es-ES"/>
        </w:rPr>
        <w:t xml:space="preserve">En similar sentido, con vocación o pretensión de universalidad se encuentra la Agenda 2030 de Naciones Unidas donde se ha señalado que: “Todos los países la aceptan y se aplica a todos ellos, aunque teniendo en cuenta las diferentes realidades, capacidades y niveles de desarrollo de cada uno </w:t>
      </w:r>
      <w:r w:rsidR="00B451B2">
        <w:rPr>
          <w:rFonts w:ascii="Verdana" w:hAnsi="Verdana"/>
          <w:sz w:val="20"/>
          <w:szCs w:val="20"/>
          <w:lang w:val="es-ES"/>
        </w:rPr>
        <w:t>[</w:t>
      </w:r>
      <w:r w:rsidR="00E35190" w:rsidRPr="000C279D">
        <w:rPr>
          <w:rFonts w:ascii="Verdana" w:hAnsi="Verdana"/>
          <w:sz w:val="20"/>
          <w:szCs w:val="20"/>
          <w:lang w:val="es-ES"/>
        </w:rPr>
        <w:t>…</w:t>
      </w:r>
      <w:r w:rsidR="00B451B2">
        <w:rPr>
          <w:rFonts w:ascii="Verdana" w:hAnsi="Verdana"/>
          <w:sz w:val="20"/>
          <w:szCs w:val="20"/>
          <w:lang w:val="es-ES"/>
        </w:rPr>
        <w:t>]</w:t>
      </w:r>
      <w:r w:rsidR="00E35190" w:rsidRPr="000C279D">
        <w:rPr>
          <w:rFonts w:ascii="Verdana" w:hAnsi="Verdana"/>
          <w:sz w:val="20"/>
          <w:szCs w:val="20"/>
          <w:lang w:val="es-ES"/>
        </w:rPr>
        <w:t xml:space="preserve"> </w:t>
      </w:r>
      <w:r w:rsidR="00B451B2">
        <w:rPr>
          <w:rFonts w:ascii="Verdana" w:hAnsi="Verdana"/>
          <w:sz w:val="20"/>
          <w:szCs w:val="20"/>
          <w:lang w:val="es-ES"/>
        </w:rPr>
        <w:t>[l]</w:t>
      </w:r>
      <w:r w:rsidR="00E35190" w:rsidRPr="000C279D">
        <w:rPr>
          <w:rFonts w:ascii="Verdana" w:hAnsi="Verdana"/>
          <w:sz w:val="20"/>
          <w:szCs w:val="20"/>
          <w:lang w:val="es-ES"/>
        </w:rPr>
        <w:t>os presentes objetivos y metas son universales y afectan al mundo entero, tanto a los países desarrollados como a los países en desarrollo”</w:t>
      </w:r>
      <w:r w:rsidR="00E35190" w:rsidRPr="000C279D">
        <w:rPr>
          <w:rStyle w:val="Refdenotaalpie"/>
          <w:rFonts w:ascii="Verdana" w:hAnsi="Verdana"/>
          <w:sz w:val="20"/>
          <w:szCs w:val="20"/>
          <w:lang w:val="es-ES"/>
        </w:rPr>
        <w:footnoteReference w:id="103"/>
      </w:r>
      <w:r w:rsidR="00326AFB">
        <w:rPr>
          <w:rFonts w:ascii="Verdana" w:hAnsi="Verdana"/>
          <w:sz w:val="20"/>
          <w:szCs w:val="20"/>
          <w:lang w:val="es-ES"/>
        </w:rPr>
        <w:t>.</w:t>
      </w:r>
    </w:p>
    <w:p w14:paraId="21C5ECC7" w14:textId="77777777" w:rsidR="00E35190" w:rsidRPr="000C279D" w:rsidRDefault="00E35190" w:rsidP="00E35190">
      <w:pPr>
        <w:pStyle w:val="Prrafodelista"/>
        <w:rPr>
          <w:rFonts w:ascii="Verdana" w:hAnsi="Verdana"/>
          <w:sz w:val="20"/>
          <w:szCs w:val="20"/>
          <w:lang w:val="es-ES"/>
        </w:rPr>
      </w:pPr>
    </w:p>
    <w:p w14:paraId="41194B0F" w14:textId="79743933" w:rsidR="00E35190" w:rsidRPr="000C279D"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87. </w:t>
      </w:r>
      <w:r>
        <w:rPr>
          <w:rFonts w:ascii="Verdana" w:hAnsi="Verdana"/>
          <w:sz w:val="20"/>
          <w:szCs w:val="20"/>
          <w:lang w:val="es-ES"/>
        </w:rPr>
        <w:tab/>
      </w:r>
      <w:r w:rsidR="00E35190" w:rsidRPr="000C279D">
        <w:rPr>
          <w:rFonts w:ascii="Verdana" w:hAnsi="Verdana"/>
          <w:sz w:val="20"/>
          <w:szCs w:val="20"/>
          <w:lang w:val="es-ES"/>
        </w:rPr>
        <w:t>La primera consecuencia del reconocimiento como derecho humano por la generalidad de Estados en el seno de Naciones Unidas radica en el correlativo deber de respeto y garantía que se pone de cargo de los Estados, que no solo entraña abstención de contaminar, sino medidas positivas de promoción, sobre todo, para evitar que</w:t>
      </w:r>
      <w:r w:rsidR="00FD2A23" w:rsidRPr="000C279D">
        <w:rPr>
          <w:rFonts w:ascii="Verdana" w:hAnsi="Verdana"/>
          <w:sz w:val="20"/>
          <w:szCs w:val="20"/>
          <w:lang w:val="es-ES"/>
        </w:rPr>
        <w:t xml:space="preserve"> estas disposiciones</w:t>
      </w:r>
      <w:r w:rsidR="00E35190" w:rsidRPr="000C279D">
        <w:rPr>
          <w:rFonts w:ascii="Verdana" w:hAnsi="Verdana"/>
          <w:sz w:val="20"/>
          <w:szCs w:val="20"/>
          <w:lang w:val="es-ES"/>
        </w:rPr>
        <w:t xml:space="preserve"> queden vacías de contenido a partir del proceder de aquellos mismos que contribuyen a su formación.</w:t>
      </w:r>
    </w:p>
    <w:p w14:paraId="02616435" w14:textId="77777777" w:rsidR="00E35190" w:rsidRPr="000C279D" w:rsidRDefault="00E35190" w:rsidP="00E35190">
      <w:pPr>
        <w:pStyle w:val="Prrafodelista"/>
        <w:rPr>
          <w:rFonts w:ascii="Verdana" w:hAnsi="Verdana"/>
          <w:sz w:val="20"/>
          <w:szCs w:val="20"/>
          <w:lang w:val="es-ES"/>
        </w:rPr>
      </w:pPr>
    </w:p>
    <w:p w14:paraId="6D4DEBFD" w14:textId="69115949" w:rsidR="00E35190" w:rsidRPr="000C279D"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88. </w:t>
      </w:r>
      <w:r>
        <w:rPr>
          <w:rFonts w:ascii="Verdana" w:hAnsi="Verdana"/>
          <w:sz w:val="20"/>
          <w:szCs w:val="20"/>
          <w:lang w:val="es-ES"/>
        </w:rPr>
        <w:tab/>
      </w:r>
      <w:r w:rsidR="00E35190" w:rsidRPr="000C279D">
        <w:rPr>
          <w:rFonts w:ascii="Verdana" w:hAnsi="Verdana"/>
          <w:sz w:val="20"/>
          <w:szCs w:val="20"/>
          <w:lang w:val="es-ES"/>
        </w:rPr>
        <w:t xml:space="preserve">En tanto la Asamblea General de Naciones Unidas es el órgano más representativo de la comunidad internacional, aquellas decisiones de tono legislativo y sobre los intereses más elevados de la comunidad internacional </w:t>
      </w:r>
      <w:r w:rsidR="00326AFB">
        <w:rPr>
          <w:rFonts w:ascii="Verdana" w:hAnsi="Verdana"/>
          <w:sz w:val="20"/>
          <w:szCs w:val="20"/>
          <w:lang w:val="es-ES"/>
        </w:rPr>
        <w:t>—</w:t>
      </w:r>
      <w:r w:rsidR="00E35190" w:rsidRPr="000C279D">
        <w:rPr>
          <w:rFonts w:ascii="Verdana" w:hAnsi="Verdana"/>
          <w:sz w:val="20"/>
          <w:szCs w:val="20"/>
          <w:lang w:val="es-ES"/>
        </w:rPr>
        <w:t>dentro de los que indudablemente se encuentra la protección del ambiente</w:t>
      </w:r>
      <w:r w:rsidR="00326AFB">
        <w:rPr>
          <w:rFonts w:ascii="Verdana" w:hAnsi="Verdana"/>
          <w:sz w:val="20"/>
          <w:szCs w:val="20"/>
          <w:lang w:val="es-ES"/>
        </w:rPr>
        <w:t>—</w:t>
      </w:r>
      <w:r w:rsidR="00E35190" w:rsidRPr="000C279D">
        <w:rPr>
          <w:rFonts w:ascii="Verdana" w:hAnsi="Verdana"/>
          <w:sz w:val="20"/>
          <w:szCs w:val="20"/>
          <w:lang w:val="es-ES"/>
        </w:rPr>
        <w:t xml:space="preserve"> son aptas para la prueba de la </w:t>
      </w:r>
      <w:r w:rsidR="00E35190" w:rsidRPr="00326AFB">
        <w:rPr>
          <w:rFonts w:ascii="Verdana" w:hAnsi="Verdana"/>
          <w:i/>
          <w:iCs/>
          <w:sz w:val="20"/>
          <w:szCs w:val="20"/>
          <w:lang w:val="es-ES"/>
        </w:rPr>
        <w:t>opinio iuris necessitatis</w:t>
      </w:r>
      <w:r w:rsidR="00E35190" w:rsidRPr="000C279D">
        <w:rPr>
          <w:rFonts w:ascii="Verdana" w:hAnsi="Verdana"/>
          <w:sz w:val="20"/>
          <w:szCs w:val="20"/>
          <w:lang w:val="es-ES"/>
        </w:rPr>
        <w:t xml:space="preserve">. La declaración del órgano más representativo consagrando o reconociendo un derecho humano necesariamente debe incidir, debe tener aplicación práctica, dado que no consiste solamente en una declaración de intención. </w:t>
      </w:r>
    </w:p>
    <w:p w14:paraId="61634597" w14:textId="77777777" w:rsidR="00E35190" w:rsidRPr="000C279D" w:rsidRDefault="00E35190" w:rsidP="00E35190">
      <w:pPr>
        <w:pStyle w:val="Prrafodelista"/>
        <w:rPr>
          <w:rFonts w:ascii="Verdana" w:hAnsi="Verdana"/>
          <w:sz w:val="20"/>
          <w:szCs w:val="20"/>
          <w:highlight w:val="yellow"/>
          <w:lang w:val="es-ES"/>
        </w:rPr>
      </w:pPr>
    </w:p>
    <w:p w14:paraId="3871AC5D" w14:textId="13B96DFE" w:rsidR="00E35190" w:rsidRPr="000C279D"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89. </w:t>
      </w:r>
      <w:r>
        <w:rPr>
          <w:rFonts w:ascii="Verdana" w:hAnsi="Verdana"/>
          <w:sz w:val="20"/>
          <w:szCs w:val="20"/>
          <w:lang w:val="es-ES"/>
        </w:rPr>
        <w:tab/>
      </w:r>
      <w:r w:rsidR="00E35190" w:rsidRPr="000C279D">
        <w:rPr>
          <w:rFonts w:ascii="Verdana" w:hAnsi="Verdana"/>
          <w:sz w:val="20"/>
          <w:szCs w:val="20"/>
          <w:lang w:val="es-ES"/>
        </w:rPr>
        <w:t xml:space="preserve">La Corte Internacional de Justicia ha derivado la </w:t>
      </w:r>
      <w:r w:rsidR="00E35190" w:rsidRPr="00E97C4F">
        <w:rPr>
          <w:rFonts w:ascii="Verdana" w:hAnsi="Verdana"/>
          <w:i/>
          <w:iCs/>
          <w:sz w:val="20"/>
          <w:szCs w:val="20"/>
          <w:lang w:val="es-ES"/>
        </w:rPr>
        <w:t>opinio iuris necessitatis</w:t>
      </w:r>
      <w:r w:rsidR="00E35190" w:rsidRPr="000C279D">
        <w:rPr>
          <w:rFonts w:ascii="Verdana" w:hAnsi="Verdana"/>
          <w:sz w:val="20"/>
          <w:szCs w:val="20"/>
          <w:lang w:val="es-ES"/>
        </w:rPr>
        <w:t xml:space="preserve"> de la conducta de las partes y de otros Estados frente a resoluciones y declaraciones internacionales. Referida a la prohibición del uso de la fuerza, en el </w:t>
      </w:r>
      <w:r w:rsidR="00E35190" w:rsidRPr="00326AFB">
        <w:rPr>
          <w:rFonts w:ascii="Verdana" w:hAnsi="Verdana"/>
          <w:i/>
          <w:iCs/>
          <w:sz w:val="20"/>
          <w:szCs w:val="20"/>
          <w:lang w:val="es-ES"/>
        </w:rPr>
        <w:t xml:space="preserve">caso Nicaragua vs. Estados Unidos </w:t>
      </w:r>
      <w:r w:rsidR="00E35190" w:rsidRPr="000C279D">
        <w:rPr>
          <w:rFonts w:ascii="Verdana" w:hAnsi="Verdana"/>
          <w:sz w:val="20"/>
          <w:szCs w:val="20"/>
          <w:lang w:val="es-ES"/>
        </w:rPr>
        <w:t>señaló:</w:t>
      </w:r>
    </w:p>
    <w:p w14:paraId="7BEE44F2" w14:textId="77777777" w:rsidR="00E35190" w:rsidRPr="000C279D" w:rsidRDefault="00E35190" w:rsidP="00E35190">
      <w:pPr>
        <w:pStyle w:val="Prrafodelista"/>
        <w:rPr>
          <w:rFonts w:ascii="Verdana" w:hAnsi="Verdana"/>
          <w:sz w:val="20"/>
          <w:szCs w:val="20"/>
          <w:highlight w:val="yellow"/>
          <w:lang w:val="es-ES"/>
        </w:rPr>
      </w:pPr>
    </w:p>
    <w:p w14:paraId="7ED7FDF5" w14:textId="11BE2D69" w:rsidR="00E35190" w:rsidRPr="000C279D" w:rsidRDefault="00E35190" w:rsidP="00B451B2">
      <w:pPr>
        <w:pStyle w:val="Prrafodelista"/>
        <w:ind w:left="709" w:right="645"/>
        <w:jc w:val="both"/>
        <w:rPr>
          <w:rFonts w:ascii="Verdana" w:hAnsi="Verdana"/>
          <w:sz w:val="18"/>
          <w:szCs w:val="18"/>
          <w:lang w:val="es-ES"/>
        </w:rPr>
      </w:pPr>
      <w:r w:rsidRPr="000C279D">
        <w:rPr>
          <w:rFonts w:ascii="Verdana" w:hAnsi="Verdana"/>
          <w:sz w:val="18"/>
          <w:szCs w:val="18"/>
          <w:lang w:val="es-ES"/>
        </w:rPr>
        <w:t xml:space="preserve">[P]uede atribuirse semejante valor de opinio iuris al apoyo prestado a la resolución de la Sexta Conferencia Interamericana (18 de febrero de 1928) en que se condena la agresión </w:t>
      </w:r>
      <w:r w:rsidR="00B451B2">
        <w:rPr>
          <w:rFonts w:ascii="Verdana" w:hAnsi="Verdana"/>
          <w:sz w:val="18"/>
          <w:szCs w:val="18"/>
          <w:lang w:val="es-ES"/>
        </w:rPr>
        <w:t>[</w:t>
      </w:r>
      <w:r w:rsidRPr="000C279D">
        <w:rPr>
          <w:rFonts w:ascii="Verdana" w:hAnsi="Verdana"/>
          <w:sz w:val="18"/>
          <w:szCs w:val="18"/>
          <w:lang w:val="es-ES"/>
        </w:rPr>
        <w:t>…</w:t>
      </w:r>
      <w:r w:rsidR="00B451B2">
        <w:rPr>
          <w:rFonts w:ascii="Verdana" w:hAnsi="Verdana"/>
          <w:sz w:val="18"/>
          <w:szCs w:val="18"/>
          <w:lang w:val="es-ES"/>
        </w:rPr>
        <w:t>]</w:t>
      </w:r>
      <w:r w:rsidRPr="000C279D">
        <w:rPr>
          <w:rFonts w:ascii="Verdana" w:hAnsi="Verdana"/>
          <w:sz w:val="18"/>
          <w:szCs w:val="18"/>
          <w:lang w:val="es-ES"/>
        </w:rPr>
        <w:t xml:space="preserve"> </w:t>
      </w:r>
      <w:r w:rsidR="00B451B2">
        <w:rPr>
          <w:rFonts w:ascii="Verdana" w:hAnsi="Verdana"/>
          <w:sz w:val="18"/>
          <w:szCs w:val="18"/>
          <w:lang w:val="es-ES"/>
        </w:rPr>
        <w:t>[n]</w:t>
      </w:r>
      <w:r w:rsidRPr="000C279D">
        <w:rPr>
          <w:rFonts w:ascii="Verdana" w:hAnsi="Verdana"/>
          <w:sz w:val="18"/>
          <w:szCs w:val="18"/>
          <w:lang w:val="es-ES"/>
        </w:rPr>
        <w:t xml:space="preserve">o menos significativa es su aceptación del principio de prohibición de la fuerza contenido en la Declaración sobre Principios que rigen las Relaciones Mutuas de los Estados participantes en la conferencia sobre Seguridad y Cooperación Europea </w:t>
      </w:r>
      <w:r w:rsidR="00B451B2">
        <w:rPr>
          <w:rFonts w:ascii="Verdana" w:hAnsi="Verdana"/>
          <w:sz w:val="18"/>
          <w:szCs w:val="18"/>
          <w:lang w:val="es-ES"/>
        </w:rPr>
        <w:t>[</w:t>
      </w:r>
      <w:r w:rsidRPr="000C279D">
        <w:rPr>
          <w:rFonts w:ascii="Verdana" w:hAnsi="Verdana"/>
          <w:sz w:val="18"/>
          <w:szCs w:val="18"/>
          <w:lang w:val="es-ES"/>
        </w:rPr>
        <w:t>…</w:t>
      </w:r>
      <w:r w:rsidR="00B451B2">
        <w:rPr>
          <w:rFonts w:ascii="Verdana" w:hAnsi="Verdana"/>
          <w:sz w:val="18"/>
          <w:szCs w:val="18"/>
          <w:lang w:val="es-ES"/>
        </w:rPr>
        <w:t>]</w:t>
      </w:r>
      <w:r w:rsidRPr="000C279D">
        <w:rPr>
          <w:rFonts w:ascii="Verdana" w:hAnsi="Verdana"/>
          <w:sz w:val="18"/>
          <w:szCs w:val="18"/>
          <w:lang w:val="es-ES"/>
        </w:rPr>
        <w:t xml:space="preserve"> </w:t>
      </w:r>
      <w:r w:rsidRPr="000C279D">
        <w:rPr>
          <w:rFonts w:ascii="Verdana" w:hAnsi="Verdana"/>
          <w:sz w:val="18"/>
          <w:szCs w:val="18"/>
          <w:u w:val="single"/>
          <w:lang w:val="es-ES"/>
        </w:rPr>
        <w:t>La aceptación de tal fórmula confirma la existencia de una opinio iuris que prohíbe el empleo de la fuerza en las relaciones internacionales, atribuibles a los Estados participantes.</w:t>
      </w:r>
      <w:r w:rsidR="005E63ED">
        <w:rPr>
          <w:rFonts w:ascii="Verdana" w:hAnsi="Verdana"/>
          <w:sz w:val="18"/>
          <w:szCs w:val="18"/>
          <w:lang w:val="es-ES"/>
        </w:rPr>
        <w:t>.</w:t>
      </w:r>
    </w:p>
    <w:p w14:paraId="3F369E8F" w14:textId="77777777" w:rsidR="00E35190" w:rsidRPr="000C279D" w:rsidRDefault="00E35190" w:rsidP="00B451B2">
      <w:pPr>
        <w:pStyle w:val="Prrafodelista"/>
        <w:ind w:left="709" w:right="645"/>
        <w:jc w:val="both"/>
        <w:rPr>
          <w:rFonts w:ascii="Verdana" w:hAnsi="Verdana"/>
          <w:sz w:val="18"/>
          <w:szCs w:val="18"/>
          <w:lang w:val="es-ES"/>
        </w:rPr>
      </w:pPr>
    </w:p>
    <w:p w14:paraId="2D6DA5D9" w14:textId="1C333390" w:rsidR="00E35190" w:rsidRPr="000C279D" w:rsidRDefault="00E35190" w:rsidP="00B451B2">
      <w:pPr>
        <w:pStyle w:val="Prrafodelista"/>
        <w:ind w:left="709" w:right="645"/>
        <w:jc w:val="both"/>
        <w:rPr>
          <w:rFonts w:ascii="Verdana" w:hAnsi="Verdana"/>
          <w:sz w:val="18"/>
          <w:szCs w:val="18"/>
          <w:lang w:val="es-ES"/>
        </w:rPr>
      </w:pPr>
      <w:r w:rsidRPr="000C279D">
        <w:rPr>
          <w:rFonts w:ascii="Verdana" w:hAnsi="Verdana"/>
          <w:sz w:val="18"/>
          <w:szCs w:val="18"/>
          <w:lang w:val="es-ES"/>
        </w:rPr>
        <w:t xml:space="preserve">Una prueba adicional de la validez, en cuanto derecho consuetudinario, del principio de la prohibición del uso de la fuerza </w:t>
      </w:r>
      <w:r w:rsidR="00B451B2">
        <w:rPr>
          <w:rFonts w:ascii="Verdana" w:hAnsi="Verdana"/>
          <w:sz w:val="18"/>
          <w:szCs w:val="18"/>
          <w:lang w:val="es-ES"/>
        </w:rPr>
        <w:t>[</w:t>
      </w:r>
      <w:r w:rsidRPr="000C279D">
        <w:rPr>
          <w:rFonts w:ascii="Verdana" w:hAnsi="Verdana"/>
          <w:sz w:val="18"/>
          <w:szCs w:val="18"/>
          <w:lang w:val="es-ES"/>
        </w:rPr>
        <w:t>…</w:t>
      </w:r>
      <w:r w:rsidR="00B451B2">
        <w:rPr>
          <w:rFonts w:ascii="Verdana" w:hAnsi="Verdana"/>
          <w:sz w:val="18"/>
          <w:szCs w:val="18"/>
          <w:lang w:val="es-ES"/>
        </w:rPr>
        <w:t>]</w:t>
      </w:r>
      <w:r w:rsidRPr="000C279D">
        <w:rPr>
          <w:rFonts w:ascii="Verdana" w:hAnsi="Verdana"/>
          <w:sz w:val="18"/>
          <w:szCs w:val="18"/>
          <w:lang w:val="es-ES"/>
        </w:rPr>
        <w:t xml:space="preserve"> se puede hallar </w:t>
      </w:r>
      <w:r w:rsidRPr="000C279D">
        <w:rPr>
          <w:rFonts w:ascii="Verdana" w:hAnsi="Verdana"/>
          <w:sz w:val="18"/>
          <w:szCs w:val="18"/>
          <w:u w:val="single"/>
          <w:lang w:val="es-ES"/>
        </w:rPr>
        <w:t>en el hecho de que éste es frecuentemente mencionado en las declaraciones de los representantes de los Estados</w:t>
      </w:r>
      <w:r w:rsidRPr="000C279D">
        <w:rPr>
          <w:rFonts w:ascii="Verdana" w:hAnsi="Verdana"/>
          <w:sz w:val="18"/>
          <w:szCs w:val="18"/>
          <w:lang w:val="es-ES"/>
        </w:rPr>
        <w:t>, no solo como principio de derecho internacional consuetudinario, sino también como un principio fundamental o básico de este derecho</w:t>
      </w:r>
      <w:r w:rsidRPr="000C279D">
        <w:rPr>
          <w:rStyle w:val="Refdenotaalpie"/>
          <w:rFonts w:ascii="Verdana" w:hAnsi="Verdana"/>
          <w:sz w:val="18"/>
          <w:szCs w:val="18"/>
          <w:lang w:val="es-ES"/>
        </w:rPr>
        <w:footnoteReference w:id="104"/>
      </w:r>
      <w:r w:rsidR="005E63ED">
        <w:rPr>
          <w:rFonts w:ascii="Verdana" w:hAnsi="Verdana"/>
          <w:sz w:val="18"/>
          <w:szCs w:val="18"/>
          <w:lang w:val="es-ES"/>
        </w:rPr>
        <w:t>.</w:t>
      </w:r>
      <w:r w:rsidRPr="000C279D">
        <w:rPr>
          <w:rFonts w:ascii="Verdana" w:hAnsi="Verdana"/>
          <w:sz w:val="18"/>
          <w:szCs w:val="18"/>
          <w:lang w:val="es-ES"/>
        </w:rPr>
        <w:t xml:space="preserve"> </w:t>
      </w:r>
    </w:p>
    <w:p w14:paraId="62803DC3" w14:textId="77777777" w:rsidR="00E35190" w:rsidRPr="000C279D" w:rsidRDefault="00E35190" w:rsidP="00B451B2">
      <w:pPr>
        <w:pStyle w:val="Prrafodelista"/>
        <w:ind w:left="709" w:right="645"/>
        <w:jc w:val="both"/>
        <w:rPr>
          <w:rFonts w:ascii="Verdana" w:hAnsi="Verdana"/>
          <w:sz w:val="18"/>
          <w:szCs w:val="18"/>
          <w:lang w:val="es-ES"/>
        </w:rPr>
      </w:pPr>
    </w:p>
    <w:p w14:paraId="6CCE4A10" w14:textId="09F9AC17" w:rsidR="00E35190" w:rsidRPr="000C279D" w:rsidRDefault="00B451B2" w:rsidP="00B451B2">
      <w:pPr>
        <w:pStyle w:val="Prrafodelista"/>
        <w:ind w:left="709" w:right="645"/>
        <w:jc w:val="both"/>
        <w:rPr>
          <w:rFonts w:ascii="Verdana" w:hAnsi="Verdana"/>
          <w:sz w:val="18"/>
          <w:szCs w:val="18"/>
          <w:lang w:val="es-ES"/>
        </w:rPr>
      </w:pPr>
      <w:r>
        <w:rPr>
          <w:rFonts w:ascii="Verdana" w:hAnsi="Verdana"/>
          <w:sz w:val="18"/>
          <w:szCs w:val="18"/>
          <w:lang w:val="es-ES"/>
        </w:rPr>
        <w:t>[</w:t>
      </w:r>
      <w:r w:rsidR="00E35190" w:rsidRPr="000C279D">
        <w:rPr>
          <w:rFonts w:ascii="Verdana" w:hAnsi="Verdana"/>
          <w:sz w:val="18"/>
          <w:szCs w:val="18"/>
          <w:lang w:val="es-ES"/>
        </w:rPr>
        <w:t>…</w:t>
      </w:r>
      <w:r>
        <w:rPr>
          <w:rFonts w:ascii="Verdana" w:hAnsi="Verdana"/>
          <w:sz w:val="18"/>
          <w:szCs w:val="18"/>
          <w:lang w:val="es-ES"/>
        </w:rPr>
        <w:t>][p]</w:t>
      </w:r>
      <w:r w:rsidR="00E35190" w:rsidRPr="000C279D">
        <w:rPr>
          <w:rFonts w:ascii="Verdana" w:hAnsi="Verdana"/>
          <w:sz w:val="18"/>
          <w:szCs w:val="18"/>
          <w:lang w:val="es-ES"/>
        </w:rPr>
        <w:t>ara determinar la norma jurídica que se aplica a estas últimas formas, la Corte puede recurrir nuevamente a las formulaciones contenidas en la Declaración sobre los principios de derecho internacional relativos a las relaciones de amistad y a la cooperación entre los Estados de conformidad con la Carta de las Naciones Unidas (resolución 2625 (XXV) de la Asamblea Genera</w:t>
      </w:r>
      <w:r w:rsidR="001774B5" w:rsidRPr="000C279D">
        <w:rPr>
          <w:rFonts w:ascii="Verdana" w:hAnsi="Verdana"/>
          <w:sz w:val="18"/>
          <w:szCs w:val="18"/>
          <w:lang w:val="es-ES"/>
        </w:rPr>
        <w:t>l</w:t>
      </w:r>
      <w:r w:rsidR="00E35190" w:rsidRPr="000C279D">
        <w:rPr>
          <w:rFonts w:ascii="Verdana" w:hAnsi="Verdana"/>
          <w:sz w:val="18"/>
          <w:szCs w:val="18"/>
          <w:lang w:val="es-ES"/>
        </w:rPr>
        <w:t xml:space="preserve"> antes mencionada)</w:t>
      </w:r>
      <w:r>
        <w:rPr>
          <w:rFonts w:ascii="Verdana" w:hAnsi="Verdana"/>
          <w:sz w:val="18"/>
          <w:szCs w:val="18"/>
          <w:lang w:val="es-ES"/>
        </w:rPr>
        <w:t>.</w:t>
      </w:r>
      <w:r w:rsidR="00E35190" w:rsidRPr="000C279D">
        <w:rPr>
          <w:rFonts w:ascii="Verdana" w:hAnsi="Verdana"/>
          <w:sz w:val="18"/>
          <w:szCs w:val="18"/>
          <w:lang w:val="es-ES"/>
        </w:rPr>
        <w:t xml:space="preserve"> Como ya se ha observado, la adopción por los Estados de este texto ofrece una indicación de su opinio iuris en cuanto al derecho internacional consuetudinario sobre la cuestión.</w:t>
      </w:r>
      <w:r w:rsidRPr="00B451B2">
        <w:rPr>
          <w:rFonts w:ascii="Verdana" w:hAnsi="Verdana"/>
          <w:sz w:val="18"/>
          <w:szCs w:val="18"/>
          <w:lang w:val="es-ES"/>
        </w:rPr>
        <w:t xml:space="preserve"> </w:t>
      </w:r>
      <w:r w:rsidRPr="000C279D">
        <w:rPr>
          <w:rFonts w:ascii="Verdana" w:hAnsi="Verdana"/>
          <w:sz w:val="18"/>
          <w:szCs w:val="18"/>
          <w:lang w:val="es-ES"/>
        </w:rPr>
        <w:t>(</w:t>
      </w:r>
      <w:r>
        <w:rPr>
          <w:rFonts w:ascii="Verdana" w:hAnsi="Verdana"/>
          <w:sz w:val="18"/>
          <w:szCs w:val="18"/>
          <w:lang w:val="es-ES"/>
        </w:rPr>
        <w:t>É</w:t>
      </w:r>
      <w:r w:rsidRPr="000C279D">
        <w:rPr>
          <w:rFonts w:ascii="Verdana" w:hAnsi="Verdana"/>
          <w:sz w:val="18"/>
          <w:szCs w:val="18"/>
          <w:lang w:val="es-ES"/>
        </w:rPr>
        <w:t>nfasis añadido)</w:t>
      </w:r>
    </w:p>
    <w:p w14:paraId="40FC3B0D" w14:textId="77777777" w:rsidR="00E35190" w:rsidRPr="000322E4" w:rsidRDefault="00E35190" w:rsidP="00E35190">
      <w:pPr>
        <w:pStyle w:val="Prrafodelista"/>
        <w:rPr>
          <w:rFonts w:ascii="Verdana" w:hAnsi="Verdana"/>
          <w:color w:val="00B050"/>
          <w:sz w:val="20"/>
          <w:szCs w:val="20"/>
          <w:lang w:val="es-ES"/>
        </w:rPr>
      </w:pPr>
    </w:p>
    <w:p w14:paraId="277249A6" w14:textId="326A576D" w:rsidR="00E35190" w:rsidRPr="00E60A90" w:rsidRDefault="00AF63FA" w:rsidP="00AF63FA">
      <w:pPr>
        <w:pStyle w:val="Prrafodelista"/>
        <w:ind w:left="0"/>
        <w:jc w:val="both"/>
        <w:rPr>
          <w:rFonts w:ascii="Verdana" w:hAnsi="Verdana"/>
          <w:color w:val="00B050"/>
          <w:sz w:val="20"/>
          <w:szCs w:val="20"/>
          <w:lang w:val="es-ES"/>
        </w:rPr>
      </w:pPr>
      <w:r>
        <w:rPr>
          <w:rFonts w:ascii="Verdana" w:hAnsi="Verdana"/>
          <w:sz w:val="20"/>
          <w:szCs w:val="20"/>
          <w:lang w:val="es-ES"/>
        </w:rPr>
        <w:t xml:space="preserve">90. </w:t>
      </w:r>
      <w:r>
        <w:rPr>
          <w:rFonts w:ascii="Verdana" w:hAnsi="Verdana"/>
          <w:sz w:val="20"/>
          <w:szCs w:val="20"/>
          <w:lang w:val="es-ES"/>
        </w:rPr>
        <w:tab/>
      </w:r>
      <w:r w:rsidR="00E35190" w:rsidRPr="00DC6A09">
        <w:rPr>
          <w:rFonts w:ascii="Verdana" w:hAnsi="Verdana"/>
          <w:sz w:val="20"/>
          <w:szCs w:val="20"/>
          <w:lang w:val="es-ES"/>
        </w:rPr>
        <w:t xml:space="preserve">En cuanto a la prueba sobre la aceptación y el reconocimiento, la Comisión de Derecho Internacional ha indicado que constituyen prueba, </w:t>
      </w:r>
      <w:r w:rsidR="00E35190" w:rsidRPr="008E72FA">
        <w:rPr>
          <w:rFonts w:ascii="Verdana" w:hAnsi="Verdana"/>
          <w:i/>
          <w:sz w:val="20"/>
          <w:szCs w:val="20"/>
          <w:lang w:val="es-ES"/>
        </w:rPr>
        <w:t>inter alia</w:t>
      </w:r>
      <w:r w:rsidR="00E35190" w:rsidRPr="00DC6A09">
        <w:rPr>
          <w:rFonts w:ascii="Verdana" w:hAnsi="Verdana"/>
          <w:sz w:val="20"/>
          <w:szCs w:val="20"/>
          <w:lang w:val="es-ES"/>
        </w:rPr>
        <w:t>, las declaraciones públicas hechas en nombre de los Estados, las publicaciones oficiales, dictámenes gubernamentales, correspondencia diplomática, normas constitucionales, legislativas o administrativas, jurisprudencia nacional, resoluciones aprobadas por una organización internacional o conferencia intergubernamental</w:t>
      </w:r>
      <w:r w:rsidR="00E35190" w:rsidRPr="00DC6A09">
        <w:rPr>
          <w:rStyle w:val="Refdenotaalpie"/>
          <w:rFonts w:ascii="Verdana" w:hAnsi="Verdana"/>
          <w:sz w:val="20"/>
          <w:szCs w:val="20"/>
          <w:lang w:val="es-ES"/>
        </w:rPr>
        <w:footnoteReference w:id="105"/>
      </w:r>
      <w:r w:rsidR="00326AFB">
        <w:rPr>
          <w:rFonts w:ascii="Verdana" w:hAnsi="Verdana"/>
          <w:sz w:val="20"/>
          <w:szCs w:val="20"/>
          <w:lang w:val="es-ES"/>
        </w:rPr>
        <w:t>.</w:t>
      </w:r>
      <w:r w:rsidR="00E35190" w:rsidRPr="00DC6A09">
        <w:rPr>
          <w:rFonts w:ascii="Verdana" w:hAnsi="Verdana"/>
          <w:sz w:val="20"/>
          <w:szCs w:val="20"/>
          <w:lang w:val="es-ES"/>
        </w:rPr>
        <w:t xml:space="preserve"> Pues bien, el amplio catálogo de instrumentos internacionales de diversos foros, evidencia que la comunidad internacional ha convenido la aceptación y reconocimiento de la protección del medio ambiente como una obligación jurídica de los Estados</w:t>
      </w:r>
      <w:r w:rsidR="00E35190">
        <w:rPr>
          <w:rFonts w:ascii="Verdana" w:hAnsi="Verdana"/>
          <w:color w:val="00B050"/>
          <w:sz w:val="20"/>
          <w:szCs w:val="20"/>
          <w:lang w:val="es-ES"/>
        </w:rPr>
        <w:t xml:space="preserve">. </w:t>
      </w:r>
    </w:p>
    <w:p w14:paraId="66803CAB" w14:textId="77777777" w:rsidR="00E35190" w:rsidRDefault="00E35190" w:rsidP="00E35190">
      <w:pPr>
        <w:pStyle w:val="Prrafodelista"/>
        <w:ind w:left="0"/>
        <w:jc w:val="both"/>
        <w:rPr>
          <w:rFonts w:ascii="Verdana" w:hAnsi="Verdana"/>
          <w:sz w:val="20"/>
          <w:szCs w:val="20"/>
          <w:lang w:val="es-ES"/>
        </w:rPr>
      </w:pPr>
    </w:p>
    <w:p w14:paraId="60A46461" w14:textId="03E62ACA"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91. </w:t>
      </w:r>
      <w:r>
        <w:rPr>
          <w:rFonts w:ascii="Verdana" w:hAnsi="Verdana"/>
          <w:sz w:val="20"/>
          <w:szCs w:val="20"/>
          <w:lang w:val="es-ES"/>
        </w:rPr>
        <w:tab/>
      </w:r>
      <w:r w:rsidR="00E35190">
        <w:rPr>
          <w:rFonts w:ascii="Verdana" w:hAnsi="Verdana"/>
          <w:sz w:val="20"/>
          <w:szCs w:val="20"/>
          <w:lang w:val="es-ES"/>
        </w:rPr>
        <w:t xml:space="preserve">La obligación internacional de protección del medio ambiente como norma de </w:t>
      </w:r>
      <w:r w:rsidR="00E35190" w:rsidRPr="00D07038">
        <w:rPr>
          <w:rFonts w:ascii="Verdana" w:hAnsi="Verdana"/>
          <w:i/>
          <w:iCs/>
          <w:sz w:val="20"/>
          <w:szCs w:val="20"/>
          <w:lang w:val="es-ES"/>
        </w:rPr>
        <w:t>jus cogens</w:t>
      </w:r>
      <w:r w:rsidR="00E35190">
        <w:rPr>
          <w:rFonts w:ascii="Verdana" w:hAnsi="Verdana"/>
          <w:sz w:val="20"/>
          <w:szCs w:val="20"/>
          <w:lang w:val="es-ES"/>
        </w:rPr>
        <w:t xml:space="preserve"> deviene garante del orden jurídico internacional, condensa principios necesarios o consustanciales al orden jurídico internacional porque de su respeto depende</w:t>
      </w:r>
      <w:r w:rsidR="0071518B">
        <w:rPr>
          <w:rFonts w:ascii="Verdana" w:hAnsi="Verdana"/>
          <w:sz w:val="20"/>
          <w:szCs w:val="20"/>
          <w:lang w:val="es-ES"/>
        </w:rPr>
        <w:t>,</w:t>
      </w:r>
      <w:r w:rsidR="00E35190">
        <w:rPr>
          <w:rFonts w:ascii="Verdana" w:hAnsi="Verdana"/>
          <w:sz w:val="20"/>
          <w:szCs w:val="20"/>
          <w:lang w:val="es-ES"/>
        </w:rPr>
        <w:t xml:space="preserve"> entre otras</w:t>
      </w:r>
      <w:r w:rsidR="0071518B">
        <w:rPr>
          <w:rFonts w:ascii="Verdana" w:hAnsi="Verdana"/>
          <w:sz w:val="20"/>
          <w:szCs w:val="20"/>
          <w:lang w:val="es-ES"/>
        </w:rPr>
        <w:t>,</w:t>
      </w:r>
      <w:r w:rsidR="00DA6E2C">
        <w:rPr>
          <w:rFonts w:ascii="Verdana" w:hAnsi="Verdana"/>
          <w:sz w:val="20"/>
          <w:szCs w:val="20"/>
          <w:lang w:val="es-ES"/>
        </w:rPr>
        <w:t xml:space="preserve"> de</w:t>
      </w:r>
      <w:r w:rsidR="00E35190">
        <w:rPr>
          <w:rFonts w:ascii="Verdana" w:hAnsi="Verdana"/>
          <w:sz w:val="20"/>
          <w:szCs w:val="20"/>
          <w:lang w:val="es-ES"/>
        </w:rPr>
        <w:t xml:space="preserve"> la seguridad internacional</w:t>
      </w:r>
      <w:r w:rsidR="00E35190">
        <w:rPr>
          <w:rStyle w:val="Refdenotaalpie"/>
          <w:rFonts w:ascii="Verdana" w:hAnsi="Verdana"/>
          <w:sz w:val="20"/>
          <w:szCs w:val="20"/>
          <w:lang w:val="es-ES"/>
        </w:rPr>
        <w:footnoteReference w:id="106"/>
      </w:r>
      <w:r w:rsidR="00326AFB">
        <w:rPr>
          <w:rFonts w:ascii="Verdana" w:hAnsi="Verdana"/>
          <w:sz w:val="20"/>
          <w:szCs w:val="20"/>
          <w:lang w:val="es-ES"/>
        </w:rPr>
        <w:t>,</w:t>
      </w:r>
      <w:r w:rsidR="00E35190">
        <w:rPr>
          <w:rFonts w:ascii="Verdana" w:hAnsi="Verdana"/>
          <w:sz w:val="20"/>
          <w:szCs w:val="20"/>
          <w:lang w:val="es-ES"/>
        </w:rPr>
        <w:t xml:space="preserve"> así como la subsistencia de la especie humana y de la comunidad de Estados tal como la conocemos. Entonces, no se puede concebir, tolerar ni justificar racionalmente y de buena fe que se realicen actos que pongan en riesgo la integridad del medio ambiente, porque ello supone destruir el cimiento o la base sobre la que se desarrolla la vida humana y todas sus dimensiones.  </w:t>
      </w:r>
    </w:p>
    <w:p w14:paraId="1DABCB89" w14:textId="77777777" w:rsidR="00E35190" w:rsidRPr="00FE663B" w:rsidRDefault="00E35190" w:rsidP="00E35190">
      <w:pPr>
        <w:pStyle w:val="Prrafodelista"/>
        <w:rPr>
          <w:rFonts w:ascii="Verdana" w:hAnsi="Verdana"/>
          <w:sz w:val="20"/>
          <w:szCs w:val="20"/>
          <w:lang w:val="es-ES"/>
        </w:rPr>
      </w:pPr>
    </w:p>
    <w:p w14:paraId="62AC08A1" w14:textId="7615EE33"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92. </w:t>
      </w:r>
      <w:r>
        <w:rPr>
          <w:rFonts w:ascii="Verdana" w:hAnsi="Verdana"/>
          <w:sz w:val="20"/>
          <w:szCs w:val="20"/>
          <w:lang w:val="es-ES"/>
        </w:rPr>
        <w:tab/>
      </w:r>
      <w:r w:rsidR="00E35190">
        <w:rPr>
          <w:rFonts w:ascii="Verdana" w:hAnsi="Verdana"/>
          <w:sz w:val="20"/>
          <w:szCs w:val="20"/>
          <w:lang w:val="es-ES"/>
        </w:rPr>
        <w:t>Esta cristalización se aprecia también, como ya se ha señalado, en los múltiples instrumentos de protección del ambiente o de sus componentes en particular</w:t>
      </w:r>
      <w:r w:rsidR="00E35190">
        <w:rPr>
          <w:rStyle w:val="Refdenotaalpie"/>
          <w:rFonts w:ascii="Verdana" w:eastAsiaTheme="majorEastAsia" w:hAnsi="Verdana"/>
          <w:sz w:val="20"/>
          <w:szCs w:val="20"/>
          <w:lang w:val="es-ES"/>
        </w:rPr>
        <w:footnoteReference w:id="107"/>
      </w:r>
      <w:r w:rsidR="00E35190">
        <w:rPr>
          <w:rFonts w:ascii="Verdana" w:hAnsi="Verdana"/>
          <w:sz w:val="20"/>
          <w:szCs w:val="20"/>
          <w:lang w:val="es-ES"/>
        </w:rPr>
        <w:t xml:space="preserve">, los que además de evidenciar la preocupación internacional al respecto, reflejan el valor que la comunidad internacional ha dado al medio ambiente, conscientes de las drásticas consecuencias que su deterioro apareja para la continuidad de la vida tal como la conocemos. </w:t>
      </w:r>
    </w:p>
    <w:p w14:paraId="7CD3FBB9" w14:textId="77777777" w:rsidR="00E35190" w:rsidRPr="00C67F66" w:rsidRDefault="00E35190" w:rsidP="00E35190">
      <w:pPr>
        <w:rPr>
          <w:rFonts w:ascii="Verdana" w:hAnsi="Verdana"/>
          <w:b/>
          <w:bCs/>
          <w:color w:val="00B050"/>
          <w:sz w:val="20"/>
          <w:szCs w:val="20"/>
          <w:lang w:val="es-ES"/>
        </w:rPr>
      </w:pPr>
    </w:p>
    <w:p w14:paraId="6B6CF658" w14:textId="188375BD"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93. </w:t>
      </w:r>
      <w:r>
        <w:rPr>
          <w:rFonts w:ascii="Verdana" w:hAnsi="Verdana"/>
          <w:sz w:val="20"/>
          <w:szCs w:val="20"/>
          <w:lang w:val="es-ES"/>
        </w:rPr>
        <w:tab/>
      </w:r>
      <w:r w:rsidR="00E35190">
        <w:rPr>
          <w:rFonts w:ascii="Verdana" w:hAnsi="Verdana"/>
          <w:sz w:val="20"/>
          <w:szCs w:val="20"/>
          <w:lang w:val="es-ES"/>
        </w:rPr>
        <w:t xml:space="preserve">En consecuencia, es necesario </w:t>
      </w:r>
      <w:r w:rsidR="00DC6A09">
        <w:rPr>
          <w:rFonts w:ascii="Verdana" w:hAnsi="Verdana"/>
          <w:sz w:val="20"/>
          <w:szCs w:val="20"/>
          <w:lang w:val="es-ES"/>
        </w:rPr>
        <w:t xml:space="preserve">consignar </w:t>
      </w:r>
      <w:r w:rsidR="00E35190">
        <w:rPr>
          <w:rFonts w:ascii="Verdana" w:hAnsi="Verdana"/>
          <w:sz w:val="20"/>
          <w:szCs w:val="20"/>
          <w:lang w:val="es-ES"/>
        </w:rPr>
        <w:t xml:space="preserve">que </w:t>
      </w:r>
      <w:r w:rsidR="00DC6A09">
        <w:rPr>
          <w:rFonts w:ascii="Verdana" w:hAnsi="Verdana"/>
          <w:sz w:val="20"/>
          <w:szCs w:val="20"/>
          <w:lang w:val="es-ES"/>
        </w:rPr>
        <w:t xml:space="preserve">para </w:t>
      </w:r>
      <w:r w:rsidR="00E35190">
        <w:rPr>
          <w:rFonts w:ascii="Verdana" w:hAnsi="Verdana"/>
          <w:sz w:val="20"/>
          <w:szCs w:val="20"/>
          <w:lang w:val="es-ES"/>
        </w:rPr>
        <w:t xml:space="preserve">la comunidad internacional no existen razones válidas para desconocer esta obligación de protección como norma de </w:t>
      </w:r>
      <w:r w:rsidR="00E35190" w:rsidRPr="00D07038">
        <w:rPr>
          <w:rFonts w:ascii="Verdana" w:hAnsi="Verdana"/>
          <w:i/>
          <w:iCs/>
          <w:sz w:val="20"/>
          <w:szCs w:val="20"/>
          <w:lang w:val="es-ES"/>
        </w:rPr>
        <w:t>jus cogens</w:t>
      </w:r>
      <w:r w:rsidR="00E35190">
        <w:rPr>
          <w:rFonts w:ascii="Verdana" w:hAnsi="Verdana"/>
          <w:sz w:val="20"/>
          <w:szCs w:val="20"/>
          <w:lang w:val="es-ES"/>
        </w:rPr>
        <w:t xml:space="preserve"> y, por tanto, no se admitan actos, hechos u omisiones estatales que repercutan en la calidad y conservación del ambiente, máxime teniendo en cuenta que las generaciones presentes </w:t>
      </w:r>
      <w:r w:rsidR="00DC6A09">
        <w:rPr>
          <w:rFonts w:ascii="Verdana" w:hAnsi="Verdana"/>
          <w:sz w:val="20"/>
          <w:szCs w:val="20"/>
          <w:lang w:val="es-ES"/>
        </w:rPr>
        <w:t xml:space="preserve">actúan como </w:t>
      </w:r>
      <w:r w:rsidR="00E35190">
        <w:rPr>
          <w:rFonts w:ascii="Verdana" w:hAnsi="Verdana"/>
          <w:sz w:val="20"/>
          <w:szCs w:val="20"/>
          <w:lang w:val="es-ES"/>
        </w:rPr>
        <w:t>custodios que deb</w:t>
      </w:r>
      <w:r w:rsidR="00DC6A09">
        <w:rPr>
          <w:rFonts w:ascii="Verdana" w:hAnsi="Verdana"/>
          <w:sz w:val="20"/>
          <w:szCs w:val="20"/>
          <w:lang w:val="es-ES"/>
        </w:rPr>
        <w:t>en</w:t>
      </w:r>
      <w:r w:rsidR="00E35190">
        <w:rPr>
          <w:rFonts w:ascii="Verdana" w:hAnsi="Verdana"/>
          <w:sz w:val="20"/>
          <w:szCs w:val="20"/>
          <w:lang w:val="es-ES"/>
        </w:rPr>
        <w:t xml:space="preserve"> entregar este bien jurídico a las generaciones futuras en iguales o mejores condiciones de las que lo hemos recibido de nuestros predecesores. </w:t>
      </w:r>
    </w:p>
    <w:p w14:paraId="4E337DD6" w14:textId="77777777" w:rsidR="00E35190" w:rsidRPr="000322E4" w:rsidRDefault="00E35190" w:rsidP="00E35190">
      <w:pPr>
        <w:pStyle w:val="Prrafodelista"/>
        <w:rPr>
          <w:rFonts w:ascii="Verdana" w:hAnsi="Verdana"/>
          <w:sz w:val="20"/>
          <w:szCs w:val="20"/>
          <w:lang w:val="es-ES"/>
        </w:rPr>
      </w:pPr>
    </w:p>
    <w:p w14:paraId="286F5BED" w14:textId="517C4669" w:rsidR="00E35190" w:rsidRPr="006840FA"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94. </w:t>
      </w:r>
      <w:r>
        <w:rPr>
          <w:rFonts w:ascii="Verdana" w:hAnsi="Verdana"/>
          <w:sz w:val="20"/>
          <w:szCs w:val="20"/>
          <w:lang w:val="es-ES"/>
        </w:rPr>
        <w:tab/>
      </w:r>
      <w:r w:rsidR="00E35190" w:rsidRPr="006840FA">
        <w:rPr>
          <w:rFonts w:ascii="Verdana" w:hAnsi="Verdana"/>
          <w:sz w:val="20"/>
          <w:szCs w:val="20"/>
          <w:lang w:val="es-ES"/>
        </w:rPr>
        <w:t>El reconocimiento de la obligación de protección del medio ambiente</w:t>
      </w:r>
      <w:r w:rsidR="00326AFB">
        <w:rPr>
          <w:rFonts w:ascii="Verdana" w:hAnsi="Verdana"/>
          <w:sz w:val="20"/>
          <w:szCs w:val="20"/>
          <w:lang w:val="es-ES"/>
        </w:rPr>
        <w:t xml:space="preserve"> </w:t>
      </w:r>
      <w:r w:rsidR="00E35190" w:rsidRPr="006840FA">
        <w:rPr>
          <w:rFonts w:ascii="Verdana" w:hAnsi="Verdana"/>
          <w:sz w:val="20"/>
          <w:szCs w:val="20"/>
          <w:lang w:val="es-ES"/>
        </w:rPr>
        <w:t xml:space="preserve">como una norma de </w:t>
      </w:r>
      <w:r w:rsidR="00E35190" w:rsidRPr="00D07038">
        <w:rPr>
          <w:rFonts w:ascii="Verdana" w:hAnsi="Verdana"/>
          <w:i/>
          <w:iCs/>
          <w:sz w:val="20"/>
          <w:szCs w:val="20"/>
          <w:lang w:val="es-ES"/>
        </w:rPr>
        <w:t>jus cogens</w:t>
      </w:r>
      <w:r w:rsidR="00E35190" w:rsidRPr="006840FA">
        <w:rPr>
          <w:rFonts w:ascii="Verdana" w:hAnsi="Verdana"/>
          <w:sz w:val="20"/>
          <w:szCs w:val="20"/>
          <w:lang w:val="es-ES"/>
        </w:rPr>
        <w:t xml:space="preserve"> implica varias consecuencias jurídicas para los Estados. En primer término, la norma consuetudinaria internacional de protección del ambiente, al devenir en una norma imperativa de derecho internacional (</w:t>
      </w:r>
      <w:r w:rsidR="00E35190" w:rsidRPr="00D07038">
        <w:rPr>
          <w:rFonts w:ascii="Verdana" w:hAnsi="Verdana"/>
          <w:i/>
          <w:iCs/>
          <w:sz w:val="20"/>
          <w:szCs w:val="20"/>
          <w:lang w:val="es-ES"/>
        </w:rPr>
        <w:t>jus cogens</w:t>
      </w:r>
      <w:r w:rsidR="00E35190" w:rsidRPr="006840FA">
        <w:rPr>
          <w:rFonts w:ascii="Verdana" w:hAnsi="Verdana"/>
          <w:sz w:val="20"/>
          <w:szCs w:val="20"/>
          <w:lang w:val="es-ES"/>
        </w:rPr>
        <w:t>) vuelve estéril la objeción persistente que algunos Estados pudieran haber realizado. De esta forma, no podrán eludir su cumplimiento alegando su oposición o discrepancia.</w:t>
      </w:r>
    </w:p>
    <w:p w14:paraId="53265D20" w14:textId="77777777" w:rsidR="00E35190" w:rsidRPr="006840FA" w:rsidRDefault="00E35190" w:rsidP="00E35190">
      <w:pPr>
        <w:pStyle w:val="Prrafodelista"/>
        <w:rPr>
          <w:rFonts w:ascii="Verdana" w:hAnsi="Verdana"/>
          <w:sz w:val="20"/>
          <w:szCs w:val="20"/>
          <w:lang w:val="es-ES"/>
        </w:rPr>
      </w:pPr>
    </w:p>
    <w:p w14:paraId="01CF8027" w14:textId="398B476C" w:rsidR="00E35190" w:rsidRPr="006840FA"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95. </w:t>
      </w:r>
      <w:r>
        <w:rPr>
          <w:rFonts w:ascii="Verdana" w:hAnsi="Verdana"/>
          <w:sz w:val="20"/>
          <w:szCs w:val="20"/>
          <w:lang w:val="es-ES"/>
        </w:rPr>
        <w:tab/>
      </w:r>
      <w:r w:rsidR="00E35190" w:rsidRPr="006840FA">
        <w:rPr>
          <w:rFonts w:ascii="Verdana" w:hAnsi="Verdana"/>
          <w:sz w:val="20"/>
          <w:szCs w:val="20"/>
          <w:lang w:val="es-ES"/>
        </w:rPr>
        <w:t xml:space="preserve">Asimismo, los Estados no podrán sustraerse mediante actos jurídicos, prácticas e incluso omisiones del cumplimiento de la norma de </w:t>
      </w:r>
      <w:r w:rsidR="00E35190" w:rsidRPr="00D07038">
        <w:rPr>
          <w:rFonts w:ascii="Verdana" w:hAnsi="Verdana"/>
          <w:i/>
          <w:iCs/>
          <w:sz w:val="20"/>
          <w:szCs w:val="20"/>
          <w:lang w:val="es-ES"/>
        </w:rPr>
        <w:t>jus cogens</w:t>
      </w:r>
      <w:r w:rsidR="00E35190" w:rsidRPr="006840FA">
        <w:rPr>
          <w:rFonts w:ascii="Verdana" w:hAnsi="Verdana"/>
          <w:sz w:val="20"/>
          <w:szCs w:val="20"/>
          <w:lang w:val="es-ES"/>
        </w:rPr>
        <w:t xml:space="preserve">. Esto implica un límite a la noción irrestricta de soberanía y autonomía de voluntad del Estado en cuanto a la protección de un valor supraestatal o universal que es el medio ambiente, como prerrequisito de la supervivencia </w:t>
      </w:r>
      <w:r w:rsidR="006840FA">
        <w:rPr>
          <w:rFonts w:ascii="Verdana" w:hAnsi="Verdana"/>
          <w:sz w:val="20"/>
          <w:szCs w:val="20"/>
          <w:lang w:val="es-ES"/>
        </w:rPr>
        <w:t xml:space="preserve">de la propia humanidad y por ende </w:t>
      </w:r>
      <w:r w:rsidR="00E35190" w:rsidRPr="006840FA">
        <w:rPr>
          <w:rFonts w:ascii="Verdana" w:hAnsi="Verdana"/>
          <w:sz w:val="20"/>
          <w:szCs w:val="20"/>
          <w:lang w:val="es-ES"/>
        </w:rPr>
        <w:t xml:space="preserve">de la comunidad de Estados. Opera, pues, una subordinación de los intereses particulares a los intereses fundamentales de la comunidad internacional. </w:t>
      </w:r>
    </w:p>
    <w:p w14:paraId="1073FE62" w14:textId="77777777" w:rsidR="00E35190" w:rsidRPr="006840FA" w:rsidRDefault="00E35190" w:rsidP="00E35190">
      <w:pPr>
        <w:pStyle w:val="Prrafodelista"/>
        <w:rPr>
          <w:rFonts w:ascii="Verdana" w:hAnsi="Verdana"/>
          <w:sz w:val="20"/>
          <w:szCs w:val="20"/>
          <w:lang w:val="es-ES"/>
        </w:rPr>
      </w:pPr>
    </w:p>
    <w:p w14:paraId="4CF2C181" w14:textId="0D6E3F99" w:rsidR="00E35190" w:rsidRPr="006840FA"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96. </w:t>
      </w:r>
      <w:r>
        <w:rPr>
          <w:rFonts w:ascii="Verdana" w:hAnsi="Verdana"/>
          <w:sz w:val="20"/>
          <w:szCs w:val="20"/>
          <w:lang w:val="es-ES"/>
        </w:rPr>
        <w:tab/>
      </w:r>
      <w:r w:rsidR="00E35190" w:rsidRPr="006840FA">
        <w:rPr>
          <w:rFonts w:ascii="Verdana" w:hAnsi="Verdana"/>
          <w:sz w:val="20"/>
          <w:szCs w:val="20"/>
          <w:lang w:val="es-ES"/>
        </w:rPr>
        <w:t xml:space="preserve">La amplísima discreción que tradicionalmente se había otorgado a los Estados en materia ambiental y de </w:t>
      </w:r>
      <w:r w:rsidR="006840FA" w:rsidRPr="006840FA">
        <w:rPr>
          <w:rFonts w:ascii="Verdana" w:hAnsi="Verdana"/>
          <w:sz w:val="20"/>
          <w:szCs w:val="20"/>
          <w:lang w:val="es-ES"/>
        </w:rPr>
        <w:t xml:space="preserve">explotación de </w:t>
      </w:r>
      <w:r w:rsidR="00E35190" w:rsidRPr="006840FA">
        <w:rPr>
          <w:rFonts w:ascii="Verdana" w:hAnsi="Verdana"/>
          <w:sz w:val="20"/>
          <w:szCs w:val="20"/>
          <w:lang w:val="es-ES"/>
        </w:rPr>
        <w:t>los recursos</w:t>
      </w:r>
      <w:r w:rsidR="006840FA" w:rsidRPr="006840FA">
        <w:rPr>
          <w:rFonts w:ascii="Verdana" w:hAnsi="Verdana"/>
          <w:sz w:val="20"/>
          <w:szCs w:val="20"/>
          <w:lang w:val="es-ES"/>
        </w:rPr>
        <w:t xml:space="preserve"> naturales</w:t>
      </w:r>
      <w:r w:rsidR="00E35190" w:rsidRPr="006840FA">
        <w:rPr>
          <w:rFonts w:ascii="Verdana" w:hAnsi="Verdana"/>
          <w:sz w:val="20"/>
          <w:szCs w:val="20"/>
          <w:lang w:val="es-ES"/>
        </w:rPr>
        <w:t>, ha sido reemplazada por una concepción global</w:t>
      </w:r>
      <w:r w:rsidR="0071518B" w:rsidRPr="006840FA">
        <w:rPr>
          <w:rFonts w:ascii="Verdana" w:hAnsi="Verdana"/>
          <w:sz w:val="20"/>
          <w:szCs w:val="20"/>
          <w:lang w:val="es-ES"/>
        </w:rPr>
        <w:t xml:space="preserve"> y solidaria</w:t>
      </w:r>
      <w:r w:rsidR="00E35190" w:rsidRPr="006840FA">
        <w:rPr>
          <w:rFonts w:ascii="Verdana" w:hAnsi="Verdana"/>
          <w:sz w:val="20"/>
          <w:szCs w:val="20"/>
          <w:lang w:val="es-ES"/>
        </w:rPr>
        <w:t xml:space="preserve"> (de familia humana), donde la gestión y cuidado de los recursos naturales queda a cargo de toda la humanidad. Por tanto, cualquier Estado está facultado, a partir de este reconocimiento, a reclamar a los demás el cumplimiento de la obligación internacional derivada de esta norma, así como de llamar a responsabilidad por los actos contrarios y los daños causados, dado que la violación por un Estado cualquiera afecta</w:t>
      </w:r>
      <w:r w:rsidR="0050241F" w:rsidRPr="006840FA">
        <w:rPr>
          <w:rFonts w:ascii="Verdana" w:hAnsi="Verdana"/>
          <w:sz w:val="20"/>
          <w:szCs w:val="20"/>
          <w:lang w:val="es-ES"/>
        </w:rPr>
        <w:t xml:space="preserve"> e incumbe</w:t>
      </w:r>
      <w:r w:rsidR="00E35190" w:rsidRPr="006840FA">
        <w:rPr>
          <w:rFonts w:ascii="Verdana" w:hAnsi="Verdana"/>
          <w:sz w:val="20"/>
          <w:szCs w:val="20"/>
          <w:lang w:val="es-ES"/>
        </w:rPr>
        <w:t xml:space="preserve"> a todos los demás.</w:t>
      </w:r>
    </w:p>
    <w:p w14:paraId="17F662C8" w14:textId="77777777" w:rsidR="00E35190" w:rsidRPr="006840FA" w:rsidRDefault="00E35190" w:rsidP="00E35190">
      <w:pPr>
        <w:pStyle w:val="Prrafodelista"/>
        <w:rPr>
          <w:rFonts w:ascii="Verdana" w:hAnsi="Verdana"/>
          <w:sz w:val="20"/>
          <w:szCs w:val="20"/>
          <w:lang w:val="es-ES"/>
        </w:rPr>
      </w:pPr>
    </w:p>
    <w:p w14:paraId="6238623A" w14:textId="1BF2E2E6" w:rsidR="00E35190" w:rsidRPr="006840FA"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97. </w:t>
      </w:r>
      <w:r>
        <w:rPr>
          <w:rFonts w:ascii="Verdana" w:hAnsi="Verdana"/>
          <w:sz w:val="20"/>
          <w:szCs w:val="20"/>
          <w:lang w:val="es-ES"/>
        </w:rPr>
        <w:tab/>
      </w:r>
      <w:r w:rsidR="00E35190" w:rsidRPr="006840FA">
        <w:rPr>
          <w:rFonts w:ascii="Verdana" w:hAnsi="Verdana"/>
          <w:sz w:val="20"/>
          <w:szCs w:val="20"/>
          <w:lang w:val="es-ES"/>
        </w:rPr>
        <w:t xml:space="preserve">En cuanto a los tratados vigentes que pudieran existir, es necesario recordar que aplican las reglas del artículo 64 de la Convención de Viena sobre Derecho de los Tratados de 1969, por lo que las disposiciones convencionales contrarias a la norma superviniente de </w:t>
      </w:r>
      <w:r w:rsidR="00E35190" w:rsidRPr="00326AFB">
        <w:rPr>
          <w:rFonts w:ascii="Verdana" w:hAnsi="Verdana"/>
          <w:i/>
          <w:iCs/>
          <w:sz w:val="20"/>
          <w:szCs w:val="20"/>
          <w:lang w:val="es-ES"/>
        </w:rPr>
        <w:t>jus cogens</w:t>
      </w:r>
      <w:r w:rsidR="00E35190" w:rsidRPr="006840FA">
        <w:rPr>
          <w:rFonts w:ascii="Verdana" w:hAnsi="Verdana"/>
          <w:sz w:val="20"/>
          <w:szCs w:val="20"/>
          <w:lang w:val="es-ES"/>
        </w:rPr>
        <w:t xml:space="preserve"> se anulan y los actos estatales que infrinjan estas normas agravan la responsabilidad internacional del Estado.</w:t>
      </w:r>
    </w:p>
    <w:p w14:paraId="281D4787" w14:textId="77777777" w:rsidR="00E35190" w:rsidRPr="006840FA" w:rsidRDefault="00E35190" w:rsidP="00E35190">
      <w:pPr>
        <w:pStyle w:val="Prrafodelista"/>
        <w:rPr>
          <w:rFonts w:ascii="Verdana" w:hAnsi="Verdana"/>
          <w:sz w:val="20"/>
          <w:szCs w:val="20"/>
          <w:lang w:val="es-ES"/>
        </w:rPr>
      </w:pPr>
    </w:p>
    <w:p w14:paraId="064DD492" w14:textId="6EB3004C" w:rsidR="00E35190" w:rsidRPr="006840FA"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98. </w:t>
      </w:r>
      <w:r>
        <w:rPr>
          <w:rFonts w:ascii="Verdana" w:hAnsi="Verdana"/>
          <w:sz w:val="20"/>
          <w:szCs w:val="20"/>
          <w:lang w:val="es-ES"/>
        </w:rPr>
        <w:tab/>
      </w:r>
      <w:r w:rsidR="00E35190" w:rsidRPr="006840FA">
        <w:rPr>
          <w:rFonts w:ascii="Verdana" w:hAnsi="Verdana"/>
          <w:sz w:val="20"/>
          <w:szCs w:val="20"/>
          <w:lang w:val="es-ES"/>
        </w:rPr>
        <w:t>Además, se limita la autonomía de voluntad de los Estados al suscribir tratados en el futuro, dado que deberá ajustarse su contenido a esta nueva norma, so pena de nulidad conforme al artículo 53 de la Convención de Viena sobre Derecho de los Tratados de 1969. Pero es necesario recordar que este deber de ajustarse a la norma imperativa de derecho internacional no solo se dará en el ámbito convencional, sino que irradia sus efectos a todo el sistema del Derecho Internacional</w:t>
      </w:r>
      <w:r w:rsidR="00EB7736" w:rsidRPr="006840FA">
        <w:rPr>
          <w:rStyle w:val="Refdenotaalpie"/>
          <w:rFonts w:ascii="Verdana" w:hAnsi="Verdana"/>
          <w:sz w:val="20"/>
          <w:szCs w:val="20"/>
          <w:lang w:val="es-ES"/>
        </w:rPr>
        <w:footnoteReference w:id="108"/>
      </w:r>
      <w:r w:rsidR="00326AFB">
        <w:rPr>
          <w:rFonts w:ascii="Verdana" w:hAnsi="Verdana"/>
          <w:sz w:val="20"/>
          <w:szCs w:val="20"/>
          <w:lang w:val="es-ES"/>
        </w:rPr>
        <w:t>.</w:t>
      </w:r>
    </w:p>
    <w:p w14:paraId="72E0A64C" w14:textId="77777777" w:rsidR="00E35190" w:rsidRPr="006840FA" w:rsidRDefault="00E35190" w:rsidP="00E35190">
      <w:pPr>
        <w:pStyle w:val="Prrafodelista"/>
        <w:ind w:left="0"/>
        <w:jc w:val="both"/>
        <w:rPr>
          <w:rFonts w:ascii="Verdana" w:hAnsi="Verdana"/>
          <w:sz w:val="20"/>
          <w:szCs w:val="20"/>
          <w:lang w:val="es-ES"/>
        </w:rPr>
      </w:pPr>
    </w:p>
    <w:p w14:paraId="1E1B13DE" w14:textId="77777777" w:rsidR="00E35190" w:rsidRPr="00945549" w:rsidRDefault="00E35190" w:rsidP="00E35190">
      <w:pPr>
        <w:pStyle w:val="Prrafodelista"/>
        <w:numPr>
          <w:ilvl w:val="0"/>
          <w:numId w:val="27"/>
        </w:numPr>
        <w:jc w:val="both"/>
        <w:rPr>
          <w:rFonts w:ascii="Verdana" w:hAnsi="Verdana"/>
          <w:sz w:val="20"/>
          <w:szCs w:val="20"/>
          <w:u w:val="single"/>
          <w:lang w:val="es-ES"/>
        </w:rPr>
      </w:pPr>
      <w:r w:rsidRPr="00945549">
        <w:rPr>
          <w:rFonts w:ascii="Verdana" w:hAnsi="Verdana"/>
          <w:sz w:val="20"/>
          <w:szCs w:val="20"/>
          <w:u w:val="single"/>
          <w:lang w:val="es-ES"/>
        </w:rPr>
        <w:t xml:space="preserve">El desarrollo sostenible </w:t>
      </w:r>
      <w:r>
        <w:rPr>
          <w:rFonts w:ascii="Verdana" w:hAnsi="Verdana"/>
          <w:sz w:val="20"/>
          <w:szCs w:val="20"/>
          <w:u w:val="single"/>
          <w:lang w:val="es-ES"/>
        </w:rPr>
        <w:t>como derecho convencionalmente protegido y sus dimensiones</w:t>
      </w:r>
    </w:p>
    <w:p w14:paraId="0FD5DFBA" w14:textId="77777777" w:rsidR="00E35190" w:rsidRPr="00CC4BC0" w:rsidRDefault="00E35190" w:rsidP="00E35190">
      <w:pPr>
        <w:jc w:val="both"/>
        <w:rPr>
          <w:rFonts w:ascii="Verdana" w:hAnsi="Verdana"/>
          <w:sz w:val="20"/>
          <w:szCs w:val="20"/>
          <w:lang w:val="es-ES"/>
        </w:rPr>
      </w:pPr>
    </w:p>
    <w:p w14:paraId="1AF49F44" w14:textId="78AC0696" w:rsidR="00E35190" w:rsidRPr="00E37E85"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99. </w:t>
      </w:r>
      <w:r>
        <w:rPr>
          <w:rFonts w:ascii="Verdana" w:hAnsi="Verdana"/>
          <w:sz w:val="20"/>
          <w:szCs w:val="20"/>
          <w:lang w:val="es-ES"/>
        </w:rPr>
        <w:tab/>
      </w:r>
      <w:r w:rsidR="00E35190">
        <w:rPr>
          <w:rFonts w:ascii="Verdana" w:hAnsi="Verdana"/>
          <w:sz w:val="20"/>
          <w:szCs w:val="20"/>
          <w:lang w:val="es-ES"/>
        </w:rPr>
        <w:t xml:space="preserve">Esta Corte </w:t>
      </w:r>
      <w:r w:rsidR="00E97C4F">
        <w:rPr>
          <w:rFonts w:ascii="Verdana" w:hAnsi="Verdana"/>
          <w:sz w:val="20"/>
          <w:szCs w:val="20"/>
          <w:lang w:val="es-ES"/>
        </w:rPr>
        <w:t xml:space="preserve">IDH </w:t>
      </w:r>
      <w:r w:rsidR="00E35190">
        <w:rPr>
          <w:rFonts w:ascii="Verdana" w:hAnsi="Verdana"/>
          <w:sz w:val="20"/>
          <w:szCs w:val="20"/>
          <w:lang w:val="es-ES"/>
        </w:rPr>
        <w:t>ya se ha pronunciado respecto al desarrollo sostenible. Así, en la Opinión Consultiva No. 23 se refirió a la interrelación entre la protección al medio ambiente, el desarrollo sostenible y los derechos humanos; así como a la posibilidad de hacer uso de los principios, derechos y obligaciones del derecho ambiental internacional, en tanto parte del corpus iuris interamericano, para fijar el alcance de las obligaciones convencionales</w:t>
      </w:r>
      <w:r w:rsidR="00E35190">
        <w:rPr>
          <w:rStyle w:val="Refdenotaalpie"/>
          <w:rFonts w:ascii="Verdana" w:eastAsiaTheme="majorEastAsia" w:hAnsi="Verdana"/>
          <w:sz w:val="20"/>
          <w:szCs w:val="20"/>
          <w:lang w:val="es-ES"/>
        </w:rPr>
        <w:footnoteReference w:id="109"/>
      </w:r>
      <w:r w:rsidR="005E63ED">
        <w:rPr>
          <w:rFonts w:ascii="Verdana" w:hAnsi="Verdana"/>
          <w:sz w:val="20"/>
          <w:szCs w:val="20"/>
          <w:lang w:val="es-ES"/>
        </w:rPr>
        <w:t>.</w:t>
      </w:r>
      <w:r w:rsidR="00E35190">
        <w:rPr>
          <w:rFonts w:ascii="Verdana" w:hAnsi="Verdana"/>
          <w:sz w:val="20"/>
          <w:szCs w:val="20"/>
          <w:lang w:val="es-ES"/>
        </w:rPr>
        <w:t xml:space="preserve"> </w:t>
      </w:r>
      <w:r w:rsidR="00E35190" w:rsidRPr="00E37E85">
        <w:rPr>
          <w:rFonts w:ascii="Verdana" w:hAnsi="Verdana"/>
          <w:sz w:val="20"/>
          <w:szCs w:val="20"/>
          <w:lang w:val="es-ES"/>
        </w:rPr>
        <w:t>Asimismo</w:t>
      </w:r>
      <w:r w:rsidR="005E63ED">
        <w:rPr>
          <w:rFonts w:ascii="Verdana" w:hAnsi="Verdana"/>
          <w:sz w:val="20"/>
          <w:szCs w:val="20"/>
          <w:lang w:val="es-ES"/>
        </w:rPr>
        <w:t>,</w:t>
      </w:r>
      <w:r w:rsidR="00E35190" w:rsidRPr="00E37E85">
        <w:rPr>
          <w:rFonts w:ascii="Verdana" w:hAnsi="Verdana"/>
          <w:sz w:val="20"/>
          <w:szCs w:val="20"/>
          <w:lang w:val="es-ES"/>
        </w:rPr>
        <w:t xml:space="preserve"> ha remarcado la contribución que pueden realizar los defensores de derechos humanos, directa o indirectamente, al desarrollo sostenible y la gobernabilidad y cómo ello redunda en beneficio del estado de derecho y la democracia</w:t>
      </w:r>
      <w:r w:rsidR="00E35190">
        <w:rPr>
          <w:rStyle w:val="Refdenotaalpie"/>
          <w:rFonts w:ascii="Verdana" w:eastAsiaTheme="majorEastAsia" w:hAnsi="Verdana"/>
          <w:sz w:val="20"/>
          <w:szCs w:val="20"/>
          <w:lang w:val="es-ES"/>
        </w:rPr>
        <w:footnoteReference w:id="110"/>
      </w:r>
      <w:r w:rsidR="005E63ED">
        <w:rPr>
          <w:rFonts w:ascii="Verdana" w:hAnsi="Verdana"/>
          <w:sz w:val="20"/>
          <w:szCs w:val="20"/>
          <w:lang w:val="es-ES"/>
        </w:rPr>
        <w:t>.</w:t>
      </w:r>
    </w:p>
    <w:p w14:paraId="358EAC20" w14:textId="77777777" w:rsidR="00E35190" w:rsidRPr="00CC4BC0" w:rsidRDefault="00E35190" w:rsidP="00E35190">
      <w:pPr>
        <w:pStyle w:val="Prrafodelista"/>
        <w:rPr>
          <w:rFonts w:ascii="Verdana" w:hAnsi="Verdana"/>
          <w:sz w:val="20"/>
          <w:szCs w:val="20"/>
          <w:lang w:val="es-ES"/>
        </w:rPr>
      </w:pPr>
    </w:p>
    <w:p w14:paraId="3D6E18D9" w14:textId="2A8B82D6"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100. </w:t>
      </w:r>
      <w:r>
        <w:rPr>
          <w:rFonts w:ascii="Verdana" w:hAnsi="Verdana"/>
          <w:sz w:val="20"/>
          <w:szCs w:val="20"/>
          <w:lang w:val="es-ES"/>
        </w:rPr>
        <w:tab/>
      </w:r>
      <w:r w:rsidR="00E35190">
        <w:rPr>
          <w:rFonts w:ascii="Verdana" w:hAnsi="Verdana"/>
          <w:sz w:val="20"/>
          <w:szCs w:val="20"/>
          <w:lang w:val="es-ES"/>
        </w:rPr>
        <w:t xml:space="preserve">En el presente caso, la Corte </w:t>
      </w:r>
      <w:r w:rsidR="00E97C4F">
        <w:rPr>
          <w:rFonts w:ascii="Verdana" w:hAnsi="Verdana"/>
          <w:sz w:val="20"/>
          <w:szCs w:val="20"/>
          <w:lang w:val="es-ES"/>
        </w:rPr>
        <w:t xml:space="preserve">IDH </w:t>
      </w:r>
      <w:r w:rsidR="00E35190">
        <w:rPr>
          <w:rFonts w:ascii="Verdana" w:hAnsi="Verdana"/>
          <w:sz w:val="20"/>
          <w:szCs w:val="20"/>
          <w:lang w:val="es-ES"/>
        </w:rPr>
        <w:t>ahonda en estas consideraciones y reafirma que constituye una obligación de los Estados el impulsar el desarrollo sostenible en beneficio de las personas y las comunidades a fin de alcanzar el bienestar económico, social, cultural y político; teniendo en cuenta los límites marcados por el respeto a los derechos humanos y, en particular, el derecho al medio ambiente sano. En esta línea, el desarrollo sostenible y la protección del medio ambiente resultan fundamentales, especialmente, para los niños y niñas dado que pueden verse afectados en forma desproporcionada por las consecuencias de la degradación ambiental</w:t>
      </w:r>
      <w:r w:rsidR="00E35190">
        <w:rPr>
          <w:rStyle w:val="Refdenotaalpie"/>
          <w:rFonts w:ascii="Verdana" w:eastAsiaTheme="majorEastAsia" w:hAnsi="Verdana"/>
          <w:sz w:val="20"/>
          <w:szCs w:val="20"/>
          <w:lang w:val="es-ES"/>
        </w:rPr>
        <w:footnoteReference w:id="111"/>
      </w:r>
      <w:r w:rsidR="00326AFB">
        <w:rPr>
          <w:rFonts w:ascii="Verdana" w:hAnsi="Verdana"/>
          <w:sz w:val="20"/>
          <w:szCs w:val="20"/>
          <w:lang w:val="es-ES"/>
        </w:rPr>
        <w:t>.</w:t>
      </w:r>
    </w:p>
    <w:p w14:paraId="43BC12C6" w14:textId="77777777" w:rsidR="00E35190" w:rsidRPr="000F27CD" w:rsidRDefault="00E35190" w:rsidP="00E35190">
      <w:pPr>
        <w:pStyle w:val="Prrafodelista"/>
        <w:rPr>
          <w:rFonts w:ascii="Verdana" w:hAnsi="Verdana"/>
          <w:sz w:val="20"/>
          <w:szCs w:val="20"/>
          <w:lang w:val="es-ES"/>
        </w:rPr>
      </w:pPr>
    </w:p>
    <w:p w14:paraId="21291CE2" w14:textId="69E3BE24"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101. </w:t>
      </w:r>
      <w:r>
        <w:rPr>
          <w:rFonts w:ascii="Verdana" w:hAnsi="Verdana"/>
          <w:sz w:val="20"/>
          <w:szCs w:val="20"/>
          <w:lang w:val="es-ES"/>
        </w:rPr>
        <w:tab/>
      </w:r>
      <w:r w:rsidR="00E35190">
        <w:rPr>
          <w:rFonts w:ascii="Verdana" w:hAnsi="Verdana"/>
          <w:sz w:val="20"/>
          <w:szCs w:val="20"/>
          <w:lang w:val="es-ES"/>
        </w:rPr>
        <w:t>En la sentencia se puso de manifiesto la tensión vivida por los habitantes de La Oroya, donde ciertos grupos percibían una tensión incompatible entre desarrollo y protección al medio ambiente y ello redundó en los actos de hostigamiento</w:t>
      </w:r>
      <w:r w:rsidR="006840FA">
        <w:rPr>
          <w:rFonts w:ascii="Verdana" w:hAnsi="Verdana"/>
          <w:sz w:val="20"/>
          <w:szCs w:val="20"/>
          <w:lang w:val="es-ES"/>
        </w:rPr>
        <w:t xml:space="preserve"> contra dichos grupos</w:t>
      </w:r>
      <w:r w:rsidR="00E35190">
        <w:rPr>
          <w:rStyle w:val="Refdenotaalpie"/>
          <w:rFonts w:ascii="Verdana" w:eastAsiaTheme="majorEastAsia" w:hAnsi="Verdana"/>
          <w:sz w:val="20"/>
          <w:szCs w:val="20"/>
          <w:lang w:val="es-ES"/>
        </w:rPr>
        <w:footnoteReference w:id="112"/>
      </w:r>
      <w:r w:rsidR="00326AFB">
        <w:rPr>
          <w:rFonts w:ascii="Verdana" w:hAnsi="Verdana"/>
          <w:sz w:val="20"/>
          <w:szCs w:val="20"/>
          <w:lang w:val="es-ES"/>
        </w:rPr>
        <w:t>.</w:t>
      </w:r>
      <w:r w:rsidR="00E35190">
        <w:rPr>
          <w:rFonts w:ascii="Verdana" w:hAnsi="Verdana"/>
          <w:sz w:val="20"/>
          <w:szCs w:val="20"/>
          <w:lang w:val="es-ES"/>
        </w:rPr>
        <w:t xml:space="preserve"> Es por ello, así como por la importancia que este tema reviste para la región, que concurrimos en este voto a desarrollar el concepto de desarrollo sostenible y sus implicancias. </w:t>
      </w:r>
    </w:p>
    <w:p w14:paraId="4145D39B" w14:textId="77777777" w:rsidR="00E35190" w:rsidRPr="000F27CD" w:rsidRDefault="00E35190" w:rsidP="00E35190">
      <w:pPr>
        <w:pStyle w:val="Prrafodelista"/>
        <w:rPr>
          <w:rFonts w:ascii="Verdana" w:hAnsi="Verdana"/>
          <w:sz w:val="20"/>
          <w:szCs w:val="20"/>
          <w:lang w:val="es-ES"/>
        </w:rPr>
      </w:pPr>
    </w:p>
    <w:p w14:paraId="2ED3C26B" w14:textId="452716BF"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102. </w:t>
      </w:r>
      <w:r>
        <w:rPr>
          <w:rFonts w:ascii="Verdana" w:hAnsi="Verdana"/>
          <w:sz w:val="20"/>
          <w:szCs w:val="20"/>
          <w:lang w:val="es-ES"/>
        </w:rPr>
        <w:tab/>
      </w:r>
      <w:r w:rsidR="00E35190">
        <w:rPr>
          <w:rFonts w:ascii="Verdana" w:hAnsi="Verdana"/>
          <w:sz w:val="20"/>
          <w:szCs w:val="20"/>
          <w:lang w:val="es-ES"/>
        </w:rPr>
        <w:t>La Asamblea General de Naciones Unidas destacó que el desarrollo consiste en un proceso global, económico, social, cultural y político que se orienta al bienestar de toda la población. En virtud de ello, se ha declarado que “[e]l derecho al desarrollo es un derecho inalienable en virtud del cual todo ser humano y todos los pueblos están facultados para participar en un desarrollo económico, social, cultural y político en el que puedan realizarse plenamente todos los derechos humanos y libertades fundamentales”</w:t>
      </w:r>
      <w:r w:rsidR="00E35190">
        <w:rPr>
          <w:rStyle w:val="Refdenotaalpie"/>
          <w:rFonts w:ascii="Verdana" w:eastAsiaTheme="majorEastAsia" w:hAnsi="Verdana"/>
          <w:sz w:val="20"/>
          <w:szCs w:val="20"/>
          <w:lang w:val="es-ES"/>
        </w:rPr>
        <w:footnoteReference w:id="113"/>
      </w:r>
      <w:r w:rsidR="00326AFB">
        <w:rPr>
          <w:rFonts w:ascii="Verdana" w:hAnsi="Verdana"/>
          <w:sz w:val="20"/>
          <w:szCs w:val="20"/>
          <w:lang w:val="es-ES"/>
        </w:rPr>
        <w:t>.</w:t>
      </w:r>
    </w:p>
    <w:p w14:paraId="0CD645EF" w14:textId="77777777" w:rsidR="00E35190" w:rsidRDefault="00E35190" w:rsidP="00E35190">
      <w:pPr>
        <w:pStyle w:val="Prrafodelista"/>
        <w:ind w:left="0"/>
        <w:jc w:val="both"/>
        <w:rPr>
          <w:rFonts w:ascii="Verdana" w:hAnsi="Verdana"/>
          <w:sz w:val="20"/>
          <w:szCs w:val="20"/>
          <w:lang w:val="es-ES"/>
        </w:rPr>
      </w:pPr>
    </w:p>
    <w:p w14:paraId="1345AB1B" w14:textId="63CD62F7"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103. </w:t>
      </w:r>
      <w:r>
        <w:rPr>
          <w:rFonts w:ascii="Verdana" w:hAnsi="Verdana"/>
          <w:sz w:val="20"/>
          <w:szCs w:val="20"/>
          <w:lang w:val="es-ES"/>
        </w:rPr>
        <w:tab/>
      </w:r>
      <w:r w:rsidR="00E35190">
        <w:rPr>
          <w:rFonts w:ascii="Verdana" w:hAnsi="Verdana"/>
          <w:sz w:val="20"/>
          <w:szCs w:val="20"/>
          <w:lang w:val="es-ES"/>
        </w:rPr>
        <w:t xml:space="preserve">La noción de desarrollo sostenible o duradero emerge como una alternativa frente a un modelo de producción y consumo que se había caracterizado por una despreocupación por la integridad del ambiente y la disponibilidad de los recursos. Muchas formas de desarrollo </w:t>
      </w:r>
      <w:r w:rsidR="006840FA">
        <w:rPr>
          <w:rFonts w:ascii="Verdana" w:hAnsi="Verdana"/>
          <w:sz w:val="20"/>
          <w:szCs w:val="20"/>
          <w:lang w:val="es-ES"/>
        </w:rPr>
        <w:t xml:space="preserve">afectan de manera irreversible </w:t>
      </w:r>
      <w:r w:rsidR="00E35190">
        <w:rPr>
          <w:rFonts w:ascii="Verdana" w:hAnsi="Verdana"/>
          <w:sz w:val="20"/>
          <w:szCs w:val="20"/>
          <w:lang w:val="es-ES"/>
        </w:rPr>
        <w:t>los recursos del medio ambiente en que se</w:t>
      </w:r>
      <w:r w:rsidR="006840FA">
        <w:rPr>
          <w:rFonts w:ascii="Verdana" w:hAnsi="Verdana"/>
          <w:sz w:val="20"/>
          <w:szCs w:val="20"/>
          <w:lang w:val="es-ES"/>
        </w:rPr>
        <w:t xml:space="preserve"> encuentran</w:t>
      </w:r>
      <w:r w:rsidR="00E35190">
        <w:rPr>
          <w:rFonts w:ascii="Verdana" w:hAnsi="Verdana"/>
          <w:sz w:val="20"/>
          <w:szCs w:val="20"/>
          <w:lang w:val="es-ES"/>
        </w:rPr>
        <w:t>; simultáneamente, el deterioro del ambiente puede llevar, a su vez, a socavar el desarrollo económico</w:t>
      </w:r>
      <w:r w:rsidR="006840FA">
        <w:rPr>
          <w:rFonts w:ascii="Verdana" w:hAnsi="Verdana"/>
          <w:sz w:val="20"/>
          <w:szCs w:val="20"/>
          <w:lang w:val="es-ES"/>
        </w:rPr>
        <w:t xml:space="preserve"> y a condicionar el futuro de las personas que allí viven</w:t>
      </w:r>
      <w:r w:rsidR="00E35190">
        <w:rPr>
          <w:rFonts w:ascii="Verdana" w:hAnsi="Verdana"/>
          <w:sz w:val="20"/>
          <w:szCs w:val="20"/>
          <w:lang w:val="es-ES"/>
        </w:rPr>
        <w:t xml:space="preserve">. </w:t>
      </w:r>
    </w:p>
    <w:p w14:paraId="72C1F702" w14:textId="77777777" w:rsidR="00E35190" w:rsidRDefault="00E35190" w:rsidP="00E35190">
      <w:pPr>
        <w:pStyle w:val="Prrafodelista"/>
        <w:ind w:left="0"/>
        <w:jc w:val="both"/>
        <w:rPr>
          <w:rFonts w:ascii="Verdana" w:hAnsi="Verdana"/>
          <w:sz w:val="20"/>
          <w:szCs w:val="20"/>
          <w:lang w:val="es-ES"/>
        </w:rPr>
      </w:pPr>
    </w:p>
    <w:p w14:paraId="162DFD84" w14:textId="3ADA5F0F"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104. </w:t>
      </w:r>
      <w:r>
        <w:rPr>
          <w:rFonts w:ascii="Verdana" w:hAnsi="Verdana"/>
          <w:sz w:val="20"/>
          <w:szCs w:val="20"/>
          <w:lang w:val="es-ES"/>
        </w:rPr>
        <w:tab/>
      </w:r>
      <w:r w:rsidR="00E35190">
        <w:rPr>
          <w:rFonts w:ascii="Verdana" w:hAnsi="Verdana"/>
          <w:sz w:val="20"/>
          <w:szCs w:val="20"/>
          <w:lang w:val="es-ES"/>
        </w:rPr>
        <w:t>La sostenibilidad, en última instancia, refiere a obligaciones con las generaciones futuras; por lo que supone una necesaria conjugación entre desarrollo y equidad intergeneracional. El desarrollo sostenible consiste en asegurar “que se satisfaga</w:t>
      </w:r>
      <w:r w:rsidR="002E7DE1">
        <w:rPr>
          <w:rFonts w:ascii="Verdana" w:hAnsi="Verdana"/>
          <w:sz w:val="20"/>
          <w:szCs w:val="20"/>
          <w:lang w:val="es-ES"/>
        </w:rPr>
        <w:t>n</w:t>
      </w:r>
      <w:r w:rsidR="00E35190">
        <w:rPr>
          <w:rFonts w:ascii="Verdana" w:hAnsi="Verdana"/>
          <w:sz w:val="20"/>
          <w:szCs w:val="20"/>
          <w:lang w:val="es-ES"/>
        </w:rPr>
        <w:t xml:space="preserve"> las necesidades del presente sin comprometer la capacidad de las futuras generaciones de satisfacer las propias. El concepto de desarrollo duradero implica límites -no límites absolutos- sino limitaciones que imponen a los recursos del medio ambiente el estado actual de la tecnología y de la organización social y la capacidad de la biósfera de absorber los efectos de las actividades humanas”</w:t>
      </w:r>
      <w:r w:rsidR="00E35190">
        <w:rPr>
          <w:rStyle w:val="Refdenotaalpie"/>
          <w:rFonts w:ascii="Verdana" w:eastAsiaTheme="majorEastAsia" w:hAnsi="Verdana"/>
          <w:sz w:val="20"/>
          <w:szCs w:val="20"/>
          <w:lang w:val="es-ES"/>
        </w:rPr>
        <w:footnoteReference w:id="114"/>
      </w:r>
      <w:r w:rsidR="00326AFB">
        <w:rPr>
          <w:rFonts w:ascii="Verdana" w:hAnsi="Verdana"/>
          <w:sz w:val="20"/>
          <w:szCs w:val="20"/>
          <w:lang w:val="es-ES"/>
        </w:rPr>
        <w:t>.</w:t>
      </w:r>
    </w:p>
    <w:p w14:paraId="7D63791B" w14:textId="77777777" w:rsidR="00E35190" w:rsidRDefault="00E35190" w:rsidP="00E35190">
      <w:pPr>
        <w:pStyle w:val="Prrafodelista"/>
        <w:ind w:left="0"/>
        <w:jc w:val="both"/>
        <w:rPr>
          <w:rFonts w:ascii="Verdana" w:hAnsi="Verdana"/>
          <w:sz w:val="20"/>
          <w:szCs w:val="20"/>
          <w:lang w:val="es-ES"/>
        </w:rPr>
      </w:pPr>
    </w:p>
    <w:p w14:paraId="6C29FDF0" w14:textId="5AE48B08"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105. </w:t>
      </w:r>
      <w:r>
        <w:rPr>
          <w:rFonts w:ascii="Verdana" w:hAnsi="Verdana"/>
          <w:sz w:val="20"/>
          <w:szCs w:val="20"/>
          <w:lang w:val="es-ES"/>
        </w:rPr>
        <w:tab/>
      </w:r>
      <w:r w:rsidR="00E35190">
        <w:rPr>
          <w:rFonts w:ascii="Verdana" w:hAnsi="Verdana"/>
          <w:sz w:val="20"/>
          <w:szCs w:val="20"/>
          <w:lang w:val="es-ES"/>
        </w:rPr>
        <w:t xml:space="preserve">El derecho al desarrollo sostenible está consagrado en los artículos 30 a 34 de la Carta de la Organización de los Estados Americanos. El artículo 30 de la Carta de la OEA hace referencia a la justicia social en las relaciones entre los miembros, a fin de alcanzar el desarrollo integral como condición indispensable para la paz y la seguridad. En esta línea, dispone que “[e]l desarrollo integral abarca los campos económico, social, educacional, cultural, científico y tecnológico”. </w:t>
      </w:r>
    </w:p>
    <w:p w14:paraId="21FFC737" w14:textId="77777777" w:rsidR="00E35190" w:rsidRPr="007E6B44" w:rsidRDefault="00E35190" w:rsidP="00E35190">
      <w:pPr>
        <w:pStyle w:val="Prrafodelista"/>
        <w:rPr>
          <w:rFonts w:ascii="Verdana" w:hAnsi="Verdana"/>
          <w:sz w:val="20"/>
          <w:szCs w:val="20"/>
          <w:lang w:val="es-ES"/>
        </w:rPr>
      </w:pPr>
    </w:p>
    <w:p w14:paraId="6C8A5987" w14:textId="473C14CC"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106. </w:t>
      </w:r>
      <w:r>
        <w:rPr>
          <w:rFonts w:ascii="Verdana" w:hAnsi="Verdana"/>
          <w:sz w:val="20"/>
          <w:szCs w:val="20"/>
          <w:lang w:val="es-ES"/>
        </w:rPr>
        <w:tab/>
      </w:r>
      <w:r w:rsidR="00E35190">
        <w:rPr>
          <w:rFonts w:ascii="Verdana" w:hAnsi="Verdana"/>
          <w:sz w:val="20"/>
          <w:szCs w:val="20"/>
          <w:lang w:val="es-ES"/>
        </w:rPr>
        <w:t xml:space="preserve">Los artículos 31 y 32 refieren a la cooperación interamericana para el desarrollo integral como “responsabilidad común y solidaria de los Estados miembros”; aspecto que permite inferir la consagración del principio de solidaridad internacional, el que deviene fundamental en la consecución del desarrollo sostenible como se desarrollará </w:t>
      </w:r>
      <w:r w:rsidR="00E35190" w:rsidRPr="008E72FA">
        <w:rPr>
          <w:rFonts w:ascii="Verdana" w:hAnsi="Verdana"/>
          <w:i/>
          <w:sz w:val="20"/>
          <w:szCs w:val="20"/>
          <w:lang w:val="es-ES"/>
        </w:rPr>
        <w:t>infra</w:t>
      </w:r>
      <w:r w:rsidR="00E35190">
        <w:rPr>
          <w:rFonts w:ascii="Verdana" w:hAnsi="Verdana"/>
          <w:sz w:val="20"/>
          <w:szCs w:val="20"/>
          <w:lang w:val="es-ES"/>
        </w:rPr>
        <w:t xml:space="preserve">. </w:t>
      </w:r>
      <w:r w:rsidR="006840FA">
        <w:rPr>
          <w:rFonts w:ascii="Verdana" w:hAnsi="Verdana"/>
          <w:sz w:val="20"/>
          <w:szCs w:val="20"/>
          <w:lang w:val="es-ES"/>
        </w:rPr>
        <w:t xml:space="preserve">La solidaridad es </w:t>
      </w:r>
      <w:r w:rsidR="00AA02A4">
        <w:rPr>
          <w:rFonts w:ascii="Verdana" w:hAnsi="Verdana"/>
          <w:sz w:val="20"/>
          <w:szCs w:val="20"/>
          <w:lang w:val="es-ES"/>
        </w:rPr>
        <w:t xml:space="preserve">en consecuencia </w:t>
      </w:r>
      <w:r w:rsidR="006840FA">
        <w:rPr>
          <w:rFonts w:ascii="Verdana" w:hAnsi="Verdana"/>
          <w:sz w:val="20"/>
          <w:szCs w:val="20"/>
          <w:lang w:val="es-ES"/>
        </w:rPr>
        <w:t>una obligación jurídica asumida por los Estados.</w:t>
      </w:r>
    </w:p>
    <w:p w14:paraId="12997400" w14:textId="77777777" w:rsidR="00E35190" w:rsidRPr="007E6B44" w:rsidRDefault="00E35190" w:rsidP="00E35190">
      <w:pPr>
        <w:pStyle w:val="Prrafodelista"/>
        <w:rPr>
          <w:rFonts w:ascii="Verdana" w:hAnsi="Verdana"/>
          <w:sz w:val="20"/>
          <w:szCs w:val="20"/>
          <w:lang w:val="es-ES"/>
        </w:rPr>
      </w:pPr>
    </w:p>
    <w:p w14:paraId="2403E377" w14:textId="3E86BC7D"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107. </w:t>
      </w:r>
      <w:r>
        <w:rPr>
          <w:rFonts w:ascii="Verdana" w:hAnsi="Verdana"/>
          <w:sz w:val="20"/>
          <w:szCs w:val="20"/>
          <w:lang w:val="es-ES"/>
        </w:rPr>
        <w:tab/>
      </w:r>
      <w:r w:rsidR="00E35190">
        <w:rPr>
          <w:rFonts w:ascii="Verdana" w:hAnsi="Verdana"/>
          <w:sz w:val="20"/>
          <w:szCs w:val="20"/>
          <w:lang w:val="es-ES"/>
        </w:rPr>
        <w:t xml:space="preserve">Finalmente, el artículo 33 consagra que el desarrollo -que es responsabilidad de cada Estado- debe propender “a la plena realización de la persona humana”. Pues bien, como se desarrollará en este acápite, no se concibe la plena realización de la persona humana -como reza la norma- en un entorno ambientalmente degradado o en riesgo de estarlo por las actividades que se desarrollan. </w:t>
      </w:r>
    </w:p>
    <w:p w14:paraId="443A204D" w14:textId="77777777" w:rsidR="00E35190" w:rsidRPr="007E6B44" w:rsidRDefault="00E35190" w:rsidP="00E35190">
      <w:pPr>
        <w:pStyle w:val="Prrafodelista"/>
        <w:rPr>
          <w:rFonts w:ascii="Verdana" w:hAnsi="Verdana"/>
          <w:sz w:val="20"/>
          <w:szCs w:val="20"/>
          <w:lang w:val="es-ES"/>
        </w:rPr>
      </w:pPr>
    </w:p>
    <w:p w14:paraId="04F5FC2C" w14:textId="21EB21E4"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108. </w:t>
      </w:r>
      <w:r>
        <w:rPr>
          <w:rFonts w:ascii="Verdana" w:hAnsi="Verdana"/>
          <w:sz w:val="20"/>
          <w:szCs w:val="20"/>
          <w:lang w:val="es-ES"/>
        </w:rPr>
        <w:tab/>
      </w:r>
      <w:r w:rsidR="00E35190" w:rsidRPr="00E37E85">
        <w:rPr>
          <w:rFonts w:ascii="Verdana" w:hAnsi="Verdana"/>
          <w:sz w:val="20"/>
          <w:szCs w:val="20"/>
          <w:lang w:val="es-ES"/>
        </w:rPr>
        <w:t>Por tanto, si el desarrollo a que refiere la Carta de la OEA se debe orientar y contribuir a la plena realización de la persona, entonces es porque ese desarrollo debe ser sostenible, duradero, que se preocupe por la durabilidad y perdurabilidad de sí mismo, atendiendo a las necesidades de las generaciones presentes y futuras. Esto es: no hay plena realización de la persona humana en un entorno en riesgo o donde las perspectivas de supervivencia y bienestar no son seguras a mediano y largo plazo. He ahí el concepto de desarrollo sostenible</w:t>
      </w:r>
      <w:r w:rsidR="00E35190">
        <w:rPr>
          <w:rStyle w:val="Refdenotaalpie"/>
          <w:rFonts w:ascii="Verdana" w:hAnsi="Verdana"/>
          <w:sz w:val="20"/>
          <w:szCs w:val="20"/>
          <w:lang w:val="es-ES"/>
        </w:rPr>
        <w:footnoteReference w:id="115"/>
      </w:r>
      <w:r w:rsidR="00326AFB">
        <w:rPr>
          <w:rFonts w:ascii="Verdana" w:hAnsi="Verdana"/>
          <w:sz w:val="20"/>
          <w:szCs w:val="20"/>
          <w:lang w:val="es-ES"/>
        </w:rPr>
        <w:t>.</w:t>
      </w:r>
      <w:r w:rsidR="00E35190" w:rsidRPr="00E37E85">
        <w:rPr>
          <w:rFonts w:ascii="Verdana" w:hAnsi="Verdana"/>
          <w:sz w:val="20"/>
          <w:szCs w:val="20"/>
          <w:lang w:val="es-ES"/>
        </w:rPr>
        <w:t xml:space="preserve"> </w:t>
      </w:r>
    </w:p>
    <w:p w14:paraId="6BD7E16C" w14:textId="77777777" w:rsidR="00E35190" w:rsidRPr="00E37E85" w:rsidRDefault="00E35190" w:rsidP="00E35190">
      <w:pPr>
        <w:pStyle w:val="Prrafodelista"/>
        <w:ind w:left="0"/>
        <w:jc w:val="both"/>
        <w:rPr>
          <w:rFonts w:ascii="Verdana" w:hAnsi="Verdana"/>
          <w:sz w:val="20"/>
          <w:szCs w:val="20"/>
          <w:lang w:val="es-ES"/>
        </w:rPr>
      </w:pPr>
    </w:p>
    <w:p w14:paraId="53EFEA56" w14:textId="3612A308"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109. </w:t>
      </w:r>
      <w:r>
        <w:rPr>
          <w:rFonts w:ascii="Verdana" w:hAnsi="Verdana"/>
          <w:sz w:val="20"/>
          <w:szCs w:val="20"/>
          <w:lang w:val="es-ES"/>
        </w:rPr>
        <w:tab/>
      </w:r>
      <w:r w:rsidR="00E35190">
        <w:rPr>
          <w:rFonts w:ascii="Verdana" w:hAnsi="Verdana"/>
          <w:sz w:val="20"/>
          <w:szCs w:val="20"/>
          <w:lang w:val="es-ES"/>
        </w:rPr>
        <w:t xml:space="preserve">De esta manera, la consagración del derecho al desarrollo sostenible no solo está dada por instrumentos de </w:t>
      </w:r>
      <w:r w:rsidR="00E35190" w:rsidRPr="008E72FA">
        <w:rPr>
          <w:rFonts w:ascii="Verdana" w:hAnsi="Verdana"/>
          <w:i/>
          <w:sz w:val="20"/>
          <w:szCs w:val="20"/>
          <w:lang w:val="es-ES"/>
        </w:rPr>
        <w:t>soft law</w:t>
      </w:r>
      <w:r w:rsidR="00E35190">
        <w:rPr>
          <w:rFonts w:ascii="Verdana" w:hAnsi="Verdana"/>
          <w:sz w:val="20"/>
          <w:szCs w:val="20"/>
          <w:lang w:val="es-ES"/>
        </w:rPr>
        <w:t xml:space="preserve"> ni depende de la buena voluntad de los Estados; sino que, en tanto derecho emergente de la Carta de la OEA, deriva </w:t>
      </w:r>
      <w:r w:rsidR="00504316">
        <w:rPr>
          <w:rFonts w:ascii="Verdana" w:hAnsi="Verdana"/>
          <w:sz w:val="20"/>
          <w:szCs w:val="20"/>
          <w:lang w:val="es-ES"/>
        </w:rPr>
        <w:t>su</w:t>
      </w:r>
      <w:r w:rsidR="00E35190">
        <w:rPr>
          <w:rFonts w:ascii="Verdana" w:hAnsi="Verdana"/>
          <w:sz w:val="20"/>
          <w:szCs w:val="20"/>
          <w:lang w:val="es-ES"/>
        </w:rPr>
        <w:t xml:space="preserve"> protección en virtud del artículo 26 de la Convención Americana, como derecho convencionalmente protegido. </w:t>
      </w:r>
    </w:p>
    <w:p w14:paraId="35FDDA0E" w14:textId="77777777" w:rsidR="00E35190" w:rsidRDefault="00E35190" w:rsidP="00E35190">
      <w:pPr>
        <w:pStyle w:val="Prrafodelista"/>
        <w:ind w:left="0"/>
        <w:jc w:val="both"/>
        <w:rPr>
          <w:rFonts w:ascii="Verdana" w:hAnsi="Verdana"/>
          <w:sz w:val="20"/>
          <w:szCs w:val="20"/>
          <w:lang w:val="es-ES"/>
        </w:rPr>
      </w:pPr>
    </w:p>
    <w:p w14:paraId="66A32BBE" w14:textId="5DF68787"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110. </w:t>
      </w:r>
      <w:r>
        <w:rPr>
          <w:rFonts w:ascii="Verdana" w:hAnsi="Verdana"/>
          <w:sz w:val="20"/>
          <w:szCs w:val="20"/>
          <w:lang w:val="es-ES"/>
        </w:rPr>
        <w:tab/>
      </w:r>
      <w:r w:rsidR="00E35190">
        <w:rPr>
          <w:rFonts w:ascii="Verdana" w:hAnsi="Verdana"/>
          <w:sz w:val="20"/>
          <w:szCs w:val="20"/>
          <w:lang w:val="es-ES"/>
        </w:rPr>
        <w:t>El desarrollo sostenible es, en primer lugar, desarrollo; por lo que impone a los Estados inexorablemente la satisfacción de las necesidades y aspiraciones humanas básicas como principal objetivo, lo que incluye la erradicación de la pobreza, supresión de barreras de género e inclusión de todas las personas, acceso al agua potable, crecimiento económico equitativamente distribuido, vivienda y educación; sistemas democráticos donde se protejan los derechos humanos, entre otros.</w:t>
      </w:r>
    </w:p>
    <w:p w14:paraId="1CD1FE01" w14:textId="77777777" w:rsidR="00E35190" w:rsidRPr="00C827B9" w:rsidRDefault="00E35190" w:rsidP="00E35190">
      <w:pPr>
        <w:pStyle w:val="Prrafodelista"/>
        <w:rPr>
          <w:rFonts w:ascii="Verdana" w:hAnsi="Verdana"/>
          <w:sz w:val="20"/>
          <w:szCs w:val="20"/>
          <w:lang w:val="es-ES"/>
        </w:rPr>
      </w:pPr>
    </w:p>
    <w:p w14:paraId="3F0A2802" w14:textId="508EE40A"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111. </w:t>
      </w:r>
      <w:r>
        <w:rPr>
          <w:rFonts w:ascii="Verdana" w:hAnsi="Verdana"/>
          <w:sz w:val="20"/>
          <w:szCs w:val="20"/>
          <w:lang w:val="es-ES"/>
        </w:rPr>
        <w:tab/>
      </w:r>
      <w:r w:rsidR="00E35190">
        <w:rPr>
          <w:rFonts w:ascii="Verdana" w:hAnsi="Verdana"/>
          <w:sz w:val="20"/>
          <w:szCs w:val="20"/>
          <w:lang w:val="es-ES"/>
        </w:rPr>
        <w:t xml:space="preserve">Pero, en segundo lugar, es “sostenible” o “duradero”, lo que requiere que los niveles de producción y consumo tengan en cuenta la durabilidad a largo plazo, el impacto en las generaciones venideras, la disponibilidad de recursos y su conservación en estándares de calidad, entre otras. Es así, que el desarrollo sustentable impone adoptar una perspectiva “verde”, que atienda a la preservación de especies vegetales y animales, la conservación del suelo y de los ecosistemas. En este sentido, el </w:t>
      </w:r>
      <w:r w:rsidR="00094BFD">
        <w:rPr>
          <w:rFonts w:ascii="Verdana" w:hAnsi="Verdana"/>
          <w:sz w:val="20"/>
          <w:szCs w:val="20"/>
          <w:lang w:val="es-ES"/>
        </w:rPr>
        <w:t xml:space="preserve">“Informe Bruntland” </w:t>
      </w:r>
      <w:r w:rsidR="00E35190">
        <w:rPr>
          <w:rFonts w:ascii="Verdana" w:hAnsi="Verdana"/>
          <w:sz w:val="20"/>
          <w:szCs w:val="20"/>
          <w:lang w:val="es-ES"/>
        </w:rPr>
        <w:t xml:space="preserve"> señaló que “es un proceso de cambio en el cual la explotación de los recursos, la orientación de la evolución tecnológica y la modificación de las instituciones están acordes y acrecientan el potencial actual y futuro para satisfacer las necesidades y aspiraciones humanas”</w:t>
      </w:r>
      <w:r w:rsidR="00E35190">
        <w:rPr>
          <w:rStyle w:val="Refdenotaalpie"/>
          <w:rFonts w:ascii="Verdana" w:eastAsiaTheme="majorEastAsia" w:hAnsi="Verdana"/>
          <w:sz w:val="20"/>
          <w:szCs w:val="20"/>
          <w:lang w:val="es-ES"/>
        </w:rPr>
        <w:footnoteReference w:id="116"/>
      </w:r>
      <w:r w:rsidR="00326AFB">
        <w:rPr>
          <w:rFonts w:ascii="Verdana" w:hAnsi="Verdana"/>
          <w:sz w:val="20"/>
          <w:szCs w:val="20"/>
          <w:lang w:val="es-ES"/>
        </w:rPr>
        <w:t>.</w:t>
      </w:r>
    </w:p>
    <w:p w14:paraId="03AD9EAF" w14:textId="77777777" w:rsidR="00E35190" w:rsidRPr="008A4F23" w:rsidRDefault="00E35190" w:rsidP="00E35190">
      <w:pPr>
        <w:pStyle w:val="Prrafodelista"/>
        <w:rPr>
          <w:rFonts w:ascii="Verdana" w:hAnsi="Verdana"/>
          <w:sz w:val="20"/>
          <w:szCs w:val="20"/>
          <w:lang w:val="es-ES"/>
        </w:rPr>
      </w:pPr>
    </w:p>
    <w:p w14:paraId="36AD5DC4" w14:textId="4692ACD7" w:rsidR="00E35190" w:rsidRPr="008A4F23"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112. </w:t>
      </w:r>
      <w:r>
        <w:rPr>
          <w:rFonts w:ascii="Verdana" w:hAnsi="Verdana"/>
          <w:sz w:val="20"/>
          <w:szCs w:val="20"/>
          <w:lang w:val="es-ES"/>
        </w:rPr>
        <w:tab/>
      </w:r>
      <w:r w:rsidR="00E35190">
        <w:rPr>
          <w:rFonts w:ascii="Verdana" w:hAnsi="Verdana"/>
          <w:sz w:val="20"/>
          <w:szCs w:val="20"/>
          <w:lang w:val="es-ES"/>
        </w:rPr>
        <w:t>El desarrollo se erige como un derecho humano. Ahora bien, en tanto obligación estatal, presupone que se dé sobre la base de un sistema y estado ambiental en condiciones; dado que la sustentabilidad es condición necesaria para que exista verdadero desarrollo como derecho humano. Es posible afirmar que existe, pues, una relación de interdependencia e interconexión entre medio ambiente, sustentabilidad y desarrollo; por lo que cada decisión relacionada a la producción, el desarrollo o la sociedad debe ser tomada desde una perspectiva sustentable; debiendo armonizar y, en su caso, ponderar, por un lado, los beneficios actuales y, por el otro, las consecuencias presentes y proyecciones futuras, previendo el grado de afectación y beneficios en uno y otro caso. Es así que el “Informe Bruntland” señalaba que si bien todo crecimiento económico entraña un riesgo inherente de perjudicar al ambiente, “los responsables de las decisiones políticas, orientados por el concepto de desarrollo duradero, necesariamente trabajarán para asegurar que las economías en aumento continú</w:t>
      </w:r>
      <w:r w:rsidR="007757B2">
        <w:rPr>
          <w:rFonts w:ascii="Verdana" w:hAnsi="Verdana"/>
          <w:sz w:val="20"/>
          <w:szCs w:val="20"/>
          <w:lang w:val="es-ES"/>
        </w:rPr>
        <w:t>[e]</w:t>
      </w:r>
      <w:r w:rsidR="00E35190">
        <w:rPr>
          <w:rFonts w:ascii="Verdana" w:hAnsi="Verdana"/>
          <w:sz w:val="20"/>
          <w:szCs w:val="20"/>
          <w:lang w:val="es-ES"/>
        </w:rPr>
        <w:t>n firmemente arraigadas en sus raíces ecológicas y que estas raíces están protegidas y nutridas de manera que soporten el crecimiento durante el largo período”</w:t>
      </w:r>
      <w:r w:rsidR="00E35190">
        <w:rPr>
          <w:rStyle w:val="Refdenotaalpie"/>
          <w:rFonts w:ascii="Verdana" w:eastAsiaTheme="majorEastAsia" w:hAnsi="Verdana"/>
          <w:sz w:val="20"/>
          <w:szCs w:val="20"/>
          <w:lang w:val="es-ES"/>
        </w:rPr>
        <w:footnoteReference w:id="117"/>
      </w:r>
      <w:r w:rsidR="00326AFB">
        <w:rPr>
          <w:rFonts w:ascii="Verdana" w:hAnsi="Verdana"/>
          <w:sz w:val="20"/>
          <w:szCs w:val="20"/>
          <w:lang w:val="es-ES"/>
        </w:rPr>
        <w:t>.</w:t>
      </w:r>
    </w:p>
    <w:p w14:paraId="33F2F8E7" w14:textId="77777777" w:rsidR="00E35190" w:rsidRPr="006665FE" w:rsidRDefault="00E35190" w:rsidP="00E35190">
      <w:pPr>
        <w:pStyle w:val="Prrafodelista"/>
        <w:rPr>
          <w:rFonts w:ascii="Verdana" w:hAnsi="Verdana"/>
          <w:sz w:val="20"/>
          <w:szCs w:val="20"/>
          <w:lang w:val="es-ES"/>
        </w:rPr>
      </w:pPr>
    </w:p>
    <w:p w14:paraId="0B438173" w14:textId="6E27D292"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113. </w:t>
      </w:r>
      <w:r>
        <w:rPr>
          <w:rFonts w:ascii="Verdana" w:hAnsi="Verdana"/>
          <w:sz w:val="20"/>
          <w:szCs w:val="20"/>
          <w:lang w:val="es-ES"/>
        </w:rPr>
        <w:tab/>
      </w:r>
      <w:r w:rsidR="00E35190">
        <w:rPr>
          <w:rFonts w:ascii="Verdana" w:hAnsi="Verdana"/>
          <w:sz w:val="20"/>
          <w:szCs w:val="20"/>
          <w:lang w:val="es-ES"/>
        </w:rPr>
        <w:t>El desarrollo sustentable, en tanto obligación estatal, debe desarrollarse en tres áreas: (i) ecológica, lo que implica la elaboración de políticas de protección, conservación y recuperación del patrimonio natural y del medio ambiente, teniendo en cuenta la diversidad biológica y la capacidad de regeneración; (ii) económica, lo que supone la adaptación de los medios de producción y consumo; valoración de los recursos a corto y largo plazo, equidad intergeneracional e intrageneracional; y (iii) social, en tanto se requiere igualdad de oportunidades, integración, participación ciudadana en la toma de decisiones que afecten al ambiente, satisfacción de necesidades básicas, trabajo decente y erradicación de la pobreza. Esto es, el desarrollo sostenible tiene una triple dimensión que debe darse en forma equilibrada e integrada por tratarse de tres dimensiones del mismo fenómeno; a saber, económica, social y ambiental</w:t>
      </w:r>
      <w:r w:rsidR="00E35190">
        <w:rPr>
          <w:rStyle w:val="Refdenotaalpie"/>
          <w:rFonts w:ascii="Verdana" w:eastAsiaTheme="majorEastAsia" w:hAnsi="Verdana"/>
          <w:sz w:val="20"/>
          <w:szCs w:val="20"/>
          <w:lang w:val="es-ES"/>
        </w:rPr>
        <w:footnoteReference w:id="118"/>
      </w:r>
      <w:r w:rsidR="00326AFB">
        <w:rPr>
          <w:rFonts w:ascii="Verdana" w:hAnsi="Verdana"/>
          <w:sz w:val="20"/>
          <w:szCs w:val="20"/>
          <w:lang w:val="es-ES"/>
        </w:rPr>
        <w:t>.</w:t>
      </w:r>
    </w:p>
    <w:p w14:paraId="37C9CFDA" w14:textId="77777777" w:rsidR="00E35190" w:rsidRPr="008A4F23" w:rsidRDefault="00E35190" w:rsidP="00E35190">
      <w:pPr>
        <w:pStyle w:val="Prrafodelista"/>
        <w:rPr>
          <w:rFonts w:ascii="Verdana" w:hAnsi="Verdana"/>
          <w:sz w:val="20"/>
          <w:szCs w:val="20"/>
          <w:lang w:val="es-ES"/>
        </w:rPr>
      </w:pPr>
    </w:p>
    <w:p w14:paraId="5437A514" w14:textId="58DB06EF"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114. </w:t>
      </w:r>
      <w:r>
        <w:rPr>
          <w:rFonts w:ascii="Verdana" w:hAnsi="Verdana"/>
          <w:sz w:val="20"/>
          <w:szCs w:val="20"/>
          <w:lang w:val="es-ES"/>
        </w:rPr>
        <w:tab/>
      </w:r>
      <w:r w:rsidR="00E35190">
        <w:rPr>
          <w:rFonts w:ascii="Verdana" w:hAnsi="Verdana"/>
          <w:sz w:val="20"/>
          <w:szCs w:val="20"/>
          <w:lang w:val="es-ES"/>
        </w:rPr>
        <w:t xml:space="preserve">Una verdadera perspectiva de desarrollo sostenible requiere considerar el impacto que tienen las actuales formas de desarrollo sobre los grupos vulnerables; en especial, los niños y niñas, quienes pueden ver hipotecadas sus oportunidades de desarrollo y bienestar a largo plazo si los recursos no son correctamente administrados y preservados en el tiempo presente. De igual manera, también debe considerarse la responsabilidad que recae sobre las generaciones presentes </w:t>
      </w:r>
      <w:r w:rsidR="0081025D">
        <w:rPr>
          <w:rFonts w:ascii="Verdana" w:hAnsi="Verdana"/>
          <w:sz w:val="20"/>
          <w:szCs w:val="20"/>
          <w:lang w:val="es-ES"/>
        </w:rPr>
        <w:t>respecto de</w:t>
      </w:r>
      <w:r w:rsidR="00E35190">
        <w:rPr>
          <w:rFonts w:ascii="Verdana" w:hAnsi="Verdana"/>
          <w:sz w:val="20"/>
          <w:szCs w:val="20"/>
          <w:lang w:val="es-ES"/>
        </w:rPr>
        <w:t xml:space="preserve"> las generaciones futuras, toda vez que estamos llamados a entregar el ambiente en condiciones al menos iguales a aquellas en que lo recibimos.</w:t>
      </w:r>
    </w:p>
    <w:p w14:paraId="75C4C3A8" w14:textId="77777777" w:rsidR="00E35190" w:rsidRPr="008A4F23" w:rsidRDefault="00E35190" w:rsidP="00E35190">
      <w:pPr>
        <w:pStyle w:val="Prrafodelista"/>
        <w:rPr>
          <w:rFonts w:ascii="Verdana" w:hAnsi="Verdana"/>
          <w:sz w:val="20"/>
          <w:szCs w:val="20"/>
          <w:lang w:val="es-ES"/>
        </w:rPr>
      </w:pPr>
    </w:p>
    <w:p w14:paraId="18930A9B" w14:textId="20099EE6"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115. </w:t>
      </w:r>
      <w:r>
        <w:rPr>
          <w:rFonts w:ascii="Verdana" w:hAnsi="Verdana"/>
          <w:sz w:val="20"/>
          <w:szCs w:val="20"/>
          <w:lang w:val="es-ES"/>
        </w:rPr>
        <w:tab/>
      </w:r>
      <w:r w:rsidR="00E35190">
        <w:rPr>
          <w:rFonts w:ascii="Verdana" w:hAnsi="Verdana"/>
          <w:sz w:val="20"/>
          <w:szCs w:val="20"/>
          <w:lang w:val="es-ES"/>
        </w:rPr>
        <w:t>En este sentido se ha pronunciado el Alto Comisionado de Derechos Humanos señalando la importancia que tiene para los Estados que: “al preparar sus políticas ambientales, tengan en cuenta el modo en que la degradación del medio ambiente puede afectar a todos los miembros de la sociedad y, en particular, a las mujeres, los niños, las poblaciones indígenas o los miembros de la sociedad en situación desventajosa, incluidas las personas o grupos de personas que son objeto del racismo”</w:t>
      </w:r>
      <w:r w:rsidR="00E35190">
        <w:rPr>
          <w:rStyle w:val="Refdenotaalpie"/>
          <w:rFonts w:ascii="Verdana" w:eastAsiaTheme="majorEastAsia" w:hAnsi="Verdana"/>
          <w:sz w:val="20"/>
          <w:szCs w:val="20"/>
          <w:lang w:val="es-ES"/>
        </w:rPr>
        <w:footnoteReference w:id="119"/>
      </w:r>
      <w:r w:rsidR="00E35190">
        <w:rPr>
          <w:rFonts w:ascii="Verdana" w:hAnsi="Verdana"/>
          <w:sz w:val="20"/>
          <w:szCs w:val="20"/>
          <w:lang w:val="es-ES"/>
        </w:rPr>
        <w:t>.</w:t>
      </w:r>
    </w:p>
    <w:p w14:paraId="5C0A987A" w14:textId="77777777" w:rsidR="00E35190" w:rsidRPr="008A4F23" w:rsidRDefault="00E35190" w:rsidP="00E35190">
      <w:pPr>
        <w:pStyle w:val="Prrafodelista"/>
        <w:rPr>
          <w:rFonts w:ascii="Verdana" w:hAnsi="Verdana"/>
          <w:sz w:val="20"/>
          <w:szCs w:val="20"/>
          <w:lang w:val="es-ES"/>
        </w:rPr>
      </w:pPr>
    </w:p>
    <w:p w14:paraId="1D8854B1" w14:textId="036FFD08"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116. </w:t>
      </w:r>
      <w:r>
        <w:rPr>
          <w:rFonts w:ascii="Verdana" w:hAnsi="Verdana"/>
          <w:sz w:val="20"/>
          <w:szCs w:val="20"/>
          <w:lang w:val="es-ES"/>
        </w:rPr>
        <w:tab/>
      </w:r>
      <w:r w:rsidR="00E35190">
        <w:rPr>
          <w:rFonts w:ascii="Verdana" w:hAnsi="Verdana"/>
          <w:sz w:val="20"/>
          <w:szCs w:val="20"/>
          <w:lang w:val="es-ES"/>
        </w:rPr>
        <w:t>Es así que es preciso que los Estados tengan especialmente en cuenta la situación de las personas que se encuentran en la pobreza, desarrollando planes para erradicarla, dado que como se explica en la sentencia, los efectos de la contaminación y degradación del ambiente repercuten más fuertemente sobre ciertos grupos en situación de vulnerabilidad</w:t>
      </w:r>
      <w:r w:rsidR="00E35190">
        <w:rPr>
          <w:rStyle w:val="Refdenotaalpie"/>
          <w:rFonts w:ascii="Verdana" w:eastAsiaTheme="majorEastAsia" w:hAnsi="Verdana"/>
          <w:sz w:val="20"/>
          <w:szCs w:val="20"/>
          <w:lang w:val="es-ES"/>
        </w:rPr>
        <w:footnoteReference w:id="120"/>
      </w:r>
      <w:r w:rsidR="00632E26">
        <w:rPr>
          <w:rFonts w:ascii="Verdana" w:hAnsi="Verdana"/>
          <w:sz w:val="20"/>
          <w:szCs w:val="20"/>
          <w:lang w:val="es-ES"/>
        </w:rPr>
        <w:t>.</w:t>
      </w:r>
      <w:r w:rsidR="00E35190">
        <w:rPr>
          <w:rFonts w:ascii="Verdana" w:hAnsi="Verdana"/>
          <w:sz w:val="20"/>
          <w:szCs w:val="20"/>
          <w:lang w:val="es-ES"/>
        </w:rPr>
        <w:t xml:space="preserve"> Sobre este punto, la Agenda 2030 prevé que “la erradicación de la pobreza en todas sus formas y dimensiones, incluida la pobreza extrema, es el mayor desafío a que se enfrenta el mundo y constituye un requisito indispensable para el desarrollo sostenible”</w:t>
      </w:r>
      <w:r w:rsidR="00E35190">
        <w:rPr>
          <w:rStyle w:val="Refdenotaalpie"/>
          <w:rFonts w:ascii="Verdana" w:eastAsiaTheme="majorEastAsia" w:hAnsi="Verdana"/>
          <w:sz w:val="20"/>
          <w:szCs w:val="20"/>
          <w:lang w:val="es-ES"/>
        </w:rPr>
        <w:footnoteReference w:id="121"/>
      </w:r>
      <w:r w:rsidR="00326AFB">
        <w:rPr>
          <w:rFonts w:ascii="Verdana" w:hAnsi="Verdana"/>
          <w:sz w:val="20"/>
          <w:szCs w:val="20"/>
          <w:lang w:val="es-ES"/>
        </w:rPr>
        <w:t>.</w:t>
      </w:r>
    </w:p>
    <w:p w14:paraId="1225D203" w14:textId="77777777" w:rsidR="00E35190" w:rsidRPr="00F944CC" w:rsidRDefault="00E35190" w:rsidP="00E35190">
      <w:pPr>
        <w:pStyle w:val="Prrafodelista"/>
        <w:rPr>
          <w:rFonts w:ascii="Verdana" w:hAnsi="Verdana"/>
          <w:sz w:val="20"/>
          <w:szCs w:val="20"/>
          <w:lang w:val="es-ES"/>
        </w:rPr>
      </w:pPr>
    </w:p>
    <w:p w14:paraId="4FF66A0C" w14:textId="478FA4FD" w:rsidR="00E35190" w:rsidRDefault="00AF63FA" w:rsidP="00AF63FA">
      <w:pPr>
        <w:pStyle w:val="Prrafodelista"/>
        <w:ind w:left="0"/>
        <w:jc w:val="both"/>
        <w:rPr>
          <w:rFonts w:ascii="Verdana" w:hAnsi="Verdana"/>
          <w:sz w:val="20"/>
          <w:szCs w:val="20"/>
          <w:lang w:val="es-ES"/>
        </w:rPr>
      </w:pPr>
      <w:r>
        <w:rPr>
          <w:rFonts w:ascii="Verdana" w:hAnsi="Verdana"/>
          <w:sz w:val="20"/>
          <w:szCs w:val="20"/>
          <w:lang w:val="es-ES"/>
        </w:rPr>
        <w:t xml:space="preserve">117. </w:t>
      </w:r>
      <w:r>
        <w:rPr>
          <w:rFonts w:ascii="Verdana" w:hAnsi="Verdana"/>
          <w:sz w:val="20"/>
          <w:szCs w:val="20"/>
          <w:lang w:val="es-ES"/>
        </w:rPr>
        <w:tab/>
      </w:r>
      <w:r w:rsidR="00E35190">
        <w:rPr>
          <w:rFonts w:ascii="Verdana" w:hAnsi="Verdana"/>
          <w:sz w:val="20"/>
          <w:szCs w:val="20"/>
          <w:lang w:val="es-ES"/>
        </w:rPr>
        <w:t xml:space="preserve">El derecho al desarrollo </w:t>
      </w:r>
      <w:r w:rsidR="00326AFB">
        <w:rPr>
          <w:rFonts w:ascii="Verdana" w:hAnsi="Verdana"/>
          <w:sz w:val="20"/>
          <w:szCs w:val="20"/>
          <w:lang w:val="es-ES"/>
        </w:rPr>
        <w:t>—</w:t>
      </w:r>
      <w:r w:rsidR="00E35190">
        <w:rPr>
          <w:rFonts w:ascii="Verdana" w:hAnsi="Verdana"/>
          <w:sz w:val="20"/>
          <w:szCs w:val="20"/>
          <w:lang w:val="es-ES"/>
        </w:rPr>
        <w:t>incluido el desarrollo económico</w:t>
      </w:r>
      <w:r w:rsidR="00326AFB">
        <w:rPr>
          <w:rFonts w:ascii="Verdana" w:hAnsi="Verdana"/>
          <w:sz w:val="20"/>
          <w:szCs w:val="20"/>
          <w:lang w:val="es-ES"/>
        </w:rPr>
        <w:t>—</w:t>
      </w:r>
      <w:r w:rsidR="00E35190">
        <w:rPr>
          <w:rFonts w:ascii="Verdana" w:hAnsi="Verdana"/>
          <w:sz w:val="20"/>
          <w:szCs w:val="20"/>
          <w:lang w:val="es-ES"/>
        </w:rPr>
        <w:t xml:space="preserve"> no puede conseguirse a toda costa, sin consideración de los costos y riesgos de la actividad. Por el contrario, es preciso que </w:t>
      </w:r>
      <w:r w:rsidR="00AA02A4">
        <w:rPr>
          <w:rFonts w:ascii="Verdana" w:hAnsi="Verdana"/>
          <w:sz w:val="20"/>
          <w:szCs w:val="20"/>
          <w:lang w:val="es-ES"/>
        </w:rPr>
        <w:t xml:space="preserve">toda política al respecto </w:t>
      </w:r>
      <w:r w:rsidR="00E35190">
        <w:rPr>
          <w:rFonts w:ascii="Verdana" w:hAnsi="Verdana"/>
          <w:sz w:val="20"/>
          <w:szCs w:val="20"/>
          <w:lang w:val="es-ES"/>
        </w:rPr>
        <w:t xml:space="preserve">se encuentre limitada o definida en </w:t>
      </w:r>
      <w:r w:rsidR="008A5911">
        <w:rPr>
          <w:rFonts w:ascii="Verdana" w:hAnsi="Verdana"/>
          <w:sz w:val="20"/>
          <w:szCs w:val="20"/>
          <w:lang w:val="es-ES"/>
        </w:rPr>
        <w:t xml:space="preserve">relación </w:t>
      </w:r>
      <w:r w:rsidR="00E35190">
        <w:rPr>
          <w:rFonts w:ascii="Verdana" w:hAnsi="Verdana"/>
          <w:sz w:val="20"/>
          <w:szCs w:val="20"/>
          <w:lang w:val="es-ES"/>
        </w:rPr>
        <w:t>al principio de equidad intergeneracional y el desarrollo sostenible. Es correcto</w:t>
      </w:r>
      <w:r w:rsidR="00AA02A4">
        <w:rPr>
          <w:rFonts w:ascii="Verdana" w:hAnsi="Verdana"/>
          <w:sz w:val="20"/>
          <w:szCs w:val="20"/>
          <w:lang w:val="es-ES"/>
        </w:rPr>
        <w:t xml:space="preserve"> afirmar </w:t>
      </w:r>
      <w:r w:rsidR="00E35190">
        <w:rPr>
          <w:rFonts w:ascii="Verdana" w:hAnsi="Verdana"/>
          <w:sz w:val="20"/>
          <w:szCs w:val="20"/>
          <w:lang w:val="es-ES"/>
        </w:rPr>
        <w:t>que existe un deber estatal de emplear todas las energías para conseguir un desarrollo económico y social; pero ese desarrollo ha de ser sostenido, inclusivo (distribuido equitativamente) y sostenible. La sostenibilidad permite que el modelo genere desarrollo y se mantenga en el tiempo, sin detrimento de las condiciones ambientales, sociales y de cualquier otro orden. Es necesario hacer un llamado a revisar los modelos de producción, desarrollo y consumo que operan en los Estados a fin de que sean sostenibles a partir de la gestión sostenible y responsable de los recursos naturales.</w:t>
      </w:r>
    </w:p>
    <w:p w14:paraId="3B4F2799" w14:textId="77777777" w:rsidR="00E35190" w:rsidRPr="005762D1" w:rsidRDefault="00E35190" w:rsidP="00E35190">
      <w:pPr>
        <w:pStyle w:val="Prrafodelista"/>
        <w:rPr>
          <w:rFonts w:ascii="Verdana" w:hAnsi="Verdana"/>
          <w:sz w:val="20"/>
          <w:szCs w:val="20"/>
          <w:lang w:val="es-ES"/>
        </w:rPr>
      </w:pPr>
    </w:p>
    <w:p w14:paraId="66AEFF3B" w14:textId="6CF45BF5" w:rsidR="00E35190"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118. </w:t>
      </w:r>
      <w:r>
        <w:rPr>
          <w:rFonts w:ascii="Verdana" w:hAnsi="Verdana"/>
          <w:sz w:val="20"/>
          <w:szCs w:val="20"/>
          <w:lang w:val="es-ES"/>
        </w:rPr>
        <w:tab/>
      </w:r>
      <w:r w:rsidR="00E35190">
        <w:rPr>
          <w:rFonts w:ascii="Verdana" w:hAnsi="Verdana"/>
          <w:sz w:val="20"/>
          <w:szCs w:val="20"/>
          <w:lang w:val="es-ES"/>
        </w:rPr>
        <w:t>Para ello es necesario que se conjuguen esfuerzos entre particulares, los Estados y las empresas; sin perjuicio de la obligación estatal de regulación, control y fiscalización a fin de respetar y garantizar el derecho a un medio ambiente sano, limpio y sostenible.</w:t>
      </w:r>
    </w:p>
    <w:p w14:paraId="628274CA" w14:textId="77777777" w:rsidR="00E35190" w:rsidRPr="005762D1" w:rsidRDefault="00E35190" w:rsidP="00E35190">
      <w:pPr>
        <w:pStyle w:val="Prrafodelista"/>
        <w:rPr>
          <w:rFonts w:ascii="Verdana" w:hAnsi="Verdana"/>
          <w:sz w:val="20"/>
          <w:szCs w:val="20"/>
          <w:lang w:val="es-ES"/>
        </w:rPr>
      </w:pPr>
    </w:p>
    <w:p w14:paraId="41C75AF9" w14:textId="274BA1DB" w:rsidR="00E35190" w:rsidRPr="0081025D"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119. </w:t>
      </w:r>
      <w:r>
        <w:rPr>
          <w:rFonts w:ascii="Verdana" w:hAnsi="Verdana"/>
          <w:sz w:val="20"/>
          <w:szCs w:val="20"/>
          <w:lang w:val="es-ES"/>
        </w:rPr>
        <w:tab/>
      </w:r>
      <w:r w:rsidR="00E35190" w:rsidRPr="0081025D">
        <w:rPr>
          <w:rFonts w:ascii="Verdana" w:hAnsi="Verdana"/>
          <w:sz w:val="20"/>
          <w:szCs w:val="20"/>
          <w:lang w:val="es-ES"/>
        </w:rPr>
        <w:t xml:space="preserve">La Corte Constitucional de Colombia se ha pronunciado al respecto, señalando que: “[e]l desarrollo sostenible no es solamente un marco teórico sino que involucra un conjunto de instrumentos, entre ellos jurídicos, que hagan factible el progreso de las próximas generaciones en consonancia con un desarrollo armónico de la naturaleza </w:t>
      </w:r>
      <w:r w:rsidR="008A5911">
        <w:rPr>
          <w:rFonts w:ascii="Verdana" w:hAnsi="Verdana"/>
          <w:sz w:val="20"/>
          <w:szCs w:val="20"/>
          <w:lang w:val="es-ES"/>
        </w:rPr>
        <w:t>[</w:t>
      </w:r>
      <w:r w:rsidR="00E35190" w:rsidRPr="0081025D">
        <w:rPr>
          <w:rFonts w:ascii="Verdana" w:hAnsi="Verdana"/>
          <w:sz w:val="20"/>
          <w:szCs w:val="20"/>
          <w:lang w:val="es-ES"/>
        </w:rPr>
        <w:t>…</w:t>
      </w:r>
      <w:r w:rsidR="008A5911">
        <w:rPr>
          <w:rFonts w:ascii="Verdana" w:hAnsi="Verdana"/>
          <w:sz w:val="20"/>
          <w:szCs w:val="20"/>
          <w:lang w:val="es-ES"/>
        </w:rPr>
        <w:t>]</w:t>
      </w:r>
      <w:r w:rsidR="00E35190" w:rsidRPr="0081025D">
        <w:rPr>
          <w:rFonts w:ascii="Verdana" w:hAnsi="Verdana"/>
          <w:sz w:val="20"/>
          <w:szCs w:val="20"/>
          <w:lang w:val="es-ES"/>
        </w:rPr>
        <w:t xml:space="preserve"> desde esta perspectiva, el desarrollo económico y tecnológico en lugar de oponerse al mejoramiento ambiental, deben ser compatibles con la protección al medio ambiente y la preservación de los valores históricos y culturales”</w:t>
      </w:r>
      <w:r w:rsidR="00E35190" w:rsidRPr="0081025D">
        <w:rPr>
          <w:rStyle w:val="Refdenotaalpie"/>
          <w:rFonts w:ascii="Verdana" w:eastAsiaTheme="majorEastAsia" w:hAnsi="Verdana"/>
          <w:sz w:val="20"/>
          <w:szCs w:val="20"/>
          <w:lang w:val="es-ES"/>
        </w:rPr>
        <w:footnoteReference w:id="122"/>
      </w:r>
      <w:r w:rsidR="005E63ED">
        <w:rPr>
          <w:rFonts w:ascii="Verdana" w:hAnsi="Verdana"/>
          <w:sz w:val="20"/>
          <w:szCs w:val="20"/>
          <w:lang w:val="es-ES"/>
        </w:rPr>
        <w:t>.</w:t>
      </w:r>
    </w:p>
    <w:p w14:paraId="17F9EA63" w14:textId="77777777" w:rsidR="00E35190" w:rsidRPr="00511660" w:rsidRDefault="00E35190" w:rsidP="00E35190">
      <w:pPr>
        <w:pStyle w:val="Prrafodelista"/>
        <w:rPr>
          <w:rFonts w:ascii="Verdana" w:hAnsi="Verdana"/>
          <w:sz w:val="20"/>
          <w:szCs w:val="20"/>
          <w:highlight w:val="green"/>
          <w:lang w:val="es-ES"/>
        </w:rPr>
      </w:pPr>
    </w:p>
    <w:p w14:paraId="69A188F7" w14:textId="71A9008E" w:rsidR="00E35190" w:rsidRPr="0081025D"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120. </w:t>
      </w:r>
      <w:r>
        <w:rPr>
          <w:rFonts w:ascii="Verdana" w:hAnsi="Verdana"/>
          <w:sz w:val="20"/>
          <w:szCs w:val="20"/>
          <w:lang w:val="es-ES"/>
        </w:rPr>
        <w:tab/>
      </w:r>
      <w:r w:rsidR="00E35190" w:rsidRPr="0081025D">
        <w:rPr>
          <w:rFonts w:ascii="Verdana" w:hAnsi="Verdana"/>
          <w:sz w:val="20"/>
          <w:szCs w:val="20"/>
          <w:lang w:val="es-ES"/>
        </w:rPr>
        <w:t xml:space="preserve">En el caso que motiva este voto, las actividades desarrolladas en el Complejo Metalúrgico de La Oroya no adoptaron una perspectiva sustentable; </w:t>
      </w:r>
      <w:r w:rsidR="00AA02A4">
        <w:rPr>
          <w:rFonts w:ascii="Verdana" w:hAnsi="Verdana"/>
          <w:sz w:val="20"/>
          <w:szCs w:val="20"/>
          <w:lang w:val="es-ES"/>
        </w:rPr>
        <w:t xml:space="preserve">como señala la sentencia a esto contribuyó la </w:t>
      </w:r>
      <w:r w:rsidR="00E35190" w:rsidRPr="0081025D">
        <w:rPr>
          <w:rFonts w:ascii="Verdana" w:hAnsi="Verdana"/>
          <w:sz w:val="20"/>
          <w:szCs w:val="20"/>
          <w:lang w:val="es-ES"/>
        </w:rPr>
        <w:t>deficiente regulación y fiscalización estatal. Respecto a la industria, innovación e infraestructura, los Objetivos de Desarrollo Sostenible requieren dentro de sus metas “la adopción de tecnologías y procesos industriales limpios y ambientalmente racionales y logrando que todos los países tomen medidas de acuerdo con sus capacidades respectivas”</w:t>
      </w:r>
      <w:r w:rsidR="00E35190" w:rsidRPr="0081025D">
        <w:rPr>
          <w:rStyle w:val="Refdenotaalpie"/>
          <w:rFonts w:ascii="Verdana" w:eastAsiaTheme="majorEastAsia" w:hAnsi="Verdana"/>
          <w:sz w:val="20"/>
          <w:szCs w:val="20"/>
          <w:lang w:val="es-ES"/>
        </w:rPr>
        <w:footnoteReference w:id="123"/>
      </w:r>
      <w:r w:rsidR="00E35190" w:rsidRPr="0081025D">
        <w:rPr>
          <w:rFonts w:ascii="Verdana" w:hAnsi="Verdana"/>
          <w:sz w:val="20"/>
          <w:szCs w:val="20"/>
          <w:lang w:val="es-ES"/>
        </w:rPr>
        <w:t>. Esto cobra especial relevancia cuando, como en el caso, las actividades son desarrolladas por particulares, donde se hace necesaria una actitud proactiva y un enfoque sostenible del Estado en la adopción de medidas,regulación, incentivos,</w:t>
      </w:r>
      <w:r w:rsidR="00AA02A4">
        <w:rPr>
          <w:rFonts w:ascii="Verdana" w:hAnsi="Verdana"/>
          <w:sz w:val="20"/>
          <w:szCs w:val="20"/>
          <w:lang w:val="es-ES"/>
        </w:rPr>
        <w:t xml:space="preserve"> entre otros</w:t>
      </w:r>
      <w:r w:rsidR="00E35190" w:rsidRPr="0081025D">
        <w:rPr>
          <w:rFonts w:ascii="Verdana" w:hAnsi="Verdana"/>
          <w:sz w:val="20"/>
          <w:szCs w:val="20"/>
          <w:lang w:val="es-ES"/>
        </w:rPr>
        <w:t>.</w:t>
      </w:r>
    </w:p>
    <w:p w14:paraId="751063FD" w14:textId="77777777" w:rsidR="00E35190" w:rsidRPr="008948A0" w:rsidRDefault="00E35190" w:rsidP="00E35190">
      <w:pPr>
        <w:pStyle w:val="Prrafodelista"/>
        <w:rPr>
          <w:rFonts w:ascii="Verdana" w:hAnsi="Verdana"/>
          <w:sz w:val="20"/>
          <w:szCs w:val="20"/>
          <w:lang w:val="es-ES"/>
        </w:rPr>
      </w:pPr>
    </w:p>
    <w:p w14:paraId="10D8CF35" w14:textId="2052FB6C" w:rsidR="00E35190" w:rsidRPr="00CD7A44"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121. </w:t>
      </w:r>
      <w:r>
        <w:rPr>
          <w:rFonts w:ascii="Verdana" w:hAnsi="Verdana"/>
          <w:sz w:val="20"/>
          <w:szCs w:val="20"/>
          <w:lang w:val="es-ES"/>
        </w:rPr>
        <w:tab/>
      </w:r>
      <w:r w:rsidR="00E35190">
        <w:rPr>
          <w:rFonts w:ascii="Verdana" w:hAnsi="Verdana"/>
          <w:sz w:val="20"/>
          <w:szCs w:val="20"/>
          <w:lang w:val="es-ES"/>
        </w:rPr>
        <w:t>Las nociones de desarrollo, crecimiento y sustentabilidad no deben ser interpretadas como antagónicas, sino que, por el contrario, debe existir compatibilidad entre estos conceptos. El desarrollo no es posible sobre una base ambiental deteriorada ni el medio ambiente puede protegerse cuando el crecimiento económico no toma en cuenta su impacto ambiental; por lo que son aspectos que no deben tratarse aisladamente por los Estados, sino con una visión de conjunto que haga posible la perspectiva sostenible</w:t>
      </w:r>
      <w:r w:rsidR="00E35190">
        <w:rPr>
          <w:rStyle w:val="Refdenotaalpie"/>
          <w:rFonts w:ascii="Verdana" w:hAnsi="Verdana"/>
          <w:sz w:val="20"/>
          <w:szCs w:val="20"/>
          <w:lang w:val="es-ES"/>
        </w:rPr>
        <w:footnoteReference w:id="124"/>
      </w:r>
      <w:r w:rsidR="005E63ED">
        <w:rPr>
          <w:rFonts w:ascii="Verdana" w:hAnsi="Verdana"/>
          <w:sz w:val="20"/>
          <w:szCs w:val="20"/>
          <w:lang w:val="es-ES"/>
        </w:rPr>
        <w:t>.</w:t>
      </w:r>
      <w:r w:rsidR="00E35190" w:rsidRPr="00511660">
        <w:rPr>
          <w:rFonts w:ascii="Verdana" w:hAnsi="Verdana"/>
          <w:color w:val="388600"/>
          <w:sz w:val="20"/>
          <w:szCs w:val="20"/>
          <w:lang w:val="es-ES"/>
        </w:rPr>
        <w:t xml:space="preserve"> </w:t>
      </w:r>
    </w:p>
    <w:p w14:paraId="6891E61D" w14:textId="77777777" w:rsidR="00E35190" w:rsidRPr="008A4F23" w:rsidRDefault="00E35190" w:rsidP="00E35190">
      <w:pPr>
        <w:pStyle w:val="Prrafodelista"/>
        <w:ind w:left="0"/>
        <w:jc w:val="both"/>
        <w:rPr>
          <w:rFonts w:ascii="Verdana" w:hAnsi="Verdana"/>
          <w:sz w:val="20"/>
          <w:szCs w:val="20"/>
          <w:lang w:val="es-ES"/>
        </w:rPr>
      </w:pPr>
    </w:p>
    <w:p w14:paraId="4035D9C6" w14:textId="68A2B940" w:rsidR="00E35190" w:rsidRPr="0081025D"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122. </w:t>
      </w:r>
      <w:r>
        <w:rPr>
          <w:rFonts w:ascii="Verdana" w:hAnsi="Verdana"/>
          <w:sz w:val="20"/>
          <w:szCs w:val="20"/>
          <w:lang w:val="es-ES"/>
        </w:rPr>
        <w:tab/>
      </w:r>
      <w:r w:rsidR="00E35190" w:rsidRPr="0081025D">
        <w:rPr>
          <w:rFonts w:ascii="Verdana" w:hAnsi="Verdana"/>
          <w:sz w:val="20"/>
          <w:szCs w:val="20"/>
          <w:lang w:val="es-ES"/>
        </w:rPr>
        <w:t>Por último, en este punto, quisiéramos recordar la importancia de vincular el desarrollo sostenible con el principio de solidaridad internacional, consagrado en la Carta de la OEA</w:t>
      </w:r>
      <w:r w:rsidR="00AA02A4">
        <w:rPr>
          <w:rFonts w:ascii="Verdana" w:hAnsi="Verdana"/>
          <w:sz w:val="20"/>
          <w:szCs w:val="20"/>
          <w:lang w:val="es-ES"/>
        </w:rPr>
        <w:t xml:space="preserve"> como deber de los Estados Parte.</w:t>
      </w:r>
      <w:r w:rsidR="00E35190" w:rsidRPr="0081025D">
        <w:rPr>
          <w:rFonts w:ascii="Verdana" w:hAnsi="Verdana"/>
          <w:sz w:val="20"/>
          <w:szCs w:val="20"/>
          <w:lang w:val="es-ES"/>
        </w:rPr>
        <w:t xml:space="preserve"> El desarrollo sostenible no es un estado fijo, sino un proceso de constante dinamismo y cambio en donde la explotación de los recursos, las inversiones, la investigación y el desarrollo de tecnología se ajusta a las necesidades presentes y a las futuras. Por ello es que se requiere aunar esfuerzos entre la comunidad internacional, las empresas y los particulares. </w:t>
      </w:r>
    </w:p>
    <w:p w14:paraId="6CF068B4" w14:textId="77777777" w:rsidR="00E35190" w:rsidRDefault="00E35190" w:rsidP="00E35190">
      <w:pPr>
        <w:jc w:val="both"/>
        <w:rPr>
          <w:rFonts w:ascii="Verdana" w:hAnsi="Verdana"/>
          <w:sz w:val="20"/>
          <w:szCs w:val="20"/>
          <w:lang w:val="es-ES"/>
        </w:rPr>
      </w:pPr>
    </w:p>
    <w:p w14:paraId="5DEDB12F" w14:textId="7CC68673" w:rsidR="00E35190"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123. </w:t>
      </w:r>
      <w:r>
        <w:rPr>
          <w:rFonts w:ascii="Verdana" w:hAnsi="Verdana"/>
          <w:sz w:val="20"/>
          <w:szCs w:val="20"/>
          <w:lang w:val="es-ES"/>
        </w:rPr>
        <w:tab/>
      </w:r>
      <w:r w:rsidR="00E35190">
        <w:rPr>
          <w:rFonts w:ascii="Verdana" w:hAnsi="Verdana"/>
          <w:sz w:val="20"/>
          <w:szCs w:val="20"/>
          <w:lang w:val="es-ES"/>
        </w:rPr>
        <w:t>El Tribunal Constitucional Federal Alemán ha señalado, respecto de la necesaria cooperación internacional, en un caso referido al clima, pero perfectamente trasladable a la protección del medio ambiente en general</w:t>
      </w:r>
      <w:r w:rsidR="00094BFD">
        <w:rPr>
          <w:rFonts w:ascii="Verdana" w:hAnsi="Verdana"/>
          <w:sz w:val="20"/>
          <w:szCs w:val="20"/>
          <w:lang w:val="es-ES"/>
        </w:rPr>
        <w:t>, lo siguiente</w:t>
      </w:r>
      <w:r w:rsidR="00E35190">
        <w:rPr>
          <w:rFonts w:ascii="Verdana" w:hAnsi="Verdana"/>
          <w:sz w:val="20"/>
          <w:szCs w:val="20"/>
          <w:lang w:val="es-ES"/>
        </w:rPr>
        <w:t>:</w:t>
      </w:r>
    </w:p>
    <w:p w14:paraId="02B33238" w14:textId="77777777" w:rsidR="00E35190" w:rsidRPr="00BD3BF0" w:rsidRDefault="00E35190" w:rsidP="00E35190">
      <w:pPr>
        <w:pStyle w:val="Prrafodelista"/>
        <w:rPr>
          <w:rFonts w:ascii="Verdana" w:hAnsi="Verdana"/>
          <w:sz w:val="20"/>
          <w:szCs w:val="20"/>
          <w:lang w:val="es-ES"/>
        </w:rPr>
      </w:pPr>
    </w:p>
    <w:p w14:paraId="2F9A2F2A" w14:textId="05015F4F" w:rsidR="00E35190" w:rsidRPr="00BD3BF0" w:rsidRDefault="00E35190" w:rsidP="00094BFD">
      <w:pPr>
        <w:pStyle w:val="Prrafodelista"/>
        <w:ind w:left="709" w:right="645"/>
        <w:jc w:val="both"/>
        <w:rPr>
          <w:rFonts w:ascii="Verdana" w:hAnsi="Verdana"/>
          <w:sz w:val="18"/>
          <w:szCs w:val="18"/>
          <w:lang w:val="es-ES"/>
        </w:rPr>
      </w:pPr>
      <w:r w:rsidRPr="00BD3BF0">
        <w:rPr>
          <w:rFonts w:ascii="Verdana" w:hAnsi="Verdana"/>
          <w:sz w:val="18"/>
          <w:szCs w:val="18"/>
          <w:lang w:val="es-ES"/>
        </w:rPr>
        <w:t xml:space="preserve">Al exigir que también se protejan los fundamentos naturales de la vida para las generaciones futuras, el artículo 20 LF obliga a perseguir un objetivo que el legislador nacional, con respecto al clima, no es posible alcanzar por sí solo, sino que únicamente puede lograr mediante la cooperación internacional. Esto se debe a las condiciones reales del cambio climático y la protección del clima. El problema del calentamiento global y las actividades (en el ámbito legal) implicadas en su prevención, son de naturaleza genuinamente global </w:t>
      </w:r>
      <w:r w:rsidR="00094BFD">
        <w:rPr>
          <w:rFonts w:ascii="Verdana" w:hAnsi="Verdana"/>
          <w:sz w:val="18"/>
          <w:szCs w:val="18"/>
          <w:lang w:val="es-ES"/>
        </w:rPr>
        <w:t>[</w:t>
      </w:r>
      <w:r w:rsidRPr="00BD3BF0">
        <w:rPr>
          <w:rFonts w:ascii="Verdana" w:hAnsi="Verdana"/>
          <w:sz w:val="18"/>
          <w:szCs w:val="18"/>
          <w:lang w:val="es-ES"/>
        </w:rPr>
        <w:t>…</w:t>
      </w:r>
      <w:r w:rsidR="00094BFD">
        <w:rPr>
          <w:rFonts w:ascii="Verdana" w:hAnsi="Verdana"/>
          <w:sz w:val="18"/>
          <w:szCs w:val="18"/>
          <w:lang w:val="es-ES"/>
        </w:rPr>
        <w:t>]</w:t>
      </w:r>
      <w:r w:rsidRPr="00BD3BF0">
        <w:rPr>
          <w:rFonts w:ascii="Verdana" w:hAnsi="Verdana"/>
          <w:sz w:val="18"/>
          <w:szCs w:val="18"/>
          <w:lang w:val="es-ES"/>
        </w:rPr>
        <w:t xml:space="preserve"> ningún Estado puede detener el calentamiento global por sí solo. Además, las emisiones de todos los Estados contribuyen al cambio climático de igual manera</w:t>
      </w:r>
      <w:r w:rsidRPr="00BD3BF0">
        <w:rPr>
          <w:rStyle w:val="Refdenotaalpie"/>
          <w:rFonts w:ascii="Verdana" w:eastAsiaTheme="majorEastAsia" w:hAnsi="Verdana"/>
          <w:sz w:val="18"/>
          <w:szCs w:val="18"/>
          <w:lang w:val="es-ES"/>
        </w:rPr>
        <w:footnoteReference w:id="125"/>
      </w:r>
      <w:r>
        <w:rPr>
          <w:rFonts w:ascii="Verdana" w:hAnsi="Verdana"/>
          <w:sz w:val="18"/>
          <w:szCs w:val="18"/>
          <w:lang w:val="es-ES"/>
        </w:rPr>
        <w:t xml:space="preserve"> </w:t>
      </w:r>
      <w:r>
        <w:rPr>
          <w:rStyle w:val="Refdenotaalpie"/>
          <w:rFonts w:ascii="Verdana" w:hAnsi="Verdana"/>
          <w:sz w:val="18"/>
          <w:szCs w:val="18"/>
          <w:lang w:val="es-ES"/>
        </w:rPr>
        <w:footnoteReference w:id="126"/>
      </w:r>
      <w:r w:rsidR="005E63ED">
        <w:rPr>
          <w:rFonts w:ascii="Verdana" w:hAnsi="Verdana"/>
          <w:sz w:val="18"/>
          <w:szCs w:val="18"/>
          <w:lang w:val="es-ES"/>
        </w:rPr>
        <w:t>.</w:t>
      </w:r>
    </w:p>
    <w:p w14:paraId="4910272A" w14:textId="77777777" w:rsidR="00E35190" w:rsidRPr="00FB218C" w:rsidRDefault="00E35190" w:rsidP="00E35190">
      <w:pPr>
        <w:jc w:val="both"/>
        <w:rPr>
          <w:rFonts w:ascii="Verdana" w:hAnsi="Verdana"/>
          <w:sz w:val="20"/>
          <w:szCs w:val="20"/>
          <w:lang w:val="es-ES"/>
        </w:rPr>
      </w:pPr>
    </w:p>
    <w:p w14:paraId="0BBB5CFD" w14:textId="043B87A0" w:rsidR="00E35190" w:rsidRPr="0081025D"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124. </w:t>
      </w:r>
      <w:r>
        <w:rPr>
          <w:rFonts w:ascii="Verdana" w:hAnsi="Verdana"/>
          <w:sz w:val="20"/>
          <w:szCs w:val="20"/>
          <w:lang w:val="es-ES"/>
        </w:rPr>
        <w:tab/>
      </w:r>
      <w:r w:rsidR="00E35190" w:rsidRPr="0081025D">
        <w:rPr>
          <w:rFonts w:ascii="Verdana" w:hAnsi="Verdana"/>
          <w:sz w:val="20"/>
          <w:szCs w:val="20"/>
          <w:lang w:val="es-ES"/>
        </w:rPr>
        <w:t>Todo lo anterior no implica desconocer el derecho soberano de los Estados sobre la determinación de sus políticas y la disponibilidad de sus recursos conforme a las reglas del Derecho Internacional; sino que el actual enfoque sostenible exige que los Estados se relacionen entre sí por vínculos de solidaridad internacional y en aras de la solidaridad inter e intrageneracional a fin de aunar esfuerzos en la investigación, tecnología, precaución, planificación y contralor del medio ambiente.</w:t>
      </w:r>
      <w:r w:rsidR="0081025D">
        <w:rPr>
          <w:rFonts w:ascii="Verdana" w:hAnsi="Verdana"/>
          <w:sz w:val="20"/>
          <w:szCs w:val="20"/>
          <w:lang w:val="es-ES"/>
        </w:rPr>
        <w:t xml:space="preserve"> </w:t>
      </w:r>
      <w:r w:rsidR="00E35190" w:rsidRPr="0081025D">
        <w:rPr>
          <w:rFonts w:ascii="Verdana" w:hAnsi="Verdana"/>
          <w:sz w:val="20"/>
          <w:szCs w:val="20"/>
          <w:lang w:val="es-ES"/>
        </w:rPr>
        <w:t xml:space="preserve">Lo que a continuación será analizado en profundidad. </w:t>
      </w:r>
    </w:p>
    <w:p w14:paraId="2DEB0A83" w14:textId="77777777" w:rsidR="00E35190" w:rsidRDefault="00E35190" w:rsidP="00E35190"/>
    <w:p w14:paraId="76DC3DFF" w14:textId="77777777" w:rsidR="00E35190" w:rsidRPr="00770773" w:rsidRDefault="00E35190" w:rsidP="00E35190">
      <w:pPr>
        <w:pStyle w:val="Prrafodelista"/>
        <w:numPr>
          <w:ilvl w:val="0"/>
          <w:numId w:val="27"/>
        </w:numPr>
        <w:jc w:val="both"/>
        <w:rPr>
          <w:rFonts w:ascii="Verdana" w:hAnsi="Verdana"/>
          <w:sz w:val="20"/>
          <w:szCs w:val="20"/>
          <w:u w:val="single"/>
          <w:lang w:val="es-ES"/>
        </w:rPr>
      </w:pPr>
      <w:r w:rsidRPr="00770773">
        <w:rPr>
          <w:rFonts w:ascii="Verdana" w:hAnsi="Verdana"/>
          <w:sz w:val="20"/>
          <w:szCs w:val="20"/>
          <w:u w:val="single"/>
          <w:lang w:val="es-ES"/>
        </w:rPr>
        <w:t xml:space="preserve">El principio de equidad intergeneracional </w:t>
      </w:r>
    </w:p>
    <w:p w14:paraId="7A435366" w14:textId="77777777" w:rsidR="00E35190" w:rsidRPr="00770773" w:rsidRDefault="00E35190" w:rsidP="00E35190">
      <w:pPr>
        <w:pStyle w:val="Prrafodelista"/>
        <w:rPr>
          <w:rFonts w:ascii="Verdana" w:hAnsi="Verdana"/>
          <w:sz w:val="20"/>
          <w:szCs w:val="20"/>
          <w:lang w:val="es-ES"/>
        </w:rPr>
      </w:pPr>
    </w:p>
    <w:p w14:paraId="03E36253" w14:textId="767053EF" w:rsidR="00E35190"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125. </w:t>
      </w:r>
      <w:r>
        <w:rPr>
          <w:rFonts w:ascii="Verdana" w:hAnsi="Verdana"/>
          <w:sz w:val="20"/>
          <w:szCs w:val="20"/>
          <w:lang w:val="es-ES"/>
        </w:rPr>
        <w:tab/>
      </w:r>
      <w:r w:rsidR="00E35190">
        <w:rPr>
          <w:rFonts w:ascii="Verdana" w:hAnsi="Verdana"/>
          <w:sz w:val="20"/>
          <w:szCs w:val="20"/>
          <w:lang w:val="es-ES"/>
        </w:rPr>
        <w:t xml:space="preserve">La sentencia también refiere a la vinculación entre el </w:t>
      </w:r>
      <w:r w:rsidR="003A60D6">
        <w:rPr>
          <w:rFonts w:ascii="Verdana" w:hAnsi="Verdana"/>
          <w:sz w:val="20"/>
          <w:szCs w:val="20"/>
          <w:lang w:val="es-ES"/>
        </w:rPr>
        <w:t>“</w:t>
      </w:r>
      <w:r w:rsidR="00E35190">
        <w:rPr>
          <w:rFonts w:ascii="Verdana" w:hAnsi="Verdana"/>
          <w:sz w:val="20"/>
          <w:szCs w:val="20"/>
          <w:lang w:val="es-ES"/>
        </w:rPr>
        <w:t>principio de precaución</w:t>
      </w:r>
      <w:r w:rsidR="003A60D6">
        <w:rPr>
          <w:rFonts w:ascii="Verdana" w:hAnsi="Verdana"/>
          <w:sz w:val="20"/>
          <w:szCs w:val="20"/>
          <w:lang w:val="es-ES"/>
        </w:rPr>
        <w:t>”</w:t>
      </w:r>
      <w:r w:rsidR="00E35190">
        <w:rPr>
          <w:rFonts w:ascii="Verdana" w:hAnsi="Verdana"/>
          <w:sz w:val="20"/>
          <w:szCs w:val="20"/>
          <w:lang w:val="es-ES"/>
        </w:rPr>
        <w:t xml:space="preserve"> en materia ambiental y el </w:t>
      </w:r>
      <w:r w:rsidR="003A60D6">
        <w:rPr>
          <w:rFonts w:ascii="Verdana" w:hAnsi="Verdana"/>
          <w:sz w:val="20"/>
          <w:szCs w:val="20"/>
          <w:lang w:val="es-ES"/>
        </w:rPr>
        <w:t>“</w:t>
      </w:r>
      <w:r w:rsidR="00E35190">
        <w:rPr>
          <w:rFonts w:ascii="Verdana" w:hAnsi="Verdana"/>
          <w:sz w:val="20"/>
          <w:szCs w:val="20"/>
          <w:lang w:val="es-ES"/>
        </w:rPr>
        <w:t>principio de equidad intergeneracional</w:t>
      </w:r>
      <w:r w:rsidR="003A60D6">
        <w:rPr>
          <w:rFonts w:ascii="Verdana" w:hAnsi="Verdana"/>
          <w:sz w:val="20"/>
          <w:szCs w:val="20"/>
          <w:lang w:val="es-ES"/>
        </w:rPr>
        <w:t>”</w:t>
      </w:r>
      <w:r w:rsidR="00E35190">
        <w:rPr>
          <w:rFonts w:ascii="Verdana" w:hAnsi="Verdana"/>
          <w:sz w:val="20"/>
          <w:szCs w:val="20"/>
          <w:lang w:val="es-ES"/>
        </w:rPr>
        <w:t xml:space="preserve"> que impone a los Estados la formulación de políticas ambientales orientadas a que las generaciones presentes dejen un ambiente en condiciones adecuadas a las generaciones venideras</w:t>
      </w:r>
      <w:r w:rsidR="00E35190">
        <w:rPr>
          <w:rStyle w:val="Refdenotaalpie"/>
          <w:rFonts w:ascii="Verdana" w:eastAsiaTheme="majorEastAsia" w:hAnsi="Verdana"/>
          <w:sz w:val="20"/>
          <w:szCs w:val="20"/>
          <w:lang w:val="es-ES"/>
        </w:rPr>
        <w:footnoteReference w:id="127"/>
      </w:r>
      <w:r w:rsidR="00851290">
        <w:rPr>
          <w:rFonts w:ascii="Verdana" w:hAnsi="Verdana"/>
          <w:sz w:val="20"/>
          <w:szCs w:val="20"/>
          <w:lang w:val="es-ES"/>
        </w:rPr>
        <w:t>.</w:t>
      </w:r>
      <w:r w:rsidR="00E35190">
        <w:rPr>
          <w:rFonts w:ascii="Verdana" w:hAnsi="Verdana"/>
          <w:sz w:val="20"/>
          <w:szCs w:val="20"/>
          <w:lang w:val="es-ES"/>
        </w:rPr>
        <w:t xml:space="preserve"> Asimismo, destaca la importancia que reviste respecto de niños, niñas y adolescentes, quienes constituyen un grupo especialmente vulnerable frente a la degradación ambiental</w:t>
      </w:r>
      <w:r w:rsidR="00E35190">
        <w:rPr>
          <w:rStyle w:val="Refdenotaalpie"/>
          <w:rFonts w:ascii="Verdana" w:eastAsiaTheme="majorEastAsia" w:hAnsi="Verdana"/>
          <w:sz w:val="20"/>
          <w:szCs w:val="20"/>
          <w:lang w:val="es-ES"/>
        </w:rPr>
        <w:footnoteReference w:id="128"/>
      </w:r>
      <w:r w:rsidR="00851290">
        <w:rPr>
          <w:rFonts w:ascii="Verdana" w:hAnsi="Verdana"/>
          <w:sz w:val="20"/>
          <w:szCs w:val="20"/>
          <w:lang w:val="es-ES"/>
        </w:rPr>
        <w:t>.</w:t>
      </w:r>
      <w:r w:rsidR="00E35190">
        <w:rPr>
          <w:rFonts w:ascii="Verdana" w:hAnsi="Verdana"/>
          <w:sz w:val="20"/>
          <w:szCs w:val="20"/>
          <w:lang w:val="es-ES"/>
        </w:rPr>
        <w:t xml:space="preserve"> Ello impone, </w:t>
      </w:r>
      <w:r w:rsidR="00E35190" w:rsidRPr="00F427D0">
        <w:rPr>
          <w:rFonts w:ascii="Verdana" w:hAnsi="Verdana"/>
          <w:i/>
          <w:iCs/>
          <w:sz w:val="20"/>
          <w:szCs w:val="20"/>
          <w:lang w:val="es-ES"/>
        </w:rPr>
        <w:t>inter alia</w:t>
      </w:r>
      <w:r w:rsidR="00E35190">
        <w:rPr>
          <w:rFonts w:ascii="Verdana" w:hAnsi="Verdana"/>
          <w:sz w:val="20"/>
          <w:szCs w:val="20"/>
          <w:lang w:val="es-ES"/>
        </w:rPr>
        <w:t>, exigencias más estrictas</w:t>
      </w:r>
      <w:r w:rsidR="00E35190">
        <w:rPr>
          <w:rStyle w:val="Refdenotaalpie"/>
          <w:rFonts w:ascii="Verdana" w:eastAsiaTheme="majorEastAsia" w:hAnsi="Verdana"/>
          <w:sz w:val="20"/>
          <w:szCs w:val="20"/>
          <w:lang w:val="es-ES"/>
        </w:rPr>
        <w:footnoteReference w:id="129"/>
      </w:r>
      <w:r w:rsidR="00E35190">
        <w:rPr>
          <w:rFonts w:ascii="Verdana" w:hAnsi="Verdana"/>
          <w:sz w:val="20"/>
          <w:szCs w:val="20"/>
          <w:lang w:val="es-ES"/>
        </w:rPr>
        <w:t xml:space="preserve"> respecto de la diligencia debida y una obligación de vigilancia y fiscalización reforzada en aquellos casos en que la contaminación proviene de empresas que por sus actividades o su ámbito de funcionamiento pueden causar un daño al ambiente.</w:t>
      </w:r>
    </w:p>
    <w:p w14:paraId="453FBDC7" w14:textId="77777777" w:rsidR="00E35190" w:rsidRDefault="00E35190" w:rsidP="00E35190">
      <w:pPr>
        <w:pStyle w:val="Prrafodelista"/>
        <w:ind w:left="0"/>
        <w:jc w:val="both"/>
        <w:rPr>
          <w:rFonts w:ascii="Verdana" w:hAnsi="Verdana"/>
          <w:sz w:val="20"/>
          <w:szCs w:val="20"/>
          <w:lang w:val="es-ES"/>
        </w:rPr>
      </w:pPr>
    </w:p>
    <w:p w14:paraId="39605AE7" w14:textId="584AB5F3" w:rsidR="00E35190"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126. </w:t>
      </w:r>
      <w:r>
        <w:rPr>
          <w:rFonts w:ascii="Verdana" w:hAnsi="Verdana"/>
          <w:sz w:val="20"/>
          <w:szCs w:val="20"/>
          <w:lang w:val="es-ES"/>
        </w:rPr>
        <w:tab/>
      </w:r>
      <w:r w:rsidR="00E35190">
        <w:rPr>
          <w:rFonts w:ascii="Verdana" w:hAnsi="Verdana"/>
          <w:sz w:val="20"/>
          <w:szCs w:val="20"/>
          <w:lang w:val="es-ES"/>
        </w:rPr>
        <w:t>No es la primera vez que este tribunal se pronuncia al respecto; sino que ya había hecho mención de la protección de las generaciones futuras en la Opinión Consultiva No. 23</w:t>
      </w:r>
      <w:r w:rsidR="00E35190">
        <w:rPr>
          <w:rStyle w:val="Refdenotaalpie"/>
          <w:rFonts w:ascii="Verdana" w:eastAsiaTheme="majorEastAsia" w:hAnsi="Verdana"/>
          <w:sz w:val="20"/>
          <w:szCs w:val="20"/>
          <w:lang w:val="es-ES"/>
        </w:rPr>
        <w:footnoteReference w:id="130"/>
      </w:r>
      <w:r w:rsidR="00E35190">
        <w:rPr>
          <w:rFonts w:ascii="Verdana" w:hAnsi="Verdana"/>
          <w:sz w:val="20"/>
          <w:szCs w:val="20"/>
          <w:lang w:val="es-ES"/>
        </w:rPr>
        <w:t>. Concurrimos con el presente voto a desarrollar este principio de equidad intergeneracional y su sustento normativo, habida cuenta de su especial vinculación con el derecho al desarrollo sostenible y con los derechos de los niños, niñas y adolescentes como grupo especialmente vulnerable al impacto de la contaminación. Las consideraciones a la equidad intergeneracional se harán teniendo en cuenta la perspectiva de protección del medio ambiente, sin perjuicio de que tiene otras dimensiones, v.gr., referidas a la deuda externa de los Estados, entre otras.</w:t>
      </w:r>
    </w:p>
    <w:p w14:paraId="408C2111" w14:textId="77777777" w:rsidR="00E35190" w:rsidRPr="003C655B" w:rsidRDefault="00E35190" w:rsidP="00E35190">
      <w:pPr>
        <w:pStyle w:val="Prrafodelista"/>
        <w:rPr>
          <w:rFonts w:ascii="Verdana" w:hAnsi="Verdana"/>
          <w:sz w:val="20"/>
          <w:szCs w:val="20"/>
          <w:lang w:val="es-ES"/>
        </w:rPr>
      </w:pPr>
    </w:p>
    <w:p w14:paraId="5ADD5826" w14:textId="2149556E" w:rsidR="00E35190"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127. </w:t>
      </w:r>
      <w:r>
        <w:rPr>
          <w:rFonts w:ascii="Verdana" w:hAnsi="Verdana"/>
          <w:sz w:val="20"/>
          <w:szCs w:val="20"/>
          <w:lang w:val="es-ES"/>
        </w:rPr>
        <w:tab/>
      </w:r>
      <w:r w:rsidR="00E35190">
        <w:rPr>
          <w:rFonts w:ascii="Verdana" w:hAnsi="Verdana"/>
          <w:sz w:val="20"/>
          <w:szCs w:val="20"/>
          <w:lang w:val="es-ES"/>
        </w:rPr>
        <w:t xml:space="preserve">La Declaración Americana de los Derechos y Deberes del Hombre refiere en su preámbulo a que “[t]odos los hombres nacen libres e iguales en dignidad y derechos y, dotados como están por naturaleza de razón y conciencia, deben conducirse fraternalmente los unos con los otros”. Así, se advierte que no hay mención que limite a “los hombres” (las personas) actuales, sino que refiere a “todos”. Asimismo, la fraternidad que debe orientar las relaciones humanas no solo viene dada por una dimensión intrageneracional -es decir, las actuales generaciones-, sino también intergeneracional, toda vez que el documento no </w:t>
      </w:r>
      <w:r w:rsidR="00895E53">
        <w:rPr>
          <w:rFonts w:ascii="Verdana" w:hAnsi="Verdana"/>
          <w:sz w:val="20"/>
          <w:szCs w:val="20"/>
          <w:lang w:val="es-ES"/>
        </w:rPr>
        <w:t xml:space="preserve">lo </w:t>
      </w:r>
      <w:r w:rsidR="00E35190">
        <w:rPr>
          <w:rFonts w:ascii="Verdana" w:hAnsi="Verdana"/>
          <w:sz w:val="20"/>
          <w:szCs w:val="20"/>
          <w:lang w:val="es-ES"/>
        </w:rPr>
        <w:t>distingue.</w:t>
      </w:r>
    </w:p>
    <w:p w14:paraId="788B94E0" w14:textId="77777777" w:rsidR="00E35190" w:rsidRPr="003C655B" w:rsidRDefault="00E35190" w:rsidP="00E35190">
      <w:pPr>
        <w:pStyle w:val="Prrafodelista"/>
        <w:rPr>
          <w:rFonts w:ascii="Verdana" w:hAnsi="Verdana"/>
          <w:sz w:val="20"/>
          <w:szCs w:val="20"/>
          <w:lang w:val="es-ES"/>
        </w:rPr>
      </w:pPr>
    </w:p>
    <w:p w14:paraId="1DDB44DF" w14:textId="4234A993" w:rsidR="00E35190"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128. </w:t>
      </w:r>
      <w:r>
        <w:rPr>
          <w:rFonts w:ascii="Verdana" w:hAnsi="Verdana"/>
          <w:sz w:val="20"/>
          <w:szCs w:val="20"/>
          <w:lang w:val="es-ES"/>
        </w:rPr>
        <w:tab/>
      </w:r>
      <w:r w:rsidR="00E35190">
        <w:rPr>
          <w:rFonts w:ascii="Verdana" w:hAnsi="Verdana"/>
          <w:sz w:val="20"/>
          <w:szCs w:val="20"/>
          <w:lang w:val="es-ES"/>
        </w:rPr>
        <w:t xml:space="preserve">El artículo XXIX refiere al deber de toda persona de “convivir con las demás de manera de que todas y cada una pueda formar y desenvolver íntegramente su personalidad”. </w:t>
      </w:r>
    </w:p>
    <w:p w14:paraId="7FEDDD46" w14:textId="77777777" w:rsidR="00E35190" w:rsidRPr="00B91F0E" w:rsidRDefault="00E35190" w:rsidP="00E35190">
      <w:pPr>
        <w:pStyle w:val="Prrafodelista"/>
        <w:rPr>
          <w:rFonts w:ascii="Verdana" w:hAnsi="Verdana"/>
          <w:sz w:val="20"/>
          <w:szCs w:val="20"/>
          <w:lang w:val="es-ES"/>
        </w:rPr>
      </w:pPr>
    </w:p>
    <w:p w14:paraId="634EC475" w14:textId="7606C272" w:rsidR="00E35190"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129. </w:t>
      </w:r>
      <w:r>
        <w:rPr>
          <w:rFonts w:ascii="Verdana" w:hAnsi="Verdana"/>
          <w:sz w:val="20"/>
          <w:szCs w:val="20"/>
          <w:lang w:val="es-ES"/>
        </w:rPr>
        <w:tab/>
      </w:r>
      <w:r w:rsidR="00E35190">
        <w:rPr>
          <w:rFonts w:ascii="Verdana" w:hAnsi="Verdana"/>
          <w:sz w:val="20"/>
          <w:szCs w:val="20"/>
          <w:lang w:val="es-ES"/>
        </w:rPr>
        <w:t xml:space="preserve">El artículo 30 de la Carta de la Organización de los Estados Americanos dispone que “[l]os Estados miembros, inspirados en los principios de solidaridad y cooperación interamericanas, se comprometen a aunar esfuerzos para lograr que impere la justicia social internacional en sus relaciones y para que sus pueblos alcancen un desarrollo integral, condiciones indispensables para la paz y la seguridad”; esto debe entenderse desde una perspectiva diacrónica y no solo referida al desarrollo actual o presente; sumado a que el artículo 33 refiere a que el desarrollo debe contribuir a la plena realización de la persona, como ya fuera referido </w:t>
      </w:r>
      <w:r w:rsidR="00E35190" w:rsidRPr="005E63ED">
        <w:rPr>
          <w:rFonts w:ascii="Verdana" w:hAnsi="Verdana"/>
          <w:i/>
          <w:iCs/>
          <w:sz w:val="20"/>
          <w:szCs w:val="20"/>
          <w:lang w:val="es-ES"/>
        </w:rPr>
        <w:t>ut supra</w:t>
      </w:r>
      <w:r w:rsidR="00E35190">
        <w:rPr>
          <w:rFonts w:ascii="Verdana" w:hAnsi="Verdana"/>
          <w:sz w:val="20"/>
          <w:szCs w:val="20"/>
          <w:lang w:val="es-ES"/>
        </w:rPr>
        <w:t>.</w:t>
      </w:r>
    </w:p>
    <w:p w14:paraId="5FD3AA6C" w14:textId="77777777" w:rsidR="00E35190" w:rsidRPr="00B91F0E" w:rsidRDefault="00E35190" w:rsidP="00E35190">
      <w:pPr>
        <w:pStyle w:val="Prrafodelista"/>
        <w:rPr>
          <w:rFonts w:ascii="Verdana" w:hAnsi="Verdana"/>
          <w:sz w:val="20"/>
          <w:szCs w:val="20"/>
          <w:lang w:val="es-ES"/>
        </w:rPr>
      </w:pPr>
    </w:p>
    <w:p w14:paraId="563DDCFB" w14:textId="2FD4262E" w:rsidR="00E35190"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130. </w:t>
      </w:r>
      <w:r>
        <w:rPr>
          <w:rFonts w:ascii="Verdana" w:hAnsi="Verdana"/>
          <w:sz w:val="20"/>
          <w:szCs w:val="20"/>
          <w:lang w:val="es-ES"/>
        </w:rPr>
        <w:tab/>
      </w:r>
      <w:r w:rsidR="00E35190">
        <w:rPr>
          <w:rFonts w:ascii="Verdana" w:hAnsi="Verdana"/>
          <w:sz w:val="20"/>
          <w:szCs w:val="20"/>
          <w:lang w:val="es-ES"/>
        </w:rPr>
        <w:t>En esta línea, el artículo 1.2 de la Convención Americana define a la “persona” como todo ser humano, sin distinciones de ningún tipo y esta ha de ser la consideración que guíe la lectura del artículo 1.1.</w:t>
      </w:r>
    </w:p>
    <w:p w14:paraId="1E536AAB" w14:textId="77777777" w:rsidR="00E35190" w:rsidRPr="00B91F0E" w:rsidRDefault="00E35190" w:rsidP="00E35190">
      <w:pPr>
        <w:pStyle w:val="Prrafodelista"/>
        <w:rPr>
          <w:rFonts w:ascii="Verdana" w:hAnsi="Verdana"/>
          <w:sz w:val="20"/>
          <w:szCs w:val="20"/>
          <w:lang w:val="es-ES"/>
        </w:rPr>
      </w:pPr>
    </w:p>
    <w:p w14:paraId="012FE1AA" w14:textId="07CD462B" w:rsidR="00E35190"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131. </w:t>
      </w:r>
      <w:r>
        <w:rPr>
          <w:rFonts w:ascii="Verdana" w:hAnsi="Verdana"/>
          <w:sz w:val="20"/>
          <w:szCs w:val="20"/>
          <w:lang w:val="es-ES"/>
        </w:rPr>
        <w:tab/>
      </w:r>
      <w:r w:rsidR="00E35190">
        <w:rPr>
          <w:rFonts w:ascii="Verdana" w:hAnsi="Verdana"/>
          <w:sz w:val="20"/>
          <w:szCs w:val="20"/>
          <w:lang w:val="es-ES"/>
        </w:rPr>
        <w:t>En consonancia con lo anterior, la Declaración Universal de Derechos Humanos reconoce en su preámbulo que “la libertad, la justicia y la paz en el mundo tienen por base el reconocimiento de la dignidad intrínseca y de los derechos iguales e inalienables de todos los miembros de la familia humana”; aspecto este último que debe entenderse como comprensivo incluso de aquellos miembros de la familia humana que aún no tienen existencia actual. El artículo 1 proclama que todos los seres humanos nacen libres e iguales en dignidad y derechos, así como el deber de comportarse “fraternalmente los unos con los otros”</w:t>
      </w:r>
      <w:r w:rsidR="00E35190">
        <w:rPr>
          <w:rStyle w:val="Refdenotaalpie"/>
          <w:rFonts w:ascii="Verdana" w:eastAsiaTheme="majorEastAsia" w:hAnsi="Verdana"/>
          <w:sz w:val="20"/>
          <w:szCs w:val="20"/>
          <w:lang w:val="es-ES"/>
        </w:rPr>
        <w:footnoteReference w:id="131"/>
      </w:r>
      <w:r w:rsidR="005E63ED">
        <w:rPr>
          <w:rFonts w:ascii="Verdana" w:hAnsi="Verdana"/>
          <w:sz w:val="20"/>
          <w:szCs w:val="20"/>
          <w:lang w:val="es-ES"/>
        </w:rPr>
        <w:t>.</w:t>
      </w:r>
      <w:r w:rsidR="00E35190">
        <w:rPr>
          <w:rFonts w:ascii="Verdana" w:hAnsi="Verdana"/>
          <w:sz w:val="20"/>
          <w:szCs w:val="20"/>
          <w:lang w:val="es-ES"/>
        </w:rPr>
        <w:t xml:space="preserve"> </w:t>
      </w:r>
    </w:p>
    <w:p w14:paraId="24F0EB6F" w14:textId="77777777" w:rsidR="00E35190" w:rsidRPr="009A1EC9" w:rsidRDefault="00E35190" w:rsidP="00E35190">
      <w:pPr>
        <w:pStyle w:val="Prrafodelista"/>
        <w:rPr>
          <w:rFonts w:ascii="Verdana" w:hAnsi="Verdana"/>
          <w:sz w:val="20"/>
          <w:szCs w:val="20"/>
          <w:lang w:val="es-ES"/>
        </w:rPr>
      </w:pPr>
    </w:p>
    <w:p w14:paraId="4984CF67" w14:textId="7D6AF9A4" w:rsidR="00E35190"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132. </w:t>
      </w:r>
      <w:r>
        <w:rPr>
          <w:rFonts w:ascii="Verdana" w:hAnsi="Verdana"/>
          <w:sz w:val="20"/>
          <w:szCs w:val="20"/>
          <w:lang w:val="es-ES"/>
        </w:rPr>
        <w:tab/>
      </w:r>
      <w:r w:rsidR="00E35190">
        <w:rPr>
          <w:rFonts w:ascii="Verdana" w:hAnsi="Verdana"/>
          <w:sz w:val="20"/>
          <w:szCs w:val="20"/>
          <w:lang w:val="es-ES"/>
        </w:rPr>
        <w:t xml:space="preserve">El Pacto de Derechos Económicos, Sociales y Culturales también refiere a la dignidad inherente a todos los miembros de la familia humana y todos sus derechos “iguales e inalienables” y a que “no puede realizarse el ideal del ser humano libre </w:t>
      </w:r>
      <w:r w:rsidR="00895E53">
        <w:rPr>
          <w:rFonts w:ascii="Verdana" w:hAnsi="Verdana"/>
          <w:sz w:val="20"/>
          <w:szCs w:val="20"/>
          <w:lang w:val="es-ES"/>
        </w:rPr>
        <w:t>[</w:t>
      </w:r>
      <w:r w:rsidR="00E35190">
        <w:rPr>
          <w:rFonts w:ascii="Verdana" w:hAnsi="Verdana"/>
          <w:sz w:val="20"/>
          <w:szCs w:val="20"/>
          <w:lang w:val="es-ES"/>
        </w:rPr>
        <w:t>…</w:t>
      </w:r>
      <w:r w:rsidR="00895E53">
        <w:rPr>
          <w:rFonts w:ascii="Verdana" w:hAnsi="Verdana"/>
          <w:sz w:val="20"/>
          <w:szCs w:val="20"/>
          <w:lang w:val="es-ES"/>
        </w:rPr>
        <w:t>]</w:t>
      </w:r>
      <w:r w:rsidR="00E35190">
        <w:rPr>
          <w:rFonts w:ascii="Verdana" w:hAnsi="Verdana"/>
          <w:sz w:val="20"/>
          <w:szCs w:val="20"/>
          <w:lang w:val="es-ES"/>
        </w:rPr>
        <w:t xml:space="preserve"> a menos que se creen condiciones que permitan a cada persona gozar de sus derechos económicos, sociales y culturales, tanto como de sus derechos civiles y políticos”. </w:t>
      </w:r>
    </w:p>
    <w:p w14:paraId="07156BBD" w14:textId="77777777" w:rsidR="00E35190" w:rsidRPr="00DC6A61" w:rsidRDefault="00E35190" w:rsidP="00E35190">
      <w:pPr>
        <w:pStyle w:val="Prrafodelista"/>
        <w:rPr>
          <w:rFonts w:ascii="Verdana" w:hAnsi="Verdana"/>
          <w:sz w:val="20"/>
          <w:szCs w:val="20"/>
          <w:lang w:val="es-ES"/>
        </w:rPr>
      </w:pPr>
    </w:p>
    <w:p w14:paraId="5BD2EE33" w14:textId="58B743DC" w:rsidR="00E35190"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133. </w:t>
      </w:r>
      <w:r>
        <w:rPr>
          <w:rFonts w:ascii="Verdana" w:hAnsi="Verdana"/>
          <w:sz w:val="20"/>
          <w:szCs w:val="20"/>
          <w:lang w:val="es-ES"/>
        </w:rPr>
        <w:tab/>
      </w:r>
      <w:r w:rsidR="00E35190">
        <w:rPr>
          <w:rFonts w:ascii="Verdana" w:hAnsi="Verdana"/>
          <w:sz w:val="20"/>
          <w:szCs w:val="20"/>
          <w:lang w:val="es-ES"/>
        </w:rPr>
        <w:t>En el ámbito universal de protección se destaca la Declaración sobre las responsabilidades de las generaciones actuales para con las futuras</w:t>
      </w:r>
      <w:r w:rsidR="00E35190">
        <w:rPr>
          <w:rStyle w:val="Refdenotaalpie"/>
          <w:rFonts w:ascii="Verdana" w:eastAsiaTheme="majorEastAsia" w:hAnsi="Verdana"/>
          <w:sz w:val="20"/>
          <w:szCs w:val="20"/>
          <w:lang w:val="es-ES"/>
        </w:rPr>
        <w:footnoteReference w:id="132"/>
      </w:r>
      <w:r w:rsidR="00E35190">
        <w:rPr>
          <w:rFonts w:ascii="Verdana" w:hAnsi="Verdana"/>
          <w:sz w:val="20"/>
          <w:szCs w:val="20"/>
          <w:lang w:val="es-ES"/>
        </w:rPr>
        <w:t>, donde se dispone en su artículo 1 que las generaciones actuales tienen “la responsabilidad de garantizar la plena salvaguardia de las necesidades y los intereses de las generaciones presentes y futuras”; así como el artículo 3 que refiere al mantenimiento y perpetuación de la humanidad y el artículo 4 que impone “la responsabilidad de legar a las generaciones futuras un planeta que en un futuro no esté irreversiblemente dañado por la actividad del ser humano. Al recibir la Tierra en herencia temporal, cada generación debe procurar utilizar los recursos naturales razonablemente y atender a que no se comprometa la vida con modificaciones nocivas de los ecosistemas y a que el progreso científico y técnico en todos los ámbitos no cause perjuicios a la vida en la Tierra”.</w:t>
      </w:r>
    </w:p>
    <w:p w14:paraId="460911BD" w14:textId="77777777" w:rsidR="00E35190" w:rsidRPr="00B14227" w:rsidRDefault="00E35190" w:rsidP="00E35190">
      <w:pPr>
        <w:pStyle w:val="Prrafodelista"/>
        <w:rPr>
          <w:rFonts w:ascii="Verdana" w:hAnsi="Verdana"/>
          <w:sz w:val="20"/>
          <w:szCs w:val="20"/>
          <w:lang w:val="es-ES"/>
        </w:rPr>
      </w:pPr>
    </w:p>
    <w:p w14:paraId="64FA591F" w14:textId="77D555A1" w:rsidR="00E35190"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134. </w:t>
      </w:r>
      <w:r>
        <w:rPr>
          <w:rFonts w:ascii="Verdana" w:hAnsi="Verdana"/>
          <w:sz w:val="20"/>
          <w:szCs w:val="20"/>
          <w:lang w:val="es-ES"/>
        </w:rPr>
        <w:tab/>
      </w:r>
      <w:r w:rsidR="00E35190">
        <w:rPr>
          <w:rFonts w:ascii="Verdana" w:hAnsi="Verdana"/>
          <w:sz w:val="20"/>
          <w:szCs w:val="20"/>
          <w:lang w:val="es-ES"/>
        </w:rPr>
        <w:t>Recientemente, en los Principios de Maastricht sobre los Derechos Humanos de las Generaciones Futuras se reconoce que “</w:t>
      </w:r>
      <w:r w:rsidR="00895E53">
        <w:rPr>
          <w:rFonts w:ascii="Verdana" w:hAnsi="Verdana"/>
          <w:sz w:val="20"/>
          <w:szCs w:val="20"/>
          <w:lang w:val="es-ES"/>
        </w:rPr>
        <w:t>[n]</w:t>
      </w:r>
      <w:r w:rsidR="00E35190">
        <w:rPr>
          <w:rFonts w:ascii="Verdana" w:hAnsi="Verdana"/>
          <w:sz w:val="20"/>
          <w:szCs w:val="20"/>
          <w:lang w:val="es-ES"/>
        </w:rPr>
        <w:t>i la declaración Universal de Derechos Humanos ni ningún otro instrumento de derechos humanos contiene una restricción temporal o limita los derechos al presente. Los derechos humanos se extienden a todos los miembros de la familia humana, incluidas las generaciones presentes y futuras”</w:t>
      </w:r>
      <w:r w:rsidR="00E35190">
        <w:rPr>
          <w:rStyle w:val="Refdenotaalpie"/>
          <w:rFonts w:ascii="Verdana" w:eastAsiaTheme="majorEastAsia" w:hAnsi="Verdana"/>
          <w:sz w:val="20"/>
          <w:szCs w:val="20"/>
          <w:lang w:val="es-ES"/>
        </w:rPr>
        <w:footnoteReference w:id="133"/>
      </w:r>
      <w:r w:rsidR="003A60D6">
        <w:rPr>
          <w:rFonts w:ascii="Verdana" w:hAnsi="Verdana"/>
          <w:sz w:val="20"/>
          <w:szCs w:val="20"/>
          <w:lang w:val="es-ES"/>
        </w:rPr>
        <w:t>.</w:t>
      </w:r>
      <w:r w:rsidR="00E35190">
        <w:rPr>
          <w:rFonts w:ascii="Verdana" w:hAnsi="Verdana"/>
          <w:sz w:val="20"/>
          <w:szCs w:val="20"/>
          <w:lang w:val="es-ES"/>
        </w:rPr>
        <w:t xml:space="preserve"> El Principio 8 dispone que “[l]a humanidad es de la Tierra, de la que depende totalmente y con ella mantiene una relación de interdependencia. Cada generación vive en la Tierra y tiene una relación interconectada con la naturaleza y sus ecosistemas diversos. Durante su tiempo en la Tierra, cada generación debe desempeñar una función de tutela de la Tierra para las generaciones futuras. Esta tutela debe ejercerse en armonía con todos los seres vivos y la naturaleza”.</w:t>
      </w:r>
    </w:p>
    <w:p w14:paraId="7339F5D1" w14:textId="77777777" w:rsidR="00E35190" w:rsidRPr="00B14227" w:rsidRDefault="00E35190" w:rsidP="00E35190">
      <w:pPr>
        <w:pStyle w:val="Prrafodelista"/>
        <w:rPr>
          <w:rFonts w:ascii="Verdana" w:hAnsi="Verdana"/>
          <w:sz w:val="20"/>
          <w:szCs w:val="20"/>
          <w:lang w:val="es-ES"/>
        </w:rPr>
      </w:pPr>
    </w:p>
    <w:p w14:paraId="119840EC" w14:textId="1B3724A6" w:rsidR="00E35190"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135. </w:t>
      </w:r>
      <w:r>
        <w:rPr>
          <w:rFonts w:ascii="Verdana" w:hAnsi="Verdana"/>
          <w:sz w:val="20"/>
          <w:szCs w:val="20"/>
          <w:lang w:val="es-ES"/>
        </w:rPr>
        <w:tab/>
      </w:r>
      <w:r w:rsidR="00E35190">
        <w:rPr>
          <w:rFonts w:ascii="Verdana" w:hAnsi="Verdana"/>
          <w:sz w:val="20"/>
          <w:szCs w:val="20"/>
          <w:lang w:val="es-ES"/>
        </w:rPr>
        <w:t>A su vez, el Principio 10 recoge el mandato de solidaridad internacional según fuera desarrollado ut supra (párrafo 1</w:t>
      </w:r>
      <w:r w:rsidR="005C3FDC">
        <w:rPr>
          <w:rFonts w:ascii="Verdana" w:hAnsi="Verdana"/>
          <w:sz w:val="20"/>
          <w:szCs w:val="20"/>
          <w:lang w:val="es-ES"/>
        </w:rPr>
        <w:t>21</w:t>
      </w:r>
      <w:r w:rsidR="00E35190">
        <w:rPr>
          <w:rFonts w:ascii="Verdana" w:hAnsi="Verdana"/>
          <w:sz w:val="20"/>
          <w:szCs w:val="20"/>
          <w:lang w:val="es-ES"/>
        </w:rPr>
        <w:t>), en tanto “todos los seres humanos, pertenezcan a las generaciones presentes o a las futuras, tienen derecho a un orden social e internacional en el que los derechos y las libertades puedan realizarse para todas las personas. Tal orden internacional únicamente es posible, ahora o en el futuro, si las personas, los grupos y los Estados adoptan el principio de la solidaridad internacional".</w:t>
      </w:r>
    </w:p>
    <w:p w14:paraId="18FF6A17" w14:textId="77777777" w:rsidR="00E35190" w:rsidRPr="00DC6A61" w:rsidRDefault="00E35190" w:rsidP="00E35190">
      <w:pPr>
        <w:pStyle w:val="Prrafodelista"/>
        <w:rPr>
          <w:rFonts w:ascii="Verdana" w:hAnsi="Verdana"/>
          <w:sz w:val="20"/>
          <w:szCs w:val="20"/>
          <w:lang w:val="es-ES"/>
        </w:rPr>
      </w:pPr>
    </w:p>
    <w:p w14:paraId="1995AB5B" w14:textId="5B48B726" w:rsidR="00E35190"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136. </w:t>
      </w:r>
      <w:r>
        <w:rPr>
          <w:rFonts w:ascii="Verdana" w:hAnsi="Verdana"/>
          <w:sz w:val="20"/>
          <w:szCs w:val="20"/>
          <w:lang w:val="es-ES"/>
        </w:rPr>
        <w:tab/>
      </w:r>
      <w:r w:rsidR="00E35190">
        <w:rPr>
          <w:rFonts w:ascii="Verdana" w:hAnsi="Verdana"/>
          <w:sz w:val="20"/>
          <w:szCs w:val="20"/>
          <w:lang w:val="es-ES"/>
        </w:rPr>
        <w:t>Existen otros instrumentos referidos a la equidad intergeneracional como la Declaración de Estocolmo en sus Principios 2 y 5</w:t>
      </w:r>
      <w:r w:rsidR="00E35190">
        <w:rPr>
          <w:rStyle w:val="Refdenotaalpie"/>
          <w:rFonts w:ascii="Verdana" w:eastAsiaTheme="majorEastAsia" w:hAnsi="Verdana"/>
          <w:sz w:val="20"/>
          <w:szCs w:val="20"/>
          <w:lang w:val="es-ES"/>
        </w:rPr>
        <w:footnoteReference w:id="134"/>
      </w:r>
      <w:r w:rsidR="00E35190">
        <w:rPr>
          <w:rFonts w:ascii="Verdana" w:hAnsi="Verdana"/>
          <w:sz w:val="20"/>
          <w:szCs w:val="20"/>
          <w:lang w:val="es-ES"/>
        </w:rPr>
        <w:t>; la Convención sobre el Comercio Internacional de Especies Amenazadas de Fauna y Flora Silvestre de 1973</w:t>
      </w:r>
      <w:r w:rsidR="00E35190">
        <w:rPr>
          <w:rStyle w:val="Refdenotaalpie"/>
          <w:rFonts w:ascii="Verdana" w:eastAsiaTheme="majorEastAsia" w:hAnsi="Verdana"/>
          <w:sz w:val="20"/>
          <w:szCs w:val="20"/>
          <w:lang w:val="es-ES"/>
        </w:rPr>
        <w:footnoteReference w:id="135"/>
      </w:r>
      <w:r w:rsidR="00E35190">
        <w:rPr>
          <w:rFonts w:ascii="Verdana" w:hAnsi="Verdana"/>
          <w:sz w:val="20"/>
          <w:szCs w:val="20"/>
          <w:lang w:val="es-ES"/>
        </w:rPr>
        <w:t>; la Convención sobre la Protección del Patrimonio Mundial, Cultural y Natural de 1972</w:t>
      </w:r>
      <w:r w:rsidR="00E35190">
        <w:rPr>
          <w:rStyle w:val="Refdenotaalpie"/>
          <w:rFonts w:ascii="Verdana" w:eastAsiaTheme="majorEastAsia" w:hAnsi="Verdana"/>
          <w:sz w:val="20"/>
          <w:szCs w:val="20"/>
          <w:lang w:val="es-ES"/>
        </w:rPr>
        <w:footnoteReference w:id="136"/>
      </w:r>
      <w:r w:rsidR="00E35190">
        <w:rPr>
          <w:rFonts w:ascii="Verdana" w:hAnsi="Verdana"/>
          <w:sz w:val="20"/>
          <w:szCs w:val="20"/>
          <w:lang w:val="es-ES"/>
        </w:rPr>
        <w:t>; el Principio 3 de la Declaración de Río</w:t>
      </w:r>
      <w:r w:rsidR="00E35190">
        <w:rPr>
          <w:rStyle w:val="Refdenotaalpie"/>
          <w:rFonts w:ascii="Verdana" w:eastAsiaTheme="majorEastAsia" w:hAnsi="Verdana"/>
          <w:sz w:val="20"/>
          <w:szCs w:val="20"/>
          <w:lang w:val="es-ES"/>
        </w:rPr>
        <w:footnoteReference w:id="137"/>
      </w:r>
      <w:r w:rsidR="00E35190">
        <w:rPr>
          <w:rFonts w:ascii="Verdana" w:hAnsi="Verdana"/>
          <w:sz w:val="20"/>
          <w:szCs w:val="20"/>
          <w:lang w:val="es-ES"/>
        </w:rPr>
        <w:t xml:space="preserve"> y la Carta de Derechos y Deberes Económicos de los Estados</w:t>
      </w:r>
      <w:r w:rsidR="00E35190">
        <w:rPr>
          <w:rStyle w:val="Refdenotaalpie"/>
          <w:rFonts w:ascii="Verdana" w:eastAsiaTheme="majorEastAsia" w:hAnsi="Verdana"/>
          <w:sz w:val="20"/>
          <w:szCs w:val="20"/>
          <w:lang w:val="es-ES"/>
        </w:rPr>
        <w:footnoteReference w:id="138"/>
      </w:r>
      <w:r w:rsidR="005E63ED">
        <w:rPr>
          <w:rFonts w:ascii="Verdana" w:hAnsi="Verdana"/>
          <w:sz w:val="20"/>
          <w:szCs w:val="20"/>
          <w:lang w:val="es-ES"/>
        </w:rPr>
        <w:t>.</w:t>
      </w:r>
    </w:p>
    <w:p w14:paraId="1DDB81FA" w14:textId="77777777" w:rsidR="00E35190" w:rsidRPr="008E0FF2" w:rsidRDefault="00E35190" w:rsidP="00E35190">
      <w:pPr>
        <w:pStyle w:val="Prrafodelista"/>
        <w:rPr>
          <w:rFonts w:ascii="Verdana" w:hAnsi="Verdana"/>
          <w:sz w:val="20"/>
          <w:szCs w:val="20"/>
          <w:lang w:val="es-ES"/>
        </w:rPr>
      </w:pPr>
    </w:p>
    <w:p w14:paraId="091604FA" w14:textId="1CCB17FB" w:rsidR="00E35190"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137. </w:t>
      </w:r>
      <w:r>
        <w:rPr>
          <w:rFonts w:ascii="Verdana" w:hAnsi="Verdana"/>
          <w:sz w:val="20"/>
          <w:szCs w:val="20"/>
          <w:lang w:val="es-ES"/>
        </w:rPr>
        <w:tab/>
      </w:r>
      <w:r w:rsidR="00E35190">
        <w:rPr>
          <w:rFonts w:ascii="Verdana" w:hAnsi="Verdana"/>
          <w:sz w:val="20"/>
          <w:szCs w:val="20"/>
          <w:lang w:val="es-ES"/>
        </w:rPr>
        <w:t>Ello evidencia que tanto en el ámbito interamericano como en otros sistemas, el principio de equidad intergeneracional aparece recogido como un deber impuesto a las generaciones presentes y respecto de las próximas</w:t>
      </w:r>
      <w:r w:rsidR="00DB284B" w:rsidRPr="0025291A">
        <w:rPr>
          <w:rStyle w:val="Refdenotaalpie"/>
          <w:rFonts w:ascii="Verdana" w:hAnsi="Verdana"/>
          <w:sz w:val="20"/>
          <w:szCs w:val="20"/>
          <w:lang w:val="es-ES"/>
        </w:rPr>
        <w:footnoteReference w:id="139"/>
      </w:r>
      <w:r w:rsidR="00E35190">
        <w:rPr>
          <w:rFonts w:ascii="Verdana" w:hAnsi="Verdana"/>
          <w:sz w:val="20"/>
          <w:szCs w:val="20"/>
          <w:lang w:val="es-ES"/>
        </w:rPr>
        <w:t>. El Tribunal Constitucional Federal Alemán ha referido al punto, señalando además la vinculación con las actuales generaciones jóvenes, al evaluar la constitucionalidad de los valores de CO2 permitidos hasta 2030, analizando su vinculación con el cambio climático</w:t>
      </w:r>
      <w:r w:rsidR="005D065B">
        <w:rPr>
          <w:rFonts w:ascii="Verdana" w:hAnsi="Verdana"/>
          <w:sz w:val="20"/>
          <w:szCs w:val="20"/>
          <w:lang w:val="es-ES"/>
        </w:rPr>
        <w:t>, s</w:t>
      </w:r>
      <w:r w:rsidR="00E35190">
        <w:rPr>
          <w:rFonts w:ascii="Verdana" w:hAnsi="Verdana"/>
          <w:sz w:val="20"/>
          <w:szCs w:val="20"/>
          <w:lang w:val="es-ES"/>
        </w:rPr>
        <w:t>eñaló que:</w:t>
      </w:r>
    </w:p>
    <w:p w14:paraId="2CC9A44B" w14:textId="3BBEE882" w:rsidR="00E35190" w:rsidRPr="00062605" w:rsidRDefault="00E35190" w:rsidP="00E35190">
      <w:pPr>
        <w:pStyle w:val="Prrafodelista"/>
        <w:rPr>
          <w:rFonts w:ascii="Verdana" w:hAnsi="Verdana"/>
          <w:sz w:val="20"/>
          <w:szCs w:val="20"/>
          <w:lang w:val="es-ES"/>
        </w:rPr>
      </w:pPr>
    </w:p>
    <w:p w14:paraId="4EB090EF" w14:textId="6CA343B8" w:rsidR="00E35190" w:rsidRPr="00F821B5" w:rsidRDefault="005D065B" w:rsidP="005D065B">
      <w:pPr>
        <w:spacing w:after="160" w:line="259" w:lineRule="auto"/>
        <w:ind w:left="709" w:right="787"/>
        <w:jc w:val="both"/>
        <w:rPr>
          <w:rFonts w:ascii="Verdana" w:eastAsiaTheme="minorHAnsi" w:hAnsi="Verdana" w:cstheme="minorBidi"/>
          <w:kern w:val="2"/>
          <w:sz w:val="18"/>
          <w:szCs w:val="18"/>
          <w:lang w:val="es-ES" w:eastAsia="en-US"/>
          <w14:ligatures w14:val="standardContextual"/>
        </w:rPr>
      </w:pPr>
      <w:r>
        <w:rPr>
          <w:rFonts w:ascii="Verdana" w:eastAsiaTheme="minorHAnsi" w:hAnsi="Verdana" w:cstheme="minorBidi"/>
          <w:kern w:val="2"/>
          <w:sz w:val="18"/>
          <w:szCs w:val="18"/>
          <w:lang w:val="es-ES" w:eastAsia="en-US"/>
          <w14:ligatures w14:val="standardContextual"/>
        </w:rPr>
        <w:t>[</w:t>
      </w:r>
      <w:r w:rsidR="00E35190" w:rsidRPr="00290CE1">
        <w:rPr>
          <w:rFonts w:ascii="Verdana" w:eastAsiaTheme="minorHAnsi" w:hAnsi="Verdana" w:cstheme="minorBidi"/>
          <w:kern w:val="2"/>
          <w:sz w:val="18"/>
          <w:szCs w:val="18"/>
          <w:lang w:val="es-ES" w:eastAsia="en-US"/>
          <w14:ligatures w14:val="standardContextual"/>
        </w:rPr>
        <w:t>…</w:t>
      </w:r>
      <w:r>
        <w:rPr>
          <w:rFonts w:ascii="Verdana" w:eastAsiaTheme="minorHAnsi" w:hAnsi="Verdana" w:cstheme="minorBidi"/>
          <w:kern w:val="2"/>
          <w:sz w:val="18"/>
          <w:szCs w:val="18"/>
          <w:lang w:val="es-ES" w:eastAsia="en-US"/>
          <w14:ligatures w14:val="standardContextual"/>
        </w:rPr>
        <w:t>]</w:t>
      </w:r>
      <w:r w:rsidR="00E35190" w:rsidRPr="00290CE1">
        <w:rPr>
          <w:rFonts w:ascii="Verdana" w:eastAsiaTheme="minorHAnsi" w:hAnsi="Verdana" w:cstheme="minorBidi"/>
          <w:kern w:val="2"/>
          <w:sz w:val="18"/>
          <w:szCs w:val="18"/>
          <w:lang w:val="es-ES" w:eastAsia="en-US"/>
          <w14:ligatures w14:val="standardContextual"/>
        </w:rPr>
        <w:t xml:space="preserve"> </w:t>
      </w:r>
      <w:r w:rsidR="00E35190" w:rsidRPr="00F821B5">
        <w:rPr>
          <w:rFonts w:ascii="Verdana" w:eastAsiaTheme="minorHAnsi" w:hAnsi="Verdana" w:cstheme="minorBidi"/>
          <w:kern w:val="2"/>
          <w:sz w:val="18"/>
          <w:szCs w:val="18"/>
          <w:lang w:val="es-ES" w:eastAsia="en-US"/>
          <w14:ligatures w14:val="standardContextual"/>
        </w:rPr>
        <w:t>Las restricciones a la libertad que llegarán a ser necesarias en el futuro ya están concebidas en la generosa legislación actual sobre protección del clima. Las medidas de protección climática que hoy no se han tomado por respeto a la libertad actual, tendrán que tomarse en el futuro en condiciones posiblemente incluso más desfavorables, y que luego restringirán exactamente las mismas necesidades de, y derechos a, la libertad de una forma mucho más drástica</w:t>
      </w:r>
      <w:r w:rsidR="00C86F76" w:rsidRPr="00F821B5">
        <w:rPr>
          <w:rFonts w:ascii="Verdana" w:eastAsiaTheme="minorHAnsi" w:hAnsi="Verdana" w:cstheme="minorBidi"/>
          <w:kern w:val="2"/>
          <w:sz w:val="18"/>
          <w:szCs w:val="18"/>
          <w:vertAlign w:val="superscript"/>
          <w:lang w:val="es-ES" w:eastAsia="en-US"/>
          <w14:ligatures w14:val="standardContextual"/>
        </w:rPr>
        <w:footnoteReference w:id="140"/>
      </w:r>
      <w:r w:rsidR="00DB284B">
        <w:rPr>
          <w:rFonts w:ascii="Verdana" w:eastAsiaTheme="minorHAnsi" w:hAnsi="Verdana" w:cstheme="minorBidi"/>
          <w:kern w:val="2"/>
          <w:sz w:val="18"/>
          <w:szCs w:val="18"/>
          <w:lang w:val="es-ES" w:eastAsia="en-US"/>
          <w14:ligatures w14:val="standardContextual"/>
        </w:rPr>
        <w:t>.</w:t>
      </w:r>
      <w:r w:rsidR="00E35190" w:rsidRPr="00F821B5">
        <w:rPr>
          <w:rFonts w:ascii="Verdana" w:eastAsiaTheme="minorHAnsi" w:hAnsi="Verdana" w:cstheme="minorBidi"/>
          <w:kern w:val="2"/>
          <w:sz w:val="18"/>
          <w:szCs w:val="18"/>
          <w:lang w:val="es-ES" w:eastAsia="en-US"/>
          <w14:ligatures w14:val="standardContextual"/>
        </w:rPr>
        <w:t xml:space="preserve"> </w:t>
      </w:r>
    </w:p>
    <w:p w14:paraId="66B509CC" w14:textId="3A32032C" w:rsidR="00E35190" w:rsidRPr="00F821B5" w:rsidRDefault="0090594F" w:rsidP="0090594F">
      <w:pPr>
        <w:spacing w:after="160" w:line="259" w:lineRule="auto"/>
        <w:ind w:left="709" w:right="645"/>
        <w:jc w:val="both"/>
        <w:rPr>
          <w:rFonts w:ascii="Verdana" w:eastAsiaTheme="minorHAnsi" w:hAnsi="Verdana" w:cstheme="minorBidi"/>
          <w:kern w:val="2"/>
          <w:sz w:val="18"/>
          <w:szCs w:val="18"/>
          <w:lang w:val="es-ES" w:eastAsia="en-US"/>
          <w14:ligatures w14:val="standardContextual"/>
        </w:rPr>
      </w:pPr>
      <w:r>
        <w:rPr>
          <w:rFonts w:ascii="Verdana" w:eastAsiaTheme="minorHAnsi" w:hAnsi="Verdana" w:cstheme="minorBidi"/>
          <w:kern w:val="2"/>
          <w:sz w:val="18"/>
          <w:szCs w:val="18"/>
          <w:lang w:val="es-ES" w:eastAsia="en-US"/>
          <w14:ligatures w14:val="standardContextual"/>
        </w:rPr>
        <w:t>[</w:t>
      </w:r>
      <w:r w:rsidR="00E35190" w:rsidRPr="00F821B5">
        <w:rPr>
          <w:rFonts w:ascii="Verdana" w:eastAsiaTheme="minorHAnsi" w:hAnsi="Verdana" w:cstheme="minorBidi"/>
          <w:kern w:val="2"/>
          <w:sz w:val="18"/>
          <w:szCs w:val="18"/>
          <w:lang w:val="es-ES" w:eastAsia="en-US"/>
          <w14:ligatures w14:val="standardContextual"/>
        </w:rPr>
        <w:t>…</w:t>
      </w:r>
      <w:r>
        <w:rPr>
          <w:rFonts w:ascii="Verdana" w:eastAsiaTheme="minorHAnsi" w:hAnsi="Verdana" w:cstheme="minorBidi"/>
          <w:kern w:val="2"/>
          <w:sz w:val="18"/>
          <w:szCs w:val="18"/>
          <w:lang w:val="es-ES" w:eastAsia="en-US"/>
          <w14:ligatures w14:val="standardContextual"/>
        </w:rPr>
        <w:t>]</w:t>
      </w:r>
      <w:r w:rsidR="00E35190" w:rsidRPr="00F821B5">
        <w:rPr>
          <w:rFonts w:ascii="Verdana" w:eastAsiaTheme="minorHAnsi" w:hAnsi="Verdana" w:cstheme="minorBidi"/>
          <w:kern w:val="2"/>
          <w:sz w:val="18"/>
          <w:szCs w:val="18"/>
          <w:lang w:val="es-ES" w:eastAsia="en-US"/>
          <w14:ligatures w14:val="standardContextual"/>
        </w:rPr>
        <w:t xml:space="preserve"> parece al menos posible que los derechos fundamentales consagrados en la ley fundamental, como garantías de libertad sin límites temporales, brinden protección contra disposiciones que permitan tal consumo sin tener suficientemente en cuenta la libertad en el futuro que termina puesta en peligro (sobre los derechos subjetivos en relación con la libertad, curso ejercicio debe distribuirse a lo largo del tiempo y entre generaciones </w:t>
      </w:r>
      <w:r>
        <w:rPr>
          <w:rFonts w:ascii="Verdana" w:eastAsiaTheme="minorHAnsi" w:hAnsi="Verdana" w:cstheme="minorBidi"/>
          <w:kern w:val="2"/>
          <w:sz w:val="18"/>
          <w:szCs w:val="18"/>
          <w:lang w:val="es-ES" w:eastAsia="en-US"/>
          <w14:ligatures w14:val="standardContextual"/>
        </w:rPr>
        <w:t>[</w:t>
      </w:r>
      <w:r w:rsidR="00E35190" w:rsidRPr="00F821B5">
        <w:rPr>
          <w:rFonts w:ascii="Verdana" w:eastAsiaTheme="minorHAnsi" w:hAnsi="Verdana" w:cstheme="minorBidi"/>
          <w:kern w:val="2"/>
          <w:sz w:val="18"/>
          <w:szCs w:val="18"/>
          <w:lang w:val="es-ES" w:eastAsia="en-US"/>
          <w14:ligatures w14:val="standardContextual"/>
        </w:rPr>
        <w:t>…</w:t>
      </w:r>
      <w:r>
        <w:rPr>
          <w:rFonts w:ascii="Verdana" w:eastAsiaTheme="minorHAnsi" w:hAnsi="Verdana" w:cstheme="minorBidi"/>
          <w:kern w:val="2"/>
          <w:sz w:val="18"/>
          <w:szCs w:val="18"/>
          <w:lang w:val="es-ES" w:eastAsia="en-US"/>
          <w14:ligatures w14:val="standardContextual"/>
        </w:rPr>
        <w:t>]</w:t>
      </w:r>
    </w:p>
    <w:p w14:paraId="4A45C34E" w14:textId="259F5B87" w:rsidR="00E35190" w:rsidRPr="00F821B5" w:rsidRDefault="00E35190" w:rsidP="0090594F">
      <w:pPr>
        <w:spacing w:after="160" w:line="259" w:lineRule="auto"/>
        <w:ind w:left="709" w:right="645"/>
        <w:jc w:val="both"/>
        <w:rPr>
          <w:rFonts w:ascii="Verdana" w:eastAsiaTheme="minorHAnsi" w:hAnsi="Verdana" w:cstheme="minorBidi"/>
          <w:kern w:val="2"/>
          <w:sz w:val="18"/>
          <w:szCs w:val="18"/>
          <w:lang w:val="es-ES" w:eastAsia="en-US"/>
          <w14:ligatures w14:val="standardContextual"/>
        </w:rPr>
      </w:pPr>
      <w:r w:rsidRPr="00F821B5">
        <w:rPr>
          <w:rFonts w:ascii="Verdana" w:eastAsiaTheme="minorHAnsi" w:hAnsi="Verdana" w:cstheme="minorBidi"/>
          <w:kern w:val="2"/>
          <w:sz w:val="18"/>
          <w:szCs w:val="18"/>
          <w:lang w:val="es-ES" w:eastAsia="en-US"/>
          <w14:ligatures w14:val="standardContextual"/>
        </w:rPr>
        <w:t>La libertad en el futuro podría resultar específicamente afectada después del año 2030 por el hecho de que, como alegan los recurrentes, las cantidades de emisiones de CO2 permitidas hasta el 2030 por la Ley Federal de protección del clima resultan ser demasiado generosas; podrían faltar medidas cautelares suficientes para la conservación de la libertad en el futuro</w:t>
      </w:r>
      <w:r w:rsidRPr="00F821B5">
        <w:rPr>
          <w:rFonts w:ascii="Verdana" w:eastAsiaTheme="minorHAnsi" w:hAnsi="Verdana" w:cstheme="minorBidi"/>
          <w:kern w:val="2"/>
          <w:sz w:val="18"/>
          <w:szCs w:val="18"/>
          <w:vertAlign w:val="superscript"/>
          <w:lang w:val="es-ES" w:eastAsia="en-US"/>
          <w14:ligatures w14:val="standardContextual"/>
        </w:rPr>
        <w:footnoteReference w:id="141"/>
      </w:r>
      <w:r w:rsidR="00DB284B">
        <w:rPr>
          <w:rFonts w:ascii="Verdana" w:eastAsiaTheme="minorHAnsi" w:hAnsi="Verdana" w:cstheme="minorBidi"/>
          <w:kern w:val="2"/>
          <w:sz w:val="18"/>
          <w:szCs w:val="18"/>
          <w:lang w:val="es-ES" w:eastAsia="en-US"/>
          <w14:ligatures w14:val="standardContextual"/>
        </w:rPr>
        <w:t>.</w:t>
      </w:r>
    </w:p>
    <w:p w14:paraId="71626C43" w14:textId="6118C06F" w:rsidR="00E35190" w:rsidRPr="00F821B5" w:rsidRDefault="0090594F" w:rsidP="0090594F">
      <w:pPr>
        <w:spacing w:after="160" w:line="259" w:lineRule="auto"/>
        <w:ind w:left="709" w:right="645"/>
        <w:jc w:val="both"/>
        <w:rPr>
          <w:rFonts w:ascii="Verdana" w:eastAsiaTheme="minorHAnsi" w:hAnsi="Verdana" w:cstheme="minorBidi"/>
          <w:kern w:val="2"/>
          <w:sz w:val="18"/>
          <w:szCs w:val="18"/>
          <w:lang w:val="es-ES" w:eastAsia="en-US"/>
          <w14:ligatures w14:val="standardContextual"/>
        </w:rPr>
      </w:pPr>
      <w:r>
        <w:rPr>
          <w:rFonts w:ascii="Verdana" w:eastAsiaTheme="minorHAnsi" w:hAnsi="Verdana" w:cstheme="minorBidi"/>
          <w:kern w:val="2"/>
          <w:sz w:val="18"/>
          <w:szCs w:val="18"/>
          <w:lang w:val="es-ES" w:eastAsia="en-US"/>
          <w14:ligatures w14:val="standardContextual"/>
        </w:rPr>
        <w:t>[</w:t>
      </w:r>
      <w:r w:rsidR="00E35190" w:rsidRPr="00290CE1">
        <w:rPr>
          <w:rFonts w:ascii="Verdana" w:eastAsiaTheme="minorHAnsi" w:hAnsi="Verdana" w:cstheme="minorBidi"/>
          <w:kern w:val="2"/>
          <w:sz w:val="18"/>
          <w:szCs w:val="18"/>
          <w:lang w:val="es-ES" w:eastAsia="en-US"/>
          <w14:ligatures w14:val="standardContextual"/>
        </w:rPr>
        <w:t>...</w:t>
      </w:r>
      <w:r>
        <w:rPr>
          <w:rFonts w:ascii="Verdana" w:eastAsiaTheme="minorHAnsi" w:hAnsi="Verdana" w:cstheme="minorBidi"/>
          <w:kern w:val="2"/>
          <w:sz w:val="18"/>
          <w:szCs w:val="18"/>
          <w:lang w:val="es-ES" w:eastAsia="en-US"/>
          <w14:ligatures w14:val="standardContextual"/>
        </w:rPr>
        <w:t>]</w:t>
      </w:r>
      <w:r w:rsidR="00E35190" w:rsidRPr="00F821B5">
        <w:rPr>
          <w:rFonts w:ascii="Verdana" w:eastAsiaTheme="minorHAnsi" w:hAnsi="Verdana" w:cstheme="minorBidi"/>
          <w:kern w:val="2"/>
          <w:sz w:val="18"/>
          <w:szCs w:val="18"/>
          <w:lang w:val="es-ES" w:eastAsia="en-US"/>
          <w14:ligatures w14:val="standardContextual"/>
        </w:rPr>
        <w:t xml:space="preserve"> En la medida en que esto provoque el agotamiento del presupuesto de CO2 restante, el efecto es irreversible porque tal como están las cosas actualmente no resulta posible eliminar a gran escala las emisiones de CO2 de la atmósfera terrestre. Dado que una afectación a los derechos fundamentales que se ponga en marcha hoy tiene un carácter potencialmente irreversible y en tanto la interposición posterior de un recurso de amparo para impugnar las consiguientes restricciones a la libertad podría ser inútil en el momento en que hayan surgido tales afectaciones, los recurrentes ya tienen legitimación para interponer el recurso de amparo</w:t>
      </w:r>
      <w:r w:rsidR="00E35190" w:rsidRPr="00F821B5">
        <w:rPr>
          <w:rFonts w:ascii="Verdana" w:eastAsiaTheme="minorHAnsi" w:hAnsi="Verdana" w:cstheme="minorBidi"/>
          <w:kern w:val="2"/>
          <w:sz w:val="18"/>
          <w:szCs w:val="18"/>
          <w:vertAlign w:val="superscript"/>
          <w:lang w:val="es-ES" w:eastAsia="en-US"/>
          <w14:ligatures w14:val="standardContextual"/>
        </w:rPr>
        <w:footnoteReference w:id="142"/>
      </w:r>
      <w:r w:rsidR="00DB284B">
        <w:rPr>
          <w:rFonts w:ascii="Verdana" w:eastAsiaTheme="minorHAnsi" w:hAnsi="Verdana" w:cstheme="minorBidi"/>
          <w:kern w:val="2"/>
          <w:sz w:val="18"/>
          <w:szCs w:val="18"/>
          <w:lang w:val="es-ES" w:eastAsia="en-US"/>
          <w14:ligatures w14:val="standardContextual"/>
        </w:rPr>
        <w:t>.</w:t>
      </w:r>
      <w:r w:rsidR="00E35190" w:rsidRPr="00F821B5">
        <w:rPr>
          <w:rFonts w:ascii="Verdana" w:eastAsiaTheme="minorHAnsi" w:hAnsi="Verdana" w:cstheme="minorBidi"/>
          <w:kern w:val="2"/>
          <w:sz w:val="18"/>
          <w:szCs w:val="18"/>
          <w:lang w:val="es-ES" w:eastAsia="en-US"/>
          <w14:ligatures w14:val="standardContextual"/>
        </w:rPr>
        <w:t xml:space="preserve"> </w:t>
      </w:r>
    </w:p>
    <w:p w14:paraId="67E039E1" w14:textId="2529611B" w:rsidR="00E35190" w:rsidRPr="00F821B5" w:rsidRDefault="00E35190" w:rsidP="0090594F">
      <w:pPr>
        <w:spacing w:after="160" w:line="259" w:lineRule="auto"/>
        <w:ind w:left="709" w:right="645"/>
        <w:jc w:val="both"/>
        <w:rPr>
          <w:rFonts w:ascii="Verdana" w:eastAsiaTheme="minorHAnsi" w:hAnsi="Verdana" w:cstheme="minorBidi"/>
          <w:kern w:val="2"/>
          <w:sz w:val="18"/>
          <w:szCs w:val="18"/>
          <w:lang w:val="es-ES" w:eastAsia="en-US"/>
          <w14:ligatures w14:val="standardContextual"/>
        </w:rPr>
      </w:pPr>
      <w:r w:rsidRPr="00F821B5">
        <w:rPr>
          <w:rFonts w:ascii="Verdana" w:eastAsiaTheme="minorHAnsi" w:hAnsi="Verdana" w:cstheme="minorBidi"/>
          <w:kern w:val="2"/>
          <w:sz w:val="18"/>
          <w:szCs w:val="18"/>
          <w:lang w:val="es-ES" w:eastAsia="en-US"/>
          <w14:ligatures w14:val="standardContextual"/>
        </w:rPr>
        <w:t>Los recurrentes se encuentran afectados en su propia libertad. Ellos pueden experimentar por sí mismos las medidas requeridas para reducir las emisiones de CO2 después del año 2030. El hecho de que las restricciones lleguen a afectar prácticamente a todas las personas que vivan para ese entonces en Alemania, no excluye a los recurrentes de encontrarse afectados individualmente</w:t>
      </w:r>
      <w:r w:rsidRPr="00F821B5">
        <w:rPr>
          <w:rFonts w:ascii="Verdana" w:eastAsiaTheme="minorHAnsi" w:hAnsi="Verdana" w:cstheme="minorBidi"/>
          <w:kern w:val="2"/>
          <w:sz w:val="18"/>
          <w:szCs w:val="18"/>
          <w:vertAlign w:val="superscript"/>
          <w:lang w:val="es-ES" w:eastAsia="en-US"/>
          <w14:ligatures w14:val="standardContextual"/>
        </w:rPr>
        <w:footnoteReference w:id="143"/>
      </w:r>
      <w:r w:rsidR="003A60D6">
        <w:rPr>
          <w:rFonts w:ascii="Verdana" w:eastAsiaTheme="minorHAnsi" w:hAnsi="Verdana" w:cstheme="minorBidi"/>
          <w:kern w:val="2"/>
          <w:sz w:val="18"/>
          <w:szCs w:val="18"/>
          <w:lang w:val="es-ES" w:eastAsia="en-US"/>
          <w14:ligatures w14:val="standardContextual"/>
        </w:rPr>
        <w:t>.</w:t>
      </w:r>
    </w:p>
    <w:p w14:paraId="20194A2D" w14:textId="08B57ED2" w:rsidR="00E35190" w:rsidRPr="00F821B5" w:rsidRDefault="00E35190" w:rsidP="0090594F">
      <w:pPr>
        <w:spacing w:after="160" w:line="259" w:lineRule="auto"/>
        <w:ind w:left="709" w:right="645"/>
        <w:jc w:val="both"/>
        <w:rPr>
          <w:rFonts w:ascii="Verdana" w:eastAsiaTheme="minorHAnsi" w:hAnsi="Verdana" w:cstheme="minorBidi"/>
          <w:kern w:val="2"/>
          <w:sz w:val="18"/>
          <w:szCs w:val="18"/>
          <w:lang w:val="es-ES" w:eastAsia="en-US"/>
          <w14:ligatures w14:val="standardContextual"/>
        </w:rPr>
      </w:pPr>
      <w:r w:rsidRPr="00F821B5">
        <w:rPr>
          <w:rFonts w:ascii="Verdana" w:eastAsiaTheme="minorHAnsi" w:hAnsi="Verdana" w:cstheme="minorBidi"/>
          <w:kern w:val="2"/>
          <w:sz w:val="18"/>
          <w:szCs w:val="18"/>
          <w:lang w:val="es-ES" w:eastAsia="en-US"/>
          <w14:ligatures w14:val="standardContextual"/>
        </w:rPr>
        <w:t>El deber de protección del Estado derivado del artículo dos primera</w:t>
      </w:r>
      <w:r w:rsidR="0090594F">
        <w:rPr>
          <w:rFonts w:ascii="Verdana" w:eastAsiaTheme="minorHAnsi" w:hAnsi="Verdana" w:cstheme="minorBidi"/>
          <w:kern w:val="2"/>
          <w:sz w:val="18"/>
          <w:szCs w:val="18"/>
          <w:lang w:val="es-ES" w:eastAsia="en-US"/>
          <w14:ligatures w14:val="standardContextual"/>
        </w:rPr>
        <w:t>s</w:t>
      </w:r>
      <w:r w:rsidRPr="00F821B5">
        <w:rPr>
          <w:rFonts w:ascii="Verdana" w:eastAsiaTheme="minorHAnsi" w:hAnsi="Verdana" w:cstheme="minorBidi"/>
          <w:kern w:val="2"/>
          <w:sz w:val="18"/>
          <w:szCs w:val="18"/>
          <w:lang w:val="es-ES" w:eastAsia="en-US"/>
          <w14:ligatures w14:val="standardContextual"/>
        </w:rPr>
        <w:t xml:space="preserve"> frase LF no solo tiene aplicación después de que las violaciones ya se hayan producido, sino que también se proyecta hacia el futuro </w:t>
      </w:r>
      <w:r w:rsidR="0090594F">
        <w:rPr>
          <w:rFonts w:ascii="Verdana" w:eastAsiaTheme="minorHAnsi" w:hAnsi="Verdana" w:cstheme="minorBidi"/>
          <w:kern w:val="2"/>
          <w:sz w:val="18"/>
          <w:szCs w:val="18"/>
          <w:lang w:val="es-ES" w:eastAsia="en-US"/>
          <w14:ligatures w14:val="standardContextual"/>
        </w:rPr>
        <w:t>[</w:t>
      </w:r>
      <w:r w:rsidRPr="00F821B5">
        <w:rPr>
          <w:rFonts w:ascii="Verdana" w:eastAsiaTheme="minorHAnsi" w:hAnsi="Verdana" w:cstheme="minorBidi"/>
          <w:kern w:val="2"/>
          <w:sz w:val="18"/>
          <w:szCs w:val="18"/>
          <w:lang w:val="es-ES" w:eastAsia="en-US"/>
          <w14:ligatures w14:val="standardContextual"/>
        </w:rPr>
        <w:t>…</w:t>
      </w:r>
      <w:r w:rsidR="0090594F">
        <w:rPr>
          <w:rFonts w:ascii="Verdana" w:eastAsiaTheme="minorHAnsi" w:hAnsi="Verdana" w:cstheme="minorBidi"/>
          <w:kern w:val="2"/>
          <w:sz w:val="18"/>
          <w:szCs w:val="18"/>
          <w:lang w:val="es-ES" w:eastAsia="en-US"/>
          <w14:ligatures w14:val="standardContextual"/>
        </w:rPr>
        <w:t>]</w:t>
      </w:r>
      <w:r w:rsidRPr="00F821B5">
        <w:rPr>
          <w:rFonts w:ascii="Verdana" w:eastAsiaTheme="minorHAnsi" w:hAnsi="Verdana" w:cstheme="minorBidi"/>
          <w:kern w:val="2"/>
          <w:sz w:val="18"/>
          <w:szCs w:val="18"/>
          <w:lang w:val="es-ES" w:eastAsia="en-US"/>
          <w14:ligatures w14:val="standardContextual"/>
        </w:rPr>
        <w:t xml:space="preserve"> del deber de brindar protección contra los riesgos para la vida y la salud también se puede derivar una obligación de protección frente a las generaciones futuras </w:t>
      </w:r>
      <w:r w:rsidR="0090594F">
        <w:rPr>
          <w:rFonts w:ascii="Verdana" w:eastAsiaTheme="minorHAnsi" w:hAnsi="Verdana" w:cstheme="minorBidi"/>
          <w:kern w:val="2"/>
          <w:sz w:val="18"/>
          <w:szCs w:val="18"/>
          <w:lang w:val="es-ES" w:eastAsia="en-US"/>
          <w14:ligatures w14:val="standardContextual"/>
        </w:rPr>
        <w:t>[</w:t>
      </w:r>
      <w:r w:rsidRPr="00F821B5">
        <w:rPr>
          <w:rFonts w:ascii="Verdana" w:eastAsiaTheme="minorHAnsi" w:hAnsi="Verdana" w:cstheme="minorBidi"/>
          <w:kern w:val="2"/>
          <w:sz w:val="18"/>
          <w:szCs w:val="18"/>
          <w:lang w:val="es-ES" w:eastAsia="en-US"/>
          <w14:ligatures w14:val="standardContextual"/>
        </w:rPr>
        <w:t>…</w:t>
      </w:r>
      <w:r w:rsidR="0090594F">
        <w:rPr>
          <w:rFonts w:ascii="Verdana" w:eastAsiaTheme="minorHAnsi" w:hAnsi="Verdana" w:cstheme="minorBidi"/>
          <w:kern w:val="2"/>
          <w:sz w:val="18"/>
          <w:szCs w:val="18"/>
          <w:lang w:val="es-ES" w:eastAsia="en-US"/>
          <w14:ligatures w14:val="standardContextual"/>
        </w:rPr>
        <w:t>]</w:t>
      </w:r>
      <w:r w:rsidRPr="00F821B5">
        <w:rPr>
          <w:rFonts w:ascii="Verdana" w:eastAsiaTheme="minorHAnsi" w:hAnsi="Verdana" w:cstheme="minorBidi"/>
          <w:kern w:val="2"/>
          <w:sz w:val="18"/>
          <w:szCs w:val="18"/>
          <w:lang w:val="es-ES" w:eastAsia="en-US"/>
          <w14:ligatures w14:val="standardContextual"/>
        </w:rPr>
        <w:t xml:space="preserve"> hoy esto es aún más válido cuando están en juego procesos irreversibles. Sin embargo, este deber de brindar protección intergeneracional tiene una naturaleza exclusivamente objetiva porque las generaciones futuras aún no tienen en el presente la capacidad jurídica para ser titulares de derechos fundamentales ni en su conjunto ni como la suma de personas que aún no han nacido</w:t>
      </w:r>
      <w:r w:rsidRPr="00F821B5">
        <w:rPr>
          <w:rFonts w:ascii="Verdana" w:eastAsiaTheme="minorHAnsi" w:hAnsi="Verdana" w:cstheme="minorBidi"/>
          <w:kern w:val="2"/>
          <w:sz w:val="18"/>
          <w:szCs w:val="18"/>
          <w:vertAlign w:val="superscript"/>
          <w:lang w:val="es-ES" w:eastAsia="en-US"/>
          <w14:ligatures w14:val="standardContextual"/>
        </w:rPr>
        <w:footnoteReference w:id="144"/>
      </w:r>
      <w:r w:rsidR="003A60D6">
        <w:rPr>
          <w:rFonts w:ascii="Verdana" w:eastAsiaTheme="minorHAnsi" w:hAnsi="Verdana" w:cstheme="minorBidi"/>
          <w:kern w:val="2"/>
          <w:sz w:val="18"/>
          <w:szCs w:val="18"/>
          <w:lang w:val="es-ES" w:eastAsia="en-US"/>
          <w14:ligatures w14:val="standardContextual"/>
        </w:rPr>
        <w:t>.</w:t>
      </w:r>
    </w:p>
    <w:p w14:paraId="6C6815D4" w14:textId="7A37A80C" w:rsidR="00E35190" w:rsidRPr="003A60D6" w:rsidRDefault="00E35190" w:rsidP="0090594F">
      <w:pPr>
        <w:spacing w:after="160" w:line="259" w:lineRule="auto"/>
        <w:ind w:left="709" w:right="645"/>
        <w:jc w:val="both"/>
        <w:rPr>
          <w:rFonts w:ascii="Verdana" w:eastAsiaTheme="minorHAnsi" w:hAnsi="Verdana" w:cstheme="minorBidi"/>
          <w:kern w:val="2"/>
          <w:sz w:val="18"/>
          <w:szCs w:val="18"/>
          <w:lang w:val="es-ES" w:eastAsia="en-US"/>
          <w14:ligatures w14:val="standardContextual"/>
        </w:rPr>
      </w:pPr>
      <w:r w:rsidRPr="00F821B5">
        <w:rPr>
          <w:rFonts w:ascii="Verdana" w:eastAsiaTheme="minorHAnsi" w:hAnsi="Verdana" w:cstheme="minorBidi"/>
          <w:kern w:val="2"/>
          <w:sz w:val="18"/>
          <w:szCs w:val="18"/>
          <w:lang w:val="es-ES" w:eastAsia="en-US"/>
          <w14:ligatures w14:val="standardContextual"/>
        </w:rPr>
        <w:t>Del principio de proporcionalidad se desprende que no es posible permitir que una generación consuma una gran parte del presupuesto de CO2 con una carga de reducción comparativamente leve, si esto al mismo tiempo significa que las siguientes generaciones se les impondrá una carga de reducción radical, exponiendo sus vidas a una pérdida considerable de su libertad, algo que los recurrentes describen como un “frenazo total”</w:t>
      </w:r>
      <w:r w:rsidR="00810BC8">
        <w:rPr>
          <w:rFonts w:ascii="Verdana" w:eastAsiaTheme="minorHAnsi" w:hAnsi="Verdana" w:cstheme="minorBidi"/>
          <w:kern w:val="2"/>
          <w:sz w:val="18"/>
          <w:szCs w:val="18"/>
          <w:lang w:val="es-ES" w:eastAsia="en-US"/>
          <w14:ligatures w14:val="standardContextual"/>
        </w:rPr>
        <w:t xml:space="preserve"> </w:t>
      </w:r>
      <w:r w:rsidR="0090594F">
        <w:rPr>
          <w:rFonts w:ascii="Verdana" w:eastAsiaTheme="minorHAnsi" w:hAnsi="Verdana" w:cstheme="minorBidi"/>
          <w:kern w:val="2"/>
          <w:sz w:val="18"/>
          <w:szCs w:val="18"/>
          <w:lang w:val="es-ES" w:eastAsia="en-US"/>
          <w14:ligatures w14:val="standardContextual"/>
        </w:rPr>
        <w:t>[</w:t>
      </w:r>
      <w:r w:rsidR="00810BC8">
        <w:rPr>
          <w:rFonts w:ascii="Verdana" w:eastAsiaTheme="minorHAnsi" w:hAnsi="Verdana" w:cstheme="minorBidi"/>
          <w:kern w:val="2"/>
          <w:sz w:val="18"/>
          <w:szCs w:val="18"/>
          <w:lang w:val="es-ES" w:eastAsia="en-US"/>
          <w14:ligatures w14:val="standardContextual"/>
        </w:rPr>
        <w:t>…</w:t>
      </w:r>
      <w:r w:rsidR="0090594F">
        <w:rPr>
          <w:rFonts w:ascii="Verdana" w:eastAsiaTheme="minorHAnsi" w:hAnsi="Verdana" w:cstheme="minorBidi"/>
          <w:kern w:val="2"/>
          <w:sz w:val="18"/>
          <w:szCs w:val="18"/>
          <w:lang w:val="es-ES" w:eastAsia="en-US"/>
          <w14:ligatures w14:val="standardContextual"/>
        </w:rPr>
        <w:t>]</w:t>
      </w:r>
      <w:r w:rsidR="00810BC8">
        <w:rPr>
          <w:rFonts w:ascii="Verdana" w:eastAsiaTheme="minorHAnsi" w:hAnsi="Verdana" w:cstheme="minorBidi"/>
          <w:kern w:val="2"/>
          <w:sz w:val="18"/>
          <w:szCs w:val="18"/>
          <w:lang w:val="es-ES" w:eastAsia="en-US"/>
          <w14:ligatures w14:val="standardContextual"/>
        </w:rPr>
        <w:t xml:space="preserve"> [D]</w:t>
      </w:r>
      <w:r w:rsidRPr="00F821B5">
        <w:rPr>
          <w:rFonts w:ascii="Verdana" w:eastAsiaTheme="minorHAnsi" w:hAnsi="Verdana" w:cstheme="minorBidi"/>
          <w:kern w:val="2"/>
          <w:sz w:val="18"/>
          <w:szCs w:val="18"/>
          <w:lang w:val="es-ES" w:eastAsia="en-US"/>
          <w14:ligatures w14:val="standardContextual"/>
        </w:rPr>
        <w:t>ebido a que el curso de las cargas futuras sobre la libertad ya viene siendo determinado por las disposiciones que actualmente definen las cantidades de emisiones permitidas, los impactos sobre la libertad en el futuro deben ser proporcionales desde la perspectiva actual, mientras todavía sea posible cambiar de rumbo</w:t>
      </w:r>
      <w:r w:rsidRPr="00F821B5">
        <w:rPr>
          <w:rFonts w:ascii="Verdana" w:eastAsiaTheme="minorHAnsi" w:hAnsi="Verdana" w:cstheme="minorBidi"/>
          <w:kern w:val="2"/>
          <w:sz w:val="18"/>
          <w:szCs w:val="18"/>
          <w:vertAlign w:val="superscript"/>
          <w:lang w:val="es-ES" w:eastAsia="en-US"/>
          <w14:ligatures w14:val="standardContextual"/>
        </w:rPr>
        <w:footnoteReference w:id="145"/>
      </w:r>
      <w:r w:rsidR="003A60D6">
        <w:rPr>
          <w:rFonts w:ascii="Verdana" w:eastAsiaTheme="minorHAnsi" w:hAnsi="Verdana" w:cstheme="minorBidi"/>
          <w:kern w:val="2"/>
          <w:sz w:val="18"/>
          <w:szCs w:val="18"/>
          <w:lang w:val="es-ES" w:eastAsia="en-US"/>
          <w14:ligatures w14:val="standardContextual"/>
        </w:rPr>
        <w:t>.</w:t>
      </w:r>
    </w:p>
    <w:p w14:paraId="701A4639" w14:textId="2304396F" w:rsidR="00E35190" w:rsidRDefault="00D95703" w:rsidP="00D95703">
      <w:pPr>
        <w:pStyle w:val="Prrafodelista"/>
        <w:ind w:left="0"/>
        <w:jc w:val="both"/>
        <w:rPr>
          <w:rFonts w:ascii="Verdana" w:hAnsi="Verdana"/>
          <w:sz w:val="20"/>
          <w:szCs w:val="20"/>
          <w:lang w:val="es-ES"/>
        </w:rPr>
      </w:pPr>
      <w:r>
        <w:rPr>
          <w:rFonts w:ascii="Verdana" w:hAnsi="Verdana"/>
          <w:sz w:val="20"/>
          <w:szCs w:val="20"/>
          <w:lang w:val="es-ES"/>
        </w:rPr>
        <w:t xml:space="preserve">138. </w:t>
      </w:r>
      <w:r>
        <w:rPr>
          <w:rFonts w:ascii="Verdana" w:hAnsi="Verdana"/>
          <w:sz w:val="20"/>
          <w:szCs w:val="20"/>
          <w:lang w:val="es-ES"/>
        </w:rPr>
        <w:tab/>
      </w:r>
      <w:r w:rsidR="00E35190">
        <w:rPr>
          <w:rFonts w:ascii="Verdana" w:hAnsi="Verdana"/>
          <w:sz w:val="20"/>
          <w:szCs w:val="20"/>
          <w:lang w:val="es-ES"/>
        </w:rPr>
        <w:t>En la región, la Corte Constitucional de Colombia se ha pronunciado respecto de la equidad intergeneracional como consideración de las generaciones futuras</w:t>
      </w:r>
      <w:r w:rsidR="00E35190">
        <w:rPr>
          <w:rStyle w:val="Refdenotaalpie"/>
          <w:rFonts w:ascii="Verdana" w:eastAsiaTheme="majorEastAsia" w:hAnsi="Verdana"/>
          <w:sz w:val="20"/>
          <w:szCs w:val="20"/>
          <w:lang w:val="es-ES"/>
        </w:rPr>
        <w:footnoteReference w:id="146"/>
      </w:r>
      <w:r w:rsidR="00E35190">
        <w:rPr>
          <w:rFonts w:ascii="Verdana" w:hAnsi="Verdana"/>
          <w:sz w:val="20"/>
          <w:szCs w:val="20"/>
          <w:lang w:val="es-ES"/>
        </w:rPr>
        <w:t>:</w:t>
      </w:r>
    </w:p>
    <w:p w14:paraId="3B04DB3D" w14:textId="77777777" w:rsidR="00E35190" w:rsidRPr="00C76379" w:rsidRDefault="00E35190" w:rsidP="00E35190">
      <w:pPr>
        <w:pStyle w:val="Prrafodelista"/>
        <w:rPr>
          <w:rFonts w:ascii="Verdana" w:hAnsi="Verdana"/>
          <w:sz w:val="20"/>
          <w:szCs w:val="20"/>
          <w:lang w:val="es-ES"/>
        </w:rPr>
      </w:pPr>
    </w:p>
    <w:p w14:paraId="445B879B" w14:textId="77777777" w:rsidR="00E35190" w:rsidRPr="00C76379" w:rsidRDefault="00E35190" w:rsidP="0090594F">
      <w:pPr>
        <w:pStyle w:val="Prrafodelista"/>
        <w:ind w:left="709" w:right="645"/>
        <w:jc w:val="both"/>
        <w:rPr>
          <w:rFonts w:ascii="Verdana" w:hAnsi="Verdana"/>
          <w:sz w:val="18"/>
          <w:szCs w:val="18"/>
          <w:lang w:val="es-ES"/>
        </w:rPr>
      </w:pPr>
      <w:r w:rsidRPr="00C76379">
        <w:rPr>
          <w:rFonts w:ascii="Verdana" w:hAnsi="Verdana"/>
          <w:sz w:val="18"/>
          <w:szCs w:val="18"/>
          <w:lang w:val="es-ES"/>
        </w:rPr>
        <w:t xml:space="preserve">Para esta Sala de Revisión, la protección al ambiente no es un “amor platónico a la madre naturaleza”, sino la respuesta a un problema que de seguirse agravando al ritmo presente, acabaría planteando una auténtica cuestión de vida o muerte: la contaminación de los ríos y mares, la progresiva desaparición de la fauna y flora, la conversión en irrespirable de la atmosfera de muchas grandes ciudades por la polución, la desaparición de la capa de ozono, el efecto invernadero, el ruido, la deforestación, el aumento de la erosión, el uso de productos químicos, los desechos industriales, la lluvia acida, </w:t>
      </w:r>
      <w:r w:rsidRPr="00384DAA">
        <w:rPr>
          <w:rFonts w:ascii="Verdana" w:hAnsi="Verdana"/>
          <w:sz w:val="18"/>
          <w:szCs w:val="18"/>
          <w:lang w:val="es-ES"/>
        </w:rPr>
        <w:t>los melones nucleares</w:t>
      </w:r>
      <w:r>
        <w:rPr>
          <w:rFonts w:ascii="Verdana" w:hAnsi="Verdana"/>
          <w:sz w:val="18"/>
          <w:szCs w:val="18"/>
          <w:lang w:val="es-ES"/>
        </w:rPr>
        <w:t xml:space="preserve"> (sic)</w:t>
      </w:r>
      <w:r w:rsidRPr="00C76379">
        <w:rPr>
          <w:rFonts w:ascii="Verdana" w:hAnsi="Verdana"/>
          <w:sz w:val="18"/>
          <w:szCs w:val="18"/>
          <w:lang w:val="es-ES"/>
        </w:rPr>
        <w:t>, el empobrecimiento de los bancos genéticos del planeta, etcétera, son cuestiones tan vitales que merecen una decisión firme y unánime de la población mundial. Al fin y al cabo, el patrimonio natural de un país, al igual que ocurre con el histórico-artístico, pertenece a las personas que en él viven, pero también a las generaciones venideras, puesto que estamos en la obligación y el desafío de entregar el legado que hemos recibido en condiciones óptimas a nuestros descendientes.</w:t>
      </w:r>
      <w:r>
        <w:rPr>
          <w:rFonts w:ascii="Verdana" w:hAnsi="Verdana"/>
          <w:sz w:val="18"/>
          <w:szCs w:val="18"/>
          <w:lang w:val="es-ES"/>
        </w:rPr>
        <w:t xml:space="preserve"> </w:t>
      </w:r>
    </w:p>
    <w:p w14:paraId="066E13FD" w14:textId="77777777" w:rsidR="00E35190" w:rsidRDefault="00E35190" w:rsidP="00E35190">
      <w:pPr>
        <w:pStyle w:val="Prrafodelista"/>
        <w:ind w:left="0"/>
        <w:jc w:val="both"/>
        <w:rPr>
          <w:rFonts w:ascii="Verdana" w:hAnsi="Verdana"/>
          <w:sz w:val="20"/>
          <w:szCs w:val="20"/>
          <w:lang w:val="es-ES"/>
        </w:rPr>
      </w:pPr>
    </w:p>
    <w:p w14:paraId="480179BF" w14:textId="2685534F" w:rsidR="00E35190" w:rsidRDefault="00464A0D" w:rsidP="00464A0D">
      <w:pPr>
        <w:pStyle w:val="Prrafodelista"/>
        <w:ind w:left="0"/>
        <w:jc w:val="both"/>
        <w:rPr>
          <w:rFonts w:ascii="Verdana" w:hAnsi="Verdana"/>
          <w:sz w:val="20"/>
          <w:szCs w:val="20"/>
          <w:lang w:val="es-ES"/>
        </w:rPr>
      </w:pPr>
      <w:r>
        <w:rPr>
          <w:rFonts w:ascii="Verdana" w:hAnsi="Verdana"/>
          <w:sz w:val="20"/>
          <w:szCs w:val="20"/>
          <w:lang w:val="es-ES"/>
        </w:rPr>
        <w:t xml:space="preserve">139. </w:t>
      </w:r>
      <w:r>
        <w:rPr>
          <w:rFonts w:ascii="Verdana" w:hAnsi="Verdana"/>
          <w:sz w:val="20"/>
          <w:szCs w:val="20"/>
          <w:lang w:val="es-ES"/>
        </w:rPr>
        <w:tab/>
      </w:r>
      <w:r w:rsidR="00E35190">
        <w:rPr>
          <w:rFonts w:ascii="Verdana" w:hAnsi="Verdana"/>
          <w:sz w:val="20"/>
          <w:szCs w:val="20"/>
          <w:lang w:val="es-ES"/>
        </w:rPr>
        <w:t xml:space="preserve">También la Corte Suprema de Justicia colombiana ha explicado el fundamento de la equidad intergeneracional. Ha señalado que: </w:t>
      </w:r>
    </w:p>
    <w:p w14:paraId="7BA86DFF" w14:textId="77777777" w:rsidR="00E35190" w:rsidRDefault="00E35190" w:rsidP="00E35190">
      <w:pPr>
        <w:pStyle w:val="Prrafodelista"/>
        <w:ind w:left="0"/>
        <w:jc w:val="both"/>
        <w:rPr>
          <w:rFonts w:ascii="Verdana" w:hAnsi="Verdana"/>
          <w:sz w:val="20"/>
          <w:szCs w:val="20"/>
          <w:lang w:val="es-ES"/>
        </w:rPr>
      </w:pPr>
    </w:p>
    <w:p w14:paraId="0790D922" w14:textId="77777777" w:rsidR="00E35190" w:rsidRPr="00062605" w:rsidRDefault="00E35190" w:rsidP="0090594F">
      <w:pPr>
        <w:pStyle w:val="Prrafodelista"/>
        <w:ind w:left="709" w:right="645"/>
        <w:jc w:val="both"/>
        <w:rPr>
          <w:rFonts w:ascii="Verdana" w:hAnsi="Verdana"/>
          <w:sz w:val="18"/>
          <w:szCs w:val="18"/>
          <w:lang w:val="es-ES"/>
        </w:rPr>
      </w:pPr>
      <w:r w:rsidRPr="00062605">
        <w:rPr>
          <w:rFonts w:ascii="Verdana" w:hAnsi="Verdana"/>
          <w:sz w:val="18"/>
          <w:szCs w:val="18"/>
          <w:lang w:val="es-ES"/>
        </w:rPr>
        <w:t>Lo anterior significa que todos los individuos de la especie humana debemos dejar de pensar exclusivamente en el interés propio. Estamos obligados a considerar cómo nuestras obras y conducta diaria incide también en la sociedad y en la naturaleza.</w:t>
      </w:r>
    </w:p>
    <w:p w14:paraId="5AE6ACD1" w14:textId="77777777" w:rsidR="00E35190" w:rsidRPr="00062605" w:rsidRDefault="00E35190" w:rsidP="0090594F">
      <w:pPr>
        <w:pStyle w:val="Prrafodelista"/>
        <w:ind w:left="709" w:right="645"/>
        <w:jc w:val="both"/>
        <w:rPr>
          <w:rFonts w:ascii="Verdana" w:hAnsi="Verdana"/>
          <w:sz w:val="18"/>
          <w:szCs w:val="18"/>
          <w:lang w:val="es-ES"/>
        </w:rPr>
      </w:pPr>
    </w:p>
    <w:p w14:paraId="5E80A1FE" w14:textId="61E64DA3" w:rsidR="00E35190" w:rsidRPr="00062605" w:rsidRDefault="0090594F" w:rsidP="0090594F">
      <w:pPr>
        <w:pStyle w:val="Prrafodelista"/>
        <w:ind w:left="709" w:right="645"/>
        <w:jc w:val="both"/>
        <w:rPr>
          <w:rFonts w:ascii="Verdana" w:hAnsi="Verdana"/>
          <w:sz w:val="18"/>
          <w:szCs w:val="18"/>
          <w:lang w:val="es-ES"/>
        </w:rPr>
      </w:pPr>
      <w:r>
        <w:rPr>
          <w:rFonts w:ascii="Verdana" w:hAnsi="Verdana"/>
          <w:sz w:val="18"/>
          <w:szCs w:val="18"/>
          <w:lang w:val="es-ES"/>
        </w:rPr>
        <w:t>[</w:t>
      </w:r>
      <w:r w:rsidR="00E35190" w:rsidRPr="00062605">
        <w:rPr>
          <w:rFonts w:ascii="Verdana" w:hAnsi="Verdana"/>
          <w:sz w:val="18"/>
          <w:szCs w:val="18"/>
          <w:lang w:val="es-ES"/>
        </w:rPr>
        <w:t>…</w:t>
      </w:r>
      <w:r>
        <w:rPr>
          <w:rFonts w:ascii="Verdana" w:hAnsi="Verdana"/>
          <w:sz w:val="18"/>
          <w:szCs w:val="18"/>
          <w:lang w:val="es-ES"/>
        </w:rPr>
        <w:t>]</w:t>
      </w:r>
      <w:r w:rsidR="00E35190" w:rsidRPr="00062605">
        <w:rPr>
          <w:rFonts w:ascii="Verdana" w:hAnsi="Verdana"/>
          <w:sz w:val="18"/>
          <w:szCs w:val="18"/>
          <w:lang w:val="es-ES"/>
        </w:rPr>
        <w:t xml:space="preserve"> Como se anotó, el ámbito de protección de los preceptos iusfundamentales es cada persona, pero también el “otro”. El “prójimo” es alteridad, su esencia, las demás personas que habitan el planeta, abarcando también a las otras especies animales y vegetales.</w:t>
      </w:r>
    </w:p>
    <w:p w14:paraId="07D385D6" w14:textId="77777777" w:rsidR="00E35190" w:rsidRPr="00062605" w:rsidRDefault="00E35190" w:rsidP="0090594F">
      <w:pPr>
        <w:pStyle w:val="Prrafodelista"/>
        <w:ind w:left="709" w:right="645"/>
        <w:jc w:val="both"/>
        <w:rPr>
          <w:rFonts w:ascii="Verdana" w:hAnsi="Verdana"/>
          <w:sz w:val="18"/>
          <w:szCs w:val="18"/>
          <w:lang w:val="es-ES"/>
        </w:rPr>
      </w:pPr>
    </w:p>
    <w:p w14:paraId="58C2202F" w14:textId="77777777" w:rsidR="00E35190" w:rsidRPr="00062605" w:rsidRDefault="00E35190" w:rsidP="0090594F">
      <w:pPr>
        <w:pStyle w:val="Prrafodelista"/>
        <w:ind w:left="709" w:right="645"/>
        <w:jc w:val="both"/>
        <w:rPr>
          <w:rFonts w:ascii="Verdana" w:hAnsi="Verdana"/>
          <w:sz w:val="18"/>
          <w:szCs w:val="18"/>
          <w:lang w:val="es-ES"/>
        </w:rPr>
      </w:pPr>
      <w:r w:rsidRPr="00062605">
        <w:rPr>
          <w:rFonts w:ascii="Verdana" w:hAnsi="Verdana"/>
          <w:sz w:val="18"/>
          <w:szCs w:val="18"/>
          <w:lang w:val="es-ES"/>
        </w:rPr>
        <w:t>Pero, además, incluye a los sujetos aun no nacidos, quienes merecen disfrutar de las mismas condiciones medioambientales vividas por nosotros.</w:t>
      </w:r>
    </w:p>
    <w:p w14:paraId="2A5982D1" w14:textId="77777777" w:rsidR="00E35190" w:rsidRPr="00062605" w:rsidRDefault="00E35190" w:rsidP="0090594F">
      <w:pPr>
        <w:pStyle w:val="Prrafodelista"/>
        <w:ind w:left="709" w:right="645"/>
        <w:jc w:val="both"/>
        <w:rPr>
          <w:rFonts w:ascii="Verdana" w:hAnsi="Verdana"/>
          <w:sz w:val="18"/>
          <w:szCs w:val="18"/>
          <w:lang w:val="es-ES"/>
        </w:rPr>
      </w:pPr>
    </w:p>
    <w:p w14:paraId="46FC5A4D" w14:textId="738B017B" w:rsidR="00E35190" w:rsidRPr="00062605" w:rsidRDefault="0090594F" w:rsidP="0090594F">
      <w:pPr>
        <w:pStyle w:val="Prrafodelista"/>
        <w:ind w:left="709" w:right="645"/>
        <w:jc w:val="both"/>
        <w:rPr>
          <w:rFonts w:ascii="Verdana" w:hAnsi="Verdana"/>
          <w:sz w:val="18"/>
          <w:szCs w:val="18"/>
          <w:lang w:val="es-ES"/>
        </w:rPr>
      </w:pPr>
      <w:r>
        <w:rPr>
          <w:rFonts w:ascii="Verdana" w:hAnsi="Verdana"/>
          <w:sz w:val="18"/>
          <w:szCs w:val="18"/>
          <w:lang w:val="es-ES"/>
        </w:rPr>
        <w:t>[</w:t>
      </w:r>
      <w:r w:rsidR="00E35190" w:rsidRPr="00062605">
        <w:rPr>
          <w:rFonts w:ascii="Verdana" w:hAnsi="Verdana"/>
          <w:sz w:val="18"/>
          <w:szCs w:val="18"/>
          <w:lang w:val="es-ES"/>
        </w:rPr>
        <w:t>…</w:t>
      </w:r>
      <w:r>
        <w:rPr>
          <w:rFonts w:ascii="Verdana" w:hAnsi="Verdana"/>
          <w:sz w:val="18"/>
          <w:szCs w:val="18"/>
          <w:lang w:val="es-ES"/>
        </w:rPr>
        <w:t>]</w:t>
      </w:r>
      <w:r w:rsidR="00E35190" w:rsidRPr="00062605">
        <w:rPr>
          <w:rFonts w:ascii="Verdana" w:hAnsi="Verdana"/>
          <w:sz w:val="18"/>
          <w:szCs w:val="18"/>
          <w:lang w:val="es-ES"/>
        </w:rPr>
        <w:t xml:space="preserve"> Los derechos medioambientales de las futuras generaciones se cimientan en (i) el deber ético de solidaridad de la especie y (ii) en el valor intrínseco de la naturaleza.</w:t>
      </w:r>
    </w:p>
    <w:p w14:paraId="5A2115A9" w14:textId="77777777" w:rsidR="00E35190" w:rsidRPr="00062605" w:rsidRDefault="00E35190" w:rsidP="0090594F">
      <w:pPr>
        <w:pStyle w:val="Prrafodelista"/>
        <w:ind w:left="709" w:right="645"/>
        <w:jc w:val="both"/>
        <w:rPr>
          <w:rFonts w:ascii="Verdana" w:hAnsi="Verdana"/>
          <w:sz w:val="18"/>
          <w:szCs w:val="18"/>
          <w:lang w:val="es-ES"/>
        </w:rPr>
      </w:pPr>
    </w:p>
    <w:p w14:paraId="4248DE7E" w14:textId="77777777" w:rsidR="00E35190" w:rsidRPr="00062605" w:rsidRDefault="00E35190" w:rsidP="0090594F">
      <w:pPr>
        <w:pStyle w:val="Prrafodelista"/>
        <w:ind w:left="709" w:right="645"/>
        <w:jc w:val="both"/>
        <w:rPr>
          <w:rFonts w:ascii="Verdana" w:hAnsi="Verdana"/>
          <w:sz w:val="18"/>
          <w:szCs w:val="18"/>
          <w:lang w:val="es-ES"/>
        </w:rPr>
      </w:pPr>
      <w:r w:rsidRPr="00062605">
        <w:rPr>
          <w:rFonts w:ascii="Verdana" w:hAnsi="Verdana"/>
          <w:sz w:val="18"/>
          <w:szCs w:val="18"/>
          <w:lang w:val="es-ES"/>
        </w:rPr>
        <w:t>El primero se explica por cuanto los bienes naturales se comparten por todos los habitantes del planeta tierra, y por los descendientes o generaciones venideras que aún no los tienen materialmente, pero que son tributarios, destinatarios y titulares de ellos; sin embargo, contradictoriamente, cada vez más insuficientes y limitados. De tal forma que sin la existencia actual de un criterio equitativo y prudente de consumo, la especie humana podrá verse comprometida en el futuro por la escasez de recursos imprescindibles para la vida. De esta forma, solidaridad y ambientalismo “se relacionan hasta convertirse en lo mismo”.</w:t>
      </w:r>
    </w:p>
    <w:p w14:paraId="008C6969" w14:textId="77777777" w:rsidR="00E35190" w:rsidRPr="00062605" w:rsidRDefault="00E35190" w:rsidP="0090594F">
      <w:pPr>
        <w:pStyle w:val="Prrafodelista"/>
        <w:ind w:left="709" w:right="645"/>
        <w:jc w:val="both"/>
        <w:rPr>
          <w:rFonts w:ascii="Verdana" w:hAnsi="Verdana"/>
          <w:sz w:val="18"/>
          <w:szCs w:val="18"/>
          <w:lang w:val="es-ES"/>
        </w:rPr>
      </w:pPr>
    </w:p>
    <w:p w14:paraId="25B48842" w14:textId="390C78D4" w:rsidR="00E35190" w:rsidRPr="00062605" w:rsidRDefault="0090594F" w:rsidP="0090594F">
      <w:pPr>
        <w:pStyle w:val="Prrafodelista"/>
        <w:ind w:left="709" w:right="645"/>
        <w:jc w:val="both"/>
        <w:rPr>
          <w:rFonts w:ascii="Verdana" w:hAnsi="Verdana"/>
          <w:sz w:val="18"/>
          <w:szCs w:val="18"/>
          <w:lang w:val="es-ES"/>
        </w:rPr>
      </w:pPr>
      <w:r>
        <w:rPr>
          <w:rFonts w:ascii="Verdana" w:hAnsi="Verdana"/>
          <w:sz w:val="18"/>
          <w:szCs w:val="18"/>
          <w:lang w:val="es-ES"/>
        </w:rPr>
        <w:t>[</w:t>
      </w:r>
      <w:r w:rsidR="00E35190" w:rsidRPr="00062605">
        <w:rPr>
          <w:rFonts w:ascii="Verdana" w:hAnsi="Verdana"/>
          <w:sz w:val="18"/>
          <w:szCs w:val="18"/>
          <w:lang w:val="es-ES"/>
        </w:rPr>
        <w:t>…</w:t>
      </w:r>
      <w:r>
        <w:rPr>
          <w:rFonts w:ascii="Verdana" w:hAnsi="Verdana"/>
          <w:sz w:val="18"/>
          <w:szCs w:val="18"/>
          <w:lang w:val="es-ES"/>
        </w:rPr>
        <w:t>]</w:t>
      </w:r>
      <w:r w:rsidR="00E35190" w:rsidRPr="00062605">
        <w:rPr>
          <w:rFonts w:ascii="Verdana" w:hAnsi="Verdana"/>
          <w:sz w:val="18"/>
          <w:szCs w:val="18"/>
          <w:lang w:val="es-ES"/>
        </w:rPr>
        <w:t xml:space="preserve"> Lo planteado, entonces, formula una relación jurídica obligatoria de los derechos ambientales de las generaciones futuras, como la prestación de “no hacer” cuyo efecto se traduce en una limitación de la libertad de acción de las generaciones presentes, al tiempo que esta exigencia implícitamente les atribuye nuevas cargas de compromiso ambiental, a tal punto que asuman una actitud de cuidado y custodia de los bienes naturales y del mundo futuro.</w:t>
      </w:r>
      <w:r w:rsidR="00E35190">
        <w:rPr>
          <w:rStyle w:val="Refdenotaalpie"/>
          <w:rFonts w:ascii="Verdana" w:eastAsiaTheme="majorEastAsia" w:hAnsi="Verdana"/>
          <w:sz w:val="18"/>
          <w:szCs w:val="18"/>
          <w:lang w:val="es-ES"/>
        </w:rPr>
        <w:footnoteReference w:id="147"/>
      </w:r>
    </w:p>
    <w:p w14:paraId="19DC1EC7" w14:textId="77777777" w:rsidR="00E35190" w:rsidRDefault="00E35190" w:rsidP="00E35190">
      <w:pPr>
        <w:pStyle w:val="Prrafodelista"/>
        <w:ind w:left="0"/>
        <w:jc w:val="both"/>
        <w:rPr>
          <w:rFonts w:ascii="Verdana" w:hAnsi="Verdana"/>
          <w:sz w:val="20"/>
          <w:szCs w:val="20"/>
          <w:lang w:val="es-ES"/>
        </w:rPr>
      </w:pPr>
    </w:p>
    <w:p w14:paraId="2C956C42" w14:textId="2CB2C103" w:rsidR="00E35190" w:rsidRDefault="00464A0D" w:rsidP="00464A0D">
      <w:pPr>
        <w:pStyle w:val="Prrafodelista"/>
        <w:ind w:left="0"/>
        <w:jc w:val="both"/>
        <w:rPr>
          <w:rFonts w:ascii="Verdana" w:hAnsi="Verdana"/>
          <w:sz w:val="20"/>
          <w:szCs w:val="20"/>
          <w:lang w:val="es-ES"/>
        </w:rPr>
      </w:pPr>
      <w:r>
        <w:rPr>
          <w:rFonts w:ascii="Verdana" w:hAnsi="Verdana"/>
          <w:sz w:val="20"/>
          <w:szCs w:val="20"/>
          <w:lang w:val="es-ES"/>
        </w:rPr>
        <w:t xml:space="preserve">140. </w:t>
      </w:r>
      <w:r>
        <w:rPr>
          <w:rFonts w:ascii="Verdana" w:hAnsi="Verdana"/>
          <w:sz w:val="20"/>
          <w:szCs w:val="20"/>
          <w:lang w:val="es-ES"/>
        </w:rPr>
        <w:tab/>
      </w:r>
      <w:r w:rsidR="00E35190">
        <w:rPr>
          <w:rFonts w:ascii="Verdana" w:hAnsi="Verdana"/>
          <w:sz w:val="20"/>
          <w:szCs w:val="20"/>
          <w:lang w:val="es-ES"/>
        </w:rPr>
        <w:t>En todas las culturas existe una preocupación por las generaciones futuras. Así como recibimos y gozamos de lo que nos ha sido legado por las generaciones precedentes, también hay una preocupación por nuestros hijos y nietos. La equidad intergeneracional impone un deber de uso y goce apropiado del ambiente a fin de que se entregue a las generaciones futuras un mundo que les brinde iguales o mayores oportunidades de desarrollo que aquellas en que nos fue entregado a nosotros. En última instancia, se erige como tutela de la libertad de las próximas generaciones, dado que las actuales no podemos coartar las opciones y oportunidades de satisfacer las necesidades que se originarán más adelante.</w:t>
      </w:r>
    </w:p>
    <w:p w14:paraId="7B66E565" w14:textId="77777777" w:rsidR="00E35190" w:rsidRDefault="00E35190" w:rsidP="00E35190">
      <w:pPr>
        <w:pStyle w:val="Prrafodelista"/>
        <w:ind w:left="0"/>
        <w:jc w:val="both"/>
        <w:rPr>
          <w:rFonts w:ascii="Verdana" w:hAnsi="Verdana"/>
          <w:sz w:val="20"/>
          <w:szCs w:val="20"/>
          <w:lang w:val="es-ES"/>
        </w:rPr>
      </w:pPr>
    </w:p>
    <w:p w14:paraId="357B4BD7" w14:textId="336278C2" w:rsidR="00E35190" w:rsidRDefault="00464A0D" w:rsidP="00464A0D">
      <w:pPr>
        <w:pStyle w:val="Prrafodelista"/>
        <w:ind w:left="0"/>
        <w:jc w:val="both"/>
        <w:rPr>
          <w:rFonts w:ascii="Verdana" w:hAnsi="Verdana"/>
          <w:sz w:val="20"/>
          <w:szCs w:val="20"/>
          <w:lang w:val="es-ES"/>
        </w:rPr>
      </w:pPr>
      <w:r>
        <w:rPr>
          <w:rFonts w:ascii="Verdana" w:hAnsi="Verdana"/>
          <w:sz w:val="20"/>
          <w:szCs w:val="20"/>
          <w:lang w:val="es-ES"/>
        </w:rPr>
        <w:t xml:space="preserve">141. </w:t>
      </w:r>
      <w:r>
        <w:rPr>
          <w:rFonts w:ascii="Verdana" w:hAnsi="Verdana"/>
          <w:sz w:val="20"/>
          <w:szCs w:val="20"/>
          <w:lang w:val="es-ES"/>
        </w:rPr>
        <w:tab/>
      </w:r>
      <w:r w:rsidR="00E35190">
        <w:rPr>
          <w:rFonts w:ascii="Verdana" w:hAnsi="Verdana"/>
          <w:sz w:val="20"/>
          <w:szCs w:val="20"/>
          <w:lang w:val="es-ES"/>
        </w:rPr>
        <w:t>En un contexto de desarrollo sostenible, la equidad intergeneracional trasciende a los vivos y abarca a quienes no tienen aún existencia actual; tal como se ha señalado en el sistema universal: “la humanidad en su totalidad forma una comunidad intergeneracional en la que todos los miembros se respetan mutuamente y cuidan unos de otros, alcanzando así el objetivo común de la supervivencia de la especie humana”.</w:t>
      </w:r>
      <w:r w:rsidR="00E35190">
        <w:rPr>
          <w:rStyle w:val="Refdenotaalpie"/>
          <w:rFonts w:ascii="Verdana" w:eastAsiaTheme="majorEastAsia" w:hAnsi="Verdana"/>
          <w:sz w:val="20"/>
          <w:szCs w:val="20"/>
          <w:lang w:val="es-ES"/>
        </w:rPr>
        <w:footnoteReference w:id="148"/>
      </w:r>
    </w:p>
    <w:p w14:paraId="561947CD" w14:textId="77777777" w:rsidR="00E35190" w:rsidRDefault="00E35190" w:rsidP="00E35190">
      <w:pPr>
        <w:pStyle w:val="Prrafodelista"/>
        <w:ind w:left="0"/>
        <w:jc w:val="both"/>
        <w:rPr>
          <w:rFonts w:ascii="Verdana" w:hAnsi="Verdana"/>
          <w:sz w:val="20"/>
          <w:szCs w:val="20"/>
          <w:lang w:val="es-ES"/>
        </w:rPr>
      </w:pPr>
    </w:p>
    <w:p w14:paraId="31774E39" w14:textId="21D16DBB" w:rsidR="00E35190" w:rsidRPr="00810BC8" w:rsidRDefault="00464A0D" w:rsidP="00464A0D">
      <w:pPr>
        <w:pStyle w:val="Prrafodelista"/>
        <w:ind w:left="0"/>
        <w:jc w:val="both"/>
        <w:rPr>
          <w:rFonts w:ascii="Verdana" w:hAnsi="Verdana"/>
          <w:sz w:val="20"/>
          <w:szCs w:val="20"/>
          <w:lang w:val="es-ES"/>
        </w:rPr>
      </w:pPr>
      <w:r>
        <w:rPr>
          <w:rFonts w:ascii="Verdana" w:hAnsi="Verdana"/>
          <w:sz w:val="20"/>
          <w:szCs w:val="20"/>
          <w:lang w:val="es-ES"/>
        </w:rPr>
        <w:t xml:space="preserve">142. </w:t>
      </w:r>
      <w:r>
        <w:rPr>
          <w:rFonts w:ascii="Verdana" w:hAnsi="Verdana"/>
          <w:sz w:val="20"/>
          <w:szCs w:val="20"/>
          <w:lang w:val="es-ES"/>
        </w:rPr>
        <w:tab/>
      </w:r>
      <w:r w:rsidR="00E35190" w:rsidRPr="00810BC8">
        <w:rPr>
          <w:rFonts w:ascii="Verdana" w:hAnsi="Verdana"/>
          <w:sz w:val="20"/>
          <w:szCs w:val="20"/>
          <w:lang w:val="es-ES"/>
        </w:rPr>
        <w:t>En esta línea, los Estados no podrán excusarse de su cumplimiento alegando la falta de personalidad o de legitimación de las generaciones futuras, dado que, como se ha señalado en el ámbito universal, la conexión entre derechos y deberes en estos aspectos no es férrea, por lo que las personas pueden estar sujetas a obligaciones sin necesidad estricta de que exista el titular de los derechos correspondientes.</w:t>
      </w:r>
      <w:r w:rsidR="00E35190">
        <w:rPr>
          <w:rStyle w:val="Refdenotaalpie"/>
          <w:rFonts w:ascii="Verdana" w:eastAsiaTheme="majorEastAsia" w:hAnsi="Verdana"/>
          <w:sz w:val="20"/>
          <w:szCs w:val="20"/>
          <w:lang w:val="es-ES"/>
        </w:rPr>
        <w:footnoteReference w:id="149"/>
      </w:r>
      <w:r w:rsidR="00E35190" w:rsidRPr="00810BC8">
        <w:rPr>
          <w:rFonts w:ascii="Verdana" w:hAnsi="Verdana"/>
          <w:sz w:val="20"/>
          <w:szCs w:val="20"/>
          <w:lang w:val="es-ES"/>
        </w:rPr>
        <w:t xml:space="preserve"> </w:t>
      </w:r>
    </w:p>
    <w:p w14:paraId="1E8287F4" w14:textId="77777777" w:rsidR="00810BC8" w:rsidRPr="00810BC8" w:rsidRDefault="00810BC8" w:rsidP="00810BC8">
      <w:pPr>
        <w:pStyle w:val="Prrafodelista"/>
        <w:ind w:left="0"/>
        <w:jc w:val="both"/>
        <w:rPr>
          <w:rFonts w:ascii="Verdana" w:hAnsi="Verdana"/>
          <w:sz w:val="20"/>
          <w:szCs w:val="20"/>
          <w:lang w:val="es-ES"/>
        </w:rPr>
      </w:pPr>
    </w:p>
    <w:p w14:paraId="4900A797" w14:textId="575608E7" w:rsidR="00E35190" w:rsidRDefault="00464A0D" w:rsidP="00464A0D">
      <w:pPr>
        <w:pStyle w:val="Prrafodelista"/>
        <w:ind w:left="0"/>
        <w:jc w:val="both"/>
        <w:rPr>
          <w:rFonts w:ascii="Verdana" w:hAnsi="Verdana"/>
          <w:sz w:val="20"/>
          <w:szCs w:val="20"/>
          <w:lang w:val="es-ES"/>
        </w:rPr>
      </w:pPr>
      <w:r>
        <w:rPr>
          <w:rFonts w:ascii="Verdana" w:hAnsi="Verdana"/>
          <w:sz w:val="20"/>
          <w:szCs w:val="20"/>
          <w:lang w:val="es-ES"/>
        </w:rPr>
        <w:t xml:space="preserve">143. </w:t>
      </w:r>
      <w:r>
        <w:rPr>
          <w:rFonts w:ascii="Verdana" w:hAnsi="Verdana"/>
          <w:sz w:val="20"/>
          <w:szCs w:val="20"/>
          <w:lang w:val="es-ES"/>
        </w:rPr>
        <w:tab/>
      </w:r>
      <w:r w:rsidR="00E35190">
        <w:rPr>
          <w:rFonts w:ascii="Verdana" w:hAnsi="Verdana"/>
          <w:sz w:val="20"/>
          <w:szCs w:val="20"/>
          <w:lang w:val="es-ES"/>
        </w:rPr>
        <w:t xml:space="preserve">En el ámbito de Naciones Unidas se lo ha definido en los siguientes términos: “[e]n general, por solidaridad intergeneracional se entiende la cohesión social entre generaciones </w:t>
      </w:r>
      <w:r w:rsidR="00034970">
        <w:rPr>
          <w:rFonts w:ascii="Verdana" w:hAnsi="Verdana"/>
          <w:sz w:val="20"/>
          <w:szCs w:val="20"/>
          <w:lang w:val="es-ES"/>
        </w:rPr>
        <w:t>[</w:t>
      </w:r>
      <w:r w:rsidR="00E35190">
        <w:rPr>
          <w:rFonts w:ascii="Verdana" w:hAnsi="Verdana"/>
          <w:sz w:val="20"/>
          <w:szCs w:val="20"/>
          <w:lang w:val="es-ES"/>
        </w:rPr>
        <w:t>…</w:t>
      </w:r>
      <w:r w:rsidR="00034970">
        <w:rPr>
          <w:rFonts w:ascii="Verdana" w:hAnsi="Verdana"/>
          <w:sz w:val="20"/>
          <w:szCs w:val="20"/>
          <w:lang w:val="es-ES"/>
        </w:rPr>
        <w:t>].</w:t>
      </w:r>
      <w:r w:rsidR="00E35190">
        <w:rPr>
          <w:rFonts w:ascii="Verdana" w:hAnsi="Verdana"/>
          <w:sz w:val="20"/>
          <w:szCs w:val="20"/>
          <w:lang w:val="es-ES"/>
        </w:rPr>
        <w:t xml:space="preserve"> Cada vez más, el ámbito de las políticas relacionadas con la solidaridad intergeneracional se ha ido ampliando y ha pasado de centrarse en las familias con niños pequeños a la inclusión de todas las generaciones”</w:t>
      </w:r>
      <w:r w:rsidR="00E35190">
        <w:rPr>
          <w:rStyle w:val="Refdenotaalpie"/>
          <w:rFonts w:ascii="Verdana" w:eastAsiaTheme="majorEastAsia" w:hAnsi="Verdana"/>
          <w:sz w:val="20"/>
          <w:szCs w:val="20"/>
          <w:lang w:val="es-ES"/>
        </w:rPr>
        <w:footnoteReference w:id="150"/>
      </w:r>
      <w:r w:rsidR="00E35190">
        <w:rPr>
          <w:rFonts w:ascii="Verdana" w:hAnsi="Verdana"/>
          <w:sz w:val="20"/>
          <w:szCs w:val="20"/>
          <w:lang w:val="es-ES"/>
        </w:rPr>
        <w:t>. No solo se trata de responsabilidad entre generaciones, sino que se parte de un concepto de patrimonio común de la humanidad en virtud del cual la especie humana y los recursos deben considerarse en forma global y gestionarse en favor de la humanidad como un todo. Se requiere, pues, considerar al menos tres intereses: los de los seres humanos actuales, los de las generaciones futuras y los de las entidades naturales</w:t>
      </w:r>
      <w:r w:rsidR="00E35190">
        <w:rPr>
          <w:rStyle w:val="Refdenotaalpie"/>
          <w:rFonts w:ascii="Verdana" w:eastAsiaTheme="majorEastAsia" w:hAnsi="Verdana"/>
          <w:sz w:val="20"/>
          <w:szCs w:val="20"/>
          <w:lang w:val="es-ES"/>
        </w:rPr>
        <w:footnoteReference w:id="151"/>
      </w:r>
      <w:r w:rsidR="00E35190">
        <w:rPr>
          <w:rFonts w:ascii="Verdana" w:hAnsi="Verdana"/>
          <w:sz w:val="20"/>
          <w:szCs w:val="20"/>
          <w:lang w:val="es-ES"/>
        </w:rPr>
        <w:t>; teniendo presente las nociones de patrimonio común de la humanidad y el impacto de la irreversibilidad.</w:t>
      </w:r>
    </w:p>
    <w:p w14:paraId="392A1F40" w14:textId="77777777" w:rsidR="00E35190" w:rsidRPr="007E428D" w:rsidRDefault="00E35190" w:rsidP="00E35190">
      <w:pPr>
        <w:pStyle w:val="Prrafodelista"/>
        <w:rPr>
          <w:rFonts w:ascii="Verdana" w:hAnsi="Verdana"/>
          <w:sz w:val="20"/>
          <w:szCs w:val="20"/>
          <w:lang w:val="es-ES"/>
        </w:rPr>
      </w:pPr>
    </w:p>
    <w:p w14:paraId="1FFDBA76" w14:textId="5AE64AB7" w:rsidR="00E35190" w:rsidRDefault="00464A0D" w:rsidP="00464A0D">
      <w:pPr>
        <w:pStyle w:val="Prrafodelista"/>
        <w:ind w:left="0"/>
        <w:jc w:val="both"/>
        <w:rPr>
          <w:rFonts w:ascii="Verdana" w:hAnsi="Verdana"/>
          <w:sz w:val="20"/>
          <w:szCs w:val="20"/>
          <w:lang w:val="es-ES"/>
        </w:rPr>
      </w:pPr>
      <w:r>
        <w:rPr>
          <w:rFonts w:ascii="Verdana" w:hAnsi="Verdana"/>
          <w:sz w:val="20"/>
          <w:szCs w:val="20"/>
          <w:lang w:val="es-ES"/>
        </w:rPr>
        <w:t xml:space="preserve">144. </w:t>
      </w:r>
      <w:r>
        <w:rPr>
          <w:rFonts w:ascii="Verdana" w:hAnsi="Verdana"/>
          <w:sz w:val="20"/>
          <w:szCs w:val="20"/>
          <w:lang w:val="es-ES"/>
        </w:rPr>
        <w:tab/>
      </w:r>
      <w:r w:rsidR="00E35190">
        <w:rPr>
          <w:rFonts w:ascii="Verdana" w:hAnsi="Verdana"/>
          <w:sz w:val="20"/>
          <w:szCs w:val="20"/>
          <w:lang w:val="es-ES"/>
        </w:rPr>
        <w:t>El principio de equidad intergeneracional, vinculado con el deber de desarrollo sostenible, impone un uso racional de los recursos para preservar el ambiente y asumir una concepción que posibilite la satisfacción de las necesidades actuales sin comprometer la calidad del ambiente para las próximas generaciones ni su posibilidad de satisfacer las necesidades que oportunamente surjan. Asimismo, el ambiente habrá de entenderse como un conjunto de relaciones y no meramente como un cúmulo de componentes; que contiene al hombre, pero también conjuga otros seres vivos, ecosistemas, recursos naturales, etc.</w:t>
      </w:r>
    </w:p>
    <w:p w14:paraId="63E6FD08" w14:textId="77777777" w:rsidR="00E35190" w:rsidRPr="007E428D" w:rsidRDefault="00E35190" w:rsidP="00E35190">
      <w:pPr>
        <w:pStyle w:val="Prrafodelista"/>
        <w:rPr>
          <w:rFonts w:ascii="Verdana" w:hAnsi="Verdana"/>
          <w:sz w:val="20"/>
          <w:szCs w:val="20"/>
          <w:lang w:val="es-ES"/>
        </w:rPr>
      </w:pPr>
    </w:p>
    <w:p w14:paraId="2F8616A4" w14:textId="3E4F2337" w:rsidR="00E35190" w:rsidRDefault="00464A0D" w:rsidP="00464A0D">
      <w:pPr>
        <w:pStyle w:val="Prrafodelista"/>
        <w:ind w:left="0"/>
        <w:jc w:val="both"/>
        <w:rPr>
          <w:rFonts w:ascii="Verdana" w:hAnsi="Verdana"/>
          <w:sz w:val="20"/>
          <w:szCs w:val="20"/>
          <w:lang w:val="es-ES"/>
        </w:rPr>
      </w:pPr>
      <w:r>
        <w:rPr>
          <w:rFonts w:ascii="Verdana" w:hAnsi="Verdana"/>
          <w:sz w:val="20"/>
          <w:szCs w:val="20"/>
          <w:lang w:val="es-ES"/>
        </w:rPr>
        <w:t xml:space="preserve">145. </w:t>
      </w:r>
      <w:r>
        <w:rPr>
          <w:rFonts w:ascii="Verdana" w:hAnsi="Verdana"/>
          <w:sz w:val="20"/>
          <w:szCs w:val="20"/>
          <w:lang w:val="es-ES"/>
        </w:rPr>
        <w:tab/>
      </w:r>
      <w:r w:rsidR="00E35190">
        <w:rPr>
          <w:rFonts w:ascii="Verdana" w:hAnsi="Verdana"/>
          <w:sz w:val="20"/>
          <w:szCs w:val="20"/>
          <w:lang w:val="es-ES"/>
        </w:rPr>
        <w:t>Es así que aparece como una fórmula de ponderación entre dos grandes bienes: por un lado, los Estados en virtud de su obligación de respeto y garantía deben posibilitar el mayor grado de bienestar y desarrollo para las generaciones actuales. Pero, a su vez, este deber debe armonizarse con el deber de conservar el ambiente de forma tal que su calidad no se vea deteriorada ni se amenace la supervivencia o el bienestar de las generaciones venideras. La esencia de la equidad intergeneracional es lograr la armonización entre interés presente y futuro; entre porvenir y actualidad; entre necesidades y proyecciones.</w:t>
      </w:r>
    </w:p>
    <w:p w14:paraId="461F5949" w14:textId="77777777" w:rsidR="00E35190" w:rsidRPr="007A30A5" w:rsidRDefault="00E35190" w:rsidP="00E35190">
      <w:pPr>
        <w:pStyle w:val="Prrafodelista"/>
        <w:rPr>
          <w:rFonts w:ascii="Verdana" w:hAnsi="Verdana"/>
          <w:sz w:val="20"/>
          <w:szCs w:val="20"/>
          <w:lang w:val="es-ES"/>
        </w:rPr>
      </w:pPr>
    </w:p>
    <w:p w14:paraId="3BB118D7" w14:textId="00989F9A" w:rsidR="00E35190" w:rsidRDefault="00464A0D" w:rsidP="00464A0D">
      <w:pPr>
        <w:pStyle w:val="Prrafodelista"/>
        <w:ind w:left="0"/>
        <w:jc w:val="both"/>
        <w:rPr>
          <w:rFonts w:ascii="Verdana" w:hAnsi="Verdana"/>
          <w:sz w:val="20"/>
          <w:szCs w:val="20"/>
          <w:lang w:val="es-ES"/>
        </w:rPr>
      </w:pPr>
      <w:r>
        <w:rPr>
          <w:rFonts w:ascii="Verdana" w:hAnsi="Verdana"/>
          <w:sz w:val="20"/>
          <w:szCs w:val="20"/>
          <w:lang w:val="es-ES"/>
        </w:rPr>
        <w:t xml:space="preserve">146. </w:t>
      </w:r>
      <w:r>
        <w:rPr>
          <w:rFonts w:ascii="Verdana" w:hAnsi="Verdana"/>
          <w:sz w:val="20"/>
          <w:szCs w:val="20"/>
          <w:lang w:val="es-ES"/>
        </w:rPr>
        <w:tab/>
      </w:r>
      <w:r w:rsidR="003A60D6" w:rsidRPr="0025291A">
        <w:rPr>
          <w:rFonts w:ascii="Verdana" w:hAnsi="Verdana"/>
          <w:sz w:val="20"/>
          <w:szCs w:val="20"/>
          <w:lang w:val="es-ES"/>
        </w:rPr>
        <w:t>En esta tesitura</w:t>
      </w:r>
      <w:r w:rsidR="00E35190">
        <w:rPr>
          <w:rFonts w:ascii="Verdana" w:hAnsi="Verdana"/>
          <w:sz w:val="20"/>
          <w:szCs w:val="20"/>
          <w:lang w:val="es-ES"/>
        </w:rPr>
        <w:t xml:space="preserve">, se impone a los Estados en toda toma de decisiones, el deber de ponderar y apreciar las consecuencias presentes y futuras de las acciones a emprender. Asimismo, impone obligaciones activas no solo ya de evaluación, sino también de estudios y evaluaciones constantes, nuevos sistemas de prevención, investigación, etc., en un contexto de solidaridad internacional, dado que la equidad intergeneracional refiere a todos los miembros de la familia humana y no se circunscribe a los nacionales de un Estado o los habitantes de una región. </w:t>
      </w:r>
    </w:p>
    <w:p w14:paraId="1412C959" w14:textId="77777777" w:rsidR="00E35190" w:rsidRPr="007460FE" w:rsidRDefault="00E35190" w:rsidP="00E35190">
      <w:pPr>
        <w:pStyle w:val="Prrafodelista"/>
        <w:rPr>
          <w:rFonts w:ascii="Verdana" w:hAnsi="Verdana"/>
          <w:sz w:val="20"/>
          <w:szCs w:val="20"/>
          <w:lang w:val="es-ES"/>
        </w:rPr>
      </w:pPr>
    </w:p>
    <w:p w14:paraId="2FC31B9F" w14:textId="05B1874D" w:rsidR="00E35190" w:rsidRDefault="00464A0D" w:rsidP="00464A0D">
      <w:pPr>
        <w:pStyle w:val="Prrafodelista"/>
        <w:ind w:left="0"/>
        <w:jc w:val="both"/>
        <w:rPr>
          <w:rFonts w:ascii="Verdana" w:hAnsi="Verdana"/>
          <w:sz w:val="20"/>
          <w:szCs w:val="20"/>
          <w:lang w:val="es-ES"/>
        </w:rPr>
      </w:pPr>
      <w:r>
        <w:rPr>
          <w:rFonts w:ascii="Verdana" w:hAnsi="Verdana"/>
          <w:sz w:val="20"/>
          <w:szCs w:val="20"/>
          <w:lang w:val="es-ES"/>
        </w:rPr>
        <w:t xml:space="preserve">147. </w:t>
      </w:r>
      <w:r>
        <w:rPr>
          <w:rFonts w:ascii="Verdana" w:hAnsi="Verdana"/>
          <w:sz w:val="20"/>
          <w:szCs w:val="20"/>
          <w:lang w:val="es-ES"/>
        </w:rPr>
        <w:tab/>
      </w:r>
      <w:r w:rsidR="00E35190">
        <w:rPr>
          <w:rFonts w:ascii="Verdana" w:hAnsi="Verdana"/>
          <w:sz w:val="20"/>
          <w:szCs w:val="20"/>
          <w:lang w:val="es-ES"/>
        </w:rPr>
        <w:t>El informe del</w:t>
      </w:r>
      <w:r w:rsidR="003A60D6">
        <w:rPr>
          <w:rFonts w:ascii="Verdana" w:hAnsi="Verdana"/>
          <w:sz w:val="20"/>
          <w:szCs w:val="20"/>
          <w:lang w:val="es-ES"/>
        </w:rPr>
        <w:t xml:space="preserve"> </w:t>
      </w:r>
      <w:r w:rsidR="00E35190">
        <w:rPr>
          <w:rFonts w:ascii="Verdana" w:hAnsi="Verdana"/>
          <w:sz w:val="20"/>
          <w:szCs w:val="20"/>
          <w:lang w:val="es-ES"/>
        </w:rPr>
        <w:t>Secretario</w:t>
      </w:r>
      <w:r w:rsidR="0025291A">
        <w:rPr>
          <w:rFonts w:ascii="Verdana" w:hAnsi="Verdana"/>
          <w:sz w:val="20"/>
          <w:szCs w:val="20"/>
          <w:lang w:val="es-ES"/>
        </w:rPr>
        <w:t xml:space="preserve"> </w:t>
      </w:r>
      <w:r w:rsidR="00E35190">
        <w:rPr>
          <w:rFonts w:ascii="Verdana" w:hAnsi="Verdana"/>
          <w:sz w:val="20"/>
          <w:szCs w:val="20"/>
          <w:lang w:val="es-ES"/>
        </w:rPr>
        <w:t>General de Naciones Unidas sobre solidaridad intergeneracional y necesidades de las generaciones futuras refiere, en este sentido a que “en modo alguno supone que las necesidades de las generaciones actuales tengan siempre prioridad sobre las generaciones futuras; al menos no se debería exigir a los más pobres y vulnerables que hicieran sacrificios por el bien de la humanidad a largo plazo”. Frente a ello, “las necesidades de las generaciones futuras se han de señalar y articular de la manera más precisa posible; las generaciones actuales no deben renunciar a beneficios, salvo que razonablemente se pueda prever que ello va a suponer una diferencia. Al mismo tiempo, no se deben buscar pequeños beneficios para las generaciones actuales si las acciones necesarias para obtenerlos tienen muchas probabilidades de suponer grandes pérdidas para las generaciones futuras”</w:t>
      </w:r>
      <w:r w:rsidR="00E35190">
        <w:rPr>
          <w:rStyle w:val="Refdenotaalpie"/>
          <w:rFonts w:ascii="Verdana" w:eastAsiaTheme="majorEastAsia" w:hAnsi="Verdana"/>
          <w:sz w:val="20"/>
          <w:szCs w:val="20"/>
          <w:lang w:val="es-ES"/>
        </w:rPr>
        <w:footnoteReference w:id="152"/>
      </w:r>
      <w:r w:rsidR="003A60D6">
        <w:rPr>
          <w:rFonts w:ascii="Verdana" w:hAnsi="Verdana"/>
          <w:sz w:val="20"/>
          <w:szCs w:val="20"/>
          <w:lang w:val="es-ES"/>
        </w:rPr>
        <w:t>.</w:t>
      </w:r>
    </w:p>
    <w:p w14:paraId="6B0776C1" w14:textId="77777777" w:rsidR="00E35190" w:rsidRPr="00D9282F" w:rsidRDefault="00E35190" w:rsidP="00E35190">
      <w:pPr>
        <w:pStyle w:val="Prrafodelista"/>
        <w:rPr>
          <w:rFonts w:ascii="Verdana" w:hAnsi="Verdana"/>
          <w:sz w:val="20"/>
          <w:szCs w:val="20"/>
          <w:lang w:val="es-ES"/>
        </w:rPr>
      </w:pPr>
    </w:p>
    <w:p w14:paraId="30588ACB" w14:textId="238C71C6" w:rsidR="00E35190" w:rsidRDefault="00464A0D" w:rsidP="00464A0D">
      <w:pPr>
        <w:pStyle w:val="Prrafodelista"/>
        <w:ind w:left="0"/>
        <w:jc w:val="both"/>
        <w:rPr>
          <w:rFonts w:ascii="Verdana" w:hAnsi="Verdana"/>
          <w:sz w:val="20"/>
          <w:szCs w:val="20"/>
          <w:lang w:val="es-ES"/>
        </w:rPr>
      </w:pPr>
      <w:r>
        <w:rPr>
          <w:rFonts w:ascii="Verdana" w:hAnsi="Verdana"/>
          <w:sz w:val="20"/>
          <w:szCs w:val="20"/>
          <w:lang w:val="es-ES"/>
        </w:rPr>
        <w:t xml:space="preserve">148. </w:t>
      </w:r>
      <w:r>
        <w:rPr>
          <w:rFonts w:ascii="Verdana" w:hAnsi="Verdana"/>
          <w:sz w:val="20"/>
          <w:szCs w:val="20"/>
          <w:lang w:val="es-ES"/>
        </w:rPr>
        <w:tab/>
      </w:r>
      <w:r w:rsidR="00E35190">
        <w:rPr>
          <w:rFonts w:ascii="Verdana" w:hAnsi="Verdana"/>
          <w:sz w:val="20"/>
          <w:szCs w:val="20"/>
          <w:lang w:val="es-ES"/>
        </w:rPr>
        <w:t xml:space="preserve">Las generaciones presentes son custodias de un ambiente que no les pertenece, sino que solamente deben administrar y explotar dentro de ciertos límites. La Corte </w:t>
      </w:r>
      <w:r w:rsidR="00E97C4F">
        <w:rPr>
          <w:rFonts w:ascii="Verdana" w:hAnsi="Verdana"/>
          <w:sz w:val="20"/>
          <w:szCs w:val="20"/>
          <w:lang w:val="es-ES"/>
        </w:rPr>
        <w:t xml:space="preserve">IDH </w:t>
      </w:r>
      <w:r w:rsidR="00E35190">
        <w:rPr>
          <w:rFonts w:ascii="Verdana" w:hAnsi="Verdana"/>
          <w:sz w:val="20"/>
          <w:szCs w:val="20"/>
          <w:lang w:val="es-ES"/>
        </w:rPr>
        <w:t>se ha pronunciado respecto de dos principios de relevancia en el derecho ambiental: el principio de precaución y de prevención</w:t>
      </w:r>
      <w:r w:rsidR="00E35190">
        <w:rPr>
          <w:rStyle w:val="Refdenotaalpie"/>
          <w:rFonts w:ascii="Verdana" w:eastAsiaTheme="majorEastAsia" w:hAnsi="Verdana"/>
          <w:sz w:val="20"/>
          <w:szCs w:val="20"/>
          <w:lang w:val="es-ES"/>
        </w:rPr>
        <w:footnoteReference w:id="153"/>
      </w:r>
      <w:r w:rsidR="00E35190">
        <w:rPr>
          <w:rFonts w:ascii="Verdana" w:hAnsi="Verdana"/>
          <w:sz w:val="20"/>
          <w:szCs w:val="20"/>
          <w:lang w:val="es-ES"/>
        </w:rPr>
        <w:t>, los que aparecen desarrollados también en la sentencia</w:t>
      </w:r>
      <w:r w:rsidR="00FE7BF7">
        <w:rPr>
          <w:rFonts w:ascii="Verdana" w:hAnsi="Verdana"/>
          <w:sz w:val="20"/>
          <w:szCs w:val="20"/>
          <w:lang w:val="es-ES"/>
        </w:rPr>
        <w:t xml:space="preserve"> del presente caso</w:t>
      </w:r>
      <w:r w:rsidR="00E35190">
        <w:rPr>
          <w:rFonts w:ascii="Verdana" w:hAnsi="Verdana"/>
          <w:sz w:val="20"/>
          <w:szCs w:val="20"/>
          <w:lang w:val="es-ES"/>
        </w:rPr>
        <w:t xml:space="preserve">. Estimamos que, en el juicio de armonización que impone la equidad intergeneracional también cobra relevancia la regla </w:t>
      </w:r>
      <w:r w:rsidR="00E35190" w:rsidRPr="0025291A">
        <w:rPr>
          <w:rFonts w:ascii="Verdana" w:hAnsi="Verdana"/>
          <w:i/>
          <w:iCs/>
          <w:sz w:val="20"/>
          <w:szCs w:val="20"/>
          <w:lang w:val="es-ES"/>
        </w:rPr>
        <w:t>in dubio pro natura</w:t>
      </w:r>
      <w:r w:rsidR="00E35190">
        <w:rPr>
          <w:rFonts w:ascii="Verdana" w:hAnsi="Verdana"/>
          <w:sz w:val="20"/>
          <w:szCs w:val="20"/>
          <w:lang w:val="es-ES"/>
        </w:rPr>
        <w:t xml:space="preserve">. Ésta impone que las incertidumbres interpretativas y los vacíos normativos se resuelvan en el sentido de dar mayor protección o conservación a la naturaleza, teniendo por norte el mandato de equidad intergeneracional y como extensión del principio </w:t>
      </w:r>
      <w:r w:rsidR="00E35190" w:rsidRPr="0025291A">
        <w:rPr>
          <w:rFonts w:ascii="Verdana" w:hAnsi="Verdana"/>
          <w:i/>
          <w:iCs/>
          <w:sz w:val="20"/>
          <w:szCs w:val="20"/>
          <w:lang w:val="es-ES"/>
        </w:rPr>
        <w:t>pro persona</w:t>
      </w:r>
      <w:r w:rsidR="00E35190">
        <w:rPr>
          <w:rFonts w:ascii="Verdana" w:hAnsi="Verdana"/>
          <w:sz w:val="20"/>
          <w:szCs w:val="20"/>
          <w:lang w:val="es-ES"/>
        </w:rPr>
        <w:t xml:space="preserve">. </w:t>
      </w:r>
      <w:r w:rsidR="0025291A">
        <w:rPr>
          <w:rFonts w:ascii="Verdana" w:hAnsi="Verdana"/>
          <w:sz w:val="20"/>
          <w:szCs w:val="20"/>
          <w:lang w:val="es-ES"/>
        </w:rPr>
        <w:t>Esta interpretación h</w:t>
      </w:r>
      <w:r w:rsidR="00E35190">
        <w:rPr>
          <w:rFonts w:ascii="Verdana" w:hAnsi="Verdana"/>
          <w:sz w:val="20"/>
          <w:szCs w:val="20"/>
          <w:lang w:val="es-ES"/>
        </w:rPr>
        <w:t>a sido recogida por varios tribunales nacionales de la región</w:t>
      </w:r>
      <w:r w:rsidR="00E35190">
        <w:rPr>
          <w:rStyle w:val="Refdenotaalpie"/>
          <w:rFonts w:ascii="Verdana" w:eastAsiaTheme="majorEastAsia" w:hAnsi="Verdana"/>
          <w:sz w:val="20"/>
          <w:szCs w:val="20"/>
          <w:lang w:val="es-ES"/>
        </w:rPr>
        <w:footnoteReference w:id="154"/>
      </w:r>
      <w:r w:rsidR="003A60D6">
        <w:rPr>
          <w:rFonts w:ascii="Verdana" w:hAnsi="Verdana"/>
          <w:sz w:val="20"/>
          <w:szCs w:val="20"/>
          <w:lang w:val="es-ES"/>
        </w:rPr>
        <w:t>.</w:t>
      </w:r>
    </w:p>
    <w:p w14:paraId="4FD15FA4" w14:textId="77777777" w:rsidR="00E35190" w:rsidRPr="008C7ACC" w:rsidRDefault="00E35190" w:rsidP="00E35190">
      <w:pPr>
        <w:pStyle w:val="Prrafodelista"/>
        <w:rPr>
          <w:rFonts w:ascii="Verdana" w:hAnsi="Verdana"/>
          <w:sz w:val="20"/>
          <w:szCs w:val="20"/>
          <w:lang w:val="es-ES"/>
        </w:rPr>
      </w:pPr>
    </w:p>
    <w:p w14:paraId="2E4F04E0" w14:textId="4455B231" w:rsidR="00E35190" w:rsidRDefault="00464A0D" w:rsidP="00464A0D">
      <w:pPr>
        <w:pStyle w:val="Prrafodelista"/>
        <w:ind w:left="0"/>
        <w:jc w:val="both"/>
        <w:rPr>
          <w:rFonts w:ascii="Verdana" w:hAnsi="Verdana"/>
          <w:sz w:val="20"/>
          <w:szCs w:val="20"/>
          <w:lang w:val="es-ES"/>
        </w:rPr>
      </w:pPr>
      <w:r>
        <w:rPr>
          <w:rFonts w:ascii="Verdana" w:hAnsi="Verdana"/>
          <w:sz w:val="20"/>
          <w:szCs w:val="20"/>
          <w:lang w:val="es-ES"/>
        </w:rPr>
        <w:t>1</w:t>
      </w:r>
      <w:r w:rsidR="0025291A">
        <w:rPr>
          <w:rFonts w:ascii="Verdana" w:hAnsi="Verdana"/>
          <w:sz w:val="20"/>
          <w:szCs w:val="20"/>
          <w:lang w:val="es-ES"/>
        </w:rPr>
        <w:t>49</w:t>
      </w:r>
      <w:r>
        <w:rPr>
          <w:rFonts w:ascii="Verdana" w:hAnsi="Verdana"/>
          <w:sz w:val="20"/>
          <w:szCs w:val="20"/>
          <w:lang w:val="es-ES"/>
        </w:rPr>
        <w:t xml:space="preserve">. </w:t>
      </w:r>
      <w:r>
        <w:rPr>
          <w:rFonts w:ascii="Verdana" w:hAnsi="Verdana"/>
          <w:sz w:val="20"/>
          <w:szCs w:val="20"/>
          <w:lang w:val="es-ES"/>
        </w:rPr>
        <w:tab/>
      </w:r>
      <w:r w:rsidR="00E35190">
        <w:rPr>
          <w:rFonts w:ascii="Verdana" w:hAnsi="Verdana"/>
          <w:sz w:val="20"/>
          <w:szCs w:val="20"/>
          <w:lang w:val="es-ES"/>
        </w:rPr>
        <w:t>Como explica Bryner, esta pauta hermenéutica implica “una preferencia por las tomas de decisiones que favorecen una mayor protección de, o un menor impacto sobre la diversidad, hábitat, procesos de los ecosistemas, calidad del aire y el agua y así sucesivamente. Para la interpretación judicial en asuntos complejos, da peso hacia la interpretación de las disposiciones constitucionales, leyes, políticas y normas a favor de lo que dará una mayor protección al ambiente”</w:t>
      </w:r>
      <w:r w:rsidR="00E35190">
        <w:rPr>
          <w:rStyle w:val="Refdenotaalpie"/>
          <w:rFonts w:ascii="Verdana" w:eastAsiaTheme="majorEastAsia" w:hAnsi="Verdana"/>
          <w:sz w:val="20"/>
          <w:szCs w:val="20"/>
          <w:lang w:val="es-ES"/>
        </w:rPr>
        <w:footnoteReference w:id="155"/>
      </w:r>
      <w:r w:rsidR="003A60D6">
        <w:rPr>
          <w:rFonts w:ascii="Verdana" w:hAnsi="Verdana"/>
          <w:sz w:val="20"/>
          <w:szCs w:val="20"/>
          <w:lang w:val="es-ES"/>
        </w:rPr>
        <w:t>.</w:t>
      </w:r>
    </w:p>
    <w:p w14:paraId="287AC73D" w14:textId="77777777" w:rsidR="00E35190" w:rsidRPr="008C7ACC" w:rsidRDefault="00E35190" w:rsidP="00E35190">
      <w:pPr>
        <w:pStyle w:val="Prrafodelista"/>
        <w:rPr>
          <w:rFonts w:ascii="Verdana" w:hAnsi="Verdana"/>
          <w:sz w:val="20"/>
          <w:szCs w:val="20"/>
          <w:lang w:val="es-ES"/>
        </w:rPr>
      </w:pPr>
    </w:p>
    <w:p w14:paraId="093A3C0A" w14:textId="2865EBEB" w:rsidR="00E35190" w:rsidRDefault="00464A0D" w:rsidP="00464A0D">
      <w:pPr>
        <w:pStyle w:val="Prrafodelista"/>
        <w:ind w:left="0"/>
        <w:jc w:val="both"/>
        <w:rPr>
          <w:rFonts w:ascii="Verdana" w:hAnsi="Verdana"/>
          <w:sz w:val="20"/>
          <w:szCs w:val="20"/>
          <w:lang w:val="es-ES"/>
        </w:rPr>
      </w:pPr>
      <w:r>
        <w:rPr>
          <w:rFonts w:ascii="Verdana" w:hAnsi="Verdana"/>
          <w:sz w:val="20"/>
          <w:szCs w:val="20"/>
          <w:lang w:val="es-ES"/>
        </w:rPr>
        <w:t>15</w:t>
      </w:r>
      <w:r w:rsidR="0025291A">
        <w:rPr>
          <w:rFonts w:ascii="Verdana" w:hAnsi="Verdana"/>
          <w:sz w:val="20"/>
          <w:szCs w:val="20"/>
          <w:lang w:val="es-ES"/>
        </w:rPr>
        <w:t>0</w:t>
      </w:r>
      <w:r>
        <w:rPr>
          <w:rFonts w:ascii="Verdana" w:hAnsi="Verdana"/>
          <w:sz w:val="20"/>
          <w:szCs w:val="20"/>
          <w:lang w:val="es-ES"/>
        </w:rPr>
        <w:t xml:space="preserve">. </w:t>
      </w:r>
      <w:r>
        <w:rPr>
          <w:rFonts w:ascii="Verdana" w:hAnsi="Verdana"/>
          <w:sz w:val="20"/>
          <w:szCs w:val="20"/>
          <w:lang w:val="es-ES"/>
        </w:rPr>
        <w:tab/>
      </w:r>
      <w:r w:rsidR="00E35190">
        <w:rPr>
          <w:rFonts w:ascii="Verdana" w:hAnsi="Verdana"/>
          <w:sz w:val="20"/>
          <w:szCs w:val="20"/>
          <w:lang w:val="es-ES"/>
        </w:rPr>
        <w:t xml:space="preserve">Esta regla interpretativa se suma a las anteriores e implica para la autoridad judicial o administrativa el deber de que, en caso de duda en la interpretación de una norma o vacío, deben optar por la solución más protectora o conservacionista del ambiente, en pro de la equidad intergeneracional. El principio </w:t>
      </w:r>
      <w:r w:rsidR="00E35190" w:rsidRPr="008E72FA">
        <w:rPr>
          <w:rFonts w:ascii="Verdana" w:hAnsi="Verdana"/>
          <w:i/>
          <w:sz w:val="20"/>
          <w:szCs w:val="20"/>
          <w:lang w:val="es-ES"/>
        </w:rPr>
        <w:t>in dubio pro natura</w:t>
      </w:r>
      <w:r w:rsidR="00E35190">
        <w:rPr>
          <w:rFonts w:ascii="Verdana" w:hAnsi="Verdana"/>
          <w:sz w:val="20"/>
          <w:szCs w:val="20"/>
          <w:lang w:val="es-ES"/>
        </w:rPr>
        <w:t xml:space="preserve"> no es más que una derivación del desarrollo sostenible, en tanto se entienden los valores ambientales como soporte de la vida humana y la necesidad de armonizar el desarrollo social, económico y ecológico.</w:t>
      </w:r>
    </w:p>
    <w:p w14:paraId="1A1E0D0C" w14:textId="77777777" w:rsidR="00E35190" w:rsidRPr="00D9282F" w:rsidRDefault="00E35190" w:rsidP="00E35190">
      <w:pPr>
        <w:pStyle w:val="Prrafodelista"/>
        <w:rPr>
          <w:rFonts w:ascii="Verdana" w:hAnsi="Verdana"/>
          <w:sz w:val="20"/>
          <w:szCs w:val="20"/>
          <w:lang w:val="es-ES"/>
        </w:rPr>
      </w:pPr>
    </w:p>
    <w:p w14:paraId="0DE74ECB" w14:textId="678D50B2" w:rsidR="00E35190" w:rsidRDefault="00464A0D" w:rsidP="00464A0D">
      <w:pPr>
        <w:pStyle w:val="Prrafodelista"/>
        <w:ind w:left="0"/>
        <w:jc w:val="both"/>
        <w:rPr>
          <w:rFonts w:ascii="Verdana" w:hAnsi="Verdana"/>
          <w:sz w:val="20"/>
          <w:szCs w:val="20"/>
          <w:lang w:val="es-ES"/>
        </w:rPr>
      </w:pPr>
      <w:r>
        <w:rPr>
          <w:rFonts w:ascii="Verdana" w:hAnsi="Verdana"/>
          <w:sz w:val="20"/>
          <w:szCs w:val="20"/>
          <w:lang w:val="es-ES"/>
        </w:rPr>
        <w:t>15</w:t>
      </w:r>
      <w:r w:rsidR="0025291A">
        <w:rPr>
          <w:rFonts w:ascii="Verdana" w:hAnsi="Verdana"/>
          <w:sz w:val="20"/>
          <w:szCs w:val="20"/>
          <w:lang w:val="es-ES"/>
        </w:rPr>
        <w:t>1</w:t>
      </w:r>
      <w:r>
        <w:rPr>
          <w:rFonts w:ascii="Verdana" w:hAnsi="Verdana"/>
          <w:sz w:val="20"/>
          <w:szCs w:val="20"/>
          <w:lang w:val="es-ES"/>
        </w:rPr>
        <w:t xml:space="preserve">. </w:t>
      </w:r>
      <w:r>
        <w:rPr>
          <w:rFonts w:ascii="Verdana" w:hAnsi="Verdana"/>
          <w:sz w:val="20"/>
          <w:szCs w:val="20"/>
          <w:lang w:val="es-ES"/>
        </w:rPr>
        <w:tab/>
      </w:r>
      <w:r w:rsidR="00E35190">
        <w:rPr>
          <w:rFonts w:ascii="Verdana" w:hAnsi="Verdana"/>
          <w:sz w:val="20"/>
          <w:szCs w:val="20"/>
          <w:lang w:val="es-ES"/>
        </w:rPr>
        <w:t xml:space="preserve">El deber de equidad intergeneracional no supone ir en detrimento de las obligaciones actuales, dado que la distribución justa y equitativa de oportunidades y recursos hoy, redundará en mejores oportunidades y resultados en el futuro. Los Estados deben tener presente que la tutela o preservación del ambiente impuesta por el principio de equidad intergeneracional deriva de que, a modo de un fideicomiso, nuestra responsabilidad es la de gestionar o conservar este ambiente para ser entregado a las generaciones futuras, como beneficiarias. Las generaciones presentes han recibido de las predecesoras un ambiente para que sea transmitido, a su vez, a las futuras en iguales o mejores condiciones de aquellas en que les fuera entregado. Así, cada decisión de desarrollo que comprometa la subsistencia, oportunidades o calidad de vida de las generaciones venideras es insolidaria y, por tanto, contraria a este deber. </w:t>
      </w:r>
    </w:p>
    <w:p w14:paraId="7DC67585" w14:textId="77777777" w:rsidR="00E35190" w:rsidRPr="00CD504B" w:rsidRDefault="00E35190" w:rsidP="00E35190">
      <w:pPr>
        <w:pStyle w:val="Prrafodelista"/>
        <w:rPr>
          <w:rFonts w:ascii="Verdana" w:hAnsi="Verdana"/>
          <w:sz w:val="20"/>
          <w:szCs w:val="20"/>
          <w:lang w:val="es-ES"/>
        </w:rPr>
      </w:pPr>
    </w:p>
    <w:p w14:paraId="41975CDD" w14:textId="2ADEE7F5" w:rsidR="00E35190" w:rsidRDefault="003C0E1E" w:rsidP="003C0E1E">
      <w:pPr>
        <w:pStyle w:val="Prrafodelista"/>
        <w:ind w:left="0"/>
        <w:jc w:val="both"/>
        <w:rPr>
          <w:rFonts w:ascii="Verdana" w:hAnsi="Verdana"/>
          <w:sz w:val="20"/>
          <w:szCs w:val="20"/>
          <w:lang w:val="es-ES"/>
        </w:rPr>
      </w:pPr>
      <w:r>
        <w:rPr>
          <w:rFonts w:ascii="Verdana" w:hAnsi="Verdana"/>
          <w:sz w:val="20"/>
          <w:szCs w:val="20"/>
          <w:lang w:val="es-ES"/>
        </w:rPr>
        <w:t>15</w:t>
      </w:r>
      <w:r w:rsidR="0025291A">
        <w:rPr>
          <w:rFonts w:ascii="Verdana" w:hAnsi="Verdana"/>
          <w:sz w:val="20"/>
          <w:szCs w:val="20"/>
          <w:lang w:val="es-ES"/>
        </w:rPr>
        <w:t>2</w:t>
      </w:r>
      <w:r>
        <w:rPr>
          <w:rFonts w:ascii="Verdana" w:hAnsi="Verdana"/>
          <w:sz w:val="20"/>
          <w:szCs w:val="20"/>
          <w:lang w:val="es-ES"/>
        </w:rPr>
        <w:t xml:space="preserve">. </w:t>
      </w:r>
      <w:r>
        <w:rPr>
          <w:rFonts w:ascii="Verdana" w:hAnsi="Verdana"/>
          <w:sz w:val="20"/>
          <w:szCs w:val="20"/>
          <w:lang w:val="es-ES"/>
        </w:rPr>
        <w:tab/>
      </w:r>
      <w:r w:rsidR="00E35190">
        <w:rPr>
          <w:rFonts w:ascii="Verdana" w:hAnsi="Verdana"/>
          <w:sz w:val="20"/>
          <w:szCs w:val="20"/>
          <w:lang w:val="es-ES"/>
        </w:rPr>
        <w:t xml:space="preserve">En primer término, la equidad intergeneracional tiene su razón de ser en un deber de moralidad de la especie, dado que resulta imprescindible para la supervivencia de la humanidad misma. </w:t>
      </w:r>
    </w:p>
    <w:p w14:paraId="66D25357" w14:textId="77777777" w:rsidR="00E35190" w:rsidRPr="00CD504B" w:rsidRDefault="00E35190" w:rsidP="00E35190">
      <w:pPr>
        <w:pStyle w:val="Prrafodelista"/>
        <w:rPr>
          <w:rFonts w:ascii="Verdana" w:hAnsi="Verdana"/>
          <w:sz w:val="20"/>
          <w:szCs w:val="20"/>
          <w:lang w:val="es-ES"/>
        </w:rPr>
      </w:pPr>
    </w:p>
    <w:p w14:paraId="2DD40E44" w14:textId="18C32020" w:rsidR="00E35190" w:rsidRDefault="003C0E1E" w:rsidP="003C0E1E">
      <w:pPr>
        <w:pStyle w:val="Prrafodelista"/>
        <w:ind w:left="0"/>
        <w:jc w:val="both"/>
        <w:rPr>
          <w:rFonts w:ascii="Verdana" w:hAnsi="Verdana"/>
          <w:sz w:val="20"/>
          <w:szCs w:val="20"/>
          <w:lang w:val="es-ES"/>
        </w:rPr>
      </w:pPr>
      <w:r>
        <w:rPr>
          <w:rFonts w:ascii="Verdana" w:hAnsi="Verdana"/>
          <w:sz w:val="20"/>
          <w:szCs w:val="20"/>
          <w:lang w:val="es-ES"/>
        </w:rPr>
        <w:t>15</w:t>
      </w:r>
      <w:r w:rsidR="0025291A">
        <w:rPr>
          <w:rFonts w:ascii="Verdana" w:hAnsi="Verdana"/>
          <w:sz w:val="20"/>
          <w:szCs w:val="20"/>
          <w:lang w:val="es-ES"/>
        </w:rPr>
        <w:t>3</w:t>
      </w:r>
      <w:r>
        <w:rPr>
          <w:rFonts w:ascii="Verdana" w:hAnsi="Verdana"/>
          <w:sz w:val="20"/>
          <w:szCs w:val="20"/>
          <w:lang w:val="es-ES"/>
        </w:rPr>
        <w:t xml:space="preserve">. </w:t>
      </w:r>
      <w:r>
        <w:rPr>
          <w:rFonts w:ascii="Verdana" w:hAnsi="Verdana"/>
          <w:sz w:val="20"/>
          <w:szCs w:val="20"/>
          <w:lang w:val="es-ES"/>
        </w:rPr>
        <w:tab/>
      </w:r>
      <w:r w:rsidR="00E35190">
        <w:rPr>
          <w:rFonts w:ascii="Verdana" w:hAnsi="Verdana"/>
          <w:sz w:val="20"/>
          <w:szCs w:val="20"/>
          <w:lang w:val="es-ES"/>
        </w:rPr>
        <w:t>Pero, en segundo lugar, también se justifica porque la naturaleza como tal</w:t>
      </w:r>
      <w:r w:rsidR="003A60D6">
        <w:rPr>
          <w:rFonts w:ascii="Verdana" w:hAnsi="Verdana"/>
          <w:sz w:val="20"/>
          <w:szCs w:val="20"/>
          <w:lang w:val="es-ES"/>
        </w:rPr>
        <w:t>—</w:t>
      </w:r>
      <w:r w:rsidR="00E35190">
        <w:rPr>
          <w:rFonts w:ascii="Verdana" w:hAnsi="Verdana"/>
          <w:sz w:val="20"/>
          <w:szCs w:val="20"/>
          <w:lang w:val="es-ES"/>
        </w:rPr>
        <w:t>de la que el ser humano es solo uno de sus múltiples componentes</w:t>
      </w:r>
      <w:r w:rsidR="003A60D6">
        <w:rPr>
          <w:rFonts w:ascii="Verdana" w:hAnsi="Verdana"/>
          <w:sz w:val="20"/>
          <w:szCs w:val="20"/>
          <w:lang w:val="es-ES"/>
        </w:rPr>
        <w:t>—</w:t>
      </w:r>
      <w:r w:rsidR="00E35190">
        <w:rPr>
          <w:rFonts w:ascii="Verdana" w:hAnsi="Verdana"/>
          <w:sz w:val="20"/>
          <w:szCs w:val="20"/>
          <w:lang w:val="es-ES"/>
        </w:rPr>
        <w:t xml:space="preserve"> tiene un valor intrínseco. En este sentido, en la Opinión Consultiva No. 23 este tribunal ha indicado que: “el derecho al medio ambiente sano como derecho autónomo, a diferencia de otros derechos, protege los componentes del medio ambiente tales como bosques, ríos, mares y otros, como intereses jurídicos en sí mismos </w:t>
      </w:r>
      <w:r w:rsidR="006D4CB9">
        <w:rPr>
          <w:rFonts w:ascii="Verdana" w:hAnsi="Verdana"/>
          <w:sz w:val="20"/>
          <w:szCs w:val="20"/>
          <w:lang w:val="es-ES"/>
        </w:rPr>
        <w:t>[</w:t>
      </w:r>
      <w:r w:rsidR="00E35190">
        <w:rPr>
          <w:rFonts w:ascii="Verdana" w:hAnsi="Verdana"/>
          <w:sz w:val="20"/>
          <w:szCs w:val="20"/>
          <w:lang w:val="es-ES"/>
        </w:rPr>
        <w:t>…</w:t>
      </w:r>
      <w:r w:rsidR="006D4CB9">
        <w:rPr>
          <w:rFonts w:ascii="Verdana" w:hAnsi="Verdana"/>
          <w:sz w:val="20"/>
          <w:szCs w:val="20"/>
          <w:lang w:val="es-ES"/>
        </w:rPr>
        <w:t>]</w:t>
      </w:r>
      <w:r w:rsidR="00E35190">
        <w:rPr>
          <w:rFonts w:ascii="Verdana" w:hAnsi="Verdana"/>
          <w:sz w:val="20"/>
          <w:szCs w:val="20"/>
          <w:lang w:val="es-ES"/>
        </w:rPr>
        <w:t xml:space="preserve"> no solamente por su conexidad con una utilidad para el ser humano o por los efectos que su degradación podría causar en otros derechos de las personas”</w:t>
      </w:r>
      <w:r w:rsidR="00E35190">
        <w:rPr>
          <w:rStyle w:val="Refdenotaalpie"/>
          <w:rFonts w:ascii="Verdana" w:eastAsiaTheme="majorEastAsia" w:hAnsi="Verdana"/>
          <w:sz w:val="20"/>
          <w:szCs w:val="20"/>
          <w:lang w:val="es-ES"/>
        </w:rPr>
        <w:footnoteReference w:id="156"/>
      </w:r>
      <w:r w:rsidR="003A60D6">
        <w:rPr>
          <w:rFonts w:ascii="Verdana" w:hAnsi="Verdana"/>
          <w:sz w:val="20"/>
          <w:szCs w:val="20"/>
          <w:lang w:val="es-ES"/>
        </w:rPr>
        <w:t>.</w:t>
      </w:r>
    </w:p>
    <w:p w14:paraId="3B34227E" w14:textId="77777777" w:rsidR="00E35190" w:rsidRPr="00CD504B" w:rsidRDefault="00E35190" w:rsidP="00E35190">
      <w:pPr>
        <w:pStyle w:val="Prrafodelista"/>
        <w:rPr>
          <w:rFonts w:ascii="Verdana" w:hAnsi="Verdana"/>
          <w:sz w:val="20"/>
          <w:szCs w:val="20"/>
          <w:lang w:val="es-ES"/>
        </w:rPr>
      </w:pPr>
    </w:p>
    <w:p w14:paraId="5A1C02CE" w14:textId="327CC8C1" w:rsidR="00E35190" w:rsidRDefault="003C0E1E" w:rsidP="003C0E1E">
      <w:pPr>
        <w:pStyle w:val="Prrafodelista"/>
        <w:ind w:left="0"/>
        <w:jc w:val="both"/>
        <w:rPr>
          <w:rFonts w:ascii="Verdana" w:hAnsi="Verdana"/>
          <w:sz w:val="20"/>
          <w:szCs w:val="20"/>
          <w:lang w:val="es-ES"/>
        </w:rPr>
      </w:pPr>
      <w:r>
        <w:rPr>
          <w:rFonts w:ascii="Verdana" w:hAnsi="Verdana"/>
          <w:sz w:val="20"/>
          <w:szCs w:val="20"/>
          <w:lang w:val="es-ES"/>
        </w:rPr>
        <w:t>15</w:t>
      </w:r>
      <w:r w:rsidR="0025291A">
        <w:rPr>
          <w:rFonts w:ascii="Verdana" w:hAnsi="Verdana"/>
          <w:sz w:val="20"/>
          <w:szCs w:val="20"/>
          <w:lang w:val="es-ES"/>
        </w:rPr>
        <w:t>4</w:t>
      </w:r>
      <w:r>
        <w:rPr>
          <w:rFonts w:ascii="Verdana" w:hAnsi="Verdana"/>
          <w:sz w:val="20"/>
          <w:szCs w:val="20"/>
          <w:lang w:val="es-ES"/>
        </w:rPr>
        <w:t xml:space="preserve">. </w:t>
      </w:r>
      <w:r>
        <w:rPr>
          <w:rFonts w:ascii="Verdana" w:hAnsi="Verdana"/>
          <w:sz w:val="20"/>
          <w:szCs w:val="20"/>
          <w:lang w:val="es-ES"/>
        </w:rPr>
        <w:tab/>
      </w:r>
      <w:r w:rsidR="00E35190">
        <w:rPr>
          <w:rFonts w:ascii="Verdana" w:hAnsi="Verdana"/>
          <w:sz w:val="20"/>
          <w:szCs w:val="20"/>
          <w:lang w:val="es-ES"/>
        </w:rPr>
        <w:t>En la consideración de este principio no puede perderse de vista que el ambiente es un bien colectivo e intergeneracional, su carácter diacrónico implica que se extiende a lo largo de las generaciones humanas en el tiempo y por ello mismo es que surge el deber de sustentabilidad vinculado al de solidaridad. Así, las generaciones actuales tienen una limitación en su libertad: la relación con la naturaleza ya no puede basarse en una irresponsabilidad sin medida o sin consideración de las próximas generaciones; sino de mayor responsabilidad.</w:t>
      </w:r>
    </w:p>
    <w:p w14:paraId="7FA47A2A" w14:textId="77777777" w:rsidR="00E35190" w:rsidRPr="00D36649" w:rsidRDefault="00E35190" w:rsidP="00E35190">
      <w:pPr>
        <w:pStyle w:val="Prrafodelista"/>
        <w:rPr>
          <w:rFonts w:ascii="Verdana" w:hAnsi="Verdana"/>
          <w:sz w:val="20"/>
          <w:szCs w:val="20"/>
          <w:lang w:val="es-ES"/>
        </w:rPr>
      </w:pPr>
    </w:p>
    <w:p w14:paraId="63EF9B96" w14:textId="24DF9B14" w:rsidR="00E35190" w:rsidRDefault="003C0E1E" w:rsidP="003C0E1E">
      <w:pPr>
        <w:pStyle w:val="Prrafodelista"/>
        <w:ind w:left="0"/>
        <w:jc w:val="both"/>
        <w:rPr>
          <w:rFonts w:ascii="Verdana" w:hAnsi="Verdana"/>
          <w:sz w:val="20"/>
          <w:szCs w:val="20"/>
          <w:lang w:val="es-ES"/>
        </w:rPr>
      </w:pPr>
      <w:r>
        <w:rPr>
          <w:rFonts w:ascii="Verdana" w:hAnsi="Verdana"/>
          <w:sz w:val="20"/>
          <w:szCs w:val="20"/>
          <w:lang w:val="es-ES"/>
        </w:rPr>
        <w:t>15</w:t>
      </w:r>
      <w:r w:rsidR="0025291A">
        <w:rPr>
          <w:rFonts w:ascii="Verdana" w:hAnsi="Verdana"/>
          <w:sz w:val="20"/>
          <w:szCs w:val="20"/>
          <w:lang w:val="es-ES"/>
        </w:rPr>
        <w:t>5</w:t>
      </w:r>
      <w:r>
        <w:rPr>
          <w:rFonts w:ascii="Verdana" w:hAnsi="Verdana"/>
          <w:sz w:val="20"/>
          <w:szCs w:val="20"/>
          <w:lang w:val="es-ES"/>
        </w:rPr>
        <w:t xml:space="preserve">. </w:t>
      </w:r>
      <w:r>
        <w:rPr>
          <w:rFonts w:ascii="Verdana" w:hAnsi="Verdana"/>
          <w:sz w:val="20"/>
          <w:szCs w:val="20"/>
          <w:lang w:val="es-ES"/>
        </w:rPr>
        <w:tab/>
      </w:r>
      <w:r w:rsidR="00E35190">
        <w:rPr>
          <w:rFonts w:ascii="Verdana" w:hAnsi="Verdana"/>
          <w:sz w:val="20"/>
          <w:szCs w:val="20"/>
          <w:lang w:val="es-ES"/>
        </w:rPr>
        <w:t>Esto se ve acrecentado por la asimetría existente entre generaciones presentes y futuras, ya que solo aquellas pueden incidir sobre la realidad de éstas y no viceversa: con sus decisiones, la generación presente afecta e incide en las generaciones futuras, quienes se ven obligadas a padecer los efectos de decisiones en las que no han participado y que muchas veces son irreversibles. Las generaciones futuras no tienen poder político y sus intereses solo están representados por la preocupación que las generaciones actuales tienen por ellos</w:t>
      </w:r>
      <w:r w:rsidR="00E35190">
        <w:rPr>
          <w:rStyle w:val="Refdenotaalpie"/>
          <w:rFonts w:ascii="Verdana" w:eastAsiaTheme="majorEastAsia" w:hAnsi="Verdana"/>
          <w:sz w:val="20"/>
          <w:szCs w:val="20"/>
          <w:lang w:val="es-ES"/>
        </w:rPr>
        <w:footnoteReference w:id="157"/>
      </w:r>
      <w:r w:rsidR="003A60D6">
        <w:rPr>
          <w:rFonts w:ascii="Verdana" w:hAnsi="Verdana"/>
          <w:sz w:val="20"/>
          <w:szCs w:val="20"/>
          <w:lang w:val="es-ES"/>
        </w:rPr>
        <w:t>.</w:t>
      </w:r>
      <w:r w:rsidR="00E35190">
        <w:rPr>
          <w:rFonts w:ascii="Verdana" w:hAnsi="Verdana"/>
          <w:sz w:val="20"/>
          <w:szCs w:val="20"/>
          <w:lang w:val="es-ES"/>
        </w:rPr>
        <w:t xml:space="preserve"> Es por ello importante que los Estados garanticen la legitimación de las generaciones futuras para reclamos por la tutela del ambiente, sea a través de las generaciones presentes (niños y jóvenes), defensores de derechos humanos o mediante la figura del </w:t>
      </w:r>
      <w:r w:rsidR="005E6C58">
        <w:rPr>
          <w:rFonts w:ascii="Verdana" w:hAnsi="Verdana"/>
          <w:i/>
          <w:iCs/>
          <w:sz w:val="20"/>
          <w:szCs w:val="20"/>
          <w:lang w:val="es-ES"/>
        </w:rPr>
        <w:t>o</w:t>
      </w:r>
      <w:r w:rsidR="00E35190" w:rsidRPr="0025291A">
        <w:rPr>
          <w:rFonts w:ascii="Verdana" w:hAnsi="Verdana"/>
          <w:i/>
          <w:iCs/>
          <w:sz w:val="20"/>
          <w:szCs w:val="20"/>
          <w:lang w:val="es-ES"/>
        </w:rPr>
        <w:t>mbud</w:t>
      </w:r>
      <w:r w:rsidR="003A60D6" w:rsidRPr="0025291A">
        <w:rPr>
          <w:rFonts w:ascii="Verdana" w:hAnsi="Verdana"/>
          <w:i/>
          <w:iCs/>
          <w:sz w:val="20"/>
          <w:szCs w:val="20"/>
          <w:lang w:val="es-ES"/>
        </w:rPr>
        <w:t>person</w:t>
      </w:r>
      <w:r w:rsidR="00E35190">
        <w:rPr>
          <w:rFonts w:ascii="Verdana" w:hAnsi="Verdana"/>
          <w:sz w:val="20"/>
          <w:szCs w:val="20"/>
          <w:lang w:val="es-ES"/>
        </w:rPr>
        <w:t xml:space="preserve"> u otras afines.</w:t>
      </w:r>
    </w:p>
    <w:p w14:paraId="7A30ACEB" w14:textId="77777777" w:rsidR="00E35190" w:rsidRPr="00D36649" w:rsidRDefault="00E35190" w:rsidP="00E35190">
      <w:pPr>
        <w:pStyle w:val="Prrafodelista"/>
        <w:rPr>
          <w:rFonts w:ascii="Verdana" w:hAnsi="Verdana"/>
          <w:sz w:val="20"/>
          <w:szCs w:val="20"/>
          <w:lang w:val="es-ES"/>
        </w:rPr>
      </w:pPr>
    </w:p>
    <w:p w14:paraId="3866B4FF" w14:textId="5A3ACE99" w:rsidR="00E35190" w:rsidRDefault="003C0E1E" w:rsidP="003C0E1E">
      <w:pPr>
        <w:pStyle w:val="Prrafodelista"/>
        <w:ind w:left="0"/>
        <w:jc w:val="both"/>
        <w:rPr>
          <w:rFonts w:ascii="Verdana" w:hAnsi="Verdana"/>
          <w:sz w:val="20"/>
          <w:szCs w:val="20"/>
          <w:lang w:val="es-ES"/>
        </w:rPr>
      </w:pPr>
      <w:r>
        <w:rPr>
          <w:rFonts w:ascii="Verdana" w:hAnsi="Verdana"/>
          <w:sz w:val="20"/>
          <w:szCs w:val="20"/>
          <w:lang w:val="es-ES"/>
        </w:rPr>
        <w:t>15</w:t>
      </w:r>
      <w:r w:rsidR="0025291A">
        <w:rPr>
          <w:rFonts w:ascii="Verdana" w:hAnsi="Verdana"/>
          <w:sz w:val="20"/>
          <w:szCs w:val="20"/>
          <w:lang w:val="es-ES"/>
        </w:rPr>
        <w:t>6</w:t>
      </w:r>
      <w:r>
        <w:rPr>
          <w:rFonts w:ascii="Verdana" w:hAnsi="Verdana"/>
          <w:sz w:val="20"/>
          <w:szCs w:val="20"/>
          <w:lang w:val="es-ES"/>
        </w:rPr>
        <w:t xml:space="preserve">. </w:t>
      </w:r>
      <w:r>
        <w:rPr>
          <w:rFonts w:ascii="Verdana" w:hAnsi="Verdana"/>
          <w:sz w:val="20"/>
          <w:szCs w:val="20"/>
          <w:lang w:val="es-ES"/>
        </w:rPr>
        <w:tab/>
      </w:r>
      <w:r w:rsidR="00E35190">
        <w:rPr>
          <w:rFonts w:ascii="Verdana" w:hAnsi="Verdana"/>
          <w:sz w:val="20"/>
          <w:szCs w:val="20"/>
          <w:lang w:val="es-ES"/>
        </w:rPr>
        <w:t xml:space="preserve">Por ello, es que la equidad intergeneracional impone a los Estados tres deberes que deben orientar las políticas de desarrollo, los que implican tanto obligaciones negativas, como positivas para su consecución. </w:t>
      </w:r>
    </w:p>
    <w:p w14:paraId="573A7DC4" w14:textId="77777777" w:rsidR="00E35190" w:rsidRPr="007F2118" w:rsidRDefault="00E35190" w:rsidP="00E35190">
      <w:pPr>
        <w:pStyle w:val="Prrafodelista"/>
        <w:rPr>
          <w:rFonts w:ascii="Verdana" w:hAnsi="Verdana"/>
          <w:sz w:val="20"/>
          <w:szCs w:val="20"/>
          <w:lang w:val="es-ES"/>
        </w:rPr>
      </w:pPr>
    </w:p>
    <w:p w14:paraId="79F7ADF4" w14:textId="3F09DA51" w:rsidR="00E35190" w:rsidRDefault="003C0E1E" w:rsidP="003C0E1E">
      <w:pPr>
        <w:pStyle w:val="Prrafodelista"/>
        <w:ind w:left="0"/>
        <w:jc w:val="both"/>
        <w:rPr>
          <w:rFonts w:ascii="Verdana" w:hAnsi="Verdana"/>
          <w:sz w:val="20"/>
          <w:szCs w:val="20"/>
          <w:lang w:val="es-ES"/>
        </w:rPr>
      </w:pPr>
      <w:r>
        <w:rPr>
          <w:rFonts w:ascii="Verdana" w:hAnsi="Verdana"/>
          <w:sz w:val="20"/>
          <w:szCs w:val="20"/>
          <w:lang w:val="es-ES"/>
        </w:rPr>
        <w:t>15</w:t>
      </w:r>
      <w:r w:rsidR="0025291A">
        <w:rPr>
          <w:rFonts w:ascii="Verdana" w:hAnsi="Verdana"/>
          <w:sz w:val="20"/>
          <w:szCs w:val="20"/>
          <w:lang w:val="es-ES"/>
        </w:rPr>
        <w:t>7</w:t>
      </w:r>
      <w:r>
        <w:rPr>
          <w:rFonts w:ascii="Verdana" w:hAnsi="Verdana"/>
          <w:sz w:val="20"/>
          <w:szCs w:val="20"/>
          <w:lang w:val="es-ES"/>
        </w:rPr>
        <w:t xml:space="preserve">. </w:t>
      </w:r>
      <w:r>
        <w:rPr>
          <w:rFonts w:ascii="Verdana" w:hAnsi="Verdana"/>
          <w:sz w:val="20"/>
          <w:szCs w:val="20"/>
          <w:lang w:val="es-ES"/>
        </w:rPr>
        <w:tab/>
      </w:r>
      <w:r w:rsidR="00E35190">
        <w:rPr>
          <w:rFonts w:ascii="Verdana" w:hAnsi="Verdana"/>
          <w:sz w:val="20"/>
          <w:szCs w:val="20"/>
          <w:lang w:val="es-ES"/>
        </w:rPr>
        <w:t>En primer lugar, conservación de opciones. Cada generación está obligada a conservar y restaurar la diversidad de recursos naturales, ecosistemas y especies a fin de no coartar indebidamente la disponibilidad para las próximas, en la satisfacción de sus necesidades.</w:t>
      </w:r>
    </w:p>
    <w:p w14:paraId="2DD95D1B" w14:textId="77777777" w:rsidR="00E35190" w:rsidRPr="007F2118" w:rsidRDefault="00E35190" w:rsidP="00E35190">
      <w:pPr>
        <w:pStyle w:val="Prrafodelista"/>
        <w:rPr>
          <w:rFonts w:ascii="Verdana" w:hAnsi="Verdana"/>
          <w:sz w:val="20"/>
          <w:szCs w:val="20"/>
          <w:lang w:val="es-ES"/>
        </w:rPr>
      </w:pPr>
    </w:p>
    <w:p w14:paraId="06D5AB34" w14:textId="1047F955" w:rsidR="00E35190" w:rsidRDefault="003C0E1E" w:rsidP="003C0E1E">
      <w:pPr>
        <w:pStyle w:val="Prrafodelista"/>
        <w:ind w:left="0"/>
        <w:jc w:val="both"/>
        <w:rPr>
          <w:rFonts w:ascii="Verdana" w:hAnsi="Verdana"/>
          <w:sz w:val="20"/>
          <w:szCs w:val="20"/>
          <w:lang w:val="es-ES"/>
        </w:rPr>
      </w:pPr>
      <w:r>
        <w:rPr>
          <w:rFonts w:ascii="Verdana" w:hAnsi="Verdana"/>
          <w:sz w:val="20"/>
          <w:szCs w:val="20"/>
          <w:lang w:val="es-ES"/>
        </w:rPr>
        <w:t>15</w:t>
      </w:r>
      <w:r w:rsidR="0025291A">
        <w:rPr>
          <w:rFonts w:ascii="Verdana" w:hAnsi="Verdana"/>
          <w:sz w:val="20"/>
          <w:szCs w:val="20"/>
          <w:lang w:val="es-ES"/>
        </w:rPr>
        <w:t>8</w:t>
      </w:r>
      <w:r>
        <w:rPr>
          <w:rFonts w:ascii="Verdana" w:hAnsi="Verdana"/>
          <w:sz w:val="20"/>
          <w:szCs w:val="20"/>
          <w:lang w:val="es-ES"/>
        </w:rPr>
        <w:t xml:space="preserve">. </w:t>
      </w:r>
      <w:r>
        <w:rPr>
          <w:rFonts w:ascii="Verdana" w:hAnsi="Verdana"/>
          <w:sz w:val="20"/>
          <w:szCs w:val="20"/>
          <w:lang w:val="es-ES"/>
        </w:rPr>
        <w:tab/>
      </w:r>
      <w:r w:rsidR="00E35190">
        <w:rPr>
          <w:rFonts w:ascii="Verdana" w:hAnsi="Verdana"/>
          <w:sz w:val="20"/>
          <w:szCs w:val="20"/>
          <w:lang w:val="es-ES"/>
        </w:rPr>
        <w:t>En segundo término, deberá propenderse a la conservación de la calidad: no es lícito dejar un ambiente en condiciones peores de aquellas en las que fue recibido. Así, el medio ambiente y sus componentes no habrán de explotarse irrestrictamente: si bien no impide la explotación del ambiente, ésta habrá de hacerse dentro de parámetros de sustentabilidad.</w:t>
      </w:r>
    </w:p>
    <w:p w14:paraId="4E15ADED" w14:textId="77777777" w:rsidR="00E35190" w:rsidRPr="007F2118" w:rsidRDefault="00E35190" w:rsidP="00E35190">
      <w:pPr>
        <w:pStyle w:val="Prrafodelista"/>
        <w:rPr>
          <w:rFonts w:ascii="Verdana" w:hAnsi="Verdana"/>
          <w:sz w:val="20"/>
          <w:szCs w:val="20"/>
          <w:lang w:val="es-ES"/>
        </w:rPr>
      </w:pPr>
    </w:p>
    <w:p w14:paraId="30BE343E" w14:textId="01BDFF0C" w:rsidR="00E35190" w:rsidRDefault="003C0E1E" w:rsidP="003C0E1E">
      <w:pPr>
        <w:pStyle w:val="Prrafodelista"/>
        <w:ind w:left="0"/>
        <w:jc w:val="both"/>
        <w:rPr>
          <w:rFonts w:ascii="Verdana" w:hAnsi="Verdana"/>
          <w:sz w:val="20"/>
          <w:szCs w:val="20"/>
          <w:lang w:val="es-ES"/>
        </w:rPr>
      </w:pPr>
      <w:r>
        <w:rPr>
          <w:rFonts w:ascii="Verdana" w:hAnsi="Verdana"/>
          <w:sz w:val="20"/>
          <w:szCs w:val="20"/>
          <w:lang w:val="es-ES"/>
        </w:rPr>
        <w:t>1</w:t>
      </w:r>
      <w:r w:rsidR="0025291A">
        <w:rPr>
          <w:rFonts w:ascii="Verdana" w:hAnsi="Verdana"/>
          <w:sz w:val="20"/>
          <w:szCs w:val="20"/>
          <w:lang w:val="es-ES"/>
        </w:rPr>
        <w:t>59</w:t>
      </w:r>
      <w:r>
        <w:rPr>
          <w:rFonts w:ascii="Verdana" w:hAnsi="Verdana"/>
          <w:sz w:val="20"/>
          <w:szCs w:val="20"/>
          <w:lang w:val="es-ES"/>
        </w:rPr>
        <w:t>.</w:t>
      </w:r>
      <w:r>
        <w:rPr>
          <w:rFonts w:ascii="Verdana" w:hAnsi="Verdana"/>
          <w:sz w:val="20"/>
          <w:szCs w:val="20"/>
          <w:lang w:val="es-ES"/>
        </w:rPr>
        <w:tab/>
      </w:r>
      <w:r w:rsidR="00E35190">
        <w:rPr>
          <w:rFonts w:ascii="Verdana" w:hAnsi="Verdana"/>
          <w:sz w:val="20"/>
          <w:szCs w:val="20"/>
          <w:lang w:val="es-ES"/>
        </w:rPr>
        <w:t xml:space="preserve">Finalmente, requiere la conservación de acceso, entendida como el acceso sin discriminación por parte de los miembros de la generación presente, siempre que se respeten los derechos de las próximas generaciones. Es decir, implica la conjugación entre la equidad intrageneracional e intergeneracional. </w:t>
      </w:r>
    </w:p>
    <w:p w14:paraId="0BE6EB85" w14:textId="77777777" w:rsidR="00E35190" w:rsidRPr="007F2118" w:rsidRDefault="00E35190" w:rsidP="00E35190">
      <w:pPr>
        <w:pStyle w:val="Prrafodelista"/>
        <w:rPr>
          <w:rFonts w:ascii="Verdana" w:hAnsi="Verdana"/>
          <w:sz w:val="20"/>
          <w:szCs w:val="20"/>
          <w:lang w:val="es-ES"/>
        </w:rPr>
      </w:pPr>
    </w:p>
    <w:p w14:paraId="34E5FB40" w14:textId="2E000796" w:rsidR="00E35190" w:rsidRDefault="003C0E1E" w:rsidP="003C0E1E">
      <w:pPr>
        <w:pStyle w:val="Prrafodelista"/>
        <w:ind w:left="0"/>
        <w:jc w:val="both"/>
        <w:rPr>
          <w:rFonts w:ascii="Verdana" w:hAnsi="Verdana"/>
          <w:sz w:val="20"/>
          <w:szCs w:val="20"/>
          <w:lang w:val="es-ES"/>
        </w:rPr>
      </w:pPr>
      <w:r>
        <w:rPr>
          <w:rFonts w:ascii="Verdana" w:hAnsi="Verdana"/>
          <w:sz w:val="20"/>
          <w:szCs w:val="20"/>
          <w:lang w:val="es-ES"/>
        </w:rPr>
        <w:t>16</w:t>
      </w:r>
      <w:r w:rsidR="0025291A">
        <w:rPr>
          <w:rFonts w:ascii="Verdana" w:hAnsi="Verdana"/>
          <w:sz w:val="20"/>
          <w:szCs w:val="20"/>
          <w:lang w:val="es-ES"/>
        </w:rPr>
        <w:t>0</w:t>
      </w:r>
      <w:r>
        <w:rPr>
          <w:rFonts w:ascii="Verdana" w:hAnsi="Verdana"/>
          <w:sz w:val="20"/>
          <w:szCs w:val="20"/>
          <w:lang w:val="es-ES"/>
        </w:rPr>
        <w:t xml:space="preserve">. </w:t>
      </w:r>
      <w:r>
        <w:rPr>
          <w:rFonts w:ascii="Verdana" w:hAnsi="Verdana"/>
          <w:sz w:val="20"/>
          <w:szCs w:val="20"/>
          <w:lang w:val="es-ES"/>
        </w:rPr>
        <w:tab/>
      </w:r>
      <w:r w:rsidR="00E35190">
        <w:rPr>
          <w:rFonts w:ascii="Verdana" w:hAnsi="Verdana"/>
          <w:sz w:val="20"/>
          <w:szCs w:val="20"/>
          <w:lang w:val="es-ES"/>
        </w:rPr>
        <w:t xml:space="preserve">En su cometido de lograr estas tres metas, los Estados deben tener presente que la división entre generaciones presentes y futuras es menos drástica de lo que se piensa y que las consecuencias nocivas al ambiente y las demás generaciones no necesariamente ocurrirán en un futuro distante o muy lejano, sino que pueden tener impacto en personas que ya tienen existencia actual: “[l]as inquietudes por las generaciones futuras y el desarrollo sostenible a menudo se centran en la situación del ambiente en años concretos del futuro, como el año 2030 o el 2100. Muchas personas que vivirán en 2100 todavía no han nacido </w:t>
      </w:r>
      <w:r w:rsidR="005E6C58">
        <w:rPr>
          <w:rFonts w:ascii="Verdana" w:hAnsi="Verdana"/>
          <w:sz w:val="20"/>
          <w:szCs w:val="20"/>
          <w:lang w:val="es-ES"/>
        </w:rPr>
        <w:t>[</w:t>
      </w:r>
      <w:r w:rsidR="00E35190">
        <w:rPr>
          <w:rFonts w:ascii="Verdana" w:hAnsi="Verdana"/>
          <w:sz w:val="20"/>
          <w:szCs w:val="20"/>
          <w:lang w:val="es-ES"/>
        </w:rPr>
        <w:t>…</w:t>
      </w:r>
      <w:r w:rsidR="005E6C58">
        <w:rPr>
          <w:rFonts w:ascii="Verdana" w:hAnsi="Verdana"/>
          <w:sz w:val="20"/>
          <w:szCs w:val="20"/>
          <w:lang w:val="es-ES"/>
        </w:rPr>
        <w:t>]</w:t>
      </w:r>
      <w:r w:rsidR="00E35190">
        <w:rPr>
          <w:rFonts w:ascii="Verdana" w:hAnsi="Verdana"/>
          <w:sz w:val="20"/>
          <w:szCs w:val="20"/>
          <w:lang w:val="es-ES"/>
        </w:rPr>
        <w:t xml:space="preserve"> [s]in embargo, muchas personas que vivirán entonces ya están vivas hoy día </w:t>
      </w:r>
      <w:r w:rsidR="005E6C58">
        <w:rPr>
          <w:rFonts w:ascii="Verdana" w:hAnsi="Verdana"/>
          <w:sz w:val="20"/>
          <w:szCs w:val="20"/>
          <w:lang w:val="es-ES"/>
        </w:rPr>
        <w:t>[</w:t>
      </w:r>
      <w:r w:rsidR="00E35190">
        <w:rPr>
          <w:rFonts w:ascii="Verdana" w:hAnsi="Verdana"/>
          <w:sz w:val="20"/>
          <w:szCs w:val="20"/>
          <w:lang w:val="es-ES"/>
        </w:rPr>
        <w:t>…</w:t>
      </w:r>
      <w:r w:rsidR="005E6C58">
        <w:rPr>
          <w:rFonts w:ascii="Verdana" w:hAnsi="Verdana"/>
          <w:sz w:val="20"/>
          <w:szCs w:val="20"/>
          <w:lang w:val="es-ES"/>
        </w:rPr>
        <w:t>]</w:t>
      </w:r>
      <w:r w:rsidR="00B854B6">
        <w:rPr>
          <w:rFonts w:ascii="Verdana" w:hAnsi="Verdana"/>
          <w:sz w:val="20"/>
          <w:szCs w:val="20"/>
          <w:lang w:val="es-ES"/>
        </w:rPr>
        <w:t>.</w:t>
      </w:r>
      <w:r w:rsidR="00E35190">
        <w:rPr>
          <w:rFonts w:ascii="Verdana" w:hAnsi="Verdana"/>
          <w:sz w:val="20"/>
          <w:szCs w:val="20"/>
          <w:lang w:val="es-ES"/>
        </w:rPr>
        <w:t xml:space="preserve"> Además, la línea que separa las generaciones futuras de los niños actuales se desplaza cada vez que llega al mundo otro bebé. Por tanto</w:t>
      </w:r>
      <w:r w:rsidR="003A60D6">
        <w:rPr>
          <w:rFonts w:ascii="Verdana" w:hAnsi="Verdana"/>
          <w:sz w:val="20"/>
          <w:szCs w:val="20"/>
          <w:lang w:val="es-ES"/>
        </w:rPr>
        <w:t>,</w:t>
      </w:r>
      <w:r w:rsidR="00E35190">
        <w:rPr>
          <w:rFonts w:ascii="Verdana" w:hAnsi="Verdana"/>
          <w:sz w:val="20"/>
          <w:szCs w:val="20"/>
          <w:lang w:val="es-ES"/>
        </w:rPr>
        <w:t xml:space="preserve"> es fundamental que en los debates sobre las generaciones futuras se tengan en cuenta los derechos de los niños que constantemente llegan o ya han llegado a este planeta </w:t>
      </w:r>
      <w:r w:rsidR="005E6C58">
        <w:rPr>
          <w:rFonts w:ascii="Verdana" w:hAnsi="Verdana"/>
          <w:sz w:val="20"/>
          <w:szCs w:val="20"/>
          <w:lang w:val="es-ES"/>
        </w:rPr>
        <w:t>[</w:t>
      </w:r>
      <w:r w:rsidR="00E35190">
        <w:rPr>
          <w:rFonts w:ascii="Verdana" w:hAnsi="Verdana"/>
          <w:sz w:val="20"/>
          <w:szCs w:val="20"/>
          <w:lang w:val="es-ES"/>
        </w:rPr>
        <w:t>…</w:t>
      </w:r>
      <w:r w:rsidR="005E6C58">
        <w:rPr>
          <w:rFonts w:ascii="Verdana" w:hAnsi="Verdana"/>
          <w:sz w:val="20"/>
          <w:szCs w:val="20"/>
          <w:lang w:val="es-ES"/>
        </w:rPr>
        <w:t>]</w:t>
      </w:r>
      <w:r w:rsidR="00E35190">
        <w:rPr>
          <w:rFonts w:ascii="Verdana" w:hAnsi="Verdana"/>
          <w:sz w:val="20"/>
          <w:szCs w:val="20"/>
          <w:lang w:val="es-ES"/>
        </w:rPr>
        <w:t xml:space="preserve"> las personas cuya vida futura se verá afectada por nuestras acciones de hoy: ya están entre nosotros”</w:t>
      </w:r>
      <w:r w:rsidR="00E35190">
        <w:rPr>
          <w:rStyle w:val="Refdenotaalpie"/>
          <w:rFonts w:ascii="Verdana" w:eastAsiaTheme="majorEastAsia" w:hAnsi="Verdana"/>
          <w:sz w:val="20"/>
          <w:szCs w:val="20"/>
          <w:lang w:val="es-ES"/>
        </w:rPr>
        <w:footnoteReference w:id="158"/>
      </w:r>
      <w:r w:rsidR="003A60D6">
        <w:rPr>
          <w:rFonts w:ascii="Verdana" w:hAnsi="Verdana"/>
          <w:sz w:val="20"/>
          <w:szCs w:val="20"/>
          <w:lang w:val="es-ES"/>
        </w:rPr>
        <w:t>.</w:t>
      </w:r>
      <w:r w:rsidR="00E35190">
        <w:rPr>
          <w:rFonts w:ascii="Verdana" w:hAnsi="Verdana"/>
          <w:sz w:val="20"/>
          <w:szCs w:val="20"/>
          <w:lang w:val="es-ES"/>
        </w:rPr>
        <w:t xml:space="preserve"> De ahí que, en la evaluación de las decisiones vinculadas al desarrollo o que de alguna forma supongan una explotación del ambiente, deben estar enmarcadas, además, por el principio de interés superior </w:t>
      </w:r>
      <w:r w:rsidR="003A60D6" w:rsidRPr="0025291A">
        <w:rPr>
          <w:rFonts w:ascii="Verdana" w:hAnsi="Verdana"/>
          <w:sz w:val="20"/>
          <w:szCs w:val="20"/>
          <w:lang w:val="es-ES"/>
        </w:rPr>
        <w:t>de la niñez.</w:t>
      </w:r>
    </w:p>
    <w:p w14:paraId="291B3118" w14:textId="77777777" w:rsidR="006C19B2" w:rsidRPr="000430E4" w:rsidRDefault="006C19B2" w:rsidP="006B7EA6">
      <w:pPr>
        <w:pStyle w:val="PrrafodeSentencia"/>
        <w:numPr>
          <w:ilvl w:val="0"/>
          <w:numId w:val="0"/>
        </w:numPr>
        <w:tabs>
          <w:tab w:val="clear" w:pos="567"/>
        </w:tabs>
        <w:rPr>
          <w:szCs w:val="20"/>
          <w:lang w:val="es-ES"/>
        </w:rPr>
      </w:pPr>
    </w:p>
    <w:p w14:paraId="13372CE7" w14:textId="7DA1F220" w:rsidR="006C19B2" w:rsidRPr="000430E4" w:rsidRDefault="006C19B2" w:rsidP="007E5BDB">
      <w:pPr>
        <w:pStyle w:val="Prrafodelista"/>
        <w:ind w:left="0"/>
        <w:jc w:val="center"/>
        <w:rPr>
          <w:rFonts w:ascii="Verdana" w:hAnsi="Verdana"/>
          <w:b/>
          <w:sz w:val="20"/>
          <w:szCs w:val="20"/>
          <w:lang w:val="es-ES"/>
        </w:rPr>
      </w:pPr>
      <w:r w:rsidRPr="000430E4">
        <w:rPr>
          <w:rFonts w:ascii="Verdana" w:hAnsi="Verdana"/>
          <w:b/>
          <w:sz w:val="20"/>
          <w:szCs w:val="20"/>
          <w:lang w:val="es-ES"/>
        </w:rPr>
        <w:t>V</w:t>
      </w:r>
      <w:r w:rsidR="00301678" w:rsidRPr="000430E4">
        <w:rPr>
          <w:rFonts w:ascii="Verdana" w:hAnsi="Verdana"/>
          <w:b/>
          <w:sz w:val="20"/>
          <w:szCs w:val="20"/>
          <w:lang w:val="es-ES"/>
        </w:rPr>
        <w:t>I</w:t>
      </w:r>
      <w:r w:rsidRPr="000430E4">
        <w:rPr>
          <w:rFonts w:ascii="Verdana" w:hAnsi="Verdana"/>
          <w:b/>
          <w:sz w:val="20"/>
          <w:szCs w:val="20"/>
          <w:lang w:val="es-ES"/>
        </w:rPr>
        <w:t>. CONCLUSI</w:t>
      </w:r>
      <w:r w:rsidR="00982A83" w:rsidRPr="000430E4">
        <w:rPr>
          <w:rFonts w:ascii="Verdana" w:hAnsi="Verdana"/>
          <w:b/>
          <w:sz w:val="20"/>
          <w:szCs w:val="20"/>
          <w:lang w:val="es-ES"/>
        </w:rPr>
        <w:t>O</w:t>
      </w:r>
      <w:r w:rsidR="007C1CB7" w:rsidRPr="000430E4">
        <w:rPr>
          <w:rFonts w:ascii="Verdana" w:hAnsi="Verdana"/>
          <w:b/>
          <w:sz w:val="20"/>
          <w:szCs w:val="20"/>
          <w:lang w:val="es-ES"/>
        </w:rPr>
        <w:t>N</w:t>
      </w:r>
      <w:r w:rsidR="00982A83" w:rsidRPr="000430E4">
        <w:rPr>
          <w:rFonts w:ascii="Verdana" w:hAnsi="Verdana"/>
          <w:b/>
          <w:sz w:val="20"/>
          <w:szCs w:val="20"/>
          <w:lang w:val="es-ES"/>
        </w:rPr>
        <w:t>ES</w:t>
      </w:r>
    </w:p>
    <w:p w14:paraId="46C262D3" w14:textId="77777777" w:rsidR="006C19B2" w:rsidRPr="000430E4" w:rsidRDefault="006C19B2" w:rsidP="006B7EA6">
      <w:pPr>
        <w:pStyle w:val="Prrafodelista"/>
        <w:ind w:left="0"/>
        <w:jc w:val="both"/>
        <w:rPr>
          <w:rFonts w:ascii="Verdana" w:hAnsi="Verdana"/>
          <w:b/>
          <w:bCs/>
          <w:sz w:val="20"/>
          <w:szCs w:val="20"/>
          <w:lang w:val="es-ES"/>
        </w:rPr>
      </w:pPr>
    </w:p>
    <w:bookmarkEnd w:id="0"/>
    <w:p w14:paraId="727799CC" w14:textId="02CC454D" w:rsidR="007740D6" w:rsidRPr="00354B1E" w:rsidRDefault="007740D6" w:rsidP="007740D6">
      <w:pPr>
        <w:pStyle w:val="PrrafodeSentencia"/>
        <w:numPr>
          <w:ilvl w:val="0"/>
          <w:numId w:val="0"/>
        </w:numPr>
        <w:tabs>
          <w:tab w:val="clear" w:pos="567"/>
        </w:tabs>
        <w:rPr>
          <w:szCs w:val="20"/>
          <w:lang w:val="es-ES"/>
        </w:rPr>
      </w:pPr>
      <w:r>
        <w:rPr>
          <w:szCs w:val="20"/>
          <w:lang w:val="es-ES"/>
        </w:rPr>
        <w:t>16</w:t>
      </w:r>
      <w:r w:rsidR="00B854B6">
        <w:rPr>
          <w:szCs w:val="20"/>
          <w:lang w:val="es-ES"/>
        </w:rPr>
        <w:t>1</w:t>
      </w:r>
      <w:r>
        <w:rPr>
          <w:szCs w:val="20"/>
          <w:lang w:val="es-ES"/>
        </w:rPr>
        <w:t xml:space="preserve">. </w:t>
      </w:r>
      <w:r>
        <w:rPr>
          <w:szCs w:val="20"/>
          <w:lang w:val="es-ES"/>
        </w:rPr>
        <w:tab/>
        <w:t xml:space="preserve">El </w:t>
      </w:r>
      <w:r w:rsidR="001F1C97">
        <w:rPr>
          <w:szCs w:val="20"/>
          <w:lang w:val="es-ES"/>
        </w:rPr>
        <w:t xml:space="preserve">caso </w:t>
      </w:r>
      <w:r w:rsidR="00F76B5C">
        <w:rPr>
          <w:bCs/>
          <w:i/>
          <w:iCs/>
          <w:szCs w:val="20"/>
          <w:lang w:val="es-ES"/>
        </w:rPr>
        <w:t>Habitantes de</w:t>
      </w:r>
      <w:r w:rsidR="001F1C97" w:rsidRPr="007E2DAF">
        <w:rPr>
          <w:bCs/>
          <w:i/>
          <w:iCs/>
          <w:szCs w:val="20"/>
          <w:lang w:val="es-ES"/>
        </w:rPr>
        <w:t xml:space="preserve"> La Oroya vs. Perú </w:t>
      </w:r>
      <w:r w:rsidRPr="00354B1E">
        <w:rPr>
          <w:szCs w:val="20"/>
          <w:lang w:val="es-ES"/>
        </w:rPr>
        <w:t>se inserta en un contexto en el que podemos denominar “verde”</w:t>
      </w:r>
      <w:r>
        <w:rPr>
          <w:szCs w:val="20"/>
          <w:lang w:val="es-ES"/>
        </w:rPr>
        <w:t>, ya que</w:t>
      </w:r>
      <w:r w:rsidRPr="00354B1E">
        <w:rPr>
          <w:szCs w:val="20"/>
          <w:lang w:val="es-ES"/>
        </w:rPr>
        <w:t xml:space="preserve"> el derecho internacional de los derechos humanos </w:t>
      </w:r>
      <w:r w:rsidR="00C02C92">
        <w:rPr>
          <w:szCs w:val="20"/>
          <w:lang w:val="es-ES"/>
        </w:rPr>
        <w:t>(</w:t>
      </w:r>
      <w:r w:rsidRPr="00354B1E">
        <w:rPr>
          <w:szCs w:val="20"/>
          <w:lang w:val="es-ES"/>
        </w:rPr>
        <w:t>tanto en Naciones Unidas, Europa y África</w:t>
      </w:r>
      <w:r w:rsidR="00C02C92">
        <w:rPr>
          <w:szCs w:val="20"/>
          <w:lang w:val="es-ES"/>
        </w:rPr>
        <w:t>)</w:t>
      </w:r>
      <w:r w:rsidRPr="00354B1E">
        <w:rPr>
          <w:szCs w:val="20"/>
          <w:lang w:val="es-ES"/>
        </w:rPr>
        <w:t xml:space="preserve"> ponen en el centro de atención el derecho al medio ambiente y los temas relacionados con el cambio climático. </w:t>
      </w:r>
    </w:p>
    <w:p w14:paraId="71540C1C" w14:textId="77777777" w:rsidR="007740D6" w:rsidRPr="00354B1E" w:rsidRDefault="007740D6" w:rsidP="007740D6">
      <w:pPr>
        <w:rPr>
          <w:rFonts w:ascii="Verdana" w:hAnsi="Verdana"/>
          <w:lang w:val="es-ES"/>
        </w:rPr>
      </w:pPr>
    </w:p>
    <w:p w14:paraId="406188AE" w14:textId="3A3626BF" w:rsidR="007740D6" w:rsidRDefault="007740D6" w:rsidP="007740D6">
      <w:pPr>
        <w:pStyle w:val="PrrafodeSentencia"/>
        <w:numPr>
          <w:ilvl w:val="0"/>
          <w:numId w:val="0"/>
        </w:numPr>
        <w:tabs>
          <w:tab w:val="clear" w:pos="567"/>
        </w:tabs>
        <w:rPr>
          <w:szCs w:val="20"/>
          <w:lang w:val="es-ES"/>
        </w:rPr>
      </w:pPr>
      <w:r>
        <w:rPr>
          <w:szCs w:val="20"/>
          <w:lang w:val="es-ES"/>
        </w:rPr>
        <w:t>16</w:t>
      </w:r>
      <w:r w:rsidR="00B854B6">
        <w:rPr>
          <w:szCs w:val="20"/>
          <w:lang w:val="es-ES"/>
        </w:rPr>
        <w:t>2</w:t>
      </w:r>
      <w:r>
        <w:rPr>
          <w:szCs w:val="20"/>
          <w:lang w:val="es-ES"/>
        </w:rPr>
        <w:t xml:space="preserve">. </w:t>
      </w:r>
      <w:r>
        <w:rPr>
          <w:szCs w:val="20"/>
          <w:lang w:val="es-ES"/>
        </w:rPr>
        <w:tab/>
      </w:r>
      <w:r w:rsidRPr="00354B1E">
        <w:rPr>
          <w:szCs w:val="20"/>
          <w:lang w:val="es-ES"/>
        </w:rPr>
        <w:t>Tal como hemos puesto de manifiesto, consider</w:t>
      </w:r>
      <w:r>
        <w:rPr>
          <w:szCs w:val="20"/>
          <w:lang w:val="es-ES"/>
        </w:rPr>
        <w:t>amos</w:t>
      </w:r>
      <w:r w:rsidRPr="00354B1E">
        <w:rPr>
          <w:szCs w:val="20"/>
          <w:lang w:val="es-ES"/>
        </w:rPr>
        <w:t xml:space="preserve"> que el presente caso constituye un punto de inflexión en la jurisprudencia</w:t>
      </w:r>
      <w:r w:rsidR="001F1C97">
        <w:rPr>
          <w:szCs w:val="20"/>
          <w:lang w:val="es-ES"/>
        </w:rPr>
        <w:t xml:space="preserve"> interamericana, debido a que</w:t>
      </w:r>
      <w:r w:rsidRPr="00354B1E">
        <w:rPr>
          <w:szCs w:val="20"/>
          <w:lang w:val="es-ES"/>
        </w:rPr>
        <w:t xml:space="preserve"> la Corte IDH pone como eje central de su decisión </w:t>
      </w:r>
      <w:r w:rsidR="0093275C">
        <w:rPr>
          <w:szCs w:val="20"/>
          <w:lang w:val="es-ES"/>
        </w:rPr>
        <w:t>e</w:t>
      </w:r>
      <w:r w:rsidRPr="00354B1E">
        <w:rPr>
          <w:szCs w:val="20"/>
          <w:lang w:val="es-ES"/>
        </w:rPr>
        <w:t xml:space="preserve">l derecho al medio ambiente y los componentes que deben ser protegidos </w:t>
      </w:r>
      <w:r w:rsidR="001F1C97">
        <w:rPr>
          <w:szCs w:val="20"/>
          <w:lang w:val="es-ES"/>
        </w:rPr>
        <w:t>—</w:t>
      </w:r>
      <w:r w:rsidRPr="00354B1E">
        <w:rPr>
          <w:szCs w:val="20"/>
          <w:lang w:val="es-ES"/>
        </w:rPr>
        <w:t>como el aire limpio y el agua</w:t>
      </w:r>
      <w:r w:rsidR="001F1C97">
        <w:rPr>
          <w:szCs w:val="20"/>
          <w:lang w:val="es-ES"/>
        </w:rPr>
        <w:t>—</w:t>
      </w:r>
      <w:r w:rsidRPr="00354B1E">
        <w:rPr>
          <w:szCs w:val="20"/>
          <w:lang w:val="es-ES"/>
        </w:rPr>
        <w:t>. E</w:t>
      </w:r>
      <w:r w:rsidR="001F1C97">
        <w:rPr>
          <w:szCs w:val="20"/>
          <w:lang w:val="es-ES"/>
        </w:rPr>
        <w:t>l</w:t>
      </w:r>
      <w:r w:rsidRPr="00354B1E">
        <w:rPr>
          <w:szCs w:val="20"/>
          <w:lang w:val="es-ES"/>
        </w:rPr>
        <w:t xml:space="preserve"> caso va en la dirección de </w:t>
      </w:r>
      <w:r w:rsidR="0093275C">
        <w:rPr>
          <w:szCs w:val="20"/>
          <w:lang w:val="es-ES"/>
        </w:rPr>
        <w:t xml:space="preserve">la consolidación de </w:t>
      </w:r>
      <w:r w:rsidRPr="00354B1E">
        <w:rPr>
          <w:szCs w:val="20"/>
          <w:lang w:val="es-ES"/>
        </w:rPr>
        <w:t xml:space="preserve">la línea jurisprudencial </w:t>
      </w:r>
      <w:r w:rsidR="001F1C97">
        <w:rPr>
          <w:szCs w:val="20"/>
          <w:lang w:val="es-ES"/>
        </w:rPr>
        <w:t xml:space="preserve">sobre la justiciabilidad directa </w:t>
      </w:r>
      <w:r w:rsidRPr="00354B1E">
        <w:rPr>
          <w:szCs w:val="20"/>
          <w:lang w:val="es-ES"/>
        </w:rPr>
        <w:t xml:space="preserve">de los </w:t>
      </w:r>
      <w:r w:rsidR="001F1C97">
        <w:rPr>
          <w:szCs w:val="20"/>
          <w:lang w:val="es-ES"/>
        </w:rPr>
        <w:t xml:space="preserve">derechos económicos, sociales, culturales y ambientales (DESCA) </w:t>
      </w:r>
      <w:r w:rsidRPr="00354B1E">
        <w:rPr>
          <w:szCs w:val="20"/>
          <w:lang w:val="es-ES"/>
        </w:rPr>
        <w:t>desde el artículo 26 de la Convención Americana</w:t>
      </w:r>
      <w:r w:rsidR="001F1C97">
        <w:rPr>
          <w:szCs w:val="20"/>
          <w:lang w:val="es-ES"/>
        </w:rPr>
        <w:t>. A</w:t>
      </w:r>
      <w:r w:rsidRPr="00354B1E">
        <w:rPr>
          <w:szCs w:val="20"/>
          <w:lang w:val="es-ES"/>
        </w:rPr>
        <w:t xml:space="preserve">demás de </w:t>
      </w:r>
      <w:r w:rsidR="001F1C97">
        <w:rPr>
          <w:szCs w:val="20"/>
          <w:lang w:val="es-ES"/>
        </w:rPr>
        <w:t>establecer</w:t>
      </w:r>
      <w:r w:rsidRPr="00354B1E">
        <w:rPr>
          <w:szCs w:val="20"/>
          <w:lang w:val="es-ES"/>
        </w:rPr>
        <w:t xml:space="preserve"> c</w:t>
      </w:r>
      <w:r w:rsidR="001F1C97">
        <w:rPr>
          <w:szCs w:val="20"/>
          <w:lang w:val="es-ES"/>
        </w:rPr>
        <w:t>ó</w:t>
      </w:r>
      <w:r w:rsidRPr="00354B1E">
        <w:rPr>
          <w:szCs w:val="20"/>
          <w:lang w:val="es-ES"/>
        </w:rPr>
        <w:t>mo el contenido que protege el derecho al medio ambiente es diferente al de otros derechos civiles y políticos (como la vida o la integridad personal)</w:t>
      </w:r>
      <w:r w:rsidR="001F1C97">
        <w:rPr>
          <w:szCs w:val="20"/>
          <w:lang w:val="es-ES"/>
        </w:rPr>
        <w:t xml:space="preserve">, la sentencia tiene un especial impacto colectivo de los daños ambientales y establecen medidas de no repetición </w:t>
      </w:r>
      <w:r w:rsidR="001C6D9A">
        <w:rPr>
          <w:szCs w:val="20"/>
          <w:lang w:val="es-ES"/>
        </w:rPr>
        <w:t xml:space="preserve">dirigidas a </w:t>
      </w:r>
      <w:r w:rsidR="001F1C97">
        <w:rPr>
          <w:szCs w:val="20"/>
          <w:lang w:val="es-ES"/>
        </w:rPr>
        <w:t>reducir los riesgos para las generaciones futuras, lo que const</w:t>
      </w:r>
      <w:r w:rsidR="0093275C">
        <w:rPr>
          <w:szCs w:val="20"/>
          <w:lang w:val="es-ES"/>
        </w:rPr>
        <w:t>it</w:t>
      </w:r>
      <w:r w:rsidR="001F1C97">
        <w:rPr>
          <w:szCs w:val="20"/>
          <w:lang w:val="es-ES"/>
        </w:rPr>
        <w:t>u</w:t>
      </w:r>
      <w:r w:rsidR="001C6D9A">
        <w:rPr>
          <w:szCs w:val="20"/>
          <w:lang w:val="es-ES"/>
        </w:rPr>
        <w:t>ye</w:t>
      </w:r>
      <w:r w:rsidR="001F1C97">
        <w:rPr>
          <w:szCs w:val="20"/>
          <w:lang w:val="es-ES"/>
        </w:rPr>
        <w:t xml:space="preserve"> una </w:t>
      </w:r>
      <w:r w:rsidR="00C720F4">
        <w:rPr>
          <w:szCs w:val="20"/>
          <w:lang w:val="es-ES"/>
        </w:rPr>
        <w:t xml:space="preserve">importante </w:t>
      </w:r>
      <w:r w:rsidR="001F1C97">
        <w:rPr>
          <w:szCs w:val="20"/>
          <w:lang w:val="es-ES"/>
        </w:rPr>
        <w:t>fuente de estándares para los Estados en relación con sus obligaciones de asegurar condiciones equitativas de desarrollo fr</w:t>
      </w:r>
      <w:r w:rsidR="001C6D9A">
        <w:rPr>
          <w:szCs w:val="20"/>
          <w:lang w:val="es-ES"/>
        </w:rPr>
        <w:t>e</w:t>
      </w:r>
      <w:r w:rsidR="001F1C97">
        <w:rPr>
          <w:szCs w:val="20"/>
          <w:lang w:val="es-ES"/>
        </w:rPr>
        <w:t>nte al cambio climático.</w:t>
      </w:r>
    </w:p>
    <w:p w14:paraId="233E44B4" w14:textId="77777777" w:rsidR="005A2280" w:rsidRPr="005A2280" w:rsidRDefault="005A2280" w:rsidP="005A2280">
      <w:pPr>
        <w:jc w:val="both"/>
        <w:rPr>
          <w:rFonts w:ascii="Verdana" w:hAnsi="Verdana"/>
          <w:sz w:val="20"/>
          <w:szCs w:val="20"/>
          <w:lang w:val="es-ES"/>
        </w:rPr>
      </w:pPr>
    </w:p>
    <w:p w14:paraId="0B9D464D" w14:textId="2FD9782D" w:rsidR="005A2280" w:rsidRPr="005A2280" w:rsidRDefault="001C6D9A" w:rsidP="001C6D9A">
      <w:pPr>
        <w:pStyle w:val="Prrafodelista"/>
        <w:tabs>
          <w:tab w:val="left" w:pos="709"/>
          <w:tab w:val="left" w:pos="4824"/>
        </w:tabs>
        <w:ind w:left="0"/>
        <w:jc w:val="both"/>
        <w:rPr>
          <w:rFonts w:ascii="Verdana" w:hAnsi="Verdana"/>
          <w:sz w:val="20"/>
          <w:szCs w:val="20"/>
          <w:lang w:val="es-ES"/>
        </w:rPr>
      </w:pPr>
      <w:r>
        <w:rPr>
          <w:rFonts w:ascii="Verdana" w:hAnsi="Verdana"/>
          <w:sz w:val="20"/>
          <w:szCs w:val="20"/>
          <w:lang w:val="es-ES"/>
        </w:rPr>
        <w:t>16</w:t>
      </w:r>
      <w:r w:rsidR="00B854B6">
        <w:rPr>
          <w:rFonts w:ascii="Verdana" w:hAnsi="Verdana"/>
          <w:sz w:val="20"/>
          <w:szCs w:val="20"/>
          <w:lang w:val="es-ES"/>
        </w:rPr>
        <w:t>3</w:t>
      </w:r>
      <w:r>
        <w:rPr>
          <w:rFonts w:ascii="Verdana" w:hAnsi="Verdana"/>
          <w:sz w:val="20"/>
          <w:szCs w:val="20"/>
          <w:lang w:val="es-ES"/>
        </w:rPr>
        <w:t xml:space="preserve">. </w:t>
      </w:r>
      <w:r>
        <w:rPr>
          <w:rFonts w:ascii="Verdana" w:hAnsi="Verdana"/>
          <w:sz w:val="20"/>
          <w:szCs w:val="20"/>
          <w:lang w:val="es-ES"/>
        </w:rPr>
        <w:tab/>
      </w:r>
      <w:r w:rsidR="00C720F4">
        <w:rPr>
          <w:rFonts w:ascii="Verdana" w:hAnsi="Verdana"/>
          <w:sz w:val="20"/>
          <w:szCs w:val="20"/>
          <w:lang w:val="es-ES"/>
        </w:rPr>
        <w:t>Consideramos que e</w:t>
      </w:r>
      <w:r w:rsidR="005A2280" w:rsidRPr="005A2280">
        <w:rPr>
          <w:rFonts w:ascii="Verdana" w:hAnsi="Verdana"/>
          <w:sz w:val="20"/>
          <w:szCs w:val="20"/>
          <w:lang w:val="es-ES"/>
        </w:rPr>
        <w:t xml:space="preserve">l deber de protección del ambiente se erige actualmente como una norma de </w:t>
      </w:r>
      <w:r w:rsidR="005A2280" w:rsidRPr="00D07038">
        <w:rPr>
          <w:rFonts w:ascii="Verdana" w:hAnsi="Verdana"/>
          <w:i/>
          <w:iCs/>
          <w:sz w:val="20"/>
          <w:szCs w:val="20"/>
          <w:lang w:val="es-ES"/>
        </w:rPr>
        <w:t>jus cogens</w:t>
      </w:r>
      <w:r w:rsidR="005A2280" w:rsidRPr="005A2280">
        <w:rPr>
          <w:rFonts w:ascii="Verdana" w:hAnsi="Verdana"/>
          <w:sz w:val="20"/>
          <w:szCs w:val="20"/>
          <w:lang w:val="es-ES"/>
        </w:rPr>
        <w:t xml:space="preserve"> ante la amenaza que su inobservancia implica para la supervivencia de los pueblos y de los valores humanos más fundamentales. En el estado actual, es posible afirmar la existencia de una norma consuetudinaria internacional ampliamente reconocida por la generalidad de Estados en el sentido de otorgar relevancia a la protección del medio ambiente </w:t>
      </w:r>
      <w:r w:rsidR="00D07038">
        <w:rPr>
          <w:rFonts w:ascii="Verdana" w:hAnsi="Verdana"/>
          <w:sz w:val="20"/>
          <w:szCs w:val="20"/>
          <w:lang w:val="es-ES"/>
        </w:rPr>
        <w:t>—</w:t>
      </w:r>
      <w:r w:rsidR="005A2280" w:rsidRPr="005A2280">
        <w:rPr>
          <w:rFonts w:ascii="Verdana" w:hAnsi="Verdana"/>
          <w:sz w:val="20"/>
          <w:szCs w:val="20"/>
          <w:lang w:val="es-ES"/>
        </w:rPr>
        <w:t xml:space="preserve">tal como surge del amplio catálogo del </w:t>
      </w:r>
      <w:r w:rsidR="005A2280" w:rsidRPr="0047214C">
        <w:rPr>
          <w:rFonts w:ascii="Verdana" w:hAnsi="Verdana"/>
          <w:i/>
          <w:iCs/>
          <w:sz w:val="20"/>
          <w:szCs w:val="20"/>
          <w:lang w:val="es-ES"/>
        </w:rPr>
        <w:t>corpus iuris</w:t>
      </w:r>
      <w:r w:rsidR="005A2280" w:rsidRPr="005A2280">
        <w:rPr>
          <w:rFonts w:ascii="Verdana" w:hAnsi="Verdana"/>
          <w:sz w:val="20"/>
          <w:szCs w:val="20"/>
          <w:lang w:val="es-ES"/>
        </w:rPr>
        <w:t xml:space="preserve"> en la materia</w:t>
      </w:r>
      <w:r w:rsidR="00D07038">
        <w:rPr>
          <w:rFonts w:ascii="Verdana" w:hAnsi="Verdana"/>
          <w:sz w:val="20"/>
          <w:szCs w:val="20"/>
          <w:lang w:val="es-ES"/>
        </w:rPr>
        <w:t>—</w:t>
      </w:r>
      <w:r w:rsidR="00BB3784">
        <w:rPr>
          <w:rFonts w:ascii="Verdana" w:hAnsi="Verdana"/>
          <w:sz w:val="20"/>
          <w:szCs w:val="20"/>
          <w:lang w:val="es-ES"/>
        </w:rPr>
        <w:t xml:space="preserve"> y que ha derivado en una norma imperativa de derecho internacional (</w:t>
      </w:r>
      <w:r w:rsidR="00BB3784" w:rsidRPr="00D07038">
        <w:rPr>
          <w:rFonts w:ascii="Verdana" w:hAnsi="Verdana"/>
          <w:i/>
          <w:iCs/>
          <w:sz w:val="20"/>
          <w:szCs w:val="20"/>
          <w:lang w:val="es-ES"/>
        </w:rPr>
        <w:t>jus cogens</w:t>
      </w:r>
      <w:r w:rsidR="00BB3784">
        <w:rPr>
          <w:rFonts w:ascii="Verdana" w:hAnsi="Verdana"/>
          <w:sz w:val="20"/>
          <w:szCs w:val="20"/>
          <w:lang w:val="es-ES"/>
        </w:rPr>
        <w:t>)</w:t>
      </w:r>
      <w:r w:rsidR="005A2280" w:rsidRPr="005A2280">
        <w:rPr>
          <w:rFonts w:ascii="Verdana" w:hAnsi="Verdana"/>
          <w:sz w:val="20"/>
          <w:szCs w:val="20"/>
          <w:lang w:val="es-ES"/>
        </w:rPr>
        <w:t xml:space="preserve">. A su vez, la convicción de su obligatoriedad deriva, </w:t>
      </w:r>
      <w:r w:rsidR="005A2280" w:rsidRPr="0047214C">
        <w:rPr>
          <w:rFonts w:ascii="Verdana" w:hAnsi="Verdana"/>
          <w:i/>
          <w:iCs/>
          <w:sz w:val="20"/>
          <w:szCs w:val="20"/>
          <w:lang w:val="es-ES"/>
        </w:rPr>
        <w:t>i</w:t>
      </w:r>
      <w:r w:rsidR="005A2280" w:rsidRPr="00C720F4">
        <w:rPr>
          <w:rFonts w:ascii="Verdana" w:hAnsi="Verdana"/>
          <w:i/>
          <w:iCs/>
          <w:sz w:val="20"/>
          <w:szCs w:val="20"/>
          <w:lang w:val="es-ES"/>
        </w:rPr>
        <w:t>nter alia</w:t>
      </w:r>
      <w:r w:rsidR="005A2280" w:rsidRPr="005A2280">
        <w:rPr>
          <w:rFonts w:ascii="Verdana" w:hAnsi="Verdana"/>
          <w:sz w:val="20"/>
          <w:szCs w:val="20"/>
          <w:lang w:val="es-ES"/>
        </w:rPr>
        <w:t>, de la reciente declaración del derecho humano al medio ambiente de Naciones Unidas</w:t>
      </w:r>
      <w:r w:rsidR="0047214C">
        <w:rPr>
          <w:rFonts w:ascii="Verdana" w:hAnsi="Verdana"/>
          <w:sz w:val="20"/>
          <w:szCs w:val="20"/>
          <w:lang w:val="es-ES"/>
        </w:rPr>
        <w:t xml:space="preserve"> en 2022</w:t>
      </w:r>
      <w:r w:rsidR="005A2280" w:rsidRPr="005A2280">
        <w:rPr>
          <w:rFonts w:ascii="Verdana" w:hAnsi="Verdana"/>
          <w:sz w:val="20"/>
          <w:szCs w:val="20"/>
          <w:lang w:val="es-ES"/>
        </w:rPr>
        <w:t>, donde una amplia mayoría se pronunció a su favor.</w:t>
      </w:r>
    </w:p>
    <w:p w14:paraId="78C665F8" w14:textId="77777777" w:rsidR="005A2280" w:rsidRPr="005A2280" w:rsidRDefault="005A2280" w:rsidP="005A2280">
      <w:pPr>
        <w:pStyle w:val="Prrafodelista"/>
        <w:tabs>
          <w:tab w:val="left" w:pos="709"/>
          <w:tab w:val="left" w:pos="4824"/>
        </w:tabs>
        <w:ind w:left="0"/>
        <w:jc w:val="both"/>
        <w:rPr>
          <w:rFonts w:ascii="Verdana" w:hAnsi="Verdana"/>
          <w:sz w:val="20"/>
          <w:szCs w:val="20"/>
          <w:lang w:val="es-ES"/>
        </w:rPr>
      </w:pPr>
    </w:p>
    <w:p w14:paraId="560119D5" w14:textId="6AE55129" w:rsidR="005A2280" w:rsidRPr="005A2280" w:rsidRDefault="001C6D9A" w:rsidP="001C6D9A">
      <w:pPr>
        <w:pStyle w:val="Prrafodelista"/>
        <w:ind w:left="0"/>
        <w:jc w:val="both"/>
        <w:rPr>
          <w:rFonts w:ascii="Verdana" w:hAnsi="Verdana"/>
          <w:sz w:val="20"/>
          <w:szCs w:val="20"/>
        </w:rPr>
      </w:pPr>
      <w:r>
        <w:rPr>
          <w:rFonts w:ascii="Verdana" w:hAnsi="Verdana"/>
          <w:sz w:val="20"/>
          <w:szCs w:val="20"/>
        </w:rPr>
        <w:t>16</w:t>
      </w:r>
      <w:r w:rsidR="00B854B6">
        <w:rPr>
          <w:rFonts w:ascii="Verdana" w:hAnsi="Verdana"/>
          <w:sz w:val="20"/>
          <w:szCs w:val="20"/>
        </w:rPr>
        <w:t>4</w:t>
      </w:r>
      <w:r>
        <w:rPr>
          <w:rFonts w:ascii="Verdana" w:hAnsi="Verdana"/>
          <w:sz w:val="20"/>
          <w:szCs w:val="20"/>
        </w:rPr>
        <w:t xml:space="preserve">. </w:t>
      </w:r>
      <w:r>
        <w:rPr>
          <w:rFonts w:ascii="Verdana" w:hAnsi="Verdana"/>
          <w:sz w:val="20"/>
          <w:szCs w:val="20"/>
        </w:rPr>
        <w:tab/>
      </w:r>
      <w:r w:rsidR="005A2280" w:rsidRPr="005A2280">
        <w:rPr>
          <w:rFonts w:ascii="Verdana" w:hAnsi="Verdana"/>
          <w:sz w:val="20"/>
          <w:szCs w:val="20"/>
        </w:rPr>
        <w:t>Asimismo, ningún Estado puede seriamente consentir ni tolerar actos que impliquen deterioro o menoscabo del medio ambiente o de sus componentes porque en su protección y cuidado está interesada la comunidad internacional en su conjunto, dado que es allí donde se contienen los elementos del Estado</w:t>
      </w:r>
      <w:r w:rsidR="00BB3784">
        <w:rPr>
          <w:rFonts w:ascii="Verdana" w:hAnsi="Verdana"/>
          <w:sz w:val="20"/>
          <w:szCs w:val="20"/>
        </w:rPr>
        <w:t xml:space="preserve"> y porque de su tutela depende, entre otras, la seguridad internacional</w:t>
      </w:r>
      <w:r w:rsidR="005A2280" w:rsidRPr="005A2280">
        <w:rPr>
          <w:rFonts w:ascii="Verdana" w:hAnsi="Verdana"/>
          <w:sz w:val="20"/>
          <w:szCs w:val="20"/>
        </w:rPr>
        <w:t>. Consiste en una norma que encarna valores supremos de la comunidad de Estados, dado que de la integridad del ambiente depende el soporte y la continuidad de la comunidad internacional tal como la conocemos.</w:t>
      </w:r>
    </w:p>
    <w:p w14:paraId="7358F89E" w14:textId="77777777" w:rsidR="005A2280" w:rsidRPr="005A2280" w:rsidRDefault="005A2280" w:rsidP="005A2280">
      <w:pPr>
        <w:pStyle w:val="Prrafodelista"/>
        <w:rPr>
          <w:rFonts w:ascii="Verdana" w:hAnsi="Verdana"/>
          <w:sz w:val="20"/>
          <w:szCs w:val="20"/>
        </w:rPr>
      </w:pPr>
    </w:p>
    <w:p w14:paraId="176AB2C5" w14:textId="71E10050" w:rsidR="005A2280" w:rsidRPr="005A2280" w:rsidRDefault="001C6D9A" w:rsidP="001C6D9A">
      <w:pPr>
        <w:pStyle w:val="Prrafodelista"/>
        <w:ind w:left="0"/>
        <w:jc w:val="both"/>
        <w:rPr>
          <w:rFonts w:ascii="Verdana" w:hAnsi="Verdana"/>
          <w:sz w:val="20"/>
          <w:szCs w:val="20"/>
        </w:rPr>
      </w:pPr>
      <w:r>
        <w:rPr>
          <w:rFonts w:ascii="Verdana" w:hAnsi="Verdana"/>
          <w:sz w:val="20"/>
          <w:szCs w:val="20"/>
        </w:rPr>
        <w:t>16</w:t>
      </w:r>
      <w:r w:rsidR="00B854B6">
        <w:rPr>
          <w:rFonts w:ascii="Verdana" w:hAnsi="Verdana"/>
          <w:sz w:val="20"/>
          <w:szCs w:val="20"/>
        </w:rPr>
        <w:t>5</w:t>
      </w:r>
      <w:r>
        <w:rPr>
          <w:rFonts w:ascii="Verdana" w:hAnsi="Verdana"/>
          <w:sz w:val="20"/>
          <w:szCs w:val="20"/>
        </w:rPr>
        <w:t xml:space="preserve">. </w:t>
      </w:r>
      <w:r>
        <w:rPr>
          <w:rFonts w:ascii="Verdana" w:hAnsi="Verdana"/>
          <w:sz w:val="20"/>
          <w:szCs w:val="20"/>
        </w:rPr>
        <w:tab/>
      </w:r>
      <w:r w:rsidR="005A2280" w:rsidRPr="005A2280">
        <w:rPr>
          <w:rFonts w:ascii="Verdana" w:hAnsi="Verdana"/>
          <w:sz w:val="20"/>
          <w:szCs w:val="20"/>
        </w:rPr>
        <w:t xml:space="preserve">Por tanto, la obligación de protección del ambiente cumple con las características propias de las normas de </w:t>
      </w:r>
      <w:r w:rsidR="005A2280" w:rsidRPr="00D07038">
        <w:rPr>
          <w:rFonts w:ascii="Verdana" w:hAnsi="Verdana"/>
          <w:i/>
          <w:iCs/>
          <w:sz w:val="20"/>
          <w:szCs w:val="20"/>
        </w:rPr>
        <w:t>jus cogens</w:t>
      </w:r>
      <w:r w:rsidR="005A2280" w:rsidRPr="005A2280">
        <w:rPr>
          <w:rFonts w:ascii="Verdana" w:hAnsi="Verdana"/>
          <w:sz w:val="20"/>
          <w:szCs w:val="20"/>
        </w:rPr>
        <w:t>, irradiando sus efectos a todo el sistema del Derecho Internacional. Cada Estado puede reclamar el cumplimiento y llamar a responsabilidad, en su caso, a cualquier otro Estado, dado que todos están igualmente interesados y son igualmente titulares del ambiente como patrimonio común de la humanidad.</w:t>
      </w:r>
    </w:p>
    <w:p w14:paraId="413BC6CB" w14:textId="77777777" w:rsidR="005A2280" w:rsidRPr="005A2280" w:rsidRDefault="005A2280" w:rsidP="005A2280">
      <w:pPr>
        <w:pStyle w:val="Prrafodelista"/>
        <w:rPr>
          <w:rFonts w:ascii="Verdana" w:hAnsi="Verdana"/>
          <w:sz w:val="20"/>
          <w:szCs w:val="20"/>
        </w:rPr>
      </w:pPr>
    </w:p>
    <w:p w14:paraId="001797CE" w14:textId="2D230551" w:rsidR="005A2280" w:rsidRDefault="001C6D9A" w:rsidP="001C6D9A">
      <w:pPr>
        <w:pStyle w:val="Prrafodelista"/>
        <w:ind w:left="0"/>
        <w:jc w:val="both"/>
        <w:rPr>
          <w:rFonts w:ascii="Verdana" w:hAnsi="Verdana"/>
          <w:sz w:val="20"/>
          <w:szCs w:val="20"/>
        </w:rPr>
      </w:pPr>
      <w:r>
        <w:rPr>
          <w:rFonts w:ascii="Verdana" w:hAnsi="Verdana"/>
          <w:sz w:val="20"/>
          <w:szCs w:val="20"/>
        </w:rPr>
        <w:t>16</w:t>
      </w:r>
      <w:r w:rsidR="00B854B6">
        <w:rPr>
          <w:rFonts w:ascii="Verdana" w:hAnsi="Verdana"/>
          <w:sz w:val="20"/>
          <w:szCs w:val="20"/>
        </w:rPr>
        <w:t>6</w:t>
      </w:r>
      <w:r>
        <w:rPr>
          <w:rFonts w:ascii="Verdana" w:hAnsi="Verdana"/>
          <w:sz w:val="20"/>
          <w:szCs w:val="20"/>
        </w:rPr>
        <w:t xml:space="preserve">. </w:t>
      </w:r>
      <w:r>
        <w:rPr>
          <w:rFonts w:ascii="Verdana" w:hAnsi="Verdana"/>
          <w:sz w:val="20"/>
          <w:szCs w:val="20"/>
        </w:rPr>
        <w:tab/>
      </w:r>
      <w:r w:rsidR="005A2280" w:rsidRPr="005A2280">
        <w:rPr>
          <w:rFonts w:ascii="Verdana" w:hAnsi="Verdana"/>
          <w:sz w:val="20"/>
          <w:szCs w:val="20"/>
        </w:rPr>
        <w:t>En segundo término, proyecta sus consecuencias en el Derecho de los Tratados, tanto de los ya vigentes</w:t>
      </w:r>
      <w:r w:rsidR="00BB3784">
        <w:rPr>
          <w:rFonts w:ascii="Verdana" w:hAnsi="Verdana"/>
          <w:sz w:val="20"/>
          <w:szCs w:val="20"/>
        </w:rPr>
        <w:t>, así</w:t>
      </w:r>
      <w:r w:rsidR="005A2280" w:rsidRPr="005A2280">
        <w:rPr>
          <w:rFonts w:ascii="Verdana" w:hAnsi="Verdana"/>
          <w:sz w:val="20"/>
          <w:szCs w:val="20"/>
        </w:rPr>
        <w:t xml:space="preserve"> como de los futuros, los que deberán ajustar su contenido a esta norma.</w:t>
      </w:r>
    </w:p>
    <w:p w14:paraId="10A4B90F" w14:textId="77777777" w:rsidR="005A2280" w:rsidRPr="005A2280" w:rsidRDefault="005A2280" w:rsidP="005A2280">
      <w:pPr>
        <w:pStyle w:val="Prrafodelista"/>
        <w:ind w:left="0"/>
        <w:rPr>
          <w:rFonts w:ascii="Verdana" w:hAnsi="Verdana"/>
          <w:sz w:val="20"/>
          <w:szCs w:val="20"/>
        </w:rPr>
      </w:pPr>
    </w:p>
    <w:p w14:paraId="6EB8C3C8" w14:textId="2CEC0F44" w:rsidR="005A2280" w:rsidRDefault="0093275C" w:rsidP="001C6D9A">
      <w:pPr>
        <w:pStyle w:val="Prrafodelista"/>
        <w:ind w:left="0"/>
        <w:jc w:val="both"/>
        <w:rPr>
          <w:rFonts w:ascii="Verdana" w:hAnsi="Verdana"/>
          <w:sz w:val="20"/>
          <w:szCs w:val="20"/>
        </w:rPr>
      </w:pPr>
      <w:r>
        <w:rPr>
          <w:rFonts w:ascii="Verdana" w:hAnsi="Verdana"/>
          <w:sz w:val="20"/>
          <w:szCs w:val="20"/>
        </w:rPr>
        <w:t>16</w:t>
      </w:r>
      <w:r w:rsidR="00B854B6">
        <w:rPr>
          <w:rFonts w:ascii="Verdana" w:hAnsi="Verdana"/>
          <w:sz w:val="20"/>
          <w:szCs w:val="20"/>
        </w:rPr>
        <w:t>7</w:t>
      </w:r>
      <w:r w:rsidR="001C6D9A">
        <w:rPr>
          <w:rFonts w:ascii="Verdana" w:hAnsi="Verdana"/>
          <w:sz w:val="20"/>
          <w:szCs w:val="20"/>
        </w:rPr>
        <w:t xml:space="preserve">. </w:t>
      </w:r>
      <w:r w:rsidR="001C6D9A">
        <w:rPr>
          <w:rFonts w:ascii="Verdana" w:hAnsi="Verdana"/>
          <w:sz w:val="20"/>
          <w:szCs w:val="20"/>
        </w:rPr>
        <w:tab/>
      </w:r>
      <w:r w:rsidR="005A2280" w:rsidRPr="005A2280">
        <w:rPr>
          <w:rFonts w:ascii="Verdana" w:hAnsi="Verdana"/>
          <w:sz w:val="20"/>
          <w:szCs w:val="20"/>
        </w:rPr>
        <w:t>En tercer lugar, cada Estado deberá ajustar su conducta y abstenerse de cualquier práctica, acto u omisión que infrinja esta norma; de lo contrario, incurrirá en responsabilidad internacional frente al resto de la comunidad de Estados y sin que le sea posible invocar su calidad de objetor persistente.</w:t>
      </w:r>
    </w:p>
    <w:p w14:paraId="1C3ABBE9" w14:textId="77777777" w:rsidR="005A2280" w:rsidRPr="005A2280" w:rsidRDefault="005A2280" w:rsidP="005A2280">
      <w:pPr>
        <w:pStyle w:val="Prrafodelista"/>
        <w:rPr>
          <w:rFonts w:ascii="Verdana" w:hAnsi="Verdana"/>
          <w:sz w:val="20"/>
          <w:szCs w:val="20"/>
        </w:rPr>
      </w:pPr>
    </w:p>
    <w:p w14:paraId="3FA73E4F" w14:textId="1B69EF0B" w:rsidR="005A2280" w:rsidRDefault="001C6D9A" w:rsidP="001C6D9A">
      <w:pPr>
        <w:pStyle w:val="Prrafodelista"/>
        <w:ind w:left="0"/>
        <w:jc w:val="both"/>
        <w:rPr>
          <w:rFonts w:ascii="Verdana" w:hAnsi="Verdana"/>
          <w:sz w:val="20"/>
          <w:szCs w:val="20"/>
        </w:rPr>
      </w:pPr>
      <w:r>
        <w:rPr>
          <w:rFonts w:ascii="Verdana" w:hAnsi="Verdana"/>
          <w:sz w:val="20"/>
          <w:szCs w:val="20"/>
        </w:rPr>
        <w:t>1</w:t>
      </w:r>
      <w:r w:rsidR="0093275C">
        <w:rPr>
          <w:rFonts w:ascii="Verdana" w:hAnsi="Verdana"/>
          <w:sz w:val="20"/>
          <w:szCs w:val="20"/>
        </w:rPr>
        <w:t>6</w:t>
      </w:r>
      <w:r w:rsidR="00B854B6">
        <w:rPr>
          <w:rFonts w:ascii="Verdana" w:hAnsi="Verdana"/>
          <w:sz w:val="20"/>
          <w:szCs w:val="20"/>
        </w:rPr>
        <w:t>8</w:t>
      </w:r>
      <w:r>
        <w:rPr>
          <w:rFonts w:ascii="Verdana" w:hAnsi="Verdana"/>
          <w:sz w:val="20"/>
          <w:szCs w:val="20"/>
        </w:rPr>
        <w:t xml:space="preserve">. </w:t>
      </w:r>
      <w:r>
        <w:rPr>
          <w:rFonts w:ascii="Verdana" w:hAnsi="Verdana"/>
          <w:sz w:val="20"/>
          <w:szCs w:val="20"/>
        </w:rPr>
        <w:tab/>
      </w:r>
      <w:r w:rsidR="005A2280" w:rsidRPr="005A2280">
        <w:rPr>
          <w:rFonts w:ascii="Verdana" w:hAnsi="Verdana"/>
          <w:sz w:val="20"/>
          <w:szCs w:val="20"/>
        </w:rPr>
        <w:t>Existe un derecho al desarrollo sustentable consagrado en los artículos 31 a 34 de la Carta de la Organización de los Estados Americanos y que recibe protección convencional en virtud del artículo 26 de la Convención Americana; lo que se suma a la declaración del derecho humano al desarrollo de 1986.</w:t>
      </w:r>
    </w:p>
    <w:p w14:paraId="6A19C846" w14:textId="77777777" w:rsidR="005A2280" w:rsidRPr="005A2280" w:rsidRDefault="005A2280" w:rsidP="005A2280">
      <w:pPr>
        <w:pStyle w:val="Prrafodelista"/>
        <w:ind w:left="0"/>
        <w:jc w:val="both"/>
        <w:rPr>
          <w:rFonts w:ascii="Verdana" w:hAnsi="Verdana"/>
          <w:sz w:val="20"/>
          <w:szCs w:val="20"/>
        </w:rPr>
      </w:pPr>
    </w:p>
    <w:p w14:paraId="482706BF" w14:textId="18D8D5CD" w:rsidR="005A2280" w:rsidRDefault="001C6D9A" w:rsidP="001C6D9A">
      <w:pPr>
        <w:pStyle w:val="Prrafodelista"/>
        <w:ind w:left="0"/>
        <w:jc w:val="both"/>
        <w:rPr>
          <w:rFonts w:ascii="Verdana" w:hAnsi="Verdana"/>
          <w:sz w:val="20"/>
          <w:szCs w:val="20"/>
        </w:rPr>
      </w:pPr>
      <w:r>
        <w:rPr>
          <w:rFonts w:ascii="Verdana" w:hAnsi="Verdana"/>
          <w:sz w:val="20"/>
          <w:szCs w:val="20"/>
        </w:rPr>
        <w:t>1</w:t>
      </w:r>
      <w:r w:rsidR="00B854B6">
        <w:rPr>
          <w:rFonts w:ascii="Verdana" w:hAnsi="Verdana"/>
          <w:sz w:val="20"/>
          <w:szCs w:val="20"/>
        </w:rPr>
        <w:t>69</w:t>
      </w:r>
      <w:r>
        <w:rPr>
          <w:rFonts w:ascii="Verdana" w:hAnsi="Verdana"/>
          <w:sz w:val="20"/>
          <w:szCs w:val="20"/>
        </w:rPr>
        <w:t xml:space="preserve">. </w:t>
      </w:r>
      <w:r>
        <w:rPr>
          <w:rFonts w:ascii="Verdana" w:hAnsi="Verdana"/>
          <w:sz w:val="20"/>
          <w:szCs w:val="20"/>
        </w:rPr>
        <w:tab/>
      </w:r>
      <w:r w:rsidR="005A2280" w:rsidRPr="005A2280">
        <w:rPr>
          <w:rFonts w:ascii="Verdana" w:hAnsi="Verdana"/>
          <w:sz w:val="20"/>
          <w:szCs w:val="20"/>
        </w:rPr>
        <w:t>El desarrollo sostenible como obligación estatal impone, en primer lugar, adaptar los modelos de producción, explotación y consumo de forma tal que estén diseñados para asegurar su continuidad en el tiempo, sin menoscabo de la calidad del ambiente para las generaciones futuras. Por tanto, es importante recordar su íntima relación con el principio de equidad intergeneracional. No supone una negación al desarrollo de los Estados, sino que impone adoptar una perspectiva “verde” a partir de la armonización entre necesidades presentes y proyecciones futuras.</w:t>
      </w:r>
    </w:p>
    <w:p w14:paraId="1D047B98" w14:textId="77777777" w:rsidR="005A2280" w:rsidRPr="005A2280" w:rsidRDefault="005A2280" w:rsidP="005A2280">
      <w:pPr>
        <w:pStyle w:val="Prrafodelista"/>
        <w:rPr>
          <w:rFonts w:ascii="Verdana" w:hAnsi="Verdana"/>
          <w:sz w:val="20"/>
          <w:szCs w:val="20"/>
        </w:rPr>
      </w:pPr>
    </w:p>
    <w:p w14:paraId="0E1E4F5F" w14:textId="01C02B9D" w:rsidR="005A2280" w:rsidRDefault="001C6D9A" w:rsidP="001C6D9A">
      <w:pPr>
        <w:pStyle w:val="Prrafodelista"/>
        <w:ind w:left="0"/>
        <w:jc w:val="both"/>
        <w:rPr>
          <w:rFonts w:ascii="Verdana" w:hAnsi="Verdana"/>
          <w:sz w:val="20"/>
          <w:szCs w:val="20"/>
        </w:rPr>
      </w:pPr>
      <w:r>
        <w:rPr>
          <w:rFonts w:ascii="Verdana" w:hAnsi="Verdana"/>
          <w:sz w:val="20"/>
          <w:szCs w:val="20"/>
        </w:rPr>
        <w:t>17</w:t>
      </w:r>
      <w:r w:rsidR="00B854B6">
        <w:rPr>
          <w:rFonts w:ascii="Verdana" w:hAnsi="Verdana"/>
          <w:sz w:val="20"/>
          <w:szCs w:val="20"/>
        </w:rPr>
        <w:t>0</w:t>
      </w:r>
      <w:r>
        <w:rPr>
          <w:rFonts w:ascii="Verdana" w:hAnsi="Verdana"/>
          <w:sz w:val="20"/>
          <w:szCs w:val="20"/>
        </w:rPr>
        <w:t xml:space="preserve">. </w:t>
      </w:r>
      <w:r>
        <w:rPr>
          <w:rFonts w:ascii="Verdana" w:hAnsi="Verdana"/>
          <w:sz w:val="20"/>
          <w:szCs w:val="20"/>
        </w:rPr>
        <w:tab/>
      </w:r>
      <w:r w:rsidR="005A2280" w:rsidRPr="005A2280">
        <w:rPr>
          <w:rFonts w:ascii="Verdana" w:hAnsi="Verdana"/>
          <w:sz w:val="20"/>
          <w:szCs w:val="20"/>
        </w:rPr>
        <w:t>Los Estados deben tener presente que el desarrollo sostenible impone la consideración de tres áreas: ecológica, social y económica; las que deben promoverse de forma integral y no aislada. Asimismo, habrán de tener en cuenta los grupos especialmente vulnerables, entre los que se encuentran los niños, niñas, mujeres y personas con discapacidad</w:t>
      </w:r>
      <w:r w:rsidR="00C720F4">
        <w:rPr>
          <w:rFonts w:ascii="Verdana" w:hAnsi="Verdana"/>
          <w:sz w:val="20"/>
          <w:szCs w:val="20"/>
        </w:rPr>
        <w:t xml:space="preserve">, </w:t>
      </w:r>
      <w:r w:rsidR="00C720F4" w:rsidRPr="0025291A">
        <w:rPr>
          <w:rFonts w:ascii="Verdana" w:hAnsi="Verdana"/>
          <w:sz w:val="20"/>
          <w:szCs w:val="20"/>
        </w:rPr>
        <w:t>pueblos indígenas, entre otr</w:t>
      </w:r>
      <w:r w:rsidR="0047214C">
        <w:rPr>
          <w:rFonts w:ascii="Verdana" w:hAnsi="Verdana"/>
          <w:sz w:val="20"/>
          <w:szCs w:val="20"/>
        </w:rPr>
        <w:t>o</w:t>
      </w:r>
      <w:r w:rsidR="00C720F4" w:rsidRPr="0025291A">
        <w:rPr>
          <w:rFonts w:ascii="Verdana" w:hAnsi="Verdana"/>
          <w:sz w:val="20"/>
          <w:szCs w:val="20"/>
        </w:rPr>
        <w:t>s.</w:t>
      </w:r>
    </w:p>
    <w:p w14:paraId="2A523AAC" w14:textId="77777777" w:rsidR="005A2280" w:rsidRPr="005A2280" w:rsidRDefault="005A2280" w:rsidP="005A2280">
      <w:pPr>
        <w:pStyle w:val="Prrafodelista"/>
        <w:ind w:left="0"/>
        <w:jc w:val="both"/>
        <w:rPr>
          <w:rFonts w:ascii="Verdana" w:hAnsi="Verdana"/>
          <w:sz w:val="20"/>
          <w:szCs w:val="20"/>
        </w:rPr>
      </w:pPr>
    </w:p>
    <w:p w14:paraId="46148A25" w14:textId="36453F92" w:rsidR="005A2280" w:rsidRDefault="001C6D9A" w:rsidP="001C6D9A">
      <w:pPr>
        <w:pStyle w:val="Prrafodelista"/>
        <w:ind w:left="0"/>
        <w:jc w:val="both"/>
        <w:rPr>
          <w:rFonts w:ascii="Verdana" w:hAnsi="Verdana"/>
          <w:sz w:val="20"/>
          <w:szCs w:val="20"/>
        </w:rPr>
      </w:pPr>
      <w:r>
        <w:rPr>
          <w:rFonts w:ascii="Verdana" w:hAnsi="Verdana"/>
          <w:sz w:val="20"/>
          <w:szCs w:val="20"/>
        </w:rPr>
        <w:t>17</w:t>
      </w:r>
      <w:r w:rsidR="00B854B6">
        <w:rPr>
          <w:rFonts w:ascii="Verdana" w:hAnsi="Verdana"/>
          <w:sz w:val="20"/>
          <w:szCs w:val="20"/>
        </w:rPr>
        <w:t>1</w:t>
      </w:r>
      <w:r>
        <w:rPr>
          <w:rFonts w:ascii="Verdana" w:hAnsi="Verdana"/>
          <w:sz w:val="20"/>
          <w:szCs w:val="20"/>
        </w:rPr>
        <w:t xml:space="preserve">. </w:t>
      </w:r>
      <w:r>
        <w:rPr>
          <w:rFonts w:ascii="Verdana" w:hAnsi="Verdana"/>
          <w:sz w:val="20"/>
          <w:szCs w:val="20"/>
        </w:rPr>
        <w:tab/>
      </w:r>
      <w:r w:rsidR="005A2280" w:rsidRPr="005A2280">
        <w:rPr>
          <w:rFonts w:ascii="Verdana" w:hAnsi="Verdana"/>
          <w:sz w:val="20"/>
          <w:szCs w:val="20"/>
        </w:rPr>
        <w:t xml:space="preserve">La consideración del ambiente como patrimonio común de la humanidad y su vinculación con una norma de </w:t>
      </w:r>
      <w:r w:rsidR="005A2280" w:rsidRPr="00D07038">
        <w:rPr>
          <w:rFonts w:ascii="Verdana" w:hAnsi="Verdana"/>
          <w:i/>
          <w:iCs/>
          <w:sz w:val="20"/>
          <w:szCs w:val="20"/>
        </w:rPr>
        <w:t>jus cogens</w:t>
      </w:r>
      <w:r w:rsidR="005A2280" w:rsidRPr="005A2280">
        <w:rPr>
          <w:rFonts w:ascii="Verdana" w:hAnsi="Verdana"/>
          <w:sz w:val="20"/>
          <w:szCs w:val="20"/>
        </w:rPr>
        <w:t xml:space="preserve">, imponen a los Estados un deber de colaboración o solidaridad internacional </w:t>
      </w:r>
      <w:r w:rsidR="0047214C">
        <w:rPr>
          <w:rFonts w:ascii="Verdana" w:hAnsi="Verdana"/>
          <w:sz w:val="20"/>
          <w:szCs w:val="20"/>
        </w:rPr>
        <w:t>—</w:t>
      </w:r>
      <w:r w:rsidR="005A2280" w:rsidRPr="005A2280">
        <w:rPr>
          <w:rFonts w:ascii="Verdana" w:hAnsi="Verdana"/>
          <w:sz w:val="20"/>
          <w:szCs w:val="20"/>
        </w:rPr>
        <w:t>derivado también de la Carta de la OEA</w:t>
      </w:r>
      <w:r w:rsidR="0047214C">
        <w:rPr>
          <w:rFonts w:ascii="Verdana" w:hAnsi="Verdana"/>
          <w:sz w:val="20"/>
          <w:szCs w:val="20"/>
        </w:rPr>
        <w:t>—</w:t>
      </w:r>
      <w:r w:rsidR="005A2280" w:rsidRPr="005A2280">
        <w:rPr>
          <w:rFonts w:ascii="Verdana" w:hAnsi="Verdana"/>
          <w:sz w:val="20"/>
          <w:szCs w:val="20"/>
        </w:rPr>
        <w:t xml:space="preserve"> en la formulación de políticas, investigación, control y promoción del ambiente. Es necesario, además, conjugar esfuerzos entre particulares, empresas y Estados para lograr una verdadera perspectiva de desarrollo sustentable.</w:t>
      </w:r>
    </w:p>
    <w:p w14:paraId="1D6D481D" w14:textId="77777777" w:rsidR="005A2280" w:rsidRPr="005A2280" w:rsidRDefault="005A2280" w:rsidP="005A2280">
      <w:pPr>
        <w:pStyle w:val="Prrafodelista"/>
        <w:rPr>
          <w:rFonts w:ascii="Verdana" w:hAnsi="Verdana"/>
          <w:sz w:val="20"/>
          <w:szCs w:val="20"/>
        </w:rPr>
      </w:pPr>
    </w:p>
    <w:p w14:paraId="1037F3E0" w14:textId="08484100" w:rsidR="005A2280" w:rsidRDefault="001C6D9A" w:rsidP="001C6D9A">
      <w:pPr>
        <w:pStyle w:val="Prrafodelista"/>
        <w:ind w:left="0"/>
        <w:jc w:val="both"/>
        <w:rPr>
          <w:rFonts w:ascii="Verdana" w:hAnsi="Verdana"/>
          <w:sz w:val="20"/>
          <w:szCs w:val="20"/>
        </w:rPr>
      </w:pPr>
      <w:r>
        <w:rPr>
          <w:rFonts w:ascii="Verdana" w:hAnsi="Verdana"/>
          <w:sz w:val="20"/>
          <w:szCs w:val="20"/>
        </w:rPr>
        <w:t>17</w:t>
      </w:r>
      <w:r w:rsidR="00B854B6">
        <w:rPr>
          <w:rFonts w:ascii="Verdana" w:hAnsi="Verdana"/>
          <w:sz w:val="20"/>
          <w:szCs w:val="20"/>
        </w:rPr>
        <w:t>2</w:t>
      </w:r>
      <w:r>
        <w:rPr>
          <w:rFonts w:ascii="Verdana" w:hAnsi="Verdana"/>
          <w:sz w:val="20"/>
          <w:szCs w:val="20"/>
        </w:rPr>
        <w:t xml:space="preserve">. </w:t>
      </w:r>
      <w:r>
        <w:rPr>
          <w:rFonts w:ascii="Verdana" w:hAnsi="Verdana"/>
          <w:sz w:val="20"/>
          <w:szCs w:val="20"/>
        </w:rPr>
        <w:tab/>
      </w:r>
      <w:r w:rsidR="005A2280" w:rsidRPr="005A2280">
        <w:rPr>
          <w:rFonts w:ascii="Verdana" w:hAnsi="Verdana"/>
          <w:sz w:val="20"/>
          <w:szCs w:val="20"/>
        </w:rPr>
        <w:t>Una de las dimensiones del principio de equidad intergeneracional refiere a su vinculación con el ambiente. En este orden, supone el deber de las generaciones presentes de administrar y gestionar el ambiente de forma tal de entregar a las generaciones venideras un entorno al menos en las mismas condiciones en que</w:t>
      </w:r>
      <w:r w:rsidR="00BB3784">
        <w:rPr>
          <w:rFonts w:ascii="Verdana" w:hAnsi="Verdana"/>
          <w:sz w:val="20"/>
          <w:szCs w:val="20"/>
        </w:rPr>
        <w:t xml:space="preserve"> nos</w:t>
      </w:r>
      <w:r w:rsidR="005A2280" w:rsidRPr="005A2280">
        <w:rPr>
          <w:rFonts w:ascii="Verdana" w:hAnsi="Verdana"/>
          <w:sz w:val="20"/>
          <w:szCs w:val="20"/>
        </w:rPr>
        <w:t xml:space="preserve"> fuera entregado por las generaciones que nos precedieron. Se asemeja a la administración de un fideicomiso cuyos beneficiarios son las próximas generaciones y tiene su justificación en la tutela autónoma de los componentes del ambiente, así como en un deber de solidaridad de la especie, como familia humana.</w:t>
      </w:r>
    </w:p>
    <w:p w14:paraId="68E3F3C2" w14:textId="77777777" w:rsidR="005A2280" w:rsidRPr="005A2280" w:rsidRDefault="005A2280" w:rsidP="005A2280">
      <w:pPr>
        <w:pStyle w:val="Prrafodelista"/>
        <w:ind w:left="0"/>
        <w:jc w:val="both"/>
        <w:rPr>
          <w:rFonts w:ascii="Verdana" w:hAnsi="Verdana"/>
          <w:sz w:val="20"/>
          <w:szCs w:val="20"/>
        </w:rPr>
      </w:pPr>
    </w:p>
    <w:p w14:paraId="4D939F2F" w14:textId="26BBC460" w:rsidR="005A2280" w:rsidRDefault="001C6D9A" w:rsidP="001C6D9A">
      <w:pPr>
        <w:pStyle w:val="Prrafodelista"/>
        <w:ind w:left="0"/>
        <w:jc w:val="both"/>
        <w:rPr>
          <w:rFonts w:ascii="Verdana" w:hAnsi="Verdana"/>
          <w:sz w:val="20"/>
          <w:szCs w:val="20"/>
        </w:rPr>
      </w:pPr>
      <w:r>
        <w:rPr>
          <w:rFonts w:ascii="Verdana" w:hAnsi="Verdana"/>
          <w:sz w:val="20"/>
          <w:szCs w:val="20"/>
        </w:rPr>
        <w:t>17</w:t>
      </w:r>
      <w:r w:rsidR="00B854B6">
        <w:rPr>
          <w:rFonts w:ascii="Verdana" w:hAnsi="Verdana"/>
          <w:sz w:val="20"/>
          <w:szCs w:val="20"/>
        </w:rPr>
        <w:t>3</w:t>
      </w:r>
      <w:r>
        <w:rPr>
          <w:rFonts w:ascii="Verdana" w:hAnsi="Verdana"/>
          <w:sz w:val="20"/>
          <w:szCs w:val="20"/>
        </w:rPr>
        <w:t xml:space="preserve">. </w:t>
      </w:r>
      <w:r>
        <w:rPr>
          <w:rFonts w:ascii="Verdana" w:hAnsi="Verdana"/>
          <w:sz w:val="20"/>
          <w:szCs w:val="20"/>
        </w:rPr>
        <w:tab/>
      </w:r>
      <w:r w:rsidR="005A2280" w:rsidRPr="005A2280">
        <w:rPr>
          <w:rFonts w:ascii="Verdana" w:hAnsi="Verdana"/>
          <w:sz w:val="20"/>
          <w:szCs w:val="20"/>
        </w:rPr>
        <w:t xml:space="preserve">La equidad intergeneracional busca preservar, en última instancia, la libertad de las generaciones futuras y puede sintetizarse como una cuestión de armonización entre dos extremos: por un lado, el deber estatal de procurar el máximo bienestar a la población; pero limitado o contrarrestado por el deber de no amenazar indebida o desproporcionadamente el bienestar y la supervivencia de las próximas generaciones. Así, cualquier medida que, aunque suponga beneficios actuales, ponga en riesgo la integridad del ambiente en alguna de sus vertientes, </w:t>
      </w:r>
      <w:r w:rsidR="00C720F4" w:rsidRPr="0025291A">
        <w:rPr>
          <w:rFonts w:ascii="Verdana" w:hAnsi="Verdana"/>
          <w:sz w:val="20"/>
          <w:szCs w:val="20"/>
        </w:rPr>
        <w:t>debería ser</w:t>
      </w:r>
      <w:r w:rsidR="005A2280" w:rsidRPr="005A2280">
        <w:rPr>
          <w:rFonts w:ascii="Verdana" w:hAnsi="Verdana"/>
          <w:sz w:val="20"/>
          <w:szCs w:val="20"/>
        </w:rPr>
        <w:t xml:space="preserve"> calificada de insolidaria y contraria a este principio</w:t>
      </w:r>
      <w:r w:rsidR="005A2280">
        <w:rPr>
          <w:rFonts w:ascii="Verdana" w:hAnsi="Verdana"/>
          <w:sz w:val="20"/>
          <w:szCs w:val="20"/>
        </w:rPr>
        <w:t>.</w:t>
      </w:r>
    </w:p>
    <w:p w14:paraId="4BEBA216" w14:textId="77777777" w:rsidR="005A2280" w:rsidRPr="005A2280" w:rsidRDefault="005A2280" w:rsidP="005A2280">
      <w:pPr>
        <w:pStyle w:val="Prrafodelista"/>
        <w:ind w:left="0"/>
        <w:jc w:val="both"/>
        <w:rPr>
          <w:rFonts w:ascii="Verdana" w:hAnsi="Verdana"/>
          <w:sz w:val="20"/>
          <w:szCs w:val="20"/>
        </w:rPr>
      </w:pPr>
    </w:p>
    <w:p w14:paraId="334E9A81" w14:textId="4386349E" w:rsidR="005A2280" w:rsidRDefault="001C6D9A" w:rsidP="001C6D9A">
      <w:pPr>
        <w:pStyle w:val="Prrafodelista"/>
        <w:ind w:left="0"/>
        <w:jc w:val="both"/>
        <w:rPr>
          <w:rFonts w:ascii="Verdana" w:hAnsi="Verdana"/>
          <w:sz w:val="20"/>
          <w:szCs w:val="20"/>
        </w:rPr>
      </w:pPr>
      <w:r>
        <w:rPr>
          <w:rFonts w:ascii="Verdana" w:hAnsi="Verdana"/>
          <w:sz w:val="20"/>
          <w:szCs w:val="20"/>
        </w:rPr>
        <w:t>17</w:t>
      </w:r>
      <w:r w:rsidR="00B854B6">
        <w:rPr>
          <w:rFonts w:ascii="Verdana" w:hAnsi="Verdana"/>
          <w:sz w:val="20"/>
          <w:szCs w:val="20"/>
        </w:rPr>
        <w:t>4</w:t>
      </w:r>
      <w:r>
        <w:rPr>
          <w:rFonts w:ascii="Verdana" w:hAnsi="Verdana"/>
          <w:sz w:val="20"/>
          <w:szCs w:val="20"/>
        </w:rPr>
        <w:t xml:space="preserve">. </w:t>
      </w:r>
      <w:r>
        <w:rPr>
          <w:rFonts w:ascii="Verdana" w:hAnsi="Verdana"/>
          <w:sz w:val="20"/>
          <w:szCs w:val="20"/>
        </w:rPr>
        <w:tab/>
      </w:r>
      <w:r w:rsidR="005A2280" w:rsidRPr="005A2280">
        <w:rPr>
          <w:rFonts w:ascii="Verdana" w:hAnsi="Verdana"/>
          <w:sz w:val="20"/>
          <w:szCs w:val="20"/>
        </w:rPr>
        <w:t>La equidad intergeneracional en materia ambiental impone a los Estados tres deberes concretos: conservación de opciones; conservación de calidad y conservación de acceso. En estas consideraciones, es preciso, además, tener en cuenta el impacto que la gestión actual del ambiente tiene también respecto de niñas y niños</w:t>
      </w:r>
      <w:r w:rsidR="00BB3784">
        <w:rPr>
          <w:rFonts w:ascii="Verdana" w:hAnsi="Verdana"/>
          <w:sz w:val="20"/>
          <w:szCs w:val="20"/>
        </w:rPr>
        <w:t>, como grupo especialmente sensible a la degradación ambiental</w:t>
      </w:r>
      <w:r w:rsidR="005A2280" w:rsidRPr="005A2280">
        <w:rPr>
          <w:rFonts w:ascii="Verdana" w:hAnsi="Verdana"/>
          <w:sz w:val="20"/>
          <w:szCs w:val="20"/>
        </w:rPr>
        <w:t xml:space="preserve">. </w:t>
      </w:r>
    </w:p>
    <w:p w14:paraId="06377834" w14:textId="77777777" w:rsidR="005A2280" w:rsidRPr="005A2280" w:rsidRDefault="005A2280" w:rsidP="005A2280">
      <w:pPr>
        <w:pStyle w:val="Prrafodelista"/>
        <w:ind w:left="0"/>
        <w:jc w:val="both"/>
        <w:rPr>
          <w:rFonts w:ascii="Verdana" w:hAnsi="Verdana"/>
          <w:sz w:val="20"/>
          <w:szCs w:val="20"/>
        </w:rPr>
      </w:pPr>
    </w:p>
    <w:p w14:paraId="698A04D4" w14:textId="4A38BD09" w:rsidR="005A2280" w:rsidRDefault="001C6D9A" w:rsidP="001C6D9A">
      <w:pPr>
        <w:pStyle w:val="Prrafodelista"/>
        <w:ind w:left="0"/>
        <w:jc w:val="both"/>
        <w:rPr>
          <w:rFonts w:ascii="Verdana" w:hAnsi="Verdana"/>
          <w:sz w:val="20"/>
          <w:szCs w:val="20"/>
        </w:rPr>
      </w:pPr>
      <w:r>
        <w:rPr>
          <w:rFonts w:ascii="Verdana" w:hAnsi="Verdana"/>
          <w:sz w:val="20"/>
          <w:szCs w:val="20"/>
        </w:rPr>
        <w:t>17</w:t>
      </w:r>
      <w:r w:rsidR="00B854B6">
        <w:rPr>
          <w:rFonts w:ascii="Verdana" w:hAnsi="Verdana"/>
          <w:sz w:val="20"/>
          <w:szCs w:val="20"/>
        </w:rPr>
        <w:t>5</w:t>
      </w:r>
      <w:r>
        <w:rPr>
          <w:rFonts w:ascii="Verdana" w:hAnsi="Verdana"/>
          <w:sz w:val="20"/>
          <w:szCs w:val="20"/>
        </w:rPr>
        <w:t xml:space="preserve">. </w:t>
      </w:r>
      <w:r>
        <w:rPr>
          <w:rFonts w:ascii="Verdana" w:hAnsi="Verdana"/>
          <w:sz w:val="20"/>
          <w:szCs w:val="20"/>
        </w:rPr>
        <w:tab/>
      </w:r>
      <w:r w:rsidR="005A2280" w:rsidRPr="005A2280">
        <w:rPr>
          <w:rFonts w:ascii="Verdana" w:hAnsi="Verdana"/>
          <w:sz w:val="20"/>
          <w:szCs w:val="20"/>
        </w:rPr>
        <w:t xml:space="preserve">En la evaluación entre necesidades actuales y proyecciones futuras, los Estados deben tener en cuenta, no solo los principios de precaución y prevención; sino también la regla </w:t>
      </w:r>
      <w:r w:rsidR="005A2280" w:rsidRPr="00C720F4">
        <w:rPr>
          <w:rFonts w:ascii="Verdana" w:hAnsi="Verdana"/>
          <w:i/>
          <w:iCs/>
          <w:sz w:val="20"/>
          <w:szCs w:val="20"/>
        </w:rPr>
        <w:t>in dubio pro natura</w:t>
      </w:r>
      <w:r w:rsidR="005A2280" w:rsidRPr="005A2280">
        <w:rPr>
          <w:rFonts w:ascii="Verdana" w:hAnsi="Verdana"/>
          <w:sz w:val="20"/>
          <w:szCs w:val="20"/>
        </w:rPr>
        <w:t>, como pauta hermenéutica dirigida a la autoridad administrativa o judicial y que, ante casos de vacíos</w:t>
      </w:r>
      <w:r w:rsidR="00BB3784">
        <w:rPr>
          <w:rFonts w:ascii="Verdana" w:hAnsi="Verdana"/>
          <w:sz w:val="20"/>
          <w:szCs w:val="20"/>
        </w:rPr>
        <w:t xml:space="preserve"> normativos</w:t>
      </w:r>
      <w:r w:rsidR="005A2280" w:rsidRPr="005A2280">
        <w:rPr>
          <w:rFonts w:ascii="Verdana" w:hAnsi="Verdana"/>
          <w:sz w:val="20"/>
          <w:szCs w:val="20"/>
        </w:rPr>
        <w:t xml:space="preserve"> o de dudas interpretativas, impone optar por aquella solución más tuitiva del ambiente.</w:t>
      </w:r>
    </w:p>
    <w:p w14:paraId="363C0F92" w14:textId="77777777" w:rsidR="005A2280" w:rsidRPr="005A2280" w:rsidRDefault="005A2280" w:rsidP="005A2280">
      <w:pPr>
        <w:pStyle w:val="Prrafodelista"/>
        <w:ind w:left="0"/>
        <w:jc w:val="both"/>
        <w:rPr>
          <w:rFonts w:ascii="Verdana" w:hAnsi="Verdana"/>
          <w:sz w:val="20"/>
          <w:szCs w:val="20"/>
        </w:rPr>
      </w:pPr>
    </w:p>
    <w:p w14:paraId="55A105ED" w14:textId="3928A11A" w:rsidR="005A2280" w:rsidRDefault="001C6D9A" w:rsidP="001C6D9A">
      <w:pPr>
        <w:pStyle w:val="Prrafodelista"/>
        <w:ind w:left="0"/>
        <w:jc w:val="both"/>
        <w:rPr>
          <w:rFonts w:ascii="Verdana" w:hAnsi="Verdana"/>
          <w:sz w:val="20"/>
          <w:szCs w:val="20"/>
        </w:rPr>
      </w:pPr>
      <w:r>
        <w:rPr>
          <w:rFonts w:ascii="Verdana" w:hAnsi="Verdana"/>
          <w:sz w:val="20"/>
          <w:szCs w:val="20"/>
        </w:rPr>
        <w:t>17</w:t>
      </w:r>
      <w:r w:rsidR="00B854B6">
        <w:rPr>
          <w:rFonts w:ascii="Verdana" w:hAnsi="Verdana"/>
          <w:sz w:val="20"/>
          <w:szCs w:val="20"/>
        </w:rPr>
        <w:t>6</w:t>
      </w:r>
      <w:r>
        <w:rPr>
          <w:rFonts w:ascii="Verdana" w:hAnsi="Verdana"/>
          <w:sz w:val="20"/>
          <w:szCs w:val="20"/>
        </w:rPr>
        <w:t xml:space="preserve">. </w:t>
      </w:r>
      <w:r>
        <w:rPr>
          <w:rFonts w:ascii="Verdana" w:hAnsi="Verdana"/>
          <w:sz w:val="20"/>
          <w:szCs w:val="20"/>
        </w:rPr>
        <w:tab/>
      </w:r>
      <w:r w:rsidR="005A2280" w:rsidRPr="005A2280">
        <w:rPr>
          <w:rFonts w:ascii="Verdana" w:hAnsi="Verdana"/>
          <w:sz w:val="20"/>
          <w:szCs w:val="20"/>
        </w:rPr>
        <w:t xml:space="preserve">Dada la particularidad que supone la tutela de las generaciones futuras, los Estados deben asegurar legitimación en procesos judiciales y reclamos por la tutela ambiental, sea a </w:t>
      </w:r>
      <w:r w:rsidR="003F039A" w:rsidRPr="0025291A">
        <w:rPr>
          <w:rFonts w:ascii="Verdana" w:hAnsi="Verdana"/>
          <w:sz w:val="20"/>
          <w:szCs w:val="20"/>
        </w:rPr>
        <w:t xml:space="preserve">organizaciones o </w:t>
      </w:r>
      <w:r w:rsidR="00C720F4" w:rsidRPr="0025291A">
        <w:rPr>
          <w:rFonts w:ascii="Verdana" w:hAnsi="Verdana"/>
          <w:sz w:val="20"/>
          <w:szCs w:val="20"/>
        </w:rPr>
        <w:t xml:space="preserve">personas </w:t>
      </w:r>
      <w:r w:rsidR="005A2280" w:rsidRPr="0025291A">
        <w:rPr>
          <w:rFonts w:ascii="Verdana" w:hAnsi="Verdana"/>
          <w:sz w:val="20"/>
          <w:szCs w:val="20"/>
        </w:rPr>
        <w:t>defensor</w:t>
      </w:r>
      <w:r w:rsidR="00C720F4" w:rsidRPr="0025291A">
        <w:rPr>
          <w:rFonts w:ascii="Verdana" w:hAnsi="Verdana"/>
          <w:sz w:val="20"/>
          <w:szCs w:val="20"/>
        </w:rPr>
        <w:t>a</w:t>
      </w:r>
      <w:r w:rsidR="005A2280" w:rsidRPr="0025291A">
        <w:rPr>
          <w:rFonts w:ascii="Verdana" w:hAnsi="Verdana"/>
          <w:sz w:val="20"/>
          <w:szCs w:val="20"/>
        </w:rPr>
        <w:t xml:space="preserve">s de derechos humanos, generaciones presentes o al </w:t>
      </w:r>
      <w:r w:rsidR="005A2280" w:rsidRPr="0025291A">
        <w:rPr>
          <w:rFonts w:ascii="Verdana" w:hAnsi="Verdana"/>
          <w:i/>
          <w:iCs/>
          <w:sz w:val="20"/>
          <w:szCs w:val="20"/>
        </w:rPr>
        <w:t>ombuds</w:t>
      </w:r>
      <w:r w:rsidR="00C720F4" w:rsidRPr="0025291A">
        <w:rPr>
          <w:rFonts w:ascii="Verdana" w:hAnsi="Verdana"/>
          <w:i/>
          <w:iCs/>
          <w:sz w:val="20"/>
          <w:szCs w:val="20"/>
        </w:rPr>
        <w:t>person</w:t>
      </w:r>
      <w:r w:rsidR="005A2280" w:rsidRPr="0025291A">
        <w:rPr>
          <w:rFonts w:ascii="Verdana" w:hAnsi="Verdana"/>
          <w:sz w:val="20"/>
          <w:szCs w:val="20"/>
        </w:rPr>
        <w:t xml:space="preserve"> o </w:t>
      </w:r>
      <w:r w:rsidR="00FF0734" w:rsidRPr="0025291A">
        <w:rPr>
          <w:rFonts w:ascii="Verdana" w:hAnsi="Verdana"/>
          <w:sz w:val="20"/>
          <w:szCs w:val="20"/>
        </w:rPr>
        <w:t>instituciones</w:t>
      </w:r>
      <w:r w:rsidR="00FF0734">
        <w:rPr>
          <w:rFonts w:ascii="Verdana" w:hAnsi="Verdana"/>
          <w:sz w:val="20"/>
          <w:szCs w:val="20"/>
        </w:rPr>
        <w:t xml:space="preserve"> </w:t>
      </w:r>
      <w:r w:rsidR="005A2280" w:rsidRPr="005A2280">
        <w:rPr>
          <w:rFonts w:ascii="Verdana" w:hAnsi="Verdana"/>
          <w:sz w:val="20"/>
          <w:szCs w:val="20"/>
        </w:rPr>
        <w:t>semejantes.</w:t>
      </w:r>
    </w:p>
    <w:p w14:paraId="412E6902" w14:textId="77777777" w:rsidR="001C6D9A" w:rsidRPr="001C6D9A" w:rsidRDefault="001C6D9A" w:rsidP="001C6D9A">
      <w:pPr>
        <w:pStyle w:val="Prrafodelista"/>
        <w:rPr>
          <w:rFonts w:ascii="Verdana" w:hAnsi="Verdana"/>
          <w:sz w:val="20"/>
          <w:szCs w:val="20"/>
        </w:rPr>
      </w:pPr>
    </w:p>
    <w:p w14:paraId="0BCBE30C" w14:textId="4D974E3B" w:rsidR="001C6D9A" w:rsidRPr="00354B1E" w:rsidRDefault="001C6D9A" w:rsidP="001C6D9A">
      <w:pPr>
        <w:pStyle w:val="PrrafodeSentencia"/>
        <w:numPr>
          <w:ilvl w:val="0"/>
          <w:numId w:val="0"/>
        </w:numPr>
        <w:tabs>
          <w:tab w:val="clear" w:pos="567"/>
        </w:tabs>
        <w:rPr>
          <w:lang w:val="es-ES"/>
        </w:rPr>
      </w:pPr>
      <w:r>
        <w:rPr>
          <w:lang w:val="es-ES"/>
        </w:rPr>
        <w:t>1</w:t>
      </w:r>
      <w:r w:rsidR="0093275C">
        <w:rPr>
          <w:lang w:val="es-ES"/>
        </w:rPr>
        <w:t>7</w:t>
      </w:r>
      <w:r w:rsidR="00B854B6">
        <w:rPr>
          <w:lang w:val="es-ES"/>
        </w:rPr>
        <w:t>7</w:t>
      </w:r>
      <w:r>
        <w:rPr>
          <w:lang w:val="es-ES"/>
        </w:rPr>
        <w:t xml:space="preserve">. </w:t>
      </w:r>
      <w:r>
        <w:rPr>
          <w:lang w:val="es-ES"/>
        </w:rPr>
        <w:tab/>
        <w:t xml:space="preserve">En suma, </w:t>
      </w:r>
      <w:r w:rsidRPr="00354B1E">
        <w:rPr>
          <w:lang w:val="es-ES"/>
        </w:rPr>
        <w:t>el caso</w:t>
      </w:r>
      <w:r w:rsidR="003F039A">
        <w:rPr>
          <w:lang w:val="es-ES"/>
        </w:rPr>
        <w:t xml:space="preserve"> </w:t>
      </w:r>
      <w:r w:rsidR="00F76B5C">
        <w:rPr>
          <w:bCs/>
          <w:i/>
          <w:iCs/>
          <w:szCs w:val="20"/>
          <w:lang w:val="es-ES"/>
        </w:rPr>
        <w:t>Habitantes de</w:t>
      </w:r>
      <w:r w:rsidR="003F039A" w:rsidRPr="007E2DAF">
        <w:rPr>
          <w:bCs/>
          <w:i/>
          <w:iCs/>
          <w:szCs w:val="20"/>
          <w:lang w:val="es-ES"/>
        </w:rPr>
        <w:t xml:space="preserve"> La Oroya </w:t>
      </w:r>
      <w:r w:rsidRPr="00354B1E">
        <w:rPr>
          <w:lang w:val="es-ES"/>
        </w:rPr>
        <w:t>se inserta en una decisión más en la era jurisprudencia</w:t>
      </w:r>
      <w:r>
        <w:rPr>
          <w:lang w:val="es-ES"/>
        </w:rPr>
        <w:t>l</w:t>
      </w:r>
      <w:r w:rsidRPr="00354B1E">
        <w:rPr>
          <w:lang w:val="es-ES"/>
        </w:rPr>
        <w:t xml:space="preserve"> de la justiciabilidad directa de los DESCA ante el Tribunal Interamericano</w:t>
      </w:r>
      <w:r w:rsidR="0047214C">
        <w:rPr>
          <w:lang w:val="es-ES"/>
        </w:rPr>
        <w:t xml:space="preserve"> —</w:t>
      </w:r>
      <w:r w:rsidR="0093275C" w:rsidRPr="0025291A">
        <w:rPr>
          <w:lang w:val="es-ES"/>
        </w:rPr>
        <w:t xml:space="preserve">en un momento de especial preocupación </w:t>
      </w:r>
      <w:r w:rsidR="00E5093A" w:rsidRPr="0025291A">
        <w:rPr>
          <w:lang w:val="es-ES"/>
        </w:rPr>
        <w:t xml:space="preserve">global </w:t>
      </w:r>
      <w:r w:rsidR="0093275C" w:rsidRPr="0025291A">
        <w:rPr>
          <w:lang w:val="es-ES"/>
        </w:rPr>
        <w:t>por el futuro de la humanidad</w:t>
      </w:r>
      <w:r w:rsidR="0047214C">
        <w:rPr>
          <w:lang w:val="es-ES"/>
        </w:rPr>
        <w:t>—</w:t>
      </w:r>
      <w:r w:rsidR="0093275C" w:rsidRPr="0025291A">
        <w:rPr>
          <w:lang w:val="es-ES"/>
        </w:rPr>
        <w:t xml:space="preserve">, lo que seguramente </w:t>
      </w:r>
      <w:r w:rsidRPr="0025291A">
        <w:rPr>
          <w:lang w:val="es-ES"/>
        </w:rPr>
        <w:t xml:space="preserve">se verá complementado </w:t>
      </w:r>
      <w:r w:rsidR="0093275C" w:rsidRPr="0025291A">
        <w:rPr>
          <w:lang w:val="es-ES"/>
        </w:rPr>
        <w:t xml:space="preserve">por la Corte IDH </w:t>
      </w:r>
      <w:r w:rsidRPr="0025291A">
        <w:rPr>
          <w:lang w:val="es-ES"/>
        </w:rPr>
        <w:t>en la reciente solicitud de Opinión Consultiva presentada por Colombia y Chile</w:t>
      </w:r>
      <w:r w:rsidR="0093275C" w:rsidRPr="0025291A">
        <w:rPr>
          <w:lang w:val="es-ES"/>
        </w:rPr>
        <w:t>,</w:t>
      </w:r>
      <w:r w:rsidRPr="0025291A">
        <w:rPr>
          <w:lang w:val="es-ES"/>
        </w:rPr>
        <w:t xml:space="preserve"> sobre </w:t>
      </w:r>
      <w:r w:rsidR="003F039A" w:rsidRPr="0047214C">
        <w:rPr>
          <w:i/>
          <w:iCs/>
          <w:lang w:val="es-ES"/>
        </w:rPr>
        <w:t>Emergencia Climática y Derechos Humanos</w:t>
      </w:r>
      <w:r w:rsidR="003F039A" w:rsidRPr="0025291A">
        <w:rPr>
          <w:lang w:val="es-ES"/>
        </w:rPr>
        <w:t>,</w:t>
      </w:r>
      <w:r w:rsidR="003F039A">
        <w:rPr>
          <w:lang w:val="es-ES"/>
        </w:rPr>
        <w:t xml:space="preserve"> </w:t>
      </w:r>
      <w:r w:rsidRPr="00354B1E">
        <w:rPr>
          <w:lang w:val="es-ES"/>
        </w:rPr>
        <w:t xml:space="preserve">en el Sistema Interamericano. </w:t>
      </w:r>
    </w:p>
    <w:p w14:paraId="02F0D3DE" w14:textId="01CDC774" w:rsidR="005A2280" w:rsidRDefault="005A2280" w:rsidP="005A2280">
      <w:pPr>
        <w:pStyle w:val="Prrafodelista"/>
        <w:tabs>
          <w:tab w:val="left" w:pos="709"/>
          <w:tab w:val="left" w:pos="4824"/>
        </w:tabs>
        <w:ind w:left="0"/>
        <w:jc w:val="both"/>
        <w:rPr>
          <w:rFonts w:ascii="Verdana" w:hAnsi="Verdana"/>
          <w:sz w:val="20"/>
          <w:szCs w:val="20"/>
          <w:lang w:val="es-ES"/>
        </w:rPr>
      </w:pPr>
    </w:p>
    <w:p w14:paraId="4E696EDA" w14:textId="7B800CF7" w:rsidR="001C6D9A" w:rsidRDefault="001C6D9A" w:rsidP="005A2280">
      <w:pPr>
        <w:pStyle w:val="Prrafodelista"/>
        <w:tabs>
          <w:tab w:val="left" w:pos="709"/>
          <w:tab w:val="left" w:pos="4824"/>
        </w:tabs>
        <w:ind w:left="0"/>
        <w:jc w:val="both"/>
        <w:rPr>
          <w:rFonts w:ascii="Verdana" w:hAnsi="Verdana"/>
          <w:sz w:val="20"/>
          <w:szCs w:val="20"/>
          <w:lang w:val="es-ES"/>
        </w:rPr>
      </w:pPr>
    </w:p>
    <w:p w14:paraId="3CF89458" w14:textId="77777777" w:rsidR="009C2C1B" w:rsidRDefault="009C2C1B" w:rsidP="005A2280">
      <w:pPr>
        <w:pStyle w:val="Prrafodelista"/>
        <w:tabs>
          <w:tab w:val="left" w:pos="709"/>
          <w:tab w:val="left" w:pos="4824"/>
        </w:tabs>
        <w:ind w:left="0"/>
        <w:jc w:val="both"/>
        <w:rPr>
          <w:rFonts w:ascii="Verdana" w:hAnsi="Verdana"/>
          <w:sz w:val="20"/>
          <w:szCs w:val="20"/>
          <w:lang w:val="es-ES"/>
        </w:rPr>
      </w:pPr>
    </w:p>
    <w:p w14:paraId="21840E94" w14:textId="77777777" w:rsidR="009C2C1B" w:rsidRDefault="009C2C1B" w:rsidP="005A2280">
      <w:pPr>
        <w:pStyle w:val="Prrafodelista"/>
        <w:tabs>
          <w:tab w:val="left" w:pos="709"/>
          <w:tab w:val="left" w:pos="4824"/>
        </w:tabs>
        <w:ind w:left="0"/>
        <w:jc w:val="both"/>
        <w:rPr>
          <w:rFonts w:ascii="Verdana" w:hAnsi="Verdana"/>
          <w:sz w:val="20"/>
          <w:szCs w:val="20"/>
          <w:lang w:val="es-ES"/>
        </w:rPr>
      </w:pPr>
    </w:p>
    <w:p w14:paraId="6A6E1AAB" w14:textId="3AE89751" w:rsidR="009C2C1B" w:rsidRDefault="00FE4DE7" w:rsidP="005A2280">
      <w:pPr>
        <w:pStyle w:val="Prrafodelista"/>
        <w:tabs>
          <w:tab w:val="left" w:pos="709"/>
          <w:tab w:val="left" w:pos="4824"/>
        </w:tabs>
        <w:ind w:left="0"/>
        <w:jc w:val="both"/>
        <w:rPr>
          <w:rFonts w:ascii="Verdana" w:hAnsi="Verdana"/>
          <w:sz w:val="20"/>
          <w:szCs w:val="20"/>
          <w:lang w:val="es-ES"/>
        </w:rPr>
      </w:pPr>
      <w:r>
        <w:rPr>
          <w:noProof/>
        </w:rPr>
        <w:drawing>
          <wp:anchor distT="0" distB="0" distL="114300" distR="114300" simplePos="0" relativeHeight="251667456" behindDoc="0" locked="0" layoutInCell="1" allowOverlap="1" wp14:anchorId="7CF22EC4" wp14:editId="32E7EF37">
            <wp:simplePos x="0" y="0"/>
            <wp:positionH relativeFrom="column">
              <wp:posOffset>3905250</wp:posOffset>
            </wp:positionH>
            <wp:positionV relativeFrom="paragraph">
              <wp:posOffset>121920</wp:posOffset>
            </wp:positionV>
            <wp:extent cx="1426845" cy="1145540"/>
            <wp:effectExtent l="0" t="0" r="1905" b="0"/>
            <wp:wrapNone/>
            <wp:docPr id="450517425" name="Imagen 45051742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6845" cy="1145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21EB4" w14:textId="465AF974" w:rsidR="009C2C1B" w:rsidRDefault="00FE4DE7" w:rsidP="005A2280">
      <w:pPr>
        <w:pStyle w:val="Prrafodelista"/>
        <w:tabs>
          <w:tab w:val="left" w:pos="709"/>
          <w:tab w:val="left" w:pos="4824"/>
        </w:tabs>
        <w:ind w:left="0"/>
        <w:jc w:val="both"/>
        <w:rPr>
          <w:rFonts w:ascii="Verdana" w:hAnsi="Verdana"/>
          <w:sz w:val="20"/>
          <w:szCs w:val="20"/>
          <w:lang w:val="es-ES"/>
        </w:rPr>
      </w:pPr>
      <w:r>
        <w:rPr>
          <w:noProof/>
        </w:rPr>
        <w:drawing>
          <wp:anchor distT="0" distB="0" distL="114300" distR="114300" simplePos="0" relativeHeight="251665408" behindDoc="1" locked="0" layoutInCell="1" allowOverlap="1" wp14:anchorId="7DD2AF77" wp14:editId="758C9EE3">
            <wp:simplePos x="0" y="0"/>
            <wp:positionH relativeFrom="column">
              <wp:posOffset>123825</wp:posOffset>
            </wp:positionH>
            <wp:positionV relativeFrom="paragraph">
              <wp:posOffset>83820</wp:posOffset>
            </wp:positionV>
            <wp:extent cx="1853642" cy="825500"/>
            <wp:effectExtent l="0" t="0" r="0" b="0"/>
            <wp:wrapNone/>
            <wp:docPr id="1555238914" name="Imagen 1555238914" descr="Un insect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insecto de color negro&#10;&#10;Descripción generada automáticamente con confianza m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3642"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6BB1B2" w14:textId="56DA4213" w:rsidR="009C2C1B" w:rsidRDefault="009C2C1B" w:rsidP="005A2280">
      <w:pPr>
        <w:pStyle w:val="Prrafodelista"/>
        <w:tabs>
          <w:tab w:val="left" w:pos="709"/>
          <w:tab w:val="left" w:pos="4824"/>
        </w:tabs>
        <w:ind w:left="0"/>
        <w:jc w:val="both"/>
        <w:rPr>
          <w:rFonts w:ascii="Verdana" w:hAnsi="Verdana"/>
          <w:sz w:val="20"/>
          <w:szCs w:val="20"/>
          <w:lang w:val="es-ES"/>
        </w:rPr>
      </w:pPr>
    </w:p>
    <w:p w14:paraId="691A2165" w14:textId="38535261" w:rsidR="009C2C1B" w:rsidRDefault="009C2C1B" w:rsidP="005A2280">
      <w:pPr>
        <w:pStyle w:val="Prrafodelista"/>
        <w:tabs>
          <w:tab w:val="left" w:pos="709"/>
          <w:tab w:val="left" w:pos="4824"/>
        </w:tabs>
        <w:ind w:left="0"/>
        <w:jc w:val="both"/>
        <w:rPr>
          <w:rFonts w:ascii="Verdana" w:hAnsi="Verdana"/>
          <w:sz w:val="20"/>
          <w:szCs w:val="20"/>
          <w:lang w:val="es-ES"/>
        </w:rPr>
      </w:pPr>
    </w:p>
    <w:p w14:paraId="7A7E5058" w14:textId="2E6A310D" w:rsidR="001C6D9A" w:rsidRDefault="001C6D9A" w:rsidP="005A2280">
      <w:pPr>
        <w:pStyle w:val="Prrafodelista"/>
        <w:tabs>
          <w:tab w:val="left" w:pos="709"/>
          <w:tab w:val="left" w:pos="4824"/>
        </w:tabs>
        <w:ind w:left="0"/>
        <w:jc w:val="both"/>
        <w:rPr>
          <w:rFonts w:ascii="Verdana" w:hAnsi="Verdana"/>
          <w:sz w:val="20"/>
          <w:szCs w:val="20"/>
          <w:lang w:val="es-ES"/>
        </w:rPr>
      </w:pPr>
    </w:p>
    <w:p w14:paraId="41012B41" w14:textId="6DE8B566" w:rsidR="001C6D9A" w:rsidRDefault="001C6D9A" w:rsidP="005A2280">
      <w:pPr>
        <w:pStyle w:val="Prrafodelista"/>
        <w:tabs>
          <w:tab w:val="left" w:pos="709"/>
          <w:tab w:val="left" w:pos="4824"/>
        </w:tabs>
        <w:ind w:left="0"/>
        <w:jc w:val="both"/>
        <w:rPr>
          <w:rFonts w:ascii="Verdana" w:hAnsi="Verdana"/>
          <w:sz w:val="20"/>
          <w:szCs w:val="20"/>
          <w:lang w:val="es-ES"/>
        </w:rPr>
      </w:pPr>
    </w:p>
    <w:p w14:paraId="370ABD29" w14:textId="32078D83" w:rsidR="001C6D9A" w:rsidRDefault="001C6D9A" w:rsidP="005A2280">
      <w:pPr>
        <w:pStyle w:val="Prrafodelista"/>
        <w:tabs>
          <w:tab w:val="left" w:pos="709"/>
          <w:tab w:val="left" w:pos="4824"/>
        </w:tabs>
        <w:ind w:left="0"/>
        <w:jc w:val="both"/>
        <w:rPr>
          <w:rFonts w:ascii="Verdana" w:hAnsi="Verdana"/>
          <w:sz w:val="20"/>
          <w:szCs w:val="20"/>
          <w:lang w:val="es-ES"/>
        </w:rPr>
      </w:pPr>
    </w:p>
    <w:p w14:paraId="51AC45C0" w14:textId="4BFA2784" w:rsidR="001C6D9A" w:rsidRPr="0055554A" w:rsidRDefault="001C6D9A" w:rsidP="00B67326">
      <w:pPr>
        <w:jc w:val="center"/>
        <w:rPr>
          <w:rFonts w:ascii="Verdana" w:hAnsi="Verdana"/>
          <w:sz w:val="20"/>
          <w:szCs w:val="20"/>
          <w:lang w:val="pt-BR"/>
        </w:rPr>
      </w:pPr>
      <w:r w:rsidRPr="0055554A">
        <w:rPr>
          <w:rFonts w:ascii="Verdana" w:hAnsi="Verdana"/>
          <w:sz w:val="20"/>
          <w:szCs w:val="20"/>
          <w:lang w:val="pt-BR"/>
        </w:rPr>
        <w:t>Ricardo C. Pérez Manrique</w:t>
      </w:r>
      <w:r w:rsidRPr="0055554A">
        <w:rPr>
          <w:rFonts w:ascii="Verdana" w:hAnsi="Verdana"/>
          <w:sz w:val="20"/>
          <w:szCs w:val="20"/>
          <w:lang w:val="pt-BR"/>
        </w:rPr>
        <w:tab/>
      </w:r>
      <w:r w:rsidRPr="0055554A">
        <w:rPr>
          <w:rFonts w:ascii="Verdana" w:hAnsi="Verdana"/>
          <w:sz w:val="20"/>
          <w:szCs w:val="20"/>
          <w:lang w:val="pt-BR"/>
        </w:rPr>
        <w:tab/>
      </w:r>
      <w:r w:rsidRPr="0055554A">
        <w:rPr>
          <w:rFonts w:ascii="Verdana" w:hAnsi="Verdana"/>
          <w:sz w:val="20"/>
          <w:szCs w:val="20"/>
          <w:lang w:val="pt-BR"/>
        </w:rPr>
        <w:tab/>
      </w:r>
      <w:r w:rsidRPr="0055554A">
        <w:rPr>
          <w:rFonts w:ascii="Verdana" w:hAnsi="Verdana"/>
          <w:sz w:val="20"/>
          <w:szCs w:val="20"/>
          <w:lang w:val="pt-BR"/>
        </w:rPr>
        <w:tab/>
        <w:t xml:space="preserve">   </w:t>
      </w:r>
      <w:r w:rsidR="00C720F4">
        <w:rPr>
          <w:rFonts w:ascii="Verdana" w:hAnsi="Verdana"/>
          <w:sz w:val="20"/>
          <w:szCs w:val="20"/>
          <w:lang w:val="pt-BR"/>
        </w:rPr>
        <w:t xml:space="preserve">  </w:t>
      </w:r>
      <w:r w:rsidRPr="0055554A">
        <w:rPr>
          <w:rFonts w:ascii="Verdana" w:hAnsi="Verdana"/>
          <w:sz w:val="20"/>
          <w:szCs w:val="20"/>
          <w:lang w:val="pt-BR"/>
        </w:rPr>
        <w:t>Eduardo Ferrer Mac-Grego</w:t>
      </w:r>
      <w:r w:rsidR="00B67326">
        <w:rPr>
          <w:rFonts w:ascii="Verdana" w:hAnsi="Verdana"/>
          <w:sz w:val="20"/>
          <w:szCs w:val="20"/>
          <w:lang w:val="pt-BR"/>
        </w:rPr>
        <w:t xml:space="preserve">r      </w:t>
      </w:r>
    </w:p>
    <w:p w14:paraId="58FCBB4D" w14:textId="54663977" w:rsidR="001C6D9A" w:rsidRPr="0055554A" w:rsidRDefault="001C6D9A" w:rsidP="001C6D9A">
      <w:pPr>
        <w:rPr>
          <w:rFonts w:ascii="Verdana" w:hAnsi="Verdana"/>
          <w:sz w:val="20"/>
          <w:szCs w:val="20"/>
        </w:rPr>
      </w:pPr>
      <w:r w:rsidRPr="0055554A">
        <w:rPr>
          <w:rFonts w:ascii="Verdana" w:hAnsi="Verdana"/>
          <w:sz w:val="20"/>
          <w:szCs w:val="20"/>
          <w:lang w:val="pt-BR"/>
        </w:rPr>
        <w:t xml:space="preserve">                </w:t>
      </w:r>
      <w:r w:rsidR="0055554A">
        <w:rPr>
          <w:rFonts w:ascii="Verdana" w:hAnsi="Verdana"/>
          <w:sz w:val="20"/>
          <w:szCs w:val="20"/>
          <w:lang w:val="pt-BR"/>
        </w:rPr>
        <w:t xml:space="preserve">  </w:t>
      </w:r>
      <w:r w:rsidRPr="0055554A">
        <w:rPr>
          <w:rFonts w:ascii="Verdana" w:hAnsi="Verdana"/>
          <w:sz w:val="20"/>
          <w:szCs w:val="20"/>
          <w:lang w:val="pt-BR"/>
        </w:rPr>
        <w:t xml:space="preserve">Juez                                                                       </w:t>
      </w:r>
      <w:r w:rsidRPr="0055554A">
        <w:rPr>
          <w:rFonts w:ascii="Verdana" w:hAnsi="Verdana"/>
          <w:sz w:val="20"/>
          <w:szCs w:val="20"/>
        </w:rPr>
        <w:t>Juez</w:t>
      </w:r>
    </w:p>
    <w:p w14:paraId="72AA7008" w14:textId="2300E171" w:rsidR="001C6D9A" w:rsidRPr="0055554A" w:rsidRDefault="001C6D9A" w:rsidP="001C6D9A">
      <w:pPr>
        <w:ind w:left="5040"/>
        <w:jc w:val="center"/>
        <w:rPr>
          <w:rFonts w:ascii="Verdana" w:hAnsi="Verdana"/>
          <w:sz w:val="20"/>
          <w:szCs w:val="20"/>
        </w:rPr>
      </w:pPr>
    </w:p>
    <w:p w14:paraId="0F98D4CD" w14:textId="126B60C4" w:rsidR="001C6D9A" w:rsidRPr="0055554A" w:rsidRDefault="00FE4DE7" w:rsidP="001C6D9A">
      <w:pPr>
        <w:rPr>
          <w:rFonts w:ascii="Verdana" w:hAnsi="Verdana"/>
          <w:sz w:val="20"/>
          <w:szCs w:val="20"/>
        </w:rPr>
      </w:pPr>
      <w:r>
        <w:rPr>
          <w:rFonts w:ascii="Verdana" w:hAnsi="Verdana"/>
          <w:noProof/>
          <w:sz w:val="20"/>
          <w:lang w:val="es-CR"/>
        </w:rPr>
        <w:drawing>
          <wp:anchor distT="0" distB="0" distL="114300" distR="114300" simplePos="0" relativeHeight="251669504" behindDoc="1" locked="0" layoutInCell="1" allowOverlap="1" wp14:anchorId="04B082AE" wp14:editId="7B1937B7">
            <wp:simplePos x="0" y="0"/>
            <wp:positionH relativeFrom="margin">
              <wp:posOffset>1759585</wp:posOffset>
            </wp:positionH>
            <wp:positionV relativeFrom="paragraph">
              <wp:posOffset>12700</wp:posOffset>
            </wp:positionV>
            <wp:extent cx="2145665" cy="510540"/>
            <wp:effectExtent l="0" t="0" r="6985" b="3810"/>
            <wp:wrapNone/>
            <wp:docPr id="8" name="Imagen 8"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exto, Carta&#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2145665" cy="510540"/>
                    </a:xfrm>
                    <a:prstGeom prst="rect">
                      <a:avLst/>
                    </a:prstGeom>
                  </pic:spPr>
                </pic:pic>
              </a:graphicData>
            </a:graphic>
            <wp14:sizeRelH relativeFrom="page">
              <wp14:pctWidth>0</wp14:pctWidth>
            </wp14:sizeRelH>
            <wp14:sizeRelV relativeFrom="page">
              <wp14:pctHeight>0</wp14:pctHeight>
            </wp14:sizeRelV>
          </wp:anchor>
        </w:drawing>
      </w:r>
    </w:p>
    <w:p w14:paraId="7528738B" w14:textId="2CC34EEA" w:rsidR="001C6D9A" w:rsidRPr="0055554A" w:rsidRDefault="001C6D9A" w:rsidP="001C6D9A">
      <w:pPr>
        <w:rPr>
          <w:rFonts w:ascii="Verdana" w:hAnsi="Verdana"/>
          <w:sz w:val="20"/>
          <w:szCs w:val="20"/>
        </w:rPr>
      </w:pPr>
    </w:p>
    <w:p w14:paraId="2BE588BE" w14:textId="4B4E359B" w:rsidR="001C6D9A" w:rsidRPr="0055554A" w:rsidRDefault="001C6D9A" w:rsidP="001C6D9A">
      <w:pPr>
        <w:rPr>
          <w:rFonts w:ascii="Verdana" w:hAnsi="Verdana"/>
          <w:sz w:val="20"/>
          <w:szCs w:val="20"/>
        </w:rPr>
      </w:pPr>
    </w:p>
    <w:p w14:paraId="482CF012" w14:textId="7A8C646B" w:rsidR="0055554A" w:rsidRDefault="00B67326" w:rsidP="001C6D9A">
      <w:pPr>
        <w:jc w:val="center"/>
        <w:rPr>
          <w:rFonts w:ascii="Verdana" w:hAnsi="Verdana"/>
          <w:sz w:val="20"/>
          <w:szCs w:val="20"/>
        </w:rPr>
      </w:pPr>
      <w:r>
        <w:rPr>
          <w:rFonts w:ascii="Verdana" w:hAnsi="Verdana"/>
          <w:sz w:val="20"/>
          <w:szCs w:val="20"/>
        </w:rPr>
        <w:t xml:space="preserve">     </w:t>
      </w:r>
      <w:r w:rsidR="001C6D9A" w:rsidRPr="0055554A">
        <w:rPr>
          <w:rFonts w:ascii="Verdana" w:hAnsi="Verdana"/>
          <w:sz w:val="20"/>
          <w:szCs w:val="20"/>
        </w:rPr>
        <w:t xml:space="preserve">Rodrigo Mudrovitsch </w:t>
      </w:r>
    </w:p>
    <w:p w14:paraId="1FBBB492" w14:textId="74CA1749" w:rsidR="001C6D9A" w:rsidRPr="0055554A" w:rsidRDefault="00B67326" w:rsidP="001C6D9A">
      <w:pPr>
        <w:jc w:val="center"/>
        <w:rPr>
          <w:rFonts w:ascii="Verdana" w:hAnsi="Verdana"/>
          <w:sz w:val="20"/>
          <w:szCs w:val="20"/>
        </w:rPr>
      </w:pPr>
      <w:r>
        <w:rPr>
          <w:rFonts w:ascii="Verdana" w:hAnsi="Verdana"/>
          <w:sz w:val="20"/>
          <w:szCs w:val="20"/>
        </w:rPr>
        <w:t xml:space="preserve">     </w:t>
      </w:r>
      <w:r w:rsidR="001C6D9A" w:rsidRPr="0055554A">
        <w:rPr>
          <w:rFonts w:ascii="Verdana" w:hAnsi="Verdana"/>
          <w:sz w:val="20"/>
          <w:szCs w:val="20"/>
        </w:rPr>
        <w:t>Juez</w:t>
      </w:r>
    </w:p>
    <w:p w14:paraId="7F0B0CD1" w14:textId="77777777" w:rsidR="001C6D9A" w:rsidRPr="0055554A" w:rsidRDefault="001C6D9A" w:rsidP="001C6D9A">
      <w:pPr>
        <w:rPr>
          <w:rFonts w:ascii="Verdana" w:hAnsi="Verdana"/>
          <w:sz w:val="20"/>
          <w:szCs w:val="20"/>
        </w:rPr>
      </w:pPr>
    </w:p>
    <w:p w14:paraId="74FF2936" w14:textId="77777777" w:rsidR="001C6D9A" w:rsidRPr="0055554A" w:rsidRDefault="001C6D9A" w:rsidP="001C6D9A">
      <w:pPr>
        <w:rPr>
          <w:rFonts w:ascii="Verdana" w:hAnsi="Verdana"/>
          <w:sz w:val="20"/>
          <w:szCs w:val="20"/>
        </w:rPr>
      </w:pPr>
    </w:p>
    <w:p w14:paraId="665D874F" w14:textId="77777777" w:rsidR="001C6D9A" w:rsidRPr="0055554A" w:rsidRDefault="001C6D9A" w:rsidP="001C6D9A">
      <w:pPr>
        <w:rPr>
          <w:rFonts w:ascii="Verdana" w:hAnsi="Verdana"/>
          <w:sz w:val="20"/>
          <w:szCs w:val="20"/>
        </w:rPr>
      </w:pPr>
    </w:p>
    <w:p w14:paraId="46024463" w14:textId="059AD140" w:rsidR="001C6D9A" w:rsidRPr="0055554A" w:rsidRDefault="00FE4DE7" w:rsidP="001C6D9A">
      <w:pPr>
        <w:rPr>
          <w:rFonts w:ascii="Verdana" w:hAnsi="Verdana"/>
          <w:sz w:val="20"/>
          <w:szCs w:val="20"/>
        </w:rPr>
      </w:pPr>
      <w:r w:rsidRPr="00DE3C38">
        <w:rPr>
          <w:rFonts w:ascii="Verdana" w:hAnsi="Verdana"/>
          <w:noProof/>
          <w:sz w:val="20"/>
          <w:lang w:val="es-CR" w:eastAsia="es-CR"/>
        </w:rPr>
        <w:drawing>
          <wp:anchor distT="0" distB="0" distL="114300" distR="114300" simplePos="0" relativeHeight="251671552" behindDoc="1" locked="0" layoutInCell="1" allowOverlap="1" wp14:anchorId="37CBA7E7" wp14:editId="2DB652EA">
            <wp:simplePos x="0" y="0"/>
            <wp:positionH relativeFrom="margin">
              <wp:posOffset>-2540</wp:posOffset>
            </wp:positionH>
            <wp:positionV relativeFrom="paragraph">
              <wp:posOffset>76200</wp:posOffset>
            </wp:positionV>
            <wp:extent cx="1764670" cy="990600"/>
            <wp:effectExtent l="0" t="0" r="0" b="0"/>
            <wp:wrapNone/>
            <wp:docPr id="9" name="0 Imagen"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Imagen en blanco y negro&#10;&#10;Descripción generada automáticamente con confianza medi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4670" cy="990600"/>
                    </a:xfrm>
                    <a:prstGeom prst="rect">
                      <a:avLst/>
                    </a:prstGeom>
                  </pic:spPr>
                </pic:pic>
              </a:graphicData>
            </a:graphic>
            <wp14:sizeRelH relativeFrom="page">
              <wp14:pctWidth>0</wp14:pctWidth>
            </wp14:sizeRelH>
            <wp14:sizeRelV relativeFrom="page">
              <wp14:pctHeight>0</wp14:pctHeight>
            </wp14:sizeRelV>
          </wp:anchor>
        </w:drawing>
      </w:r>
    </w:p>
    <w:p w14:paraId="6EC577CD" w14:textId="1BE7E06F" w:rsidR="001C6D9A" w:rsidRPr="0055554A" w:rsidRDefault="001C6D9A" w:rsidP="001C6D9A">
      <w:pPr>
        <w:rPr>
          <w:rFonts w:ascii="Verdana" w:hAnsi="Verdana"/>
          <w:sz w:val="20"/>
          <w:szCs w:val="20"/>
        </w:rPr>
      </w:pPr>
    </w:p>
    <w:p w14:paraId="031AA67D" w14:textId="02A20060" w:rsidR="003A2EBF" w:rsidRPr="0055554A" w:rsidRDefault="003A2EBF" w:rsidP="001C6D9A">
      <w:pPr>
        <w:rPr>
          <w:rFonts w:ascii="Verdana" w:hAnsi="Verdana"/>
          <w:sz w:val="20"/>
          <w:szCs w:val="20"/>
        </w:rPr>
      </w:pPr>
    </w:p>
    <w:p w14:paraId="0CE039B4" w14:textId="3606CC8D" w:rsidR="00E5093A" w:rsidRPr="0055554A" w:rsidRDefault="00E5093A" w:rsidP="001C6D9A">
      <w:pPr>
        <w:rPr>
          <w:rFonts w:ascii="Verdana" w:hAnsi="Verdana"/>
          <w:sz w:val="20"/>
          <w:szCs w:val="20"/>
        </w:rPr>
      </w:pPr>
    </w:p>
    <w:p w14:paraId="0B637AC0" w14:textId="1D735D45" w:rsidR="00E5093A" w:rsidRPr="0055554A" w:rsidRDefault="00E5093A" w:rsidP="001C6D9A">
      <w:pPr>
        <w:rPr>
          <w:rFonts w:ascii="Verdana" w:hAnsi="Verdana"/>
          <w:sz w:val="20"/>
          <w:szCs w:val="20"/>
        </w:rPr>
      </w:pPr>
    </w:p>
    <w:p w14:paraId="09B97E26" w14:textId="7A7214F4" w:rsidR="001C6D9A" w:rsidRPr="0055554A" w:rsidRDefault="001C6D9A" w:rsidP="001C6D9A">
      <w:pPr>
        <w:rPr>
          <w:rFonts w:ascii="Verdana" w:hAnsi="Verdana"/>
          <w:sz w:val="20"/>
          <w:szCs w:val="20"/>
        </w:rPr>
      </w:pPr>
    </w:p>
    <w:p w14:paraId="1E4A1B0F" w14:textId="57C3CF7C" w:rsidR="001C6D9A" w:rsidRPr="0055554A" w:rsidRDefault="001C6D9A" w:rsidP="001C6D9A">
      <w:pPr>
        <w:rPr>
          <w:rFonts w:ascii="Verdana" w:hAnsi="Verdana"/>
          <w:sz w:val="20"/>
          <w:szCs w:val="20"/>
        </w:rPr>
      </w:pPr>
      <w:r w:rsidRPr="0055554A">
        <w:rPr>
          <w:rFonts w:ascii="Verdana" w:hAnsi="Verdana"/>
          <w:sz w:val="20"/>
          <w:szCs w:val="20"/>
        </w:rPr>
        <w:t xml:space="preserve">Pablo Saavedra Alessandri </w:t>
      </w:r>
      <w:r w:rsidRPr="0055554A">
        <w:rPr>
          <w:rFonts w:ascii="Verdana" w:hAnsi="Verdana"/>
          <w:sz w:val="20"/>
          <w:szCs w:val="20"/>
        </w:rPr>
        <w:br/>
      </w:r>
      <w:r w:rsidR="0055554A">
        <w:rPr>
          <w:rFonts w:ascii="Verdana" w:hAnsi="Verdana"/>
          <w:sz w:val="20"/>
          <w:szCs w:val="20"/>
        </w:rPr>
        <w:t xml:space="preserve">             </w:t>
      </w:r>
      <w:r w:rsidRPr="0055554A">
        <w:rPr>
          <w:rFonts w:ascii="Verdana" w:hAnsi="Verdana"/>
          <w:sz w:val="20"/>
          <w:szCs w:val="20"/>
        </w:rPr>
        <w:t xml:space="preserve">Secretario </w:t>
      </w:r>
    </w:p>
    <w:p w14:paraId="66CC963B" w14:textId="77777777" w:rsidR="001C6D9A" w:rsidRPr="001C6D9A" w:rsidRDefault="001C6D9A" w:rsidP="005A2280">
      <w:pPr>
        <w:pStyle w:val="Prrafodelista"/>
        <w:tabs>
          <w:tab w:val="left" w:pos="709"/>
          <w:tab w:val="left" w:pos="4824"/>
        </w:tabs>
        <w:ind w:left="0"/>
        <w:jc w:val="both"/>
        <w:rPr>
          <w:rFonts w:ascii="Verdana" w:hAnsi="Verdana"/>
          <w:sz w:val="20"/>
          <w:szCs w:val="20"/>
        </w:rPr>
      </w:pPr>
    </w:p>
    <w:sectPr w:rsidR="001C6D9A" w:rsidRPr="001C6D9A" w:rsidSect="00163A2F">
      <w:footerReference w:type="even" r:id="rId12"/>
      <w:footerReference w:type="default" r:id="rId13"/>
      <w:pgSz w:w="12240" w:h="15840"/>
      <w:pgMar w:top="1531" w:right="1814" w:bottom="153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0C59" w14:textId="77777777" w:rsidR="0020171F" w:rsidRDefault="0020171F" w:rsidP="005A1674">
      <w:r>
        <w:separator/>
      </w:r>
    </w:p>
  </w:endnote>
  <w:endnote w:type="continuationSeparator" w:id="0">
    <w:p w14:paraId="064384D4" w14:textId="77777777" w:rsidR="0020171F" w:rsidRDefault="0020171F" w:rsidP="005A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21657086"/>
      <w:docPartObj>
        <w:docPartGallery w:val="Page Numbers (Bottom of Page)"/>
        <w:docPartUnique/>
      </w:docPartObj>
    </w:sdtPr>
    <w:sdtContent>
      <w:p w14:paraId="3062A89C" w14:textId="77777777" w:rsidR="00194342" w:rsidRDefault="00194342" w:rsidP="00FB7AF7">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3EB3360" w14:textId="77777777" w:rsidR="00194342" w:rsidRDefault="00194342" w:rsidP="0048290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29815"/>
      <w:docPartObj>
        <w:docPartGallery w:val="Page Numbers (Bottom of Page)"/>
        <w:docPartUnique/>
      </w:docPartObj>
    </w:sdtPr>
    <w:sdtContent>
      <w:p w14:paraId="14D3EED1" w14:textId="66B8736D" w:rsidR="00194342" w:rsidRDefault="00194342" w:rsidP="00FB7AF7">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F1CB6">
          <w:rPr>
            <w:rStyle w:val="Nmerodepgina"/>
            <w:noProof/>
          </w:rPr>
          <w:t>43</w:t>
        </w:r>
        <w:r>
          <w:rPr>
            <w:rStyle w:val="Nmerodepgina"/>
          </w:rPr>
          <w:fldChar w:fldCharType="end"/>
        </w:r>
      </w:p>
    </w:sdtContent>
  </w:sdt>
  <w:p w14:paraId="217D9734" w14:textId="77777777" w:rsidR="00194342" w:rsidRDefault="00194342" w:rsidP="0048290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75E5" w14:textId="77777777" w:rsidR="0020171F" w:rsidRDefault="0020171F" w:rsidP="005A1674">
      <w:r>
        <w:separator/>
      </w:r>
    </w:p>
  </w:footnote>
  <w:footnote w:type="continuationSeparator" w:id="0">
    <w:p w14:paraId="2A874679" w14:textId="77777777" w:rsidR="0020171F" w:rsidRDefault="0020171F" w:rsidP="005A1674">
      <w:r>
        <w:continuationSeparator/>
      </w:r>
    </w:p>
  </w:footnote>
  <w:footnote w:id="1">
    <w:p w14:paraId="6AAE9432" w14:textId="4681E3F1" w:rsidR="00194342" w:rsidRPr="00E16F61" w:rsidRDefault="00194342" w:rsidP="00B21C1F">
      <w:pPr>
        <w:pStyle w:val="Textonotapie"/>
        <w:snapToGrid w:val="0"/>
        <w:spacing w:after="0" w:line="240" w:lineRule="auto"/>
        <w:ind w:right="-64"/>
        <w:jc w:val="both"/>
        <w:rPr>
          <w:rFonts w:ascii="Verdana" w:hAnsi="Verdana"/>
          <w:sz w:val="16"/>
          <w:szCs w:val="16"/>
          <w:lang w:val="es-ES"/>
        </w:rPr>
      </w:pPr>
      <w:r w:rsidRPr="00E16F61">
        <w:rPr>
          <w:rStyle w:val="Refdenotaalpie"/>
          <w:rFonts w:ascii="Verdana" w:hAnsi="Verdana"/>
          <w:sz w:val="16"/>
          <w:szCs w:val="16"/>
        </w:rPr>
        <w:footnoteRef/>
      </w:r>
      <w:r w:rsidRPr="00E16F61">
        <w:rPr>
          <w:rFonts w:ascii="Verdana" w:hAnsi="Verdana"/>
          <w:sz w:val="16"/>
          <w:szCs w:val="16"/>
        </w:rPr>
        <w:t xml:space="preserve"> </w:t>
      </w:r>
      <w:r w:rsidRPr="00E16F61">
        <w:rPr>
          <w:rFonts w:ascii="Verdana" w:hAnsi="Verdana"/>
          <w:sz w:val="16"/>
          <w:szCs w:val="16"/>
        </w:rPr>
        <w:tab/>
      </w:r>
      <w:r w:rsidR="00D56283">
        <w:rPr>
          <w:rFonts w:ascii="Verdana" w:hAnsi="Verdana"/>
          <w:i/>
          <w:iCs/>
          <w:sz w:val="16"/>
          <w:szCs w:val="16"/>
        </w:rPr>
        <w:t xml:space="preserve">Cfr. </w:t>
      </w:r>
      <w:r w:rsidRPr="009D1D1D">
        <w:rPr>
          <w:rStyle w:val="Textoennegrita"/>
          <w:rFonts w:ascii="Verdana" w:hAnsi="Verdana" w:cs="Arial"/>
          <w:b w:val="0"/>
          <w:bCs w:val="0"/>
          <w:i/>
          <w:iCs/>
          <w:sz w:val="16"/>
          <w:szCs w:val="16"/>
          <w:shd w:val="clear" w:color="auto" w:fill="FFFFFF"/>
        </w:rPr>
        <w:t>Medio ambiente y derechos humanos</w:t>
      </w:r>
      <w:r w:rsidRPr="00E16F61">
        <w:rPr>
          <w:rStyle w:val="Textoennegrita"/>
          <w:rFonts w:ascii="Verdana" w:hAnsi="Verdana" w:cs="Arial"/>
          <w:b w:val="0"/>
          <w:bCs w:val="0"/>
          <w:sz w:val="16"/>
          <w:szCs w:val="16"/>
          <w:shd w:val="clear" w:color="auto" w:fill="FFFFFF"/>
        </w:rPr>
        <w:t xml:space="preserve"> </w:t>
      </w:r>
      <w:r w:rsidRPr="00A606FD">
        <w:rPr>
          <w:rStyle w:val="Textoennegrita"/>
          <w:rFonts w:ascii="Verdana" w:hAnsi="Verdana" w:cs="Arial"/>
          <w:b w:val="0"/>
          <w:bCs w:val="0"/>
          <w:i/>
          <w:iCs/>
          <w:sz w:val="16"/>
          <w:szCs w:val="16"/>
          <w:shd w:val="clear" w:color="auto" w:fill="FFFFFF"/>
        </w:rPr>
        <w:t>(obligaciones estatales en relación con el medio ambiente en el marco de la protección y garantía de los derechos a la vida y a la integridad personal - interpretación y alcance de los artículos 4.1 y 5.1, en relación con los artículos 1.1 y 2 de la Convención Americana sobre Derechos Humanos)</w:t>
      </w:r>
      <w:r w:rsidRPr="00E16F61">
        <w:rPr>
          <w:rStyle w:val="Textoennegrita"/>
          <w:rFonts w:ascii="Verdana" w:hAnsi="Verdana" w:cs="Arial"/>
          <w:b w:val="0"/>
          <w:bCs w:val="0"/>
          <w:sz w:val="16"/>
          <w:szCs w:val="16"/>
          <w:shd w:val="clear" w:color="auto" w:fill="FFFFFF"/>
        </w:rPr>
        <w:t>. Opinión Consultiva OC-23/17 de 15 de noviembre de 2017. Serie A No. 23</w:t>
      </w:r>
      <w:r>
        <w:rPr>
          <w:rStyle w:val="Textoennegrita"/>
          <w:rFonts w:ascii="Verdana" w:hAnsi="Verdana" w:cs="Arial"/>
          <w:b w:val="0"/>
          <w:bCs w:val="0"/>
          <w:sz w:val="16"/>
          <w:szCs w:val="16"/>
          <w:shd w:val="clear" w:color="auto" w:fill="FFFFFF"/>
          <w:lang w:val="es-ES"/>
        </w:rPr>
        <w:t>.</w:t>
      </w:r>
    </w:p>
  </w:footnote>
  <w:footnote w:id="2">
    <w:p w14:paraId="7CB4C578" w14:textId="7839FC26" w:rsidR="00194342" w:rsidRPr="0010371E" w:rsidRDefault="00194342" w:rsidP="000C29C5">
      <w:pPr>
        <w:pStyle w:val="NormalWeb"/>
        <w:spacing w:before="0" w:beforeAutospacing="0" w:after="0" w:afterAutospacing="0"/>
        <w:ind w:right="-64"/>
        <w:jc w:val="both"/>
        <w:rPr>
          <w:rFonts w:ascii="Verdana" w:hAnsi="Verdana"/>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hyperlink r:id="rId1" w:history="1">
        <w:r w:rsidRPr="0010371E">
          <w:rPr>
            <w:rStyle w:val="Hipervnculo"/>
            <w:rFonts w:ascii="Verdana" w:hAnsi="Verdana" w:cs="Arial"/>
            <w:sz w:val="16"/>
            <w:szCs w:val="16"/>
            <w:u w:val="none"/>
            <w:lang w:val="es-ES"/>
          </w:rPr>
          <w:t>Asamble</w:t>
        </w:r>
      </w:hyperlink>
      <w:r w:rsidRPr="0010371E">
        <w:rPr>
          <w:rFonts w:ascii="Verdana" w:hAnsi="Verdana" w:cs="Arial"/>
          <w:sz w:val="16"/>
          <w:szCs w:val="16"/>
          <w:lang w:val="es-ES"/>
        </w:rPr>
        <w:t>a General</w:t>
      </w:r>
      <w:r w:rsidRPr="0043034F">
        <w:rPr>
          <w:rFonts w:ascii="Verdana" w:hAnsi="Verdana" w:cs="Arial"/>
          <w:sz w:val="16"/>
          <w:szCs w:val="16"/>
          <w:lang w:val="es-ES"/>
        </w:rPr>
        <w:t xml:space="preserve"> de las Naciones Unidas,</w:t>
      </w:r>
      <w:r w:rsidRPr="0010371E">
        <w:rPr>
          <w:rFonts w:ascii="Verdana" w:hAnsi="Verdana" w:cs="Arial"/>
          <w:sz w:val="16"/>
          <w:szCs w:val="16"/>
          <w:lang w:val="es-ES"/>
        </w:rPr>
        <w:t xml:space="preserve"> </w:t>
      </w:r>
      <w:r w:rsidRPr="0043034F">
        <w:rPr>
          <w:rFonts w:ascii="Verdana" w:hAnsi="Verdana" w:cs="Arial"/>
          <w:sz w:val="16"/>
          <w:szCs w:val="16"/>
        </w:rPr>
        <w:t>“Promoción y protección de los derechos humanos: cuestiones de derechos humanos, incluidos otros medios de mejorar el goce efectivo de los derechos humanos y las libertades fundamentales”</w:t>
      </w:r>
      <w:r>
        <w:rPr>
          <w:rFonts w:ascii="Verdana" w:hAnsi="Verdana" w:cs="Arial"/>
          <w:sz w:val="16"/>
          <w:szCs w:val="16"/>
        </w:rPr>
        <w:t xml:space="preserve">, </w:t>
      </w:r>
      <w:r w:rsidRPr="0010371E">
        <w:rPr>
          <w:rFonts w:ascii="Verdana" w:hAnsi="Verdana" w:cs="Arial"/>
          <w:sz w:val="16"/>
          <w:szCs w:val="16"/>
          <w:lang w:val="es-ES"/>
        </w:rPr>
        <w:t xml:space="preserve">Resolución </w:t>
      </w:r>
      <w:r w:rsidRPr="0010371E">
        <w:rPr>
          <w:rFonts w:ascii="Verdana" w:hAnsi="Verdana"/>
          <w:sz w:val="16"/>
          <w:szCs w:val="16"/>
        </w:rPr>
        <w:t>A/76/L.75,</w:t>
      </w:r>
      <w:r>
        <w:rPr>
          <w:rFonts w:ascii="Verdana" w:hAnsi="Verdana"/>
          <w:sz w:val="16"/>
          <w:szCs w:val="16"/>
        </w:rPr>
        <w:t xml:space="preserve"> de</w:t>
      </w:r>
      <w:r w:rsidRPr="0010371E">
        <w:rPr>
          <w:rFonts w:ascii="Verdana" w:hAnsi="Verdana"/>
          <w:sz w:val="16"/>
          <w:szCs w:val="16"/>
        </w:rPr>
        <w:t xml:space="preserve"> 26 de julio de 2022.</w:t>
      </w:r>
    </w:p>
  </w:footnote>
  <w:footnote w:id="3">
    <w:p w14:paraId="211BC2A6" w14:textId="748CA290" w:rsidR="00194342" w:rsidRPr="003F0CC3" w:rsidRDefault="00194342" w:rsidP="00A975DC">
      <w:pPr>
        <w:pStyle w:val="Textonotapie"/>
        <w:spacing w:after="0" w:line="240" w:lineRule="auto"/>
        <w:jc w:val="both"/>
        <w:rPr>
          <w:rFonts w:ascii="Verdana" w:hAnsi="Verdana"/>
          <w:sz w:val="16"/>
          <w:szCs w:val="16"/>
          <w:lang w:val="es-ES"/>
        </w:rPr>
      </w:pPr>
      <w:r w:rsidRPr="00A84638">
        <w:rPr>
          <w:rStyle w:val="Refdenotaalpie"/>
          <w:rFonts w:ascii="Verdana" w:hAnsi="Verdana"/>
          <w:sz w:val="16"/>
          <w:szCs w:val="16"/>
        </w:rPr>
        <w:footnoteRef/>
      </w:r>
      <w:r w:rsidRPr="00A84638">
        <w:rPr>
          <w:rFonts w:ascii="Verdana" w:hAnsi="Verdana"/>
          <w:sz w:val="16"/>
          <w:szCs w:val="16"/>
        </w:rPr>
        <w:t xml:space="preserve"> </w:t>
      </w:r>
      <w:r w:rsidRPr="00A84638">
        <w:rPr>
          <w:rFonts w:ascii="Verdana" w:hAnsi="Verdana"/>
          <w:sz w:val="16"/>
          <w:szCs w:val="16"/>
        </w:rPr>
        <w:tab/>
      </w:r>
      <w:r>
        <w:rPr>
          <w:rFonts w:ascii="Verdana" w:hAnsi="Verdana"/>
          <w:sz w:val="16"/>
          <w:szCs w:val="16"/>
          <w:lang w:val="es-ES"/>
        </w:rPr>
        <w:t>Véanse Anexo 2 (80 víctimas identificadas) y Anexo 3 (hechos probados respecto de los padecimientos y tratamiento médico a las víctimas de la sentencia).</w:t>
      </w:r>
    </w:p>
  </w:footnote>
  <w:footnote w:id="4">
    <w:p w14:paraId="30F49382" w14:textId="2D8ADDA0" w:rsidR="00194342" w:rsidRPr="003F0CC3" w:rsidRDefault="00194342" w:rsidP="00A975DC">
      <w:pPr>
        <w:pStyle w:val="Textonotapie"/>
        <w:spacing w:after="0" w:line="240" w:lineRule="auto"/>
        <w:rPr>
          <w:rFonts w:ascii="Verdana" w:hAnsi="Verdana"/>
          <w:sz w:val="16"/>
          <w:szCs w:val="16"/>
          <w:lang w:val="es-ES"/>
        </w:rPr>
      </w:pPr>
      <w:r w:rsidRPr="003F0CC3">
        <w:rPr>
          <w:rStyle w:val="Refdenotaalpie"/>
          <w:rFonts w:ascii="Verdana" w:hAnsi="Verdana"/>
          <w:sz w:val="16"/>
          <w:szCs w:val="16"/>
        </w:rPr>
        <w:footnoteRef/>
      </w:r>
      <w:r w:rsidRPr="003F0CC3">
        <w:rPr>
          <w:rFonts w:ascii="Verdana" w:hAnsi="Verdana"/>
          <w:sz w:val="16"/>
          <w:szCs w:val="16"/>
        </w:rPr>
        <w:t xml:space="preserve"> </w:t>
      </w:r>
      <w:r w:rsidRPr="003F0CC3">
        <w:rPr>
          <w:rFonts w:ascii="Verdana" w:hAnsi="Verdana"/>
          <w:sz w:val="16"/>
          <w:szCs w:val="16"/>
        </w:rPr>
        <w:tab/>
      </w:r>
      <w:r>
        <w:rPr>
          <w:rFonts w:ascii="Verdana" w:hAnsi="Verdana"/>
          <w:sz w:val="16"/>
          <w:szCs w:val="16"/>
          <w:lang w:val="es-ES"/>
        </w:rPr>
        <w:t>Véanse p</w:t>
      </w:r>
      <w:r w:rsidRPr="003F0CC3">
        <w:rPr>
          <w:rFonts w:ascii="Verdana" w:hAnsi="Verdana"/>
          <w:sz w:val="16"/>
          <w:szCs w:val="16"/>
          <w:lang w:val="es-ES"/>
        </w:rPr>
        <w:t>árr</w:t>
      </w:r>
      <w:r>
        <w:rPr>
          <w:rFonts w:ascii="Verdana" w:hAnsi="Verdana"/>
          <w:sz w:val="16"/>
          <w:szCs w:val="16"/>
          <w:lang w:val="es-ES"/>
        </w:rPr>
        <w:t>afos</w:t>
      </w:r>
      <w:r w:rsidRPr="003F0CC3">
        <w:rPr>
          <w:rFonts w:ascii="Verdana" w:hAnsi="Verdana"/>
          <w:sz w:val="16"/>
          <w:szCs w:val="16"/>
          <w:lang w:val="es-ES"/>
        </w:rPr>
        <w:t xml:space="preserve"> 1</w:t>
      </w:r>
      <w:r>
        <w:rPr>
          <w:rFonts w:ascii="Verdana" w:hAnsi="Verdana"/>
          <w:sz w:val="16"/>
          <w:szCs w:val="16"/>
          <w:lang w:val="es-ES"/>
        </w:rPr>
        <w:t>79</w:t>
      </w:r>
      <w:r w:rsidRPr="003F0CC3">
        <w:rPr>
          <w:rFonts w:ascii="Verdana" w:hAnsi="Verdana"/>
          <w:sz w:val="16"/>
          <w:szCs w:val="16"/>
          <w:lang w:val="es-ES"/>
        </w:rPr>
        <w:t xml:space="preserve"> y 32</w:t>
      </w:r>
      <w:r>
        <w:rPr>
          <w:rFonts w:ascii="Verdana" w:hAnsi="Verdana"/>
          <w:sz w:val="16"/>
          <w:szCs w:val="16"/>
          <w:lang w:val="es-ES"/>
        </w:rPr>
        <w:t xml:space="preserve">4, así como Resolutivo 3 </w:t>
      </w:r>
      <w:r w:rsidRPr="003F0CC3">
        <w:rPr>
          <w:rFonts w:ascii="Verdana" w:hAnsi="Verdana"/>
          <w:sz w:val="16"/>
          <w:szCs w:val="16"/>
          <w:lang w:val="es-ES"/>
        </w:rPr>
        <w:t>de la sentencia.</w:t>
      </w:r>
    </w:p>
  </w:footnote>
  <w:footnote w:id="5">
    <w:p w14:paraId="10721EE5" w14:textId="043D2DB7" w:rsidR="00194342" w:rsidRPr="00A84638" w:rsidRDefault="00194342" w:rsidP="00A84638">
      <w:pPr>
        <w:pStyle w:val="Textonotapie"/>
        <w:spacing w:after="0" w:line="240" w:lineRule="auto"/>
        <w:jc w:val="both"/>
        <w:rPr>
          <w:rFonts w:ascii="Verdana" w:hAnsi="Verdana"/>
          <w:sz w:val="16"/>
          <w:szCs w:val="16"/>
        </w:rPr>
      </w:pPr>
      <w:r w:rsidRPr="00A84638">
        <w:rPr>
          <w:rStyle w:val="Refdenotaalpie"/>
          <w:rFonts w:ascii="Verdana" w:hAnsi="Verdana"/>
          <w:sz w:val="16"/>
          <w:szCs w:val="16"/>
        </w:rPr>
        <w:footnoteRef/>
      </w:r>
      <w:r w:rsidRPr="00A84638">
        <w:rPr>
          <w:rFonts w:ascii="Verdana" w:hAnsi="Verdana"/>
          <w:sz w:val="16"/>
          <w:szCs w:val="16"/>
        </w:rPr>
        <w:t xml:space="preserve"> </w:t>
      </w:r>
      <w:r w:rsidRPr="00A84638">
        <w:rPr>
          <w:rFonts w:ascii="Verdana" w:hAnsi="Verdana"/>
          <w:sz w:val="16"/>
          <w:szCs w:val="16"/>
        </w:rPr>
        <w:tab/>
      </w:r>
      <w:r>
        <w:rPr>
          <w:rFonts w:ascii="Verdana" w:hAnsi="Verdana"/>
          <w:sz w:val="16"/>
          <w:szCs w:val="16"/>
          <w:lang w:val="es-ES"/>
        </w:rPr>
        <w:t xml:space="preserve">La Corte IDH consideró que </w:t>
      </w:r>
      <w:r w:rsidRPr="00A84638">
        <w:rPr>
          <w:rFonts w:ascii="Verdana" w:hAnsi="Verdana"/>
          <w:sz w:val="16"/>
          <w:szCs w:val="16"/>
        </w:rPr>
        <w:t>las actividades metalúrgicas de</w:t>
      </w:r>
      <w:r>
        <w:rPr>
          <w:rFonts w:ascii="Verdana" w:hAnsi="Verdana"/>
          <w:sz w:val="16"/>
          <w:szCs w:val="16"/>
          <w:lang w:val="es-ES"/>
        </w:rPr>
        <w:t xml:space="preserve"> este Complejo </w:t>
      </w:r>
      <w:r w:rsidRPr="00A84638">
        <w:rPr>
          <w:rFonts w:ascii="Verdana" w:hAnsi="Verdana"/>
          <w:sz w:val="16"/>
          <w:szCs w:val="16"/>
        </w:rPr>
        <w:t>son la causa principal de la</w:t>
      </w:r>
      <w:r w:rsidRPr="00A84638">
        <w:rPr>
          <w:rFonts w:ascii="Verdana" w:hAnsi="Verdana"/>
          <w:sz w:val="16"/>
          <w:szCs w:val="16"/>
          <w:lang w:val="es-ES"/>
        </w:rPr>
        <w:t xml:space="preserve"> contaminación ambiental por </w:t>
      </w:r>
      <w:r>
        <w:rPr>
          <w:rFonts w:ascii="Verdana" w:hAnsi="Verdana"/>
          <w:sz w:val="16"/>
          <w:szCs w:val="16"/>
          <w:lang w:val="es-ES"/>
        </w:rPr>
        <w:t xml:space="preserve">plomo, </w:t>
      </w:r>
      <w:r w:rsidRPr="00A84638">
        <w:rPr>
          <w:rFonts w:ascii="Verdana" w:hAnsi="Verdana"/>
          <w:sz w:val="16"/>
          <w:szCs w:val="16"/>
          <w:lang w:val="es-ES"/>
        </w:rPr>
        <w:t xml:space="preserve">arsénico, cadmio, </w:t>
      </w:r>
      <w:r>
        <w:rPr>
          <w:rFonts w:ascii="Verdana" w:hAnsi="Verdana"/>
          <w:sz w:val="16"/>
          <w:szCs w:val="16"/>
          <w:lang w:val="es-ES"/>
        </w:rPr>
        <w:t xml:space="preserve">dióxido de azufre </w:t>
      </w:r>
      <w:r w:rsidRPr="00A84638">
        <w:rPr>
          <w:rFonts w:ascii="Verdana" w:hAnsi="Verdana"/>
          <w:sz w:val="16"/>
          <w:szCs w:val="16"/>
          <w:lang w:val="es-ES"/>
        </w:rPr>
        <w:t>y otros metales en el aire, el suelo y el agua en La Oroy</w:t>
      </w:r>
      <w:r>
        <w:rPr>
          <w:rFonts w:ascii="Verdana" w:hAnsi="Verdana"/>
          <w:sz w:val="16"/>
          <w:szCs w:val="16"/>
          <w:lang w:val="es-ES"/>
        </w:rPr>
        <w:t>a. Véanse párrafos 158, 159 y 263 de la sentencia.</w:t>
      </w:r>
    </w:p>
  </w:footnote>
  <w:footnote w:id="6">
    <w:p w14:paraId="62C1574E" w14:textId="4BFDEAB1" w:rsidR="00194342" w:rsidRPr="0010371E" w:rsidRDefault="00194342" w:rsidP="00B21C1F">
      <w:pPr>
        <w:pStyle w:val="Textonotapie"/>
        <w:spacing w:after="0" w:line="240" w:lineRule="auto"/>
        <w:ind w:right="-64"/>
        <w:jc w:val="both"/>
        <w:rPr>
          <w:rFonts w:ascii="Verdana" w:hAnsi="Verdana"/>
          <w:sz w:val="16"/>
          <w:szCs w:val="16"/>
          <w:lang w:val="es-ES"/>
        </w:rPr>
      </w:pPr>
      <w:r w:rsidRPr="0010371E">
        <w:rPr>
          <w:rStyle w:val="Refdenotaalpie"/>
          <w:rFonts w:ascii="Verdana" w:hAnsi="Verdana"/>
          <w:sz w:val="16"/>
          <w:szCs w:val="16"/>
        </w:rPr>
        <w:footnoteRef/>
      </w:r>
      <w:r w:rsidRPr="0010371E">
        <w:rPr>
          <w:rFonts w:ascii="Verdana" w:hAnsi="Verdana"/>
          <w:sz w:val="16"/>
          <w:szCs w:val="16"/>
        </w:rPr>
        <w:t xml:space="preserve"> </w:t>
      </w:r>
      <w:r w:rsidRPr="0010371E">
        <w:rPr>
          <w:rFonts w:ascii="Verdana" w:hAnsi="Verdana"/>
          <w:sz w:val="16"/>
          <w:szCs w:val="16"/>
        </w:rPr>
        <w:tab/>
      </w:r>
      <w:r>
        <w:rPr>
          <w:rFonts w:ascii="Verdana" w:hAnsi="Verdana"/>
          <w:sz w:val="16"/>
          <w:szCs w:val="16"/>
          <w:lang w:val="es-ES"/>
        </w:rPr>
        <w:t>Véanse p</w:t>
      </w:r>
      <w:r w:rsidRPr="0010371E">
        <w:rPr>
          <w:rFonts w:ascii="Verdana" w:hAnsi="Verdana"/>
          <w:sz w:val="16"/>
          <w:szCs w:val="16"/>
          <w:lang w:val="es-ES"/>
        </w:rPr>
        <w:t>árrafo</w:t>
      </w:r>
      <w:r>
        <w:rPr>
          <w:rFonts w:ascii="Verdana" w:hAnsi="Verdana"/>
          <w:sz w:val="16"/>
          <w:szCs w:val="16"/>
          <w:lang w:val="es-ES"/>
        </w:rPr>
        <w:t>s</w:t>
      </w:r>
      <w:r w:rsidRPr="0010371E">
        <w:rPr>
          <w:rFonts w:ascii="Verdana" w:hAnsi="Verdana"/>
          <w:sz w:val="16"/>
          <w:szCs w:val="16"/>
          <w:lang w:val="es-ES"/>
        </w:rPr>
        <w:t xml:space="preserve"> </w:t>
      </w:r>
      <w:r>
        <w:rPr>
          <w:rFonts w:ascii="Verdana" w:hAnsi="Verdana"/>
          <w:sz w:val="16"/>
          <w:szCs w:val="16"/>
          <w:lang w:val="es-ES"/>
        </w:rPr>
        <w:t xml:space="preserve">158, </w:t>
      </w:r>
      <w:r w:rsidRPr="0010371E">
        <w:rPr>
          <w:rFonts w:ascii="Verdana" w:hAnsi="Verdana"/>
          <w:sz w:val="16"/>
          <w:szCs w:val="16"/>
          <w:lang w:val="es-ES"/>
        </w:rPr>
        <w:t>1</w:t>
      </w:r>
      <w:r>
        <w:rPr>
          <w:rFonts w:ascii="Verdana" w:hAnsi="Verdana"/>
          <w:sz w:val="16"/>
          <w:szCs w:val="16"/>
          <w:lang w:val="es-ES"/>
        </w:rPr>
        <w:t>59</w:t>
      </w:r>
      <w:r w:rsidRPr="0010371E">
        <w:rPr>
          <w:rFonts w:ascii="Verdana" w:hAnsi="Verdana"/>
          <w:sz w:val="16"/>
          <w:szCs w:val="16"/>
          <w:lang w:val="es-ES"/>
        </w:rPr>
        <w:t xml:space="preserve"> </w:t>
      </w:r>
      <w:r>
        <w:rPr>
          <w:rFonts w:ascii="Verdana" w:hAnsi="Verdana"/>
          <w:sz w:val="16"/>
          <w:szCs w:val="16"/>
          <w:lang w:val="es-ES"/>
        </w:rPr>
        <w:t xml:space="preserve">y 263 </w:t>
      </w:r>
      <w:r w:rsidRPr="0010371E">
        <w:rPr>
          <w:rFonts w:ascii="Verdana" w:hAnsi="Verdana"/>
          <w:sz w:val="16"/>
          <w:szCs w:val="16"/>
          <w:lang w:val="es-ES"/>
        </w:rPr>
        <w:t>de la sentencia.</w:t>
      </w:r>
    </w:p>
  </w:footnote>
  <w:footnote w:id="7">
    <w:p w14:paraId="58E7DEF0" w14:textId="4BD1BC65" w:rsidR="00194342" w:rsidRPr="0010371E" w:rsidRDefault="00194342" w:rsidP="00B21C1F">
      <w:pPr>
        <w:pStyle w:val="NormalWeb"/>
        <w:spacing w:before="0" w:beforeAutospacing="0" w:after="0" w:afterAutospacing="0"/>
        <w:ind w:right="-64"/>
        <w:jc w:val="both"/>
        <w:rPr>
          <w:rFonts w:ascii="Verdana" w:hAnsi="Verdana"/>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hyperlink r:id="rId2" w:history="1">
        <w:r w:rsidRPr="0010371E">
          <w:rPr>
            <w:rStyle w:val="Hipervnculo"/>
            <w:rFonts w:ascii="Verdana" w:hAnsi="Verdana" w:cs="Arial"/>
            <w:sz w:val="16"/>
            <w:szCs w:val="16"/>
            <w:u w:val="none"/>
            <w:lang w:val="es-ES"/>
          </w:rPr>
          <w:t>Asamble</w:t>
        </w:r>
      </w:hyperlink>
      <w:r w:rsidRPr="0010371E">
        <w:rPr>
          <w:rFonts w:ascii="Verdana" w:hAnsi="Verdana" w:cs="Arial"/>
          <w:sz w:val="16"/>
          <w:szCs w:val="16"/>
          <w:lang w:val="es-ES"/>
        </w:rPr>
        <w:t>a General</w:t>
      </w:r>
      <w:r>
        <w:rPr>
          <w:rFonts w:ascii="Verdana" w:hAnsi="Verdana" w:cs="Arial"/>
          <w:sz w:val="16"/>
          <w:szCs w:val="16"/>
          <w:lang w:val="es-ES"/>
        </w:rPr>
        <w:t xml:space="preserve"> de las Naciones Unidas</w:t>
      </w:r>
      <w:r w:rsidRPr="0010371E">
        <w:rPr>
          <w:rFonts w:ascii="Verdana" w:hAnsi="Verdana" w:cs="Arial"/>
          <w:sz w:val="16"/>
          <w:szCs w:val="16"/>
          <w:lang w:val="es-ES"/>
        </w:rPr>
        <w:t xml:space="preserve">, Resolución </w:t>
      </w:r>
      <w:r w:rsidRPr="0010371E">
        <w:rPr>
          <w:rFonts w:ascii="Verdana" w:hAnsi="Verdana"/>
          <w:sz w:val="16"/>
          <w:szCs w:val="16"/>
        </w:rPr>
        <w:t xml:space="preserve">A/76/L.75, </w:t>
      </w:r>
      <w:r>
        <w:rPr>
          <w:rFonts w:ascii="Verdana" w:hAnsi="Verdana"/>
          <w:sz w:val="16"/>
          <w:szCs w:val="16"/>
        </w:rPr>
        <w:t xml:space="preserve">“Promoción y protección de los derechos humanos: cuestiones de derechos humanos, incluidos otros medios de mejorar el goce efectivo de los derechos humanos y las libertades fundamentales”, de </w:t>
      </w:r>
      <w:r w:rsidRPr="0010371E">
        <w:rPr>
          <w:rFonts w:ascii="Verdana" w:hAnsi="Verdana"/>
          <w:sz w:val="16"/>
          <w:szCs w:val="16"/>
        </w:rPr>
        <w:t>26 de julio de 2022.</w:t>
      </w:r>
    </w:p>
  </w:footnote>
  <w:footnote w:id="8">
    <w:p w14:paraId="2921AADA" w14:textId="77127BA9" w:rsidR="00194342" w:rsidRPr="0010371E" w:rsidRDefault="00194342" w:rsidP="00B21C1F">
      <w:pPr>
        <w:pStyle w:val="Textonotapie"/>
        <w:spacing w:after="0" w:line="240" w:lineRule="auto"/>
        <w:ind w:right="-64"/>
        <w:jc w:val="both"/>
        <w:rPr>
          <w:rFonts w:ascii="Verdana" w:hAnsi="Verdana" w:cs="Arial"/>
          <w:sz w:val="16"/>
          <w:szCs w:val="16"/>
        </w:rPr>
      </w:pPr>
      <w:r>
        <w:rPr>
          <w:rStyle w:val="Refdenotaalpie"/>
        </w:rPr>
        <w:footnoteRef/>
      </w:r>
      <w:r>
        <w:t xml:space="preserve"> </w:t>
      </w:r>
      <w:r>
        <w:tab/>
      </w:r>
      <w:r w:rsidRPr="0010371E">
        <w:rPr>
          <w:rFonts w:ascii="Verdana" w:hAnsi="Verdana" w:cs="Arial"/>
          <w:sz w:val="16"/>
          <w:szCs w:val="16"/>
          <w:lang w:val="es-ES"/>
        </w:rPr>
        <w:t>Véase</w:t>
      </w:r>
      <w:r>
        <w:rPr>
          <w:rFonts w:ascii="Verdana" w:hAnsi="Verdana" w:cs="Arial"/>
          <w:sz w:val="16"/>
          <w:szCs w:val="16"/>
          <w:lang w:val="es-ES"/>
        </w:rPr>
        <w:t xml:space="preserve"> </w:t>
      </w:r>
      <w:r w:rsidRPr="0010371E">
        <w:rPr>
          <w:rFonts w:ascii="Verdana" w:hAnsi="Verdana" w:cs="Arial"/>
          <w:sz w:val="16"/>
          <w:szCs w:val="16"/>
        </w:rPr>
        <w:t>Chiara Sacchi y otros (representados por los abogados Scott Gilmore y otros, de Hausfeld LLP, y Ramin Pejan y otros, de Earthjustice), CRC/C/88/D/104/2019, 11 de noviembre de 2019, párr. 10.7.</w:t>
      </w:r>
    </w:p>
  </w:footnote>
  <w:footnote w:id="9">
    <w:p w14:paraId="37F01492" w14:textId="2554D7FB" w:rsidR="00194342" w:rsidRPr="0010371E" w:rsidRDefault="00194342" w:rsidP="00B21C1F">
      <w:pPr>
        <w:pStyle w:val="Textonotapie"/>
        <w:spacing w:after="0" w:line="240" w:lineRule="auto"/>
        <w:ind w:right="-64"/>
        <w:jc w:val="both"/>
        <w:rPr>
          <w:rFonts w:ascii="Verdana" w:hAnsi="Verdana"/>
          <w:sz w:val="16"/>
          <w:szCs w:val="16"/>
          <w:lang w:val="es-ES"/>
        </w:rPr>
      </w:pPr>
      <w:r w:rsidRPr="0010371E">
        <w:rPr>
          <w:rStyle w:val="Refdenotaalpie"/>
          <w:rFonts w:ascii="Verdana" w:hAnsi="Verdana"/>
          <w:sz w:val="16"/>
          <w:szCs w:val="16"/>
        </w:rPr>
        <w:footnoteRef/>
      </w:r>
      <w:r w:rsidRPr="0010371E">
        <w:rPr>
          <w:rFonts w:ascii="Verdana" w:hAnsi="Verdana"/>
          <w:sz w:val="16"/>
          <w:szCs w:val="16"/>
        </w:rPr>
        <w:t xml:space="preserve"> </w:t>
      </w:r>
      <w:r w:rsidRPr="0010371E">
        <w:rPr>
          <w:rFonts w:ascii="Verdana" w:hAnsi="Verdana"/>
          <w:sz w:val="16"/>
          <w:szCs w:val="16"/>
        </w:rPr>
        <w:tab/>
      </w:r>
      <w:r w:rsidRPr="0010371E">
        <w:rPr>
          <w:rFonts w:ascii="Verdana" w:hAnsi="Verdana" w:cs="Arial"/>
          <w:sz w:val="16"/>
          <w:szCs w:val="16"/>
          <w:lang w:val="es-ES"/>
        </w:rPr>
        <w:t>Véase</w:t>
      </w:r>
      <w:r>
        <w:rPr>
          <w:rFonts w:ascii="Verdana" w:hAnsi="Verdana" w:cs="Arial"/>
          <w:sz w:val="16"/>
          <w:szCs w:val="16"/>
          <w:lang w:val="es-ES"/>
        </w:rPr>
        <w:t>,</w:t>
      </w:r>
      <w:r w:rsidRPr="0010371E">
        <w:rPr>
          <w:rFonts w:ascii="Verdana" w:hAnsi="Verdana" w:cs="Arial"/>
          <w:sz w:val="16"/>
          <w:szCs w:val="16"/>
          <w:lang w:val="es-ES"/>
        </w:rPr>
        <w:t xml:space="preserve"> al respecto</w:t>
      </w:r>
      <w:r>
        <w:rPr>
          <w:rFonts w:ascii="Verdana" w:hAnsi="Verdana" w:cs="Arial"/>
          <w:sz w:val="16"/>
          <w:szCs w:val="16"/>
          <w:lang w:val="es-ES"/>
        </w:rPr>
        <w:t>,</w:t>
      </w:r>
      <w:r w:rsidRPr="0010371E">
        <w:rPr>
          <w:rFonts w:ascii="Verdana" w:hAnsi="Verdana" w:cs="Arial"/>
          <w:sz w:val="16"/>
          <w:szCs w:val="16"/>
          <w:lang w:val="es-ES"/>
        </w:rPr>
        <w:t xml:space="preserve"> los casos</w:t>
      </w:r>
      <w:r>
        <w:rPr>
          <w:rFonts w:ascii="Verdana" w:hAnsi="Verdana" w:cs="Arial"/>
          <w:sz w:val="16"/>
          <w:szCs w:val="16"/>
          <w:lang w:val="es-ES"/>
        </w:rPr>
        <w:t xml:space="preserve"> </w:t>
      </w:r>
      <w:r w:rsidRPr="0010371E">
        <w:rPr>
          <w:rFonts w:ascii="Verdana" w:hAnsi="Verdana" w:cs="Arial"/>
          <w:sz w:val="16"/>
          <w:szCs w:val="16"/>
          <w:lang w:val="es-ES"/>
        </w:rPr>
        <w:t xml:space="preserve">Portillo Cáceres Vs. Paraguay, </w:t>
      </w:r>
      <w:r w:rsidRPr="0010371E">
        <w:rPr>
          <w:rFonts w:ascii="Verdana" w:hAnsi="Verdana"/>
          <w:sz w:val="16"/>
          <w:szCs w:val="16"/>
        </w:rPr>
        <w:t>CCPR/C/126/D/2751/2016, 20 de septiembre de 2019 y Daniel Billy y otros Vs. Australia, CCPR/C/135/D/3624/2019, 22 de septiembre de 2022</w:t>
      </w:r>
      <w:r w:rsidRPr="0010371E">
        <w:rPr>
          <w:rFonts w:ascii="Verdana" w:hAnsi="Verdana"/>
          <w:sz w:val="16"/>
          <w:szCs w:val="16"/>
          <w:lang w:val="es-ES"/>
        </w:rPr>
        <w:t>.</w:t>
      </w:r>
    </w:p>
  </w:footnote>
  <w:footnote w:id="10">
    <w:p w14:paraId="58FFE2D5" w14:textId="3A9897D0" w:rsidR="00194342" w:rsidRPr="0010371E" w:rsidRDefault="00194342" w:rsidP="00B21C1F">
      <w:pPr>
        <w:pStyle w:val="NormalWeb"/>
        <w:spacing w:before="0" w:beforeAutospacing="0" w:after="0" w:afterAutospacing="0"/>
        <w:ind w:right="-64"/>
        <w:jc w:val="both"/>
        <w:rPr>
          <w:rFonts w:ascii="Verdana" w:hAnsi="Verdana"/>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sz w:val="16"/>
          <w:szCs w:val="16"/>
        </w:rPr>
        <w:tab/>
        <w:t>Observación general núm. 26 (202</w:t>
      </w:r>
      <w:r>
        <w:rPr>
          <w:rFonts w:ascii="Verdana" w:hAnsi="Verdana"/>
          <w:sz w:val="16"/>
          <w:szCs w:val="16"/>
        </w:rPr>
        <w:t>2</w:t>
      </w:r>
      <w:r w:rsidRPr="0010371E">
        <w:rPr>
          <w:rFonts w:ascii="Verdana" w:hAnsi="Verdana"/>
          <w:sz w:val="16"/>
          <w:szCs w:val="16"/>
        </w:rPr>
        <w:t>), relativa a los derechos sobre la tierra y los derechos económicos, sociales y culturales, E/C.12/GC/26, 24 de enero de 2023.</w:t>
      </w:r>
    </w:p>
  </w:footnote>
  <w:footnote w:id="11">
    <w:p w14:paraId="7109DE2B" w14:textId="10BD8658" w:rsidR="00194342" w:rsidRPr="0010371E" w:rsidRDefault="00194342" w:rsidP="00EB3A0C">
      <w:pPr>
        <w:pStyle w:val="NormalWeb"/>
        <w:spacing w:before="0" w:beforeAutospacing="0" w:after="0" w:afterAutospacing="0"/>
        <w:ind w:right="-64"/>
        <w:jc w:val="both"/>
        <w:rPr>
          <w:rFonts w:ascii="Verdana" w:hAnsi="Verdana"/>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Pr="0010371E">
        <w:rPr>
          <w:rFonts w:ascii="Verdana" w:hAnsi="Verdana"/>
          <w:sz w:val="16"/>
          <w:szCs w:val="16"/>
        </w:rPr>
        <w:t>Observación general núm. 26 (2023), relativa a los derechos del niño y el medio ambiente, con particular atención al cambio climático, CRC/C/GC/26, 22 de agosto de 2023</w:t>
      </w:r>
      <w:r>
        <w:rPr>
          <w:rFonts w:ascii="Verdana" w:hAnsi="Verdana"/>
          <w:sz w:val="16"/>
          <w:szCs w:val="16"/>
        </w:rPr>
        <w:t xml:space="preserve">. </w:t>
      </w:r>
    </w:p>
  </w:footnote>
  <w:footnote w:id="12">
    <w:p w14:paraId="7F39458D" w14:textId="06F4C4E9" w:rsidR="00194342" w:rsidRPr="0010371E" w:rsidRDefault="00194342" w:rsidP="00B21C1F">
      <w:pPr>
        <w:pStyle w:val="Textonotapie"/>
        <w:spacing w:after="0" w:line="240" w:lineRule="auto"/>
        <w:ind w:right="-64"/>
        <w:jc w:val="both"/>
        <w:rPr>
          <w:rFonts w:ascii="Verdana" w:hAnsi="Verdana"/>
          <w:sz w:val="16"/>
          <w:szCs w:val="16"/>
          <w:lang w:val="es-ES"/>
        </w:rPr>
      </w:pPr>
      <w:r w:rsidRPr="0010371E">
        <w:rPr>
          <w:rStyle w:val="Refdenotaalpie"/>
          <w:rFonts w:ascii="Verdana" w:hAnsi="Verdana"/>
          <w:sz w:val="16"/>
          <w:szCs w:val="16"/>
        </w:rPr>
        <w:footnoteRef/>
      </w:r>
      <w:r w:rsidRPr="0010371E">
        <w:rPr>
          <w:rFonts w:ascii="Verdana" w:hAnsi="Verdana"/>
          <w:sz w:val="16"/>
          <w:szCs w:val="16"/>
        </w:rPr>
        <w:t xml:space="preserve"> </w:t>
      </w:r>
      <w:r w:rsidRPr="0010371E">
        <w:rPr>
          <w:rFonts w:ascii="Verdana" w:hAnsi="Verdana"/>
          <w:sz w:val="16"/>
          <w:szCs w:val="16"/>
          <w:lang w:val="es-ES"/>
        </w:rPr>
        <w:tab/>
        <w:t xml:space="preserve">Para consultar el mandato del Relator de Naciones Unidas sobre </w:t>
      </w:r>
      <w:r>
        <w:rPr>
          <w:rFonts w:ascii="Verdana" w:hAnsi="Verdana"/>
          <w:sz w:val="16"/>
          <w:szCs w:val="16"/>
          <w:lang w:val="es-ES"/>
        </w:rPr>
        <w:t xml:space="preserve">los derechos humanos y el </w:t>
      </w:r>
      <w:r w:rsidRPr="0010371E">
        <w:rPr>
          <w:rFonts w:ascii="Verdana" w:hAnsi="Verdana"/>
          <w:sz w:val="16"/>
          <w:szCs w:val="16"/>
          <w:lang w:val="es-ES"/>
        </w:rPr>
        <w:t xml:space="preserve">medio ambiente puede verse en: </w:t>
      </w:r>
      <w:hyperlink r:id="rId3" w:history="1">
        <w:r w:rsidRPr="0010371E">
          <w:rPr>
            <w:rStyle w:val="Hipervnculo"/>
            <w:rFonts w:ascii="Verdana" w:hAnsi="Verdana"/>
            <w:sz w:val="16"/>
            <w:szCs w:val="16"/>
            <w:lang w:val="es-ES"/>
          </w:rPr>
          <w:t>https://www.ohchr.org/es/special-procedures/sr-environment</w:t>
        </w:r>
      </w:hyperlink>
      <w:r w:rsidRPr="0010371E">
        <w:rPr>
          <w:rFonts w:ascii="Verdana" w:hAnsi="Verdana"/>
          <w:sz w:val="16"/>
          <w:szCs w:val="16"/>
          <w:lang w:val="es-ES"/>
        </w:rPr>
        <w:t xml:space="preserve">. Y en el caso del Relator de Naciones Unidas sobre </w:t>
      </w:r>
      <w:r>
        <w:rPr>
          <w:rFonts w:ascii="Verdana" w:hAnsi="Verdana"/>
          <w:sz w:val="16"/>
          <w:szCs w:val="16"/>
          <w:lang w:val="es-ES"/>
        </w:rPr>
        <w:t xml:space="preserve">el </w:t>
      </w:r>
      <w:r w:rsidRPr="0010371E">
        <w:rPr>
          <w:rFonts w:ascii="Verdana" w:hAnsi="Verdana"/>
          <w:sz w:val="16"/>
          <w:szCs w:val="16"/>
          <w:lang w:val="es-ES"/>
        </w:rPr>
        <w:t xml:space="preserve">cambio climático puede consultarse: </w:t>
      </w:r>
      <w:hyperlink r:id="rId4" w:history="1">
        <w:r w:rsidRPr="0010371E">
          <w:rPr>
            <w:rStyle w:val="Hipervnculo"/>
            <w:rFonts w:ascii="Verdana" w:hAnsi="Verdana"/>
            <w:sz w:val="16"/>
            <w:szCs w:val="16"/>
            <w:lang w:val="es-ES"/>
          </w:rPr>
          <w:t>https://www.ohchr.org/es/specialprocedures/sr-climate-change</w:t>
        </w:r>
      </w:hyperlink>
      <w:r w:rsidRPr="0010371E">
        <w:rPr>
          <w:rFonts w:ascii="Verdana" w:hAnsi="Verdana"/>
          <w:sz w:val="16"/>
          <w:szCs w:val="16"/>
          <w:lang w:val="es-ES"/>
        </w:rPr>
        <w:t>.</w:t>
      </w:r>
    </w:p>
  </w:footnote>
  <w:footnote w:id="13">
    <w:p w14:paraId="504E3CFE" w14:textId="793A49F2" w:rsidR="00194342" w:rsidRPr="0010371E" w:rsidRDefault="00194342" w:rsidP="00B21C1F">
      <w:pPr>
        <w:pStyle w:val="NormalWeb"/>
        <w:spacing w:before="0" w:beforeAutospacing="0" w:after="0" w:afterAutospacing="0"/>
        <w:ind w:right="-64"/>
        <w:jc w:val="both"/>
        <w:rPr>
          <w:rFonts w:ascii="Verdana" w:hAnsi="Verdana"/>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t xml:space="preserve">Las preguntas que planteó fueron: a) ¿Cuáles son las obligaciones que tienen los Estados en virtud del derecho internacional de garantizar la protección del sistema climático y otros elementos del medio ambiente frente a las emisiones antropógenas de gases de efecto invernadero en favor de los Estados y de las generaciones presentes y futuras?; b) ¿Cuáles son las consecuencias jurídicas que se derivan de esas obligaciones para los Estados que, por sus actos y omisiones, hayan causado daños significativos al sistema climático y a otros elementos del medio ambiente, con respecto a: i) Los Estados, incluidos, en particular, los pequeños Estados insulares en desarrollo, que, debido a sus circunstancias geográficas y a su nivel de desarrollo, se ven perjudicados o especialmente afectados por los efectos adversos del cambio climático o son particularmente vulnerables a ellos; ii) Los pueblos y las personas de las generaciones presentes y futuras afectados por los efectos adversos del cambio climático?”. </w:t>
      </w:r>
      <w:r w:rsidRPr="0010371E">
        <w:rPr>
          <w:rFonts w:ascii="Verdana" w:hAnsi="Verdana"/>
          <w:sz w:val="16"/>
          <w:szCs w:val="16"/>
          <w:lang w:val="es-ES"/>
        </w:rPr>
        <w:t xml:space="preserve">Resolución </w:t>
      </w:r>
      <w:r w:rsidRPr="0010371E">
        <w:rPr>
          <w:rFonts w:ascii="Verdana" w:hAnsi="Verdana"/>
          <w:sz w:val="16"/>
          <w:szCs w:val="16"/>
        </w:rPr>
        <w:t>A/77/L.58</w:t>
      </w:r>
      <w:r>
        <w:rPr>
          <w:rFonts w:ascii="Verdana" w:hAnsi="Verdana"/>
          <w:sz w:val="16"/>
          <w:szCs w:val="16"/>
        </w:rPr>
        <w:t>,</w:t>
      </w:r>
      <w:r w:rsidRPr="00C9238D">
        <w:rPr>
          <w:rFonts w:ascii="Verdana" w:hAnsi="Verdana" w:cs="Arial"/>
          <w:sz w:val="16"/>
          <w:szCs w:val="16"/>
        </w:rPr>
        <w:t>Solicitud de una opinión consultiva a la Corte Internacional de Justicia sobre las obligaciones de los Estados con respecto al cambio climático</w:t>
      </w:r>
      <w:r>
        <w:rPr>
          <w:rFonts w:ascii="Verdana" w:hAnsi="Verdana" w:cs="Arial"/>
          <w:sz w:val="16"/>
          <w:szCs w:val="16"/>
        </w:rPr>
        <w:t xml:space="preserve">, </w:t>
      </w:r>
      <w:r w:rsidRPr="0010371E">
        <w:rPr>
          <w:rFonts w:ascii="Verdana" w:hAnsi="Verdana"/>
          <w:sz w:val="16"/>
          <w:szCs w:val="16"/>
        </w:rPr>
        <w:t>de 1 de marzo de 2023.</w:t>
      </w:r>
    </w:p>
  </w:footnote>
  <w:footnote w:id="14">
    <w:p w14:paraId="286C97EE" w14:textId="391AFEE3" w:rsidR="00194342" w:rsidRPr="0010371E" w:rsidRDefault="00194342" w:rsidP="00B21C1F">
      <w:pPr>
        <w:pStyle w:val="Textonotapie"/>
        <w:spacing w:after="0" w:line="240" w:lineRule="auto"/>
        <w:ind w:right="-64"/>
        <w:jc w:val="both"/>
        <w:rPr>
          <w:rFonts w:ascii="Verdana" w:hAnsi="Verdana" w:cs="Arial"/>
          <w:sz w:val="16"/>
          <w:szCs w:val="16"/>
          <w:lang w:val="es-ES"/>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lang w:val="es-ES"/>
        </w:rPr>
        <w:tab/>
        <w:t>Al respecto</w:t>
      </w:r>
      <w:r>
        <w:rPr>
          <w:rFonts w:ascii="Verdana" w:hAnsi="Verdana" w:cs="Arial"/>
          <w:sz w:val="16"/>
          <w:szCs w:val="16"/>
          <w:lang w:val="es-ES"/>
        </w:rPr>
        <w:t>,</w:t>
      </w:r>
      <w:r w:rsidRPr="0010371E">
        <w:rPr>
          <w:rFonts w:ascii="Verdana" w:hAnsi="Verdana" w:cs="Arial"/>
          <w:sz w:val="16"/>
          <w:szCs w:val="16"/>
          <w:lang w:val="es-ES"/>
        </w:rPr>
        <w:t xml:space="preserve"> pueden consultarse los </w:t>
      </w:r>
      <w:r w:rsidRPr="0010371E">
        <w:rPr>
          <w:rFonts w:ascii="Verdana" w:hAnsi="Verdana" w:cs="Arial"/>
          <w:i/>
          <w:iCs/>
          <w:sz w:val="16"/>
          <w:szCs w:val="16"/>
          <w:lang w:val="es-ES"/>
        </w:rPr>
        <w:t>fast</w:t>
      </w:r>
      <w:r>
        <w:rPr>
          <w:rFonts w:ascii="Verdana" w:hAnsi="Verdana" w:cs="Arial"/>
          <w:i/>
          <w:iCs/>
          <w:sz w:val="16"/>
          <w:szCs w:val="16"/>
          <w:lang w:val="es-ES"/>
        </w:rPr>
        <w:t xml:space="preserve"> </w:t>
      </w:r>
      <w:r w:rsidRPr="0010371E">
        <w:rPr>
          <w:rFonts w:ascii="Verdana" w:hAnsi="Verdana" w:cs="Arial"/>
          <w:i/>
          <w:iCs/>
          <w:sz w:val="16"/>
          <w:szCs w:val="16"/>
          <w:lang w:val="es-ES"/>
        </w:rPr>
        <w:t xml:space="preserve">feech </w:t>
      </w:r>
      <w:r w:rsidRPr="0010371E">
        <w:rPr>
          <w:rFonts w:ascii="Verdana" w:hAnsi="Verdana" w:cs="Arial"/>
          <w:sz w:val="16"/>
          <w:szCs w:val="16"/>
          <w:lang w:val="es-ES"/>
        </w:rPr>
        <w:t xml:space="preserve">publicados por la Corte Europea de Derechos Humanos sobre medio ambiente y cambio climático disponibles en: </w:t>
      </w:r>
      <w:hyperlink r:id="rId5" w:history="1">
        <w:r w:rsidRPr="0010371E">
          <w:rPr>
            <w:rStyle w:val="Hipervnculo"/>
            <w:rFonts w:ascii="Verdana" w:hAnsi="Verdana" w:cs="Arial"/>
            <w:sz w:val="16"/>
            <w:szCs w:val="16"/>
            <w:lang w:val="es-ES"/>
          </w:rPr>
          <w:t>https://www.echr.coe.int/documents/d/echr/FS_Climate_change_ENG</w:t>
        </w:r>
      </w:hyperlink>
      <w:r w:rsidRPr="0010371E">
        <w:rPr>
          <w:rFonts w:ascii="Verdana" w:hAnsi="Verdana" w:cs="Arial"/>
          <w:sz w:val="16"/>
          <w:szCs w:val="16"/>
          <w:lang w:val="es-ES"/>
        </w:rPr>
        <w:t xml:space="preserve"> y </w:t>
      </w:r>
      <w:hyperlink r:id="rId6" w:history="1">
        <w:r w:rsidRPr="0010371E">
          <w:rPr>
            <w:rStyle w:val="Hipervnculo"/>
            <w:rFonts w:ascii="Verdana" w:hAnsi="Verdana" w:cs="Arial"/>
            <w:sz w:val="16"/>
            <w:szCs w:val="16"/>
            <w:lang w:val="es-ES"/>
          </w:rPr>
          <w:t>https://www.echr.coe.int/documents/d/echr/FS_Environment_ENG</w:t>
        </w:r>
      </w:hyperlink>
      <w:r w:rsidRPr="0010371E">
        <w:rPr>
          <w:rFonts w:ascii="Verdana" w:hAnsi="Verdana" w:cs="Arial"/>
          <w:sz w:val="16"/>
          <w:szCs w:val="16"/>
          <w:lang w:val="es-ES"/>
        </w:rPr>
        <w:t>.</w:t>
      </w:r>
    </w:p>
  </w:footnote>
  <w:footnote w:id="15">
    <w:p w14:paraId="0B5B30A9" w14:textId="15C785AF" w:rsidR="00194342" w:rsidRPr="0041792F" w:rsidRDefault="00194342" w:rsidP="00B66E5A">
      <w:pPr>
        <w:pStyle w:val="Textonotapie"/>
        <w:tabs>
          <w:tab w:val="left" w:pos="567"/>
        </w:tabs>
        <w:spacing w:after="0" w:line="240" w:lineRule="auto"/>
        <w:ind w:right="-64"/>
        <w:jc w:val="both"/>
        <w:rPr>
          <w:rFonts w:ascii="Verdana" w:hAnsi="Verdana" w:cs="Arial"/>
          <w:sz w:val="16"/>
          <w:szCs w:val="16"/>
          <w:lang w:val="es-ES"/>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Pr>
          <w:rFonts w:ascii="Verdana" w:hAnsi="Verdana" w:cs="Arial"/>
          <w:sz w:val="16"/>
          <w:szCs w:val="16"/>
          <w:lang w:val="es-MX"/>
        </w:rPr>
        <w:tab/>
      </w:r>
      <w:r w:rsidRPr="0010371E">
        <w:rPr>
          <w:rFonts w:ascii="Verdana" w:hAnsi="Verdana" w:cs="Arial"/>
          <w:sz w:val="16"/>
          <w:szCs w:val="16"/>
          <w:lang w:val="es-MX"/>
        </w:rPr>
        <w:t xml:space="preserve">Comité Europeo de Derechos Sociales, </w:t>
      </w:r>
      <w:r w:rsidRPr="0010371E">
        <w:rPr>
          <w:rStyle w:val="sdb9eb187"/>
          <w:rFonts w:ascii="Verdana" w:hAnsi="Verdana" w:cs="Arial"/>
          <w:color w:val="000000"/>
          <w:sz w:val="16"/>
          <w:szCs w:val="16"/>
        </w:rPr>
        <w:t>Marangopoulos Foundation for Human Rights (MFHR)v. Greece</w:t>
      </w:r>
      <w:r w:rsidRPr="0010371E">
        <w:rPr>
          <w:rStyle w:val="sdb9eb187"/>
          <w:rFonts w:ascii="Verdana" w:hAnsi="Verdana" w:cs="Arial"/>
          <w:color w:val="000000"/>
          <w:sz w:val="16"/>
          <w:szCs w:val="16"/>
          <w:lang w:val="es-ES"/>
        </w:rPr>
        <w:t xml:space="preserve">, </w:t>
      </w:r>
      <w:r w:rsidRPr="0010371E">
        <w:rPr>
          <w:rFonts w:ascii="Verdana" w:hAnsi="Verdana" w:cs="Arial"/>
          <w:color w:val="000000"/>
          <w:sz w:val="16"/>
          <w:szCs w:val="16"/>
        </w:rPr>
        <w:t>Complaint No. 30/2005</w:t>
      </w:r>
      <w:r w:rsidRPr="0010371E">
        <w:rPr>
          <w:rFonts w:ascii="Verdana" w:hAnsi="Verdana" w:cs="Arial"/>
          <w:color w:val="000000"/>
          <w:sz w:val="16"/>
          <w:szCs w:val="16"/>
          <w:lang w:val="es-ES"/>
        </w:rPr>
        <w:t>, 6 de diciembre de 2006, párr</w:t>
      </w:r>
      <w:r>
        <w:rPr>
          <w:rFonts w:ascii="Verdana" w:hAnsi="Verdana" w:cs="Arial"/>
          <w:color w:val="000000"/>
          <w:sz w:val="16"/>
          <w:szCs w:val="16"/>
          <w:lang w:val="es-ES"/>
        </w:rPr>
        <w:t>s</w:t>
      </w:r>
      <w:r w:rsidRPr="0010371E">
        <w:rPr>
          <w:rFonts w:ascii="Verdana" w:hAnsi="Verdana" w:cs="Arial"/>
          <w:color w:val="000000"/>
          <w:sz w:val="16"/>
          <w:szCs w:val="16"/>
          <w:lang w:val="es-ES"/>
        </w:rPr>
        <w:t>. 195 a 198.</w:t>
      </w:r>
    </w:p>
  </w:footnote>
  <w:footnote w:id="16">
    <w:p w14:paraId="4004D7EA" w14:textId="40A0930D" w:rsidR="00194342" w:rsidRPr="0010371E" w:rsidRDefault="00194342" w:rsidP="00B21C1F">
      <w:pPr>
        <w:pStyle w:val="Textonotapie"/>
        <w:tabs>
          <w:tab w:val="left" w:pos="567"/>
        </w:tabs>
        <w:spacing w:after="0" w:line="240" w:lineRule="auto"/>
        <w:ind w:right="-64"/>
        <w:jc w:val="both"/>
        <w:rPr>
          <w:rFonts w:ascii="Verdana" w:hAnsi="Verdana"/>
          <w:sz w:val="16"/>
          <w:szCs w:val="16"/>
          <w:lang w:val="es-ES"/>
        </w:rPr>
      </w:pPr>
      <w:r w:rsidRPr="0010371E">
        <w:rPr>
          <w:rStyle w:val="Refdenotaalpie"/>
          <w:rFonts w:ascii="Verdana" w:hAnsi="Verdana"/>
          <w:sz w:val="16"/>
          <w:szCs w:val="16"/>
        </w:rPr>
        <w:footnoteRef/>
      </w:r>
      <w:r w:rsidRPr="0010371E">
        <w:rPr>
          <w:rFonts w:ascii="Verdana" w:hAnsi="Verdana"/>
          <w:sz w:val="16"/>
          <w:szCs w:val="16"/>
        </w:rPr>
        <w:t xml:space="preserve"> </w:t>
      </w:r>
      <w:r w:rsidRPr="0010371E">
        <w:rPr>
          <w:rFonts w:ascii="Verdana" w:hAnsi="Verdana"/>
          <w:sz w:val="16"/>
          <w:szCs w:val="16"/>
        </w:rPr>
        <w:tab/>
      </w:r>
      <w:r w:rsidRPr="0010371E">
        <w:rPr>
          <w:rFonts w:ascii="Verdana" w:hAnsi="Verdana" w:cs="Arial"/>
          <w:sz w:val="16"/>
          <w:szCs w:val="16"/>
          <w:lang w:val="es-MX"/>
        </w:rPr>
        <w:t>Comisión Africana de Derechos Humanos y de los Pueblos, Caso Ogoni Vs. Nigeria, 27 de octubre de 2001, párr. 51.</w:t>
      </w:r>
    </w:p>
  </w:footnote>
  <w:footnote w:id="17">
    <w:p w14:paraId="2BEFDE1A" w14:textId="12B72277" w:rsidR="00194342" w:rsidRPr="0010371E" w:rsidRDefault="00194342" w:rsidP="00B21C1F">
      <w:pPr>
        <w:pStyle w:val="Textonotapie"/>
        <w:tabs>
          <w:tab w:val="left" w:pos="567"/>
        </w:tabs>
        <w:spacing w:after="0" w:line="240" w:lineRule="auto"/>
        <w:ind w:right="-64"/>
        <w:jc w:val="both"/>
        <w:rPr>
          <w:rFonts w:ascii="Verdana" w:hAnsi="Verdana" w:cs="Arial"/>
          <w:sz w:val="16"/>
          <w:szCs w:val="16"/>
          <w:lang w:val="es-MX"/>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Pr>
          <w:rFonts w:ascii="Verdana" w:hAnsi="Verdana" w:cs="Arial"/>
          <w:sz w:val="16"/>
          <w:szCs w:val="16"/>
        </w:rPr>
        <w:tab/>
      </w:r>
      <w:r w:rsidRPr="0010371E">
        <w:rPr>
          <w:rFonts w:ascii="Verdana" w:hAnsi="Verdana" w:cs="Arial"/>
          <w:sz w:val="16"/>
          <w:szCs w:val="16"/>
          <w:lang w:val="es-MX"/>
        </w:rPr>
        <w:t>Comisión Africana de Derechos Humanos y de los Pueblos, Caso Ogoni Vs. Nigeria, 27 de octubre de 2001, párr</w:t>
      </w:r>
      <w:r>
        <w:rPr>
          <w:rFonts w:ascii="Verdana" w:hAnsi="Verdana" w:cs="Arial"/>
          <w:sz w:val="16"/>
          <w:szCs w:val="16"/>
          <w:lang w:val="es-MX"/>
        </w:rPr>
        <w:t>s</w:t>
      </w:r>
      <w:r w:rsidRPr="0010371E">
        <w:rPr>
          <w:rFonts w:ascii="Verdana" w:hAnsi="Verdana" w:cs="Arial"/>
          <w:sz w:val="16"/>
          <w:szCs w:val="16"/>
          <w:lang w:val="es-MX"/>
        </w:rPr>
        <w:t>. 52 y 53.</w:t>
      </w:r>
    </w:p>
  </w:footnote>
  <w:footnote w:id="18">
    <w:p w14:paraId="13455D43" w14:textId="1CB2F0A6" w:rsidR="00194342" w:rsidRPr="008E72FA" w:rsidRDefault="00194342" w:rsidP="008E72FA">
      <w:pPr>
        <w:pStyle w:val="Textonotapie"/>
        <w:tabs>
          <w:tab w:val="left" w:pos="567"/>
        </w:tabs>
        <w:spacing w:after="0" w:line="240" w:lineRule="auto"/>
        <w:jc w:val="both"/>
        <w:rPr>
          <w:rFonts w:ascii="Verdana" w:hAnsi="Verdana"/>
          <w:sz w:val="16"/>
          <w:szCs w:val="16"/>
          <w:lang w:val="es-ES"/>
        </w:rPr>
      </w:pPr>
      <w:r w:rsidRPr="008E72FA">
        <w:rPr>
          <w:rStyle w:val="Refdenotaalpie"/>
          <w:rFonts w:ascii="Verdana" w:hAnsi="Verdana"/>
          <w:sz w:val="16"/>
          <w:szCs w:val="16"/>
        </w:rPr>
        <w:footnoteRef/>
      </w:r>
      <w:r w:rsidRPr="008E72FA">
        <w:rPr>
          <w:rFonts w:ascii="Verdana" w:hAnsi="Verdana"/>
          <w:sz w:val="16"/>
          <w:szCs w:val="16"/>
        </w:rPr>
        <w:t xml:space="preserve"> </w:t>
      </w:r>
      <w:r>
        <w:rPr>
          <w:rFonts w:ascii="Verdana" w:hAnsi="Verdana"/>
          <w:sz w:val="16"/>
          <w:szCs w:val="16"/>
        </w:rPr>
        <w:tab/>
      </w:r>
      <w:r w:rsidRPr="008E72FA">
        <w:rPr>
          <w:rFonts w:ascii="Verdana" w:hAnsi="Verdana"/>
          <w:i/>
          <w:sz w:val="16"/>
          <w:szCs w:val="16"/>
        </w:rPr>
        <w:t>Protocolo adicional a la Convención Americana sobre Derechos Humanos en materia de derechos economicos, sociales y culturales</w:t>
      </w:r>
      <w:r w:rsidRPr="008E72FA">
        <w:rPr>
          <w:rFonts w:ascii="Verdana" w:hAnsi="Verdana"/>
          <w:i/>
          <w:sz w:val="16"/>
          <w:szCs w:val="16"/>
          <w:lang w:val="es-ES"/>
        </w:rPr>
        <w:t>, Protocolo de San Salvador</w:t>
      </w:r>
      <w:r w:rsidRPr="008E72FA">
        <w:rPr>
          <w:rFonts w:ascii="Verdana" w:hAnsi="Verdana"/>
          <w:sz w:val="16"/>
          <w:szCs w:val="16"/>
          <w:lang w:val="es-ES"/>
        </w:rPr>
        <w:t>, OEA/Ser.A/44, aprobado el 17 de noviembre de 1988</w:t>
      </w:r>
      <w:r>
        <w:rPr>
          <w:rFonts w:ascii="Verdana" w:hAnsi="Verdana"/>
          <w:sz w:val="16"/>
          <w:szCs w:val="16"/>
          <w:lang w:val="es-ES"/>
        </w:rPr>
        <w:t>.</w:t>
      </w:r>
    </w:p>
  </w:footnote>
  <w:footnote w:id="19">
    <w:p w14:paraId="363AB42C" w14:textId="3DA4CC69" w:rsidR="00194342" w:rsidRPr="0010371E" w:rsidRDefault="00194342" w:rsidP="00FA3170">
      <w:pPr>
        <w:pStyle w:val="Textonotapie"/>
        <w:tabs>
          <w:tab w:val="left" w:pos="567"/>
          <w:tab w:val="left" w:pos="8789"/>
        </w:tabs>
        <w:spacing w:after="0" w:line="240" w:lineRule="auto"/>
        <w:ind w:right="-64"/>
        <w:jc w:val="both"/>
        <w:rPr>
          <w:rFonts w:ascii="Verdana" w:hAnsi="Verdana" w:cs="Arial"/>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Pr="0010371E">
        <w:rPr>
          <w:rFonts w:ascii="Verdana" w:hAnsi="Verdana" w:cs="Arial"/>
          <w:i/>
          <w:sz w:val="16"/>
          <w:szCs w:val="16"/>
        </w:rPr>
        <w:t>Cfr. Caso Pueblos Kaliña y Lokono Vs. Surinam. Fondo, Reparaciones y Costas</w:t>
      </w:r>
      <w:r w:rsidRPr="0010371E">
        <w:rPr>
          <w:rFonts w:ascii="Verdana" w:hAnsi="Verdana" w:cs="Arial"/>
          <w:sz w:val="16"/>
          <w:szCs w:val="16"/>
        </w:rPr>
        <w:t xml:space="preserve">. Sentencia de 25 de noviembre de 2015. Serie C No. 309, párr. 172, </w:t>
      </w:r>
      <w:r w:rsidRPr="0010371E">
        <w:rPr>
          <w:rFonts w:ascii="Verdana" w:hAnsi="Verdana" w:cs="Arial"/>
          <w:i/>
          <w:sz w:val="16"/>
          <w:szCs w:val="16"/>
        </w:rPr>
        <w:t>Caso Comunidad Indígena Yakye Axa Vs. Paraguay. Fondo Reparaciones y Costas.</w:t>
      </w:r>
      <w:r w:rsidRPr="0010371E">
        <w:rPr>
          <w:rFonts w:ascii="Verdana" w:hAnsi="Verdana" w:cs="Arial"/>
          <w:sz w:val="16"/>
          <w:szCs w:val="16"/>
        </w:rPr>
        <w:t xml:space="preserve"> Sentencia 17 de junio de 2005. Serie C No. 125, párr. 163</w:t>
      </w:r>
      <w:r>
        <w:rPr>
          <w:rFonts w:ascii="Verdana" w:hAnsi="Verdana" w:cs="Arial"/>
          <w:sz w:val="16"/>
          <w:szCs w:val="16"/>
          <w:lang w:val="es-ES"/>
        </w:rPr>
        <w:t>,</w:t>
      </w:r>
      <w:r w:rsidRPr="0010371E">
        <w:rPr>
          <w:rFonts w:ascii="Verdana" w:hAnsi="Verdana" w:cs="Arial"/>
          <w:sz w:val="16"/>
          <w:szCs w:val="16"/>
        </w:rPr>
        <w:t xml:space="preserve"> y </w:t>
      </w:r>
      <w:r w:rsidRPr="0010371E">
        <w:rPr>
          <w:rFonts w:ascii="Verdana" w:hAnsi="Verdana" w:cs="Arial"/>
          <w:i/>
          <w:sz w:val="16"/>
          <w:szCs w:val="16"/>
        </w:rPr>
        <w:t>Caso Comunidad Indígena Xákmok Kásek Vs. Paraguay. Fondo, Reparaciones y Costas</w:t>
      </w:r>
      <w:r w:rsidRPr="0010371E">
        <w:rPr>
          <w:rFonts w:ascii="Verdana" w:hAnsi="Verdana" w:cs="Arial"/>
          <w:sz w:val="16"/>
          <w:szCs w:val="16"/>
        </w:rPr>
        <w:t>. Sentencia de 24 de agosto de 2010. Serie C No. 214, párr. 187.</w:t>
      </w:r>
    </w:p>
  </w:footnote>
  <w:footnote w:id="20">
    <w:p w14:paraId="075A7B3B" w14:textId="55795AE4" w:rsidR="00194342" w:rsidRPr="0010371E" w:rsidRDefault="00194342" w:rsidP="00B21C1F">
      <w:pPr>
        <w:pStyle w:val="Textonotapie"/>
        <w:tabs>
          <w:tab w:val="left" w:pos="567"/>
          <w:tab w:val="left" w:pos="8789"/>
        </w:tabs>
        <w:spacing w:after="0" w:line="240" w:lineRule="auto"/>
        <w:ind w:right="-64"/>
        <w:jc w:val="both"/>
        <w:rPr>
          <w:rFonts w:ascii="Verdana" w:hAnsi="Verdana" w:cs="Arial"/>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Pr="0010371E">
        <w:rPr>
          <w:rFonts w:ascii="Verdana" w:hAnsi="Verdana" w:cs="Arial"/>
          <w:i/>
          <w:sz w:val="16"/>
          <w:szCs w:val="16"/>
        </w:rPr>
        <w:t>Cfr. Caso Comunidad Garífuna Triunfo de la Cruz y sus miembros Vs. Honduras. Fondo, Reparaciones y Costas</w:t>
      </w:r>
      <w:r w:rsidRPr="0010371E">
        <w:rPr>
          <w:rFonts w:ascii="Verdana" w:hAnsi="Verdana" w:cs="Arial"/>
          <w:sz w:val="16"/>
          <w:szCs w:val="16"/>
        </w:rPr>
        <w:t>. Sentencia de 08 de octubre de 2015. Serie C No. 305, párr. 293</w:t>
      </w:r>
      <w:r>
        <w:rPr>
          <w:rFonts w:ascii="Verdana" w:hAnsi="Verdana" w:cs="Arial"/>
          <w:sz w:val="16"/>
          <w:szCs w:val="16"/>
          <w:lang w:val="es-ES"/>
        </w:rPr>
        <w:t>,</w:t>
      </w:r>
      <w:r w:rsidRPr="0010371E">
        <w:rPr>
          <w:rFonts w:ascii="Verdana" w:hAnsi="Verdana" w:cs="Arial"/>
          <w:sz w:val="16"/>
          <w:szCs w:val="16"/>
        </w:rPr>
        <w:t xml:space="preserve"> y </w:t>
      </w:r>
      <w:r w:rsidRPr="0010371E">
        <w:rPr>
          <w:rFonts w:ascii="Verdana" w:hAnsi="Verdana" w:cs="Arial"/>
          <w:i/>
          <w:sz w:val="16"/>
          <w:szCs w:val="16"/>
        </w:rPr>
        <w:t>Caso Comunidad Garífuna de Punta Piedra y sus miembros Vs. Honduras. Excepciones Preliminares, Fondo, Reparaciones y Costas.</w:t>
      </w:r>
      <w:r w:rsidRPr="0010371E">
        <w:rPr>
          <w:rFonts w:ascii="Verdana" w:hAnsi="Verdana" w:cs="Arial"/>
          <w:sz w:val="16"/>
          <w:szCs w:val="16"/>
        </w:rPr>
        <w:t xml:space="preserve"> Sentencia de 08 de octubre de 2015. Serie C No. 304, párr. 346.</w:t>
      </w:r>
    </w:p>
  </w:footnote>
  <w:footnote w:id="21">
    <w:p w14:paraId="7B27BF06" w14:textId="703699C8" w:rsidR="00194342" w:rsidRPr="0010371E" w:rsidRDefault="00194342" w:rsidP="00B21C1F">
      <w:pPr>
        <w:pStyle w:val="Textonotapie"/>
        <w:tabs>
          <w:tab w:val="left" w:pos="567"/>
          <w:tab w:val="left" w:pos="8789"/>
        </w:tabs>
        <w:spacing w:after="0" w:line="240" w:lineRule="auto"/>
        <w:ind w:right="-64"/>
        <w:jc w:val="both"/>
        <w:rPr>
          <w:rFonts w:ascii="Verdana" w:hAnsi="Verdana" w:cs="Arial"/>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00D56283">
        <w:rPr>
          <w:rFonts w:ascii="Verdana" w:hAnsi="Verdana" w:cs="Arial"/>
          <w:i/>
          <w:iCs/>
          <w:sz w:val="16"/>
          <w:szCs w:val="16"/>
        </w:rPr>
        <w:t xml:space="preserve">Cfr. </w:t>
      </w:r>
      <w:r w:rsidRPr="0010371E">
        <w:rPr>
          <w:rFonts w:ascii="Verdana" w:hAnsi="Verdana" w:cs="Arial"/>
          <w:i/>
          <w:sz w:val="16"/>
          <w:szCs w:val="16"/>
        </w:rPr>
        <w:t>Caso del Pueblo Saramaka Vs. Surinam. Excepciones Preliminares, Fondo, Reparaciones y Costas</w:t>
      </w:r>
      <w:r w:rsidRPr="0010371E">
        <w:rPr>
          <w:rFonts w:ascii="Verdana" w:hAnsi="Verdana" w:cs="Arial"/>
          <w:sz w:val="16"/>
          <w:szCs w:val="16"/>
        </w:rPr>
        <w:t>. Sentencia de 28 de noviembre de 2007. Serie C No. 172, párr. 54.</w:t>
      </w:r>
    </w:p>
  </w:footnote>
  <w:footnote w:id="22">
    <w:p w14:paraId="263A8DAB" w14:textId="3B9FB4D6" w:rsidR="00194342" w:rsidRPr="0010371E" w:rsidRDefault="00194342" w:rsidP="00B21C1F">
      <w:pPr>
        <w:pStyle w:val="Textonotapie"/>
        <w:tabs>
          <w:tab w:val="left" w:pos="567"/>
          <w:tab w:val="left" w:pos="8789"/>
        </w:tabs>
        <w:spacing w:after="0" w:line="240" w:lineRule="auto"/>
        <w:ind w:right="-64"/>
        <w:jc w:val="both"/>
        <w:rPr>
          <w:rFonts w:ascii="Verdana" w:hAnsi="Verdana" w:cs="Arial"/>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00D56283">
        <w:rPr>
          <w:rFonts w:ascii="Verdana" w:hAnsi="Verdana" w:cs="Arial"/>
          <w:i/>
          <w:iCs/>
          <w:sz w:val="16"/>
          <w:szCs w:val="16"/>
        </w:rPr>
        <w:t xml:space="preserve">Cfr. </w:t>
      </w:r>
      <w:r w:rsidRPr="0010371E">
        <w:rPr>
          <w:rFonts w:ascii="Verdana" w:hAnsi="Verdana" w:cs="Arial"/>
          <w:i/>
          <w:sz w:val="16"/>
          <w:szCs w:val="16"/>
        </w:rPr>
        <w:t>Caso Pueblo Indígena Kichwa de Sarayaku Vs. Ecuador. Fondo y reparaciones</w:t>
      </w:r>
      <w:r w:rsidRPr="0010371E">
        <w:rPr>
          <w:rFonts w:ascii="Verdana" w:hAnsi="Verdana" w:cs="Arial"/>
          <w:sz w:val="16"/>
          <w:szCs w:val="16"/>
        </w:rPr>
        <w:t>. Sentencia de 27 de junio de 2012. Serie C No. 245, párr. 204.</w:t>
      </w:r>
    </w:p>
  </w:footnote>
  <w:footnote w:id="23">
    <w:p w14:paraId="0F747C5A" w14:textId="7720CB20" w:rsidR="00194342" w:rsidRPr="0010371E" w:rsidRDefault="00194342" w:rsidP="00B21C1F">
      <w:pPr>
        <w:pStyle w:val="Textonotapie"/>
        <w:tabs>
          <w:tab w:val="left" w:pos="567"/>
          <w:tab w:val="left" w:pos="8789"/>
        </w:tabs>
        <w:spacing w:after="0" w:line="240" w:lineRule="auto"/>
        <w:ind w:right="-64"/>
        <w:jc w:val="both"/>
        <w:rPr>
          <w:rFonts w:ascii="Verdana" w:hAnsi="Verdana" w:cs="Arial"/>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Pr="0010371E">
        <w:rPr>
          <w:rFonts w:ascii="Verdana" w:eastAsiaTheme="minorEastAsia" w:hAnsi="Verdana" w:cs="Arial"/>
          <w:sz w:val="16"/>
          <w:szCs w:val="16"/>
        </w:rPr>
        <w:t xml:space="preserve">Por otro lado, la Corte </w:t>
      </w:r>
      <w:r>
        <w:rPr>
          <w:rFonts w:ascii="Verdana" w:eastAsiaTheme="minorEastAsia" w:hAnsi="Verdana" w:cs="Arial"/>
          <w:sz w:val="16"/>
          <w:szCs w:val="16"/>
          <w:lang w:val="es-ES"/>
        </w:rPr>
        <w:t xml:space="preserve">IDH </w:t>
      </w:r>
      <w:r w:rsidRPr="0010371E">
        <w:rPr>
          <w:rFonts w:ascii="Verdana" w:eastAsiaTheme="minorEastAsia" w:hAnsi="Verdana" w:cs="Arial"/>
          <w:sz w:val="16"/>
          <w:szCs w:val="16"/>
        </w:rPr>
        <w:t>ha establecido que “los Estudios de Impacto Ambiental deben realizarse conforme a los estándares internacionales y buenas prácticas al respecto; respetar las tradiciones y cultura de los pueblos indígenas; y ser concluidos de manera previa al otorgamiento de la concesión, ya que uno de los objetivos de la exigencia de dichos estudios es garantizar el derecho del pueblo indígena a ser informado acerca de todos los proyectos propuestos en su territorio. Por lo tanto, la obligación del Estado de supervisar los Estudios de Impacto Ambiental coincide con su deber de garantizar la efectiva participación del pueblo indígena’ en el proceso de otorgamiento de concesiones. Además, el Tribunal agregó que uno de los puntos sobre el cual debiera tratar el estudio de impacto social y ambiental es el impacto acumulado que han generado los proyectos existentes y los que vayan a generar los proyectos que hayan sido propuestos”.</w:t>
      </w:r>
      <w:r w:rsidRPr="0010371E">
        <w:rPr>
          <w:rFonts w:ascii="Verdana" w:hAnsi="Verdana" w:cs="Arial"/>
          <w:sz w:val="16"/>
          <w:szCs w:val="16"/>
        </w:rPr>
        <w:t xml:space="preserve"> </w:t>
      </w:r>
      <w:r w:rsidRPr="0010371E">
        <w:rPr>
          <w:rFonts w:ascii="Verdana" w:hAnsi="Verdana" w:cs="Arial"/>
          <w:i/>
          <w:sz w:val="16"/>
          <w:szCs w:val="16"/>
        </w:rPr>
        <w:t>Cfr. Caso Pueblo Indígena Kichwa de Sarayaku Vs. Ecuador</w:t>
      </w:r>
      <w:r w:rsidR="00D56283">
        <w:rPr>
          <w:rFonts w:ascii="Verdana" w:hAnsi="Verdana" w:cs="Arial"/>
          <w:i/>
          <w:sz w:val="16"/>
          <w:szCs w:val="16"/>
        </w:rPr>
        <w:t>, supra</w:t>
      </w:r>
      <w:r w:rsidRPr="0010371E">
        <w:rPr>
          <w:rFonts w:ascii="Verdana" w:hAnsi="Verdana" w:cs="Arial"/>
          <w:sz w:val="16"/>
          <w:szCs w:val="16"/>
        </w:rPr>
        <w:t>, párr</w:t>
      </w:r>
      <w:r w:rsidR="00D56283">
        <w:rPr>
          <w:rFonts w:ascii="Verdana" w:hAnsi="Verdana" w:cs="Arial"/>
          <w:sz w:val="16"/>
          <w:szCs w:val="16"/>
        </w:rPr>
        <w:t>s</w:t>
      </w:r>
      <w:r w:rsidRPr="0010371E">
        <w:rPr>
          <w:rFonts w:ascii="Verdana" w:hAnsi="Verdana" w:cs="Arial"/>
          <w:sz w:val="16"/>
          <w:szCs w:val="16"/>
        </w:rPr>
        <w:t xml:space="preserve">. 204 y </w:t>
      </w:r>
      <w:r w:rsidRPr="0010371E">
        <w:rPr>
          <w:rFonts w:ascii="Verdana" w:eastAsiaTheme="minorEastAsia" w:hAnsi="Verdana" w:cs="Arial"/>
          <w:sz w:val="16"/>
          <w:szCs w:val="16"/>
        </w:rPr>
        <w:t xml:space="preserve">206 y </w:t>
      </w:r>
      <w:r w:rsidRPr="0010371E">
        <w:rPr>
          <w:rFonts w:ascii="Verdana" w:hAnsi="Verdana" w:cs="Arial"/>
          <w:i/>
          <w:sz w:val="16"/>
          <w:szCs w:val="16"/>
        </w:rPr>
        <w:t>Caso del Pueblo Saramaka Vs. Surinam. Interpretación de la Sentencia de Excepciones Preliminares, Fondo, Reparaciones y Costas</w:t>
      </w:r>
      <w:r w:rsidRPr="0010371E">
        <w:rPr>
          <w:rFonts w:ascii="Verdana" w:hAnsi="Verdana" w:cs="Arial"/>
          <w:sz w:val="16"/>
          <w:szCs w:val="16"/>
        </w:rPr>
        <w:t>. Sentencia de 12 de agosto de 2008. Serie C No. 185, párr. 40.</w:t>
      </w:r>
    </w:p>
  </w:footnote>
  <w:footnote w:id="24">
    <w:p w14:paraId="7C2E3BDC" w14:textId="78F7C055" w:rsidR="00194342" w:rsidRPr="0010371E" w:rsidRDefault="00194342" w:rsidP="00B21C1F">
      <w:pPr>
        <w:pStyle w:val="Textonotapie"/>
        <w:tabs>
          <w:tab w:val="left" w:pos="567"/>
          <w:tab w:val="left" w:pos="8789"/>
        </w:tabs>
        <w:spacing w:after="0" w:line="240" w:lineRule="auto"/>
        <w:ind w:right="-64"/>
        <w:jc w:val="both"/>
        <w:rPr>
          <w:rFonts w:ascii="Verdana" w:hAnsi="Verdana" w:cs="Arial"/>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Pr="0010371E">
        <w:rPr>
          <w:rFonts w:ascii="Verdana" w:hAnsi="Verdana" w:cs="Arial"/>
          <w:i/>
          <w:sz w:val="16"/>
          <w:szCs w:val="16"/>
        </w:rPr>
        <w:t>Cfr. Caso Salvador Chiriboga Vs. Ecuador. Excepción Preliminar y Fondo</w:t>
      </w:r>
      <w:r w:rsidRPr="0010371E">
        <w:rPr>
          <w:rFonts w:ascii="Verdana" w:hAnsi="Verdana" w:cs="Arial"/>
          <w:sz w:val="16"/>
          <w:szCs w:val="16"/>
        </w:rPr>
        <w:t>. Sentencia de 6 de mayo de 2008. Serie C No. 179, párr. 76.</w:t>
      </w:r>
    </w:p>
  </w:footnote>
  <w:footnote w:id="25">
    <w:p w14:paraId="7544D5BA" w14:textId="5EAC5E12" w:rsidR="00194342" w:rsidRPr="0010371E" w:rsidRDefault="00194342" w:rsidP="00B21C1F">
      <w:pPr>
        <w:pStyle w:val="Textonotapie"/>
        <w:tabs>
          <w:tab w:val="left" w:pos="567"/>
          <w:tab w:val="left" w:pos="8789"/>
        </w:tabs>
        <w:spacing w:after="0" w:line="240" w:lineRule="auto"/>
        <w:ind w:right="-64"/>
        <w:jc w:val="both"/>
        <w:rPr>
          <w:rFonts w:ascii="Verdana" w:hAnsi="Verdana" w:cs="Arial"/>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00D56283" w:rsidRPr="0010371E">
        <w:rPr>
          <w:rFonts w:ascii="Verdana" w:hAnsi="Verdana" w:cs="Arial"/>
          <w:i/>
          <w:sz w:val="16"/>
          <w:szCs w:val="16"/>
        </w:rPr>
        <w:t>Cfr.</w:t>
      </w:r>
      <w:r w:rsidR="00D56283">
        <w:rPr>
          <w:rFonts w:ascii="Verdana" w:hAnsi="Verdana" w:cs="Arial"/>
          <w:i/>
          <w:sz w:val="16"/>
          <w:szCs w:val="16"/>
        </w:rPr>
        <w:t xml:space="preserve"> </w:t>
      </w:r>
      <w:r w:rsidRPr="0010371E">
        <w:rPr>
          <w:rFonts w:ascii="Verdana" w:hAnsi="Verdana" w:cs="Arial"/>
          <w:i/>
          <w:sz w:val="16"/>
          <w:szCs w:val="16"/>
        </w:rPr>
        <w:t>Caso Comunidad Indígena Xákmok Kásek Vs. Paraguay</w:t>
      </w:r>
      <w:r w:rsidR="00D56283">
        <w:rPr>
          <w:rFonts w:ascii="Verdana" w:hAnsi="Verdana" w:cs="Arial"/>
          <w:i/>
          <w:sz w:val="16"/>
          <w:szCs w:val="16"/>
        </w:rPr>
        <w:t>, supra</w:t>
      </w:r>
      <w:r w:rsidRPr="0010371E">
        <w:rPr>
          <w:rFonts w:ascii="Verdana" w:hAnsi="Verdana" w:cs="Arial"/>
          <w:sz w:val="16"/>
          <w:szCs w:val="16"/>
        </w:rPr>
        <w:t>, párr. 313.</w:t>
      </w:r>
    </w:p>
  </w:footnote>
  <w:footnote w:id="26">
    <w:p w14:paraId="7B974871" w14:textId="04872EC7" w:rsidR="00194342" w:rsidRPr="0010371E" w:rsidRDefault="00194342" w:rsidP="00B21C1F">
      <w:pPr>
        <w:pStyle w:val="Textonotapie"/>
        <w:tabs>
          <w:tab w:val="left" w:pos="567"/>
          <w:tab w:val="left" w:pos="8789"/>
        </w:tabs>
        <w:spacing w:after="0" w:line="240" w:lineRule="auto"/>
        <w:ind w:right="-64"/>
        <w:jc w:val="both"/>
        <w:rPr>
          <w:rFonts w:ascii="Verdana" w:hAnsi="Verdana" w:cs="Arial"/>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00D56283" w:rsidRPr="0010371E">
        <w:rPr>
          <w:rFonts w:ascii="Verdana" w:hAnsi="Verdana" w:cs="Arial"/>
          <w:i/>
          <w:sz w:val="16"/>
          <w:szCs w:val="16"/>
        </w:rPr>
        <w:t>Cfr.</w:t>
      </w:r>
      <w:r w:rsidR="00D56283">
        <w:rPr>
          <w:rFonts w:ascii="Verdana" w:hAnsi="Verdana" w:cs="Arial"/>
          <w:i/>
          <w:sz w:val="16"/>
          <w:szCs w:val="16"/>
        </w:rPr>
        <w:t xml:space="preserve"> </w:t>
      </w:r>
      <w:r w:rsidRPr="0010371E">
        <w:rPr>
          <w:rFonts w:ascii="Verdana" w:hAnsi="Verdana" w:cs="Arial"/>
          <w:i/>
          <w:sz w:val="16"/>
          <w:szCs w:val="16"/>
        </w:rPr>
        <w:t>Caso Pueblos Kaliña y Lokono Vs. Surinam</w:t>
      </w:r>
      <w:r w:rsidR="00D56283">
        <w:rPr>
          <w:rFonts w:ascii="Verdana" w:hAnsi="Verdana" w:cs="Arial"/>
          <w:sz w:val="16"/>
          <w:szCs w:val="16"/>
        </w:rPr>
        <w:t xml:space="preserve">, </w:t>
      </w:r>
      <w:r w:rsidR="00D56283">
        <w:rPr>
          <w:rFonts w:ascii="Verdana" w:hAnsi="Verdana" w:cs="Arial"/>
          <w:i/>
          <w:sz w:val="16"/>
          <w:szCs w:val="16"/>
        </w:rPr>
        <w:t>supra</w:t>
      </w:r>
      <w:r w:rsidRPr="0010371E">
        <w:rPr>
          <w:rFonts w:ascii="Verdana" w:hAnsi="Verdana" w:cs="Arial"/>
          <w:sz w:val="16"/>
          <w:szCs w:val="16"/>
        </w:rPr>
        <w:t>, párr. 173.</w:t>
      </w:r>
    </w:p>
  </w:footnote>
  <w:footnote w:id="27">
    <w:p w14:paraId="58476AD0" w14:textId="4BE77016" w:rsidR="00194342" w:rsidRPr="0010371E" w:rsidRDefault="00194342" w:rsidP="00B21C1F">
      <w:pPr>
        <w:pStyle w:val="Textonotapie"/>
        <w:tabs>
          <w:tab w:val="left" w:pos="567"/>
          <w:tab w:val="left" w:pos="8789"/>
        </w:tabs>
        <w:spacing w:after="0" w:line="240" w:lineRule="auto"/>
        <w:ind w:right="-64"/>
        <w:jc w:val="both"/>
        <w:rPr>
          <w:rFonts w:ascii="Verdana" w:hAnsi="Verdana" w:cs="Arial"/>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00D56283" w:rsidRPr="0010371E">
        <w:rPr>
          <w:rFonts w:ascii="Verdana" w:hAnsi="Verdana" w:cs="Arial"/>
          <w:i/>
          <w:sz w:val="16"/>
          <w:szCs w:val="16"/>
        </w:rPr>
        <w:t>Cfr.</w:t>
      </w:r>
      <w:r w:rsidR="00D56283">
        <w:rPr>
          <w:rFonts w:ascii="Verdana" w:hAnsi="Verdana" w:cs="Arial"/>
          <w:i/>
          <w:sz w:val="16"/>
          <w:szCs w:val="16"/>
        </w:rPr>
        <w:t xml:space="preserve"> </w:t>
      </w:r>
      <w:r w:rsidR="00D56283" w:rsidRPr="0010371E">
        <w:rPr>
          <w:rFonts w:ascii="Verdana" w:hAnsi="Verdana" w:cs="Arial"/>
          <w:i/>
          <w:sz w:val="16"/>
          <w:szCs w:val="16"/>
        </w:rPr>
        <w:t>Caso Pueblos Kaliña y Lokono Vs. Surinam</w:t>
      </w:r>
      <w:r w:rsidR="00D56283">
        <w:rPr>
          <w:rFonts w:ascii="Verdana" w:hAnsi="Verdana" w:cs="Arial"/>
          <w:sz w:val="16"/>
          <w:szCs w:val="16"/>
        </w:rPr>
        <w:t xml:space="preserve">, </w:t>
      </w:r>
      <w:r w:rsidR="00D56283">
        <w:rPr>
          <w:rFonts w:ascii="Verdana" w:hAnsi="Verdana" w:cs="Arial"/>
          <w:i/>
          <w:sz w:val="16"/>
          <w:szCs w:val="16"/>
        </w:rPr>
        <w:t>supra</w:t>
      </w:r>
      <w:r w:rsidR="00D56283" w:rsidRPr="0010371E">
        <w:rPr>
          <w:rFonts w:ascii="Verdana" w:hAnsi="Verdana" w:cs="Arial"/>
          <w:sz w:val="16"/>
          <w:szCs w:val="16"/>
        </w:rPr>
        <w:t xml:space="preserve">, </w:t>
      </w:r>
      <w:r w:rsidRPr="0010371E">
        <w:rPr>
          <w:rFonts w:ascii="Verdana" w:hAnsi="Verdana" w:cs="Arial"/>
          <w:sz w:val="16"/>
          <w:szCs w:val="16"/>
        </w:rPr>
        <w:t>párr. 181.</w:t>
      </w:r>
    </w:p>
  </w:footnote>
  <w:footnote w:id="28">
    <w:p w14:paraId="23573EA4" w14:textId="26B6CC16" w:rsidR="00194342" w:rsidRPr="0010371E" w:rsidRDefault="00194342" w:rsidP="00B21C1F">
      <w:pPr>
        <w:pStyle w:val="Textonotapie"/>
        <w:tabs>
          <w:tab w:val="left" w:pos="567"/>
          <w:tab w:val="left" w:pos="8789"/>
        </w:tabs>
        <w:spacing w:after="0" w:line="240" w:lineRule="auto"/>
        <w:ind w:right="-64"/>
        <w:jc w:val="both"/>
        <w:rPr>
          <w:rFonts w:ascii="Verdana" w:hAnsi="Verdana" w:cs="Arial"/>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00D56283" w:rsidRPr="0010371E">
        <w:rPr>
          <w:rFonts w:ascii="Verdana" w:hAnsi="Verdana" w:cs="Arial"/>
          <w:i/>
          <w:sz w:val="16"/>
          <w:szCs w:val="16"/>
        </w:rPr>
        <w:t>Cfr.</w:t>
      </w:r>
      <w:r w:rsidR="00D56283">
        <w:rPr>
          <w:rFonts w:ascii="Verdana" w:hAnsi="Verdana" w:cs="Arial"/>
          <w:i/>
          <w:sz w:val="16"/>
          <w:szCs w:val="16"/>
        </w:rPr>
        <w:t xml:space="preserve"> </w:t>
      </w:r>
      <w:r w:rsidR="00D56283" w:rsidRPr="0010371E">
        <w:rPr>
          <w:rFonts w:ascii="Verdana" w:hAnsi="Verdana" w:cs="Arial"/>
          <w:i/>
          <w:sz w:val="16"/>
          <w:szCs w:val="16"/>
        </w:rPr>
        <w:t>Caso Pueblos Kaliña y Lokono Vs. Surinam</w:t>
      </w:r>
      <w:r w:rsidR="00D56283">
        <w:rPr>
          <w:rFonts w:ascii="Verdana" w:hAnsi="Verdana" w:cs="Arial"/>
          <w:sz w:val="16"/>
          <w:szCs w:val="16"/>
        </w:rPr>
        <w:t xml:space="preserve">, </w:t>
      </w:r>
      <w:r w:rsidR="00D56283">
        <w:rPr>
          <w:rFonts w:ascii="Verdana" w:hAnsi="Verdana" w:cs="Arial"/>
          <w:i/>
          <w:sz w:val="16"/>
          <w:szCs w:val="16"/>
        </w:rPr>
        <w:t>supra</w:t>
      </w:r>
      <w:r w:rsidR="00D56283" w:rsidRPr="0010371E">
        <w:rPr>
          <w:rFonts w:ascii="Verdana" w:hAnsi="Verdana" w:cs="Arial"/>
          <w:sz w:val="16"/>
          <w:szCs w:val="16"/>
        </w:rPr>
        <w:t xml:space="preserve">, </w:t>
      </w:r>
      <w:r w:rsidR="00D56283">
        <w:rPr>
          <w:rFonts w:ascii="Verdana" w:hAnsi="Verdana" w:cs="Arial"/>
          <w:sz w:val="16"/>
          <w:szCs w:val="16"/>
        </w:rPr>
        <w:t xml:space="preserve">párr. </w:t>
      </w:r>
      <w:r w:rsidRPr="0010371E">
        <w:rPr>
          <w:rFonts w:ascii="Verdana" w:hAnsi="Verdana" w:cs="Arial"/>
          <w:sz w:val="16"/>
          <w:szCs w:val="16"/>
        </w:rPr>
        <w:t>198.</w:t>
      </w:r>
    </w:p>
  </w:footnote>
  <w:footnote w:id="29">
    <w:p w14:paraId="4452DC17" w14:textId="1807AFA9" w:rsidR="00194342" w:rsidRPr="0010371E" w:rsidRDefault="00194342" w:rsidP="00B21C1F">
      <w:pPr>
        <w:pStyle w:val="Textonotapie"/>
        <w:tabs>
          <w:tab w:val="left" w:pos="567"/>
          <w:tab w:val="left" w:pos="8789"/>
        </w:tabs>
        <w:spacing w:after="0" w:line="240" w:lineRule="auto"/>
        <w:ind w:right="-64"/>
        <w:jc w:val="both"/>
        <w:rPr>
          <w:rFonts w:ascii="Verdana" w:hAnsi="Verdana" w:cs="Arial"/>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008D518D">
        <w:rPr>
          <w:rFonts w:ascii="Verdana" w:hAnsi="Verdana" w:cs="Arial"/>
          <w:sz w:val="16"/>
          <w:szCs w:val="16"/>
        </w:rPr>
        <w:t xml:space="preserve">    </w:t>
      </w:r>
      <w:r w:rsidR="00D56283" w:rsidRPr="0010371E">
        <w:rPr>
          <w:rFonts w:ascii="Verdana" w:hAnsi="Verdana" w:cs="Arial"/>
          <w:i/>
          <w:sz w:val="16"/>
          <w:szCs w:val="16"/>
        </w:rPr>
        <w:t>Cfr.</w:t>
      </w:r>
      <w:r w:rsidR="00D56283">
        <w:rPr>
          <w:rFonts w:ascii="Verdana" w:hAnsi="Verdana" w:cs="Arial"/>
          <w:i/>
          <w:sz w:val="16"/>
          <w:szCs w:val="16"/>
        </w:rPr>
        <w:t xml:space="preserve"> </w:t>
      </w:r>
      <w:r w:rsidRPr="0010371E">
        <w:rPr>
          <w:rFonts w:ascii="Verdana" w:hAnsi="Verdana" w:cs="Arial"/>
          <w:i/>
          <w:sz w:val="16"/>
          <w:szCs w:val="16"/>
        </w:rPr>
        <w:t>Caso Claude Reyes y otros Vs. Chile. Fondo, Reparaciones y Costas</w:t>
      </w:r>
      <w:r w:rsidRPr="0010371E">
        <w:rPr>
          <w:rFonts w:ascii="Verdana" w:hAnsi="Verdana" w:cs="Arial"/>
          <w:sz w:val="16"/>
          <w:szCs w:val="16"/>
        </w:rPr>
        <w:t>. Sentencia de 19 de septiembre de 2006. Serie C No. 151, párr. 77.</w:t>
      </w:r>
    </w:p>
  </w:footnote>
  <w:footnote w:id="30">
    <w:p w14:paraId="6F1AEDB2" w14:textId="6DA5F21C" w:rsidR="00194342" w:rsidRPr="008E72FA" w:rsidRDefault="00194342" w:rsidP="008E72FA">
      <w:pPr>
        <w:pStyle w:val="Textonotapie"/>
        <w:snapToGrid w:val="0"/>
        <w:spacing w:after="0" w:line="240" w:lineRule="auto"/>
        <w:ind w:right="-64"/>
        <w:jc w:val="both"/>
        <w:rPr>
          <w:rFonts w:ascii="Verdana" w:hAnsi="Verdana"/>
          <w:sz w:val="16"/>
          <w:szCs w:val="16"/>
          <w:lang w:val="es-ES"/>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004935D3" w:rsidRPr="004935D3">
        <w:rPr>
          <w:rStyle w:val="Textoennegrita"/>
          <w:rFonts w:ascii="Verdana" w:hAnsi="Verdana" w:cs="Arial"/>
          <w:b w:val="0"/>
          <w:bCs w:val="0"/>
          <w:i/>
          <w:iCs/>
          <w:sz w:val="16"/>
          <w:szCs w:val="16"/>
          <w:shd w:val="clear" w:color="auto" w:fill="FFFFFF"/>
        </w:rPr>
        <w:t xml:space="preserve"> </w:t>
      </w:r>
      <w:r w:rsidR="00D56283" w:rsidRPr="0010371E">
        <w:rPr>
          <w:rFonts w:ascii="Verdana" w:hAnsi="Verdana" w:cs="Arial"/>
          <w:i/>
          <w:sz w:val="16"/>
          <w:szCs w:val="16"/>
        </w:rPr>
        <w:t>Cfr.</w:t>
      </w:r>
      <w:r w:rsidR="00D56283">
        <w:rPr>
          <w:rFonts w:ascii="Verdana" w:hAnsi="Verdana" w:cs="Arial"/>
          <w:i/>
          <w:sz w:val="16"/>
          <w:szCs w:val="16"/>
        </w:rPr>
        <w:t xml:space="preserve"> </w:t>
      </w:r>
      <w:r w:rsidR="004935D3" w:rsidRPr="00E16F61">
        <w:rPr>
          <w:rStyle w:val="Textoennegrita"/>
          <w:rFonts w:ascii="Verdana" w:hAnsi="Verdana" w:cs="Arial"/>
          <w:b w:val="0"/>
          <w:bCs w:val="0"/>
          <w:sz w:val="16"/>
          <w:szCs w:val="16"/>
          <w:shd w:val="clear" w:color="auto" w:fill="FFFFFF"/>
        </w:rPr>
        <w:t>Opinión Consultiva OC-23/17</w:t>
      </w:r>
      <w:r w:rsidR="00D56283">
        <w:rPr>
          <w:rStyle w:val="Textoennegrita"/>
          <w:rFonts w:ascii="Verdana" w:hAnsi="Verdana" w:cs="Arial"/>
          <w:b w:val="0"/>
          <w:bCs w:val="0"/>
          <w:sz w:val="16"/>
          <w:szCs w:val="16"/>
          <w:shd w:val="clear" w:color="auto" w:fill="FFFFFF"/>
        </w:rPr>
        <w:t xml:space="preserve">, </w:t>
      </w:r>
      <w:r w:rsidR="00D56283" w:rsidRPr="009C2C1B">
        <w:rPr>
          <w:rStyle w:val="Textoennegrita"/>
          <w:rFonts w:ascii="Verdana" w:hAnsi="Verdana" w:cs="Arial"/>
          <w:b w:val="0"/>
          <w:bCs w:val="0"/>
          <w:i/>
          <w:iCs/>
          <w:sz w:val="16"/>
          <w:szCs w:val="16"/>
          <w:shd w:val="clear" w:color="auto" w:fill="FFFFFF"/>
        </w:rPr>
        <w:t>supra</w:t>
      </w:r>
      <w:r w:rsidRPr="0010371E">
        <w:rPr>
          <w:rStyle w:val="Textoennegrita"/>
          <w:rFonts w:ascii="Verdana" w:hAnsi="Verdana" w:cs="Arial"/>
          <w:b w:val="0"/>
          <w:bCs w:val="0"/>
          <w:sz w:val="16"/>
          <w:szCs w:val="16"/>
          <w:shd w:val="clear" w:color="auto" w:fill="FFFFFF"/>
        </w:rPr>
        <w:t xml:space="preserve">, párr. </w:t>
      </w:r>
      <w:r w:rsidRPr="0010371E">
        <w:rPr>
          <w:rFonts w:ascii="Verdana" w:hAnsi="Verdana" w:cs="Arial"/>
          <w:sz w:val="16"/>
          <w:szCs w:val="16"/>
        </w:rPr>
        <w:t>62.</w:t>
      </w:r>
    </w:p>
  </w:footnote>
  <w:footnote w:id="31">
    <w:p w14:paraId="4CBB21B4" w14:textId="780D4F11" w:rsidR="00194342" w:rsidRPr="008F6A3F" w:rsidRDefault="00194342" w:rsidP="00B21C1F">
      <w:pPr>
        <w:pStyle w:val="Textonotapie"/>
        <w:spacing w:after="0" w:line="240" w:lineRule="auto"/>
        <w:ind w:right="-64"/>
        <w:jc w:val="both"/>
        <w:rPr>
          <w:rFonts w:ascii="Verdana" w:hAnsi="Verdana" w:cs="Arial"/>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00D56283">
        <w:rPr>
          <w:rFonts w:ascii="Verdana" w:hAnsi="Verdana" w:cs="Arial"/>
          <w:i/>
          <w:iCs/>
          <w:sz w:val="16"/>
          <w:szCs w:val="16"/>
        </w:rPr>
        <w:t xml:space="preserve">Cfr. </w:t>
      </w:r>
      <w:r w:rsidR="00D56283" w:rsidRPr="00E16F61">
        <w:rPr>
          <w:rStyle w:val="Textoennegrita"/>
          <w:rFonts w:ascii="Verdana" w:hAnsi="Verdana" w:cs="Arial"/>
          <w:b w:val="0"/>
          <w:bCs w:val="0"/>
          <w:sz w:val="16"/>
          <w:szCs w:val="16"/>
          <w:shd w:val="clear" w:color="auto" w:fill="FFFFFF"/>
        </w:rPr>
        <w:t>Opinión Consultiva OC-23/17</w:t>
      </w:r>
      <w:r w:rsidR="00D56283">
        <w:rPr>
          <w:rStyle w:val="Textoennegrita"/>
          <w:rFonts w:ascii="Verdana" w:hAnsi="Verdana" w:cs="Arial"/>
          <w:b w:val="0"/>
          <w:bCs w:val="0"/>
          <w:sz w:val="16"/>
          <w:szCs w:val="16"/>
          <w:shd w:val="clear" w:color="auto" w:fill="FFFFFF"/>
        </w:rPr>
        <w:t xml:space="preserve">, </w:t>
      </w:r>
      <w:r w:rsidR="00D56283" w:rsidRPr="00675748">
        <w:rPr>
          <w:rStyle w:val="Textoennegrita"/>
          <w:rFonts w:ascii="Verdana" w:hAnsi="Verdana" w:cs="Arial"/>
          <w:b w:val="0"/>
          <w:bCs w:val="0"/>
          <w:i/>
          <w:iCs/>
          <w:sz w:val="16"/>
          <w:szCs w:val="16"/>
          <w:shd w:val="clear" w:color="auto" w:fill="FFFFFF"/>
        </w:rPr>
        <w:t>supra</w:t>
      </w:r>
      <w:r w:rsidR="00D56283" w:rsidRPr="0010371E">
        <w:rPr>
          <w:rStyle w:val="Textoennegrita"/>
          <w:rFonts w:ascii="Verdana" w:hAnsi="Verdana" w:cs="Arial"/>
          <w:b w:val="0"/>
          <w:bCs w:val="0"/>
          <w:sz w:val="16"/>
          <w:szCs w:val="16"/>
          <w:shd w:val="clear" w:color="auto" w:fill="FFFFFF"/>
        </w:rPr>
        <w:t xml:space="preserve">, </w:t>
      </w:r>
      <w:r>
        <w:rPr>
          <w:rStyle w:val="Textoennegrita"/>
          <w:rFonts w:ascii="Verdana" w:hAnsi="Verdana" w:cs="Arial"/>
          <w:b w:val="0"/>
          <w:bCs w:val="0"/>
          <w:sz w:val="16"/>
          <w:szCs w:val="16"/>
          <w:shd w:val="clear" w:color="auto" w:fill="FFFFFF"/>
          <w:lang w:val="es-ES"/>
        </w:rPr>
        <w:t xml:space="preserve"> </w:t>
      </w:r>
      <w:r w:rsidRPr="0010371E">
        <w:rPr>
          <w:rStyle w:val="Textoennegrita"/>
          <w:rFonts w:ascii="Verdana" w:hAnsi="Verdana" w:cs="Arial"/>
          <w:b w:val="0"/>
          <w:bCs w:val="0"/>
          <w:sz w:val="16"/>
          <w:szCs w:val="16"/>
          <w:shd w:val="clear" w:color="auto" w:fill="FFFFFF"/>
        </w:rPr>
        <w:t xml:space="preserve">párrs. </w:t>
      </w:r>
      <w:r w:rsidRPr="0010371E">
        <w:rPr>
          <w:rFonts w:ascii="Verdana" w:hAnsi="Verdana" w:cs="Arial"/>
          <w:sz w:val="16"/>
          <w:szCs w:val="16"/>
        </w:rPr>
        <w:t>72 a 82</w:t>
      </w:r>
    </w:p>
  </w:footnote>
  <w:footnote w:id="32">
    <w:p w14:paraId="1357881D" w14:textId="74487E9E" w:rsidR="00194342" w:rsidRPr="009D1D1D" w:rsidRDefault="00194342" w:rsidP="00B21C1F">
      <w:pPr>
        <w:pStyle w:val="Textonotapie"/>
        <w:spacing w:after="0" w:line="240" w:lineRule="auto"/>
        <w:ind w:right="-64"/>
        <w:jc w:val="both"/>
        <w:rPr>
          <w:rFonts w:ascii="Verdana" w:hAnsi="Verdana" w:cs="Arial"/>
          <w:sz w:val="16"/>
          <w:szCs w:val="16"/>
          <w:shd w:val="clear" w:color="auto" w:fill="FFFFFF"/>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00D56283">
        <w:rPr>
          <w:rFonts w:ascii="Verdana" w:hAnsi="Verdana" w:cs="Arial"/>
          <w:i/>
          <w:iCs/>
          <w:sz w:val="16"/>
          <w:szCs w:val="16"/>
        </w:rPr>
        <w:t xml:space="preserve">Cfr. </w:t>
      </w:r>
      <w:r w:rsidR="00D56283" w:rsidRPr="00E16F61">
        <w:rPr>
          <w:rStyle w:val="Textoennegrita"/>
          <w:rFonts w:ascii="Verdana" w:hAnsi="Verdana" w:cs="Arial"/>
          <w:b w:val="0"/>
          <w:bCs w:val="0"/>
          <w:sz w:val="16"/>
          <w:szCs w:val="16"/>
          <w:shd w:val="clear" w:color="auto" w:fill="FFFFFF"/>
        </w:rPr>
        <w:t>Opinión Consultiva OC-23/17</w:t>
      </w:r>
      <w:r w:rsidR="00D56283">
        <w:rPr>
          <w:rStyle w:val="Textoennegrita"/>
          <w:rFonts w:ascii="Verdana" w:hAnsi="Verdana" w:cs="Arial"/>
          <w:b w:val="0"/>
          <w:bCs w:val="0"/>
          <w:sz w:val="16"/>
          <w:szCs w:val="16"/>
          <w:shd w:val="clear" w:color="auto" w:fill="FFFFFF"/>
        </w:rPr>
        <w:t xml:space="preserve">, </w:t>
      </w:r>
      <w:r w:rsidR="00D56283" w:rsidRPr="00675748">
        <w:rPr>
          <w:rStyle w:val="Textoennegrita"/>
          <w:rFonts w:ascii="Verdana" w:hAnsi="Verdana" w:cs="Arial"/>
          <w:b w:val="0"/>
          <w:bCs w:val="0"/>
          <w:i/>
          <w:iCs/>
          <w:sz w:val="16"/>
          <w:szCs w:val="16"/>
          <w:shd w:val="clear" w:color="auto" w:fill="FFFFFF"/>
        </w:rPr>
        <w:t>supra</w:t>
      </w:r>
      <w:r w:rsidR="00D56283" w:rsidRPr="0010371E">
        <w:rPr>
          <w:rStyle w:val="Textoennegrita"/>
          <w:rFonts w:ascii="Verdana" w:hAnsi="Verdana" w:cs="Arial"/>
          <w:b w:val="0"/>
          <w:bCs w:val="0"/>
          <w:sz w:val="16"/>
          <w:szCs w:val="16"/>
          <w:shd w:val="clear" w:color="auto" w:fill="FFFFFF"/>
        </w:rPr>
        <w:t xml:space="preserve">, </w:t>
      </w:r>
      <w:r w:rsidRPr="0010371E">
        <w:rPr>
          <w:rStyle w:val="Textoennegrita"/>
          <w:rFonts w:ascii="Verdana" w:hAnsi="Verdana" w:cs="Arial"/>
          <w:b w:val="0"/>
          <w:bCs w:val="0"/>
          <w:sz w:val="16"/>
          <w:szCs w:val="16"/>
          <w:shd w:val="clear" w:color="auto" w:fill="FFFFFF"/>
        </w:rPr>
        <w:t xml:space="preserve"> párr. 101.</w:t>
      </w:r>
    </w:p>
  </w:footnote>
  <w:footnote w:id="33">
    <w:p w14:paraId="3E4832D9" w14:textId="06E9B051" w:rsidR="00194342" w:rsidRPr="009D1D1D" w:rsidRDefault="00194342" w:rsidP="00B21C1F">
      <w:pPr>
        <w:pStyle w:val="Textonotapie"/>
        <w:spacing w:after="0" w:line="240" w:lineRule="auto"/>
        <w:ind w:right="-64"/>
        <w:jc w:val="both"/>
        <w:rPr>
          <w:rFonts w:ascii="Verdana" w:hAnsi="Verdana" w:cs="Arial"/>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lang w:val="es-ES"/>
        </w:rPr>
        <w:tab/>
        <w:t>Por ejemplo, en la inadmisibilidad de la comunicación presentada por un grupo de niños en contra de 5 Estados, el Comité de los Derechos del Niño acogió el conceto de jurisdicción adoptado por la Corte Interamericana en el OC-23. Al respecto el Comité señaló: “</w:t>
      </w:r>
      <w:r w:rsidRPr="0010371E">
        <w:rPr>
          <w:rFonts w:ascii="Verdana" w:hAnsi="Verdana" w:cs="Arial"/>
          <w:sz w:val="16"/>
          <w:szCs w:val="16"/>
        </w:rPr>
        <w:t xml:space="preserve">el Comité considera que el criterio apropiado para determinar la jurisdicción en el presente caso es el aplicado por la Corte Interamericana de Derechos Humanos en su opinión consultiva sobre el medio ambiente y los derechos humanos”. </w:t>
      </w:r>
      <w:r w:rsidRPr="0010371E">
        <w:rPr>
          <w:rFonts w:ascii="Verdana" w:hAnsi="Verdana" w:cs="Arial"/>
          <w:sz w:val="16"/>
          <w:szCs w:val="16"/>
          <w:lang w:val="es-ES"/>
        </w:rPr>
        <w:t xml:space="preserve">Véase: </w:t>
      </w:r>
      <w:r w:rsidRPr="0010371E">
        <w:rPr>
          <w:rFonts w:ascii="Verdana" w:hAnsi="Verdana" w:cs="Arial"/>
          <w:sz w:val="16"/>
          <w:szCs w:val="16"/>
        </w:rPr>
        <w:t>Chiara Sacchi y otros (representados por los abogados Scott Gilmore y otros, de Hausfeld LLP, y Ramin Pejan y otros, de Earthjustice), CRC/C/88/D/104/2019, 11 de noviembre de 2019, párr. 10.7.</w:t>
      </w:r>
    </w:p>
  </w:footnote>
  <w:footnote w:id="34">
    <w:p w14:paraId="03A617AE" w14:textId="52ADAD9A" w:rsidR="00194342" w:rsidRPr="009C2C1B" w:rsidRDefault="00194342" w:rsidP="00B21C1F">
      <w:pPr>
        <w:pStyle w:val="Textonotapie"/>
        <w:spacing w:after="0" w:line="240" w:lineRule="auto"/>
        <w:ind w:right="-64"/>
        <w:jc w:val="both"/>
        <w:rPr>
          <w:rFonts w:ascii="Verdana" w:hAnsi="Verdana" w:cs="Arial"/>
          <w:sz w:val="16"/>
          <w:szCs w:val="16"/>
          <w:lang w:val="es-CR"/>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00D56283">
        <w:rPr>
          <w:rStyle w:val="Textoennegrita"/>
          <w:rFonts w:ascii="Verdana" w:hAnsi="Verdana" w:cs="Arial"/>
          <w:b w:val="0"/>
          <w:bCs w:val="0"/>
          <w:i/>
          <w:iCs/>
          <w:sz w:val="16"/>
          <w:szCs w:val="16"/>
          <w:shd w:val="clear" w:color="auto" w:fill="FFFFFF"/>
        </w:rPr>
        <w:t xml:space="preserve">Cfr. </w:t>
      </w:r>
      <w:r w:rsidR="00D56283" w:rsidRPr="00E16F61">
        <w:rPr>
          <w:rStyle w:val="Textoennegrita"/>
          <w:rFonts w:ascii="Verdana" w:hAnsi="Verdana" w:cs="Arial"/>
          <w:b w:val="0"/>
          <w:bCs w:val="0"/>
          <w:sz w:val="16"/>
          <w:szCs w:val="16"/>
          <w:shd w:val="clear" w:color="auto" w:fill="FFFFFF"/>
        </w:rPr>
        <w:t>Opinión Consultiva OC-23/</w:t>
      </w:r>
      <w:r w:rsidR="00D56283">
        <w:rPr>
          <w:rStyle w:val="Textoennegrita"/>
          <w:rFonts w:ascii="Verdana" w:hAnsi="Verdana" w:cs="Arial"/>
          <w:b w:val="0"/>
          <w:bCs w:val="0"/>
          <w:sz w:val="16"/>
          <w:szCs w:val="16"/>
          <w:shd w:val="clear" w:color="auto" w:fill="FFFFFF"/>
        </w:rPr>
        <w:t xml:space="preserve">17, </w:t>
      </w:r>
      <w:r w:rsidR="00D56283" w:rsidRPr="009C2C1B">
        <w:rPr>
          <w:rStyle w:val="Textoennegrita"/>
          <w:rFonts w:ascii="Verdana" w:hAnsi="Verdana" w:cs="Arial"/>
          <w:b w:val="0"/>
          <w:bCs w:val="0"/>
          <w:i/>
          <w:iCs/>
          <w:sz w:val="16"/>
          <w:szCs w:val="16"/>
          <w:shd w:val="clear" w:color="auto" w:fill="FFFFFF"/>
        </w:rPr>
        <w:t>supra</w:t>
      </w:r>
      <w:r w:rsidR="00D56283" w:rsidRPr="0010371E">
        <w:rPr>
          <w:rStyle w:val="Textoennegrita"/>
          <w:rFonts w:ascii="Verdana" w:hAnsi="Verdana" w:cs="Arial"/>
          <w:b w:val="0"/>
          <w:bCs w:val="0"/>
          <w:sz w:val="16"/>
          <w:szCs w:val="16"/>
          <w:shd w:val="clear" w:color="auto" w:fill="FFFFFF"/>
        </w:rPr>
        <w:t>,</w:t>
      </w:r>
      <w:r w:rsidR="00D56283" w:rsidRPr="009C2C1B">
        <w:rPr>
          <w:rStyle w:val="Textoennegrita"/>
          <w:rFonts w:ascii="Verdana" w:hAnsi="Verdana" w:cs="Arial"/>
          <w:b w:val="0"/>
          <w:bCs w:val="0"/>
          <w:sz w:val="16"/>
          <w:szCs w:val="16"/>
          <w:shd w:val="clear" w:color="auto" w:fill="FFFFFF"/>
          <w:lang w:val="es-CR"/>
        </w:rPr>
        <w:t>, párrs. 80 a 82</w:t>
      </w:r>
    </w:p>
  </w:footnote>
  <w:footnote w:id="35">
    <w:p w14:paraId="462F4EDF" w14:textId="26E516B9" w:rsidR="00194342" w:rsidRPr="009D1D1D" w:rsidRDefault="00194342" w:rsidP="00B21C1F">
      <w:pPr>
        <w:pStyle w:val="Textonotapie"/>
        <w:spacing w:after="0" w:line="240" w:lineRule="auto"/>
        <w:ind w:right="-64"/>
        <w:jc w:val="both"/>
        <w:rPr>
          <w:rFonts w:ascii="Verdana" w:hAnsi="Verdana" w:cs="Arial"/>
          <w:sz w:val="16"/>
          <w:szCs w:val="16"/>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00660D85" w:rsidRPr="009C2C1B">
        <w:rPr>
          <w:rFonts w:ascii="Verdana" w:hAnsi="Verdana" w:cs="Arial"/>
          <w:i/>
          <w:iCs/>
          <w:sz w:val="16"/>
          <w:szCs w:val="16"/>
        </w:rPr>
        <w:t>Cfr</w:t>
      </w:r>
      <w:r w:rsidR="00660D85">
        <w:rPr>
          <w:rFonts w:ascii="Verdana" w:hAnsi="Verdana" w:cs="Arial"/>
          <w:sz w:val="16"/>
          <w:szCs w:val="16"/>
        </w:rPr>
        <w:t xml:space="preserve">. </w:t>
      </w:r>
      <w:r w:rsidRPr="0010371E">
        <w:rPr>
          <w:rStyle w:val="Textoennegrita"/>
          <w:rFonts w:ascii="Verdana" w:hAnsi="Verdana" w:cs="Arial"/>
          <w:b w:val="0"/>
          <w:bCs w:val="0"/>
          <w:sz w:val="16"/>
          <w:szCs w:val="16"/>
          <w:shd w:val="clear" w:color="auto" w:fill="FFFFFF"/>
        </w:rPr>
        <w:t>Opinión Consultiva OC-23/17</w:t>
      </w:r>
      <w:r w:rsidR="00660D85">
        <w:rPr>
          <w:rStyle w:val="Textoennegrita"/>
          <w:rFonts w:ascii="Verdana" w:hAnsi="Verdana" w:cs="Arial"/>
          <w:b w:val="0"/>
          <w:bCs w:val="0"/>
          <w:sz w:val="16"/>
          <w:szCs w:val="16"/>
          <w:shd w:val="clear" w:color="auto" w:fill="FFFFFF"/>
        </w:rPr>
        <w:t xml:space="preserve">, </w:t>
      </w:r>
      <w:r w:rsidR="00660D85">
        <w:rPr>
          <w:rStyle w:val="Textoennegrita"/>
          <w:rFonts w:ascii="Verdana" w:hAnsi="Verdana" w:cs="Arial"/>
          <w:b w:val="0"/>
          <w:bCs w:val="0"/>
          <w:i/>
          <w:iCs/>
          <w:sz w:val="16"/>
          <w:szCs w:val="16"/>
          <w:shd w:val="clear" w:color="auto" w:fill="FFFFFF"/>
        </w:rPr>
        <w:t>supra,</w:t>
      </w:r>
      <w:r w:rsidRPr="0010371E">
        <w:rPr>
          <w:rStyle w:val="Textoennegrita"/>
          <w:rFonts w:ascii="Verdana" w:hAnsi="Verdana" w:cs="Arial"/>
          <w:b w:val="0"/>
          <w:bCs w:val="0"/>
          <w:sz w:val="16"/>
          <w:szCs w:val="16"/>
          <w:shd w:val="clear" w:color="auto" w:fill="FFFFFF"/>
        </w:rPr>
        <w:t>, párrs.</w:t>
      </w:r>
      <w:r w:rsidR="00660D85">
        <w:rPr>
          <w:rStyle w:val="Textoennegrita"/>
          <w:rFonts w:ascii="Verdana" w:hAnsi="Verdana" w:cs="Arial"/>
          <w:b w:val="0"/>
          <w:bCs w:val="0"/>
          <w:sz w:val="16"/>
          <w:szCs w:val="16"/>
          <w:shd w:val="clear" w:color="auto" w:fill="FFFFFF"/>
        </w:rPr>
        <w:t xml:space="preserve"> </w:t>
      </w:r>
      <w:r w:rsidRPr="0010371E">
        <w:rPr>
          <w:rStyle w:val="Textoennegrita"/>
          <w:rFonts w:ascii="Verdana" w:hAnsi="Verdana" w:cs="Arial"/>
          <w:b w:val="0"/>
          <w:bCs w:val="0"/>
          <w:sz w:val="16"/>
          <w:szCs w:val="16"/>
          <w:shd w:val="clear" w:color="auto" w:fill="FFFFFF"/>
        </w:rPr>
        <w:t xml:space="preserve">174 y </w:t>
      </w:r>
      <w:r w:rsidRPr="0010371E">
        <w:rPr>
          <w:rFonts w:ascii="Verdana" w:hAnsi="Verdana" w:cs="Arial"/>
          <w:sz w:val="16"/>
          <w:szCs w:val="16"/>
        </w:rPr>
        <w:t>175.</w:t>
      </w:r>
    </w:p>
  </w:footnote>
  <w:footnote w:id="36">
    <w:p w14:paraId="015DBE06" w14:textId="4A5D4522" w:rsidR="00194342" w:rsidRPr="0010371E" w:rsidRDefault="00194342" w:rsidP="00B21C1F">
      <w:pPr>
        <w:ind w:right="-64"/>
        <w:jc w:val="both"/>
        <w:rPr>
          <w:rFonts w:ascii="Verdana" w:hAnsi="Verdana" w:cs="Arial"/>
          <w:sz w:val="16"/>
          <w:szCs w:val="16"/>
          <w:highlight w:val="lightGray"/>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sidRPr="0010371E">
        <w:rPr>
          <w:rFonts w:ascii="Verdana" w:hAnsi="Verdana" w:cs="Arial"/>
          <w:sz w:val="16"/>
          <w:szCs w:val="16"/>
        </w:rPr>
        <w:tab/>
      </w:r>
      <w:r w:rsidRPr="00D07038">
        <w:rPr>
          <w:rFonts w:ascii="Verdana" w:hAnsi="Verdana" w:cs="Arial"/>
          <w:i/>
          <w:iCs/>
          <w:sz w:val="16"/>
          <w:szCs w:val="16"/>
        </w:rPr>
        <w:t>Cfr.</w:t>
      </w:r>
      <w:r w:rsidRPr="0010371E">
        <w:rPr>
          <w:rFonts w:ascii="Verdana" w:hAnsi="Verdana" w:cs="Arial"/>
          <w:sz w:val="16"/>
          <w:szCs w:val="16"/>
        </w:rPr>
        <w:t xml:space="preserve"> </w:t>
      </w:r>
      <w:r w:rsidRPr="00D07038">
        <w:rPr>
          <w:rFonts w:ascii="Verdana" w:hAnsi="Verdana" w:cs="Arial"/>
          <w:i/>
          <w:iCs/>
          <w:sz w:val="16"/>
          <w:szCs w:val="16"/>
          <w:shd w:val="clear" w:color="auto" w:fill="FFFFFF"/>
        </w:rPr>
        <w:t>Caso Comunidades Indígenas Miembros de la Asociación Lhaka Honhat (Nuestra Tierra) Vs. Argentina. Fond</w:t>
      </w:r>
      <w:r>
        <w:rPr>
          <w:rFonts w:ascii="Verdana" w:hAnsi="Verdana" w:cs="Arial"/>
          <w:i/>
          <w:iCs/>
          <w:sz w:val="16"/>
          <w:szCs w:val="16"/>
          <w:shd w:val="clear" w:color="auto" w:fill="FFFFFF"/>
        </w:rPr>
        <w:t>o</w:t>
      </w:r>
      <w:r w:rsidR="009A5FA0">
        <w:rPr>
          <w:rFonts w:ascii="Verdana" w:hAnsi="Verdana" w:cs="Arial"/>
          <w:i/>
          <w:iCs/>
          <w:sz w:val="16"/>
          <w:szCs w:val="16"/>
          <w:shd w:val="clear" w:color="auto" w:fill="FFFFFF"/>
        </w:rPr>
        <w:t>,</w:t>
      </w:r>
      <w:r w:rsidRPr="0010371E">
        <w:rPr>
          <w:rFonts w:ascii="Verdana" w:hAnsi="Verdana" w:cs="Arial"/>
          <w:sz w:val="16"/>
          <w:szCs w:val="16"/>
          <w:shd w:val="clear" w:color="auto" w:fill="FFFFFF"/>
        </w:rPr>
        <w:t xml:space="preserve"> </w:t>
      </w:r>
      <w:r w:rsidRPr="008E72FA">
        <w:rPr>
          <w:rFonts w:ascii="Verdana" w:hAnsi="Verdana" w:cs="Arial"/>
          <w:i/>
          <w:sz w:val="16"/>
          <w:szCs w:val="16"/>
          <w:shd w:val="clear" w:color="auto" w:fill="FFFFFF"/>
        </w:rPr>
        <w:t>Reparaciones y Costas</w:t>
      </w:r>
      <w:r w:rsidRPr="0010371E">
        <w:rPr>
          <w:rFonts w:ascii="Verdana" w:hAnsi="Verdana" w:cs="Arial"/>
          <w:sz w:val="16"/>
          <w:szCs w:val="16"/>
          <w:shd w:val="clear" w:color="auto" w:fill="FFFFFF"/>
        </w:rPr>
        <w:t xml:space="preserve">. Sentencia de 6 de febrero de 2020. Serie C No. 400, párr. </w:t>
      </w:r>
      <w:r w:rsidRPr="0010371E">
        <w:rPr>
          <w:rFonts w:ascii="Verdana" w:hAnsi="Verdana" w:cs="Arial"/>
          <w:sz w:val="16"/>
          <w:szCs w:val="16"/>
          <w:lang w:val="es-ES"/>
        </w:rPr>
        <w:t>264.</w:t>
      </w:r>
    </w:p>
  </w:footnote>
  <w:footnote w:id="37">
    <w:p w14:paraId="58BF1F89" w14:textId="7C6B1244" w:rsidR="00194342" w:rsidRPr="0010371E" w:rsidRDefault="00194342" w:rsidP="00B21C1F">
      <w:pPr>
        <w:pStyle w:val="Textonotapie"/>
        <w:spacing w:after="0" w:line="240" w:lineRule="auto"/>
        <w:ind w:right="-64"/>
        <w:jc w:val="both"/>
        <w:rPr>
          <w:rFonts w:ascii="Verdana" w:hAnsi="Verdana" w:cs="Arial"/>
          <w:sz w:val="16"/>
          <w:szCs w:val="16"/>
          <w:lang w:val="es-MX"/>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Pr>
          <w:rFonts w:ascii="Verdana" w:hAnsi="Verdana" w:cs="Arial"/>
          <w:sz w:val="16"/>
          <w:szCs w:val="16"/>
        </w:rPr>
        <w:tab/>
      </w:r>
      <w:r w:rsidR="00660D85" w:rsidRPr="00660D85">
        <w:rPr>
          <w:rFonts w:ascii="Verdana" w:hAnsi="Verdana"/>
          <w:sz w:val="16"/>
          <w:szCs w:val="16"/>
          <w:lang w:val="es-ES"/>
        </w:rPr>
        <w:t xml:space="preserve">Véase </w:t>
      </w:r>
      <w:r w:rsidR="00660D85" w:rsidRPr="009C2C1B">
        <w:rPr>
          <w:rFonts w:ascii="Verdana" w:hAnsi="Verdana" w:cs="Arial"/>
          <w:sz w:val="16"/>
          <w:szCs w:val="16"/>
          <w:lang w:val="es-ES"/>
        </w:rPr>
        <w:t>p</w:t>
      </w:r>
      <w:r w:rsidRPr="009C2C1B">
        <w:rPr>
          <w:rFonts w:ascii="Verdana" w:hAnsi="Verdana" w:cs="Arial"/>
          <w:sz w:val="16"/>
          <w:szCs w:val="16"/>
          <w:lang w:val="es-ES"/>
        </w:rPr>
        <w:t xml:space="preserve">árrafo </w:t>
      </w:r>
      <w:r w:rsidRPr="009C2C1B">
        <w:rPr>
          <w:rFonts w:ascii="Verdana" w:hAnsi="Verdana" w:cs="Arial"/>
          <w:sz w:val="16"/>
          <w:szCs w:val="16"/>
          <w:lang w:val="es-MX"/>
        </w:rPr>
        <w:t>120 de la sentencia</w:t>
      </w:r>
      <w:r w:rsidRPr="00660D85">
        <w:rPr>
          <w:rFonts w:ascii="Verdana" w:hAnsi="Verdana" w:cs="Arial"/>
          <w:sz w:val="16"/>
          <w:szCs w:val="16"/>
          <w:lang w:val="es-MX"/>
        </w:rPr>
        <w:t>.</w:t>
      </w:r>
    </w:p>
  </w:footnote>
  <w:footnote w:id="38">
    <w:p w14:paraId="524E34ED" w14:textId="6627EEDC" w:rsidR="00194342" w:rsidRPr="009D1D1D" w:rsidRDefault="00194342" w:rsidP="00B21C1F">
      <w:pPr>
        <w:pStyle w:val="sa1d3da2e"/>
        <w:shd w:val="clear" w:color="auto" w:fill="FFFFFF"/>
        <w:spacing w:before="0" w:beforeAutospacing="0" w:after="0" w:afterAutospacing="0"/>
        <w:ind w:right="-64"/>
        <w:jc w:val="both"/>
        <w:rPr>
          <w:rFonts w:ascii="Verdana" w:hAnsi="Verdana" w:cs="Arial"/>
          <w:color w:val="000000"/>
          <w:sz w:val="16"/>
          <w:szCs w:val="16"/>
          <w:lang w:val="es-ES"/>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Pr>
          <w:rFonts w:ascii="Verdana" w:hAnsi="Verdana" w:cs="Arial"/>
          <w:sz w:val="16"/>
          <w:szCs w:val="16"/>
        </w:rPr>
        <w:tab/>
      </w:r>
      <w:r w:rsidRPr="0010371E">
        <w:rPr>
          <w:rFonts w:ascii="Verdana" w:hAnsi="Verdana" w:cs="Arial"/>
          <w:sz w:val="16"/>
          <w:szCs w:val="16"/>
        </w:rPr>
        <w:t>Al respecto</w:t>
      </w:r>
      <w:r>
        <w:rPr>
          <w:rFonts w:ascii="Verdana" w:hAnsi="Verdana" w:cs="Arial"/>
          <w:sz w:val="16"/>
          <w:szCs w:val="16"/>
        </w:rPr>
        <w:t>,</w:t>
      </w:r>
      <w:r w:rsidRPr="0010371E">
        <w:rPr>
          <w:rFonts w:ascii="Verdana" w:hAnsi="Verdana" w:cs="Arial"/>
          <w:sz w:val="16"/>
          <w:szCs w:val="16"/>
        </w:rPr>
        <w:t xml:space="preserve"> el Comité ha señalado</w:t>
      </w:r>
      <w:r w:rsidR="00D54679">
        <w:rPr>
          <w:rFonts w:ascii="Verdana" w:hAnsi="Verdana" w:cs="Arial"/>
          <w:sz w:val="16"/>
          <w:szCs w:val="16"/>
        </w:rPr>
        <w:t xml:space="preserve"> lo siguiente</w:t>
      </w:r>
      <w:r w:rsidRPr="0010371E">
        <w:rPr>
          <w:rFonts w:ascii="Verdana" w:hAnsi="Verdana" w:cs="Arial"/>
          <w:sz w:val="16"/>
          <w:szCs w:val="16"/>
        </w:rPr>
        <w:t xml:space="preserve">: </w:t>
      </w:r>
      <w:r>
        <w:rPr>
          <w:rFonts w:ascii="Verdana" w:hAnsi="Verdana" w:cs="Arial"/>
          <w:sz w:val="16"/>
          <w:szCs w:val="16"/>
        </w:rPr>
        <w:t>“</w:t>
      </w:r>
      <w:r w:rsidRPr="0010371E">
        <w:rPr>
          <w:rFonts w:ascii="Verdana" w:hAnsi="Verdana" w:cs="Arial"/>
          <w:color w:val="000000"/>
          <w:sz w:val="16"/>
          <w:szCs w:val="16"/>
        </w:rPr>
        <w:t>203.</w:t>
      </w:r>
      <w:r w:rsidR="00D54679">
        <w:rPr>
          <w:rStyle w:val="sb18d059e"/>
          <w:rFonts w:ascii="Verdana" w:hAnsi="Verdana" w:cs="Arial"/>
          <w:color w:val="000000"/>
          <w:sz w:val="16"/>
          <w:szCs w:val="16"/>
        </w:rPr>
        <w:t xml:space="preserve"> </w:t>
      </w:r>
      <w:r w:rsidRPr="0010371E">
        <w:rPr>
          <w:rFonts w:ascii="Verdana" w:hAnsi="Verdana" w:cs="Arial"/>
          <w:color w:val="000000"/>
          <w:sz w:val="16"/>
          <w:szCs w:val="16"/>
        </w:rPr>
        <w:t xml:space="preserve">Por lo tanto, para cumplir sus obligaciones en materia de protección del derecho al medio ambiente y la calidad del aire, las autoridades nacionales deben: i) </w:t>
      </w:r>
      <w:r w:rsidRPr="0010371E">
        <w:rPr>
          <w:rStyle w:val="s97067e05"/>
          <w:rFonts w:ascii="Verdana" w:hAnsi="Verdana" w:cs="Arial"/>
          <w:color w:val="000000"/>
          <w:sz w:val="16"/>
          <w:szCs w:val="16"/>
        </w:rPr>
        <w:t>desarrollar</w:t>
      </w:r>
      <w:r w:rsidRPr="0010371E">
        <w:rPr>
          <w:rFonts w:ascii="Verdana" w:hAnsi="Verdana" w:cs="Arial"/>
          <w:color w:val="000000"/>
          <w:sz w:val="16"/>
          <w:szCs w:val="16"/>
        </w:rPr>
        <w:t xml:space="preserve"> y actualizar periódicamente legislación y reglamentos ambientales suficientemente completos; ii) </w:t>
      </w:r>
      <w:r w:rsidRPr="0010371E">
        <w:rPr>
          <w:rStyle w:val="s97067e05"/>
          <w:rFonts w:ascii="Verdana" w:hAnsi="Verdana" w:cs="Arial"/>
          <w:color w:val="000000"/>
          <w:sz w:val="16"/>
          <w:szCs w:val="16"/>
        </w:rPr>
        <w:t>tomar</w:t>
      </w:r>
      <w:r w:rsidRPr="0010371E">
        <w:rPr>
          <w:rFonts w:ascii="Verdana" w:hAnsi="Verdana" w:cs="Arial"/>
          <w:color w:val="000000"/>
          <w:sz w:val="16"/>
          <w:szCs w:val="16"/>
        </w:rPr>
        <w:t xml:space="preserve"> medidas específicas, como modificar los equipos, introducir valores umbral para las emisiones y medir la calidad del aire, para prevenir la contaminación del aire a nivel local y ayudar a reducirla a escala; iii) garantizar que las normas y estándares medioambientales se apliquen adecuadamente, a través de mecanismos de supervisión adecuados; iv) informar y educar al público, incluidos los alumnos y estudiantes de la escuela, sobre los problemas medioambientales generales y locales y v) evaluar los riesgos para la salud mediante el seguimiento epidemiológico de los grupos afectados</w:t>
      </w:r>
      <w:r w:rsidR="00D54679">
        <w:rPr>
          <w:rFonts w:ascii="Verdana" w:hAnsi="Verdana" w:cs="Arial"/>
          <w:color w:val="000000"/>
          <w:sz w:val="16"/>
          <w:szCs w:val="16"/>
        </w:rPr>
        <w:t>”</w:t>
      </w:r>
      <w:r w:rsidRPr="0010371E">
        <w:rPr>
          <w:rFonts w:ascii="Verdana" w:hAnsi="Verdana" w:cs="Arial"/>
          <w:color w:val="000000"/>
          <w:sz w:val="16"/>
          <w:szCs w:val="16"/>
        </w:rPr>
        <w:t>. Además, ha señalado que</w:t>
      </w:r>
      <w:r w:rsidR="00D54679">
        <w:rPr>
          <w:rFonts w:ascii="Verdana" w:hAnsi="Verdana" w:cs="Arial"/>
          <w:color w:val="000000"/>
          <w:sz w:val="16"/>
          <w:szCs w:val="16"/>
        </w:rPr>
        <w:t>:</w:t>
      </w:r>
      <w:r w:rsidRPr="0010371E">
        <w:rPr>
          <w:rFonts w:ascii="Verdana" w:hAnsi="Verdana" w:cs="Arial"/>
          <w:color w:val="000000"/>
          <w:sz w:val="16"/>
          <w:szCs w:val="16"/>
        </w:rPr>
        <w:t xml:space="preserve"> “204.</w:t>
      </w:r>
      <w:r w:rsidR="00D54679">
        <w:rPr>
          <w:rStyle w:val="sd2e4054c"/>
          <w:rFonts w:ascii="Verdana" w:hAnsi="Verdana" w:cs="Arial"/>
          <w:color w:val="000000"/>
          <w:sz w:val="16"/>
          <w:szCs w:val="16"/>
        </w:rPr>
        <w:t xml:space="preserve"> </w:t>
      </w:r>
      <w:r w:rsidRPr="0010371E">
        <w:rPr>
          <w:rFonts w:ascii="Verdana" w:hAnsi="Verdana" w:cs="Arial"/>
          <w:color w:val="000000"/>
          <w:sz w:val="16"/>
          <w:szCs w:val="16"/>
        </w:rPr>
        <w:t>Es cierto que superar la contaminación es un objetivo que sólo puede alcanzarse gradualmente.</w:t>
      </w:r>
      <w:r w:rsidR="00D54679">
        <w:rPr>
          <w:rFonts w:ascii="Verdana" w:hAnsi="Verdana" w:cs="Arial"/>
          <w:color w:val="000000"/>
          <w:sz w:val="16"/>
          <w:szCs w:val="16"/>
        </w:rPr>
        <w:t xml:space="preserve"> </w:t>
      </w:r>
      <w:r w:rsidRPr="0010371E">
        <w:rPr>
          <w:rFonts w:ascii="Verdana" w:hAnsi="Verdana" w:cs="Arial"/>
          <w:color w:val="000000"/>
          <w:sz w:val="16"/>
          <w:szCs w:val="16"/>
        </w:rPr>
        <w:t xml:space="preserve">Sin embargo, los Estados partes deben esforzarse por alcanzar este objetivo en un plazo razonable, mostrando progresos mensurables y haciendo el mejor uso posible de los recursos a su disposición”. </w:t>
      </w:r>
      <w:r w:rsidRPr="0010371E">
        <w:rPr>
          <w:rFonts w:ascii="Verdana" w:hAnsi="Verdana" w:cs="Arial"/>
          <w:sz w:val="16"/>
          <w:szCs w:val="16"/>
        </w:rPr>
        <w:t xml:space="preserve">Comité Europeo de Derechos Sociales, </w:t>
      </w:r>
      <w:r w:rsidRPr="0010371E">
        <w:rPr>
          <w:rStyle w:val="sdb9eb187"/>
          <w:rFonts w:ascii="Verdana" w:eastAsia="Calibri" w:hAnsi="Verdana" w:cs="Arial"/>
          <w:color w:val="000000"/>
          <w:sz w:val="16"/>
          <w:szCs w:val="16"/>
        </w:rPr>
        <w:t>Marangopoulos Foundation for Human Rights (MFHR)</w:t>
      </w:r>
      <w:r w:rsidR="00D54679">
        <w:rPr>
          <w:rStyle w:val="apple-converted-space"/>
          <w:rFonts w:ascii="Verdana" w:hAnsi="Verdana" w:cs="Arial"/>
          <w:color w:val="000000"/>
          <w:sz w:val="16"/>
          <w:szCs w:val="16"/>
        </w:rPr>
        <w:t xml:space="preserve"> </w:t>
      </w:r>
      <w:r w:rsidRPr="0010371E">
        <w:rPr>
          <w:rStyle w:val="sdb9eb187"/>
          <w:rFonts w:ascii="Verdana" w:eastAsia="Calibri" w:hAnsi="Verdana" w:cs="Arial"/>
          <w:color w:val="000000"/>
          <w:sz w:val="16"/>
          <w:szCs w:val="16"/>
        </w:rPr>
        <w:t>v. Greece</w:t>
      </w:r>
      <w:r w:rsidRPr="0010371E">
        <w:rPr>
          <w:rStyle w:val="sdb9eb187"/>
          <w:rFonts w:ascii="Verdana" w:hAnsi="Verdana" w:cs="Arial"/>
          <w:color w:val="000000"/>
          <w:sz w:val="16"/>
          <w:szCs w:val="16"/>
          <w:lang w:val="es-ES"/>
        </w:rPr>
        <w:t xml:space="preserve">, </w:t>
      </w:r>
      <w:r w:rsidRPr="0010371E">
        <w:rPr>
          <w:rFonts w:ascii="Verdana" w:hAnsi="Verdana" w:cs="Arial"/>
          <w:color w:val="000000"/>
          <w:sz w:val="16"/>
          <w:szCs w:val="16"/>
        </w:rPr>
        <w:t>Complaint No. 30/2005</w:t>
      </w:r>
      <w:r w:rsidRPr="0010371E">
        <w:rPr>
          <w:rFonts w:ascii="Verdana" w:hAnsi="Verdana" w:cs="Arial"/>
          <w:color w:val="000000"/>
          <w:sz w:val="16"/>
          <w:szCs w:val="16"/>
          <w:lang w:val="es-ES"/>
        </w:rPr>
        <w:t>, 6 de diciembre de 200</w:t>
      </w:r>
      <w:r>
        <w:rPr>
          <w:rFonts w:ascii="Verdana" w:hAnsi="Verdana" w:cs="Arial"/>
          <w:color w:val="000000"/>
          <w:sz w:val="16"/>
          <w:szCs w:val="16"/>
          <w:lang w:val="es-ES"/>
        </w:rPr>
        <w:t>6.</w:t>
      </w:r>
    </w:p>
  </w:footnote>
  <w:footnote w:id="39">
    <w:p w14:paraId="5539E314" w14:textId="62425614" w:rsidR="00194342" w:rsidRPr="0010371E" w:rsidRDefault="00194342" w:rsidP="00B21C1F">
      <w:pPr>
        <w:pStyle w:val="Textonotapie"/>
        <w:spacing w:after="0" w:line="240" w:lineRule="auto"/>
        <w:ind w:right="-64"/>
        <w:jc w:val="both"/>
        <w:rPr>
          <w:rFonts w:ascii="Verdana" w:hAnsi="Verdana" w:cs="Arial"/>
          <w:sz w:val="16"/>
          <w:szCs w:val="16"/>
          <w:lang w:val="es-ES"/>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Pr>
          <w:rFonts w:ascii="Verdana" w:hAnsi="Verdana" w:cs="Arial"/>
          <w:sz w:val="16"/>
          <w:szCs w:val="16"/>
        </w:rPr>
        <w:tab/>
      </w:r>
      <w:r w:rsidR="00161454" w:rsidRPr="00161454">
        <w:rPr>
          <w:rFonts w:ascii="Verdana" w:hAnsi="Verdana"/>
          <w:sz w:val="16"/>
          <w:szCs w:val="16"/>
          <w:lang w:val="es-ES"/>
        </w:rPr>
        <w:t xml:space="preserve">Véase </w:t>
      </w:r>
      <w:r w:rsidR="00161454" w:rsidRPr="00161454">
        <w:rPr>
          <w:rFonts w:ascii="Verdana" w:hAnsi="Verdana" w:cs="Arial"/>
          <w:sz w:val="16"/>
          <w:szCs w:val="16"/>
          <w:lang w:val="es-ES"/>
        </w:rPr>
        <w:t>p</w:t>
      </w:r>
      <w:r w:rsidRPr="009C2C1B">
        <w:rPr>
          <w:rFonts w:ascii="Verdana" w:hAnsi="Verdana" w:cs="Arial"/>
          <w:sz w:val="16"/>
          <w:szCs w:val="16"/>
          <w:lang w:val="es-ES"/>
        </w:rPr>
        <w:t>árrafo 12</w:t>
      </w:r>
      <w:r w:rsidR="00660D85" w:rsidRPr="009C2C1B">
        <w:rPr>
          <w:rFonts w:ascii="Verdana" w:hAnsi="Verdana" w:cs="Arial"/>
          <w:sz w:val="16"/>
          <w:szCs w:val="16"/>
          <w:lang w:val="es-ES"/>
        </w:rPr>
        <w:t>4</w:t>
      </w:r>
      <w:r w:rsidRPr="009C2C1B">
        <w:rPr>
          <w:rFonts w:ascii="Verdana" w:hAnsi="Verdana" w:cs="Arial"/>
          <w:sz w:val="16"/>
          <w:szCs w:val="16"/>
          <w:lang w:val="es-ES"/>
        </w:rPr>
        <w:t xml:space="preserve"> de la sentencia</w:t>
      </w:r>
      <w:r w:rsidRPr="00161454">
        <w:rPr>
          <w:rFonts w:ascii="Verdana" w:hAnsi="Verdana" w:cs="Arial"/>
          <w:sz w:val="16"/>
          <w:szCs w:val="16"/>
          <w:lang w:val="es-ES"/>
        </w:rPr>
        <w:t>.</w:t>
      </w:r>
    </w:p>
  </w:footnote>
  <w:footnote w:id="40">
    <w:p w14:paraId="4D6E3074" w14:textId="3CD6E7CC" w:rsidR="00194342" w:rsidRPr="0010371E" w:rsidRDefault="00194342" w:rsidP="00B21C1F">
      <w:pPr>
        <w:pStyle w:val="Textonotapie"/>
        <w:spacing w:after="0" w:line="240" w:lineRule="auto"/>
        <w:ind w:right="-64"/>
        <w:jc w:val="both"/>
        <w:rPr>
          <w:rFonts w:ascii="Verdana" w:hAnsi="Verdana" w:cs="Arial"/>
          <w:sz w:val="16"/>
          <w:szCs w:val="16"/>
          <w:lang w:val="es-ES"/>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Pr>
          <w:rFonts w:ascii="Verdana" w:hAnsi="Verdana" w:cs="Arial"/>
          <w:sz w:val="16"/>
          <w:szCs w:val="16"/>
        </w:rPr>
        <w:tab/>
      </w:r>
      <w:r w:rsidR="00161454" w:rsidRPr="00161454">
        <w:rPr>
          <w:rFonts w:ascii="Verdana" w:hAnsi="Verdana"/>
          <w:sz w:val="16"/>
          <w:szCs w:val="16"/>
          <w:lang w:val="es-ES"/>
        </w:rPr>
        <w:t xml:space="preserve">Véase </w:t>
      </w:r>
      <w:r w:rsidR="00161454" w:rsidRPr="00161454">
        <w:rPr>
          <w:rFonts w:ascii="Verdana" w:hAnsi="Verdana" w:cs="Arial"/>
          <w:sz w:val="16"/>
          <w:szCs w:val="16"/>
          <w:lang w:val="es-ES"/>
        </w:rPr>
        <w:t>p</w:t>
      </w:r>
      <w:r w:rsidRPr="009C2C1B">
        <w:rPr>
          <w:rFonts w:ascii="Verdana" w:hAnsi="Verdana" w:cs="Arial"/>
          <w:sz w:val="16"/>
          <w:szCs w:val="16"/>
          <w:lang w:val="es-ES"/>
        </w:rPr>
        <w:t>árrafo 12</w:t>
      </w:r>
      <w:r w:rsidR="00161454" w:rsidRPr="009C2C1B">
        <w:rPr>
          <w:rFonts w:ascii="Verdana" w:hAnsi="Verdana" w:cs="Arial"/>
          <w:sz w:val="16"/>
          <w:szCs w:val="16"/>
          <w:lang w:val="es-ES"/>
        </w:rPr>
        <w:t>8</w:t>
      </w:r>
      <w:r w:rsidRPr="009C2C1B">
        <w:rPr>
          <w:rFonts w:ascii="Verdana" w:hAnsi="Verdana" w:cs="Arial"/>
          <w:sz w:val="16"/>
          <w:szCs w:val="16"/>
          <w:lang w:val="es-ES"/>
        </w:rPr>
        <w:t xml:space="preserve"> de la sentencia</w:t>
      </w:r>
      <w:r w:rsidRPr="00161454">
        <w:rPr>
          <w:rFonts w:ascii="Verdana" w:hAnsi="Verdana" w:cs="Arial"/>
          <w:sz w:val="16"/>
          <w:szCs w:val="16"/>
          <w:lang w:val="es-ES"/>
        </w:rPr>
        <w:t>.</w:t>
      </w:r>
    </w:p>
  </w:footnote>
  <w:footnote w:id="41">
    <w:p w14:paraId="5C610019" w14:textId="7585E35A" w:rsidR="00194342" w:rsidRPr="0010371E" w:rsidRDefault="00194342" w:rsidP="00B21C1F">
      <w:pPr>
        <w:pStyle w:val="Textonotapie"/>
        <w:spacing w:after="0" w:line="240" w:lineRule="auto"/>
        <w:ind w:right="-64"/>
        <w:jc w:val="both"/>
        <w:rPr>
          <w:rFonts w:ascii="Verdana" w:hAnsi="Verdana" w:cs="Arial"/>
          <w:sz w:val="16"/>
          <w:szCs w:val="16"/>
          <w:lang w:val="es-ES"/>
        </w:rPr>
      </w:pPr>
      <w:r w:rsidRPr="0010371E">
        <w:rPr>
          <w:rStyle w:val="Refdenotaalpie"/>
          <w:rFonts w:ascii="Verdana" w:hAnsi="Verdana" w:cs="Arial"/>
          <w:sz w:val="16"/>
          <w:szCs w:val="16"/>
        </w:rPr>
        <w:footnoteRef/>
      </w:r>
      <w:r w:rsidRPr="0010371E">
        <w:rPr>
          <w:rFonts w:ascii="Verdana" w:hAnsi="Verdana" w:cs="Arial"/>
          <w:sz w:val="16"/>
          <w:szCs w:val="16"/>
        </w:rPr>
        <w:t xml:space="preserve"> </w:t>
      </w:r>
      <w:r>
        <w:rPr>
          <w:rFonts w:ascii="Verdana" w:hAnsi="Verdana" w:cs="Arial"/>
          <w:sz w:val="16"/>
          <w:szCs w:val="16"/>
        </w:rPr>
        <w:tab/>
      </w:r>
      <w:r w:rsidR="00161454" w:rsidRPr="00161454">
        <w:rPr>
          <w:rFonts w:ascii="Verdana" w:hAnsi="Verdana"/>
          <w:sz w:val="16"/>
          <w:szCs w:val="16"/>
          <w:lang w:val="es-ES"/>
        </w:rPr>
        <w:t xml:space="preserve">Véase </w:t>
      </w:r>
      <w:r w:rsidR="00161454" w:rsidRPr="00161454">
        <w:rPr>
          <w:rFonts w:ascii="Verdana" w:hAnsi="Verdana" w:cs="Arial"/>
          <w:sz w:val="16"/>
          <w:szCs w:val="16"/>
          <w:lang w:val="es-ES"/>
        </w:rPr>
        <w:t>p</w:t>
      </w:r>
      <w:r w:rsidRPr="009C2C1B">
        <w:rPr>
          <w:rFonts w:ascii="Verdana" w:hAnsi="Verdana" w:cs="Arial"/>
          <w:sz w:val="16"/>
          <w:szCs w:val="16"/>
          <w:lang w:val="es-ES"/>
        </w:rPr>
        <w:t>árrafo 130 de la sentencia</w:t>
      </w:r>
      <w:r w:rsidRPr="00161454">
        <w:rPr>
          <w:rFonts w:ascii="Verdana" w:hAnsi="Verdana" w:cs="Arial"/>
          <w:sz w:val="16"/>
          <w:szCs w:val="16"/>
          <w:lang w:val="es-ES"/>
        </w:rPr>
        <w:t>.</w:t>
      </w:r>
    </w:p>
  </w:footnote>
  <w:footnote w:id="42">
    <w:p w14:paraId="7C23D447" w14:textId="5F6BC7E5" w:rsidR="00194342" w:rsidRPr="002A1B62" w:rsidRDefault="00194342" w:rsidP="00B21C1F">
      <w:pPr>
        <w:pStyle w:val="Textonotapie"/>
        <w:spacing w:after="0" w:line="240" w:lineRule="auto"/>
        <w:ind w:right="-64"/>
        <w:jc w:val="both"/>
        <w:rPr>
          <w:rFonts w:ascii="Verdana" w:hAnsi="Verdana" w:cs="Arial"/>
          <w:sz w:val="16"/>
          <w:szCs w:val="16"/>
          <w:lang w:val="es-419"/>
        </w:rPr>
      </w:pPr>
      <w:r w:rsidRPr="0010705E">
        <w:rPr>
          <w:rStyle w:val="Refdenotaalpie"/>
          <w:rFonts w:ascii="Verdana" w:hAnsi="Verdana" w:cs="Arial"/>
          <w:sz w:val="16"/>
          <w:szCs w:val="16"/>
        </w:rPr>
        <w:footnoteRef/>
      </w:r>
      <w:r w:rsidRPr="002A1B62">
        <w:rPr>
          <w:rFonts w:ascii="Verdana" w:hAnsi="Verdana" w:cs="Arial"/>
          <w:sz w:val="16"/>
          <w:szCs w:val="16"/>
          <w:lang w:val="es-419"/>
        </w:rPr>
        <w:t xml:space="preserve"> </w:t>
      </w:r>
      <w:r w:rsidRPr="002A1B62">
        <w:rPr>
          <w:rFonts w:ascii="Verdana" w:hAnsi="Verdana" w:cs="Arial"/>
          <w:sz w:val="16"/>
          <w:szCs w:val="16"/>
          <w:lang w:val="es-419"/>
        </w:rPr>
        <w:tab/>
      </w:r>
      <w:r w:rsidR="00161454" w:rsidRPr="00161454">
        <w:rPr>
          <w:rFonts w:ascii="Verdana" w:hAnsi="Verdana"/>
          <w:sz w:val="16"/>
          <w:szCs w:val="16"/>
          <w:lang w:val="es-ES"/>
        </w:rPr>
        <w:t xml:space="preserve">Véase </w:t>
      </w:r>
      <w:r w:rsidR="00161454" w:rsidRPr="00161454">
        <w:rPr>
          <w:rFonts w:ascii="Verdana" w:hAnsi="Verdana" w:cs="Arial"/>
          <w:sz w:val="16"/>
          <w:szCs w:val="16"/>
          <w:lang w:val="es-ES"/>
        </w:rPr>
        <w:t>p</w:t>
      </w:r>
      <w:r w:rsidRPr="009C2C1B">
        <w:rPr>
          <w:rFonts w:ascii="Verdana" w:hAnsi="Verdana" w:cs="Arial"/>
          <w:sz w:val="16"/>
          <w:szCs w:val="16"/>
          <w:lang w:val="es-419"/>
        </w:rPr>
        <w:t>árrafo 18</w:t>
      </w:r>
      <w:r w:rsidR="00161454" w:rsidRPr="009C2C1B">
        <w:rPr>
          <w:rFonts w:ascii="Verdana" w:hAnsi="Verdana" w:cs="Arial"/>
          <w:sz w:val="16"/>
          <w:szCs w:val="16"/>
          <w:lang w:val="es-419"/>
        </w:rPr>
        <w:t>7</w:t>
      </w:r>
      <w:r w:rsidRPr="009C2C1B">
        <w:rPr>
          <w:rFonts w:ascii="Verdana" w:hAnsi="Verdana" w:cs="Arial"/>
          <w:sz w:val="16"/>
          <w:szCs w:val="16"/>
          <w:lang w:val="es-419"/>
        </w:rPr>
        <w:t xml:space="preserve"> y </w:t>
      </w:r>
      <w:r w:rsidR="00161454" w:rsidRPr="009C2C1B">
        <w:rPr>
          <w:rFonts w:ascii="Verdana" w:hAnsi="Verdana" w:cs="Arial"/>
          <w:sz w:val="16"/>
          <w:szCs w:val="16"/>
          <w:lang w:val="es-419"/>
        </w:rPr>
        <w:t xml:space="preserve">Punto </w:t>
      </w:r>
      <w:r w:rsidRPr="009C2C1B">
        <w:rPr>
          <w:rFonts w:ascii="Verdana" w:hAnsi="Verdana" w:cs="Arial"/>
          <w:sz w:val="16"/>
          <w:szCs w:val="16"/>
          <w:lang w:val="es-419"/>
        </w:rPr>
        <w:t>Resolutivo 3 de la sentencia</w:t>
      </w:r>
      <w:r w:rsidRPr="00161454">
        <w:rPr>
          <w:rFonts w:ascii="Verdana" w:hAnsi="Verdana" w:cs="Arial"/>
          <w:sz w:val="16"/>
          <w:szCs w:val="16"/>
          <w:lang w:val="es-419"/>
        </w:rPr>
        <w:t>.</w:t>
      </w:r>
    </w:p>
  </w:footnote>
  <w:footnote w:id="43">
    <w:p w14:paraId="39E860A4" w14:textId="5DBEB746" w:rsidR="00194342" w:rsidRPr="005D4403" w:rsidRDefault="00194342" w:rsidP="00B21C1F">
      <w:pPr>
        <w:pStyle w:val="Textonotapie"/>
        <w:spacing w:after="0" w:line="240" w:lineRule="auto"/>
        <w:jc w:val="both"/>
        <w:rPr>
          <w:rFonts w:ascii="Verdana" w:hAnsi="Verdana"/>
          <w:sz w:val="16"/>
          <w:szCs w:val="16"/>
          <w:lang w:val="es-ES"/>
        </w:rPr>
      </w:pPr>
      <w:r w:rsidRPr="005D4403">
        <w:rPr>
          <w:rStyle w:val="Refdenotaalpie"/>
          <w:rFonts w:ascii="Verdana" w:hAnsi="Verdana"/>
          <w:sz w:val="16"/>
          <w:szCs w:val="16"/>
        </w:rPr>
        <w:footnoteRef/>
      </w:r>
      <w:r w:rsidRPr="005D4403">
        <w:rPr>
          <w:rFonts w:ascii="Verdana" w:hAnsi="Verdana"/>
          <w:sz w:val="16"/>
          <w:szCs w:val="16"/>
        </w:rPr>
        <w:t xml:space="preserve"> </w:t>
      </w:r>
      <w:r w:rsidRPr="005D4403">
        <w:rPr>
          <w:rFonts w:ascii="Verdana" w:hAnsi="Verdana"/>
          <w:sz w:val="16"/>
          <w:szCs w:val="16"/>
        </w:rPr>
        <w:tab/>
      </w:r>
      <w:r w:rsidR="00161454" w:rsidRPr="00161454">
        <w:rPr>
          <w:rFonts w:ascii="Verdana" w:hAnsi="Verdana"/>
          <w:sz w:val="16"/>
          <w:szCs w:val="16"/>
          <w:lang w:val="es-ES"/>
        </w:rPr>
        <w:t xml:space="preserve">Véase </w:t>
      </w:r>
      <w:r w:rsidR="00161454" w:rsidRPr="00161454">
        <w:rPr>
          <w:rFonts w:ascii="Verdana" w:hAnsi="Verdana" w:cs="Arial"/>
          <w:sz w:val="16"/>
          <w:szCs w:val="16"/>
          <w:lang w:val="es-ES"/>
        </w:rPr>
        <w:t>p</w:t>
      </w:r>
      <w:r w:rsidRPr="009C2C1B">
        <w:rPr>
          <w:rFonts w:ascii="Verdana" w:hAnsi="Verdana" w:cs="Arial"/>
          <w:sz w:val="16"/>
          <w:szCs w:val="16"/>
          <w:lang w:val="es-ES"/>
        </w:rPr>
        <w:t>árrafo 6</w:t>
      </w:r>
      <w:r w:rsidR="00161454" w:rsidRPr="009C2C1B">
        <w:rPr>
          <w:rFonts w:ascii="Verdana" w:hAnsi="Verdana" w:cs="Arial"/>
          <w:sz w:val="16"/>
          <w:szCs w:val="16"/>
          <w:lang w:val="es-ES"/>
        </w:rPr>
        <w:t>7</w:t>
      </w:r>
      <w:r w:rsidRPr="009C2C1B">
        <w:rPr>
          <w:rFonts w:ascii="Verdana" w:hAnsi="Verdana" w:cs="Arial"/>
          <w:sz w:val="16"/>
          <w:szCs w:val="16"/>
          <w:lang w:val="es-ES"/>
        </w:rPr>
        <w:t xml:space="preserve"> de la sentencia</w:t>
      </w:r>
      <w:r w:rsidRPr="00161454">
        <w:rPr>
          <w:rFonts w:ascii="Verdana" w:hAnsi="Verdana" w:cs="Arial"/>
          <w:sz w:val="16"/>
          <w:szCs w:val="16"/>
          <w:lang w:val="es-ES"/>
        </w:rPr>
        <w:t>.</w:t>
      </w:r>
    </w:p>
  </w:footnote>
  <w:footnote w:id="44">
    <w:p w14:paraId="000CB91F" w14:textId="66131757" w:rsidR="00194342" w:rsidRPr="005D4403" w:rsidRDefault="00194342" w:rsidP="00B21C1F">
      <w:pPr>
        <w:pStyle w:val="Textonotapie"/>
        <w:spacing w:after="0" w:line="240" w:lineRule="auto"/>
        <w:jc w:val="both"/>
        <w:rPr>
          <w:rFonts w:ascii="Verdana" w:hAnsi="Verdana"/>
          <w:sz w:val="16"/>
          <w:szCs w:val="16"/>
          <w:lang w:val="es-ES"/>
        </w:rPr>
      </w:pPr>
      <w:r w:rsidRPr="005D4403">
        <w:rPr>
          <w:rStyle w:val="Refdenotaalpie"/>
          <w:rFonts w:ascii="Verdana" w:hAnsi="Verdana"/>
          <w:sz w:val="16"/>
          <w:szCs w:val="16"/>
        </w:rPr>
        <w:footnoteRef/>
      </w:r>
      <w:r w:rsidRPr="005D4403">
        <w:rPr>
          <w:rFonts w:ascii="Verdana" w:hAnsi="Verdana"/>
          <w:sz w:val="16"/>
          <w:szCs w:val="16"/>
        </w:rPr>
        <w:t xml:space="preserve"> </w:t>
      </w:r>
      <w:r w:rsidRPr="005D4403">
        <w:rPr>
          <w:rFonts w:ascii="Verdana" w:hAnsi="Verdana"/>
          <w:sz w:val="16"/>
          <w:szCs w:val="16"/>
        </w:rPr>
        <w:tab/>
      </w:r>
      <w:r w:rsidR="00161454" w:rsidRPr="00161454">
        <w:rPr>
          <w:rFonts w:ascii="Verdana" w:hAnsi="Verdana"/>
          <w:sz w:val="16"/>
          <w:szCs w:val="16"/>
          <w:lang w:val="es-ES"/>
        </w:rPr>
        <w:t xml:space="preserve">Véase </w:t>
      </w:r>
      <w:r w:rsidR="00161454" w:rsidRPr="00161454">
        <w:rPr>
          <w:rFonts w:ascii="Verdana" w:hAnsi="Verdana" w:cs="Arial"/>
          <w:sz w:val="16"/>
          <w:szCs w:val="16"/>
          <w:lang w:val="es-ES"/>
        </w:rPr>
        <w:t>p</w:t>
      </w:r>
      <w:r w:rsidRPr="009C2C1B">
        <w:rPr>
          <w:rFonts w:ascii="Verdana" w:hAnsi="Verdana" w:cs="Arial"/>
          <w:sz w:val="16"/>
          <w:szCs w:val="16"/>
          <w:lang w:val="es-ES"/>
        </w:rPr>
        <w:t xml:space="preserve">árrafo </w:t>
      </w:r>
      <w:r w:rsidR="00161454" w:rsidRPr="009C2C1B">
        <w:rPr>
          <w:rFonts w:ascii="Verdana" w:hAnsi="Verdana" w:cs="Arial"/>
          <w:sz w:val="16"/>
          <w:szCs w:val="16"/>
          <w:lang w:val="es-ES"/>
        </w:rPr>
        <w:t xml:space="preserve">189 </w:t>
      </w:r>
      <w:r w:rsidRPr="009C2C1B">
        <w:rPr>
          <w:rFonts w:ascii="Verdana" w:hAnsi="Verdana" w:cs="Arial"/>
          <w:sz w:val="16"/>
          <w:szCs w:val="16"/>
          <w:lang w:val="es-ES"/>
        </w:rPr>
        <w:t>de la sentencia</w:t>
      </w:r>
      <w:r w:rsidRPr="00161454">
        <w:rPr>
          <w:rFonts w:ascii="Verdana" w:hAnsi="Verdana" w:cs="Arial"/>
          <w:sz w:val="16"/>
          <w:szCs w:val="16"/>
          <w:lang w:val="es-ES"/>
        </w:rPr>
        <w:t>.</w:t>
      </w:r>
    </w:p>
  </w:footnote>
  <w:footnote w:id="45">
    <w:p w14:paraId="2B1DF92F" w14:textId="5A20A155" w:rsidR="00194342" w:rsidRPr="005D4403" w:rsidRDefault="00194342" w:rsidP="00B21C1F">
      <w:pPr>
        <w:pStyle w:val="Textonotapie"/>
        <w:spacing w:after="0" w:line="240" w:lineRule="auto"/>
        <w:jc w:val="both"/>
        <w:rPr>
          <w:rFonts w:ascii="Verdana" w:hAnsi="Verdana"/>
          <w:sz w:val="16"/>
          <w:szCs w:val="16"/>
          <w:lang w:val="es-ES"/>
        </w:rPr>
      </w:pPr>
      <w:r w:rsidRPr="005D4403">
        <w:rPr>
          <w:rStyle w:val="Refdenotaalpie"/>
          <w:rFonts w:ascii="Verdana" w:hAnsi="Verdana"/>
          <w:sz w:val="16"/>
          <w:szCs w:val="16"/>
        </w:rPr>
        <w:footnoteRef/>
      </w:r>
      <w:r w:rsidRPr="005D4403">
        <w:rPr>
          <w:rFonts w:ascii="Verdana" w:hAnsi="Verdana"/>
          <w:sz w:val="16"/>
          <w:szCs w:val="16"/>
        </w:rPr>
        <w:t xml:space="preserve"> </w:t>
      </w:r>
      <w:r w:rsidRPr="005D4403">
        <w:rPr>
          <w:rFonts w:ascii="Verdana" w:hAnsi="Verdana"/>
          <w:sz w:val="16"/>
          <w:szCs w:val="16"/>
        </w:rPr>
        <w:tab/>
      </w:r>
      <w:r w:rsidR="00161454" w:rsidRPr="00161454">
        <w:rPr>
          <w:rFonts w:ascii="Verdana" w:hAnsi="Verdana"/>
          <w:i/>
          <w:iCs/>
          <w:sz w:val="16"/>
          <w:szCs w:val="16"/>
        </w:rPr>
        <w:t>Véase</w:t>
      </w:r>
      <w:r w:rsidR="00161454" w:rsidRPr="009C2C1B">
        <w:rPr>
          <w:rFonts w:ascii="Verdana" w:hAnsi="Verdana"/>
          <w:sz w:val="16"/>
          <w:szCs w:val="16"/>
        </w:rPr>
        <w:t xml:space="preserve"> </w:t>
      </w:r>
      <w:r w:rsidR="00161454" w:rsidRPr="00161454">
        <w:rPr>
          <w:rFonts w:ascii="Verdana" w:hAnsi="Verdana"/>
          <w:sz w:val="16"/>
          <w:szCs w:val="16"/>
        </w:rPr>
        <w:t>p</w:t>
      </w:r>
      <w:r w:rsidRPr="009C2C1B">
        <w:rPr>
          <w:rFonts w:ascii="Verdana" w:hAnsi="Verdana" w:cs="Arial"/>
          <w:sz w:val="16"/>
          <w:szCs w:val="16"/>
          <w:lang w:val="es-ES"/>
        </w:rPr>
        <w:t>árrafo 19</w:t>
      </w:r>
      <w:r w:rsidR="00161454" w:rsidRPr="009C2C1B">
        <w:rPr>
          <w:rFonts w:ascii="Verdana" w:hAnsi="Verdana" w:cs="Arial"/>
          <w:sz w:val="16"/>
          <w:szCs w:val="16"/>
          <w:lang w:val="es-ES"/>
        </w:rPr>
        <w:t>1</w:t>
      </w:r>
      <w:r w:rsidRPr="009C2C1B">
        <w:rPr>
          <w:rFonts w:ascii="Verdana" w:hAnsi="Verdana" w:cs="Arial"/>
          <w:sz w:val="16"/>
          <w:szCs w:val="16"/>
          <w:lang w:val="es-ES"/>
        </w:rPr>
        <w:t xml:space="preserve"> de la sentencia</w:t>
      </w:r>
      <w:r w:rsidRPr="00161454">
        <w:rPr>
          <w:rFonts w:ascii="Verdana" w:hAnsi="Verdana" w:cs="Arial"/>
          <w:sz w:val="16"/>
          <w:szCs w:val="16"/>
          <w:lang w:val="es-ES"/>
        </w:rPr>
        <w:t>.</w:t>
      </w:r>
    </w:p>
  </w:footnote>
  <w:footnote w:id="46">
    <w:p w14:paraId="0C18ED20" w14:textId="2F765482" w:rsidR="00194342" w:rsidRPr="005D4403" w:rsidRDefault="00194342" w:rsidP="00B21C1F">
      <w:pPr>
        <w:pStyle w:val="Textonotapie"/>
        <w:spacing w:after="0" w:line="240" w:lineRule="auto"/>
        <w:jc w:val="both"/>
        <w:rPr>
          <w:rFonts w:ascii="Verdana" w:hAnsi="Verdana"/>
          <w:sz w:val="16"/>
          <w:szCs w:val="16"/>
          <w:lang w:val="es-ES"/>
        </w:rPr>
      </w:pPr>
      <w:r w:rsidRPr="005D4403">
        <w:rPr>
          <w:rStyle w:val="Refdenotaalpie"/>
          <w:rFonts w:ascii="Verdana" w:hAnsi="Verdana"/>
          <w:sz w:val="16"/>
          <w:szCs w:val="16"/>
        </w:rPr>
        <w:footnoteRef/>
      </w:r>
      <w:r w:rsidRPr="005D4403">
        <w:rPr>
          <w:rFonts w:ascii="Verdana" w:hAnsi="Verdana"/>
          <w:sz w:val="16"/>
          <w:szCs w:val="16"/>
        </w:rPr>
        <w:t xml:space="preserve"> </w:t>
      </w:r>
      <w:r w:rsidRPr="005D4403">
        <w:rPr>
          <w:rFonts w:ascii="Verdana" w:hAnsi="Verdana"/>
          <w:sz w:val="16"/>
          <w:szCs w:val="16"/>
        </w:rPr>
        <w:tab/>
      </w:r>
      <w:r w:rsidR="00161454" w:rsidRPr="00161454">
        <w:rPr>
          <w:rFonts w:ascii="Verdana" w:hAnsi="Verdana"/>
          <w:i/>
          <w:iCs/>
          <w:sz w:val="16"/>
          <w:szCs w:val="16"/>
        </w:rPr>
        <w:t>Véase</w:t>
      </w:r>
      <w:r w:rsidR="00161454" w:rsidRPr="00675748">
        <w:rPr>
          <w:rFonts w:ascii="Verdana" w:hAnsi="Verdana"/>
          <w:sz w:val="16"/>
          <w:szCs w:val="16"/>
        </w:rPr>
        <w:t xml:space="preserve"> </w:t>
      </w:r>
      <w:r w:rsidR="00161454" w:rsidRPr="00161454">
        <w:rPr>
          <w:rFonts w:ascii="Verdana" w:hAnsi="Verdana"/>
          <w:sz w:val="16"/>
          <w:szCs w:val="16"/>
        </w:rPr>
        <w:t>p</w:t>
      </w:r>
      <w:r w:rsidRPr="009C2C1B">
        <w:rPr>
          <w:rFonts w:ascii="Verdana" w:hAnsi="Verdana"/>
          <w:sz w:val="16"/>
          <w:szCs w:val="16"/>
          <w:lang w:val="es-ES"/>
        </w:rPr>
        <w:t>árrafo 1</w:t>
      </w:r>
      <w:r w:rsidR="00161454" w:rsidRPr="009C2C1B">
        <w:rPr>
          <w:rFonts w:ascii="Verdana" w:hAnsi="Verdana"/>
          <w:sz w:val="16"/>
          <w:szCs w:val="16"/>
          <w:lang w:val="es-ES"/>
        </w:rPr>
        <w:t>79</w:t>
      </w:r>
      <w:r w:rsidRPr="009C2C1B">
        <w:rPr>
          <w:rFonts w:ascii="Verdana" w:hAnsi="Verdana"/>
          <w:sz w:val="16"/>
          <w:szCs w:val="16"/>
          <w:lang w:val="es-ES"/>
        </w:rPr>
        <w:t xml:space="preserve"> de la sentencia</w:t>
      </w:r>
      <w:r w:rsidR="005734BE" w:rsidRPr="00161454">
        <w:rPr>
          <w:rFonts w:ascii="Verdana" w:hAnsi="Verdana"/>
          <w:sz w:val="16"/>
          <w:szCs w:val="16"/>
          <w:lang w:val="es-ES"/>
        </w:rPr>
        <w:t>.</w:t>
      </w:r>
    </w:p>
  </w:footnote>
  <w:footnote w:id="47">
    <w:p w14:paraId="6E4B0ACC" w14:textId="24258C66" w:rsidR="00194342" w:rsidRPr="00C27DFE" w:rsidRDefault="00194342" w:rsidP="00B21C1F">
      <w:pPr>
        <w:pStyle w:val="Textonotapie"/>
        <w:spacing w:after="0" w:line="240" w:lineRule="auto"/>
        <w:jc w:val="both"/>
        <w:rPr>
          <w:rFonts w:ascii="Verdana" w:hAnsi="Verdana"/>
          <w:color w:val="000000" w:themeColor="text1"/>
          <w:sz w:val="16"/>
          <w:szCs w:val="16"/>
          <w:lang w:val="es-419"/>
        </w:rPr>
      </w:pPr>
      <w:r w:rsidRPr="005D4403">
        <w:rPr>
          <w:rStyle w:val="Refdenotaalpie"/>
          <w:rFonts w:ascii="Verdana" w:hAnsi="Verdana"/>
          <w:sz w:val="16"/>
          <w:szCs w:val="16"/>
        </w:rPr>
        <w:footnoteRef/>
      </w:r>
      <w:r w:rsidRPr="005D4403">
        <w:rPr>
          <w:rFonts w:ascii="Verdana" w:hAnsi="Verdana"/>
          <w:sz w:val="16"/>
          <w:szCs w:val="16"/>
        </w:rPr>
        <w:t xml:space="preserve"> </w:t>
      </w:r>
      <w:r w:rsidRPr="005D4403">
        <w:rPr>
          <w:rFonts w:ascii="Verdana" w:hAnsi="Verdana"/>
          <w:sz w:val="16"/>
          <w:szCs w:val="16"/>
        </w:rPr>
        <w:tab/>
      </w:r>
      <w:r w:rsidRPr="00D07038">
        <w:rPr>
          <w:rFonts w:ascii="Verdana" w:hAnsi="Verdana"/>
          <w:i/>
          <w:iCs/>
          <w:sz w:val="16"/>
          <w:szCs w:val="16"/>
          <w:lang w:val="es-419"/>
        </w:rPr>
        <w:t>Cfr.</w:t>
      </w:r>
      <w:r w:rsidRPr="005D4403">
        <w:rPr>
          <w:rFonts w:ascii="Verdana" w:hAnsi="Verdana"/>
          <w:sz w:val="16"/>
          <w:szCs w:val="16"/>
          <w:lang w:val="es-419"/>
        </w:rPr>
        <w:t xml:space="preserve"> </w:t>
      </w:r>
      <w:r w:rsidRPr="005D4403">
        <w:rPr>
          <w:rFonts w:ascii="Verdana" w:hAnsi="Verdana"/>
          <w:color w:val="000000" w:themeColor="text1"/>
          <w:sz w:val="16"/>
          <w:szCs w:val="16"/>
        </w:rPr>
        <w:t>Opinión Consultiva OC-23/17</w:t>
      </w:r>
      <w:r w:rsidR="00161454">
        <w:rPr>
          <w:rFonts w:ascii="Verdana" w:hAnsi="Verdana"/>
          <w:color w:val="000000" w:themeColor="text1"/>
          <w:sz w:val="16"/>
          <w:szCs w:val="16"/>
        </w:rPr>
        <w:t xml:space="preserve">, </w:t>
      </w:r>
      <w:r w:rsidR="00161454">
        <w:rPr>
          <w:rFonts w:ascii="Verdana" w:hAnsi="Verdana"/>
          <w:i/>
          <w:iCs/>
          <w:color w:val="000000" w:themeColor="text1"/>
          <w:sz w:val="16"/>
          <w:szCs w:val="16"/>
        </w:rPr>
        <w:t>supra</w:t>
      </w:r>
      <w:r w:rsidRPr="005D4403">
        <w:rPr>
          <w:rFonts w:ascii="Verdana" w:hAnsi="Verdana"/>
          <w:color w:val="000000" w:themeColor="text1"/>
          <w:sz w:val="16"/>
          <w:szCs w:val="16"/>
          <w:lang w:val="es-419"/>
        </w:rPr>
        <w:t>, párr. 5</w:t>
      </w:r>
      <w:r>
        <w:rPr>
          <w:rFonts w:ascii="Verdana" w:hAnsi="Verdana"/>
          <w:color w:val="000000" w:themeColor="text1"/>
          <w:sz w:val="16"/>
          <w:szCs w:val="16"/>
          <w:lang w:val="es-419"/>
        </w:rPr>
        <w:t>9</w:t>
      </w:r>
      <w:r w:rsidRPr="005D4403">
        <w:rPr>
          <w:rFonts w:ascii="Verdana" w:hAnsi="Verdana"/>
          <w:color w:val="000000" w:themeColor="text1"/>
          <w:sz w:val="16"/>
          <w:szCs w:val="16"/>
        </w:rPr>
        <w:t>.</w:t>
      </w:r>
    </w:p>
  </w:footnote>
  <w:footnote w:id="48">
    <w:p w14:paraId="7C2E9146" w14:textId="619BD187" w:rsidR="00194342" w:rsidRPr="00565393" w:rsidRDefault="00194342" w:rsidP="00B21C1F">
      <w:pPr>
        <w:pStyle w:val="Textonotapie"/>
        <w:spacing w:after="0" w:line="240" w:lineRule="auto"/>
        <w:jc w:val="both"/>
        <w:rPr>
          <w:rFonts w:ascii="Verdana" w:hAnsi="Verdana"/>
          <w:sz w:val="16"/>
          <w:szCs w:val="16"/>
          <w:lang w:val="es-419"/>
        </w:rPr>
      </w:pPr>
      <w:r w:rsidRPr="00565393">
        <w:rPr>
          <w:rStyle w:val="Refdenotaalpie"/>
          <w:rFonts w:ascii="Verdana" w:hAnsi="Verdana"/>
          <w:color w:val="000000" w:themeColor="text1"/>
          <w:sz w:val="16"/>
          <w:szCs w:val="16"/>
        </w:rPr>
        <w:footnoteRef/>
      </w:r>
      <w:r w:rsidRPr="00565393">
        <w:rPr>
          <w:rFonts w:ascii="Verdana" w:hAnsi="Verdana"/>
          <w:color w:val="000000" w:themeColor="text1"/>
          <w:sz w:val="16"/>
          <w:szCs w:val="16"/>
        </w:rPr>
        <w:t xml:space="preserve"> </w:t>
      </w:r>
      <w:r w:rsidRPr="00565393">
        <w:rPr>
          <w:rFonts w:ascii="Verdana" w:hAnsi="Verdana"/>
          <w:color w:val="000000" w:themeColor="text1"/>
          <w:sz w:val="16"/>
          <w:szCs w:val="16"/>
          <w:lang w:val="es-419"/>
        </w:rPr>
        <w:tab/>
      </w:r>
      <w:r w:rsidR="00161454" w:rsidRPr="009C2C1B">
        <w:rPr>
          <w:rFonts w:ascii="Verdana" w:hAnsi="Verdana"/>
          <w:i/>
          <w:iCs/>
          <w:color w:val="000000" w:themeColor="text1"/>
          <w:sz w:val="16"/>
          <w:szCs w:val="16"/>
          <w:lang w:val="es-419"/>
        </w:rPr>
        <w:t>Cfr</w:t>
      </w:r>
      <w:r w:rsidR="00161454">
        <w:rPr>
          <w:rFonts w:ascii="Verdana" w:hAnsi="Verdana"/>
          <w:color w:val="000000" w:themeColor="text1"/>
          <w:sz w:val="16"/>
          <w:szCs w:val="16"/>
          <w:lang w:val="es-419"/>
        </w:rPr>
        <w:t xml:space="preserve">. </w:t>
      </w:r>
      <w:r w:rsidR="00161454" w:rsidRPr="005D4403">
        <w:rPr>
          <w:rFonts w:ascii="Verdana" w:hAnsi="Verdana"/>
          <w:color w:val="000000" w:themeColor="text1"/>
          <w:sz w:val="16"/>
          <w:szCs w:val="16"/>
        </w:rPr>
        <w:t>Opinión Consultiva OC-23/17</w:t>
      </w:r>
      <w:r w:rsidR="00161454">
        <w:rPr>
          <w:rFonts w:ascii="Verdana" w:hAnsi="Verdana"/>
          <w:color w:val="000000" w:themeColor="text1"/>
          <w:sz w:val="16"/>
          <w:szCs w:val="16"/>
        </w:rPr>
        <w:t xml:space="preserve">, </w:t>
      </w:r>
      <w:r w:rsidR="00161454">
        <w:rPr>
          <w:rFonts w:ascii="Verdana" w:hAnsi="Verdana"/>
          <w:i/>
          <w:iCs/>
          <w:color w:val="000000" w:themeColor="text1"/>
          <w:sz w:val="16"/>
          <w:szCs w:val="16"/>
        </w:rPr>
        <w:t>supra</w:t>
      </w:r>
      <w:r w:rsidRPr="00565393">
        <w:rPr>
          <w:rFonts w:ascii="Verdana" w:hAnsi="Verdana"/>
          <w:sz w:val="16"/>
          <w:szCs w:val="16"/>
          <w:lang w:val="es-419"/>
        </w:rPr>
        <w:t>, párr. 62.</w:t>
      </w:r>
    </w:p>
  </w:footnote>
  <w:footnote w:id="49">
    <w:p w14:paraId="4D320F98" w14:textId="175D6EDE" w:rsidR="00194342" w:rsidRPr="00565393" w:rsidRDefault="00194342" w:rsidP="00B21C1F">
      <w:pPr>
        <w:pStyle w:val="Textonotapie"/>
        <w:spacing w:after="0" w:line="240" w:lineRule="auto"/>
        <w:jc w:val="both"/>
        <w:rPr>
          <w:rFonts w:ascii="Verdana" w:hAnsi="Verdana"/>
          <w:sz w:val="16"/>
          <w:szCs w:val="16"/>
          <w:lang w:val="es-419"/>
        </w:rPr>
      </w:pPr>
      <w:r w:rsidRPr="00565393">
        <w:rPr>
          <w:rStyle w:val="Refdenotaalpie"/>
          <w:rFonts w:ascii="Verdana" w:hAnsi="Verdana"/>
          <w:sz w:val="16"/>
          <w:szCs w:val="16"/>
        </w:rPr>
        <w:footnoteRef/>
      </w:r>
      <w:r w:rsidRPr="00565393">
        <w:rPr>
          <w:rFonts w:ascii="Verdana" w:hAnsi="Verdana"/>
          <w:sz w:val="16"/>
          <w:szCs w:val="16"/>
        </w:rPr>
        <w:t xml:space="preserve"> </w:t>
      </w:r>
      <w:r w:rsidRPr="00565393">
        <w:rPr>
          <w:rFonts w:ascii="Verdana" w:hAnsi="Verdana"/>
          <w:sz w:val="16"/>
          <w:szCs w:val="16"/>
          <w:lang w:val="es-419"/>
        </w:rPr>
        <w:tab/>
      </w:r>
      <w:r w:rsidR="00161454" w:rsidRPr="00675748">
        <w:rPr>
          <w:rFonts w:ascii="Verdana" w:hAnsi="Verdana"/>
          <w:i/>
          <w:iCs/>
          <w:color w:val="000000" w:themeColor="text1"/>
          <w:sz w:val="16"/>
          <w:szCs w:val="16"/>
          <w:lang w:val="es-419"/>
        </w:rPr>
        <w:t>Cfr</w:t>
      </w:r>
      <w:r w:rsidR="00161454">
        <w:rPr>
          <w:rFonts w:ascii="Verdana" w:hAnsi="Verdana"/>
          <w:color w:val="000000" w:themeColor="text1"/>
          <w:sz w:val="16"/>
          <w:szCs w:val="16"/>
          <w:lang w:val="es-419"/>
        </w:rPr>
        <w:t xml:space="preserve">. </w:t>
      </w:r>
      <w:r w:rsidR="00161454" w:rsidRPr="005D4403">
        <w:rPr>
          <w:rFonts w:ascii="Verdana" w:hAnsi="Verdana"/>
          <w:color w:val="000000" w:themeColor="text1"/>
          <w:sz w:val="16"/>
          <w:szCs w:val="16"/>
        </w:rPr>
        <w:t>Opinión Consultiva OC-23/17</w:t>
      </w:r>
      <w:r w:rsidR="00161454">
        <w:rPr>
          <w:rFonts w:ascii="Verdana" w:hAnsi="Verdana"/>
          <w:color w:val="000000" w:themeColor="text1"/>
          <w:sz w:val="16"/>
          <w:szCs w:val="16"/>
        </w:rPr>
        <w:t xml:space="preserve">, </w:t>
      </w:r>
      <w:r w:rsidR="00161454">
        <w:rPr>
          <w:rFonts w:ascii="Verdana" w:hAnsi="Verdana"/>
          <w:i/>
          <w:iCs/>
          <w:color w:val="000000" w:themeColor="text1"/>
          <w:sz w:val="16"/>
          <w:szCs w:val="16"/>
        </w:rPr>
        <w:t>supra</w:t>
      </w:r>
      <w:r w:rsidRPr="00565393">
        <w:rPr>
          <w:rFonts w:ascii="Verdana" w:hAnsi="Verdana"/>
          <w:color w:val="000000" w:themeColor="text1"/>
          <w:sz w:val="16"/>
          <w:szCs w:val="16"/>
          <w:lang w:val="es-419"/>
        </w:rPr>
        <w:t>, párr. 109.</w:t>
      </w:r>
    </w:p>
  </w:footnote>
  <w:footnote w:id="50">
    <w:p w14:paraId="49A406AD" w14:textId="3F440F6F" w:rsidR="00194342" w:rsidRPr="002832BA" w:rsidRDefault="00194342" w:rsidP="00B21C1F">
      <w:pPr>
        <w:pStyle w:val="Textonotapie"/>
        <w:spacing w:after="0" w:line="240" w:lineRule="auto"/>
        <w:jc w:val="both"/>
        <w:rPr>
          <w:rFonts w:ascii="Verdana" w:hAnsi="Verdana"/>
          <w:sz w:val="16"/>
          <w:szCs w:val="16"/>
          <w:lang w:val="es-419"/>
        </w:rPr>
      </w:pPr>
      <w:r w:rsidRPr="00565393">
        <w:rPr>
          <w:rStyle w:val="Refdenotaalpie"/>
          <w:rFonts w:ascii="Verdana" w:hAnsi="Verdana"/>
          <w:sz w:val="16"/>
          <w:szCs w:val="16"/>
        </w:rPr>
        <w:footnoteRef/>
      </w:r>
      <w:r w:rsidRPr="00565393">
        <w:rPr>
          <w:rFonts w:ascii="Verdana" w:hAnsi="Verdana"/>
          <w:sz w:val="16"/>
          <w:szCs w:val="16"/>
        </w:rPr>
        <w:t xml:space="preserve"> </w:t>
      </w:r>
      <w:r w:rsidRPr="00565393">
        <w:rPr>
          <w:rFonts w:ascii="Verdana" w:hAnsi="Verdana"/>
          <w:sz w:val="16"/>
          <w:szCs w:val="16"/>
          <w:lang w:val="es-419"/>
        </w:rPr>
        <w:tab/>
      </w:r>
      <w:r w:rsidR="00161454" w:rsidRPr="00675748">
        <w:rPr>
          <w:rFonts w:ascii="Verdana" w:hAnsi="Verdana"/>
          <w:i/>
          <w:iCs/>
          <w:color w:val="000000" w:themeColor="text1"/>
          <w:sz w:val="16"/>
          <w:szCs w:val="16"/>
          <w:lang w:val="es-419"/>
        </w:rPr>
        <w:t>Cfr</w:t>
      </w:r>
      <w:r w:rsidR="00161454">
        <w:rPr>
          <w:rFonts w:ascii="Verdana" w:hAnsi="Verdana"/>
          <w:color w:val="000000" w:themeColor="text1"/>
          <w:sz w:val="16"/>
          <w:szCs w:val="16"/>
          <w:lang w:val="es-419"/>
        </w:rPr>
        <w:t xml:space="preserve">. </w:t>
      </w:r>
      <w:r w:rsidR="00161454" w:rsidRPr="005D4403">
        <w:rPr>
          <w:rFonts w:ascii="Verdana" w:hAnsi="Verdana"/>
          <w:color w:val="000000" w:themeColor="text1"/>
          <w:sz w:val="16"/>
          <w:szCs w:val="16"/>
        </w:rPr>
        <w:t>Opinión Consultiva OC-23/17</w:t>
      </w:r>
      <w:r w:rsidR="00161454">
        <w:rPr>
          <w:rFonts w:ascii="Verdana" w:hAnsi="Verdana"/>
          <w:color w:val="000000" w:themeColor="text1"/>
          <w:sz w:val="16"/>
          <w:szCs w:val="16"/>
        </w:rPr>
        <w:t xml:space="preserve">, </w:t>
      </w:r>
      <w:r w:rsidR="00161454">
        <w:rPr>
          <w:rFonts w:ascii="Verdana" w:hAnsi="Verdana"/>
          <w:i/>
          <w:iCs/>
          <w:color w:val="000000" w:themeColor="text1"/>
          <w:sz w:val="16"/>
          <w:szCs w:val="16"/>
        </w:rPr>
        <w:t>supra</w:t>
      </w:r>
      <w:r w:rsidRPr="00565393">
        <w:rPr>
          <w:rFonts w:ascii="Verdana" w:hAnsi="Verdana"/>
          <w:sz w:val="16"/>
          <w:szCs w:val="16"/>
          <w:lang w:val="es-419"/>
        </w:rPr>
        <w:t xml:space="preserve">, párr. </w:t>
      </w:r>
      <w:r w:rsidRPr="002832BA">
        <w:rPr>
          <w:rFonts w:ascii="Verdana" w:hAnsi="Verdana"/>
          <w:sz w:val="16"/>
          <w:szCs w:val="16"/>
          <w:lang w:val="es-419"/>
        </w:rPr>
        <w:t>110.</w:t>
      </w:r>
    </w:p>
  </w:footnote>
  <w:footnote w:id="51">
    <w:p w14:paraId="76CF1A04" w14:textId="01FA6212" w:rsidR="00194342" w:rsidRPr="00161454" w:rsidRDefault="00194342" w:rsidP="00B21C1F">
      <w:pPr>
        <w:pStyle w:val="Textonotapie"/>
        <w:spacing w:after="0" w:line="240" w:lineRule="auto"/>
        <w:jc w:val="both"/>
        <w:rPr>
          <w:rFonts w:ascii="Verdana" w:hAnsi="Verdana"/>
          <w:sz w:val="16"/>
          <w:szCs w:val="16"/>
          <w:lang w:val="es-419"/>
        </w:rPr>
      </w:pPr>
      <w:r w:rsidRPr="00161454">
        <w:rPr>
          <w:rStyle w:val="Refdenotaalpie"/>
          <w:rFonts w:ascii="Verdana" w:hAnsi="Verdana"/>
          <w:sz w:val="16"/>
          <w:szCs w:val="16"/>
        </w:rPr>
        <w:footnoteRef/>
      </w:r>
      <w:r w:rsidRPr="00161454">
        <w:rPr>
          <w:rFonts w:ascii="Verdana" w:hAnsi="Verdana"/>
          <w:sz w:val="16"/>
          <w:szCs w:val="16"/>
        </w:rPr>
        <w:t xml:space="preserve"> </w:t>
      </w:r>
      <w:r w:rsidRPr="00161454">
        <w:rPr>
          <w:rFonts w:ascii="Verdana" w:hAnsi="Verdana"/>
          <w:sz w:val="16"/>
          <w:szCs w:val="16"/>
        </w:rPr>
        <w:tab/>
      </w:r>
      <w:r w:rsidR="00161454" w:rsidRPr="00161454">
        <w:rPr>
          <w:rFonts w:ascii="Verdana" w:hAnsi="Verdana"/>
          <w:i/>
          <w:iCs/>
          <w:sz w:val="16"/>
          <w:szCs w:val="16"/>
        </w:rPr>
        <w:t>Véase</w:t>
      </w:r>
      <w:r w:rsidR="00161454" w:rsidRPr="00161454">
        <w:rPr>
          <w:rFonts w:ascii="Verdana" w:hAnsi="Verdana"/>
          <w:sz w:val="16"/>
          <w:szCs w:val="16"/>
        </w:rPr>
        <w:t xml:space="preserve"> p</w:t>
      </w:r>
      <w:r w:rsidRPr="009C2C1B">
        <w:rPr>
          <w:rFonts w:ascii="Verdana" w:hAnsi="Verdana" w:cs="Arial"/>
          <w:sz w:val="16"/>
          <w:szCs w:val="16"/>
          <w:lang w:val="es-419"/>
        </w:rPr>
        <w:t>arráfo 205 de la sentencia</w:t>
      </w:r>
      <w:r w:rsidRPr="00161454">
        <w:rPr>
          <w:rFonts w:ascii="Verdana" w:hAnsi="Verdana" w:cs="Arial"/>
          <w:sz w:val="16"/>
          <w:szCs w:val="16"/>
          <w:lang w:val="es-419"/>
        </w:rPr>
        <w:t>.</w:t>
      </w:r>
    </w:p>
  </w:footnote>
  <w:footnote w:id="52">
    <w:p w14:paraId="32C421F6" w14:textId="2871996E" w:rsidR="00194342" w:rsidRPr="00161454" w:rsidRDefault="00194342" w:rsidP="00B21C1F">
      <w:pPr>
        <w:pStyle w:val="Textonotapie"/>
        <w:spacing w:after="0" w:line="240" w:lineRule="auto"/>
        <w:jc w:val="both"/>
        <w:rPr>
          <w:rFonts w:ascii="Verdana" w:hAnsi="Verdana"/>
          <w:sz w:val="16"/>
          <w:szCs w:val="16"/>
          <w:lang w:val="es-419"/>
        </w:rPr>
      </w:pPr>
      <w:r w:rsidRPr="00161454">
        <w:rPr>
          <w:rStyle w:val="Refdenotaalpie"/>
          <w:rFonts w:ascii="Verdana" w:hAnsi="Verdana"/>
          <w:sz w:val="16"/>
          <w:szCs w:val="16"/>
        </w:rPr>
        <w:footnoteRef/>
      </w:r>
      <w:r w:rsidRPr="00161454">
        <w:rPr>
          <w:rFonts w:ascii="Verdana" w:hAnsi="Verdana"/>
          <w:sz w:val="16"/>
          <w:szCs w:val="16"/>
        </w:rPr>
        <w:t xml:space="preserve"> </w:t>
      </w:r>
      <w:r w:rsidRPr="00161454">
        <w:rPr>
          <w:rFonts w:ascii="Verdana" w:hAnsi="Verdana"/>
          <w:sz w:val="16"/>
          <w:szCs w:val="16"/>
        </w:rPr>
        <w:tab/>
      </w:r>
      <w:r w:rsidR="00161454" w:rsidRPr="00161454">
        <w:rPr>
          <w:rFonts w:ascii="Verdana" w:hAnsi="Verdana"/>
          <w:i/>
          <w:iCs/>
          <w:sz w:val="16"/>
          <w:szCs w:val="16"/>
        </w:rPr>
        <w:t>Véase</w:t>
      </w:r>
      <w:r w:rsidR="00161454" w:rsidRPr="00161454">
        <w:rPr>
          <w:rFonts w:ascii="Verdana" w:hAnsi="Verdana"/>
          <w:sz w:val="16"/>
          <w:szCs w:val="16"/>
        </w:rPr>
        <w:t xml:space="preserve"> p</w:t>
      </w:r>
      <w:r w:rsidRPr="009C2C1B">
        <w:rPr>
          <w:rFonts w:ascii="Verdana" w:hAnsi="Verdana" w:cs="Arial"/>
          <w:sz w:val="16"/>
          <w:szCs w:val="16"/>
          <w:lang w:val="es-419"/>
        </w:rPr>
        <w:t>arráfo 20</w:t>
      </w:r>
      <w:r w:rsidR="00A56051">
        <w:rPr>
          <w:rFonts w:ascii="Verdana" w:hAnsi="Verdana" w:cs="Arial"/>
          <w:sz w:val="16"/>
          <w:szCs w:val="16"/>
          <w:lang w:val="es-419"/>
        </w:rPr>
        <w:t>3</w:t>
      </w:r>
      <w:r w:rsidRPr="009C2C1B">
        <w:rPr>
          <w:rFonts w:ascii="Verdana" w:hAnsi="Verdana" w:cs="Arial"/>
          <w:sz w:val="16"/>
          <w:szCs w:val="16"/>
          <w:lang w:val="es-419"/>
        </w:rPr>
        <w:t xml:space="preserve"> de la sentencia</w:t>
      </w:r>
      <w:r w:rsidRPr="00161454">
        <w:rPr>
          <w:rFonts w:ascii="Verdana" w:hAnsi="Verdana" w:cs="Arial"/>
          <w:sz w:val="16"/>
          <w:szCs w:val="16"/>
          <w:lang w:val="es-419"/>
        </w:rPr>
        <w:t>.</w:t>
      </w:r>
    </w:p>
  </w:footnote>
  <w:footnote w:id="53">
    <w:p w14:paraId="29CE9C81" w14:textId="33298E97" w:rsidR="00194342" w:rsidRPr="002832BA" w:rsidRDefault="00194342" w:rsidP="00B21C1F">
      <w:pPr>
        <w:pStyle w:val="Textonotapie"/>
        <w:spacing w:after="0" w:line="240" w:lineRule="auto"/>
        <w:jc w:val="both"/>
        <w:rPr>
          <w:lang w:val="es-419"/>
        </w:rPr>
      </w:pPr>
      <w:r w:rsidRPr="00161454">
        <w:rPr>
          <w:rStyle w:val="Refdenotaalpie"/>
          <w:rFonts w:ascii="Verdana" w:hAnsi="Verdana"/>
          <w:sz w:val="16"/>
          <w:szCs w:val="16"/>
        </w:rPr>
        <w:footnoteRef/>
      </w:r>
      <w:r w:rsidRPr="00161454">
        <w:rPr>
          <w:rFonts w:ascii="Verdana" w:hAnsi="Verdana"/>
          <w:sz w:val="16"/>
          <w:szCs w:val="16"/>
        </w:rPr>
        <w:t xml:space="preserve"> </w:t>
      </w:r>
      <w:r w:rsidRPr="00161454">
        <w:rPr>
          <w:rFonts w:ascii="Verdana" w:hAnsi="Verdana"/>
          <w:sz w:val="16"/>
          <w:szCs w:val="16"/>
        </w:rPr>
        <w:tab/>
      </w:r>
      <w:r w:rsidR="00161454" w:rsidRPr="00161454">
        <w:rPr>
          <w:rFonts w:ascii="Verdana" w:hAnsi="Verdana"/>
          <w:i/>
          <w:iCs/>
          <w:sz w:val="16"/>
          <w:szCs w:val="16"/>
        </w:rPr>
        <w:t>Véase</w:t>
      </w:r>
      <w:r w:rsidR="00161454" w:rsidRPr="00161454">
        <w:rPr>
          <w:rFonts w:ascii="Verdana" w:hAnsi="Verdana"/>
          <w:sz w:val="16"/>
          <w:szCs w:val="16"/>
        </w:rPr>
        <w:t xml:space="preserve"> p</w:t>
      </w:r>
      <w:r w:rsidRPr="009C2C1B">
        <w:rPr>
          <w:rFonts w:ascii="Verdana" w:hAnsi="Verdana" w:cs="Arial"/>
          <w:sz w:val="16"/>
          <w:szCs w:val="16"/>
          <w:lang w:val="es-419"/>
        </w:rPr>
        <w:t>arráfo 14</w:t>
      </w:r>
      <w:r w:rsidR="00A56051">
        <w:rPr>
          <w:rFonts w:ascii="Verdana" w:hAnsi="Verdana" w:cs="Arial"/>
          <w:sz w:val="16"/>
          <w:szCs w:val="16"/>
          <w:lang w:val="es-419"/>
        </w:rPr>
        <w:t>5</w:t>
      </w:r>
      <w:r w:rsidRPr="009C2C1B">
        <w:rPr>
          <w:rFonts w:ascii="Verdana" w:hAnsi="Verdana" w:cs="Arial"/>
          <w:sz w:val="16"/>
          <w:szCs w:val="16"/>
          <w:lang w:val="es-419"/>
        </w:rPr>
        <w:t xml:space="preserve"> de la sentencia</w:t>
      </w:r>
      <w:r w:rsidRPr="00161454">
        <w:rPr>
          <w:rFonts w:ascii="Verdana" w:hAnsi="Verdana" w:cs="Arial"/>
          <w:sz w:val="16"/>
          <w:szCs w:val="16"/>
          <w:lang w:val="es-419"/>
        </w:rPr>
        <w:t>.</w:t>
      </w:r>
    </w:p>
  </w:footnote>
  <w:footnote w:id="54">
    <w:p w14:paraId="335FC126" w14:textId="02CB8594" w:rsidR="00194342" w:rsidRPr="005A7050" w:rsidRDefault="00194342" w:rsidP="00B21C1F">
      <w:pPr>
        <w:pStyle w:val="Textonotapie"/>
        <w:spacing w:after="0" w:line="240" w:lineRule="auto"/>
        <w:jc w:val="both"/>
        <w:rPr>
          <w:rFonts w:ascii="Verdana" w:hAnsi="Verdana"/>
          <w:sz w:val="16"/>
          <w:szCs w:val="16"/>
          <w:lang w:val="es-419"/>
        </w:rPr>
      </w:pPr>
      <w:r w:rsidRPr="00434885">
        <w:rPr>
          <w:rStyle w:val="Refdenotaalpie"/>
          <w:rFonts w:ascii="Verdana" w:hAnsi="Verdana"/>
          <w:sz w:val="16"/>
          <w:szCs w:val="16"/>
        </w:rPr>
        <w:footnoteRef/>
      </w:r>
      <w:r w:rsidRPr="00434885">
        <w:rPr>
          <w:rFonts w:ascii="Verdana" w:hAnsi="Verdana"/>
          <w:sz w:val="16"/>
          <w:szCs w:val="16"/>
        </w:rPr>
        <w:t xml:space="preserve"> </w:t>
      </w:r>
      <w:r w:rsidRPr="00434885">
        <w:rPr>
          <w:rFonts w:ascii="Verdana" w:hAnsi="Verdana"/>
          <w:sz w:val="16"/>
          <w:szCs w:val="16"/>
        </w:rPr>
        <w:tab/>
      </w:r>
      <w:r w:rsidR="00A56051" w:rsidRPr="00675748">
        <w:rPr>
          <w:rFonts w:ascii="Verdana" w:hAnsi="Verdana"/>
          <w:i/>
          <w:iCs/>
          <w:color w:val="000000" w:themeColor="text1"/>
          <w:sz w:val="16"/>
          <w:szCs w:val="16"/>
          <w:lang w:val="es-419"/>
        </w:rPr>
        <w:t>Cfr</w:t>
      </w:r>
      <w:r w:rsidR="00A56051">
        <w:rPr>
          <w:rFonts w:ascii="Verdana" w:hAnsi="Verdana"/>
          <w:color w:val="000000" w:themeColor="text1"/>
          <w:sz w:val="16"/>
          <w:szCs w:val="16"/>
          <w:lang w:val="es-419"/>
        </w:rPr>
        <w:t xml:space="preserve">. </w:t>
      </w:r>
      <w:r w:rsidR="00A56051" w:rsidRPr="005D4403">
        <w:rPr>
          <w:rFonts w:ascii="Verdana" w:hAnsi="Verdana"/>
          <w:color w:val="000000" w:themeColor="text1"/>
          <w:sz w:val="16"/>
          <w:szCs w:val="16"/>
        </w:rPr>
        <w:t>Opinión Consultiva OC-23/17</w:t>
      </w:r>
      <w:r w:rsidR="00A56051">
        <w:rPr>
          <w:rFonts w:ascii="Verdana" w:hAnsi="Verdana"/>
          <w:color w:val="000000" w:themeColor="text1"/>
          <w:sz w:val="16"/>
          <w:szCs w:val="16"/>
        </w:rPr>
        <w:t xml:space="preserve">, </w:t>
      </w:r>
      <w:r w:rsidR="00A56051">
        <w:rPr>
          <w:rFonts w:ascii="Verdana" w:hAnsi="Verdana"/>
          <w:i/>
          <w:iCs/>
          <w:color w:val="000000" w:themeColor="text1"/>
          <w:sz w:val="16"/>
          <w:szCs w:val="16"/>
        </w:rPr>
        <w:t>supra</w:t>
      </w:r>
      <w:r w:rsidRPr="00434885">
        <w:rPr>
          <w:rFonts w:ascii="Verdana" w:hAnsi="Verdana"/>
          <w:sz w:val="16"/>
          <w:szCs w:val="16"/>
          <w:lang w:val="es-419"/>
        </w:rPr>
        <w:t xml:space="preserve">, párr. </w:t>
      </w:r>
      <w:r w:rsidRPr="005A7050">
        <w:rPr>
          <w:rFonts w:ascii="Verdana" w:hAnsi="Verdana"/>
          <w:sz w:val="16"/>
          <w:szCs w:val="16"/>
          <w:lang w:val="es-419"/>
        </w:rPr>
        <w:t>67.</w:t>
      </w:r>
    </w:p>
  </w:footnote>
  <w:footnote w:id="55">
    <w:p w14:paraId="00D2DC2C" w14:textId="3A781A16" w:rsidR="00194342" w:rsidRPr="005A7050" w:rsidRDefault="00194342" w:rsidP="00B21C1F">
      <w:pPr>
        <w:pStyle w:val="Textonotapie"/>
        <w:spacing w:after="0" w:line="240" w:lineRule="auto"/>
        <w:jc w:val="both"/>
        <w:rPr>
          <w:lang w:val="es-419"/>
        </w:rPr>
      </w:pPr>
      <w:r w:rsidRPr="00D87340">
        <w:rPr>
          <w:rStyle w:val="Refdenotaalpie"/>
          <w:rFonts w:ascii="Verdana" w:hAnsi="Verdana"/>
          <w:sz w:val="16"/>
          <w:szCs w:val="16"/>
        </w:rPr>
        <w:footnoteRef/>
      </w:r>
      <w:r w:rsidRPr="00D87340">
        <w:rPr>
          <w:rFonts w:ascii="Verdana" w:hAnsi="Verdana"/>
          <w:sz w:val="16"/>
          <w:szCs w:val="16"/>
        </w:rPr>
        <w:t xml:space="preserve"> </w:t>
      </w:r>
      <w:r w:rsidRPr="005A7050">
        <w:rPr>
          <w:rFonts w:ascii="Verdana" w:hAnsi="Verdana"/>
          <w:sz w:val="16"/>
          <w:szCs w:val="16"/>
          <w:lang w:val="es-419"/>
        </w:rPr>
        <w:tab/>
      </w:r>
      <w:r w:rsidR="00A56051" w:rsidRPr="009C2C1B">
        <w:rPr>
          <w:rFonts w:ascii="Verdana" w:hAnsi="Verdana" w:cs="Arial"/>
          <w:i/>
          <w:iCs/>
          <w:sz w:val="16"/>
          <w:szCs w:val="16"/>
          <w:lang w:val="es-419"/>
        </w:rPr>
        <w:t xml:space="preserve">Véase </w:t>
      </w:r>
      <w:r w:rsidR="00A56051" w:rsidRPr="009C2C1B">
        <w:rPr>
          <w:rFonts w:ascii="Verdana" w:hAnsi="Verdana" w:cs="Arial"/>
          <w:sz w:val="16"/>
          <w:szCs w:val="16"/>
          <w:lang w:val="es-419"/>
        </w:rPr>
        <w:t xml:space="preserve">parráfo </w:t>
      </w:r>
      <w:r w:rsidRPr="009C2C1B">
        <w:rPr>
          <w:rFonts w:ascii="Verdana" w:hAnsi="Verdana" w:cs="Arial"/>
          <w:sz w:val="16"/>
          <w:szCs w:val="16"/>
          <w:lang w:val="es-419"/>
        </w:rPr>
        <w:t>11</w:t>
      </w:r>
      <w:r w:rsidR="00A56051" w:rsidRPr="009C2C1B">
        <w:rPr>
          <w:rFonts w:ascii="Verdana" w:hAnsi="Verdana" w:cs="Arial"/>
          <w:sz w:val="16"/>
          <w:szCs w:val="16"/>
          <w:lang w:val="es-419"/>
        </w:rPr>
        <w:t>4</w:t>
      </w:r>
      <w:r w:rsidRPr="009C2C1B">
        <w:rPr>
          <w:rFonts w:ascii="Verdana" w:hAnsi="Verdana" w:cs="Arial"/>
          <w:sz w:val="16"/>
          <w:szCs w:val="16"/>
          <w:lang w:val="es-419"/>
        </w:rPr>
        <w:t xml:space="preserve"> de la sentencia</w:t>
      </w:r>
      <w:r w:rsidRPr="00A56051">
        <w:rPr>
          <w:rFonts w:ascii="Verdana" w:hAnsi="Verdana" w:cs="Arial"/>
          <w:sz w:val="16"/>
          <w:szCs w:val="16"/>
          <w:lang w:val="es-419"/>
        </w:rPr>
        <w:t>.</w:t>
      </w:r>
    </w:p>
  </w:footnote>
  <w:footnote w:id="56">
    <w:p w14:paraId="480B8E1D" w14:textId="61D87D14" w:rsidR="00194342" w:rsidRPr="005A7050" w:rsidRDefault="00194342" w:rsidP="00B21C1F">
      <w:pPr>
        <w:pStyle w:val="Textonotapie"/>
        <w:spacing w:after="0" w:line="240" w:lineRule="auto"/>
        <w:jc w:val="both"/>
        <w:rPr>
          <w:rFonts w:ascii="Verdana" w:hAnsi="Verdana"/>
          <w:sz w:val="16"/>
          <w:szCs w:val="16"/>
          <w:lang w:val="es-419"/>
        </w:rPr>
      </w:pPr>
      <w:r w:rsidRPr="00434885">
        <w:rPr>
          <w:rStyle w:val="Refdenotaalpie"/>
          <w:rFonts w:ascii="Verdana" w:hAnsi="Verdana"/>
          <w:sz w:val="16"/>
          <w:szCs w:val="16"/>
        </w:rPr>
        <w:footnoteRef/>
      </w:r>
      <w:r w:rsidRPr="00434885">
        <w:rPr>
          <w:rFonts w:ascii="Verdana" w:hAnsi="Verdana"/>
          <w:sz w:val="16"/>
          <w:szCs w:val="16"/>
        </w:rPr>
        <w:t xml:space="preserve"> </w:t>
      </w:r>
      <w:r w:rsidRPr="00434885">
        <w:rPr>
          <w:rFonts w:ascii="Verdana" w:hAnsi="Verdana"/>
          <w:sz w:val="16"/>
          <w:szCs w:val="16"/>
        </w:rPr>
        <w:tab/>
      </w:r>
      <w:r w:rsidRPr="00D07038">
        <w:rPr>
          <w:rFonts w:ascii="Verdana" w:hAnsi="Verdana"/>
          <w:i/>
          <w:iCs/>
          <w:color w:val="000000" w:themeColor="text1"/>
          <w:sz w:val="16"/>
          <w:szCs w:val="16"/>
          <w:lang w:val="es-419"/>
        </w:rPr>
        <w:t>Cfr</w:t>
      </w:r>
      <w:r w:rsidRPr="005A7050">
        <w:rPr>
          <w:rFonts w:ascii="Verdana" w:hAnsi="Verdana"/>
          <w:color w:val="000000" w:themeColor="text1"/>
          <w:sz w:val="16"/>
          <w:szCs w:val="16"/>
          <w:lang w:val="es-419"/>
        </w:rPr>
        <w:t xml:space="preserve">. </w:t>
      </w:r>
      <w:r w:rsidRPr="009C2C1B">
        <w:rPr>
          <w:rFonts w:ascii="Verdana" w:hAnsi="Verdana"/>
          <w:i/>
          <w:iCs/>
          <w:sz w:val="16"/>
          <w:szCs w:val="16"/>
        </w:rPr>
        <w:t>Opinión Consultiva OC-23/17</w:t>
      </w:r>
      <w:r w:rsidR="00A56051">
        <w:rPr>
          <w:rFonts w:ascii="Verdana" w:hAnsi="Verdana"/>
          <w:i/>
          <w:iCs/>
          <w:sz w:val="16"/>
          <w:szCs w:val="16"/>
        </w:rPr>
        <w:t>, supra,</w:t>
      </w:r>
      <w:r w:rsidRPr="00434885">
        <w:rPr>
          <w:rFonts w:ascii="Verdana" w:hAnsi="Verdana"/>
          <w:sz w:val="16"/>
          <w:szCs w:val="16"/>
          <w:lang w:val="es-419"/>
        </w:rPr>
        <w:t xml:space="preserve">, párr. </w:t>
      </w:r>
      <w:r w:rsidRPr="005A7050">
        <w:rPr>
          <w:rFonts w:ascii="Verdana" w:hAnsi="Verdana"/>
          <w:sz w:val="16"/>
          <w:szCs w:val="16"/>
          <w:lang w:val="es-419"/>
        </w:rPr>
        <w:t>117-118.</w:t>
      </w:r>
    </w:p>
  </w:footnote>
  <w:footnote w:id="57">
    <w:p w14:paraId="6D0421E1" w14:textId="3E352217" w:rsidR="00194342" w:rsidRPr="005A7050" w:rsidRDefault="00194342" w:rsidP="00B21C1F">
      <w:pPr>
        <w:pStyle w:val="Textonotapie"/>
        <w:spacing w:after="0" w:line="240" w:lineRule="auto"/>
        <w:jc w:val="both"/>
        <w:rPr>
          <w:rFonts w:ascii="Verdana" w:hAnsi="Verdana"/>
          <w:sz w:val="16"/>
          <w:szCs w:val="16"/>
          <w:lang w:val="es-419"/>
        </w:rPr>
      </w:pPr>
      <w:r w:rsidRPr="007653DD">
        <w:rPr>
          <w:rStyle w:val="Refdenotaalpie"/>
          <w:rFonts w:ascii="Verdana" w:hAnsi="Verdana"/>
          <w:sz w:val="16"/>
          <w:szCs w:val="16"/>
        </w:rPr>
        <w:footnoteRef/>
      </w:r>
      <w:r w:rsidRPr="007653DD">
        <w:rPr>
          <w:rFonts w:ascii="Verdana" w:hAnsi="Verdana"/>
          <w:sz w:val="16"/>
          <w:szCs w:val="16"/>
        </w:rPr>
        <w:t xml:space="preserve"> </w:t>
      </w:r>
      <w:r w:rsidRPr="007653DD">
        <w:rPr>
          <w:rFonts w:ascii="Verdana" w:hAnsi="Verdana"/>
          <w:sz w:val="16"/>
          <w:szCs w:val="16"/>
          <w:lang w:val="es-419"/>
        </w:rPr>
        <w:tab/>
      </w:r>
      <w:r w:rsidR="00484AE7" w:rsidRPr="00675748">
        <w:rPr>
          <w:rFonts w:ascii="Verdana" w:hAnsi="Verdana"/>
          <w:i/>
          <w:iCs/>
          <w:color w:val="000000" w:themeColor="text1"/>
          <w:sz w:val="16"/>
          <w:szCs w:val="16"/>
          <w:lang w:val="es-419"/>
        </w:rPr>
        <w:t>Cfr</w:t>
      </w:r>
      <w:r w:rsidR="00484AE7">
        <w:rPr>
          <w:rFonts w:ascii="Verdana" w:hAnsi="Verdana"/>
          <w:color w:val="000000" w:themeColor="text1"/>
          <w:sz w:val="16"/>
          <w:szCs w:val="16"/>
          <w:lang w:val="es-419"/>
        </w:rPr>
        <w:t xml:space="preserve">. </w:t>
      </w:r>
      <w:r w:rsidR="00484AE7" w:rsidRPr="005D4403">
        <w:rPr>
          <w:rFonts w:ascii="Verdana" w:hAnsi="Verdana"/>
          <w:color w:val="000000" w:themeColor="text1"/>
          <w:sz w:val="16"/>
          <w:szCs w:val="16"/>
        </w:rPr>
        <w:t>Opinión Consultiva OC-23/17</w:t>
      </w:r>
      <w:r w:rsidR="00484AE7">
        <w:rPr>
          <w:rFonts w:ascii="Verdana" w:hAnsi="Verdana"/>
          <w:color w:val="000000" w:themeColor="text1"/>
          <w:sz w:val="16"/>
          <w:szCs w:val="16"/>
        </w:rPr>
        <w:t xml:space="preserve">, </w:t>
      </w:r>
      <w:r w:rsidR="00484AE7">
        <w:rPr>
          <w:rFonts w:ascii="Verdana" w:hAnsi="Verdana"/>
          <w:i/>
          <w:iCs/>
          <w:color w:val="000000" w:themeColor="text1"/>
          <w:sz w:val="16"/>
          <w:szCs w:val="16"/>
        </w:rPr>
        <w:t>supra</w:t>
      </w:r>
      <w:r w:rsidRPr="007653DD">
        <w:rPr>
          <w:rFonts w:ascii="Verdana" w:hAnsi="Verdana"/>
          <w:sz w:val="16"/>
          <w:szCs w:val="16"/>
          <w:lang w:val="es-419"/>
        </w:rPr>
        <w:t xml:space="preserve">, párr. </w:t>
      </w:r>
      <w:r w:rsidRPr="005A7050">
        <w:rPr>
          <w:rFonts w:ascii="Verdana" w:hAnsi="Verdana"/>
          <w:sz w:val="16"/>
          <w:szCs w:val="16"/>
          <w:lang w:val="es-419"/>
        </w:rPr>
        <w:t>119.</w:t>
      </w:r>
    </w:p>
  </w:footnote>
  <w:footnote w:id="58">
    <w:p w14:paraId="5FFAD237" w14:textId="0AB04D78" w:rsidR="00194342" w:rsidRPr="002832BA" w:rsidRDefault="00194342" w:rsidP="00B21C1F">
      <w:pPr>
        <w:pStyle w:val="Textonotapie"/>
        <w:spacing w:after="0" w:line="240" w:lineRule="auto"/>
        <w:jc w:val="both"/>
        <w:rPr>
          <w:rFonts w:ascii="Verdana" w:hAnsi="Verdana"/>
          <w:sz w:val="16"/>
          <w:szCs w:val="16"/>
          <w:lang w:val="es-419"/>
        </w:rPr>
      </w:pPr>
      <w:r w:rsidRPr="007653DD">
        <w:rPr>
          <w:rStyle w:val="Refdenotaalpie"/>
          <w:rFonts w:ascii="Verdana" w:hAnsi="Verdana"/>
          <w:sz w:val="16"/>
          <w:szCs w:val="16"/>
        </w:rPr>
        <w:footnoteRef/>
      </w:r>
      <w:r w:rsidRPr="007653DD">
        <w:rPr>
          <w:rFonts w:ascii="Verdana" w:hAnsi="Verdana"/>
          <w:sz w:val="16"/>
          <w:szCs w:val="16"/>
        </w:rPr>
        <w:t xml:space="preserve"> </w:t>
      </w:r>
      <w:r w:rsidRPr="007653DD">
        <w:rPr>
          <w:rFonts w:ascii="Verdana" w:hAnsi="Verdana"/>
          <w:sz w:val="16"/>
          <w:szCs w:val="16"/>
        </w:rPr>
        <w:tab/>
      </w:r>
      <w:r w:rsidR="00484AE7" w:rsidRPr="00675748">
        <w:rPr>
          <w:rFonts w:ascii="Verdana" w:hAnsi="Verdana"/>
          <w:i/>
          <w:iCs/>
          <w:color w:val="000000" w:themeColor="text1"/>
          <w:sz w:val="16"/>
          <w:szCs w:val="16"/>
          <w:lang w:val="es-419"/>
        </w:rPr>
        <w:t>Cfr</w:t>
      </w:r>
      <w:r w:rsidR="00484AE7">
        <w:rPr>
          <w:rFonts w:ascii="Verdana" w:hAnsi="Verdana"/>
          <w:color w:val="000000" w:themeColor="text1"/>
          <w:sz w:val="16"/>
          <w:szCs w:val="16"/>
          <w:lang w:val="es-419"/>
        </w:rPr>
        <w:t xml:space="preserve">. </w:t>
      </w:r>
      <w:r w:rsidR="00484AE7" w:rsidRPr="005D4403">
        <w:rPr>
          <w:rFonts w:ascii="Verdana" w:hAnsi="Verdana"/>
          <w:color w:val="000000" w:themeColor="text1"/>
          <w:sz w:val="16"/>
          <w:szCs w:val="16"/>
        </w:rPr>
        <w:t>Opinión Consultiva OC-23/17</w:t>
      </w:r>
      <w:r w:rsidR="00484AE7">
        <w:rPr>
          <w:rFonts w:ascii="Verdana" w:hAnsi="Verdana"/>
          <w:color w:val="000000" w:themeColor="text1"/>
          <w:sz w:val="16"/>
          <w:szCs w:val="16"/>
        </w:rPr>
        <w:t xml:space="preserve">, </w:t>
      </w:r>
      <w:r w:rsidR="00484AE7">
        <w:rPr>
          <w:rFonts w:ascii="Verdana" w:hAnsi="Verdana"/>
          <w:i/>
          <w:iCs/>
          <w:color w:val="000000" w:themeColor="text1"/>
          <w:sz w:val="16"/>
          <w:szCs w:val="16"/>
        </w:rPr>
        <w:t>supra</w:t>
      </w:r>
      <w:r w:rsidRPr="003376CE">
        <w:rPr>
          <w:rFonts w:ascii="Verdana" w:hAnsi="Verdana"/>
          <w:sz w:val="16"/>
          <w:szCs w:val="16"/>
          <w:lang w:val="es-419"/>
        </w:rPr>
        <w:t xml:space="preserve">, párr. </w:t>
      </w:r>
      <w:r w:rsidRPr="002832BA">
        <w:rPr>
          <w:rFonts w:ascii="Verdana" w:hAnsi="Verdana"/>
          <w:sz w:val="16"/>
          <w:szCs w:val="16"/>
          <w:lang w:val="es-419"/>
        </w:rPr>
        <w:t>135.</w:t>
      </w:r>
    </w:p>
  </w:footnote>
  <w:footnote w:id="59">
    <w:p w14:paraId="18570221" w14:textId="4A5E549A" w:rsidR="00194342" w:rsidRPr="00BD5F11" w:rsidRDefault="00194342" w:rsidP="00B21C1F">
      <w:pPr>
        <w:pStyle w:val="Textonotapie"/>
        <w:spacing w:after="0" w:line="240" w:lineRule="auto"/>
        <w:jc w:val="both"/>
        <w:rPr>
          <w:rFonts w:ascii="Verdana" w:hAnsi="Verdana"/>
          <w:sz w:val="16"/>
          <w:szCs w:val="16"/>
          <w:lang w:val="es-419"/>
        </w:rPr>
      </w:pPr>
      <w:r w:rsidRPr="003376CE">
        <w:rPr>
          <w:rStyle w:val="Refdenotaalpie"/>
          <w:rFonts w:ascii="Verdana" w:hAnsi="Verdana"/>
          <w:sz w:val="16"/>
          <w:szCs w:val="16"/>
        </w:rPr>
        <w:footnoteRef/>
      </w:r>
      <w:r w:rsidRPr="003376CE">
        <w:rPr>
          <w:rFonts w:ascii="Verdana" w:hAnsi="Verdana"/>
          <w:sz w:val="16"/>
          <w:szCs w:val="16"/>
        </w:rPr>
        <w:t xml:space="preserve"> </w:t>
      </w:r>
      <w:r w:rsidRPr="003376CE">
        <w:rPr>
          <w:rFonts w:ascii="Verdana" w:hAnsi="Verdana"/>
          <w:sz w:val="16"/>
          <w:szCs w:val="16"/>
        </w:rPr>
        <w:tab/>
      </w:r>
      <w:r w:rsidR="00484AE7" w:rsidRPr="00484AE7">
        <w:rPr>
          <w:rFonts w:ascii="Verdana" w:hAnsi="Verdana" w:cs="Arial"/>
          <w:i/>
          <w:iCs/>
          <w:sz w:val="16"/>
          <w:szCs w:val="16"/>
          <w:lang w:val="es-419"/>
        </w:rPr>
        <w:t xml:space="preserve">Véase </w:t>
      </w:r>
      <w:r w:rsidR="00484AE7" w:rsidRPr="00484AE7">
        <w:rPr>
          <w:rFonts w:ascii="Verdana" w:hAnsi="Verdana" w:cs="Arial"/>
          <w:sz w:val="16"/>
          <w:szCs w:val="16"/>
          <w:lang w:val="es-419"/>
        </w:rPr>
        <w:t>p</w:t>
      </w:r>
      <w:r w:rsidR="00484AE7" w:rsidRPr="009C2C1B">
        <w:rPr>
          <w:rFonts w:ascii="Verdana" w:hAnsi="Verdana" w:cs="Arial"/>
          <w:sz w:val="16"/>
          <w:szCs w:val="16"/>
          <w:lang w:val="es-419"/>
        </w:rPr>
        <w:t>á</w:t>
      </w:r>
      <w:r w:rsidRPr="009C2C1B">
        <w:rPr>
          <w:rFonts w:ascii="Verdana" w:hAnsi="Verdana" w:cs="Arial"/>
          <w:sz w:val="16"/>
          <w:szCs w:val="16"/>
          <w:lang w:val="es-419"/>
        </w:rPr>
        <w:t>rr</w:t>
      </w:r>
      <w:r w:rsidR="00484AE7" w:rsidRPr="009C2C1B">
        <w:rPr>
          <w:rFonts w:ascii="Verdana" w:hAnsi="Verdana" w:cs="Arial"/>
          <w:sz w:val="16"/>
          <w:szCs w:val="16"/>
          <w:lang w:val="es-419"/>
        </w:rPr>
        <w:t>a</w:t>
      </w:r>
      <w:r w:rsidRPr="009C2C1B">
        <w:rPr>
          <w:rFonts w:ascii="Verdana" w:hAnsi="Verdana" w:cs="Arial"/>
          <w:sz w:val="16"/>
          <w:szCs w:val="16"/>
          <w:lang w:val="es-419"/>
        </w:rPr>
        <w:t>fo</w:t>
      </w:r>
      <w:r w:rsidR="00484AE7" w:rsidRPr="009C2C1B">
        <w:rPr>
          <w:rFonts w:ascii="Verdana" w:hAnsi="Verdana" w:cs="Arial"/>
          <w:sz w:val="16"/>
          <w:szCs w:val="16"/>
          <w:lang w:val="es-419"/>
        </w:rPr>
        <w:t>s</w:t>
      </w:r>
      <w:r w:rsidRPr="009C2C1B">
        <w:rPr>
          <w:rFonts w:ascii="Verdana" w:hAnsi="Verdana" w:cs="Arial"/>
          <w:sz w:val="16"/>
          <w:szCs w:val="16"/>
          <w:lang w:val="es-419"/>
        </w:rPr>
        <w:t xml:space="preserve"> 16</w:t>
      </w:r>
      <w:r w:rsidR="00484AE7">
        <w:rPr>
          <w:rFonts w:ascii="Verdana" w:hAnsi="Verdana" w:cs="Arial"/>
          <w:sz w:val="16"/>
          <w:szCs w:val="16"/>
          <w:lang w:val="es-419"/>
        </w:rPr>
        <w:t>0</w:t>
      </w:r>
      <w:r w:rsidRPr="009C2C1B">
        <w:rPr>
          <w:rFonts w:ascii="Verdana" w:hAnsi="Verdana" w:cs="Arial"/>
          <w:sz w:val="16"/>
          <w:szCs w:val="16"/>
          <w:lang w:val="es-419"/>
        </w:rPr>
        <w:t>-16</w:t>
      </w:r>
      <w:r w:rsidR="00484AE7">
        <w:rPr>
          <w:rFonts w:ascii="Verdana" w:hAnsi="Verdana" w:cs="Arial"/>
          <w:sz w:val="16"/>
          <w:szCs w:val="16"/>
          <w:lang w:val="es-419"/>
        </w:rPr>
        <w:t>2</w:t>
      </w:r>
      <w:r w:rsidRPr="009C2C1B">
        <w:rPr>
          <w:rFonts w:ascii="Verdana" w:hAnsi="Verdana" w:cs="Arial"/>
          <w:sz w:val="16"/>
          <w:szCs w:val="16"/>
          <w:lang w:val="es-419"/>
        </w:rPr>
        <w:t xml:space="preserve"> de la sentencia</w:t>
      </w:r>
      <w:r w:rsidRPr="00484AE7">
        <w:rPr>
          <w:rFonts w:ascii="Verdana" w:hAnsi="Verdana" w:cs="Arial"/>
          <w:sz w:val="16"/>
          <w:szCs w:val="16"/>
          <w:lang w:val="es-419"/>
        </w:rPr>
        <w:t>.</w:t>
      </w:r>
    </w:p>
  </w:footnote>
  <w:footnote w:id="60">
    <w:p w14:paraId="5FAD3080" w14:textId="42640227" w:rsidR="00194342" w:rsidRPr="00BD5F11" w:rsidRDefault="00194342" w:rsidP="00B21C1F">
      <w:pPr>
        <w:pStyle w:val="Textonotapie"/>
        <w:spacing w:after="0" w:line="240" w:lineRule="auto"/>
        <w:jc w:val="both"/>
        <w:rPr>
          <w:rFonts w:ascii="Verdana" w:hAnsi="Verdana"/>
          <w:sz w:val="16"/>
          <w:szCs w:val="16"/>
          <w:lang w:val="es-419"/>
        </w:rPr>
      </w:pPr>
      <w:r w:rsidRPr="003376CE">
        <w:rPr>
          <w:rStyle w:val="Refdenotaalpie"/>
          <w:rFonts w:ascii="Verdana" w:hAnsi="Verdana"/>
          <w:sz w:val="16"/>
          <w:szCs w:val="16"/>
        </w:rPr>
        <w:footnoteRef/>
      </w:r>
      <w:r w:rsidRPr="003376CE">
        <w:rPr>
          <w:rFonts w:ascii="Verdana" w:hAnsi="Verdana"/>
          <w:sz w:val="16"/>
          <w:szCs w:val="16"/>
        </w:rPr>
        <w:t xml:space="preserve"> </w:t>
      </w:r>
      <w:r w:rsidRPr="003376CE">
        <w:rPr>
          <w:rFonts w:ascii="Verdana" w:hAnsi="Verdana"/>
          <w:sz w:val="16"/>
          <w:szCs w:val="16"/>
        </w:rPr>
        <w:tab/>
      </w:r>
      <w:r w:rsidR="00484AE7" w:rsidRPr="00484AE7">
        <w:rPr>
          <w:rFonts w:ascii="Verdana" w:hAnsi="Verdana" w:cs="Arial"/>
          <w:i/>
          <w:iCs/>
          <w:sz w:val="16"/>
          <w:szCs w:val="16"/>
          <w:lang w:val="es-419"/>
        </w:rPr>
        <w:t xml:space="preserve">Véase </w:t>
      </w:r>
      <w:r w:rsidR="00484AE7" w:rsidRPr="00484AE7">
        <w:rPr>
          <w:rFonts w:ascii="Verdana" w:hAnsi="Verdana" w:cs="Arial"/>
          <w:sz w:val="16"/>
          <w:szCs w:val="16"/>
          <w:lang w:val="es-419"/>
        </w:rPr>
        <w:t>p</w:t>
      </w:r>
      <w:r w:rsidRPr="009C2C1B">
        <w:rPr>
          <w:rFonts w:ascii="Verdana" w:hAnsi="Verdana" w:cs="Arial"/>
          <w:sz w:val="16"/>
          <w:szCs w:val="16"/>
          <w:lang w:val="es-419"/>
        </w:rPr>
        <w:t>árrafo 7</w:t>
      </w:r>
      <w:r w:rsidR="00484AE7">
        <w:rPr>
          <w:rFonts w:ascii="Verdana" w:hAnsi="Verdana" w:cs="Arial"/>
          <w:sz w:val="16"/>
          <w:szCs w:val="16"/>
          <w:lang w:val="es-419"/>
        </w:rPr>
        <w:t>6</w:t>
      </w:r>
      <w:r w:rsidRPr="009C2C1B">
        <w:rPr>
          <w:rFonts w:ascii="Verdana" w:hAnsi="Verdana" w:cs="Arial"/>
          <w:sz w:val="16"/>
          <w:szCs w:val="16"/>
          <w:lang w:val="es-419"/>
        </w:rPr>
        <w:t xml:space="preserve"> de la sentencia</w:t>
      </w:r>
      <w:r w:rsidRPr="00484AE7">
        <w:rPr>
          <w:rFonts w:ascii="Verdana" w:hAnsi="Verdana" w:cs="Arial"/>
          <w:sz w:val="16"/>
          <w:szCs w:val="16"/>
          <w:lang w:val="es-419"/>
        </w:rPr>
        <w:t>.</w:t>
      </w:r>
    </w:p>
  </w:footnote>
  <w:footnote w:id="61">
    <w:p w14:paraId="17BA9F0D" w14:textId="72D1BABE" w:rsidR="00194342" w:rsidRPr="002832BA" w:rsidRDefault="00194342" w:rsidP="00B21C1F">
      <w:pPr>
        <w:pStyle w:val="Textonotapie"/>
        <w:spacing w:after="0" w:line="240" w:lineRule="auto"/>
        <w:jc w:val="both"/>
        <w:rPr>
          <w:rFonts w:ascii="Verdana" w:hAnsi="Verdana"/>
          <w:sz w:val="16"/>
          <w:szCs w:val="16"/>
          <w:lang w:val="es-419"/>
        </w:rPr>
      </w:pPr>
      <w:r w:rsidRPr="003376CE">
        <w:rPr>
          <w:rStyle w:val="Refdenotaalpie"/>
          <w:rFonts w:ascii="Verdana" w:hAnsi="Verdana"/>
          <w:sz w:val="16"/>
          <w:szCs w:val="16"/>
        </w:rPr>
        <w:footnoteRef/>
      </w:r>
      <w:r w:rsidRPr="003376CE">
        <w:rPr>
          <w:rFonts w:ascii="Verdana" w:hAnsi="Verdana"/>
          <w:sz w:val="16"/>
          <w:szCs w:val="16"/>
        </w:rPr>
        <w:t xml:space="preserve"> </w:t>
      </w:r>
      <w:r w:rsidRPr="003376CE">
        <w:rPr>
          <w:rFonts w:ascii="Verdana" w:hAnsi="Verdana"/>
          <w:sz w:val="16"/>
          <w:szCs w:val="16"/>
        </w:rPr>
        <w:tab/>
      </w:r>
      <w:r w:rsidR="00484AE7" w:rsidRPr="009C2C1B">
        <w:rPr>
          <w:rFonts w:ascii="Verdana" w:hAnsi="Verdana" w:cs="Arial"/>
          <w:i/>
          <w:iCs/>
          <w:sz w:val="16"/>
          <w:szCs w:val="16"/>
          <w:lang w:val="es-419"/>
        </w:rPr>
        <w:t xml:space="preserve">Véase </w:t>
      </w:r>
      <w:r w:rsidR="00484AE7" w:rsidRPr="009C2C1B">
        <w:rPr>
          <w:rFonts w:ascii="Verdana" w:hAnsi="Verdana" w:cs="Arial"/>
          <w:sz w:val="16"/>
          <w:szCs w:val="16"/>
          <w:lang w:val="es-419"/>
        </w:rPr>
        <w:t xml:space="preserve">párrafo </w:t>
      </w:r>
      <w:r w:rsidRPr="009C2C1B">
        <w:rPr>
          <w:rFonts w:ascii="Verdana" w:hAnsi="Verdana" w:cs="Arial"/>
          <w:sz w:val="16"/>
          <w:szCs w:val="16"/>
          <w:lang w:val="es-419"/>
        </w:rPr>
        <w:t>12</w:t>
      </w:r>
      <w:r w:rsidR="00484AE7" w:rsidRPr="009C2C1B">
        <w:rPr>
          <w:rFonts w:ascii="Verdana" w:hAnsi="Verdana" w:cs="Arial"/>
          <w:sz w:val="16"/>
          <w:szCs w:val="16"/>
          <w:lang w:val="es-419"/>
        </w:rPr>
        <w:t>8</w:t>
      </w:r>
      <w:r w:rsidRPr="009C2C1B">
        <w:rPr>
          <w:rFonts w:ascii="Verdana" w:hAnsi="Verdana" w:cs="Arial"/>
          <w:sz w:val="16"/>
          <w:szCs w:val="16"/>
          <w:lang w:val="es-419"/>
        </w:rPr>
        <w:t xml:space="preserve"> de la sentencia</w:t>
      </w:r>
      <w:r w:rsidRPr="00484AE7">
        <w:rPr>
          <w:rFonts w:ascii="Verdana" w:hAnsi="Verdana" w:cs="Arial"/>
          <w:sz w:val="16"/>
          <w:szCs w:val="16"/>
          <w:lang w:val="es-419"/>
        </w:rPr>
        <w:t>.</w:t>
      </w:r>
    </w:p>
  </w:footnote>
  <w:footnote w:id="62">
    <w:p w14:paraId="2A483361" w14:textId="3F482E2A" w:rsidR="00194342" w:rsidRPr="0042525F" w:rsidRDefault="00194342" w:rsidP="00B21C1F">
      <w:pPr>
        <w:pStyle w:val="Textonotapie"/>
        <w:spacing w:after="0" w:line="240" w:lineRule="auto"/>
        <w:jc w:val="both"/>
        <w:rPr>
          <w:lang w:val="es-ES"/>
        </w:rPr>
      </w:pPr>
      <w:r w:rsidRPr="003376CE">
        <w:rPr>
          <w:rStyle w:val="Refdenotaalpie"/>
          <w:rFonts w:ascii="Verdana" w:hAnsi="Verdana"/>
          <w:sz w:val="16"/>
          <w:szCs w:val="16"/>
        </w:rPr>
        <w:footnoteRef/>
      </w:r>
      <w:r w:rsidRPr="003376CE">
        <w:rPr>
          <w:rFonts w:ascii="Verdana" w:hAnsi="Verdana"/>
          <w:sz w:val="16"/>
          <w:szCs w:val="16"/>
        </w:rPr>
        <w:t xml:space="preserve"> </w:t>
      </w:r>
      <w:r w:rsidRPr="0060371A">
        <w:rPr>
          <w:rFonts w:ascii="Verdana" w:hAnsi="Verdana"/>
          <w:sz w:val="16"/>
          <w:szCs w:val="16"/>
          <w:lang w:val="es-ES"/>
        </w:rPr>
        <w:tab/>
      </w:r>
      <w:r w:rsidR="00484AE7" w:rsidRPr="0042525F">
        <w:rPr>
          <w:rFonts w:ascii="Verdana" w:hAnsi="Verdana" w:cs="Arial"/>
          <w:i/>
          <w:iCs/>
          <w:sz w:val="16"/>
          <w:szCs w:val="16"/>
          <w:lang w:val="es-419"/>
        </w:rPr>
        <w:t xml:space="preserve">Véase </w:t>
      </w:r>
      <w:r w:rsidR="00484AE7" w:rsidRPr="0042525F">
        <w:rPr>
          <w:rFonts w:ascii="Verdana" w:hAnsi="Verdana" w:cs="Arial"/>
          <w:sz w:val="16"/>
          <w:szCs w:val="16"/>
          <w:lang w:val="es-419"/>
        </w:rPr>
        <w:t xml:space="preserve">párrafo </w:t>
      </w:r>
      <w:r w:rsidRPr="009C2C1B">
        <w:rPr>
          <w:rFonts w:ascii="Verdana" w:hAnsi="Verdana" w:cs="Arial"/>
          <w:sz w:val="16"/>
          <w:szCs w:val="16"/>
          <w:lang w:val="es-ES"/>
        </w:rPr>
        <w:t>18</w:t>
      </w:r>
      <w:r w:rsidR="0042525F" w:rsidRPr="009C2C1B">
        <w:rPr>
          <w:rFonts w:ascii="Verdana" w:hAnsi="Verdana" w:cs="Arial"/>
          <w:sz w:val="16"/>
          <w:szCs w:val="16"/>
          <w:lang w:val="es-ES"/>
        </w:rPr>
        <w:t>0</w:t>
      </w:r>
      <w:r w:rsidRPr="009C2C1B">
        <w:rPr>
          <w:rFonts w:ascii="Verdana" w:hAnsi="Verdana" w:cs="Arial"/>
          <w:sz w:val="16"/>
          <w:szCs w:val="16"/>
          <w:lang w:val="es-ES"/>
        </w:rPr>
        <w:t xml:space="preserve"> de la sentencia</w:t>
      </w:r>
      <w:r w:rsidRPr="0042525F">
        <w:rPr>
          <w:rFonts w:ascii="Verdana" w:hAnsi="Verdana" w:cs="Arial"/>
          <w:sz w:val="16"/>
          <w:szCs w:val="16"/>
          <w:lang w:val="es-ES"/>
        </w:rPr>
        <w:t>.</w:t>
      </w:r>
    </w:p>
  </w:footnote>
  <w:footnote w:id="63">
    <w:p w14:paraId="2E84D598" w14:textId="70BAE83B" w:rsidR="00194342" w:rsidRPr="009C2C1B" w:rsidRDefault="00194342" w:rsidP="00B21C1F">
      <w:pPr>
        <w:pStyle w:val="Textonotapie"/>
        <w:spacing w:after="0" w:line="240" w:lineRule="auto"/>
        <w:jc w:val="both"/>
        <w:rPr>
          <w:rFonts w:ascii="Verdana" w:hAnsi="Verdana"/>
          <w:sz w:val="16"/>
          <w:szCs w:val="16"/>
          <w:lang w:val="es-CR"/>
        </w:rPr>
      </w:pPr>
      <w:r w:rsidRPr="0042525F">
        <w:rPr>
          <w:rStyle w:val="Refdenotaalpie"/>
          <w:rFonts w:ascii="Verdana" w:hAnsi="Verdana"/>
          <w:sz w:val="16"/>
          <w:szCs w:val="16"/>
        </w:rPr>
        <w:footnoteRef/>
      </w:r>
      <w:r w:rsidRPr="0042525F">
        <w:rPr>
          <w:rFonts w:ascii="Verdana" w:hAnsi="Verdana"/>
          <w:sz w:val="16"/>
          <w:szCs w:val="16"/>
        </w:rPr>
        <w:t xml:space="preserve"> </w:t>
      </w:r>
      <w:r w:rsidRPr="0042525F">
        <w:rPr>
          <w:rFonts w:ascii="Verdana" w:hAnsi="Verdana"/>
          <w:sz w:val="16"/>
          <w:szCs w:val="16"/>
        </w:rPr>
        <w:tab/>
      </w:r>
      <w:r w:rsidR="00484AE7" w:rsidRPr="0042525F">
        <w:rPr>
          <w:rFonts w:ascii="Verdana" w:hAnsi="Verdana" w:cs="Arial"/>
          <w:i/>
          <w:iCs/>
          <w:sz w:val="16"/>
          <w:szCs w:val="16"/>
          <w:lang w:val="es-419"/>
        </w:rPr>
        <w:t xml:space="preserve">Véase </w:t>
      </w:r>
      <w:r w:rsidR="00484AE7" w:rsidRPr="0042525F">
        <w:rPr>
          <w:rFonts w:ascii="Verdana" w:hAnsi="Verdana" w:cs="Arial"/>
          <w:sz w:val="16"/>
          <w:szCs w:val="16"/>
          <w:lang w:val="es-419"/>
        </w:rPr>
        <w:t xml:space="preserve">párrafo </w:t>
      </w:r>
      <w:r w:rsidRPr="009C2C1B">
        <w:rPr>
          <w:rFonts w:ascii="Verdana" w:hAnsi="Verdana" w:cs="Arial"/>
          <w:sz w:val="16"/>
          <w:szCs w:val="16"/>
          <w:lang w:val="es-CR"/>
        </w:rPr>
        <w:t>18</w:t>
      </w:r>
      <w:r w:rsidR="0042525F" w:rsidRPr="009C2C1B">
        <w:rPr>
          <w:rFonts w:ascii="Verdana" w:hAnsi="Verdana" w:cs="Arial"/>
          <w:sz w:val="16"/>
          <w:szCs w:val="16"/>
          <w:lang w:val="es-CR"/>
        </w:rPr>
        <w:t>0</w:t>
      </w:r>
      <w:r w:rsidRPr="009C2C1B">
        <w:rPr>
          <w:rFonts w:ascii="Verdana" w:hAnsi="Verdana" w:cs="Arial"/>
          <w:sz w:val="16"/>
          <w:szCs w:val="16"/>
          <w:lang w:val="es-CR"/>
        </w:rPr>
        <w:t xml:space="preserve"> de la sentencia.</w:t>
      </w:r>
    </w:p>
  </w:footnote>
  <w:footnote w:id="64">
    <w:p w14:paraId="0CF708FA" w14:textId="2032536D" w:rsidR="00194342" w:rsidRPr="000B616C" w:rsidRDefault="00194342" w:rsidP="00B21C1F">
      <w:pPr>
        <w:pStyle w:val="Textonotapie"/>
        <w:spacing w:after="0" w:line="240" w:lineRule="auto"/>
        <w:jc w:val="both"/>
        <w:rPr>
          <w:rFonts w:ascii="Verdana" w:hAnsi="Verdana"/>
          <w:sz w:val="16"/>
          <w:szCs w:val="16"/>
          <w:lang w:val="es-419"/>
        </w:rPr>
      </w:pPr>
      <w:r w:rsidRPr="00013092">
        <w:rPr>
          <w:rStyle w:val="Refdenotaalpie"/>
          <w:rFonts w:ascii="Verdana" w:hAnsi="Verdana"/>
          <w:sz w:val="16"/>
          <w:szCs w:val="16"/>
        </w:rPr>
        <w:footnoteRef/>
      </w:r>
      <w:r w:rsidRPr="00013092">
        <w:rPr>
          <w:rFonts w:ascii="Verdana" w:hAnsi="Verdana"/>
          <w:sz w:val="16"/>
          <w:szCs w:val="16"/>
        </w:rPr>
        <w:t xml:space="preserve"> </w:t>
      </w:r>
      <w:r w:rsidRPr="005A1116">
        <w:rPr>
          <w:rFonts w:ascii="Verdana" w:hAnsi="Verdana"/>
          <w:sz w:val="16"/>
          <w:szCs w:val="16"/>
          <w:lang w:val="en-US"/>
        </w:rPr>
        <w:tab/>
      </w:r>
      <w:r w:rsidRPr="00F75E45">
        <w:rPr>
          <w:rFonts w:ascii="Verdana" w:hAnsi="Verdana"/>
          <w:sz w:val="16"/>
          <w:szCs w:val="16"/>
          <w:lang w:val="en-US"/>
        </w:rPr>
        <w:t>“</w:t>
      </w:r>
      <w:r w:rsidRPr="008E72FA">
        <w:rPr>
          <w:rFonts w:ascii="Verdana" w:hAnsi="Verdana"/>
          <w:i/>
          <w:iCs/>
          <w:sz w:val="16"/>
          <w:szCs w:val="16"/>
        </w:rPr>
        <w:t>Some lives and ecosystems are rendered disposable and sacrificial, whereby structural forces, both historical and contemporary, fuel it</w:t>
      </w:r>
      <w:r w:rsidRPr="008E72FA">
        <w:rPr>
          <w:rFonts w:ascii="Verdana" w:hAnsi="Verdana"/>
          <w:sz w:val="16"/>
          <w:szCs w:val="16"/>
          <w:lang w:val="en-US"/>
        </w:rPr>
        <w:t xml:space="preserve">” (Original). </w:t>
      </w:r>
      <w:r w:rsidRPr="008E72FA">
        <w:rPr>
          <w:rFonts w:ascii="Verdana" w:hAnsi="Verdana"/>
          <w:i/>
          <w:iCs/>
          <w:sz w:val="16"/>
          <w:szCs w:val="16"/>
          <w:lang w:val="en-US"/>
        </w:rPr>
        <w:t>Cfr</w:t>
      </w:r>
      <w:r w:rsidRPr="008E72FA">
        <w:rPr>
          <w:rFonts w:ascii="Verdana" w:hAnsi="Verdana"/>
          <w:sz w:val="16"/>
          <w:szCs w:val="16"/>
          <w:lang w:val="en-US"/>
        </w:rPr>
        <w:t xml:space="preserve">. </w:t>
      </w:r>
      <w:r w:rsidRPr="008E72FA">
        <w:rPr>
          <w:rFonts w:ascii="Verdana" w:hAnsi="Verdana" w:cs="Arial"/>
          <w:sz w:val="16"/>
          <w:szCs w:val="16"/>
          <w:shd w:val="clear" w:color="auto" w:fill="FFFFFF"/>
        </w:rPr>
        <w:t>SULTANA, Farhana. The unbearable heaviness of climate coloniality. Political Geography, v. 99, p. 102638, 2022.</w:t>
      </w:r>
      <w:r w:rsidRPr="008E72FA">
        <w:rPr>
          <w:rFonts w:ascii="Verdana" w:hAnsi="Verdana" w:cs="Arial"/>
          <w:sz w:val="16"/>
          <w:szCs w:val="16"/>
          <w:shd w:val="clear" w:color="auto" w:fill="FFFFFF"/>
          <w:lang w:val="en-US"/>
        </w:rPr>
        <w:t xml:space="preserve"> Ver también: </w:t>
      </w:r>
      <w:r w:rsidRPr="008E72FA">
        <w:rPr>
          <w:rFonts w:ascii="Verdana" w:hAnsi="Verdana" w:cs="Arial"/>
          <w:sz w:val="16"/>
          <w:szCs w:val="16"/>
          <w:shd w:val="clear" w:color="auto" w:fill="FFFFFF"/>
        </w:rPr>
        <w:t xml:space="preserve">ANDREUCCI, Diego; ZOGRAFOS, Christos. </w:t>
      </w:r>
      <w:r w:rsidRPr="008E72FA">
        <w:rPr>
          <w:rFonts w:ascii="Verdana" w:hAnsi="Verdana" w:cs="Arial"/>
          <w:i/>
          <w:iCs/>
          <w:sz w:val="16"/>
          <w:szCs w:val="16"/>
          <w:shd w:val="clear" w:color="auto" w:fill="FFFFFF"/>
        </w:rPr>
        <w:t>Between improvement and sacrifice: Othering and the (bio) political ecology of climate change. Political Geography</w:t>
      </w:r>
      <w:r w:rsidRPr="008E72FA">
        <w:rPr>
          <w:rFonts w:ascii="Verdana" w:hAnsi="Verdana" w:cs="Arial"/>
          <w:sz w:val="16"/>
          <w:szCs w:val="16"/>
          <w:shd w:val="clear" w:color="auto" w:fill="FFFFFF"/>
        </w:rPr>
        <w:t>, v. 92, 2022</w:t>
      </w:r>
      <w:r w:rsidRPr="008E72FA">
        <w:rPr>
          <w:rFonts w:ascii="Verdana" w:hAnsi="Verdana" w:cs="Arial"/>
          <w:sz w:val="16"/>
          <w:szCs w:val="16"/>
          <w:shd w:val="clear" w:color="auto" w:fill="FFFFFF"/>
          <w:lang w:val="es-419"/>
        </w:rPr>
        <w:t xml:space="preserve"> (nuestra traducción).</w:t>
      </w:r>
    </w:p>
  </w:footnote>
  <w:footnote w:id="65">
    <w:p w14:paraId="1BAD2131" w14:textId="403C037F" w:rsidR="00194342" w:rsidRPr="005A1116" w:rsidRDefault="00194342" w:rsidP="00B21C1F">
      <w:pPr>
        <w:pStyle w:val="Textonotapie"/>
        <w:spacing w:after="0" w:line="240" w:lineRule="auto"/>
        <w:jc w:val="both"/>
        <w:rPr>
          <w:rFonts w:ascii="Verdana" w:hAnsi="Verdana"/>
          <w:sz w:val="16"/>
          <w:szCs w:val="16"/>
          <w:lang w:val="es-419"/>
        </w:rPr>
      </w:pPr>
      <w:r w:rsidRPr="00CA6DCB">
        <w:rPr>
          <w:rStyle w:val="Refdenotaalpie"/>
          <w:rFonts w:ascii="Verdana" w:hAnsi="Verdana"/>
          <w:sz w:val="16"/>
          <w:szCs w:val="16"/>
        </w:rPr>
        <w:footnoteRef/>
      </w:r>
      <w:r w:rsidRPr="00CA6DCB">
        <w:rPr>
          <w:rFonts w:ascii="Verdana" w:hAnsi="Verdana"/>
          <w:sz w:val="16"/>
          <w:szCs w:val="16"/>
        </w:rPr>
        <w:t xml:space="preserve"> </w:t>
      </w:r>
      <w:r w:rsidRPr="00CA6DCB">
        <w:rPr>
          <w:rFonts w:ascii="Verdana" w:hAnsi="Verdana"/>
          <w:sz w:val="16"/>
          <w:szCs w:val="16"/>
          <w:lang w:val="es-419"/>
        </w:rPr>
        <w:tab/>
      </w:r>
      <w:r w:rsidR="005D0C90" w:rsidRPr="008E72FA">
        <w:rPr>
          <w:rFonts w:ascii="Verdana" w:hAnsi="Verdana"/>
          <w:i/>
          <w:sz w:val="16"/>
          <w:szCs w:val="16"/>
          <w:lang w:val="es-419"/>
        </w:rPr>
        <w:t>Cfr</w:t>
      </w:r>
      <w:r w:rsidRPr="00CA6DCB">
        <w:rPr>
          <w:rFonts w:ascii="Verdana" w:hAnsi="Verdana"/>
          <w:sz w:val="16"/>
          <w:szCs w:val="16"/>
          <w:lang w:val="es-419"/>
        </w:rPr>
        <w:t xml:space="preserve">. </w:t>
      </w:r>
      <w:r w:rsidRPr="008E72FA">
        <w:rPr>
          <w:rFonts w:ascii="Verdana" w:hAnsi="Verdana"/>
          <w:i/>
          <w:sz w:val="16"/>
          <w:szCs w:val="16"/>
          <w:lang w:val="es-419"/>
        </w:rPr>
        <w:t>Caso Miembros de la Aldea Chichupac y comunidades vecinas del Municipio de Rabinal Vs. Guatemala. Excepciones Preliminares, Fondo, Reparaciones y Costas</w:t>
      </w:r>
      <w:r w:rsidRPr="00B23119">
        <w:rPr>
          <w:rFonts w:ascii="Verdana" w:hAnsi="Verdana"/>
          <w:sz w:val="16"/>
          <w:szCs w:val="16"/>
          <w:lang w:val="es-419"/>
        </w:rPr>
        <w:t xml:space="preserve">. Sentencia </w:t>
      </w:r>
      <w:r w:rsidRPr="0068600C">
        <w:rPr>
          <w:rFonts w:ascii="Verdana" w:hAnsi="Verdana"/>
          <w:sz w:val="16"/>
          <w:szCs w:val="16"/>
          <w:lang w:val="es-419"/>
        </w:rPr>
        <w:t>de 30 de noviembre de 2016. Serie C No. 328, párr. 64.</w:t>
      </w:r>
    </w:p>
  </w:footnote>
  <w:footnote w:id="66">
    <w:p w14:paraId="17898F3E" w14:textId="00EEB0AB" w:rsidR="00194342" w:rsidRPr="006C546F" w:rsidRDefault="00194342" w:rsidP="00B21C1F">
      <w:pPr>
        <w:pStyle w:val="Textonotapie"/>
        <w:spacing w:after="0" w:line="240" w:lineRule="auto"/>
        <w:jc w:val="both"/>
        <w:rPr>
          <w:rFonts w:ascii="Verdana" w:hAnsi="Verdana"/>
          <w:i/>
          <w:iCs/>
          <w:sz w:val="16"/>
          <w:szCs w:val="16"/>
          <w:lang w:val="es-419"/>
        </w:rPr>
      </w:pPr>
      <w:r w:rsidRPr="006C546F">
        <w:rPr>
          <w:rStyle w:val="Refdenotaalpie"/>
          <w:rFonts w:ascii="Verdana" w:hAnsi="Verdana"/>
          <w:sz w:val="16"/>
          <w:szCs w:val="16"/>
        </w:rPr>
        <w:footnoteRef/>
      </w:r>
      <w:r w:rsidRPr="006C546F">
        <w:rPr>
          <w:rFonts w:ascii="Verdana" w:hAnsi="Verdana"/>
          <w:sz w:val="16"/>
          <w:szCs w:val="16"/>
        </w:rPr>
        <w:t xml:space="preserve"> </w:t>
      </w:r>
      <w:r w:rsidRPr="006C546F">
        <w:rPr>
          <w:rFonts w:ascii="Verdana" w:hAnsi="Verdana"/>
          <w:sz w:val="16"/>
          <w:szCs w:val="16"/>
          <w:lang w:val="es-419"/>
        </w:rPr>
        <w:tab/>
      </w:r>
      <w:r w:rsidR="005D0C90" w:rsidRPr="009C2C1B">
        <w:rPr>
          <w:rFonts w:ascii="Verdana" w:hAnsi="Verdana"/>
          <w:i/>
          <w:sz w:val="16"/>
          <w:szCs w:val="16"/>
          <w:lang w:val="es-419"/>
        </w:rPr>
        <w:t>Cfr.</w:t>
      </w:r>
      <w:r w:rsidRPr="009C2C1B">
        <w:rPr>
          <w:rFonts w:ascii="Verdana" w:hAnsi="Verdana"/>
          <w:sz w:val="16"/>
          <w:szCs w:val="16"/>
          <w:lang w:val="es-419"/>
        </w:rPr>
        <w:t xml:space="preserve"> </w:t>
      </w:r>
      <w:r w:rsidRPr="009C2C1B">
        <w:rPr>
          <w:rFonts w:ascii="Verdana" w:hAnsi="Verdana"/>
          <w:i/>
          <w:iCs/>
          <w:sz w:val="16"/>
          <w:szCs w:val="16"/>
          <w:lang w:val="es-419"/>
        </w:rPr>
        <w:t xml:space="preserve">Caso Corporación Colectivo de Abogados José Alvear Restrepo (CAJAR) vs. Colombia. Excepciones Preliminares, Fondo, Reparaciones y Costas. </w:t>
      </w:r>
      <w:r w:rsidRPr="009C2C1B">
        <w:rPr>
          <w:rFonts w:ascii="Verdana" w:hAnsi="Verdana"/>
          <w:sz w:val="16"/>
          <w:szCs w:val="16"/>
          <w:lang w:val="es-419"/>
        </w:rPr>
        <w:t>Sentencia de 18 de octubre de 2023. Serie C. No.</w:t>
      </w:r>
      <w:r w:rsidR="0042525F" w:rsidRPr="009C2C1B">
        <w:rPr>
          <w:rFonts w:ascii="Verdana" w:hAnsi="Verdana"/>
          <w:sz w:val="16"/>
          <w:szCs w:val="16"/>
          <w:lang w:val="es-419"/>
        </w:rPr>
        <w:t xml:space="preserve"> </w:t>
      </w:r>
      <w:r w:rsidR="00FF1C05" w:rsidRPr="009C2C1B">
        <w:rPr>
          <w:rFonts w:ascii="Verdana" w:hAnsi="Verdana"/>
          <w:sz w:val="16"/>
          <w:szCs w:val="16"/>
          <w:lang w:val="es-419"/>
        </w:rPr>
        <w:t>506</w:t>
      </w:r>
      <w:r w:rsidR="0042525F" w:rsidRPr="009C2C1B">
        <w:rPr>
          <w:rFonts w:ascii="Verdana" w:hAnsi="Verdana"/>
          <w:i/>
          <w:iCs/>
          <w:sz w:val="16"/>
          <w:szCs w:val="16"/>
          <w:lang w:val="es-419"/>
        </w:rPr>
        <w:t>.</w:t>
      </w:r>
    </w:p>
  </w:footnote>
  <w:footnote w:id="67">
    <w:p w14:paraId="1B001114" w14:textId="6D7D47E0" w:rsidR="00194342" w:rsidRPr="005A1116" w:rsidRDefault="00194342" w:rsidP="00B21C1F">
      <w:pPr>
        <w:pStyle w:val="Textonotapie"/>
        <w:spacing w:after="0" w:line="240" w:lineRule="auto"/>
        <w:jc w:val="both"/>
        <w:rPr>
          <w:lang w:val="es-419"/>
        </w:rPr>
      </w:pPr>
      <w:r w:rsidRPr="0068600C">
        <w:rPr>
          <w:rStyle w:val="Refdenotaalpie"/>
          <w:rFonts w:ascii="Verdana" w:hAnsi="Verdana"/>
          <w:sz w:val="16"/>
          <w:szCs w:val="16"/>
        </w:rPr>
        <w:footnoteRef/>
      </w:r>
      <w:r w:rsidRPr="0068600C">
        <w:rPr>
          <w:rFonts w:ascii="Verdana" w:hAnsi="Verdana"/>
          <w:sz w:val="16"/>
          <w:szCs w:val="16"/>
        </w:rPr>
        <w:t xml:space="preserve"> </w:t>
      </w:r>
      <w:r w:rsidRPr="0068600C">
        <w:rPr>
          <w:rFonts w:ascii="Verdana" w:hAnsi="Verdana"/>
          <w:sz w:val="16"/>
          <w:szCs w:val="16"/>
        </w:rPr>
        <w:tab/>
      </w:r>
      <w:r w:rsidRPr="00B66E5A">
        <w:rPr>
          <w:rFonts w:ascii="Verdana" w:hAnsi="Verdana"/>
          <w:i/>
          <w:iCs/>
          <w:sz w:val="16"/>
          <w:szCs w:val="16"/>
          <w:lang w:val="es-419"/>
        </w:rPr>
        <w:t>Cfr.</w:t>
      </w:r>
      <w:r w:rsidRPr="00541A79">
        <w:rPr>
          <w:rFonts w:ascii="Verdana" w:hAnsi="Verdana"/>
          <w:sz w:val="16"/>
          <w:szCs w:val="16"/>
          <w:lang w:val="es-419"/>
        </w:rPr>
        <w:t xml:space="preserve"> </w:t>
      </w:r>
      <w:r w:rsidRPr="008E72FA">
        <w:rPr>
          <w:rFonts w:ascii="Verdana" w:hAnsi="Verdana" w:cs="Open Sans"/>
          <w:i/>
          <w:sz w:val="16"/>
          <w:szCs w:val="16"/>
          <w:shd w:val="clear" w:color="auto" w:fill="FFFFFF"/>
        </w:rPr>
        <w:t>Caso Masacres de Río Negro Vs. Guatemala. Excepción Preliminar, Fondo, Reparaciones y Costas</w:t>
      </w:r>
      <w:r w:rsidRPr="006034ED">
        <w:rPr>
          <w:rFonts w:ascii="Verdana" w:hAnsi="Verdana" w:cs="Open Sans"/>
          <w:sz w:val="16"/>
          <w:szCs w:val="16"/>
          <w:shd w:val="clear" w:color="auto" w:fill="FFFFFF"/>
        </w:rPr>
        <w:t>. Sentencia de 4 de septiembre de 2012</w:t>
      </w:r>
      <w:r w:rsidRPr="00183C12">
        <w:rPr>
          <w:rFonts w:ascii="Verdana" w:hAnsi="Verdana" w:cs="Open Sans"/>
          <w:sz w:val="16"/>
          <w:szCs w:val="16"/>
          <w:shd w:val="clear" w:color="auto" w:fill="FFFFFF"/>
          <w:lang w:val="es-419"/>
        </w:rPr>
        <w:t>, párr. 49</w:t>
      </w:r>
      <w:r w:rsidR="005D0C90">
        <w:rPr>
          <w:rFonts w:ascii="Verdana" w:hAnsi="Verdana" w:cs="Open Sans"/>
          <w:sz w:val="16"/>
          <w:szCs w:val="16"/>
          <w:shd w:val="clear" w:color="auto" w:fill="FFFFFF"/>
          <w:lang w:val="es-419"/>
        </w:rPr>
        <w:t xml:space="preserve"> y</w:t>
      </w:r>
      <w:r w:rsidRPr="00183C12">
        <w:rPr>
          <w:rFonts w:ascii="Verdana" w:hAnsi="Verdana" w:cs="Open Sans"/>
          <w:sz w:val="16"/>
          <w:szCs w:val="16"/>
          <w:shd w:val="clear" w:color="auto" w:fill="FFFFFF"/>
          <w:lang w:val="es-419"/>
        </w:rPr>
        <w:t xml:space="preserve"> </w:t>
      </w:r>
      <w:r w:rsidRPr="008E72FA">
        <w:rPr>
          <w:rStyle w:val="Refdenotaalpie"/>
          <w:rFonts w:ascii="Verdana" w:hAnsi="Verdana"/>
          <w:i/>
          <w:sz w:val="16"/>
          <w:szCs w:val="16"/>
          <w:vertAlign w:val="baseline"/>
        </w:rPr>
        <w:t>Caso Masacres de El Mozote y lugares aledaños Vs. El Salvador. Fondo, Reparaciones y Costas</w:t>
      </w:r>
      <w:r w:rsidRPr="0068600C">
        <w:rPr>
          <w:rStyle w:val="Refdenotaalpie"/>
          <w:rFonts w:ascii="Verdana" w:hAnsi="Verdana"/>
          <w:sz w:val="16"/>
          <w:szCs w:val="16"/>
          <w:vertAlign w:val="baseline"/>
        </w:rPr>
        <w:t>. Sentencia de 25 de octubre de 2012. Serie C No. 252, párr. 5</w:t>
      </w:r>
      <w:r w:rsidRPr="005A1116">
        <w:rPr>
          <w:rFonts w:ascii="Verdana" w:hAnsi="Verdana"/>
          <w:sz w:val="16"/>
          <w:szCs w:val="16"/>
          <w:lang w:val="es-419"/>
        </w:rPr>
        <w:t>4.</w:t>
      </w:r>
    </w:p>
  </w:footnote>
  <w:footnote w:id="68">
    <w:p w14:paraId="4547437C" w14:textId="28771C2D" w:rsidR="00194342" w:rsidRPr="00BD5F11" w:rsidRDefault="00194342" w:rsidP="00B21C1F">
      <w:pPr>
        <w:pStyle w:val="Textonotapie"/>
        <w:spacing w:after="0" w:line="240" w:lineRule="auto"/>
        <w:jc w:val="both"/>
        <w:rPr>
          <w:rFonts w:ascii="Verdana" w:hAnsi="Verdana"/>
          <w:sz w:val="16"/>
          <w:szCs w:val="16"/>
          <w:lang w:val="es-419"/>
        </w:rPr>
      </w:pPr>
      <w:r w:rsidRPr="00BD5F11">
        <w:rPr>
          <w:rStyle w:val="Refdenotaalpie"/>
          <w:rFonts w:ascii="Verdana" w:hAnsi="Verdana"/>
          <w:sz w:val="16"/>
          <w:szCs w:val="16"/>
        </w:rPr>
        <w:footnoteRef/>
      </w:r>
      <w:r w:rsidRPr="00BD5F11">
        <w:rPr>
          <w:rFonts w:ascii="Verdana" w:hAnsi="Verdana"/>
          <w:sz w:val="16"/>
          <w:szCs w:val="16"/>
        </w:rPr>
        <w:t xml:space="preserve"> </w:t>
      </w:r>
      <w:r w:rsidRPr="00BD5F11">
        <w:rPr>
          <w:rFonts w:ascii="Verdana" w:hAnsi="Verdana"/>
          <w:sz w:val="16"/>
          <w:szCs w:val="16"/>
        </w:rPr>
        <w:tab/>
      </w:r>
      <w:r w:rsidR="008647B8" w:rsidRPr="008E72FA">
        <w:rPr>
          <w:rFonts w:ascii="Verdana" w:hAnsi="Verdana" w:cs="Open Sans"/>
          <w:i/>
          <w:sz w:val="16"/>
          <w:szCs w:val="16"/>
          <w:shd w:val="clear" w:color="auto" w:fill="FFFFFF"/>
          <w:lang w:val="es-ES"/>
        </w:rPr>
        <w:t>Cfr.</w:t>
      </w:r>
      <w:r w:rsidRPr="00BD5F11">
        <w:rPr>
          <w:rFonts w:ascii="Verdana" w:hAnsi="Verdana" w:cs="Open Sans"/>
          <w:sz w:val="16"/>
          <w:szCs w:val="16"/>
          <w:shd w:val="clear" w:color="auto" w:fill="FFFFFF"/>
        </w:rPr>
        <w:t xml:space="preserve"> </w:t>
      </w:r>
      <w:r w:rsidRPr="008E72FA">
        <w:rPr>
          <w:rFonts w:ascii="Verdana" w:hAnsi="Verdana" w:cs="Open Sans"/>
          <w:i/>
          <w:sz w:val="16"/>
          <w:szCs w:val="16"/>
          <w:shd w:val="clear" w:color="auto" w:fill="FFFFFF"/>
        </w:rPr>
        <w:t>Caso Masacre Plan de Sánchez Vs. Guatemala. Reparaciones</w:t>
      </w:r>
      <w:r w:rsidRPr="00BD5F11">
        <w:rPr>
          <w:rFonts w:ascii="Verdana" w:hAnsi="Verdana" w:cs="Open Sans"/>
          <w:sz w:val="16"/>
          <w:szCs w:val="16"/>
          <w:shd w:val="clear" w:color="auto" w:fill="FFFFFF"/>
        </w:rPr>
        <w:t>. Sentencia de 19 de noviembre de 2004. Serie C No. 116</w:t>
      </w:r>
      <w:r w:rsidRPr="00BD5F11">
        <w:rPr>
          <w:rFonts w:ascii="Verdana" w:hAnsi="Verdana" w:cs="Open Sans"/>
          <w:sz w:val="16"/>
          <w:szCs w:val="16"/>
          <w:shd w:val="clear" w:color="auto" w:fill="FFFFFF"/>
          <w:lang w:val="es-419"/>
        </w:rPr>
        <w:t>, párr. 104</w:t>
      </w:r>
      <w:r w:rsidRPr="00BD5F11">
        <w:rPr>
          <w:rFonts w:ascii="Verdana" w:hAnsi="Verdana" w:cs="Open Sans"/>
          <w:sz w:val="16"/>
          <w:szCs w:val="16"/>
          <w:shd w:val="clear" w:color="auto" w:fill="FFFFFF"/>
        </w:rPr>
        <w:t>.</w:t>
      </w:r>
    </w:p>
  </w:footnote>
  <w:footnote w:id="69">
    <w:p w14:paraId="548B3B50" w14:textId="6ECCC5C7" w:rsidR="00194342" w:rsidRPr="00BD5F11" w:rsidRDefault="00194342" w:rsidP="00B21C1F">
      <w:pPr>
        <w:pStyle w:val="Textonotapie"/>
        <w:spacing w:after="0" w:line="240" w:lineRule="auto"/>
        <w:jc w:val="both"/>
        <w:rPr>
          <w:rFonts w:ascii="Verdana" w:hAnsi="Verdana"/>
          <w:sz w:val="16"/>
          <w:szCs w:val="16"/>
          <w:lang w:val="es-419"/>
        </w:rPr>
      </w:pPr>
      <w:r w:rsidRPr="00BD5F11">
        <w:rPr>
          <w:rStyle w:val="Refdenotaalpie"/>
          <w:rFonts w:ascii="Verdana" w:hAnsi="Verdana"/>
          <w:sz w:val="16"/>
          <w:szCs w:val="16"/>
        </w:rPr>
        <w:footnoteRef/>
      </w:r>
      <w:r w:rsidRPr="00BD5F11">
        <w:rPr>
          <w:rFonts w:ascii="Verdana" w:hAnsi="Verdana"/>
          <w:sz w:val="16"/>
          <w:szCs w:val="16"/>
        </w:rPr>
        <w:t xml:space="preserve"> </w:t>
      </w:r>
      <w:r w:rsidRPr="00BD5F11">
        <w:rPr>
          <w:rFonts w:ascii="Verdana" w:hAnsi="Verdana"/>
          <w:sz w:val="16"/>
          <w:szCs w:val="16"/>
        </w:rPr>
        <w:tab/>
      </w:r>
      <w:r w:rsidR="00FF1C05">
        <w:rPr>
          <w:rFonts w:ascii="Verdana" w:hAnsi="Verdana"/>
          <w:i/>
          <w:iCs/>
          <w:sz w:val="16"/>
          <w:szCs w:val="16"/>
        </w:rPr>
        <w:t xml:space="preserve">Cfr. </w:t>
      </w:r>
      <w:r w:rsidR="00FF1C05" w:rsidRPr="008E72FA">
        <w:rPr>
          <w:rFonts w:ascii="Verdana" w:hAnsi="Verdana" w:cs="Open Sans"/>
          <w:i/>
          <w:sz w:val="16"/>
          <w:szCs w:val="16"/>
          <w:shd w:val="clear" w:color="auto" w:fill="FFFFFF"/>
        </w:rPr>
        <w:t>Caso Masacre Plan de Sánchez Vs. Guatemala</w:t>
      </w:r>
      <w:r w:rsidR="00FF1C05">
        <w:rPr>
          <w:rFonts w:ascii="Verdana" w:hAnsi="Verdana" w:cs="Open Sans"/>
          <w:i/>
          <w:sz w:val="16"/>
          <w:szCs w:val="16"/>
          <w:shd w:val="clear" w:color="auto" w:fill="FFFFFF"/>
          <w:lang w:val="es-ES"/>
        </w:rPr>
        <w:t>, supra</w:t>
      </w:r>
      <w:r w:rsidRPr="00BD5F11">
        <w:rPr>
          <w:rFonts w:ascii="Verdana" w:hAnsi="Verdana" w:cs="Open Sans"/>
          <w:sz w:val="16"/>
          <w:szCs w:val="16"/>
          <w:shd w:val="clear" w:color="auto" w:fill="FFFFFF"/>
          <w:lang w:val="es-419"/>
        </w:rPr>
        <w:t>, párr. 110</w:t>
      </w:r>
      <w:r w:rsidRPr="00BD5F11">
        <w:rPr>
          <w:rFonts w:ascii="Verdana" w:hAnsi="Verdana" w:cs="Open Sans"/>
          <w:sz w:val="16"/>
          <w:szCs w:val="16"/>
          <w:shd w:val="clear" w:color="auto" w:fill="FFFFFF"/>
        </w:rPr>
        <w:t>.</w:t>
      </w:r>
    </w:p>
  </w:footnote>
  <w:footnote w:id="70">
    <w:p w14:paraId="3FA12920" w14:textId="0F734765" w:rsidR="00194342" w:rsidRPr="00BD5F11" w:rsidRDefault="00194342" w:rsidP="00B21C1F">
      <w:pPr>
        <w:pStyle w:val="Textonotapie"/>
        <w:spacing w:after="0" w:line="240" w:lineRule="auto"/>
        <w:jc w:val="both"/>
        <w:rPr>
          <w:rFonts w:ascii="Verdana" w:hAnsi="Verdana"/>
          <w:sz w:val="16"/>
          <w:szCs w:val="16"/>
          <w:lang w:val="es-419"/>
        </w:rPr>
      </w:pPr>
      <w:r w:rsidRPr="00BD5F11">
        <w:rPr>
          <w:rStyle w:val="Refdenotaalpie"/>
          <w:rFonts w:ascii="Verdana" w:hAnsi="Verdana"/>
          <w:sz w:val="16"/>
          <w:szCs w:val="16"/>
        </w:rPr>
        <w:footnoteRef/>
      </w:r>
      <w:r w:rsidRPr="00BD5F11">
        <w:rPr>
          <w:rFonts w:ascii="Verdana" w:hAnsi="Verdana"/>
          <w:sz w:val="16"/>
          <w:szCs w:val="16"/>
        </w:rPr>
        <w:t xml:space="preserve"> </w:t>
      </w:r>
      <w:r w:rsidRPr="00BD5F11">
        <w:rPr>
          <w:rFonts w:ascii="Verdana" w:hAnsi="Verdana"/>
          <w:sz w:val="16"/>
          <w:szCs w:val="16"/>
          <w:lang w:val="es-419"/>
        </w:rPr>
        <w:tab/>
      </w:r>
      <w:r w:rsidR="008647B8" w:rsidRPr="008E72FA">
        <w:rPr>
          <w:rFonts w:ascii="Verdana" w:hAnsi="Verdana" w:cs="Open Sans"/>
          <w:i/>
          <w:sz w:val="16"/>
          <w:szCs w:val="16"/>
          <w:shd w:val="clear" w:color="auto" w:fill="FFFFFF"/>
          <w:lang w:val="es-ES"/>
        </w:rPr>
        <w:t>Cfr.</w:t>
      </w:r>
      <w:r w:rsidRPr="00BD5F11">
        <w:rPr>
          <w:rFonts w:ascii="Verdana" w:hAnsi="Verdana" w:cs="Open Sans"/>
          <w:sz w:val="16"/>
          <w:szCs w:val="16"/>
          <w:shd w:val="clear" w:color="auto" w:fill="FFFFFF"/>
        </w:rPr>
        <w:t xml:space="preserve"> </w:t>
      </w:r>
      <w:r w:rsidRPr="008E72FA">
        <w:rPr>
          <w:rFonts w:ascii="Verdana" w:hAnsi="Verdana" w:cs="Open Sans"/>
          <w:i/>
          <w:sz w:val="16"/>
          <w:szCs w:val="16"/>
          <w:shd w:val="clear" w:color="auto" w:fill="FFFFFF"/>
        </w:rPr>
        <w:t>Caso de la Comunidad Moiwana Vs. Surinam. Excepciones Preliminares, Fondo, Reparaciones y Costas</w:t>
      </w:r>
      <w:r w:rsidRPr="00BD5F11">
        <w:rPr>
          <w:rFonts w:ascii="Verdana" w:hAnsi="Verdana" w:cs="Open Sans"/>
          <w:sz w:val="16"/>
          <w:szCs w:val="16"/>
          <w:shd w:val="clear" w:color="auto" w:fill="FFFFFF"/>
        </w:rPr>
        <w:t>. Sentencia de 15 de junio de 2005. Serie C No. 124</w:t>
      </w:r>
      <w:r w:rsidRPr="00BD5F11">
        <w:rPr>
          <w:rFonts w:ascii="Verdana" w:hAnsi="Verdana" w:cs="Open Sans"/>
          <w:sz w:val="16"/>
          <w:szCs w:val="16"/>
          <w:shd w:val="clear" w:color="auto" w:fill="FFFFFF"/>
          <w:lang w:val="es-419"/>
        </w:rPr>
        <w:t>, párr</w:t>
      </w:r>
      <w:r w:rsidR="00FF1C05">
        <w:rPr>
          <w:rFonts w:ascii="Verdana" w:hAnsi="Verdana" w:cs="Open Sans"/>
          <w:sz w:val="16"/>
          <w:szCs w:val="16"/>
          <w:shd w:val="clear" w:color="auto" w:fill="FFFFFF"/>
          <w:lang w:val="es-419"/>
        </w:rPr>
        <w:t>s</w:t>
      </w:r>
      <w:r w:rsidRPr="00BD5F11">
        <w:rPr>
          <w:rFonts w:ascii="Verdana" w:hAnsi="Verdana" w:cs="Open Sans"/>
          <w:sz w:val="16"/>
          <w:szCs w:val="16"/>
          <w:shd w:val="clear" w:color="auto" w:fill="FFFFFF"/>
          <w:lang w:val="es-419"/>
        </w:rPr>
        <w:t>. 214-215</w:t>
      </w:r>
      <w:r w:rsidRPr="00BD5F11">
        <w:rPr>
          <w:rFonts w:ascii="Verdana" w:hAnsi="Verdana" w:cs="Open Sans"/>
          <w:sz w:val="16"/>
          <w:szCs w:val="16"/>
          <w:shd w:val="clear" w:color="auto" w:fill="FFFFFF"/>
        </w:rPr>
        <w:t>.</w:t>
      </w:r>
    </w:p>
  </w:footnote>
  <w:footnote w:id="71">
    <w:p w14:paraId="5265FC10" w14:textId="5E509417" w:rsidR="00194342" w:rsidRPr="00BD5F11" w:rsidRDefault="00194342" w:rsidP="00B21C1F">
      <w:pPr>
        <w:pStyle w:val="Textonotapie"/>
        <w:spacing w:after="0" w:line="240" w:lineRule="auto"/>
        <w:jc w:val="both"/>
        <w:rPr>
          <w:rFonts w:ascii="Verdana" w:hAnsi="Verdana"/>
          <w:sz w:val="16"/>
          <w:szCs w:val="16"/>
          <w:lang w:val="es-419"/>
        </w:rPr>
      </w:pPr>
      <w:r w:rsidRPr="00BD5F11">
        <w:rPr>
          <w:rStyle w:val="Refdenotaalpie"/>
          <w:rFonts w:ascii="Verdana" w:hAnsi="Verdana"/>
          <w:sz w:val="16"/>
          <w:szCs w:val="16"/>
        </w:rPr>
        <w:footnoteRef/>
      </w:r>
      <w:r w:rsidRPr="00BD5F11">
        <w:rPr>
          <w:rFonts w:ascii="Verdana" w:hAnsi="Verdana"/>
          <w:sz w:val="16"/>
          <w:szCs w:val="16"/>
        </w:rPr>
        <w:t xml:space="preserve"> </w:t>
      </w:r>
      <w:r w:rsidRPr="00BD5F11">
        <w:rPr>
          <w:rFonts w:ascii="Verdana" w:hAnsi="Verdana"/>
          <w:sz w:val="16"/>
          <w:szCs w:val="16"/>
          <w:lang w:val="es-419"/>
        </w:rPr>
        <w:tab/>
      </w:r>
      <w:r w:rsidR="008647B8">
        <w:rPr>
          <w:rFonts w:ascii="Verdana" w:hAnsi="Verdana" w:cs="Open Sans"/>
          <w:sz w:val="16"/>
          <w:szCs w:val="16"/>
          <w:shd w:val="clear" w:color="auto" w:fill="FFFFFF"/>
          <w:lang w:val="es-ES"/>
        </w:rPr>
        <w:t xml:space="preserve">Cfr. </w:t>
      </w:r>
      <w:r w:rsidRPr="008E72FA">
        <w:rPr>
          <w:rFonts w:ascii="Verdana" w:hAnsi="Verdana" w:cs="Open Sans"/>
          <w:i/>
          <w:sz w:val="16"/>
          <w:szCs w:val="16"/>
          <w:shd w:val="clear" w:color="auto" w:fill="FFFFFF"/>
        </w:rPr>
        <w:t>Caso Comunidad Indígena Yakye Axa Vs. Paraguay</w:t>
      </w:r>
      <w:r w:rsidR="00FF1C05">
        <w:rPr>
          <w:rFonts w:ascii="Verdana" w:hAnsi="Verdana" w:cs="Open Sans"/>
          <w:i/>
          <w:sz w:val="16"/>
          <w:szCs w:val="16"/>
          <w:shd w:val="clear" w:color="auto" w:fill="FFFFFF"/>
        </w:rPr>
        <w:t>, supra</w:t>
      </w:r>
      <w:r w:rsidRPr="00BD5F11">
        <w:rPr>
          <w:rFonts w:ascii="Verdana" w:hAnsi="Verdana" w:cs="Open Sans"/>
          <w:sz w:val="16"/>
          <w:szCs w:val="16"/>
          <w:shd w:val="clear" w:color="auto" w:fill="FFFFFF"/>
          <w:lang w:val="es-419"/>
        </w:rPr>
        <w:t>, párr. 221</w:t>
      </w:r>
      <w:r w:rsidRPr="00BD5F11">
        <w:rPr>
          <w:rFonts w:ascii="Verdana" w:hAnsi="Verdana" w:cs="Open Sans"/>
          <w:sz w:val="16"/>
          <w:szCs w:val="16"/>
          <w:shd w:val="clear" w:color="auto" w:fill="FFFFFF"/>
        </w:rPr>
        <w:t>.</w:t>
      </w:r>
    </w:p>
  </w:footnote>
  <w:footnote w:id="72">
    <w:p w14:paraId="6B2EF565" w14:textId="78A960AA" w:rsidR="00194342" w:rsidRPr="00BD5F11" w:rsidRDefault="00194342" w:rsidP="00B21C1F">
      <w:pPr>
        <w:pStyle w:val="Textonotapie"/>
        <w:spacing w:after="0" w:line="240" w:lineRule="auto"/>
        <w:jc w:val="both"/>
        <w:rPr>
          <w:rFonts w:ascii="Verdana" w:hAnsi="Verdana"/>
          <w:sz w:val="16"/>
          <w:szCs w:val="16"/>
          <w:lang w:val="es-419"/>
        </w:rPr>
      </w:pPr>
      <w:r w:rsidRPr="00BD5F11">
        <w:rPr>
          <w:rStyle w:val="Refdenotaalpie"/>
          <w:rFonts w:ascii="Verdana" w:hAnsi="Verdana"/>
          <w:sz w:val="16"/>
          <w:szCs w:val="16"/>
        </w:rPr>
        <w:footnoteRef/>
      </w:r>
      <w:r w:rsidRPr="00BD5F11">
        <w:rPr>
          <w:rFonts w:ascii="Verdana" w:hAnsi="Verdana"/>
          <w:sz w:val="16"/>
          <w:szCs w:val="16"/>
        </w:rPr>
        <w:t xml:space="preserve"> </w:t>
      </w:r>
      <w:r w:rsidRPr="00BD5F11">
        <w:rPr>
          <w:rFonts w:ascii="Verdana" w:hAnsi="Verdana"/>
          <w:sz w:val="16"/>
          <w:szCs w:val="16"/>
        </w:rPr>
        <w:tab/>
      </w:r>
      <w:r w:rsidR="008647B8" w:rsidRPr="008E72FA">
        <w:rPr>
          <w:rFonts w:ascii="Verdana" w:hAnsi="Verdana" w:cs="Open Sans"/>
          <w:i/>
          <w:sz w:val="16"/>
          <w:szCs w:val="16"/>
          <w:shd w:val="clear" w:color="auto" w:fill="FFFFFF"/>
          <w:lang w:val="es-ES"/>
        </w:rPr>
        <w:t>Cfr.</w:t>
      </w:r>
      <w:r w:rsidR="008647B8">
        <w:rPr>
          <w:rFonts w:ascii="Verdana" w:hAnsi="Verdana" w:cs="Open Sans"/>
          <w:sz w:val="16"/>
          <w:szCs w:val="16"/>
          <w:shd w:val="clear" w:color="auto" w:fill="FFFFFF"/>
          <w:lang w:val="es-ES"/>
        </w:rPr>
        <w:t xml:space="preserve"> </w:t>
      </w:r>
      <w:r w:rsidRPr="008E72FA">
        <w:rPr>
          <w:rFonts w:ascii="Verdana" w:hAnsi="Verdana" w:cs="Open Sans"/>
          <w:i/>
          <w:sz w:val="16"/>
          <w:szCs w:val="16"/>
          <w:shd w:val="clear" w:color="auto" w:fill="FFFFFF"/>
        </w:rPr>
        <w:t>Caso Comunidad Indígena Sawhoyamaxa Vs. Paraguay. Fondo, Reparaciones y Costas</w:t>
      </w:r>
      <w:r w:rsidRPr="00BD5F11">
        <w:rPr>
          <w:rFonts w:ascii="Verdana" w:hAnsi="Verdana" w:cs="Open Sans"/>
          <w:sz w:val="16"/>
          <w:szCs w:val="16"/>
          <w:shd w:val="clear" w:color="auto" w:fill="FFFFFF"/>
        </w:rPr>
        <w:t>. Sentencia de 29 de marzo de 2006. Serie C No. 146</w:t>
      </w:r>
      <w:r w:rsidRPr="00BD5F11">
        <w:rPr>
          <w:rFonts w:ascii="Verdana" w:hAnsi="Verdana" w:cs="Open Sans"/>
          <w:sz w:val="16"/>
          <w:szCs w:val="16"/>
          <w:shd w:val="clear" w:color="auto" w:fill="FFFFFF"/>
          <w:lang w:val="es-419"/>
        </w:rPr>
        <w:t>, párr. 230</w:t>
      </w:r>
      <w:r w:rsidRPr="00BD5F11">
        <w:rPr>
          <w:rFonts w:ascii="Verdana" w:hAnsi="Verdana" w:cs="Open Sans"/>
          <w:sz w:val="16"/>
          <w:szCs w:val="16"/>
          <w:shd w:val="clear" w:color="auto" w:fill="FFFFFF"/>
        </w:rPr>
        <w:t>.</w:t>
      </w:r>
    </w:p>
  </w:footnote>
  <w:footnote w:id="73">
    <w:p w14:paraId="0F2AD534" w14:textId="38DD63C4" w:rsidR="00194342" w:rsidRPr="00BD5F11" w:rsidRDefault="00194342" w:rsidP="00B21C1F">
      <w:pPr>
        <w:pStyle w:val="Textonotapie"/>
        <w:spacing w:after="0" w:line="240" w:lineRule="auto"/>
        <w:jc w:val="both"/>
        <w:rPr>
          <w:rFonts w:ascii="Verdana" w:hAnsi="Verdana"/>
          <w:sz w:val="16"/>
          <w:szCs w:val="16"/>
          <w:lang w:val="es-ES"/>
        </w:rPr>
      </w:pPr>
      <w:r w:rsidRPr="00BD5F11">
        <w:rPr>
          <w:rStyle w:val="Refdenotaalpie"/>
          <w:rFonts w:ascii="Verdana" w:hAnsi="Verdana"/>
          <w:sz w:val="16"/>
          <w:szCs w:val="16"/>
        </w:rPr>
        <w:footnoteRef/>
      </w:r>
      <w:r w:rsidRPr="00BD5F11">
        <w:rPr>
          <w:rFonts w:ascii="Verdana" w:hAnsi="Verdana"/>
          <w:sz w:val="16"/>
          <w:szCs w:val="16"/>
        </w:rPr>
        <w:t xml:space="preserve"> </w:t>
      </w:r>
      <w:r w:rsidRPr="00BD5F11">
        <w:rPr>
          <w:rFonts w:ascii="Verdana" w:hAnsi="Verdana"/>
          <w:sz w:val="16"/>
          <w:szCs w:val="16"/>
        </w:rPr>
        <w:tab/>
      </w:r>
      <w:r w:rsidR="008647B8" w:rsidRPr="008E72FA">
        <w:rPr>
          <w:rFonts w:ascii="Verdana" w:hAnsi="Verdana" w:cs="Open Sans"/>
          <w:i/>
          <w:sz w:val="16"/>
          <w:szCs w:val="16"/>
          <w:shd w:val="clear" w:color="auto" w:fill="FFFFFF"/>
          <w:lang w:val="es-ES"/>
        </w:rPr>
        <w:t>Cfr.</w:t>
      </w:r>
      <w:r w:rsidRPr="00BD5F11">
        <w:rPr>
          <w:rFonts w:ascii="Verdana" w:hAnsi="Verdana" w:cs="Open Sans"/>
          <w:sz w:val="16"/>
          <w:szCs w:val="16"/>
          <w:shd w:val="clear" w:color="auto" w:fill="FFFFFF"/>
        </w:rPr>
        <w:t xml:space="preserve"> </w:t>
      </w:r>
      <w:r w:rsidRPr="008E72FA">
        <w:rPr>
          <w:rFonts w:ascii="Verdana" w:hAnsi="Verdana" w:cs="Open Sans"/>
          <w:i/>
          <w:sz w:val="16"/>
          <w:szCs w:val="16"/>
          <w:shd w:val="clear" w:color="auto" w:fill="FFFFFF"/>
        </w:rPr>
        <w:t>Caso Comunidad Indígena Xákmok Kásek Vs. Paraguay</w:t>
      </w:r>
      <w:r w:rsidR="00FF1C05">
        <w:rPr>
          <w:rFonts w:ascii="Verdana" w:hAnsi="Verdana" w:cs="Open Sans"/>
          <w:i/>
          <w:sz w:val="16"/>
          <w:szCs w:val="16"/>
          <w:shd w:val="clear" w:color="auto" w:fill="FFFFFF"/>
        </w:rPr>
        <w:t>, supra</w:t>
      </w:r>
      <w:r w:rsidRPr="00BD5F11">
        <w:rPr>
          <w:rFonts w:ascii="Verdana" w:hAnsi="Verdana" w:cs="Open Sans"/>
          <w:sz w:val="16"/>
          <w:szCs w:val="16"/>
          <w:shd w:val="clear" w:color="auto" w:fill="FFFFFF"/>
          <w:lang w:val="es-ES"/>
        </w:rPr>
        <w:t>, párr. 303</w:t>
      </w:r>
      <w:r w:rsidRPr="00BD5F11">
        <w:rPr>
          <w:rFonts w:ascii="Verdana" w:hAnsi="Verdana" w:cs="Open Sans"/>
          <w:sz w:val="16"/>
          <w:szCs w:val="16"/>
          <w:shd w:val="clear" w:color="auto" w:fill="FFFFFF"/>
        </w:rPr>
        <w:t>.</w:t>
      </w:r>
    </w:p>
  </w:footnote>
  <w:footnote w:id="74">
    <w:p w14:paraId="6CF670A5" w14:textId="75890923" w:rsidR="00194342" w:rsidRPr="006C48E9" w:rsidRDefault="00194342" w:rsidP="00B21C1F">
      <w:pPr>
        <w:pStyle w:val="Textonotapie"/>
        <w:spacing w:after="0" w:line="240" w:lineRule="auto"/>
        <w:jc w:val="both"/>
        <w:rPr>
          <w:rFonts w:ascii="Verdana" w:hAnsi="Verdana"/>
          <w:sz w:val="16"/>
          <w:szCs w:val="16"/>
          <w:lang w:val="es-419"/>
        </w:rPr>
      </w:pPr>
      <w:r w:rsidRPr="00BD5F11">
        <w:rPr>
          <w:rStyle w:val="Refdenotaalpie"/>
          <w:rFonts w:ascii="Verdana" w:hAnsi="Verdana"/>
          <w:sz w:val="16"/>
          <w:szCs w:val="16"/>
        </w:rPr>
        <w:footnoteRef/>
      </w:r>
      <w:r w:rsidRPr="00BD5F11">
        <w:rPr>
          <w:rFonts w:ascii="Verdana" w:hAnsi="Verdana"/>
          <w:sz w:val="16"/>
          <w:szCs w:val="16"/>
        </w:rPr>
        <w:t xml:space="preserve"> </w:t>
      </w:r>
      <w:r w:rsidRPr="00BD5F11">
        <w:rPr>
          <w:rFonts w:ascii="Verdana" w:hAnsi="Verdana"/>
          <w:sz w:val="16"/>
          <w:szCs w:val="16"/>
        </w:rPr>
        <w:tab/>
      </w:r>
      <w:r w:rsidR="0080324A" w:rsidRPr="008E72FA">
        <w:rPr>
          <w:rFonts w:ascii="Verdana" w:hAnsi="Verdana" w:cs="Open Sans"/>
          <w:i/>
          <w:sz w:val="16"/>
          <w:szCs w:val="16"/>
          <w:shd w:val="clear" w:color="auto" w:fill="FFFFFF"/>
          <w:lang w:val="es-ES"/>
        </w:rPr>
        <w:t>Cfr.</w:t>
      </w:r>
      <w:r w:rsidR="0080324A">
        <w:rPr>
          <w:rFonts w:ascii="Verdana" w:hAnsi="Verdana" w:cs="Open Sans"/>
          <w:sz w:val="16"/>
          <w:szCs w:val="16"/>
          <w:shd w:val="clear" w:color="auto" w:fill="FFFFFF"/>
          <w:lang w:val="es-ES"/>
        </w:rPr>
        <w:t xml:space="preserve"> </w:t>
      </w:r>
      <w:r w:rsidRPr="008E72FA">
        <w:rPr>
          <w:rFonts w:ascii="Verdana" w:hAnsi="Verdana" w:cs="Open Sans"/>
          <w:i/>
          <w:sz w:val="16"/>
          <w:szCs w:val="16"/>
          <w:shd w:val="clear" w:color="auto" w:fill="FFFFFF"/>
        </w:rPr>
        <w:t>Caso Masacres de Río Negro Vs. Guatemala. Excepción Preliminar, Fondo, Reparaciones y Costas</w:t>
      </w:r>
      <w:r w:rsidRPr="00BD5F11">
        <w:rPr>
          <w:rFonts w:ascii="Verdana" w:hAnsi="Verdana" w:cs="Open Sans"/>
          <w:sz w:val="16"/>
          <w:szCs w:val="16"/>
          <w:shd w:val="clear" w:color="auto" w:fill="FFFFFF"/>
        </w:rPr>
        <w:t>. Sentencia de 4 de septiembre de 2012. Serie C No. 250</w:t>
      </w:r>
      <w:r w:rsidRPr="00BD5F11">
        <w:rPr>
          <w:rFonts w:ascii="Verdana" w:hAnsi="Verdana" w:cs="Open Sans"/>
          <w:sz w:val="16"/>
          <w:szCs w:val="16"/>
          <w:shd w:val="clear" w:color="auto" w:fill="FFFFFF"/>
          <w:lang w:val="es-419"/>
        </w:rPr>
        <w:t>, párr. 285</w:t>
      </w:r>
      <w:r w:rsidRPr="00BD5F11">
        <w:rPr>
          <w:rFonts w:ascii="Verdana" w:hAnsi="Verdana" w:cs="Open Sans"/>
          <w:sz w:val="16"/>
          <w:szCs w:val="16"/>
          <w:shd w:val="clear" w:color="auto" w:fill="FFFFFF"/>
        </w:rPr>
        <w:t>.</w:t>
      </w:r>
    </w:p>
  </w:footnote>
  <w:footnote w:id="75">
    <w:p w14:paraId="67569350" w14:textId="3859483D" w:rsidR="00194342" w:rsidRPr="009C2C1B" w:rsidRDefault="00194342" w:rsidP="00B21C1F">
      <w:pPr>
        <w:pStyle w:val="Textonotapie"/>
        <w:spacing w:after="0" w:line="240" w:lineRule="auto"/>
        <w:jc w:val="both"/>
        <w:rPr>
          <w:rFonts w:ascii="Verdana" w:hAnsi="Verdana"/>
          <w:sz w:val="16"/>
          <w:szCs w:val="16"/>
          <w:lang w:val="es-ES"/>
        </w:rPr>
      </w:pPr>
      <w:r w:rsidRPr="00BD5F11">
        <w:rPr>
          <w:rStyle w:val="Refdenotaalpie"/>
          <w:rFonts w:ascii="Verdana" w:hAnsi="Verdana"/>
          <w:sz w:val="16"/>
          <w:szCs w:val="16"/>
        </w:rPr>
        <w:footnoteRef/>
      </w:r>
      <w:r w:rsidRPr="00BD5F11">
        <w:rPr>
          <w:rFonts w:ascii="Verdana" w:hAnsi="Verdana"/>
          <w:sz w:val="16"/>
          <w:szCs w:val="16"/>
        </w:rPr>
        <w:t xml:space="preserve"> </w:t>
      </w:r>
      <w:r w:rsidRPr="00BD5F11">
        <w:rPr>
          <w:rFonts w:ascii="Verdana" w:hAnsi="Verdana"/>
          <w:sz w:val="16"/>
          <w:szCs w:val="16"/>
        </w:rPr>
        <w:tab/>
      </w:r>
      <w:r w:rsidR="0080324A" w:rsidRPr="008E72FA">
        <w:rPr>
          <w:rFonts w:ascii="Verdana" w:hAnsi="Verdana" w:cs="Open Sans"/>
          <w:i/>
          <w:sz w:val="16"/>
          <w:szCs w:val="16"/>
          <w:shd w:val="clear" w:color="auto" w:fill="FFFFFF"/>
          <w:lang w:val="es-ES"/>
        </w:rPr>
        <w:t>Cfr.</w:t>
      </w:r>
      <w:r w:rsidRPr="00BD5F11">
        <w:rPr>
          <w:rFonts w:ascii="Verdana" w:hAnsi="Verdana" w:cs="Open Sans"/>
          <w:sz w:val="16"/>
          <w:szCs w:val="16"/>
          <w:shd w:val="clear" w:color="auto" w:fill="FFFFFF"/>
        </w:rPr>
        <w:t xml:space="preserve"> </w:t>
      </w:r>
      <w:r w:rsidRPr="008E72FA">
        <w:rPr>
          <w:rFonts w:ascii="Verdana" w:hAnsi="Verdana" w:cs="Open Sans"/>
          <w:i/>
          <w:sz w:val="16"/>
          <w:szCs w:val="16"/>
          <w:shd w:val="clear" w:color="auto" w:fill="FFFFFF"/>
        </w:rPr>
        <w:t>Caso Comunidad Indígena Xákmok Kásek Vs. Paraguay</w:t>
      </w:r>
      <w:r w:rsidR="00FF1C05">
        <w:rPr>
          <w:rFonts w:ascii="Verdana" w:hAnsi="Verdana" w:cs="Open Sans"/>
          <w:i/>
          <w:sz w:val="16"/>
          <w:szCs w:val="16"/>
          <w:shd w:val="clear" w:color="auto" w:fill="FFFFFF"/>
        </w:rPr>
        <w:t>, supra,</w:t>
      </w:r>
      <w:r w:rsidRPr="008E72FA">
        <w:rPr>
          <w:rFonts w:ascii="Verdana" w:hAnsi="Verdana" w:cs="Open Sans"/>
          <w:sz w:val="16"/>
          <w:szCs w:val="16"/>
          <w:shd w:val="clear" w:color="auto" w:fill="FFFFFF"/>
          <w:lang w:val="es-ES"/>
        </w:rPr>
        <w:t xml:space="preserve">, párr. </w:t>
      </w:r>
      <w:r w:rsidRPr="009C2C1B">
        <w:rPr>
          <w:rFonts w:ascii="Verdana" w:hAnsi="Verdana" w:cs="Open Sans"/>
          <w:sz w:val="16"/>
          <w:szCs w:val="16"/>
          <w:shd w:val="clear" w:color="auto" w:fill="FFFFFF"/>
          <w:lang w:val="es-ES"/>
        </w:rPr>
        <w:t>321 e 323</w:t>
      </w:r>
      <w:r w:rsidRPr="00BD5F11">
        <w:rPr>
          <w:rFonts w:ascii="Verdana" w:hAnsi="Verdana" w:cs="Open Sans"/>
          <w:sz w:val="16"/>
          <w:szCs w:val="16"/>
          <w:shd w:val="clear" w:color="auto" w:fill="FFFFFF"/>
        </w:rPr>
        <w:t>.</w:t>
      </w:r>
    </w:p>
  </w:footnote>
  <w:footnote w:id="76">
    <w:p w14:paraId="077E8B07" w14:textId="578DDA61" w:rsidR="00194342" w:rsidRPr="00BD5F11" w:rsidRDefault="00194342" w:rsidP="00B21C1F">
      <w:pPr>
        <w:pStyle w:val="Textonotapie"/>
        <w:spacing w:after="0" w:line="240" w:lineRule="auto"/>
        <w:jc w:val="both"/>
        <w:rPr>
          <w:rFonts w:ascii="Verdana" w:hAnsi="Verdana"/>
          <w:sz w:val="16"/>
          <w:szCs w:val="16"/>
          <w:lang w:val="es-419"/>
        </w:rPr>
      </w:pPr>
      <w:r w:rsidRPr="00BD5F11">
        <w:rPr>
          <w:rStyle w:val="Refdenotaalpie"/>
          <w:rFonts w:ascii="Verdana" w:hAnsi="Verdana"/>
          <w:sz w:val="16"/>
          <w:szCs w:val="16"/>
        </w:rPr>
        <w:footnoteRef/>
      </w:r>
      <w:r w:rsidRPr="00BD5F11">
        <w:rPr>
          <w:rFonts w:ascii="Verdana" w:hAnsi="Verdana"/>
          <w:sz w:val="16"/>
          <w:szCs w:val="16"/>
        </w:rPr>
        <w:t xml:space="preserve"> </w:t>
      </w:r>
      <w:r w:rsidRPr="00BD5F11">
        <w:rPr>
          <w:rFonts w:ascii="Verdana" w:hAnsi="Verdana"/>
          <w:sz w:val="16"/>
          <w:szCs w:val="16"/>
        </w:rPr>
        <w:tab/>
      </w:r>
      <w:r w:rsidR="0080324A" w:rsidRPr="008E72FA">
        <w:rPr>
          <w:rFonts w:ascii="Verdana" w:hAnsi="Verdana" w:cs="Open Sans"/>
          <w:i/>
          <w:sz w:val="16"/>
          <w:szCs w:val="16"/>
          <w:shd w:val="clear" w:color="auto" w:fill="FFFFFF"/>
          <w:lang w:val="es-ES"/>
        </w:rPr>
        <w:t>Cfr.</w:t>
      </w:r>
      <w:r w:rsidRPr="00BD5F11">
        <w:rPr>
          <w:rFonts w:ascii="Verdana" w:hAnsi="Verdana" w:cs="Open Sans"/>
          <w:sz w:val="16"/>
          <w:szCs w:val="16"/>
          <w:shd w:val="clear" w:color="auto" w:fill="FFFFFF"/>
        </w:rPr>
        <w:t xml:space="preserve"> </w:t>
      </w:r>
      <w:r w:rsidRPr="008E72FA">
        <w:rPr>
          <w:rFonts w:ascii="Verdana" w:hAnsi="Verdana" w:cs="Open Sans"/>
          <w:i/>
          <w:sz w:val="16"/>
          <w:szCs w:val="16"/>
          <w:shd w:val="clear" w:color="auto" w:fill="FFFFFF"/>
        </w:rPr>
        <w:t>Caso Pueblos Kaliña y Lokono Vs. Surinam</w:t>
      </w:r>
      <w:r w:rsidR="000442B4">
        <w:rPr>
          <w:rFonts w:ascii="Verdana" w:hAnsi="Verdana" w:cs="Open Sans"/>
          <w:i/>
          <w:sz w:val="16"/>
          <w:szCs w:val="16"/>
          <w:shd w:val="clear" w:color="auto" w:fill="FFFFFF"/>
        </w:rPr>
        <w:t>, supra,</w:t>
      </w:r>
      <w:r w:rsidRPr="00BD5F11">
        <w:rPr>
          <w:rFonts w:ascii="Verdana" w:hAnsi="Verdana" w:cs="Open Sans"/>
          <w:sz w:val="16"/>
          <w:szCs w:val="16"/>
          <w:shd w:val="clear" w:color="auto" w:fill="FFFFFF"/>
          <w:lang w:val="es-419"/>
        </w:rPr>
        <w:t>, párr</w:t>
      </w:r>
      <w:r w:rsidR="000442B4">
        <w:rPr>
          <w:rFonts w:ascii="Verdana" w:hAnsi="Verdana" w:cs="Open Sans"/>
          <w:sz w:val="16"/>
          <w:szCs w:val="16"/>
          <w:shd w:val="clear" w:color="auto" w:fill="FFFFFF"/>
          <w:lang w:val="es-419"/>
        </w:rPr>
        <w:t>s</w:t>
      </w:r>
      <w:r w:rsidRPr="00BD5F11">
        <w:rPr>
          <w:rFonts w:ascii="Verdana" w:hAnsi="Verdana" w:cs="Open Sans"/>
          <w:sz w:val="16"/>
          <w:szCs w:val="16"/>
          <w:shd w:val="clear" w:color="auto" w:fill="FFFFFF"/>
          <w:lang w:val="es-419"/>
        </w:rPr>
        <w:t>. 90-93</w:t>
      </w:r>
      <w:r w:rsidRPr="00BD5F11">
        <w:rPr>
          <w:rFonts w:ascii="Verdana" w:hAnsi="Verdana" w:cs="Open Sans"/>
          <w:sz w:val="16"/>
          <w:szCs w:val="16"/>
          <w:shd w:val="clear" w:color="auto" w:fill="FFFFFF"/>
        </w:rPr>
        <w:t>.</w:t>
      </w:r>
    </w:p>
  </w:footnote>
  <w:footnote w:id="77">
    <w:p w14:paraId="1ACAA225" w14:textId="6B3896A5" w:rsidR="00194342" w:rsidRPr="002832BA" w:rsidRDefault="00194342" w:rsidP="00B21C1F">
      <w:pPr>
        <w:pStyle w:val="Textonotapie"/>
        <w:spacing w:after="0" w:line="240" w:lineRule="auto"/>
        <w:jc w:val="both"/>
        <w:rPr>
          <w:rFonts w:ascii="Verdana" w:hAnsi="Verdana"/>
          <w:sz w:val="16"/>
          <w:szCs w:val="16"/>
          <w:lang w:val="es-419"/>
        </w:rPr>
      </w:pPr>
      <w:r w:rsidRPr="00BD5F11">
        <w:rPr>
          <w:rStyle w:val="Refdenotaalpie"/>
          <w:rFonts w:ascii="Verdana" w:hAnsi="Verdana"/>
          <w:sz w:val="16"/>
          <w:szCs w:val="16"/>
        </w:rPr>
        <w:footnoteRef/>
      </w:r>
      <w:r w:rsidRPr="00BD5F11">
        <w:rPr>
          <w:rFonts w:ascii="Verdana" w:hAnsi="Verdana"/>
          <w:sz w:val="16"/>
          <w:szCs w:val="16"/>
        </w:rPr>
        <w:t xml:space="preserve"> </w:t>
      </w:r>
      <w:r w:rsidRPr="00BD5F11">
        <w:rPr>
          <w:rFonts w:ascii="Verdana" w:hAnsi="Verdana"/>
          <w:sz w:val="16"/>
          <w:szCs w:val="16"/>
        </w:rPr>
        <w:tab/>
      </w:r>
      <w:r w:rsidR="000442B4" w:rsidRPr="008E72FA">
        <w:rPr>
          <w:rFonts w:ascii="Verdana" w:hAnsi="Verdana" w:cs="Open Sans"/>
          <w:i/>
          <w:sz w:val="16"/>
          <w:szCs w:val="16"/>
          <w:shd w:val="clear" w:color="auto" w:fill="FFFFFF"/>
          <w:lang w:val="es-ES"/>
        </w:rPr>
        <w:t>Cfr.</w:t>
      </w:r>
      <w:r w:rsidR="000442B4" w:rsidRPr="00BD5F11">
        <w:rPr>
          <w:rFonts w:ascii="Verdana" w:hAnsi="Verdana" w:cs="Open Sans"/>
          <w:sz w:val="16"/>
          <w:szCs w:val="16"/>
          <w:shd w:val="clear" w:color="auto" w:fill="FFFFFF"/>
        </w:rPr>
        <w:t xml:space="preserve"> </w:t>
      </w:r>
      <w:r w:rsidR="000442B4" w:rsidRPr="008E72FA">
        <w:rPr>
          <w:rFonts w:ascii="Verdana" w:hAnsi="Verdana" w:cs="Open Sans"/>
          <w:i/>
          <w:sz w:val="16"/>
          <w:szCs w:val="16"/>
          <w:shd w:val="clear" w:color="auto" w:fill="FFFFFF"/>
        </w:rPr>
        <w:t>Caso Pueblos Kaliña y Lokono Vs. Surinam</w:t>
      </w:r>
      <w:r w:rsidR="000442B4">
        <w:rPr>
          <w:rFonts w:ascii="Verdana" w:hAnsi="Verdana" w:cs="Open Sans"/>
          <w:i/>
          <w:sz w:val="16"/>
          <w:szCs w:val="16"/>
          <w:shd w:val="clear" w:color="auto" w:fill="FFFFFF"/>
        </w:rPr>
        <w:t xml:space="preserve">, supra, </w:t>
      </w:r>
      <w:r w:rsidRPr="002832BA">
        <w:rPr>
          <w:rFonts w:ascii="Verdana" w:hAnsi="Verdana" w:cs="Open Sans"/>
          <w:sz w:val="16"/>
          <w:szCs w:val="16"/>
          <w:shd w:val="clear" w:color="auto" w:fill="FFFFFF"/>
          <w:lang w:val="es-419"/>
        </w:rPr>
        <w:t xml:space="preserve"> párr. 290</w:t>
      </w:r>
      <w:r w:rsidRPr="00BD5F11">
        <w:rPr>
          <w:rFonts w:ascii="Verdana" w:hAnsi="Verdana" w:cs="Open Sans"/>
          <w:sz w:val="16"/>
          <w:szCs w:val="16"/>
          <w:shd w:val="clear" w:color="auto" w:fill="FFFFFF"/>
        </w:rPr>
        <w:t>.</w:t>
      </w:r>
    </w:p>
  </w:footnote>
  <w:footnote w:id="78">
    <w:p w14:paraId="7DBFAABD" w14:textId="147239FE" w:rsidR="00194342" w:rsidRPr="002832BA" w:rsidRDefault="00194342" w:rsidP="00B21C1F">
      <w:pPr>
        <w:pStyle w:val="Textonotapie"/>
        <w:spacing w:after="0" w:line="240" w:lineRule="auto"/>
        <w:jc w:val="both"/>
        <w:rPr>
          <w:rFonts w:ascii="Verdana" w:hAnsi="Verdana"/>
          <w:sz w:val="16"/>
          <w:szCs w:val="16"/>
          <w:lang w:val="es-419"/>
        </w:rPr>
      </w:pPr>
      <w:r w:rsidRPr="00BD5F11">
        <w:rPr>
          <w:rStyle w:val="Refdenotaalpie"/>
          <w:rFonts w:ascii="Verdana" w:hAnsi="Verdana"/>
          <w:sz w:val="16"/>
          <w:szCs w:val="16"/>
        </w:rPr>
        <w:footnoteRef/>
      </w:r>
      <w:r w:rsidRPr="00BD5F11">
        <w:rPr>
          <w:rFonts w:ascii="Verdana" w:hAnsi="Verdana"/>
          <w:sz w:val="16"/>
          <w:szCs w:val="16"/>
        </w:rPr>
        <w:t xml:space="preserve"> </w:t>
      </w:r>
      <w:r w:rsidRPr="002832BA">
        <w:rPr>
          <w:rFonts w:ascii="Verdana" w:hAnsi="Verdana"/>
          <w:sz w:val="16"/>
          <w:szCs w:val="16"/>
          <w:lang w:val="es-419"/>
        </w:rPr>
        <w:tab/>
      </w:r>
      <w:r w:rsidR="000442B4" w:rsidRPr="008E72FA">
        <w:rPr>
          <w:rFonts w:ascii="Verdana" w:hAnsi="Verdana" w:cs="Open Sans"/>
          <w:i/>
          <w:sz w:val="16"/>
          <w:szCs w:val="16"/>
          <w:shd w:val="clear" w:color="auto" w:fill="FFFFFF"/>
          <w:lang w:val="es-ES"/>
        </w:rPr>
        <w:t>Cfr.</w:t>
      </w:r>
      <w:r w:rsidR="000442B4" w:rsidRPr="00BD5F11">
        <w:rPr>
          <w:rFonts w:ascii="Verdana" w:hAnsi="Verdana" w:cs="Open Sans"/>
          <w:sz w:val="16"/>
          <w:szCs w:val="16"/>
          <w:shd w:val="clear" w:color="auto" w:fill="FFFFFF"/>
        </w:rPr>
        <w:t xml:space="preserve"> </w:t>
      </w:r>
      <w:r w:rsidR="000442B4" w:rsidRPr="009C2C1B">
        <w:rPr>
          <w:rFonts w:ascii="Verdana" w:hAnsi="Verdana"/>
          <w:sz w:val="16"/>
          <w:szCs w:val="16"/>
          <w:lang w:val="es-CR"/>
        </w:rPr>
        <w:t>Informe de Fondo Nº 330/20, de 19 de febrero de 2009</w:t>
      </w:r>
      <w:r w:rsidRPr="009C2C1B">
        <w:rPr>
          <w:rFonts w:ascii="Verdana" w:hAnsi="Verdana"/>
          <w:sz w:val="16"/>
          <w:szCs w:val="16"/>
          <w:lang w:val="es-419"/>
        </w:rPr>
        <w:t>, párr. 15</w:t>
      </w:r>
      <w:r w:rsidRPr="000442B4">
        <w:rPr>
          <w:rFonts w:ascii="Verdana" w:hAnsi="Verdana"/>
          <w:sz w:val="16"/>
          <w:szCs w:val="16"/>
          <w:lang w:val="es-419"/>
        </w:rPr>
        <w:t>.</w:t>
      </w:r>
    </w:p>
  </w:footnote>
  <w:footnote w:id="79">
    <w:p w14:paraId="694D2714" w14:textId="56E09984" w:rsidR="00194342" w:rsidRPr="000442B4" w:rsidRDefault="00194342" w:rsidP="00B21C1F">
      <w:pPr>
        <w:pStyle w:val="Textonotapie"/>
        <w:spacing w:after="0" w:line="240" w:lineRule="auto"/>
        <w:jc w:val="both"/>
        <w:rPr>
          <w:rFonts w:ascii="Verdana" w:hAnsi="Verdana"/>
          <w:sz w:val="16"/>
          <w:szCs w:val="16"/>
          <w:lang w:val="es-419"/>
        </w:rPr>
      </w:pPr>
      <w:r w:rsidRPr="000442B4">
        <w:rPr>
          <w:rStyle w:val="Refdenotaalpie"/>
          <w:rFonts w:ascii="Verdana" w:hAnsi="Verdana"/>
          <w:sz w:val="16"/>
          <w:szCs w:val="16"/>
        </w:rPr>
        <w:footnoteRef/>
      </w:r>
      <w:r w:rsidRPr="000442B4">
        <w:rPr>
          <w:rFonts w:ascii="Verdana" w:hAnsi="Verdana"/>
          <w:sz w:val="16"/>
          <w:szCs w:val="16"/>
        </w:rPr>
        <w:t xml:space="preserve"> </w:t>
      </w:r>
      <w:r w:rsidRPr="000442B4">
        <w:rPr>
          <w:rFonts w:ascii="Verdana" w:hAnsi="Verdana"/>
          <w:sz w:val="16"/>
          <w:szCs w:val="16"/>
        </w:rPr>
        <w:tab/>
      </w:r>
      <w:r w:rsidR="000442B4" w:rsidRPr="009C2C1B">
        <w:rPr>
          <w:rFonts w:ascii="Verdana" w:hAnsi="Verdana" w:cs="Arial"/>
          <w:sz w:val="16"/>
          <w:szCs w:val="16"/>
          <w:lang w:val="es-419"/>
        </w:rPr>
        <w:t>Véase p</w:t>
      </w:r>
      <w:r w:rsidRPr="009C2C1B">
        <w:rPr>
          <w:rFonts w:ascii="Verdana" w:hAnsi="Verdana" w:cs="Arial"/>
          <w:sz w:val="16"/>
          <w:szCs w:val="16"/>
          <w:lang w:val="es-419"/>
        </w:rPr>
        <w:t>arráfo 33</w:t>
      </w:r>
      <w:r w:rsidR="000442B4">
        <w:rPr>
          <w:rFonts w:ascii="Verdana" w:hAnsi="Verdana" w:cs="Arial"/>
          <w:sz w:val="16"/>
          <w:szCs w:val="16"/>
          <w:lang w:val="es-419"/>
        </w:rPr>
        <w:t>3</w:t>
      </w:r>
      <w:r w:rsidRPr="009C2C1B">
        <w:rPr>
          <w:rFonts w:ascii="Verdana" w:hAnsi="Verdana" w:cs="Arial"/>
          <w:sz w:val="16"/>
          <w:szCs w:val="16"/>
          <w:lang w:val="es-419"/>
        </w:rPr>
        <w:t xml:space="preserve"> de la sentencia</w:t>
      </w:r>
      <w:r w:rsidRPr="000442B4">
        <w:rPr>
          <w:rFonts w:ascii="Verdana" w:hAnsi="Verdana" w:cs="Arial"/>
          <w:sz w:val="16"/>
          <w:szCs w:val="16"/>
          <w:lang w:val="es-419"/>
        </w:rPr>
        <w:t>.</w:t>
      </w:r>
    </w:p>
  </w:footnote>
  <w:footnote w:id="80">
    <w:p w14:paraId="7021873E" w14:textId="5DB47728" w:rsidR="00194342" w:rsidRPr="000442B4" w:rsidRDefault="00194342" w:rsidP="00B21C1F">
      <w:pPr>
        <w:pStyle w:val="Textonotapie"/>
        <w:spacing w:after="0" w:line="240" w:lineRule="auto"/>
        <w:jc w:val="both"/>
        <w:rPr>
          <w:rFonts w:ascii="Verdana" w:hAnsi="Verdana"/>
          <w:sz w:val="16"/>
          <w:szCs w:val="16"/>
          <w:lang w:val="es-419"/>
        </w:rPr>
      </w:pPr>
      <w:r w:rsidRPr="000442B4">
        <w:rPr>
          <w:rStyle w:val="Refdenotaalpie"/>
          <w:rFonts w:ascii="Verdana" w:hAnsi="Verdana"/>
          <w:sz w:val="16"/>
          <w:szCs w:val="16"/>
        </w:rPr>
        <w:footnoteRef/>
      </w:r>
      <w:r w:rsidRPr="000442B4">
        <w:rPr>
          <w:rFonts w:ascii="Verdana" w:hAnsi="Verdana"/>
          <w:sz w:val="16"/>
          <w:szCs w:val="16"/>
        </w:rPr>
        <w:t xml:space="preserve"> </w:t>
      </w:r>
      <w:r w:rsidRPr="000442B4">
        <w:rPr>
          <w:rFonts w:ascii="Verdana" w:hAnsi="Verdana"/>
          <w:sz w:val="16"/>
          <w:szCs w:val="16"/>
        </w:rPr>
        <w:tab/>
      </w:r>
      <w:r w:rsidR="000442B4" w:rsidRPr="009C2C1B">
        <w:rPr>
          <w:rFonts w:ascii="Verdana" w:hAnsi="Verdana" w:cs="Arial"/>
          <w:sz w:val="16"/>
          <w:szCs w:val="16"/>
          <w:lang w:val="es-419"/>
        </w:rPr>
        <w:t>Véase p</w:t>
      </w:r>
      <w:r w:rsidRPr="009C2C1B">
        <w:rPr>
          <w:rFonts w:ascii="Verdana" w:hAnsi="Verdana" w:cs="Arial"/>
          <w:sz w:val="16"/>
          <w:szCs w:val="16"/>
          <w:lang w:val="es-419"/>
        </w:rPr>
        <w:t>arráfo 33</w:t>
      </w:r>
      <w:r w:rsidR="000442B4">
        <w:rPr>
          <w:rFonts w:ascii="Verdana" w:hAnsi="Verdana" w:cs="Arial"/>
          <w:sz w:val="16"/>
          <w:szCs w:val="16"/>
          <w:lang w:val="es-419"/>
        </w:rPr>
        <w:t>4</w:t>
      </w:r>
      <w:r w:rsidRPr="009C2C1B">
        <w:rPr>
          <w:rFonts w:ascii="Verdana" w:hAnsi="Verdana" w:cs="Arial"/>
          <w:sz w:val="16"/>
          <w:szCs w:val="16"/>
          <w:lang w:val="es-419"/>
        </w:rPr>
        <w:t xml:space="preserve"> de la sentencia</w:t>
      </w:r>
      <w:r w:rsidRPr="000442B4">
        <w:rPr>
          <w:rFonts w:ascii="Verdana" w:hAnsi="Verdana" w:cs="Arial"/>
          <w:sz w:val="16"/>
          <w:szCs w:val="16"/>
          <w:lang w:val="es-419"/>
        </w:rPr>
        <w:t>.</w:t>
      </w:r>
    </w:p>
  </w:footnote>
  <w:footnote w:id="81">
    <w:p w14:paraId="645E3783" w14:textId="5DD71C00" w:rsidR="00194342" w:rsidRPr="000442B4" w:rsidRDefault="00194342" w:rsidP="00B21C1F">
      <w:pPr>
        <w:pStyle w:val="Textonotapie"/>
        <w:spacing w:after="0" w:line="240" w:lineRule="auto"/>
        <w:jc w:val="both"/>
        <w:rPr>
          <w:rFonts w:ascii="Verdana" w:hAnsi="Verdana"/>
          <w:sz w:val="16"/>
          <w:szCs w:val="16"/>
          <w:lang w:val="es-419"/>
        </w:rPr>
      </w:pPr>
      <w:r w:rsidRPr="000442B4">
        <w:rPr>
          <w:rStyle w:val="Refdenotaalpie"/>
          <w:rFonts w:ascii="Verdana" w:hAnsi="Verdana"/>
          <w:sz w:val="16"/>
          <w:szCs w:val="16"/>
        </w:rPr>
        <w:footnoteRef/>
      </w:r>
      <w:r w:rsidRPr="000442B4">
        <w:rPr>
          <w:rFonts w:ascii="Verdana" w:hAnsi="Verdana"/>
          <w:sz w:val="16"/>
          <w:szCs w:val="16"/>
        </w:rPr>
        <w:t xml:space="preserve"> </w:t>
      </w:r>
      <w:r w:rsidRPr="000442B4">
        <w:rPr>
          <w:rFonts w:ascii="Verdana" w:hAnsi="Verdana"/>
          <w:sz w:val="16"/>
          <w:szCs w:val="16"/>
        </w:rPr>
        <w:tab/>
      </w:r>
      <w:r w:rsidR="000442B4" w:rsidRPr="009C2C1B">
        <w:rPr>
          <w:rFonts w:ascii="Verdana" w:hAnsi="Verdana" w:cs="Arial"/>
          <w:sz w:val="16"/>
          <w:szCs w:val="16"/>
          <w:lang w:val="es-419"/>
        </w:rPr>
        <w:t>Véase p</w:t>
      </w:r>
      <w:r w:rsidRPr="009C2C1B">
        <w:rPr>
          <w:rFonts w:ascii="Verdana" w:hAnsi="Verdana" w:cs="Arial"/>
          <w:sz w:val="16"/>
          <w:szCs w:val="16"/>
          <w:lang w:val="es-419"/>
        </w:rPr>
        <w:t>arráfo 34</w:t>
      </w:r>
      <w:r w:rsidR="005A23B9">
        <w:rPr>
          <w:rFonts w:ascii="Verdana" w:hAnsi="Verdana" w:cs="Arial"/>
          <w:sz w:val="16"/>
          <w:szCs w:val="16"/>
          <w:lang w:val="es-419"/>
        </w:rPr>
        <w:t>6</w:t>
      </w:r>
      <w:r w:rsidRPr="009C2C1B">
        <w:rPr>
          <w:rFonts w:ascii="Verdana" w:hAnsi="Verdana" w:cs="Arial"/>
          <w:sz w:val="16"/>
          <w:szCs w:val="16"/>
          <w:lang w:val="es-419"/>
        </w:rPr>
        <w:t xml:space="preserve"> de la sentencia</w:t>
      </w:r>
      <w:r w:rsidRPr="000442B4">
        <w:rPr>
          <w:rFonts w:ascii="Verdana" w:hAnsi="Verdana" w:cs="Arial"/>
          <w:sz w:val="16"/>
          <w:szCs w:val="16"/>
          <w:lang w:val="es-419"/>
        </w:rPr>
        <w:t>.</w:t>
      </w:r>
    </w:p>
  </w:footnote>
  <w:footnote w:id="82">
    <w:p w14:paraId="0B2CA83B" w14:textId="4C7293AD" w:rsidR="00194342" w:rsidRPr="000442B4" w:rsidRDefault="00194342" w:rsidP="00B21C1F">
      <w:pPr>
        <w:pStyle w:val="Textonotapie"/>
        <w:spacing w:after="0" w:line="240" w:lineRule="auto"/>
        <w:jc w:val="both"/>
        <w:rPr>
          <w:rFonts w:ascii="Verdana" w:hAnsi="Verdana"/>
          <w:sz w:val="16"/>
          <w:szCs w:val="16"/>
          <w:lang w:val="es-419"/>
        </w:rPr>
      </w:pPr>
      <w:r w:rsidRPr="000442B4">
        <w:rPr>
          <w:rStyle w:val="Refdenotaalpie"/>
          <w:rFonts w:ascii="Verdana" w:hAnsi="Verdana"/>
          <w:sz w:val="16"/>
          <w:szCs w:val="16"/>
        </w:rPr>
        <w:footnoteRef/>
      </w:r>
      <w:r w:rsidRPr="000442B4">
        <w:rPr>
          <w:rFonts w:ascii="Verdana" w:hAnsi="Verdana"/>
          <w:sz w:val="16"/>
          <w:szCs w:val="16"/>
        </w:rPr>
        <w:t xml:space="preserve"> </w:t>
      </w:r>
      <w:r w:rsidRPr="000442B4">
        <w:rPr>
          <w:rFonts w:ascii="Verdana" w:hAnsi="Verdana"/>
          <w:sz w:val="16"/>
          <w:szCs w:val="16"/>
        </w:rPr>
        <w:tab/>
      </w:r>
      <w:r w:rsidR="000442B4" w:rsidRPr="009C2C1B">
        <w:rPr>
          <w:rFonts w:ascii="Verdana" w:hAnsi="Verdana" w:cs="Arial"/>
          <w:sz w:val="16"/>
          <w:szCs w:val="16"/>
          <w:lang w:val="es-419"/>
        </w:rPr>
        <w:t>Véase p</w:t>
      </w:r>
      <w:r w:rsidRPr="009C2C1B">
        <w:rPr>
          <w:rFonts w:ascii="Verdana" w:hAnsi="Verdana" w:cs="Arial"/>
          <w:sz w:val="16"/>
          <w:szCs w:val="16"/>
          <w:lang w:val="es-419"/>
        </w:rPr>
        <w:t>arráfo 34</w:t>
      </w:r>
      <w:r w:rsidR="005A23B9">
        <w:rPr>
          <w:rFonts w:ascii="Verdana" w:hAnsi="Verdana" w:cs="Arial"/>
          <w:sz w:val="16"/>
          <w:szCs w:val="16"/>
          <w:lang w:val="es-419"/>
        </w:rPr>
        <w:t>7</w:t>
      </w:r>
      <w:r w:rsidRPr="009C2C1B">
        <w:rPr>
          <w:rFonts w:ascii="Verdana" w:hAnsi="Verdana" w:cs="Arial"/>
          <w:sz w:val="16"/>
          <w:szCs w:val="16"/>
          <w:lang w:val="es-419"/>
        </w:rPr>
        <w:t xml:space="preserve"> de la sentencia</w:t>
      </w:r>
      <w:r w:rsidRPr="000442B4">
        <w:rPr>
          <w:rFonts w:ascii="Verdana" w:hAnsi="Verdana" w:cs="Arial"/>
          <w:sz w:val="16"/>
          <w:szCs w:val="16"/>
          <w:lang w:val="es-419"/>
        </w:rPr>
        <w:t>.</w:t>
      </w:r>
    </w:p>
  </w:footnote>
  <w:footnote w:id="83">
    <w:p w14:paraId="0871DA71" w14:textId="5FD0076D" w:rsidR="00194342" w:rsidRPr="002832BA" w:rsidRDefault="00194342" w:rsidP="00B21C1F">
      <w:pPr>
        <w:pStyle w:val="Textonotapie"/>
        <w:spacing w:after="0" w:line="240" w:lineRule="auto"/>
        <w:jc w:val="both"/>
        <w:rPr>
          <w:lang w:val="es-419"/>
        </w:rPr>
      </w:pPr>
      <w:r w:rsidRPr="000442B4">
        <w:rPr>
          <w:rStyle w:val="Refdenotaalpie"/>
          <w:rFonts w:ascii="Verdana" w:hAnsi="Verdana"/>
          <w:sz w:val="16"/>
          <w:szCs w:val="16"/>
        </w:rPr>
        <w:footnoteRef/>
      </w:r>
      <w:r w:rsidRPr="000442B4">
        <w:rPr>
          <w:rFonts w:ascii="Verdana" w:hAnsi="Verdana"/>
          <w:sz w:val="16"/>
          <w:szCs w:val="16"/>
        </w:rPr>
        <w:t xml:space="preserve"> </w:t>
      </w:r>
      <w:r w:rsidRPr="000442B4">
        <w:rPr>
          <w:rFonts w:ascii="Verdana" w:hAnsi="Verdana"/>
          <w:sz w:val="16"/>
          <w:szCs w:val="16"/>
        </w:rPr>
        <w:tab/>
      </w:r>
      <w:r w:rsidR="000442B4" w:rsidRPr="009C2C1B">
        <w:rPr>
          <w:rFonts w:ascii="Verdana" w:hAnsi="Verdana" w:cs="Arial"/>
          <w:sz w:val="16"/>
          <w:szCs w:val="16"/>
          <w:lang w:val="es-419"/>
        </w:rPr>
        <w:t>Véase p</w:t>
      </w:r>
      <w:r w:rsidRPr="009C2C1B">
        <w:rPr>
          <w:rFonts w:ascii="Verdana" w:hAnsi="Verdana" w:cs="Arial"/>
          <w:sz w:val="16"/>
          <w:szCs w:val="16"/>
          <w:lang w:val="es-419"/>
        </w:rPr>
        <w:t>árrafo 3</w:t>
      </w:r>
      <w:r w:rsidR="005A23B9">
        <w:rPr>
          <w:rFonts w:ascii="Verdana" w:hAnsi="Verdana" w:cs="Arial"/>
          <w:sz w:val="16"/>
          <w:szCs w:val="16"/>
          <w:lang w:val="es-419"/>
        </w:rPr>
        <w:t>49</w:t>
      </w:r>
      <w:r w:rsidRPr="009C2C1B">
        <w:rPr>
          <w:rFonts w:ascii="Verdana" w:hAnsi="Verdana" w:cs="Arial"/>
          <w:sz w:val="16"/>
          <w:szCs w:val="16"/>
          <w:lang w:val="es-419"/>
        </w:rPr>
        <w:t xml:space="preserve"> de la sentencia</w:t>
      </w:r>
      <w:r w:rsidRPr="000442B4">
        <w:rPr>
          <w:rFonts w:ascii="Verdana" w:hAnsi="Verdana" w:cs="Arial"/>
          <w:sz w:val="16"/>
          <w:szCs w:val="16"/>
          <w:lang w:val="es-419"/>
        </w:rPr>
        <w:t>.</w:t>
      </w:r>
    </w:p>
  </w:footnote>
  <w:footnote w:id="84">
    <w:p w14:paraId="67AC362F" w14:textId="184C520E" w:rsidR="00194342" w:rsidRPr="00611BB8" w:rsidRDefault="00194342" w:rsidP="00B21C1F">
      <w:pPr>
        <w:pStyle w:val="Textonotapie"/>
        <w:spacing w:after="0" w:line="240" w:lineRule="auto"/>
        <w:jc w:val="both"/>
        <w:rPr>
          <w:rFonts w:ascii="Verdana" w:hAnsi="Verdana"/>
          <w:sz w:val="16"/>
          <w:szCs w:val="16"/>
          <w:lang w:val="es-ES"/>
        </w:rPr>
      </w:pPr>
      <w:r w:rsidRPr="00961580">
        <w:rPr>
          <w:rStyle w:val="Refdenotaalpie"/>
          <w:rFonts w:ascii="Verdana" w:hAnsi="Verdana"/>
          <w:sz w:val="16"/>
          <w:szCs w:val="16"/>
        </w:rPr>
        <w:footnoteRef/>
      </w:r>
      <w:r w:rsidRPr="00961580">
        <w:rPr>
          <w:rFonts w:ascii="Verdana" w:hAnsi="Verdana"/>
          <w:sz w:val="16"/>
          <w:szCs w:val="16"/>
        </w:rPr>
        <w:t xml:space="preserve"> </w:t>
      </w:r>
      <w:r w:rsidRPr="00961580">
        <w:rPr>
          <w:rFonts w:ascii="Verdana" w:hAnsi="Verdana"/>
          <w:sz w:val="16"/>
          <w:szCs w:val="16"/>
        </w:rPr>
        <w:tab/>
      </w:r>
      <w:r w:rsidR="005A23B9" w:rsidRPr="009C2C1B">
        <w:rPr>
          <w:rFonts w:ascii="Verdana" w:hAnsi="Verdana" w:cs="Arial"/>
          <w:sz w:val="16"/>
          <w:szCs w:val="16"/>
          <w:lang w:val="es-419"/>
        </w:rPr>
        <w:t>Véase p</w:t>
      </w:r>
      <w:r w:rsidRPr="009C2C1B">
        <w:rPr>
          <w:rFonts w:ascii="Verdana" w:hAnsi="Verdana" w:cs="Arial"/>
          <w:sz w:val="16"/>
          <w:szCs w:val="16"/>
          <w:lang w:val="es-ES"/>
        </w:rPr>
        <w:t>árrafos 351-352 de la sentencia</w:t>
      </w:r>
      <w:r w:rsidRPr="005A23B9">
        <w:rPr>
          <w:rFonts w:ascii="Verdana" w:hAnsi="Verdana" w:cs="Arial"/>
          <w:sz w:val="16"/>
          <w:szCs w:val="16"/>
          <w:lang w:val="es-ES"/>
        </w:rPr>
        <w:t>.</w:t>
      </w:r>
    </w:p>
  </w:footnote>
  <w:footnote w:id="85">
    <w:p w14:paraId="1811CC6C" w14:textId="2C6E4C43" w:rsidR="00194342" w:rsidRPr="005A23B9" w:rsidRDefault="00194342" w:rsidP="00B21C1F">
      <w:pPr>
        <w:pStyle w:val="Textonotapie"/>
        <w:spacing w:after="0" w:line="240" w:lineRule="auto"/>
        <w:jc w:val="both"/>
        <w:rPr>
          <w:rFonts w:ascii="Verdana" w:hAnsi="Verdana"/>
          <w:sz w:val="16"/>
          <w:szCs w:val="16"/>
          <w:lang w:val="es-419"/>
        </w:rPr>
      </w:pPr>
      <w:r w:rsidRPr="005A23B9">
        <w:rPr>
          <w:rStyle w:val="Refdenotaalpie"/>
          <w:rFonts w:ascii="Verdana" w:hAnsi="Verdana"/>
          <w:sz w:val="16"/>
          <w:szCs w:val="16"/>
        </w:rPr>
        <w:footnoteRef/>
      </w:r>
      <w:r w:rsidRPr="005A23B9">
        <w:rPr>
          <w:rFonts w:ascii="Verdana" w:hAnsi="Verdana"/>
          <w:sz w:val="16"/>
          <w:szCs w:val="16"/>
        </w:rPr>
        <w:t xml:space="preserve"> </w:t>
      </w:r>
      <w:r w:rsidRPr="005A23B9">
        <w:rPr>
          <w:rFonts w:ascii="Verdana" w:hAnsi="Verdana"/>
          <w:sz w:val="16"/>
          <w:szCs w:val="16"/>
        </w:rPr>
        <w:tab/>
      </w:r>
      <w:r w:rsidR="005A23B9" w:rsidRPr="009C2C1B">
        <w:rPr>
          <w:rFonts w:ascii="Verdana" w:hAnsi="Verdana" w:cs="Arial"/>
          <w:sz w:val="16"/>
          <w:szCs w:val="16"/>
          <w:lang w:val="es-419"/>
        </w:rPr>
        <w:t>Véase p</w:t>
      </w:r>
      <w:r w:rsidRPr="009C2C1B">
        <w:rPr>
          <w:rFonts w:ascii="Verdana" w:hAnsi="Verdana" w:cs="Arial"/>
          <w:sz w:val="16"/>
          <w:szCs w:val="16"/>
          <w:lang w:val="es-419"/>
        </w:rPr>
        <w:t>árrafo 35</w:t>
      </w:r>
      <w:r w:rsidR="005A23B9">
        <w:rPr>
          <w:rFonts w:ascii="Verdana" w:hAnsi="Verdana" w:cs="Arial"/>
          <w:sz w:val="16"/>
          <w:szCs w:val="16"/>
          <w:lang w:val="es-419"/>
        </w:rPr>
        <w:t>3</w:t>
      </w:r>
      <w:r w:rsidRPr="009C2C1B">
        <w:rPr>
          <w:rFonts w:ascii="Verdana" w:hAnsi="Verdana" w:cs="Arial"/>
          <w:sz w:val="16"/>
          <w:szCs w:val="16"/>
          <w:lang w:val="es-419"/>
        </w:rPr>
        <w:t xml:space="preserve"> de la sentencia</w:t>
      </w:r>
      <w:r w:rsidRPr="005A23B9">
        <w:rPr>
          <w:rFonts w:ascii="Verdana" w:hAnsi="Verdana" w:cs="Arial"/>
          <w:sz w:val="16"/>
          <w:szCs w:val="16"/>
          <w:lang w:val="es-419"/>
        </w:rPr>
        <w:t>.</w:t>
      </w:r>
    </w:p>
  </w:footnote>
  <w:footnote w:id="86">
    <w:p w14:paraId="37582175" w14:textId="2DEA2226" w:rsidR="00194342" w:rsidRPr="005A23B9" w:rsidRDefault="00194342" w:rsidP="00B21C1F">
      <w:pPr>
        <w:pStyle w:val="Textonotapie"/>
        <w:spacing w:after="0" w:line="240" w:lineRule="auto"/>
        <w:jc w:val="both"/>
        <w:rPr>
          <w:rFonts w:ascii="Verdana" w:hAnsi="Verdana"/>
          <w:sz w:val="16"/>
          <w:szCs w:val="16"/>
          <w:lang w:val="es-419"/>
        </w:rPr>
      </w:pPr>
      <w:r w:rsidRPr="005A23B9">
        <w:rPr>
          <w:rStyle w:val="Refdenotaalpie"/>
          <w:rFonts w:ascii="Verdana" w:hAnsi="Verdana"/>
          <w:sz w:val="16"/>
          <w:szCs w:val="16"/>
        </w:rPr>
        <w:footnoteRef/>
      </w:r>
      <w:r w:rsidRPr="005A23B9">
        <w:rPr>
          <w:rFonts w:ascii="Verdana" w:hAnsi="Verdana"/>
          <w:sz w:val="16"/>
          <w:szCs w:val="16"/>
        </w:rPr>
        <w:t xml:space="preserve"> </w:t>
      </w:r>
      <w:r w:rsidRPr="005A23B9">
        <w:rPr>
          <w:rFonts w:ascii="Verdana" w:hAnsi="Verdana"/>
          <w:sz w:val="16"/>
          <w:szCs w:val="16"/>
        </w:rPr>
        <w:tab/>
      </w:r>
      <w:r w:rsidR="005A23B9" w:rsidRPr="009C2C1B">
        <w:rPr>
          <w:rFonts w:ascii="Verdana" w:hAnsi="Verdana" w:cs="Arial"/>
          <w:sz w:val="16"/>
          <w:szCs w:val="16"/>
          <w:lang w:val="es-419"/>
        </w:rPr>
        <w:t>Véase p</w:t>
      </w:r>
      <w:r w:rsidRPr="009C2C1B">
        <w:rPr>
          <w:rFonts w:ascii="Verdana" w:hAnsi="Verdana" w:cs="Arial"/>
          <w:sz w:val="16"/>
          <w:szCs w:val="16"/>
          <w:lang w:val="es-419"/>
        </w:rPr>
        <w:t>árrafo 35</w:t>
      </w:r>
      <w:r w:rsidR="005A23B9">
        <w:rPr>
          <w:rFonts w:ascii="Verdana" w:hAnsi="Verdana" w:cs="Arial"/>
          <w:sz w:val="16"/>
          <w:szCs w:val="16"/>
          <w:lang w:val="es-419"/>
        </w:rPr>
        <w:t>4</w:t>
      </w:r>
      <w:r w:rsidRPr="009C2C1B">
        <w:rPr>
          <w:rFonts w:ascii="Verdana" w:hAnsi="Verdana" w:cs="Arial"/>
          <w:sz w:val="16"/>
          <w:szCs w:val="16"/>
          <w:lang w:val="es-419"/>
        </w:rPr>
        <w:t xml:space="preserve"> de la sentencia</w:t>
      </w:r>
      <w:r w:rsidRPr="005A23B9">
        <w:rPr>
          <w:rFonts w:ascii="Verdana" w:hAnsi="Verdana" w:cs="Arial"/>
          <w:sz w:val="16"/>
          <w:szCs w:val="16"/>
          <w:lang w:val="es-419"/>
        </w:rPr>
        <w:t>.</w:t>
      </w:r>
    </w:p>
  </w:footnote>
  <w:footnote w:id="87">
    <w:p w14:paraId="3EFA3678" w14:textId="3D9E743E" w:rsidR="00194342" w:rsidRPr="005A23B9" w:rsidRDefault="00194342" w:rsidP="00B21C1F">
      <w:pPr>
        <w:pStyle w:val="Textonotapie"/>
        <w:spacing w:after="0" w:line="240" w:lineRule="auto"/>
        <w:jc w:val="both"/>
        <w:rPr>
          <w:rFonts w:ascii="Verdana" w:hAnsi="Verdana"/>
          <w:sz w:val="16"/>
          <w:szCs w:val="16"/>
          <w:lang w:val="es-419"/>
        </w:rPr>
      </w:pPr>
      <w:r w:rsidRPr="005A23B9">
        <w:rPr>
          <w:rStyle w:val="Refdenotaalpie"/>
          <w:rFonts w:ascii="Verdana" w:hAnsi="Verdana"/>
          <w:sz w:val="16"/>
          <w:szCs w:val="16"/>
        </w:rPr>
        <w:footnoteRef/>
      </w:r>
      <w:r w:rsidRPr="005A23B9">
        <w:rPr>
          <w:rFonts w:ascii="Verdana" w:hAnsi="Verdana"/>
          <w:sz w:val="16"/>
          <w:szCs w:val="16"/>
        </w:rPr>
        <w:t xml:space="preserve"> </w:t>
      </w:r>
      <w:r w:rsidRPr="005A23B9">
        <w:rPr>
          <w:rFonts w:ascii="Verdana" w:hAnsi="Verdana"/>
          <w:sz w:val="16"/>
          <w:szCs w:val="16"/>
        </w:rPr>
        <w:tab/>
      </w:r>
      <w:r w:rsidR="005A23B9" w:rsidRPr="009C2C1B">
        <w:rPr>
          <w:rFonts w:ascii="Verdana" w:hAnsi="Verdana" w:cs="Arial"/>
          <w:sz w:val="16"/>
          <w:szCs w:val="16"/>
          <w:lang w:val="es-419"/>
        </w:rPr>
        <w:t>Véase p</w:t>
      </w:r>
      <w:r w:rsidRPr="009C2C1B">
        <w:rPr>
          <w:rFonts w:ascii="Verdana" w:hAnsi="Verdana" w:cs="Arial"/>
          <w:sz w:val="16"/>
          <w:szCs w:val="16"/>
          <w:lang w:val="es-419"/>
        </w:rPr>
        <w:t>árrafo 355 de la sentencia</w:t>
      </w:r>
      <w:r w:rsidRPr="005A23B9">
        <w:rPr>
          <w:rFonts w:ascii="Verdana" w:hAnsi="Verdana" w:cs="Arial"/>
          <w:sz w:val="16"/>
          <w:szCs w:val="16"/>
          <w:lang w:val="es-419"/>
        </w:rPr>
        <w:t>.</w:t>
      </w:r>
    </w:p>
  </w:footnote>
  <w:footnote w:id="88">
    <w:p w14:paraId="127D6E12" w14:textId="226B4BC3" w:rsidR="00194342" w:rsidRPr="009C2C1B" w:rsidRDefault="00194342" w:rsidP="00B21C1F">
      <w:pPr>
        <w:pStyle w:val="Textonotapie"/>
        <w:spacing w:after="0" w:line="240" w:lineRule="auto"/>
        <w:jc w:val="both"/>
        <w:rPr>
          <w:rFonts w:ascii="Verdana" w:hAnsi="Verdana"/>
          <w:sz w:val="16"/>
          <w:szCs w:val="16"/>
          <w:lang w:val="es-ES"/>
        </w:rPr>
      </w:pPr>
      <w:r w:rsidRPr="005A23B9">
        <w:rPr>
          <w:rStyle w:val="Refdenotaalpie"/>
          <w:rFonts w:ascii="Verdana" w:hAnsi="Verdana"/>
          <w:sz w:val="16"/>
          <w:szCs w:val="16"/>
        </w:rPr>
        <w:footnoteRef/>
      </w:r>
      <w:r w:rsidRPr="005A23B9">
        <w:rPr>
          <w:rFonts w:ascii="Verdana" w:hAnsi="Verdana"/>
          <w:sz w:val="16"/>
          <w:szCs w:val="16"/>
        </w:rPr>
        <w:t xml:space="preserve"> </w:t>
      </w:r>
      <w:r w:rsidRPr="005A23B9">
        <w:rPr>
          <w:rFonts w:ascii="Verdana" w:hAnsi="Verdana"/>
          <w:sz w:val="16"/>
          <w:szCs w:val="16"/>
          <w:lang w:val="es-419"/>
        </w:rPr>
        <w:tab/>
      </w:r>
      <w:r w:rsidR="005A23B9" w:rsidRPr="008E72FA">
        <w:rPr>
          <w:rFonts w:ascii="Verdana" w:hAnsi="Verdana" w:cs="Open Sans"/>
          <w:i/>
          <w:sz w:val="16"/>
          <w:szCs w:val="16"/>
          <w:shd w:val="clear" w:color="auto" w:fill="FFFFFF"/>
          <w:lang w:val="es-ES"/>
        </w:rPr>
        <w:t>Cfr.</w:t>
      </w:r>
      <w:r w:rsidR="005A23B9" w:rsidRPr="00BD5F11">
        <w:rPr>
          <w:rFonts w:ascii="Verdana" w:hAnsi="Verdana" w:cs="Open Sans"/>
          <w:sz w:val="16"/>
          <w:szCs w:val="16"/>
          <w:shd w:val="clear" w:color="auto" w:fill="FFFFFF"/>
        </w:rPr>
        <w:t xml:space="preserve"> </w:t>
      </w:r>
      <w:r w:rsidR="005A23B9" w:rsidRPr="00675748">
        <w:rPr>
          <w:rFonts w:ascii="Verdana" w:hAnsi="Verdana"/>
          <w:sz w:val="16"/>
          <w:szCs w:val="16"/>
          <w:lang w:val="es-CR"/>
        </w:rPr>
        <w:t>Informe de Fondo Nº 330/20, de 19 de febrero de 2009</w:t>
      </w:r>
      <w:r w:rsidRPr="009C2C1B">
        <w:rPr>
          <w:rFonts w:ascii="Verdana" w:hAnsi="Verdana"/>
          <w:sz w:val="16"/>
          <w:szCs w:val="16"/>
          <w:lang w:val="es-419"/>
        </w:rPr>
        <w:t xml:space="preserve">, párr. </w:t>
      </w:r>
      <w:r w:rsidRPr="009C2C1B">
        <w:rPr>
          <w:rFonts w:ascii="Verdana" w:hAnsi="Verdana"/>
          <w:sz w:val="16"/>
          <w:szCs w:val="16"/>
          <w:lang w:val="es-ES"/>
        </w:rPr>
        <w:t>211.</w:t>
      </w:r>
    </w:p>
  </w:footnote>
  <w:footnote w:id="89">
    <w:p w14:paraId="4F62BB3A" w14:textId="1F6B26D6" w:rsidR="00194342" w:rsidRPr="00887E1F" w:rsidRDefault="00194342" w:rsidP="00B21C1F">
      <w:pPr>
        <w:pStyle w:val="Textonotapie"/>
        <w:spacing w:after="0" w:line="240" w:lineRule="auto"/>
        <w:jc w:val="both"/>
        <w:rPr>
          <w:rFonts w:ascii="Verdana" w:hAnsi="Verdana"/>
          <w:sz w:val="16"/>
          <w:szCs w:val="16"/>
          <w:lang w:val="es-UY"/>
        </w:rPr>
      </w:pPr>
      <w:r w:rsidRPr="005A23B9">
        <w:rPr>
          <w:rStyle w:val="Refdenotaalpie"/>
          <w:rFonts w:ascii="Verdana" w:hAnsi="Verdana"/>
          <w:sz w:val="16"/>
          <w:szCs w:val="16"/>
        </w:rPr>
        <w:footnoteRef/>
      </w:r>
      <w:r w:rsidRPr="005A23B9">
        <w:rPr>
          <w:rFonts w:ascii="Verdana" w:hAnsi="Verdana"/>
          <w:sz w:val="16"/>
          <w:szCs w:val="16"/>
        </w:rPr>
        <w:t xml:space="preserve"> </w:t>
      </w:r>
      <w:r w:rsidRPr="005A23B9">
        <w:rPr>
          <w:rFonts w:ascii="Verdana" w:hAnsi="Verdana"/>
          <w:sz w:val="16"/>
          <w:szCs w:val="16"/>
        </w:rPr>
        <w:tab/>
      </w:r>
      <w:r w:rsidR="005A23B9" w:rsidRPr="009C2C1B">
        <w:rPr>
          <w:rFonts w:ascii="Verdana" w:hAnsi="Verdana" w:cs="Arial"/>
          <w:sz w:val="16"/>
          <w:szCs w:val="16"/>
          <w:lang w:val="es-419"/>
        </w:rPr>
        <w:t>Véase p</w:t>
      </w:r>
      <w:r w:rsidRPr="009C2C1B">
        <w:rPr>
          <w:rFonts w:ascii="Verdana" w:hAnsi="Verdana"/>
          <w:sz w:val="16"/>
          <w:szCs w:val="16"/>
          <w:lang w:val="es-UY"/>
        </w:rPr>
        <w:t>árrafo 1</w:t>
      </w:r>
      <w:r w:rsidR="005A23B9">
        <w:rPr>
          <w:rFonts w:ascii="Verdana" w:hAnsi="Verdana"/>
          <w:sz w:val="16"/>
          <w:szCs w:val="16"/>
          <w:lang w:val="es-UY"/>
        </w:rPr>
        <w:t>29</w:t>
      </w:r>
      <w:r w:rsidRPr="009C2C1B">
        <w:rPr>
          <w:rFonts w:ascii="Verdana" w:hAnsi="Verdana"/>
          <w:sz w:val="16"/>
          <w:szCs w:val="16"/>
          <w:lang w:val="es-UY"/>
        </w:rPr>
        <w:t xml:space="preserve"> de la sentencia</w:t>
      </w:r>
      <w:r w:rsidRPr="005A23B9">
        <w:rPr>
          <w:rFonts w:ascii="Verdana" w:hAnsi="Verdana"/>
          <w:sz w:val="16"/>
          <w:szCs w:val="16"/>
          <w:lang w:val="es-UY"/>
        </w:rPr>
        <w:t>.</w:t>
      </w:r>
    </w:p>
  </w:footnote>
  <w:footnote w:id="90">
    <w:p w14:paraId="19B58E4B" w14:textId="0A8CE474" w:rsidR="00194342" w:rsidRPr="00887E1F" w:rsidRDefault="00194342" w:rsidP="00B21C1F">
      <w:pPr>
        <w:pStyle w:val="Textonotapie"/>
        <w:snapToGrid w:val="0"/>
        <w:spacing w:after="0" w:line="240" w:lineRule="auto"/>
        <w:ind w:right="-64"/>
        <w:jc w:val="both"/>
        <w:rPr>
          <w:rFonts w:ascii="Verdana" w:hAnsi="Verdana"/>
          <w:sz w:val="16"/>
          <w:szCs w:val="16"/>
          <w:lang w:val="es-UY"/>
        </w:rPr>
      </w:pPr>
      <w:r w:rsidRPr="00887E1F">
        <w:rPr>
          <w:rStyle w:val="Refdenotaalpie"/>
          <w:rFonts w:ascii="Verdana" w:hAnsi="Verdana"/>
          <w:sz w:val="16"/>
          <w:szCs w:val="16"/>
        </w:rPr>
        <w:footnoteRef/>
      </w:r>
      <w:r w:rsidRPr="00887E1F">
        <w:rPr>
          <w:rFonts w:ascii="Verdana" w:hAnsi="Verdana"/>
          <w:sz w:val="16"/>
          <w:szCs w:val="16"/>
        </w:rPr>
        <w:t xml:space="preserve"> </w:t>
      </w:r>
      <w:r>
        <w:rPr>
          <w:rFonts w:ascii="Verdana" w:hAnsi="Verdana"/>
          <w:sz w:val="16"/>
          <w:szCs w:val="16"/>
        </w:rPr>
        <w:tab/>
      </w:r>
      <w:r w:rsidR="004A2374" w:rsidRPr="008E72FA">
        <w:rPr>
          <w:rFonts w:ascii="Verdana" w:hAnsi="Verdana"/>
          <w:i/>
          <w:sz w:val="16"/>
          <w:szCs w:val="16"/>
          <w:lang w:val="es-UY"/>
        </w:rPr>
        <w:t>Cfr.</w:t>
      </w:r>
      <w:r w:rsidRPr="00887E1F">
        <w:rPr>
          <w:rFonts w:ascii="Verdana" w:hAnsi="Verdana"/>
          <w:sz w:val="16"/>
          <w:szCs w:val="16"/>
          <w:lang w:val="es-UY"/>
        </w:rPr>
        <w:t xml:space="preserve"> </w:t>
      </w:r>
      <w:r w:rsidRPr="008E72FA">
        <w:rPr>
          <w:rStyle w:val="Textoennegrita"/>
          <w:rFonts w:ascii="Verdana" w:hAnsi="Verdana" w:cs="Arial"/>
          <w:b w:val="0"/>
          <w:bCs w:val="0"/>
          <w:i/>
          <w:sz w:val="16"/>
          <w:szCs w:val="16"/>
          <w:shd w:val="clear" w:color="auto" w:fill="FFFFFF"/>
          <w:lang w:val="es-UY"/>
        </w:rPr>
        <w:t>La denuncia de la Convención Americana sobre derechos humanos y de la Carta de la Organización de los Estados Americanos y sus efectos sobre las obligaciones estatales en materia de derechos humanos (Interpretación y alcance de los artículos 1, 2, 27, 29, 30, 31, 32, 33 a 65 y 78 de la Convención Americana sobre Derechos Humanos y 3.l), 17, 45, 53, 106 y 143 de la Carta de la Organización de los Estados Americanos)</w:t>
      </w:r>
      <w:r w:rsidR="004A2374">
        <w:rPr>
          <w:rStyle w:val="Textoennegrita"/>
          <w:rFonts w:ascii="Verdana" w:hAnsi="Verdana" w:cs="Arial"/>
          <w:b w:val="0"/>
          <w:bCs w:val="0"/>
          <w:sz w:val="16"/>
          <w:szCs w:val="16"/>
          <w:shd w:val="clear" w:color="auto" w:fill="FFFFFF"/>
          <w:lang w:val="es-UY"/>
        </w:rPr>
        <w:t>.</w:t>
      </w:r>
      <w:r w:rsidRPr="00CF72C7">
        <w:rPr>
          <w:rStyle w:val="Textoennegrita"/>
          <w:rFonts w:ascii="Verdana" w:hAnsi="Verdana" w:cs="Arial"/>
          <w:b w:val="0"/>
          <w:bCs w:val="0"/>
          <w:sz w:val="16"/>
          <w:szCs w:val="16"/>
          <w:shd w:val="clear" w:color="auto" w:fill="FFFFFF"/>
        </w:rPr>
        <w:t xml:space="preserve"> Opinión Consultiva OC-2</w:t>
      </w:r>
      <w:r w:rsidRPr="00CF72C7">
        <w:rPr>
          <w:rStyle w:val="Textoennegrita"/>
          <w:rFonts w:ascii="Verdana" w:hAnsi="Verdana" w:cs="Arial"/>
          <w:b w:val="0"/>
          <w:bCs w:val="0"/>
          <w:sz w:val="16"/>
          <w:szCs w:val="16"/>
          <w:shd w:val="clear" w:color="auto" w:fill="FFFFFF"/>
          <w:lang w:val="es-UY"/>
        </w:rPr>
        <w:t>6</w:t>
      </w:r>
      <w:r w:rsidRPr="00CF72C7">
        <w:rPr>
          <w:rStyle w:val="Textoennegrita"/>
          <w:rFonts w:ascii="Verdana" w:hAnsi="Verdana" w:cs="Arial"/>
          <w:b w:val="0"/>
          <w:bCs w:val="0"/>
          <w:sz w:val="16"/>
          <w:szCs w:val="16"/>
          <w:shd w:val="clear" w:color="auto" w:fill="FFFFFF"/>
        </w:rPr>
        <w:t>/</w:t>
      </w:r>
      <w:r w:rsidRPr="00CF72C7">
        <w:rPr>
          <w:rStyle w:val="Textoennegrita"/>
          <w:rFonts w:ascii="Verdana" w:hAnsi="Verdana" w:cs="Arial"/>
          <w:b w:val="0"/>
          <w:bCs w:val="0"/>
          <w:sz w:val="16"/>
          <w:szCs w:val="16"/>
          <w:shd w:val="clear" w:color="auto" w:fill="FFFFFF"/>
          <w:lang w:val="es-UY"/>
        </w:rPr>
        <w:t>20</w:t>
      </w:r>
      <w:r w:rsidRPr="00CF72C7">
        <w:rPr>
          <w:rStyle w:val="Textoennegrita"/>
          <w:rFonts w:ascii="Verdana" w:hAnsi="Verdana" w:cs="Arial"/>
          <w:b w:val="0"/>
          <w:bCs w:val="0"/>
          <w:sz w:val="16"/>
          <w:szCs w:val="16"/>
          <w:shd w:val="clear" w:color="auto" w:fill="FFFFFF"/>
        </w:rPr>
        <w:t xml:space="preserve"> de </w:t>
      </w:r>
      <w:r w:rsidRPr="00CF72C7">
        <w:rPr>
          <w:rStyle w:val="Textoennegrita"/>
          <w:rFonts w:ascii="Verdana" w:hAnsi="Verdana" w:cs="Arial"/>
          <w:b w:val="0"/>
          <w:bCs w:val="0"/>
          <w:sz w:val="16"/>
          <w:szCs w:val="16"/>
          <w:shd w:val="clear" w:color="auto" w:fill="FFFFFF"/>
          <w:lang w:val="es-UY"/>
        </w:rPr>
        <w:t>9</w:t>
      </w:r>
      <w:r w:rsidRPr="00CF72C7">
        <w:rPr>
          <w:rStyle w:val="Textoennegrita"/>
          <w:rFonts w:ascii="Verdana" w:hAnsi="Verdana" w:cs="Arial"/>
          <w:b w:val="0"/>
          <w:bCs w:val="0"/>
          <w:sz w:val="16"/>
          <w:szCs w:val="16"/>
          <w:shd w:val="clear" w:color="auto" w:fill="FFFFFF"/>
        </w:rPr>
        <w:t xml:space="preserve"> de noviembre de 20</w:t>
      </w:r>
      <w:r w:rsidRPr="00CF72C7">
        <w:rPr>
          <w:rStyle w:val="Textoennegrita"/>
          <w:rFonts w:ascii="Verdana" w:hAnsi="Verdana" w:cs="Arial"/>
          <w:b w:val="0"/>
          <w:bCs w:val="0"/>
          <w:sz w:val="16"/>
          <w:szCs w:val="16"/>
          <w:shd w:val="clear" w:color="auto" w:fill="FFFFFF"/>
          <w:lang w:val="es-UY"/>
        </w:rPr>
        <w:t>20</w:t>
      </w:r>
      <w:r w:rsidRPr="00CF72C7">
        <w:rPr>
          <w:rStyle w:val="Textoennegrita"/>
          <w:rFonts w:ascii="Verdana" w:hAnsi="Verdana" w:cs="Arial"/>
          <w:b w:val="0"/>
          <w:bCs w:val="0"/>
          <w:sz w:val="16"/>
          <w:szCs w:val="16"/>
          <w:shd w:val="clear" w:color="auto" w:fill="FFFFFF"/>
        </w:rPr>
        <w:t>. Serie A No. 2</w:t>
      </w:r>
      <w:r w:rsidRPr="00CF72C7">
        <w:rPr>
          <w:rStyle w:val="Textoennegrita"/>
          <w:rFonts w:ascii="Verdana" w:hAnsi="Verdana" w:cs="Arial"/>
          <w:b w:val="0"/>
          <w:bCs w:val="0"/>
          <w:sz w:val="16"/>
          <w:szCs w:val="16"/>
          <w:shd w:val="clear" w:color="auto" w:fill="FFFFFF"/>
          <w:lang w:val="es-UY"/>
        </w:rPr>
        <w:t>6</w:t>
      </w:r>
      <w:r w:rsidR="00F75E45">
        <w:rPr>
          <w:rStyle w:val="Textoennegrita"/>
          <w:rFonts w:ascii="Verdana" w:hAnsi="Verdana" w:cs="Arial"/>
          <w:b w:val="0"/>
          <w:bCs w:val="0"/>
          <w:sz w:val="16"/>
          <w:szCs w:val="16"/>
          <w:shd w:val="clear" w:color="auto" w:fill="FFFFFF"/>
          <w:lang w:val="es-ES"/>
        </w:rPr>
        <w:t>,</w:t>
      </w:r>
      <w:r w:rsidRPr="008E72FA">
        <w:rPr>
          <w:rStyle w:val="Textoennegrita"/>
          <w:rFonts w:ascii="Verdana" w:hAnsi="Verdana" w:cs="Arial"/>
          <w:b w:val="0"/>
          <w:sz w:val="16"/>
          <w:szCs w:val="16"/>
          <w:shd w:val="clear" w:color="auto" w:fill="FFFFFF"/>
          <w:lang w:val="es-ES"/>
        </w:rPr>
        <w:t xml:space="preserve"> </w:t>
      </w:r>
      <w:r w:rsidR="004A2374">
        <w:rPr>
          <w:rFonts w:ascii="Verdana" w:hAnsi="Verdana"/>
          <w:sz w:val="16"/>
          <w:szCs w:val="16"/>
          <w:lang w:val="es-UY"/>
        </w:rPr>
        <w:t>p</w:t>
      </w:r>
      <w:r w:rsidRPr="00887E1F">
        <w:rPr>
          <w:rFonts w:ascii="Verdana" w:hAnsi="Verdana"/>
          <w:sz w:val="16"/>
          <w:szCs w:val="16"/>
          <w:lang w:val="es-UY"/>
        </w:rPr>
        <w:t>árr. 105</w:t>
      </w:r>
      <w:r>
        <w:rPr>
          <w:rFonts w:ascii="Verdana" w:hAnsi="Verdana"/>
          <w:sz w:val="16"/>
          <w:szCs w:val="16"/>
          <w:lang w:val="es-UY"/>
        </w:rPr>
        <w:t>.</w:t>
      </w:r>
    </w:p>
  </w:footnote>
  <w:footnote w:id="91">
    <w:p w14:paraId="65208E23" w14:textId="2F382AB7" w:rsidR="00194342" w:rsidRPr="00887E1F" w:rsidRDefault="00194342" w:rsidP="00B21C1F">
      <w:pPr>
        <w:pStyle w:val="Textonotapie"/>
        <w:spacing w:after="0" w:line="240" w:lineRule="auto"/>
        <w:jc w:val="both"/>
        <w:rPr>
          <w:rFonts w:ascii="Verdana" w:hAnsi="Verdana"/>
          <w:sz w:val="16"/>
          <w:szCs w:val="16"/>
          <w:lang w:val="es-UY"/>
        </w:rPr>
      </w:pPr>
      <w:r w:rsidRPr="00887E1F">
        <w:rPr>
          <w:rStyle w:val="Refdenotaalpie"/>
          <w:rFonts w:ascii="Verdana" w:hAnsi="Verdana"/>
          <w:sz w:val="16"/>
          <w:szCs w:val="16"/>
        </w:rPr>
        <w:footnoteRef/>
      </w:r>
      <w:r w:rsidRPr="00887E1F">
        <w:rPr>
          <w:rFonts w:ascii="Verdana" w:hAnsi="Verdana"/>
          <w:sz w:val="16"/>
          <w:szCs w:val="16"/>
        </w:rPr>
        <w:t xml:space="preserve"> </w:t>
      </w:r>
      <w:r>
        <w:rPr>
          <w:rFonts w:ascii="Verdana" w:hAnsi="Verdana"/>
          <w:sz w:val="16"/>
          <w:szCs w:val="16"/>
        </w:rPr>
        <w:tab/>
      </w:r>
      <w:r w:rsidRPr="00887E1F">
        <w:rPr>
          <w:rFonts w:ascii="Verdana" w:hAnsi="Verdana"/>
          <w:sz w:val="16"/>
          <w:szCs w:val="16"/>
          <w:lang w:val="es-UY"/>
        </w:rPr>
        <w:t>Corte Internacional de Justicia. Reservas a la Convención para la Prevención y la Sanción del Delito de Genocidio. Opinión Consultiva de 28 de mayo de 1951.</w:t>
      </w:r>
    </w:p>
  </w:footnote>
  <w:footnote w:id="92">
    <w:p w14:paraId="2CF9CC14" w14:textId="6978CCC9" w:rsidR="00194342" w:rsidRPr="00887E1F" w:rsidRDefault="00194342" w:rsidP="00B21C1F">
      <w:pPr>
        <w:pStyle w:val="Textonotapie"/>
        <w:spacing w:after="0" w:line="240" w:lineRule="auto"/>
        <w:jc w:val="both"/>
        <w:rPr>
          <w:rFonts w:ascii="Verdana" w:hAnsi="Verdana"/>
          <w:sz w:val="16"/>
          <w:szCs w:val="16"/>
          <w:lang w:val="es-UY"/>
        </w:rPr>
      </w:pPr>
      <w:r w:rsidRPr="00887E1F">
        <w:rPr>
          <w:rStyle w:val="Refdenotaalpie"/>
          <w:rFonts w:ascii="Verdana" w:hAnsi="Verdana"/>
          <w:sz w:val="16"/>
          <w:szCs w:val="16"/>
        </w:rPr>
        <w:footnoteRef/>
      </w:r>
      <w:r w:rsidRPr="00887E1F">
        <w:rPr>
          <w:rFonts w:ascii="Verdana" w:hAnsi="Verdana"/>
          <w:sz w:val="16"/>
          <w:szCs w:val="16"/>
        </w:rPr>
        <w:t xml:space="preserve"> </w:t>
      </w:r>
      <w:r>
        <w:rPr>
          <w:rFonts w:ascii="Verdana" w:hAnsi="Verdana"/>
          <w:sz w:val="16"/>
          <w:szCs w:val="16"/>
        </w:rPr>
        <w:tab/>
      </w:r>
      <w:r>
        <w:rPr>
          <w:rFonts w:ascii="Verdana" w:hAnsi="Verdana"/>
          <w:sz w:val="16"/>
          <w:szCs w:val="16"/>
          <w:lang w:val="es-UY"/>
        </w:rPr>
        <w:t xml:space="preserve">Naciones Unidas. Comisión de Derecho Internacional. Normas imperativas de derecho internacional general (ius cogens) A/CN.4/L.967. 11 de mayo de 2022. </w:t>
      </w:r>
      <w:r w:rsidRPr="00887E1F">
        <w:rPr>
          <w:rFonts w:ascii="Verdana" w:hAnsi="Verdana"/>
          <w:sz w:val="16"/>
          <w:szCs w:val="16"/>
          <w:lang w:val="es-UY"/>
        </w:rPr>
        <w:t>Conclusión</w:t>
      </w:r>
      <w:r>
        <w:rPr>
          <w:rFonts w:ascii="Verdana" w:hAnsi="Verdana"/>
          <w:sz w:val="16"/>
          <w:szCs w:val="16"/>
          <w:lang w:val="es-UY"/>
        </w:rPr>
        <w:t xml:space="preserve"> 3 [</w:t>
      </w:r>
      <w:r w:rsidRPr="00887E1F">
        <w:rPr>
          <w:rFonts w:ascii="Verdana" w:hAnsi="Verdana"/>
          <w:sz w:val="16"/>
          <w:szCs w:val="16"/>
          <w:lang w:val="es-UY"/>
        </w:rPr>
        <w:t>2</w:t>
      </w:r>
      <w:r>
        <w:rPr>
          <w:rFonts w:ascii="Verdana" w:hAnsi="Verdana"/>
          <w:sz w:val="16"/>
          <w:szCs w:val="16"/>
          <w:lang w:val="es-UY"/>
        </w:rPr>
        <w:t>].</w:t>
      </w:r>
    </w:p>
  </w:footnote>
  <w:footnote w:id="93">
    <w:p w14:paraId="0616DC4F" w14:textId="59C93FDC" w:rsidR="00194342" w:rsidRPr="00887E1F" w:rsidRDefault="00194342" w:rsidP="00B21C1F">
      <w:pPr>
        <w:pStyle w:val="Textonotapie"/>
        <w:spacing w:after="0" w:line="240" w:lineRule="auto"/>
        <w:jc w:val="both"/>
        <w:rPr>
          <w:rFonts w:ascii="Verdana" w:hAnsi="Verdana"/>
          <w:sz w:val="16"/>
          <w:szCs w:val="16"/>
          <w:lang w:val="es-UY"/>
        </w:rPr>
      </w:pPr>
      <w:r w:rsidRPr="00887E1F">
        <w:rPr>
          <w:rStyle w:val="Refdenotaalpie"/>
          <w:rFonts w:ascii="Verdana" w:hAnsi="Verdana"/>
          <w:sz w:val="16"/>
          <w:szCs w:val="16"/>
        </w:rPr>
        <w:footnoteRef/>
      </w:r>
      <w:r w:rsidRPr="00887E1F">
        <w:rPr>
          <w:rFonts w:ascii="Verdana" w:hAnsi="Verdana"/>
          <w:sz w:val="16"/>
          <w:szCs w:val="16"/>
        </w:rPr>
        <w:t xml:space="preserve"> </w:t>
      </w:r>
      <w:r>
        <w:rPr>
          <w:rFonts w:ascii="Verdana" w:hAnsi="Verdana"/>
          <w:sz w:val="16"/>
          <w:szCs w:val="16"/>
        </w:rPr>
        <w:tab/>
      </w:r>
      <w:r>
        <w:rPr>
          <w:rFonts w:ascii="Verdana" w:hAnsi="Verdana"/>
          <w:sz w:val="16"/>
          <w:szCs w:val="16"/>
          <w:lang w:val="es-UY"/>
        </w:rPr>
        <w:t xml:space="preserve">Naciones Unidas. Comisión de Derecho Internacional. Normas imperativas de derecho internacional general (ius cogens) A/CN.4/L.967. 11 de mayo de 2022. </w:t>
      </w:r>
      <w:r w:rsidRPr="00887E1F">
        <w:rPr>
          <w:rFonts w:ascii="Verdana" w:hAnsi="Verdana"/>
          <w:sz w:val="16"/>
          <w:szCs w:val="16"/>
          <w:lang w:val="es-UY"/>
        </w:rPr>
        <w:t>Conclusión</w:t>
      </w:r>
      <w:r>
        <w:rPr>
          <w:rFonts w:ascii="Verdana" w:hAnsi="Verdana"/>
          <w:sz w:val="16"/>
          <w:szCs w:val="16"/>
          <w:lang w:val="es-UY"/>
        </w:rPr>
        <w:t xml:space="preserve"> 2 [3]</w:t>
      </w:r>
      <w:r w:rsidR="00BA6C0C">
        <w:rPr>
          <w:rFonts w:ascii="Verdana" w:hAnsi="Verdana"/>
          <w:sz w:val="16"/>
          <w:szCs w:val="16"/>
          <w:lang w:val="es-UY"/>
        </w:rPr>
        <w:t>.</w:t>
      </w:r>
    </w:p>
  </w:footnote>
  <w:footnote w:id="94">
    <w:p w14:paraId="360E694A" w14:textId="1CD47459" w:rsidR="00194342" w:rsidRPr="00FE663B" w:rsidRDefault="00194342" w:rsidP="00B21C1F">
      <w:pPr>
        <w:pStyle w:val="Textonotapie"/>
        <w:snapToGrid w:val="0"/>
        <w:spacing w:after="0" w:line="240" w:lineRule="auto"/>
        <w:jc w:val="both"/>
        <w:rPr>
          <w:lang w:val="es-UY"/>
        </w:rPr>
      </w:pPr>
      <w:r w:rsidRPr="00887E1F">
        <w:rPr>
          <w:rStyle w:val="Refdenotaalpie"/>
          <w:rFonts w:ascii="Verdana" w:hAnsi="Verdana"/>
          <w:sz w:val="16"/>
          <w:szCs w:val="16"/>
        </w:rPr>
        <w:footnoteRef/>
      </w:r>
      <w:r w:rsidRPr="00887E1F">
        <w:rPr>
          <w:rFonts w:ascii="Verdana" w:hAnsi="Verdana"/>
          <w:sz w:val="16"/>
          <w:szCs w:val="16"/>
        </w:rPr>
        <w:t xml:space="preserve"> </w:t>
      </w:r>
      <w:r>
        <w:rPr>
          <w:rFonts w:ascii="Verdana" w:hAnsi="Verdana"/>
          <w:sz w:val="16"/>
          <w:szCs w:val="16"/>
        </w:rPr>
        <w:tab/>
      </w:r>
      <w:r w:rsidR="005A23B9" w:rsidRPr="00675748">
        <w:rPr>
          <w:rFonts w:ascii="Verdana" w:hAnsi="Verdana"/>
          <w:i/>
          <w:iCs/>
          <w:color w:val="000000" w:themeColor="text1"/>
          <w:sz w:val="16"/>
          <w:szCs w:val="16"/>
          <w:lang w:val="es-419"/>
        </w:rPr>
        <w:t>Cfr</w:t>
      </w:r>
      <w:r w:rsidR="005A23B9">
        <w:rPr>
          <w:rFonts w:ascii="Verdana" w:hAnsi="Verdana"/>
          <w:color w:val="000000" w:themeColor="text1"/>
          <w:sz w:val="16"/>
          <w:szCs w:val="16"/>
          <w:lang w:val="es-419"/>
        </w:rPr>
        <w:t xml:space="preserve">. </w:t>
      </w:r>
      <w:r w:rsidR="005A23B9" w:rsidRPr="005D4403">
        <w:rPr>
          <w:rFonts w:ascii="Verdana" w:hAnsi="Verdana"/>
          <w:color w:val="000000" w:themeColor="text1"/>
          <w:sz w:val="16"/>
          <w:szCs w:val="16"/>
        </w:rPr>
        <w:t>Opinión Consultiva OC-23/17</w:t>
      </w:r>
      <w:r w:rsidR="005A23B9">
        <w:rPr>
          <w:rFonts w:ascii="Verdana" w:hAnsi="Verdana"/>
          <w:color w:val="000000" w:themeColor="text1"/>
          <w:sz w:val="16"/>
          <w:szCs w:val="16"/>
        </w:rPr>
        <w:t xml:space="preserve">, </w:t>
      </w:r>
      <w:r w:rsidR="005A23B9">
        <w:rPr>
          <w:rFonts w:ascii="Verdana" w:hAnsi="Verdana"/>
          <w:i/>
          <w:iCs/>
          <w:color w:val="000000" w:themeColor="text1"/>
          <w:sz w:val="16"/>
          <w:szCs w:val="16"/>
        </w:rPr>
        <w:t>supra</w:t>
      </w:r>
      <w:r w:rsidR="00BA6C0C">
        <w:rPr>
          <w:rFonts w:ascii="Verdana" w:hAnsi="Verdana"/>
          <w:sz w:val="16"/>
          <w:szCs w:val="16"/>
          <w:lang w:val="es-UY"/>
        </w:rPr>
        <w:t>, p</w:t>
      </w:r>
      <w:r w:rsidRPr="00CA3C3D">
        <w:rPr>
          <w:rFonts w:ascii="Verdana" w:hAnsi="Verdana"/>
          <w:sz w:val="16"/>
          <w:szCs w:val="16"/>
          <w:lang w:val="es-UY"/>
        </w:rPr>
        <w:t>árr</w:t>
      </w:r>
      <w:r w:rsidRPr="00887E1F">
        <w:rPr>
          <w:rFonts w:ascii="Verdana" w:hAnsi="Verdana"/>
          <w:sz w:val="16"/>
          <w:szCs w:val="16"/>
          <w:lang w:val="es-UY"/>
        </w:rPr>
        <w:t>. 96</w:t>
      </w:r>
      <w:r w:rsidR="00BA6C0C">
        <w:rPr>
          <w:rFonts w:ascii="Verdana" w:hAnsi="Verdana"/>
          <w:sz w:val="16"/>
          <w:szCs w:val="16"/>
          <w:lang w:val="es-UY"/>
        </w:rPr>
        <w:t>.</w:t>
      </w:r>
    </w:p>
  </w:footnote>
  <w:footnote w:id="95">
    <w:p w14:paraId="61EA0443" w14:textId="2897C6F6" w:rsidR="00194342" w:rsidRPr="000C279D" w:rsidRDefault="00194342" w:rsidP="00B21C1F">
      <w:pPr>
        <w:pStyle w:val="Textonotapie"/>
        <w:spacing w:after="0" w:line="240" w:lineRule="auto"/>
        <w:jc w:val="both"/>
        <w:rPr>
          <w:rFonts w:ascii="Verdana" w:hAnsi="Verdana"/>
          <w:sz w:val="16"/>
          <w:szCs w:val="16"/>
          <w:lang w:val="es-UY"/>
        </w:rPr>
      </w:pPr>
      <w:r w:rsidRPr="008E72FA">
        <w:rPr>
          <w:rStyle w:val="Refdenotaalpie"/>
          <w:rFonts w:ascii="Verdana" w:hAnsi="Verdana"/>
          <w:sz w:val="16"/>
          <w:szCs w:val="16"/>
        </w:rPr>
        <w:footnoteRef/>
      </w:r>
      <w:r w:rsidRPr="008E72FA">
        <w:rPr>
          <w:rFonts w:ascii="Verdana" w:hAnsi="Verdana"/>
          <w:sz w:val="16"/>
          <w:szCs w:val="16"/>
        </w:rPr>
        <w:t xml:space="preserve"> </w:t>
      </w:r>
      <w:r>
        <w:tab/>
      </w:r>
      <w:r w:rsidRPr="000C279D">
        <w:rPr>
          <w:rFonts w:ascii="Verdana" w:hAnsi="Verdana"/>
          <w:sz w:val="16"/>
          <w:szCs w:val="16"/>
          <w:lang w:val="es-UY"/>
        </w:rPr>
        <w:t>Puceiro Ripoll, R. en Jiménez de Aréchaga, E. et. al. Derecho Internacional Público. Principios, normas y estructuras. Tomo I (2005) Ed. FCU, Montevideo. p. 376</w:t>
      </w:r>
      <w:r w:rsidR="00BA6C0C">
        <w:rPr>
          <w:rFonts w:ascii="Verdana" w:hAnsi="Verdana"/>
          <w:sz w:val="16"/>
          <w:szCs w:val="16"/>
          <w:lang w:val="es-UY"/>
        </w:rPr>
        <w:t>.</w:t>
      </w:r>
    </w:p>
  </w:footnote>
  <w:footnote w:id="96">
    <w:p w14:paraId="69B26A02" w14:textId="107A9A83" w:rsidR="00194342" w:rsidRPr="00DC6A09" w:rsidRDefault="00194342" w:rsidP="00B21C1F">
      <w:pPr>
        <w:pStyle w:val="Textonotapie"/>
        <w:spacing w:after="0" w:line="240" w:lineRule="auto"/>
        <w:jc w:val="both"/>
        <w:rPr>
          <w:rFonts w:ascii="Verdana" w:hAnsi="Verdana"/>
          <w:sz w:val="16"/>
          <w:szCs w:val="16"/>
          <w:lang w:val="es-UY"/>
        </w:rPr>
      </w:pPr>
      <w:r w:rsidRPr="00B21C1F">
        <w:rPr>
          <w:rStyle w:val="Refdenotaalpie"/>
          <w:rFonts w:ascii="Verdana" w:hAnsi="Verdana"/>
          <w:color w:val="000000" w:themeColor="text1"/>
          <w:sz w:val="16"/>
          <w:szCs w:val="16"/>
        </w:rPr>
        <w:footnoteRef/>
      </w:r>
      <w:r w:rsidRPr="00B21C1F">
        <w:rPr>
          <w:rFonts w:ascii="Verdana" w:hAnsi="Verdana"/>
          <w:color w:val="000000" w:themeColor="text1"/>
          <w:sz w:val="16"/>
          <w:szCs w:val="16"/>
        </w:rPr>
        <w:t xml:space="preserve"> </w:t>
      </w:r>
      <w:r>
        <w:rPr>
          <w:rFonts w:ascii="Verdana" w:hAnsi="Verdana"/>
          <w:color w:val="00B050"/>
          <w:sz w:val="16"/>
          <w:szCs w:val="16"/>
        </w:rPr>
        <w:tab/>
      </w:r>
      <w:r w:rsidRPr="00DC6A09">
        <w:rPr>
          <w:rFonts w:ascii="Verdana" w:hAnsi="Verdana"/>
          <w:sz w:val="16"/>
          <w:szCs w:val="16"/>
        </w:rPr>
        <w:t>Cançado Trindade</w:t>
      </w:r>
      <w:r w:rsidRPr="00DC6A09">
        <w:rPr>
          <w:rFonts w:ascii="Verdana" w:hAnsi="Verdana"/>
          <w:sz w:val="16"/>
          <w:szCs w:val="16"/>
          <w:lang w:val="es-UY"/>
        </w:rPr>
        <w:t>, A.</w:t>
      </w:r>
      <w:r>
        <w:rPr>
          <w:rFonts w:ascii="Verdana" w:hAnsi="Verdana"/>
          <w:sz w:val="16"/>
          <w:szCs w:val="16"/>
          <w:lang w:val="es-UY"/>
        </w:rPr>
        <w:t>,</w:t>
      </w:r>
      <w:r w:rsidRPr="00DC6A09">
        <w:rPr>
          <w:rFonts w:ascii="Verdana" w:hAnsi="Verdana"/>
          <w:sz w:val="16"/>
          <w:szCs w:val="16"/>
          <w:lang w:val="es-UY"/>
        </w:rPr>
        <w:t xml:space="preserve"> Voto Concurrente en </w:t>
      </w:r>
      <w:r>
        <w:rPr>
          <w:rFonts w:ascii="Verdana" w:hAnsi="Verdana"/>
          <w:sz w:val="16"/>
          <w:szCs w:val="16"/>
          <w:lang w:val="es-UY"/>
        </w:rPr>
        <w:t xml:space="preserve">la </w:t>
      </w:r>
      <w:r w:rsidRPr="00DC6A09">
        <w:rPr>
          <w:rFonts w:ascii="Verdana" w:hAnsi="Verdana"/>
          <w:sz w:val="16"/>
          <w:szCs w:val="16"/>
          <w:lang w:val="es-UY"/>
        </w:rPr>
        <w:t>Opinión Consultiva OC-18/03</w:t>
      </w:r>
      <w:r w:rsidRPr="00B21C1F">
        <w:rPr>
          <w:rFonts w:ascii="Verdana" w:hAnsi="Verdana"/>
          <w:i/>
          <w:iCs/>
          <w:sz w:val="16"/>
          <w:szCs w:val="16"/>
          <w:lang w:val="es-UY"/>
        </w:rPr>
        <w:t>. Condición Jurídica y derechos de los migrantes indocumentados</w:t>
      </w:r>
      <w:r w:rsidRPr="00DC6A09">
        <w:rPr>
          <w:rFonts w:ascii="Verdana" w:hAnsi="Verdana"/>
          <w:sz w:val="16"/>
          <w:szCs w:val="16"/>
          <w:lang w:val="es-UY"/>
        </w:rPr>
        <w:t>. Serie A No. 18. 17 de septiembre de 2003</w:t>
      </w:r>
      <w:r w:rsidR="00F75E45">
        <w:rPr>
          <w:rFonts w:ascii="Verdana" w:hAnsi="Verdana"/>
          <w:sz w:val="16"/>
          <w:szCs w:val="16"/>
          <w:lang w:val="es-UY"/>
        </w:rPr>
        <w:t>,</w:t>
      </w:r>
      <w:r w:rsidRPr="00DC6A09">
        <w:rPr>
          <w:rFonts w:ascii="Verdana" w:hAnsi="Verdana"/>
          <w:sz w:val="16"/>
          <w:szCs w:val="16"/>
          <w:lang w:val="es-UY"/>
        </w:rPr>
        <w:t xml:space="preserve"> </w:t>
      </w:r>
      <w:r w:rsidR="00F75E45">
        <w:rPr>
          <w:rFonts w:ascii="Verdana" w:hAnsi="Verdana"/>
          <w:sz w:val="16"/>
          <w:szCs w:val="16"/>
          <w:lang w:val="es-UY"/>
        </w:rPr>
        <w:t>p</w:t>
      </w:r>
      <w:r w:rsidRPr="00DC6A09">
        <w:rPr>
          <w:rFonts w:ascii="Verdana" w:hAnsi="Verdana"/>
          <w:sz w:val="16"/>
          <w:szCs w:val="16"/>
          <w:lang w:val="es-UY"/>
        </w:rPr>
        <w:t>árr. 53</w:t>
      </w:r>
      <w:r w:rsidR="00BA6C0C">
        <w:rPr>
          <w:rFonts w:ascii="Verdana" w:hAnsi="Verdana"/>
          <w:sz w:val="16"/>
          <w:szCs w:val="16"/>
          <w:lang w:val="es-UY"/>
        </w:rPr>
        <w:t>.</w:t>
      </w:r>
    </w:p>
  </w:footnote>
  <w:footnote w:id="97">
    <w:p w14:paraId="7C99CF9A" w14:textId="43120B9D" w:rsidR="00194342" w:rsidRPr="00DC6A09" w:rsidRDefault="00194342" w:rsidP="00B21C1F">
      <w:pPr>
        <w:pStyle w:val="Textonotapie"/>
        <w:spacing w:after="0" w:line="240" w:lineRule="auto"/>
        <w:jc w:val="both"/>
      </w:pPr>
      <w:r w:rsidRPr="008E72FA">
        <w:rPr>
          <w:rStyle w:val="Refdenotaalpie"/>
          <w:rFonts w:ascii="Verdana" w:hAnsi="Verdana"/>
          <w:sz w:val="16"/>
          <w:szCs w:val="16"/>
        </w:rPr>
        <w:footnoteRef/>
      </w:r>
      <w:r w:rsidRPr="008E72FA">
        <w:rPr>
          <w:rFonts w:ascii="Verdana" w:hAnsi="Verdana"/>
          <w:sz w:val="16"/>
          <w:szCs w:val="16"/>
        </w:rPr>
        <w:t xml:space="preserve"> </w:t>
      </w:r>
      <w:r>
        <w:tab/>
      </w:r>
      <w:r w:rsidRPr="005911C7">
        <w:rPr>
          <w:rFonts w:ascii="Verdana" w:hAnsi="Verdana"/>
          <w:i/>
          <w:iCs/>
          <w:sz w:val="16"/>
          <w:szCs w:val="16"/>
          <w:lang w:val="es-UY"/>
        </w:rPr>
        <w:t>Cfr.</w:t>
      </w:r>
      <w:r w:rsidRPr="00DC6A09">
        <w:rPr>
          <w:rFonts w:ascii="Verdana" w:hAnsi="Verdana"/>
          <w:sz w:val="16"/>
          <w:szCs w:val="16"/>
          <w:lang w:val="es-UY"/>
        </w:rPr>
        <w:t xml:space="preserve"> Naciones Unidas. Comisión de Derecho Internacional. Normas imperativas de derecho internacional general (ius cogens) A/CN.4/L.967. 11 de mayo de 2022</w:t>
      </w:r>
      <w:r w:rsidR="0097638C">
        <w:rPr>
          <w:rFonts w:ascii="Verdana" w:hAnsi="Verdana"/>
          <w:sz w:val="16"/>
          <w:szCs w:val="16"/>
          <w:lang w:val="es-UY"/>
        </w:rPr>
        <w:t>. c</w:t>
      </w:r>
      <w:r w:rsidRPr="00DC6A09">
        <w:rPr>
          <w:rFonts w:ascii="Verdana" w:hAnsi="Verdana"/>
          <w:sz w:val="16"/>
          <w:szCs w:val="16"/>
          <w:lang w:val="es-UY"/>
        </w:rPr>
        <w:t>onclusión 4.</w:t>
      </w:r>
    </w:p>
  </w:footnote>
  <w:footnote w:id="98">
    <w:p w14:paraId="33BE30F8" w14:textId="328F81CF" w:rsidR="00194342" w:rsidRPr="005E63ED" w:rsidRDefault="00194342" w:rsidP="00B21C1F">
      <w:pPr>
        <w:pStyle w:val="Textonotapie"/>
        <w:spacing w:after="0" w:line="240" w:lineRule="auto"/>
        <w:jc w:val="both"/>
        <w:rPr>
          <w:rFonts w:ascii="Verdana" w:hAnsi="Verdana"/>
          <w:sz w:val="16"/>
          <w:szCs w:val="16"/>
          <w:lang w:val="es-ES"/>
        </w:rPr>
      </w:pPr>
      <w:r w:rsidRPr="00DC6A09">
        <w:rPr>
          <w:rStyle w:val="Refdenotaalpie"/>
        </w:rPr>
        <w:footnoteRef/>
      </w:r>
      <w:r w:rsidRPr="00DC6A09">
        <w:t xml:space="preserve"> </w:t>
      </w:r>
      <w:r>
        <w:tab/>
      </w:r>
      <w:r w:rsidRPr="00DC6A09">
        <w:rPr>
          <w:rFonts w:ascii="Verdana" w:hAnsi="Verdana"/>
          <w:sz w:val="16"/>
          <w:szCs w:val="16"/>
        </w:rPr>
        <w:t>En las actas figura la participación de: Afganistán, Argelia, Argentina, Australia, Austria, Bahrein, Bangladesh, Bélgica, Bolivia, Botswana, Brasil, Burundi, Camerún, Canadá, Ceilán, Colombia, Congo, Costa de Marfil, Costa Rica, Chad, Chile, China, Chipre, Dahomey, Dinamarca, Ecuador, Egipto, El Salvador, Emiratos Árabes Unidos, España, Estados Unidos de América, Etiopía, Fiji, Filipinas, Finlandia, Francia, Gabón, Ghana, Grecia, Guatemala, Guinea, Guyana, Haití, Honduras, India, Indonesia, Irak, Irán, Irlanda, Islandia, Israel, Italia, Jamaica, Japón, Jordania, Kenia, Kuwait, Lesotho, Líbano, Liberia, Liechtenstein, Luxemburgo, Madagascar, Malasia, Malawi, Malta, Marruecos, Mauricio, Mauritania, México, Mónaco, Nepal, Nicaragua, Níger, Nigeria, Noruega, Nueva Zelandia, Países Bajos, Pakistán, Panamá, Perú, Portugal, Reino Unido de Gran Bretaña e Irlanda del Norte, República Árabe Libia, República Árabe Siria, República Centroafricana, República de Corea, República Dominicana, República Federal de Alemania, República Unida de Tanzania, República de Viet-Nam, Rumania, San Marino, Santa Sede, Senegal, Singapur, Sudáfrica, Sudán, Suecia, Suiza, Swazilandia, Tailandia, Togo, Trinidad y Tobago, Túnez, Turquía, Uganda, Uruguay, Venezuela, Yemen, Yugoslavia, Zaire y Zambia</w:t>
      </w:r>
      <w:r>
        <w:rPr>
          <w:rFonts w:ascii="Verdana" w:hAnsi="Verdana"/>
          <w:sz w:val="16"/>
          <w:szCs w:val="16"/>
          <w:lang w:val="es-ES"/>
        </w:rPr>
        <w:t>.</w:t>
      </w:r>
    </w:p>
  </w:footnote>
  <w:footnote w:id="99">
    <w:p w14:paraId="226974D6" w14:textId="5A15408F" w:rsidR="00194342" w:rsidRPr="005E63ED" w:rsidRDefault="00194342" w:rsidP="00B21C1F">
      <w:pPr>
        <w:pStyle w:val="Textonotapie"/>
        <w:spacing w:after="0" w:line="240" w:lineRule="auto"/>
        <w:jc w:val="both"/>
        <w:rPr>
          <w:rFonts w:ascii="Verdana" w:hAnsi="Verdana"/>
          <w:sz w:val="16"/>
          <w:szCs w:val="16"/>
          <w:lang w:val="es-ES"/>
        </w:rPr>
      </w:pPr>
      <w:r w:rsidRPr="00DC6A09">
        <w:rPr>
          <w:rStyle w:val="Refdenotaalpie"/>
          <w:rFonts w:ascii="Verdana" w:hAnsi="Verdana"/>
          <w:sz w:val="16"/>
          <w:szCs w:val="16"/>
        </w:rPr>
        <w:footnoteRef/>
      </w:r>
      <w:r w:rsidRPr="00DC6A09">
        <w:rPr>
          <w:rFonts w:ascii="Verdana" w:hAnsi="Verdana"/>
          <w:sz w:val="16"/>
          <w:szCs w:val="16"/>
        </w:rPr>
        <w:t xml:space="preserve"> </w:t>
      </w:r>
      <w:r>
        <w:rPr>
          <w:rFonts w:ascii="Verdana" w:hAnsi="Verdana"/>
          <w:sz w:val="16"/>
          <w:szCs w:val="16"/>
        </w:rPr>
        <w:tab/>
      </w:r>
      <w:r w:rsidRPr="00DC6A09">
        <w:rPr>
          <w:rFonts w:ascii="Verdana" w:hAnsi="Verdana"/>
          <w:sz w:val="16"/>
          <w:szCs w:val="16"/>
        </w:rPr>
        <w:t>En las actas figura la participación de: Afganistán</w:t>
      </w:r>
      <w:r>
        <w:rPr>
          <w:rFonts w:ascii="Verdana" w:hAnsi="Verdana"/>
          <w:sz w:val="16"/>
          <w:szCs w:val="16"/>
          <w:lang w:val="es-ES"/>
        </w:rPr>
        <w:t>,</w:t>
      </w:r>
      <w:r w:rsidRPr="00DC6A09">
        <w:rPr>
          <w:rFonts w:ascii="Verdana" w:hAnsi="Verdana"/>
          <w:sz w:val="16"/>
          <w:szCs w:val="16"/>
        </w:rPr>
        <w:t xml:space="preserve"> Chad</w:t>
      </w:r>
      <w:r>
        <w:rPr>
          <w:rFonts w:ascii="Verdana" w:hAnsi="Verdana"/>
          <w:sz w:val="16"/>
          <w:szCs w:val="16"/>
          <w:lang w:val="es-ES"/>
        </w:rPr>
        <w:t xml:space="preserve">, </w:t>
      </w:r>
      <w:r w:rsidRPr="00DC6A09">
        <w:rPr>
          <w:rFonts w:ascii="Verdana" w:hAnsi="Verdana"/>
          <w:sz w:val="16"/>
          <w:szCs w:val="16"/>
        </w:rPr>
        <w:t>Albania</w:t>
      </w:r>
      <w:r>
        <w:rPr>
          <w:rFonts w:ascii="Verdana" w:hAnsi="Verdana"/>
          <w:sz w:val="16"/>
          <w:szCs w:val="16"/>
          <w:lang w:val="es-ES"/>
        </w:rPr>
        <w:t>,</w:t>
      </w:r>
      <w:r w:rsidRPr="00DC6A09">
        <w:rPr>
          <w:rFonts w:ascii="Verdana" w:hAnsi="Verdana"/>
          <w:sz w:val="16"/>
          <w:szCs w:val="16"/>
        </w:rPr>
        <w:t xml:space="preserve"> Chile</w:t>
      </w:r>
      <w:r>
        <w:rPr>
          <w:rFonts w:ascii="Verdana" w:hAnsi="Verdana"/>
          <w:sz w:val="16"/>
          <w:szCs w:val="16"/>
          <w:lang w:val="es-ES"/>
        </w:rPr>
        <w:t>,</w:t>
      </w:r>
      <w:r w:rsidRPr="00DC6A09">
        <w:rPr>
          <w:rFonts w:ascii="Verdana" w:hAnsi="Verdana"/>
          <w:sz w:val="16"/>
          <w:szCs w:val="16"/>
        </w:rPr>
        <w:t xml:space="preserve"> Alemania</w:t>
      </w:r>
      <w:r>
        <w:rPr>
          <w:rFonts w:ascii="Verdana" w:hAnsi="Verdana"/>
          <w:sz w:val="16"/>
          <w:szCs w:val="16"/>
          <w:lang w:val="es-ES"/>
        </w:rPr>
        <w:t>,</w:t>
      </w:r>
      <w:r w:rsidRPr="00DC6A09">
        <w:rPr>
          <w:rFonts w:ascii="Verdana" w:hAnsi="Verdana"/>
          <w:sz w:val="16"/>
          <w:szCs w:val="16"/>
        </w:rPr>
        <w:t xml:space="preserve"> China</w:t>
      </w:r>
      <w:r>
        <w:rPr>
          <w:rFonts w:ascii="Verdana" w:hAnsi="Verdana"/>
          <w:sz w:val="16"/>
          <w:szCs w:val="16"/>
          <w:lang w:val="es-ES"/>
        </w:rPr>
        <w:t>,</w:t>
      </w:r>
      <w:r w:rsidRPr="00DC6A09">
        <w:rPr>
          <w:rFonts w:ascii="Verdana" w:hAnsi="Verdana"/>
          <w:sz w:val="16"/>
          <w:szCs w:val="16"/>
        </w:rPr>
        <w:t xml:space="preserve"> Andorra</w:t>
      </w:r>
      <w:r>
        <w:rPr>
          <w:rFonts w:ascii="Verdana" w:hAnsi="Verdana"/>
          <w:sz w:val="16"/>
          <w:szCs w:val="16"/>
          <w:lang w:val="es-ES"/>
        </w:rPr>
        <w:t>,</w:t>
      </w:r>
      <w:r w:rsidRPr="00DC6A09">
        <w:rPr>
          <w:rFonts w:ascii="Verdana" w:hAnsi="Verdana"/>
          <w:sz w:val="16"/>
          <w:szCs w:val="16"/>
        </w:rPr>
        <w:t xml:space="preserve"> Chipre</w:t>
      </w:r>
      <w:r>
        <w:rPr>
          <w:rFonts w:ascii="Verdana" w:hAnsi="Verdana"/>
          <w:sz w:val="16"/>
          <w:szCs w:val="16"/>
          <w:lang w:val="es-ES"/>
        </w:rPr>
        <w:t>,</w:t>
      </w:r>
      <w:r w:rsidRPr="00DC6A09">
        <w:rPr>
          <w:rFonts w:ascii="Verdana" w:hAnsi="Verdana"/>
          <w:sz w:val="16"/>
          <w:szCs w:val="16"/>
        </w:rPr>
        <w:t xml:space="preserve"> Angola</w:t>
      </w:r>
      <w:r>
        <w:rPr>
          <w:rFonts w:ascii="Verdana" w:hAnsi="Verdana"/>
          <w:sz w:val="16"/>
          <w:szCs w:val="16"/>
          <w:lang w:val="es-ES"/>
        </w:rPr>
        <w:t>,</w:t>
      </w:r>
      <w:r w:rsidRPr="00DC6A09">
        <w:rPr>
          <w:rFonts w:ascii="Verdana" w:hAnsi="Verdana"/>
          <w:sz w:val="16"/>
          <w:szCs w:val="16"/>
        </w:rPr>
        <w:t xml:space="preserve"> Colombia</w:t>
      </w:r>
      <w:r>
        <w:rPr>
          <w:rFonts w:ascii="Verdana" w:hAnsi="Verdana"/>
          <w:sz w:val="16"/>
          <w:szCs w:val="16"/>
          <w:lang w:val="es-ES"/>
        </w:rPr>
        <w:t>,</w:t>
      </w:r>
      <w:r w:rsidRPr="00DC6A09">
        <w:rPr>
          <w:rFonts w:ascii="Verdana" w:hAnsi="Verdana"/>
          <w:sz w:val="16"/>
          <w:szCs w:val="16"/>
        </w:rPr>
        <w:t xml:space="preserve"> Antigua y Barbuda</w:t>
      </w:r>
      <w:r>
        <w:rPr>
          <w:rFonts w:ascii="Verdana" w:hAnsi="Verdana"/>
          <w:sz w:val="16"/>
          <w:szCs w:val="16"/>
          <w:lang w:val="es-ES"/>
        </w:rPr>
        <w:t>,</w:t>
      </w:r>
      <w:r w:rsidRPr="00DC6A09">
        <w:rPr>
          <w:rFonts w:ascii="Verdana" w:hAnsi="Verdana"/>
          <w:sz w:val="16"/>
          <w:szCs w:val="16"/>
        </w:rPr>
        <w:t xml:space="preserve"> Comoras</w:t>
      </w:r>
      <w:r>
        <w:rPr>
          <w:rFonts w:ascii="Verdana" w:hAnsi="Verdana"/>
          <w:sz w:val="16"/>
          <w:szCs w:val="16"/>
          <w:lang w:val="es-ES"/>
        </w:rPr>
        <w:t>,</w:t>
      </w:r>
      <w:r w:rsidRPr="00DC6A09">
        <w:rPr>
          <w:rFonts w:ascii="Verdana" w:hAnsi="Verdana"/>
          <w:sz w:val="16"/>
          <w:szCs w:val="16"/>
        </w:rPr>
        <w:t xml:space="preserve"> Arabia Saudita</w:t>
      </w:r>
      <w:r>
        <w:rPr>
          <w:rFonts w:ascii="Verdana" w:hAnsi="Verdana"/>
          <w:sz w:val="16"/>
          <w:szCs w:val="16"/>
          <w:lang w:val="es-ES"/>
        </w:rPr>
        <w:t>,</w:t>
      </w:r>
      <w:r w:rsidRPr="00DC6A09">
        <w:rPr>
          <w:rFonts w:ascii="Verdana" w:hAnsi="Verdana"/>
          <w:sz w:val="16"/>
          <w:szCs w:val="16"/>
        </w:rPr>
        <w:t xml:space="preserve"> Comunidad Europea</w:t>
      </w:r>
      <w:r>
        <w:rPr>
          <w:rFonts w:ascii="Verdana" w:hAnsi="Verdana"/>
          <w:sz w:val="16"/>
          <w:szCs w:val="16"/>
          <w:lang w:val="es-ES"/>
        </w:rPr>
        <w:t>,</w:t>
      </w:r>
      <w:r w:rsidRPr="00DC6A09">
        <w:rPr>
          <w:rFonts w:ascii="Verdana" w:hAnsi="Verdana"/>
          <w:sz w:val="16"/>
          <w:szCs w:val="16"/>
        </w:rPr>
        <w:t xml:space="preserve"> Argelia</w:t>
      </w:r>
      <w:r>
        <w:rPr>
          <w:rFonts w:ascii="Verdana" w:hAnsi="Verdana"/>
          <w:sz w:val="16"/>
          <w:szCs w:val="16"/>
          <w:lang w:val="es-ES"/>
        </w:rPr>
        <w:t>,</w:t>
      </w:r>
      <w:r w:rsidRPr="00DC6A09">
        <w:rPr>
          <w:rFonts w:ascii="Verdana" w:hAnsi="Verdana"/>
          <w:sz w:val="16"/>
          <w:szCs w:val="16"/>
        </w:rPr>
        <w:t xml:space="preserve"> Congo</w:t>
      </w:r>
      <w:r>
        <w:rPr>
          <w:rFonts w:ascii="Verdana" w:hAnsi="Verdana"/>
          <w:sz w:val="16"/>
          <w:szCs w:val="16"/>
          <w:lang w:val="es-ES"/>
        </w:rPr>
        <w:t>,</w:t>
      </w:r>
      <w:r w:rsidRPr="00DC6A09">
        <w:rPr>
          <w:rFonts w:ascii="Verdana" w:hAnsi="Verdana"/>
          <w:sz w:val="16"/>
          <w:szCs w:val="16"/>
        </w:rPr>
        <w:t xml:space="preserve"> Argentina</w:t>
      </w:r>
      <w:r>
        <w:rPr>
          <w:rFonts w:ascii="Verdana" w:hAnsi="Verdana"/>
          <w:sz w:val="16"/>
          <w:szCs w:val="16"/>
          <w:lang w:val="es-ES"/>
        </w:rPr>
        <w:t>,</w:t>
      </w:r>
      <w:r w:rsidRPr="00DC6A09">
        <w:rPr>
          <w:rFonts w:ascii="Verdana" w:hAnsi="Verdana"/>
          <w:sz w:val="16"/>
          <w:szCs w:val="16"/>
        </w:rPr>
        <w:t xml:space="preserve"> Costa Rica</w:t>
      </w:r>
      <w:r>
        <w:rPr>
          <w:rFonts w:ascii="Verdana" w:hAnsi="Verdana"/>
          <w:sz w:val="16"/>
          <w:szCs w:val="16"/>
          <w:lang w:val="es-ES"/>
        </w:rPr>
        <w:t>,</w:t>
      </w:r>
      <w:r w:rsidRPr="00DC6A09">
        <w:rPr>
          <w:rFonts w:ascii="Verdana" w:hAnsi="Verdana"/>
          <w:sz w:val="16"/>
          <w:szCs w:val="16"/>
        </w:rPr>
        <w:t xml:space="preserve"> Armenia</w:t>
      </w:r>
      <w:r>
        <w:rPr>
          <w:rFonts w:ascii="Verdana" w:hAnsi="Verdana"/>
          <w:sz w:val="16"/>
          <w:szCs w:val="16"/>
          <w:lang w:val="es-ES"/>
        </w:rPr>
        <w:t>,</w:t>
      </w:r>
      <w:r w:rsidRPr="00DC6A09">
        <w:rPr>
          <w:rFonts w:ascii="Verdana" w:hAnsi="Verdana"/>
          <w:sz w:val="16"/>
          <w:szCs w:val="16"/>
        </w:rPr>
        <w:t xml:space="preserve"> Côte d’Ivoire</w:t>
      </w:r>
      <w:r>
        <w:rPr>
          <w:rFonts w:ascii="Verdana" w:hAnsi="Verdana"/>
          <w:sz w:val="16"/>
          <w:szCs w:val="16"/>
          <w:lang w:val="es-ES"/>
        </w:rPr>
        <w:t>,</w:t>
      </w:r>
      <w:r w:rsidRPr="00DC6A09">
        <w:rPr>
          <w:rFonts w:ascii="Verdana" w:hAnsi="Verdana"/>
          <w:sz w:val="16"/>
          <w:szCs w:val="16"/>
        </w:rPr>
        <w:t xml:space="preserve"> Australia</w:t>
      </w:r>
      <w:r>
        <w:rPr>
          <w:rFonts w:ascii="Verdana" w:hAnsi="Verdana"/>
          <w:sz w:val="16"/>
          <w:szCs w:val="16"/>
          <w:lang w:val="es-ES"/>
        </w:rPr>
        <w:t>,</w:t>
      </w:r>
      <w:r w:rsidRPr="00DC6A09">
        <w:rPr>
          <w:rFonts w:ascii="Verdana" w:hAnsi="Verdana"/>
          <w:sz w:val="16"/>
          <w:szCs w:val="16"/>
        </w:rPr>
        <w:t xml:space="preserve"> Croacia</w:t>
      </w:r>
      <w:r>
        <w:rPr>
          <w:rFonts w:ascii="Verdana" w:hAnsi="Verdana"/>
          <w:sz w:val="16"/>
          <w:szCs w:val="16"/>
          <w:lang w:val="es-ES"/>
        </w:rPr>
        <w:t>,</w:t>
      </w:r>
      <w:r w:rsidRPr="00DC6A09">
        <w:rPr>
          <w:rFonts w:ascii="Verdana" w:hAnsi="Verdana"/>
          <w:sz w:val="16"/>
          <w:szCs w:val="16"/>
        </w:rPr>
        <w:t xml:space="preserve"> Austria</w:t>
      </w:r>
      <w:r>
        <w:rPr>
          <w:rFonts w:ascii="Verdana" w:hAnsi="Verdana"/>
          <w:sz w:val="16"/>
          <w:szCs w:val="16"/>
          <w:lang w:val="es-ES"/>
        </w:rPr>
        <w:t>,</w:t>
      </w:r>
      <w:r w:rsidRPr="00DC6A09">
        <w:rPr>
          <w:rFonts w:ascii="Verdana" w:hAnsi="Verdana"/>
          <w:sz w:val="16"/>
          <w:szCs w:val="16"/>
        </w:rPr>
        <w:t xml:space="preserve"> Cuba</w:t>
      </w:r>
      <w:r>
        <w:rPr>
          <w:rFonts w:ascii="Verdana" w:hAnsi="Verdana"/>
          <w:sz w:val="16"/>
          <w:szCs w:val="16"/>
          <w:lang w:val="es-ES"/>
        </w:rPr>
        <w:t>,</w:t>
      </w:r>
      <w:r w:rsidRPr="00DC6A09">
        <w:rPr>
          <w:rFonts w:ascii="Verdana" w:hAnsi="Verdana"/>
          <w:sz w:val="16"/>
          <w:szCs w:val="16"/>
        </w:rPr>
        <w:t xml:space="preserve"> Azerbaiyán</w:t>
      </w:r>
      <w:r>
        <w:rPr>
          <w:rFonts w:ascii="Verdana" w:hAnsi="Verdana"/>
          <w:sz w:val="16"/>
          <w:szCs w:val="16"/>
          <w:lang w:val="es-ES"/>
        </w:rPr>
        <w:t>,</w:t>
      </w:r>
      <w:r w:rsidRPr="00DC6A09">
        <w:rPr>
          <w:rFonts w:ascii="Verdana" w:hAnsi="Verdana"/>
          <w:sz w:val="16"/>
          <w:szCs w:val="16"/>
        </w:rPr>
        <w:t xml:space="preserve"> Dinamarca</w:t>
      </w:r>
      <w:r>
        <w:rPr>
          <w:rFonts w:ascii="Verdana" w:hAnsi="Verdana"/>
          <w:sz w:val="16"/>
          <w:szCs w:val="16"/>
          <w:lang w:val="es-ES"/>
        </w:rPr>
        <w:t>,</w:t>
      </w:r>
      <w:r w:rsidRPr="00DC6A09">
        <w:rPr>
          <w:rFonts w:ascii="Verdana" w:hAnsi="Verdana"/>
          <w:sz w:val="16"/>
          <w:szCs w:val="16"/>
        </w:rPr>
        <w:t xml:space="preserve"> Bahamas</w:t>
      </w:r>
      <w:r>
        <w:rPr>
          <w:rFonts w:ascii="Verdana" w:hAnsi="Verdana"/>
          <w:sz w:val="16"/>
          <w:szCs w:val="16"/>
          <w:lang w:val="es-ES"/>
        </w:rPr>
        <w:t>,</w:t>
      </w:r>
      <w:r w:rsidRPr="00DC6A09">
        <w:rPr>
          <w:rFonts w:ascii="Verdana" w:hAnsi="Verdana"/>
          <w:sz w:val="16"/>
          <w:szCs w:val="16"/>
        </w:rPr>
        <w:t xml:space="preserve"> Djibouti</w:t>
      </w:r>
      <w:r>
        <w:rPr>
          <w:rFonts w:ascii="Verdana" w:hAnsi="Verdana"/>
          <w:sz w:val="16"/>
          <w:szCs w:val="16"/>
          <w:lang w:val="es-ES"/>
        </w:rPr>
        <w:t>,</w:t>
      </w:r>
      <w:r w:rsidRPr="00DC6A09">
        <w:rPr>
          <w:rFonts w:ascii="Verdana" w:hAnsi="Verdana"/>
          <w:sz w:val="16"/>
          <w:szCs w:val="16"/>
        </w:rPr>
        <w:t xml:space="preserve"> Bahrein</w:t>
      </w:r>
      <w:r>
        <w:rPr>
          <w:rFonts w:ascii="Verdana" w:hAnsi="Verdana"/>
          <w:sz w:val="16"/>
          <w:szCs w:val="16"/>
          <w:lang w:val="es-ES"/>
        </w:rPr>
        <w:t>,</w:t>
      </w:r>
      <w:r w:rsidRPr="00DC6A09">
        <w:rPr>
          <w:rFonts w:ascii="Verdana" w:hAnsi="Verdana"/>
          <w:sz w:val="16"/>
          <w:szCs w:val="16"/>
        </w:rPr>
        <w:t xml:space="preserve"> Dominica</w:t>
      </w:r>
      <w:r>
        <w:rPr>
          <w:rFonts w:ascii="Verdana" w:hAnsi="Verdana"/>
          <w:sz w:val="16"/>
          <w:szCs w:val="16"/>
          <w:lang w:val="es-ES"/>
        </w:rPr>
        <w:t>,</w:t>
      </w:r>
      <w:r w:rsidRPr="00DC6A09">
        <w:rPr>
          <w:rFonts w:ascii="Verdana" w:hAnsi="Verdana"/>
          <w:sz w:val="16"/>
          <w:szCs w:val="16"/>
        </w:rPr>
        <w:t xml:space="preserve"> Bangladesh</w:t>
      </w:r>
      <w:r>
        <w:rPr>
          <w:rFonts w:ascii="Verdana" w:hAnsi="Verdana"/>
          <w:sz w:val="16"/>
          <w:szCs w:val="16"/>
          <w:lang w:val="es-ES"/>
        </w:rPr>
        <w:t>,</w:t>
      </w:r>
      <w:r w:rsidRPr="00DC6A09">
        <w:rPr>
          <w:rFonts w:ascii="Verdana" w:hAnsi="Verdana"/>
          <w:sz w:val="16"/>
          <w:szCs w:val="16"/>
        </w:rPr>
        <w:t xml:space="preserve"> Ecuador</w:t>
      </w:r>
      <w:r>
        <w:rPr>
          <w:rFonts w:ascii="Verdana" w:hAnsi="Verdana"/>
          <w:sz w:val="16"/>
          <w:szCs w:val="16"/>
          <w:lang w:val="es-ES"/>
        </w:rPr>
        <w:t>,</w:t>
      </w:r>
      <w:r w:rsidRPr="00DC6A09">
        <w:rPr>
          <w:rFonts w:ascii="Verdana" w:hAnsi="Verdana"/>
          <w:sz w:val="16"/>
          <w:szCs w:val="16"/>
        </w:rPr>
        <w:t xml:space="preserve"> Barbados</w:t>
      </w:r>
      <w:r>
        <w:rPr>
          <w:rFonts w:ascii="Verdana" w:hAnsi="Verdana"/>
          <w:sz w:val="16"/>
          <w:szCs w:val="16"/>
          <w:lang w:val="es-ES"/>
        </w:rPr>
        <w:t>,</w:t>
      </w:r>
      <w:r w:rsidRPr="00DC6A09">
        <w:rPr>
          <w:rFonts w:ascii="Verdana" w:hAnsi="Verdana"/>
          <w:sz w:val="16"/>
          <w:szCs w:val="16"/>
        </w:rPr>
        <w:t xml:space="preserve"> Egipto</w:t>
      </w:r>
      <w:r>
        <w:rPr>
          <w:rFonts w:ascii="Verdana" w:hAnsi="Verdana"/>
          <w:sz w:val="16"/>
          <w:szCs w:val="16"/>
          <w:lang w:val="es-ES"/>
        </w:rPr>
        <w:t>,</w:t>
      </w:r>
      <w:r w:rsidRPr="00DC6A09">
        <w:rPr>
          <w:rFonts w:ascii="Verdana" w:hAnsi="Verdana"/>
          <w:sz w:val="16"/>
          <w:szCs w:val="16"/>
        </w:rPr>
        <w:t xml:space="preserve"> Belarús</w:t>
      </w:r>
      <w:r>
        <w:rPr>
          <w:rFonts w:ascii="Verdana" w:hAnsi="Verdana"/>
          <w:sz w:val="16"/>
          <w:szCs w:val="16"/>
          <w:lang w:val="es-ES"/>
        </w:rPr>
        <w:t>,</w:t>
      </w:r>
      <w:r w:rsidRPr="00DC6A09">
        <w:rPr>
          <w:rFonts w:ascii="Verdana" w:hAnsi="Verdana"/>
          <w:sz w:val="16"/>
          <w:szCs w:val="16"/>
        </w:rPr>
        <w:t xml:space="preserve"> El Salvador</w:t>
      </w:r>
      <w:r>
        <w:rPr>
          <w:rFonts w:ascii="Verdana" w:hAnsi="Verdana"/>
          <w:sz w:val="16"/>
          <w:szCs w:val="16"/>
          <w:lang w:val="es-ES"/>
        </w:rPr>
        <w:t>,</w:t>
      </w:r>
      <w:r w:rsidRPr="00DC6A09">
        <w:rPr>
          <w:rFonts w:ascii="Verdana" w:hAnsi="Verdana"/>
          <w:sz w:val="16"/>
          <w:szCs w:val="16"/>
        </w:rPr>
        <w:t xml:space="preserve"> Bélgica</w:t>
      </w:r>
      <w:r>
        <w:rPr>
          <w:rFonts w:ascii="Verdana" w:hAnsi="Verdana"/>
          <w:sz w:val="16"/>
          <w:szCs w:val="16"/>
          <w:lang w:val="es-ES"/>
        </w:rPr>
        <w:t>,</w:t>
      </w:r>
      <w:r w:rsidRPr="00DC6A09">
        <w:rPr>
          <w:rFonts w:ascii="Verdana" w:hAnsi="Verdana"/>
          <w:sz w:val="16"/>
          <w:szCs w:val="16"/>
        </w:rPr>
        <w:t xml:space="preserve"> Emiratos Árabes Unidos</w:t>
      </w:r>
      <w:r>
        <w:rPr>
          <w:rFonts w:ascii="Verdana" w:hAnsi="Verdana"/>
          <w:sz w:val="16"/>
          <w:szCs w:val="16"/>
          <w:lang w:val="es-ES"/>
        </w:rPr>
        <w:t>,</w:t>
      </w:r>
      <w:r w:rsidRPr="00DC6A09">
        <w:rPr>
          <w:rFonts w:ascii="Verdana" w:hAnsi="Verdana"/>
          <w:sz w:val="16"/>
          <w:szCs w:val="16"/>
        </w:rPr>
        <w:t xml:space="preserve"> Belice</w:t>
      </w:r>
      <w:r>
        <w:rPr>
          <w:rFonts w:ascii="Verdana" w:hAnsi="Verdana"/>
          <w:sz w:val="16"/>
          <w:szCs w:val="16"/>
          <w:lang w:val="es-ES"/>
        </w:rPr>
        <w:t>,</w:t>
      </w:r>
      <w:r w:rsidRPr="00DC6A09">
        <w:rPr>
          <w:rFonts w:ascii="Verdana" w:hAnsi="Verdana"/>
          <w:sz w:val="16"/>
          <w:szCs w:val="16"/>
        </w:rPr>
        <w:t xml:space="preserve"> Eritrea</w:t>
      </w:r>
      <w:r>
        <w:rPr>
          <w:rFonts w:ascii="Verdana" w:hAnsi="Verdana"/>
          <w:sz w:val="16"/>
          <w:szCs w:val="16"/>
          <w:lang w:val="es-ES"/>
        </w:rPr>
        <w:t>,</w:t>
      </w:r>
      <w:r w:rsidRPr="00DC6A09">
        <w:rPr>
          <w:rFonts w:ascii="Verdana" w:hAnsi="Verdana"/>
          <w:sz w:val="16"/>
          <w:szCs w:val="16"/>
        </w:rPr>
        <w:t xml:space="preserve"> Benín</w:t>
      </w:r>
      <w:r>
        <w:rPr>
          <w:rFonts w:ascii="Verdana" w:hAnsi="Verdana"/>
          <w:sz w:val="16"/>
          <w:szCs w:val="16"/>
          <w:lang w:val="es-ES"/>
        </w:rPr>
        <w:t>,</w:t>
      </w:r>
      <w:r w:rsidRPr="00DC6A09">
        <w:rPr>
          <w:rFonts w:ascii="Verdana" w:hAnsi="Verdana"/>
          <w:sz w:val="16"/>
          <w:szCs w:val="16"/>
        </w:rPr>
        <w:t xml:space="preserve"> Eslovaquia</w:t>
      </w:r>
      <w:r>
        <w:rPr>
          <w:rFonts w:ascii="Verdana" w:hAnsi="Verdana"/>
          <w:sz w:val="16"/>
          <w:szCs w:val="16"/>
          <w:lang w:val="es-ES"/>
        </w:rPr>
        <w:t>,</w:t>
      </w:r>
      <w:r w:rsidRPr="00DC6A09">
        <w:rPr>
          <w:rFonts w:ascii="Verdana" w:hAnsi="Verdana"/>
          <w:sz w:val="16"/>
          <w:szCs w:val="16"/>
        </w:rPr>
        <w:t xml:space="preserve"> Bhután</w:t>
      </w:r>
      <w:r>
        <w:rPr>
          <w:rFonts w:ascii="Verdana" w:hAnsi="Verdana"/>
          <w:sz w:val="16"/>
          <w:szCs w:val="16"/>
          <w:lang w:val="es-ES"/>
        </w:rPr>
        <w:t>,</w:t>
      </w:r>
      <w:r w:rsidRPr="00DC6A09">
        <w:rPr>
          <w:rFonts w:ascii="Verdana" w:hAnsi="Verdana"/>
          <w:sz w:val="16"/>
          <w:szCs w:val="16"/>
        </w:rPr>
        <w:t xml:space="preserve"> Eslovenia</w:t>
      </w:r>
      <w:r>
        <w:rPr>
          <w:rFonts w:ascii="Verdana" w:hAnsi="Verdana"/>
          <w:sz w:val="16"/>
          <w:szCs w:val="16"/>
          <w:lang w:val="es-ES"/>
        </w:rPr>
        <w:t>,</w:t>
      </w:r>
      <w:r w:rsidRPr="00DC6A09">
        <w:rPr>
          <w:rFonts w:ascii="Verdana" w:hAnsi="Verdana"/>
          <w:sz w:val="16"/>
          <w:szCs w:val="16"/>
        </w:rPr>
        <w:t xml:space="preserve"> Bolivia</w:t>
      </w:r>
      <w:r>
        <w:rPr>
          <w:rFonts w:ascii="Verdana" w:hAnsi="Verdana"/>
          <w:sz w:val="16"/>
          <w:szCs w:val="16"/>
          <w:lang w:val="es-ES"/>
        </w:rPr>
        <w:t>,</w:t>
      </w:r>
      <w:r w:rsidRPr="00DC6A09">
        <w:rPr>
          <w:rFonts w:ascii="Verdana" w:hAnsi="Verdana"/>
          <w:sz w:val="16"/>
          <w:szCs w:val="16"/>
        </w:rPr>
        <w:t xml:space="preserve"> España</w:t>
      </w:r>
      <w:r>
        <w:rPr>
          <w:rFonts w:ascii="Verdana" w:hAnsi="Verdana"/>
          <w:sz w:val="16"/>
          <w:szCs w:val="16"/>
          <w:lang w:val="es-ES"/>
        </w:rPr>
        <w:t>,</w:t>
      </w:r>
      <w:r w:rsidRPr="00DC6A09">
        <w:rPr>
          <w:rFonts w:ascii="Verdana" w:hAnsi="Verdana"/>
          <w:sz w:val="16"/>
          <w:szCs w:val="16"/>
        </w:rPr>
        <w:t xml:space="preserve"> Bosnia y Herzegovina</w:t>
      </w:r>
      <w:r>
        <w:rPr>
          <w:rFonts w:ascii="Verdana" w:hAnsi="Verdana"/>
          <w:sz w:val="16"/>
          <w:szCs w:val="16"/>
          <w:lang w:val="es-ES"/>
        </w:rPr>
        <w:t>,</w:t>
      </w:r>
      <w:r w:rsidRPr="00DC6A09">
        <w:rPr>
          <w:rFonts w:ascii="Verdana" w:hAnsi="Verdana"/>
          <w:sz w:val="16"/>
          <w:szCs w:val="16"/>
        </w:rPr>
        <w:t xml:space="preserve"> Estados Unidos de América</w:t>
      </w:r>
      <w:r>
        <w:rPr>
          <w:rFonts w:ascii="Verdana" w:hAnsi="Verdana"/>
          <w:sz w:val="16"/>
          <w:szCs w:val="16"/>
          <w:lang w:val="es-ES"/>
        </w:rPr>
        <w:t>,</w:t>
      </w:r>
      <w:r w:rsidRPr="00DC6A09">
        <w:rPr>
          <w:rFonts w:ascii="Verdana" w:hAnsi="Verdana"/>
          <w:sz w:val="16"/>
          <w:szCs w:val="16"/>
        </w:rPr>
        <w:t xml:space="preserve"> Botswana</w:t>
      </w:r>
      <w:r>
        <w:rPr>
          <w:rFonts w:ascii="Verdana" w:hAnsi="Verdana"/>
          <w:sz w:val="16"/>
          <w:szCs w:val="16"/>
          <w:lang w:val="es-ES"/>
        </w:rPr>
        <w:t>,</w:t>
      </w:r>
      <w:r w:rsidRPr="00DC6A09">
        <w:rPr>
          <w:rFonts w:ascii="Verdana" w:hAnsi="Verdana"/>
          <w:sz w:val="16"/>
          <w:szCs w:val="16"/>
        </w:rPr>
        <w:t xml:space="preserve"> Estonia</w:t>
      </w:r>
      <w:r>
        <w:rPr>
          <w:rFonts w:ascii="Verdana" w:hAnsi="Verdana"/>
          <w:sz w:val="16"/>
          <w:szCs w:val="16"/>
          <w:lang w:val="es-ES"/>
        </w:rPr>
        <w:t>,</w:t>
      </w:r>
      <w:r w:rsidRPr="00DC6A09">
        <w:rPr>
          <w:rFonts w:ascii="Verdana" w:hAnsi="Verdana"/>
          <w:sz w:val="16"/>
          <w:szCs w:val="16"/>
        </w:rPr>
        <w:t xml:space="preserve"> Brasil</w:t>
      </w:r>
      <w:r>
        <w:rPr>
          <w:rFonts w:ascii="Verdana" w:hAnsi="Verdana"/>
          <w:sz w:val="16"/>
          <w:szCs w:val="16"/>
          <w:lang w:val="es-ES"/>
        </w:rPr>
        <w:t>,</w:t>
      </w:r>
      <w:r w:rsidRPr="00DC6A09">
        <w:rPr>
          <w:rFonts w:ascii="Verdana" w:hAnsi="Verdana"/>
          <w:sz w:val="16"/>
          <w:szCs w:val="16"/>
        </w:rPr>
        <w:t xml:space="preserve"> Etiopía</w:t>
      </w:r>
      <w:r>
        <w:rPr>
          <w:rFonts w:ascii="Verdana" w:hAnsi="Verdana"/>
          <w:sz w:val="16"/>
          <w:szCs w:val="16"/>
          <w:lang w:val="es-ES"/>
        </w:rPr>
        <w:t>,</w:t>
      </w:r>
      <w:r w:rsidRPr="00DC6A09">
        <w:rPr>
          <w:rFonts w:ascii="Verdana" w:hAnsi="Verdana"/>
          <w:sz w:val="16"/>
          <w:szCs w:val="16"/>
        </w:rPr>
        <w:t xml:space="preserve"> Brunéi</w:t>
      </w:r>
      <w:r>
        <w:rPr>
          <w:rFonts w:ascii="Verdana" w:hAnsi="Verdana"/>
          <w:sz w:val="16"/>
          <w:szCs w:val="16"/>
          <w:lang w:val="es-ES"/>
        </w:rPr>
        <w:t>,</w:t>
      </w:r>
      <w:r w:rsidRPr="00DC6A09">
        <w:rPr>
          <w:rFonts w:ascii="Verdana" w:hAnsi="Verdana"/>
          <w:sz w:val="16"/>
          <w:szCs w:val="16"/>
        </w:rPr>
        <w:t xml:space="preserve"> Darussalam</w:t>
      </w:r>
      <w:r>
        <w:rPr>
          <w:rFonts w:ascii="Verdana" w:hAnsi="Verdana"/>
          <w:sz w:val="16"/>
          <w:szCs w:val="16"/>
          <w:lang w:val="es-ES"/>
        </w:rPr>
        <w:t>,</w:t>
      </w:r>
      <w:r w:rsidRPr="00DC6A09">
        <w:rPr>
          <w:rFonts w:ascii="Verdana" w:hAnsi="Verdana"/>
          <w:sz w:val="16"/>
          <w:szCs w:val="16"/>
        </w:rPr>
        <w:t xml:space="preserve"> ex República Yugoslava </w:t>
      </w:r>
      <w:r w:rsidRPr="00E37763">
        <w:rPr>
          <w:rFonts w:ascii="Verdana" w:hAnsi="Verdana"/>
          <w:sz w:val="16"/>
          <w:szCs w:val="16"/>
        </w:rPr>
        <w:t>de Macedonia</w:t>
      </w:r>
      <w:r>
        <w:rPr>
          <w:rFonts w:ascii="Verdana" w:hAnsi="Verdana"/>
          <w:sz w:val="16"/>
          <w:szCs w:val="16"/>
          <w:lang w:val="es-ES"/>
        </w:rPr>
        <w:t>,</w:t>
      </w:r>
      <w:r w:rsidRPr="00DC6A09">
        <w:rPr>
          <w:rFonts w:ascii="Verdana" w:hAnsi="Verdana"/>
          <w:sz w:val="16"/>
          <w:szCs w:val="16"/>
        </w:rPr>
        <w:t xml:space="preserve"> Bulgaria</w:t>
      </w:r>
      <w:r>
        <w:rPr>
          <w:rFonts w:ascii="Verdana" w:hAnsi="Verdana"/>
          <w:sz w:val="16"/>
          <w:szCs w:val="16"/>
          <w:lang w:val="es-ES"/>
        </w:rPr>
        <w:t>,</w:t>
      </w:r>
      <w:r w:rsidRPr="00DC6A09">
        <w:rPr>
          <w:rFonts w:ascii="Verdana" w:hAnsi="Verdana"/>
          <w:sz w:val="16"/>
          <w:szCs w:val="16"/>
        </w:rPr>
        <w:t xml:space="preserve"> Federación de Rusia</w:t>
      </w:r>
      <w:r>
        <w:rPr>
          <w:rFonts w:ascii="Verdana" w:hAnsi="Verdana"/>
          <w:sz w:val="16"/>
          <w:szCs w:val="16"/>
          <w:lang w:val="es-ES"/>
        </w:rPr>
        <w:t>,</w:t>
      </w:r>
      <w:r w:rsidRPr="00DC6A09">
        <w:rPr>
          <w:rFonts w:ascii="Verdana" w:hAnsi="Verdana"/>
          <w:sz w:val="16"/>
          <w:szCs w:val="16"/>
        </w:rPr>
        <w:t xml:space="preserve"> Burkina Faso</w:t>
      </w:r>
      <w:r>
        <w:rPr>
          <w:rFonts w:ascii="Verdana" w:hAnsi="Verdana"/>
          <w:sz w:val="16"/>
          <w:szCs w:val="16"/>
          <w:lang w:val="es-ES"/>
        </w:rPr>
        <w:t>,</w:t>
      </w:r>
      <w:r w:rsidRPr="00DC6A09">
        <w:rPr>
          <w:rFonts w:ascii="Verdana" w:hAnsi="Verdana"/>
          <w:sz w:val="16"/>
          <w:szCs w:val="16"/>
        </w:rPr>
        <w:t xml:space="preserve"> Fiji</w:t>
      </w:r>
      <w:r>
        <w:rPr>
          <w:rFonts w:ascii="Verdana" w:hAnsi="Verdana"/>
          <w:sz w:val="16"/>
          <w:szCs w:val="16"/>
          <w:lang w:val="es-ES"/>
        </w:rPr>
        <w:t>,</w:t>
      </w:r>
      <w:r w:rsidRPr="00DC6A09">
        <w:rPr>
          <w:rFonts w:ascii="Verdana" w:hAnsi="Verdana"/>
          <w:sz w:val="16"/>
          <w:szCs w:val="16"/>
        </w:rPr>
        <w:t xml:space="preserve"> Burundi</w:t>
      </w:r>
      <w:r>
        <w:rPr>
          <w:rFonts w:ascii="Verdana" w:hAnsi="Verdana"/>
          <w:sz w:val="16"/>
          <w:szCs w:val="16"/>
          <w:lang w:val="es-ES"/>
        </w:rPr>
        <w:t>,</w:t>
      </w:r>
      <w:r w:rsidRPr="00DC6A09">
        <w:rPr>
          <w:rFonts w:ascii="Verdana" w:hAnsi="Verdana"/>
          <w:sz w:val="16"/>
          <w:szCs w:val="16"/>
        </w:rPr>
        <w:t xml:space="preserve"> Filipinas</w:t>
      </w:r>
      <w:r>
        <w:rPr>
          <w:rFonts w:ascii="Verdana" w:hAnsi="Verdana"/>
          <w:sz w:val="16"/>
          <w:szCs w:val="16"/>
          <w:lang w:val="es-ES"/>
        </w:rPr>
        <w:t>,</w:t>
      </w:r>
      <w:r w:rsidRPr="00DC6A09">
        <w:rPr>
          <w:rFonts w:ascii="Verdana" w:hAnsi="Verdana"/>
          <w:sz w:val="16"/>
          <w:szCs w:val="16"/>
        </w:rPr>
        <w:t xml:space="preserve"> Cabo Verde</w:t>
      </w:r>
      <w:r>
        <w:rPr>
          <w:rFonts w:ascii="Verdana" w:hAnsi="Verdana"/>
          <w:sz w:val="16"/>
          <w:szCs w:val="16"/>
          <w:lang w:val="es-ES"/>
        </w:rPr>
        <w:t>,</w:t>
      </w:r>
      <w:r w:rsidRPr="00DC6A09">
        <w:rPr>
          <w:rFonts w:ascii="Verdana" w:hAnsi="Verdana"/>
          <w:sz w:val="16"/>
          <w:szCs w:val="16"/>
        </w:rPr>
        <w:t xml:space="preserve"> Finlandia</w:t>
      </w:r>
      <w:r>
        <w:rPr>
          <w:rFonts w:ascii="Verdana" w:hAnsi="Verdana"/>
          <w:sz w:val="16"/>
          <w:szCs w:val="16"/>
          <w:lang w:val="es-ES"/>
        </w:rPr>
        <w:t>,</w:t>
      </w:r>
      <w:r w:rsidRPr="00DC6A09">
        <w:rPr>
          <w:rFonts w:ascii="Verdana" w:hAnsi="Verdana"/>
          <w:sz w:val="16"/>
          <w:szCs w:val="16"/>
        </w:rPr>
        <w:t xml:space="preserve"> Camboya</w:t>
      </w:r>
      <w:r>
        <w:rPr>
          <w:rFonts w:ascii="Verdana" w:hAnsi="Verdana"/>
          <w:sz w:val="16"/>
          <w:szCs w:val="16"/>
          <w:lang w:val="es-ES"/>
        </w:rPr>
        <w:t>,</w:t>
      </w:r>
      <w:r w:rsidRPr="00DC6A09">
        <w:rPr>
          <w:rFonts w:ascii="Verdana" w:hAnsi="Verdana"/>
          <w:sz w:val="16"/>
          <w:szCs w:val="16"/>
        </w:rPr>
        <w:t xml:space="preserve"> Francia</w:t>
      </w:r>
      <w:r>
        <w:rPr>
          <w:rFonts w:ascii="Verdana" w:hAnsi="Verdana"/>
          <w:sz w:val="16"/>
          <w:szCs w:val="16"/>
          <w:lang w:val="es-ES"/>
        </w:rPr>
        <w:t>,</w:t>
      </w:r>
      <w:r w:rsidRPr="00DC6A09">
        <w:rPr>
          <w:rFonts w:ascii="Verdana" w:hAnsi="Verdana"/>
          <w:sz w:val="16"/>
          <w:szCs w:val="16"/>
        </w:rPr>
        <w:t xml:space="preserve"> Camerún</w:t>
      </w:r>
      <w:r>
        <w:rPr>
          <w:rFonts w:ascii="Verdana" w:hAnsi="Verdana"/>
          <w:sz w:val="16"/>
          <w:szCs w:val="16"/>
          <w:lang w:val="es-ES"/>
        </w:rPr>
        <w:t>,</w:t>
      </w:r>
      <w:r w:rsidRPr="00DC6A09">
        <w:rPr>
          <w:rFonts w:ascii="Verdana" w:hAnsi="Verdana"/>
          <w:sz w:val="16"/>
          <w:szCs w:val="16"/>
        </w:rPr>
        <w:t xml:space="preserve"> Gabón</w:t>
      </w:r>
      <w:r>
        <w:rPr>
          <w:rFonts w:ascii="Verdana" w:hAnsi="Verdana"/>
          <w:sz w:val="16"/>
          <w:szCs w:val="16"/>
          <w:lang w:val="es-ES"/>
        </w:rPr>
        <w:t>,</w:t>
      </w:r>
      <w:r w:rsidRPr="00DC6A09">
        <w:rPr>
          <w:rFonts w:ascii="Verdana" w:hAnsi="Verdana"/>
          <w:sz w:val="16"/>
          <w:szCs w:val="16"/>
        </w:rPr>
        <w:t xml:space="preserve"> Canadá</w:t>
      </w:r>
      <w:r>
        <w:rPr>
          <w:rFonts w:ascii="Verdana" w:hAnsi="Verdana"/>
          <w:sz w:val="16"/>
          <w:szCs w:val="16"/>
          <w:lang w:val="es-ES"/>
        </w:rPr>
        <w:t>,</w:t>
      </w:r>
      <w:r w:rsidRPr="00DC6A09">
        <w:rPr>
          <w:rFonts w:ascii="Verdana" w:hAnsi="Verdana"/>
          <w:sz w:val="16"/>
          <w:szCs w:val="16"/>
        </w:rPr>
        <w:t xml:space="preserve"> Gambia</w:t>
      </w:r>
      <w:r>
        <w:rPr>
          <w:rFonts w:ascii="Verdana" w:hAnsi="Verdana"/>
          <w:sz w:val="16"/>
          <w:szCs w:val="16"/>
          <w:lang w:val="es-ES"/>
        </w:rPr>
        <w:t>,</w:t>
      </w:r>
      <w:r w:rsidRPr="00DC6A09">
        <w:rPr>
          <w:rFonts w:ascii="Verdana" w:hAnsi="Verdana"/>
          <w:sz w:val="16"/>
          <w:szCs w:val="16"/>
        </w:rPr>
        <w:t xml:space="preserve"> Georgia</w:t>
      </w:r>
      <w:r>
        <w:rPr>
          <w:rFonts w:ascii="Verdana" w:hAnsi="Verdana"/>
          <w:sz w:val="16"/>
          <w:szCs w:val="16"/>
          <w:lang w:val="es-ES"/>
        </w:rPr>
        <w:t>,</w:t>
      </w:r>
      <w:r w:rsidRPr="00DC6A09">
        <w:rPr>
          <w:rFonts w:ascii="Verdana" w:hAnsi="Verdana"/>
          <w:sz w:val="16"/>
          <w:szCs w:val="16"/>
        </w:rPr>
        <w:t xml:space="preserve"> Mónaco</w:t>
      </w:r>
      <w:r>
        <w:rPr>
          <w:rFonts w:ascii="Verdana" w:hAnsi="Verdana"/>
          <w:sz w:val="16"/>
          <w:szCs w:val="16"/>
          <w:lang w:val="es-ES"/>
        </w:rPr>
        <w:t>,</w:t>
      </w:r>
      <w:r w:rsidRPr="00DC6A09">
        <w:rPr>
          <w:rFonts w:ascii="Verdana" w:hAnsi="Verdana"/>
          <w:sz w:val="16"/>
          <w:szCs w:val="16"/>
        </w:rPr>
        <w:t xml:space="preserve"> Ghana</w:t>
      </w:r>
      <w:r>
        <w:rPr>
          <w:rFonts w:ascii="Verdana" w:hAnsi="Verdana"/>
          <w:sz w:val="16"/>
          <w:szCs w:val="16"/>
          <w:lang w:val="es-ES"/>
        </w:rPr>
        <w:t xml:space="preserve">, </w:t>
      </w:r>
      <w:r w:rsidRPr="00DC6A09">
        <w:rPr>
          <w:rFonts w:ascii="Verdana" w:hAnsi="Verdana"/>
          <w:sz w:val="16"/>
          <w:szCs w:val="16"/>
        </w:rPr>
        <w:t>Mongolia</w:t>
      </w:r>
      <w:r>
        <w:rPr>
          <w:rFonts w:ascii="Verdana" w:hAnsi="Verdana"/>
          <w:sz w:val="16"/>
          <w:szCs w:val="16"/>
          <w:lang w:val="es-ES"/>
        </w:rPr>
        <w:t>,</w:t>
      </w:r>
      <w:r w:rsidRPr="00DC6A09">
        <w:rPr>
          <w:rFonts w:ascii="Verdana" w:hAnsi="Verdana"/>
          <w:sz w:val="16"/>
          <w:szCs w:val="16"/>
        </w:rPr>
        <w:t xml:space="preserve"> Granada</w:t>
      </w:r>
      <w:r>
        <w:rPr>
          <w:rFonts w:ascii="Verdana" w:hAnsi="Verdana"/>
          <w:sz w:val="16"/>
          <w:szCs w:val="16"/>
          <w:lang w:val="es-ES"/>
        </w:rPr>
        <w:t>,</w:t>
      </w:r>
      <w:r w:rsidRPr="00DC6A09">
        <w:rPr>
          <w:rFonts w:ascii="Verdana" w:hAnsi="Verdana"/>
          <w:sz w:val="16"/>
          <w:szCs w:val="16"/>
        </w:rPr>
        <w:t xml:space="preserve"> Mozambique</w:t>
      </w:r>
      <w:r>
        <w:rPr>
          <w:rFonts w:ascii="Verdana" w:hAnsi="Verdana"/>
          <w:sz w:val="16"/>
          <w:szCs w:val="16"/>
          <w:lang w:val="es-ES"/>
        </w:rPr>
        <w:t>,</w:t>
      </w:r>
      <w:r w:rsidRPr="00DC6A09">
        <w:rPr>
          <w:rFonts w:ascii="Verdana" w:hAnsi="Verdana"/>
          <w:sz w:val="16"/>
          <w:szCs w:val="16"/>
        </w:rPr>
        <w:t xml:space="preserve"> Grecia</w:t>
      </w:r>
      <w:r>
        <w:rPr>
          <w:rFonts w:ascii="Verdana" w:hAnsi="Verdana"/>
          <w:sz w:val="16"/>
          <w:szCs w:val="16"/>
          <w:lang w:val="es-ES"/>
        </w:rPr>
        <w:t>,</w:t>
      </w:r>
      <w:r w:rsidRPr="00DC6A09">
        <w:rPr>
          <w:rFonts w:ascii="Verdana" w:hAnsi="Verdana"/>
          <w:sz w:val="16"/>
          <w:szCs w:val="16"/>
        </w:rPr>
        <w:t xml:space="preserve"> Myanmar</w:t>
      </w:r>
      <w:r>
        <w:rPr>
          <w:rFonts w:ascii="Verdana" w:hAnsi="Verdana"/>
          <w:sz w:val="16"/>
          <w:szCs w:val="16"/>
          <w:lang w:val="es-ES"/>
        </w:rPr>
        <w:t>,</w:t>
      </w:r>
      <w:r w:rsidRPr="00DC6A09">
        <w:rPr>
          <w:rFonts w:ascii="Verdana" w:hAnsi="Verdana"/>
          <w:sz w:val="16"/>
          <w:szCs w:val="16"/>
        </w:rPr>
        <w:t xml:space="preserve"> Guatemala</w:t>
      </w:r>
      <w:r>
        <w:rPr>
          <w:rFonts w:ascii="Verdana" w:hAnsi="Verdana"/>
          <w:sz w:val="16"/>
          <w:szCs w:val="16"/>
          <w:lang w:val="es-ES"/>
        </w:rPr>
        <w:t>,</w:t>
      </w:r>
      <w:r w:rsidRPr="00DC6A09">
        <w:rPr>
          <w:rFonts w:ascii="Verdana" w:hAnsi="Verdana"/>
          <w:sz w:val="16"/>
          <w:szCs w:val="16"/>
        </w:rPr>
        <w:t xml:space="preserve"> Namibia</w:t>
      </w:r>
      <w:r>
        <w:rPr>
          <w:rFonts w:ascii="Verdana" w:hAnsi="Verdana"/>
          <w:sz w:val="16"/>
          <w:szCs w:val="16"/>
          <w:lang w:val="es-ES"/>
        </w:rPr>
        <w:t>,</w:t>
      </w:r>
      <w:r w:rsidRPr="00DC6A09">
        <w:rPr>
          <w:rFonts w:ascii="Verdana" w:hAnsi="Verdana"/>
          <w:sz w:val="16"/>
          <w:szCs w:val="16"/>
        </w:rPr>
        <w:t xml:space="preserve"> Guinea</w:t>
      </w:r>
      <w:r>
        <w:rPr>
          <w:rFonts w:ascii="Verdana" w:hAnsi="Verdana"/>
          <w:sz w:val="16"/>
          <w:szCs w:val="16"/>
          <w:lang w:val="es-ES"/>
        </w:rPr>
        <w:t>,</w:t>
      </w:r>
      <w:r w:rsidRPr="00DC6A09">
        <w:rPr>
          <w:rFonts w:ascii="Verdana" w:hAnsi="Verdana"/>
          <w:sz w:val="16"/>
          <w:szCs w:val="16"/>
        </w:rPr>
        <w:t xml:space="preserve"> Nepal</w:t>
      </w:r>
      <w:r>
        <w:rPr>
          <w:rFonts w:ascii="Verdana" w:hAnsi="Verdana"/>
          <w:sz w:val="16"/>
          <w:szCs w:val="16"/>
          <w:lang w:val="es-ES"/>
        </w:rPr>
        <w:t>,</w:t>
      </w:r>
      <w:r w:rsidRPr="00DC6A09">
        <w:rPr>
          <w:rFonts w:ascii="Verdana" w:hAnsi="Verdana"/>
          <w:sz w:val="16"/>
          <w:szCs w:val="16"/>
        </w:rPr>
        <w:t xml:space="preserve"> Guinea-Bissau</w:t>
      </w:r>
      <w:r>
        <w:rPr>
          <w:rFonts w:ascii="Verdana" w:hAnsi="Verdana"/>
          <w:sz w:val="16"/>
          <w:szCs w:val="16"/>
          <w:lang w:val="es-ES"/>
        </w:rPr>
        <w:t>,</w:t>
      </w:r>
      <w:r w:rsidRPr="00DC6A09">
        <w:rPr>
          <w:rFonts w:ascii="Verdana" w:hAnsi="Verdana"/>
          <w:sz w:val="16"/>
          <w:szCs w:val="16"/>
        </w:rPr>
        <w:t xml:space="preserve"> Nicaragua</w:t>
      </w:r>
      <w:r>
        <w:rPr>
          <w:rFonts w:ascii="Verdana" w:hAnsi="Verdana"/>
          <w:sz w:val="16"/>
          <w:szCs w:val="16"/>
          <w:lang w:val="es-ES"/>
        </w:rPr>
        <w:t>,</w:t>
      </w:r>
      <w:r w:rsidRPr="00DC6A09">
        <w:rPr>
          <w:rFonts w:ascii="Verdana" w:hAnsi="Verdana"/>
          <w:sz w:val="16"/>
          <w:szCs w:val="16"/>
        </w:rPr>
        <w:t xml:space="preserve"> Guinea Ecuatorial</w:t>
      </w:r>
      <w:r>
        <w:rPr>
          <w:rFonts w:ascii="Verdana" w:hAnsi="Verdana"/>
          <w:sz w:val="16"/>
          <w:szCs w:val="16"/>
          <w:lang w:val="es-ES"/>
        </w:rPr>
        <w:t>,</w:t>
      </w:r>
      <w:r w:rsidRPr="00DC6A09">
        <w:rPr>
          <w:rFonts w:ascii="Verdana" w:hAnsi="Verdana"/>
          <w:sz w:val="16"/>
          <w:szCs w:val="16"/>
        </w:rPr>
        <w:t xml:space="preserve"> Níger</w:t>
      </w:r>
      <w:r>
        <w:rPr>
          <w:rFonts w:ascii="Verdana" w:hAnsi="Verdana"/>
          <w:sz w:val="16"/>
          <w:szCs w:val="16"/>
          <w:lang w:val="es-ES"/>
        </w:rPr>
        <w:t>,</w:t>
      </w:r>
      <w:r w:rsidRPr="00DC6A09">
        <w:rPr>
          <w:rFonts w:ascii="Verdana" w:hAnsi="Verdana"/>
          <w:sz w:val="16"/>
          <w:szCs w:val="16"/>
        </w:rPr>
        <w:t xml:space="preserve"> Guyana</w:t>
      </w:r>
      <w:r>
        <w:rPr>
          <w:rFonts w:ascii="Verdana" w:hAnsi="Verdana"/>
          <w:sz w:val="16"/>
          <w:szCs w:val="16"/>
          <w:lang w:val="es-ES"/>
        </w:rPr>
        <w:t>,</w:t>
      </w:r>
      <w:r w:rsidRPr="00DC6A09">
        <w:rPr>
          <w:rFonts w:ascii="Verdana" w:hAnsi="Verdana"/>
          <w:sz w:val="16"/>
          <w:szCs w:val="16"/>
        </w:rPr>
        <w:t xml:space="preserve"> Nigeria</w:t>
      </w:r>
      <w:r>
        <w:rPr>
          <w:rFonts w:ascii="Verdana" w:hAnsi="Verdana"/>
          <w:sz w:val="16"/>
          <w:szCs w:val="16"/>
          <w:lang w:val="es-ES"/>
        </w:rPr>
        <w:t>,</w:t>
      </w:r>
      <w:r w:rsidRPr="00DC6A09">
        <w:rPr>
          <w:rFonts w:ascii="Verdana" w:hAnsi="Verdana"/>
          <w:sz w:val="16"/>
          <w:szCs w:val="16"/>
        </w:rPr>
        <w:t xml:space="preserve"> Haití</w:t>
      </w:r>
      <w:r>
        <w:rPr>
          <w:rFonts w:ascii="Verdana" w:hAnsi="Verdana"/>
          <w:sz w:val="16"/>
          <w:szCs w:val="16"/>
          <w:lang w:val="es-ES"/>
        </w:rPr>
        <w:t>,</w:t>
      </w:r>
      <w:r w:rsidRPr="00DC6A09">
        <w:rPr>
          <w:rFonts w:ascii="Verdana" w:hAnsi="Verdana"/>
          <w:sz w:val="16"/>
          <w:szCs w:val="16"/>
        </w:rPr>
        <w:t xml:space="preserve"> Niue</w:t>
      </w:r>
      <w:r>
        <w:rPr>
          <w:rFonts w:ascii="Verdana" w:hAnsi="Verdana"/>
          <w:sz w:val="16"/>
          <w:szCs w:val="16"/>
          <w:lang w:val="es-ES"/>
        </w:rPr>
        <w:t>,</w:t>
      </w:r>
      <w:r w:rsidRPr="00DC6A09">
        <w:rPr>
          <w:rFonts w:ascii="Verdana" w:hAnsi="Verdana"/>
          <w:sz w:val="16"/>
          <w:szCs w:val="16"/>
        </w:rPr>
        <w:t xml:space="preserve"> Honduras</w:t>
      </w:r>
      <w:r>
        <w:rPr>
          <w:rFonts w:ascii="Verdana" w:hAnsi="Verdana"/>
          <w:sz w:val="16"/>
          <w:szCs w:val="16"/>
          <w:lang w:val="es-ES"/>
        </w:rPr>
        <w:t>,</w:t>
      </w:r>
      <w:r w:rsidRPr="00DC6A09">
        <w:rPr>
          <w:rFonts w:ascii="Verdana" w:hAnsi="Verdana"/>
          <w:sz w:val="16"/>
          <w:szCs w:val="16"/>
        </w:rPr>
        <w:t xml:space="preserve"> Noruega</w:t>
      </w:r>
      <w:r>
        <w:rPr>
          <w:rFonts w:ascii="Verdana" w:hAnsi="Verdana"/>
          <w:sz w:val="16"/>
          <w:szCs w:val="16"/>
          <w:lang w:val="es-ES"/>
        </w:rPr>
        <w:t>,</w:t>
      </w:r>
      <w:r w:rsidRPr="00DC6A09">
        <w:rPr>
          <w:rFonts w:ascii="Verdana" w:hAnsi="Verdana"/>
          <w:sz w:val="16"/>
          <w:szCs w:val="16"/>
        </w:rPr>
        <w:t xml:space="preserve"> Hungría</w:t>
      </w:r>
      <w:r>
        <w:rPr>
          <w:rFonts w:ascii="Verdana" w:hAnsi="Verdana"/>
          <w:sz w:val="16"/>
          <w:szCs w:val="16"/>
          <w:lang w:val="es-ES"/>
        </w:rPr>
        <w:t>,</w:t>
      </w:r>
      <w:r w:rsidRPr="00DC6A09">
        <w:rPr>
          <w:rFonts w:ascii="Verdana" w:hAnsi="Verdana"/>
          <w:sz w:val="16"/>
          <w:szCs w:val="16"/>
        </w:rPr>
        <w:t xml:space="preserve"> Nueva Zelandia</w:t>
      </w:r>
      <w:r>
        <w:rPr>
          <w:rFonts w:ascii="Verdana" w:hAnsi="Verdana"/>
          <w:sz w:val="16"/>
          <w:szCs w:val="16"/>
          <w:lang w:val="es-ES"/>
        </w:rPr>
        <w:t>,</w:t>
      </w:r>
      <w:r w:rsidRPr="00DC6A09">
        <w:rPr>
          <w:rFonts w:ascii="Verdana" w:hAnsi="Verdana"/>
          <w:sz w:val="16"/>
          <w:szCs w:val="16"/>
        </w:rPr>
        <w:t xml:space="preserve"> India</w:t>
      </w:r>
      <w:r>
        <w:rPr>
          <w:rFonts w:ascii="Verdana" w:hAnsi="Verdana"/>
          <w:sz w:val="16"/>
          <w:szCs w:val="16"/>
          <w:lang w:val="es-ES"/>
        </w:rPr>
        <w:t>,</w:t>
      </w:r>
      <w:r w:rsidRPr="00DC6A09">
        <w:rPr>
          <w:rFonts w:ascii="Verdana" w:hAnsi="Verdana"/>
          <w:sz w:val="16"/>
          <w:szCs w:val="16"/>
        </w:rPr>
        <w:t xml:space="preserve"> Omán</w:t>
      </w:r>
      <w:r>
        <w:rPr>
          <w:rFonts w:ascii="Verdana" w:hAnsi="Verdana"/>
          <w:sz w:val="16"/>
          <w:szCs w:val="16"/>
          <w:lang w:val="es-ES"/>
        </w:rPr>
        <w:t>,</w:t>
      </w:r>
      <w:r w:rsidRPr="00DC6A09">
        <w:rPr>
          <w:rFonts w:ascii="Verdana" w:hAnsi="Verdana"/>
          <w:sz w:val="16"/>
          <w:szCs w:val="16"/>
        </w:rPr>
        <w:t xml:space="preserve"> Indonesia</w:t>
      </w:r>
      <w:r>
        <w:rPr>
          <w:rFonts w:ascii="Verdana" w:hAnsi="Verdana"/>
          <w:sz w:val="16"/>
          <w:szCs w:val="16"/>
          <w:lang w:val="es-ES"/>
        </w:rPr>
        <w:t>,</w:t>
      </w:r>
      <w:r w:rsidRPr="00DC6A09">
        <w:rPr>
          <w:rFonts w:ascii="Verdana" w:hAnsi="Verdana"/>
          <w:sz w:val="16"/>
          <w:szCs w:val="16"/>
        </w:rPr>
        <w:t xml:space="preserve"> Países Bajos</w:t>
      </w:r>
      <w:r>
        <w:rPr>
          <w:rFonts w:ascii="Verdana" w:hAnsi="Verdana"/>
          <w:sz w:val="16"/>
          <w:szCs w:val="16"/>
          <w:lang w:val="es-ES"/>
        </w:rPr>
        <w:t>,</w:t>
      </w:r>
      <w:r w:rsidRPr="00DC6A09">
        <w:rPr>
          <w:rFonts w:ascii="Verdana" w:hAnsi="Verdana"/>
          <w:sz w:val="16"/>
          <w:szCs w:val="16"/>
        </w:rPr>
        <w:t xml:space="preserve"> Irán (República Islámica del)</w:t>
      </w:r>
      <w:r>
        <w:rPr>
          <w:rFonts w:ascii="Verdana" w:hAnsi="Verdana"/>
          <w:sz w:val="16"/>
          <w:szCs w:val="16"/>
          <w:lang w:val="es-ES"/>
        </w:rPr>
        <w:t>,</w:t>
      </w:r>
      <w:r w:rsidRPr="00DC6A09">
        <w:rPr>
          <w:rFonts w:ascii="Verdana" w:hAnsi="Verdana"/>
          <w:sz w:val="16"/>
          <w:szCs w:val="16"/>
        </w:rPr>
        <w:t xml:space="preserve"> Pakistán</w:t>
      </w:r>
      <w:r>
        <w:rPr>
          <w:rFonts w:ascii="Verdana" w:hAnsi="Verdana"/>
          <w:sz w:val="16"/>
          <w:szCs w:val="16"/>
          <w:lang w:val="es-ES"/>
        </w:rPr>
        <w:t>,</w:t>
      </w:r>
      <w:r w:rsidRPr="00DC6A09">
        <w:rPr>
          <w:rFonts w:ascii="Verdana" w:hAnsi="Verdana"/>
          <w:sz w:val="16"/>
          <w:szCs w:val="16"/>
        </w:rPr>
        <w:t xml:space="preserve"> Iraq</w:t>
      </w:r>
      <w:r>
        <w:rPr>
          <w:rFonts w:ascii="Verdana" w:hAnsi="Verdana"/>
          <w:sz w:val="16"/>
          <w:szCs w:val="16"/>
          <w:lang w:val="es-ES"/>
        </w:rPr>
        <w:t>,</w:t>
      </w:r>
      <w:r w:rsidRPr="00DC6A09">
        <w:rPr>
          <w:rFonts w:ascii="Verdana" w:hAnsi="Verdana"/>
          <w:sz w:val="16"/>
          <w:szCs w:val="16"/>
        </w:rPr>
        <w:t xml:space="preserve"> Palau</w:t>
      </w:r>
      <w:r>
        <w:rPr>
          <w:rFonts w:ascii="Verdana" w:hAnsi="Verdana"/>
          <w:sz w:val="16"/>
          <w:szCs w:val="16"/>
          <w:lang w:val="es-ES"/>
        </w:rPr>
        <w:t>,</w:t>
      </w:r>
      <w:r w:rsidRPr="00DC6A09">
        <w:rPr>
          <w:rFonts w:ascii="Verdana" w:hAnsi="Verdana"/>
          <w:sz w:val="16"/>
          <w:szCs w:val="16"/>
        </w:rPr>
        <w:t xml:space="preserve"> Irlanda</w:t>
      </w:r>
      <w:r>
        <w:rPr>
          <w:rFonts w:ascii="Verdana" w:hAnsi="Verdana"/>
          <w:sz w:val="16"/>
          <w:szCs w:val="16"/>
          <w:lang w:val="es-ES"/>
        </w:rPr>
        <w:t>,</w:t>
      </w:r>
      <w:r w:rsidRPr="00DC6A09">
        <w:rPr>
          <w:rFonts w:ascii="Verdana" w:hAnsi="Verdana"/>
          <w:sz w:val="16"/>
          <w:szCs w:val="16"/>
        </w:rPr>
        <w:t xml:space="preserve"> Panamá</w:t>
      </w:r>
      <w:r>
        <w:rPr>
          <w:rFonts w:ascii="Verdana" w:hAnsi="Verdana"/>
          <w:sz w:val="16"/>
          <w:szCs w:val="16"/>
          <w:lang w:val="es-ES"/>
        </w:rPr>
        <w:t>,</w:t>
      </w:r>
      <w:r w:rsidRPr="00DC6A09">
        <w:rPr>
          <w:rFonts w:ascii="Verdana" w:hAnsi="Verdana"/>
          <w:sz w:val="16"/>
          <w:szCs w:val="16"/>
        </w:rPr>
        <w:t xml:space="preserve"> Islandia</w:t>
      </w:r>
      <w:r>
        <w:rPr>
          <w:rFonts w:ascii="Verdana" w:hAnsi="Verdana"/>
          <w:sz w:val="16"/>
          <w:szCs w:val="16"/>
          <w:lang w:val="es-ES"/>
        </w:rPr>
        <w:t>,</w:t>
      </w:r>
      <w:r w:rsidRPr="00DC6A09">
        <w:rPr>
          <w:rFonts w:ascii="Verdana" w:hAnsi="Verdana"/>
          <w:sz w:val="16"/>
          <w:szCs w:val="16"/>
        </w:rPr>
        <w:t xml:space="preserve"> </w:t>
      </w:r>
      <w:r w:rsidRPr="00E37763">
        <w:rPr>
          <w:rFonts w:ascii="Verdana" w:hAnsi="Verdana"/>
          <w:sz w:val="16"/>
          <w:szCs w:val="16"/>
        </w:rPr>
        <w:t>Pap</w:t>
      </w:r>
      <w:r w:rsidRPr="00E37763">
        <w:rPr>
          <w:rFonts w:ascii="Verdana" w:hAnsi="Verdana"/>
          <w:sz w:val="16"/>
          <w:szCs w:val="16"/>
          <w:lang w:val="es-ES"/>
        </w:rPr>
        <w:t>ú</w:t>
      </w:r>
      <w:r w:rsidRPr="00E37763">
        <w:rPr>
          <w:rFonts w:ascii="Verdana" w:hAnsi="Verdana"/>
          <w:sz w:val="16"/>
          <w:szCs w:val="16"/>
        </w:rPr>
        <w:t>a Nueva Guinea</w:t>
      </w:r>
      <w:r>
        <w:rPr>
          <w:rFonts w:ascii="Verdana" w:hAnsi="Verdana"/>
          <w:sz w:val="16"/>
          <w:szCs w:val="16"/>
          <w:lang w:val="es-ES"/>
        </w:rPr>
        <w:t>,</w:t>
      </w:r>
      <w:r w:rsidRPr="00DC6A09">
        <w:rPr>
          <w:rFonts w:ascii="Verdana" w:hAnsi="Verdana"/>
          <w:sz w:val="16"/>
          <w:szCs w:val="16"/>
        </w:rPr>
        <w:t xml:space="preserve"> Islas Cook</w:t>
      </w:r>
      <w:r>
        <w:rPr>
          <w:rFonts w:ascii="Verdana" w:hAnsi="Verdana"/>
          <w:sz w:val="16"/>
          <w:szCs w:val="16"/>
          <w:lang w:val="es-ES"/>
        </w:rPr>
        <w:t>,</w:t>
      </w:r>
      <w:r w:rsidRPr="00DC6A09">
        <w:rPr>
          <w:rFonts w:ascii="Verdana" w:hAnsi="Verdana"/>
          <w:sz w:val="16"/>
          <w:szCs w:val="16"/>
        </w:rPr>
        <w:t xml:space="preserve"> Paraguay</w:t>
      </w:r>
      <w:r>
        <w:rPr>
          <w:rFonts w:ascii="Verdana" w:hAnsi="Verdana"/>
          <w:sz w:val="16"/>
          <w:szCs w:val="16"/>
          <w:lang w:val="es-ES"/>
        </w:rPr>
        <w:t>,</w:t>
      </w:r>
      <w:r w:rsidRPr="00DC6A09">
        <w:rPr>
          <w:rFonts w:ascii="Verdana" w:hAnsi="Verdana"/>
          <w:sz w:val="16"/>
          <w:szCs w:val="16"/>
        </w:rPr>
        <w:t xml:space="preserve"> Islas Marshall</w:t>
      </w:r>
      <w:r>
        <w:rPr>
          <w:rFonts w:ascii="Verdana" w:hAnsi="Verdana"/>
          <w:sz w:val="16"/>
          <w:szCs w:val="16"/>
          <w:lang w:val="es-ES"/>
        </w:rPr>
        <w:t xml:space="preserve">, </w:t>
      </w:r>
      <w:r w:rsidRPr="00DC6A09">
        <w:rPr>
          <w:rFonts w:ascii="Verdana" w:hAnsi="Verdana"/>
          <w:sz w:val="16"/>
          <w:szCs w:val="16"/>
        </w:rPr>
        <w:t>Perú</w:t>
      </w:r>
      <w:r>
        <w:rPr>
          <w:rFonts w:ascii="Verdana" w:hAnsi="Verdana"/>
          <w:sz w:val="16"/>
          <w:szCs w:val="16"/>
          <w:lang w:val="es-ES"/>
        </w:rPr>
        <w:t>,</w:t>
      </w:r>
      <w:r w:rsidRPr="00DC6A09">
        <w:rPr>
          <w:rFonts w:ascii="Verdana" w:hAnsi="Verdana"/>
          <w:sz w:val="16"/>
          <w:szCs w:val="16"/>
        </w:rPr>
        <w:t xml:space="preserve"> Islas Salomón</w:t>
      </w:r>
      <w:r>
        <w:rPr>
          <w:rFonts w:ascii="Verdana" w:hAnsi="Verdana"/>
          <w:sz w:val="16"/>
          <w:szCs w:val="16"/>
          <w:lang w:val="es-ES"/>
        </w:rPr>
        <w:t>,</w:t>
      </w:r>
      <w:r w:rsidRPr="00DC6A09">
        <w:rPr>
          <w:rFonts w:ascii="Verdana" w:hAnsi="Verdana"/>
          <w:sz w:val="16"/>
          <w:szCs w:val="16"/>
        </w:rPr>
        <w:t xml:space="preserve"> Polonia</w:t>
      </w:r>
      <w:r>
        <w:rPr>
          <w:rFonts w:ascii="Verdana" w:hAnsi="Verdana"/>
          <w:sz w:val="16"/>
          <w:szCs w:val="16"/>
          <w:lang w:val="es-ES"/>
        </w:rPr>
        <w:t>,</w:t>
      </w:r>
      <w:r w:rsidRPr="00DC6A09">
        <w:rPr>
          <w:rFonts w:ascii="Verdana" w:hAnsi="Verdana"/>
          <w:sz w:val="16"/>
          <w:szCs w:val="16"/>
        </w:rPr>
        <w:t xml:space="preserve"> Israel</w:t>
      </w:r>
      <w:r>
        <w:rPr>
          <w:rFonts w:ascii="Verdana" w:hAnsi="Verdana"/>
          <w:sz w:val="16"/>
          <w:szCs w:val="16"/>
          <w:lang w:val="es-ES"/>
        </w:rPr>
        <w:t>,</w:t>
      </w:r>
      <w:r w:rsidRPr="00DC6A09">
        <w:rPr>
          <w:rFonts w:ascii="Verdana" w:hAnsi="Verdana"/>
          <w:sz w:val="16"/>
          <w:szCs w:val="16"/>
        </w:rPr>
        <w:t xml:space="preserve"> Portugal</w:t>
      </w:r>
      <w:r>
        <w:rPr>
          <w:rFonts w:ascii="Verdana" w:hAnsi="Verdana"/>
          <w:sz w:val="16"/>
          <w:szCs w:val="16"/>
          <w:lang w:val="es-ES"/>
        </w:rPr>
        <w:t>,</w:t>
      </w:r>
      <w:r w:rsidRPr="00DC6A09">
        <w:rPr>
          <w:rFonts w:ascii="Verdana" w:hAnsi="Verdana"/>
          <w:sz w:val="16"/>
          <w:szCs w:val="16"/>
        </w:rPr>
        <w:t xml:space="preserve"> Italia</w:t>
      </w:r>
      <w:r>
        <w:rPr>
          <w:rFonts w:ascii="Verdana" w:hAnsi="Verdana"/>
          <w:sz w:val="16"/>
          <w:szCs w:val="16"/>
          <w:lang w:val="es-ES"/>
        </w:rPr>
        <w:t>,</w:t>
      </w:r>
      <w:r w:rsidRPr="00DC6A09">
        <w:rPr>
          <w:rFonts w:ascii="Verdana" w:hAnsi="Verdana"/>
          <w:sz w:val="16"/>
          <w:szCs w:val="16"/>
        </w:rPr>
        <w:t xml:space="preserve"> Qatar</w:t>
      </w:r>
      <w:r>
        <w:rPr>
          <w:rFonts w:ascii="Verdana" w:hAnsi="Verdana"/>
          <w:sz w:val="16"/>
          <w:szCs w:val="16"/>
          <w:lang w:val="es-ES"/>
        </w:rPr>
        <w:t>,</w:t>
      </w:r>
      <w:r w:rsidRPr="00DC6A09">
        <w:rPr>
          <w:rFonts w:ascii="Verdana" w:hAnsi="Verdana"/>
          <w:sz w:val="16"/>
          <w:szCs w:val="16"/>
        </w:rPr>
        <w:t xml:space="preserve"> Jamahiriya Árabe</w:t>
      </w:r>
      <w:r>
        <w:rPr>
          <w:rFonts w:ascii="Verdana" w:hAnsi="Verdana"/>
          <w:sz w:val="16"/>
          <w:szCs w:val="16"/>
          <w:lang w:val="es-ES"/>
        </w:rPr>
        <w:t>,</w:t>
      </w:r>
      <w:r w:rsidRPr="00DC6A09">
        <w:rPr>
          <w:rFonts w:ascii="Verdana" w:hAnsi="Verdana"/>
          <w:sz w:val="16"/>
          <w:szCs w:val="16"/>
        </w:rPr>
        <w:t xml:space="preserve"> Libia</w:t>
      </w:r>
      <w:r>
        <w:rPr>
          <w:rFonts w:ascii="Verdana" w:hAnsi="Verdana"/>
          <w:sz w:val="16"/>
          <w:szCs w:val="16"/>
          <w:lang w:val="es-ES"/>
        </w:rPr>
        <w:t>,</w:t>
      </w:r>
      <w:r w:rsidRPr="00DC6A09">
        <w:rPr>
          <w:rFonts w:ascii="Verdana" w:hAnsi="Verdana"/>
          <w:sz w:val="16"/>
          <w:szCs w:val="16"/>
        </w:rPr>
        <w:t xml:space="preserve"> Jamaica</w:t>
      </w:r>
      <w:r>
        <w:rPr>
          <w:rFonts w:ascii="Verdana" w:hAnsi="Verdana"/>
          <w:sz w:val="16"/>
          <w:szCs w:val="16"/>
          <w:lang w:val="es-ES"/>
        </w:rPr>
        <w:t>,</w:t>
      </w:r>
      <w:r w:rsidRPr="00DC6A09">
        <w:rPr>
          <w:rFonts w:ascii="Verdana" w:hAnsi="Verdana"/>
          <w:sz w:val="16"/>
          <w:szCs w:val="16"/>
        </w:rPr>
        <w:t xml:space="preserve"> Reino Unido de Gran Bretaña</w:t>
      </w:r>
      <w:r>
        <w:rPr>
          <w:rFonts w:ascii="Verdana" w:hAnsi="Verdana"/>
          <w:sz w:val="16"/>
          <w:szCs w:val="16"/>
          <w:lang w:val="es-ES"/>
        </w:rPr>
        <w:t xml:space="preserve"> e </w:t>
      </w:r>
      <w:r w:rsidRPr="00DC6A09">
        <w:rPr>
          <w:rFonts w:ascii="Verdana" w:hAnsi="Verdana"/>
          <w:sz w:val="16"/>
          <w:szCs w:val="16"/>
        </w:rPr>
        <w:t>Irlanda del Norte</w:t>
      </w:r>
      <w:r>
        <w:rPr>
          <w:rFonts w:ascii="Verdana" w:hAnsi="Verdana"/>
          <w:sz w:val="16"/>
          <w:szCs w:val="16"/>
          <w:lang w:val="es-ES"/>
        </w:rPr>
        <w:t>,</w:t>
      </w:r>
      <w:r w:rsidRPr="00DC6A09">
        <w:rPr>
          <w:rFonts w:ascii="Verdana" w:hAnsi="Verdana"/>
          <w:sz w:val="16"/>
          <w:szCs w:val="16"/>
        </w:rPr>
        <w:t xml:space="preserve"> Japón</w:t>
      </w:r>
      <w:r>
        <w:rPr>
          <w:rFonts w:ascii="Verdana" w:hAnsi="Verdana"/>
          <w:sz w:val="16"/>
          <w:szCs w:val="16"/>
          <w:lang w:val="es-ES"/>
        </w:rPr>
        <w:t>,</w:t>
      </w:r>
      <w:r w:rsidRPr="00DC6A09">
        <w:rPr>
          <w:rFonts w:ascii="Verdana" w:hAnsi="Verdana"/>
          <w:sz w:val="16"/>
          <w:szCs w:val="16"/>
        </w:rPr>
        <w:t xml:space="preserve"> República Árabe</w:t>
      </w:r>
      <w:r>
        <w:rPr>
          <w:rFonts w:ascii="Verdana" w:hAnsi="Verdana"/>
          <w:sz w:val="16"/>
          <w:szCs w:val="16"/>
          <w:lang w:val="es-ES"/>
        </w:rPr>
        <w:t>,</w:t>
      </w:r>
      <w:r w:rsidRPr="00DC6A09">
        <w:rPr>
          <w:rFonts w:ascii="Verdana" w:hAnsi="Verdana"/>
          <w:sz w:val="16"/>
          <w:szCs w:val="16"/>
          <w:lang w:val="es-UY"/>
        </w:rPr>
        <w:t xml:space="preserve"> </w:t>
      </w:r>
      <w:r w:rsidRPr="00DC6A09">
        <w:rPr>
          <w:rFonts w:ascii="Verdana" w:hAnsi="Verdana"/>
          <w:sz w:val="16"/>
          <w:szCs w:val="16"/>
        </w:rPr>
        <w:t>Siria</w:t>
      </w:r>
      <w:r>
        <w:rPr>
          <w:rFonts w:ascii="Verdana" w:hAnsi="Verdana"/>
          <w:sz w:val="16"/>
          <w:szCs w:val="16"/>
          <w:lang w:val="es-ES"/>
        </w:rPr>
        <w:t>,</w:t>
      </w:r>
      <w:r w:rsidRPr="00DC6A09">
        <w:rPr>
          <w:rFonts w:ascii="Verdana" w:hAnsi="Verdana"/>
          <w:sz w:val="16"/>
          <w:szCs w:val="16"/>
        </w:rPr>
        <w:t xml:space="preserve"> Jordania</w:t>
      </w:r>
      <w:r>
        <w:rPr>
          <w:rFonts w:ascii="Verdana" w:hAnsi="Verdana"/>
          <w:sz w:val="16"/>
          <w:szCs w:val="16"/>
          <w:lang w:val="es-ES"/>
        </w:rPr>
        <w:t>,</w:t>
      </w:r>
      <w:r w:rsidRPr="00DC6A09">
        <w:rPr>
          <w:rFonts w:ascii="Verdana" w:hAnsi="Verdana"/>
          <w:sz w:val="16"/>
          <w:szCs w:val="16"/>
        </w:rPr>
        <w:t xml:space="preserve"> República Centroafricana</w:t>
      </w:r>
      <w:r>
        <w:rPr>
          <w:rFonts w:ascii="Verdana" w:hAnsi="Verdana"/>
          <w:sz w:val="16"/>
          <w:szCs w:val="16"/>
          <w:lang w:val="es-ES"/>
        </w:rPr>
        <w:t>,</w:t>
      </w:r>
      <w:r w:rsidRPr="00DC6A09">
        <w:rPr>
          <w:rFonts w:ascii="Verdana" w:hAnsi="Verdana"/>
          <w:sz w:val="16"/>
          <w:szCs w:val="16"/>
        </w:rPr>
        <w:t xml:space="preserve"> Kazajstán</w:t>
      </w:r>
      <w:r>
        <w:rPr>
          <w:rFonts w:ascii="Verdana" w:hAnsi="Verdana"/>
          <w:sz w:val="16"/>
          <w:szCs w:val="16"/>
          <w:lang w:val="es-ES"/>
        </w:rPr>
        <w:t>,</w:t>
      </w:r>
      <w:r w:rsidRPr="00DC6A09">
        <w:rPr>
          <w:rFonts w:ascii="Verdana" w:hAnsi="Verdana"/>
          <w:sz w:val="16"/>
          <w:szCs w:val="16"/>
        </w:rPr>
        <w:t xml:space="preserve"> República Checa</w:t>
      </w:r>
      <w:r>
        <w:rPr>
          <w:rFonts w:ascii="Verdana" w:hAnsi="Verdana"/>
          <w:sz w:val="16"/>
          <w:szCs w:val="16"/>
          <w:lang w:val="es-ES"/>
        </w:rPr>
        <w:t>,</w:t>
      </w:r>
      <w:r w:rsidRPr="00DC6A09">
        <w:rPr>
          <w:rFonts w:ascii="Verdana" w:hAnsi="Verdana"/>
          <w:sz w:val="16"/>
          <w:szCs w:val="16"/>
        </w:rPr>
        <w:t xml:space="preserve"> Kenya</w:t>
      </w:r>
      <w:r>
        <w:rPr>
          <w:rFonts w:ascii="Verdana" w:hAnsi="Verdana"/>
          <w:sz w:val="16"/>
          <w:szCs w:val="16"/>
          <w:lang w:val="es-ES"/>
        </w:rPr>
        <w:t>,</w:t>
      </w:r>
      <w:r w:rsidRPr="00DC6A09">
        <w:rPr>
          <w:rFonts w:ascii="Verdana" w:hAnsi="Verdana"/>
          <w:sz w:val="16"/>
          <w:szCs w:val="16"/>
        </w:rPr>
        <w:t xml:space="preserve"> República de Corea</w:t>
      </w:r>
      <w:r>
        <w:rPr>
          <w:rFonts w:ascii="Verdana" w:hAnsi="Verdana"/>
          <w:sz w:val="16"/>
          <w:szCs w:val="16"/>
          <w:lang w:val="es-ES"/>
        </w:rPr>
        <w:t>,</w:t>
      </w:r>
      <w:r w:rsidRPr="00DC6A09">
        <w:rPr>
          <w:rFonts w:ascii="Verdana" w:hAnsi="Verdana"/>
          <w:sz w:val="16"/>
          <w:szCs w:val="16"/>
        </w:rPr>
        <w:t xml:space="preserve"> Kirguistán</w:t>
      </w:r>
      <w:r>
        <w:rPr>
          <w:rFonts w:ascii="Verdana" w:hAnsi="Verdana"/>
          <w:sz w:val="16"/>
          <w:szCs w:val="16"/>
          <w:lang w:val="es-ES"/>
        </w:rPr>
        <w:t>,</w:t>
      </w:r>
      <w:r w:rsidRPr="00DC6A09">
        <w:rPr>
          <w:rFonts w:ascii="Verdana" w:hAnsi="Verdana"/>
          <w:sz w:val="16"/>
          <w:szCs w:val="16"/>
        </w:rPr>
        <w:t xml:space="preserve"> República Democrática del Congo</w:t>
      </w:r>
      <w:r>
        <w:rPr>
          <w:rFonts w:ascii="Verdana" w:hAnsi="Verdana"/>
          <w:sz w:val="16"/>
          <w:szCs w:val="16"/>
          <w:lang w:val="es-ES"/>
        </w:rPr>
        <w:t>,</w:t>
      </w:r>
      <w:r w:rsidRPr="00DC6A09">
        <w:rPr>
          <w:rFonts w:ascii="Verdana" w:hAnsi="Verdana"/>
          <w:sz w:val="16"/>
          <w:szCs w:val="16"/>
        </w:rPr>
        <w:t xml:space="preserve"> Kiribati</w:t>
      </w:r>
      <w:r>
        <w:rPr>
          <w:rFonts w:ascii="Verdana" w:hAnsi="Verdana"/>
          <w:sz w:val="16"/>
          <w:szCs w:val="16"/>
          <w:lang w:val="es-ES"/>
        </w:rPr>
        <w:t>,</w:t>
      </w:r>
      <w:r w:rsidRPr="00DC6A09">
        <w:rPr>
          <w:rFonts w:ascii="Verdana" w:hAnsi="Verdana"/>
          <w:sz w:val="16"/>
          <w:szCs w:val="16"/>
        </w:rPr>
        <w:t xml:space="preserve"> República Democrática Popular Lao</w:t>
      </w:r>
      <w:r>
        <w:rPr>
          <w:rFonts w:ascii="Verdana" w:hAnsi="Verdana"/>
          <w:sz w:val="16"/>
          <w:szCs w:val="16"/>
          <w:lang w:val="es-ES"/>
        </w:rPr>
        <w:t>,</w:t>
      </w:r>
      <w:r w:rsidRPr="00DC6A09">
        <w:rPr>
          <w:rFonts w:ascii="Verdana" w:hAnsi="Verdana"/>
          <w:sz w:val="16"/>
          <w:szCs w:val="16"/>
        </w:rPr>
        <w:t xml:space="preserve"> Kuwait</w:t>
      </w:r>
      <w:r>
        <w:rPr>
          <w:rFonts w:ascii="Verdana" w:hAnsi="Verdana"/>
          <w:sz w:val="16"/>
          <w:szCs w:val="16"/>
          <w:lang w:val="es-ES"/>
        </w:rPr>
        <w:t>,</w:t>
      </w:r>
      <w:r w:rsidRPr="00DC6A09">
        <w:rPr>
          <w:rFonts w:ascii="Verdana" w:hAnsi="Verdana"/>
          <w:sz w:val="16"/>
          <w:szCs w:val="16"/>
        </w:rPr>
        <w:t xml:space="preserve"> República de Moldova</w:t>
      </w:r>
      <w:r>
        <w:rPr>
          <w:rFonts w:ascii="Verdana" w:hAnsi="Verdana"/>
          <w:sz w:val="16"/>
          <w:szCs w:val="16"/>
          <w:lang w:val="es-ES"/>
        </w:rPr>
        <w:t>,</w:t>
      </w:r>
      <w:r w:rsidRPr="00DC6A09">
        <w:rPr>
          <w:rFonts w:ascii="Verdana" w:hAnsi="Verdana"/>
          <w:sz w:val="16"/>
          <w:szCs w:val="16"/>
        </w:rPr>
        <w:t xml:space="preserve"> Lesotho</w:t>
      </w:r>
      <w:r>
        <w:rPr>
          <w:rFonts w:ascii="Verdana" w:hAnsi="Verdana"/>
          <w:sz w:val="16"/>
          <w:szCs w:val="16"/>
          <w:lang w:val="es-ES"/>
        </w:rPr>
        <w:t>,</w:t>
      </w:r>
      <w:r w:rsidRPr="00DC6A09">
        <w:rPr>
          <w:rFonts w:ascii="Verdana" w:hAnsi="Verdana"/>
          <w:sz w:val="16"/>
          <w:szCs w:val="16"/>
        </w:rPr>
        <w:t xml:space="preserve"> República Dominicana</w:t>
      </w:r>
      <w:r>
        <w:rPr>
          <w:rFonts w:ascii="Verdana" w:hAnsi="Verdana"/>
          <w:sz w:val="16"/>
          <w:szCs w:val="16"/>
          <w:lang w:val="es-ES"/>
        </w:rPr>
        <w:t>,</w:t>
      </w:r>
      <w:r w:rsidRPr="00DC6A09">
        <w:rPr>
          <w:rFonts w:ascii="Verdana" w:hAnsi="Verdana"/>
          <w:sz w:val="16"/>
          <w:szCs w:val="16"/>
        </w:rPr>
        <w:t xml:space="preserve"> Letonia</w:t>
      </w:r>
      <w:r>
        <w:rPr>
          <w:rFonts w:ascii="Verdana" w:hAnsi="Verdana"/>
          <w:sz w:val="16"/>
          <w:szCs w:val="16"/>
          <w:lang w:val="es-ES"/>
        </w:rPr>
        <w:t>,</w:t>
      </w:r>
      <w:r w:rsidRPr="00DC6A09">
        <w:rPr>
          <w:rFonts w:ascii="Verdana" w:hAnsi="Verdana"/>
          <w:sz w:val="16"/>
          <w:szCs w:val="16"/>
        </w:rPr>
        <w:t xml:space="preserve"> Líbano</w:t>
      </w:r>
      <w:r>
        <w:rPr>
          <w:rFonts w:ascii="Verdana" w:hAnsi="Verdana"/>
          <w:sz w:val="16"/>
          <w:szCs w:val="16"/>
          <w:lang w:val="es-ES"/>
        </w:rPr>
        <w:t>,</w:t>
      </w:r>
      <w:r w:rsidRPr="00DC6A09">
        <w:rPr>
          <w:rFonts w:ascii="Verdana" w:hAnsi="Verdana"/>
          <w:sz w:val="16"/>
          <w:szCs w:val="16"/>
        </w:rPr>
        <w:t xml:space="preserve"> República Popular Democrática de Corea</w:t>
      </w:r>
      <w:r>
        <w:rPr>
          <w:rFonts w:ascii="Verdana" w:hAnsi="Verdana"/>
          <w:sz w:val="16"/>
          <w:szCs w:val="16"/>
          <w:lang w:val="es-ES"/>
        </w:rPr>
        <w:t>,</w:t>
      </w:r>
      <w:r w:rsidRPr="00DC6A09">
        <w:rPr>
          <w:rFonts w:ascii="Verdana" w:hAnsi="Verdana"/>
          <w:sz w:val="16"/>
          <w:szCs w:val="16"/>
        </w:rPr>
        <w:t xml:space="preserve"> Liberia</w:t>
      </w:r>
      <w:r>
        <w:rPr>
          <w:rFonts w:ascii="Verdana" w:hAnsi="Verdana"/>
          <w:sz w:val="16"/>
          <w:szCs w:val="16"/>
          <w:lang w:val="es-ES"/>
        </w:rPr>
        <w:t>,</w:t>
      </w:r>
      <w:r w:rsidRPr="00DC6A09">
        <w:rPr>
          <w:rFonts w:ascii="Verdana" w:hAnsi="Verdana"/>
          <w:sz w:val="16"/>
          <w:szCs w:val="16"/>
        </w:rPr>
        <w:t xml:space="preserve"> República Unida de Tanzania</w:t>
      </w:r>
      <w:r>
        <w:rPr>
          <w:rFonts w:ascii="Verdana" w:hAnsi="Verdana"/>
          <w:sz w:val="16"/>
          <w:szCs w:val="16"/>
          <w:lang w:val="es-ES"/>
        </w:rPr>
        <w:t>,</w:t>
      </w:r>
      <w:r w:rsidRPr="00DC6A09">
        <w:rPr>
          <w:rFonts w:ascii="Verdana" w:hAnsi="Verdana"/>
          <w:sz w:val="16"/>
          <w:szCs w:val="16"/>
        </w:rPr>
        <w:t xml:space="preserve"> Liechtenstein</w:t>
      </w:r>
      <w:r>
        <w:rPr>
          <w:rFonts w:ascii="Verdana" w:hAnsi="Verdana"/>
          <w:sz w:val="16"/>
          <w:szCs w:val="16"/>
          <w:lang w:val="es-ES"/>
        </w:rPr>
        <w:t>,</w:t>
      </w:r>
      <w:r w:rsidRPr="00DC6A09">
        <w:rPr>
          <w:rFonts w:ascii="Verdana" w:hAnsi="Verdana"/>
          <w:sz w:val="16"/>
          <w:szCs w:val="16"/>
        </w:rPr>
        <w:t xml:space="preserve"> Rumania</w:t>
      </w:r>
      <w:r>
        <w:rPr>
          <w:rFonts w:ascii="Verdana" w:hAnsi="Verdana"/>
          <w:sz w:val="16"/>
          <w:szCs w:val="16"/>
          <w:lang w:val="es-ES"/>
        </w:rPr>
        <w:t>,</w:t>
      </w:r>
      <w:r w:rsidRPr="00DC6A09">
        <w:rPr>
          <w:rFonts w:ascii="Verdana" w:hAnsi="Verdana"/>
          <w:sz w:val="16"/>
          <w:szCs w:val="16"/>
        </w:rPr>
        <w:t xml:space="preserve"> Lituania</w:t>
      </w:r>
      <w:r>
        <w:rPr>
          <w:rFonts w:ascii="Verdana" w:hAnsi="Verdana"/>
          <w:sz w:val="16"/>
          <w:szCs w:val="16"/>
          <w:lang w:val="es-ES"/>
        </w:rPr>
        <w:t>,</w:t>
      </w:r>
      <w:r w:rsidRPr="00DC6A09">
        <w:rPr>
          <w:rFonts w:ascii="Verdana" w:hAnsi="Verdana"/>
          <w:sz w:val="16"/>
          <w:szCs w:val="16"/>
        </w:rPr>
        <w:t xml:space="preserve"> Rwanda</w:t>
      </w:r>
      <w:r>
        <w:rPr>
          <w:rFonts w:ascii="Verdana" w:hAnsi="Verdana"/>
          <w:sz w:val="16"/>
          <w:szCs w:val="16"/>
          <w:lang w:val="es-ES"/>
        </w:rPr>
        <w:t>,</w:t>
      </w:r>
      <w:r w:rsidRPr="00DC6A09">
        <w:rPr>
          <w:rFonts w:ascii="Verdana" w:hAnsi="Verdana"/>
          <w:sz w:val="16"/>
          <w:szCs w:val="16"/>
        </w:rPr>
        <w:t xml:space="preserve"> Luxemburgo</w:t>
      </w:r>
      <w:r>
        <w:rPr>
          <w:rFonts w:ascii="Verdana" w:hAnsi="Verdana"/>
          <w:sz w:val="16"/>
          <w:szCs w:val="16"/>
          <w:lang w:val="es-ES"/>
        </w:rPr>
        <w:t>,</w:t>
      </w:r>
      <w:r w:rsidRPr="00DC6A09">
        <w:rPr>
          <w:rFonts w:ascii="Verdana" w:hAnsi="Verdana"/>
          <w:sz w:val="16"/>
          <w:szCs w:val="16"/>
        </w:rPr>
        <w:t xml:space="preserve"> Saint Kitts y Nevis</w:t>
      </w:r>
      <w:r>
        <w:rPr>
          <w:rFonts w:ascii="Verdana" w:hAnsi="Verdana"/>
          <w:sz w:val="16"/>
          <w:szCs w:val="16"/>
          <w:lang w:val="es-ES"/>
        </w:rPr>
        <w:t>,</w:t>
      </w:r>
      <w:r w:rsidRPr="00DC6A09">
        <w:rPr>
          <w:rFonts w:ascii="Verdana" w:hAnsi="Verdana"/>
          <w:sz w:val="16"/>
          <w:szCs w:val="16"/>
        </w:rPr>
        <w:t xml:space="preserve"> Madagascar</w:t>
      </w:r>
      <w:r>
        <w:rPr>
          <w:rFonts w:ascii="Verdana" w:hAnsi="Verdana"/>
          <w:sz w:val="16"/>
          <w:szCs w:val="16"/>
          <w:lang w:val="es-ES"/>
        </w:rPr>
        <w:t>,</w:t>
      </w:r>
      <w:r w:rsidRPr="00DC6A09">
        <w:rPr>
          <w:rFonts w:ascii="Verdana" w:hAnsi="Verdana"/>
          <w:sz w:val="16"/>
          <w:szCs w:val="16"/>
        </w:rPr>
        <w:t xml:space="preserve"> Samoa</w:t>
      </w:r>
      <w:r>
        <w:rPr>
          <w:rFonts w:ascii="Verdana" w:hAnsi="Verdana"/>
          <w:sz w:val="16"/>
          <w:szCs w:val="16"/>
          <w:lang w:val="es-ES"/>
        </w:rPr>
        <w:t>,</w:t>
      </w:r>
      <w:r w:rsidRPr="00DC6A09">
        <w:rPr>
          <w:rFonts w:ascii="Verdana" w:hAnsi="Verdana"/>
          <w:sz w:val="16"/>
          <w:szCs w:val="16"/>
        </w:rPr>
        <w:t xml:space="preserve"> Malasia</w:t>
      </w:r>
      <w:r>
        <w:rPr>
          <w:rFonts w:ascii="Verdana" w:hAnsi="Verdana"/>
          <w:sz w:val="16"/>
          <w:szCs w:val="16"/>
          <w:lang w:val="es-ES"/>
        </w:rPr>
        <w:t>,</w:t>
      </w:r>
      <w:r w:rsidRPr="00DC6A09">
        <w:rPr>
          <w:rFonts w:ascii="Verdana" w:hAnsi="Verdana"/>
          <w:sz w:val="16"/>
          <w:szCs w:val="16"/>
        </w:rPr>
        <w:t xml:space="preserve"> Santa Lucía</w:t>
      </w:r>
      <w:r>
        <w:rPr>
          <w:rFonts w:ascii="Verdana" w:hAnsi="Verdana"/>
          <w:sz w:val="16"/>
          <w:szCs w:val="16"/>
          <w:lang w:val="es-ES"/>
        </w:rPr>
        <w:t>,</w:t>
      </w:r>
      <w:r w:rsidRPr="00DC6A09">
        <w:rPr>
          <w:rFonts w:ascii="Verdana" w:hAnsi="Verdana"/>
          <w:sz w:val="16"/>
          <w:szCs w:val="16"/>
        </w:rPr>
        <w:t xml:space="preserve"> Malawi</w:t>
      </w:r>
      <w:r>
        <w:rPr>
          <w:rFonts w:ascii="Verdana" w:hAnsi="Verdana"/>
          <w:sz w:val="16"/>
          <w:szCs w:val="16"/>
          <w:lang w:val="es-ES"/>
        </w:rPr>
        <w:t>,</w:t>
      </w:r>
      <w:r w:rsidRPr="00DC6A09">
        <w:rPr>
          <w:rFonts w:ascii="Verdana" w:hAnsi="Verdana"/>
          <w:sz w:val="16"/>
          <w:szCs w:val="16"/>
        </w:rPr>
        <w:t xml:space="preserve"> Santa Sede</w:t>
      </w:r>
      <w:r>
        <w:rPr>
          <w:rFonts w:ascii="Verdana" w:hAnsi="Verdana"/>
          <w:sz w:val="16"/>
          <w:szCs w:val="16"/>
          <w:lang w:val="es-ES"/>
        </w:rPr>
        <w:t>,</w:t>
      </w:r>
      <w:r w:rsidRPr="00DC6A09">
        <w:rPr>
          <w:rFonts w:ascii="Verdana" w:hAnsi="Verdana"/>
          <w:sz w:val="16"/>
          <w:szCs w:val="16"/>
        </w:rPr>
        <w:t xml:space="preserve"> Maldivas</w:t>
      </w:r>
      <w:r>
        <w:rPr>
          <w:rFonts w:ascii="Verdana" w:hAnsi="Verdana"/>
          <w:sz w:val="16"/>
          <w:szCs w:val="16"/>
          <w:lang w:val="es-ES"/>
        </w:rPr>
        <w:t>,</w:t>
      </w:r>
      <w:r w:rsidRPr="00DC6A09">
        <w:rPr>
          <w:rFonts w:ascii="Verdana" w:hAnsi="Verdana"/>
          <w:sz w:val="16"/>
          <w:szCs w:val="16"/>
        </w:rPr>
        <w:t xml:space="preserve"> </w:t>
      </w:r>
      <w:r w:rsidRPr="00E37763">
        <w:rPr>
          <w:rFonts w:ascii="Verdana" w:hAnsi="Verdana"/>
          <w:sz w:val="16"/>
          <w:szCs w:val="16"/>
        </w:rPr>
        <w:t>Santo Tomé y Príncipe</w:t>
      </w:r>
      <w:r w:rsidRPr="00E37763">
        <w:rPr>
          <w:rFonts w:ascii="Verdana" w:hAnsi="Verdana"/>
          <w:sz w:val="16"/>
          <w:szCs w:val="16"/>
          <w:lang w:val="es-ES"/>
        </w:rPr>
        <w:t>,</w:t>
      </w:r>
      <w:r w:rsidRPr="00E37763">
        <w:rPr>
          <w:rFonts w:ascii="Verdana" w:hAnsi="Verdana"/>
          <w:sz w:val="16"/>
          <w:szCs w:val="16"/>
        </w:rPr>
        <w:t xml:space="preserve"> Malí</w:t>
      </w:r>
      <w:r w:rsidRPr="00E37763">
        <w:rPr>
          <w:rFonts w:ascii="Verdana" w:hAnsi="Verdana"/>
          <w:sz w:val="16"/>
          <w:szCs w:val="16"/>
          <w:lang w:val="es-ES"/>
        </w:rPr>
        <w:t>,</w:t>
      </w:r>
      <w:r w:rsidRPr="00DC6A09">
        <w:rPr>
          <w:rFonts w:ascii="Verdana" w:hAnsi="Verdana"/>
          <w:sz w:val="16"/>
          <w:szCs w:val="16"/>
        </w:rPr>
        <w:t xml:space="preserve"> San Vicente y las Granadinas</w:t>
      </w:r>
      <w:r>
        <w:rPr>
          <w:rFonts w:ascii="Verdana" w:hAnsi="Verdana"/>
          <w:sz w:val="16"/>
          <w:szCs w:val="16"/>
          <w:lang w:val="es-ES"/>
        </w:rPr>
        <w:t>,</w:t>
      </w:r>
      <w:r w:rsidRPr="00DC6A09">
        <w:rPr>
          <w:rFonts w:ascii="Verdana" w:hAnsi="Verdana"/>
          <w:sz w:val="16"/>
          <w:szCs w:val="16"/>
        </w:rPr>
        <w:t xml:space="preserve"> Mauricio</w:t>
      </w:r>
      <w:r>
        <w:rPr>
          <w:rFonts w:ascii="Verdana" w:hAnsi="Verdana"/>
          <w:sz w:val="16"/>
          <w:szCs w:val="16"/>
          <w:lang w:val="es-ES"/>
        </w:rPr>
        <w:t>,</w:t>
      </w:r>
      <w:r w:rsidRPr="00DC6A09">
        <w:rPr>
          <w:rFonts w:ascii="Verdana" w:hAnsi="Verdana"/>
          <w:sz w:val="16"/>
          <w:szCs w:val="16"/>
        </w:rPr>
        <w:t xml:space="preserve"> Senegal</w:t>
      </w:r>
      <w:r>
        <w:rPr>
          <w:rFonts w:ascii="Verdana" w:hAnsi="Verdana"/>
          <w:sz w:val="16"/>
          <w:szCs w:val="16"/>
          <w:lang w:val="es-ES"/>
        </w:rPr>
        <w:t>,</w:t>
      </w:r>
      <w:r w:rsidRPr="00DC6A09">
        <w:rPr>
          <w:rFonts w:ascii="Verdana" w:hAnsi="Verdana"/>
          <w:sz w:val="16"/>
          <w:szCs w:val="16"/>
        </w:rPr>
        <w:t xml:space="preserve"> Mauritania</w:t>
      </w:r>
      <w:r>
        <w:rPr>
          <w:rFonts w:ascii="Verdana" w:hAnsi="Verdana"/>
          <w:sz w:val="16"/>
          <w:szCs w:val="16"/>
          <w:lang w:val="es-ES"/>
        </w:rPr>
        <w:t>,</w:t>
      </w:r>
      <w:r w:rsidRPr="00DC6A09">
        <w:rPr>
          <w:rFonts w:ascii="Verdana" w:hAnsi="Verdana"/>
          <w:sz w:val="16"/>
          <w:szCs w:val="16"/>
        </w:rPr>
        <w:t xml:space="preserve"> Seychelles</w:t>
      </w:r>
      <w:r>
        <w:rPr>
          <w:rFonts w:ascii="Verdana" w:hAnsi="Verdana"/>
          <w:sz w:val="16"/>
          <w:szCs w:val="16"/>
          <w:lang w:val="es-ES"/>
        </w:rPr>
        <w:t>,</w:t>
      </w:r>
      <w:r w:rsidRPr="00DC6A09">
        <w:rPr>
          <w:rFonts w:ascii="Verdana" w:hAnsi="Verdana"/>
          <w:sz w:val="16"/>
          <w:szCs w:val="16"/>
        </w:rPr>
        <w:t xml:space="preserve"> Malta</w:t>
      </w:r>
      <w:r>
        <w:rPr>
          <w:rFonts w:ascii="Verdana" w:hAnsi="Verdana"/>
          <w:sz w:val="16"/>
          <w:szCs w:val="16"/>
          <w:lang w:val="es-ES"/>
        </w:rPr>
        <w:t>,</w:t>
      </w:r>
      <w:r w:rsidRPr="00DC6A09">
        <w:rPr>
          <w:rFonts w:ascii="Verdana" w:hAnsi="Verdana"/>
          <w:sz w:val="16"/>
          <w:szCs w:val="16"/>
        </w:rPr>
        <w:t xml:space="preserve"> Sierra Leona</w:t>
      </w:r>
      <w:r>
        <w:rPr>
          <w:rFonts w:ascii="Verdana" w:hAnsi="Verdana"/>
          <w:sz w:val="16"/>
          <w:szCs w:val="16"/>
          <w:lang w:val="es-ES"/>
        </w:rPr>
        <w:t>,</w:t>
      </w:r>
      <w:r w:rsidRPr="00DC6A09">
        <w:rPr>
          <w:rFonts w:ascii="Verdana" w:hAnsi="Verdana"/>
          <w:sz w:val="16"/>
          <w:szCs w:val="16"/>
        </w:rPr>
        <w:t xml:space="preserve"> Marruecos</w:t>
      </w:r>
      <w:r>
        <w:rPr>
          <w:rFonts w:ascii="Verdana" w:hAnsi="Verdana"/>
          <w:sz w:val="16"/>
          <w:szCs w:val="16"/>
          <w:lang w:val="es-ES"/>
        </w:rPr>
        <w:t>,</w:t>
      </w:r>
      <w:r w:rsidRPr="00DC6A09">
        <w:rPr>
          <w:rFonts w:ascii="Verdana" w:hAnsi="Verdana"/>
          <w:sz w:val="16"/>
          <w:szCs w:val="16"/>
        </w:rPr>
        <w:t xml:space="preserve"> Singapur</w:t>
      </w:r>
      <w:r>
        <w:rPr>
          <w:rFonts w:ascii="Verdana" w:hAnsi="Verdana"/>
          <w:sz w:val="16"/>
          <w:szCs w:val="16"/>
          <w:lang w:val="es-ES"/>
        </w:rPr>
        <w:t>,</w:t>
      </w:r>
      <w:r w:rsidRPr="00DC6A09">
        <w:rPr>
          <w:rFonts w:ascii="Verdana" w:hAnsi="Verdana"/>
          <w:sz w:val="16"/>
          <w:szCs w:val="16"/>
        </w:rPr>
        <w:t xml:space="preserve"> México</w:t>
      </w:r>
      <w:r>
        <w:rPr>
          <w:rFonts w:ascii="Verdana" w:hAnsi="Verdana"/>
          <w:sz w:val="16"/>
          <w:szCs w:val="16"/>
          <w:lang w:val="es-ES"/>
        </w:rPr>
        <w:t>,</w:t>
      </w:r>
      <w:r w:rsidRPr="00DC6A09">
        <w:rPr>
          <w:rFonts w:ascii="Verdana" w:hAnsi="Verdana"/>
          <w:sz w:val="16"/>
          <w:szCs w:val="16"/>
        </w:rPr>
        <w:t xml:space="preserve"> Somalia</w:t>
      </w:r>
      <w:r>
        <w:rPr>
          <w:rFonts w:ascii="Verdana" w:hAnsi="Verdana"/>
          <w:sz w:val="16"/>
          <w:szCs w:val="16"/>
          <w:lang w:val="es-ES"/>
        </w:rPr>
        <w:t>,</w:t>
      </w:r>
      <w:r w:rsidRPr="00DC6A09">
        <w:rPr>
          <w:rFonts w:ascii="Verdana" w:hAnsi="Verdana"/>
          <w:sz w:val="16"/>
          <w:szCs w:val="16"/>
        </w:rPr>
        <w:t xml:space="preserve"> Micronesia (Estados Federados de)</w:t>
      </w:r>
      <w:r>
        <w:rPr>
          <w:rFonts w:ascii="Verdana" w:hAnsi="Verdana"/>
          <w:sz w:val="16"/>
          <w:szCs w:val="16"/>
          <w:lang w:val="es-ES"/>
        </w:rPr>
        <w:t>,</w:t>
      </w:r>
      <w:r w:rsidRPr="00DC6A09">
        <w:rPr>
          <w:rFonts w:ascii="Verdana" w:hAnsi="Verdana"/>
          <w:sz w:val="16"/>
          <w:szCs w:val="16"/>
        </w:rPr>
        <w:t xml:space="preserve"> Sri Lanka</w:t>
      </w:r>
      <w:r>
        <w:rPr>
          <w:rFonts w:ascii="Verdana" w:hAnsi="Verdana"/>
          <w:sz w:val="16"/>
          <w:szCs w:val="16"/>
          <w:lang w:val="es-ES"/>
        </w:rPr>
        <w:t>,</w:t>
      </w:r>
      <w:r w:rsidRPr="00DC6A09">
        <w:rPr>
          <w:rFonts w:ascii="Verdana" w:hAnsi="Verdana"/>
          <w:sz w:val="16"/>
          <w:szCs w:val="16"/>
        </w:rPr>
        <w:t xml:space="preserve"> Sudáfrica</w:t>
      </w:r>
      <w:r>
        <w:rPr>
          <w:rFonts w:ascii="Verdana" w:hAnsi="Verdana"/>
          <w:sz w:val="16"/>
          <w:szCs w:val="16"/>
          <w:lang w:val="es-ES"/>
        </w:rPr>
        <w:t>,</w:t>
      </w:r>
      <w:r w:rsidRPr="00DC6A09">
        <w:rPr>
          <w:rFonts w:ascii="Verdana" w:hAnsi="Verdana"/>
          <w:sz w:val="16"/>
          <w:szCs w:val="16"/>
        </w:rPr>
        <w:t xml:space="preserve"> Turquía</w:t>
      </w:r>
      <w:r>
        <w:rPr>
          <w:rFonts w:ascii="Verdana" w:hAnsi="Verdana"/>
          <w:sz w:val="16"/>
          <w:szCs w:val="16"/>
          <w:lang w:val="es-ES"/>
        </w:rPr>
        <w:t>,</w:t>
      </w:r>
      <w:r w:rsidRPr="00DC6A09">
        <w:rPr>
          <w:rFonts w:ascii="Verdana" w:hAnsi="Verdana"/>
          <w:sz w:val="16"/>
          <w:szCs w:val="16"/>
        </w:rPr>
        <w:t xml:space="preserve"> Sudán</w:t>
      </w:r>
      <w:r>
        <w:rPr>
          <w:rFonts w:ascii="Verdana" w:hAnsi="Verdana"/>
          <w:sz w:val="16"/>
          <w:szCs w:val="16"/>
          <w:lang w:val="es-ES"/>
        </w:rPr>
        <w:t>,</w:t>
      </w:r>
      <w:r w:rsidRPr="00DC6A09">
        <w:rPr>
          <w:rFonts w:ascii="Verdana" w:hAnsi="Verdana"/>
          <w:sz w:val="16"/>
          <w:szCs w:val="16"/>
        </w:rPr>
        <w:t xml:space="preserve"> Ucrania</w:t>
      </w:r>
      <w:r>
        <w:rPr>
          <w:rFonts w:ascii="Verdana" w:hAnsi="Verdana"/>
          <w:sz w:val="16"/>
          <w:szCs w:val="16"/>
          <w:lang w:val="es-ES"/>
        </w:rPr>
        <w:t>,</w:t>
      </w:r>
      <w:r w:rsidRPr="00DC6A09">
        <w:rPr>
          <w:rFonts w:ascii="Verdana" w:hAnsi="Verdana"/>
          <w:sz w:val="16"/>
          <w:szCs w:val="16"/>
        </w:rPr>
        <w:t xml:space="preserve"> Suecia</w:t>
      </w:r>
      <w:r>
        <w:rPr>
          <w:rFonts w:ascii="Verdana" w:hAnsi="Verdana"/>
          <w:sz w:val="16"/>
          <w:szCs w:val="16"/>
          <w:lang w:val="es-ES"/>
        </w:rPr>
        <w:t>,</w:t>
      </w:r>
      <w:r w:rsidRPr="00DC6A09">
        <w:rPr>
          <w:rFonts w:ascii="Verdana" w:hAnsi="Verdana"/>
          <w:sz w:val="16"/>
          <w:szCs w:val="16"/>
        </w:rPr>
        <w:t xml:space="preserve"> Uganda</w:t>
      </w:r>
      <w:r>
        <w:rPr>
          <w:rFonts w:ascii="Verdana" w:hAnsi="Verdana"/>
          <w:sz w:val="16"/>
          <w:szCs w:val="16"/>
          <w:lang w:val="es-ES"/>
        </w:rPr>
        <w:t>,</w:t>
      </w:r>
      <w:r w:rsidRPr="00DC6A09">
        <w:rPr>
          <w:rFonts w:ascii="Verdana" w:hAnsi="Verdana"/>
          <w:sz w:val="16"/>
          <w:szCs w:val="16"/>
        </w:rPr>
        <w:t xml:space="preserve"> Suiza</w:t>
      </w:r>
      <w:r>
        <w:rPr>
          <w:rFonts w:ascii="Verdana" w:hAnsi="Verdana"/>
          <w:sz w:val="16"/>
          <w:szCs w:val="16"/>
          <w:lang w:val="es-ES"/>
        </w:rPr>
        <w:t>.</w:t>
      </w:r>
      <w:r w:rsidRPr="00DC6A09">
        <w:rPr>
          <w:rFonts w:ascii="Verdana" w:hAnsi="Verdana"/>
          <w:sz w:val="16"/>
          <w:szCs w:val="16"/>
        </w:rPr>
        <w:t xml:space="preserve"> Uruguay</w:t>
      </w:r>
      <w:r>
        <w:rPr>
          <w:rFonts w:ascii="Verdana" w:hAnsi="Verdana"/>
          <w:sz w:val="16"/>
          <w:szCs w:val="16"/>
          <w:lang w:val="es-ES"/>
        </w:rPr>
        <w:t>,</w:t>
      </w:r>
      <w:r w:rsidRPr="00DC6A09">
        <w:rPr>
          <w:rFonts w:ascii="Verdana" w:hAnsi="Verdana"/>
          <w:sz w:val="16"/>
          <w:szCs w:val="16"/>
        </w:rPr>
        <w:t xml:space="preserve"> Suriname</w:t>
      </w:r>
      <w:r>
        <w:rPr>
          <w:rFonts w:ascii="Verdana" w:hAnsi="Verdana"/>
          <w:sz w:val="16"/>
          <w:szCs w:val="16"/>
          <w:lang w:val="es-ES"/>
        </w:rPr>
        <w:t>,</w:t>
      </w:r>
      <w:r w:rsidRPr="00DC6A09">
        <w:rPr>
          <w:rFonts w:ascii="Verdana" w:hAnsi="Verdana"/>
          <w:sz w:val="16"/>
          <w:szCs w:val="16"/>
        </w:rPr>
        <w:t xml:space="preserve"> Uzbekistán</w:t>
      </w:r>
      <w:r>
        <w:rPr>
          <w:rFonts w:ascii="Verdana" w:hAnsi="Verdana"/>
          <w:sz w:val="16"/>
          <w:szCs w:val="16"/>
          <w:lang w:val="es-ES"/>
        </w:rPr>
        <w:t>,</w:t>
      </w:r>
      <w:r w:rsidRPr="00DC6A09">
        <w:rPr>
          <w:rFonts w:ascii="Verdana" w:hAnsi="Verdana"/>
          <w:sz w:val="16"/>
          <w:szCs w:val="16"/>
        </w:rPr>
        <w:t xml:space="preserve"> Swazilandia</w:t>
      </w:r>
      <w:r>
        <w:rPr>
          <w:rFonts w:ascii="Verdana" w:hAnsi="Verdana"/>
          <w:sz w:val="16"/>
          <w:szCs w:val="16"/>
          <w:lang w:val="es-ES"/>
        </w:rPr>
        <w:t>,</w:t>
      </w:r>
      <w:r w:rsidRPr="00DC6A09">
        <w:rPr>
          <w:rFonts w:ascii="Verdana" w:hAnsi="Verdana"/>
          <w:sz w:val="16"/>
          <w:szCs w:val="16"/>
        </w:rPr>
        <w:t xml:space="preserve"> Vanuatu</w:t>
      </w:r>
      <w:r>
        <w:rPr>
          <w:rFonts w:ascii="Verdana" w:hAnsi="Verdana"/>
          <w:sz w:val="16"/>
          <w:szCs w:val="16"/>
          <w:lang w:val="es-ES"/>
        </w:rPr>
        <w:t>,</w:t>
      </w:r>
      <w:r w:rsidRPr="00DC6A09">
        <w:rPr>
          <w:rFonts w:ascii="Verdana" w:hAnsi="Verdana"/>
          <w:sz w:val="16"/>
          <w:szCs w:val="16"/>
        </w:rPr>
        <w:t xml:space="preserve"> Tailandia</w:t>
      </w:r>
      <w:r>
        <w:rPr>
          <w:rFonts w:ascii="Verdana" w:hAnsi="Verdana"/>
          <w:sz w:val="16"/>
          <w:szCs w:val="16"/>
          <w:lang w:val="es-ES"/>
        </w:rPr>
        <w:t>,</w:t>
      </w:r>
      <w:r w:rsidRPr="00DC6A09">
        <w:rPr>
          <w:rFonts w:ascii="Verdana" w:hAnsi="Verdana"/>
          <w:sz w:val="16"/>
          <w:szCs w:val="16"/>
        </w:rPr>
        <w:t xml:space="preserve"> Venezuela</w:t>
      </w:r>
      <w:r>
        <w:rPr>
          <w:rFonts w:ascii="Verdana" w:hAnsi="Verdana"/>
          <w:sz w:val="16"/>
          <w:szCs w:val="16"/>
          <w:lang w:val="es-ES"/>
        </w:rPr>
        <w:t>,</w:t>
      </w:r>
      <w:r w:rsidRPr="00DC6A09">
        <w:rPr>
          <w:rFonts w:ascii="Verdana" w:hAnsi="Verdana"/>
          <w:sz w:val="16"/>
          <w:szCs w:val="16"/>
        </w:rPr>
        <w:t xml:space="preserve"> Tayikistán</w:t>
      </w:r>
      <w:r>
        <w:rPr>
          <w:rFonts w:ascii="Verdana" w:hAnsi="Verdana"/>
          <w:sz w:val="16"/>
          <w:szCs w:val="16"/>
          <w:lang w:val="es-ES"/>
        </w:rPr>
        <w:t>,</w:t>
      </w:r>
      <w:r w:rsidRPr="00DC6A09">
        <w:rPr>
          <w:rFonts w:ascii="Verdana" w:hAnsi="Verdana"/>
          <w:sz w:val="16"/>
          <w:szCs w:val="16"/>
        </w:rPr>
        <w:t xml:space="preserve"> Viet Nam</w:t>
      </w:r>
      <w:r>
        <w:rPr>
          <w:rFonts w:ascii="Verdana" w:hAnsi="Verdana"/>
          <w:sz w:val="16"/>
          <w:szCs w:val="16"/>
          <w:lang w:val="es-ES"/>
        </w:rPr>
        <w:t>,</w:t>
      </w:r>
      <w:r w:rsidRPr="00DC6A09">
        <w:rPr>
          <w:rFonts w:ascii="Verdana" w:hAnsi="Verdana"/>
          <w:sz w:val="16"/>
          <w:szCs w:val="16"/>
        </w:rPr>
        <w:t xml:space="preserve"> Togo</w:t>
      </w:r>
      <w:r>
        <w:rPr>
          <w:rFonts w:ascii="Verdana" w:hAnsi="Verdana"/>
          <w:sz w:val="16"/>
          <w:szCs w:val="16"/>
          <w:lang w:val="es-ES"/>
        </w:rPr>
        <w:t>,</w:t>
      </w:r>
      <w:r w:rsidRPr="00DC6A09">
        <w:rPr>
          <w:rFonts w:ascii="Verdana" w:hAnsi="Verdana"/>
          <w:sz w:val="16"/>
          <w:szCs w:val="16"/>
        </w:rPr>
        <w:t xml:space="preserve"> Yemen</w:t>
      </w:r>
      <w:r>
        <w:rPr>
          <w:rFonts w:ascii="Verdana" w:hAnsi="Verdana"/>
          <w:sz w:val="16"/>
          <w:szCs w:val="16"/>
          <w:lang w:val="es-ES"/>
        </w:rPr>
        <w:t>,</w:t>
      </w:r>
      <w:r w:rsidRPr="00DC6A09">
        <w:rPr>
          <w:rFonts w:ascii="Verdana" w:hAnsi="Verdana"/>
          <w:sz w:val="16"/>
          <w:szCs w:val="16"/>
        </w:rPr>
        <w:t xml:space="preserve"> Tonga</w:t>
      </w:r>
      <w:r>
        <w:rPr>
          <w:rFonts w:ascii="Verdana" w:hAnsi="Verdana"/>
          <w:sz w:val="16"/>
          <w:szCs w:val="16"/>
          <w:lang w:val="es-ES"/>
        </w:rPr>
        <w:t>,</w:t>
      </w:r>
      <w:r w:rsidRPr="00DC6A09">
        <w:rPr>
          <w:rFonts w:ascii="Verdana" w:hAnsi="Verdana"/>
          <w:sz w:val="16"/>
          <w:szCs w:val="16"/>
        </w:rPr>
        <w:t xml:space="preserve"> Yugoslavia</w:t>
      </w:r>
      <w:r>
        <w:rPr>
          <w:rFonts w:ascii="Verdana" w:hAnsi="Verdana"/>
          <w:sz w:val="16"/>
          <w:szCs w:val="16"/>
          <w:lang w:val="es-ES"/>
        </w:rPr>
        <w:t>,</w:t>
      </w:r>
      <w:r w:rsidRPr="00DC6A09">
        <w:rPr>
          <w:rFonts w:ascii="Verdana" w:hAnsi="Verdana"/>
          <w:sz w:val="16"/>
          <w:szCs w:val="16"/>
        </w:rPr>
        <w:t xml:space="preserve"> Trinidad y Tobago</w:t>
      </w:r>
      <w:r>
        <w:rPr>
          <w:rFonts w:ascii="Verdana" w:hAnsi="Verdana"/>
          <w:sz w:val="16"/>
          <w:szCs w:val="16"/>
          <w:lang w:val="es-ES"/>
        </w:rPr>
        <w:t>,</w:t>
      </w:r>
      <w:r w:rsidRPr="00DC6A09">
        <w:rPr>
          <w:rFonts w:ascii="Verdana" w:hAnsi="Verdana"/>
          <w:sz w:val="16"/>
          <w:szCs w:val="16"/>
        </w:rPr>
        <w:t xml:space="preserve"> Zambia</w:t>
      </w:r>
      <w:r>
        <w:rPr>
          <w:rFonts w:ascii="Verdana" w:hAnsi="Verdana"/>
          <w:sz w:val="16"/>
          <w:szCs w:val="16"/>
          <w:lang w:val="es-ES"/>
        </w:rPr>
        <w:t>,</w:t>
      </w:r>
      <w:r w:rsidRPr="00DC6A09">
        <w:rPr>
          <w:rFonts w:ascii="Verdana" w:hAnsi="Verdana"/>
          <w:sz w:val="16"/>
          <w:szCs w:val="16"/>
        </w:rPr>
        <w:t xml:space="preserve"> Túnez</w:t>
      </w:r>
      <w:r>
        <w:rPr>
          <w:rFonts w:ascii="Verdana" w:hAnsi="Verdana"/>
          <w:sz w:val="16"/>
          <w:szCs w:val="16"/>
          <w:lang w:val="es-ES"/>
        </w:rPr>
        <w:t>,</w:t>
      </w:r>
      <w:r w:rsidRPr="00DC6A09">
        <w:rPr>
          <w:rFonts w:ascii="Verdana" w:hAnsi="Verdana"/>
          <w:sz w:val="16"/>
          <w:szCs w:val="16"/>
        </w:rPr>
        <w:t xml:space="preserve"> </w:t>
      </w:r>
      <w:r w:rsidRPr="00E37763">
        <w:rPr>
          <w:rFonts w:ascii="Verdana" w:hAnsi="Verdana"/>
          <w:sz w:val="16"/>
          <w:szCs w:val="16"/>
        </w:rPr>
        <w:t>Zimbabwe</w:t>
      </w:r>
      <w:r w:rsidRPr="00E37763">
        <w:rPr>
          <w:rFonts w:ascii="Verdana" w:hAnsi="Verdana"/>
          <w:sz w:val="16"/>
          <w:szCs w:val="16"/>
          <w:lang w:val="es-ES"/>
        </w:rPr>
        <w:t xml:space="preserve"> y</w:t>
      </w:r>
      <w:r w:rsidRPr="00E37763">
        <w:rPr>
          <w:rFonts w:ascii="Verdana" w:hAnsi="Verdana"/>
          <w:sz w:val="16"/>
          <w:szCs w:val="16"/>
        </w:rPr>
        <w:t xml:space="preserve"> Tuvalu</w:t>
      </w:r>
      <w:r w:rsidRPr="00E37763">
        <w:rPr>
          <w:rFonts w:ascii="Verdana" w:hAnsi="Verdana"/>
          <w:sz w:val="16"/>
          <w:szCs w:val="16"/>
          <w:lang w:val="es-ES"/>
        </w:rPr>
        <w:t>.</w:t>
      </w:r>
    </w:p>
  </w:footnote>
  <w:footnote w:id="100">
    <w:p w14:paraId="42B3E7F2" w14:textId="72CF8942" w:rsidR="00194342" w:rsidRPr="00DC6A09" w:rsidRDefault="00194342" w:rsidP="00B21C1F">
      <w:pPr>
        <w:pStyle w:val="Textonotapie"/>
        <w:spacing w:after="0" w:line="240" w:lineRule="auto"/>
        <w:jc w:val="both"/>
        <w:rPr>
          <w:rFonts w:ascii="Verdana" w:hAnsi="Verdana"/>
          <w:sz w:val="16"/>
          <w:szCs w:val="16"/>
          <w:lang w:val="es-UY"/>
        </w:rPr>
      </w:pPr>
      <w:r w:rsidRPr="00DC6A09">
        <w:rPr>
          <w:rStyle w:val="Refdenotaalpie"/>
        </w:rPr>
        <w:footnoteRef/>
      </w:r>
      <w:r w:rsidRPr="00DC6A09">
        <w:t xml:space="preserve"> </w:t>
      </w:r>
      <w:r>
        <w:tab/>
      </w:r>
      <w:r w:rsidR="00B451B2" w:rsidRPr="00DC6A09">
        <w:rPr>
          <w:rFonts w:ascii="Verdana" w:hAnsi="Verdana"/>
          <w:sz w:val="16"/>
          <w:szCs w:val="16"/>
          <w:lang w:val="es-UY"/>
        </w:rPr>
        <w:t>As</w:t>
      </w:r>
      <w:r w:rsidR="00B451B2">
        <w:rPr>
          <w:rFonts w:ascii="Verdana" w:hAnsi="Verdana"/>
          <w:sz w:val="16"/>
          <w:szCs w:val="16"/>
          <w:lang w:val="es-UY"/>
        </w:rPr>
        <w:t>imismo,</w:t>
      </w:r>
      <w:r w:rsidRPr="00DC6A09">
        <w:rPr>
          <w:rFonts w:ascii="Verdana" w:hAnsi="Verdana"/>
          <w:sz w:val="16"/>
          <w:szCs w:val="16"/>
          <w:lang w:val="es-UY"/>
        </w:rPr>
        <w:t xml:space="preserve"> destacan otros instrumentos: el Tratado Antártico de 1959, el Protocolo al Tratado Antártico sobre Protección al Medio Ambiente de 1991, la Cumbre del Milenio del año 2000, la Conferencia de Naciones Unidas sobre el Desarrollo Sostenible (“Río +20”) de 2012 con representantes de los 193 Estados de Naciones Unidas; el Acuerdo de París, de Escazú, entre otros.</w:t>
      </w:r>
    </w:p>
  </w:footnote>
  <w:footnote w:id="101">
    <w:p w14:paraId="0AD5FD38" w14:textId="1ED66533" w:rsidR="00194342" w:rsidRPr="00DC6A09" w:rsidRDefault="00194342" w:rsidP="00B21C1F">
      <w:pPr>
        <w:pStyle w:val="Textonotapie"/>
        <w:spacing w:after="0" w:line="240" w:lineRule="auto"/>
        <w:jc w:val="both"/>
        <w:rPr>
          <w:lang w:val="es-UY"/>
        </w:rPr>
      </w:pPr>
      <w:r w:rsidRPr="005A23B9">
        <w:rPr>
          <w:rStyle w:val="Refdenotaalpie"/>
        </w:rPr>
        <w:footnoteRef/>
      </w:r>
      <w:r w:rsidRPr="005A23B9">
        <w:t xml:space="preserve"> </w:t>
      </w:r>
      <w:r w:rsidRPr="005A23B9">
        <w:tab/>
      </w:r>
      <w:r w:rsidRPr="009C2C1B">
        <w:rPr>
          <w:rFonts w:ascii="Verdana" w:hAnsi="Verdana"/>
          <w:sz w:val="16"/>
          <w:szCs w:val="16"/>
          <w:lang w:val="es-UY"/>
        </w:rPr>
        <w:t xml:space="preserve">Ver nota al pie </w:t>
      </w:r>
      <w:r w:rsidR="005A23B9" w:rsidRPr="009C2C1B">
        <w:rPr>
          <w:rFonts w:ascii="Verdana" w:hAnsi="Verdana"/>
          <w:sz w:val="16"/>
          <w:szCs w:val="16"/>
          <w:lang w:val="es-UY"/>
        </w:rPr>
        <w:t xml:space="preserve">215 </w:t>
      </w:r>
      <w:r w:rsidRPr="009C2C1B">
        <w:rPr>
          <w:rFonts w:ascii="Verdana" w:hAnsi="Verdana"/>
          <w:sz w:val="16"/>
          <w:szCs w:val="16"/>
          <w:lang w:val="es-UY"/>
        </w:rPr>
        <w:t>de la sentencia</w:t>
      </w:r>
      <w:r w:rsidRPr="005A23B9">
        <w:rPr>
          <w:rFonts w:ascii="Verdana" w:hAnsi="Verdana"/>
          <w:sz w:val="16"/>
          <w:szCs w:val="16"/>
          <w:lang w:val="es-UY"/>
        </w:rPr>
        <w:t>.</w:t>
      </w:r>
    </w:p>
  </w:footnote>
  <w:footnote w:id="102">
    <w:p w14:paraId="4E5FF9B3" w14:textId="04301DF2" w:rsidR="00194342" w:rsidRPr="00DC6A09" w:rsidRDefault="00194342" w:rsidP="00B21C1F">
      <w:pPr>
        <w:pStyle w:val="Textonotapie"/>
        <w:spacing w:after="0" w:line="240" w:lineRule="auto"/>
        <w:jc w:val="both"/>
        <w:rPr>
          <w:rFonts w:ascii="Verdana" w:hAnsi="Verdana"/>
          <w:sz w:val="16"/>
          <w:szCs w:val="16"/>
          <w:lang w:val="es-UY"/>
        </w:rPr>
      </w:pPr>
      <w:r w:rsidRPr="00DC6A09">
        <w:rPr>
          <w:rStyle w:val="Refdenotaalpie"/>
        </w:rPr>
        <w:footnoteRef/>
      </w:r>
      <w:r w:rsidRPr="00DC6A09">
        <w:t xml:space="preserve"> </w:t>
      </w:r>
      <w:r>
        <w:tab/>
      </w:r>
      <w:r w:rsidRPr="00DC6A09">
        <w:rPr>
          <w:rFonts w:ascii="Verdana" w:hAnsi="Verdana"/>
          <w:sz w:val="16"/>
          <w:szCs w:val="16"/>
          <w:lang w:val="es-UY"/>
        </w:rPr>
        <w:t>Asamblea General de Naciones Unidas. El derecho humano a un medio ambiente limpio, saludable y sostenible. Resolución A/RES/76/300. 28 de julio de 2022.</w:t>
      </w:r>
    </w:p>
  </w:footnote>
  <w:footnote w:id="103">
    <w:p w14:paraId="52FB363F" w14:textId="76314BE9" w:rsidR="00194342" w:rsidRPr="00DC6A09" w:rsidRDefault="00194342" w:rsidP="00B21C1F">
      <w:pPr>
        <w:pStyle w:val="Textonotapie"/>
        <w:spacing w:after="0" w:line="240" w:lineRule="auto"/>
        <w:jc w:val="both"/>
        <w:rPr>
          <w:rFonts w:ascii="Verdana" w:hAnsi="Verdana"/>
          <w:sz w:val="16"/>
          <w:szCs w:val="16"/>
        </w:rPr>
      </w:pPr>
      <w:r w:rsidRPr="00DC6A09">
        <w:rPr>
          <w:rStyle w:val="Refdenotaalpie"/>
        </w:rPr>
        <w:footnoteRef/>
      </w:r>
      <w:r w:rsidRPr="00DC6A09">
        <w:t xml:space="preserve"> </w:t>
      </w:r>
      <w:r>
        <w:tab/>
      </w:r>
      <w:r w:rsidRPr="00DC6A09">
        <w:rPr>
          <w:rFonts w:ascii="Verdana" w:hAnsi="Verdana"/>
          <w:sz w:val="16"/>
          <w:szCs w:val="16"/>
          <w:lang w:val="es-MX"/>
        </w:rPr>
        <w:t>Asamblea General de Naciones Unidas. Resolución A/70/L.1. Transformar nuestro mundo: la Agenda 2030 para el Desarrollo Sostenible. 18 de septiembre de 2015. Párr. 5</w:t>
      </w:r>
      <w:r>
        <w:rPr>
          <w:rFonts w:ascii="Verdana" w:hAnsi="Verdana"/>
          <w:sz w:val="16"/>
          <w:szCs w:val="16"/>
          <w:lang w:val="es-MX"/>
        </w:rPr>
        <w:t>.</w:t>
      </w:r>
    </w:p>
  </w:footnote>
  <w:footnote w:id="104">
    <w:p w14:paraId="0A5CF026" w14:textId="3CA0EFF5" w:rsidR="00194342" w:rsidRPr="00EE2DD0" w:rsidRDefault="00194342" w:rsidP="00B21C1F">
      <w:pPr>
        <w:pStyle w:val="Textonotapie"/>
        <w:spacing w:after="0" w:line="240" w:lineRule="auto"/>
        <w:jc w:val="both"/>
        <w:rPr>
          <w:rFonts w:ascii="Verdana" w:hAnsi="Verdana"/>
          <w:sz w:val="16"/>
          <w:szCs w:val="16"/>
          <w:lang w:val="es-UY"/>
        </w:rPr>
      </w:pPr>
      <w:r w:rsidRPr="00EE2DD0">
        <w:rPr>
          <w:rStyle w:val="Refdenotaalpie"/>
          <w:rFonts w:ascii="Verdana" w:hAnsi="Verdana"/>
          <w:sz w:val="16"/>
          <w:szCs w:val="16"/>
        </w:rPr>
        <w:footnoteRef/>
      </w:r>
      <w:r w:rsidRPr="00EE2DD0">
        <w:rPr>
          <w:rFonts w:ascii="Verdana" w:hAnsi="Verdana"/>
          <w:sz w:val="16"/>
          <w:szCs w:val="16"/>
        </w:rPr>
        <w:t xml:space="preserve"> </w:t>
      </w:r>
      <w:r>
        <w:rPr>
          <w:rFonts w:ascii="Verdana" w:hAnsi="Verdana"/>
          <w:sz w:val="16"/>
          <w:szCs w:val="16"/>
        </w:rPr>
        <w:tab/>
      </w:r>
      <w:r w:rsidRPr="00EE2DD0">
        <w:rPr>
          <w:rFonts w:ascii="Verdana" w:hAnsi="Verdana"/>
          <w:sz w:val="16"/>
          <w:szCs w:val="16"/>
          <w:lang w:val="es-UY"/>
        </w:rPr>
        <w:t xml:space="preserve">Corte Internacional de Justicia. </w:t>
      </w:r>
      <w:r>
        <w:rPr>
          <w:rFonts w:ascii="Verdana" w:hAnsi="Verdana"/>
          <w:sz w:val="16"/>
          <w:szCs w:val="16"/>
          <w:lang w:val="es-UY"/>
        </w:rPr>
        <w:t>Caso relativo a actividades militares y paramilitares en y contra Nicaragua (</w:t>
      </w:r>
      <w:r w:rsidRPr="00EE2DD0">
        <w:rPr>
          <w:rFonts w:ascii="Verdana" w:hAnsi="Verdana"/>
          <w:sz w:val="16"/>
          <w:szCs w:val="16"/>
          <w:lang w:val="es-UY"/>
        </w:rPr>
        <w:t>Nicaragua vs. Estados Unidos</w:t>
      </w:r>
      <w:r>
        <w:rPr>
          <w:rFonts w:ascii="Verdana" w:hAnsi="Verdana"/>
          <w:sz w:val="16"/>
          <w:szCs w:val="16"/>
          <w:lang w:val="es-UY"/>
        </w:rPr>
        <w:t>).</w:t>
      </w:r>
      <w:r w:rsidRPr="00EE2DD0">
        <w:rPr>
          <w:rFonts w:ascii="Verdana" w:hAnsi="Verdana"/>
          <w:sz w:val="16"/>
          <w:szCs w:val="16"/>
          <w:lang w:val="es-UY"/>
        </w:rPr>
        <w:t xml:space="preserve"> Fondo del asunto. </w:t>
      </w:r>
      <w:r>
        <w:rPr>
          <w:rFonts w:ascii="Verdana" w:hAnsi="Verdana"/>
          <w:sz w:val="16"/>
          <w:szCs w:val="16"/>
          <w:lang w:val="es-UY"/>
        </w:rPr>
        <w:t xml:space="preserve">27 de junio de </w:t>
      </w:r>
      <w:r w:rsidRPr="00EE2DD0">
        <w:rPr>
          <w:rFonts w:ascii="Verdana" w:hAnsi="Verdana"/>
          <w:sz w:val="16"/>
          <w:szCs w:val="16"/>
          <w:lang w:val="es-UY"/>
        </w:rPr>
        <w:t>1986. Párr</w:t>
      </w:r>
      <w:r>
        <w:rPr>
          <w:rFonts w:ascii="Verdana" w:hAnsi="Verdana"/>
          <w:sz w:val="16"/>
          <w:szCs w:val="16"/>
          <w:lang w:val="es-UY"/>
        </w:rPr>
        <w:t>s</w:t>
      </w:r>
      <w:r w:rsidRPr="00EE2DD0">
        <w:rPr>
          <w:rFonts w:ascii="Verdana" w:hAnsi="Verdana"/>
          <w:sz w:val="16"/>
          <w:szCs w:val="16"/>
          <w:lang w:val="es-UY"/>
        </w:rPr>
        <w:t>. 189-1</w:t>
      </w:r>
      <w:r>
        <w:rPr>
          <w:rFonts w:ascii="Verdana" w:hAnsi="Verdana"/>
          <w:sz w:val="16"/>
          <w:szCs w:val="16"/>
          <w:lang w:val="es-UY"/>
        </w:rPr>
        <w:t>91.</w:t>
      </w:r>
    </w:p>
  </w:footnote>
  <w:footnote w:id="105">
    <w:p w14:paraId="2A758C71" w14:textId="7ECEF335" w:rsidR="00194342" w:rsidRPr="00DC6A09" w:rsidRDefault="00194342" w:rsidP="00B21C1F">
      <w:pPr>
        <w:pStyle w:val="Textonotapie"/>
        <w:spacing w:after="0" w:line="240" w:lineRule="auto"/>
        <w:jc w:val="both"/>
        <w:rPr>
          <w:lang w:val="es-UY"/>
        </w:rPr>
      </w:pPr>
      <w:r>
        <w:rPr>
          <w:rStyle w:val="Refdenotaalpie"/>
        </w:rPr>
        <w:footnoteRef/>
      </w:r>
      <w:r>
        <w:t xml:space="preserve"> </w:t>
      </w:r>
      <w:r>
        <w:tab/>
      </w:r>
      <w:r w:rsidRPr="00DC6A09">
        <w:rPr>
          <w:rFonts w:ascii="Verdana" w:hAnsi="Verdana"/>
          <w:sz w:val="16"/>
          <w:szCs w:val="16"/>
          <w:lang w:val="es-UY"/>
        </w:rPr>
        <w:t>Naciones Unidas. Comisión de Derecho Internacional. Normas imperativas de derecho internacional general (ius cogens) A/CN.4/L.967. 11 de mayo de 2022. Conclusión 8.2</w:t>
      </w:r>
      <w:r>
        <w:rPr>
          <w:rFonts w:ascii="Verdana" w:hAnsi="Verdana"/>
          <w:sz w:val="16"/>
          <w:szCs w:val="16"/>
          <w:lang w:val="es-UY"/>
        </w:rPr>
        <w:t>.</w:t>
      </w:r>
    </w:p>
  </w:footnote>
  <w:footnote w:id="106">
    <w:p w14:paraId="7A998C16" w14:textId="5D2FFCD5" w:rsidR="00194342" w:rsidRPr="00721149" w:rsidRDefault="00194342" w:rsidP="00B21C1F">
      <w:pPr>
        <w:pStyle w:val="Prrafodelista"/>
        <w:ind w:left="0"/>
        <w:jc w:val="both"/>
        <w:rPr>
          <w:rFonts w:ascii="Verdana" w:hAnsi="Verdana"/>
          <w:sz w:val="20"/>
          <w:szCs w:val="20"/>
          <w:lang w:val="es-ES"/>
        </w:rPr>
      </w:pPr>
      <w:r w:rsidRPr="002965AD">
        <w:rPr>
          <w:rStyle w:val="Refdenotaalpie"/>
          <w:rFonts w:ascii="Verdana" w:hAnsi="Verdana"/>
          <w:sz w:val="16"/>
          <w:szCs w:val="16"/>
        </w:rPr>
        <w:footnoteRef/>
      </w:r>
      <w:r w:rsidRPr="002965AD">
        <w:rPr>
          <w:rFonts w:ascii="Verdana" w:hAnsi="Verdana"/>
          <w:sz w:val="16"/>
          <w:szCs w:val="16"/>
        </w:rPr>
        <w:t xml:space="preserve"> </w:t>
      </w:r>
      <w:r>
        <w:tab/>
      </w:r>
      <w:r w:rsidRPr="00721149">
        <w:rPr>
          <w:rFonts w:ascii="Verdana" w:hAnsi="Verdana"/>
          <w:sz w:val="16"/>
          <w:szCs w:val="16"/>
          <w:lang w:val="es-ES"/>
        </w:rPr>
        <w:t>Inicialmente el concepto de seguridad internacional fue concebido en términos militares o de guerra; pero ha operado una evolución del término para comprender otros fenómenos que, al igual que aquellos, ponen en peligro la convivencia, la estabilidad y la continuidad de la comunidad de Estados y de las personas. En este sentido, el deterioro medioambiental acarrea consecuencias que ponen en peligro la seguridad internacional; a saber: migraciones forzadas, conflictos por el control de los recursos naturales, pérdida y deterioro de especies de flora y fauna como patrimonio natural de la humanidad, violaciones a derechos humanos, entre otros.</w:t>
      </w:r>
    </w:p>
  </w:footnote>
  <w:footnote w:id="107">
    <w:p w14:paraId="6FA01B4E" w14:textId="104C995F" w:rsidR="00194342" w:rsidRPr="003C470C" w:rsidRDefault="00194342" w:rsidP="00B21C1F">
      <w:pPr>
        <w:pStyle w:val="Textonotapie"/>
        <w:spacing w:after="0" w:line="240" w:lineRule="auto"/>
        <w:jc w:val="both"/>
        <w:rPr>
          <w:rFonts w:ascii="Verdana" w:hAnsi="Verdana"/>
          <w:sz w:val="16"/>
          <w:szCs w:val="16"/>
          <w:lang w:val="es-UY"/>
        </w:rPr>
      </w:pPr>
      <w:r w:rsidRPr="003C470C">
        <w:rPr>
          <w:rStyle w:val="Refdenotaalpie"/>
          <w:rFonts w:ascii="Verdana" w:hAnsi="Verdana"/>
          <w:sz w:val="16"/>
          <w:szCs w:val="16"/>
        </w:rPr>
        <w:footnoteRef/>
      </w:r>
      <w:r w:rsidRPr="003C470C">
        <w:rPr>
          <w:rFonts w:ascii="Verdana" w:hAnsi="Verdana"/>
          <w:sz w:val="16"/>
          <w:szCs w:val="16"/>
        </w:rPr>
        <w:t xml:space="preserve"> </w:t>
      </w:r>
      <w:r>
        <w:rPr>
          <w:rFonts w:ascii="Verdana" w:hAnsi="Verdana"/>
          <w:sz w:val="16"/>
          <w:szCs w:val="16"/>
        </w:rPr>
        <w:tab/>
      </w:r>
      <w:r w:rsidRPr="003C470C">
        <w:rPr>
          <w:rFonts w:ascii="Verdana" w:hAnsi="Verdana"/>
          <w:sz w:val="16"/>
          <w:szCs w:val="16"/>
          <w:lang w:val="es-UY"/>
        </w:rPr>
        <w:t>En este sentido, se encuentra el Protocolo de San Salvador; Pacto Internacional de Derechos Económicos, Sociales y Culturales; Declaración de Estocolmo de 1972; Carta Mundial de la Naturaleza</w:t>
      </w:r>
      <w:r>
        <w:rPr>
          <w:rFonts w:ascii="Verdana" w:hAnsi="Verdana"/>
          <w:sz w:val="16"/>
          <w:szCs w:val="16"/>
          <w:lang w:val="es-UY"/>
        </w:rPr>
        <w:t xml:space="preserve"> de 1982</w:t>
      </w:r>
      <w:r w:rsidRPr="003C470C">
        <w:rPr>
          <w:rFonts w:ascii="Verdana" w:hAnsi="Verdana"/>
          <w:sz w:val="16"/>
          <w:szCs w:val="16"/>
          <w:lang w:val="es-UY"/>
        </w:rPr>
        <w:t>; Declaración de Río</w:t>
      </w:r>
      <w:r>
        <w:rPr>
          <w:rFonts w:ascii="Verdana" w:hAnsi="Verdana"/>
          <w:sz w:val="16"/>
          <w:szCs w:val="16"/>
          <w:lang w:val="es-UY"/>
        </w:rPr>
        <w:t xml:space="preserve"> sobre el Medio Ambiente y Desarrollo de 1992</w:t>
      </w:r>
      <w:r w:rsidRPr="003C470C">
        <w:rPr>
          <w:rFonts w:ascii="Verdana" w:hAnsi="Verdana"/>
          <w:sz w:val="16"/>
          <w:szCs w:val="16"/>
          <w:lang w:val="es-UY"/>
        </w:rPr>
        <w:t xml:space="preserve">; </w:t>
      </w:r>
      <w:r>
        <w:rPr>
          <w:rFonts w:ascii="Verdana" w:hAnsi="Verdana"/>
          <w:sz w:val="16"/>
          <w:szCs w:val="16"/>
          <w:lang w:val="es-UY"/>
        </w:rPr>
        <w:t>Convención</w:t>
      </w:r>
      <w:r w:rsidRPr="003C470C">
        <w:rPr>
          <w:rFonts w:ascii="Verdana" w:hAnsi="Verdana"/>
          <w:sz w:val="16"/>
          <w:szCs w:val="16"/>
          <w:lang w:val="es-UY"/>
        </w:rPr>
        <w:t xml:space="preserve"> Marco de</w:t>
      </w:r>
      <w:r>
        <w:rPr>
          <w:rFonts w:ascii="Verdana" w:hAnsi="Verdana"/>
          <w:sz w:val="16"/>
          <w:szCs w:val="16"/>
          <w:lang w:val="es-UY"/>
        </w:rPr>
        <w:t xml:space="preserve"> las</w:t>
      </w:r>
      <w:r w:rsidRPr="003C470C">
        <w:rPr>
          <w:rFonts w:ascii="Verdana" w:hAnsi="Verdana"/>
          <w:sz w:val="16"/>
          <w:szCs w:val="16"/>
          <w:lang w:val="es-UY"/>
        </w:rPr>
        <w:t xml:space="preserve"> Naciones Unidas sobre Cambio Climático</w:t>
      </w:r>
      <w:r>
        <w:rPr>
          <w:rFonts w:ascii="Verdana" w:hAnsi="Verdana"/>
          <w:sz w:val="16"/>
          <w:szCs w:val="16"/>
          <w:lang w:val="es-UY"/>
        </w:rPr>
        <w:t xml:space="preserve"> de 1992</w:t>
      </w:r>
      <w:r w:rsidRPr="003C470C">
        <w:rPr>
          <w:rFonts w:ascii="Verdana" w:hAnsi="Verdana"/>
          <w:sz w:val="16"/>
          <w:szCs w:val="16"/>
          <w:lang w:val="es-UY"/>
        </w:rPr>
        <w:t>; Convenio sobre Diversidad Biológica</w:t>
      </w:r>
      <w:r>
        <w:rPr>
          <w:rFonts w:ascii="Verdana" w:hAnsi="Verdana"/>
          <w:sz w:val="16"/>
          <w:szCs w:val="16"/>
          <w:lang w:val="es-UY"/>
        </w:rPr>
        <w:t xml:space="preserve"> de 1992</w:t>
      </w:r>
      <w:r w:rsidRPr="003C470C">
        <w:rPr>
          <w:rFonts w:ascii="Verdana" w:hAnsi="Verdana"/>
          <w:sz w:val="16"/>
          <w:szCs w:val="16"/>
          <w:lang w:val="es-UY"/>
        </w:rPr>
        <w:t>; Cumbre Mundial sobre Desarrollo Sostenible de Johannesburgo</w:t>
      </w:r>
      <w:r>
        <w:rPr>
          <w:rFonts w:ascii="Verdana" w:hAnsi="Verdana"/>
          <w:sz w:val="16"/>
          <w:szCs w:val="16"/>
          <w:lang w:val="es-UY"/>
        </w:rPr>
        <w:t xml:space="preserve"> de 2002</w:t>
      </w:r>
      <w:r w:rsidRPr="003C470C">
        <w:rPr>
          <w:rFonts w:ascii="Verdana" w:hAnsi="Verdana"/>
          <w:sz w:val="16"/>
          <w:szCs w:val="16"/>
          <w:lang w:val="es-UY"/>
        </w:rPr>
        <w:t>; Conferencia Río +20</w:t>
      </w:r>
      <w:r>
        <w:rPr>
          <w:rFonts w:ascii="Verdana" w:hAnsi="Verdana"/>
          <w:sz w:val="16"/>
          <w:szCs w:val="16"/>
          <w:lang w:val="es-UY"/>
        </w:rPr>
        <w:t xml:space="preserve"> de 2012</w:t>
      </w:r>
      <w:r w:rsidRPr="003C470C">
        <w:rPr>
          <w:rFonts w:ascii="Verdana" w:hAnsi="Verdana"/>
          <w:sz w:val="16"/>
          <w:szCs w:val="16"/>
          <w:lang w:val="es-UY"/>
        </w:rPr>
        <w:t>; Acuerdo de París</w:t>
      </w:r>
      <w:r>
        <w:rPr>
          <w:rFonts w:ascii="Verdana" w:hAnsi="Verdana"/>
          <w:sz w:val="16"/>
          <w:szCs w:val="16"/>
          <w:lang w:val="es-UY"/>
        </w:rPr>
        <w:t xml:space="preserve"> de 2015</w:t>
      </w:r>
      <w:r w:rsidR="00DA6E2C">
        <w:rPr>
          <w:rFonts w:ascii="Verdana" w:hAnsi="Verdana"/>
          <w:sz w:val="16"/>
          <w:szCs w:val="16"/>
          <w:lang w:val="es-UY"/>
        </w:rPr>
        <w:t>;</w:t>
      </w:r>
      <w:r>
        <w:rPr>
          <w:rFonts w:ascii="Verdana" w:hAnsi="Verdana"/>
          <w:sz w:val="16"/>
          <w:szCs w:val="16"/>
          <w:lang w:val="es-UY"/>
        </w:rPr>
        <w:t xml:space="preserve"> Protocolo de Kyoto de la Convención Marco de las Naciones Unidas sobre el Cambio Climático</w:t>
      </w:r>
      <w:r w:rsidR="00DA6E2C">
        <w:rPr>
          <w:rFonts w:ascii="Verdana" w:hAnsi="Verdana"/>
          <w:sz w:val="16"/>
          <w:szCs w:val="16"/>
          <w:lang w:val="es-UY"/>
        </w:rPr>
        <w:t>;</w:t>
      </w:r>
      <w:r w:rsidRPr="003C470C">
        <w:rPr>
          <w:rFonts w:ascii="Verdana" w:hAnsi="Verdana"/>
          <w:sz w:val="16"/>
          <w:szCs w:val="16"/>
          <w:lang w:val="es-UY"/>
        </w:rPr>
        <w:t xml:space="preserve"> Acuerdo</w:t>
      </w:r>
      <w:r>
        <w:rPr>
          <w:rFonts w:ascii="Verdana" w:hAnsi="Verdana"/>
          <w:sz w:val="16"/>
          <w:szCs w:val="16"/>
          <w:lang w:val="es-UY"/>
        </w:rPr>
        <w:t xml:space="preserve"> Regional sobre el Acceso a la Información, la Participación Pública y el Acceso a la Justicia en Asuntos Ambientales en América Latina y el Caribe; la resolución A/RES/76/300 de 2022 de la Asamblea General de Naciones Unidas;</w:t>
      </w:r>
      <w:r w:rsidRPr="003C470C">
        <w:rPr>
          <w:rFonts w:ascii="Verdana" w:hAnsi="Verdana"/>
          <w:sz w:val="16"/>
          <w:szCs w:val="16"/>
          <w:lang w:val="es-UY"/>
        </w:rPr>
        <w:t xml:space="preserve"> </w:t>
      </w:r>
      <w:r>
        <w:rPr>
          <w:rFonts w:ascii="Verdana" w:hAnsi="Verdana"/>
          <w:sz w:val="16"/>
          <w:szCs w:val="16"/>
          <w:lang w:val="es-UY"/>
        </w:rPr>
        <w:t xml:space="preserve">Convención para la protección de la flora, de la fauna y de las bellezas escénicas naturales de los países de América; Convención sobre el Comercio Internacional de Especies Amenazadas de Fauna y Flora Silvestres de 1973; Convención sobre la Protección del Patrimonio Mundial, Cultural y Nacional de 1972; Convenio sobre la prevención de la contaminación del mar por vertimiento de desechos y otras materias de 1972; </w:t>
      </w:r>
      <w:r w:rsidRPr="003C470C">
        <w:rPr>
          <w:rFonts w:ascii="Verdana" w:hAnsi="Verdana"/>
          <w:sz w:val="16"/>
          <w:szCs w:val="16"/>
          <w:lang w:val="es-UY"/>
        </w:rPr>
        <w:t>entre otros.</w:t>
      </w:r>
    </w:p>
  </w:footnote>
  <w:footnote w:id="108">
    <w:p w14:paraId="13D67241" w14:textId="2F1D0916" w:rsidR="00194342" w:rsidRPr="00EB7736" w:rsidRDefault="00194342" w:rsidP="00B21C1F">
      <w:pPr>
        <w:pStyle w:val="Textonotapie"/>
        <w:spacing w:after="0" w:line="240" w:lineRule="auto"/>
        <w:jc w:val="both"/>
        <w:rPr>
          <w:rFonts w:ascii="Verdana" w:hAnsi="Verdana"/>
          <w:color w:val="00B050"/>
          <w:sz w:val="16"/>
          <w:szCs w:val="16"/>
          <w:lang w:val="es-UY"/>
        </w:rPr>
      </w:pPr>
      <w:r w:rsidRPr="008E72FA">
        <w:rPr>
          <w:rStyle w:val="Refdenotaalpie"/>
          <w:rFonts w:ascii="Verdana" w:hAnsi="Verdana"/>
          <w:sz w:val="16"/>
          <w:szCs w:val="16"/>
        </w:rPr>
        <w:footnoteRef/>
      </w:r>
      <w:r w:rsidRPr="008E72FA">
        <w:rPr>
          <w:sz w:val="16"/>
          <w:szCs w:val="16"/>
        </w:rPr>
        <w:t xml:space="preserve"> </w:t>
      </w:r>
      <w:r>
        <w:tab/>
      </w:r>
      <w:r w:rsidRPr="005911C7">
        <w:rPr>
          <w:rFonts w:ascii="Verdana" w:hAnsi="Verdana"/>
          <w:i/>
          <w:iCs/>
          <w:sz w:val="16"/>
          <w:szCs w:val="16"/>
          <w:lang w:val="es-UY"/>
        </w:rPr>
        <w:t>Cfr.</w:t>
      </w:r>
      <w:r w:rsidR="00632E26">
        <w:rPr>
          <w:rFonts w:ascii="Verdana" w:hAnsi="Verdana"/>
          <w:sz w:val="16"/>
          <w:szCs w:val="16"/>
          <w:lang w:val="es-UY"/>
        </w:rPr>
        <w:t xml:space="preserve"> </w:t>
      </w:r>
      <w:r w:rsidRPr="006840FA">
        <w:rPr>
          <w:rFonts w:ascii="Verdana" w:hAnsi="Verdana"/>
          <w:sz w:val="16"/>
          <w:szCs w:val="16"/>
          <w:lang w:val="es-UY"/>
        </w:rPr>
        <w:t>Opinión Consultiva OC-26/20</w:t>
      </w:r>
      <w:r w:rsidR="00F75E45">
        <w:rPr>
          <w:rFonts w:ascii="Verdana" w:hAnsi="Verdana"/>
          <w:sz w:val="16"/>
          <w:szCs w:val="16"/>
          <w:lang w:val="es-UY"/>
        </w:rPr>
        <w:t>,</w:t>
      </w:r>
      <w:r w:rsidR="00632E26">
        <w:rPr>
          <w:rFonts w:ascii="Verdana" w:hAnsi="Verdana"/>
          <w:i/>
          <w:iCs/>
          <w:sz w:val="16"/>
          <w:szCs w:val="16"/>
          <w:lang w:val="es-UY"/>
        </w:rPr>
        <w:t xml:space="preserve"> supra,</w:t>
      </w:r>
      <w:r>
        <w:rPr>
          <w:rFonts w:ascii="Verdana" w:hAnsi="Verdana"/>
          <w:sz w:val="16"/>
          <w:szCs w:val="16"/>
          <w:lang w:val="es-UY"/>
        </w:rPr>
        <w:t xml:space="preserve"> </w:t>
      </w:r>
      <w:r w:rsidR="00C936E0">
        <w:rPr>
          <w:rFonts w:ascii="Verdana" w:hAnsi="Verdana"/>
          <w:sz w:val="16"/>
          <w:szCs w:val="16"/>
          <w:lang w:val="es-UY"/>
        </w:rPr>
        <w:t>p</w:t>
      </w:r>
      <w:r w:rsidRPr="006840FA">
        <w:rPr>
          <w:rFonts w:ascii="Verdana" w:hAnsi="Verdana"/>
          <w:sz w:val="16"/>
          <w:szCs w:val="16"/>
          <w:lang w:val="es-UY"/>
        </w:rPr>
        <w:t>árr. 102</w:t>
      </w:r>
      <w:r>
        <w:rPr>
          <w:rFonts w:ascii="Verdana" w:hAnsi="Verdana"/>
          <w:sz w:val="16"/>
          <w:szCs w:val="16"/>
          <w:lang w:val="es-UY"/>
        </w:rPr>
        <w:t>.</w:t>
      </w:r>
    </w:p>
  </w:footnote>
  <w:footnote w:id="109">
    <w:p w14:paraId="4F4A36F7" w14:textId="6086FB45" w:rsidR="00194342" w:rsidRPr="00945549" w:rsidRDefault="00194342" w:rsidP="00B21C1F">
      <w:pPr>
        <w:pStyle w:val="Textonotapie"/>
        <w:spacing w:after="0" w:line="240" w:lineRule="auto"/>
        <w:jc w:val="both"/>
        <w:rPr>
          <w:rFonts w:ascii="Verdana" w:hAnsi="Verdana"/>
          <w:sz w:val="16"/>
          <w:szCs w:val="16"/>
          <w:lang w:val="es-UY"/>
        </w:rPr>
      </w:pPr>
      <w:r w:rsidRPr="00945549">
        <w:rPr>
          <w:rStyle w:val="Refdenotaalpie"/>
          <w:rFonts w:ascii="Verdana" w:hAnsi="Verdana"/>
          <w:sz w:val="16"/>
          <w:szCs w:val="16"/>
        </w:rPr>
        <w:footnoteRef/>
      </w:r>
      <w:r w:rsidRPr="00945549">
        <w:rPr>
          <w:rFonts w:ascii="Verdana" w:hAnsi="Verdana"/>
          <w:sz w:val="16"/>
          <w:szCs w:val="16"/>
        </w:rPr>
        <w:t xml:space="preserve"> </w:t>
      </w:r>
      <w:r>
        <w:rPr>
          <w:rFonts w:ascii="Verdana" w:hAnsi="Verdana"/>
          <w:sz w:val="16"/>
          <w:szCs w:val="16"/>
        </w:rPr>
        <w:tab/>
      </w:r>
      <w:r w:rsidRPr="005911C7">
        <w:rPr>
          <w:rFonts w:ascii="Verdana" w:hAnsi="Verdana"/>
          <w:i/>
          <w:iCs/>
          <w:sz w:val="16"/>
          <w:szCs w:val="16"/>
          <w:lang w:val="es-UY"/>
        </w:rPr>
        <w:t>Cfr.</w:t>
      </w:r>
      <w:r w:rsidRPr="00945549">
        <w:rPr>
          <w:rFonts w:ascii="Verdana" w:hAnsi="Verdana"/>
          <w:sz w:val="16"/>
          <w:szCs w:val="16"/>
          <w:lang w:val="es-UY"/>
        </w:rPr>
        <w:t xml:space="preserve"> </w:t>
      </w:r>
      <w:r w:rsidRPr="00945549">
        <w:rPr>
          <w:rFonts w:ascii="Verdana" w:hAnsi="Verdana"/>
          <w:sz w:val="16"/>
          <w:szCs w:val="16"/>
        </w:rPr>
        <w:t>Opinión Consultiva OC-23/17</w:t>
      </w:r>
      <w:r w:rsidR="00F75E45">
        <w:rPr>
          <w:rFonts w:ascii="Verdana" w:hAnsi="Verdana"/>
          <w:sz w:val="16"/>
          <w:szCs w:val="16"/>
          <w:lang w:val="es-UY"/>
        </w:rPr>
        <w:t>,</w:t>
      </w:r>
      <w:r w:rsidR="00632E26">
        <w:rPr>
          <w:rFonts w:ascii="Verdana" w:hAnsi="Verdana"/>
          <w:sz w:val="16"/>
          <w:szCs w:val="16"/>
          <w:lang w:val="es-UY"/>
        </w:rPr>
        <w:t xml:space="preserve"> </w:t>
      </w:r>
      <w:r w:rsidR="00632E26">
        <w:rPr>
          <w:rFonts w:ascii="Verdana" w:hAnsi="Verdana"/>
          <w:i/>
          <w:iCs/>
          <w:sz w:val="16"/>
          <w:szCs w:val="16"/>
          <w:lang w:val="es-UY"/>
        </w:rPr>
        <w:t>supra,</w:t>
      </w:r>
      <w:r>
        <w:rPr>
          <w:rFonts w:ascii="Verdana" w:hAnsi="Verdana"/>
          <w:sz w:val="16"/>
          <w:szCs w:val="16"/>
          <w:lang w:val="es-UY"/>
        </w:rPr>
        <w:t xml:space="preserve"> </w:t>
      </w:r>
      <w:r w:rsidR="00C936E0">
        <w:rPr>
          <w:rFonts w:ascii="Verdana" w:hAnsi="Verdana"/>
          <w:sz w:val="16"/>
          <w:szCs w:val="16"/>
          <w:lang w:val="es-UY"/>
        </w:rPr>
        <w:t>p</w:t>
      </w:r>
      <w:r w:rsidRPr="00945549">
        <w:rPr>
          <w:rFonts w:ascii="Verdana" w:hAnsi="Verdana"/>
          <w:sz w:val="16"/>
          <w:szCs w:val="16"/>
          <w:lang w:val="es-UY"/>
        </w:rPr>
        <w:t>árr</w:t>
      </w:r>
      <w:r w:rsidR="00632E26">
        <w:rPr>
          <w:rFonts w:ascii="Verdana" w:hAnsi="Verdana"/>
          <w:sz w:val="16"/>
          <w:szCs w:val="16"/>
          <w:lang w:val="es-UY"/>
        </w:rPr>
        <w:t>s</w:t>
      </w:r>
      <w:r w:rsidRPr="00945549">
        <w:rPr>
          <w:rFonts w:ascii="Verdana" w:hAnsi="Verdana"/>
          <w:sz w:val="16"/>
          <w:szCs w:val="16"/>
          <w:lang w:val="es-UY"/>
        </w:rPr>
        <w:t>. 52-55</w:t>
      </w:r>
      <w:r>
        <w:rPr>
          <w:rFonts w:ascii="Verdana" w:hAnsi="Verdana"/>
          <w:sz w:val="16"/>
          <w:szCs w:val="16"/>
          <w:lang w:val="es-UY"/>
        </w:rPr>
        <w:t>.</w:t>
      </w:r>
    </w:p>
  </w:footnote>
  <w:footnote w:id="110">
    <w:p w14:paraId="6D2B7593" w14:textId="0556CDA8" w:rsidR="00194342" w:rsidRPr="00945549" w:rsidRDefault="00194342" w:rsidP="00B21C1F">
      <w:pPr>
        <w:pStyle w:val="Textonotapie"/>
        <w:spacing w:after="0" w:line="240" w:lineRule="auto"/>
        <w:jc w:val="both"/>
        <w:rPr>
          <w:rFonts w:ascii="Verdana" w:hAnsi="Verdana"/>
          <w:sz w:val="16"/>
          <w:szCs w:val="16"/>
          <w:lang w:val="es-UY"/>
        </w:rPr>
      </w:pPr>
      <w:r w:rsidRPr="00945549">
        <w:rPr>
          <w:rStyle w:val="Refdenotaalpie"/>
          <w:rFonts w:ascii="Verdana" w:hAnsi="Verdana"/>
          <w:sz w:val="16"/>
          <w:szCs w:val="16"/>
        </w:rPr>
        <w:footnoteRef/>
      </w:r>
      <w:r w:rsidRPr="00945549">
        <w:rPr>
          <w:rFonts w:ascii="Verdana" w:hAnsi="Verdana"/>
          <w:sz w:val="16"/>
          <w:szCs w:val="16"/>
        </w:rPr>
        <w:t xml:space="preserve"> </w:t>
      </w:r>
      <w:r>
        <w:rPr>
          <w:rFonts w:ascii="Verdana" w:hAnsi="Verdana"/>
          <w:sz w:val="16"/>
          <w:szCs w:val="16"/>
        </w:rPr>
        <w:tab/>
      </w:r>
      <w:r w:rsidRPr="005911C7">
        <w:rPr>
          <w:rFonts w:ascii="Verdana" w:hAnsi="Verdana"/>
          <w:i/>
          <w:iCs/>
          <w:sz w:val="16"/>
          <w:szCs w:val="16"/>
          <w:lang w:val="es-UY"/>
        </w:rPr>
        <w:t>Cfr.</w:t>
      </w:r>
      <w:r w:rsidRPr="00945549">
        <w:rPr>
          <w:rFonts w:ascii="Verdana" w:hAnsi="Verdana"/>
          <w:sz w:val="16"/>
          <w:szCs w:val="16"/>
          <w:lang w:val="es-UY"/>
        </w:rPr>
        <w:t xml:space="preserve"> </w:t>
      </w:r>
      <w:r w:rsidRPr="008E72FA">
        <w:rPr>
          <w:rFonts w:ascii="Verdana" w:hAnsi="Verdana"/>
          <w:i/>
          <w:sz w:val="16"/>
          <w:szCs w:val="16"/>
          <w:lang w:val="es-UY"/>
        </w:rPr>
        <w:t>Caso Acosta y otros Vs. Nicaragua. Excepciones Preliminares, Fondo, Reparaciones y Costas</w:t>
      </w:r>
      <w:r w:rsidRPr="00945549">
        <w:rPr>
          <w:rFonts w:ascii="Verdana" w:hAnsi="Verdana"/>
          <w:sz w:val="16"/>
          <w:szCs w:val="16"/>
          <w:lang w:val="es-UY"/>
        </w:rPr>
        <w:t>. Sentencia de 25 de marzo de 2017. Serie C No. 334</w:t>
      </w:r>
      <w:r w:rsidR="00F75E45">
        <w:rPr>
          <w:rFonts w:ascii="Verdana" w:hAnsi="Verdana"/>
          <w:sz w:val="16"/>
          <w:szCs w:val="16"/>
          <w:lang w:val="es-UY"/>
        </w:rPr>
        <w:t>,</w:t>
      </w:r>
      <w:r w:rsidRPr="00945549">
        <w:rPr>
          <w:rFonts w:ascii="Verdana" w:hAnsi="Verdana"/>
          <w:sz w:val="16"/>
          <w:szCs w:val="16"/>
          <w:lang w:val="es-UY"/>
        </w:rPr>
        <w:t xml:space="preserve"> </w:t>
      </w:r>
      <w:r w:rsidR="00F75E45">
        <w:rPr>
          <w:rFonts w:ascii="Verdana" w:hAnsi="Verdana"/>
          <w:sz w:val="16"/>
          <w:szCs w:val="16"/>
          <w:lang w:val="es-UY"/>
        </w:rPr>
        <w:t>p</w:t>
      </w:r>
      <w:r w:rsidRPr="00945549">
        <w:rPr>
          <w:rFonts w:ascii="Verdana" w:hAnsi="Verdana"/>
          <w:sz w:val="16"/>
          <w:szCs w:val="16"/>
          <w:lang w:val="es-UY"/>
        </w:rPr>
        <w:t>árr. 221</w:t>
      </w:r>
      <w:r>
        <w:rPr>
          <w:rFonts w:ascii="Verdana" w:hAnsi="Verdana"/>
          <w:sz w:val="16"/>
          <w:szCs w:val="16"/>
          <w:lang w:val="es-UY"/>
        </w:rPr>
        <w:t>.</w:t>
      </w:r>
    </w:p>
  </w:footnote>
  <w:footnote w:id="111">
    <w:p w14:paraId="374A6C0F" w14:textId="7FC10499" w:rsidR="00194342" w:rsidRPr="00632E26" w:rsidRDefault="00194342" w:rsidP="00B21C1F">
      <w:pPr>
        <w:pStyle w:val="Textonotapie"/>
        <w:spacing w:after="0" w:line="240" w:lineRule="auto"/>
        <w:jc w:val="both"/>
        <w:rPr>
          <w:rFonts w:ascii="Verdana" w:hAnsi="Verdana"/>
          <w:sz w:val="16"/>
          <w:szCs w:val="16"/>
          <w:lang w:val="es-UY"/>
        </w:rPr>
      </w:pPr>
      <w:r w:rsidRPr="00632E26">
        <w:rPr>
          <w:rStyle w:val="Refdenotaalpie"/>
          <w:rFonts w:ascii="Verdana" w:hAnsi="Verdana"/>
          <w:sz w:val="16"/>
          <w:szCs w:val="16"/>
        </w:rPr>
        <w:footnoteRef/>
      </w:r>
      <w:r w:rsidRPr="00632E26">
        <w:rPr>
          <w:rFonts w:ascii="Verdana" w:hAnsi="Verdana"/>
          <w:sz w:val="16"/>
          <w:szCs w:val="16"/>
        </w:rPr>
        <w:t xml:space="preserve"> </w:t>
      </w:r>
      <w:r w:rsidRPr="00632E26">
        <w:rPr>
          <w:rFonts w:ascii="Verdana" w:hAnsi="Verdana"/>
          <w:sz w:val="16"/>
          <w:szCs w:val="16"/>
        </w:rPr>
        <w:tab/>
      </w:r>
      <w:r w:rsidR="00632E26" w:rsidRPr="009C2C1B">
        <w:rPr>
          <w:rFonts w:ascii="Verdana" w:hAnsi="Verdana"/>
          <w:sz w:val="16"/>
          <w:szCs w:val="16"/>
          <w:lang w:val="es-UY"/>
        </w:rPr>
        <w:t>Véase p</w:t>
      </w:r>
      <w:r w:rsidRPr="009C2C1B">
        <w:rPr>
          <w:rFonts w:ascii="Verdana" w:hAnsi="Verdana"/>
          <w:sz w:val="16"/>
          <w:szCs w:val="16"/>
          <w:lang w:val="es-UY"/>
        </w:rPr>
        <w:t>árrafo 24</w:t>
      </w:r>
      <w:r w:rsidR="00632E26">
        <w:rPr>
          <w:rFonts w:ascii="Verdana" w:hAnsi="Verdana"/>
          <w:sz w:val="16"/>
          <w:szCs w:val="16"/>
          <w:lang w:val="es-UY"/>
        </w:rPr>
        <w:t>3</w:t>
      </w:r>
      <w:r w:rsidRPr="009C2C1B">
        <w:rPr>
          <w:rFonts w:ascii="Verdana" w:hAnsi="Verdana"/>
          <w:sz w:val="16"/>
          <w:szCs w:val="16"/>
          <w:lang w:val="es-UY"/>
        </w:rPr>
        <w:t xml:space="preserve"> de la sentencia</w:t>
      </w:r>
      <w:r w:rsidRPr="00632E26">
        <w:rPr>
          <w:rFonts w:ascii="Verdana" w:hAnsi="Verdana"/>
          <w:sz w:val="16"/>
          <w:szCs w:val="16"/>
          <w:lang w:val="es-UY"/>
        </w:rPr>
        <w:t>.</w:t>
      </w:r>
    </w:p>
  </w:footnote>
  <w:footnote w:id="112">
    <w:p w14:paraId="3D204567" w14:textId="7F1E6DED" w:rsidR="00194342" w:rsidRPr="006665FE" w:rsidRDefault="00194342" w:rsidP="00B21C1F">
      <w:pPr>
        <w:pStyle w:val="Textonotapie"/>
        <w:spacing w:after="0" w:line="240" w:lineRule="auto"/>
        <w:jc w:val="both"/>
        <w:rPr>
          <w:lang w:val="es-UY"/>
        </w:rPr>
      </w:pPr>
      <w:r w:rsidRPr="00632E26">
        <w:rPr>
          <w:rStyle w:val="Refdenotaalpie"/>
          <w:rFonts w:ascii="Verdana" w:hAnsi="Verdana"/>
          <w:sz w:val="16"/>
          <w:szCs w:val="16"/>
        </w:rPr>
        <w:footnoteRef/>
      </w:r>
      <w:r w:rsidRPr="00632E26">
        <w:rPr>
          <w:rFonts w:ascii="Verdana" w:hAnsi="Verdana"/>
          <w:sz w:val="16"/>
          <w:szCs w:val="16"/>
        </w:rPr>
        <w:t xml:space="preserve"> </w:t>
      </w:r>
      <w:r w:rsidRPr="00632E26">
        <w:rPr>
          <w:rFonts w:ascii="Verdana" w:hAnsi="Verdana"/>
          <w:sz w:val="16"/>
          <w:szCs w:val="16"/>
        </w:rPr>
        <w:tab/>
      </w:r>
      <w:r w:rsidR="00632E26" w:rsidRPr="009C2C1B">
        <w:rPr>
          <w:rFonts w:ascii="Verdana" w:hAnsi="Verdana"/>
          <w:sz w:val="16"/>
          <w:szCs w:val="16"/>
          <w:lang w:val="es-UY"/>
        </w:rPr>
        <w:t>Véase p</w:t>
      </w:r>
      <w:r w:rsidRPr="009C2C1B">
        <w:rPr>
          <w:rFonts w:ascii="Verdana" w:hAnsi="Verdana"/>
          <w:sz w:val="16"/>
          <w:szCs w:val="16"/>
          <w:lang w:val="es-UY"/>
        </w:rPr>
        <w:t>árrafos 9</w:t>
      </w:r>
      <w:r w:rsidR="00632E26">
        <w:rPr>
          <w:rFonts w:ascii="Verdana" w:hAnsi="Verdana"/>
          <w:sz w:val="16"/>
          <w:szCs w:val="16"/>
          <w:lang w:val="es-UY"/>
        </w:rPr>
        <w:t>3</w:t>
      </w:r>
      <w:r w:rsidRPr="009C2C1B">
        <w:rPr>
          <w:rFonts w:ascii="Verdana" w:hAnsi="Verdana"/>
          <w:sz w:val="16"/>
          <w:szCs w:val="16"/>
          <w:lang w:val="es-UY"/>
        </w:rPr>
        <w:t>-10</w:t>
      </w:r>
      <w:r w:rsidR="00632E26">
        <w:rPr>
          <w:rFonts w:ascii="Verdana" w:hAnsi="Verdana"/>
          <w:sz w:val="16"/>
          <w:szCs w:val="16"/>
          <w:lang w:val="es-UY"/>
        </w:rPr>
        <w:t>1</w:t>
      </w:r>
      <w:r w:rsidRPr="009C2C1B">
        <w:rPr>
          <w:rFonts w:ascii="Verdana" w:hAnsi="Verdana"/>
          <w:sz w:val="16"/>
          <w:szCs w:val="16"/>
          <w:lang w:val="es-UY"/>
        </w:rPr>
        <w:t xml:space="preserve"> de la sentencia</w:t>
      </w:r>
      <w:r w:rsidR="00094BFD">
        <w:rPr>
          <w:rFonts w:ascii="Verdana" w:hAnsi="Verdana"/>
          <w:sz w:val="16"/>
          <w:szCs w:val="16"/>
          <w:lang w:val="es-UY"/>
        </w:rPr>
        <w:t>.</w:t>
      </w:r>
    </w:p>
  </w:footnote>
  <w:footnote w:id="113">
    <w:p w14:paraId="1A1364F9" w14:textId="24FF1EB9" w:rsidR="00194342" w:rsidRPr="00945549" w:rsidRDefault="00194342" w:rsidP="00B21C1F">
      <w:pPr>
        <w:pStyle w:val="Textonotapie"/>
        <w:spacing w:after="0" w:line="240" w:lineRule="auto"/>
        <w:jc w:val="both"/>
        <w:rPr>
          <w:rFonts w:ascii="Verdana" w:hAnsi="Verdana"/>
          <w:sz w:val="16"/>
          <w:szCs w:val="16"/>
          <w:lang w:val="es-UY"/>
        </w:rPr>
      </w:pPr>
      <w:r w:rsidRPr="00945549">
        <w:rPr>
          <w:rStyle w:val="Refdenotaalpie"/>
          <w:rFonts w:ascii="Verdana" w:hAnsi="Verdana"/>
          <w:sz w:val="16"/>
          <w:szCs w:val="16"/>
        </w:rPr>
        <w:footnoteRef/>
      </w:r>
      <w:r w:rsidRPr="00945549">
        <w:rPr>
          <w:rFonts w:ascii="Verdana" w:hAnsi="Verdana"/>
          <w:sz w:val="16"/>
          <w:szCs w:val="16"/>
        </w:rPr>
        <w:t xml:space="preserve"> </w:t>
      </w:r>
      <w:r>
        <w:rPr>
          <w:rFonts w:ascii="Verdana" w:hAnsi="Verdana"/>
          <w:sz w:val="16"/>
          <w:szCs w:val="16"/>
        </w:rPr>
        <w:tab/>
      </w:r>
      <w:r w:rsidRPr="00945549">
        <w:rPr>
          <w:rFonts w:ascii="Verdana" w:hAnsi="Verdana"/>
          <w:sz w:val="16"/>
          <w:szCs w:val="16"/>
          <w:lang w:val="es-UY"/>
        </w:rPr>
        <w:t>Asamblea General de Naciones Unidas. Resolución 41/128 de 4 de diciembre de 1986. Declaración sobre el derecho al desarrollo. Artículo 3.</w:t>
      </w:r>
    </w:p>
  </w:footnote>
  <w:footnote w:id="114">
    <w:p w14:paraId="75157527" w14:textId="7A85997B" w:rsidR="00194342" w:rsidRPr="00C827B9" w:rsidRDefault="00194342" w:rsidP="00B21C1F">
      <w:pPr>
        <w:pStyle w:val="Textonotapie"/>
        <w:spacing w:after="0" w:line="240" w:lineRule="auto"/>
        <w:jc w:val="both"/>
        <w:rPr>
          <w:lang w:val="es-UY"/>
        </w:rPr>
      </w:pPr>
      <w:r w:rsidRPr="00945549">
        <w:rPr>
          <w:rStyle w:val="Refdenotaalpie"/>
          <w:rFonts w:ascii="Verdana" w:hAnsi="Verdana"/>
          <w:sz w:val="16"/>
          <w:szCs w:val="16"/>
        </w:rPr>
        <w:footnoteRef/>
      </w:r>
      <w:r w:rsidRPr="00945549">
        <w:rPr>
          <w:rFonts w:ascii="Verdana" w:hAnsi="Verdana"/>
          <w:sz w:val="16"/>
          <w:szCs w:val="16"/>
        </w:rPr>
        <w:t xml:space="preserve"> </w:t>
      </w:r>
      <w:r>
        <w:rPr>
          <w:rFonts w:ascii="Verdana" w:hAnsi="Verdana"/>
          <w:sz w:val="16"/>
          <w:szCs w:val="16"/>
        </w:rPr>
        <w:tab/>
      </w:r>
      <w:r w:rsidRPr="00945549">
        <w:rPr>
          <w:rFonts w:ascii="Verdana" w:hAnsi="Verdana"/>
          <w:sz w:val="16"/>
          <w:szCs w:val="16"/>
          <w:lang w:val="es-UY"/>
        </w:rPr>
        <w:t>Asamblea General de Naciones Unidas. Resolución A/42/427. Informe de la Comisión Mundial sobre el Medio Ambiente y el Desarrollo. 4 de agosto de 1987. Recapitulación de la Comisión Mundial sobre el Medio Ambiente y el Desarrollo. Párr. 27, p. 23</w:t>
      </w:r>
      <w:r>
        <w:rPr>
          <w:rFonts w:ascii="Verdana" w:hAnsi="Verdana"/>
          <w:sz w:val="16"/>
          <w:szCs w:val="16"/>
          <w:lang w:val="es-UY"/>
        </w:rPr>
        <w:t>.</w:t>
      </w:r>
    </w:p>
  </w:footnote>
  <w:footnote w:id="115">
    <w:p w14:paraId="533C4B0F" w14:textId="2B4C514D" w:rsidR="00194342" w:rsidRPr="00E37E85" w:rsidRDefault="00194342" w:rsidP="00B21C1F">
      <w:pPr>
        <w:pStyle w:val="Prrafodelista"/>
        <w:ind w:left="0"/>
        <w:jc w:val="both"/>
        <w:rPr>
          <w:rFonts w:ascii="Verdana" w:hAnsi="Verdana"/>
          <w:sz w:val="16"/>
          <w:szCs w:val="16"/>
          <w:lang w:val="es-ES"/>
        </w:rPr>
      </w:pPr>
      <w:r w:rsidRPr="00E5093A">
        <w:rPr>
          <w:rStyle w:val="Refdenotaalpie"/>
          <w:rFonts w:ascii="Verdana" w:hAnsi="Verdana"/>
          <w:sz w:val="16"/>
          <w:szCs w:val="16"/>
        </w:rPr>
        <w:footnoteRef/>
      </w:r>
      <w:r w:rsidRPr="00E5093A">
        <w:rPr>
          <w:rFonts w:ascii="Verdana" w:hAnsi="Verdana"/>
          <w:sz w:val="16"/>
          <w:szCs w:val="16"/>
        </w:rPr>
        <w:t xml:space="preserve"> </w:t>
      </w:r>
      <w:r>
        <w:tab/>
      </w:r>
      <w:r>
        <w:rPr>
          <w:rFonts w:ascii="Verdana" w:hAnsi="Verdana"/>
          <w:sz w:val="16"/>
          <w:szCs w:val="16"/>
          <w:lang w:val="es-ES"/>
        </w:rPr>
        <w:t xml:space="preserve">Esta conclusión se deriva de </w:t>
      </w:r>
      <w:r w:rsidRPr="00E37E85">
        <w:rPr>
          <w:rFonts w:ascii="Verdana" w:hAnsi="Verdana"/>
          <w:sz w:val="16"/>
          <w:szCs w:val="16"/>
          <w:lang w:val="es-ES"/>
        </w:rPr>
        <w:t>los artículos 45 literal a, d y f, así como el artículo 47.</w:t>
      </w:r>
    </w:p>
  </w:footnote>
  <w:footnote w:id="116">
    <w:p w14:paraId="4B185BE2" w14:textId="1B4972E8" w:rsidR="00194342" w:rsidRPr="00945549" w:rsidRDefault="00194342" w:rsidP="00B21C1F">
      <w:pPr>
        <w:pStyle w:val="Textonotapie"/>
        <w:spacing w:after="0" w:line="240" w:lineRule="auto"/>
        <w:jc w:val="both"/>
        <w:rPr>
          <w:rFonts w:ascii="Verdana" w:hAnsi="Verdana"/>
          <w:sz w:val="16"/>
          <w:szCs w:val="16"/>
          <w:lang w:val="es-UY"/>
        </w:rPr>
      </w:pPr>
      <w:r w:rsidRPr="00945549">
        <w:rPr>
          <w:rStyle w:val="Refdenotaalpie"/>
          <w:rFonts w:ascii="Verdana" w:hAnsi="Verdana"/>
          <w:sz w:val="16"/>
          <w:szCs w:val="16"/>
        </w:rPr>
        <w:footnoteRef/>
      </w:r>
      <w:r w:rsidRPr="00945549">
        <w:rPr>
          <w:rFonts w:ascii="Verdana" w:hAnsi="Verdana"/>
          <w:sz w:val="16"/>
          <w:szCs w:val="16"/>
        </w:rPr>
        <w:t xml:space="preserve"> </w:t>
      </w:r>
      <w:r>
        <w:rPr>
          <w:rFonts w:ascii="Verdana" w:hAnsi="Verdana"/>
          <w:sz w:val="16"/>
          <w:szCs w:val="16"/>
        </w:rPr>
        <w:tab/>
      </w:r>
      <w:r w:rsidRPr="00945549">
        <w:rPr>
          <w:rFonts w:ascii="Verdana" w:hAnsi="Verdana"/>
          <w:sz w:val="16"/>
          <w:szCs w:val="16"/>
          <w:lang w:val="es-UY"/>
        </w:rPr>
        <w:t>Asamblea General de Naciones Unidas. Resolución A/42/427. Informe de la Comisión Mundial sobre el Medio Ambiente y el Desarrollo. Capítulo 2. Hacia un desarrollo duradero. 4 de agosto de 1987. Párr. 15, p. 63</w:t>
      </w:r>
      <w:r>
        <w:rPr>
          <w:rFonts w:ascii="Verdana" w:hAnsi="Verdana"/>
          <w:sz w:val="16"/>
          <w:szCs w:val="16"/>
          <w:lang w:val="es-UY"/>
        </w:rPr>
        <w:t>.</w:t>
      </w:r>
    </w:p>
  </w:footnote>
  <w:footnote w:id="117">
    <w:p w14:paraId="0089DA5A" w14:textId="6BC9DDDC" w:rsidR="00194342" w:rsidRPr="008A4F23" w:rsidRDefault="00194342" w:rsidP="00B21C1F">
      <w:pPr>
        <w:pStyle w:val="Textonotapie"/>
        <w:spacing w:after="0" w:line="240" w:lineRule="auto"/>
        <w:jc w:val="both"/>
        <w:rPr>
          <w:lang w:val="es-UY"/>
        </w:rPr>
      </w:pPr>
      <w:r w:rsidRPr="00945549">
        <w:rPr>
          <w:rStyle w:val="Refdenotaalpie"/>
          <w:rFonts w:ascii="Verdana" w:hAnsi="Verdana"/>
          <w:sz w:val="16"/>
          <w:szCs w:val="16"/>
        </w:rPr>
        <w:footnoteRef/>
      </w:r>
      <w:r w:rsidRPr="00945549">
        <w:rPr>
          <w:rFonts w:ascii="Verdana" w:hAnsi="Verdana"/>
          <w:sz w:val="16"/>
          <w:szCs w:val="16"/>
        </w:rPr>
        <w:t xml:space="preserve"> </w:t>
      </w:r>
      <w:r>
        <w:rPr>
          <w:rFonts w:ascii="Verdana" w:hAnsi="Verdana"/>
          <w:sz w:val="16"/>
          <w:szCs w:val="16"/>
        </w:rPr>
        <w:tab/>
      </w:r>
      <w:r w:rsidRPr="00945549">
        <w:rPr>
          <w:rFonts w:ascii="Verdana" w:hAnsi="Verdana"/>
          <w:sz w:val="16"/>
          <w:szCs w:val="16"/>
          <w:lang w:val="es-UY"/>
        </w:rPr>
        <w:t>Asamblea General de Naciones Unidas. Resolución 4/42/427. Informe de la Comisión Mundial sobre el Medio Ambiente y el Desarrollo. Capítulo 1. Un futuro amenazado. 4 de agosto de 1987. Párr. 50, p. 56</w:t>
      </w:r>
      <w:r>
        <w:rPr>
          <w:rFonts w:ascii="Verdana" w:hAnsi="Verdana"/>
          <w:sz w:val="16"/>
          <w:szCs w:val="16"/>
          <w:lang w:val="es-UY"/>
        </w:rPr>
        <w:t>.</w:t>
      </w:r>
    </w:p>
  </w:footnote>
  <w:footnote w:id="118">
    <w:p w14:paraId="438A5BBA" w14:textId="35454A2B" w:rsidR="00194342" w:rsidRPr="00945549" w:rsidRDefault="00194342" w:rsidP="00B21C1F">
      <w:pPr>
        <w:pStyle w:val="Textonotapie"/>
        <w:spacing w:after="0" w:line="240" w:lineRule="auto"/>
        <w:jc w:val="both"/>
        <w:rPr>
          <w:rFonts w:ascii="Verdana" w:hAnsi="Verdana"/>
          <w:sz w:val="16"/>
          <w:szCs w:val="16"/>
          <w:lang w:val="es-UY"/>
        </w:rPr>
      </w:pPr>
      <w:r w:rsidRPr="00945549">
        <w:rPr>
          <w:rStyle w:val="Refdenotaalpie"/>
          <w:rFonts w:ascii="Verdana" w:hAnsi="Verdana"/>
          <w:sz w:val="16"/>
          <w:szCs w:val="16"/>
        </w:rPr>
        <w:footnoteRef/>
      </w:r>
      <w:r w:rsidRPr="00945549">
        <w:rPr>
          <w:rFonts w:ascii="Verdana" w:hAnsi="Verdana"/>
          <w:sz w:val="16"/>
          <w:szCs w:val="16"/>
        </w:rPr>
        <w:t xml:space="preserve"> </w:t>
      </w:r>
      <w:r>
        <w:rPr>
          <w:rFonts w:ascii="Verdana" w:hAnsi="Verdana"/>
          <w:sz w:val="16"/>
          <w:szCs w:val="16"/>
        </w:rPr>
        <w:tab/>
      </w:r>
      <w:r w:rsidRPr="00945549">
        <w:rPr>
          <w:rFonts w:ascii="Verdana" w:hAnsi="Verdana"/>
          <w:sz w:val="16"/>
          <w:szCs w:val="16"/>
          <w:lang w:val="es-UY"/>
        </w:rPr>
        <w:t>Asamblea General de Naciones Unidas. Resolución A/4/70/L.1. Transformar nuestro mundo: la Agenda 2030 para el Desarrollo Sostenible. 18 de septiembre de 2015</w:t>
      </w:r>
      <w:r w:rsidR="00632E26">
        <w:rPr>
          <w:rFonts w:ascii="Verdana" w:hAnsi="Verdana"/>
          <w:sz w:val="16"/>
          <w:szCs w:val="16"/>
          <w:lang w:val="es-UY"/>
        </w:rPr>
        <w:t>, p</w:t>
      </w:r>
      <w:r w:rsidRPr="00945549">
        <w:rPr>
          <w:rFonts w:ascii="Verdana" w:hAnsi="Verdana"/>
          <w:sz w:val="16"/>
          <w:szCs w:val="16"/>
          <w:lang w:val="es-UY"/>
        </w:rPr>
        <w:t>árr. 2</w:t>
      </w:r>
      <w:r>
        <w:rPr>
          <w:rFonts w:ascii="Verdana" w:hAnsi="Verdana"/>
          <w:sz w:val="16"/>
          <w:szCs w:val="16"/>
          <w:lang w:val="es-UY"/>
        </w:rPr>
        <w:t>.</w:t>
      </w:r>
    </w:p>
  </w:footnote>
  <w:footnote w:id="119">
    <w:p w14:paraId="2DEDCEC8" w14:textId="1E7D3DA5" w:rsidR="00194342" w:rsidRPr="00945549" w:rsidRDefault="00194342" w:rsidP="00B21C1F">
      <w:pPr>
        <w:pStyle w:val="Textonotapie"/>
        <w:spacing w:after="0" w:line="240" w:lineRule="auto"/>
        <w:jc w:val="both"/>
        <w:rPr>
          <w:rFonts w:ascii="Verdana" w:hAnsi="Verdana"/>
          <w:sz w:val="16"/>
          <w:szCs w:val="16"/>
          <w:lang w:val="es-UY"/>
        </w:rPr>
      </w:pPr>
      <w:r w:rsidRPr="00945549">
        <w:rPr>
          <w:rStyle w:val="Refdenotaalpie"/>
          <w:rFonts w:ascii="Verdana" w:hAnsi="Verdana"/>
          <w:sz w:val="16"/>
          <w:szCs w:val="16"/>
        </w:rPr>
        <w:footnoteRef/>
      </w:r>
      <w:r w:rsidRPr="00945549">
        <w:rPr>
          <w:rFonts w:ascii="Verdana" w:hAnsi="Verdana"/>
          <w:sz w:val="16"/>
          <w:szCs w:val="16"/>
        </w:rPr>
        <w:t xml:space="preserve"> </w:t>
      </w:r>
      <w:r>
        <w:rPr>
          <w:rFonts w:ascii="Verdana" w:hAnsi="Verdana"/>
          <w:sz w:val="16"/>
          <w:szCs w:val="16"/>
        </w:rPr>
        <w:tab/>
      </w:r>
      <w:r w:rsidRPr="00945549">
        <w:rPr>
          <w:rFonts w:ascii="Verdana" w:hAnsi="Verdana"/>
          <w:sz w:val="16"/>
          <w:szCs w:val="16"/>
          <w:lang w:val="es-UY"/>
        </w:rPr>
        <w:t>Oficina del Alto Comisionado de Derechos Humanos. Los derechos humanos y el medio ambiente como parte del desarrollo sostenible. Resolución 2005/60. 20 de abril de 2005</w:t>
      </w:r>
      <w:r w:rsidR="00632E26">
        <w:rPr>
          <w:rFonts w:ascii="Verdana" w:hAnsi="Verdana"/>
          <w:sz w:val="16"/>
          <w:szCs w:val="16"/>
          <w:lang w:val="es-UY"/>
        </w:rPr>
        <w:t>,</w:t>
      </w:r>
      <w:r w:rsidRPr="00945549">
        <w:rPr>
          <w:rFonts w:ascii="Verdana" w:hAnsi="Verdana"/>
          <w:sz w:val="16"/>
          <w:szCs w:val="16"/>
          <w:lang w:val="es-UY"/>
        </w:rPr>
        <w:t xml:space="preserve"> </w:t>
      </w:r>
      <w:r w:rsidR="00632E26">
        <w:rPr>
          <w:rFonts w:ascii="Verdana" w:hAnsi="Verdana"/>
          <w:sz w:val="16"/>
          <w:szCs w:val="16"/>
          <w:lang w:val="es-UY"/>
        </w:rPr>
        <w:t>p</w:t>
      </w:r>
      <w:r w:rsidRPr="00945549">
        <w:rPr>
          <w:rFonts w:ascii="Verdana" w:hAnsi="Verdana"/>
          <w:sz w:val="16"/>
          <w:szCs w:val="16"/>
          <w:lang w:val="es-UY"/>
        </w:rPr>
        <w:t>árr. 4</w:t>
      </w:r>
      <w:r>
        <w:rPr>
          <w:rFonts w:ascii="Verdana" w:hAnsi="Verdana"/>
          <w:sz w:val="16"/>
          <w:szCs w:val="16"/>
          <w:lang w:val="es-UY"/>
        </w:rPr>
        <w:t>.</w:t>
      </w:r>
    </w:p>
  </w:footnote>
  <w:footnote w:id="120">
    <w:p w14:paraId="1722964A" w14:textId="530B97D8" w:rsidR="00194342" w:rsidRPr="00945549" w:rsidRDefault="00194342" w:rsidP="00B21C1F">
      <w:pPr>
        <w:pStyle w:val="Textonotapie"/>
        <w:spacing w:after="0" w:line="240" w:lineRule="auto"/>
        <w:jc w:val="both"/>
        <w:rPr>
          <w:rFonts w:ascii="Verdana" w:hAnsi="Verdana"/>
          <w:sz w:val="16"/>
          <w:szCs w:val="16"/>
          <w:lang w:val="es-UY"/>
        </w:rPr>
      </w:pPr>
      <w:r w:rsidRPr="00632E26">
        <w:rPr>
          <w:rStyle w:val="Refdenotaalpie"/>
          <w:rFonts w:ascii="Verdana" w:hAnsi="Verdana"/>
          <w:sz w:val="16"/>
          <w:szCs w:val="16"/>
        </w:rPr>
        <w:footnoteRef/>
      </w:r>
      <w:r w:rsidRPr="00632E26">
        <w:rPr>
          <w:rFonts w:ascii="Verdana" w:hAnsi="Verdana"/>
          <w:sz w:val="16"/>
          <w:szCs w:val="16"/>
        </w:rPr>
        <w:t xml:space="preserve"> </w:t>
      </w:r>
      <w:r w:rsidRPr="00632E26">
        <w:rPr>
          <w:rFonts w:ascii="Verdana" w:hAnsi="Verdana"/>
          <w:sz w:val="16"/>
          <w:szCs w:val="16"/>
        </w:rPr>
        <w:tab/>
      </w:r>
      <w:r w:rsidR="00632E26" w:rsidRPr="00632E26">
        <w:rPr>
          <w:rFonts w:ascii="Verdana" w:hAnsi="Verdana"/>
          <w:i/>
          <w:iCs/>
          <w:sz w:val="16"/>
          <w:szCs w:val="16"/>
          <w:lang w:val="es-UY"/>
        </w:rPr>
        <w:t xml:space="preserve">Véase </w:t>
      </w:r>
      <w:r w:rsidR="00632E26" w:rsidRPr="00632E26">
        <w:rPr>
          <w:rFonts w:ascii="Verdana" w:hAnsi="Verdana"/>
          <w:sz w:val="16"/>
          <w:szCs w:val="16"/>
          <w:lang w:val="es-UY"/>
        </w:rPr>
        <w:t>p</w:t>
      </w:r>
      <w:r w:rsidRPr="009C2C1B">
        <w:rPr>
          <w:rFonts w:ascii="Verdana" w:hAnsi="Verdana"/>
          <w:sz w:val="16"/>
          <w:szCs w:val="16"/>
          <w:lang w:val="es-UY"/>
        </w:rPr>
        <w:t>árrafo 231 de la sentencia</w:t>
      </w:r>
      <w:r w:rsidRPr="00632E26">
        <w:rPr>
          <w:rFonts w:ascii="Verdana" w:hAnsi="Verdana"/>
          <w:sz w:val="16"/>
          <w:szCs w:val="16"/>
          <w:lang w:val="es-UY"/>
        </w:rPr>
        <w:t>.</w:t>
      </w:r>
    </w:p>
  </w:footnote>
  <w:footnote w:id="121">
    <w:p w14:paraId="24EC613D" w14:textId="2AE3B475" w:rsidR="00194342" w:rsidRPr="005762D1" w:rsidRDefault="00194342" w:rsidP="00B21C1F">
      <w:pPr>
        <w:pStyle w:val="Textonotapie"/>
        <w:spacing w:after="0" w:line="240" w:lineRule="auto"/>
        <w:jc w:val="both"/>
        <w:rPr>
          <w:lang w:val="es-UY"/>
        </w:rPr>
      </w:pPr>
      <w:r w:rsidRPr="00945549">
        <w:rPr>
          <w:rStyle w:val="Refdenotaalpie"/>
          <w:rFonts w:ascii="Verdana" w:hAnsi="Verdana"/>
          <w:sz w:val="16"/>
          <w:szCs w:val="16"/>
        </w:rPr>
        <w:footnoteRef/>
      </w:r>
      <w:r w:rsidRPr="00945549">
        <w:rPr>
          <w:rFonts w:ascii="Verdana" w:hAnsi="Verdana"/>
          <w:sz w:val="16"/>
          <w:szCs w:val="16"/>
        </w:rPr>
        <w:t xml:space="preserve"> </w:t>
      </w:r>
      <w:r>
        <w:rPr>
          <w:rFonts w:ascii="Verdana" w:hAnsi="Verdana"/>
          <w:sz w:val="16"/>
          <w:szCs w:val="16"/>
        </w:rPr>
        <w:tab/>
      </w:r>
      <w:r w:rsidRPr="00945549">
        <w:rPr>
          <w:rFonts w:ascii="Verdana" w:hAnsi="Verdana"/>
          <w:sz w:val="16"/>
          <w:szCs w:val="16"/>
          <w:lang w:val="es-UY"/>
        </w:rPr>
        <w:t>Asamblea General de Naciones Unidas. Resolución A/4/70/L.1. Transformar nuestro mundo: la Agenda 2030 para el Desarrollo Sostenible. 18 de septiembre de 2015</w:t>
      </w:r>
      <w:r w:rsidR="00632E26">
        <w:rPr>
          <w:rFonts w:ascii="Verdana" w:hAnsi="Verdana"/>
          <w:sz w:val="16"/>
          <w:szCs w:val="16"/>
          <w:lang w:val="es-UY"/>
        </w:rPr>
        <w:t>, p</w:t>
      </w:r>
      <w:r w:rsidRPr="00945549">
        <w:rPr>
          <w:rFonts w:ascii="Verdana" w:hAnsi="Verdana"/>
          <w:sz w:val="16"/>
          <w:szCs w:val="16"/>
          <w:lang w:val="es-UY"/>
        </w:rPr>
        <w:t>árr. 2</w:t>
      </w:r>
      <w:r>
        <w:rPr>
          <w:rFonts w:ascii="Verdana" w:hAnsi="Verdana"/>
          <w:sz w:val="16"/>
          <w:szCs w:val="16"/>
          <w:lang w:val="es-UY"/>
        </w:rPr>
        <w:t>.</w:t>
      </w:r>
    </w:p>
  </w:footnote>
  <w:footnote w:id="122">
    <w:p w14:paraId="1B5B1829" w14:textId="271BC0AD" w:rsidR="00194342" w:rsidRPr="00945549" w:rsidRDefault="00194342" w:rsidP="00B21C1F">
      <w:pPr>
        <w:pStyle w:val="Textonotapie"/>
        <w:spacing w:after="0" w:line="240" w:lineRule="auto"/>
        <w:jc w:val="both"/>
        <w:rPr>
          <w:rFonts w:ascii="Verdana" w:hAnsi="Verdana"/>
          <w:sz w:val="16"/>
          <w:szCs w:val="16"/>
          <w:lang w:val="es-UY"/>
        </w:rPr>
      </w:pPr>
      <w:r w:rsidRPr="00945549">
        <w:rPr>
          <w:rStyle w:val="Refdenotaalpie"/>
          <w:rFonts w:ascii="Verdana" w:hAnsi="Verdana"/>
          <w:sz w:val="16"/>
          <w:szCs w:val="16"/>
        </w:rPr>
        <w:footnoteRef/>
      </w:r>
      <w:r w:rsidRPr="00945549">
        <w:rPr>
          <w:rFonts w:ascii="Verdana" w:hAnsi="Verdana"/>
          <w:sz w:val="16"/>
          <w:szCs w:val="16"/>
        </w:rPr>
        <w:t xml:space="preserve"> </w:t>
      </w:r>
      <w:r>
        <w:rPr>
          <w:rFonts w:ascii="Verdana" w:hAnsi="Verdana"/>
          <w:sz w:val="16"/>
          <w:szCs w:val="16"/>
        </w:rPr>
        <w:tab/>
      </w:r>
      <w:r w:rsidRPr="00945549">
        <w:rPr>
          <w:rFonts w:ascii="Verdana" w:hAnsi="Verdana"/>
          <w:sz w:val="16"/>
          <w:szCs w:val="16"/>
          <w:lang w:val="es-UY"/>
        </w:rPr>
        <w:t>Corte Constitucional de Colombia. Sentencia C-339/02. 7 de mayo de 2002</w:t>
      </w:r>
      <w:r>
        <w:rPr>
          <w:rFonts w:ascii="Verdana" w:hAnsi="Verdana"/>
          <w:sz w:val="16"/>
          <w:szCs w:val="16"/>
          <w:lang w:val="es-UY"/>
        </w:rPr>
        <w:t>.</w:t>
      </w:r>
    </w:p>
  </w:footnote>
  <w:footnote w:id="123">
    <w:p w14:paraId="10BA9CD0" w14:textId="0718E922" w:rsidR="00194342" w:rsidRPr="00945549" w:rsidRDefault="00194342" w:rsidP="00B21C1F">
      <w:pPr>
        <w:pStyle w:val="Textonotapie"/>
        <w:spacing w:after="0" w:line="240" w:lineRule="auto"/>
        <w:jc w:val="both"/>
        <w:rPr>
          <w:rFonts w:ascii="Verdana" w:hAnsi="Verdana"/>
          <w:sz w:val="16"/>
          <w:szCs w:val="16"/>
          <w:lang w:val="es-UY"/>
        </w:rPr>
      </w:pPr>
      <w:r w:rsidRPr="00945549">
        <w:rPr>
          <w:rStyle w:val="Refdenotaalpie"/>
          <w:rFonts w:ascii="Verdana" w:hAnsi="Verdana"/>
          <w:sz w:val="16"/>
          <w:szCs w:val="16"/>
        </w:rPr>
        <w:footnoteRef/>
      </w:r>
      <w:r w:rsidRPr="00945549">
        <w:rPr>
          <w:rFonts w:ascii="Verdana" w:hAnsi="Verdana"/>
          <w:sz w:val="16"/>
          <w:szCs w:val="16"/>
        </w:rPr>
        <w:t xml:space="preserve"> </w:t>
      </w:r>
      <w:r>
        <w:rPr>
          <w:rFonts w:ascii="Verdana" w:hAnsi="Verdana"/>
          <w:sz w:val="16"/>
          <w:szCs w:val="16"/>
        </w:rPr>
        <w:tab/>
      </w:r>
      <w:r w:rsidRPr="00945549">
        <w:rPr>
          <w:rFonts w:ascii="Verdana" w:hAnsi="Verdana"/>
          <w:sz w:val="16"/>
          <w:szCs w:val="16"/>
          <w:lang w:val="es-UY"/>
        </w:rPr>
        <w:t>Asamblea General de Naciones Unidas. Resolución A/RES/70/1. Transformar nuestro mundo: La Agenda 2030 para el Desarrollo Sostenible. 21 de octubre de 2015</w:t>
      </w:r>
      <w:r w:rsidR="00632E26">
        <w:rPr>
          <w:rFonts w:ascii="Verdana" w:hAnsi="Verdana"/>
          <w:sz w:val="16"/>
          <w:szCs w:val="16"/>
          <w:lang w:val="es-UY"/>
        </w:rPr>
        <w:t>, p</w:t>
      </w:r>
      <w:r w:rsidRPr="00945549">
        <w:rPr>
          <w:rFonts w:ascii="Verdana" w:hAnsi="Verdana"/>
          <w:sz w:val="16"/>
          <w:szCs w:val="16"/>
          <w:lang w:val="es-UY"/>
        </w:rPr>
        <w:t>árr. 9.4</w:t>
      </w:r>
      <w:r>
        <w:rPr>
          <w:rFonts w:ascii="Verdana" w:hAnsi="Verdana"/>
          <w:sz w:val="16"/>
          <w:szCs w:val="16"/>
          <w:lang w:val="es-UY"/>
        </w:rPr>
        <w:t>.</w:t>
      </w:r>
    </w:p>
  </w:footnote>
  <w:footnote w:id="124">
    <w:p w14:paraId="621E88B7" w14:textId="25773583" w:rsidR="00194342" w:rsidRPr="00CD7A44" w:rsidRDefault="00194342" w:rsidP="00B21C1F">
      <w:pPr>
        <w:pStyle w:val="Textonotapie"/>
        <w:spacing w:after="0" w:line="240" w:lineRule="auto"/>
        <w:jc w:val="both"/>
        <w:rPr>
          <w:rFonts w:ascii="Verdana" w:hAnsi="Verdana"/>
          <w:sz w:val="16"/>
          <w:szCs w:val="16"/>
          <w:lang w:val="es-UY"/>
        </w:rPr>
      </w:pPr>
      <w:r>
        <w:rPr>
          <w:rStyle w:val="Refdenotaalpie"/>
        </w:rPr>
        <w:footnoteRef/>
      </w:r>
      <w:r>
        <w:t xml:space="preserve"> </w:t>
      </w:r>
      <w:r>
        <w:tab/>
      </w:r>
      <w:r w:rsidRPr="00CD7A44">
        <w:rPr>
          <w:rFonts w:ascii="Verdana" w:hAnsi="Verdana"/>
          <w:sz w:val="16"/>
          <w:szCs w:val="16"/>
        </w:rPr>
        <w:t>Sobre este punto, se ha pronunciado el “Informe Bruntland” donde se señaló que:</w:t>
      </w:r>
      <w:r w:rsidR="00094BFD">
        <w:rPr>
          <w:rFonts w:ascii="Verdana" w:hAnsi="Verdana"/>
          <w:sz w:val="16"/>
          <w:szCs w:val="16"/>
          <w:lang w:val="es-ES"/>
        </w:rPr>
        <w:t xml:space="preserve"> </w:t>
      </w:r>
      <w:r w:rsidRPr="00CD7A44">
        <w:rPr>
          <w:rFonts w:ascii="Verdana" w:hAnsi="Verdana"/>
          <w:sz w:val="16"/>
          <w:szCs w:val="16"/>
          <w:lang w:val="es-UY"/>
        </w:rPr>
        <w:t>”</w:t>
      </w:r>
      <w:r w:rsidRPr="00CD7A44">
        <w:rPr>
          <w:rFonts w:ascii="Verdana" w:hAnsi="Verdana"/>
          <w:sz w:val="16"/>
          <w:szCs w:val="16"/>
        </w:rPr>
        <w:t xml:space="preserve">Las cuestiones económicas y ecológicas no son forzosamente antagónicas. Por ejemplo, las políticas de conservación de la calidad de las tierras agrícolas y de protección forestal mejoran, a largo plazo, las perspectivas de desarrollo agrícola. Al utilizarse más eficientemente la energía y el material empleado se cumple con la finalidad ecológica y al mismo tiempo se reducen los costos. Pero la compatibilidad de los objetivos ambientales con los económicos a veces se pierde cuando se trata de conseguir ganancias individuales o colectivas y se otorga escasa consideración a sus consecuencias sobre los demás, con una fe ciega en la habilidad de la ciencia para encontrar soluciones e ignorancia de las consecuencias a largo plazo de las decisiones adoptadas en el momento. La rigidez de las instituciones se añade a esta miopía </w:t>
      </w:r>
      <w:r w:rsidR="00094BFD">
        <w:rPr>
          <w:rFonts w:ascii="Verdana" w:hAnsi="Verdana"/>
          <w:sz w:val="16"/>
          <w:szCs w:val="16"/>
          <w:lang w:val="es-ES"/>
        </w:rPr>
        <w:t>[</w:t>
      </w:r>
      <w:r w:rsidRPr="00CD7A44">
        <w:rPr>
          <w:rFonts w:ascii="Verdana" w:hAnsi="Verdana"/>
          <w:sz w:val="16"/>
          <w:szCs w:val="16"/>
        </w:rPr>
        <w:t>…</w:t>
      </w:r>
      <w:r w:rsidR="00094BFD">
        <w:rPr>
          <w:rFonts w:ascii="Verdana" w:hAnsi="Verdana"/>
          <w:sz w:val="16"/>
          <w:szCs w:val="16"/>
          <w:lang w:val="es-ES"/>
        </w:rPr>
        <w:t>]</w:t>
      </w:r>
      <w:r w:rsidRPr="00CD7A44">
        <w:rPr>
          <w:rFonts w:ascii="Verdana" w:hAnsi="Verdana"/>
          <w:sz w:val="16"/>
          <w:szCs w:val="16"/>
          <w:lang w:val="es-UY"/>
        </w:rPr>
        <w:t>”</w:t>
      </w:r>
      <w:r w:rsidR="00094BFD">
        <w:rPr>
          <w:rFonts w:ascii="Verdana" w:hAnsi="Verdana"/>
          <w:sz w:val="16"/>
          <w:szCs w:val="16"/>
          <w:lang w:val="es-UY"/>
        </w:rPr>
        <w:t xml:space="preserve">. </w:t>
      </w:r>
      <w:r w:rsidR="00094BFD" w:rsidRPr="00945549">
        <w:rPr>
          <w:rFonts w:ascii="Verdana" w:hAnsi="Verdana"/>
          <w:sz w:val="16"/>
          <w:szCs w:val="16"/>
          <w:lang w:val="es-UY"/>
        </w:rPr>
        <w:t>Asamblea General de Naciones Unidas. Resolución A/42/427. Informe de la Comisión Mundial sobre el</w:t>
      </w:r>
      <w:r w:rsidR="00094BFD">
        <w:rPr>
          <w:rFonts w:ascii="Verdana" w:hAnsi="Verdana"/>
          <w:sz w:val="16"/>
          <w:szCs w:val="16"/>
          <w:lang w:val="es-UY"/>
        </w:rPr>
        <w:t xml:space="preserve"> Medio Ambiente y el Desarrollo</w:t>
      </w:r>
      <w:r w:rsidR="00851290">
        <w:rPr>
          <w:rFonts w:ascii="Verdana" w:hAnsi="Verdana"/>
          <w:sz w:val="16"/>
          <w:szCs w:val="16"/>
          <w:lang w:val="es-UY"/>
        </w:rPr>
        <w:t>, p</w:t>
      </w:r>
      <w:r>
        <w:rPr>
          <w:rFonts w:ascii="Verdana" w:hAnsi="Verdana"/>
          <w:sz w:val="16"/>
          <w:szCs w:val="16"/>
          <w:lang w:val="es-UY"/>
        </w:rPr>
        <w:t>árr. 73, pp. 84-85.</w:t>
      </w:r>
    </w:p>
  </w:footnote>
  <w:footnote w:id="125">
    <w:p w14:paraId="486FB450" w14:textId="36007D55" w:rsidR="00194342" w:rsidRPr="00F36008" w:rsidRDefault="00194342" w:rsidP="00B21C1F">
      <w:pPr>
        <w:pStyle w:val="Textonotapie"/>
        <w:spacing w:after="0" w:line="240" w:lineRule="auto"/>
        <w:jc w:val="both"/>
        <w:rPr>
          <w:rFonts w:ascii="Verdana" w:hAnsi="Verdana"/>
          <w:sz w:val="16"/>
          <w:szCs w:val="16"/>
          <w:lang w:val="es-UY"/>
        </w:rPr>
      </w:pPr>
      <w:r w:rsidRPr="00945549">
        <w:rPr>
          <w:rStyle w:val="Refdenotaalpie"/>
          <w:rFonts w:ascii="Verdana" w:hAnsi="Verdana"/>
          <w:sz w:val="16"/>
          <w:szCs w:val="16"/>
        </w:rPr>
        <w:footnoteRef/>
      </w:r>
      <w:r w:rsidRPr="00945549">
        <w:rPr>
          <w:rFonts w:ascii="Verdana" w:hAnsi="Verdana"/>
          <w:sz w:val="16"/>
          <w:szCs w:val="16"/>
        </w:rPr>
        <w:t xml:space="preserve"> </w:t>
      </w:r>
      <w:r>
        <w:rPr>
          <w:rFonts w:ascii="Verdana" w:hAnsi="Verdana"/>
          <w:sz w:val="16"/>
          <w:szCs w:val="16"/>
        </w:rPr>
        <w:tab/>
      </w:r>
      <w:r w:rsidRPr="00945549">
        <w:rPr>
          <w:rFonts w:ascii="Verdana" w:hAnsi="Verdana"/>
          <w:sz w:val="16"/>
          <w:szCs w:val="16"/>
          <w:lang w:val="es-UY"/>
        </w:rPr>
        <w:t xml:space="preserve">Tribunal Constitucional Federal Alemán. Beschluss vom 24. marzo 2021 - 1 BvR 2656/18 Sala Primera. 24 de marzo de 2021. Disponible en </w:t>
      </w:r>
      <w:hyperlink r:id="rId7" w:history="1">
        <w:r w:rsidRPr="00F36008">
          <w:rPr>
            <w:rStyle w:val="Hipervnculo"/>
            <w:rFonts w:ascii="Verdana" w:hAnsi="Verdana"/>
            <w:sz w:val="16"/>
            <w:szCs w:val="16"/>
            <w:lang w:val="es-UY"/>
          </w:rPr>
          <w:t>https://www.bundesverfassungsgericht.de/SharedDocs/Entscheidungen/ES/2021/03/rs20210324_1bvr265618es.html</w:t>
        </w:r>
      </w:hyperlink>
      <w:r w:rsidR="00094BFD">
        <w:rPr>
          <w:rFonts w:ascii="Verdana" w:hAnsi="Verdana"/>
          <w:sz w:val="16"/>
          <w:szCs w:val="16"/>
          <w:lang w:val="es-UY"/>
        </w:rPr>
        <w:t>,</w:t>
      </w:r>
      <w:r w:rsidR="00851290">
        <w:rPr>
          <w:rFonts w:ascii="Verdana" w:hAnsi="Verdana"/>
          <w:sz w:val="16"/>
          <w:szCs w:val="16"/>
          <w:lang w:val="es-UY"/>
        </w:rPr>
        <w:t xml:space="preserve"> </w:t>
      </w:r>
      <w:r w:rsidR="00094BFD">
        <w:rPr>
          <w:rFonts w:ascii="Verdana" w:hAnsi="Verdana"/>
          <w:sz w:val="16"/>
          <w:szCs w:val="16"/>
          <w:lang w:val="es-UY"/>
        </w:rPr>
        <w:t>p</w:t>
      </w:r>
      <w:r w:rsidRPr="00F36008">
        <w:rPr>
          <w:rFonts w:ascii="Verdana" w:hAnsi="Verdana"/>
          <w:sz w:val="16"/>
          <w:szCs w:val="16"/>
          <w:lang w:val="es-UY"/>
        </w:rPr>
        <w:t>árr. 200</w:t>
      </w:r>
      <w:r>
        <w:rPr>
          <w:rFonts w:ascii="Verdana" w:hAnsi="Verdana"/>
          <w:sz w:val="16"/>
          <w:szCs w:val="16"/>
          <w:lang w:val="es-UY"/>
        </w:rPr>
        <w:t>.</w:t>
      </w:r>
    </w:p>
  </w:footnote>
  <w:footnote w:id="126">
    <w:p w14:paraId="0065471E" w14:textId="521DBD39" w:rsidR="00194342" w:rsidRPr="005E63ED" w:rsidRDefault="00194342" w:rsidP="00B21C1F">
      <w:pPr>
        <w:pStyle w:val="Textonotapie"/>
        <w:spacing w:after="0" w:line="240" w:lineRule="auto"/>
        <w:jc w:val="both"/>
        <w:rPr>
          <w:rFonts w:ascii="Verdana" w:hAnsi="Verdana"/>
          <w:sz w:val="16"/>
          <w:szCs w:val="16"/>
          <w:lang w:val="es-ES"/>
        </w:rPr>
      </w:pPr>
      <w:r w:rsidRPr="00FB218C">
        <w:rPr>
          <w:rStyle w:val="Refdenotaalpie"/>
          <w:rFonts w:ascii="Verdana" w:hAnsi="Verdana"/>
          <w:sz w:val="16"/>
          <w:szCs w:val="16"/>
        </w:rPr>
        <w:footnoteRef/>
      </w:r>
      <w:r w:rsidRPr="00FB218C">
        <w:rPr>
          <w:rFonts w:ascii="Verdana" w:hAnsi="Verdana"/>
          <w:sz w:val="16"/>
          <w:szCs w:val="16"/>
        </w:rPr>
        <w:t xml:space="preserve"> </w:t>
      </w:r>
      <w:r>
        <w:rPr>
          <w:rFonts w:ascii="Verdana" w:hAnsi="Verdana"/>
          <w:sz w:val="16"/>
          <w:szCs w:val="16"/>
        </w:rPr>
        <w:tab/>
      </w:r>
      <w:r w:rsidRPr="00FB218C">
        <w:rPr>
          <w:rFonts w:ascii="Verdana" w:hAnsi="Verdana"/>
          <w:sz w:val="16"/>
          <w:szCs w:val="16"/>
        </w:rPr>
        <w:t>También el “Informe Bruntland” refería a esta cuestión, señalando que: “los aspectos sistemáticos no solo actúan al interior, sino también entre naciones. Los límites nacionales se han vuelto tan porosos que las distinciones tradicionales entre asuntos locales, nacionales e internacionales se han vuelto borrosos. Los ecosistemas no respetan los límites nacionales”</w:t>
      </w:r>
      <w:r w:rsidRPr="00FB218C">
        <w:rPr>
          <w:rFonts w:ascii="Verdana" w:hAnsi="Verdana"/>
          <w:sz w:val="16"/>
          <w:szCs w:val="16"/>
          <w:lang w:val="es-UY"/>
        </w:rPr>
        <w:t xml:space="preserve">. </w:t>
      </w:r>
      <w:r w:rsidRPr="00FB218C">
        <w:rPr>
          <w:rFonts w:ascii="Verdana" w:hAnsi="Verdana"/>
          <w:sz w:val="16"/>
          <w:szCs w:val="16"/>
        </w:rPr>
        <w:t>En igual sentido se encuentran los Principios 5, 6 y 7 de la Declaración de Río y el Principio 24 de la Declaración de Estocolmo de 1972</w:t>
      </w:r>
      <w:r>
        <w:rPr>
          <w:rFonts w:ascii="Verdana" w:hAnsi="Verdana"/>
          <w:sz w:val="16"/>
          <w:szCs w:val="16"/>
          <w:lang w:val="es-ES"/>
        </w:rPr>
        <w:t>.</w:t>
      </w:r>
    </w:p>
  </w:footnote>
  <w:footnote w:id="127">
    <w:p w14:paraId="5B1B6F5A" w14:textId="0A17B22B" w:rsidR="00194342" w:rsidRPr="00F36008" w:rsidRDefault="00194342" w:rsidP="00B21C1F">
      <w:pPr>
        <w:pStyle w:val="Textonotapie"/>
        <w:spacing w:after="0" w:line="240" w:lineRule="auto"/>
        <w:jc w:val="both"/>
        <w:rPr>
          <w:rFonts w:ascii="Verdana" w:hAnsi="Verdana"/>
          <w:sz w:val="16"/>
          <w:szCs w:val="16"/>
          <w:lang w:val="es-UY"/>
        </w:rPr>
      </w:pPr>
      <w:r w:rsidRPr="00F36008">
        <w:rPr>
          <w:rStyle w:val="Refdenotaalpie"/>
          <w:rFonts w:ascii="Verdana" w:hAnsi="Verdana"/>
          <w:sz w:val="16"/>
          <w:szCs w:val="16"/>
        </w:rPr>
        <w:footnoteRef/>
      </w:r>
      <w:r w:rsidRPr="00F36008">
        <w:rPr>
          <w:rFonts w:ascii="Verdana" w:hAnsi="Verdana"/>
          <w:sz w:val="16"/>
          <w:szCs w:val="16"/>
        </w:rPr>
        <w:t xml:space="preserve"> </w:t>
      </w:r>
      <w:r>
        <w:rPr>
          <w:rFonts w:ascii="Verdana" w:hAnsi="Verdana"/>
          <w:sz w:val="16"/>
          <w:szCs w:val="16"/>
        </w:rPr>
        <w:tab/>
      </w:r>
      <w:r w:rsidR="00851290" w:rsidRPr="009C2C1B">
        <w:rPr>
          <w:rFonts w:ascii="Verdana" w:hAnsi="Verdana"/>
          <w:i/>
          <w:iCs/>
          <w:sz w:val="16"/>
          <w:szCs w:val="16"/>
          <w:lang w:val="es-UY"/>
        </w:rPr>
        <w:t>Véase</w:t>
      </w:r>
      <w:r w:rsidR="00851290" w:rsidRPr="00851290">
        <w:rPr>
          <w:rFonts w:ascii="Verdana" w:hAnsi="Verdana"/>
          <w:sz w:val="16"/>
          <w:szCs w:val="16"/>
          <w:lang w:val="es-UY"/>
        </w:rPr>
        <w:t>, párrafo</w:t>
      </w:r>
      <w:r w:rsidRPr="009C2C1B">
        <w:rPr>
          <w:rFonts w:ascii="Verdana" w:hAnsi="Verdana"/>
          <w:sz w:val="16"/>
          <w:szCs w:val="16"/>
          <w:lang w:val="es-UY"/>
        </w:rPr>
        <w:t>12</w:t>
      </w:r>
      <w:r w:rsidR="00851290" w:rsidRPr="009C2C1B">
        <w:rPr>
          <w:rFonts w:ascii="Verdana" w:hAnsi="Verdana"/>
          <w:sz w:val="16"/>
          <w:szCs w:val="16"/>
          <w:lang w:val="es-UY"/>
        </w:rPr>
        <w:t>8</w:t>
      </w:r>
      <w:r w:rsidRPr="009C2C1B">
        <w:rPr>
          <w:rFonts w:ascii="Verdana" w:hAnsi="Verdana"/>
          <w:sz w:val="16"/>
          <w:szCs w:val="16"/>
          <w:lang w:val="es-UY"/>
        </w:rPr>
        <w:t xml:space="preserve"> de la sentencia</w:t>
      </w:r>
      <w:r w:rsidRPr="00851290">
        <w:rPr>
          <w:rFonts w:ascii="Verdana" w:hAnsi="Verdana"/>
          <w:sz w:val="16"/>
          <w:szCs w:val="16"/>
          <w:lang w:val="es-UY"/>
        </w:rPr>
        <w:t>.</w:t>
      </w:r>
    </w:p>
  </w:footnote>
  <w:footnote w:id="128">
    <w:p w14:paraId="468BA8A3" w14:textId="5483CF69" w:rsidR="00194342" w:rsidRPr="00851290" w:rsidRDefault="00194342" w:rsidP="00B21C1F">
      <w:pPr>
        <w:pStyle w:val="Textonotapie"/>
        <w:spacing w:after="0" w:line="240" w:lineRule="auto"/>
        <w:jc w:val="both"/>
        <w:rPr>
          <w:rFonts w:ascii="Verdana" w:hAnsi="Verdana"/>
          <w:sz w:val="16"/>
          <w:szCs w:val="16"/>
          <w:lang w:val="es-UY"/>
        </w:rPr>
      </w:pPr>
      <w:r w:rsidRPr="00F36008">
        <w:rPr>
          <w:rStyle w:val="Refdenotaalpie"/>
          <w:rFonts w:ascii="Verdana" w:hAnsi="Verdana"/>
          <w:sz w:val="16"/>
          <w:szCs w:val="16"/>
        </w:rPr>
        <w:footnoteRef/>
      </w:r>
      <w:r w:rsidRPr="00F36008">
        <w:rPr>
          <w:rFonts w:ascii="Verdana" w:hAnsi="Verdana"/>
          <w:sz w:val="16"/>
          <w:szCs w:val="16"/>
        </w:rPr>
        <w:t xml:space="preserve"> </w:t>
      </w:r>
      <w:r>
        <w:rPr>
          <w:rFonts w:ascii="Verdana" w:hAnsi="Verdana"/>
          <w:sz w:val="16"/>
          <w:szCs w:val="16"/>
        </w:rPr>
        <w:tab/>
      </w:r>
      <w:r w:rsidR="00851290" w:rsidRPr="00851290">
        <w:rPr>
          <w:rFonts w:ascii="Verdana" w:hAnsi="Verdana"/>
          <w:i/>
          <w:iCs/>
          <w:sz w:val="16"/>
          <w:szCs w:val="16"/>
          <w:lang w:val="es-UY"/>
        </w:rPr>
        <w:t>Véase</w:t>
      </w:r>
      <w:r w:rsidR="00851290" w:rsidRPr="00851290">
        <w:rPr>
          <w:rFonts w:ascii="Verdana" w:hAnsi="Verdana"/>
          <w:sz w:val="16"/>
          <w:szCs w:val="16"/>
          <w:lang w:val="es-UY"/>
        </w:rPr>
        <w:t>, párrafo</w:t>
      </w:r>
      <w:r w:rsidR="00851290" w:rsidRPr="00851290" w:rsidDel="00851290">
        <w:rPr>
          <w:rFonts w:ascii="Verdana" w:hAnsi="Verdana"/>
          <w:i/>
          <w:iCs/>
          <w:sz w:val="16"/>
          <w:szCs w:val="16"/>
          <w:lang w:val="es-UY"/>
        </w:rPr>
        <w:t xml:space="preserve"> </w:t>
      </w:r>
      <w:r w:rsidRPr="009C2C1B">
        <w:rPr>
          <w:rFonts w:ascii="Verdana" w:hAnsi="Verdana"/>
          <w:sz w:val="16"/>
          <w:szCs w:val="16"/>
          <w:lang w:val="es-UY"/>
        </w:rPr>
        <w:t>14</w:t>
      </w:r>
      <w:r w:rsidR="00851290">
        <w:rPr>
          <w:rFonts w:ascii="Verdana" w:hAnsi="Verdana"/>
          <w:sz w:val="16"/>
          <w:szCs w:val="16"/>
          <w:lang w:val="es-UY"/>
        </w:rPr>
        <w:t>1</w:t>
      </w:r>
      <w:r w:rsidRPr="009C2C1B">
        <w:rPr>
          <w:rFonts w:ascii="Verdana" w:hAnsi="Verdana"/>
          <w:sz w:val="16"/>
          <w:szCs w:val="16"/>
          <w:lang w:val="es-UY"/>
        </w:rPr>
        <w:t xml:space="preserve"> de la sentencia</w:t>
      </w:r>
      <w:r w:rsidRPr="00851290">
        <w:rPr>
          <w:rFonts w:ascii="Verdana" w:hAnsi="Verdana"/>
          <w:sz w:val="16"/>
          <w:szCs w:val="16"/>
          <w:lang w:val="es-UY"/>
        </w:rPr>
        <w:t>.</w:t>
      </w:r>
    </w:p>
  </w:footnote>
  <w:footnote w:id="129">
    <w:p w14:paraId="76D13FFE" w14:textId="35865FB6" w:rsidR="00194342" w:rsidRPr="00F36008" w:rsidRDefault="00194342" w:rsidP="00B21C1F">
      <w:pPr>
        <w:pStyle w:val="Textonotapie"/>
        <w:spacing w:after="0" w:line="240" w:lineRule="auto"/>
        <w:jc w:val="both"/>
        <w:rPr>
          <w:rFonts w:ascii="Verdana" w:hAnsi="Verdana"/>
          <w:sz w:val="16"/>
          <w:szCs w:val="16"/>
          <w:lang w:val="es-UY"/>
        </w:rPr>
      </w:pPr>
      <w:r w:rsidRPr="00851290">
        <w:rPr>
          <w:rStyle w:val="Refdenotaalpie"/>
          <w:rFonts w:ascii="Verdana" w:hAnsi="Verdana"/>
          <w:sz w:val="16"/>
          <w:szCs w:val="16"/>
        </w:rPr>
        <w:footnoteRef/>
      </w:r>
      <w:r w:rsidRPr="00851290">
        <w:rPr>
          <w:rFonts w:ascii="Verdana" w:hAnsi="Verdana"/>
          <w:sz w:val="16"/>
          <w:szCs w:val="16"/>
        </w:rPr>
        <w:t xml:space="preserve"> </w:t>
      </w:r>
      <w:r w:rsidRPr="00851290">
        <w:rPr>
          <w:rFonts w:ascii="Verdana" w:hAnsi="Verdana"/>
          <w:sz w:val="16"/>
          <w:szCs w:val="16"/>
        </w:rPr>
        <w:tab/>
      </w:r>
      <w:r w:rsidR="00851290" w:rsidRPr="00851290">
        <w:rPr>
          <w:rFonts w:ascii="Verdana" w:hAnsi="Verdana"/>
          <w:i/>
          <w:iCs/>
          <w:sz w:val="16"/>
          <w:szCs w:val="16"/>
          <w:lang w:val="es-UY"/>
        </w:rPr>
        <w:t>Véase</w:t>
      </w:r>
      <w:r w:rsidR="00851290" w:rsidRPr="00851290">
        <w:rPr>
          <w:rFonts w:ascii="Verdana" w:hAnsi="Verdana"/>
          <w:sz w:val="16"/>
          <w:szCs w:val="16"/>
          <w:lang w:val="es-UY"/>
        </w:rPr>
        <w:t>, párrafo</w:t>
      </w:r>
      <w:r w:rsidR="00851290" w:rsidRPr="00851290" w:rsidDel="00851290">
        <w:rPr>
          <w:rFonts w:ascii="Verdana" w:hAnsi="Verdana"/>
          <w:i/>
          <w:iCs/>
          <w:sz w:val="16"/>
          <w:szCs w:val="16"/>
          <w:lang w:val="es-UY"/>
        </w:rPr>
        <w:t xml:space="preserve"> </w:t>
      </w:r>
      <w:r w:rsidRPr="009C2C1B">
        <w:rPr>
          <w:rFonts w:ascii="Verdana" w:hAnsi="Verdana"/>
          <w:sz w:val="16"/>
          <w:szCs w:val="16"/>
          <w:lang w:val="es-UY"/>
        </w:rPr>
        <w:t>14</w:t>
      </w:r>
      <w:r w:rsidR="00851290">
        <w:rPr>
          <w:rFonts w:ascii="Verdana" w:hAnsi="Verdana"/>
          <w:sz w:val="16"/>
          <w:szCs w:val="16"/>
          <w:lang w:val="es-UY"/>
        </w:rPr>
        <w:t>2</w:t>
      </w:r>
      <w:r w:rsidRPr="009C2C1B">
        <w:rPr>
          <w:rFonts w:ascii="Verdana" w:hAnsi="Verdana"/>
          <w:sz w:val="16"/>
          <w:szCs w:val="16"/>
          <w:lang w:val="es-UY"/>
        </w:rPr>
        <w:t xml:space="preserve"> de la sentencia</w:t>
      </w:r>
      <w:r w:rsidRPr="00F36008">
        <w:rPr>
          <w:rFonts w:ascii="Verdana" w:hAnsi="Verdana"/>
          <w:sz w:val="16"/>
          <w:szCs w:val="16"/>
          <w:lang w:val="es-UY"/>
        </w:rPr>
        <w:t>.</w:t>
      </w:r>
    </w:p>
  </w:footnote>
  <w:footnote w:id="130">
    <w:p w14:paraId="5490D7C0" w14:textId="677EB558" w:rsidR="00194342" w:rsidRPr="003C655B" w:rsidRDefault="00194342" w:rsidP="00B21C1F">
      <w:pPr>
        <w:pStyle w:val="Textonotapie"/>
        <w:spacing w:after="0" w:line="240" w:lineRule="auto"/>
        <w:jc w:val="both"/>
        <w:rPr>
          <w:lang w:val="es-UY"/>
        </w:rPr>
      </w:pPr>
      <w:r w:rsidRPr="00F36008">
        <w:rPr>
          <w:rStyle w:val="Refdenotaalpie"/>
          <w:rFonts w:ascii="Verdana" w:hAnsi="Verdana"/>
          <w:sz w:val="16"/>
          <w:szCs w:val="16"/>
        </w:rPr>
        <w:footnoteRef/>
      </w:r>
      <w:r w:rsidRPr="00F36008">
        <w:rPr>
          <w:rFonts w:ascii="Verdana" w:hAnsi="Verdana"/>
          <w:sz w:val="16"/>
          <w:szCs w:val="16"/>
        </w:rPr>
        <w:t xml:space="preserve"> </w:t>
      </w:r>
      <w:r>
        <w:rPr>
          <w:rFonts w:ascii="Verdana" w:hAnsi="Verdana"/>
          <w:sz w:val="16"/>
          <w:szCs w:val="16"/>
        </w:rPr>
        <w:tab/>
      </w:r>
      <w:r w:rsidRPr="005911C7">
        <w:rPr>
          <w:rFonts w:ascii="Verdana" w:hAnsi="Verdana"/>
          <w:i/>
          <w:iCs/>
          <w:sz w:val="16"/>
          <w:szCs w:val="16"/>
          <w:lang w:val="es-UY"/>
        </w:rPr>
        <w:t>Cfr.</w:t>
      </w:r>
      <w:r w:rsidRPr="00F36008">
        <w:rPr>
          <w:rFonts w:ascii="Verdana" w:hAnsi="Verdana"/>
          <w:sz w:val="16"/>
          <w:szCs w:val="16"/>
          <w:lang w:val="es-UY"/>
        </w:rPr>
        <w:t xml:space="preserve"> </w:t>
      </w:r>
      <w:r w:rsidRPr="00F36008">
        <w:rPr>
          <w:rFonts w:ascii="Verdana" w:hAnsi="Verdana"/>
          <w:sz w:val="16"/>
          <w:szCs w:val="16"/>
        </w:rPr>
        <w:t>Opinión Consultiva OC-23/17</w:t>
      </w:r>
      <w:r w:rsidR="006F41DC">
        <w:rPr>
          <w:rFonts w:ascii="Verdana" w:hAnsi="Verdana"/>
          <w:sz w:val="16"/>
          <w:szCs w:val="16"/>
          <w:lang w:val="es-UY"/>
        </w:rPr>
        <w:t>,</w:t>
      </w:r>
      <w:r w:rsidR="00851290">
        <w:rPr>
          <w:rFonts w:ascii="Verdana" w:hAnsi="Verdana"/>
          <w:sz w:val="16"/>
          <w:szCs w:val="16"/>
          <w:lang w:val="es-UY"/>
        </w:rPr>
        <w:t xml:space="preserve"> </w:t>
      </w:r>
      <w:r w:rsidR="00851290">
        <w:rPr>
          <w:rFonts w:ascii="Verdana" w:hAnsi="Verdana"/>
          <w:i/>
          <w:iCs/>
          <w:sz w:val="16"/>
          <w:szCs w:val="16"/>
          <w:lang w:val="es-UY"/>
        </w:rPr>
        <w:t>supra,</w:t>
      </w:r>
      <w:r>
        <w:rPr>
          <w:rFonts w:ascii="Verdana" w:hAnsi="Verdana"/>
          <w:sz w:val="16"/>
          <w:szCs w:val="16"/>
          <w:lang w:val="es-UY"/>
        </w:rPr>
        <w:t xml:space="preserve"> </w:t>
      </w:r>
      <w:r w:rsidR="006F41DC">
        <w:rPr>
          <w:rFonts w:ascii="Verdana" w:hAnsi="Verdana"/>
          <w:sz w:val="16"/>
          <w:szCs w:val="16"/>
          <w:lang w:val="es-UY"/>
        </w:rPr>
        <w:t>p</w:t>
      </w:r>
      <w:r w:rsidRPr="00F36008">
        <w:rPr>
          <w:rFonts w:ascii="Verdana" w:hAnsi="Verdana"/>
          <w:sz w:val="16"/>
          <w:szCs w:val="16"/>
          <w:lang w:val="es-UY"/>
        </w:rPr>
        <w:t>árr. 59</w:t>
      </w:r>
      <w:r>
        <w:rPr>
          <w:rFonts w:ascii="Verdana" w:hAnsi="Verdana"/>
          <w:sz w:val="16"/>
          <w:szCs w:val="16"/>
          <w:lang w:val="es-UY"/>
        </w:rPr>
        <w:t>.</w:t>
      </w:r>
    </w:p>
  </w:footnote>
  <w:footnote w:id="131">
    <w:p w14:paraId="53B1D0EB" w14:textId="6D72EECE" w:rsidR="00194342" w:rsidRPr="00F36008" w:rsidRDefault="00194342" w:rsidP="00B21C1F">
      <w:pPr>
        <w:pStyle w:val="Textonotapie"/>
        <w:spacing w:after="0" w:line="240" w:lineRule="auto"/>
        <w:jc w:val="both"/>
        <w:rPr>
          <w:rFonts w:ascii="Verdana" w:hAnsi="Verdana"/>
          <w:sz w:val="16"/>
          <w:szCs w:val="16"/>
          <w:lang w:val="es-UY"/>
        </w:rPr>
      </w:pPr>
      <w:r w:rsidRPr="00F36008">
        <w:rPr>
          <w:rStyle w:val="Refdenotaalpie"/>
          <w:rFonts w:ascii="Verdana" w:hAnsi="Verdana"/>
          <w:sz w:val="16"/>
          <w:szCs w:val="16"/>
        </w:rPr>
        <w:footnoteRef/>
      </w:r>
      <w:r w:rsidRPr="00F36008">
        <w:rPr>
          <w:rFonts w:ascii="Verdana" w:hAnsi="Verdana"/>
          <w:sz w:val="16"/>
          <w:szCs w:val="16"/>
        </w:rPr>
        <w:t xml:space="preserve"> </w:t>
      </w:r>
      <w:r>
        <w:rPr>
          <w:rFonts w:ascii="Verdana" w:hAnsi="Verdana"/>
          <w:sz w:val="16"/>
          <w:szCs w:val="16"/>
        </w:rPr>
        <w:tab/>
      </w:r>
      <w:r w:rsidRPr="00F36008">
        <w:rPr>
          <w:rFonts w:ascii="Verdana" w:hAnsi="Verdana"/>
          <w:sz w:val="16"/>
          <w:szCs w:val="16"/>
          <w:lang w:val="es-UY"/>
        </w:rPr>
        <w:t>En este sentido, Asamblea General de Naciones Unidas. Resolución A/68/322. La solidaridad intergeneracional y las necesidades de las generaciones futuras. Informe del Secretario General. 15 de agosto de 2013</w:t>
      </w:r>
      <w:r w:rsidR="00851290">
        <w:rPr>
          <w:rFonts w:ascii="Verdana" w:hAnsi="Verdana"/>
          <w:sz w:val="16"/>
          <w:szCs w:val="16"/>
          <w:lang w:val="es-UY"/>
        </w:rPr>
        <w:t>, p</w:t>
      </w:r>
      <w:r w:rsidRPr="00F36008">
        <w:rPr>
          <w:rFonts w:ascii="Verdana" w:hAnsi="Verdana"/>
          <w:sz w:val="16"/>
          <w:szCs w:val="16"/>
          <w:lang w:val="es-UY"/>
        </w:rPr>
        <w:t>árr. 13</w:t>
      </w:r>
      <w:r>
        <w:rPr>
          <w:rFonts w:ascii="Verdana" w:hAnsi="Verdana"/>
          <w:sz w:val="16"/>
          <w:szCs w:val="16"/>
          <w:lang w:val="es-UY"/>
        </w:rPr>
        <w:t>.</w:t>
      </w:r>
    </w:p>
  </w:footnote>
  <w:footnote w:id="132">
    <w:p w14:paraId="67A89DFC" w14:textId="1C60D99C" w:rsidR="00194342" w:rsidRPr="00DC6A61" w:rsidRDefault="00194342" w:rsidP="00B21C1F">
      <w:pPr>
        <w:pStyle w:val="Textonotapie"/>
        <w:spacing w:after="0" w:line="240" w:lineRule="auto"/>
        <w:jc w:val="both"/>
        <w:rPr>
          <w:lang w:val="es-UY"/>
        </w:rPr>
      </w:pPr>
      <w:r w:rsidRPr="00F36008">
        <w:rPr>
          <w:rStyle w:val="Refdenotaalpie"/>
          <w:rFonts w:ascii="Verdana" w:hAnsi="Verdana"/>
          <w:sz w:val="16"/>
          <w:szCs w:val="16"/>
        </w:rPr>
        <w:footnoteRef/>
      </w:r>
      <w:r w:rsidRPr="00F36008">
        <w:rPr>
          <w:rFonts w:ascii="Verdana" w:hAnsi="Verdana"/>
          <w:sz w:val="16"/>
          <w:szCs w:val="16"/>
        </w:rPr>
        <w:t xml:space="preserve"> </w:t>
      </w:r>
      <w:r>
        <w:rPr>
          <w:rFonts w:ascii="Verdana" w:hAnsi="Verdana"/>
          <w:sz w:val="16"/>
          <w:szCs w:val="16"/>
        </w:rPr>
        <w:tab/>
      </w:r>
      <w:r w:rsidRPr="00F36008">
        <w:rPr>
          <w:rFonts w:ascii="Verdana" w:hAnsi="Verdana"/>
          <w:sz w:val="16"/>
          <w:szCs w:val="16"/>
          <w:lang w:val="es-UY"/>
        </w:rPr>
        <w:t>UNESCO. Declaración sobre las responsabilidades de las generaciones actuales para con las generaciones futuras. 12 de noviembre de 1997.</w:t>
      </w:r>
    </w:p>
  </w:footnote>
  <w:footnote w:id="133">
    <w:p w14:paraId="4AC1CBDA" w14:textId="3F9C917C" w:rsidR="00194342" w:rsidRPr="00FD291A" w:rsidRDefault="00194342" w:rsidP="00B21C1F">
      <w:pPr>
        <w:pStyle w:val="Textonotapie"/>
        <w:spacing w:after="0" w:line="240" w:lineRule="auto"/>
        <w:jc w:val="both"/>
        <w:rPr>
          <w:rFonts w:ascii="Verdana" w:hAnsi="Verdana"/>
          <w:sz w:val="16"/>
          <w:szCs w:val="16"/>
          <w:lang w:val="es-UY"/>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FD291A">
        <w:rPr>
          <w:rFonts w:ascii="Verdana" w:hAnsi="Verdana"/>
          <w:sz w:val="16"/>
          <w:szCs w:val="16"/>
        </w:rPr>
        <w:t xml:space="preserve">Principios de Maastricht sobre los derechos humanos de las generaciones futuras. Adoptados el 13 de julio de 2023. Disponible en </w:t>
      </w:r>
      <w:hyperlink r:id="rId8" w:history="1">
        <w:r w:rsidRPr="00FD291A">
          <w:rPr>
            <w:rStyle w:val="Hipervnculo"/>
            <w:rFonts w:ascii="Verdana" w:hAnsi="Verdana"/>
            <w:sz w:val="16"/>
            <w:szCs w:val="16"/>
          </w:rPr>
          <w:t>https://drive.google.com/file/d/11PM0Wc8emhVG3y2lEfTqj7a-H4TVm0f0/view</w:t>
        </w:r>
      </w:hyperlink>
    </w:p>
  </w:footnote>
  <w:footnote w:id="134">
    <w:p w14:paraId="07B634FA" w14:textId="02B85938" w:rsidR="00194342" w:rsidRPr="00FD291A" w:rsidRDefault="00194342" w:rsidP="00B21C1F">
      <w:pPr>
        <w:pStyle w:val="Textonotapie"/>
        <w:spacing w:after="0" w:line="240" w:lineRule="auto"/>
        <w:jc w:val="both"/>
        <w:rPr>
          <w:rFonts w:ascii="Verdana" w:hAnsi="Verdana"/>
          <w:sz w:val="16"/>
          <w:szCs w:val="16"/>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FD291A">
        <w:rPr>
          <w:rFonts w:ascii="Verdana" w:hAnsi="Verdana"/>
          <w:sz w:val="16"/>
          <w:szCs w:val="16"/>
        </w:rPr>
        <w:t xml:space="preserve">El Principio 2 dispone que: “Los recursos naturales de la Tierra, incluidos el aire, el agua, la tierra, la flora y la fauna y especialmente muestras representativas de los ecosistemas naturales deben preservarse </w:t>
      </w:r>
      <w:r w:rsidRPr="008E72FA">
        <w:rPr>
          <w:rFonts w:ascii="Verdana" w:hAnsi="Verdana"/>
          <w:sz w:val="16"/>
          <w:szCs w:val="16"/>
        </w:rPr>
        <w:t xml:space="preserve">en </w:t>
      </w:r>
      <w:r w:rsidRPr="00FE3F8C">
        <w:rPr>
          <w:rFonts w:ascii="Verdana" w:hAnsi="Verdana"/>
          <w:sz w:val="16"/>
          <w:szCs w:val="16"/>
        </w:rPr>
        <w:t>beneficio de las generaciones presentes y futuras mediante una cuidadosa planificación u ordenación, según convenga</w:t>
      </w:r>
      <w:r w:rsidRPr="008E72FA">
        <w:rPr>
          <w:rFonts w:ascii="Verdana" w:hAnsi="Verdana"/>
          <w:sz w:val="16"/>
          <w:szCs w:val="16"/>
        </w:rPr>
        <w:t>”</w:t>
      </w:r>
      <w:r w:rsidRPr="00FD291A">
        <w:rPr>
          <w:rFonts w:ascii="Verdana" w:hAnsi="Verdana"/>
          <w:sz w:val="16"/>
          <w:szCs w:val="16"/>
        </w:rPr>
        <w:t>; así como el Principio 5 que prevé: “Los recursos no renovables de la Tierra deben emplearse de forma que se evite el peligro de su futuro agotamiento y se asegure que toda la humanidad comparte los beneficios de tal empleo”.</w:t>
      </w:r>
    </w:p>
  </w:footnote>
  <w:footnote w:id="135">
    <w:p w14:paraId="741B18EF" w14:textId="754378CE" w:rsidR="00194342" w:rsidRPr="00FE3F8C" w:rsidRDefault="00194342" w:rsidP="00B21C1F">
      <w:pPr>
        <w:pStyle w:val="Textonotapie"/>
        <w:spacing w:after="0" w:line="240" w:lineRule="auto"/>
        <w:jc w:val="both"/>
        <w:rPr>
          <w:rFonts w:ascii="Verdana" w:hAnsi="Verdana"/>
          <w:sz w:val="16"/>
          <w:szCs w:val="16"/>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FD291A">
        <w:rPr>
          <w:rFonts w:ascii="Verdana" w:hAnsi="Verdana"/>
          <w:sz w:val="16"/>
          <w:szCs w:val="16"/>
        </w:rPr>
        <w:t xml:space="preserve">En su preámbulo se lee: “Reconociendo que la fauna y flora silvestres, en sus numerosas, bellas y variadas formas constituyen un elemento irremplazable de los sistemas naturales de la tierra, </w:t>
      </w:r>
      <w:r w:rsidRPr="00FD291A">
        <w:rPr>
          <w:rFonts w:ascii="Verdana" w:hAnsi="Verdana"/>
          <w:sz w:val="16"/>
          <w:szCs w:val="16"/>
          <w:u w:val="single"/>
        </w:rPr>
        <w:t xml:space="preserve">tienen que ser </w:t>
      </w:r>
      <w:r w:rsidRPr="00FE3F8C">
        <w:rPr>
          <w:rFonts w:ascii="Verdana" w:hAnsi="Verdana"/>
          <w:sz w:val="16"/>
          <w:szCs w:val="16"/>
        </w:rPr>
        <w:t>protegidas para esta generación y las venideras”.</w:t>
      </w:r>
    </w:p>
  </w:footnote>
  <w:footnote w:id="136">
    <w:p w14:paraId="4E9878EB" w14:textId="387E7146" w:rsidR="00194342" w:rsidRPr="00FD291A" w:rsidRDefault="00194342" w:rsidP="00B21C1F">
      <w:pPr>
        <w:pStyle w:val="Textonotapie"/>
        <w:spacing w:after="0" w:line="240" w:lineRule="auto"/>
        <w:jc w:val="both"/>
        <w:rPr>
          <w:rFonts w:ascii="Verdana" w:hAnsi="Verdana"/>
          <w:sz w:val="16"/>
          <w:szCs w:val="16"/>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FD291A">
        <w:rPr>
          <w:rFonts w:ascii="Verdana" w:hAnsi="Verdana"/>
          <w:sz w:val="16"/>
          <w:szCs w:val="16"/>
        </w:rPr>
        <w:t xml:space="preserve">Artículo 4: Cada uno de los Estados Partes en la presente Convención reconoce que </w:t>
      </w:r>
      <w:r w:rsidRPr="00FE3F8C">
        <w:rPr>
          <w:rFonts w:ascii="Verdana" w:hAnsi="Verdana"/>
          <w:sz w:val="16"/>
          <w:szCs w:val="16"/>
        </w:rPr>
        <w:t>la obligación de identificar, proteger, conservar, rehabilitar y transmitir a las generaciones futuras el patrimonio cultural y natural situado en su territorio, le incumbe primordialmente.</w:t>
      </w:r>
      <w:r w:rsidRPr="00FD291A">
        <w:rPr>
          <w:rFonts w:ascii="Verdana" w:hAnsi="Verdana"/>
          <w:sz w:val="16"/>
          <w:szCs w:val="16"/>
        </w:rPr>
        <w:t xml:space="preserve"> Procurará actuar con ese objeto por su propio esfuerzo y hasta el máximo de los recursos de que disponga, y llegado el caso, mediante la asistencia y la cooperación internacionales de que se pueda beneficiar, sobre todo en los aspectos financiero, artístico, científico y técnico.</w:t>
      </w:r>
    </w:p>
  </w:footnote>
  <w:footnote w:id="137">
    <w:p w14:paraId="4A639F05" w14:textId="65CC4D57" w:rsidR="00194342" w:rsidRPr="00FD291A" w:rsidRDefault="00194342" w:rsidP="00B21C1F">
      <w:pPr>
        <w:pStyle w:val="Textonotapie"/>
        <w:spacing w:after="0" w:line="240" w:lineRule="auto"/>
        <w:jc w:val="both"/>
        <w:rPr>
          <w:rFonts w:ascii="Verdana" w:hAnsi="Verdana"/>
          <w:sz w:val="16"/>
          <w:szCs w:val="16"/>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FD291A">
        <w:rPr>
          <w:rFonts w:ascii="Verdana" w:hAnsi="Verdana"/>
          <w:sz w:val="16"/>
          <w:szCs w:val="16"/>
        </w:rPr>
        <w:t>Artículo 3: El derecho al desarrollo debe ejercerse en forma tal que responda equitativamente a las necesidades de desarrollo y ambientales de las generaciones presentes y futuras.</w:t>
      </w:r>
    </w:p>
  </w:footnote>
  <w:footnote w:id="138">
    <w:p w14:paraId="6AD85FE0" w14:textId="17731629" w:rsidR="00194342" w:rsidRPr="00FD291A" w:rsidRDefault="00194342" w:rsidP="00B21C1F">
      <w:pPr>
        <w:pStyle w:val="Textonotapie"/>
        <w:spacing w:after="0" w:line="240" w:lineRule="auto"/>
        <w:jc w:val="both"/>
        <w:rPr>
          <w:rFonts w:ascii="Verdana" w:hAnsi="Verdana"/>
          <w:sz w:val="16"/>
          <w:szCs w:val="16"/>
          <w:lang w:val="es-UY"/>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FD291A">
        <w:rPr>
          <w:rFonts w:ascii="Verdana" w:hAnsi="Verdana"/>
          <w:sz w:val="16"/>
          <w:szCs w:val="16"/>
        </w:rPr>
        <w:t xml:space="preserve">Asamblea General de Naciones Unidas. Resolución 3281 (XXIX) de 12 de diciembre de 1974. Carta de Derechos y Deberes Económicos de los Estados. Artículo 30: </w:t>
      </w:r>
      <w:r w:rsidR="005D065B">
        <w:rPr>
          <w:rFonts w:ascii="Verdana" w:hAnsi="Verdana"/>
          <w:sz w:val="16"/>
          <w:szCs w:val="16"/>
          <w:lang w:val="es-ES"/>
        </w:rPr>
        <w:t>“L</w:t>
      </w:r>
      <w:r w:rsidRPr="00FE3F8C">
        <w:rPr>
          <w:rFonts w:ascii="Verdana" w:hAnsi="Verdana"/>
          <w:sz w:val="16"/>
          <w:szCs w:val="16"/>
        </w:rPr>
        <w:t>a protección, la preservación y el mejoramiento del medio ambiente para las generaciones presentes y futuras y es responsabilidad de todos los estados. Todos los estados deben tratar de establecer sus propias políticas ambientales y de desarrollo de conformidad con esa responsabilidad</w:t>
      </w:r>
      <w:r w:rsidRPr="00FD291A">
        <w:rPr>
          <w:rFonts w:ascii="Verdana" w:hAnsi="Verdana"/>
          <w:sz w:val="16"/>
          <w:szCs w:val="16"/>
        </w:rPr>
        <w:t xml:space="preserve">. Las políticas ambientales de todos los estados deben promover y </w:t>
      </w:r>
      <w:r w:rsidRPr="008E72FA">
        <w:rPr>
          <w:rFonts w:ascii="Verdana" w:hAnsi="Verdana"/>
          <w:sz w:val="16"/>
          <w:szCs w:val="16"/>
        </w:rPr>
        <w:t xml:space="preserve">no afectar </w:t>
      </w:r>
      <w:r w:rsidRPr="00FE3F8C">
        <w:rPr>
          <w:rFonts w:ascii="Verdana" w:hAnsi="Verdana"/>
          <w:sz w:val="16"/>
          <w:szCs w:val="16"/>
        </w:rPr>
        <w:t>adversamente y la actual y futuro potencial de desarrollo</w:t>
      </w:r>
      <w:r w:rsidRPr="00FD291A">
        <w:rPr>
          <w:rFonts w:ascii="Verdana" w:hAnsi="Verdana"/>
          <w:sz w:val="16"/>
          <w:szCs w:val="16"/>
        </w:rPr>
        <w:t xml:space="preserve"> de los países en desarrollo. Todos los Estados tienen la responsabilidad de valer porque los actividades realizadas dentro de su jurisdicción o bajo su control no causen daños al medio ambiente de otros estados o de las zonas situadas fuera de los límites de la jurisdicción nacional. Todos los estados deben cooperar en la elaboración de normas y reglamentaciones internacionales en la esfera del medio ambiente</w:t>
      </w:r>
      <w:r w:rsidR="005D065B">
        <w:rPr>
          <w:rFonts w:ascii="Verdana" w:hAnsi="Verdana"/>
          <w:sz w:val="16"/>
          <w:szCs w:val="16"/>
          <w:lang w:val="es-ES"/>
        </w:rPr>
        <w:t>”</w:t>
      </w:r>
      <w:r>
        <w:rPr>
          <w:rFonts w:ascii="Verdana" w:hAnsi="Verdana"/>
          <w:sz w:val="16"/>
          <w:szCs w:val="16"/>
          <w:lang w:val="es-UY"/>
        </w:rPr>
        <w:t>.</w:t>
      </w:r>
    </w:p>
  </w:footnote>
  <w:footnote w:id="139">
    <w:p w14:paraId="2C2C6251" w14:textId="3BE57D7F" w:rsidR="00194342" w:rsidRPr="00C86F76" w:rsidRDefault="00194342" w:rsidP="00B21C1F">
      <w:pPr>
        <w:pStyle w:val="Textonotapie"/>
        <w:spacing w:after="0" w:line="240" w:lineRule="auto"/>
        <w:jc w:val="both"/>
        <w:rPr>
          <w:rFonts w:ascii="Verdana" w:hAnsi="Verdana"/>
          <w:sz w:val="16"/>
          <w:szCs w:val="16"/>
          <w:lang w:val="es-ES"/>
        </w:rPr>
      </w:pPr>
      <w:r w:rsidRPr="0025291A">
        <w:rPr>
          <w:rStyle w:val="Refdenotaalpie"/>
          <w:rFonts w:ascii="Verdana" w:hAnsi="Verdana"/>
          <w:sz w:val="16"/>
          <w:szCs w:val="16"/>
        </w:rPr>
        <w:footnoteRef/>
      </w:r>
      <w:r w:rsidRPr="0025291A">
        <w:rPr>
          <w:rFonts w:ascii="Verdana" w:hAnsi="Verdana"/>
          <w:sz w:val="16"/>
          <w:szCs w:val="16"/>
        </w:rPr>
        <w:t xml:space="preserve"> </w:t>
      </w:r>
      <w:r w:rsidRPr="0025291A">
        <w:rPr>
          <w:rFonts w:ascii="Verdana" w:hAnsi="Verdana"/>
          <w:sz w:val="16"/>
          <w:szCs w:val="16"/>
        </w:rPr>
        <w:tab/>
      </w:r>
      <w:r w:rsidRPr="0025291A">
        <w:rPr>
          <w:rFonts w:ascii="Verdana" w:hAnsi="Verdana"/>
          <w:sz w:val="16"/>
          <w:szCs w:val="16"/>
          <w:lang w:val="es-ES"/>
        </w:rPr>
        <w:t>Por ejemplo, el Consejo Constitucional de Francia hace referencia a las generaciones futuras en la sentencia de 12 de agosto de 2022 (sentencia no. 2022-843 DC), sobre la Ley de presupuestos rectificativa para 2022.</w:t>
      </w:r>
    </w:p>
  </w:footnote>
  <w:footnote w:id="140">
    <w:p w14:paraId="2D2A9CED" w14:textId="56D302F8" w:rsidR="00194342" w:rsidRPr="0025291A" w:rsidRDefault="00194342" w:rsidP="00B21C1F">
      <w:pPr>
        <w:pStyle w:val="Textonotapie"/>
        <w:spacing w:after="0" w:line="240" w:lineRule="auto"/>
        <w:jc w:val="both"/>
        <w:rPr>
          <w:rFonts w:ascii="Verdana" w:hAnsi="Verdana"/>
          <w:sz w:val="16"/>
          <w:szCs w:val="16"/>
          <w:lang w:val="es-ES"/>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384DAA">
        <w:rPr>
          <w:rFonts w:ascii="Verdana" w:hAnsi="Verdana"/>
          <w:sz w:val="16"/>
          <w:szCs w:val="16"/>
        </w:rPr>
        <w:t>Tribunal Constitucional Federal Alemán Beschluss vom 24. marzo 2021 - 1 BvR 2656/18 Sala Primera.</w:t>
      </w:r>
      <w:r>
        <w:rPr>
          <w:rFonts w:ascii="Verdana" w:hAnsi="Verdana"/>
          <w:sz w:val="16"/>
          <w:szCs w:val="16"/>
          <w:lang w:val="es-ES"/>
        </w:rPr>
        <w:t xml:space="preserve"> </w:t>
      </w:r>
      <w:r w:rsidRPr="00384DAA">
        <w:rPr>
          <w:rFonts w:ascii="Verdana" w:hAnsi="Verdana"/>
          <w:sz w:val="16"/>
          <w:szCs w:val="16"/>
        </w:rPr>
        <w:t>24 de marzo de 2021. Disponible en</w:t>
      </w:r>
      <w:r>
        <w:rPr>
          <w:rFonts w:ascii="Verdana" w:hAnsi="Verdana"/>
          <w:sz w:val="16"/>
          <w:szCs w:val="16"/>
          <w:lang w:val="es-ES"/>
        </w:rPr>
        <w:t>:</w:t>
      </w:r>
    </w:p>
    <w:p w14:paraId="0196F473" w14:textId="52DAC0FD" w:rsidR="00194342" w:rsidRPr="00384DAA" w:rsidRDefault="00194342" w:rsidP="00B21C1F">
      <w:pPr>
        <w:pStyle w:val="Textonotapie"/>
        <w:spacing w:after="0" w:line="240" w:lineRule="auto"/>
        <w:jc w:val="both"/>
        <w:rPr>
          <w:rFonts w:ascii="Verdana" w:hAnsi="Verdana"/>
          <w:sz w:val="16"/>
          <w:szCs w:val="16"/>
        </w:rPr>
      </w:pPr>
      <w:r>
        <w:rPr>
          <w:rFonts w:ascii="Verdana" w:hAnsi="Verdana"/>
          <w:sz w:val="16"/>
          <w:szCs w:val="16"/>
          <w:lang w:val="es-UY"/>
        </w:rPr>
        <w:t xml:space="preserve"> </w:t>
      </w:r>
      <w:r w:rsidRPr="00384DAA">
        <w:rPr>
          <w:rFonts w:ascii="Verdana" w:hAnsi="Verdana"/>
          <w:sz w:val="16"/>
          <w:szCs w:val="16"/>
        </w:rPr>
        <w:t>https://www.bundesverfassungsgericht.de/SharedDocs/Entscheidungen/ES/2021/03/rs20210324_1bvr2</w:t>
      </w:r>
    </w:p>
    <w:p w14:paraId="172C8578" w14:textId="069777E6" w:rsidR="00194342" w:rsidRPr="005634DC" w:rsidRDefault="00194342" w:rsidP="00B21C1F">
      <w:pPr>
        <w:pStyle w:val="Textonotapie"/>
        <w:spacing w:after="0" w:line="240" w:lineRule="auto"/>
        <w:jc w:val="both"/>
        <w:rPr>
          <w:lang w:val="es-ES"/>
        </w:rPr>
      </w:pPr>
      <w:r w:rsidRPr="00384DAA">
        <w:rPr>
          <w:rFonts w:ascii="Verdana" w:hAnsi="Verdana"/>
          <w:sz w:val="16"/>
          <w:szCs w:val="16"/>
        </w:rPr>
        <w:t>65618es.html</w:t>
      </w:r>
      <w:r w:rsidR="005D065B">
        <w:rPr>
          <w:rFonts w:ascii="Verdana" w:hAnsi="Verdana"/>
          <w:sz w:val="16"/>
          <w:szCs w:val="16"/>
          <w:lang w:val="es-UY"/>
        </w:rPr>
        <w:t xml:space="preserve">, </w:t>
      </w:r>
      <w:r w:rsidR="005D065B">
        <w:rPr>
          <w:rFonts w:ascii="Verdana" w:hAnsi="Verdana"/>
          <w:sz w:val="16"/>
          <w:szCs w:val="16"/>
          <w:lang w:val="es-ES"/>
        </w:rPr>
        <w:t>p</w:t>
      </w:r>
      <w:r w:rsidRPr="00FD291A">
        <w:rPr>
          <w:rFonts w:ascii="Verdana" w:hAnsi="Verdana"/>
          <w:sz w:val="16"/>
          <w:szCs w:val="16"/>
        </w:rPr>
        <w:t>árr. 120</w:t>
      </w:r>
      <w:r>
        <w:rPr>
          <w:rFonts w:ascii="Verdana" w:hAnsi="Verdana"/>
          <w:sz w:val="16"/>
          <w:szCs w:val="16"/>
          <w:lang w:val="es-ES"/>
        </w:rPr>
        <w:t>.</w:t>
      </w:r>
    </w:p>
  </w:footnote>
  <w:footnote w:id="141">
    <w:p w14:paraId="1C8A229D" w14:textId="5592D747" w:rsidR="00194342" w:rsidRPr="009C2C1B" w:rsidRDefault="00194342" w:rsidP="00B21C1F">
      <w:pPr>
        <w:pStyle w:val="Textonotapie"/>
        <w:spacing w:after="0" w:line="240" w:lineRule="auto"/>
        <w:jc w:val="both"/>
        <w:rPr>
          <w:rFonts w:ascii="Verdana" w:hAnsi="Verdana"/>
          <w:sz w:val="16"/>
          <w:szCs w:val="16"/>
          <w:lang w:val="pt-BR"/>
        </w:rPr>
      </w:pPr>
      <w:r w:rsidRPr="001323AC">
        <w:rPr>
          <w:rStyle w:val="Refdenotaalpie"/>
          <w:rFonts w:ascii="Verdana" w:hAnsi="Verdana"/>
          <w:sz w:val="16"/>
          <w:szCs w:val="16"/>
        </w:rPr>
        <w:footnoteRef/>
      </w:r>
      <w:r w:rsidRPr="001323AC">
        <w:rPr>
          <w:rFonts w:ascii="Verdana" w:hAnsi="Verdana"/>
          <w:sz w:val="16"/>
          <w:szCs w:val="16"/>
        </w:rPr>
        <w:t xml:space="preserve"> </w:t>
      </w:r>
      <w:r>
        <w:rPr>
          <w:rFonts w:ascii="Verdana" w:hAnsi="Verdana"/>
          <w:sz w:val="16"/>
          <w:szCs w:val="16"/>
        </w:rPr>
        <w:tab/>
      </w:r>
      <w:r w:rsidR="0090594F">
        <w:rPr>
          <w:rFonts w:ascii="Verdana" w:hAnsi="Verdana"/>
          <w:i/>
          <w:sz w:val="16"/>
          <w:szCs w:val="16"/>
          <w:lang w:val="es-ES"/>
        </w:rPr>
        <w:t>Ibí</w:t>
      </w:r>
      <w:r w:rsidRPr="008E72FA">
        <w:rPr>
          <w:rFonts w:ascii="Verdana" w:hAnsi="Verdana"/>
          <w:i/>
          <w:sz w:val="16"/>
          <w:szCs w:val="16"/>
        </w:rPr>
        <w:t>dem</w:t>
      </w:r>
      <w:r>
        <w:rPr>
          <w:rFonts w:ascii="Verdana" w:hAnsi="Verdana"/>
          <w:sz w:val="16"/>
          <w:szCs w:val="16"/>
          <w:lang w:val="es-ES"/>
        </w:rPr>
        <w:t>,</w:t>
      </w:r>
      <w:r w:rsidRPr="001323AC">
        <w:rPr>
          <w:rFonts w:ascii="Verdana" w:hAnsi="Verdana"/>
          <w:sz w:val="16"/>
          <w:szCs w:val="16"/>
        </w:rPr>
        <w:t xml:space="preserve"> </w:t>
      </w:r>
      <w:r>
        <w:rPr>
          <w:rFonts w:ascii="Verdana" w:hAnsi="Verdana"/>
          <w:sz w:val="16"/>
          <w:szCs w:val="16"/>
          <w:lang w:val="es-ES"/>
        </w:rPr>
        <w:t>p</w:t>
      </w:r>
      <w:r w:rsidRPr="001323AC">
        <w:rPr>
          <w:rFonts w:ascii="Verdana" w:hAnsi="Verdana"/>
          <w:sz w:val="16"/>
          <w:szCs w:val="16"/>
        </w:rPr>
        <w:t>árr. 123</w:t>
      </w:r>
      <w:r w:rsidRPr="009C2C1B">
        <w:rPr>
          <w:rFonts w:ascii="Verdana" w:hAnsi="Verdana"/>
          <w:sz w:val="16"/>
          <w:szCs w:val="16"/>
          <w:lang w:val="pt-BR"/>
        </w:rPr>
        <w:t>.</w:t>
      </w:r>
    </w:p>
  </w:footnote>
  <w:footnote w:id="142">
    <w:p w14:paraId="7A5EA9B6" w14:textId="148836CF" w:rsidR="00194342" w:rsidRPr="009C2C1B" w:rsidRDefault="00194342" w:rsidP="00B21C1F">
      <w:pPr>
        <w:pStyle w:val="Textonotapie"/>
        <w:spacing w:after="0" w:line="240" w:lineRule="auto"/>
        <w:jc w:val="both"/>
        <w:rPr>
          <w:rFonts w:ascii="Verdana" w:hAnsi="Verdana"/>
          <w:sz w:val="16"/>
          <w:szCs w:val="16"/>
          <w:lang w:val="pt-BR"/>
        </w:rPr>
      </w:pPr>
      <w:r w:rsidRPr="001323AC">
        <w:rPr>
          <w:rStyle w:val="Refdenotaalpie"/>
          <w:rFonts w:ascii="Verdana" w:hAnsi="Verdana"/>
          <w:sz w:val="16"/>
          <w:szCs w:val="16"/>
        </w:rPr>
        <w:footnoteRef/>
      </w:r>
      <w:r w:rsidRPr="001323AC">
        <w:rPr>
          <w:rFonts w:ascii="Verdana" w:hAnsi="Verdana"/>
          <w:sz w:val="16"/>
          <w:szCs w:val="16"/>
        </w:rPr>
        <w:t xml:space="preserve"> </w:t>
      </w:r>
      <w:r>
        <w:rPr>
          <w:rFonts w:ascii="Verdana" w:hAnsi="Verdana"/>
          <w:sz w:val="16"/>
          <w:szCs w:val="16"/>
        </w:rPr>
        <w:tab/>
      </w:r>
      <w:r w:rsidR="0090594F" w:rsidRPr="009C2C1B">
        <w:rPr>
          <w:rFonts w:ascii="Verdana" w:hAnsi="Verdana"/>
          <w:i/>
          <w:sz w:val="16"/>
          <w:szCs w:val="16"/>
          <w:lang w:val="pt-BR"/>
        </w:rPr>
        <w:t>Ibí</w:t>
      </w:r>
      <w:r w:rsidRPr="008E72FA">
        <w:rPr>
          <w:rFonts w:ascii="Verdana" w:hAnsi="Verdana"/>
          <w:i/>
          <w:sz w:val="16"/>
          <w:szCs w:val="16"/>
        </w:rPr>
        <w:t>dem</w:t>
      </w:r>
      <w:r w:rsidRPr="009C2C1B">
        <w:rPr>
          <w:rFonts w:ascii="Verdana" w:hAnsi="Verdana"/>
          <w:sz w:val="16"/>
          <w:szCs w:val="16"/>
          <w:lang w:val="pt-BR"/>
        </w:rPr>
        <w:t>,</w:t>
      </w:r>
      <w:r w:rsidRPr="001323AC">
        <w:rPr>
          <w:rFonts w:ascii="Verdana" w:hAnsi="Verdana"/>
          <w:sz w:val="16"/>
          <w:szCs w:val="16"/>
        </w:rPr>
        <w:t xml:space="preserve"> </w:t>
      </w:r>
      <w:r w:rsidRPr="009C2C1B">
        <w:rPr>
          <w:rFonts w:ascii="Verdana" w:hAnsi="Verdana"/>
          <w:sz w:val="16"/>
          <w:szCs w:val="16"/>
          <w:lang w:val="pt-BR"/>
        </w:rPr>
        <w:t>p</w:t>
      </w:r>
      <w:r w:rsidRPr="001323AC">
        <w:rPr>
          <w:rFonts w:ascii="Verdana" w:hAnsi="Verdana"/>
          <w:sz w:val="16"/>
          <w:szCs w:val="16"/>
        </w:rPr>
        <w:t>árr. 130</w:t>
      </w:r>
      <w:r w:rsidRPr="009C2C1B">
        <w:rPr>
          <w:rFonts w:ascii="Verdana" w:hAnsi="Verdana"/>
          <w:sz w:val="16"/>
          <w:szCs w:val="16"/>
          <w:lang w:val="pt-BR"/>
        </w:rPr>
        <w:t>.</w:t>
      </w:r>
    </w:p>
  </w:footnote>
  <w:footnote w:id="143">
    <w:p w14:paraId="1CA1B2AA" w14:textId="642B10CE" w:rsidR="00194342" w:rsidRPr="009C2C1B" w:rsidRDefault="00194342" w:rsidP="00B21C1F">
      <w:pPr>
        <w:pStyle w:val="Textonotapie"/>
        <w:spacing w:after="0" w:line="240" w:lineRule="auto"/>
        <w:jc w:val="both"/>
        <w:rPr>
          <w:rFonts w:ascii="Verdana" w:hAnsi="Verdana"/>
          <w:sz w:val="16"/>
          <w:szCs w:val="16"/>
          <w:lang w:val="pt-BR"/>
        </w:rPr>
      </w:pPr>
      <w:r w:rsidRPr="001323AC">
        <w:rPr>
          <w:rStyle w:val="Refdenotaalpie"/>
          <w:rFonts w:ascii="Verdana" w:hAnsi="Verdana"/>
          <w:sz w:val="16"/>
          <w:szCs w:val="16"/>
        </w:rPr>
        <w:footnoteRef/>
      </w:r>
      <w:r w:rsidRPr="001323AC">
        <w:rPr>
          <w:rFonts w:ascii="Verdana" w:hAnsi="Verdana"/>
          <w:sz w:val="16"/>
          <w:szCs w:val="16"/>
        </w:rPr>
        <w:t xml:space="preserve"> </w:t>
      </w:r>
      <w:r>
        <w:rPr>
          <w:rFonts w:ascii="Verdana" w:hAnsi="Verdana"/>
          <w:sz w:val="16"/>
          <w:szCs w:val="16"/>
        </w:rPr>
        <w:tab/>
      </w:r>
      <w:r w:rsidR="0090594F" w:rsidRPr="009C2C1B">
        <w:rPr>
          <w:rFonts w:ascii="Verdana" w:hAnsi="Verdana"/>
          <w:i/>
          <w:sz w:val="16"/>
          <w:szCs w:val="16"/>
          <w:lang w:val="pt-BR"/>
        </w:rPr>
        <w:t>Ibí</w:t>
      </w:r>
      <w:r w:rsidRPr="008E72FA">
        <w:rPr>
          <w:rFonts w:ascii="Verdana" w:hAnsi="Verdana"/>
          <w:i/>
          <w:sz w:val="16"/>
          <w:szCs w:val="16"/>
        </w:rPr>
        <w:t>dem</w:t>
      </w:r>
      <w:r w:rsidRPr="009C2C1B">
        <w:rPr>
          <w:rFonts w:ascii="Verdana" w:hAnsi="Verdana"/>
          <w:sz w:val="16"/>
          <w:szCs w:val="16"/>
          <w:lang w:val="pt-BR"/>
        </w:rPr>
        <w:t>, p</w:t>
      </w:r>
      <w:r w:rsidRPr="001323AC">
        <w:rPr>
          <w:rFonts w:ascii="Verdana" w:hAnsi="Verdana"/>
          <w:sz w:val="16"/>
          <w:szCs w:val="16"/>
        </w:rPr>
        <w:t>árr.</w:t>
      </w:r>
      <w:r w:rsidRPr="009C2C1B">
        <w:rPr>
          <w:rFonts w:ascii="Verdana" w:hAnsi="Verdana"/>
          <w:sz w:val="16"/>
          <w:szCs w:val="16"/>
          <w:lang w:val="pt-BR"/>
        </w:rPr>
        <w:t xml:space="preserve"> </w:t>
      </w:r>
      <w:r w:rsidRPr="001323AC">
        <w:rPr>
          <w:rFonts w:ascii="Verdana" w:hAnsi="Verdana"/>
          <w:sz w:val="16"/>
          <w:szCs w:val="16"/>
        </w:rPr>
        <w:t>131</w:t>
      </w:r>
      <w:r w:rsidRPr="009C2C1B">
        <w:rPr>
          <w:rFonts w:ascii="Verdana" w:hAnsi="Verdana"/>
          <w:sz w:val="16"/>
          <w:szCs w:val="16"/>
          <w:lang w:val="pt-BR"/>
        </w:rPr>
        <w:t>.</w:t>
      </w:r>
    </w:p>
  </w:footnote>
  <w:footnote w:id="144">
    <w:p w14:paraId="024FEDDE" w14:textId="633D5F66" w:rsidR="00194342" w:rsidRPr="009C2C1B" w:rsidRDefault="00194342" w:rsidP="00B21C1F">
      <w:pPr>
        <w:pStyle w:val="Textonotapie"/>
        <w:spacing w:after="0" w:line="240" w:lineRule="auto"/>
        <w:jc w:val="both"/>
        <w:rPr>
          <w:lang w:val="pt-BR"/>
        </w:rPr>
      </w:pPr>
      <w:r w:rsidRPr="001323AC">
        <w:rPr>
          <w:rStyle w:val="Refdenotaalpie"/>
          <w:rFonts w:ascii="Verdana" w:hAnsi="Verdana"/>
          <w:sz w:val="16"/>
          <w:szCs w:val="16"/>
        </w:rPr>
        <w:footnoteRef/>
      </w:r>
      <w:r w:rsidRPr="001323AC">
        <w:rPr>
          <w:rFonts w:ascii="Verdana" w:hAnsi="Verdana"/>
          <w:sz w:val="16"/>
          <w:szCs w:val="16"/>
        </w:rPr>
        <w:t xml:space="preserve"> </w:t>
      </w:r>
      <w:r>
        <w:rPr>
          <w:rFonts w:ascii="Verdana" w:hAnsi="Verdana"/>
          <w:sz w:val="16"/>
          <w:szCs w:val="16"/>
        </w:rPr>
        <w:tab/>
      </w:r>
      <w:r w:rsidR="0090594F" w:rsidRPr="009C2C1B">
        <w:rPr>
          <w:rFonts w:ascii="Verdana" w:hAnsi="Verdana"/>
          <w:i/>
          <w:sz w:val="16"/>
          <w:szCs w:val="16"/>
          <w:lang w:val="pt-BR"/>
        </w:rPr>
        <w:t>Ibí</w:t>
      </w:r>
      <w:r w:rsidRPr="008E72FA">
        <w:rPr>
          <w:rFonts w:ascii="Verdana" w:hAnsi="Verdana"/>
          <w:i/>
          <w:sz w:val="16"/>
          <w:szCs w:val="16"/>
        </w:rPr>
        <w:t>dem</w:t>
      </w:r>
      <w:r w:rsidRPr="009C2C1B">
        <w:rPr>
          <w:rFonts w:ascii="Verdana" w:hAnsi="Verdana"/>
          <w:sz w:val="16"/>
          <w:szCs w:val="16"/>
          <w:lang w:val="pt-BR"/>
        </w:rPr>
        <w:t>, p</w:t>
      </w:r>
      <w:r w:rsidRPr="001323AC">
        <w:rPr>
          <w:rFonts w:ascii="Verdana" w:hAnsi="Verdana"/>
          <w:sz w:val="16"/>
          <w:szCs w:val="16"/>
        </w:rPr>
        <w:t>árr.</w:t>
      </w:r>
      <w:r w:rsidRPr="009C2C1B">
        <w:rPr>
          <w:rFonts w:ascii="Verdana" w:hAnsi="Verdana"/>
          <w:sz w:val="16"/>
          <w:szCs w:val="16"/>
          <w:lang w:val="pt-BR"/>
        </w:rPr>
        <w:t xml:space="preserve"> </w:t>
      </w:r>
      <w:r w:rsidRPr="001323AC">
        <w:rPr>
          <w:rFonts w:ascii="Verdana" w:hAnsi="Verdana"/>
          <w:sz w:val="16"/>
          <w:szCs w:val="16"/>
        </w:rPr>
        <w:t>146</w:t>
      </w:r>
      <w:r w:rsidRPr="009C2C1B">
        <w:rPr>
          <w:rFonts w:ascii="Verdana" w:hAnsi="Verdana"/>
          <w:sz w:val="16"/>
          <w:szCs w:val="16"/>
          <w:lang w:val="pt-BR"/>
        </w:rPr>
        <w:t>.</w:t>
      </w:r>
    </w:p>
  </w:footnote>
  <w:footnote w:id="145">
    <w:p w14:paraId="4F650369" w14:textId="0F560C28" w:rsidR="00194342" w:rsidRPr="00FD291A" w:rsidRDefault="00194342" w:rsidP="00B21C1F">
      <w:pPr>
        <w:pStyle w:val="Textonotapie"/>
        <w:spacing w:after="0" w:line="240" w:lineRule="auto"/>
        <w:jc w:val="both"/>
        <w:rPr>
          <w:rFonts w:ascii="Verdana" w:hAnsi="Verdana"/>
          <w:sz w:val="16"/>
          <w:szCs w:val="16"/>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0090594F" w:rsidRPr="009C2C1B">
        <w:rPr>
          <w:rFonts w:ascii="Verdana" w:hAnsi="Verdana"/>
          <w:i/>
          <w:sz w:val="16"/>
          <w:szCs w:val="16"/>
          <w:lang w:val="pt-BR"/>
        </w:rPr>
        <w:t>Ibí</w:t>
      </w:r>
      <w:r w:rsidRPr="008E72FA">
        <w:rPr>
          <w:rFonts w:ascii="Verdana" w:hAnsi="Verdana"/>
          <w:i/>
          <w:sz w:val="16"/>
          <w:szCs w:val="16"/>
        </w:rPr>
        <w:t>dem</w:t>
      </w:r>
      <w:r w:rsidRPr="009C2C1B">
        <w:rPr>
          <w:rFonts w:ascii="Verdana" w:hAnsi="Verdana"/>
          <w:sz w:val="16"/>
          <w:szCs w:val="16"/>
          <w:lang w:val="pt-BR"/>
        </w:rPr>
        <w:t>, p</w:t>
      </w:r>
      <w:r w:rsidRPr="00FD291A">
        <w:rPr>
          <w:rFonts w:ascii="Verdana" w:hAnsi="Verdana"/>
          <w:sz w:val="16"/>
          <w:szCs w:val="16"/>
        </w:rPr>
        <w:t>á</w:t>
      </w:r>
      <w:r w:rsidRPr="009C2C1B">
        <w:rPr>
          <w:rFonts w:ascii="Verdana" w:hAnsi="Verdana"/>
          <w:sz w:val="16"/>
          <w:szCs w:val="16"/>
          <w:lang w:val="pt-BR"/>
        </w:rPr>
        <w:t>rr. 192.</w:t>
      </w:r>
    </w:p>
  </w:footnote>
  <w:footnote w:id="146">
    <w:p w14:paraId="7140C1F7" w14:textId="2131917B" w:rsidR="00194342" w:rsidRPr="009C2C1B" w:rsidRDefault="00194342" w:rsidP="00B21C1F">
      <w:pPr>
        <w:pStyle w:val="Textonotapie"/>
        <w:spacing w:after="0" w:line="240" w:lineRule="auto"/>
        <w:jc w:val="both"/>
        <w:rPr>
          <w:lang w:val="pt-BR"/>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9C2C1B">
        <w:rPr>
          <w:rFonts w:ascii="Verdana" w:hAnsi="Verdana"/>
          <w:sz w:val="16"/>
          <w:szCs w:val="16"/>
          <w:lang w:val="pt-BR"/>
        </w:rPr>
        <w:t>Corte Constitucional de Colombia. Sentencia No. T-411/92 (acción de tutela) Ponente: Alejandro Martínez Caballero.</w:t>
      </w:r>
    </w:p>
  </w:footnote>
  <w:footnote w:id="147">
    <w:p w14:paraId="5C5E0402" w14:textId="2509BFAD" w:rsidR="00194342" w:rsidRPr="00FD291A" w:rsidRDefault="00194342" w:rsidP="00B21C1F">
      <w:pPr>
        <w:pStyle w:val="Textonotapie"/>
        <w:spacing w:after="0" w:line="240" w:lineRule="auto"/>
        <w:jc w:val="both"/>
        <w:rPr>
          <w:rFonts w:ascii="Verdana" w:hAnsi="Verdana"/>
          <w:sz w:val="16"/>
          <w:szCs w:val="16"/>
          <w:lang w:val="es-UY"/>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9C2C1B">
        <w:rPr>
          <w:rFonts w:ascii="Verdana" w:hAnsi="Verdana"/>
          <w:sz w:val="16"/>
          <w:szCs w:val="16"/>
          <w:lang w:val="pt-BR"/>
        </w:rPr>
        <w:t xml:space="preserve">Corte Suprema de Justicia de Colombia. </w:t>
      </w:r>
      <w:r w:rsidRPr="00FD291A">
        <w:rPr>
          <w:rFonts w:ascii="Verdana" w:hAnsi="Verdana"/>
          <w:sz w:val="16"/>
          <w:szCs w:val="16"/>
          <w:lang w:val="es-UY"/>
        </w:rPr>
        <w:t>Sala de Casación Civil. Sentencia STC 4360-2018. Ponente: Luis Armando Tolosa Villabona. 5 de abril de 2018.</w:t>
      </w:r>
    </w:p>
  </w:footnote>
  <w:footnote w:id="148">
    <w:p w14:paraId="1DCCB47E" w14:textId="2431AFCA" w:rsidR="00194342" w:rsidRPr="00FD291A" w:rsidRDefault="00194342" w:rsidP="00B21C1F">
      <w:pPr>
        <w:pStyle w:val="Textonotapie"/>
        <w:spacing w:after="0" w:line="240" w:lineRule="auto"/>
        <w:jc w:val="both"/>
        <w:rPr>
          <w:rFonts w:ascii="Verdana" w:hAnsi="Verdana"/>
          <w:sz w:val="16"/>
          <w:szCs w:val="16"/>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FD291A">
        <w:rPr>
          <w:rFonts w:ascii="Verdana" w:hAnsi="Verdana"/>
          <w:sz w:val="16"/>
          <w:szCs w:val="16"/>
          <w:lang w:val="es-UY"/>
        </w:rPr>
        <w:t>Asamblea General de Naciones Unidas. Resolución A/68/322. La solidaridad intergeneracional y las necesidades de las generaciones futuras. Informe del Secretario General. 15 de agosto de 2013. Párr. 8</w:t>
      </w:r>
      <w:r>
        <w:rPr>
          <w:rFonts w:ascii="Verdana" w:hAnsi="Verdana"/>
          <w:sz w:val="16"/>
          <w:szCs w:val="16"/>
          <w:lang w:val="es-UY"/>
        </w:rPr>
        <w:t>.</w:t>
      </w:r>
    </w:p>
  </w:footnote>
  <w:footnote w:id="149">
    <w:p w14:paraId="5135119A" w14:textId="1B7A00F1" w:rsidR="00194342" w:rsidRPr="0037465E" w:rsidRDefault="00194342" w:rsidP="00B21C1F">
      <w:pPr>
        <w:pStyle w:val="Textonotapie"/>
        <w:spacing w:after="0" w:line="240" w:lineRule="auto"/>
        <w:jc w:val="both"/>
        <w:rPr>
          <w:lang w:val="es-UY"/>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FD291A">
        <w:rPr>
          <w:rFonts w:ascii="Verdana" w:hAnsi="Verdana"/>
          <w:sz w:val="16"/>
          <w:szCs w:val="16"/>
          <w:lang w:val="es-UY"/>
        </w:rPr>
        <w:t>Asamblea General de Naciones Unidas. Resolución A/68/322. La solidaridad intergeneracional y las necesidades de las generaciones futuras. Informe del Secretario General. 15 de agosto de 2013. Párr. 21</w:t>
      </w:r>
    </w:p>
  </w:footnote>
  <w:footnote w:id="150">
    <w:p w14:paraId="7BF113E3" w14:textId="52C9D65E" w:rsidR="00194342" w:rsidRPr="008E72FA" w:rsidRDefault="00194342" w:rsidP="00B21C1F">
      <w:pPr>
        <w:pStyle w:val="Textonotapie"/>
        <w:spacing w:after="0" w:line="240" w:lineRule="auto"/>
        <w:jc w:val="both"/>
        <w:rPr>
          <w:rFonts w:ascii="Verdana" w:hAnsi="Verdana"/>
          <w:sz w:val="16"/>
          <w:szCs w:val="16"/>
          <w:lang w:val="fr-BE"/>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FD291A">
        <w:rPr>
          <w:rFonts w:ascii="Verdana" w:hAnsi="Verdana"/>
          <w:sz w:val="16"/>
          <w:szCs w:val="16"/>
          <w:lang w:val="es-UY"/>
        </w:rPr>
        <w:t xml:space="preserve">Asamblea General de Naciones Unidas. Resolución A/68/322. La solidaridad intergeneracional y las necesidades de las generaciones futuras. </w:t>
      </w:r>
      <w:r w:rsidRPr="008E72FA">
        <w:rPr>
          <w:rFonts w:ascii="Verdana" w:hAnsi="Verdana"/>
          <w:sz w:val="16"/>
          <w:szCs w:val="16"/>
          <w:lang w:val="fr-BE"/>
        </w:rPr>
        <w:t>Informe del Secretario General. 15 de agosto de 2013. Párr. 6.</w:t>
      </w:r>
    </w:p>
  </w:footnote>
  <w:footnote w:id="151">
    <w:p w14:paraId="6A94EE96" w14:textId="3600D7AF" w:rsidR="00194342" w:rsidRPr="008E72FA" w:rsidRDefault="00194342" w:rsidP="00B21C1F">
      <w:pPr>
        <w:pStyle w:val="Textonotapie"/>
        <w:spacing w:after="0" w:line="240" w:lineRule="auto"/>
        <w:jc w:val="both"/>
        <w:rPr>
          <w:lang w:val="fr-BE"/>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8E72FA">
        <w:rPr>
          <w:rFonts w:ascii="Verdana" w:hAnsi="Verdana"/>
          <w:sz w:val="16"/>
          <w:szCs w:val="16"/>
          <w:lang w:val="fr-BE"/>
        </w:rPr>
        <w:t xml:space="preserve">Djemni-Wagner, S., </w:t>
      </w:r>
      <w:r w:rsidRPr="008E72FA">
        <w:rPr>
          <w:rFonts w:ascii="Verdana" w:hAnsi="Verdana"/>
          <w:i/>
          <w:iCs/>
          <w:sz w:val="16"/>
          <w:szCs w:val="16"/>
          <w:lang w:val="fr-BE"/>
        </w:rPr>
        <w:t>Droit(s) des générations futures</w:t>
      </w:r>
      <w:r w:rsidRPr="008E72FA">
        <w:rPr>
          <w:rFonts w:ascii="Verdana" w:hAnsi="Verdana"/>
          <w:sz w:val="16"/>
          <w:szCs w:val="16"/>
          <w:lang w:val="fr-BE"/>
        </w:rPr>
        <w:t>, Instiut des Études et de la Recherche sur le Droit et la Justice, París, 2023, pp. 45-46.</w:t>
      </w:r>
    </w:p>
  </w:footnote>
  <w:footnote w:id="152">
    <w:p w14:paraId="6E91EBE6" w14:textId="2617CE3B" w:rsidR="00194342" w:rsidRPr="00FD291A" w:rsidRDefault="00194342" w:rsidP="00B21C1F">
      <w:pPr>
        <w:pStyle w:val="Textonotapie"/>
        <w:spacing w:after="0" w:line="240" w:lineRule="auto"/>
        <w:jc w:val="both"/>
        <w:rPr>
          <w:rFonts w:ascii="Verdana" w:hAnsi="Verdana"/>
          <w:sz w:val="16"/>
          <w:szCs w:val="16"/>
          <w:lang w:val="es-UY"/>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FD291A">
        <w:rPr>
          <w:rFonts w:ascii="Verdana" w:hAnsi="Verdana"/>
          <w:sz w:val="16"/>
          <w:szCs w:val="16"/>
          <w:lang w:val="es-UY"/>
        </w:rPr>
        <w:t>Asamblea General de Naciones Unidas. Resolución A/68/322. La solidaridad intergeneracional y las necesidades de las generaciones futuras. Informe del Secretario General. 15 de agosto de 2013. Párr. 16-17</w:t>
      </w:r>
      <w:r>
        <w:rPr>
          <w:rFonts w:ascii="Verdana" w:hAnsi="Verdana"/>
          <w:sz w:val="16"/>
          <w:szCs w:val="16"/>
          <w:lang w:val="es-UY"/>
        </w:rPr>
        <w:t>.</w:t>
      </w:r>
    </w:p>
  </w:footnote>
  <w:footnote w:id="153">
    <w:p w14:paraId="6F13B69C" w14:textId="6B7BD134" w:rsidR="00194342" w:rsidRPr="00FD291A" w:rsidRDefault="00194342" w:rsidP="00B21C1F">
      <w:pPr>
        <w:pStyle w:val="Textonotapie"/>
        <w:spacing w:after="0" w:line="240" w:lineRule="auto"/>
        <w:jc w:val="both"/>
        <w:rPr>
          <w:rFonts w:ascii="Verdana" w:hAnsi="Verdana"/>
          <w:sz w:val="16"/>
          <w:szCs w:val="16"/>
          <w:lang w:val="es-UY"/>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00920B50">
        <w:rPr>
          <w:rFonts w:ascii="Verdana" w:hAnsi="Verdana"/>
          <w:i/>
          <w:iCs/>
          <w:color w:val="000000" w:themeColor="text1"/>
          <w:sz w:val="16"/>
          <w:szCs w:val="16"/>
          <w:lang w:val="es-UY"/>
        </w:rPr>
        <w:t xml:space="preserve">Cfr. </w:t>
      </w:r>
      <w:r w:rsidRPr="00FD291A">
        <w:rPr>
          <w:rFonts w:ascii="Verdana" w:hAnsi="Verdana"/>
          <w:color w:val="000000" w:themeColor="text1"/>
          <w:sz w:val="16"/>
          <w:szCs w:val="16"/>
        </w:rPr>
        <w:t>Opinión Consultiva OC-23/17</w:t>
      </w:r>
      <w:r>
        <w:rPr>
          <w:rFonts w:ascii="Verdana" w:hAnsi="Verdana"/>
          <w:color w:val="000000" w:themeColor="text1"/>
          <w:sz w:val="16"/>
          <w:szCs w:val="16"/>
          <w:lang w:val="es-UY"/>
        </w:rPr>
        <w:t>,</w:t>
      </w:r>
      <w:r w:rsidR="00920B50">
        <w:rPr>
          <w:rFonts w:ascii="Verdana" w:hAnsi="Verdana"/>
          <w:color w:val="000000" w:themeColor="text1"/>
          <w:sz w:val="16"/>
          <w:szCs w:val="16"/>
          <w:lang w:val="es-UY"/>
        </w:rPr>
        <w:t xml:space="preserve"> </w:t>
      </w:r>
      <w:r w:rsidR="00920B50">
        <w:rPr>
          <w:rFonts w:ascii="Verdana" w:hAnsi="Verdana"/>
          <w:i/>
          <w:iCs/>
          <w:color w:val="000000" w:themeColor="text1"/>
          <w:sz w:val="16"/>
          <w:szCs w:val="16"/>
          <w:lang w:val="es-UY"/>
        </w:rPr>
        <w:t>supra,</w:t>
      </w:r>
      <w:r>
        <w:rPr>
          <w:rFonts w:ascii="Verdana" w:hAnsi="Verdana"/>
          <w:color w:val="000000" w:themeColor="text1"/>
          <w:sz w:val="16"/>
          <w:szCs w:val="16"/>
          <w:lang w:val="es-UY"/>
        </w:rPr>
        <w:t xml:space="preserve"> p</w:t>
      </w:r>
      <w:r w:rsidRPr="00FD291A">
        <w:rPr>
          <w:rFonts w:ascii="Verdana" w:hAnsi="Verdana"/>
          <w:sz w:val="16"/>
          <w:szCs w:val="16"/>
          <w:lang w:val="es-UY"/>
        </w:rPr>
        <w:t>árr</w:t>
      </w:r>
      <w:r w:rsidR="00920B50">
        <w:rPr>
          <w:rFonts w:ascii="Verdana" w:hAnsi="Verdana"/>
          <w:sz w:val="16"/>
          <w:szCs w:val="16"/>
          <w:lang w:val="es-UY"/>
        </w:rPr>
        <w:t>s</w:t>
      </w:r>
      <w:r w:rsidRPr="00FD291A">
        <w:rPr>
          <w:rFonts w:ascii="Verdana" w:hAnsi="Verdana"/>
          <w:sz w:val="16"/>
          <w:szCs w:val="16"/>
          <w:lang w:val="es-UY"/>
        </w:rPr>
        <w:t>. 175-186</w:t>
      </w:r>
      <w:r>
        <w:rPr>
          <w:rFonts w:ascii="Verdana" w:hAnsi="Verdana"/>
          <w:sz w:val="16"/>
          <w:szCs w:val="16"/>
          <w:lang w:val="es-UY"/>
        </w:rPr>
        <w:t>.</w:t>
      </w:r>
    </w:p>
  </w:footnote>
  <w:footnote w:id="154">
    <w:p w14:paraId="625179C7" w14:textId="4472CF79" w:rsidR="00194342" w:rsidRPr="00FD291A" w:rsidRDefault="00194342" w:rsidP="00B21C1F">
      <w:pPr>
        <w:pStyle w:val="Textonotapie"/>
        <w:spacing w:after="0" w:line="240" w:lineRule="auto"/>
        <w:jc w:val="both"/>
        <w:rPr>
          <w:rFonts w:ascii="Verdana" w:hAnsi="Verdana"/>
          <w:sz w:val="16"/>
          <w:szCs w:val="16"/>
          <w:lang w:val="es-UY"/>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9C2C1B">
        <w:rPr>
          <w:rFonts w:ascii="Verdana" w:hAnsi="Verdana"/>
          <w:sz w:val="16"/>
          <w:szCs w:val="16"/>
          <w:lang w:val="es-UY"/>
        </w:rPr>
        <w:t xml:space="preserve">Corte Suprema de Justicia de Costa Rica. </w:t>
      </w:r>
      <w:r w:rsidRPr="00FD291A">
        <w:rPr>
          <w:rFonts w:ascii="Verdana" w:hAnsi="Verdana"/>
          <w:sz w:val="16"/>
          <w:szCs w:val="16"/>
          <w:lang w:val="es-UY"/>
        </w:rPr>
        <w:t>Sala Constitucional. Sentencia 5893 de 27 de octubre de 1995; Corte Suprema de Justicia de la Nación Argentina</w:t>
      </w:r>
      <w:r w:rsidR="00FE7BF7">
        <w:rPr>
          <w:rFonts w:ascii="Verdana" w:hAnsi="Verdana"/>
          <w:sz w:val="16"/>
          <w:szCs w:val="16"/>
          <w:lang w:val="es-UY"/>
        </w:rPr>
        <w:t>.</w:t>
      </w:r>
      <w:r w:rsidRPr="00FD291A">
        <w:rPr>
          <w:rFonts w:ascii="Verdana" w:hAnsi="Verdana"/>
          <w:sz w:val="16"/>
          <w:szCs w:val="16"/>
          <w:lang w:val="es-UY"/>
        </w:rPr>
        <w:t xml:space="preserve"> Sentencia de 11 de julio de 2019 “Majul, Julio Jesús c/Municipalidad de Pueblo General Belgrano y otros s/ acción de amparo ambiental</w:t>
      </w:r>
      <w:r w:rsidR="00FE7BF7">
        <w:rPr>
          <w:rFonts w:ascii="Verdana" w:hAnsi="Verdana"/>
          <w:sz w:val="16"/>
          <w:szCs w:val="16"/>
          <w:lang w:val="es-UY"/>
        </w:rPr>
        <w:t>”</w:t>
      </w:r>
      <w:r w:rsidRPr="00FD291A">
        <w:rPr>
          <w:rFonts w:ascii="Verdana" w:hAnsi="Verdana"/>
          <w:sz w:val="16"/>
          <w:szCs w:val="16"/>
          <w:lang w:val="es-UY"/>
        </w:rPr>
        <w:t>. 714/2016/RH1; Corte Constitucional de Colombia, Sentencia C-449 de 2015; entre otros.</w:t>
      </w:r>
    </w:p>
  </w:footnote>
  <w:footnote w:id="155">
    <w:p w14:paraId="6AB9B1EA" w14:textId="6BB87BC4" w:rsidR="00194342" w:rsidRPr="008C7ACC" w:rsidRDefault="00194342" w:rsidP="00B21C1F">
      <w:pPr>
        <w:pStyle w:val="Textonotapie"/>
        <w:spacing w:after="0" w:line="240" w:lineRule="auto"/>
        <w:jc w:val="both"/>
        <w:rPr>
          <w:lang w:val="es-UY"/>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FD291A">
        <w:rPr>
          <w:rFonts w:ascii="Verdana" w:hAnsi="Verdana"/>
          <w:sz w:val="16"/>
          <w:szCs w:val="16"/>
          <w:lang w:val="es-UY"/>
        </w:rPr>
        <w:t>Bryner, N.</w:t>
      </w:r>
      <w:r>
        <w:rPr>
          <w:rFonts w:ascii="Verdana" w:hAnsi="Verdana"/>
          <w:sz w:val="16"/>
          <w:szCs w:val="16"/>
          <w:lang w:val="es-UY"/>
        </w:rPr>
        <w:t>, “</w:t>
      </w:r>
      <w:r w:rsidRPr="00FD291A">
        <w:rPr>
          <w:rFonts w:ascii="Verdana" w:hAnsi="Verdana"/>
          <w:sz w:val="16"/>
          <w:szCs w:val="16"/>
          <w:lang w:val="es-UY"/>
        </w:rPr>
        <w:t xml:space="preserve">Aplicación del principio </w:t>
      </w:r>
      <w:r w:rsidR="00FE7BF7">
        <w:rPr>
          <w:rFonts w:ascii="Verdana" w:hAnsi="Verdana"/>
          <w:sz w:val="16"/>
          <w:szCs w:val="16"/>
          <w:lang w:val="es-UY"/>
        </w:rPr>
        <w:t>‘</w:t>
      </w:r>
      <w:r w:rsidRPr="00FD291A">
        <w:rPr>
          <w:rFonts w:ascii="Verdana" w:hAnsi="Verdana"/>
          <w:sz w:val="16"/>
          <w:szCs w:val="16"/>
          <w:lang w:val="es-UY"/>
        </w:rPr>
        <w:t>In dubio pro natura</w:t>
      </w:r>
      <w:r w:rsidR="00FE7BF7">
        <w:rPr>
          <w:rFonts w:ascii="Verdana" w:hAnsi="Verdana"/>
          <w:sz w:val="16"/>
          <w:szCs w:val="16"/>
          <w:lang w:val="es-UY"/>
        </w:rPr>
        <w:t>’</w:t>
      </w:r>
      <w:r w:rsidRPr="00FD291A">
        <w:rPr>
          <w:rFonts w:ascii="Verdana" w:hAnsi="Verdana"/>
          <w:sz w:val="16"/>
          <w:szCs w:val="16"/>
          <w:lang w:val="es-UY"/>
        </w:rPr>
        <w:t xml:space="preserve"> para la aplicación y cumplimiento de la legislación ambiental</w:t>
      </w:r>
      <w:r>
        <w:rPr>
          <w:rFonts w:ascii="Verdana" w:hAnsi="Verdana"/>
          <w:sz w:val="16"/>
          <w:szCs w:val="16"/>
          <w:lang w:val="es-UY"/>
        </w:rPr>
        <w:t>”,</w:t>
      </w:r>
      <w:r w:rsidRPr="00FD291A">
        <w:rPr>
          <w:rFonts w:ascii="Verdana" w:hAnsi="Verdana"/>
          <w:sz w:val="16"/>
          <w:szCs w:val="16"/>
          <w:lang w:val="es-UY"/>
        </w:rPr>
        <w:t xml:space="preserve"> </w:t>
      </w:r>
      <w:r>
        <w:rPr>
          <w:rFonts w:ascii="Verdana" w:hAnsi="Verdana"/>
          <w:sz w:val="16"/>
          <w:szCs w:val="16"/>
          <w:lang w:val="es-UY"/>
        </w:rPr>
        <w:t>e</w:t>
      </w:r>
      <w:r w:rsidRPr="00FD291A">
        <w:rPr>
          <w:rFonts w:ascii="Verdana" w:hAnsi="Verdana"/>
          <w:sz w:val="16"/>
          <w:szCs w:val="16"/>
          <w:lang w:val="es-UY"/>
        </w:rPr>
        <w:t xml:space="preserve">n </w:t>
      </w:r>
      <w:r w:rsidRPr="00E72A88">
        <w:rPr>
          <w:rFonts w:ascii="Verdana" w:hAnsi="Verdana"/>
          <w:i/>
          <w:iCs/>
          <w:sz w:val="16"/>
          <w:szCs w:val="16"/>
          <w:lang w:val="es-UY"/>
        </w:rPr>
        <w:t>Congreso Interamericano sobre Estado de Derecho en Materia Ambiental</w:t>
      </w:r>
      <w:r w:rsidRPr="00FD291A">
        <w:rPr>
          <w:rFonts w:ascii="Verdana" w:hAnsi="Verdana"/>
          <w:sz w:val="16"/>
          <w:szCs w:val="16"/>
          <w:lang w:val="es-UY"/>
        </w:rPr>
        <w:t>, OEA, 2015, pp. 175-176</w:t>
      </w:r>
      <w:r>
        <w:rPr>
          <w:rFonts w:ascii="Verdana" w:hAnsi="Verdana"/>
          <w:sz w:val="16"/>
          <w:szCs w:val="16"/>
          <w:lang w:val="es-UY"/>
        </w:rPr>
        <w:t>.</w:t>
      </w:r>
    </w:p>
  </w:footnote>
  <w:footnote w:id="156">
    <w:p w14:paraId="70EB4A0D" w14:textId="7C4039A6" w:rsidR="00194342" w:rsidRPr="00FD291A" w:rsidRDefault="00194342" w:rsidP="00B21C1F">
      <w:pPr>
        <w:pStyle w:val="Textonotapie"/>
        <w:spacing w:after="0" w:line="240" w:lineRule="auto"/>
        <w:jc w:val="both"/>
        <w:rPr>
          <w:rFonts w:ascii="Verdana" w:hAnsi="Verdana"/>
          <w:sz w:val="16"/>
          <w:szCs w:val="16"/>
          <w:lang w:val="es-UY"/>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0097638C">
        <w:rPr>
          <w:rFonts w:ascii="Verdana" w:hAnsi="Verdana"/>
          <w:i/>
          <w:iCs/>
          <w:color w:val="000000" w:themeColor="text1"/>
          <w:sz w:val="16"/>
          <w:szCs w:val="16"/>
          <w:lang w:val="es-UY"/>
        </w:rPr>
        <w:t>Cfr</w:t>
      </w:r>
      <w:r w:rsidR="006D4CB9">
        <w:rPr>
          <w:rFonts w:ascii="Verdana" w:hAnsi="Verdana"/>
          <w:color w:val="000000" w:themeColor="text1"/>
          <w:sz w:val="16"/>
          <w:szCs w:val="16"/>
          <w:lang w:val="es-UY"/>
        </w:rPr>
        <w:t xml:space="preserve">. </w:t>
      </w:r>
      <w:r w:rsidRPr="00FD291A">
        <w:rPr>
          <w:rFonts w:ascii="Verdana" w:hAnsi="Verdana"/>
          <w:color w:val="000000" w:themeColor="text1"/>
          <w:sz w:val="16"/>
          <w:szCs w:val="16"/>
        </w:rPr>
        <w:t>Opinión Consultiva OC-23/17</w:t>
      </w:r>
      <w:r>
        <w:rPr>
          <w:rFonts w:ascii="Verdana" w:hAnsi="Verdana"/>
          <w:color w:val="000000" w:themeColor="text1"/>
          <w:sz w:val="16"/>
          <w:szCs w:val="16"/>
          <w:lang w:val="es-UY"/>
        </w:rPr>
        <w:t>,</w:t>
      </w:r>
      <w:r w:rsidR="0097638C">
        <w:rPr>
          <w:rFonts w:ascii="Verdana" w:hAnsi="Verdana"/>
          <w:color w:val="000000" w:themeColor="text1"/>
          <w:sz w:val="16"/>
          <w:szCs w:val="16"/>
          <w:lang w:val="es-UY"/>
        </w:rPr>
        <w:t xml:space="preserve"> </w:t>
      </w:r>
      <w:r w:rsidR="0097638C">
        <w:rPr>
          <w:rFonts w:ascii="Verdana" w:hAnsi="Verdana"/>
          <w:i/>
          <w:iCs/>
          <w:color w:val="000000" w:themeColor="text1"/>
          <w:sz w:val="16"/>
          <w:szCs w:val="16"/>
          <w:lang w:val="es-UY"/>
        </w:rPr>
        <w:t>supra,</w:t>
      </w:r>
      <w:r>
        <w:rPr>
          <w:rFonts w:ascii="Verdana" w:hAnsi="Verdana"/>
          <w:color w:val="000000" w:themeColor="text1"/>
          <w:sz w:val="16"/>
          <w:szCs w:val="16"/>
          <w:lang w:val="es-UY"/>
        </w:rPr>
        <w:t xml:space="preserve"> p</w:t>
      </w:r>
      <w:r w:rsidRPr="00FD291A">
        <w:rPr>
          <w:rFonts w:ascii="Verdana" w:hAnsi="Verdana"/>
          <w:color w:val="000000" w:themeColor="text1"/>
          <w:sz w:val="16"/>
          <w:szCs w:val="16"/>
          <w:lang w:val="es-UY"/>
        </w:rPr>
        <w:t xml:space="preserve">árr. 62. Véase también </w:t>
      </w:r>
      <w:r w:rsidRPr="008E72FA">
        <w:rPr>
          <w:rFonts w:ascii="Verdana" w:hAnsi="Verdana"/>
          <w:i/>
          <w:color w:val="000000" w:themeColor="text1"/>
          <w:sz w:val="16"/>
          <w:szCs w:val="16"/>
          <w:lang w:val="es-UY"/>
        </w:rPr>
        <w:t>Caso Comunidades Indígenas Miembros de la Asociación Lhaka Honhat (Nuestra Tierra) vs. Argentina</w:t>
      </w:r>
      <w:r w:rsidR="0097638C">
        <w:rPr>
          <w:rFonts w:ascii="Verdana" w:hAnsi="Verdana"/>
          <w:i/>
          <w:color w:val="000000" w:themeColor="text1"/>
          <w:sz w:val="16"/>
          <w:szCs w:val="16"/>
          <w:lang w:val="es-UY"/>
        </w:rPr>
        <w:t>, supra</w:t>
      </w:r>
      <w:r w:rsidR="006D4CB9">
        <w:rPr>
          <w:rFonts w:ascii="Verdana" w:hAnsi="Verdana"/>
          <w:color w:val="000000" w:themeColor="text1"/>
          <w:sz w:val="16"/>
          <w:szCs w:val="16"/>
          <w:lang w:val="es-UY"/>
        </w:rPr>
        <w:t>, p</w:t>
      </w:r>
      <w:r w:rsidRPr="00FD291A">
        <w:rPr>
          <w:rFonts w:ascii="Verdana" w:hAnsi="Verdana"/>
          <w:color w:val="000000" w:themeColor="text1"/>
          <w:sz w:val="16"/>
          <w:szCs w:val="16"/>
          <w:lang w:val="es-UY"/>
        </w:rPr>
        <w:t>árr. 203</w:t>
      </w:r>
      <w:r>
        <w:rPr>
          <w:rFonts w:ascii="Verdana" w:hAnsi="Verdana"/>
          <w:color w:val="000000" w:themeColor="text1"/>
          <w:sz w:val="16"/>
          <w:szCs w:val="16"/>
          <w:lang w:val="es-UY"/>
        </w:rPr>
        <w:t>.</w:t>
      </w:r>
    </w:p>
  </w:footnote>
  <w:footnote w:id="157">
    <w:p w14:paraId="0D84D215" w14:textId="60BB1B79" w:rsidR="00194342" w:rsidRPr="00D36649" w:rsidRDefault="00194342" w:rsidP="00B21C1F">
      <w:pPr>
        <w:pStyle w:val="Textonotapie"/>
        <w:spacing w:after="0" w:line="240" w:lineRule="auto"/>
        <w:jc w:val="both"/>
        <w:rPr>
          <w:lang w:val="es-UY"/>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FD291A">
        <w:rPr>
          <w:rFonts w:ascii="Verdana" w:hAnsi="Verdana"/>
          <w:sz w:val="16"/>
          <w:szCs w:val="16"/>
          <w:lang w:val="es-UY"/>
        </w:rPr>
        <w:t>Asamblea General de Naciones Unidas. Resolución A/68/322. La solidaridad intergeneracional y las necesidades de las generaciones futuras. Informe del Secretario General. 15 de agosto de 2013</w:t>
      </w:r>
      <w:r w:rsidR="0097638C">
        <w:rPr>
          <w:rFonts w:ascii="Verdana" w:hAnsi="Verdana"/>
          <w:sz w:val="16"/>
          <w:szCs w:val="16"/>
          <w:lang w:val="es-UY"/>
        </w:rPr>
        <w:t>, p</w:t>
      </w:r>
      <w:r w:rsidRPr="00FD291A">
        <w:rPr>
          <w:rFonts w:ascii="Verdana" w:hAnsi="Verdana"/>
          <w:sz w:val="16"/>
          <w:szCs w:val="16"/>
          <w:lang w:val="es-UY"/>
        </w:rPr>
        <w:t>árr. 5</w:t>
      </w:r>
    </w:p>
  </w:footnote>
  <w:footnote w:id="158">
    <w:p w14:paraId="3B7C1EC2" w14:textId="24865341" w:rsidR="00194342" w:rsidRPr="00FD291A" w:rsidRDefault="00194342" w:rsidP="00B21C1F">
      <w:pPr>
        <w:pStyle w:val="Textonotapie"/>
        <w:spacing w:after="0" w:line="240" w:lineRule="auto"/>
        <w:jc w:val="both"/>
        <w:rPr>
          <w:rFonts w:ascii="Verdana" w:hAnsi="Verdana"/>
          <w:sz w:val="16"/>
          <w:szCs w:val="16"/>
          <w:lang w:val="es-UY"/>
        </w:rPr>
      </w:pPr>
      <w:r w:rsidRPr="00FD291A">
        <w:rPr>
          <w:rStyle w:val="Refdenotaalpie"/>
          <w:rFonts w:ascii="Verdana" w:hAnsi="Verdana"/>
          <w:sz w:val="16"/>
          <w:szCs w:val="16"/>
        </w:rPr>
        <w:footnoteRef/>
      </w:r>
      <w:r w:rsidRPr="00FD291A">
        <w:rPr>
          <w:rFonts w:ascii="Verdana" w:hAnsi="Verdana"/>
          <w:sz w:val="16"/>
          <w:szCs w:val="16"/>
        </w:rPr>
        <w:t xml:space="preserve"> </w:t>
      </w:r>
      <w:r>
        <w:rPr>
          <w:rFonts w:ascii="Verdana" w:hAnsi="Verdana"/>
          <w:sz w:val="16"/>
          <w:szCs w:val="16"/>
        </w:rPr>
        <w:tab/>
      </w:r>
      <w:r w:rsidRPr="00FD291A">
        <w:rPr>
          <w:rFonts w:ascii="Verdana" w:hAnsi="Verdana"/>
          <w:sz w:val="16"/>
          <w:szCs w:val="16"/>
          <w:lang w:val="es-UY"/>
        </w:rPr>
        <w:t>Asamblea General de Naciones Unidas. Consejo de Derechos Humanos. Informe del Relator Especial sobre la cuestión de las obligaciones de derechos humanos relacionadas con el disfrute de un medio ambiente sin riesgos, limpio, saludable y sostenible. Resolución A/HRC/37/58. 24 de enero de 2018</w:t>
      </w:r>
      <w:r w:rsidR="0097638C">
        <w:rPr>
          <w:rFonts w:ascii="Verdana" w:hAnsi="Verdana"/>
          <w:sz w:val="16"/>
          <w:szCs w:val="16"/>
          <w:lang w:val="es-UY"/>
        </w:rPr>
        <w:t>, p</w:t>
      </w:r>
      <w:r w:rsidRPr="00FD291A">
        <w:rPr>
          <w:rFonts w:ascii="Verdana" w:hAnsi="Verdana"/>
          <w:sz w:val="16"/>
          <w:szCs w:val="16"/>
          <w:lang w:val="es-UY"/>
        </w:rPr>
        <w:t>árr. 68</w:t>
      </w:r>
      <w:r>
        <w:rPr>
          <w:rFonts w:ascii="Verdana" w:hAnsi="Verdana"/>
          <w:sz w:val="16"/>
          <w:szCs w:val="16"/>
          <w:lang w:val="es-UY"/>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B66"/>
    <w:multiLevelType w:val="hybridMultilevel"/>
    <w:tmpl w:val="6A6E934C"/>
    <w:lvl w:ilvl="0" w:tplc="6D5CE7FA">
      <w:start w:val="1"/>
      <w:numFmt w:val="decimal"/>
      <w:pStyle w:val="PrrafodeSentencia"/>
      <w:lvlText w:val="%1."/>
      <w:lvlJc w:val="left"/>
      <w:pPr>
        <w:ind w:left="5130" w:hanging="360"/>
      </w:pPr>
      <w:rPr>
        <w:rFonts w:hint="default"/>
        <w:b w:val="0"/>
        <w:i w:val="0"/>
        <w:strike w:val="0"/>
        <w:color w:val="auto"/>
        <w:sz w:val="20"/>
        <w:szCs w:val="20"/>
        <w:vertAlign w:val="baseline"/>
        <w:lang w:val="es-CR"/>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195624"/>
    <w:multiLevelType w:val="multilevel"/>
    <w:tmpl w:val="D2E67D32"/>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C0247"/>
    <w:multiLevelType w:val="hybridMultilevel"/>
    <w:tmpl w:val="A302FE20"/>
    <w:lvl w:ilvl="0" w:tplc="BFD25530">
      <w:start w:val="259"/>
      <w:numFmt w:val="decimal"/>
      <w:lvlText w:val="%1."/>
      <w:lvlJc w:val="left"/>
      <w:pPr>
        <w:ind w:left="800" w:hanging="44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140057"/>
    <w:multiLevelType w:val="hybridMultilevel"/>
    <w:tmpl w:val="783C1DE2"/>
    <w:lvl w:ilvl="0" w:tplc="D22EEBA0">
      <w:start w:val="1"/>
      <w:numFmt w:val="lowerLetter"/>
      <w:lvlText w:val="%1)"/>
      <w:lvlJc w:val="left"/>
      <w:pPr>
        <w:tabs>
          <w:tab w:val="num" w:pos="720"/>
        </w:tabs>
        <w:ind w:left="720" w:hanging="360"/>
      </w:pPr>
    </w:lvl>
    <w:lvl w:ilvl="1" w:tplc="0A6C3C5E" w:tentative="1">
      <w:start w:val="1"/>
      <w:numFmt w:val="lowerLetter"/>
      <w:lvlText w:val="%2)"/>
      <w:lvlJc w:val="left"/>
      <w:pPr>
        <w:tabs>
          <w:tab w:val="num" w:pos="1440"/>
        </w:tabs>
        <w:ind w:left="1440" w:hanging="360"/>
      </w:pPr>
    </w:lvl>
    <w:lvl w:ilvl="2" w:tplc="61209844" w:tentative="1">
      <w:start w:val="1"/>
      <w:numFmt w:val="lowerLetter"/>
      <w:lvlText w:val="%3)"/>
      <w:lvlJc w:val="left"/>
      <w:pPr>
        <w:tabs>
          <w:tab w:val="num" w:pos="2160"/>
        </w:tabs>
        <w:ind w:left="2160" w:hanging="360"/>
      </w:pPr>
    </w:lvl>
    <w:lvl w:ilvl="3" w:tplc="0962576C" w:tentative="1">
      <w:start w:val="1"/>
      <w:numFmt w:val="lowerLetter"/>
      <w:lvlText w:val="%4)"/>
      <w:lvlJc w:val="left"/>
      <w:pPr>
        <w:tabs>
          <w:tab w:val="num" w:pos="2880"/>
        </w:tabs>
        <w:ind w:left="2880" w:hanging="360"/>
      </w:pPr>
    </w:lvl>
    <w:lvl w:ilvl="4" w:tplc="5CAEEA1C" w:tentative="1">
      <w:start w:val="1"/>
      <w:numFmt w:val="lowerLetter"/>
      <w:lvlText w:val="%5)"/>
      <w:lvlJc w:val="left"/>
      <w:pPr>
        <w:tabs>
          <w:tab w:val="num" w:pos="3600"/>
        </w:tabs>
        <w:ind w:left="3600" w:hanging="360"/>
      </w:pPr>
    </w:lvl>
    <w:lvl w:ilvl="5" w:tplc="E01056F4" w:tentative="1">
      <w:start w:val="1"/>
      <w:numFmt w:val="lowerLetter"/>
      <w:lvlText w:val="%6)"/>
      <w:lvlJc w:val="left"/>
      <w:pPr>
        <w:tabs>
          <w:tab w:val="num" w:pos="4320"/>
        </w:tabs>
        <w:ind w:left="4320" w:hanging="360"/>
      </w:pPr>
    </w:lvl>
    <w:lvl w:ilvl="6" w:tplc="46A48C9E" w:tentative="1">
      <w:start w:val="1"/>
      <w:numFmt w:val="lowerLetter"/>
      <w:lvlText w:val="%7)"/>
      <w:lvlJc w:val="left"/>
      <w:pPr>
        <w:tabs>
          <w:tab w:val="num" w:pos="5040"/>
        </w:tabs>
        <w:ind w:left="5040" w:hanging="360"/>
      </w:pPr>
    </w:lvl>
    <w:lvl w:ilvl="7" w:tplc="2D543880" w:tentative="1">
      <w:start w:val="1"/>
      <w:numFmt w:val="lowerLetter"/>
      <w:lvlText w:val="%8)"/>
      <w:lvlJc w:val="left"/>
      <w:pPr>
        <w:tabs>
          <w:tab w:val="num" w:pos="5760"/>
        </w:tabs>
        <w:ind w:left="5760" w:hanging="360"/>
      </w:pPr>
    </w:lvl>
    <w:lvl w:ilvl="8" w:tplc="DAF8E494" w:tentative="1">
      <w:start w:val="1"/>
      <w:numFmt w:val="lowerLetter"/>
      <w:lvlText w:val="%9)"/>
      <w:lvlJc w:val="left"/>
      <w:pPr>
        <w:tabs>
          <w:tab w:val="num" w:pos="6480"/>
        </w:tabs>
        <w:ind w:left="6480" w:hanging="360"/>
      </w:pPr>
    </w:lvl>
  </w:abstractNum>
  <w:abstractNum w:abstractNumId="4" w15:restartNumberingAfterBreak="0">
    <w:nsid w:val="256D05DF"/>
    <w:multiLevelType w:val="hybridMultilevel"/>
    <w:tmpl w:val="80A00168"/>
    <w:lvl w:ilvl="0" w:tplc="3A5C4392">
      <w:start w:val="1"/>
      <w:numFmt w:val="decimal"/>
      <w:lvlText w:val="%1."/>
      <w:lvlJc w:val="left"/>
      <w:pPr>
        <w:ind w:left="360" w:hanging="360"/>
      </w:pPr>
      <w:rPr>
        <w:rFonts w:ascii="Verdana" w:hAnsi="Verdana" w:hint="default"/>
        <w:b w:val="0"/>
        <w:bCs w:val="0"/>
        <w:i w:val="0"/>
        <w:iCs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63DDF"/>
    <w:multiLevelType w:val="hybridMultilevel"/>
    <w:tmpl w:val="AA4CADA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35EC5C34"/>
    <w:multiLevelType w:val="hybridMultilevel"/>
    <w:tmpl w:val="91F87C02"/>
    <w:lvl w:ilvl="0" w:tplc="BBDA3684">
      <w:start w:val="1"/>
      <w:numFmt w:val="decimal"/>
      <w:lvlText w:val="%1."/>
      <w:lvlJc w:val="left"/>
      <w:pPr>
        <w:ind w:left="3479" w:hanging="360"/>
      </w:pPr>
      <w:rPr>
        <w:rFonts w:ascii="Verdana" w:hAnsi="Verdana" w:hint="default"/>
        <w:b w:val="0"/>
        <w:i w:val="0"/>
        <w:color w:val="auto"/>
        <w:sz w:val="20"/>
        <w:szCs w:val="20"/>
      </w:rPr>
    </w:lvl>
    <w:lvl w:ilvl="1" w:tplc="C23AC0AA">
      <w:start w:val="1"/>
      <w:numFmt w:val="lowerLetter"/>
      <w:lvlText w:val="%2)"/>
      <w:lvlJc w:val="left"/>
      <w:pPr>
        <w:ind w:left="1080" w:hanging="360"/>
      </w:pPr>
      <w:rPr>
        <w:rFonts w:hint="default"/>
        <w:i/>
      </w:rPr>
    </w:lvl>
    <w:lvl w:ilvl="2" w:tplc="0409001B" w:tentative="1">
      <w:start w:val="1"/>
      <w:numFmt w:val="lowerRoman"/>
      <w:lvlText w:val="%3."/>
      <w:lvlJc w:val="right"/>
      <w:pPr>
        <w:ind w:left="1800" w:hanging="180"/>
      </w:pPr>
    </w:lvl>
    <w:lvl w:ilvl="3" w:tplc="140A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BA2A22"/>
    <w:multiLevelType w:val="multilevel"/>
    <w:tmpl w:val="06C4DA9A"/>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17034B"/>
    <w:multiLevelType w:val="multilevel"/>
    <w:tmpl w:val="071C16E2"/>
    <w:lvl w:ilvl="0">
      <w:start w:val="1"/>
      <w:numFmt w:val="decimal"/>
      <w:lvlText w:val="%1."/>
      <w:lvlJc w:val="left"/>
      <w:pPr>
        <w:tabs>
          <w:tab w:val="num" w:pos="720"/>
        </w:tabs>
        <w:ind w:left="720" w:hanging="360"/>
      </w:pPr>
    </w:lvl>
    <w:lvl w:ilvl="1">
      <w:start w:val="3"/>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5632EE"/>
    <w:multiLevelType w:val="hybridMultilevel"/>
    <w:tmpl w:val="8E54B978"/>
    <w:lvl w:ilvl="0" w:tplc="32961A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2D94D7E"/>
    <w:multiLevelType w:val="hybridMultilevel"/>
    <w:tmpl w:val="2034EDBE"/>
    <w:lvl w:ilvl="0" w:tplc="2B58457C">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6334F5B"/>
    <w:multiLevelType w:val="hybridMultilevel"/>
    <w:tmpl w:val="17BCD084"/>
    <w:lvl w:ilvl="0" w:tplc="55FAB2B0">
      <w:start w:val="45"/>
      <w:numFmt w:val="decimal"/>
      <w:lvlText w:val="%1."/>
      <w:lvlJc w:val="left"/>
      <w:pPr>
        <w:ind w:left="0" w:firstLine="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492862"/>
    <w:multiLevelType w:val="hybridMultilevel"/>
    <w:tmpl w:val="A774A0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9D94945"/>
    <w:multiLevelType w:val="hybridMultilevel"/>
    <w:tmpl w:val="C49C2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F73B91"/>
    <w:multiLevelType w:val="multilevel"/>
    <w:tmpl w:val="BB24097E"/>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2C4CD1"/>
    <w:multiLevelType w:val="hybridMultilevel"/>
    <w:tmpl w:val="B2340CB6"/>
    <w:lvl w:ilvl="0" w:tplc="22965372">
      <w:start w:val="257"/>
      <w:numFmt w:val="decimal"/>
      <w:lvlText w:val="%1."/>
      <w:lvlJc w:val="left"/>
      <w:pPr>
        <w:ind w:left="800" w:hanging="44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366D43"/>
    <w:multiLevelType w:val="hybridMultilevel"/>
    <w:tmpl w:val="D1BE0240"/>
    <w:lvl w:ilvl="0" w:tplc="E84A0D6E">
      <w:start w:val="1"/>
      <w:numFmt w:val="upperRoman"/>
      <w:pStyle w:val="Ttulo"/>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EBD5D3D"/>
    <w:multiLevelType w:val="hybridMultilevel"/>
    <w:tmpl w:val="DDC213FC"/>
    <w:lvl w:ilvl="0" w:tplc="F55C5D34">
      <w:start w:val="1"/>
      <w:numFmt w:val="decimal"/>
      <w:lvlText w:val="%1."/>
      <w:lvlJc w:val="left"/>
      <w:pPr>
        <w:ind w:left="5180" w:hanging="360"/>
      </w:pPr>
      <w:rPr>
        <w:rFonts w:ascii="Verdana" w:hAnsi="Verdana" w:hint="default"/>
        <w:b w:val="0"/>
        <w:i w:val="0"/>
        <w:iCs w:val="0"/>
        <w:strike w:val="0"/>
        <w:sz w:val="20"/>
        <w:szCs w:val="20"/>
        <w:lang w:val="es-ES_tradnl"/>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0BD3755"/>
    <w:multiLevelType w:val="hybridMultilevel"/>
    <w:tmpl w:val="E26A99B0"/>
    <w:lvl w:ilvl="0" w:tplc="762AB6E2">
      <w:start w:val="1"/>
      <w:numFmt w:val="decimal"/>
      <w:lvlText w:val="%1."/>
      <w:lvlJc w:val="left"/>
      <w:pPr>
        <w:ind w:left="400" w:hanging="708"/>
      </w:pPr>
      <w:rPr>
        <w:rFonts w:ascii="Verdana" w:eastAsia="Verdana" w:hAnsi="Verdana" w:cs="Verdana" w:hint="default"/>
        <w:b w:val="0"/>
        <w:bCs w:val="0"/>
        <w:i w:val="0"/>
        <w:iCs w:val="0"/>
        <w:w w:val="99"/>
        <w:sz w:val="20"/>
        <w:szCs w:val="20"/>
        <w:lang w:val="es-ES" w:eastAsia="en-US" w:bidi="ar-SA"/>
      </w:rPr>
    </w:lvl>
    <w:lvl w:ilvl="1" w:tplc="7CD8D8D0">
      <w:start w:val="1"/>
      <w:numFmt w:val="lowerLetter"/>
      <w:lvlText w:val="%2)"/>
      <w:lvlJc w:val="left"/>
      <w:pPr>
        <w:ind w:left="1120" w:hanging="360"/>
      </w:pPr>
      <w:rPr>
        <w:rFonts w:hint="default"/>
        <w:w w:val="99"/>
        <w:lang w:val="es-ES" w:eastAsia="en-US" w:bidi="ar-SA"/>
      </w:rPr>
    </w:lvl>
    <w:lvl w:ilvl="2" w:tplc="4802D630">
      <w:numFmt w:val="bullet"/>
      <w:lvlText w:val="•"/>
      <w:lvlJc w:val="left"/>
      <w:pPr>
        <w:ind w:left="2035" w:hanging="360"/>
      </w:pPr>
      <w:rPr>
        <w:rFonts w:hint="default"/>
        <w:lang w:val="es-ES" w:eastAsia="en-US" w:bidi="ar-SA"/>
      </w:rPr>
    </w:lvl>
    <w:lvl w:ilvl="3" w:tplc="A66861FC">
      <w:numFmt w:val="bullet"/>
      <w:lvlText w:val="•"/>
      <w:lvlJc w:val="left"/>
      <w:pPr>
        <w:ind w:left="2951" w:hanging="360"/>
      </w:pPr>
      <w:rPr>
        <w:rFonts w:hint="default"/>
        <w:lang w:val="es-ES" w:eastAsia="en-US" w:bidi="ar-SA"/>
      </w:rPr>
    </w:lvl>
    <w:lvl w:ilvl="4" w:tplc="75D61412">
      <w:numFmt w:val="bullet"/>
      <w:lvlText w:val="•"/>
      <w:lvlJc w:val="left"/>
      <w:pPr>
        <w:ind w:left="3866" w:hanging="360"/>
      </w:pPr>
      <w:rPr>
        <w:rFonts w:hint="default"/>
        <w:lang w:val="es-ES" w:eastAsia="en-US" w:bidi="ar-SA"/>
      </w:rPr>
    </w:lvl>
    <w:lvl w:ilvl="5" w:tplc="61FEADDA">
      <w:numFmt w:val="bullet"/>
      <w:lvlText w:val="•"/>
      <w:lvlJc w:val="left"/>
      <w:pPr>
        <w:ind w:left="4782" w:hanging="360"/>
      </w:pPr>
      <w:rPr>
        <w:rFonts w:hint="default"/>
        <w:lang w:val="es-ES" w:eastAsia="en-US" w:bidi="ar-SA"/>
      </w:rPr>
    </w:lvl>
    <w:lvl w:ilvl="6" w:tplc="1724329C">
      <w:numFmt w:val="bullet"/>
      <w:lvlText w:val="•"/>
      <w:lvlJc w:val="left"/>
      <w:pPr>
        <w:ind w:left="5697" w:hanging="360"/>
      </w:pPr>
      <w:rPr>
        <w:rFonts w:hint="default"/>
        <w:lang w:val="es-ES" w:eastAsia="en-US" w:bidi="ar-SA"/>
      </w:rPr>
    </w:lvl>
    <w:lvl w:ilvl="7" w:tplc="F2A40D3A">
      <w:numFmt w:val="bullet"/>
      <w:lvlText w:val="•"/>
      <w:lvlJc w:val="left"/>
      <w:pPr>
        <w:ind w:left="6613" w:hanging="360"/>
      </w:pPr>
      <w:rPr>
        <w:rFonts w:hint="default"/>
        <w:lang w:val="es-ES" w:eastAsia="en-US" w:bidi="ar-SA"/>
      </w:rPr>
    </w:lvl>
    <w:lvl w:ilvl="8" w:tplc="C254B8A4">
      <w:numFmt w:val="bullet"/>
      <w:lvlText w:val="•"/>
      <w:lvlJc w:val="left"/>
      <w:pPr>
        <w:ind w:left="7528" w:hanging="360"/>
      </w:pPr>
      <w:rPr>
        <w:rFonts w:hint="default"/>
        <w:lang w:val="es-ES" w:eastAsia="en-US" w:bidi="ar-SA"/>
      </w:rPr>
    </w:lvl>
  </w:abstractNum>
  <w:abstractNum w:abstractNumId="19" w15:restartNumberingAfterBreak="0">
    <w:nsid w:val="615D6ECD"/>
    <w:multiLevelType w:val="hybridMultilevel"/>
    <w:tmpl w:val="20D8447E"/>
    <w:lvl w:ilvl="0" w:tplc="2968E114">
      <w:start w:val="1"/>
      <w:numFmt w:val="lowerLetter"/>
      <w:lvlText w:val="%1)"/>
      <w:lvlJc w:val="left"/>
      <w:pPr>
        <w:ind w:left="1080" w:hanging="360"/>
      </w:pPr>
      <w:rPr>
        <w:rFonts w:ascii="Verdana" w:hAnsi="Verdana" w:cs="Verdana" w:hint="default"/>
        <w:sz w:val="20"/>
        <w:szCs w:val="20"/>
      </w:rPr>
    </w:lvl>
    <w:lvl w:ilvl="1" w:tplc="140A0019">
      <w:start w:val="1"/>
      <w:numFmt w:val="decimal"/>
      <w:lvlText w:val="%2."/>
      <w:lvlJc w:val="left"/>
      <w:pPr>
        <w:tabs>
          <w:tab w:val="num" w:pos="0"/>
        </w:tabs>
      </w:pPr>
      <w:rPr>
        <w:rFonts w:hint="default"/>
        <w:b w:val="0"/>
        <w:bCs w:val="0"/>
        <w:color w:val="auto"/>
        <w:sz w:val="20"/>
        <w:szCs w:val="20"/>
        <w:lang w:val="es-MX"/>
      </w:rPr>
    </w:lvl>
    <w:lvl w:ilvl="2" w:tplc="140A001B">
      <w:start w:val="1"/>
      <w:numFmt w:val="lowerLetter"/>
      <w:lvlText w:val="%3)"/>
      <w:lvlJc w:val="left"/>
      <w:pPr>
        <w:ind w:left="2700" w:hanging="360"/>
      </w:pPr>
      <w:rPr>
        <w:rFonts w:ascii="Verdana" w:hAnsi="Verdana" w:cs="Verdana" w:hint="default"/>
        <w:b w:val="0"/>
        <w:bCs w:val="0"/>
        <w:sz w:val="20"/>
        <w:szCs w:val="20"/>
      </w:r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20" w15:restartNumberingAfterBreak="0">
    <w:nsid w:val="651A72F9"/>
    <w:multiLevelType w:val="hybridMultilevel"/>
    <w:tmpl w:val="F2A2E318"/>
    <w:lvl w:ilvl="0" w:tplc="DCC2BADA">
      <w:start w:val="45"/>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FD7D50"/>
    <w:multiLevelType w:val="multilevel"/>
    <w:tmpl w:val="D36EC6EC"/>
    <w:lvl w:ilvl="0">
      <w:start w:val="1"/>
      <w:numFmt w:val="decimal"/>
      <w:lvlText w:val="%1."/>
      <w:lvlJc w:val="left"/>
      <w:pPr>
        <w:ind w:left="5078" w:hanging="825"/>
      </w:pPr>
      <w:rPr>
        <w:b w:val="0"/>
        <w:i w:val="0"/>
        <w:strike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6072A0"/>
    <w:multiLevelType w:val="hybridMultilevel"/>
    <w:tmpl w:val="5DE2343C"/>
    <w:lvl w:ilvl="0" w:tplc="55FAB2B0">
      <w:start w:val="45"/>
      <w:numFmt w:val="decimal"/>
      <w:lvlText w:val="%1."/>
      <w:lvlJc w:val="left"/>
      <w:pPr>
        <w:ind w:left="0" w:firstLine="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24226DA"/>
    <w:multiLevelType w:val="hybridMultilevel"/>
    <w:tmpl w:val="AFDE6EB6"/>
    <w:lvl w:ilvl="0" w:tplc="07303F6E">
      <w:start w:val="1"/>
      <w:numFmt w:val="low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4" w15:restartNumberingAfterBreak="0">
    <w:nsid w:val="72557DE6"/>
    <w:multiLevelType w:val="hybridMultilevel"/>
    <w:tmpl w:val="D21C26E8"/>
    <w:lvl w:ilvl="0" w:tplc="28DE1D34">
      <w:start w:val="22"/>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5" w15:restartNumberingAfterBreak="0">
    <w:nsid w:val="759351D3"/>
    <w:multiLevelType w:val="hybridMultilevel"/>
    <w:tmpl w:val="72BE4A3C"/>
    <w:lvl w:ilvl="0" w:tplc="6804CA1A">
      <w:start w:val="1"/>
      <w:numFmt w:val="decimal"/>
      <w:lvlText w:val="%1."/>
      <w:lvlJc w:val="left"/>
      <w:pPr>
        <w:ind w:left="720" w:hanging="360"/>
      </w:pPr>
      <w:rPr>
        <w:rFonts w:ascii="Verdana" w:hAnsi="Verdan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F56B0C"/>
    <w:multiLevelType w:val="hybridMultilevel"/>
    <w:tmpl w:val="F1365C06"/>
    <w:lvl w:ilvl="0" w:tplc="EC76F076">
      <w:start w:val="1"/>
      <w:numFmt w:val="decimal"/>
      <w:lvlText w:val="%1."/>
      <w:lvlJc w:val="left"/>
      <w:pPr>
        <w:ind w:left="8582" w:hanging="360"/>
      </w:pPr>
      <w:rPr>
        <w:rFonts w:ascii="Verdana" w:hAnsi="Verdana" w:hint="default"/>
        <w:b w:val="0"/>
        <w:bCs w:val="0"/>
        <w:i w:val="0"/>
        <w:iCs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43396064">
    <w:abstractNumId w:val="25"/>
  </w:num>
  <w:num w:numId="2" w16cid:durableId="1076853269">
    <w:abstractNumId w:val="13"/>
  </w:num>
  <w:num w:numId="3" w16cid:durableId="1890997961">
    <w:abstractNumId w:val="4"/>
  </w:num>
  <w:num w:numId="4" w16cid:durableId="1082533961">
    <w:abstractNumId w:val="19"/>
  </w:num>
  <w:num w:numId="5" w16cid:durableId="1972978140">
    <w:abstractNumId w:val="0"/>
  </w:num>
  <w:num w:numId="6" w16cid:durableId="1192721364">
    <w:abstractNumId w:val="2"/>
  </w:num>
  <w:num w:numId="7" w16cid:durableId="1105154338">
    <w:abstractNumId w:val="15"/>
  </w:num>
  <w:num w:numId="8" w16cid:durableId="1649245447">
    <w:abstractNumId w:val="21"/>
  </w:num>
  <w:num w:numId="9" w16cid:durableId="833958108">
    <w:abstractNumId w:val="10"/>
  </w:num>
  <w:num w:numId="10" w16cid:durableId="1542282537">
    <w:abstractNumId w:val="9"/>
  </w:num>
  <w:num w:numId="11" w16cid:durableId="450319462">
    <w:abstractNumId w:val="6"/>
  </w:num>
  <w:num w:numId="12" w16cid:durableId="633216387">
    <w:abstractNumId w:val="12"/>
  </w:num>
  <w:num w:numId="13" w16cid:durableId="491138795">
    <w:abstractNumId w:val="24"/>
  </w:num>
  <w:num w:numId="14" w16cid:durableId="2009358229">
    <w:abstractNumId w:val="18"/>
  </w:num>
  <w:num w:numId="15" w16cid:durableId="730494389">
    <w:abstractNumId w:val="16"/>
  </w:num>
  <w:num w:numId="16" w16cid:durableId="1049301285">
    <w:abstractNumId w:val="3"/>
  </w:num>
  <w:num w:numId="17" w16cid:durableId="1750299465">
    <w:abstractNumId w:val="8"/>
  </w:num>
  <w:num w:numId="18" w16cid:durableId="1031103481">
    <w:abstractNumId w:val="1"/>
  </w:num>
  <w:num w:numId="19" w16cid:durableId="803549600">
    <w:abstractNumId w:val="7"/>
  </w:num>
  <w:num w:numId="20" w16cid:durableId="721750304">
    <w:abstractNumId w:val="14"/>
  </w:num>
  <w:num w:numId="21" w16cid:durableId="2081127382">
    <w:abstractNumId w:val="17"/>
  </w:num>
  <w:num w:numId="22" w16cid:durableId="887447765">
    <w:abstractNumId w:val="26"/>
  </w:num>
  <w:num w:numId="23" w16cid:durableId="558595762">
    <w:abstractNumId w:val="5"/>
  </w:num>
  <w:num w:numId="24" w16cid:durableId="231503203">
    <w:abstractNumId w:val="11"/>
  </w:num>
  <w:num w:numId="25" w16cid:durableId="1470242344">
    <w:abstractNumId w:val="20"/>
  </w:num>
  <w:num w:numId="26" w16cid:durableId="1997605898">
    <w:abstractNumId w:val="22"/>
  </w:num>
  <w:num w:numId="27" w16cid:durableId="20942769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B52"/>
    <w:rsid w:val="00002A1A"/>
    <w:rsid w:val="00002FBE"/>
    <w:rsid w:val="000037BB"/>
    <w:rsid w:val="00006873"/>
    <w:rsid w:val="00010E29"/>
    <w:rsid w:val="00013092"/>
    <w:rsid w:val="0001391A"/>
    <w:rsid w:val="00014469"/>
    <w:rsid w:val="00015F38"/>
    <w:rsid w:val="000209AD"/>
    <w:rsid w:val="000221BB"/>
    <w:rsid w:val="00031317"/>
    <w:rsid w:val="00033F9F"/>
    <w:rsid w:val="00034970"/>
    <w:rsid w:val="00035848"/>
    <w:rsid w:val="0003756C"/>
    <w:rsid w:val="00037575"/>
    <w:rsid w:val="000430E4"/>
    <w:rsid w:val="000442B4"/>
    <w:rsid w:val="00044862"/>
    <w:rsid w:val="00045D07"/>
    <w:rsid w:val="00050F57"/>
    <w:rsid w:val="0005267E"/>
    <w:rsid w:val="00062B40"/>
    <w:rsid w:val="000707BD"/>
    <w:rsid w:val="00070BF5"/>
    <w:rsid w:val="000937F0"/>
    <w:rsid w:val="00093B8E"/>
    <w:rsid w:val="000943B6"/>
    <w:rsid w:val="00094BFD"/>
    <w:rsid w:val="000A5158"/>
    <w:rsid w:val="000A557D"/>
    <w:rsid w:val="000B3474"/>
    <w:rsid w:val="000B3A1B"/>
    <w:rsid w:val="000B60F9"/>
    <w:rsid w:val="000B616C"/>
    <w:rsid w:val="000C279D"/>
    <w:rsid w:val="000C2873"/>
    <w:rsid w:val="000C29C5"/>
    <w:rsid w:val="000C41D7"/>
    <w:rsid w:val="000C76D8"/>
    <w:rsid w:val="000D0AA0"/>
    <w:rsid w:val="000D0BE5"/>
    <w:rsid w:val="000D4053"/>
    <w:rsid w:val="000E0E4D"/>
    <w:rsid w:val="000E3DBC"/>
    <w:rsid w:val="000E45A5"/>
    <w:rsid w:val="000F54B1"/>
    <w:rsid w:val="000F7E52"/>
    <w:rsid w:val="0010144E"/>
    <w:rsid w:val="00101B82"/>
    <w:rsid w:val="0010371E"/>
    <w:rsid w:val="00104B9E"/>
    <w:rsid w:val="001063E1"/>
    <w:rsid w:val="00106FC0"/>
    <w:rsid w:val="0010705E"/>
    <w:rsid w:val="00107AB5"/>
    <w:rsid w:val="00107D66"/>
    <w:rsid w:val="0011045E"/>
    <w:rsid w:val="00110D24"/>
    <w:rsid w:val="001134BA"/>
    <w:rsid w:val="00113D37"/>
    <w:rsid w:val="00117A51"/>
    <w:rsid w:val="00120D37"/>
    <w:rsid w:val="001259F7"/>
    <w:rsid w:val="00127A36"/>
    <w:rsid w:val="001300BB"/>
    <w:rsid w:val="00130411"/>
    <w:rsid w:val="001331F3"/>
    <w:rsid w:val="00134BE2"/>
    <w:rsid w:val="00136D86"/>
    <w:rsid w:val="001425D3"/>
    <w:rsid w:val="00142968"/>
    <w:rsid w:val="00143CBF"/>
    <w:rsid w:val="0014460B"/>
    <w:rsid w:val="00146F21"/>
    <w:rsid w:val="00150A23"/>
    <w:rsid w:val="00151EA9"/>
    <w:rsid w:val="00152545"/>
    <w:rsid w:val="00152AF9"/>
    <w:rsid w:val="00154961"/>
    <w:rsid w:val="00161454"/>
    <w:rsid w:val="00161B0C"/>
    <w:rsid w:val="00163A2F"/>
    <w:rsid w:val="00164BBE"/>
    <w:rsid w:val="001650CC"/>
    <w:rsid w:val="00166EB6"/>
    <w:rsid w:val="00167206"/>
    <w:rsid w:val="001717C7"/>
    <w:rsid w:val="00172FEF"/>
    <w:rsid w:val="00176968"/>
    <w:rsid w:val="001774B5"/>
    <w:rsid w:val="00180C5E"/>
    <w:rsid w:val="00183C12"/>
    <w:rsid w:val="00184761"/>
    <w:rsid w:val="00185B50"/>
    <w:rsid w:val="001934E2"/>
    <w:rsid w:val="00194342"/>
    <w:rsid w:val="00197142"/>
    <w:rsid w:val="001A4CF7"/>
    <w:rsid w:val="001A5499"/>
    <w:rsid w:val="001A677C"/>
    <w:rsid w:val="001B04CC"/>
    <w:rsid w:val="001B2D99"/>
    <w:rsid w:val="001B6E14"/>
    <w:rsid w:val="001B75AC"/>
    <w:rsid w:val="001C0E97"/>
    <w:rsid w:val="001C2EE0"/>
    <w:rsid w:val="001C552E"/>
    <w:rsid w:val="001C57DD"/>
    <w:rsid w:val="001C6D9A"/>
    <w:rsid w:val="001D1521"/>
    <w:rsid w:val="001D19D8"/>
    <w:rsid w:val="001D3E11"/>
    <w:rsid w:val="001D631C"/>
    <w:rsid w:val="001E0D30"/>
    <w:rsid w:val="001E1AC3"/>
    <w:rsid w:val="001E4487"/>
    <w:rsid w:val="001E5B42"/>
    <w:rsid w:val="001E7974"/>
    <w:rsid w:val="001F1C97"/>
    <w:rsid w:val="001F5C90"/>
    <w:rsid w:val="001F7300"/>
    <w:rsid w:val="00200BDA"/>
    <w:rsid w:val="00200C29"/>
    <w:rsid w:val="0020171F"/>
    <w:rsid w:val="0020256B"/>
    <w:rsid w:val="00202626"/>
    <w:rsid w:val="0020717F"/>
    <w:rsid w:val="002073CF"/>
    <w:rsid w:val="00216447"/>
    <w:rsid w:val="00221707"/>
    <w:rsid w:val="0022516A"/>
    <w:rsid w:val="0022581C"/>
    <w:rsid w:val="002300F6"/>
    <w:rsid w:val="00230B82"/>
    <w:rsid w:val="00233301"/>
    <w:rsid w:val="002357D8"/>
    <w:rsid w:val="002410D8"/>
    <w:rsid w:val="002450F6"/>
    <w:rsid w:val="00250394"/>
    <w:rsid w:val="00250D85"/>
    <w:rsid w:val="00250F5F"/>
    <w:rsid w:val="0025291A"/>
    <w:rsid w:val="00254059"/>
    <w:rsid w:val="002577FA"/>
    <w:rsid w:val="00264C00"/>
    <w:rsid w:val="002660A9"/>
    <w:rsid w:val="002671D6"/>
    <w:rsid w:val="00267720"/>
    <w:rsid w:val="0027011C"/>
    <w:rsid w:val="00270F2E"/>
    <w:rsid w:val="00280A7C"/>
    <w:rsid w:val="002832BA"/>
    <w:rsid w:val="00286A97"/>
    <w:rsid w:val="00286D1A"/>
    <w:rsid w:val="002965AD"/>
    <w:rsid w:val="002A0262"/>
    <w:rsid w:val="002A1B62"/>
    <w:rsid w:val="002A4083"/>
    <w:rsid w:val="002A6A2A"/>
    <w:rsid w:val="002B1CF0"/>
    <w:rsid w:val="002B26FC"/>
    <w:rsid w:val="002C2992"/>
    <w:rsid w:val="002C30EC"/>
    <w:rsid w:val="002C7270"/>
    <w:rsid w:val="002C7DC9"/>
    <w:rsid w:val="002D2400"/>
    <w:rsid w:val="002E4A42"/>
    <w:rsid w:val="002E4BB7"/>
    <w:rsid w:val="002E7DE1"/>
    <w:rsid w:val="002F0AB2"/>
    <w:rsid w:val="002F5EE4"/>
    <w:rsid w:val="002F6951"/>
    <w:rsid w:val="002F773D"/>
    <w:rsid w:val="00301678"/>
    <w:rsid w:val="00301683"/>
    <w:rsid w:val="00310E4B"/>
    <w:rsid w:val="0031409A"/>
    <w:rsid w:val="0031555B"/>
    <w:rsid w:val="00315CD9"/>
    <w:rsid w:val="0031663D"/>
    <w:rsid w:val="00321F3F"/>
    <w:rsid w:val="00322450"/>
    <w:rsid w:val="00325D70"/>
    <w:rsid w:val="00326098"/>
    <w:rsid w:val="003261D8"/>
    <w:rsid w:val="00326AFB"/>
    <w:rsid w:val="0033483B"/>
    <w:rsid w:val="0033687A"/>
    <w:rsid w:val="003376CE"/>
    <w:rsid w:val="00342426"/>
    <w:rsid w:val="0034594D"/>
    <w:rsid w:val="00345BC3"/>
    <w:rsid w:val="00346A32"/>
    <w:rsid w:val="003478B3"/>
    <w:rsid w:val="00350214"/>
    <w:rsid w:val="00354B1E"/>
    <w:rsid w:val="003573E7"/>
    <w:rsid w:val="00363421"/>
    <w:rsid w:val="0036459E"/>
    <w:rsid w:val="00365F1B"/>
    <w:rsid w:val="003668B9"/>
    <w:rsid w:val="0037065C"/>
    <w:rsid w:val="003710B4"/>
    <w:rsid w:val="00371F23"/>
    <w:rsid w:val="00373455"/>
    <w:rsid w:val="003735A1"/>
    <w:rsid w:val="00373FE5"/>
    <w:rsid w:val="00382053"/>
    <w:rsid w:val="003823B0"/>
    <w:rsid w:val="00383756"/>
    <w:rsid w:val="00383907"/>
    <w:rsid w:val="00386AD9"/>
    <w:rsid w:val="00386B21"/>
    <w:rsid w:val="00387679"/>
    <w:rsid w:val="00391FD2"/>
    <w:rsid w:val="00392D33"/>
    <w:rsid w:val="00392D43"/>
    <w:rsid w:val="00394ED6"/>
    <w:rsid w:val="003951F8"/>
    <w:rsid w:val="003957C6"/>
    <w:rsid w:val="00395EE5"/>
    <w:rsid w:val="00397301"/>
    <w:rsid w:val="00397537"/>
    <w:rsid w:val="003A0E83"/>
    <w:rsid w:val="003A1ECC"/>
    <w:rsid w:val="003A2A12"/>
    <w:rsid w:val="003A2EBF"/>
    <w:rsid w:val="003A4385"/>
    <w:rsid w:val="003A503F"/>
    <w:rsid w:val="003A5888"/>
    <w:rsid w:val="003A60D6"/>
    <w:rsid w:val="003B2195"/>
    <w:rsid w:val="003B5625"/>
    <w:rsid w:val="003B5680"/>
    <w:rsid w:val="003B6D91"/>
    <w:rsid w:val="003C0E1E"/>
    <w:rsid w:val="003C1EA0"/>
    <w:rsid w:val="003C26EF"/>
    <w:rsid w:val="003C350F"/>
    <w:rsid w:val="003C461F"/>
    <w:rsid w:val="003C6447"/>
    <w:rsid w:val="003C79F7"/>
    <w:rsid w:val="003D3392"/>
    <w:rsid w:val="003D4FD9"/>
    <w:rsid w:val="003D4FE6"/>
    <w:rsid w:val="003D536F"/>
    <w:rsid w:val="003D5A06"/>
    <w:rsid w:val="003D6501"/>
    <w:rsid w:val="003E1401"/>
    <w:rsid w:val="003E1768"/>
    <w:rsid w:val="003E1B30"/>
    <w:rsid w:val="003E48A7"/>
    <w:rsid w:val="003E5765"/>
    <w:rsid w:val="003F039A"/>
    <w:rsid w:val="003F0CC3"/>
    <w:rsid w:val="003F1D32"/>
    <w:rsid w:val="003F29D8"/>
    <w:rsid w:val="003F3972"/>
    <w:rsid w:val="003F4CD3"/>
    <w:rsid w:val="003F4F80"/>
    <w:rsid w:val="003F55F9"/>
    <w:rsid w:val="00400139"/>
    <w:rsid w:val="00400335"/>
    <w:rsid w:val="00402202"/>
    <w:rsid w:val="0040600B"/>
    <w:rsid w:val="0041792F"/>
    <w:rsid w:val="00421998"/>
    <w:rsid w:val="0042525F"/>
    <w:rsid w:val="0042620E"/>
    <w:rsid w:val="004272AB"/>
    <w:rsid w:val="00427985"/>
    <w:rsid w:val="0042799E"/>
    <w:rsid w:val="0043034F"/>
    <w:rsid w:val="0043150F"/>
    <w:rsid w:val="004323C0"/>
    <w:rsid w:val="004347D3"/>
    <w:rsid w:val="00434885"/>
    <w:rsid w:val="00434AFB"/>
    <w:rsid w:val="00435791"/>
    <w:rsid w:val="0043642A"/>
    <w:rsid w:val="004370F6"/>
    <w:rsid w:val="004416AB"/>
    <w:rsid w:val="00441DF6"/>
    <w:rsid w:val="004432F6"/>
    <w:rsid w:val="00443BA5"/>
    <w:rsid w:val="004501EE"/>
    <w:rsid w:val="004503D8"/>
    <w:rsid w:val="00453802"/>
    <w:rsid w:val="00453887"/>
    <w:rsid w:val="00457324"/>
    <w:rsid w:val="00457583"/>
    <w:rsid w:val="00461755"/>
    <w:rsid w:val="0046456D"/>
    <w:rsid w:val="00464A05"/>
    <w:rsid w:val="00464A0D"/>
    <w:rsid w:val="004662E6"/>
    <w:rsid w:val="00471E80"/>
    <w:rsid w:val="0047214C"/>
    <w:rsid w:val="00480192"/>
    <w:rsid w:val="00482024"/>
    <w:rsid w:val="0048290A"/>
    <w:rsid w:val="0048297E"/>
    <w:rsid w:val="00483989"/>
    <w:rsid w:val="004843EB"/>
    <w:rsid w:val="00484AE7"/>
    <w:rsid w:val="00485348"/>
    <w:rsid w:val="00485F3E"/>
    <w:rsid w:val="00486671"/>
    <w:rsid w:val="00487AC7"/>
    <w:rsid w:val="00490084"/>
    <w:rsid w:val="00493519"/>
    <w:rsid w:val="004935D3"/>
    <w:rsid w:val="00495DEC"/>
    <w:rsid w:val="0049652C"/>
    <w:rsid w:val="004A2374"/>
    <w:rsid w:val="004A73DE"/>
    <w:rsid w:val="004B208A"/>
    <w:rsid w:val="004B3E64"/>
    <w:rsid w:val="004B53F7"/>
    <w:rsid w:val="004C1BFD"/>
    <w:rsid w:val="004C3F33"/>
    <w:rsid w:val="004D06D5"/>
    <w:rsid w:val="004D24E0"/>
    <w:rsid w:val="004D4FBA"/>
    <w:rsid w:val="004D6FD8"/>
    <w:rsid w:val="004E0F6C"/>
    <w:rsid w:val="004E158C"/>
    <w:rsid w:val="004E272E"/>
    <w:rsid w:val="004E49E1"/>
    <w:rsid w:val="004E4C27"/>
    <w:rsid w:val="004F7432"/>
    <w:rsid w:val="005002AD"/>
    <w:rsid w:val="0050241F"/>
    <w:rsid w:val="00503694"/>
    <w:rsid w:val="00504316"/>
    <w:rsid w:val="00505F52"/>
    <w:rsid w:val="00506BE4"/>
    <w:rsid w:val="00506F07"/>
    <w:rsid w:val="0051138F"/>
    <w:rsid w:val="00512778"/>
    <w:rsid w:val="00517939"/>
    <w:rsid w:val="00520E9A"/>
    <w:rsid w:val="00521387"/>
    <w:rsid w:val="00521B7F"/>
    <w:rsid w:val="0052292E"/>
    <w:rsid w:val="00522F79"/>
    <w:rsid w:val="0053354C"/>
    <w:rsid w:val="00534392"/>
    <w:rsid w:val="005369E1"/>
    <w:rsid w:val="00541A79"/>
    <w:rsid w:val="00545A61"/>
    <w:rsid w:val="00546732"/>
    <w:rsid w:val="00551ADD"/>
    <w:rsid w:val="00551F36"/>
    <w:rsid w:val="00554054"/>
    <w:rsid w:val="0055408D"/>
    <w:rsid w:val="005553E8"/>
    <w:rsid w:val="0055554A"/>
    <w:rsid w:val="00556547"/>
    <w:rsid w:val="00560108"/>
    <w:rsid w:val="0056279D"/>
    <w:rsid w:val="00562CA0"/>
    <w:rsid w:val="005634DC"/>
    <w:rsid w:val="00565393"/>
    <w:rsid w:val="00566D33"/>
    <w:rsid w:val="00567FAC"/>
    <w:rsid w:val="00571B35"/>
    <w:rsid w:val="00572B61"/>
    <w:rsid w:val="005734BE"/>
    <w:rsid w:val="00573FCD"/>
    <w:rsid w:val="005743D6"/>
    <w:rsid w:val="00574E82"/>
    <w:rsid w:val="00575616"/>
    <w:rsid w:val="00575BC7"/>
    <w:rsid w:val="00576BF3"/>
    <w:rsid w:val="0058016F"/>
    <w:rsid w:val="005828EE"/>
    <w:rsid w:val="00584251"/>
    <w:rsid w:val="00585D3D"/>
    <w:rsid w:val="005911C7"/>
    <w:rsid w:val="005913AF"/>
    <w:rsid w:val="00592ECE"/>
    <w:rsid w:val="00595E51"/>
    <w:rsid w:val="005A1116"/>
    <w:rsid w:val="005A1212"/>
    <w:rsid w:val="005A12AA"/>
    <w:rsid w:val="005A1674"/>
    <w:rsid w:val="005A2280"/>
    <w:rsid w:val="005A23B9"/>
    <w:rsid w:val="005A4D08"/>
    <w:rsid w:val="005A7050"/>
    <w:rsid w:val="005B1D76"/>
    <w:rsid w:val="005B3213"/>
    <w:rsid w:val="005B741D"/>
    <w:rsid w:val="005C1412"/>
    <w:rsid w:val="005C2782"/>
    <w:rsid w:val="005C28FC"/>
    <w:rsid w:val="005C3FDC"/>
    <w:rsid w:val="005C695D"/>
    <w:rsid w:val="005C7545"/>
    <w:rsid w:val="005D065B"/>
    <w:rsid w:val="005D0C90"/>
    <w:rsid w:val="005D4403"/>
    <w:rsid w:val="005D6386"/>
    <w:rsid w:val="005D6D29"/>
    <w:rsid w:val="005E3155"/>
    <w:rsid w:val="005E3905"/>
    <w:rsid w:val="005E55F0"/>
    <w:rsid w:val="005E63ED"/>
    <w:rsid w:val="005E6C58"/>
    <w:rsid w:val="005F13D4"/>
    <w:rsid w:val="005F2B52"/>
    <w:rsid w:val="005F74A0"/>
    <w:rsid w:val="005F7BF0"/>
    <w:rsid w:val="005F7EF4"/>
    <w:rsid w:val="00600531"/>
    <w:rsid w:val="006034ED"/>
    <w:rsid w:val="0060357E"/>
    <w:rsid w:val="0060371A"/>
    <w:rsid w:val="0060551E"/>
    <w:rsid w:val="006062F4"/>
    <w:rsid w:val="00606729"/>
    <w:rsid w:val="00607FCD"/>
    <w:rsid w:val="00611BB8"/>
    <w:rsid w:val="00615303"/>
    <w:rsid w:val="0061722D"/>
    <w:rsid w:val="00626768"/>
    <w:rsid w:val="00626D60"/>
    <w:rsid w:val="00630956"/>
    <w:rsid w:val="00631FA8"/>
    <w:rsid w:val="00632E26"/>
    <w:rsid w:val="00632F1D"/>
    <w:rsid w:val="0063519F"/>
    <w:rsid w:val="00635D90"/>
    <w:rsid w:val="00637DF1"/>
    <w:rsid w:val="00641DE8"/>
    <w:rsid w:val="00642ECF"/>
    <w:rsid w:val="006445D4"/>
    <w:rsid w:val="006450A5"/>
    <w:rsid w:val="006469D6"/>
    <w:rsid w:val="0064790E"/>
    <w:rsid w:val="00647AF8"/>
    <w:rsid w:val="00647DF0"/>
    <w:rsid w:val="006516FC"/>
    <w:rsid w:val="00652311"/>
    <w:rsid w:val="00655FA2"/>
    <w:rsid w:val="0065616C"/>
    <w:rsid w:val="006561FD"/>
    <w:rsid w:val="00657189"/>
    <w:rsid w:val="00660D85"/>
    <w:rsid w:val="00663A1A"/>
    <w:rsid w:val="006666B3"/>
    <w:rsid w:val="006672E8"/>
    <w:rsid w:val="0067523D"/>
    <w:rsid w:val="00676BBE"/>
    <w:rsid w:val="00682C13"/>
    <w:rsid w:val="0068395B"/>
    <w:rsid w:val="006840FA"/>
    <w:rsid w:val="0068478A"/>
    <w:rsid w:val="006848AB"/>
    <w:rsid w:val="00684C0B"/>
    <w:rsid w:val="0068600C"/>
    <w:rsid w:val="00687D7E"/>
    <w:rsid w:val="00692C92"/>
    <w:rsid w:val="00692FD6"/>
    <w:rsid w:val="006932EA"/>
    <w:rsid w:val="0069363C"/>
    <w:rsid w:val="00693D51"/>
    <w:rsid w:val="006945EC"/>
    <w:rsid w:val="006951B7"/>
    <w:rsid w:val="006A07EA"/>
    <w:rsid w:val="006A4DDA"/>
    <w:rsid w:val="006A4EBE"/>
    <w:rsid w:val="006B0937"/>
    <w:rsid w:val="006B4C36"/>
    <w:rsid w:val="006B7EA6"/>
    <w:rsid w:val="006C19B2"/>
    <w:rsid w:val="006C29D9"/>
    <w:rsid w:val="006C3606"/>
    <w:rsid w:val="006C546F"/>
    <w:rsid w:val="006C69F5"/>
    <w:rsid w:val="006D0AC0"/>
    <w:rsid w:val="006D0ACC"/>
    <w:rsid w:val="006D235B"/>
    <w:rsid w:val="006D4CB9"/>
    <w:rsid w:val="006D7612"/>
    <w:rsid w:val="006E0460"/>
    <w:rsid w:val="006E0A50"/>
    <w:rsid w:val="006E1581"/>
    <w:rsid w:val="006E187C"/>
    <w:rsid w:val="006E2D69"/>
    <w:rsid w:val="006E33F2"/>
    <w:rsid w:val="006E3404"/>
    <w:rsid w:val="006F1CB6"/>
    <w:rsid w:val="006F2159"/>
    <w:rsid w:val="006F41DC"/>
    <w:rsid w:val="006F6372"/>
    <w:rsid w:val="006F6CC5"/>
    <w:rsid w:val="006F71FB"/>
    <w:rsid w:val="006F7F0F"/>
    <w:rsid w:val="007009E1"/>
    <w:rsid w:val="00700DDE"/>
    <w:rsid w:val="00700DEB"/>
    <w:rsid w:val="00700EEB"/>
    <w:rsid w:val="00702A2C"/>
    <w:rsid w:val="00704CE7"/>
    <w:rsid w:val="00705289"/>
    <w:rsid w:val="0070697E"/>
    <w:rsid w:val="00713290"/>
    <w:rsid w:val="0071476C"/>
    <w:rsid w:val="0071518B"/>
    <w:rsid w:val="0072097F"/>
    <w:rsid w:val="00721EEC"/>
    <w:rsid w:val="00722E99"/>
    <w:rsid w:val="00723577"/>
    <w:rsid w:val="00726D0A"/>
    <w:rsid w:val="00730D42"/>
    <w:rsid w:val="00736DAE"/>
    <w:rsid w:val="0073736E"/>
    <w:rsid w:val="0074174E"/>
    <w:rsid w:val="007420F2"/>
    <w:rsid w:val="00744240"/>
    <w:rsid w:val="007476E2"/>
    <w:rsid w:val="00751183"/>
    <w:rsid w:val="00751E29"/>
    <w:rsid w:val="00752132"/>
    <w:rsid w:val="00753DB7"/>
    <w:rsid w:val="00756F61"/>
    <w:rsid w:val="00762E3B"/>
    <w:rsid w:val="007632F6"/>
    <w:rsid w:val="007653DD"/>
    <w:rsid w:val="00767943"/>
    <w:rsid w:val="00767B2F"/>
    <w:rsid w:val="00772457"/>
    <w:rsid w:val="00773420"/>
    <w:rsid w:val="007740D6"/>
    <w:rsid w:val="0077444A"/>
    <w:rsid w:val="007757B2"/>
    <w:rsid w:val="00777120"/>
    <w:rsid w:val="0078058E"/>
    <w:rsid w:val="007826AB"/>
    <w:rsid w:val="00783415"/>
    <w:rsid w:val="007924EB"/>
    <w:rsid w:val="00793679"/>
    <w:rsid w:val="00793A0E"/>
    <w:rsid w:val="00793E45"/>
    <w:rsid w:val="007A104C"/>
    <w:rsid w:val="007A177C"/>
    <w:rsid w:val="007A324E"/>
    <w:rsid w:val="007A3A9A"/>
    <w:rsid w:val="007A4C4F"/>
    <w:rsid w:val="007A4E8A"/>
    <w:rsid w:val="007A63AA"/>
    <w:rsid w:val="007A68EA"/>
    <w:rsid w:val="007A6A20"/>
    <w:rsid w:val="007B1D4A"/>
    <w:rsid w:val="007B5437"/>
    <w:rsid w:val="007B6252"/>
    <w:rsid w:val="007B7CFF"/>
    <w:rsid w:val="007C16E8"/>
    <w:rsid w:val="007C1CB7"/>
    <w:rsid w:val="007C1DD9"/>
    <w:rsid w:val="007C30E7"/>
    <w:rsid w:val="007C5A02"/>
    <w:rsid w:val="007C61D9"/>
    <w:rsid w:val="007C7DED"/>
    <w:rsid w:val="007D033B"/>
    <w:rsid w:val="007D07A2"/>
    <w:rsid w:val="007D0FD7"/>
    <w:rsid w:val="007D46BE"/>
    <w:rsid w:val="007D6516"/>
    <w:rsid w:val="007E05CC"/>
    <w:rsid w:val="007E1D79"/>
    <w:rsid w:val="007E22C6"/>
    <w:rsid w:val="007E287F"/>
    <w:rsid w:val="007E3393"/>
    <w:rsid w:val="007E5BDB"/>
    <w:rsid w:val="007F1DB7"/>
    <w:rsid w:val="007F31AB"/>
    <w:rsid w:val="007F40B1"/>
    <w:rsid w:val="007F44CF"/>
    <w:rsid w:val="007F790E"/>
    <w:rsid w:val="00800C94"/>
    <w:rsid w:val="0080324A"/>
    <w:rsid w:val="0081025D"/>
    <w:rsid w:val="00810BC8"/>
    <w:rsid w:val="0081411A"/>
    <w:rsid w:val="00815D77"/>
    <w:rsid w:val="008163EB"/>
    <w:rsid w:val="00820055"/>
    <w:rsid w:val="008210AE"/>
    <w:rsid w:val="00823CE9"/>
    <w:rsid w:val="00825358"/>
    <w:rsid w:val="0082653D"/>
    <w:rsid w:val="00832C41"/>
    <w:rsid w:val="0083382A"/>
    <w:rsid w:val="00833FBD"/>
    <w:rsid w:val="00836A74"/>
    <w:rsid w:val="0084237D"/>
    <w:rsid w:val="008436BE"/>
    <w:rsid w:val="00845381"/>
    <w:rsid w:val="008458C5"/>
    <w:rsid w:val="00847AE3"/>
    <w:rsid w:val="00851290"/>
    <w:rsid w:val="00853068"/>
    <w:rsid w:val="00855811"/>
    <w:rsid w:val="0085647B"/>
    <w:rsid w:val="00860B54"/>
    <w:rsid w:val="00862943"/>
    <w:rsid w:val="00862A4F"/>
    <w:rsid w:val="0086460B"/>
    <w:rsid w:val="008646B5"/>
    <w:rsid w:val="008647B8"/>
    <w:rsid w:val="00866EAB"/>
    <w:rsid w:val="00867BC6"/>
    <w:rsid w:val="00870D42"/>
    <w:rsid w:val="008743BE"/>
    <w:rsid w:val="008750E4"/>
    <w:rsid w:val="00880701"/>
    <w:rsid w:val="00881EDF"/>
    <w:rsid w:val="00882F08"/>
    <w:rsid w:val="00883C42"/>
    <w:rsid w:val="00885B02"/>
    <w:rsid w:val="00886A19"/>
    <w:rsid w:val="008876C2"/>
    <w:rsid w:val="0089279C"/>
    <w:rsid w:val="00894833"/>
    <w:rsid w:val="00895E53"/>
    <w:rsid w:val="00896AAC"/>
    <w:rsid w:val="008A2CD5"/>
    <w:rsid w:val="008A44E3"/>
    <w:rsid w:val="008A4DC0"/>
    <w:rsid w:val="008A5911"/>
    <w:rsid w:val="008A6128"/>
    <w:rsid w:val="008A61BA"/>
    <w:rsid w:val="008A6F72"/>
    <w:rsid w:val="008B06F3"/>
    <w:rsid w:val="008B1267"/>
    <w:rsid w:val="008B4F13"/>
    <w:rsid w:val="008B640A"/>
    <w:rsid w:val="008B7314"/>
    <w:rsid w:val="008C0FDC"/>
    <w:rsid w:val="008C4AFF"/>
    <w:rsid w:val="008C4D89"/>
    <w:rsid w:val="008C65F6"/>
    <w:rsid w:val="008D146C"/>
    <w:rsid w:val="008D1BA3"/>
    <w:rsid w:val="008D2F99"/>
    <w:rsid w:val="008D377F"/>
    <w:rsid w:val="008D390A"/>
    <w:rsid w:val="008D3E6F"/>
    <w:rsid w:val="008D42AE"/>
    <w:rsid w:val="008D4BEA"/>
    <w:rsid w:val="008D518D"/>
    <w:rsid w:val="008D66BD"/>
    <w:rsid w:val="008D72A4"/>
    <w:rsid w:val="008E12DC"/>
    <w:rsid w:val="008E1FDB"/>
    <w:rsid w:val="008E2099"/>
    <w:rsid w:val="008E21C5"/>
    <w:rsid w:val="008E3FA4"/>
    <w:rsid w:val="008E7232"/>
    <w:rsid w:val="008E72FA"/>
    <w:rsid w:val="008F21EC"/>
    <w:rsid w:val="008F43AB"/>
    <w:rsid w:val="008F498A"/>
    <w:rsid w:val="008F53E1"/>
    <w:rsid w:val="008F6A3F"/>
    <w:rsid w:val="008F72A7"/>
    <w:rsid w:val="00902E68"/>
    <w:rsid w:val="0090510D"/>
    <w:rsid w:val="0090594F"/>
    <w:rsid w:val="00913B19"/>
    <w:rsid w:val="0091443A"/>
    <w:rsid w:val="00915B0F"/>
    <w:rsid w:val="00916D04"/>
    <w:rsid w:val="00917A4D"/>
    <w:rsid w:val="00920B50"/>
    <w:rsid w:val="00921800"/>
    <w:rsid w:val="00921EF2"/>
    <w:rsid w:val="00922B8D"/>
    <w:rsid w:val="00930459"/>
    <w:rsid w:val="00931116"/>
    <w:rsid w:val="0093172F"/>
    <w:rsid w:val="0093275C"/>
    <w:rsid w:val="00933A81"/>
    <w:rsid w:val="00934586"/>
    <w:rsid w:val="009345B4"/>
    <w:rsid w:val="00942AC9"/>
    <w:rsid w:val="00944584"/>
    <w:rsid w:val="00945BD9"/>
    <w:rsid w:val="00947A57"/>
    <w:rsid w:val="00953E40"/>
    <w:rsid w:val="00954D55"/>
    <w:rsid w:val="009564E4"/>
    <w:rsid w:val="00960947"/>
    <w:rsid w:val="00961580"/>
    <w:rsid w:val="0096610D"/>
    <w:rsid w:val="0096778A"/>
    <w:rsid w:val="0097324C"/>
    <w:rsid w:val="0097638C"/>
    <w:rsid w:val="009769DA"/>
    <w:rsid w:val="00982A83"/>
    <w:rsid w:val="00984AE0"/>
    <w:rsid w:val="009875E4"/>
    <w:rsid w:val="009912AF"/>
    <w:rsid w:val="00991ACF"/>
    <w:rsid w:val="009A143B"/>
    <w:rsid w:val="009A281D"/>
    <w:rsid w:val="009A29A5"/>
    <w:rsid w:val="009A38B7"/>
    <w:rsid w:val="009A5FA0"/>
    <w:rsid w:val="009B2542"/>
    <w:rsid w:val="009B49B9"/>
    <w:rsid w:val="009C2767"/>
    <w:rsid w:val="009C2C1B"/>
    <w:rsid w:val="009C405A"/>
    <w:rsid w:val="009C5D71"/>
    <w:rsid w:val="009D1D1D"/>
    <w:rsid w:val="009D5D73"/>
    <w:rsid w:val="009E0647"/>
    <w:rsid w:val="009E1DE1"/>
    <w:rsid w:val="009E440F"/>
    <w:rsid w:val="009E49F1"/>
    <w:rsid w:val="009E6074"/>
    <w:rsid w:val="009E7B14"/>
    <w:rsid w:val="009F171B"/>
    <w:rsid w:val="009F285D"/>
    <w:rsid w:val="009F33D6"/>
    <w:rsid w:val="009F51F7"/>
    <w:rsid w:val="009F5CD2"/>
    <w:rsid w:val="00A02006"/>
    <w:rsid w:val="00A0298F"/>
    <w:rsid w:val="00A041B5"/>
    <w:rsid w:val="00A04525"/>
    <w:rsid w:val="00A06FD7"/>
    <w:rsid w:val="00A10B3E"/>
    <w:rsid w:val="00A12128"/>
    <w:rsid w:val="00A144C6"/>
    <w:rsid w:val="00A15C2D"/>
    <w:rsid w:val="00A16E0E"/>
    <w:rsid w:val="00A24B08"/>
    <w:rsid w:val="00A24D02"/>
    <w:rsid w:val="00A302E0"/>
    <w:rsid w:val="00A307F0"/>
    <w:rsid w:val="00A30B3F"/>
    <w:rsid w:val="00A30D90"/>
    <w:rsid w:val="00A359EF"/>
    <w:rsid w:val="00A369A0"/>
    <w:rsid w:val="00A37171"/>
    <w:rsid w:val="00A40944"/>
    <w:rsid w:val="00A41231"/>
    <w:rsid w:val="00A42C89"/>
    <w:rsid w:val="00A44290"/>
    <w:rsid w:val="00A4606F"/>
    <w:rsid w:val="00A46936"/>
    <w:rsid w:val="00A47944"/>
    <w:rsid w:val="00A50C61"/>
    <w:rsid w:val="00A56051"/>
    <w:rsid w:val="00A57B45"/>
    <w:rsid w:val="00A606FD"/>
    <w:rsid w:val="00A6160E"/>
    <w:rsid w:val="00A624DF"/>
    <w:rsid w:val="00A6325D"/>
    <w:rsid w:val="00A643A2"/>
    <w:rsid w:val="00A7291E"/>
    <w:rsid w:val="00A72BBD"/>
    <w:rsid w:val="00A73F37"/>
    <w:rsid w:val="00A75039"/>
    <w:rsid w:val="00A808DA"/>
    <w:rsid w:val="00A81254"/>
    <w:rsid w:val="00A84638"/>
    <w:rsid w:val="00A84BF1"/>
    <w:rsid w:val="00A93AB2"/>
    <w:rsid w:val="00A975DC"/>
    <w:rsid w:val="00AA02A4"/>
    <w:rsid w:val="00AA1740"/>
    <w:rsid w:val="00AA1BF7"/>
    <w:rsid w:val="00AA1F74"/>
    <w:rsid w:val="00AB122C"/>
    <w:rsid w:val="00AB1494"/>
    <w:rsid w:val="00AC2F73"/>
    <w:rsid w:val="00AD4628"/>
    <w:rsid w:val="00AD5F82"/>
    <w:rsid w:val="00AE33ED"/>
    <w:rsid w:val="00AE43D7"/>
    <w:rsid w:val="00AE6BA3"/>
    <w:rsid w:val="00AE7C46"/>
    <w:rsid w:val="00AF6220"/>
    <w:rsid w:val="00AF63FA"/>
    <w:rsid w:val="00AF7FDB"/>
    <w:rsid w:val="00B01FF2"/>
    <w:rsid w:val="00B02656"/>
    <w:rsid w:val="00B02995"/>
    <w:rsid w:val="00B02B49"/>
    <w:rsid w:val="00B034EA"/>
    <w:rsid w:val="00B04327"/>
    <w:rsid w:val="00B11CB9"/>
    <w:rsid w:val="00B143B4"/>
    <w:rsid w:val="00B14740"/>
    <w:rsid w:val="00B1499E"/>
    <w:rsid w:val="00B15472"/>
    <w:rsid w:val="00B20BD5"/>
    <w:rsid w:val="00B21C1F"/>
    <w:rsid w:val="00B22215"/>
    <w:rsid w:val="00B22CAE"/>
    <w:rsid w:val="00B23119"/>
    <w:rsid w:val="00B23F63"/>
    <w:rsid w:val="00B27258"/>
    <w:rsid w:val="00B30030"/>
    <w:rsid w:val="00B301F9"/>
    <w:rsid w:val="00B44D5F"/>
    <w:rsid w:val="00B451B2"/>
    <w:rsid w:val="00B464CD"/>
    <w:rsid w:val="00B46CF5"/>
    <w:rsid w:val="00B51BDA"/>
    <w:rsid w:val="00B5340A"/>
    <w:rsid w:val="00B5641C"/>
    <w:rsid w:val="00B64E64"/>
    <w:rsid w:val="00B66E5A"/>
    <w:rsid w:val="00B67054"/>
    <w:rsid w:val="00B67326"/>
    <w:rsid w:val="00B70976"/>
    <w:rsid w:val="00B75CEF"/>
    <w:rsid w:val="00B7726E"/>
    <w:rsid w:val="00B77C5B"/>
    <w:rsid w:val="00B80206"/>
    <w:rsid w:val="00B82284"/>
    <w:rsid w:val="00B854B6"/>
    <w:rsid w:val="00B87990"/>
    <w:rsid w:val="00B92514"/>
    <w:rsid w:val="00B932F3"/>
    <w:rsid w:val="00B936BF"/>
    <w:rsid w:val="00B940F7"/>
    <w:rsid w:val="00B95FB4"/>
    <w:rsid w:val="00BA2FD0"/>
    <w:rsid w:val="00BA3393"/>
    <w:rsid w:val="00BA4A00"/>
    <w:rsid w:val="00BA5652"/>
    <w:rsid w:val="00BA6554"/>
    <w:rsid w:val="00BA6C0C"/>
    <w:rsid w:val="00BB12B3"/>
    <w:rsid w:val="00BB158D"/>
    <w:rsid w:val="00BB3784"/>
    <w:rsid w:val="00BB48E7"/>
    <w:rsid w:val="00BB4A64"/>
    <w:rsid w:val="00BB60D8"/>
    <w:rsid w:val="00BB7BC1"/>
    <w:rsid w:val="00BC0B6C"/>
    <w:rsid w:val="00BC3D9E"/>
    <w:rsid w:val="00BC3FB5"/>
    <w:rsid w:val="00BC4174"/>
    <w:rsid w:val="00BC578E"/>
    <w:rsid w:val="00BD5F11"/>
    <w:rsid w:val="00BE0679"/>
    <w:rsid w:val="00BE0739"/>
    <w:rsid w:val="00BE2AA2"/>
    <w:rsid w:val="00BE543F"/>
    <w:rsid w:val="00BE6CCD"/>
    <w:rsid w:val="00BF5F90"/>
    <w:rsid w:val="00BF688E"/>
    <w:rsid w:val="00C01FFF"/>
    <w:rsid w:val="00C02C92"/>
    <w:rsid w:val="00C05EDB"/>
    <w:rsid w:val="00C0666A"/>
    <w:rsid w:val="00C16453"/>
    <w:rsid w:val="00C1653E"/>
    <w:rsid w:val="00C16BAD"/>
    <w:rsid w:val="00C16CAA"/>
    <w:rsid w:val="00C17C7E"/>
    <w:rsid w:val="00C21746"/>
    <w:rsid w:val="00C22E48"/>
    <w:rsid w:val="00C26A64"/>
    <w:rsid w:val="00C27DFE"/>
    <w:rsid w:val="00C30318"/>
    <w:rsid w:val="00C32E4F"/>
    <w:rsid w:val="00C34CA2"/>
    <w:rsid w:val="00C35385"/>
    <w:rsid w:val="00C35ED5"/>
    <w:rsid w:val="00C37AD1"/>
    <w:rsid w:val="00C46348"/>
    <w:rsid w:val="00C52099"/>
    <w:rsid w:val="00C5297B"/>
    <w:rsid w:val="00C62662"/>
    <w:rsid w:val="00C62FB7"/>
    <w:rsid w:val="00C64488"/>
    <w:rsid w:val="00C70266"/>
    <w:rsid w:val="00C720F4"/>
    <w:rsid w:val="00C73D21"/>
    <w:rsid w:val="00C75701"/>
    <w:rsid w:val="00C826B9"/>
    <w:rsid w:val="00C86F0C"/>
    <w:rsid w:val="00C86F76"/>
    <w:rsid w:val="00C87758"/>
    <w:rsid w:val="00C9238D"/>
    <w:rsid w:val="00C936E0"/>
    <w:rsid w:val="00C974CB"/>
    <w:rsid w:val="00C979CE"/>
    <w:rsid w:val="00CA0FAE"/>
    <w:rsid w:val="00CA2AAD"/>
    <w:rsid w:val="00CA3C3D"/>
    <w:rsid w:val="00CA63B3"/>
    <w:rsid w:val="00CA6DCB"/>
    <w:rsid w:val="00CB0E13"/>
    <w:rsid w:val="00CB4595"/>
    <w:rsid w:val="00CB53AA"/>
    <w:rsid w:val="00CB6C06"/>
    <w:rsid w:val="00CC19FB"/>
    <w:rsid w:val="00CC4967"/>
    <w:rsid w:val="00CC7970"/>
    <w:rsid w:val="00CD159B"/>
    <w:rsid w:val="00CD32AD"/>
    <w:rsid w:val="00CD6071"/>
    <w:rsid w:val="00CE37DA"/>
    <w:rsid w:val="00CE5DA3"/>
    <w:rsid w:val="00CE6A58"/>
    <w:rsid w:val="00CE76F3"/>
    <w:rsid w:val="00CF0552"/>
    <w:rsid w:val="00CF4323"/>
    <w:rsid w:val="00CF6E38"/>
    <w:rsid w:val="00CF72C7"/>
    <w:rsid w:val="00D02D0B"/>
    <w:rsid w:val="00D03525"/>
    <w:rsid w:val="00D03720"/>
    <w:rsid w:val="00D07038"/>
    <w:rsid w:val="00D07CEF"/>
    <w:rsid w:val="00D1637A"/>
    <w:rsid w:val="00D16CC5"/>
    <w:rsid w:val="00D16ED1"/>
    <w:rsid w:val="00D171CD"/>
    <w:rsid w:val="00D30BA6"/>
    <w:rsid w:val="00D31F55"/>
    <w:rsid w:val="00D32F65"/>
    <w:rsid w:val="00D334DF"/>
    <w:rsid w:val="00D36754"/>
    <w:rsid w:val="00D373F6"/>
    <w:rsid w:val="00D40D7A"/>
    <w:rsid w:val="00D418E5"/>
    <w:rsid w:val="00D43BA4"/>
    <w:rsid w:val="00D52C17"/>
    <w:rsid w:val="00D53391"/>
    <w:rsid w:val="00D54679"/>
    <w:rsid w:val="00D56283"/>
    <w:rsid w:val="00D61D5F"/>
    <w:rsid w:val="00D65766"/>
    <w:rsid w:val="00D72AA6"/>
    <w:rsid w:val="00D7326D"/>
    <w:rsid w:val="00D746DB"/>
    <w:rsid w:val="00D769C5"/>
    <w:rsid w:val="00D801DF"/>
    <w:rsid w:val="00D82199"/>
    <w:rsid w:val="00D822EC"/>
    <w:rsid w:val="00D8379A"/>
    <w:rsid w:val="00D8602C"/>
    <w:rsid w:val="00D8614B"/>
    <w:rsid w:val="00D87340"/>
    <w:rsid w:val="00D95703"/>
    <w:rsid w:val="00DA2C52"/>
    <w:rsid w:val="00DA6506"/>
    <w:rsid w:val="00DA6E2C"/>
    <w:rsid w:val="00DB06D2"/>
    <w:rsid w:val="00DB0CC6"/>
    <w:rsid w:val="00DB1DC7"/>
    <w:rsid w:val="00DB284B"/>
    <w:rsid w:val="00DB2E97"/>
    <w:rsid w:val="00DB3F6E"/>
    <w:rsid w:val="00DB4FA1"/>
    <w:rsid w:val="00DB5922"/>
    <w:rsid w:val="00DB789F"/>
    <w:rsid w:val="00DC005A"/>
    <w:rsid w:val="00DC1961"/>
    <w:rsid w:val="00DC25E2"/>
    <w:rsid w:val="00DC298A"/>
    <w:rsid w:val="00DC2E88"/>
    <w:rsid w:val="00DC6A09"/>
    <w:rsid w:val="00DD018A"/>
    <w:rsid w:val="00DD0CD9"/>
    <w:rsid w:val="00DD2351"/>
    <w:rsid w:val="00DD3196"/>
    <w:rsid w:val="00DD742A"/>
    <w:rsid w:val="00DE1F92"/>
    <w:rsid w:val="00DE2C5C"/>
    <w:rsid w:val="00DE5E6E"/>
    <w:rsid w:val="00DE6E22"/>
    <w:rsid w:val="00DF40B5"/>
    <w:rsid w:val="00DF433D"/>
    <w:rsid w:val="00DF7AD9"/>
    <w:rsid w:val="00E06016"/>
    <w:rsid w:val="00E07543"/>
    <w:rsid w:val="00E115C2"/>
    <w:rsid w:val="00E119E9"/>
    <w:rsid w:val="00E1248C"/>
    <w:rsid w:val="00E12498"/>
    <w:rsid w:val="00E13AED"/>
    <w:rsid w:val="00E14E7E"/>
    <w:rsid w:val="00E16F61"/>
    <w:rsid w:val="00E21EDD"/>
    <w:rsid w:val="00E2374D"/>
    <w:rsid w:val="00E25388"/>
    <w:rsid w:val="00E279BC"/>
    <w:rsid w:val="00E27B94"/>
    <w:rsid w:val="00E307EA"/>
    <w:rsid w:val="00E30C13"/>
    <w:rsid w:val="00E31B1E"/>
    <w:rsid w:val="00E33CED"/>
    <w:rsid w:val="00E35190"/>
    <w:rsid w:val="00E36640"/>
    <w:rsid w:val="00E37763"/>
    <w:rsid w:val="00E42A6B"/>
    <w:rsid w:val="00E43641"/>
    <w:rsid w:val="00E446F4"/>
    <w:rsid w:val="00E45968"/>
    <w:rsid w:val="00E5093A"/>
    <w:rsid w:val="00E50F97"/>
    <w:rsid w:val="00E51787"/>
    <w:rsid w:val="00E52F36"/>
    <w:rsid w:val="00E538D5"/>
    <w:rsid w:val="00E5678C"/>
    <w:rsid w:val="00E5791C"/>
    <w:rsid w:val="00E7063A"/>
    <w:rsid w:val="00E7249A"/>
    <w:rsid w:val="00E72A88"/>
    <w:rsid w:val="00E75B00"/>
    <w:rsid w:val="00E75D23"/>
    <w:rsid w:val="00E82588"/>
    <w:rsid w:val="00E83D8C"/>
    <w:rsid w:val="00E8602F"/>
    <w:rsid w:val="00E867BF"/>
    <w:rsid w:val="00E8688B"/>
    <w:rsid w:val="00E874FB"/>
    <w:rsid w:val="00E931D7"/>
    <w:rsid w:val="00E948A9"/>
    <w:rsid w:val="00E95AD7"/>
    <w:rsid w:val="00E96C6F"/>
    <w:rsid w:val="00E97C4F"/>
    <w:rsid w:val="00EA309D"/>
    <w:rsid w:val="00EA790B"/>
    <w:rsid w:val="00EA7B63"/>
    <w:rsid w:val="00EB2122"/>
    <w:rsid w:val="00EB3A0C"/>
    <w:rsid w:val="00EB6824"/>
    <w:rsid w:val="00EB738B"/>
    <w:rsid w:val="00EB7421"/>
    <w:rsid w:val="00EB7736"/>
    <w:rsid w:val="00EC012D"/>
    <w:rsid w:val="00EC4440"/>
    <w:rsid w:val="00EC5F46"/>
    <w:rsid w:val="00EC7219"/>
    <w:rsid w:val="00ED17D5"/>
    <w:rsid w:val="00ED3DAA"/>
    <w:rsid w:val="00ED3E9D"/>
    <w:rsid w:val="00ED408D"/>
    <w:rsid w:val="00ED68D8"/>
    <w:rsid w:val="00EE12A2"/>
    <w:rsid w:val="00EF31B6"/>
    <w:rsid w:val="00EF3E88"/>
    <w:rsid w:val="00EF4A78"/>
    <w:rsid w:val="00EF4CDC"/>
    <w:rsid w:val="00EF6532"/>
    <w:rsid w:val="00F03459"/>
    <w:rsid w:val="00F03FBF"/>
    <w:rsid w:val="00F04959"/>
    <w:rsid w:val="00F05BC2"/>
    <w:rsid w:val="00F060DC"/>
    <w:rsid w:val="00F13096"/>
    <w:rsid w:val="00F157E7"/>
    <w:rsid w:val="00F16841"/>
    <w:rsid w:val="00F24696"/>
    <w:rsid w:val="00F250CF"/>
    <w:rsid w:val="00F25481"/>
    <w:rsid w:val="00F25704"/>
    <w:rsid w:val="00F25868"/>
    <w:rsid w:val="00F259C6"/>
    <w:rsid w:val="00F25F2A"/>
    <w:rsid w:val="00F26B64"/>
    <w:rsid w:val="00F32408"/>
    <w:rsid w:val="00F33013"/>
    <w:rsid w:val="00F3494C"/>
    <w:rsid w:val="00F37AC4"/>
    <w:rsid w:val="00F51504"/>
    <w:rsid w:val="00F52F94"/>
    <w:rsid w:val="00F60369"/>
    <w:rsid w:val="00F61FB4"/>
    <w:rsid w:val="00F634A8"/>
    <w:rsid w:val="00F63FAD"/>
    <w:rsid w:val="00F66FF5"/>
    <w:rsid w:val="00F70550"/>
    <w:rsid w:val="00F72A24"/>
    <w:rsid w:val="00F75E45"/>
    <w:rsid w:val="00F76B5C"/>
    <w:rsid w:val="00F7765D"/>
    <w:rsid w:val="00F80C6E"/>
    <w:rsid w:val="00F83C6E"/>
    <w:rsid w:val="00F847B6"/>
    <w:rsid w:val="00F90E79"/>
    <w:rsid w:val="00F9191A"/>
    <w:rsid w:val="00F9782E"/>
    <w:rsid w:val="00FA184E"/>
    <w:rsid w:val="00FA1A23"/>
    <w:rsid w:val="00FA2116"/>
    <w:rsid w:val="00FA3170"/>
    <w:rsid w:val="00FA3E0F"/>
    <w:rsid w:val="00FA4077"/>
    <w:rsid w:val="00FA45E0"/>
    <w:rsid w:val="00FA5054"/>
    <w:rsid w:val="00FB390D"/>
    <w:rsid w:val="00FB5114"/>
    <w:rsid w:val="00FB7265"/>
    <w:rsid w:val="00FB7571"/>
    <w:rsid w:val="00FB7AF7"/>
    <w:rsid w:val="00FC0769"/>
    <w:rsid w:val="00FC48E3"/>
    <w:rsid w:val="00FC57C2"/>
    <w:rsid w:val="00FC57C5"/>
    <w:rsid w:val="00FC6A07"/>
    <w:rsid w:val="00FC75CD"/>
    <w:rsid w:val="00FD07F6"/>
    <w:rsid w:val="00FD1D11"/>
    <w:rsid w:val="00FD27FA"/>
    <w:rsid w:val="00FD2A23"/>
    <w:rsid w:val="00FD6FC1"/>
    <w:rsid w:val="00FE0318"/>
    <w:rsid w:val="00FE0661"/>
    <w:rsid w:val="00FE1A53"/>
    <w:rsid w:val="00FE25CD"/>
    <w:rsid w:val="00FE2645"/>
    <w:rsid w:val="00FE28F0"/>
    <w:rsid w:val="00FE2D07"/>
    <w:rsid w:val="00FE2D6F"/>
    <w:rsid w:val="00FE2EDA"/>
    <w:rsid w:val="00FE3F8C"/>
    <w:rsid w:val="00FE4DE7"/>
    <w:rsid w:val="00FE602F"/>
    <w:rsid w:val="00FE7BF7"/>
    <w:rsid w:val="00FF0734"/>
    <w:rsid w:val="00FF1C05"/>
    <w:rsid w:val="00FF1C3B"/>
    <w:rsid w:val="00FF34AE"/>
    <w:rsid w:val="00FF70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F1F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A4D"/>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800C9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Prrafodelista"/>
    <w:next w:val="Normal"/>
    <w:link w:val="Ttulo4Car"/>
    <w:qFormat/>
    <w:rsid w:val="00FE2D6F"/>
    <w:pPr>
      <w:widowControl w:val="0"/>
      <w:pBdr>
        <w:top w:val="nil"/>
        <w:left w:val="nil"/>
        <w:bottom w:val="nil"/>
        <w:right w:val="nil"/>
        <w:between w:val="nil"/>
        <w:bar w:val="nil"/>
      </w:pBdr>
      <w:spacing w:line="276" w:lineRule="auto"/>
      <w:ind w:left="1440" w:hanging="360"/>
      <w:contextualSpacing w:val="0"/>
      <w:jc w:val="both"/>
      <w:outlineLvl w:val="3"/>
    </w:pPr>
    <w:rPr>
      <w:rFonts w:ascii="Verdana" w:eastAsia="Verdana" w:hAnsi="Verdana" w:cs="Verdana"/>
      <w:b/>
      <w:bCs/>
      <w:color w:val="000000"/>
      <w:sz w:val="20"/>
      <w:szCs w:val="20"/>
      <w:u w:color="000000"/>
      <w:bdr w:val="nil"/>
      <w:lang w:val="es-ES_tradnl"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ootnote,List Paragraph1,Párrafo de lista1,Colorful List - Accent 11,List Paragraph2,Lista vistosa - Énfasis 11,Subtle Emphasis1,Footnote1,List Paragraph11,Parrafos,Párrafo de lista2,Dot pt,No Spacing1,List Paragraph Char Char Char"/>
    <w:basedOn w:val="Normal"/>
    <w:link w:val="PrrafodelistaCar"/>
    <w:uiPriority w:val="1"/>
    <w:qFormat/>
    <w:rsid w:val="007A177C"/>
    <w:pPr>
      <w:ind w:left="720"/>
      <w:contextualSpacing/>
    </w:pPr>
    <w:rPr>
      <w:rFonts w:asciiTheme="minorHAnsi" w:eastAsiaTheme="minorHAnsi" w:hAnsiTheme="minorHAnsi" w:cstheme="minorBidi"/>
      <w:lang w:eastAsia="en-US"/>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C,ft"/>
    <w:basedOn w:val="Normal"/>
    <w:link w:val="TextonotapieCar"/>
    <w:uiPriority w:val="99"/>
    <w:unhideWhenUsed/>
    <w:qFormat/>
    <w:rsid w:val="005A1674"/>
    <w:pPr>
      <w:spacing w:after="200" w:line="276" w:lineRule="auto"/>
    </w:pPr>
    <w:rPr>
      <w:rFonts w:ascii="Calibri" w:eastAsia="Calibri" w:hAnsi="Calibri"/>
      <w:sz w:val="20"/>
      <w:szCs w:val="20"/>
      <w:lang w:val="x-none"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qFormat/>
    <w:rsid w:val="005A1674"/>
    <w:rPr>
      <w:rFonts w:ascii="Calibri" w:eastAsia="Calibri" w:hAnsi="Calibri" w:cs="Times New Roman"/>
      <w:sz w:val="20"/>
      <w:szCs w:val="20"/>
      <w:lang w:val="x-none"/>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
    <w:link w:val="4GChar"/>
    <w:uiPriority w:val="99"/>
    <w:unhideWhenUsed/>
    <w:qFormat/>
    <w:rsid w:val="005A1674"/>
    <w:rPr>
      <w:vertAlign w:val="superscript"/>
    </w:rPr>
  </w:style>
  <w:style w:type="character" w:styleId="Refdecomentario">
    <w:name w:val="annotation reference"/>
    <w:basedOn w:val="Fuentedeprrafopredeter"/>
    <w:unhideWhenUsed/>
    <w:rsid w:val="0096778A"/>
    <w:rPr>
      <w:sz w:val="16"/>
      <w:szCs w:val="16"/>
    </w:rPr>
  </w:style>
  <w:style w:type="paragraph" w:styleId="Textocomentario">
    <w:name w:val="annotation text"/>
    <w:basedOn w:val="Normal"/>
    <w:link w:val="TextocomentarioCar"/>
    <w:uiPriority w:val="99"/>
    <w:unhideWhenUsed/>
    <w:rsid w:val="0096778A"/>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96778A"/>
    <w:rPr>
      <w:sz w:val="20"/>
      <w:szCs w:val="20"/>
    </w:rPr>
  </w:style>
  <w:style w:type="paragraph" w:styleId="Asuntodelcomentario">
    <w:name w:val="annotation subject"/>
    <w:basedOn w:val="Textocomentario"/>
    <w:next w:val="Textocomentario"/>
    <w:link w:val="AsuntodelcomentarioCar"/>
    <w:uiPriority w:val="99"/>
    <w:semiHidden/>
    <w:unhideWhenUsed/>
    <w:rsid w:val="0096778A"/>
    <w:rPr>
      <w:b/>
      <w:bCs/>
    </w:rPr>
  </w:style>
  <w:style w:type="character" w:customStyle="1" w:styleId="AsuntodelcomentarioCar">
    <w:name w:val="Asunto del comentario Car"/>
    <w:basedOn w:val="TextocomentarioCar"/>
    <w:link w:val="Asuntodelcomentario"/>
    <w:uiPriority w:val="99"/>
    <w:semiHidden/>
    <w:rsid w:val="0096778A"/>
    <w:rPr>
      <w:b/>
      <w:bCs/>
      <w:sz w:val="20"/>
      <w:szCs w:val="20"/>
    </w:rPr>
  </w:style>
  <w:style w:type="paragraph" w:styleId="Sinespaciado">
    <w:name w:val="No Spacing"/>
    <w:uiPriority w:val="1"/>
    <w:qFormat/>
    <w:rsid w:val="003261D8"/>
    <w:pPr>
      <w:jc w:val="both"/>
    </w:pPr>
    <w:rPr>
      <w:rFonts w:ascii="Verdana" w:eastAsia="Calibri" w:hAnsi="Verdana" w:cs="Calibri"/>
      <w:sz w:val="20"/>
      <w:szCs w:val="22"/>
    </w:rPr>
  </w:style>
  <w:style w:type="character" w:customStyle="1" w:styleId="PrrafodelistaCar">
    <w:name w:val="Párrafo de lista Car"/>
    <w:aliases w:val="Footnote Car,List Paragraph1 Car,Párrafo de lista1 Car,Colorful List - Accent 11 Car,List Paragraph2 Car,Lista vistosa - Énfasis 11 Car,Subtle Emphasis1 Car,Footnote1 Car,List Paragraph11 Car,Parrafos Car,Párrafo de lista2 Car"/>
    <w:link w:val="Prrafodelista"/>
    <w:uiPriority w:val="1"/>
    <w:qFormat/>
    <w:rsid w:val="003261D8"/>
  </w:style>
  <w:style w:type="paragraph" w:customStyle="1" w:styleId="PrrafodeSentencia">
    <w:name w:val="*. Párrafo de Sentencia"/>
    <w:basedOn w:val="Normal"/>
    <w:next w:val="Normal"/>
    <w:link w:val="PrrafodeSentenciaChar"/>
    <w:qFormat/>
    <w:rsid w:val="003261D8"/>
    <w:pPr>
      <w:numPr>
        <w:numId w:val="5"/>
      </w:numPr>
      <w:tabs>
        <w:tab w:val="left" w:pos="567"/>
      </w:tabs>
      <w:ind w:left="0" w:firstLine="0"/>
      <w:jc w:val="both"/>
    </w:pPr>
    <w:rPr>
      <w:rFonts w:ascii="Verdana" w:eastAsia="Batang" w:hAnsi="Verdana"/>
      <w:spacing w:val="-4"/>
      <w:sz w:val="20"/>
      <w:szCs w:val="22"/>
      <w:lang w:val="es-CR"/>
    </w:rPr>
  </w:style>
  <w:style w:type="character" w:customStyle="1" w:styleId="PrrafodeSentenciaChar">
    <w:name w:val="*. Párrafo de Sentencia Char"/>
    <w:basedOn w:val="Fuentedeprrafopredeter"/>
    <w:link w:val="PrrafodeSentencia"/>
    <w:rsid w:val="003261D8"/>
    <w:rPr>
      <w:rFonts w:ascii="Verdana" w:eastAsia="Batang" w:hAnsi="Verdana" w:cs="Times New Roman"/>
      <w:spacing w:val="-4"/>
      <w:sz w:val="20"/>
      <w:szCs w:val="22"/>
      <w:lang w:val="es-CR" w:eastAsia="es-MX"/>
    </w:rPr>
  </w:style>
  <w:style w:type="paragraph" w:customStyle="1" w:styleId="Default">
    <w:name w:val="Default"/>
    <w:rsid w:val="007D6516"/>
    <w:pPr>
      <w:autoSpaceDE w:val="0"/>
      <w:autoSpaceDN w:val="0"/>
      <w:adjustRightInd w:val="0"/>
    </w:pPr>
    <w:rPr>
      <w:rFonts w:ascii="Verdana" w:hAnsi="Verdana" w:cs="Verdana"/>
      <w:color w:val="000000"/>
    </w:rPr>
  </w:style>
  <w:style w:type="character" w:customStyle="1" w:styleId="Ttulo4Car">
    <w:name w:val="Título 4 Car"/>
    <w:basedOn w:val="Fuentedeprrafopredeter"/>
    <w:link w:val="Ttulo4"/>
    <w:rsid w:val="00FE2D6F"/>
    <w:rPr>
      <w:rFonts w:ascii="Verdana" w:eastAsia="Verdana" w:hAnsi="Verdana" w:cs="Verdana"/>
      <w:b/>
      <w:bCs/>
      <w:color w:val="000000"/>
      <w:sz w:val="20"/>
      <w:szCs w:val="20"/>
      <w:u w:color="000000"/>
      <w:bdr w:val="nil"/>
      <w:lang w:val="es-ES_tradnl" w:eastAsia="es-CR"/>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FE2D6F"/>
    <w:pPr>
      <w:jc w:val="both"/>
    </w:pPr>
    <w:rPr>
      <w:rFonts w:asciiTheme="minorHAnsi" w:eastAsiaTheme="minorHAnsi" w:hAnsiTheme="minorHAnsi" w:cstheme="minorBidi"/>
      <w:vertAlign w:val="superscript"/>
      <w:lang w:eastAsia="en-U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uiPriority w:val="99"/>
    <w:qFormat/>
    <w:rsid w:val="00700EEB"/>
    <w:pPr>
      <w:spacing w:after="160" w:line="240" w:lineRule="exact"/>
    </w:pPr>
    <w:rPr>
      <w:rFonts w:asciiTheme="minorHAnsi" w:eastAsiaTheme="minorHAnsi" w:hAnsiTheme="minorHAnsi" w:cstheme="minorBidi"/>
      <w:sz w:val="22"/>
      <w:szCs w:val="22"/>
      <w:vertAlign w:val="superscript"/>
      <w:lang w:val="es-GT" w:eastAsia="en-US"/>
    </w:rPr>
  </w:style>
  <w:style w:type="character" w:styleId="Textoennegrita">
    <w:name w:val="Strong"/>
    <w:aliases w:val="Heading 2.1"/>
    <w:basedOn w:val="Fuentedeprrafopredeter"/>
    <w:uiPriority w:val="22"/>
    <w:qFormat/>
    <w:rsid w:val="00700EEB"/>
    <w:rPr>
      <w:b/>
      <w:bCs/>
    </w:rPr>
  </w:style>
  <w:style w:type="paragraph" w:styleId="NormalWeb">
    <w:name w:val="Normal (Web)"/>
    <w:basedOn w:val="Normal"/>
    <w:uiPriority w:val="99"/>
    <w:unhideWhenUsed/>
    <w:rsid w:val="00F60369"/>
    <w:pPr>
      <w:spacing w:before="100" w:beforeAutospacing="1" w:after="100" w:afterAutospacing="1"/>
    </w:pPr>
  </w:style>
  <w:style w:type="paragraph" w:styleId="Piedepgina">
    <w:name w:val="footer"/>
    <w:basedOn w:val="Normal"/>
    <w:link w:val="PiedepginaCar"/>
    <w:uiPriority w:val="99"/>
    <w:unhideWhenUsed/>
    <w:rsid w:val="0048290A"/>
    <w:pPr>
      <w:tabs>
        <w:tab w:val="center" w:pos="4419"/>
        <w:tab w:val="right" w:pos="8838"/>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48290A"/>
  </w:style>
  <w:style w:type="character" w:styleId="Nmerodepgina">
    <w:name w:val="page number"/>
    <w:basedOn w:val="Fuentedeprrafopredeter"/>
    <w:uiPriority w:val="99"/>
    <w:semiHidden/>
    <w:unhideWhenUsed/>
    <w:rsid w:val="0048290A"/>
  </w:style>
  <w:style w:type="character" w:customStyle="1" w:styleId="apple-converted-space">
    <w:name w:val="apple-converted-space"/>
    <w:basedOn w:val="Fuentedeprrafopredeter"/>
    <w:rsid w:val="001259F7"/>
  </w:style>
  <w:style w:type="character" w:styleId="Hipervnculo">
    <w:name w:val="Hyperlink"/>
    <w:uiPriority w:val="99"/>
    <w:rsid w:val="003C461F"/>
    <w:rPr>
      <w:u w:val="single"/>
    </w:rPr>
  </w:style>
  <w:style w:type="character" w:customStyle="1" w:styleId="Mencinsinresolver1">
    <w:name w:val="Mención sin resolver1"/>
    <w:basedOn w:val="Fuentedeprrafopredeter"/>
    <w:uiPriority w:val="99"/>
    <w:semiHidden/>
    <w:unhideWhenUsed/>
    <w:rsid w:val="006C19B2"/>
    <w:rPr>
      <w:color w:val="605E5C"/>
      <w:shd w:val="clear" w:color="auto" w:fill="E1DFDD"/>
    </w:rPr>
  </w:style>
  <w:style w:type="character" w:styleId="Hipervnculovisitado">
    <w:name w:val="FollowedHyperlink"/>
    <w:basedOn w:val="Fuentedeprrafopredeter"/>
    <w:uiPriority w:val="99"/>
    <w:semiHidden/>
    <w:unhideWhenUsed/>
    <w:rsid w:val="006C19B2"/>
    <w:rPr>
      <w:color w:val="954F72" w:themeColor="followedHyperlink"/>
      <w:u w:val="single"/>
    </w:rPr>
  </w:style>
  <w:style w:type="paragraph" w:styleId="Revisin">
    <w:name w:val="Revision"/>
    <w:hidden/>
    <w:uiPriority w:val="99"/>
    <w:semiHidden/>
    <w:rsid w:val="006C19B2"/>
    <w:rPr>
      <w:rFonts w:ascii="Times New Roman" w:eastAsia="Times New Roman" w:hAnsi="Times New Roman" w:cs="Times New Roman"/>
      <w:lang w:eastAsia="es-MX"/>
    </w:rPr>
  </w:style>
  <w:style w:type="paragraph" w:styleId="Textodeglobo">
    <w:name w:val="Balloon Text"/>
    <w:basedOn w:val="Normal"/>
    <w:link w:val="TextodegloboCar"/>
    <w:uiPriority w:val="99"/>
    <w:semiHidden/>
    <w:unhideWhenUsed/>
    <w:rsid w:val="00B709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0976"/>
    <w:rPr>
      <w:rFonts w:ascii="Segoe UI" w:eastAsia="Times New Roman" w:hAnsi="Segoe UI" w:cs="Segoe UI"/>
      <w:sz w:val="18"/>
      <w:szCs w:val="18"/>
      <w:lang w:eastAsia="es-MX"/>
    </w:rPr>
  </w:style>
  <w:style w:type="character" w:customStyle="1" w:styleId="None">
    <w:name w:val="None"/>
    <w:rsid w:val="006A4EBE"/>
  </w:style>
  <w:style w:type="paragraph" w:styleId="Textoindependiente">
    <w:name w:val="Body Text"/>
    <w:basedOn w:val="Normal"/>
    <w:link w:val="TextoindependienteCar"/>
    <w:uiPriority w:val="1"/>
    <w:qFormat/>
    <w:rsid w:val="0034594D"/>
    <w:pPr>
      <w:widowControl w:val="0"/>
      <w:autoSpaceDE w:val="0"/>
      <w:autoSpaceDN w:val="0"/>
    </w:pPr>
    <w:rPr>
      <w:rFonts w:ascii="Verdana" w:eastAsia="Verdana" w:hAnsi="Verdana" w:cs="Verdana"/>
      <w:sz w:val="20"/>
      <w:szCs w:val="20"/>
      <w:lang w:val="es-ES" w:eastAsia="en-US"/>
    </w:rPr>
  </w:style>
  <w:style w:type="character" w:customStyle="1" w:styleId="TextoindependienteCar">
    <w:name w:val="Texto independiente Car"/>
    <w:basedOn w:val="Fuentedeprrafopredeter"/>
    <w:link w:val="Textoindependiente"/>
    <w:uiPriority w:val="1"/>
    <w:rsid w:val="0034594D"/>
    <w:rPr>
      <w:rFonts w:ascii="Verdana" w:eastAsia="Verdana" w:hAnsi="Verdana" w:cs="Verdana"/>
      <w:sz w:val="20"/>
      <w:szCs w:val="20"/>
      <w:lang w:val="es-ES"/>
    </w:rPr>
  </w:style>
  <w:style w:type="paragraph" w:styleId="Ttulo">
    <w:name w:val="Title"/>
    <w:basedOn w:val="Normal"/>
    <w:link w:val="TtuloCar"/>
    <w:uiPriority w:val="10"/>
    <w:qFormat/>
    <w:rsid w:val="004432F6"/>
    <w:pPr>
      <w:numPr>
        <w:numId w:val="15"/>
      </w:numPr>
      <w:jc w:val="both"/>
    </w:pPr>
    <w:rPr>
      <w:rFonts w:ascii="Verdana" w:hAnsi="Verdana"/>
      <w:b/>
      <w:sz w:val="20"/>
      <w:szCs w:val="20"/>
      <w:lang w:val="es-ES_tradnl" w:eastAsia="es-ES" w:bidi="en-US"/>
    </w:rPr>
  </w:style>
  <w:style w:type="character" w:customStyle="1" w:styleId="TtuloCar">
    <w:name w:val="Título Car"/>
    <w:basedOn w:val="Fuentedeprrafopredeter"/>
    <w:link w:val="Ttulo"/>
    <w:uiPriority w:val="10"/>
    <w:rsid w:val="004432F6"/>
    <w:rPr>
      <w:rFonts w:ascii="Verdana" w:eastAsia="Times New Roman" w:hAnsi="Verdana" w:cs="Times New Roman"/>
      <w:b/>
      <w:sz w:val="20"/>
      <w:szCs w:val="20"/>
      <w:lang w:val="es-ES_tradnl" w:eastAsia="es-ES" w:bidi="en-US"/>
    </w:rPr>
  </w:style>
  <w:style w:type="character" w:customStyle="1" w:styleId="Mencinsinresolver2">
    <w:name w:val="Mención sin resolver2"/>
    <w:basedOn w:val="Fuentedeprrafopredeter"/>
    <w:uiPriority w:val="99"/>
    <w:semiHidden/>
    <w:unhideWhenUsed/>
    <w:rsid w:val="00BB12B3"/>
    <w:rPr>
      <w:color w:val="605E5C"/>
      <w:shd w:val="clear" w:color="auto" w:fill="E1DFDD"/>
    </w:rPr>
  </w:style>
  <w:style w:type="paragraph" w:styleId="Textodebloque">
    <w:name w:val="Block Text"/>
    <w:basedOn w:val="Normal"/>
    <w:uiPriority w:val="99"/>
    <w:semiHidden/>
    <w:unhideWhenUsed/>
    <w:rsid w:val="006B7EA6"/>
    <w:pPr>
      <w:spacing w:before="100" w:beforeAutospacing="1" w:after="100" w:afterAutospacing="1"/>
    </w:pPr>
  </w:style>
  <w:style w:type="paragraph" w:customStyle="1" w:styleId="sa1d3da2e">
    <w:name w:val="sa1d3da2e"/>
    <w:basedOn w:val="Normal"/>
    <w:rsid w:val="00301683"/>
    <w:pPr>
      <w:spacing w:before="100" w:beforeAutospacing="1" w:after="100" w:afterAutospacing="1"/>
    </w:pPr>
  </w:style>
  <w:style w:type="character" w:customStyle="1" w:styleId="sfbc99493">
    <w:name w:val="sfbc99493"/>
    <w:basedOn w:val="Fuentedeprrafopredeter"/>
    <w:rsid w:val="00301683"/>
  </w:style>
  <w:style w:type="character" w:customStyle="1" w:styleId="sd2e4054c">
    <w:name w:val="sd2e4054c"/>
    <w:basedOn w:val="Fuentedeprrafopredeter"/>
    <w:rsid w:val="00301683"/>
  </w:style>
  <w:style w:type="character" w:customStyle="1" w:styleId="sb18d059e">
    <w:name w:val="sb18d059e"/>
    <w:basedOn w:val="Fuentedeprrafopredeter"/>
    <w:rsid w:val="00A44290"/>
  </w:style>
  <w:style w:type="paragraph" w:customStyle="1" w:styleId="sd69d5528">
    <w:name w:val="sd69d5528"/>
    <w:basedOn w:val="Normal"/>
    <w:rsid w:val="00A44290"/>
    <w:pPr>
      <w:spacing w:before="100" w:beforeAutospacing="1" w:after="100" w:afterAutospacing="1"/>
    </w:pPr>
  </w:style>
  <w:style w:type="character" w:customStyle="1" w:styleId="s97067e05">
    <w:name w:val="s97067e05"/>
    <w:basedOn w:val="Fuentedeprrafopredeter"/>
    <w:rsid w:val="00A44290"/>
  </w:style>
  <w:style w:type="character" w:customStyle="1" w:styleId="Ttulo1Car">
    <w:name w:val="Título 1 Car"/>
    <w:basedOn w:val="Fuentedeprrafopredeter"/>
    <w:link w:val="Ttulo1"/>
    <w:uiPriority w:val="9"/>
    <w:rsid w:val="00800C94"/>
    <w:rPr>
      <w:rFonts w:asciiTheme="majorHAnsi" w:eastAsiaTheme="majorEastAsia" w:hAnsiTheme="majorHAnsi" w:cstheme="majorBidi"/>
      <w:color w:val="2F5496" w:themeColor="accent1" w:themeShade="BF"/>
      <w:sz w:val="32"/>
      <w:szCs w:val="32"/>
      <w:lang w:eastAsia="es-MX"/>
    </w:rPr>
  </w:style>
  <w:style w:type="paragraph" w:customStyle="1" w:styleId="sfe10dc93">
    <w:name w:val="sfe10dc93"/>
    <w:basedOn w:val="Normal"/>
    <w:rsid w:val="008D4BEA"/>
    <w:pPr>
      <w:spacing w:before="100" w:beforeAutospacing="1" w:after="100" w:afterAutospacing="1"/>
    </w:pPr>
  </w:style>
  <w:style w:type="character" w:customStyle="1" w:styleId="sdb9eb187">
    <w:name w:val="sdb9eb187"/>
    <w:basedOn w:val="Fuentedeprrafopredeter"/>
    <w:rsid w:val="008D4BEA"/>
  </w:style>
  <w:style w:type="paragraph" w:customStyle="1" w:styleId="s32563e28">
    <w:name w:val="s32563e28"/>
    <w:basedOn w:val="Normal"/>
    <w:rsid w:val="008D4BEA"/>
    <w:pPr>
      <w:spacing w:before="100" w:beforeAutospacing="1" w:after="100" w:afterAutospacing="1"/>
    </w:pPr>
  </w:style>
  <w:style w:type="paragraph" w:styleId="Textonotaalfinal">
    <w:name w:val="endnote text"/>
    <w:basedOn w:val="Normal"/>
    <w:link w:val="TextonotaalfinalCar"/>
    <w:uiPriority w:val="99"/>
    <w:semiHidden/>
    <w:unhideWhenUsed/>
    <w:rsid w:val="000E0E4D"/>
    <w:rPr>
      <w:sz w:val="20"/>
      <w:szCs w:val="20"/>
    </w:rPr>
  </w:style>
  <w:style w:type="character" w:customStyle="1" w:styleId="TextonotaalfinalCar">
    <w:name w:val="Texto nota al final Car"/>
    <w:basedOn w:val="Fuentedeprrafopredeter"/>
    <w:link w:val="Textonotaalfinal"/>
    <w:uiPriority w:val="99"/>
    <w:semiHidden/>
    <w:rsid w:val="000E0E4D"/>
    <w:rPr>
      <w:rFonts w:ascii="Times New Roman" w:eastAsia="Times New Roman" w:hAnsi="Times New Roman" w:cs="Times New Roman"/>
      <w:sz w:val="20"/>
      <w:szCs w:val="20"/>
      <w:lang w:eastAsia="es-MX"/>
    </w:rPr>
  </w:style>
  <w:style w:type="character" w:styleId="Refdenotaalfinal">
    <w:name w:val="endnote reference"/>
    <w:basedOn w:val="Fuentedeprrafopredeter"/>
    <w:uiPriority w:val="99"/>
    <w:semiHidden/>
    <w:unhideWhenUsed/>
    <w:rsid w:val="000E0E4D"/>
    <w:rPr>
      <w:vertAlign w:val="superscript"/>
    </w:rPr>
  </w:style>
  <w:style w:type="paragraph" w:styleId="Encabezado">
    <w:name w:val="header"/>
    <w:basedOn w:val="Normal"/>
    <w:link w:val="EncabezadoCar"/>
    <w:uiPriority w:val="99"/>
    <w:unhideWhenUsed/>
    <w:rsid w:val="000A557D"/>
    <w:pPr>
      <w:tabs>
        <w:tab w:val="center" w:pos="4252"/>
        <w:tab w:val="right" w:pos="8504"/>
      </w:tabs>
    </w:pPr>
  </w:style>
  <w:style w:type="character" w:customStyle="1" w:styleId="EncabezadoCar">
    <w:name w:val="Encabezado Car"/>
    <w:basedOn w:val="Fuentedeprrafopredeter"/>
    <w:link w:val="Encabezado"/>
    <w:uiPriority w:val="99"/>
    <w:rsid w:val="000A557D"/>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6419">
      <w:bodyDiv w:val="1"/>
      <w:marLeft w:val="0"/>
      <w:marRight w:val="0"/>
      <w:marTop w:val="0"/>
      <w:marBottom w:val="0"/>
      <w:divBdr>
        <w:top w:val="none" w:sz="0" w:space="0" w:color="auto"/>
        <w:left w:val="none" w:sz="0" w:space="0" w:color="auto"/>
        <w:bottom w:val="none" w:sz="0" w:space="0" w:color="auto"/>
        <w:right w:val="none" w:sz="0" w:space="0" w:color="auto"/>
      </w:divBdr>
      <w:divsChild>
        <w:div w:id="1279726170">
          <w:marLeft w:val="0"/>
          <w:marRight w:val="0"/>
          <w:marTop w:val="0"/>
          <w:marBottom w:val="0"/>
          <w:divBdr>
            <w:top w:val="none" w:sz="0" w:space="0" w:color="auto"/>
            <w:left w:val="none" w:sz="0" w:space="0" w:color="auto"/>
            <w:bottom w:val="none" w:sz="0" w:space="0" w:color="auto"/>
            <w:right w:val="none" w:sz="0" w:space="0" w:color="auto"/>
          </w:divBdr>
          <w:divsChild>
            <w:div w:id="1797798408">
              <w:marLeft w:val="0"/>
              <w:marRight w:val="0"/>
              <w:marTop w:val="0"/>
              <w:marBottom w:val="0"/>
              <w:divBdr>
                <w:top w:val="none" w:sz="0" w:space="0" w:color="auto"/>
                <w:left w:val="none" w:sz="0" w:space="0" w:color="auto"/>
                <w:bottom w:val="none" w:sz="0" w:space="0" w:color="auto"/>
                <w:right w:val="none" w:sz="0" w:space="0" w:color="auto"/>
              </w:divBdr>
              <w:divsChild>
                <w:div w:id="15145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07469">
      <w:bodyDiv w:val="1"/>
      <w:marLeft w:val="0"/>
      <w:marRight w:val="0"/>
      <w:marTop w:val="0"/>
      <w:marBottom w:val="0"/>
      <w:divBdr>
        <w:top w:val="none" w:sz="0" w:space="0" w:color="auto"/>
        <w:left w:val="none" w:sz="0" w:space="0" w:color="auto"/>
        <w:bottom w:val="none" w:sz="0" w:space="0" w:color="auto"/>
        <w:right w:val="none" w:sz="0" w:space="0" w:color="auto"/>
      </w:divBdr>
    </w:div>
    <w:div w:id="388960507">
      <w:bodyDiv w:val="1"/>
      <w:marLeft w:val="0"/>
      <w:marRight w:val="0"/>
      <w:marTop w:val="0"/>
      <w:marBottom w:val="0"/>
      <w:divBdr>
        <w:top w:val="none" w:sz="0" w:space="0" w:color="auto"/>
        <w:left w:val="none" w:sz="0" w:space="0" w:color="auto"/>
        <w:bottom w:val="none" w:sz="0" w:space="0" w:color="auto"/>
        <w:right w:val="none" w:sz="0" w:space="0" w:color="auto"/>
      </w:divBdr>
    </w:div>
    <w:div w:id="540017355">
      <w:bodyDiv w:val="1"/>
      <w:marLeft w:val="0"/>
      <w:marRight w:val="0"/>
      <w:marTop w:val="0"/>
      <w:marBottom w:val="0"/>
      <w:divBdr>
        <w:top w:val="none" w:sz="0" w:space="0" w:color="auto"/>
        <w:left w:val="none" w:sz="0" w:space="0" w:color="auto"/>
        <w:bottom w:val="none" w:sz="0" w:space="0" w:color="auto"/>
        <w:right w:val="none" w:sz="0" w:space="0" w:color="auto"/>
      </w:divBdr>
      <w:divsChild>
        <w:div w:id="254018017">
          <w:marLeft w:val="0"/>
          <w:marRight w:val="0"/>
          <w:marTop w:val="0"/>
          <w:marBottom w:val="0"/>
          <w:divBdr>
            <w:top w:val="none" w:sz="0" w:space="0" w:color="auto"/>
            <w:left w:val="none" w:sz="0" w:space="0" w:color="auto"/>
            <w:bottom w:val="none" w:sz="0" w:space="0" w:color="auto"/>
            <w:right w:val="none" w:sz="0" w:space="0" w:color="auto"/>
          </w:divBdr>
          <w:divsChild>
            <w:div w:id="2144421590">
              <w:marLeft w:val="0"/>
              <w:marRight w:val="0"/>
              <w:marTop w:val="0"/>
              <w:marBottom w:val="0"/>
              <w:divBdr>
                <w:top w:val="none" w:sz="0" w:space="0" w:color="auto"/>
                <w:left w:val="none" w:sz="0" w:space="0" w:color="auto"/>
                <w:bottom w:val="none" w:sz="0" w:space="0" w:color="auto"/>
                <w:right w:val="none" w:sz="0" w:space="0" w:color="auto"/>
              </w:divBdr>
              <w:divsChild>
                <w:div w:id="11135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05741">
      <w:bodyDiv w:val="1"/>
      <w:marLeft w:val="0"/>
      <w:marRight w:val="0"/>
      <w:marTop w:val="0"/>
      <w:marBottom w:val="0"/>
      <w:divBdr>
        <w:top w:val="none" w:sz="0" w:space="0" w:color="auto"/>
        <w:left w:val="none" w:sz="0" w:space="0" w:color="auto"/>
        <w:bottom w:val="none" w:sz="0" w:space="0" w:color="auto"/>
        <w:right w:val="none" w:sz="0" w:space="0" w:color="auto"/>
      </w:divBdr>
    </w:div>
    <w:div w:id="756092977">
      <w:bodyDiv w:val="1"/>
      <w:marLeft w:val="0"/>
      <w:marRight w:val="0"/>
      <w:marTop w:val="0"/>
      <w:marBottom w:val="0"/>
      <w:divBdr>
        <w:top w:val="none" w:sz="0" w:space="0" w:color="auto"/>
        <w:left w:val="none" w:sz="0" w:space="0" w:color="auto"/>
        <w:bottom w:val="none" w:sz="0" w:space="0" w:color="auto"/>
        <w:right w:val="none" w:sz="0" w:space="0" w:color="auto"/>
      </w:divBdr>
      <w:divsChild>
        <w:div w:id="973825389">
          <w:marLeft w:val="0"/>
          <w:marRight w:val="0"/>
          <w:marTop w:val="0"/>
          <w:marBottom w:val="0"/>
          <w:divBdr>
            <w:top w:val="none" w:sz="0" w:space="0" w:color="auto"/>
            <w:left w:val="none" w:sz="0" w:space="0" w:color="auto"/>
            <w:bottom w:val="none" w:sz="0" w:space="0" w:color="auto"/>
            <w:right w:val="none" w:sz="0" w:space="0" w:color="auto"/>
          </w:divBdr>
          <w:divsChild>
            <w:div w:id="1242060641">
              <w:marLeft w:val="0"/>
              <w:marRight w:val="0"/>
              <w:marTop w:val="0"/>
              <w:marBottom w:val="0"/>
              <w:divBdr>
                <w:top w:val="none" w:sz="0" w:space="0" w:color="auto"/>
                <w:left w:val="none" w:sz="0" w:space="0" w:color="auto"/>
                <w:bottom w:val="none" w:sz="0" w:space="0" w:color="auto"/>
                <w:right w:val="none" w:sz="0" w:space="0" w:color="auto"/>
              </w:divBdr>
              <w:divsChild>
                <w:div w:id="5681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33190">
      <w:bodyDiv w:val="1"/>
      <w:marLeft w:val="0"/>
      <w:marRight w:val="0"/>
      <w:marTop w:val="0"/>
      <w:marBottom w:val="0"/>
      <w:divBdr>
        <w:top w:val="none" w:sz="0" w:space="0" w:color="auto"/>
        <w:left w:val="none" w:sz="0" w:space="0" w:color="auto"/>
        <w:bottom w:val="none" w:sz="0" w:space="0" w:color="auto"/>
        <w:right w:val="none" w:sz="0" w:space="0" w:color="auto"/>
      </w:divBdr>
      <w:divsChild>
        <w:div w:id="108360246">
          <w:marLeft w:val="0"/>
          <w:marRight w:val="0"/>
          <w:marTop w:val="0"/>
          <w:marBottom w:val="0"/>
          <w:divBdr>
            <w:top w:val="none" w:sz="0" w:space="0" w:color="auto"/>
            <w:left w:val="none" w:sz="0" w:space="0" w:color="auto"/>
            <w:bottom w:val="none" w:sz="0" w:space="0" w:color="auto"/>
            <w:right w:val="none" w:sz="0" w:space="0" w:color="auto"/>
          </w:divBdr>
          <w:divsChild>
            <w:div w:id="1237207078">
              <w:marLeft w:val="0"/>
              <w:marRight w:val="0"/>
              <w:marTop w:val="0"/>
              <w:marBottom w:val="0"/>
              <w:divBdr>
                <w:top w:val="none" w:sz="0" w:space="0" w:color="auto"/>
                <w:left w:val="none" w:sz="0" w:space="0" w:color="auto"/>
                <w:bottom w:val="none" w:sz="0" w:space="0" w:color="auto"/>
                <w:right w:val="none" w:sz="0" w:space="0" w:color="auto"/>
              </w:divBdr>
              <w:divsChild>
                <w:div w:id="14865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45628">
      <w:bodyDiv w:val="1"/>
      <w:marLeft w:val="0"/>
      <w:marRight w:val="0"/>
      <w:marTop w:val="0"/>
      <w:marBottom w:val="0"/>
      <w:divBdr>
        <w:top w:val="none" w:sz="0" w:space="0" w:color="auto"/>
        <w:left w:val="none" w:sz="0" w:space="0" w:color="auto"/>
        <w:bottom w:val="none" w:sz="0" w:space="0" w:color="auto"/>
        <w:right w:val="none" w:sz="0" w:space="0" w:color="auto"/>
      </w:divBdr>
      <w:divsChild>
        <w:div w:id="1011684408">
          <w:marLeft w:val="0"/>
          <w:marRight w:val="0"/>
          <w:marTop w:val="0"/>
          <w:marBottom w:val="0"/>
          <w:divBdr>
            <w:top w:val="none" w:sz="0" w:space="0" w:color="auto"/>
            <w:left w:val="none" w:sz="0" w:space="0" w:color="auto"/>
            <w:bottom w:val="none" w:sz="0" w:space="0" w:color="auto"/>
            <w:right w:val="none" w:sz="0" w:space="0" w:color="auto"/>
          </w:divBdr>
          <w:divsChild>
            <w:div w:id="458570694">
              <w:marLeft w:val="0"/>
              <w:marRight w:val="0"/>
              <w:marTop w:val="0"/>
              <w:marBottom w:val="0"/>
              <w:divBdr>
                <w:top w:val="none" w:sz="0" w:space="0" w:color="auto"/>
                <w:left w:val="none" w:sz="0" w:space="0" w:color="auto"/>
                <w:bottom w:val="none" w:sz="0" w:space="0" w:color="auto"/>
                <w:right w:val="none" w:sz="0" w:space="0" w:color="auto"/>
              </w:divBdr>
              <w:divsChild>
                <w:div w:id="17494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05086">
      <w:bodyDiv w:val="1"/>
      <w:marLeft w:val="0"/>
      <w:marRight w:val="0"/>
      <w:marTop w:val="0"/>
      <w:marBottom w:val="0"/>
      <w:divBdr>
        <w:top w:val="none" w:sz="0" w:space="0" w:color="auto"/>
        <w:left w:val="none" w:sz="0" w:space="0" w:color="auto"/>
        <w:bottom w:val="none" w:sz="0" w:space="0" w:color="auto"/>
        <w:right w:val="none" w:sz="0" w:space="0" w:color="auto"/>
      </w:divBdr>
    </w:div>
    <w:div w:id="858156399">
      <w:bodyDiv w:val="1"/>
      <w:marLeft w:val="0"/>
      <w:marRight w:val="0"/>
      <w:marTop w:val="0"/>
      <w:marBottom w:val="0"/>
      <w:divBdr>
        <w:top w:val="none" w:sz="0" w:space="0" w:color="auto"/>
        <w:left w:val="none" w:sz="0" w:space="0" w:color="auto"/>
        <w:bottom w:val="none" w:sz="0" w:space="0" w:color="auto"/>
        <w:right w:val="none" w:sz="0" w:space="0" w:color="auto"/>
      </w:divBdr>
    </w:div>
    <w:div w:id="932905298">
      <w:bodyDiv w:val="1"/>
      <w:marLeft w:val="0"/>
      <w:marRight w:val="0"/>
      <w:marTop w:val="0"/>
      <w:marBottom w:val="0"/>
      <w:divBdr>
        <w:top w:val="none" w:sz="0" w:space="0" w:color="auto"/>
        <w:left w:val="none" w:sz="0" w:space="0" w:color="auto"/>
        <w:bottom w:val="none" w:sz="0" w:space="0" w:color="auto"/>
        <w:right w:val="none" w:sz="0" w:space="0" w:color="auto"/>
      </w:divBdr>
      <w:divsChild>
        <w:div w:id="1826899073">
          <w:marLeft w:val="0"/>
          <w:marRight w:val="0"/>
          <w:marTop w:val="0"/>
          <w:marBottom w:val="0"/>
          <w:divBdr>
            <w:top w:val="none" w:sz="0" w:space="0" w:color="auto"/>
            <w:left w:val="none" w:sz="0" w:space="0" w:color="auto"/>
            <w:bottom w:val="none" w:sz="0" w:space="0" w:color="auto"/>
            <w:right w:val="none" w:sz="0" w:space="0" w:color="auto"/>
          </w:divBdr>
          <w:divsChild>
            <w:div w:id="411899294">
              <w:marLeft w:val="0"/>
              <w:marRight w:val="0"/>
              <w:marTop w:val="0"/>
              <w:marBottom w:val="0"/>
              <w:divBdr>
                <w:top w:val="none" w:sz="0" w:space="0" w:color="auto"/>
                <w:left w:val="none" w:sz="0" w:space="0" w:color="auto"/>
                <w:bottom w:val="none" w:sz="0" w:space="0" w:color="auto"/>
                <w:right w:val="none" w:sz="0" w:space="0" w:color="auto"/>
              </w:divBdr>
              <w:divsChild>
                <w:div w:id="17217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02498">
      <w:bodyDiv w:val="1"/>
      <w:marLeft w:val="0"/>
      <w:marRight w:val="0"/>
      <w:marTop w:val="0"/>
      <w:marBottom w:val="0"/>
      <w:divBdr>
        <w:top w:val="none" w:sz="0" w:space="0" w:color="auto"/>
        <w:left w:val="none" w:sz="0" w:space="0" w:color="auto"/>
        <w:bottom w:val="none" w:sz="0" w:space="0" w:color="auto"/>
        <w:right w:val="none" w:sz="0" w:space="0" w:color="auto"/>
      </w:divBdr>
    </w:div>
    <w:div w:id="1150906632">
      <w:bodyDiv w:val="1"/>
      <w:marLeft w:val="0"/>
      <w:marRight w:val="0"/>
      <w:marTop w:val="0"/>
      <w:marBottom w:val="0"/>
      <w:divBdr>
        <w:top w:val="none" w:sz="0" w:space="0" w:color="auto"/>
        <w:left w:val="none" w:sz="0" w:space="0" w:color="auto"/>
        <w:bottom w:val="none" w:sz="0" w:space="0" w:color="auto"/>
        <w:right w:val="none" w:sz="0" w:space="0" w:color="auto"/>
      </w:divBdr>
      <w:divsChild>
        <w:div w:id="245068883">
          <w:marLeft w:val="0"/>
          <w:marRight w:val="0"/>
          <w:marTop w:val="0"/>
          <w:marBottom w:val="0"/>
          <w:divBdr>
            <w:top w:val="none" w:sz="0" w:space="0" w:color="auto"/>
            <w:left w:val="none" w:sz="0" w:space="0" w:color="auto"/>
            <w:bottom w:val="none" w:sz="0" w:space="0" w:color="auto"/>
            <w:right w:val="none" w:sz="0" w:space="0" w:color="auto"/>
          </w:divBdr>
          <w:divsChild>
            <w:div w:id="696321545">
              <w:marLeft w:val="0"/>
              <w:marRight w:val="0"/>
              <w:marTop w:val="0"/>
              <w:marBottom w:val="0"/>
              <w:divBdr>
                <w:top w:val="none" w:sz="0" w:space="0" w:color="auto"/>
                <w:left w:val="none" w:sz="0" w:space="0" w:color="auto"/>
                <w:bottom w:val="none" w:sz="0" w:space="0" w:color="auto"/>
                <w:right w:val="none" w:sz="0" w:space="0" w:color="auto"/>
              </w:divBdr>
              <w:divsChild>
                <w:div w:id="12374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20512">
      <w:bodyDiv w:val="1"/>
      <w:marLeft w:val="0"/>
      <w:marRight w:val="0"/>
      <w:marTop w:val="0"/>
      <w:marBottom w:val="0"/>
      <w:divBdr>
        <w:top w:val="none" w:sz="0" w:space="0" w:color="auto"/>
        <w:left w:val="none" w:sz="0" w:space="0" w:color="auto"/>
        <w:bottom w:val="none" w:sz="0" w:space="0" w:color="auto"/>
        <w:right w:val="none" w:sz="0" w:space="0" w:color="auto"/>
      </w:divBdr>
    </w:div>
    <w:div w:id="1371684621">
      <w:bodyDiv w:val="1"/>
      <w:marLeft w:val="0"/>
      <w:marRight w:val="0"/>
      <w:marTop w:val="0"/>
      <w:marBottom w:val="0"/>
      <w:divBdr>
        <w:top w:val="none" w:sz="0" w:space="0" w:color="auto"/>
        <w:left w:val="none" w:sz="0" w:space="0" w:color="auto"/>
        <w:bottom w:val="none" w:sz="0" w:space="0" w:color="auto"/>
        <w:right w:val="none" w:sz="0" w:space="0" w:color="auto"/>
      </w:divBdr>
      <w:divsChild>
        <w:div w:id="720011058">
          <w:marLeft w:val="0"/>
          <w:marRight w:val="0"/>
          <w:marTop w:val="0"/>
          <w:marBottom w:val="0"/>
          <w:divBdr>
            <w:top w:val="none" w:sz="0" w:space="0" w:color="auto"/>
            <w:left w:val="none" w:sz="0" w:space="0" w:color="auto"/>
            <w:bottom w:val="none" w:sz="0" w:space="0" w:color="auto"/>
            <w:right w:val="none" w:sz="0" w:space="0" w:color="auto"/>
          </w:divBdr>
          <w:divsChild>
            <w:div w:id="1395812324">
              <w:marLeft w:val="0"/>
              <w:marRight w:val="0"/>
              <w:marTop w:val="0"/>
              <w:marBottom w:val="0"/>
              <w:divBdr>
                <w:top w:val="none" w:sz="0" w:space="0" w:color="auto"/>
                <w:left w:val="none" w:sz="0" w:space="0" w:color="auto"/>
                <w:bottom w:val="none" w:sz="0" w:space="0" w:color="auto"/>
                <w:right w:val="none" w:sz="0" w:space="0" w:color="auto"/>
              </w:divBdr>
              <w:divsChild>
                <w:div w:id="13965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04888">
      <w:bodyDiv w:val="1"/>
      <w:marLeft w:val="0"/>
      <w:marRight w:val="0"/>
      <w:marTop w:val="0"/>
      <w:marBottom w:val="0"/>
      <w:divBdr>
        <w:top w:val="none" w:sz="0" w:space="0" w:color="auto"/>
        <w:left w:val="none" w:sz="0" w:space="0" w:color="auto"/>
        <w:bottom w:val="none" w:sz="0" w:space="0" w:color="auto"/>
        <w:right w:val="none" w:sz="0" w:space="0" w:color="auto"/>
      </w:divBdr>
      <w:divsChild>
        <w:div w:id="731540953">
          <w:marLeft w:val="0"/>
          <w:marRight w:val="0"/>
          <w:marTop w:val="0"/>
          <w:marBottom w:val="0"/>
          <w:divBdr>
            <w:top w:val="none" w:sz="0" w:space="0" w:color="auto"/>
            <w:left w:val="none" w:sz="0" w:space="0" w:color="auto"/>
            <w:bottom w:val="none" w:sz="0" w:space="0" w:color="auto"/>
            <w:right w:val="none" w:sz="0" w:space="0" w:color="auto"/>
          </w:divBdr>
          <w:divsChild>
            <w:div w:id="1581670054">
              <w:marLeft w:val="0"/>
              <w:marRight w:val="0"/>
              <w:marTop w:val="0"/>
              <w:marBottom w:val="0"/>
              <w:divBdr>
                <w:top w:val="none" w:sz="0" w:space="0" w:color="auto"/>
                <w:left w:val="none" w:sz="0" w:space="0" w:color="auto"/>
                <w:bottom w:val="none" w:sz="0" w:space="0" w:color="auto"/>
                <w:right w:val="none" w:sz="0" w:space="0" w:color="auto"/>
              </w:divBdr>
              <w:divsChild>
                <w:div w:id="9812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8258">
      <w:bodyDiv w:val="1"/>
      <w:marLeft w:val="0"/>
      <w:marRight w:val="0"/>
      <w:marTop w:val="0"/>
      <w:marBottom w:val="0"/>
      <w:divBdr>
        <w:top w:val="none" w:sz="0" w:space="0" w:color="auto"/>
        <w:left w:val="none" w:sz="0" w:space="0" w:color="auto"/>
        <w:bottom w:val="none" w:sz="0" w:space="0" w:color="auto"/>
        <w:right w:val="none" w:sz="0" w:space="0" w:color="auto"/>
      </w:divBdr>
      <w:divsChild>
        <w:div w:id="352846804">
          <w:marLeft w:val="0"/>
          <w:marRight w:val="0"/>
          <w:marTop w:val="0"/>
          <w:marBottom w:val="0"/>
          <w:divBdr>
            <w:top w:val="none" w:sz="0" w:space="0" w:color="auto"/>
            <w:left w:val="none" w:sz="0" w:space="0" w:color="auto"/>
            <w:bottom w:val="none" w:sz="0" w:space="0" w:color="auto"/>
            <w:right w:val="none" w:sz="0" w:space="0" w:color="auto"/>
          </w:divBdr>
          <w:divsChild>
            <w:div w:id="176702326">
              <w:marLeft w:val="0"/>
              <w:marRight w:val="0"/>
              <w:marTop w:val="0"/>
              <w:marBottom w:val="0"/>
              <w:divBdr>
                <w:top w:val="none" w:sz="0" w:space="0" w:color="auto"/>
                <w:left w:val="none" w:sz="0" w:space="0" w:color="auto"/>
                <w:bottom w:val="none" w:sz="0" w:space="0" w:color="auto"/>
                <w:right w:val="none" w:sz="0" w:space="0" w:color="auto"/>
              </w:divBdr>
              <w:divsChild>
                <w:div w:id="3573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49438">
      <w:bodyDiv w:val="1"/>
      <w:marLeft w:val="0"/>
      <w:marRight w:val="0"/>
      <w:marTop w:val="0"/>
      <w:marBottom w:val="0"/>
      <w:divBdr>
        <w:top w:val="none" w:sz="0" w:space="0" w:color="auto"/>
        <w:left w:val="none" w:sz="0" w:space="0" w:color="auto"/>
        <w:bottom w:val="none" w:sz="0" w:space="0" w:color="auto"/>
        <w:right w:val="none" w:sz="0" w:space="0" w:color="auto"/>
      </w:divBdr>
    </w:div>
    <w:div w:id="1794323343">
      <w:bodyDiv w:val="1"/>
      <w:marLeft w:val="0"/>
      <w:marRight w:val="0"/>
      <w:marTop w:val="0"/>
      <w:marBottom w:val="0"/>
      <w:divBdr>
        <w:top w:val="none" w:sz="0" w:space="0" w:color="auto"/>
        <w:left w:val="none" w:sz="0" w:space="0" w:color="auto"/>
        <w:bottom w:val="none" w:sz="0" w:space="0" w:color="auto"/>
        <w:right w:val="none" w:sz="0" w:space="0" w:color="auto"/>
      </w:divBdr>
    </w:div>
    <w:div w:id="1894610889">
      <w:bodyDiv w:val="1"/>
      <w:marLeft w:val="0"/>
      <w:marRight w:val="0"/>
      <w:marTop w:val="0"/>
      <w:marBottom w:val="0"/>
      <w:divBdr>
        <w:top w:val="none" w:sz="0" w:space="0" w:color="auto"/>
        <w:left w:val="none" w:sz="0" w:space="0" w:color="auto"/>
        <w:bottom w:val="none" w:sz="0" w:space="0" w:color="auto"/>
        <w:right w:val="none" w:sz="0" w:space="0" w:color="auto"/>
      </w:divBdr>
      <w:divsChild>
        <w:div w:id="1656034058">
          <w:marLeft w:val="0"/>
          <w:marRight w:val="0"/>
          <w:marTop w:val="0"/>
          <w:marBottom w:val="0"/>
          <w:divBdr>
            <w:top w:val="none" w:sz="0" w:space="0" w:color="auto"/>
            <w:left w:val="none" w:sz="0" w:space="0" w:color="auto"/>
            <w:bottom w:val="none" w:sz="0" w:space="0" w:color="auto"/>
            <w:right w:val="none" w:sz="0" w:space="0" w:color="auto"/>
          </w:divBdr>
          <w:divsChild>
            <w:div w:id="1619678517">
              <w:marLeft w:val="0"/>
              <w:marRight w:val="0"/>
              <w:marTop w:val="0"/>
              <w:marBottom w:val="0"/>
              <w:divBdr>
                <w:top w:val="none" w:sz="0" w:space="0" w:color="auto"/>
                <w:left w:val="none" w:sz="0" w:space="0" w:color="auto"/>
                <w:bottom w:val="none" w:sz="0" w:space="0" w:color="auto"/>
                <w:right w:val="none" w:sz="0" w:space="0" w:color="auto"/>
              </w:divBdr>
              <w:divsChild>
                <w:div w:id="15437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1711">
      <w:bodyDiv w:val="1"/>
      <w:marLeft w:val="0"/>
      <w:marRight w:val="0"/>
      <w:marTop w:val="0"/>
      <w:marBottom w:val="0"/>
      <w:divBdr>
        <w:top w:val="none" w:sz="0" w:space="0" w:color="auto"/>
        <w:left w:val="none" w:sz="0" w:space="0" w:color="auto"/>
        <w:bottom w:val="none" w:sz="0" w:space="0" w:color="auto"/>
        <w:right w:val="none" w:sz="0" w:space="0" w:color="auto"/>
      </w:divBdr>
    </w:div>
    <w:div w:id="1959095164">
      <w:bodyDiv w:val="1"/>
      <w:marLeft w:val="0"/>
      <w:marRight w:val="0"/>
      <w:marTop w:val="0"/>
      <w:marBottom w:val="0"/>
      <w:divBdr>
        <w:top w:val="none" w:sz="0" w:space="0" w:color="auto"/>
        <w:left w:val="none" w:sz="0" w:space="0" w:color="auto"/>
        <w:bottom w:val="none" w:sz="0" w:space="0" w:color="auto"/>
        <w:right w:val="none" w:sz="0" w:space="0" w:color="auto"/>
      </w:divBdr>
    </w:div>
    <w:div w:id="208950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rive.google.com/file/d/11PM0Wc8emhVG3y2lEfTqj7a-H4TVm0f0/view" TargetMode="External"/><Relationship Id="rId3" Type="http://schemas.openxmlformats.org/officeDocument/2006/relationships/hyperlink" Target="https://www.ohchr.org/es/special-procedures/sr-environment" TargetMode="External"/><Relationship Id="rId7" Type="http://schemas.openxmlformats.org/officeDocument/2006/relationships/hyperlink" Target="https://www.bundesverfassungsgericht.de/SharedDocs/Entscheidungen/ES/2021/03/rs20210324_1bvr265618es.html" TargetMode="External"/><Relationship Id="rId2" Type="http://schemas.openxmlformats.org/officeDocument/2006/relationships/hyperlink" Target="file:///D:/OneDrive%20-%20Tribunal%20Electoral%20del%20Poder%20Judicial%20de%20la%20Federaci%C3%B3n/juan.gongoram/Downloads/A_76_L.75-ES.cleaned.pdfn" TargetMode="External"/><Relationship Id="rId1" Type="http://schemas.openxmlformats.org/officeDocument/2006/relationships/hyperlink" Target="file:///D:/OneDrive%20-%20Tribunal%20Electoral%20del%20Poder%20Judicial%20de%20la%20Federaci%C3%B3n/juan.gongoram/Downloads/A_76_L.75-ES.cleaned.pdfn" TargetMode="External"/><Relationship Id="rId6" Type="http://schemas.openxmlformats.org/officeDocument/2006/relationships/hyperlink" Target="https://www.echr.coe.int/documents/d/echr/FS_Environment_ENG" TargetMode="External"/><Relationship Id="rId5" Type="http://schemas.openxmlformats.org/officeDocument/2006/relationships/hyperlink" Target="https://www.echr.coe.int/documents/d/echr/FS_Climate_change_ENG" TargetMode="External"/><Relationship Id="rId4" Type="http://schemas.openxmlformats.org/officeDocument/2006/relationships/hyperlink" Target="https://www.ohchr.org/es/specialprocedures/sr-climate-chan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EBF82-5FC6-44F0-9118-A3CEFA0B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20030</Words>
  <Characters>106760</Characters>
  <Application>Microsoft Office Word</Application>
  <DocSecurity>0</DocSecurity>
  <Lines>1977</Lines>
  <Paragraphs>299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 IDH</dc:creator>
  <cp:keywords/>
  <dc:description/>
  <cp:lastModifiedBy/>
  <cp:revision>1</cp:revision>
  <dcterms:created xsi:type="dcterms:W3CDTF">2024-03-21T22:29:00Z</dcterms:created>
  <dcterms:modified xsi:type="dcterms:W3CDTF">2025-11-12T04:55:00Z</dcterms:modified>
</cp:coreProperties>
</file>