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ED9CBA" w14:textId="6B7B7AB1" w:rsidR="00DB4E50" w:rsidRPr="00D47440" w:rsidRDefault="00DB4E50" w:rsidP="001D666F">
      <w:pPr>
        <w:ind w:left="720" w:hanging="720"/>
        <w:jc w:val="center"/>
        <w:rPr>
          <w:rFonts w:ascii="Verdana" w:eastAsia="Verdana" w:hAnsi="Verdana" w:cs="Verdana"/>
          <w:b/>
          <w:sz w:val="20"/>
          <w:szCs w:val="20"/>
        </w:rPr>
      </w:pPr>
      <w:r w:rsidRPr="00D47440">
        <w:rPr>
          <w:rFonts w:ascii="Verdana" w:eastAsia="Verdana" w:hAnsi="Verdana" w:cs="Verdana"/>
          <w:b/>
          <w:sz w:val="20"/>
          <w:szCs w:val="20"/>
        </w:rPr>
        <w:t>VOTO PARCIALMENTE DISIDENTE</w:t>
      </w:r>
    </w:p>
    <w:p w14:paraId="3AA2749F" w14:textId="77777777" w:rsidR="00DB4E50" w:rsidRPr="00D47440" w:rsidRDefault="00DB4E50" w:rsidP="001D666F">
      <w:pPr>
        <w:ind w:left="720" w:hanging="720"/>
        <w:jc w:val="center"/>
        <w:rPr>
          <w:rFonts w:ascii="Verdana" w:eastAsia="Verdana" w:hAnsi="Verdana" w:cs="Verdana"/>
          <w:b/>
          <w:sz w:val="20"/>
          <w:szCs w:val="20"/>
        </w:rPr>
      </w:pPr>
    </w:p>
    <w:p w14:paraId="0560C491" w14:textId="76F46C80" w:rsidR="00DB4E50" w:rsidRPr="00D47440" w:rsidRDefault="00DB4E50" w:rsidP="001D666F">
      <w:pPr>
        <w:ind w:left="720" w:hanging="720"/>
        <w:jc w:val="center"/>
        <w:rPr>
          <w:rFonts w:ascii="Verdana" w:eastAsia="Verdana" w:hAnsi="Verdana" w:cs="Verdana"/>
          <w:b/>
          <w:sz w:val="20"/>
          <w:szCs w:val="20"/>
        </w:rPr>
      </w:pPr>
      <w:r w:rsidRPr="00D47440">
        <w:rPr>
          <w:rFonts w:ascii="Verdana" w:eastAsia="Verdana" w:hAnsi="Verdana" w:cs="Verdana"/>
          <w:b/>
          <w:sz w:val="20"/>
          <w:szCs w:val="20"/>
        </w:rPr>
        <w:t>DEL JUEZ HUMBERTO SIERRA PORTO Y DE LA JUEZA PATRICIA PÉREZ GOLDBERG</w:t>
      </w:r>
    </w:p>
    <w:p w14:paraId="6C61A91E" w14:textId="77777777" w:rsidR="00DB4E50" w:rsidRPr="00D47440" w:rsidRDefault="00DB4E50" w:rsidP="001D666F">
      <w:pPr>
        <w:ind w:left="720" w:hanging="720"/>
        <w:jc w:val="center"/>
        <w:rPr>
          <w:rFonts w:ascii="Verdana" w:eastAsia="Verdana" w:hAnsi="Verdana" w:cs="Verdana"/>
          <w:b/>
          <w:sz w:val="20"/>
          <w:szCs w:val="20"/>
        </w:rPr>
      </w:pPr>
    </w:p>
    <w:p w14:paraId="79A1D7CF" w14:textId="77777777" w:rsidR="00DB4E50" w:rsidRPr="00D47440" w:rsidRDefault="00DB4E50" w:rsidP="001D666F">
      <w:pPr>
        <w:widowControl w:val="0"/>
        <w:tabs>
          <w:tab w:val="center" w:pos="4702"/>
          <w:tab w:val="right" w:pos="9404"/>
        </w:tabs>
        <w:jc w:val="center"/>
        <w:rPr>
          <w:rFonts w:ascii="Verdana" w:hAnsi="Verdana"/>
          <w:b/>
          <w:sz w:val="20"/>
          <w:szCs w:val="20"/>
        </w:rPr>
      </w:pPr>
    </w:p>
    <w:p w14:paraId="50E12067" w14:textId="77777777" w:rsidR="00DB4E50" w:rsidRPr="00D47440" w:rsidRDefault="00DB4E50" w:rsidP="001D666F">
      <w:pPr>
        <w:widowControl w:val="0"/>
        <w:tabs>
          <w:tab w:val="center" w:pos="4702"/>
          <w:tab w:val="right" w:pos="9404"/>
        </w:tabs>
        <w:jc w:val="center"/>
        <w:rPr>
          <w:rFonts w:ascii="Verdana" w:hAnsi="Verdana"/>
          <w:b/>
          <w:sz w:val="20"/>
          <w:szCs w:val="20"/>
        </w:rPr>
      </w:pPr>
      <w:r w:rsidRPr="00D47440">
        <w:rPr>
          <w:rFonts w:ascii="Verdana" w:hAnsi="Verdana"/>
          <w:b/>
          <w:sz w:val="20"/>
          <w:szCs w:val="20"/>
        </w:rPr>
        <w:t>CORTE INTERAMERICANA DE DERECHOS HUMANOS</w:t>
      </w:r>
    </w:p>
    <w:p w14:paraId="67A4E12A" w14:textId="77777777" w:rsidR="00DB4E50" w:rsidRPr="00D47440" w:rsidRDefault="00DB4E50" w:rsidP="001D666F">
      <w:pPr>
        <w:widowControl w:val="0"/>
        <w:jc w:val="center"/>
        <w:rPr>
          <w:rFonts w:ascii="Verdana" w:hAnsi="Verdana"/>
          <w:b/>
          <w:bCs/>
          <w:sz w:val="20"/>
          <w:szCs w:val="20"/>
        </w:rPr>
      </w:pPr>
    </w:p>
    <w:p w14:paraId="5E92E5A4" w14:textId="77777777" w:rsidR="00E32903" w:rsidRPr="00D47440" w:rsidRDefault="00E32903" w:rsidP="001D666F">
      <w:pPr>
        <w:autoSpaceDE w:val="0"/>
        <w:autoSpaceDN w:val="0"/>
        <w:adjustRightInd w:val="0"/>
        <w:jc w:val="center"/>
        <w:rPr>
          <w:rFonts w:ascii="Verdana" w:eastAsia="MS Mincho" w:hAnsi="Verdana" w:cs="Times New Roman"/>
          <w:b/>
          <w:kern w:val="0"/>
          <w:sz w:val="20"/>
          <w:szCs w:val="20"/>
          <w:lang w:val="es-CR" w:bidi="en-US"/>
          <w14:ligatures w14:val="none"/>
        </w:rPr>
      </w:pPr>
      <w:r w:rsidRPr="00D47440">
        <w:rPr>
          <w:rFonts w:ascii="Verdana" w:eastAsia="MS Mincho" w:hAnsi="Verdana" w:cs="Times New Roman"/>
          <w:b/>
          <w:kern w:val="0"/>
          <w:sz w:val="20"/>
          <w:szCs w:val="20"/>
          <w:lang w:val="es-CR" w:bidi="en-US"/>
          <w14:ligatures w14:val="none"/>
        </w:rPr>
        <w:t>CASO HABITANTES DE LA OROYA VS. PERÚ</w:t>
      </w:r>
    </w:p>
    <w:p w14:paraId="44809F17" w14:textId="77777777" w:rsidR="00E32903" w:rsidRPr="00D47440" w:rsidRDefault="00E32903" w:rsidP="001D666F">
      <w:pPr>
        <w:autoSpaceDE w:val="0"/>
        <w:autoSpaceDN w:val="0"/>
        <w:adjustRightInd w:val="0"/>
        <w:jc w:val="center"/>
        <w:rPr>
          <w:rFonts w:ascii="Verdana" w:eastAsia="MS Mincho" w:hAnsi="Verdana" w:cs="Times New Roman"/>
          <w:bCs/>
          <w:kern w:val="0"/>
          <w:sz w:val="20"/>
          <w:szCs w:val="20"/>
          <w:lang w:val="es-CR" w:bidi="en-US"/>
          <w14:ligatures w14:val="none"/>
        </w:rPr>
      </w:pPr>
    </w:p>
    <w:p w14:paraId="15641F62" w14:textId="77777777" w:rsidR="00E32903" w:rsidRPr="00D47440" w:rsidRDefault="00E32903" w:rsidP="001D666F">
      <w:pPr>
        <w:ind w:right="-138"/>
        <w:jc w:val="center"/>
        <w:rPr>
          <w:rFonts w:ascii="Verdana" w:eastAsia="MS Mincho" w:hAnsi="Verdana" w:cs="Times New Roman"/>
          <w:b/>
          <w:kern w:val="0"/>
          <w:sz w:val="20"/>
          <w:szCs w:val="20"/>
          <w:lang w:val="es-CR" w:bidi="en-US"/>
          <w14:ligatures w14:val="none"/>
        </w:rPr>
      </w:pPr>
      <w:r w:rsidRPr="00D47440">
        <w:rPr>
          <w:rFonts w:ascii="Verdana" w:eastAsia="MS Mincho" w:hAnsi="Verdana" w:cs="Times New Roman"/>
          <w:b/>
          <w:kern w:val="0"/>
          <w:sz w:val="20"/>
          <w:szCs w:val="20"/>
          <w:lang w:val="es-CR" w:bidi="en-US"/>
          <w14:ligatures w14:val="none"/>
        </w:rPr>
        <w:t>SENTENCIA DE 27 DE NOVIEMBRE DE 2023</w:t>
      </w:r>
    </w:p>
    <w:p w14:paraId="3D14A6E7" w14:textId="77777777" w:rsidR="00E32903" w:rsidRPr="00D47440" w:rsidRDefault="00E32903" w:rsidP="001D666F">
      <w:pPr>
        <w:ind w:right="-138"/>
        <w:jc w:val="center"/>
        <w:rPr>
          <w:rFonts w:ascii="Verdana" w:eastAsia="MS Mincho" w:hAnsi="Verdana" w:cs="Times New Roman"/>
          <w:b/>
          <w:i/>
          <w:kern w:val="0"/>
          <w:sz w:val="20"/>
          <w:szCs w:val="20"/>
          <w:lang w:val="es-CR" w:bidi="en-US"/>
          <w14:ligatures w14:val="none"/>
        </w:rPr>
      </w:pPr>
      <w:r w:rsidRPr="00D47440">
        <w:rPr>
          <w:rFonts w:ascii="Verdana" w:eastAsia="MS Mincho" w:hAnsi="Verdana" w:cs="Times New Roman"/>
          <w:b/>
          <w:i/>
          <w:kern w:val="0"/>
          <w:sz w:val="20"/>
          <w:szCs w:val="20"/>
          <w:lang w:val="es-CR" w:bidi="en-US"/>
          <w14:ligatures w14:val="none"/>
        </w:rPr>
        <w:t>(Excepciones Preliminares, Fondo, Reparaciones y Costas)</w:t>
      </w:r>
    </w:p>
    <w:p w14:paraId="5C53BD83" w14:textId="77777777" w:rsidR="00E32903" w:rsidRDefault="00E32903" w:rsidP="00590114">
      <w:pPr>
        <w:ind w:right="-138"/>
        <w:jc w:val="both"/>
        <w:rPr>
          <w:rFonts w:ascii="Verdana" w:eastAsia="MS Mincho" w:hAnsi="Verdana" w:cs="Times New Roman"/>
          <w:kern w:val="0"/>
          <w:sz w:val="20"/>
          <w:szCs w:val="20"/>
          <w:lang w:val="es-CR" w:bidi="en-US"/>
          <w14:ligatures w14:val="none"/>
        </w:rPr>
      </w:pPr>
    </w:p>
    <w:p w14:paraId="19B880D4" w14:textId="77777777" w:rsidR="00980EA6" w:rsidRPr="00D47440" w:rsidRDefault="00980EA6" w:rsidP="00590114">
      <w:pPr>
        <w:ind w:right="-138"/>
        <w:jc w:val="both"/>
        <w:rPr>
          <w:rFonts w:ascii="Verdana" w:eastAsia="MS Mincho" w:hAnsi="Verdana" w:cs="Times New Roman"/>
          <w:kern w:val="0"/>
          <w:sz w:val="20"/>
          <w:szCs w:val="20"/>
          <w:lang w:val="es-CR" w:bidi="en-US"/>
          <w14:ligatures w14:val="none"/>
        </w:rPr>
      </w:pPr>
    </w:p>
    <w:p w14:paraId="0E2BDBEE" w14:textId="00984965" w:rsidR="00951911" w:rsidRPr="00980EA6" w:rsidRDefault="009F41FB" w:rsidP="00590114">
      <w:pPr>
        <w:numPr>
          <w:ilvl w:val="0"/>
          <w:numId w:val="4"/>
        </w:numPr>
        <w:tabs>
          <w:tab w:val="left" w:pos="567"/>
        </w:tabs>
        <w:ind w:left="0" w:firstLine="0"/>
        <w:contextualSpacing/>
        <w:jc w:val="both"/>
        <w:rPr>
          <w:rFonts w:ascii="Verdana" w:eastAsia="Times New Roman" w:hAnsi="Verdana" w:cs="Times New Roman"/>
          <w:kern w:val="0"/>
          <w:sz w:val="20"/>
          <w:szCs w:val="20"/>
          <w:lang w:val="es-CR" w:eastAsia="es-MX"/>
          <w14:ligatures w14:val="none"/>
        </w:rPr>
      </w:pPr>
      <w:r w:rsidRPr="00D47440">
        <w:rPr>
          <w:rFonts w:ascii="Verdana" w:eastAsiaTheme="minorHAnsi" w:hAnsi="Verdana" w:cs="Times New Roman"/>
          <w:kern w:val="0"/>
          <w:sz w:val="20"/>
          <w:szCs w:val="20"/>
          <w:lang w:val="es-CR" w:eastAsia="en-US"/>
          <w14:ligatures w14:val="none"/>
        </w:rPr>
        <w:t>Con el habitual respeto ante la decisión mayoritaria de la Corte Interamericana de Derechos Humanos (en adelante “Corte Interamericana”, “Corte” o “Tribunal”), emitimos este voto</w:t>
      </w:r>
      <w:r w:rsidR="000A01FA">
        <w:rPr>
          <w:rStyle w:val="Refdenotaalpie"/>
          <w:rFonts w:ascii="Verdana" w:eastAsiaTheme="minorHAnsi" w:hAnsi="Verdana" w:cs="Times New Roman"/>
          <w:kern w:val="0"/>
          <w:sz w:val="20"/>
          <w:szCs w:val="20"/>
          <w:lang w:val="es-CR" w:eastAsia="en-US"/>
          <w14:ligatures w14:val="none"/>
        </w:rPr>
        <w:footnoteReference w:id="1"/>
      </w:r>
      <w:r w:rsidRPr="00D47440">
        <w:rPr>
          <w:rFonts w:ascii="Verdana" w:eastAsiaTheme="minorHAnsi" w:hAnsi="Verdana" w:cs="Times New Roman"/>
          <w:kern w:val="0"/>
          <w:sz w:val="20"/>
          <w:szCs w:val="20"/>
          <w:vertAlign w:val="superscript"/>
          <w:lang w:val="es-CR" w:eastAsia="en-US"/>
          <w14:ligatures w14:val="none"/>
        </w:rPr>
        <w:t xml:space="preserve"> </w:t>
      </w:r>
      <w:r w:rsidRPr="00D47440">
        <w:rPr>
          <w:rFonts w:ascii="Verdana" w:eastAsiaTheme="minorHAnsi" w:hAnsi="Verdana" w:cs="Times New Roman"/>
          <w:kern w:val="0"/>
          <w:sz w:val="20"/>
          <w:szCs w:val="20"/>
          <w:lang w:val="es-CR" w:eastAsia="en-US"/>
          <w14:ligatures w14:val="none"/>
        </w:rPr>
        <w:t xml:space="preserve">con el propósito de expresar las razones por las que discrepamos </w:t>
      </w:r>
      <w:r w:rsidR="0036021F" w:rsidRPr="00D47440">
        <w:rPr>
          <w:rFonts w:ascii="Verdana" w:eastAsiaTheme="minorHAnsi" w:hAnsi="Verdana" w:cs="Times New Roman"/>
          <w:kern w:val="0"/>
          <w:sz w:val="20"/>
          <w:szCs w:val="20"/>
          <w:lang w:val="es-CR" w:eastAsia="en-US"/>
          <w14:ligatures w14:val="none"/>
        </w:rPr>
        <w:t xml:space="preserve">respecto de distintas </w:t>
      </w:r>
      <w:r w:rsidRPr="00D47440">
        <w:rPr>
          <w:rFonts w:ascii="Verdana" w:eastAsiaTheme="minorHAnsi" w:hAnsi="Verdana" w:cs="Times New Roman"/>
          <w:kern w:val="0"/>
          <w:sz w:val="20"/>
          <w:szCs w:val="20"/>
          <w:lang w:val="es-CR" w:eastAsia="en-US"/>
          <w14:ligatures w14:val="none"/>
        </w:rPr>
        <w:t xml:space="preserve">cuestiones analizadas y resueltas </w:t>
      </w:r>
      <w:r w:rsidRPr="00D47440">
        <w:rPr>
          <w:rFonts w:ascii="Verdana" w:eastAsiaTheme="minorHAnsi" w:hAnsi="Verdana"/>
          <w:kern w:val="0"/>
          <w:sz w:val="20"/>
          <w:szCs w:val="20"/>
          <w:lang w:val="es-CR" w:eastAsia="en-US"/>
          <w14:ligatures w14:val="none"/>
        </w:rPr>
        <w:t xml:space="preserve">en la </w:t>
      </w:r>
      <w:r w:rsidRPr="00D47440">
        <w:rPr>
          <w:rFonts w:ascii="Verdana" w:eastAsiaTheme="minorHAnsi" w:hAnsi="Verdana"/>
          <w:i/>
          <w:kern w:val="0"/>
          <w:sz w:val="20"/>
          <w:szCs w:val="20"/>
          <w:lang w:val="es-CR" w:eastAsia="en-US"/>
          <w14:ligatures w14:val="none"/>
        </w:rPr>
        <w:t>Sentencia de Excepciones Preliminares, Fondo, Reparaciones y Costas</w:t>
      </w:r>
      <w:r w:rsidRPr="00D47440">
        <w:rPr>
          <w:rFonts w:ascii="Verdana" w:eastAsiaTheme="minorHAnsi" w:hAnsi="Verdana"/>
          <w:kern w:val="0"/>
          <w:sz w:val="20"/>
          <w:szCs w:val="20"/>
          <w:lang w:val="es-CR" w:eastAsia="en-US"/>
          <w14:ligatures w14:val="none"/>
        </w:rPr>
        <w:t xml:space="preserve"> dictada en el caso </w:t>
      </w:r>
      <w:r w:rsidR="00BF0B20" w:rsidRPr="00D47440">
        <w:rPr>
          <w:rFonts w:ascii="Verdana" w:eastAsiaTheme="minorHAnsi" w:hAnsi="Verdana"/>
          <w:kern w:val="0"/>
          <w:sz w:val="20"/>
          <w:szCs w:val="20"/>
          <w:lang w:val="es-CR" w:eastAsia="en-US"/>
          <w14:ligatures w14:val="none"/>
        </w:rPr>
        <w:t>«</w:t>
      </w:r>
      <w:r w:rsidR="00E32903" w:rsidRPr="00D47440">
        <w:rPr>
          <w:rFonts w:ascii="Verdana" w:eastAsiaTheme="minorHAnsi" w:hAnsi="Verdana"/>
          <w:i/>
          <w:iCs/>
          <w:kern w:val="0"/>
          <w:sz w:val="20"/>
          <w:szCs w:val="20"/>
          <w:lang w:val="es-CR" w:eastAsia="en-US"/>
          <w14:ligatures w14:val="none"/>
        </w:rPr>
        <w:t xml:space="preserve">Habitantes de la Oroya </w:t>
      </w:r>
      <w:r w:rsidR="00BF0B20" w:rsidRPr="00D47440">
        <w:rPr>
          <w:rFonts w:ascii="Verdana" w:eastAsiaTheme="minorHAnsi" w:hAnsi="Verdana"/>
          <w:i/>
          <w:iCs/>
          <w:kern w:val="0"/>
          <w:sz w:val="20"/>
          <w:szCs w:val="20"/>
          <w:lang w:val="es-CR" w:eastAsia="en-US"/>
          <w14:ligatures w14:val="none"/>
        </w:rPr>
        <w:t>Vs</w:t>
      </w:r>
      <w:r w:rsidR="00076D9D" w:rsidRPr="00D47440">
        <w:rPr>
          <w:rFonts w:ascii="Verdana" w:eastAsiaTheme="minorHAnsi" w:hAnsi="Verdana"/>
          <w:i/>
          <w:iCs/>
          <w:kern w:val="0"/>
          <w:sz w:val="20"/>
          <w:szCs w:val="20"/>
          <w:lang w:val="es-CR" w:eastAsia="en-US"/>
          <w14:ligatures w14:val="none"/>
        </w:rPr>
        <w:t>. Perú</w:t>
      </w:r>
      <w:r w:rsidR="00BF0B20" w:rsidRPr="00D47440">
        <w:rPr>
          <w:rFonts w:ascii="Verdana" w:eastAsiaTheme="minorHAnsi" w:hAnsi="Verdana"/>
          <w:i/>
          <w:iCs/>
          <w:kern w:val="0"/>
          <w:sz w:val="20"/>
          <w:szCs w:val="20"/>
          <w:lang w:val="es-CR" w:eastAsia="en-US"/>
          <w14:ligatures w14:val="none"/>
        </w:rPr>
        <w:t xml:space="preserve">». </w:t>
      </w:r>
      <w:r w:rsidR="00076D9D" w:rsidRPr="00D47440">
        <w:rPr>
          <w:rFonts w:ascii="Verdana" w:eastAsiaTheme="minorHAnsi" w:hAnsi="Verdana"/>
          <w:i/>
          <w:iCs/>
          <w:kern w:val="0"/>
          <w:sz w:val="20"/>
          <w:szCs w:val="20"/>
          <w:lang w:val="es-CR" w:eastAsia="en-US"/>
          <w14:ligatures w14:val="none"/>
        </w:rPr>
        <w:t xml:space="preserve"> </w:t>
      </w:r>
    </w:p>
    <w:p w14:paraId="70C0E56F" w14:textId="77777777" w:rsidR="00980EA6" w:rsidRPr="00590114" w:rsidRDefault="00980EA6" w:rsidP="00980EA6">
      <w:pPr>
        <w:tabs>
          <w:tab w:val="left" w:pos="567"/>
        </w:tabs>
        <w:contextualSpacing/>
        <w:jc w:val="both"/>
        <w:rPr>
          <w:rFonts w:ascii="Verdana" w:eastAsia="Times New Roman" w:hAnsi="Verdana" w:cs="Times New Roman"/>
          <w:kern w:val="0"/>
          <w:sz w:val="20"/>
          <w:szCs w:val="20"/>
          <w:lang w:val="es-CR" w:eastAsia="es-MX"/>
          <w14:ligatures w14:val="none"/>
        </w:rPr>
      </w:pPr>
    </w:p>
    <w:p w14:paraId="609F3C8D" w14:textId="6024B8B6" w:rsidR="002E4250" w:rsidRPr="00D47440" w:rsidRDefault="002E4250" w:rsidP="00590114">
      <w:pPr>
        <w:numPr>
          <w:ilvl w:val="0"/>
          <w:numId w:val="4"/>
        </w:numPr>
        <w:tabs>
          <w:tab w:val="left" w:pos="567"/>
        </w:tabs>
        <w:ind w:left="0" w:firstLine="0"/>
        <w:contextualSpacing/>
        <w:jc w:val="both"/>
        <w:rPr>
          <w:rFonts w:ascii="Verdana" w:eastAsia="Times New Roman" w:hAnsi="Verdana" w:cs="Times New Roman"/>
          <w:kern w:val="0"/>
          <w:sz w:val="20"/>
          <w:szCs w:val="20"/>
          <w:lang w:val="es-CR" w:eastAsia="es-MX"/>
          <w14:ligatures w14:val="none"/>
        </w:rPr>
      </w:pPr>
      <w:r w:rsidRPr="00D47440">
        <w:rPr>
          <w:rFonts w:ascii="Verdana" w:eastAsiaTheme="minorHAnsi" w:hAnsi="Verdana"/>
          <w:kern w:val="0"/>
          <w:sz w:val="20"/>
          <w:szCs w:val="20"/>
          <w:lang w:val="es-CR" w:eastAsia="en-US"/>
          <w14:ligatures w14:val="none"/>
        </w:rPr>
        <w:t xml:space="preserve">Para efectos de exponer nuestras consideraciones, nuestra argumentación se organiza </w:t>
      </w:r>
      <w:r w:rsidR="0028242C" w:rsidRPr="00D47440">
        <w:rPr>
          <w:rFonts w:ascii="Verdana" w:eastAsiaTheme="minorHAnsi" w:hAnsi="Verdana"/>
          <w:kern w:val="0"/>
          <w:sz w:val="20"/>
          <w:szCs w:val="20"/>
          <w:lang w:val="es-CR" w:eastAsia="en-US"/>
          <w14:ligatures w14:val="none"/>
        </w:rPr>
        <w:t xml:space="preserve">en </w:t>
      </w:r>
      <w:r w:rsidR="00706176" w:rsidRPr="00D47440">
        <w:rPr>
          <w:rFonts w:ascii="Verdana" w:eastAsiaTheme="minorHAnsi" w:hAnsi="Verdana"/>
          <w:kern w:val="0"/>
          <w:sz w:val="20"/>
          <w:szCs w:val="20"/>
          <w:lang w:val="es-CR" w:eastAsia="en-US"/>
          <w14:ligatures w14:val="none"/>
        </w:rPr>
        <w:t xml:space="preserve">torno a </w:t>
      </w:r>
      <w:r w:rsidR="009C1AD5">
        <w:rPr>
          <w:rFonts w:ascii="Verdana" w:eastAsiaTheme="minorHAnsi" w:hAnsi="Verdana"/>
          <w:kern w:val="0"/>
          <w:sz w:val="20"/>
          <w:szCs w:val="20"/>
          <w:lang w:val="es-CR" w:eastAsia="en-US"/>
          <w14:ligatures w14:val="none"/>
        </w:rPr>
        <w:t>los siguientes</w:t>
      </w:r>
      <w:r w:rsidRPr="00D47440">
        <w:rPr>
          <w:rFonts w:ascii="Verdana" w:eastAsiaTheme="minorHAnsi" w:hAnsi="Verdana"/>
          <w:kern w:val="0"/>
          <w:sz w:val="20"/>
          <w:szCs w:val="20"/>
          <w:lang w:val="es-CR" w:eastAsia="en-US"/>
          <w14:ligatures w14:val="none"/>
        </w:rPr>
        <w:t xml:space="preserve"> aspectos</w:t>
      </w:r>
      <w:r w:rsidR="009C1AD5">
        <w:rPr>
          <w:rFonts w:ascii="Verdana" w:eastAsiaTheme="minorHAnsi" w:hAnsi="Verdana"/>
          <w:kern w:val="0"/>
          <w:sz w:val="20"/>
          <w:szCs w:val="20"/>
          <w:lang w:val="es-CR" w:eastAsia="en-US"/>
          <w14:ligatures w14:val="none"/>
        </w:rPr>
        <w:t>.</w:t>
      </w:r>
    </w:p>
    <w:p w14:paraId="0C1A352B" w14:textId="77777777" w:rsidR="00832013" w:rsidRPr="00832013" w:rsidRDefault="00832013" w:rsidP="00832013">
      <w:pPr>
        <w:tabs>
          <w:tab w:val="left" w:pos="567"/>
        </w:tabs>
        <w:contextualSpacing/>
        <w:jc w:val="both"/>
        <w:rPr>
          <w:rFonts w:ascii="Verdana" w:eastAsia="Times New Roman" w:hAnsi="Verdana" w:cs="Times New Roman"/>
          <w:kern w:val="0"/>
          <w:sz w:val="20"/>
          <w:szCs w:val="20"/>
          <w:lang w:val="es-CR" w:eastAsia="es-MX"/>
          <w14:ligatures w14:val="none"/>
        </w:rPr>
      </w:pPr>
    </w:p>
    <w:p w14:paraId="234A9D7E" w14:textId="6F047989" w:rsidR="005F0D86" w:rsidRPr="008A687D" w:rsidRDefault="005F0D86" w:rsidP="008A687D">
      <w:pPr>
        <w:pStyle w:val="Prrafodelista"/>
        <w:numPr>
          <w:ilvl w:val="0"/>
          <w:numId w:val="14"/>
        </w:numPr>
        <w:tabs>
          <w:tab w:val="left" w:pos="567"/>
        </w:tabs>
        <w:ind w:left="0" w:firstLine="0"/>
        <w:jc w:val="both"/>
        <w:rPr>
          <w:rFonts w:ascii="Verdana" w:eastAsia="Times New Roman" w:hAnsi="Verdana" w:cs="Times New Roman"/>
          <w:b/>
          <w:bCs/>
          <w:kern w:val="0"/>
          <w:sz w:val="20"/>
          <w:szCs w:val="20"/>
          <w:lang w:val="es-CR" w:eastAsia="es-MX"/>
          <w14:ligatures w14:val="none"/>
        </w:rPr>
      </w:pPr>
      <w:r w:rsidRPr="008A687D">
        <w:rPr>
          <w:rFonts w:ascii="Verdana" w:eastAsia="Times New Roman" w:hAnsi="Verdana" w:cs="Times New Roman"/>
          <w:b/>
          <w:bCs/>
          <w:kern w:val="0"/>
          <w:sz w:val="20"/>
          <w:szCs w:val="20"/>
          <w:lang w:val="es-CR" w:eastAsia="es-MX"/>
          <w14:ligatures w14:val="none"/>
        </w:rPr>
        <w:t>En cuanto a la declaración de responsabilidad del Estado por la violación del derecho al medio</w:t>
      </w:r>
      <w:r w:rsidR="008A687D">
        <w:rPr>
          <w:rFonts w:ascii="Verdana" w:eastAsia="Times New Roman" w:hAnsi="Verdana" w:cs="Times New Roman"/>
          <w:b/>
          <w:bCs/>
          <w:kern w:val="0"/>
          <w:sz w:val="20"/>
          <w:szCs w:val="20"/>
          <w:lang w:val="es-CR" w:eastAsia="es-MX"/>
          <w14:ligatures w14:val="none"/>
        </w:rPr>
        <w:t xml:space="preserve"> </w:t>
      </w:r>
      <w:r w:rsidRPr="008A687D">
        <w:rPr>
          <w:rFonts w:ascii="Verdana" w:eastAsia="Times New Roman" w:hAnsi="Verdana" w:cs="Times New Roman"/>
          <w:b/>
          <w:bCs/>
          <w:kern w:val="0"/>
          <w:sz w:val="20"/>
          <w:szCs w:val="20"/>
          <w:lang w:val="es-CR" w:eastAsia="es-MX"/>
          <w14:ligatures w14:val="none"/>
        </w:rPr>
        <w:t>ambiente sano, con base en lo dispuesto en el artículo 26 de la Convención Americana</w:t>
      </w:r>
    </w:p>
    <w:p w14:paraId="4B603419" w14:textId="77777777" w:rsidR="005F0D86" w:rsidRPr="00D47440" w:rsidRDefault="005F0D86" w:rsidP="00590114">
      <w:pPr>
        <w:tabs>
          <w:tab w:val="left" w:pos="567"/>
        </w:tabs>
        <w:contextualSpacing/>
        <w:jc w:val="both"/>
        <w:rPr>
          <w:rFonts w:ascii="Verdana" w:eastAsia="Times New Roman" w:hAnsi="Verdana" w:cs="Times New Roman"/>
          <w:kern w:val="0"/>
          <w:sz w:val="20"/>
          <w:szCs w:val="20"/>
          <w:lang w:val="es-CR" w:eastAsia="es-MX"/>
          <w14:ligatures w14:val="none"/>
        </w:rPr>
      </w:pPr>
    </w:p>
    <w:p w14:paraId="663B0FF5" w14:textId="77777777" w:rsidR="008A687D" w:rsidRDefault="00570102" w:rsidP="00590114">
      <w:pPr>
        <w:pStyle w:val="p1"/>
        <w:numPr>
          <w:ilvl w:val="0"/>
          <w:numId w:val="4"/>
        </w:numPr>
        <w:ind w:left="0" w:firstLine="0"/>
        <w:jc w:val="both"/>
        <w:rPr>
          <w:rStyle w:val="s1"/>
          <w:rFonts w:ascii="Verdana" w:hAnsi="Verdana"/>
          <w:sz w:val="20"/>
          <w:szCs w:val="20"/>
        </w:rPr>
      </w:pPr>
      <w:r w:rsidRPr="00D47440">
        <w:rPr>
          <w:rFonts w:ascii="Verdana" w:eastAsia="Times New Roman" w:hAnsi="Verdana"/>
          <w:sz w:val="20"/>
          <w:szCs w:val="20"/>
          <w:lang w:val="es-CR" w:eastAsia="es-MX"/>
        </w:rPr>
        <w:t>En la Opinión Consultiva sobre medio</w:t>
      </w:r>
      <w:r w:rsidR="008A687D">
        <w:rPr>
          <w:rFonts w:ascii="Verdana" w:eastAsia="Times New Roman" w:hAnsi="Verdana"/>
          <w:sz w:val="20"/>
          <w:szCs w:val="20"/>
          <w:lang w:val="es-CR" w:eastAsia="es-MX"/>
        </w:rPr>
        <w:t xml:space="preserve"> </w:t>
      </w:r>
      <w:r w:rsidRPr="00D47440">
        <w:rPr>
          <w:rFonts w:ascii="Verdana" w:eastAsia="Times New Roman" w:hAnsi="Verdana"/>
          <w:sz w:val="20"/>
          <w:szCs w:val="20"/>
          <w:lang w:val="es-CR" w:eastAsia="es-MX"/>
        </w:rPr>
        <w:t>ambiente</w:t>
      </w:r>
      <w:r w:rsidR="001A1F10">
        <w:rPr>
          <w:rStyle w:val="Refdenotaalpie"/>
          <w:rFonts w:ascii="Verdana" w:eastAsia="Times New Roman" w:hAnsi="Verdana"/>
          <w:sz w:val="20"/>
          <w:szCs w:val="20"/>
          <w:lang w:val="es-CR" w:eastAsia="es-MX"/>
        </w:rPr>
        <w:footnoteReference w:id="2"/>
      </w:r>
      <w:r w:rsidR="001D666F">
        <w:rPr>
          <w:rFonts w:ascii="Verdana" w:eastAsia="Times New Roman" w:hAnsi="Verdana"/>
          <w:sz w:val="20"/>
          <w:szCs w:val="20"/>
          <w:lang w:val="es-CR" w:eastAsia="es-MX"/>
        </w:rPr>
        <w:t>,</w:t>
      </w:r>
      <w:r w:rsidRPr="00D47440">
        <w:rPr>
          <w:rFonts w:ascii="Verdana" w:eastAsia="Times New Roman" w:hAnsi="Verdana"/>
          <w:sz w:val="20"/>
          <w:szCs w:val="20"/>
          <w:lang w:val="es-CR" w:eastAsia="es-MX"/>
        </w:rPr>
        <w:t xml:space="preserve"> este </w:t>
      </w:r>
      <w:r w:rsidR="008A687D">
        <w:rPr>
          <w:rFonts w:ascii="Verdana" w:eastAsia="Times New Roman" w:hAnsi="Verdana"/>
          <w:sz w:val="20"/>
          <w:szCs w:val="20"/>
          <w:lang w:val="es-CR" w:eastAsia="es-MX"/>
        </w:rPr>
        <w:t>T</w:t>
      </w:r>
      <w:r w:rsidRPr="00D47440">
        <w:rPr>
          <w:rFonts w:ascii="Verdana" w:eastAsia="Times New Roman" w:hAnsi="Verdana"/>
          <w:sz w:val="20"/>
          <w:szCs w:val="20"/>
          <w:lang w:val="es-CR" w:eastAsia="es-MX"/>
        </w:rPr>
        <w:t xml:space="preserve">ribunal tuvo ocasión de expedirse </w:t>
      </w:r>
      <w:r w:rsidR="00BF670D" w:rsidRPr="00D47440">
        <w:rPr>
          <w:rFonts w:ascii="Verdana" w:eastAsia="Times New Roman" w:hAnsi="Verdana"/>
          <w:sz w:val="20"/>
          <w:szCs w:val="20"/>
          <w:lang w:val="es-CR" w:eastAsia="es-MX"/>
        </w:rPr>
        <w:t>sobre el derecho a un medio</w:t>
      </w:r>
      <w:r w:rsidR="008A687D">
        <w:rPr>
          <w:rFonts w:ascii="Verdana" w:eastAsia="Times New Roman" w:hAnsi="Verdana"/>
          <w:sz w:val="20"/>
          <w:szCs w:val="20"/>
          <w:lang w:val="es-CR" w:eastAsia="es-MX"/>
        </w:rPr>
        <w:t xml:space="preserve"> </w:t>
      </w:r>
      <w:r w:rsidR="00BF670D" w:rsidRPr="00D47440">
        <w:rPr>
          <w:rFonts w:ascii="Verdana" w:eastAsia="Times New Roman" w:hAnsi="Verdana"/>
          <w:sz w:val="20"/>
          <w:szCs w:val="20"/>
          <w:lang w:val="es-CR" w:eastAsia="es-MX"/>
        </w:rPr>
        <w:t>ambiente sano</w:t>
      </w:r>
      <w:r w:rsidR="00832013">
        <w:rPr>
          <w:rFonts w:ascii="Verdana" w:eastAsia="Times New Roman" w:hAnsi="Verdana"/>
          <w:sz w:val="20"/>
          <w:szCs w:val="20"/>
          <w:lang w:val="es-CR" w:eastAsia="es-MX"/>
        </w:rPr>
        <w:t>,</w:t>
      </w:r>
      <w:r w:rsidR="00BF670D" w:rsidRPr="00D47440">
        <w:rPr>
          <w:rFonts w:ascii="Verdana" w:eastAsia="Times New Roman" w:hAnsi="Verdana"/>
          <w:sz w:val="20"/>
          <w:szCs w:val="20"/>
          <w:lang w:val="es-CR" w:eastAsia="es-MX"/>
        </w:rPr>
        <w:t xml:space="preserve"> </w:t>
      </w:r>
      <w:r w:rsidR="00AB1C40" w:rsidRPr="00D47440">
        <w:rPr>
          <w:rFonts w:ascii="Verdana" w:eastAsia="Times New Roman" w:hAnsi="Verdana"/>
          <w:sz w:val="20"/>
          <w:szCs w:val="20"/>
          <w:lang w:val="es-CR" w:eastAsia="es-MX"/>
        </w:rPr>
        <w:t xml:space="preserve">indicando tres elementos centrales. En primer lugar, la relación que ha establecido esta Corte </w:t>
      </w:r>
      <w:r w:rsidR="006053E0" w:rsidRPr="00D47440">
        <w:rPr>
          <w:rFonts w:ascii="Verdana" w:eastAsia="Times New Roman" w:hAnsi="Verdana"/>
          <w:sz w:val="20"/>
          <w:szCs w:val="20"/>
          <w:lang w:val="es-CR" w:eastAsia="es-MX"/>
        </w:rPr>
        <w:t xml:space="preserve">entre </w:t>
      </w:r>
      <w:r w:rsidR="0000027D">
        <w:rPr>
          <w:rFonts w:ascii="Verdana" w:eastAsia="Times New Roman" w:hAnsi="Verdana"/>
          <w:sz w:val="20"/>
          <w:szCs w:val="20"/>
          <w:lang w:val="es-CR" w:eastAsia="es-MX"/>
        </w:rPr>
        <w:t>tal derecho</w:t>
      </w:r>
      <w:r w:rsidR="00867576" w:rsidRPr="00D47440">
        <w:rPr>
          <w:rFonts w:ascii="Verdana" w:eastAsia="Times New Roman" w:hAnsi="Verdana"/>
          <w:sz w:val="20"/>
          <w:szCs w:val="20"/>
          <w:lang w:val="es-CR" w:eastAsia="es-MX"/>
        </w:rPr>
        <w:t xml:space="preserve"> y otros derechos </w:t>
      </w:r>
      <w:r w:rsidR="00412F1D" w:rsidRPr="00D47440">
        <w:rPr>
          <w:rFonts w:ascii="Verdana" w:eastAsia="Times New Roman" w:hAnsi="Verdana"/>
          <w:sz w:val="20"/>
          <w:szCs w:val="20"/>
          <w:lang w:val="es-CR" w:eastAsia="es-MX"/>
        </w:rPr>
        <w:t xml:space="preserve">humanos en el marco de su jurisprudencia sobre derechos </w:t>
      </w:r>
      <w:r w:rsidR="0066259C" w:rsidRPr="00D47440">
        <w:rPr>
          <w:rFonts w:ascii="Verdana" w:eastAsia="Times New Roman" w:hAnsi="Verdana"/>
          <w:sz w:val="20"/>
          <w:szCs w:val="20"/>
          <w:lang w:val="es-CR" w:eastAsia="es-MX"/>
        </w:rPr>
        <w:t>territoriales de pueblos indígenas y tribales</w:t>
      </w:r>
      <w:r w:rsidR="00C6718C" w:rsidRPr="00D47440">
        <w:rPr>
          <w:rFonts w:ascii="Verdana" w:eastAsia="Times New Roman" w:hAnsi="Verdana"/>
          <w:sz w:val="20"/>
          <w:szCs w:val="20"/>
          <w:lang w:val="es-CR" w:eastAsia="es-MX"/>
        </w:rPr>
        <w:t>. En efecto, el Tribunal</w:t>
      </w:r>
      <w:r w:rsidR="00C6718C" w:rsidRPr="00D47440">
        <w:rPr>
          <w:rStyle w:val="s1"/>
          <w:rFonts w:ascii="Verdana" w:hAnsi="Verdana"/>
          <w:sz w:val="20"/>
          <w:szCs w:val="20"/>
        </w:rPr>
        <w:t xml:space="preserve"> ha </w:t>
      </w:r>
      <w:r w:rsidR="00E75DF1" w:rsidRPr="00D47440">
        <w:rPr>
          <w:rStyle w:val="s1"/>
          <w:rFonts w:ascii="Verdana" w:hAnsi="Verdana"/>
          <w:sz w:val="20"/>
          <w:szCs w:val="20"/>
        </w:rPr>
        <w:t>considerado</w:t>
      </w:r>
      <w:r w:rsidR="00C6718C" w:rsidRPr="00D47440">
        <w:rPr>
          <w:rStyle w:val="s1"/>
          <w:rFonts w:ascii="Verdana" w:hAnsi="Verdana"/>
          <w:sz w:val="20"/>
          <w:szCs w:val="20"/>
        </w:rPr>
        <w:t xml:space="preserve"> que el derecho a la propiedad colectiva de</w:t>
      </w:r>
      <w:r w:rsidR="00E75DF1" w:rsidRPr="00D47440">
        <w:rPr>
          <w:rStyle w:val="s1"/>
          <w:rFonts w:ascii="Verdana" w:hAnsi="Verdana"/>
          <w:sz w:val="20"/>
          <w:szCs w:val="20"/>
        </w:rPr>
        <w:t xml:space="preserve"> </w:t>
      </w:r>
      <w:r w:rsidR="00AD1A86">
        <w:rPr>
          <w:rStyle w:val="s1"/>
          <w:rFonts w:ascii="Verdana" w:hAnsi="Verdana"/>
          <w:sz w:val="20"/>
          <w:szCs w:val="20"/>
        </w:rPr>
        <w:t xml:space="preserve">dichos </w:t>
      </w:r>
      <w:r w:rsidR="00E75DF1" w:rsidRPr="00D47440">
        <w:rPr>
          <w:rStyle w:val="s1"/>
          <w:rFonts w:ascii="Verdana" w:hAnsi="Verdana"/>
          <w:sz w:val="20"/>
          <w:szCs w:val="20"/>
        </w:rPr>
        <w:t xml:space="preserve">pueblos </w:t>
      </w:r>
      <w:r w:rsidR="00C6718C" w:rsidRPr="00D47440">
        <w:rPr>
          <w:rStyle w:val="s1"/>
          <w:rFonts w:ascii="Verdana" w:hAnsi="Verdana"/>
          <w:sz w:val="20"/>
          <w:szCs w:val="20"/>
        </w:rPr>
        <w:t>está</w:t>
      </w:r>
      <w:r w:rsidR="00C6718C" w:rsidRPr="00D47440">
        <w:rPr>
          <w:rFonts w:ascii="Verdana" w:hAnsi="Verdana"/>
          <w:sz w:val="20"/>
          <w:szCs w:val="20"/>
        </w:rPr>
        <w:t xml:space="preserve"> </w:t>
      </w:r>
      <w:r w:rsidR="00C6718C" w:rsidRPr="00D47440">
        <w:rPr>
          <w:rStyle w:val="s1"/>
          <w:rFonts w:ascii="Verdana" w:hAnsi="Verdana"/>
          <w:sz w:val="20"/>
          <w:szCs w:val="20"/>
        </w:rPr>
        <w:t xml:space="preserve">vinculado con la protección y acceso a los recursos que se encuentran en </w:t>
      </w:r>
      <w:r w:rsidR="00E75DF1" w:rsidRPr="00D47440">
        <w:rPr>
          <w:rStyle w:val="s1"/>
          <w:rFonts w:ascii="Verdana" w:hAnsi="Verdana"/>
          <w:sz w:val="20"/>
          <w:szCs w:val="20"/>
        </w:rPr>
        <w:t>sus territorios</w:t>
      </w:r>
      <w:r w:rsidR="00C6718C" w:rsidRPr="00D47440">
        <w:rPr>
          <w:rStyle w:val="s1"/>
          <w:rFonts w:ascii="Verdana" w:hAnsi="Verdana"/>
          <w:sz w:val="20"/>
          <w:szCs w:val="20"/>
        </w:rPr>
        <w:t>, pues estos recursos naturales son necesarios para la propia supervivencia,</w:t>
      </w:r>
      <w:r w:rsidR="00225C2C" w:rsidRPr="00D47440">
        <w:rPr>
          <w:rFonts w:ascii="Verdana" w:hAnsi="Verdana"/>
          <w:sz w:val="20"/>
          <w:szCs w:val="20"/>
        </w:rPr>
        <w:t xml:space="preserve"> </w:t>
      </w:r>
      <w:r w:rsidR="00C6718C" w:rsidRPr="00D47440">
        <w:rPr>
          <w:rStyle w:val="s1"/>
          <w:rFonts w:ascii="Verdana" w:hAnsi="Verdana"/>
          <w:sz w:val="20"/>
          <w:szCs w:val="20"/>
        </w:rPr>
        <w:t xml:space="preserve">desarrollo y continuidad del estilo de vida de </w:t>
      </w:r>
      <w:r w:rsidR="007B5B13" w:rsidRPr="00D47440">
        <w:rPr>
          <w:rStyle w:val="s1"/>
          <w:rFonts w:ascii="Verdana" w:hAnsi="Verdana"/>
          <w:sz w:val="20"/>
          <w:szCs w:val="20"/>
        </w:rPr>
        <w:t xml:space="preserve">los </w:t>
      </w:r>
      <w:r w:rsidR="00BB13A6">
        <w:rPr>
          <w:rStyle w:val="s1"/>
          <w:rFonts w:ascii="Verdana" w:hAnsi="Verdana"/>
          <w:sz w:val="20"/>
          <w:szCs w:val="20"/>
        </w:rPr>
        <w:t>pueblos</w:t>
      </w:r>
      <w:r w:rsidR="007B5B13" w:rsidRPr="00D47440">
        <w:rPr>
          <w:rStyle w:val="s1"/>
          <w:rFonts w:ascii="Verdana" w:hAnsi="Verdana"/>
          <w:sz w:val="20"/>
          <w:szCs w:val="20"/>
        </w:rPr>
        <w:t xml:space="preserve">, reconociendo también </w:t>
      </w:r>
      <w:r w:rsidR="00C6718C" w:rsidRPr="00D47440">
        <w:rPr>
          <w:rStyle w:val="s1"/>
          <w:rFonts w:ascii="Verdana" w:hAnsi="Verdana"/>
          <w:sz w:val="20"/>
          <w:szCs w:val="20"/>
        </w:rPr>
        <w:t>la estrecha vinculación del derecho a una vida digna con la protección del</w:t>
      </w:r>
      <w:r w:rsidR="007B5B13" w:rsidRPr="00D47440">
        <w:rPr>
          <w:rStyle w:val="s1"/>
          <w:rFonts w:ascii="Verdana" w:hAnsi="Verdana"/>
          <w:sz w:val="20"/>
          <w:szCs w:val="20"/>
        </w:rPr>
        <w:t xml:space="preserve"> </w:t>
      </w:r>
      <w:r w:rsidR="00C6718C" w:rsidRPr="00D47440">
        <w:rPr>
          <w:rStyle w:val="s1"/>
          <w:rFonts w:ascii="Verdana" w:hAnsi="Verdana"/>
          <w:sz w:val="20"/>
          <w:szCs w:val="20"/>
        </w:rPr>
        <w:t>territorio ancestral y los recursos naturales.</w:t>
      </w:r>
    </w:p>
    <w:p w14:paraId="6805DB5F" w14:textId="77777777" w:rsidR="008A687D" w:rsidRDefault="008A687D" w:rsidP="008A687D">
      <w:pPr>
        <w:pStyle w:val="p1"/>
        <w:jc w:val="both"/>
        <w:rPr>
          <w:rStyle w:val="s1"/>
          <w:rFonts w:ascii="Verdana" w:hAnsi="Verdana"/>
          <w:sz w:val="20"/>
          <w:szCs w:val="20"/>
        </w:rPr>
      </w:pPr>
    </w:p>
    <w:p w14:paraId="06A88CDA" w14:textId="77777777" w:rsidR="008A687D" w:rsidRDefault="000F6F0B" w:rsidP="007C4929">
      <w:pPr>
        <w:pStyle w:val="p1"/>
        <w:numPr>
          <w:ilvl w:val="0"/>
          <w:numId w:val="4"/>
        </w:numPr>
        <w:ind w:left="0" w:firstLine="0"/>
        <w:jc w:val="both"/>
        <w:rPr>
          <w:rStyle w:val="s1"/>
          <w:rFonts w:ascii="Verdana" w:hAnsi="Verdana"/>
          <w:sz w:val="20"/>
          <w:szCs w:val="20"/>
        </w:rPr>
      </w:pPr>
      <w:r w:rsidRPr="008A687D">
        <w:rPr>
          <w:rFonts w:ascii="Verdana" w:eastAsia="Times New Roman" w:hAnsi="Verdana"/>
          <w:sz w:val="20"/>
          <w:szCs w:val="20"/>
          <w:lang w:val="es-CR" w:eastAsia="es-MX"/>
        </w:rPr>
        <w:t>Asimismo</w:t>
      </w:r>
      <w:r w:rsidR="00BB13A6" w:rsidRPr="008A687D">
        <w:rPr>
          <w:rFonts w:ascii="Verdana" w:eastAsia="Times New Roman" w:hAnsi="Verdana"/>
          <w:sz w:val="20"/>
          <w:szCs w:val="20"/>
          <w:lang w:val="es-CR" w:eastAsia="es-MX"/>
        </w:rPr>
        <w:t>,</w:t>
      </w:r>
      <w:r w:rsidRPr="008A687D">
        <w:rPr>
          <w:rFonts w:ascii="Verdana" w:eastAsia="Times New Roman" w:hAnsi="Verdana"/>
          <w:sz w:val="20"/>
          <w:szCs w:val="20"/>
          <w:lang w:val="es-CR" w:eastAsia="es-MX"/>
        </w:rPr>
        <w:t xml:space="preserve"> ha relevado que</w:t>
      </w:r>
      <w:r w:rsidR="00741808" w:rsidRPr="008A687D">
        <w:rPr>
          <w:rFonts w:ascii="Verdana" w:eastAsia="Times New Roman" w:hAnsi="Verdana"/>
          <w:sz w:val="20"/>
          <w:szCs w:val="20"/>
          <w:lang w:val="es-CR" w:eastAsia="es-MX"/>
        </w:rPr>
        <w:t xml:space="preserve"> -</w:t>
      </w:r>
      <w:r w:rsidRPr="008A687D">
        <w:rPr>
          <w:rFonts w:ascii="Verdana" w:eastAsia="Times New Roman" w:hAnsi="Verdana"/>
          <w:sz w:val="20"/>
          <w:szCs w:val="20"/>
          <w:lang w:val="es-CR" w:eastAsia="es-MX"/>
        </w:rPr>
        <w:t>como</w:t>
      </w:r>
      <w:r w:rsidRPr="008A687D">
        <w:rPr>
          <w:rStyle w:val="s1"/>
          <w:rFonts w:ascii="Verdana" w:eastAsia="Times New Roman" w:hAnsi="Verdana"/>
          <w:sz w:val="20"/>
          <w:szCs w:val="20"/>
        </w:rPr>
        <w:t xml:space="preserve"> consecuencia de la estrecha conexión entre la protección del medio ambiente, el</w:t>
      </w:r>
      <w:r w:rsidR="00741808" w:rsidRPr="008A687D">
        <w:rPr>
          <w:rStyle w:val="s1"/>
          <w:rFonts w:ascii="Verdana" w:eastAsia="Times New Roman" w:hAnsi="Verdana"/>
          <w:sz w:val="20"/>
          <w:szCs w:val="20"/>
        </w:rPr>
        <w:t xml:space="preserve"> </w:t>
      </w:r>
      <w:r w:rsidRPr="008A687D">
        <w:rPr>
          <w:rStyle w:val="s1"/>
          <w:rFonts w:ascii="Verdana" w:hAnsi="Verdana"/>
          <w:sz w:val="20"/>
          <w:szCs w:val="20"/>
        </w:rPr>
        <w:t>desarrollo sostenible y los derechos humanos</w:t>
      </w:r>
      <w:r w:rsidR="00560EF3" w:rsidRPr="008A687D">
        <w:rPr>
          <w:rStyle w:val="s1"/>
          <w:rFonts w:ascii="Verdana" w:hAnsi="Verdana"/>
          <w:sz w:val="20"/>
          <w:szCs w:val="20"/>
        </w:rPr>
        <w:t xml:space="preserve">- </w:t>
      </w:r>
      <w:r w:rsidRPr="008A687D">
        <w:rPr>
          <w:rStyle w:val="s1"/>
          <w:rFonts w:ascii="Verdana" w:hAnsi="Verdana"/>
          <w:sz w:val="20"/>
          <w:szCs w:val="20"/>
        </w:rPr>
        <w:t>múltiples sistemas de protección de derechos humanos</w:t>
      </w:r>
      <w:r w:rsidR="00741808" w:rsidRPr="008A687D">
        <w:rPr>
          <w:rStyle w:val="s1"/>
          <w:rFonts w:ascii="Verdana" w:hAnsi="Verdana"/>
          <w:sz w:val="20"/>
          <w:szCs w:val="20"/>
        </w:rPr>
        <w:t xml:space="preserve">, entre los que se cuenta el </w:t>
      </w:r>
      <w:r w:rsidR="00832013" w:rsidRPr="008A687D">
        <w:rPr>
          <w:rStyle w:val="s1"/>
          <w:rFonts w:ascii="Verdana" w:hAnsi="Verdana"/>
          <w:sz w:val="20"/>
          <w:szCs w:val="20"/>
        </w:rPr>
        <w:t xml:space="preserve">Sistema Interamericano </w:t>
      </w:r>
      <w:r w:rsidR="00A91374" w:rsidRPr="008A687D">
        <w:rPr>
          <w:rStyle w:val="s1"/>
          <w:rFonts w:ascii="Verdana" w:hAnsi="Verdana"/>
          <w:sz w:val="20"/>
          <w:szCs w:val="20"/>
        </w:rPr>
        <w:t xml:space="preserve">de </w:t>
      </w:r>
      <w:r w:rsidR="00832013" w:rsidRPr="008A687D">
        <w:rPr>
          <w:rStyle w:val="s1"/>
          <w:rFonts w:ascii="Verdana" w:hAnsi="Verdana"/>
          <w:sz w:val="20"/>
          <w:szCs w:val="20"/>
        </w:rPr>
        <w:t>Derechos Humanos</w:t>
      </w:r>
      <w:r w:rsidR="00B02ED8" w:rsidRPr="008A687D">
        <w:rPr>
          <w:rStyle w:val="s1"/>
          <w:rFonts w:ascii="Verdana" w:hAnsi="Verdana"/>
          <w:sz w:val="20"/>
          <w:szCs w:val="20"/>
        </w:rPr>
        <w:t>, reconocen</w:t>
      </w:r>
      <w:r w:rsidRPr="008A687D">
        <w:rPr>
          <w:rStyle w:val="s1"/>
          <w:rFonts w:ascii="Verdana" w:hAnsi="Verdana"/>
          <w:sz w:val="20"/>
          <w:szCs w:val="20"/>
        </w:rPr>
        <w:t xml:space="preserve"> el derecho al medio</w:t>
      </w:r>
      <w:r w:rsidR="00741808" w:rsidRPr="008A687D">
        <w:rPr>
          <w:rStyle w:val="s1"/>
          <w:rFonts w:ascii="Verdana" w:hAnsi="Verdana"/>
          <w:sz w:val="20"/>
          <w:szCs w:val="20"/>
        </w:rPr>
        <w:t xml:space="preserve"> </w:t>
      </w:r>
      <w:r w:rsidRPr="008A687D">
        <w:rPr>
          <w:rStyle w:val="s1"/>
          <w:rFonts w:ascii="Verdana" w:hAnsi="Verdana"/>
          <w:sz w:val="20"/>
          <w:szCs w:val="20"/>
        </w:rPr>
        <w:t>ambiente sano como un derecho en sí mismo</w:t>
      </w:r>
      <w:r w:rsidR="00A91374" w:rsidRPr="008A687D">
        <w:rPr>
          <w:rStyle w:val="s1"/>
          <w:rFonts w:ascii="Verdana" w:hAnsi="Verdana"/>
          <w:sz w:val="20"/>
          <w:szCs w:val="20"/>
        </w:rPr>
        <w:t>.</w:t>
      </w:r>
    </w:p>
    <w:p w14:paraId="0B302B50" w14:textId="77777777" w:rsidR="008A687D" w:rsidRPr="008A687D" w:rsidRDefault="008A687D" w:rsidP="008A687D">
      <w:pPr>
        <w:rPr>
          <w:rStyle w:val="s1"/>
          <w:rFonts w:ascii="Verdana" w:hAnsi="Verdana"/>
          <w:sz w:val="20"/>
          <w:szCs w:val="20"/>
        </w:rPr>
      </w:pPr>
    </w:p>
    <w:p w14:paraId="2EEE23A8" w14:textId="77777777" w:rsidR="008A687D" w:rsidRDefault="00A91374" w:rsidP="007C4929">
      <w:pPr>
        <w:pStyle w:val="p1"/>
        <w:numPr>
          <w:ilvl w:val="0"/>
          <w:numId w:val="4"/>
        </w:numPr>
        <w:ind w:left="0" w:firstLine="0"/>
        <w:jc w:val="both"/>
        <w:rPr>
          <w:rStyle w:val="s1"/>
          <w:rFonts w:ascii="Verdana" w:hAnsi="Verdana"/>
          <w:sz w:val="20"/>
          <w:szCs w:val="20"/>
        </w:rPr>
      </w:pPr>
      <w:r w:rsidRPr="008A687D">
        <w:rPr>
          <w:rStyle w:val="s1"/>
          <w:rFonts w:ascii="Verdana" w:hAnsi="Verdana"/>
          <w:sz w:val="20"/>
          <w:szCs w:val="20"/>
        </w:rPr>
        <w:lastRenderedPageBreak/>
        <w:t>Adicionalmente</w:t>
      </w:r>
      <w:r w:rsidR="00832013" w:rsidRPr="008A687D">
        <w:rPr>
          <w:rStyle w:val="s1"/>
          <w:rFonts w:ascii="Verdana" w:hAnsi="Verdana"/>
          <w:sz w:val="20"/>
          <w:szCs w:val="20"/>
        </w:rPr>
        <w:t>,</w:t>
      </w:r>
      <w:r w:rsidRPr="008A687D">
        <w:rPr>
          <w:rStyle w:val="s1"/>
          <w:rFonts w:ascii="Verdana" w:hAnsi="Verdana"/>
          <w:sz w:val="20"/>
          <w:szCs w:val="20"/>
        </w:rPr>
        <w:t xml:space="preserve"> </w:t>
      </w:r>
      <w:r w:rsidR="00FA5030" w:rsidRPr="008A687D">
        <w:rPr>
          <w:rStyle w:val="s1"/>
          <w:rFonts w:ascii="Verdana" w:hAnsi="Verdana"/>
          <w:sz w:val="20"/>
          <w:szCs w:val="20"/>
        </w:rPr>
        <w:t>ha</w:t>
      </w:r>
      <w:r w:rsidR="00B02ED8" w:rsidRPr="008A687D">
        <w:rPr>
          <w:rStyle w:val="s1"/>
          <w:rFonts w:ascii="Verdana" w:hAnsi="Verdana"/>
          <w:sz w:val="20"/>
          <w:szCs w:val="20"/>
        </w:rPr>
        <w:t xml:space="preserve"> </w:t>
      </w:r>
      <w:r w:rsidR="00B770DE" w:rsidRPr="008A687D">
        <w:rPr>
          <w:rStyle w:val="s1"/>
          <w:rFonts w:ascii="Verdana" w:hAnsi="Verdana"/>
          <w:sz w:val="20"/>
          <w:szCs w:val="20"/>
        </w:rPr>
        <w:t xml:space="preserve">sostenido que el </w:t>
      </w:r>
      <w:r w:rsidR="00B02ED8" w:rsidRPr="008A687D">
        <w:rPr>
          <w:rStyle w:val="s1"/>
          <w:rFonts w:ascii="Verdana" w:eastAsia="Times New Roman" w:hAnsi="Verdana"/>
          <w:sz w:val="20"/>
          <w:szCs w:val="20"/>
        </w:rPr>
        <w:t>derecho humano a un medio ambiente sano se ha entendido como un derecho con</w:t>
      </w:r>
      <w:r w:rsidR="00B770DE" w:rsidRPr="008A687D">
        <w:rPr>
          <w:rStyle w:val="s1"/>
          <w:rFonts w:ascii="Verdana" w:eastAsia="Times New Roman" w:hAnsi="Verdana"/>
          <w:sz w:val="20"/>
          <w:szCs w:val="20"/>
        </w:rPr>
        <w:t xml:space="preserve"> </w:t>
      </w:r>
      <w:r w:rsidR="00B02ED8" w:rsidRPr="008A687D">
        <w:rPr>
          <w:rStyle w:val="s1"/>
          <w:rFonts w:ascii="Verdana" w:hAnsi="Verdana"/>
          <w:sz w:val="20"/>
          <w:szCs w:val="20"/>
        </w:rPr>
        <w:t>connotaciones tanto individuales como colectivas. En su dimensión colectiva, el derecho a un</w:t>
      </w:r>
      <w:r w:rsidR="00B770DE" w:rsidRPr="008A687D">
        <w:rPr>
          <w:rStyle w:val="s1"/>
          <w:rFonts w:ascii="Verdana" w:hAnsi="Verdana"/>
          <w:sz w:val="20"/>
          <w:szCs w:val="20"/>
        </w:rPr>
        <w:t xml:space="preserve"> </w:t>
      </w:r>
      <w:r w:rsidR="00B02ED8" w:rsidRPr="008A687D">
        <w:rPr>
          <w:rStyle w:val="s1"/>
          <w:rFonts w:ascii="Verdana" w:hAnsi="Verdana"/>
          <w:sz w:val="20"/>
          <w:szCs w:val="20"/>
        </w:rPr>
        <w:t>medio ambiente sano constituye un interés universal, que se debe tanto a las generaciones</w:t>
      </w:r>
      <w:r w:rsidR="00EA6389" w:rsidRPr="008A687D">
        <w:rPr>
          <w:rStyle w:val="s1"/>
          <w:rFonts w:ascii="Verdana" w:hAnsi="Verdana"/>
          <w:sz w:val="20"/>
          <w:szCs w:val="20"/>
        </w:rPr>
        <w:t xml:space="preserve"> </w:t>
      </w:r>
      <w:r w:rsidR="00B02ED8" w:rsidRPr="008A687D">
        <w:rPr>
          <w:rStyle w:val="s1"/>
          <w:rFonts w:ascii="Verdana" w:hAnsi="Verdana"/>
          <w:sz w:val="20"/>
          <w:szCs w:val="20"/>
        </w:rPr>
        <w:t xml:space="preserve">presentes y futuras. </w:t>
      </w:r>
      <w:r w:rsidR="00622E8A" w:rsidRPr="008A687D">
        <w:rPr>
          <w:rStyle w:val="s1"/>
          <w:rFonts w:ascii="Verdana" w:hAnsi="Verdana"/>
          <w:sz w:val="20"/>
          <w:szCs w:val="20"/>
        </w:rPr>
        <w:t>En su dimensión individual</w:t>
      </w:r>
      <w:r w:rsidR="00832013" w:rsidRPr="008A687D">
        <w:rPr>
          <w:rStyle w:val="s1"/>
          <w:rFonts w:ascii="Verdana" w:hAnsi="Verdana"/>
          <w:sz w:val="20"/>
          <w:szCs w:val="20"/>
        </w:rPr>
        <w:t>,</w:t>
      </w:r>
      <w:r w:rsidR="00622E8A" w:rsidRPr="008A687D">
        <w:rPr>
          <w:rStyle w:val="s1"/>
          <w:rFonts w:ascii="Verdana" w:hAnsi="Verdana"/>
          <w:sz w:val="20"/>
          <w:szCs w:val="20"/>
        </w:rPr>
        <w:t xml:space="preserve"> resulta patente que </w:t>
      </w:r>
      <w:r w:rsidR="00B02ED8" w:rsidRPr="008A687D">
        <w:rPr>
          <w:rStyle w:val="s1"/>
          <w:rFonts w:ascii="Verdana" w:hAnsi="Verdana"/>
          <w:sz w:val="20"/>
          <w:szCs w:val="20"/>
        </w:rPr>
        <w:t>su vulneración puede tener repercusiones directas</w:t>
      </w:r>
      <w:r w:rsidR="00622E8A" w:rsidRPr="008A687D">
        <w:rPr>
          <w:rStyle w:val="s1"/>
          <w:rFonts w:ascii="Verdana" w:hAnsi="Verdana"/>
          <w:sz w:val="20"/>
          <w:szCs w:val="20"/>
        </w:rPr>
        <w:t xml:space="preserve"> </w:t>
      </w:r>
      <w:r w:rsidR="00B02ED8" w:rsidRPr="008A687D">
        <w:rPr>
          <w:rStyle w:val="s1"/>
          <w:rFonts w:ascii="Verdana" w:hAnsi="Verdana"/>
          <w:sz w:val="20"/>
          <w:szCs w:val="20"/>
        </w:rPr>
        <w:t>o indirectas sobre las personas</w:t>
      </w:r>
      <w:r w:rsidR="00832013" w:rsidRPr="008A687D">
        <w:rPr>
          <w:rStyle w:val="s1"/>
          <w:rFonts w:ascii="Verdana" w:hAnsi="Verdana"/>
          <w:sz w:val="20"/>
          <w:szCs w:val="20"/>
        </w:rPr>
        <w:t>,</w:t>
      </w:r>
      <w:r w:rsidR="00B02ED8" w:rsidRPr="008A687D">
        <w:rPr>
          <w:rStyle w:val="s1"/>
          <w:rFonts w:ascii="Verdana" w:hAnsi="Verdana"/>
          <w:sz w:val="20"/>
          <w:szCs w:val="20"/>
        </w:rPr>
        <w:t xml:space="preserve"> debido a su conexidad con otros derechos, tales como el</w:t>
      </w:r>
      <w:r w:rsidR="007C4929" w:rsidRPr="008A687D">
        <w:rPr>
          <w:rStyle w:val="s1"/>
          <w:rFonts w:ascii="Verdana" w:hAnsi="Verdana"/>
          <w:sz w:val="20"/>
          <w:szCs w:val="20"/>
        </w:rPr>
        <w:t xml:space="preserve"> </w:t>
      </w:r>
      <w:r w:rsidR="00B02ED8" w:rsidRPr="008A687D">
        <w:rPr>
          <w:rStyle w:val="s1"/>
          <w:rFonts w:ascii="Verdana" w:hAnsi="Verdana"/>
          <w:sz w:val="20"/>
          <w:szCs w:val="20"/>
        </w:rPr>
        <w:t xml:space="preserve">derecho a la salud, la integridad personal o la vida, entre otros. </w:t>
      </w:r>
      <w:r w:rsidR="00622E8A" w:rsidRPr="008A687D">
        <w:rPr>
          <w:rStyle w:val="s1"/>
          <w:rFonts w:ascii="Verdana" w:hAnsi="Verdana"/>
          <w:sz w:val="20"/>
          <w:szCs w:val="20"/>
        </w:rPr>
        <w:t>En síntesis, la</w:t>
      </w:r>
      <w:r w:rsidR="00B02ED8" w:rsidRPr="008A687D">
        <w:rPr>
          <w:rStyle w:val="s1"/>
          <w:rFonts w:ascii="Verdana" w:hAnsi="Verdana"/>
          <w:sz w:val="20"/>
          <w:szCs w:val="20"/>
        </w:rPr>
        <w:t xml:space="preserve"> degradación del medio</w:t>
      </w:r>
      <w:r w:rsidR="00622E8A" w:rsidRPr="008A687D">
        <w:rPr>
          <w:rFonts w:ascii="Verdana" w:hAnsi="Verdana"/>
          <w:sz w:val="20"/>
          <w:szCs w:val="20"/>
        </w:rPr>
        <w:t xml:space="preserve"> </w:t>
      </w:r>
      <w:r w:rsidR="00B02ED8" w:rsidRPr="008A687D">
        <w:rPr>
          <w:rStyle w:val="s1"/>
          <w:rFonts w:ascii="Verdana" w:hAnsi="Verdana"/>
          <w:sz w:val="20"/>
          <w:szCs w:val="20"/>
        </w:rPr>
        <w:t>ambiente puede causar daños irreparables en los seres humanos, por lo cual un medio</w:t>
      </w:r>
      <w:r w:rsidR="007C4929" w:rsidRPr="008A687D">
        <w:rPr>
          <w:rStyle w:val="s1"/>
          <w:rFonts w:ascii="Verdana" w:hAnsi="Verdana"/>
          <w:sz w:val="20"/>
          <w:szCs w:val="20"/>
        </w:rPr>
        <w:t xml:space="preserve"> </w:t>
      </w:r>
      <w:r w:rsidR="00B02ED8" w:rsidRPr="008A687D">
        <w:rPr>
          <w:rStyle w:val="s1"/>
          <w:rFonts w:ascii="Verdana" w:hAnsi="Verdana"/>
          <w:sz w:val="20"/>
          <w:szCs w:val="20"/>
        </w:rPr>
        <w:t>ambiente sano es un derecho fundamental para la existencia de la humanidad.</w:t>
      </w:r>
    </w:p>
    <w:p w14:paraId="00DAA393" w14:textId="77777777" w:rsidR="008A687D" w:rsidRPr="008A687D" w:rsidRDefault="008A687D" w:rsidP="008A687D">
      <w:pPr>
        <w:rPr>
          <w:rStyle w:val="s1"/>
          <w:rFonts w:ascii="Verdana" w:hAnsi="Verdana"/>
          <w:sz w:val="20"/>
          <w:szCs w:val="20"/>
        </w:rPr>
      </w:pPr>
    </w:p>
    <w:p w14:paraId="3EBC6D61" w14:textId="77777777" w:rsidR="008A687D" w:rsidRDefault="00C81AA4" w:rsidP="007C4929">
      <w:pPr>
        <w:pStyle w:val="p1"/>
        <w:numPr>
          <w:ilvl w:val="0"/>
          <w:numId w:val="4"/>
        </w:numPr>
        <w:ind w:left="0" w:firstLine="0"/>
        <w:jc w:val="both"/>
        <w:rPr>
          <w:rStyle w:val="s1"/>
          <w:rFonts w:ascii="Verdana" w:hAnsi="Verdana"/>
          <w:sz w:val="20"/>
          <w:szCs w:val="20"/>
        </w:rPr>
      </w:pPr>
      <w:r w:rsidRPr="008A687D">
        <w:rPr>
          <w:rStyle w:val="s1"/>
          <w:rFonts w:ascii="Verdana" w:hAnsi="Verdana"/>
          <w:sz w:val="20"/>
          <w:szCs w:val="20"/>
        </w:rPr>
        <w:t>Por cierto que</w:t>
      </w:r>
      <w:r w:rsidR="00132AC6" w:rsidRPr="008A687D">
        <w:rPr>
          <w:rStyle w:val="s1"/>
          <w:rFonts w:ascii="Verdana" w:hAnsi="Verdana"/>
          <w:sz w:val="20"/>
          <w:szCs w:val="20"/>
        </w:rPr>
        <w:t xml:space="preserve"> estamos de acuerdo en que el derecho al medio ambiente sano es un derecho en sí mismo y debe ser protegido</w:t>
      </w:r>
      <w:r w:rsidR="00272C9E" w:rsidRPr="008A687D">
        <w:rPr>
          <w:rStyle w:val="s1"/>
          <w:rFonts w:ascii="Verdana" w:hAnsi="Verdana"/>
          <w:sz w:val="20"/>
          <w:szCs w:val="20"/>
        </w:rPr>
        <w:t>. Dicha tutela debe ser</w:t>
      </w:r>
      <w:r w:rsidR="00806E12" w:rsidRPr="008A687D">
        <w:rPr>
          <w:rStyle w:val="s1"/>
          <w:rFonts w:ascii="Verdana" w:hAnsi="Verdana"/>
          <w:sz w:val="20"/>
          <w:szCs w:val="20"/>
        </w:rPr>
        <w:t>le brindada</w:t>
      </w:r>
      <w:r w:rsidR="00132AC6" w:rsidRPr="008A687D">
        <w:rPr>
          <w:rStyle w:val="s1"/>
          <w:rFonts w:ascii="Verdana" w:hAnsi="Verdana"/>
          <w:sz w:val="20"/>
          <w:szCs w:val="20"/>
        </w:rPr>
        <w:t xml:space="preserve"> tanto en el nivel de las </w:t>
      </w:r>
      <w:r w:rsidR="00832013" w:rsidRPr="008A687D">
        <w:rPr>
          <w:rStyle w:val="s1"/>
          <w:rFonts w:ascii="Verdana" w:hAnsi="Verdana"/>
          <w:sz w:val="20"/>
          <w:szCs w:val="20"/>
        </w:rPr>
        <w:t>jurisdicciones</w:t>
      </w:r>
      <w:r w:rsidR="00132AC6" w:rsidRPr="008A687D">
        <w:rPr>
          <w:rStyle w:val="s1"/>
          <w:rFonts w:ascii="Verdana" w:hAnsi="Verdana"/>
          <w:sz w:val="20"/>
          <w:szCs w:val="20"/>
        </w:rPr>
        <w:t xml:space="preserve"> nacionales (por medio de los mecanismos previstos en los respectivos ordenamientos</w:t>
      </w:r>
      <w:r w:rsidR="0038181F" w:rsidRPr="008A687D">
        <w:rPr>
          <w:rStyle w:val="s1"/>
          <w:rFonts w:ascii="Verdana" w:hAnsi="Verdana"/>
          <w:sz w:val="20"/>
          <w:szCs w:val="20"/>
        </w:rPr>
        <w:t xml:space="preserve"> jurídicos internos), como</w:t>
      </w:r>
      <w:r w:rsidR="00B96310" w:rsidRPr="008A687D">
        <w:rPr>
          <w:rStyle w:val="s1"/>
          <w:rFonts w:ascii="Verdana" w:hAnsi="Verdana"/>
          <w:sz w:val="20"/>
          <w:szCs w:val="20"/>
        </w:rPr>
        <w:t xml:space="preserve"> en el ámbito de la jurisdicción internacional</w:t>
      </w:r>
      <w:r w:rsidR="00272C9E" w:rsidRPr="008A687D">
        <w:rPr>
          <w:rStyle w:val="s1"/>
          <w:rFonts w:ascii="Verdana" w:hAnsi="Verdana"/>
          <w:sz w:val="20"/>
          <w:szCs w:val="20"/>
        </w:rPr>
        <w:t xml:space="preserve"> que posee esta Corte </w:t>
      </w:r>
      <w:r w:rsidR="001A3037" w:rsidRPr="008A687D">
        <w:rPr>
          <w:rStyle w:val="s1"/>
          <w:rFonts w:ascii="Verdana" w:hAnsi="Verdana"/>
          <w:sz w:val="20"/>
          <w:szCs w:val="20"/>
          <w:lang w:val="fr-FR"/>
        </w:rPr>
        <w:t>(</w:t>
      </w:r>
      <w:r w:rsidR="00832013" w:rsidRPr="008A687D">
        <w:rPr>
          <w:rStyle w:val="s1"/>
          <w:rFonts w:ascii="Verdana" w:hAnsi="Verdana"/>
          <w:sz w:val="20"/>
          <w:szCs w:val="20"/>
          <w:lang w:val="es-ES_tradnl"/>
        </w:rPr>
        <w:t>mediante</w:t>
      </w:r>
      <w:r w:rsidR="00427BC7" w:rsidRPr="008A687D">
        <w:rPr>
          <w:rStyle w:val="s1"/>
          <w:rFonts w:ascii="Verdana" w:hAnsi="Verdana"/>
          <w:sz w:val="20"/>
          <w:szCs w:val="20"/>
          <w:lang w:val="es-ES_tradnl"/>
        </w:rPr>
        <w:t xml:space="preserve"> la</w:t>
      </w:r>
      <w:r w:rsidR="00D560E7" w:rsidRPr="008A687D">
        <w:rPr>
          <w:rStyle w:val="s1"/>
          <w:rFonts w:ascii="Verdana" w:hAnsi="Verdana"/>
          <w:sz w:val="20"/>
          <w:szCs w:val="20"/>
        </w:rPr>
        <w:t xml:space="preserve"> interpretación conexa de tal derecho con los establecidos </w:t>
      </w:r>
      <w:r w:rsidR="00DD31BC" w:rsidRPr="008A687D">
        <w:rPr>
          <w:rStyle w:val="s1"/>
          <w:rFonts w:ascii="Verdana" w:hAnsi="Verdana"/>
          <w:sz w:val="20"/>
          <w:szCs w:val="20"/>
        </w:rPr>
        <w:t>explícitamente en la Convención, como el derecho a la vida, a la integridad personal y a la dignidad humana)</w:t>
      </w:r>
      <w:r w:rsidR="00866F47" w:rsidRPr="008A687D">
        <w:rPr>
          <w:rStyle w:val="s1"/>
          <w:rFonts w:ascii="Verdana" w:hAnsi="Verdana"/>
          <w:sz w:val="20"/>
          <w:szCs w:val="20"/>
        </w:rPr>
        <w:t>.</w:t>
      </w:r>
    </w:p>
    <w:p w14:paraId="5DBD0644" w14:textId="77777777" w:rsidR="008A687D" w:rsidRPr="008A687D" w:rsidRDefault="008A687D" w:rsidP="008A687D">
      <w:pPr>
        <w:rPr>
          <w:rStyle w:val="s1"/>
          <w:rFonts w:ascii="Verdana" w:hAnsi="Verdana"/>
          <w:sz w:val="20"/>
          <w:szCs w:val="20"/>
        </w:rPr>
      </w:pPr>
    </w:p>
    <w:p w14:paraId="2188BFD9" w14:textId="77777777" w:rsidR="008A687D" w:rsidRDefault="004555D9" w:rsidP="007C4929">
      <w:pPr>
        <w:pStyle w:val="p1"/>
        <w:numPr>
          <w:ilvl w:val="0"/>
          <w:numId w:val="4"/>
        </w:numPr>
        <w:ind w:left="0" w:firstLine="0"/>
        <w:jc w:val="both"/>
        <w:rPr>
          <w:rStyle w:val="s1"/>
          <w:rFonts w:ascii="Verdana" w:hAnsi="Verdana"/>
          <w:sz w:val="20"/>
          <w:szCs w:val="20"/>
        </w:rPr>
      </w:pPr>
      <w:r w:rsidRPr="008A687D">
        <w:rPr>
          <w:rStyle w:val="s1"/>
          <w:rFonts w:ascii="Verdana" w:hAnsi="Verdana"/>
          <w:sz w:val="20"/>
          <w:szCs w:val="20"/>
        </w:rPr>
        <w:t>Sin embargo</w:t>
      </w:r>
      <w:r w:rsidR="00832013" w:rsidRPr="008A687D">
        <w:rPr>
          <w:rStyle w:val="s1"/>
          <w:rFonts w:ascii="Verdana" w:hAnsi="Verdana"/>
          <w:sz w:val="20"/>
          <w:szCs w:val="20"/>
        </w:rPr>
        <w:t>,</w:t>
      </w:r>
      <w:r w:rsidRPr="008A687D">
        <w:rPr>
          <w:rStyle w:val="s1"/>
          <w:rFonts w:ascii="Verdana" w:hAnsi="Verdana"/>
          <w:sz w:val="20"/>
          <w:szCs w:val="20"/>
        </w:rPr>
        <w:t xml:space="preserve"> de la circunstancia de que este derecho exista y </w:t>
      </w:r>
      <w:r w:rsidR="00104867" w:rsidRPr="008A687D">
        <w:rPr>
          <w:rStyle w:val="s1"/>
          <w:rFonts w:ascii="Verdana" w:hAnsi="Verdana"/>
          <w:sz w:val="20"/>
          <w:szCs w:val="20"/>
        </w:rPr>
        <w:t xml:space="preserve">sea merecedor de protección, no se sigue </w:t>
      </w:r>
      <w:r w:rsidR="00CB6F8C" w:rsidRPr="008A687D">
        <w:rPr>
          <w:rStyle w:val="s1"/>
          <w:rFonts w:ascii="Verdana" w:hAnsi="Verdana"/>
          <w:sz w:val="20"/>
          <w:szCs w:val="20"/>
        </w:rPr>
        <w:t xml:space="preserve">que se trate de un derecho </w:t>
      </w:r>
      <w:r w:rsidR="00296DE0" w:rsidRPr="008A687D">
        <w:rPr>
          <w:rStyle w:val="s1"/>
          <w:rFonts w:ascii="Verdana" w:hAnsi="Verdana"/>
          <w:sz w:val="20"/>
          <w:szCs w:val="20"/>
        </w:rPr>
        <w:t xml:space="preserve">cuya </w:t>
      </w:r>
      <w:proofErr w:type="spellStart"/>
      <w:r w:rsidR="00296DE0" w:rsidRPr="008A687D">
        <w:rPr>
          <w:rStyle w:val="s1"/>
          <w:rFonts w:ascii="Verdana" w:hAnsi="Verdana"/>
          <w:sz w:val="20"/>
          <w:szCs w:val="20"/>
        </w:rPr>
        <w:t>justiciabilidad</w:t>
      </w:r>
      <w:proofErr w:type="spellEnd"/>
      <w:r w:rsidR="00296DE0" w:rsidRPr="008A687D">
        <w:rPr>
          <w:rStyle w:val="s1"/>
          <w:rFonts w:ascii="Verdana" w:hAnsi="Verdana"/>
          <w:sz w:val="20"/>
          <w:szCs w:val="20"/>
        </w:rPr>
        <w:t xml:space="preserve"> se desprenda de lo establecido en el</w:t>
      </w:r>
      <w:r w:rsidR="00CB6F8C" w:rsidRPr="008A687D">
        <w:rPr>
          <w:rStyle w:val="s1"/>
          <w:rFonts w:ascii="Verdana" w:hAnsi="Verdana"/>
          <w:sz w:val="20"/>
          <w:szCs w:val="20"/>
        </w:rPr>
        <w:t xml:space="preserve"> artículo 26 </w:t>
      </w:r>
      <w:r w:rsidR="00CC3C6C" w:rsidRPr="008A687D">
        <w:rPr>
          <w:rStyle w:val="s1"/>
          <w:rFonts w:ascii="Verdana" w:hAnsi="Verdana"/>
          <w:sz w:val="20"/>
          <w:szCs w:val="20"/>
        </w:rPr>
        <w:t>de la Convención Americana</w:t>
      </w:r>
      <w:r w:rsidR="00296DE0" w:rsidRPr="008A687D">
        <w:rPr>
          <w:rStyle w:val="s1"/>
          <w:rFonts w:ascii="Verdana" w:hAnsi="Verdana"/>
          <w:sz w:val="20"/>
          <w:szCs w:val="20"/>
        </w:rPr>
        <w:t>.</w:t>
      </w:r>
    </w:p>
    <w:p w14:paraId="1634AB59" w14:textId="77777777" w:rsidR="008A687D" w:rsidRPr="008A687D" w:rsidRDefault="008A687D" w:rsidP="008A687D">
      <w:pPr>
        <w:rPr>
          <w:rStyle w:val="s1"/>
          <w:rFonts w:ascii="Verdana" w:hAnsi="Verdana"/>
          <w:sz w:val="20"/>
          <w:szCs w:val="20"/>
        </w:rPr>
      </w:pPr>
    </w:p>
    <w:p w14:paraId="5E5E3B29" w14:textId="0FAB48DA" w:rsidR="00CF107C" w:rsidRPr="008A687D" w:rsidRDefault="00CF107C" w:rsidP="007C4929">
      <w:pPr>
        <w:pStyle w:val="p1"/>
        <w:numPr>
          <w:ilvl w:val="0"/>
          <w:numId w:val="4"/>
        </w:numPr>
        <w:ind w:left="0" w:firstLine="0"/>
        <w:jc w:val="both"/>
        <w:rPr>
          <w:rFonts w:ascii="Verdana" w:hAnsi="Verdana"/>
          <w:sz w:val="20"/>
          <w:szCs w:val="20"/>
        </w:rPr>
      </w:pPr>
      <w:r w:rsidRPr="008A687D">
        <w:rPr>
          <w:rStyle w:val="s1"/>
          <w:rFonts w:ascii="Verdana" w:hAnsi="Verdana"/>
          <w:sz w:val="20"/>
          <w:szCs w:val="20"/>
        </w:rPr>
        <w:t>Huelga reiterar acá los argumentos que en nuestros respectivos votos</w:t>
      </w:r>
      <w:r w:rsidR="003A4DAF">
        <w:rPr>
          <w:rStyle w:val="Refdenotaalpie"/>
          <w:rFonts w:ascii="Verdana" w:hAnsi="Verdana"/>
          <w:sz w:val="20"/>
          <w:szCs w:val="20"/>
        </w:rPr>
        <w:footnoteReference w:id="3"/>
      </w:r>
      <w:r w:rsidRPr="008A687D">
        <w:rPr>
          <w:rStyle w:val="s1"/>
          <w:rFonts w:ascii="Verdana" w:hAnsi="Verdana"/>
          <w:sz w:val="20"/>
          <w:szCs w:val="20"/>
        </w:rPr>
        <w:t xml:space="preserve"> hemos </w:t>
      </w:r>
      <w:r w:rsidR="003A4DAF" w:rsidRPr="008A687D">
        <w:rPr>
          <w:rStyle w:val="s1"/>
          <w:rFonts w:ascii="Verdana" w:hAnsi="Verdana"/>
          <w:sz w:val="20"/>
          <w:szCs w:val="20"/>
        </w:rPr>
        <w:t xml:space="preserve">planteado </w:t>
      </w:r>
      <w:r w:rsidR="00A077BC" w:rsidRPr="008A687D">
        <w:rPr>
          <w:rStyle w:val="s1"/>
          <w:rFonts w:ascii="Verdana" w:hAnsi="Verdana"/>
          <w:sz w:val="20"/>
          <w:szCs w:val="20"/>
        </w:rPr>
        <w:t xml:space="preserve">para refutar el cambio jurisprudencial operado a partir de la sentencia </w:t>
      </w:r>
      <w:r w:rsidR="00A077BC" w:rsidRPr="008A687D">
        <w:rPr>
          <w:rStyle w:val="s1"/>
          <w:rFonts w:ascii="Verdana" w:hAnsi="Verdana"/>
          <w:sz w:val="20"/>
          <w:szCs w:val="20"/>
        </w:rPr>
        <w:lastRenderedPageBreak/>
        <w:t xml:space="preserve">dictada en el </w:t>
      </w:r>
      <w:r w:rsidR="00383BF6" w:rsidRPr="008A687D">
        <w:rPr>
          <w:rStyle w:val="s1"/>
          <w:rFonts w:ascii="Verdana" w:hAnsi="Verdana"/>
          <w:i/>
          <w:iCs/>
          <w:sz w:val="20"/>
          <w:szCs w:val="20"/>
        </w:rPr>
        <w:t>Caso</w:t>
      </w:r>
      <w:r w:rsidR="00A077BC" w:rsidRPr="008A687D">
        <w:rPr>
          <w:rStyle w:val="s1"/>
          <w:rFonts w:ascii="Verdana" w:hAnsi="Verdana"/>
          <w:i/>
          <w:iCs/>
          <w:sz w:val="20"/>
          <w:szCs w:val="20"/>
        </w:rPr>
        <w:t xml:space="preserve"> Lagos del Campo Vs. Per</w:t>
      </w:r>
      <w:r w:rsidR="005B33C6" w:rsidRPr="008A687D">
        <w:rPr>
          <w:rStyle w:val="s1"/>
          <w:rFonts w:ascii="Verdana" w:hAnsi="Verdana"/>
          <w:i/>
          <w:iCs/>
          <w:sz w:val="20"/>
          <w:szCs w:val="20"/>
        </w:rPr>
        <w:t>ú,</w:t>
      </w:r>
      <w:r w:rsidR="005B33C6" w:rsidRPr="008A687D">
        <w:rPr>
          <w:rStyle w:val="s1"/>
          <w:rFonts w:ascii="Verdana" w:hAnsi="Verdana"/>
          <w:sz w:val="20"/>
          <w:szCs w:val="20"/>
        </w:rPr>
        <w:t xml:space="preserve"> momento</w:t>
      </w:r>
      <w:r w:rsidR="005B33C6" w:rsidRPr="008A687D">
        <w:rPr>
          <w:rStyle w:val="s1"/>
          <w:rFonts w:ascii="Verdana" w:hAnsi="Verdana"/>
          <w:sz w:val="20"/>
          <w:szCs w:val="20"/>
          <w:lang w:val="es-419"/>
        </w:rPr>
        <w:t xml:space="preserve"> a partir del cual se </w:t>
      </w:r>
      <w:r w:rsidR="00D46E0D" w:rsidRPr="008A687D">
        <w:rPr>
          <w:rStyle w:val="s1"/>
          <w:rFonts w:ascii="Verdana" w:hAnsi="Verdana"/>
          <w:sz w:val="20"/>
          <w:szCs w:val="20"/>
          <w:lang w:val="es-419"/>
        </w:rPr>
        <w:t xml:space="preserve">empezó a considerar que los derechos económicos, sociales, </w:t>
      </w:r>
      <w:r w:rsidR="00733AEC" w:rsidRPr="008A687D">
        <w:rPr>
          <w:rStyle w:val="s1"/>
          <w:rFonts w:ascii="Verdana" w:hAnsi="Verdana"/>
          <w:sz w:val="20"/>
          <w:szCs w:val="20"/>
          <w:lang w:val="es-419"/>
        </w:rPr>
        <w:t>culturales y ambientales eran directamente justiciables ante la Corte, ignorando por completo lo establecido por el Protocolo de San Salvador, conforme a cuyo artículo</w:t>
      </w:r>
      <w:r w:rsidR="00FA3FF8" w:rsidRPr="008A687D">
        <w:rPr>
          <w:rStyle w:val="s1"/>
          <w:rFonts w:ascii="Verdana" w:hAnsi="Verdana"/>
          <w:sz w:val="20"/>
          <w:szCs w:val="20"/>
          <w:lang w:val="es-419"/>
        </w:rPr>
        <w:t xml:space="preserve"> Nº</w:t>
      </w:r>
      <w:r w:rsidR="00733AEC" w:rsidRPr="008A687D">
        <w:rPr>
          <w:rStyle w:val="s1"/>
          <w:rFonts w:ascii="Verdana" w:hAnsi="Verdana"/>
          <w:sz w:val="20"/>
          <w:szCs w:val="20"/>
          <w:lang w:val="es-419"/>
        </w:rPr>
        <w:t xml:space="preserve"> 19.</w:t>
      </w:r>
      <w:r w:rsidR="00D0000A" w:rsidRPr="008A687D">
        <w:rPr>
          <w:rStyle w:val="s1"/>
          <w:rFonts w:ascii="Verdana" w:hAnsi="Verdana"/>
          <w:sz w:val="20"/>
          <w:szCs w:val="20"/>
          <w:lang w:val="es-419"/>
        </w:rPr>
        <w:t xml:space="preserve">6 </w:t>
      </w:r>
      <w:r w:rsidR="00733AEC" w:rsidRPr="008A687D">
        <w:rPr>
          <w:rStyle w:val="s1"/>
          <w:rFonts w:ascii="Verdana" w:hAnsi="Verdana"/>
          <w:sz w:val="20"/>
          <w:szCs w:val="20"/>
          <w:lang w:val="es-419"/>
        </w:rPr>
        <w:t xml:space="preserve">solo son susceptibles de ser </w:t>
      </w:r>
      <w:r w:rsidR="00EE7CE1" w:rsidRPr="008A687D">
        <w:rPr>
          <w:rStyle w:val="s1"/>
          <w:rFonts w:ascii="Verdana" w:hAnsi="Verdana"/>
          <w:sz w:val="20"/>
          <w:szCs w:val="20"/>
          <w:lang w:val="es-419"/>
        </w:rPr>
        <w:t xml:space="preserve">litigados ante este Tribunal el derecho a la educación y el derecho a la asociación sindical. </w:t>
      </w:r>
    </w:p>
    <w:p w14:paraId="0A1A6362" w14:textId="77777777" w:rsidR="00570102" w:rsidRPr="00D47440" w:rsidRDefault="00570102" w:rsidP="00590114">
      <w:pPr>
        <w:tabs>
          <w:tab w:val="left" w:pos="567"/>
        </w:tabs>
        <w:contextualSpacing/>
        <w:jc w:val="both"/>
        <w:rPr>
          <w:rFonts w:ascii="Verdana" w:eastAsia="Times New Roman" w:hAnsi="Verdana" w:cs="Times New Roman"/>
          <w:kern w:val="0"/>
          <w:sz w:val="20"/>
          <w:szCs w:val="20"/>
          <w:lang w:val="es-CR" w:eastAsia="es-MX"/>
          <w14:ligatures w14:val="none"/>
        </w:rPr>
      </w:pPr>
    </w:p>
    <w:p w14:paraId="56EA1ABF" w14:textId="449EEB84" w:rsidR="00486016" w:rsidRPr="0041450D" w:rsidRDefault="00486016" w:rsidP="008A687D">
      <w:pPr>
        <w:pStyle w:val="Prrafodelista"/>
        <w:numPr>
          <w:ilvl w:val="0"/>
          <w:numId w:val="14"/>
        </w:numPr>
        <w:tabs>
          <w:tab w:val="left" w:pos="567"/>
        </w:tabs>
        <w:ind w:left="0" w:firstLine="0"/>
        <w:jc w:val="both"/>
        <w:rPr>
          <w:rFonts w:ascii="Verdana" w:eastAsia="Times New Roman" w:hAnsi="Verdana" w:cs="Times New Roman"/>
          <w:b/>
          <w:bCs/>
          <w:kern w:val="0"/>
          <w:sz w:val="20"/>
          <w:szCs w:val="20"/>
          <w:lang w:val="es-CR" w:eastAsia="es-MX"/>
          <w14:ligatures w14:val="none"/>
        </w:rPr>
      </w:pPr>
      <w:r w:rsidRPr="0041450D">
        <w:rPr>
          <w:rFonts w:ascii="Verdana" w:eastAsia="Times New Roman" w:hAnsi="Verdana" w:cs="Times New Roman"/>
          <w:b/>
          <w:bCs/>
          <w:kern w:val="0"/>
          <w:sz w:val="20"/>
          <w:szCs w:val="20"/>
          <w:lang w:val="es-CR" w:eastAsia="es-MX"/>
          <w14:ligatures w14:val="none"/>
        </w:rPr>
        <w:t>En cuanto a la declaración de responsabilidad del Estado por la violación del derecho a la salud, con base en lo dispuesto en el artículo 26 de la Convención Americana</w:t>
      </w:r>
    </w:p>
    <w:p w14:paraId="4C8C5901" w14:textId="47029DC5" w:rsidR="00FA223D" w:rsidRPr="0041450D" w:rsidRDefault="00FA223D" w:rsidP="00590114">
      <w:pPr>
        <w:pStyle w:val="Prrafodelista"/>
        <w:tabs>
          <w:tab w:val="left" w:pos="567"/>
        </w:tabs>
        <w:ind w:left="927"/>
        <w:jc w:val="both"/>
        <w:rPr>
          <w:rFonts w:ascii="Verdana" w:eastAsia="Times New Roman" w:hAnsi="Verdana" w:cs="Times New Roman"/>
          <w:b/>
          <w:bCs/>
          <w:kern w:val="0"/>
          <w:sz w:val="20"/>
          <w:szCs w:val="20"/>
          <w:lang w:val="es-CR" w:eastAsia="es-MX"/>
          <w14:ligatures w14:val="none"/>
        </w:rPr>
      </w:pPr>
    </w:p>
    <w:p w14:paraId="3B06065F" w14:textId="77777777" w:rsidR="003920B7" w:rsidRDefault="005967D7" w:rsidP="00590114">
      <w:pPr>
        <w:pStyle w:val="Prrafodelista"/>
        <w:numPr>
          <w:ilvl w:val="0"/>
          <w:numId w:val="4"/>
        </w:numPr>
        <w:tabs>
          <w:tab w:val="left" w:pos="567"/>
        </w:tabs>
        <w:ind w:left="0" w:firstLine="0"/>
        <w:jc w:val="both"/>
        <w:rPr>
          <w:rFonts w:ascii="Verdana" w:eastAsia="Times New Roman" w:hAnsi="Verdana" w:cs="Times New Roman"/>
          <w:kern w:val="0"/>
          <w:sz w:val="20"/>
          <w:szCs w:val="20"/>
          <w:lang w:val="es-ES_tradnl" w:eastAsia="es-MX"/>
          <w14:ligatures w14:val="none"/>
        </w:rPr>
      </w:pPr>
      <w:r w:rsidRPr="003920B7">
        <w:rPr>
          <w:rFonts w:ascii="Verdana" w:eastAsia="Times New Roman" w:hAnsi="Verdana" w:cs="Times New Roman"/>
          <w:kern w:val="0"/>
          <w:sz w:val="20"/>
          <w:szCs w:val="20"/>
          <w:lang w:val="es-ES_tradnl" w:eastAsia="es-MX"/>
          <w14:ligatures w14:val="none"/>
        </w:rPr>
        <w:t xml:space="preserve">Disentimos también </w:t>
      </w:r>
      <w:r w:rsidR="00BE46BA" w:rsidRPr="003920B7">
        <w:rPr>
          <w:rFonts w:ascii="Verdana" w:eastAsia="Times New Roman" w:hAnsi="Verdana" w:cs="Times New Roman"/>
          <w:kern w:val="0"/>
          <w:sz w:val="20"/>
          <w:szCs w:val="20"/>
          <w:lang w:val="es-ES_tradnl" w:eastAsia="es-MX"/>
          <w14:ligatures w14:val="none"/>
        </w:rPr>
        <w:t xml:space="preserve">de esta decisión, en cuanto a que la sana doctrina en materia de </w:t>
      </w:r>
      <w:r w:rsidR="00F242B3" w:rsidRPr="003920B7">
        <w:rPr>
          <w:rFonts w:ascii="Verdana" w:eastAsia="Times New Roman" w:hAnsi="Verdana" w:cs="Times New Roman"/>
          <w:kern w:val="0"/>
          <w:sz w:val="20"/>
          <w:szCs w:val="20"/>
          <w:lang w:val="es-ES_tradnl" w:eastAsia="es-MX"/>
          <w14:ligatures w14:val="none"/>
        </w:rPr>
        <w:t>interpretación del Tratado (integrado tanto por la Convención Americana como por su Protocolo Adicional)</w:t>
      </w:r>
      <w:r w:rsidR="00832013" w:rsidRPr="003920B7">
        <w:rPr>
          <w:rFonts w:ascii="Verdana" w:eastAsia="Times New Roman" w:hAnsi="Verdana" w:cs="Times New Roman"/>
          <w:kern w:val="0"/>
          <w:sz w:val="20"/>
          <w:szCs w:val="20"/>
          <w:lang w:val="es-ES_tradnl" w:eastAsia="es-MX"/>
          <w14:ligatures w14:val="none"/>
        </w:rPr>
        <w:t>,</w:t>
      </w:r>
      <w:r w:rsidR="00F242B3" w:rsidRPr="003920B7">
        <w:rPr>
          <w:rFonts w:ascii="Verdana" w:eastAsia="Times New Roman" w:hAnsi="Verdana" w:cs="Times New Roman"/>
          <w:kern w:val="0"/>
          <w:sz w:val="20"/>
          <w:szCs w:val="20"/>
          <w:lang w:val="es-ES_tradnl" w:eastAsia="es-MX"/>
          <w14:ligatures w14:val="none"/>
        </w:rPr>
        <w:t xml:space="preserve"> </w:t>
      </w:r>
      <w:r w:rsidR="008D5BD6" w:rsidRPr="003920B7">
        <w:rPr>
          <w:rFonts w:ascii="Verdana" w:eastAsia="Times New Roman" w:hAnsi="Verdana" w:cs="Times New Roman"/>
          <w:kern w:val="0"/>
          <w:sz w:val="20"/>
          <w:szCs w:val="20"/>
          <w:lang w:val="es-ES_tradnl" w:eastAsia="es-MX"/>
          <w14:ligatures w14:val="none"/>
        </w:rPr>
        <w:t>exige valorar las afectaciones al derecho a la salud en conexión con los derechos</w:t>
      </w:r>
      <w:r w:rsidR="005172F9" w:rsidRPr="003920B7">
        <w:rPr>
          <w:rFonts w:ascii="Verdana" w:eastAsia="Times New Roman" w:hAnsi="Verdana" w:cs="Times New Roman"/>
          <w:kern w:val="0"/>
          <w:sz w:val="20"/>
          <w:szCs w:val="20"/>
          <w:lang w:val="es-ES_tradnl" w:eastAsia="es-MX"/>
          <w14:ligatures w14:val="none"/>
        </w:rPr>
        <w:t xml:space="preserve"> </w:t>
      </w:r>
      <w:r w:rsidR="00625F8C" w:rsidRPr="003920B7">
        <w:rPr>
          <w:rFonts w:ascii="Verdana" w:eastAsia="Times New Roman" w:hAnsi="Verdana" w:cs="Times New Roman"/>
          <w:kern w:val="0"/>
          <w:sz w:val="20"/>
          <w:szCs w:val="20"/>
          <w:lang w:val="es-ES_tradnl" w:eastAsia="es-MX"/>
          <w14:ligatures w14:val="none"/>
        </w:rPr>
        <w:t xml:space="preserve">a la vida o integridad personal </w:t>
      </w:r>
      <w:r w:rsidR="005172F9" w:rsidRPr="003920B7">
        <w:rPr>
          <w:rFonts w:ascii="Verdana" w:eastAsia="Times New Roman" w:hAnsi="Verdana" w:cs="Times New Roman"/>
          <w:kern w:val="0"/>
          <w:sz w:val="20"/>
          <w:szCs w:val="20"/>
          <w:lang w:val="es-ES_tradnl" w:eastAsia="es-MX"/>
          <w14:ligatures w14:val="none"/>
        </w:rPr>
        <w:t xml:space="preserve">que </w:t>
      </w:r>
      <w:r w:rsidR="00D87E3F" w:rsidRPr="003920B7">
        <w:rPr>
          <w:rFonts w:ascii="Verdana" w:eastAsia="Times New Roman" w:hAnsi="Verdana" w:cs="Times New Roman"/>
          <w:kern w:val="0"/>
          <w:sz w:val="20"/>
          <w:szCs w:val="20"/>
          <w:lang w:val="es-ES_tradnl" w:eastAsia="es-MX"/>
          <w14:ligatures w14:val="none"/>
        </w:rPr>
        <w:t xml:space="preserve">hayan sufrido detrimento producto de una acción u omisión del Estado </w:t>
      </w:r>
      <w:r w:rsidR="00AA2D81" w:rsidRPr="003920B7">
        <w:rPr>
          <w:rFonts w:ascii="Verdana" w:eastAsia="Times New Roman" w:hAnsi="Verdana" w:cs="Times New Roman"/>
          <w:kern w:val="0"/>
          <w:sz w:val="20"/>
          <w:szCs w:val="20"/>
          <w:lang w:val="es-ES_tradnl" w:eastAsia="es-MX"/>
          <w14:ligatures w14:val="none"/>
        </w:rPr>
        <w:t xml:space="preserve">en el caso concreto. </w:t>
      </w:r>
    </w:p>
    <w:p w14:paraId="3F43CC83" w14:textId="77777777" w:rsidR="003920B7" w:rsidRDefault="003920B7" w:rsidP="003920B7">
      <w:pPr>
        <w:pStyle w:val="Prrafodelista"/>
        <w:tabs>
          <w:tab w:val="left" w:pos="567"/>
        </w:tabs>
        <w:ind w:left="0"/>
        <w:jc w:val="both"/>
        <w:rPr>
          <w:rFonts w:ascii="Verdana" w:eastAsia="Times New Roman" w:hAnsi="Verdana" w:cs="Times New Roman"/>
          <w:kern w:val="0"/>
          <w:sz w:val="20"/>
          <w:szCs w:val="20"/>
          <w:lang w:val="es-ES_tradnl" w:eastAsia="es-MX"/>
          <w14:ligatures w14:val="none"/>
        </w:rPr>
      </w:pPr>
    </w:p>
    <w:p w14:paraId="703AE9B5" w14:textId="77777777" w:rsidR="003920B7" w:rsidRDefault="000B72DC" w:rsidP="00590114">
      <w:pPr>
        <w:pStyle w:val="Prrafodelista"/>
        <w:numPr>
          <w:ilvl w:val="0"/>
          <w:numId w:val="4"/>
        </w:numPr>
        <w:tabs>
          <w:tab w:val="left" w:pos="567"/>
        </w:tabs>
        <w:ind w:left="0" w:firstLine="0"/>
        <w:jc w:val="both"/>
        <w:rPr>
          <w:rFonts w:ascii="Verdana" w:eastAsia="Times New Roman" w:hAnsi="Verdana" w:cs="Times New Roman"/>
          <w:kern w:val="0"/>
          <w:sz w:val="20"/>
          <w:szCs w:val="20"/>
          <w:lang w:val="es-ES_tradnl" w:eastAsia="es-MX"/>
          <w14:ligatures w14:val="none"/>
        </w:rPr>
      </w:pPr>
      <w:r w:rsidRPr="003920B7">
        <w:rPr>
          <w:rFonts w:ascii="Verdana" w:eastAsia="Times New Roman" w:hAnsi="Verdana" w:cs="Times New Roman"/>
          <w:kern w:val="0"/>
          <w:sz w:val="20"/>
          <w:szCs w:val="20"/>
          <w:lang w:val="es-ES_tradnl" w:eastAsia="es-MX"/>
          <w14:ligatures w14:val="none"/>
        </w:rPr>
        <w:t>Abona nuestra conclusión el exa</w:t>
      </w:r>
      <w:r w:rsidR="0041563F" w:rsidRPr="003920B7">
        <w:rPr>
          <w:rFonts w:ascii="Verdana" w:eastAsia="Times New Roman" w:hAnsi="Verdana" w:cs="Times New Roman"/>
          <w:kern w:val="0"/>
          <w:sz w:val="20"/>
          <w:szCs w:val="20"/>
          <w:lang w:val="es-ES_tradnl" w:eastAsia="es-MX"/>
          <w14:ligatures w14:val="none"/>
        </w:rPr>
        <w:t xml:space="preserve">men que se </w:t>
      </w:r>
      <w:r w:rsidR="00F03DD1" w:rsidRPr="003920B7">
        <w:rPr>
          <w:rFonts w:ascii="Verdana" w:eastAsia="Times New Roman" w:hAnsi="Verdana" w:cs="Times New Roman"/>
          <w:kern w:val="0"/>
          <w:sz w:val="20"/>
          <w:szCs w:val="20"/>
          <w:lang w:val="es-ES_tradnl" w:eastAsia="es-MX"/>
          <w14:ligatures w14:val="none"/>
        </w:rPr>
        <w:t>hace en</w:t>
      </w:r>
      <w:r w:rsidR="00306DFA" w:rsidRPr="003920B7">
        <w:rPr>
          <w:rFonts w:ascii="Verdana" w:eastAsia="Times New Roman" w:hAnsi="Verdana" w:cs="Times New Roman"/>
          <w:kern w:val="0"/>
          <w:sz w:val="20"/>
          <w:szCs w:val="20"/>
          <w:lang w:val="es-ES_tradnl" w:eastAsia="es-MX"/>
          <w14:ligatures w14:val="none"/>
        </w:rPr>
        <w:t xml:space="preserve"> la sentencia</w:t>
      </w:r>
      <w:r w:rsidR="00832013" w:rsidRPr="003920B7">
        <w:rPr>
          <w:rFonts w:ascii="Verdana" w:eastAsia="Times New Roman" w:hAnsi="Verdana" w:cs="Times New Roman"/>
          <w:kern w:val="0"/>
          <w:sz w:val="20"/>
          <w:szCs w:val="20"/>
          <w:lang w:val="es-ES_tradnl" w:eastAsia="es-MX"/>
          <w14:ligatures w14:val="none"/>
        </w:rPr>
        <w:t>,</w:t>
      </w:r>
      <w:r w:rsidR="0041563F" w:rsidRPr="003920B7">
        <w:rPr>
          <w:rFonts w:ascii="Verdana" w:eastAsia="Times New Roman" w:hAnsi="Verdana" w:cs="Times New Roman"/>
          <w:kern w:val="0"/>
          <w:sz w:val="20"/>
          <w:szCs w:val="20"/>
          <w:lang w:val="es-ES_tradnl" w:eastAsia="es-MX"/>
          <w14:ligatures w14:val="none"/>
        </w:rPr>
        <w:t xml:space="preserve"> </w:t>
      </w:r>
      <w:r w:rsidR="00832013" w:rsidRPr="003920B7">
        <w:rPr>
          <w:rFonts w:ascii="Verdana" w:eastAsia="Times New Roman" w:hAnsi="Verdana" w:cs="Times New Roman"/>
          <w:kern w:val="0"/>
          <w:sz w:val="20"/>
          <w:szCs w:val="20"/>
          <w:lang w:val="es-ES_tradnl" w:eastAsia="es-MX"/>
          <w14:ligatures w14:val="none"/>
        </w:rPr>
        <w:t>respecto a</w:t>
      </w:r>
      <w:r w:rsidR="0041563F" w:rsidRPr="003920B7">
        <w:rPr>
          <w:rFonts w:ascii="Verdana" w:eastAsia="Times New Roman" w:hAnsi="Verdana" w:cs="Times New Roman"/>
          <w:kern w:val="0"/>
          <w:sz w:val="20"/>
          <w:szCs w:val="20"/>
          <w:lang w:val="es-ES_tradnl" w:eastAsia="es-MX"/>
          <w14:ligatures w14:val="none"/>
        </w:rPr>
        <w:t xml:space="preserve"> la vulneración del derecho a la integridad </w:t>
      </w:r>
      <w:r w:rsidR="003920B7" w:rsidRPr="003920B7">
        <w:rPr>
          <w:rFonts w:ascii="Verdana" w:eastAsia="Times New Roman" w:hAnsi="Verdana" w:cs="Times New Roman"/>
          <w:kern w:val="0"/>
          <w:sz w:val="20"/>
          <w:szCs w:val="20"/>
          <w:lang w:val="es-ES_tradnl" w:eastAsia="es-MX"/>
          <w14:ligatures w14:val="none"/>
        </w:rPr>
        <w:t>personal</w:t>
      </w:r>
      <w:r w:rsidR="0041563F" w:rsidRPr="003920B7">
        <w:rPr>
          <w:rFonts w:ascii="Verdana" w:eastAsia="Times New Roman" w:hAnsi="Verdana" w:cs="Times New Roman"/>
          <w:kern w:val="0"/>
          <w:sz w:val="20"/>
          <w:szCs w:val="20"/>
          <w:lang w:val="es-ES_tradnl" w:eastAsia="es-MX"/>
          <w14:ligatures w14:val="none"/>
        </w:rPr>
        <w:t xml:space="preserve"> de las víctima</w:t>
      </w:r>
      <w:r w:rsidR="00F1704F" w:rsidRPr="003920B7">
        <w:rPr>
          <w:rFonts w:ascii="Verdana" w:eastAsia="Times New Roman" w:hAnsi="Verdana" w:cs="Times New Roman"/>
          <w:kern w:val="0"/>
          <w:sz w:val="20"/>
          <w:szCs w:val="20"/>
          <w:lang w:val="es-ES_tradnl" w:eastAsia="es-MX"/>
          <w14:ligatures w14:val="none"/>
        </w:rPr>
        <w:t>s.</w:t>
      </w:r>
    </w:p>
    <w:p w14:paraId="1F24B526" w14:textId="77777777" w:rsidR="003920B7" w:rsidRPr="003920B7" w:rsidRDefault="003920B7" w:rsidP="003920B7">
      <w:pPr>
        <w:rPr>
          <w:rFonts w:ascii="Verdana" w:eastAsia="Times New Roman" w:hAnsi="Verdana" w:cs="Times New Roman"/>
          <w:kern w:val="0"/>
          <w:sz w:val="20"/>
          <w:szCs w:val="20"/>
          <w:lang w:val="es-ES_tradnl" w:eastAsia="es-MX"/>
          <w14:ligatures w14:val="none"/>
        </w:rPr>
      </w:pPr>
    </w:p>
    <w:p w14:paraId="2239B9FF" w14:textId="0611B434" w:rsidR="00CA5D52" w:rsidRPr="003920B7" w:rsidRDefault="00F03DD1" w:rsidP="00590114">
      <w:pPr>
        <w:pStyle w:val="Prrafodelista"/>
        <w:numPr>
          <w:ilvl w:val="0"/>
          <w:numId w:val="4"/>
        </w:numPr>
        <w:tabs>
          <w:tab w:val="left" w:pos="567"/>
        </w:tabs>
        <w:ind w:left="0" w:firstLine="0"/>
        <w:jc w:val="both"/>
        <w:rPr>
          <w:rFonts w:ascii="Verdana" w:eastAsia="Times New Roman" w:hAnsi="Verdana" w:cs="Times New Roman"/>
          <w:kern w:val="0"/>
          <w:sz w:val="20"/>
          <w:szCs w:val="20"/>
          <w:lang w:val="es-ES_tradnl" w:eastAsia="es-MX"/>
          <w14:ligatures w14:val="none"/>
        </w:rPr>
      </w:pPr>
      <w:r w:rsidRPr="003920B7">
        <w:rPr>
          <w:rFonts w:ascii="Verdana" w:eastAsia="Times New Roman" w:hAnsi="Verdana" w:cs="Times New Roman"/>
          <w:kern w:val="0"/>
          <w:sz w:val="20"/>
          <w:szCs w:val="20"/>
          <w:lang w:val="es-ES_tradnl" w:eastAsia="es-MX"/>
          <w14:ligatures w14:val="none"/>
        </w:rPr>
        <w:t xml:space="preserve">Los dos párrafos que se dedican </w:t>
      </w:r>
      <w:r w:rsidR="00980D2B" w:rsidRPr="003920B7">
        <w:rPr>
          <w:rFonts w:ascii="Verdana" w:eastAsia="Times New Roman" w:hAnsi="Verdana" w:cs="Times New Roman"/>
          <w:kern w:val="0"/>
          <w:sz w:val="20"/>
          <w:szCs w:val="20"/>
          <w:lang w:val="es-ES_tradnl" w:eastAsia="es-MX"/>
          <w14:ligatures w14:val="none"/>
        </w:rPr>
        <w:t>al derecho a la integridad personal rezan del siguiente modo:</w:t>
      </w:r>
    </w:p>
    <w:p w14:paraId="79B410C7" w14:textId="77777777" w:rsidR="00832013" w:rsidRPr="00832013" w:rsidRDefault="00832013" w:rsidP="00590114">
      <w:pPr>
        <w:tabs>
          <w:tab w:val="left" w:pos="567"/>
        </w:tabs>
        <w:jc w:val="both"/>
        <w:rPr>
          <w:rFonts w:ascii="Verdana" w:eastAsia="Times New Roman" w:hAnsi="Verdana" w:cs="Times New Roman"/>
          <w:kern w:val="0"/>
          <w:sz w:val="20"/>
          <w:szCs w:val="20"/>
          <w:lang w:val="es-ES_tradnl" w:eastAsia="es-MX"/>
          <w14:ligatures w14:val="none"/>
        </w:rPr>
      </w:pPr>
    </w:p>
    <w:p w14:paraId="2631AE3A" w14:textId="4FA25057" w:rsidR="00980D2B" w:rsidRPr="00832013" w:rsidRDefault="00CA5D52" w:rsidP="00832013">
      <w:pPr>
        <w:tabs>
          <w:tab w:val="left" w:pos="709"/>
        </w:tabs>
        <w:ind w:left="708"/>
        <w:jc w:val="both"/>
        <w:rPr>
          <w:rFonts w:ascii="Verdana" w:eastAsia="MS Mincho" w:hAnsi="Verdana" w:cs="Times New Roman"/>
          <w:b/>
          <w:color w:val="000000"/>
          <w:kern w:val="0"/>
          <w:sz w:val="16"/>
          <w:szCs w:val="16"/>
          <w:lang w:val="es-ES_tradnl" w:eastAsia="en-US"/>
          <w14:ligatures w14:val="none"/>
        </w:rPr>
      </w:pPr>
      <w:r w:rsidRPr="00832013">
        <w:rPr>
          <w:rFonts w:ascii="Verdana" w:eastAsia="MS Mincho" w:hAnsi="Verdana" w:cs="Times New Roman"/>
          <w:color w:val="000000"/>
          <w:kern w:val="0"/>
          <w:sz w:val="16"/>
          <w:szCs w:val="16"/>
          <w:lang w:val="es-ES_tradnl" w:eastAsia="en-US"/>
          <w14:ligatures w14:val="none"/>
        </w:rPr>
        <w:tab/>
      </w:r>
      <w:r w:rsidR="00D92BC8" w:rsidRPr="00832013">
        <w:rPr>
          <w:rFonts w:ascii="Verdana" w:eastAsia="MS Mincho" w:hAnsi="Verdana" w:cs="Times New Roman"/>
          <w:color w:val="000000"/>
          <w:kern w:val="0"/>
          <w:sz w:val="16"/>
          <w:szCs w:val="16"/>
          <w:lang w:val="es-ES_tradnl" w:eastAsia="en-US"/>
          <w14:ligatures w14:val="none"/>
        </w:rPr>
        <w:t xml:space="preserve">138. </w:t>
      </w:r>
      <w:r w:rsidR="00980D2B" w:rsidRPr="00832013">
        <w:rPr>
          <w:rFonts w:ascii="Verdana" w:eastAsia="MS Mincho" w:hAnsi="Verdana" w:cs="Times New Roman"/>
          <w:color w:val="000000"/>
          <w:kern w:val="0"/>
          <w:sz w:val="16"/>
          <w:szCs w:val="16"/>
          <w:lang w:val="es-ES_tradnl" w:eastAsia="en-US"/>
          <w14:ligatures w14:val="none"/>
        </w:rPr>
        <w:t>En cuanto el derecho a la integridad personal, la Corte reitera que la violación del derecho a la integridad física y psíquica de las personas tiene diversas connotaciones de grado y que abarca desde la tortura hasta otro tipo de vejámenes o tratos crueles, inhumanos o degradantes, cuyas secuelas físicas y psíquicas varían de intensidad según factores endógenos y exógenos (duración de los tratos, edad, sexo, salud, contexto, vulnerabilidad, entre otros) que deberán ser analizados en cada situación concreta</w:t>
      </w:r>
      <w:r w:rsidR="005F4E9C" w:rsidRPr="00832013">
        <w:rPr>
          <w:rFonts w:ascii="Verdana" w:eastAsia="Times New Roman" w:hAnsi="Verdana" w:cs="Times New Roman"/>
          <w:kern w:val="0"/>
          <w:sz w:val="16"/>
          <w:szCs w:val="16"/>
          <w:lang w:val="es-ES_tradnl" w:eastAsia="es-MX"/>
          <w14:ligatures w14:val="none"/>
        </w:rPr>
        <w:t>.</w:t>
      </w:r>
      <w:r w:rsidR="00980D2B" w:rsidRPr="00832013">
        <w:rPr>
          <w:rFonts w:ascii="Verdana" w:eastAsia="MS Mincho" w:hAnsi="Verdana" w:cs="Times New Roman"/>
          <w:color w:val="000000"/>
          <w:kern w:val="0"/>
          <w:sz w:val="16"/>
          <w:szCs w:val="16"/>
          <w:lang w:val="es-ES_tradnl" w:eastAsia="en-US"/>
          <w14:ligatures w14:val="none"/>
        </w:rPr>
        <w:t xml:space="preserve"> </w:t>
      </w:r>
    </w:p>
    <w:p w14:paraId="5AF5B67E" w14:textId="77777777" w:rsidR="00980D2B" w:rsidRPr="00832013" w:rsidRDefault="00980D2B" w:rsidP="00832013">
      <w:pPr>
        <w:jc w:val="both"/>
        <w:rPr>
          <w:rFonts w:ascii="Verdana" w:eastAsia="Times New Roman" w:hAnsi="Verdana" w:cs="Times New Roman"/>
          <w:kern w:val="0"/>
          <w:sz w:val="16"/>
          <w:szCs w:val="16"/>
          <w:lang w:val="es-ES_tradnl" w:eastAsia="es-MX"/>
          <w14:ligatures w14:val="none"/>
        </w:rPr>
      </w:pPr>
    </w:p>
    <w:p w14:paraId="7C200BFA" w14:textId="2E770A38" w:rsidR="00F03DD1" w:rsidRDefault="00CA5D52" w:rsidP="00832013">
      <w:pPr>
        <w:tabs>
          <w:tab w:val="left" w:pos="709"/>
        </w:tabs>
        <w:ind w:left="708"/>
        <w:jc w:val="both"/>
        <w:rPr>
          <w:rFonts w:ascii="Verdana" w:eastAsia="Times New Roman" w:hAnsi="Verdana" w:cs="Times New Roman"/>
          <w:kern w:val="0"/>
          <w:sz w:val="16"/>
          <w:szCs w:val="16"/>
          <w:lang w:val="es-ES_tradnl" w:eastAsia="es-MX"/>
          <w14:ligatures w14:val="none"/>
        </w:rPr>
      </w:pPr>
      <w:r w:rsidRPr="00832013">
        <w:rPr>
          <w:rFonts w:ascii="Verdana" w:eastAsia="MS Mincho" w:hAnsi="Verdana" w:cs="Times New Roman"/>
          <w:color w:val="000000"/>
          <w:kern w:val="0"/>
          <w:sz w:val="16"/>
          <w:szCs w:val="16"/>
          <w:lang w:val="es-ES_tradnl" w:eastAsia="en-US"/>
          <w14:ligatures w14:val="none"/>
        </w:rPr>
        <w:tab/>
      </w:r>
      <w:r w:rsidR="00D92BC8" w:rsidRPr="00832013">
        <w:rPr>
          <w:rFonts w:ascii="Verdana" w:eastAsia="MS Mincho" w:hAnsi="Verdana" w:cs="Times New Roman"/>
          <w:color w:val="000000"/>
          <w:kern w:val="0"/>
          <w:sz w:val="16"/>
          <w:szCs w:val="16"/>
          <w:lang w:val="es-ES_tradnl" w:eastAsia="en-US"/>
          <w14:ligatures w14:val="none"/>
        </w:rPr>
        <w:t xml:space="preserve">139. </w:t>
      </w:r>
      <w:r w:rsidR="00980D2B" w:rsidRPr="00832013">
        <w:rPr>
          <w:rFonts w:ascii="Verdana" w:eastAsia="MS Mincho" w:hAnsi="Verdana" w:cs="Times New Roman"/>
          <w:color w:val="000000"/>
          <w:kern w:val="0"/>
          <w:sz w:val="16"/>
          <w:szCs w:val="16"/>
          <w:lang w:val="es-ES_tradnl" w:eastAsia="en-US"/>
          <w14:ligatures w14:val="none"/>
        </w:rPr>
        <w:t>Ahora bien, la Corte ha señalado que</w:t>
      </w:r>
      <w:r w:rsidR="003920B7">
        <w:rPr>
          <w:rFonts w:ascii="Verdana" w:eastAsia="MS Mincho" w:hAnsi="Verdana" w:cs="Times New Roman"/>
          <w:color w:val="000000"/>
          <w:kern w:val="0"/>
          <w:sz w:val="16"/>
          <w:szCs w:val="16"/>
          <w:lang w:val="es-ES_tradnl" w:eastAsia="en-US"/>
          <w14:ligatures w14:val="none"/>
        </w:rPr>
        <w:t>,</w:t>
      </w:r>
      <w:r w:rsidR="00980D2B" w:rsidRPr="00832013">
        <w:rPr>
          <w:rFonts w:ascii="Verdana" w:eastAsia="MS Mincho" w:hAnsi="Verdana" w:cs="Times New Roman"/>
          <w:color w:val="000000"/>
          <w:kern w:val="0"/>
          <w:sz w:val="16"/>
          <w:szCs w:val="16"/>
          <w:lang w:val="es-ES_tradnl" w:eastAsia="en-US"/>
          <w14:ligatures w14:val="none"/>
        </w:rPr>
        <w:t xml:space="preserve"> si bien cada uno de los derechos contenidos en la Convención tiene su ámbito, sentido y alcance propios</w:t>
      </w:r>
      <w:r w:rsidR="00716E15" w:rsidRPr="00832013">
        <w:rPr>
          <w:rFonts w:ascii="Verdana" w:eastAsia="MS Mincho" w:hAnsi="Verdana" w:cs="Times New Roman"/>
          <w:color w:val="000000"/>
          <w:kern w:val="0"/>
          <w:sz w:val="16"/>
          <w:szCs w:val="16"/>
          <w:lang w:val="es-ES_tradnl" w:eastAsia="en-US"/>
          <w14:ligatures w14:val="none"/>
        </w:rPr>
        <w:t>,</w:t>
      </w:r>
      <w:r w:rsidR="00980D2B" w:rsidRPr="00832013">
        <w:rPr>
          <w:rFonts w:ascii="Verdana" w:eastAsia="MS Mincho" w:hAnsi="Verdana" w:cs="Times New Roman"/>
          <w:color w:val="000000"/>
          <w:kern w:val="0"/>
          <w:sz w:val="16"/>
          <w:szCs w:val="16"/>
          <w:lang w:val="es-ES_tradnl" w:eastAsia="en-US"/>
          <w14:ligatures w14:val="none"/>
        </w:rPr>
        <w:t xml:space="preserve"> existe una estrecha relación entre el derecho a la vida y el derecho a la integridad personal. En este sentido, existen ocasiones en que la falta de acceso a las condiciones que garantizan una vida digna también constituye una violación al derecho a la integridad persona</w:t>
      </w:r>
      <w:r w:rsidR="0024681D" w:rsidRPr="00832013">
        <w:rPr>
          <w:rFonts w:ascii="Verdana" w:eastAsia="MS Mincho" w:hAnsi="Verdana" w:cs="Times New Roman"/>
          <w:color w:val="000000"/>
          <w:kern w:val="0"/>
          <w:sz w:val="16"/>
          <w:szCs w:val="16"/>
          <w:lang w:val="es-ES_tradnl" w:eastAsia="en-US"/>
          <w14:ligatures w14:val="none"/>
        </w:rPr>
        <w:t xml:space="preserve">l, </w:t>
      </w:r>
      <w:r w:rsidR="00980D2B" w:rsidRPr="00832013">
        <w:rPr>
          <w:rFonts w:ascii="Verdana" w:eastAsia="MS Mincho" w:hAnsi="Verdana" w:cs="Times New Roman"/>
          <w:color w:val="000000"/>
          <w:kern w:val="0"/>
          <w:sz w:val="16"/>
          <w:szCs w:val="16"/>
          <w:lang w:val="es-ES_tradnl" w:eastAsia="en-US"/>
          <w14:ligatures w14:val="none"/>
        </w:rPr>
        <w:t xml:space="preserve">por ejemplo, en casos vinculados con la salud humana. Asimismo, la Corte ha reconocido que </w:t>
      </w:r>
      <w:r w:rsidR="00980D2B" w:rsidRPr="00832013">
        <w:rPr>
          <w:rFonts w:ascii="Verdana" w:eastAsia="MS Mincho" w:hAnsi="Verdana" w:cs="Times New Roman"/>
          <w:iCs/>
          <w:color w:val="000000"/>
          <w:kern w:val="0"/>
          <w:sz w:val="16"/>
          <w:szCs w:val="16"/>
          <w:lang w:val="es-ES_tradnl" w:eastAsia="en-US"/>
          <w14:ligatures w14:val="none"/>
        </w:rPr>
        <w:t>determinados proyectos o intervenciones en el medio ambiente pueden representar un riesgo a la vida y a la integridad personal de las personas</w:t>
      </w:r>
      <w:r w:rsidR="005F4E9C" w:rsidRPr="00832013">
        <w:rPr>
          <w:rFonts w:ascii="Verdana" w:eastAsia="Times New Roman" w:hAnsi="Verdana" w:cs="Times New Roman"/>
          <w:kern w:val="0"/>
          <w:sz w:val="16"/>
          <w:szCs w:val="16"/>
          <w:lang w:val="es-ES_tradnl" w:eastAsia="es-MX"/>
          <w14:ligatures w14:val="none"/>
        </w:rPr>
        <w:t>.</w:t>
      </w:r>
    </w:p>
    <w:p w14:paraId="3FE2F826" w14:textId="77777777" w:rsidR="00832013" w:rsidRPr="00832013" w:rsidRDefault="00832013" w:rsidP="00832013">
      <w:pPr>
        <w:tabs>
          <w:tab w:val="left" w:pos="709"/>
        </w:tabs>
        <w:ind w:left="708"/>
        <w:jc w:val="both"/>
        <w:rPr>
          <w:rFonts w:ascii="Verdana" w:eastAsia="MS Mincho" w:hAnsi="Verdana" w:cs="Times New Roman"/>
          <w:color w:val="000000"/>
          <w:kern w:val="0"/>
          <w:sz w:val="16"/>
          <w:szCs w:val="16"/>
          <w:vertAlign w:val="superscript"/>
          <w:lang w:val="es-ES_tradnl" w:eastAsia="en-US"/>
          <w14:ligatures w14:val="none"/>
        </w:rPr>
      </w:pPr>
    </w:p>
    <w:p w14:paraId="68AA468A" w14:textId="67424D1F" w:rsidR="00C92E18" w:rsidRDefault="00306DFA" w:rsidP="003920B7">
      <w:pPr>
        <w:pStyle w:val="Prrafodelista"/>
        <w:numPr>
          <w:ilvl w:val="0"/>
          <w:numId w:val="4"/>
        </w:numPr>
        <w:tabs>
          <w:tab w:val="left" w:pos="567"/>
        </w:tabs>
        <w:ind w:left="0" w:firstLine="0"/>
        <w:jc w:val="both"/>
        <w:rPr>
          <w:rFonts w:ascii="Verdana" w:eastAsia="Times New Roman" w:hAnsi="Verdana" w:cs="Times New Roman"/>
          <w:kern w:val="0"/>
          <w:sz w:val="20"/>
          <w:szCs w:val="20"/>
          <w:lang w:val="es-ES_tradnl" w:eastAsia="es-MX"/>
          <w14:ligatures w14:val="none"/>
        </w:rPr>
      </w:pPr>
      <w:r w:rsidRPr="003920B7">
        <w:rPr>
          <w:rFonts w:ascii="Verdana" w:eastAsia="Times New Roman" w:hAnsi="Verdana" w:cs="Times New Roman"/>
          <w:kern w:val="0"/>
          <w:sz w:val="20"/>
          <w:szCs w:val="20"/>
          <w:lang w:val="es-ES_tradnl" w:eastAsia="es-MX"/>
          <w14:ligatures w14:val="none"/>
        </w:rPr>
        <w:t>Si se</w:t>
      </w:r>
      <w:r w:rsidR="002B0D53" w:rsidRPr="003920B7">
        <w:rPr>
          <w:rFonts w:ascii="Verdana" w:eastAsia="Times New Roman" w:hAnsi="Verdana" w:cs="Times New Roman"/>
          <w:kern w:val="0"/>
          <w:sz w:val="20"/>
          <w:szCs w:val="20"/>
          <w:lang w:val="es-ES_tradnl" w:eastAsia="es-MX"/>
          <w14:ligatures w14:val="none"/>
        </w:rPr>
        <w:t xml:space="preserve"> observa </w:t>
      </w:r>
      <w:r w:rsidRPr="003920B7">
        <w:rPr>
          <w:rFonts w:ascii="Verdana" w:eastAsia="Times New Roman" w:hAnsi="Verdana" w:cs="Times New Roman"/>
          <w:kern w:val="0"/>
          <w:sz w:val="20"/>
          <w:szCs w:val="20"/>
          <w:lang w:val="es-ES_tradnl" w:eastAsia="es-MX"/>
          <w14:ligatures w14:val="none"/>
        </w:rPr>
        <w:t>la cuestió</w:t>
      </w:r>
      <w:r w:rsidR="002B0D53" w:rsidRPr="003920B7">
        <w:rPr>
          <w:rFonts w:ascii="Verdana" w:eastAsia="Times New Roman" w:hAnsi="Verdana" w:cs="Times New Roman"/>
          <w:kern w:val="0"/>
          <w:sz w:val="20"/>
          <w:szCs w:val="20"/>
          <w:lang w:val="es-ES_tradnl" w:eastAsia="es-MX"/>
          <w14:ligatures w14:val="none"/>
        </w:rPr>
        <w:t xml:space="preserve">n planteada con atención, es posible constatar </w:t>
      </w:r>
      <w:r w:rsidR="00272217" w:rsidRPr="003920B7">
        <w:rPr>
          <w:rFonts w:ascii="Verdana" w:eastAsia="Times New Roman" w:hAnsi="Verdana" w:cs="Times New Roman"/>
          <w:kern w:val="0"/>
          <w:sz w:val="20"/>
          <w:szCs w:val="20"/>
          <w:lang w:val="es-ES_tradnl" w:eastAsia="es-MX"/>
          <w14:ligatures w14:val="none"/>
        </w:rPr>
        <w:t>que</w:t>
      </w:r>
      <w:r w:rsidR="0074665E" w:rsidRPr="003920B7">
        <w:rPr>
          <w:rFonts w:ascii="Verdana" w:eastAsia="Times New Roman" w:hAnsi="Verdana" w:cs="Times New Roman"/>
          <w:kern w:val="0"/>
          <w:sz w:val="20"/>
          <w:szCs w:val="20"/>
          <w:lang w:val="es-ES_tradnl" w:eastAsia="es-MX"/>
          <w14:ligatures w14:val="none"/>
        </w:rPr>
        <w:t xml:space="preserve"> </w:t>
      </w:r>
      <w:r w:rsidR="00F30BA5" w:rsidRPr="003920B7">
        <w:rPr>
          <w:rFonts w:ascii="Verdana" w:eastAsia="Times New Roman" w:hAnsi="Verdana" w:cs="Times New Roman"/>
          <w:kern w:val="0"/>
          <w:sz w:val="20"/>
          <w:szCs w:val="20"/>
          <w:lang w:val="es-ES_tradnl" w:eastAsia="es-MX"/>
          <w14:ligatures w14:val="none"/>
        </w:rPr>
        <w:t xml:space="preserve">no se </w:t>
      </w:r>
      <w:r w:rsidR="00D145EC" w:rsidRPr="003920B7">
        <w:rPr>
          <w:rFonts w:ascii="Verdana" w:eastAsia="Times New Roman" w:hAnsi="Verdana" w:cs="Times New Roman"/>
          <w:kern w:val="0"/>
          <w:sz w:val="20"/>
          <w:szCs w:val="20"/>
          <w:lang w:val="es-ES_tradnl" w:eastAsia="es-MX"/>
          <w14:ligatures w14:val="none"/>
        </w:rPr>
        <w:t>explica de qu</w:t>
      </w:r>
      <w:r w:rsidR="00FB4C00" w:rsidRPr="003920B7">
        <w:rPr>
          <w:rFonts w:ascii="Verdana" w:eastAsia="Times New Roman" w:hAnsi="Verdana" w:cs="Times New Roman"/>
          <w:kern w:val="0"/>
          <w:sz w:val="20"/>
          <w:szCs w:val="20"/>
          <w:lang w:val="es-ES_tradnl" w:eastAsia="es-MX"/>
          <w14:ligatures w14:val="none"/>
        </w:rPr>
        <w:t>é modo las afectaciones a la salud son vulneraciones distintas y separadas de</w:t>
      </w:r>
      <w:r w:rsidR="00F66ABA" w:rsidRPr="003920B7">
        <w:rPr>
          <w:rFonts w:ascii="Verdana" w:eastAsia="Times New Roman" w:hAnsi="Verdana" w:cs="Times New Roman"/>
          <w:kern w:val="0"/>
          <w:sz w:val="20"/>
          <w:szCs w:val="20"/>
          <w:lang w:val="es-ES_tradnl" w:eastAsia="es-MX"/>
          <w14:ligatures w14:val="none"/>
        </w:rPr>
        <w:t xml:space="preserve"> las afectaciones a la integridad personal de las víctimas. </w:t>
      </w:r>
      <w:r w:rsidR="00F31CCF" w:rsidRPr="003920B7">
        <w:rPr>
          <w:rFonts w:ascii="Verdana" w:eastAsia="Times New Roman" w:hAnsi="Verdana" w:cs="Times New Roman"/>
          <w:kern w:val="0"/>
          <w:sz w:val="20"/>
          <w:szCs w:val="20"/>
          <w:lang w:val="es-ES_tradnl" w:eastAsia="es-MX"/>
          <w14:ligatures w14:val="none"/>
        </w:rPr>
        <w:t xml:space="preserve">Ello ocurre precisamente porque no se hace lo debido, esto es, valorar </w:t>
      </w:r>
      <w:r w:rsidR="00A71192" w:rsidRPr="003920B7">
        <w:rPr>
          <w:rFonts w:ascii="Verdana" w:eastAsia="Times New Roman" w:hAnsi="Verdana" w:cs="Times New Roman"/>
          <w:kern w:val="0"/>
          <w:sz w:val="20"/>
          <w:szCs w:val="20"/>
          <w:lang w:val="es-ES_tradnl" w:eastAsia="es-MX"/>
          <w14:ligatures w14:val="none"/>
        </w:rPr>
        <w:t xml:space="preserve">las afectaciones del derecho a la salud en conexión y en el marco del análisis del derecho a la integridad personal. </w:t>
      </w:r>
      <w:r w:rsidR="006505AE" w:rsidRPr="003920B7">
        <w:rPr>
          <w:rFonts w:ascii="Verdana" w:eastAsia="Times New Roman" w:hAnsi="Verdana" w:cs="Times New Roman"/>
          <w:kern w:val="0"/>
          <w:sz w:val="20"/>
          <w:szCs w:val="20"/>
          <w:lang w:val="es-ES_tradnl" w:eastAsia="es-MX"/>
          <w14:ligatures w14:val="none"/>
        </w:rPr>
        <w:t xml:space="preserve">Esta </w:t>
      </w:r>
      <w:r w:rsidR="00827E89" w:rsidRPr="003920B7">
        <w:rPr>
          <w:rFonts w:ascii="Verdana" w:eastAsia="Times New Roman" w:hAnsi="Verdana" w:cs="Times New Roman"/>
          <w:kern w:val="0"/>
          <w:sz w:val="20"/>
          <w:szCs w:val="20"/>
          <w:lang w:val="es-ES_tradnl" w:eastAsia="es-MX"/>
          <w14:ligatures w14:val="none"/>
        </w:rPr>
        <w:t>forma de proceder</w:t>
      </w:r>
      <w:r w:rsidR="006505AE" w:rsidRPr="003920B7">
        <w:rPr>
          <w:rFonts w:ascii="Verdana" w:eastAsia="Times New Roman" w:hAnsi="Verdana" w:cs="Times New Roman"/>
          <w:kern w:val="0"/>
          <w:sz w:val="20"/>
          <w:szCs w:val="20"/>
          <w:lang w:val="es-ES_tradnl" w:eastAsia="es-MX"/>
          <w14:ligatures w14:val="none"/>
        </w:rPr>
        <w:t xml:space="preserve">, según se ha </w:t>
      </w:r>
      <w:r w:rsidR="00832013" w:rsidRPr="003920B7">
        <w:rPr>
          <w:rFonts w:ascii="Verdana" w:eastAsia="Times New Roman" w:hAnsi="Verdana" w:cs="Times New Roman"/>
          <w:kern w:val="0"/>
          <w:sz w:val="20"/>
          <w:szCs w:val="20"/>
          <w:lang w:val="es-ES_tradnl" w:eastAsia="es-MX"/>
          <w14:ligatures w14:val="none"/>
        </w:rPr>
        <w:t>explicado, además</w:t>
      </w:r>
      <w:r w:rsidR="00827E89" w:rsidRPr="003920B7">
        <w:rPr>
          <w:rFonts w:ascii="Verdana" w:eastAsia="Times New Roman" w:hAnsi="Verdana" w:cs="Times New Roman"/>
          <w:kern w:val="0"/>
          <w:sz w:val="20"/>
          <w:szCs w:val="20"/>
          <w:lang w:val="es-ES_tradnl" w:eastAsia="es-MX"/>
          <w14:ligatures w14:val="none"/>
        </w:rPr>
        <w:t xml:space="preserve"> de incorrecta, </w:t>
      </w:r>
      <w:r w:rsidR="00415ED2" w:rsidRPr="003920B7">
        <w:rPr>
          <w:rFonts w:ascii="Verdana" w:eastAsia="Times New Roman" w:hAnsi="Verdana" w:cs="Times New Roman"/>
          <w:kern w:val="0"/>
          <w:sz w:val="20"/>
          <w:szCs w:val="20"/>
          <w:lang w:val="es-ES_tradnl" w:eastAsia="es-MX"/>
          <w14:ligatures w14:val="none"/>
        </w:rPr>
        <w:t xml:space="preserve">perjudica la </w:t>
      </w:r>
      <w:r w:rsidR="00C92E18" w:rsidRPr="003920B7">
        <w:rPr>
          <w:rFonts w:ascii="Verdana" w:eastAsia="Times New Roman" w:hAnsi="Verdana" w:cs="Times New Roman"/>
          <w:kern w:val="0"/>
          <w:sz w:val="20"/>
          <w:szCs w:val="20"/>
          <w:lang w:val="es-ES_tradnl" w:eastAsia="es-MX"/>
          <w14:ligatures w14:val="none"/>
        </w:rPr>
        <w:t xml:space="preserve">interpretación del derecho a la integridad personal, el </w:t>
      </w:r>
      <w:r w:rsidR="00832013" w:rsidRPr="003920B7">
        <w:rPr>
          <w:rFonts w:ascii="Verdana" w:eastAsia="Times New Roman" w:hAnsi="Verdana" w:cs="Times New Roman"/>
          <w:kern w:val="0"/>
          <w:sz w:val="20"/>
          <w:szCs w:val="20"/>
          <w:lang w:val="es-ES_tradnl" w:eastAsia="es-MX"/>
          <w14:ligatures w14:val="none"/>
        </w:rPr>
        <w:t>que,</w:t>
      </w:r>
      <w:r w:rsidR="00C92E18" w:rsidRPr="003920B7">
        <w:rPr>
          <w:rFonts w:ascii="Verdana" w:eastAsia="Times New Roman" w:hAnsi="Verdana" w:cs="Times New Roman"/>
          <w:kern w:val="0"/>
          <w:sz w:val="20"/>
          <w:szCs w:val="20"/>
          <w:lang w:val="es-ES_tradnl" w:eastAsia="es-MX"/>
          <w14:ligatures w14:val="none"/>
        </w:rPr>
        <w:t xml:space="preserve"> como resultado de esta práctica</w:t>
      </w:r>
      <w:r w:rsidR="008161A6" w:rsidRPr="003920B7">
        <w:rPr>
          <w:rFonts w:ascii="Verdana" w:eastAsia="Times New Roman" w:hAnsi="Verdana" w:cs="Times New Roman"/>
          <w:kern w:val="0"/>
          <w:sz w:val="20"/>
          <w:szCs w:val="20"/>
          <w:lang w:val="es-ES_tradnl" w:eastAsia="es-MX"/>
          <w14:ligatures w14:val="none"/>
        </w:rPr>
        <w:t>,</w:t>
      </w:r>
      <w:r w:rsidR="00C92E18" w:rsidRPr="003920B7">
        <w:rPr>
          <w:rFonts w:ascii="Verdana" w:eastAsia="Times New Roman" w:hAnsi="Verdana" w:cs="Times New Roman"/>
          <w:kern w:val="0"/>
          <w:sz w:val="20"/>
          <w:szCs w:val="20"/>
          <w:lang w:val="es-ES_tradnl" w:eastAsia="es-MX"/>
          <w14:ligatures w14:val="none"/>
        </w:rPr>
        <w:t xml:space="preserve"> resulta irremediablemente despojado de contenido.</w:t>
      </w:r>
    </w:p>
    <w:p w14:paraId="4D512E9B" w14:textId="77777777" w:rsidR="00586103" w:rsidRDefault="00586103" w:rsidP="00586103">
      <w:pPr>
        <w:pStyle w:val="Prrafodelista"/>
        <w:tabs>
          <w:tab w:val="left" w:pos="567"/>
        </w:tabs>
        <w:ind w:left="0"/>
        <w:jc w:val="both"/>
        <w:rPr>
          <w:rFonts w:ascii="Verdana" w:eastAsia="Times New Roman" w:hAnsi="Verdana" w:cs="Times New Roman"/>
          <w:kern w:val="0"/>
          <w:sz w:val="20"/>
          <w:szCs w:val="20"/>
          <w:lang w:val="es-ES_tradnl" w:eastAsia="es-MX"/>
          <w14:ligatures w14:val="none"/>
        </w:rPr>
      </w:pPr>
    </w:p>
    <w:p w14:paraId="0E0BBBEB" w14:textId="1AB6AD9A" w:rsidR="00586103" w:rsidRPr="00123863" w:rsidRDefault="00586103" w:rsidP="003920B7">
      <w:pPr>
        <w:pStyle w:val="Prrafodelista"/>
        <w:numPr>
          <w:ilvl w:val="0"/>
          <w:numId w:val="4"/>
        </w:numPr>
        <w:tabs>
          <w:tab w:val="left" w:pos="567"/>
        </w:tabs>
        <w:ind w:left="0" w:firstLine="0"/>
        <w:jc w:val="both"/>
        <w:rPr>
          <w:rFonts w:ascii="Verdana" w:eastAsia="Times New Roman" w:hAnsi="Verdana" w:cs="Times New Roman"/>
          <w:kern w:val="0"/>
          <w:sz w:val="20"/>
          <w:szCs w:val="20"/>
          <w:lang w:val="es-ES_tradnl" w:eastAsia="es-MX"/>
          <w14:ligatures w14:val="none"/>
        </w:rPr>
      </w:pPr>
      <w:r w:rsidRPr="00123863">
        <w:rPr>
          <w:rFonts w:ascii="Verdana" w:eastAsia="Times New Roman" w:hAnsi="Verdana" w:cs="Times New Roman"/>
          <w:kern w:val="0"/>
          <w:sz w:val="20"/>
          <w:szCs w:val="20"/>
          <w:lang w:val="es-ES_tradnl" w:eastAsia="es-MX"/>
          <w14:ligatures w14:val="none"/>
        </w:rPr>
        <w:t xml:space="preserve">Además, el caso ofrecía una vía alternativa de análisis de las afectaciones a la salud y al medio ambiente sin que la Corte actuara por fuera de su competencia </w:t>
      </w:r>
      <w:r w:rsidRPr="00123863">
        <w:rPr>
          <w:rFonts w:ascii="Verdana" w:eastAsia="Times New Roman" w:hAnsi="Verdana" w:cs="Times New Roman"/>
          <w:kern w:val="0"/>
          <w:sz w:val="20"/>
          <w:szCs w:val="20"/>
          <w:lang w:val="es-ES_tradnl" w:eastAsia="es-MX"/>
          <w14:ligatures w14:val="none"/>
        </w:rPr>
        <w:lastRenderedPageBreak/>
        <w:t>material. El Tribunal Constitucional emitió una sentencia el 12 de mayo de 2006</w:t>
      </w:r>
      <w:r w:rsidR="0031566F" w:rsidRPr="00123863">
        <w:rPr>
          <w:rFonts w:ascii="Verdana" w:eastAsia="Times New Roman" w:hAnsi="Verdana" w:cs="Times New Roman"/>
          <w:kern w:val="0"/>
          <w:sz w:val="20"/>
          <w:szCs w:val="20"/>
          <w:lang w:val="es-ES_tradnl" w:eastAsia="es-MX"/>
          <w14:ligatures w14:val="none"/>
        </w:rPr>
        <w:t>,</w:t>
      </w:r>
      <w:r w:rsidRPr="00123863">
        <w:rPr>
          <w:rFonts w:ascii="Verdana" w:eastAsia="Times New Roman" w:hAnsi="Verdana" w:cs="Times New Roman"/>
          <w:kern w:val="0"/>
          <w:sz w:val="20"/>
          <w:szCs w:val="20"/>
          <w:lang w:val="es-ES_tradnl" w:eastAsia="es-MX"/>
          <w14:ligatures w14:val="none"/>
        </w:rPr>
        <w:t xml:space="preserve"> en la que </w:t>
      </w:r>
      <w:r w:rsidR="00B27C26" w:rsidRPr="00123863">
        <w:rPr>
          <w:rFonts w:ascii="Verdana" w:eastAsia="Times New Roman" w:hAnsi="Verdana" w:cs="Times New Roman"/>
          <w:kern w:val="0"/>
          <w:sz w:val="20"/>
          <w:szCs w:val="20"/>
          <w:lang w:val="es-ES_tradnl" w:eastAsia="es-MX"/>
          <w14:ligatures w14:val="none"/>
        </w:rPr>
        <w:t>ordenó una serie de medidas</w:t>
      </w:r>
      <w:r w:rsidRPr="00123863">
        <w:rPr>
          <w:rFonts w:ascii="Verdana" w:eastAsia="Times New Roman" w:hAnsi="Verdana" w:cs="Times New Roman"/>
          <w:kern w:val="0"/>
          <w:sz w:val="20"/>
          <w:szCs w:val="20"/>
          <w:lang w:val="es-ES_tradnl" w:eastAsia="es-MX"/>
          <w14:ligatures w14:val="none"/>
        </w:rPr>
        <w:t xml:space="preserve"> para la protección de la salud y el medio ambiente saludable</w:t>
      </w:r>
      <w:r w:rsidR="00B27C26" w:rsidRPr="00123863">
        <w:rPr>
          <w:rFonts w:ascii="Verdana" w:eastAsia="Times New Roman" w:hAnsi="Verdana" w:cs="Times New Roman"/>
          <w:kern w:val="0"/>
          <w:sz w:val="20"/>
          <w:szCs w:val="20"/>
          <w:lang w:val="es-ES_tradnl" w:eastAsia="es-MX"/>
          <w14:ligatures w14:val="none"/>
        </w:rPr>
        <w:t xml:space="preserve"> ante la contaminación producida por la industria metalúrgica en La Oroya</w:t>
      </w:r>
      <w:r w:rsidRPr="00123863">
        <w:rPr>
          <w:rFonts w:ascii="Verdana" w:eastAsia="Times New Roman" w:hAnsi="Verdana" w:cs="Times New Roman"/>
          <w:kern w:val="0"/>
          <w:sz w:val="20"/>
          <w:szCs w:val="20"/>
          <w:lang w:val="es-ES_tradnl" w:eastAsia="es-MX"/>
          <w14:ligatures w14:val="none"/>
        </w:rPr>
        <w:t xml:space="preserve">. El cumplimiento de estas órdenes resultaba un mecanismo idóneo para la protección </w:t>
      </w:r>
      <w:r w:rsidR="0031566F" w:rsidRPr="00123863">
        <w:rPr>
          <w:rFonts w:ascii="Verdana" w:eastAsia="Times New Roman" w:hAnsi="Verdana" w:cs="Times New Roman"/>
          <w:kern w:val="0"/>
          <w:sz w:val="20"/>
          <w:szCs w:val="20"/>
          <w:lang w:val="es-ES_tradnl" w:eastAsia="es-MX"/>
          <w14:ligatures w14:val="none"/>
        </w:rPr>
        <w:t xml:space="preserve">constitucional </w:t>
      </w:r>
      <w:r w:rsidRPr="00123863">
        <w:rPr>
          <w:rFonts w:ascii="Verdana" w:eastAsia="Times New Roman" w:hAnsi="Verdana" w:cs="Times New Roman"/>
          <w:kern w:val="0"/>
          <w:sz w:val="20"/>
          <w:szCs w:val="20"/>
          <w:lang w:val="es-ES_tradnl" w:eastAsia="es-MX"/>
          <w14:ligatures w14:val="none"/>
        </w:rPr>
        <w:t xml:space="preserve">de los habitantes de La Oroya, </w:t>
      </w:r>
      <w:r w:rsidR="00B27C26" w:rsidRPr="00123863">
        <w:rPr>
          <w:rFonts w:ascii="Verdana" w:eastAsia="Times New Roman" w:hAnsi="Verdana" w:cs="Times New Roman"/>
          <w:kern w:val="0"/>
          <w:sz w:val="20"/>
          <w:szCs w:val="20"/>
          <w:lang w:val="es-ES_tradnl" w:eastAsia="es-MX"/>
          <w14:ligatures w14:val="none"/>
        </w:rPr>
        <w:t xml:space="preserve">y el Estado, al no cumplir con estas órdenes, incumplió </w:t>
      </w:r>
      <w:r w:rsidR="0031566F" w:rsidRPr="00123863">
        <w:rPr>
          <w:rFonts w:ascii="Verdana" w:eastAsia="Times New Roman" w:hAnsi="Verdana" w:cs="Times New Roman"/>
          <w:kern w:val="0"/>
          <w:sz w:val="20"/>
          <w:szCs w:val="20"/>
          <w:lang w:val="es-ES_tradnl" w:eastAsia="es-MX"/>
          <w14:ligatures w14:val="none"/>
        </w:rPr>
        <w:t xml:space="preserve">a su vez </w:t>
      </w:r>
      <w:r w:rsidR="00B27C26" w:rsidRPr="00123863">
        <w:rPr>
          <w:rFonts w:ascii="Verdana" w:eastAsia="Times New Roman" w:hAnsi="Verdana" w:cs="Times New Roman"/>
          <w:kern w:val="0"/>
          <w:sz w:val="20"/>
          <w:szCs w:val="20"/>
          <w:lang w:val="es-ES_tradnl" w:eastAsia="es-MX"/>
          <w14:ligatures w14:val="none"/>
        </w:rPr>
        <w:t xml:space="preserve">con </w:t>
      </w:r>
      <w:r w:rsidR="0031566F" w:rsidRPr="00123863">
        <w:rPr>
          <w:rFonts w:ascii="Verdana" w:eastAsia="Times New Roman" w:hAnsi="Verdana" w:cs="Times New Roman"/>
          <w:kern w:val="0"/>
          <w:sz w:val="20"/>
          <w:szCs w:val="20"/>
          <w:lang w:val="es-ES_tradnl" w:eastAsia="es-MX"/>
          <w14:ligatures w14:val="none"/>
        </w:rPr>
        <w:t>la</w:t>
      </w:r>
      <w:r w:rsidR="00B27C26" w:rsidRPr="00123863">
        <w:rPr>
          <w:rFonts w:ascii="Verdana" w:eastAsia="Times New Roman" w:hAnsi="Verdana" w:cs="Times New Roman"/>
          <w:kern w:val="0"/>
          <w:sz w:val="20"/>
          <w:szCs w:val="20"/>
          <w:lang w:val="es-ES_tradnl" w:eastAsia="es-MX"/>
          <w14:ligatures w14:val="none"/>
        </w:rPr>
        <w:t xml:space="preserve"> obligación de garantizar un recurso judicial efectivo para la protección de los derechos humanos de las víctimas</w:t>
      </w:r>
      <w:r w:rsidR="0031566F" w:rsidRPr="00123863">
        <w:rPr>
          <w:rFonts w:ascii="Verdana" w:eastAsia="Times New Roman" w:hAnsi="Verdana" w:cs="Times New Roman"/>
          <w:kern w:val="0"/>
          <w:sz w:val="20"/>
          <w:szCs w:val="20"/>
          <w:lang w:val="es-ES_tradnl" w:eastAsia="es-MX"/>
          <w14:ligatures w14:val="none"/>
        </w:rPr>
        <w:t xml:space="preserve"> en términos del artículo 25.2.c de la Convención Americana</w:t>
      </w:r>
      <w:r w:rsidR="00B27C26" w:rsidRPr="00123863">
        <w:rPr>
          <w:rFonts w:ascii="Verdana" w:eastAsia="Times New Roman" w:hAnsi="Verdana" w:cs="Times New Roman"/>
          <w:kern w:val="0"/>
          <w:sz w:val="20"/>
          <w:szCs w:val="20"/>
          <w:lang w:val="es-ES_tradnl" w:eastAsia="es-MX"/>
          <w14:ligatures w14:val="none"/>
        </w:rPr>
        <w:t xml:space="preserve">. </w:t>
      </w:r>
    </w:p>
    <w:p w14:paraId="11471AF7" w14:textId="77777777" w:rsidR="00B27C26" w:rsidRPr="00123863" w:rsidRDefault="00B27C26" w:rsidP="00B27C26">
      <w:pPr>
        <w:rPr>
          <w:rFonts w:ascii="Verdana" w:eastAsia="Times New Roman" w:hAnsi="Verdana" w:cs="Times New Roman"/>
          <w:kern w:val="0"/>
          <w:sz w:val="20"/>
          <w:szCs w:val="20"/>
          <w:lang w:val="es-ES_tradnl" w:eastAsia="es-MX"/>
          <w14:ligatures w14:val="none"/>
        </w:rPr>
      </w:pPr>
    </w:p>
    <w:p w14:paraId="7426D85B" w14:textId="7D9D9B5D" w:rsidR="00B27C26" w:rsidRPr="00123863" w:rsidRDefault="00B27C26" w:rsidP="003920B7">
      <w:pPr>
        <w:pStyle w:val="Prrafodelista"/>
        <w:numPr>
          <w:ilvl w:val="0"/>
          <w:numId w:val="4"/>
        </w:numPr>
        <w:tabs>
          <w:tab w:val="left" w:pos="567"/>
        </w:tabs>
        <w:ind w:left="0" w:firstLine="0"/>
        <w:jc w:val="both"/>
        <w:rPr>
          <w:rFonts w:ascii="Verdana" w:eastAsia="Times New Roman" w:hAnsi="Verdana" w:cs="Times New Roman"/>
          <w:kern w:val="0"/>
          <w:sz w:val="20"/>
          <w:szCs w:val="20"/>
          <w:lang w:val="es-ES_tradnl" w:eastAsia="es-MX"/>
          <w14:ligatures w14:val="none"/>
        </w:rPr>
      </w:pPr>
      <w:r w:rsidRPr="00123863">
        <w:rPr>
          <w:rFonts w:ascii="Verdana" w:eastAsia="Times New Roman" w:hAnsi="Verdana" w:cs="Times New Roman"/>
          <w:kern w:val="0"/>
          <w:sz w:val="20"/>
          <w:szCs w:val="20"/>
          <w:lang w:val="es-ES_tradnl" w:eastAsia="es-MX"/>
          <w14:ligatures w14:val="none"/>
        </w:rPr>
        <w:t>Analizar el presente caso, por conexidad entre los derechos a un recurso judicial efectivo y los derechos a la salud y al medio ambiente</w:t>
      </w:r>
      <w:r w:rsidR="0031566F" w:rsidRPr="00123863">
        <w:rPr>
          <w:rFonts w:ascii="Verdana" w:eastAsia="Times New Roman" w:hAnsi="Verdana" w:cs="Times New Roman"/>
          <w:kern w:val="0"/>
          <w:sz w:val="20"/>
          <w:szCs w:val="20"/>
          <w:lang w:val="es-ES_tradnl" w:eastAsia="es-MX"/>
          <w14:ligatures w14:val="none"/>
        </w:rPr>
        <w:t>,</w:t>
      </w:r>
      <w:r w:rsidRPr="00123863">
        <w:rPr>
          <w:rFonts w:ascii="Verdana" w:eastAsia="Times New Roman" w:hAnsi="Verdana" w:cs="Times New Roman"/>
          <w:kern w:val="0"/>
          <w:sz w:val="20"/>
          <w:szCs w:val="20"/>
          <w:lang w:val="es-ES_tradnl" w:eastAsia="es-MX"/>
          <w14:ligatures w14:val="none"/>
        </w:rPr>
        <w:t xml:space="preserve"> habría ofrecido vías argumentativas </w:t>
      </w:r>
      <w:r w:rsidR="0031566F" w:rsidRPr="00123863">
        <w:rPr>
          <w:rFonts w:ascii="Verdana" w:eastAsia="Times New Roman" w:hAnsi="Verdana" w:cs="Times New Roman"/>
          <w:kern w:val="0"/>
          <w:sz w:val="20"/>
          <w:szCs w:val="20"/>
          <w:lang w:val="es-ES_tradnl" w:eastAsia="es-MX"/>
          <w14:ligatures w14:val="none"/>
        </w:rPr>
        <w:t>adicionales a las ya mencionadas. Habría permitido vincular</w:t>
      </w:r>
      <w:r w:rsidRPr="00123863">
        <w:rPr>
          <w:rFonts w:ascii="Verdana" w:eastAsia="Times New Roman" w:hAnsi="Verdana" w:cs="Times New Roman"/>
          <w:kern w:val="0"/>
          <w:sz w:val="20"/>
          <w:szCs w:val="20"/>
          <w:lang w:val="es-ES_tradnl" w:eastAsia="es-MX"/>
          <w14:ligatures w14:val="none"/>
        </w:rPr>
        <w:t xml:space="preserve"> la protección constitucional a los derechos </w:t>
      </w:r>
      <w:r w:rsidR="0031566F" w:rsidRPr="00123863">
        <w:rPr>
          <w:rFonts w:ascii="Verdana" w:eastAsia="Times New Roman" w:hAnsi="Verdana" w:cs="Times New Roman"/>
          <w:kern w:val="0"/>
          <w:sz w:val="20"/>
          <w:szCs w:val="20"/>
          <w:lang w:val="es-ES_tradnl" w:eastAsia="es-MX"/>
          <w14:ligatures w14:val="none"/>
        </w:rPr>
        <w:t xml:space="preserve">al medio ambiente y la salud, </w:t>
      </w:r>
      <w:r w:rsidRPr="00123863">
        <w:rPr>
          <w:rFonts w:ascii="Verdana" w:eastAsia="Times New Roman" w:hAnsi="Verdana" w:cs="Times New Roman"/>
          <w:kern w:val="0"/>
          <w:sz w:val="20"/>
          <w:szCs w:val="20"/>
          <w:lang w:val="es-ES_tradnl" w:eastAsia="es-MX"/>
          <w14:ligatures w14:val="none"/>
        </w:rPr>
        <w:t>y la protección internacional, sin que esto conllevara un exceso en el ejercicio de las competencias de la Corte. Esto es así porque el artículo 25 de la Convención reconoce el derecho de las personas a un recurso que las ampare contra actos que violen sus derechos fundamentales reconocidos por la Constitución y las leyes o la Convención. El derecho a la salud y al medio ambiente sano son derechos protegidos por la Constitución peruana</w:t>
      </w:r>
      <w:r w:rsidR="0031566F" w:rsidRPr="00123863">
        <w:rPr>
          <w:rFonts w:ascii="Verdana" w:eastAsia="Times New Roman" w:hAnsi="Verdana" w:cs="Times New Roman"/>
          <w:kern w:val="0"/>
          <w:sz w:val="20"/>
          <w:szCs w:val="20"/>
          <w:lang w:val="es-ES_tradnl" w:eastAsia="es-MX"/>
          <w14:ligatures w14:val="none"/>
        </w:rPr>
        <w:t>, y la Corte pudo haber analizado las consecuencias para los derechos en juego que resultaron del incumplimiento de la sentencia del TC</w:t>
      </w:r>
      <w:r w:rsidRPr="00123863">
        <w:rPr>
          <w:rFonts w:ascii="Verdana" w:eastAsia="Times New Roman" w:hAnsi="Verdana" w:cs="Times New Roman"/>
          <w:kern w:val="0"/>
          <w:sz w:val="20"/>
          <w:szCs w:val="20"/>
          <w:lang w:val="es-ES_tradnl" w:eastAsia="es-MX"/>
          <w14:ligatures w14:val="none"/>
        </w:rPr>
        <w:t xml:space="preserve">. </w:t>
      </w:r>
    </w:p>
    <w:p w14:paraId="59A54942" w14:textId="77777777" w:rsidR="00B27C26" w:rsidRPr="0031566F" w:rsidRDefault="00B27C26" w:rsidP="00B27C26">
      <w:pPr>
        <w:rPr>
          <w:rFonts w:ascii="Verdana" w:eastAsia="Times New Roman" w:hAnsi="Verdana" w:cs="Times New Roman"/>
          <w:kern w:val="0"/>
          <w:sz w:val="20"/>
          <w:szCs w:val="20"/>
          <w:highlight w:val="yellow"/>
          <w:lang w:val="es-ES_tradnl" w:eastAsia="es-MX"/>
          <w14:ligatures w14:val="none"/>
        </w:rPr>
      </w:pPr>
    </w:p>
    <w:p w14:paraId="7FA330EE" w14:textId="77777777" w:rsidR="0031566F" w:rsidRPr="0031566F" w:rsidRDefault="0031566F" w:rsidP="0031566F">
      <w:pPr>
        <w:rPr>
          <w:rFonts w:ascii="Verdana" w:eastAsia="Times New Roman" w:hAnsi="Verdana" w:cs="Times New Roman"/>
          <w:kern w:val="0"/>
          <w:sz w:val="20"/>
          <w:szCs w:val="20"/>
          <w:lang w:val="es-ES_tradnl" w:eastAsia="es-MX"/>
          <w14:ligatures w14:val="none"/>
        </w:rPr>
      </w:pPr>
    </w:p>
    <w:p w14:paraId="1C7D2FD9" w14:textId="77777777" w:rsidR="0031566F" w:rsidRPr="00EF4E40" w:rsidRDefault="0031566F" w:rsidP="0031566F">
      <w:pPr>
        <w:rPr>
          <w:lang w:val="es-CR"/>
        </w:rPr>
      </w:pPr>
    </w:p>
    <w:p w14:paraId="09A16C0E" w14:textId="77777777" w:rsidR="0031566F" w:rsidRDefault="0031566F" w:rsidP="0031566F">
      <w:pPr>
        <w:rPr>
          <w:lang w:val="es-CR"/>
        </w:rPr>
      </w:pPr>
    </w:p>
    <w:p w14:paraId="32F47F86" w14:textId="77777777" w:rsidR="0031566F" w:rsidRDefault="0031566F" w:rsidP="0031566F">
      <w:pPr>
        <w:rPr>
          <w:lang w:val="es-CR"/>
        </w:rPr>
      </w:pPr>
    </w:p>
    <w:p w14:paraId="1CDE3BBC" w14:textId="77777777" w:rsidR="0031566F" w:rsidRDefault="0031566F" w:rsidP="0031566F">
      <w:pPr>
        <w:rPr>
          <w:lang w:val="es-CR"/>
        </w:rPr>
      </w:pPr>
    </w:p>
    <w:p w14:paraId="4C81C415" w14:textId="77777777" w:rsidR="0031566F" w:rsidRPr="00EF4E40" w:rsidRDefault="0031566F" w:rsidP="0031566F">
      <w:pPr>
        <w:rPr>
          <w:lang w:val="es-CR"/>
        </w:rPr>
      </w:pPr>
    </w:p>
    <w:p w14:paraId="10BB0EDC" w14:textId="77777777" w:rsidR="0031566F" w:rsidRPr="00EF4E40" w:rsidRDefault="0031566F" w:rsidP="0031566F">
      <w:pPr>
        <w:rPr>
          <w:lang w:val="es-CR"/>
        </w:rPr>
      </w:pPr>
    </w:p>
    <w:p w14:paraId="7335C31E" w14:textId="3D391125" w:rsidR="0031566F" w:rsidRPr="00EF4E40" w:rsidRDefault="0031566F" w:rsidP="0031566F">
      <w:pPr>
        <w:rPr>
          <w:rFonts w:ascii="Verdana" w:eastAsia="Times" w:hAnsi="Verdana"/>
          <w:bCs/>
          <w:sz w:val="20"/>
          <w:szCs w:val="20"/>
          <w:lang w:val="es-CR"/>
        </w:rPr>
      </w:pPr>
      <w:r w:rsidRPr="00EF4E40">
        <w:rPr>
          <w:rFonts w:ascii="Verdana" w:eastAsia="Times" w:hAnsi="Verdana"/>
          <w:bCs/>
          <w:sz w:val="20"/>
          <w:szCs w:val="20"/>
          <w:lang w:val="es-CR"/>
        </w:rPr>
        <w:t>Humberto A. Sierra Porto</w:t>
      </w:r>
      <w:r w:rsidRPr="00EF4E40">
        <w:rPr>
          <w:rFonts w:ascii="Verdana" w:eastAsia="Times" w:hAnsi="Verdana"/>
          <w:bCs/>
          <w:sz w:val="20"/>
          <w:szCs w:val="20"/>
          <w:lang w:val="es-CR"/>
        </w:rPr>
        <w:tab/>
      </w:r>
      <w:r w:rsidRPr="00EF4E40">
        <w:rPr>
          <w:rFonts w:ascii="Verdana" w:eastAsia="Times" w:hAnsi="Verdana"/>
          <w:bCs/>
          <w:sz w:val="20"/>
          <w:szCs w:val="20"/>
          <w:lang w:val="es-CR"/>
        </w:rPr>
        <w:tab/>
      </w:r>
      <w:r w:rsidRPr="00EF4E40">
        <w:rPr>
          <w:rFonts w:ascii="Verdana" w:eastAsia="Times" w:hAnsi="Verdana"/>
          <w:bCs/>
          <w:sz w:val="20"/>
          <w:szCs w:val="20"/>
          <w:lang w:val="es-CR"/>
        </w:rPr>
        <w:tab/>
      </w:r>
      <w:r w:rsidRPr="00EF4E40">
        <w:rPr>
          <w:rFonts w:ascii="Verdana" w:eastAsia="Times" w:hAnsi="Verdana"/>
          <w:bCs/>
          <w:sz w:val="20"/>
          <w:szCs w:val="20"/>
          <w:lang w:val="es-CR"/>
        </w:rPr>
        <w:tab/>
      </w:r>
      <w:r w:rsidRPr="00EF4E40">
        <w:rPr>
          <w:rFonts w:ascii="Verdana" w:eastAsia="Times" w:hAnsi="Verdana"/>
          <w:bCs/>
          <w:sz w:val="20"/>
          <w:szCs w:val="20"/>
          <w:lang w:val="es-CR"/>
        </w:rPr>
        <w:tab/>
      </w:r>
      <w:r>
        <w:rPr>
          <w:rFonts w:ascii="Verdana" w:eastAsia="Times" w:hAnsi="Verdana"/>
          <w:bCs/>
          <w:sz w:val="20"/>
          <w:szCs w:val="20"/>
          <w:lang w:val="es-CR"/>
        </w:rPr>
        <w:t>Patricia Pérez Goldberg</w:t>
      </w:r>
    </w:p>
    <w:p w14:paraId="708B54C0" w14:textId="77777777" w:rsidR="0031566F" w:rsidRPr="00EF4E40" w:rsidRDefault="0031566F" w:rsidP="0031566F">
      <w:pPr>
        <w:rPr>
          <w:rFonts w:ascii="Verdana" w:eastAsia="Times" w:hAnsi="Verdana"/>
          <w:bCs/>
          <w:sz w:val="20"/>
          <w:szCs w:val="20"/>
          <w:lang w:val="es-CR"/>
        </w:rPr>
      </w:pPr>
      <w:r w:rsidRPr="00EF4E40">
        <w:rPr>
          <w:rFonts w:ascii="Verdana" w:eastAsia="Times" w:hAnsi="Verdana"/>
          <w:bCs/>
          <w:sz w:val="20"/>
          <w:szCs w:val="20"/>
          <w:lang w:val="es-CR"/>
        </w:rPr>
        <w:t xml:space="preserve">                 Juez</w:t>
      </w:r>
      <w:r w:rsidRPr="00EF4E40">
        <w:rPr>
          <w:rFonts w:ascii="Verdana" w:eastAsia="Times" w:hAnsi="Verdana"/>
          <w:bCs/>
          <w:sz w:val="20"/>
          <w:szCs w:val="20"/>
          <w:lang w:val="es-CR"/>
        </w:rPr>
        <w:tab/>
      </w:r>
      <w:r w:rsidRPr="00EF4E40">
        <w:rPr>
          <w:rFonts w:ascii="Verdana" w:eastAsia="Times" w:hAnsi="Verdana"/>
          <w:bCs/>
          <w:sz w:val="20"/>
          <w:szCs w:val="20"/>
          <w:lang w:val="es-CR"/>
        </w:rPr>
        <w:tab/>
      </w:r>
      <w:r w:rsidRPr="00EF4E40">
        <w:rPr>
          <w:rFonts w:ascii="Verdana" w:eastAsia="Times" w:hAnsi="Verdana"/>
          <w:bCs/>
          <w:sz w:val="20"/>
          <w:szCs w:val="20"/>
          <w:lang w:val="es-CR"/>
        </w:rPr>
        <w:tab/>
      </w:r>
      <w:r w:rsidRPr="00EF4E40">
        <w:rPr>
          <w:rFonts w:ascii="Verdana" w:eastAsia="Times" w:hAnsi="Verdana"/>
          <w:bCs/>
          <w:sz w:val="20"/>
          <w:szCs w:val="20"/>
          <w:lang w:val="es-CR"/>
        </w:rPr>
        <w:tab/>
      </w:r>
      <w:r w:rsidRPr="00EF4E40">
        <w:rPr>
          <w:rFonts w:ascii="Verdana" w:eastAsia="Times" w:hAnsi="Verdana"/>
          <w:bCs/>
          <w:sz w:val="20"/>
          <w:szCs w:val="20"/>
          <w:lang w:val="es-CR"/>
        </w:rPr>
        <w:tab/>
      </w:r>
      <w:r>
        <w:rPr>
          <w:rFonts w:ascii="Verdana" w:eastAsia="Times" w:hAnsi="Verdana"/>
          <w:bCs/>
          <w:sz w:val="20"/>
          <w:szCs w:val="20"/>
          <w:lang w:val="es-CR"/>
        </w:rPr>
        <w:t xml:space="preserve">              </w:t>
      </w:r>
      <w:r w:rsidRPr="00EF4E40">
        <w:rPr>
          <w:rFonts w:ascii="Verdana" w:eastAsia="Times" w:hAnsi="Verdana"/>
          <w:bCs/>
          <w:sz w:val="20"/>
          <w:szCs w:val="20"/>
          <w:lang w:val="es-CR"/>
        </w:rPr>
        <w:t xml:space="preserve">         Jueza</w:t>
      </w:r>
    </w:p>
    <w:p w14:paraId="2C3F3786" w14:textId="77777777" w:rsidR="0031566F" w:rsidRPr="00EF4E40" w:rsidRDefault="0031566F" w:rsidP="0031566F">
      <w:pPr>
        <w:rPr>
          <w:rFonts w:ascii="Verdana" w:eastAsia="Times" w:hAnsi="Verdana"/>
          <w:bCs/>
          <w:sz w:val="20"/>
          <w:szCs w:val="20"/>
          <w:lang w:val="es-CR"/>
        </w:rPr>
      </w:pPr>
    </w:p>
    <w:p w14:paraId="1041C734" w14:textId="77777777" w:rsidR="0031566F" w:rsidRPr="00EF4E40" w:rsidRDefault="0031566F" w:rsidP="0031566F">
      <w:pPr>
        <w:rPr>
          <w:rFonts w:ascii="Verdana" w:eastAsia="Times" w:hAnsi="Verdana"/>
          <w:bCs/>
          <w:sz w:val="20"/>
          <w:szCs w:val="20"/>
          <w:lang w:val="es-CR"/>
        </w:rPr>
      </w:pPr>
    </w:p>
    <w:p w14:paraId="48511E0F" w14:textId="77777777" w:rsidR="0031566F" w:rsidRPr="0031566F" w:rsidRDefault="0031566F" w:rsidP="0031566F">
      <w:pPr>
        <w:ind w:right="96"/>
        <w:rPr>
          <w:rFonts w:ascii="Verdana" w:eastAsia="Calibri" w:hAnsi="Verdana" w:cs="Times New Roman"/>
          <w:bCs/>
          <w:sz w:val="20"/>
          <w:szCs w:val="20"/>
          <w:lang w:val="es-MX"/>
        </w:rPr>
      </w:pPr>
    </w:p>
    <w:p w14:paraId="0E986066" w14:textId="77777777" w:rsidR="0031566F" w:rsidRPr="0031566F" w:rsidRDefault="0031566F" w:rsidP="0031566F">
      <w:pPr>
        <w:ind w:right="96"/>
        <w:rPr>
          <w:rFonts w:ascii="Verdana" w:eastAsia="Calibri" w:hAnsi="Verdana" w:cs="Times New Roman"/>
          <w:bCs/>
          <w:sz w:val="20"/>
          <w:szCs w:val="20"/>
          <w:lang w:val="es-MX"/>
        </w:rPr>
      </w:pPr>
    </w:p>
    <w:p w14:paraId="6AFAFF70" w14:textId="77777777" w:rsidR="0031566F" w:rsidRPr="0031566F" w:rsidRDefault="0031566F" w:rsidP="0031566F">
      <w:pPr>
        <w:ind w:right="96"/>
        <w:rPr>
          <w:rFonts w:ascii="Verdana" w:eastAsia="Calibri" w:hAnsi="Verdana" w:cs="Times New Roman"/>
          <w:bCs/>
          <w:sz w:val="20"/>
          <w:szCs w:val="20"/>
          <w:lang w:val="es-MX"/>
        </w:rPr>
      </w:pPr>
    </w:p>
    <w:p w14:paraId="3A264B4C" w14:textId="77777777" w:rsidR="0031566F" w:rsidRPr="0031566F" w:rsidRDefault="0031566F" w:rsidP="0031566F">
      <w:pPr>
        <w:ind w:right="96"/>
        <w:rPr>
          <w:rFonts w:ascii="Verdana" w:eastAsia="Calibri" w:hAnsi="Verdana" w:cs="Times New Roman"/>
          <w:bCs/>
          <w:sz w:val="20"/>
          <w:szCs w:val="20"/>
          <w:lang w:val="es-MX"/>
        </w:rPr>
      </w:pPr>
    </w:p>
    <w:p w14:paraId="6A2373C1" w14:textId="77777777" w:rsidR="0031566F" w:rsidRPr="0031566F" w:rsidRDefault="0031566F" w:rsidP="0031566F">
      <w:pPr>
        <w:ind w:right="96"/>
        <w:rPr>
          <w:rFonts w:ascii="Verdana" w:eastAsia="Calibri" w:hAnsi="Verdana" w:cs="Times New Roman"/>
          <w:bCs/>
          <w:sz w:val="20"/>
          <w:szCs w:val="20"/>
          <w:lang w:val="es-MX"/>
        </w:rPr>
      </w:pPr>
    </w:p>
    <w:p w14:paraId="6D1CA873" w14:textId="77777777" w:rsidR="0031566F" w:rsidRPr="002D2FBB" w:rsidRDefault="0031566F" w:rsidP="0031566F">
      <w:pPr>
        <w:rPr>
          <w:rFonts w:ascii="Verdana" w:eastAsia="Times" w:hAnsi="Verdana"/>
          <w:bCs/>
          <w:sz w:val="20"/>
          <w:szCs w:val="20"/>
          <w:lang w:val="pt-BR"/>
        </w:rPr>
      </w:pPr>
      <w:r w:rsidRPr="002D2FBB">
        <w:rPr>
          <w:rFonts w:ascii="Verdana" w:eastAsia="Times" w:hAnsi="Verdana"/>
          <w:bCs/>
          <w:sz w:val="20"/>
          <w:szCs w:val="20"/>
          <w:lang w:val="pt-BR"/>
        </w:rPr>
        <w:t>Pablo Saavedra Alessandri</w:t>
      </w:r>
    </w:p>
    <w:p w14:paraId="7F772ED9" w14:textId="77777777" w:rsidR="0031566F" w:rsidRPr="002D2FBB" w:rsidRDefault="0031566F" w:rsidP="0031566F">
      <w:pPr>
        <w:rPr>
          <w:rFonts w:ascii="Verdana" w:eastAsia="Times" w:hAnsi="Verdana"/>
          <w:bCs/>
          <w:sz w:val="20"/>
          <w:szCs w:val="20"/>
        </w:rPr>
      </w:pPr>
      <w:r w:rsidRPr="002D2FBB">
        <w:rPr>
          <w:rFonts w:ascii="Verdana" w:eastAsia="Times" w:hAnsi="Verdana"/>
          <w:bCs/>
          <w:sz w:val="20"/>
          <w:szCs w:val="20"/>
          <w:lang w:val="pt-BR"/>
        </w:rPr>
        <w:t xml:space="preserve"> </w:t>
      </w:r>
      <w:r>
        <w:rPr>
          <w:rFonts w:ascii="Verdana" w:eastAsia="Times" w:hAnsi="Verdana"/>
          <w:bCs/>
          <w:sz w:val="20"/>
          <w:szCs w:val="20"/>
          <w:lang w:val="pt-BR"/>
        </w:rPr>
        <w:t xml:space="preserve">           </w:t>
      </w:r>
      <w:r w:rsidRPr="002D2FBB">
        <w:rPr>
          <w:rFonts w:ascii="Verdana" w:eastAsia="Times" w:hAnsi="Verdana"/>
          <w:bCs/>
          <w:sz w:val="20"/>
          <w:szCs w:val="20"/>
        </w:rPr>
        <w:t>Secretario</w:t>
      </w:r>
    </w:p>
    <w:p w14:paraId="260A992E" w14:textId="77777777" w:rsidR="0031566F" w:rsidRDefault="0031566F" w:rsidP="0031566F">
      <w:pPr>
        <w:tabs>
          <w:tab w:val="left" w:pos="567"/>
        </w:tabs>
        <w:jc w:val="both"/>
        <w:rPr>
          <w:rFonts w:ascii="Verdana" w:eastAsia="Times New Roman" w:hAnsi="Verdana" w:cs="Times New Roman"/>
          <w:kern w:val="0"/>
          <w:sz w:val="20"/>
          <w:szCs w:val="20"/>
          <w:lang w:val="es-ES_tradnl" w:eastAsia="es-MX"/>
          <w14:ligatures w14:val="none"/>
        </w:rPr>
      </w:pPr>
    </w:p>
    <w:p w14:paraId="00139EFF" w14:textId="77777777" w:rsidR="0031566F" w:rsidRPr="0031566F" w:rsidRDefault="0031566F" w:rsidP="0031566F">
      <w:pPr>
        <w:tabs>
          <w:tab w:val="left" w:pos="567"/>
        </w:tabs>
        <w:jc w:val="both"/>
        <w:rPr>
          <w:rFonts w:ascii="Verdana" w:eastAsia="Times New Roman" w:hAnsi="Verdana" w:cs="Times New Roman"/>
          <w:kern w:val="0"/>
          <w:sz w:val="20"/>
          <w:szCs w:val="20"/>
          <w:lang w:val="es-ES_tradnl" w:eastAsia="es-MX"/>
          <w14:ligatures w14:val="none"/>
        </w:rPr>
      </w:pPr>
    </w:p>
    <w:p w14:paraId="7E0FC600" w14:textId="77777777" w:rsidR="00FA223D" w:rsidRPr="00D47440" w:rsidRDefault="00FA223D" w:rsidP="00590114">
      <w:pPr>
        <w:jc w:val="both"/>
        <w:rPr>
          <w:rFonts w:ascii="Verdana" w:hAnsi="Verdana"/>
          <w:sz w:val="20"/>
          <w:szCs w:val="20"/>
          <w:lang w:val="es-419"/>
        </w:rPr>
      </w:pPr>
    </w:p>
    <w:sectPr w:rsidR="00FA223D" w:rsidRPr="00D47440">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F0E340" w14:textId="77777777" w:rsidR="004E418B" w:rsidRDefault="004E418B" w:rsidP="00C21F95">
      <w:r>
        <w:separator/>
      </w:r>
    </w:p>
  </w:endnote>
  <w:endnote w:type="continuationSeparator" w:id="0">
    <w:p w14:paraId="1CFE296E" w14:textId="77777777" w:rsidR="004E418B" w:rsidRDefault="004E418B" w:rsidP="00C21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ppleSystemUIFont">
    <w:altName w:val="Cambria"/>
    <w:charset w:val="00"/>
    <w:family w:val="roman"/>
    <w:pitch w:val="default"/>
  </w:font>
  <w:font w:name="UICTFontTextStyleBody">
    <w:altName w:val="Cambria"/>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Pr>
      <w:id w:val="1187408655"/>
      <w:docPartObj>
        <w:docPartGallery w:val="Page Numbers (Bottom of Page)"/>
        <w:docPartUnique/>
      </w:docPartObj>
    </w:sdtPr>
    <w:sdtContent>
      <w:p w14:paraId="2649009B" w14:textId="41CAFD47" w:rsidR="00FC0C48" w:rsidRDefault="00FC0C48" w:rsidP="003536D7">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4F1EBDFB" w14:textId="77777777" w:rsidR="00FC0C48" w:rsidRDefault="00FC0C48" w:rsidP="00FC0C4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Pr>
      <w:id w:val="588971329"/>
      <w:docPartObj>
        <w:docPartGallery w:val="Page Numbers (Bottom of Page)"/>
        <w:docPartUnique/>
      </w:docPartObj>
    </w:sdtPr>
    <w:sdtContent>
      <w:p w14:paraId="3CDB1238" w14:textId="0E3BFDDF" w:rsidR="00FC0C48" w:rsidRDefault="00FC0C48" w:rsidP="003536D7">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w:t>
        </w:r>
        <w:r>
          <w:rPr>
            <w:rStyle w:val="Nmerodepgina"/>
          </w:rPr>
          <w:fldChar w:fldCharType="end"/>
        </w:r>
      </w:p>
    </w:sdtContent>
  </w:sdt>
  <w:p w14:paraId="4FB24117" w14:textId="77777777" w:rsidR="00FC0C48" w:rsidRDefault="00FC0C48" w:rsidP="00FC0C48">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6F0218" w14:textId="77777777" w:rsidR="00FC0C48" w:rsidRDefault="00FC0C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00DF94" w14:textId="77777777" w:rsidR="004E418B" w:rsidRDefault="004E418B" w:rsidP="00C21F95">
      <w:r>
        <w:separator/>
      </w:r>
    </w:p>
  </w:footnote>
  <w:footnote w:type="continuationSeparator" w:id="0">
    <w:p w14:paraId="009C6EA6" w14:textId="77777777" w:rsidR="004E418B" w:rsidRDefault="004E418B" w:rsidP="00C21F95">
      <w:r>
        <w:continuationSeparator/>
      </w:r>
    </w:p>
  </w:footnote>
  <w:footnote w:id="1">
    <w:p w14:paraId="27712CAD" w14:textId="5632F7AB" w:rsidR="000A01FA" w:rsidRPr="000A01FA" w:rsidRDefault="000A01FA" w:rsidP="00123863">
      <w:pPr>
        <w:pStyle w:val="Textonotapie"/>
        <w:spacing w:before="120" w:after="120"/>
        <w:jc w:val="both"/>
      </w:pPr>
      <w:r w:rsidRPr="009D3AB9">
        <w:rPr>
          <w:rStyle w:val="Refdenotaalpie"/>
        </w:rPr>
        <w:footnoteRef/>
      </w:r>
      <w:r w:rsidRPr="009D3AB9">
        <w:t xml:space="preserve"> </w:t>
      </w:r>
      <w:r w:rsidR="00980EA6">
        <w:tab/>
      </w:r>
      <w:r w:rsidRPr="009D3AB9">
        <w:rPr>
          <w:lang w:val="es-ES"/>
        </w:rPr>
        <w:t>Artículo 65.2 del Reglamento de la Corte IDH: “Todo Juez que haya participado en el examen de un caso tiene derecho a unir a la sentencia su voto concurrente o disidente que deberá ser razonado. Estos votos deberán ser presentados dentro del plazo fijado por la Presidencia, de modo que puedan ser conocidos por los Jueces antes de la notificación de la sentencia. Dichos votos sólo podrán referirse a lo tratado en las sentencias”.</w:t>
      </w:r>
    </w:p>
  </w:footnote>
  <w:footnote w:id="2">
    <w:p w14:paraId="2A333FFC" w14:textId="7A28B3C4" w:rsidR="001A1F10" w:rsidRPr="001A1F10" w:rsidRDefault="001A1F10" w:rsidP="00123863">
      <w:pPr>
        <w:pStyle w:val="Textonotapie"/>
        <w:spacing w:before="120" w:after="120"/>
        <w:jc w:val="both"/>
        <w:rPr>
          <w:lang w:val="es-419"/>
        </w:rPr>
      </w:pPr>
      <w:r>
        <w:rPr>
          <w:rStyle w:val="Refdenotaalpie"/>
        </w:rPr>
        <w:footnoteRef/>
      </w:r>
      <w:r>
        <w:t xml:space="preserve"> </w:t>
      </w:r>
      <w:r w:rsidR="00123863">
        <w:tab/>
      </w:r>
      <w:r w:rsidR="00832013" w:rsidRPr="00832013">
        <w:rPr>
          <w:i/>
          <w:iCs/>
          <w:lang w:val="es-419"/>
        </w:rPr>
        <w:t>Medio ambiente y derechos humanos (obligaciones estatales en relación con el medio ambiente en el marco de la protección y garantía de los derechos a la vida y a la integridad personal - interpretación y alcance de los artículos 4.1 y 5.1, en relación con los artículos 1.1 y 2 de la Convención Americana sobre Derechos Humanos)</w:t>
      </w:r>
      <w:r w:rsidR="00832013" w:rsidRPr="00832013">
        <w:rPr>
          <w:lang w:val="es-419"/>
        </w:rPr>
        <w:t>. Opinión Consultiva OC-23/17 de 15 de noviembre de 2017. Serie A No. 23.</w:t>
      </w:r>
    </w:p>
  </w:footnote>
  <w:footnote w:id="3">
    <w:p w14:paraId="3C67174F" w14:textId="560D8482" w:rsidR="003A4DAF" w:rsidRPr="008D7C3B" w:rsidRDefault="003A4DAF" w:rsidP="00123863">
      <w:pPr>
        <w:pStyle w:val="Textonotapie"/>
        <w:spacing w:before="120" w:after="120"/>
        <w:jc w:val="both"/>
      </w:pPr>
      <w:r>
        <w:rPr>
          <w:rStyle w:val="Refdenotaalpie"/>
        </w:rPr>
        <w:footnoteRef/>
      </w:r>
      <w:r>
        <w:t xml:space="preserve"> </w:t>
      </w:r>
      <w:r w:rsidR="00832013">
        <w:t>El juez Humberto Sierra Porto ha expresado su posición sobre el artículo 26 de la Convención Americana en los siguientes casos:</w:t>
      </w:r>
      <w:r w:rsidR="008D7C3B">
        <w:t xml:space="preserve"> </w:t>
      </w:r>
      <w:r w:rsidR="008D7C3B" w:rsidRPr="008D7C3B">
        <w:rPr>
          <w:i/>
          <w:iCs/>
          <w:lang w:val="es-CO"/>
        </w:rPr>
        <w:t>Caso Trabajadores Cesados de Petroperú y otros Vs. Perú. Excepciones Preliminares, Fondo, Reparaciones y Costas</w:t>
      </w:r>
      <w:r w:rsidR="008D7C3B" w:rsidRPr="008D7C3B">
        <w:rPr>
          <w:lang w:val="es-CO"/>
        </w:rPr>
        <w:t>. Sentencia de 23 de noviembre de 2017. Serie C No. 344</w:t>
      </w:r>
      <w:r w:rsidR="008D7C3B">
        <w:rPr>
          <w:lang w:val="es-CO"/>
        </w:rPr>
        <w:t xml:space="preserve">; </w:t>
      </w:r>
      <w:r w:rsidR="008D7C3B" w:rsidRPr="008D7C3B">
        <w:rPr>
          <w:i/>
          <w:iCs/>
          <w:lang w:val="es-CO"/>
        </w:rPr>
        <w:t>Caso San Miguel Sosa y otras Vs. Venezuela. Fondo, Reparaciones y Costas</w:t>
      </w:r>
      <w:r w:rsidR="008D7C3B" w:rsidRPr="008D7C3B">
        <w:rPr>
          <w:lang w:val="es-CO"/>
        </w:rPr>
        <w:t>. Sentencia de 8 de febrero de 2018. Serie C No. 348</w:t>
      </w:r>
      <w:r w:rsidR="008D7C3B">
        <w:rPr>
          <w:lang w:val="es-CO"/>
        </w:rPr>
        <w:t xml:space="preserve">; </w:t>
      </w:r>
      <w:r w:rsidR="008D7C3B" w:rsidRPr="008D7C3B">
        <w:rPr>
          <w:i/>
          <w:iCs/>
          <w:lang w:val="es-CO"/>
        </w:rPr>
        <w:t>Caso Muelle Flores Vs. Perú. Excepciones Preliminares, Fondo, Reparaciones y Costas</w:t>
      </w:r>
      <w:r w:rsidR="008D7C3B" w:rsidRPr="008D7C3B">
        <w:rPr>
          <w:lang w:val="es-CO"/>
        </w:rPr>
        <w:t>. Sentencia de 6 de marzo de 2019. Serie C No. 375</w:t>
      </w:r>
      <w:r w:rsidR="008D7C3B">
        <w:rPr>
          <w:lang w:val="es-CO"/>
        </w:rPr>
        <w:t xml:space="preserve">; </w:t>
      </w:r>
      <w:r w:rsidR="008D7C3B" w:rsidRPr="008D7C3B">
        <w:rPr>
          <w:lang w:val="es-CO"/>
        </w:rPr>
        <w:t>Caso Hernández Vs. Argentina. Excepción Preliminar, Fondo, Reparaciones y Costas. Sentencia de 22 de noviembre de 2019. Serie C No. 395</w:t>
      </w:r>
      <w:r w:rsidR="008D7C3B">
        <w:rPr>
          <w:lang w:val="es-CO"/>
        </w:rPr>
        <w:t xml:space="preserve">; </w:t>
      </w:r>
      <w:r w:rsidR="008D7C3B" w:rsidRPr="008D7C3B">
        <w:rPr>
          <w:i/>
          <w:iCs/>
          <w:lang w:val="es-CO"/>
        </w:rPr>
        <w:t>Caso Asociación Nacional de Cesantes y Jubilados de la Superintendencia Nacional de Administración Tributaria (ANCEJUB-SUNAT) Vs. Perú</w:t>
      </w:r>
      <w:r w:rsidR="008D7C3B" w:rsidRPr="008D7C3B">
        <w:rPr>
          <w:lang w:val="es-CO"/>
        </w:rPr>
        <w:t>. Excepciones Preliminares, Fondo, Reparaciones y Costas. Sentencia de 21 de noviembre de 2019. Serie C No. 39</w:t>
      </w:r>
      <w:r w:rsidR="008D7C3B">
        <w:rPr>
          <w:lang w:val="es-CO"/>
        </w:rPr>
        <w:t xml:space="preserve">4; </w:t>
      </w:r>
      <w:r w:rsidR="008D7C3B" w:rsidRPr="008D7C3B">
        <w:rPr>
          <w:i/>
          <w:iCs/>
          <w:lang w:val="es-CO"/>
        </w:rPr>
        <w:t xml:space="preserve">Caso Comunidades Indígenas Miembros de la Asociación </w:t>
      </w:r>
      <w:proofErr w:type="spellStart"/>
      <w:r w:rsidR="008D7C3B" w:rsidRPr="008D7C3B">
        <w:rPr>
          <w:i/>
          <w:iCs/>
          <w:lang w:val="es-CO"/>
        </w:rPr>
        <w:t>Lhaka</w:t>
      </w:r>
      <w:proofErr w:type="spellEnd"/>
      <w:r w:rsidR="008D7C3B" w:rsidRPr="008D7C3B">
        <w:rPr>
          <w:i/>
          <w:iCs/>
          <w:lang w:val="es-CO"/>
        </w:rPr>
        <w:t xml:space="preserve"> </w:t>
      </w:r>
      <w:proofErr w:type="spellStart"/>
      <w:r w:rsidR="008D7C3B" w:rsidRPr="008D7C3B">
        <w:rPr>
          <w:i/>
          <w:iCs/>
          <w:lang w:val="es-CO"/>
        </w:rPr>
        <w:t>Honhat</w:t>
      </w:r>
      <w:proofErr w:type="spellEnd"/>
      <w:r w:rsidR="008D7C3B" w:rsidRPr="008D7C3B">
        <w:rPr>
          <w:i/>
          <w:iCs/>
          <w:lang w:val="es-CO"/>
        </w:rPr>
        <w:t xml:space="preserve"> (Nuestra Tierra) Vs. Argentina. Fondo, Reparaciones y Costas</w:t>
      </w:r>
      <w:r w:rsidR="008D7C3B" w:rsidRPr="008D7C3B">
        <w:rPr>
          <w:lang w:val="es-CO"/>
        </w:rPr>
        <w:t>. Sentencia de 6 de febrero de 2020. Serie C No. 400</w:t>
      </w:r>
      <w:r w:rsidR="008D7C3B">
        <w:rPr>
          <w:lang w:val="es-CO"/>
        </w:rPr>
        <w:t xml:space="preserve">; </w:t>
      </w:r>
      <w:r w:rsidR="008D7C3B" w:rsidRPr="008D7C3B">
        <w:rPr>
          <w:i/>
          <w:iCs/>
          <w:lang w:val="es-CO"/>
        </w:rPr>
        <w:t xml:space="preserve">Caso de los Empleados de la Fábrica de Fuegos de Santo </w:t>
      </w:r>
      <w:proofErr w:type="spellStart"/>
      <w:r w:rsidR="008D7C3B" w:rsidRPr="008D7C3B">
        <w:rPr>
          <w:i/>
          <w:iCs/>
          <w:lang w:val="es-CO"/>
        </w:rPr>
        <w:t>Antônio</w:t>
      </w:r>
      <w:proofErr w:type="spellEnd"/>
      <w:r w:rsidR="008D7C3B" w:rsidRPr="008D7C3B">
        <w:rPr>
          <w:i/>
          <w:iCs/>
          <w:lang w:val="es-CO"/>
        </w:rPr>
        <w:t xml:space="preserve"> de </w:t>
      </w:r>
      <w:proofErr w:type="spellStart"/>
      <w:r w:rsidR="008D7C3B" w:rsidRPr="008D7C3B">
        <w:rPr>
          <w:i/>
          <w:iCs/>
          <w:lang w:val="es-CO"/>
        </w:rPr>
        <w:t>Jesus</w:t>
      </w:r>
      <w:proofErr w:type="spellEnd"/>
      <w:r w:rsidR="008D7C3B" w:rsidRPr="008D7C3B">
        <w:rPr>
          <w:i/>
          <w:iCs/>
          <w:lang w:val="es-CO"/>
        </w:rPr>
        <w:t xml:space="preserve"> Vs. Brasil</w:t>
      </w:r>
      <w:r w:rsidR="008D7C3B" w:rsidRPr="008D7C3B">
        <w:rPr>
          <w:lang w:val="es-CO"/>
        </w:rPr>
        <w:t xml:space="preserve">. </w:t>
      </w:r>
      <w:r w:rsidR="008D7C3B" w:rsidRPr="008D7C3B">
        <w:rPr>
          <w:i/>
          <w:iCs/>
          <w:lang w:val="es-CO"/>
        </w:rPr>
        <w:t>Excepciones Preliminares, Fondo, Reparaciones y Costas</w:t>
      </w:r>
      <w:r w:rsidR="008D7C3B" w:rsidRPr="008D7C3B">
        <w:rPr>
          <w:lang w:val="es-CO"/>
        </w:rPr>
        <w:t>. Sentencia de 15 de julio de 2020. Serie C No. 407</w:t>
      </w:r>
      <w:r w:rsidR="008D7C3B">
        <w:rPr>
          <w:lang w:val="es-CO"/>
        </w:rPr>
        <w:t>;</w:t>
      </w:r>
      <w:r w:rsidR="008D7C3B" w:rsidRPr="008D7C3B">
        <w:t xml:space="preserve"> </w:t>
      </w:r>
      <w:r w:rsidR="008D7C3B" w:rsidRPr="008D7C3B">
        <w:rPr>
          <w:lang w:val="es-CO"/>
        </w:rPr>
        <w:t>Caso Casa Nina Vs. Perú. Excepciones Preliminares, Fondo, Reparaciones y Costas. Sentencia de 24 de noviembre de 2020. Serie C No. 419</w:t>
      </w:r>
      <w:r w:rsidR="008D7C3B">
        <w:rPr>
          <w:lang w:val="es-CO"/>
        </w:rPr>
        <w:t>;</w:t>
      </w:r>
      <w:r w:rsidR="008D7C3B" w:rsidRPr="008D7C3B">
        <w:rPr>
          <w:rFonts w:eastAsiaTheme="minorHAnsi" w:cstheme="minorBidi"/>
          <w:i/>
          <w:iCs/>
          <w:lang w:val="es-CO"/>
        </w:rPr>
        <w:t xml:space="preserve"> </w:t>
      </w:r>
      <w:r w:rsidR="008D7C3B" w:rsidRPr="008D7C3B">
        <w:rPr>
          <w:i/>
          <w:iCs/>
          <w:lang w:val="es-CO"/>
        </w:rPr>
        <w:t xml:space="preserve">Caso </w:t>
      </w:r>
      <w:proofErr w:type="spellStart"/>
      <w:r w:rsidR="008D7C3B" w:rsidRPr="008D7C3B">
        <w:rPr>
          <w:i/>
          <w:iCs/>
          <w:lang w:val="es-CO"/>
        </w:rPr>
        <w:t>Guachalá</w:t>
      </w:r>
      <w:proofErr w:type="spellEnd"/>
      <w:r w:rsidR="008D7C3B" w:rsidRPr="008D7C3B">
        <w:rPr>
          <w:i/>
          <w:iCs/>
          <w:lang w:val="es-CO"/>
        </w:rPr>
        <w:t xml:space="preserve"> Chimbo y otros Vs. Ecuador. Fondo, Reparaciones y Costas</w:t>
      </w:r>
      <w:r w:rsidR="008D7C3B" w:rsidRPr="008D7C3B">
        <w:rPr>
          <w:lang w:val="es-CO"/>
        </w:rPr>
        <w:t>. Sentencia de 26 de marzo de 2021. Serie C No. 423</w:t>
      </w:r>
      <w:r w:rsidR="008D7C3B">
        <w:rPr>
          <w:lang w:val="es-CO"/>
        </w:rPr>
        <w:t>;</w:t>
      </w:r>
      <w:r w:rsidR="008D7C3B" w:rsidRPr="008D7C3B">
        <w:rPr>
          <w:rFonts w:eastAsiaTheme="minorHAnsi" w:cstheme="minorBidi"/>
          <w:i/>
          <w:iCs/>
          <w:lang w:val="es-CO"/>
        </w:rPr>
        <w:t xml:space="preserve"> </w:t>
      </w:r>
      <w:r w:rsidR="008D7C3B" w:rsidRPr="008D7C3B">
        <w:rPr>
          <w:i/>
          <w:iCs/>
          <w:lang w:val="es-CO"/>
        </w:rPr>
        <w:t>Caso Federación Nacional de Trabajadores Marítimos y Portuarios (FEMAPOR) Vs. Perú. Excepciones Preliminares, Fondo y Reparaciones</w:t>
      </w:r>
      <w:r w:rsidR="008D7C3B" w:rsidRPr="008D7C3B">
        <w:rPr>
          <w:lang w:val="es-CO"/>
        </w:rPr>
        <w:t>. Sentencia de 1 de febrero de 2022. Serie C No. 448</w:t>
      </w:r>
      <w:r w:rsidR="008D7C3B">
        <w:rPr>
          <w:lang w:val="es-CO"/>
        </w:rPr>
        <w:t>;</w:t>
      </w:r>
      <w:r w:rsidR="008D7C3B" w:rsidRPr="008D7C3B">
        <w:rPr>
          <w:rFonts w:eastAsiaTheme="minorHAnsi" w:cstheme="minorBidi"/>
          <w:i/>
          <w:iCs/>
          <w:lang w:val="es-CO"/>
        </w:rPr>
        <w:t xml:space="preserve"> </w:t>
      </w:r>
      <w:r w:rsidR="008D7C3B" w:rsidRPr="008D7C3B">
        <w:rPr>
          <w:i/>
          <w:iCs/>
          <w:lang w:val="es-CO"/>
        </w:rPr>
        <w:t>Caso Guevara Díaz Vs. Costa Rica. Fondo, Reparaciones y Costas</w:t>
      </w:r>
      <w:r w:rsidR="008D7C3B" w:rsidRPr="008D7C3B">
        <w:rPr>
          <w:lang w:val="es-CO"/>
        </w:rPr>
        <w:t>. Sentencia de 22 de junio de 2022. Serie C No. 453</w:t>
      </w:r>
      <w:r w:rsidR="008D7C3B">
        <w:rPr>
          <w:lang w:val="es-CO"/>
        </w:rPr>
        <w:t xml:space="preserve">; </w:t>
      </w:r>
      <w:r w:rsidR="008D7C3B" w:rsidRPr="008D7C3B">
        <w:rPr>
          <w:i/>
          <w:iCs/>
          <w:lang w:val="es-CO"/>
        </w:rPr>
        <w:t xml:space="preserve">Caso Mina Cuero Vs. Ecuador. Excepción Preliminar, Fondo, Reparaciones y Costas. </w:t>
      </w:r>
      <w:r w:rsidR="008D7C3B" w:rsidRPr="008D7C3B">
        <w:rPr>
          <w:lang w:val="es-CO"/>
        </w:rPr>
        <w:t>Sentencia de 7 de septiembre de 2022. Serie C No. 464</w:t>
      </w:r>
      <w:r w:rsidR="008D7C3B">
        <w:rPr>
          <w:lang w:val="es-CO"/>
        </w:rPr>
        <w:t xml:space="preserve">; </w:t>
      </w:r>
      <w:r w:rsidR="008D7C3B" w:rsidRPr="008D7C3B">
        <w:rPr>
          <w:i/>
          <w:iCs/>
          <w:lang w:val="es-CO"/>
        </w:rPr>
        <w:t xml:space="preserve">Caso Valencia Campos y otros Vs. Bolivia. Excepción Preliminar, Fondo, Reparaciones y Costas. </w:t>
      </w:r>
      <w:r w:rsidR="008D7C3B" w:rsidRPr="008D7C3B">
        <w:rPr>
          <w:lang w:val="es-CO"/>
        </w:rPr>
        <w:t>Sentencia de 18 de octubre de 2022. Serie C No. 469</w:t>
      </w:r>
      <w:r w:rsidR="008D7C3B">
        <w:rPr>
          <w:lang w:val="es-CO"/>
        </w:rPr>
        <w:t>;</w:t>
      </w:r>
      <w:r w:rsidR="008D7C3B" w:rsidRPr="008D7C3B">
        <w:rPr>
          <w:rFonts w:eastAsiaTheme="minorHAnsi" w:cstheme="minorBidi"/>
          <w:i/>
          <w:iCs/>
          <w:lang w:val="es-CR"/>
        </w:rPr>
        <w:t xml:space="preserve"> </w:t>
      </w:r>
      <w:r w:rsidR="008D7C3B" w:rsidRPr="008D7C3B">
        <w:rPr>
          <w:i/>
          <w:iCs/>
          <w:lang w:val="es-CR"/>
        </w:rPr>
        <w:t xml:space="preserve">Caso Brítez Arce Vs. Argentina. Fondo, Reparaciones y Costas. </w:t>
      </w:r>
      <w:r w:rsidR="008D7C3B" w:rsidRPr="008D7C3B">
        <w:rPr>
          <w:lang w:val="es-CR"/>
        </w:rPr>
        <w:t>Sentencia de 16 de noviembre de 2022. Serie C No. 474</w:t>
      </w:r>
      <w:r w:rsidR="008D7C3B">
        <w:rPr>
          <w:lang w:val="es-CR"/>
        </w:rPr>
        <w:t>;</w:t>
      </w:r>
      <w:r w:rsidR="008D7C3B" w:rsidRPr="00123863">
        <w:rPr>
          <w:rFonts w:eastAsiaTheme="minorHAnsi" w:cstheme="minorBidi"/>
          <w:i/>
          <w:iCs/>
          <w:lang w:val="es-CR"/>
        </w:rPr>
        <w:t xml:space="preserve"> </w:t>
      </w:r>
      <w:r w:rsidR="008D7C3B" w:rsidRPr="00123863">
        <w:rPr>
          <w:i/>
          <w:iCs/>
          <w:lang w:val="es-CR"/>
        </w:rPr>
        <w:t xml:space="preserve">Caso Nissen </w:t>
      </w:r>
      <w:proofErr w:type="spellStart"/>
      <w:r w:rsidR="008D7C3B" w:rsidRPr="00123863">
        <w:rPr>
          <w:i/>
          <w:iCs/>
          <w:lang w:val="es-CR"/>
        </w:rPr>
        <w:t>Pessolani</w:t>
      </w:r>
      <w:proofErr w:type="spellEnd"/>
      <w:r w:rsidR="008D7C3B" w:rsidRPr="00123863">
        <w:rPr>
          <w:i/>
          <w:iCs/>
          <w:lang w:val="es-CR"/>
        </w:rPr>
        <w:t xml:space="preserve"> Vs. </w:t>
      </w:r>
      <w:r w:rsidR="008D7C3B" w:rsidRPr="008D7C3B">
        <w:rPr>
          <w:i/>
          <w:iCs/>
          <w:lang w:val="es-CO"/>
        </w:rPr>
        <w:t>Paraguay.</w:t>
      </w:r>
      <w:r w:rsidR="008D7C3B" w:rsidRPr="008D7C3B">
        <w:rPr>
          <w:lang w:val="es-CO"/>
        </w:rPr>
        <w:t xml:space="preserve"> Fondo, Reparaciones y Costas. Sentencia de 21 de noviembre de 2022. Serie C No. 477</w:t>
      </w:r>
      <w:r w:rsidR="008D7C3B">
        <w:rPr>
          <w:lang w:val="es-CO"/>
        </w:rPr>
        <w:t>;</w:t>
      </w:r>
      <w:r w:rsidR="008D7C3B" w:rsidRPr="008D7C3B">
        <w:rPr>
          <w:rFonts w:eastAsiaTheme="minorHAnsi" w:cstheme="minorBidi"/>
          <w:i/>
          <w:iCs/>
          <w:lang w:val="es-CO"/>
        </w:rPr>
        <w:t xml:space="preserve"> </w:t>
      </w:r>
      <w:r w:rsidR="008D7C3B" w:rsidRPr="008D7C3B">
        <w:rPr>
          <w:i/>
          <w:iCs/>
          <w:lang w:val="es-CO"/>
        </w:rPr>
        <w:t xml:space="preserve">Caso Aguinaga </w:t>
      </w:r>
      <w:proofErr w:type="spellStart"/>
      <w:r w:rsidR="008D7C3B" w:rsidRPr="008D7C3B">
        <w:rPr>
          <w:i/>
          <w:iCs/>
          <w:lang w:val="es-CO"/>
        </w:rPr>
        <w:t>Aillón</w:t>
      </w:r>
      <w:proofErr w:type="spellEnd"/>
      <w:r w:rsidR="008D7C3B" w:rsidRPr="008D7C3B">
        <w:rPr>
          <w:i/>
          <w:iCs/>
          <w:lang w:val="es-CO"/>
        </w:rPr>
        <w:t xml:space="preserve"> Vs. Ecuador. Fondo, Reparaciones y Costas</w:t>
      </w:r>
      <w:r w:rsidR="008D7C3B" w:rsidRPr="008D7C3B">
        <w:rPr>
          <w:lang w:val="es-CO"/>
        </w:rPr>
        <w:t>. Sentencia de 30 de enero de 2023. Serie C No. 483</w:t>
      </w:r>
      <w:r w:rsidR="008D7C3B">
        <w:rPr>
          <w:lang w:val="es-CO"/>
        </w:rPr>
        <w:t xml:space="preserve">; </w:t>
      </w:r>
      <w:r w:rsidR="008D7C3B" w:rsidRPr="008D7C3B">
        <w:rPr>
          <w:i/>
          <w:iCs/>
          <w:lang w:val="es-CO"/>
        </w:rPr>
        <w:t xml:space="preserve">Caso Gonzales </w:t>
      </w:r>
      <w:proofErr w:type="spellStart"/>
      <w:r w:rsidR="008D7C3B" w:rsidRPr="008D7C3B">
        <w:rPr>
          <w:i/>
          <w:iCs/>
          <w:lang w:val="es-CO"/>
        </w:rPr>
        <w:t>Lluy</w:t>
      </w:r>
      <w:proofErr w:type="spellEnd"/>
      <w:r w:rsidR="008D7C3B" w:rsidRPr="008D7C3B">
        <w:rPr>
          <w:i/>
          <w:iCs/>
          <w:lang w:val="es-CO"/>
        </w:rPr>
        <w:t xml:space="preserve"> y otros Vs. Ecuador. Excepciones Preliminares, Fondo, Reparaciones y Costas.</w:t>
      </w:r>
      <w:r w:rsidR="008D7C3B" w:rsidRPr="008D7C3B">
        <w:rPr>
          <w:lang w:val="es-CO"/>
        </w:rPr>
        <w:t xml:space="preserve"> Sentencia de 1 de septiembre de 2015. Serie C No. 298</w:t>
      </w:r>
      <w:r w:rsidR="008D7C3B">
        <w:rPr>
          <w:lang w:val="es-CO"/>
        </w:rPr>
        <w:t>;</w:t>
      </w:r>
      <w:r w:rsidR="008D7C3B" w:rsidRPr="008D7C3B">
        <w:rPr>
          <w:rFonts w:eastAsiaTheme="minorHAnsi" w:cstheme="minorBidi"/>
          <w:i/>
          <w:iCs/>
          <w:lang w:val="es-CO"/>
        </w:rPr>
        <w:t xml:space="preserve"> </w:t>
      </w:r>
      <w:r w:rsidR="008D7C3B" w:rsidRPr="008D7C3B">
        <w:rPr>
          <w:i/>
          <w:iCs/>
          <w:lang w:val="es-CO"/>
        </w:rPr>
        <w:t>Caso Poblete Vilches y otros Vs. Chile. Fondo, Reparaciones y Costas</w:t>
      </w:r>
      <w:r w:rsidR="008D7C3B" w:rsidRPr="008D7C3B">
        <w:rPr>
          <w:lang w:val="es-CO"/>
        </w:rPr>
        <w:t>. Sentencia de 8 de marzo de 2018. Serie C No. 349</w:t>
      </w:r>
      <w:r w:rsidR="008D7C3B">
        <w:rPr>
          <w:lang w:val="es-CO"/>
        </w:rPr>
        <w:t>;</w:t>
      </w:r>
      <w:r w:rsidR="008D7C3B" w:rsidRPr="008D7C3B">
        <w:rPr>
          <w:rFonts w:eastAsiaTheme="minorHAnsi" w:cstheme="minorBidi"/>
          <w:i/>
          <w:iCs/>
          <w:lang w:val="es-CO"/>
        </w:rPr>
        <w:t xml:space="preserve"> </w:t>
      </w:r>
      <w:r w:rsidR="008D7C3B" w:rsidRPr="008D7C3B">
        <w:rPr>
          <w:i/>
          <w:iCs/>
          <w:lang w:val="es-CO"/>
        </w:rPr>
        <w:t xml:space="preserve">Caso </w:t>
      </w:r>
      <w:proofErr w:type="spellStart"/>
      <w:r w:rsidR="008D7C3B" w:rsidRPr="008D7C3B">
        <w:rPr>
          <w:i/>
          <w:iCs/>
          <w:lang w:val="es-CO"/>
        </w:rPr>
        <w:t>Cuscul</w:t>
      </w:r>
      <w:proofErr w:type="spellEnd"/>
      <w:r w:rsidR="008D7C3B" w:rsidRPr="008D7C3B">
        <w:rPr>
          <w:i/>
          <w:iCs/>
          <w:lang w:val="es-CO"/>
        </w:rPr>
        <w:t xml:space="preserve"> Pivaral y otros Vs. Guatemala. Excepción Preliminar, Fondo, Reparaciones y Costas. </w:t>
      </w:r>
      <w:r w:rsidR="008D7C3B" w:rsidRPr="008D7C3B">
        <w:rPr>
          <w:lang w:val="es-CO"/>
        </w:rPr>
        <w:t>Sentencia de 23 de agosto de 2018. Serie C No. 359</w:t>
      </w:r>
      <w:r w:rsidR="008D7C3B">
        <w:rPr>
          <w:lang w:val="es-CO"/>
        </w:rPr>
        <w:t>;</w:t>
      </w:r>
      <w:r w:rsidR="008D7C3B" w:rsidRPr="008D7C3B">
        <w:rPr>
          <w:rFonts w:eastAsiaTheme="minorHAnsi" w:cstheme="minorBidi"/>
          <w:i/>
          <w:iCs/>
          <w:lang w:val="es-CO"/>
        </w:rPr>
        <w:t xml:space="preserve"> </w:t>
      </w:r>
      <w:r w:rsidR="008D7C3B" w:rsidRPr="008D7C3B">
        <w:rPr>
          <w:i/>
          <w:iCs/>
          <w:lang w:val="es-CO"/>
        </w:rPr>
        <w:t xml:space="preserve">Caso de los Buzos </w:t>
      </w:r>
      <w:proofErr w:type="spellStart"/>
      <w:r w:rsidR="008D7C3B" w:rsidRPr="008D7C3B">
        <w:rPr>
          <w:i/>
          <w:iCs/>
          <w:lang w:val="es-CO"/>
        </w:rPr>
        <w:t>Miskitos</w:t>
      </w:r>
      <w:proofErr w:type="spellEnd"/>
      <w:r w:rsidR="008D7C3B" w:rsidRPr="008D7C3B">
        <w:rPr>
          <w:i/>
          <w:iCs/>
          <w:lang w:val="es-CO"/>
        </w:rPr>
        <w:t xml:space="preserve"> (</w:t>
      </w:r>
      <w:proofErr w:type="spellStart"/>
      <w:r w:rsidR="008D7C3B" w:rsidRPr="008D7C3B">
        <w:rPr>
          <w:i/>
          <w:iCs/>
          <w:lang w:val="es-CO"/>
        </w:rPr>
        <w:t>Lemoth</w:t>
      </w:r>
      <w:proofErr w:type="spellEnd"/>
      <w:r w:rsidR="008D7C3B" w:rsidRPr="008D7C3B">
        <w:rPr>
          <w:i/>
          <w:iCs/>
          <w:lang w:val="es-CO"/>
        </w:rPr>
        <w:t xml:space="preserve"> Morris y otros) Vs. Honduras</w:t>
      </w:r>
      <w:r w:rsidR="008D7C3B" w:rsidRPr="008D7C3B">
        <w:rPr>
          <w:lang w:val="es-CO"/>
        </w:rPr>
        <w:t>. Sentencia de 31 de agosto de 2021. Serie C No. 432</w:t>
      </w:r>
      <w:r w:rsidR="008D7C3B">
        <w:rPr>
          <w:lang w:val="es-CO"/>
        </w:rPr>
        <w:t>;</w:t>
      </w:r>
      <w:r w:rsidR="008D7C3B" w:rsidRPr="008D7C3B">
        <w:rPr>
          <w:rFonts w:eastAsiaTheme="minorHAnsi" w:cstheme="minorBidi"/>
          <w:i/>
          <w:iCs/>
          <w:lang w:val="es-CO"/>
        </w:rPr>
        <w:t xml:space="preserve"> </w:t>
      </w:r>
      <w:r w:rsidR="008D7C3B" w:rsidRPr="008D7C3B">
        <w:rPr>
          <w:i/>
          <w:iCs/>
          <w:lang w:val="es-CO"/>
        </w:rPr>
        <w:t>Caso Vera Rojas y otros vs. Chile. Excepciones preliminares, fondo, reparaciones y costas</w:t>
      </w:r>
      <w:r w:rsidR="008D7C3B" w:rsidRPr="008D7C3B">
        <w:rPr>
          <w:lang w:val="es-CO"/>
        </w:rPr>
        <w:t>. Sentencia de 1 de septiembre de 2021. Serie C No.</w:t>
      </w:r>
      <w:r w:rsidR="008D7C3B">
        <w:rPr>
          <w:lang w:val="es-CO"/>
        </w:rPr>
        <w:t xml:space="preserve"> 439;</w:t>
      </w:r>
      <w:r w:rsidR="008D7C3B" w:rsidRPr="008D7C3B">
        <w:rPr>
          <w:rFonts w:eastAsiaTheme="minorHAnsi" w:cstheme="minorBidi"/>
          <w:i/>
          <w:iCs/>
          <w:lang w:val="es-CO"/>
        </w:rPr>
        <w:t xml:space="preserve"> </w:t>
      </w:r>
      <w:r w:rsidR="008D7C3B" w:rsidRPr="008D7C3B">
        <w:rPr>
          <w:i/>
          <w:iCs/>
          <w:lang w:val="es-CO"/>
        </w:rPr>
        <w:t xml:space="preserve">Caso Manuela y otros Vs. El Salvador. Excepciones preliminares, Fondo, Reparaciones y Costas. </w:t>
      </w:r>
      <w:r w:rsidR="008D7C3B" w:rsidRPr="008D7C3B">
        <w:rPr>
          <w:lang w:val="es-CO"/>
        </w:rPr>
        <w:t>Sentencia de 2 de noviembre de 2021. Serie C No. 441</w:t>
      </w:r>
      <w:r w:rsidR="008D7C3B">
        <w:rPr>
          <w:lang w:val="es-CO"/>
        </w:rPr>
        <w:t>;</w:t>
      </w:r>
      <w:r w:rsidR="008D7C3B" w:rsidRPr="008D7C3B">
        <w:rPr>
          <w:rFonts w:eastAsiaTheme="minorHAnsi" w:cstheme="minorBidi"/>
          <w:i/>
          <w:iCs/>
          <w:lang w:val="es-CO"/>
        </w:rPr>
        <w:t xml:space="preserve"> </w:t>
      </w:r>
      <w:r w:rsidR="008D7C3B" w:rsidRPr="008D7C3B">
        <w:rPr>
          <w:i/>
          <w:iCs/>
          <w:lang w:val="es-CO"/>
        </w:rPr>
        <w:t>Caso Extrabajadores del Organismo Judicial Vs. Guatemala. Excepciones Preliminares, Fondo y Reparaciones.</w:t>
      </w:r>
      <w:r w:rsidR="008D7C3B" w:rsidRPr="008D7C3B">
        <w:rPr>
          <w:lang w:val="es-CO"/>
        </w:rPr>
        <w:t xml:space="preserve"> Sentencia de 17 de noviembre de 2021. Serie C No. 445</w:t>
      </w:r>
      <w:r w:rsidR="008D7C3B">
        <w:rPr>
          <w:lang w:val="es-CO"/>
        </w:rPr>
        <w:t>;</w:t>
      </w:r>
      <w:r w:rsidR="008D7C3B" w:rsidRPr="008D7C3B">
        <w:rPr>
          <w:i/>
          <w:iCs/>
        </w:rPr>
        <w:t xml:space="preserve"> Caso Palacio Urrutia y otros Vs. Ecuador. Fondo, Reparaciones y Costas</w:t>
      </w:r>
      <w:r w:rsidR="008D7C3B" w:rsidRPr="008D7C3B">
        <w:t>. Sentencia de 24 de noviembre de 2021. Serie C No. 446</w:t>
      </w:r>
      <w:r w:rsidR="008D7C3B">
        <w:t>;</w:t>
      </w:r>
      <w:r w:rsidR="008D7C3B" w:rsidRPr="00123863">
        <w:rPr>
          <w:rFonts w:eastAsiaTheme="minorHAnsi" w:cstheme="minorBidi"/>
          <w:i/>
          <w:iCs/>
          <w:lang w:val="es-ES"/>
        </w:rPr>
        <w:t xml:space="preserve"> </w:t>
      </w:r>
      <w:r w:rsidR="008D7C3B" w:rsidRPr="00123863">
        <w:rPr>
          <w:i/>
          <w:iCs/>
          <w:lang w:val="es-ES"/>
        </w:rPr>
        <w:t xml:space="preserve">Caso </w:t>
      </w:r>
      <w:proofErr w:type="spellStart"/>
      <w:r w:rsidR="008D7C3B" w:rsidRPr="00123863">
        <w:rPr>
          <w:i/>
          <w:iCs/>
          <w:lang w:val="es-ES"/>
        </w:rPr>
        <w:t>Pavez</w:t>
      </w:r>
      <w:proofErr w:type="spellEnd"/>
      <w:r w:rsidR="008D7C3B" w:rsidRPr="00123863">
        <w:rPr>
          <w:i/>
          <w:iCs/>
          <w:lang w:val="es-ES"/>
        </w:rPr>
        <w:t xml:space="preserve"> </w:t>
      </w:r>
      <w:proofErr w:type="spellStart"/>
      <w:r w:rsidR="008D7C3B" w:rsidRPr="00123863">
        <w:rPr>
          <w:i/>
          <w:iCs/>
          <w:lang w:val="es-ES"/>
        </w:rPr>
        <w:t>Pavez</w:t>
      </w:r>
      <w:proofErr w:type="spellEnd"/>
      <w:r w:rsidR="008D7C3B" w:rsidRPr="00123863">
        <w:rPr>
          <w:i/>
          <w:iCs/>
          <w:lang w:val="es-ES"/>
        </w:rPr>
        <w:t xml:space="preserve"> Vs. </w:t>
      </w:r>
      <w:r w:rsidR="008D7C3B" w:rsidRPr="008D7C3B">
        <w:rPr>
          <w:i/>
          <w:iCs/>
          <w:lang w:val="es-CR"/>
        </w:rPr>
        <w:t xml:space="preserve">Chile. </w:t>
      </w:r>
      <w:r w:rsidR="008D7C3B" w:rsidRPr="008D7C3B">
        <w:rPr>
          <w:i/>
          <w:iCs/>
          <w:lang w:val="es-CL"/>
        </w:rPr>
        <w:t>Fondo, Reparaciones y Costas</w:t>
      </w:r>
      <w:r w:rsidR="008D7C3B" w:rsidRPr="008D7C3B">
        <w:rPr>
          <w:lang w:val="es-CL"/>
        </w:rPr>
        <w:t>. Sentencia de 4 de febrero de 2022. Serie C No. 449</w:t>
      </w:r>
      <w:r w:rsidR="008D7C3B">
        <w:rPr>
          <w:lang w:val="es-CL"/>
        </w:rPr>
        <w:t xml:space="preserve">; </w:t>
      </w:r>
      <w:r w:rsidR="008D7C3B" w:rsidRPr="008D7C3B">
        <w:rPr>
          <w:i/>
          <w:iCs/>
        </w:rPr>
        <w:t>Caso Rodríguez Pacheco y otra Vs. Venezuela. Excepciones Preliminares, Fondo, Reparaciones y Costas</w:t>
      </w:r>
      <w:r w:rsidR="008D7C3B" w:rsidRPr="008D7C3B">
        <w:t>. Sentencia de 1 de septiembre de 2023. Serie C No. 504</w:t>
      </w:r>
      <w:r w:rsidR="008D7C3B">
        <w:t xml:space="preserve">. Por su parte, la jueza Patricia Pérez Goldberg ha manifestado su postura sobre el mismo asunto en los siguientes casos: </w:t>
      </w:r>
      <w:r w:rsidR="008D7C3B" w:rsidRPr="008D7C3B">
        <w:rPr>
          <w:i/>
          <w:iCs/>
        </w:rPr>
        <w:t>Caso Guevara Díaz Vs. Costa Rica. Fondo, Reparaciones y Costas</w:t>
      </w:r>
      <w:r w:rsidR="008D7C3B" w:rsidRPr="008D7C3B">
        <w:t>. Sentencia de 22 de junio de 2022. Serie C No. 453</w:t>
      </w:r>
      <w:r w:rsidR="008D7C3B">
        <w:t xml:space="preserve">; </w:t>
      </w:r>
      <w:r w:rsidR="008D7C3B" w:rsidRPr="008D7C3B">
        <w:rPr>
          <w:i/>
          <w:iCs/>
        </w:rPr>
        <w:t>Caso Mina Cuero Vs. Ecuador. Excepción Preliminar, Fondo, Reparaciones y Costas</w:t>
      </w:r>
      <w:r w:rsidR="008D7C3B" w:rsidRPr="008D7C3B">
        <w:t>. Sentencia de 7 de septiembre de 2022. Serie C No. 464</w:t>
      </w:r>
      <w:r w:rsidR="008D7C3B">
        <w:t xml:space="preserve">; </w:t>
      </w:r>
      <w:r w:rsidR="008D7C3B" w:rsidRPr="008D7C3B">
        <w:rPr>
          <w:i/>
          <w:iCs/>
        </w:rPr>
        <w:t>Caso Benites Cabrera y otros Vs. Perú. Excepciones Preliminares, Fondo, Reparaciones y Costas</w:t>
      </w:r>
      <w:r w:rsidR="008D7C3B" w:rsidRPr="008D7C3B">
        <w:t>. Sentencia de 4 de octubre de 2022. Serie C No. 465</w:t>
      </w:r>
      <w:r w:rsidR="008D7C3B">
        <w:t xml:space="preserve">; </w:t>
      </w:r>
      <w:r w:rsidR="008D7C3B" w:rsidRPr="008D7C3B">
        <w:rPr>
          <w:i/>
          <w:iCs/>
        </w:rPr>
        <w:t>Caso Valencia Campos y otros Vs. Bolivia. Excepción Preliminar, Fondo, Reparaciones y Costas</w:t>
      </w:r>
      <w:r w:rsidR="008D7C3B" w:rsidRPr="008D7C3B">
        <w:t>. Sentencia de 18 de octubre de 2022. Serie C No. 469</w:t>
      </w:r>
      <w:r w:rsidR="008D7C3B">
        <w:t xml:space="preserve">; </w:t>
      </w:r>
      <w:r w:rsidR="008D7C3B" w:rsidRPr="008D7C3B">
        <w:rPr>
          <w:i/>
          <w:iCs/>
        </w:rPr>
        <w:t>Caso Brítez Arce y otros Vs. Argentina. Fondo, Reparaciones y Costas.</w:t>
      </w:r>
      <w:r w:rsidR="008D7C3B" w:rsidRPr="008D7C3B">
        <w:t xml:space="preserve"> Sentencia de 16 de noviembre de 2022. Serie C No. 474</w:t>
      </w:r>
      <w:r w:rsidR="008D7C3B">
        <w:t xml:space="preserve">; </w:t>
      </w:r>
      <w:r w:rsidR="008D7C3B" w:rsidRPr="008D7C3B">
        <w:rPr>
          <w:i/>
          <w:iCs/>
        </w:rPr>
        <w:t xml:space="preserve">Caso Nissen </w:t>
      </w:r>
      <w:proofErr w:type="spellStart"/>
      <w:r w:rsidR="008D7C3B" w:rsidRPr="008D7C3B">
        <w:rPr>
          <w:i/>
          <w:iCs/>
        </w:rPr>
        <w:t>Pessolani</w:t>
      </w:r>
      <w:proofErr w:type="spellEnd"/>
      <w:r w:rsidR="008D7C3B" w:rsidRPr="008D7C3B">
        <w:rPr>
          <w:i/>
          <w:iCs/>
        </w:rPr>
        <w:t xml:space="preserve"> Vs. Paraguay. Fondo, Reparaciones y Costas</w:t>
      </w:r>
      <w:r w:rsidR="008D7C3B" w:rsidRPr="008D7C3B">
        <w:t>. Sentencia de 21 de noviembre de 2022. Serie C No. 47</w:t>
      </w:r>
      <w:r w:rsidR="008D7C3B">
        <w:t xml:space="preserve">7; </w:t>
      </w:r>
      <w:r w:rsidR="008D7C3B" w:rsidRPr="008D7C3B">
        <w:rPr>
          <w:i/>
          <w:iCs/>
        </w:rPr>
        <w:t xml:space="preserve">Caso Aguinaga </w:t>
      </w:r>
      <w:proofErr w:type="spellStart"/>
      <w:r w:rsidR="008D7C3B" w:rsidRPr="008D7C3B">
        <w:rPr>
          <w:i/>
          <w:iCs/>
        </w:rPr>
        <w:t>Aillón</w:t>
      </w:r>
      <w:proofErr w:type="spellEnd"/>
      <w:r w:rsidR="008D7C3B" w:rsidRPr="008D7C3B">
        <w:rPr>
          <w:i/>
          <w:iCs/>
        </w:rPr>
        <w:t xml:space="preserve"> Vs. Ecuador. Fondo, Reparaciones y Costas</w:t>
      </w:r>
      <w:r w:rsidR="008D7C3B" w:rsidRPr="008D7C3B">
        <w:t>. Sentencia de 30 de enero de 2023. Serie C No. 483</w:t>
      </w:r>
      <w:r w:rsidR="008D7C3B">
        <w:t xml:space="preserve">; </w:t>
      </w:r>
      <w:r w:rsidR="008D7C3B" w:rsidRPr="008D7C3B">
        <w:rPr>
          <w:i/>
          <w:iCs/>
        </w:rPr>
        <w:t>Caso Rodríguez Pacheco y otra Vs. Venezuela. Excepciones Preliminares, Fondo, Reparaciones y Costas</w:t>
      </w:r>
      <w:r w:rsidR="008D7C3B" w:rsidRPr="008D7C3B">
        <w:t>. Sentencia de 1 de septiembre de 2023. Serie C No. 504</w:t>
      </w:r>
      <w:r w:rsidR="008D7C3B">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369DF" w14:textId="77777777" w:rsidR="00FC0C48" w:rsidRDefault="00FC0C4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68742D" w14:textId="77777777" w:rsidR="00FC0C48" w:rsidRDefault="00FC0C4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B2AF68" w14:textId="77777777" w:rsidR="00FC0C48" w:rsidRDefault="00FC0C4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F6B66"/>
    <w:multiLevelType w:val="hybridMultilevel"/>
    <w:tmpl w:val="3830D59E"/>
    <w:lvl w:ilvl="0" w:tplc="4E2A0C4C">
      <w:start w:val="1"/>
      <w:numFmt w:val="decimal"/>
      <w:pStyle w:val="PrrafodeSentencia"/>
      <w:lvlText w:val="%1."/>
      <w:lvlJc w:val="left"/>
      <w:pPr>
        <w:ind w:left="5130" w:hanging="360"/>
      </w:pPr>
      <w:rPr>
        <w:rFonts w:ascii="Verdana" w:hAnsi="Verdana" w:hint="default"/>
        <w:b w:val="0"/>
        <w:i w:val="0"/>
        <w:strike w:val="0"/>
        <w:dstrike w:val="0"/>
        <w:color w:val="auto"/>
        <w:sz w:val="20"/>
        <w:szCs w:val="20"/>
        <w:u w:val="none"/>
        <w:effect w:val="none"/>
        <w:vertAlign w:val="baseline"/>
        <w:lang w:val="es-CR"/>
      </w:rPr>
    </w:lvl>
    <w:lvl w:ilvl="1" w:tplc="CEA4ED48">
      <w:start w:val="1"/>
      <w:numFmt w:val="upp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1" w15:restartNumberingAfterBreak="0">
    <w:nsid w:val="05096BC8"/>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CF5961"/>
    <w:multiLevelType w:val="hybridMultilevel"/>
    <w:tmpl w:val="06067332"/>
    <w:lvl w:ilvl="0" w:tplc="D1FAF9CA">
      <w:start w:val="1"/>
      <w:numFmt w:val="decimal"/>
      <w:lvlText w:val="%1."/>
      <w:lvlJc w:val="left"/>
      <w:pPr>
        <w:ind w:left="720" w:hanging="360"/>
      </w:pPr>
      <w:rPr>
        <w:rFonts w:ascii="Verdana" w:hAnsi="Verdana" w:hint="default"/>
        <w:color w:val="auto"/>
        <w:sz w:val="20"/>
        <w:szCs w:val="2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1902113A"/>
    <w:multiLevelType w:val="hybridMultilevel"/>
    <w:tmpl w:val="30409432"/>
    <w:lvl w:ilvl="0" w:tplc="F554458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AA12DCA"/>
    <w:multiLevelType w:val="hybridMultilevel"/>
    <w:tmpl w:val="B4AE2AF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162494F"/>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0905C8"/>
    <w:multiLevelType w:val="hybridMultilevel"/>
    <w:tmpl w:val="0666B81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C366D43"/>
    <w:multiLevelType w:val="hybridMultilevel"/>
    <w:tmpl w:val="D1BE0240"/>
    <w:lvl w:ilvl="0" w:tplc="E84A0D6E">
      <w:start w:val="1"/>
      <w:numFmt w:val="upperRoman"/>
      <w:pStyle w:val="Ttulo"/>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EBD5D3D"/>
    <w:multiLevelType w:val="hybridMultilevel"/>
    <w:tmpl w:val="DDC213FC"/>
    <w:lvl w:ilvl="0" w:tplc="F55C5D34">
      <w:start w:val="1"/>
      <w:numFmt w:val="decimal"/>
      <w:lvlText w:val="%1."/>
      <w:lvlJc w:val="left"/>
      <w:pPr>
        <w:ind w:left="8012" w:hanging="360"/>
      </w:pPr>
      <w:rPr>
        <w:rFonts w:ascii="Verdana" w:hAnsi="Verdana" w:hint="default"/>
        <w:b w:val="0"/>
        <w:i w:val="0"/>
        <w:iCs w:val="0"/>
        <w:strike w:val="0"/>
        <w:sz w:val="20"/>
        <w:szCs w:val="20"/>
        <w:lang w:val="es-ES_tradnl"/>
      </w:rPr>
    </w:lvl>
    <w:lvl w:ilvl="1" w:tplc="140A0019">
      <w:start w:val="1"/>
      <w:numFmt w:val="lowerLetter"/>
      <w:lvlText w:val="%2."/>
      <w:lvlJc w:val="left"/>
      <w:pPr>
        <w:ind w:left="4272" w:hanging="360"/>
      </w:pPr>
    </w:lvl>
    <w:lvl w:ilvl="2" w:tplc="140A001B">
      <w:start w:val="1"/>
      <w:numFmt w:val="lowerRoman"/>
      <w:lvlText w:val="%3."/>
      <w:lvlJc w:val="right"/>
      <w:pPr>
        <w:ind w:left="4992" w:hanging="180"/>
      </w:pPr>
    </w:lvl>
    <w:lvl w:ilvl="3" w:tplc="140A000F" w:tentative="1">
      <w:start w:val="1"/>
      <w:numFmt w:val="decimal"/>
      <w:lvlText w:val="%4."/>
      <w:lvlJc w:val="left"/>
      <w:pPr>
        <w:ind w:left="5712" w:hanging="360"/>
      </w:pPr>
    </w:lvl>
    <w:lvl w:ilvl="4" w:tplc="140A0019" w:tentative="1">
      <w:start w:val="1"/>
      <w:numFmt w:val="lowerLetter"/>
      <w:lvlText w:val="%5."/>
      <w:lvlJc w:val="left"/>
      <w:pPr>
        <w:ind w:left="6432" w:hanging="360"/>
      </w:pPr>
    </w:lvl>
    <w:lvl w:ilvl="5" w:tplc="140A001B" w:tentative="1">
      <w:start w:val="1"/>
      <w:numFmt w:val="lowerRoman"/>
      <w:lvlText w:val="%6."/>
      <w:lvlJc w:val="right"/>
      <w:pPr>
        <w:ind w:left="7152" w:hanging="180"/>
      </w:pPr>
    </w:lvl>
    <w:lvl w:ilvl="6" w:tplc="140A000F" w:tentative="1">
      <w:start w:val="1"/>
      <w:numFmt w:val="decimal"/>
      <w:lvlText w:val="%7."/>
      <w:lvlJc w:val="left"/>
      <w:pPr>
        <w:ind w:left="7872" w:hanging="360"/>
      </w:pPr>
    </w:lvl>
    <w:lvl w:ilvl="7" w:tplc="140A0019" w:tentative="1">
      <w:start w:val="1"/>
      <w:numFmt w:val="lowerLetter"/>
      <w:lvlText w:val="%8."/>
      <w:lvlJc w:val="left"/>
      <w:pPr>
        <w:ind w:left="8592" w:hanging="360"/>
      </w:pPr>
    </w:lvl>
    <w:lvl w:ilvl="8" w:tplc="140A001B" w:tentative="1">
      <w:start w:val="1"/>
      <w:numFmt w:val="lowerRoman"/>
      <w:lvlText w:val="%9."/>
      <w:lvlJc w:val="right"/>
      <w:pPr>
        <w:ind w:left="9312" w:hanging="180"/>
      </w:pPr>
    </w:lvl>
  </w:abstractNum>
  <w:abstractNum w:abstractNumId="9" w15:restartNumberingAfterBreak="0">
    <w:nsid w:val="53E06E32"/>
    <w:multiLevelType w:val="hybridMultilevel"/>
    <w:tmpl w:val="FABE0216"/>
    <w:lvl w:ilvl="0" w:tplc="6F323408">
      <w:start w:val="1"/>
      <w:numFmt w:val="decimal"/>
      <w:lvlText w:val="%1."/>
      <w:lvlJc w:val="left"/>
      <w:pPr>
        <w:tabs>
          <w:tab w:val="num" w:pos="5057"/>
        </w:tabs>
      </w:pPr>
      <w:rPr>
        <w:rFonts w:ascii="Verdana" w:eastAsia="Times New Roman" w:hAnsi="Verdana" w:cs="Times New Roman" w:hint="default"/>
        <w:b w:val="0"/>
        <w:i w:val="0"/>
        <w:strike w:val="0"/>
        <w:color w:val="auto"/>
        <w:sz w:val="20"/>
        <w:lang w:val="es-ES"/>
      </w:rPr>
    </w:lvl>
    <w:lvl w:ilvl="1" w:tplc="91ECB87E">
      <w:start w:val="1"/>
      <w:numFmt w:val="lowerLetter"/>
      <w:lvlText w:val="%2)"/>
      <w:lvlJc w:val="left"/>
      <w:pPr>
        <w:tabs>
          <w:tab w:val="num" w:pos="1080"/>
        </w:tabs>
        <w:ind w:left="1080" w:hanging="360"/>
      </w:pPr>
      <w:rPr>
        <w:rFonts w:cs="Times New Roman" w:hint="default"/>
        <w:b w:val="0"/>
        <w:i w:val="0"/>
        <w:sz w:val="20"/>
      </w:rPr>
    </w:lvl>
    <w:lvl w:ilvl="2" w:tplc="001B0409">
      <w:start w:val="1"/>
      <w:numFmt w:val="lowerRoman"/>
      <w:lvlText w:val="%3."/>
      <w:lvlJc w:val="right"/>
      <w:pPr>
        <w:tabs>
          <w:tab w:val="num" w:pos="2160"/>
        </w:tabs>
        <w:ind w:left="2160" w:hanging="180"/>
      </w:pPr>
      <w:rPr>
        <w:rFonts w:cs="Times New Roman"/>
      </w:rPr>
    </w:lvl>
    <w:lvl w:ilvl="3" w:tplc="000F0409">
      <w:start w:val="1"/>
      <w:numFmt w:val="decimal"/>
      <w:lvlText w:val="%4."/>
      <w:lvlJc w:val="left"/>
      <w:pPr>
        <w:tabs>
          <w:tab w:val="num" w:pos="2880"/>
        </w:tabs>
        <w:ind w:left="2880" w:hanging="360"/>
      </w:pPr>
      <w:rPr>
        <w:rFonts w:cs="Times New Roman"/>
      </w:rPr>
    </w:lvl>
    <w:lvl w:ilvl="4" w:tplc="00190409">
      <w:start w:val="1"/>
      <w:numFmt w:val="lowerLetter"/>
      <w:lvlText w:val="%5."/>
      <w:lvlJc w:val="left"/>
      <w:pPr>
        <w:tabs>
          <w:tab w:val="num" w:pos="3600"/>
        </w:tabs>
        <w:ind w:left="3600" w:hanging="360"/>
      </w:pPr>
      <w:rPr>
        <w:rFonts w:cs="Times New Roman"/>
      </w:rPr>
    </w:lvl>
    <w:lvl w:ilvl="5" w:tplc="001B0409">
      <w:start w:val="1"/>
      <w:numFmt w:val="lowerRoman"/>
      <w:lvlText w:val="%6."/>
      <w:lvlJc w:val="right"/>
      <w:pPr>
        <w:tabs>
          <w:tab w:val="num" w:pos="4320"/>
        </w:tabs>
        <w:ind w:left="4320" w:hanging="180"/>
      </w:pPr>
      <w:rPr>
        <w:rFonts w:cs="Times New Roman"/>
      </w:rPr>
    </w:lvl>
    <w:lvl w:ilvl="6" w:tplc="000F0409">
      <w:start w:val="1"/>
      <w:numFmt w:val="decimal"/>
      <w:lvlText w:val="%7."/>
      <w:lvlJc w:val="left"/>
      <w:pPr>
        <w:tabs>
          <w:tab w:val="num" w:pos="5040"/>
        </w:tabs>
        <w:ind w:left="5040" w:hanging="360"/>
      </w:pPr>
      <w:rPr>
        <w:rFonts w:cs="Times New Roman"/>
      </w:rPr>
    </w:lvl>
    <w:lvl w:ilvl="7" w:tplc="00190409">
      <w:start w:val="1"/>
      <w:numFmt w:val="lowerLetter"/>
      <w:lvlText w:val="%8."/>
      <w:lvlJc w:val="left"/>
      <w:pPr>
        <w:tabs>
          <w:tab w:val="num" w:pos="5760"/>
        </w:tabs>
        <w:ind w:left="5760" w:hanging="360"/>
      </w:pPr>
      <w:rPr>
        <w:rFonts w:cs="Times New Roman"/>
      </w:rPr>
    </w:lvl>
    <w:lvl w:ilvl="8" w:tplc="001B0409">
      <w:start w:val="1"/>
      <w:numFmt w:val="lowerRoman"/>
      <w:lvlText w:val="%9."/>
      <w:lvlJc w:val="right"/>
      <w:pPr>
        <w:tabs>
          <w:tab w:val="num" w:pos="6480"/>
        </w:tabs>
        <w:ind w:left="6480" w:hanging="180"/>
      </w:pPr>
      <w:rPr>
        <w:rFonts w:cs="Times New Roman"/>
      </w:rPr>
    </w:lvl>
  </w:abstractNum>
  <w:abstractNum w:abstractNumId="10" w15:restartNumberingAfterBreak="0">
    <w:nsid w:val="649744DB"/>
    <w:multiLevelType w:val="hybridMultilevel"/>
    <w:tmpl w:val="E3E0B7B8"/>
    <w:lvl w:ilvl="0" w:tplc="0C0A0013">
      <w:start w:val="1"/>
      <w:numFmt w:val="upperRoman"/>
      <w:lvlText w:val="%1."/>
      <w:lvlJc w:val="right"/>
      <w:pPr>
        <w:ind w:left="927" w:hanging="360"/>
      </w:pPr>
    </w:lvl>
    <w:lvl w:ilvl="1" w:tplc="0C0A0019">
      <w:start w:val="1"/>
      <w:numFmt w:val="lowerLetter"/>
      <w:lvlText w:val="%2."/>
      <w:lvlJc w:val="left"/>
      <w:pPr>
        <w:ind w:left="1647" w:hanging="360"/>
      </w:pPr>
    </w:lvl>
    <w:lvl w:ilvl="2" w:tplc="0C0A001B">
      <w:start w:val="1"/>
      <w:numFmt w:val="lowerRoman"/>
      <w:lvlText w:val="%3."/>
      <w:lvlJc w:val="right"/>
      <w:pPr>
        <w:ind w:left="2367" w:hanging="180"/>
      </w:pPr>
    </w:lvl>
    <w:lvl w:ilvl="3" w:tplc="0C0A000F">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1" w15:restartNumberingAfterBreak="0">
    <w:nsid w:val="675D24F6"/>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05A6F5C"/>
    <w:multiLevelType w:val="hybridMultilevel"/>
    <w:tmpl w:val="4F3038A2"/>
    <w:lvl w:ilvl="0" w:tplc="0B9EED4E">
      <w:start w:val="1"/>
      <w:numFmt w:val="decimal"/>
      <w:pStyle w:val="Numberedparagraphs"/>
      <w:lvlText w:val="%1."/>
      <w:lvlJc w:val="left"/>
      <w:pPr>
        <w:tabs>
          <w:tab w:val="num" w:pos="720"/>
        </w:tabs>
        <w:ind w:left="0" w:firstLine="0"/>
      </w:pPr>
      <w:rPr>
        <w:rFonts w:ascii="Verdana" w:hAnsi="Verdana" w:hint="default"/>
        <w:b w:val="0"/>
        <w:i w:val="0"/>
        <w:strike w:val="0"/>
        <w:color w:val="auto"/>
        <w:sz w:val="20"/>
        <w:szCs w:val="20"/>
        <w:lang w:val="es-CR"/>
      </w:rPr>
    </w:lvl>
    <w:lvl w:ilvl="1" w:tplc="5C6C0158">
      <w:start w:val="7"/>
      <w:numFmt w:val="decimal"/>
      <w:lvlText w:val="%2."/>
      <w:lvlJc w:val="left"/>
      <w:pPr>
        <w:ind w:left="2160" w:hanging="360"/>
      </w:pPr>
      <w:rPr>
        <w:rFonts w:hint="default"/>
      </w:rPr>
    </w:lvl>
    <w:lvl w:ilvl="2" w:tplc="0409001B">
      <w:start w:val="1"/>
      <w:numFmt w:val="lowerRoman"/>
      <w:lvlText w:val="%3."/>
      <w:lvlJc w:val="right"/>
      <w:pPr>
        <w:ind w:left="2880" w:hanging="180"/>
      </w:pPr>
    </w:lvl>
    <w:lvl w:ilvl="3" w:tplc="B7608196">
      <w:start w:val="1"/>
      <w:numFmt w:val="lowerLetter"/>
      <w:lvlText w:val="%4."/>
      <w:lvlJc w:val="left"/>
      <w:pPr>
        <w:ind w:left="1125" w:hanging="405"/>
      </w:pPr>
      <w:rPr>
        <w:rFonts w:hint="default"/>
      </w:rPr>
    </w:lvl>
    <w:lvl w:ilvl="4" w:tplc="4FCCDE7A">
      <w:start w:val="1"/>
      <w:numFmt w:val="lowerLetter"/>
      <w:lvlText w:val="%5)"/>
      <w:lvlJc w:val="left"/>
      <w:pPr>
        <w:ind w:left="1110" w:hanging="390"/>
      </w:pPr>
      <w:rPr>
        <w:rFonts w:hint="default"/>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7A00AFE"/>
    <w:multiLevelType w:val="hybridMultilevel"/>
    <w:tmpl w:val="B9743F0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668751574">
    <w:abstractNumId w:val="9"/>
  </w:num>
  <w:num w:numId="2" w16cid:durableId="1412313039">
    <w:abstractNumId w:val="8"/>
  </w:num>
  <w:num w:numId="3" w16cid:durableId="206451417">
    <w:abstractNumId w:val="0"/>
  </w:num>
  <w:num w:numId="4" w16cid:durableId="2137093489">
    <w:abstractNumId w:val="2"/>
  </w:num>
  <w:num w:numId="5" w16cid:durableId="2137212356">
    <w:abstractNumId w:val="7"/>
  </w:num>
  <w:num w:numId="6" w16cid:durableId="1983777511">
    <w:abstractNumId w:val="10"/>
  </w:num>
  <w:num w:numId="7" w16cid:durableId="1973708814">
    <w:abstractNumId w:val="6"/>
  </w:num>
  <w:num w:numId="8" w16cid:durableId="184371624">
    <w:abstractNumId w:val="13"/>
  </w:num>
  <w:num w:numId="9" w16cid:durableId="559485836">
    <w:abstractNumId w:val="5"/>
  </w:num>
  <w:num w:numId="10" w16cid:durableId="943150561">
    <w:abstractNumId w:val="1"/>
  </w:num>
  <w:num w:numId="11" w16cid:durableId="884954058">
    <w:abstractNumId w:val="11"/>
  </w:num>
  <w:num w:numId="12" w16cid:durableId="53310899">
    <w:abstractNumId w:val="4"/>
  </w:num>
  <w:num w:numId="13" w16cid:durableId="608977176">
    <w:abstractNumId w:val="12"/>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776964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23D"/>
    <w:rsid w:val="0000027D"/>
    <w:rsid w:val="00027B11"/>
    <w:rsid w:val="00076D9D"/>
    <w:rsid w:val="00081376"/>
    <w:rsid w:val="000A01FA"/>
    <w:rsid w:val="000B72DC"/>
    <w:rsid w:val="000F225C"/>
    <w:rsid w:val="000F6F0B"/>
    <w:rsid w:val="00104867"/>
    <w:rsid w:val="00123863"/>
    <w:rsid w:val="00127CA2"/>
    <w:rsid w:val="00132AC6"/>
    <w:rsid w:val="00141A74"/>
    <w:rsid w:val="0015453C"/>
    <w:rsid w:val="00162E23"/>
    <w:rsid w:val="001865D2"/>
    <w:rsid w:val="001A1F10"/>
    <w:rsid w:val="001A3037"/>
    <w:rsid w:val="001C236A"/>
    <w:rsid w:val="001C6F7C"/>
    <w:rsid w:val="001D666F"/>
    <w:rsid w:val="001F13CF"/>
    <w:rsid w:val="00203DD6"/>
    <w:rsid w:val="00225C2C"/>
    <w:rsid w:val="0024681D"/>
    <w:rsid w:val="00266140"/>
    <w:rsid w:val="00272217"/>
    <w:rsid w:val="00272C9E"/>
    <w:rsid w:val="00274E5F"/>
    <w:rsid w:val="0028242C"/>
    <w:rsid w:val="00296DE0"/>
    <w:rsid w:val="00297C10"/>
    <w:rsid w:val="002B0D53"/>
    <w:rsid w:val="002E4250"/>
    <w:rsid w:val="002F36AD"/>
    <w:rsid w:val="0030402F"/>
    <w:rsid w:val="00306DFA"/>
    <w:rsid w:val="0031566F"/>
    <w:rsid w:val="00322B64"/>
    <w:rsid w:val="003501A2"/>
    <w:rsid w:val="0036021F"/>
    <w:rsid w:val="0038181F"/>
    <w:rsid w:val="00383BF6"/>
    <w:rsid w:val="003920B7"/>
    <w:rsid w:val="00395C02"/>
    <w:rsid w:val="003A4DAF"/>
    <w:rsid w:val="00412F1D"/>
    <w:rsid w:val="0041450D"/>
    <w:rsid w:val="0041563F"/>
    <w:rsid w:val="00415ED2"/>
    <w:rsid w:val="00427BC7"/>
    <w:rsid w:val="004555D9"/>
    <w:rsid w:val="00486016"/>
    <w:rsid w:val="004E418B"/>
    <w:rsid w:val="004F28FF"/>
    <w:rsid w:val="00512A48"/>
    <w:rsid w:val="005172F9"/>
    <w:rsid w:val="00533BE0"/>
    <w:rsid w:val="005568BE"/>
    <w:rsid w:val="00560EF3"/>
    <w:rsid w:val="00564549"/>
    <w:rsid w:val="00570102"/>
    <w:rsid w:val="00582825"/>
    <w:rsid w:val="00586103"/>
    <w:rsid w:val="00590114"/>
    <w:rsid w:val="005967D7"/>
    <w:rsid w:val="005A1A53"/>
    <w:rsid w:val="005B33C6"/>
    <w:rsid w:val="005C5A21"/>
    <w:rsid w:val="005E204B"/>
    <w:rsid w:val="005F0D86"/>
    <w:rsid w:val="005F4E9C"/>
    <w:rsid w:val="005F579D"/>
    <w:rsid w:val="006053E0"/>
    <w:rsid w:val="0060572A"/>
    <w:rsid w:val="00622E8A"/>
    <w:rsid w:val="00623C9F"/>
    <w:rsid w:val="00625F8C"/>
    <w:rsid w:val="00636AD2"/>
    <w:rsid w:val="006505AE"/>
    <w:rsid w:val="0066259C"/>
    <w:rsid w:val="0066711C"/>
    <w:rsid w:val="00684FE0"/>
    <w:rsid w:val="00694312"/>
    <w:rsid w:val="006A0222"/>
    <w:rsid w:val="006F4577"/>
    <w:rsid w:val="007049C1"/>
    <w:rsid w:val="00706176"/>
    <w:rsid w:val="00716E15"/>
    <w:rsid w:val="00733AEC"/>
    <w:rsid w:val="00741808"/>
    <w:rsid w:val="0074665E"/>
    <w:rsid w:val="007601E7"/>
    <w:rsid w:val="0076570E"/>
    <w:rsid w:val="007A0B37"/>
    <w:rsid w:val="007B5B13"/>
    <w:rsid w:val="007C4929"/>
    <w:rsid w:val="007D2B6D"/>
    <w:rsid w:val="007F69F8"/>
    <w:rsid w:val="007F78CC"/>
    <w:rsid w:val="00806E12"/>
    <w:rsid w:val="0081076F"/>
    <w:rsid w:val="008161A6"/>
    <w:rsid w:val="00827E89"/>
    <w:rsid w:val="00832013"/>
    <w:rsid w:val="00862F78"/>
    <w:rsid w:val="00866F47"/>
    <w:rsid w:val="00867576"/>
    <w:rsid w:val="008A2B5D"/>
    <w:rsid w:val="008A687D"/>
    <w:rsid w:val="008C6674"/>
    <w:rsid w:val="008D5BD6"/>
    <w:rsid w:val="008D7C3B"/>
    <w:rsid w:val="009172EF"/>
    <w:rsid w:val="00951911"/>
    <w:rsid w:val="0095305C"/>
    <w:rsid w:val="00957B1F"/>
    <w:rsid w:val="00980D2B"/>
    <w:rsid w:val="00980EA6"/>
    <w:rsid w:val="00986EC8"/>
    <w:rsid w:val="009C1AD5"/>
    <w:rsid w:val="009E49B4"/>
    <w:rsid w:val="009F41FB"/>
    <w:rsid w:val="00A077BC"/>
    <w:rsid w:val="00A36DA4"/>
    <w:rsid w:val="00A71192"/>
    <w:rsid w:val="00A91374"/>
    <w:rsid w:val="00A964B3"/>
    <w:rsid w:val="00AA2D81"/>
    <w:rsid w:val="00AA41DC"/>
    <w:rsid w:val="00AB1C40"/>
    <w:rsid w:val="00AD1A86"/>
    <w:rsid w:val="00B00C09"/>
    <w:rsid w:val="00B02ED8"/>
    <w:rsid w:val="00B17C88"/>
    <w:rsid w:val="00B27C26"/>
    <w:rsid w:val="00B770DE"/>
    <w:rsid w:val="00B930FA"/>
    <w:rsid w:val="00B96310"/>
    <w:rsid w:val="00BA7AFC"/>
    <w:rsid w:val="00BB0EB5"/>
    <w:rsid w:val="00BB13A6"/>
    <w:rsid w:val="00BB22E7"/>
    <w:rsid w:val="00BD2043"/>
    <w:rsid w:val="00BE46BA"/>
    <w:rsid w:val="00BE6233"/>
    <w:rsid w:val="00BF0B20"/>
    <w:rsid w:val="00BF448F"/>
    <w:rsid w:val="00BF670D"/>
    <w:rsid w:val="00C21F95"/>
    <w:rsid w:val="00C25536"/>
    <w:rsid w:val="00C51EC2"/>
    <w:rsid w:val="00C63633"/>
    <w:rsid w:val="00C65D3B"/>
    <w:rsid w:val="00C6718C"/>
    <w:rsid w:val="00C75156"/>
    <w:rsid w:val="00C81AA4"/>
    <w:rsid w:val="00C84827"/>
    <w:rsid w:val="00C87B3D"/>
    <w:rsid w:val="00C92E18"/>
    <w:rsid w:val="00C944F8"/>
    <w:rsid w:val="00CA5D52"/>
    <w:rsid w:val="00CB0920"/>
    <w:rsid w:val="00CB2FF6"/>
    <w:rsid w:val="00CB6F8C"/>
    <w:rsid w:val="00CC3C6C"/>
    <w:rsid w:val="00CF107C"/>
    <w:rsid w:val="00CF2143"/>
    <w:rsid w:val="00D0000A"/>
    <w:rsid w:val="00D132E8"/>
    <w:rsid w:val="00D145EC"/>
    <w:rsid w:val="00D27E83"/>
    <w:rsid w:val="00D30ED5"/>
    <w:rsid w:val="00D46E0D"/>
    <w:rsid w:val="00D47440"/>
    <w:rsid w:val="00D560E7"/>
    <w:rsid w:val="00D72686"/>
    <w:rsid w:val="00D8608E"/>
    <w:rsid w:val="00D87E3F"/>
    <w:rsid w:val="00D91225"/>
    <w:rsid w:val="00D92BC8"/>
    <w:rsid w:val="00DA6E0D"/>
    <w:rsid w:val="00DB4E50"/>
    <w:rsid w:val="00DD31BC"/>
    <w:rsid w:val="00E053AF"/>
    <w:rsid w:val="00E167A8"/>
    <w:rsid w:val="00E26B84"/>
    <w:rsid w:val="00E32903"/>
    <w:rsid w:val="00E75DF1"/>
    <w:rsid w:val="00E8111B"/>
    <w:rsid w:val="00EA4A37"/>
    <w:rsid w:val="00EA6389"/>
    <w:rsid w:val="00EB60D8"/>
    <w:rsid w:val="00EE7CE1"/>
    <w:rsid w:val="00F03DD1"/>
    <w:rsid w:val="00F1704F"/>
    <w:rsid w:val="00F242B3"/>
    <w:rsid w:val="00F30BA5"/>
    <w:rsid w:val="00F31CCF"/>
    <w:rsid w:val="00F52687"/>
    <w:rsid w:val="00F56CDF"/>
    <w:rsid w:val="00F66ABA"/>
    <w:rsid w:val="00F90EF1"/>
    <w:rsid w:val="00F9763F"/>
    <w:rsid w:val="00FA223D"/>
    <w:rsid w:val="00FA3FF8"/>
    <w:rsid w:val="00FA5030"/>
    <w:rsid w:val="00FB4C00"/>
    <w:rsid w:val="00FC0C48"/>
    <w:rsid w:val="00FF15C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4D38A"/>
  <w15:chartTrackingRefBased/>
  <w15:docId w15:val="{D358ACF7-30AA-4540-BEF2-52E18B542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s-CL" w:eastAsia="es-E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A Fu Car,FA Fu Car Car,Footnote Text Cha,FA Fußnotentext,FA Fuﬂnotentext,FA Fu?notentext,Ca,C,ft,FA Fu?notente"/>
    <w:basedOn w:val="Normal"/>
    <w:link w:val="TextonotapieCar"/>
    <w:unhideWhenUsed/>
    <w:qFormat/>
    <w:rsid w:val="00C21F95"/>
    <w:rPr>
      <w:rFonts w:ascii="Verdana" w:eastAsia="Calibri" w:hAnsi="Verdana" w:cs="Times New Roman"/>
      <w:kern w:val="0"/>
      <w:sz w:val="16"/>
      <w:szCs w:val="16"/>
      <w:lang w:val="es-ES_tradnl" w:eastAsia="en-US"/>
      <w14:ligatures w14:val="none"/>
    </w:rPr>
  </w:style>
  <w:style w:type="character" w:customStyle="1" w:styleId="TextonotapieCar">
    <w:name w:val="Texto nota pie Car"/>
    <w:aliases w:val="Footnote Text Char Char Char Char Char Car,Footnote Text Char Char Char Char Car,Footnote reference Car,FA Fu Car1,Footnote Text Char Char Char Car,FA Fu Car Car1,FA Fu Car Car Car,Footnote Text Cha Car,FA Fußnotentext Car,Ca Car"/>
    <w:basedOn w:val="Fuentedeprrafopredeter"/>
    <w:link w:val="Textonotapie"/>
    <w:qFormat/>
    <w:rsid w:val="00C21F95"/>
    <w:rPr>
      <w:rFonts w:ascii="Verdana" w:eastAsia="Calibri" w:hAnsi="Verdana" w:cs="Times New Roman"/>
      <w:kern w:val="0"/>
      <w:sz w:val="16"/>
      <w:szCs w:val="16"/>
      <w:lang w:val="es-ES_tradnl" w:eastAsia="en-US"/>
      <w14:ligatures w14:val="none"/>
    </w:rPr>
  </w:style>
  <w:style w:type="character" w:styleId="Refdenotaalpie">
    <w:name w:val="footnote reference"/>
    <w:aliases w:val="Texto de nota al pie,Appel note de bas de page,Footnotes refss,Footnote number,referencia nota al pie,BVI fnr,f,4_G,16 Point,Superscript 6 Point,Footnote Reference Char3,Footnote Reference Char1 Char,Footnote Reference Char Char Char"/>
    <w:link w:val="4GChar"/>
    <w:uiPriority w:val="99"/>
    <w:unhideWhenUsed/>
    <w:qFormat/>
    <w:rsid w:val="00C21F95"/>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C21F95"/>
    <w:pPr>
      <w:jc w:val="both"/>
    </w:pPr>
    <w:rPr>
      <w:vertAlign w:val="superscript"/>
    </w:rPr>
  </w:style>
  <w:style w:type="character" w:styleId="Textoennegrita">
    <w:name w:val="Strong"/>
    <w:aliases w:val="Heading 2.1"/>
    <w:uiPriority w:val="22"/>
    <w:qFormat/>
    <w:rsid w:val="00C21F95"/>
    <w:rPr>
      <w:b/>
      <w:bCs/>
    </w:rPr>
  </w:style>
  <w:style w:type="paragraph" w:customStyle="1" w:styleId="PrrafodeSentencia">
    <w:name w:val="*. Párrafo de Sentencia"/>
    <w:basedOn w:val="Normal"/>
    <w:next w:val="Normal"/>
    <w:link w:val="PrrafodeSentenciaChar"/>
    <w:qFormat/>
    <w:rsid w:val="00C21F95"/>
    <w:pPr>
      <w:numPr>
        <w:numId w:val="3"/>
      </w:numPr>
      <w:tabs>
        <w:tab w:val="left" w:pos="567"/>
      </w:tabs>
      <w:jc w:val="both"/>
    </w:pPr>
    <w:rPr>
      <w:rFonts w:ascii="Verdana" w:eastAsia="Batang" w:hAnsi="Verdana"/>
      <w:spacing w:val="-4"/>
      <w:kern w:val="0"/>
      <w:sz w:val="20"/>
      <w:lang w:val="es-CR" w:eastAsia="es-MX"/>
      <w14:ligatures w14:val="none"/>
    </w:rPr>
  </w:style>
  <w:style w:type="character" w:customStyle="1" w:styleId="PrrafodeSentenciaChar">
    <w:name w:val="*. Párrafo de Sentencia Char"/>
    <w:link w:val="PrrafodeSentencia"/>
    <w:locked/>
    <w:rsid w:val="00C21F95"/>
    <w:rPr>
      <w:rFonts w:ascii="Verdana" w:eastAsia="Batang" w:hAnsi="Verdana"/>
      <w:spacing w:val="-4"/>
      <w:kern w:val="0"/>
      <w:sz w:val="20"/>
      <w:lang w:val="es-CR" w:eastAsia="es-MX"/>
      <w14:ligatures w14:val="none"/>
    </w:rPr>
  </w:style>
  <w:style w:type="paragraph" w:styleId="Ttulo">
    <w:name w:val="Title"/>
    <w:basedOn w:val="Normal"/>
    <w:link w:val="TtuloCar"/>
    <w:uiPriority w:val="10"/>
    <w:qFormat/>
    <w:rsid w:val="00E32903"/>
    <w:pPr>
      <w:numPr>
        <w:numId w:val="5"/>
      </w:numPr>
      <w:jc w:val="both"/>
    </w:pPr>
    <w:rPr>
      <w:rFonts w:ascii="Verdana" w:eastAsia="Times New Roman" w:hAnsi="Verdana" w:cs="Times New Roman"/>
      <w:b/>
      <w:kern w:val="0"/>
      <w:sz w:val="20"/>
      <w:szCs w:val="20"/>
      <w:lang w:val="es-ES_tradnl" w:bidi="en-US"/>
      <w14:ligatures w14:val="none"/>
    </w:rPr>
  </w:style>
  <w:style w:type="character" w:customStyle="1" w:styleId="TtuloCar">
    <w:name w:val="Título Car"/>
    <w:basedOn w:val="Fuentedeprrafopredeter"/>
    <w:link w:val="Ttulo"/>
    <w:uiPriority w:val="10"/>
    <w:rsid w:val="00E32903"/>
    <w:rPr>
      <w:rFonts w:ascii="Verdana" w:eastAsia="Times New Roman" w:hAnsi="Verdana" w:cs="Times New Roman"/>
      <w:b/>
      <w:kern w:val="0"/>
      <w:sz w:val="20"/>
      <w:szCs w:val="20"/>
      <w:lang w:val="es-ES_tradnl" w:bidi="en-US"/>
      <w14:ligatures w14:val="none"/>
    </w:rPr>
  </w:style>
  <w:style w:type="paragraph" w:styleId="Prrafodelista">
    <w:name w:val="List Paragraph"/>
    <w:basedOn w:val="Normal"/>
    <w:uiPriority w:val="34"/>
    <w:qFormat/>
    <w:rsid w:val="005568BE"/>
    <w:pPr>
      <w:ind w:left="720"/>
      <w:contextualSpacing/>
    </w:pPr>
  </w:style>
  <w:style w:type="paragraph" w:customStyle="1" w:styleId="p1">
    <w:name w:val="p1"/>
    <w:basedOn w:val="Normal"/>
    <w:rsid w:val="00570102"/>
    <w:rPr>
      <w:rFonts w:ascii=".AppleSystemUIFont" w:hAnsi=".AppleSystemUIFont" w:cs="Times New Roman"/>
      <w:kern w:val="0"/>
      <w:sz w:val="29"/>
      <w:szCs w:val="29"/>
      <w14:ligatures w14:val="none"/>
    </w:rPr>
  </w:style>
  <w:style w:type="paragraph" w:customStyle="1" w:styleId="p2">
    <w:name w:val="p2"/>
    <w:basedOn w:val="Normal"/>
    <w:rsid w:val="00570102"/>
    <w:rPr>
      <w:rFonts w:ascii=".AppleSystemUIFont" w:hAnsi=".AppleSystemUIFont" w:cs="Times New Roman"/>
      <w:kern w:val="0"/>
      <w:sz w:val="29"/>
      <w:szCs w:val="29"/>
      <w14:ligatures w14:val="none"/>
    </w:rPr>
  </w:style>
  <w:style w:type="character" w:customStyle="1" w:styleId="s1">
    <w:name w:val="s1"/>
    <w:basedOn w:val="Fuentedeprrafopredeter"/>
    <w:rsid w:val="00570102"/>
    <w:rPr>
      <w:rFonts w:ascii="UICTFontTextStyleBody" w:hAnsi="UICTFontTextStyleBody" w:hint="default"/>
      <w:b w:val="0"/>
      <w:bCs w:val="0"/>
      <w:i w:val="0"/>
      <w:iCs w:val="0"/>
      <w:sz w:val="29"/>
      <w:szCs w:val="29"/>
    </w:rPr>
  </w:style>
  <w:style w:type="paragraph" w:customStyle="1" w:styleId="li1">
    <w:name w:val="li1"/>
    <w:basedOn w:val="Normal"/>
    <w:rsid w:val="00570102"/>
    <w:rPr>
      <w:rFonts w:ascii=".AppleSystemUIFont" w:hAnsi=".AppleSystemUIFont" w:cs="Times New Roman"/>
      <w:kern w:val="0"/>
      <w:sz w:val="29"/>
      <w:szCs w:val="29"/>
      <w14:ligatures w14:val="none"/>
    </w:rPr>
  </w:style>
  <w:style w:type="paragraph" w:styleId="Encabezado">
    <w:name w:val="header"/>
    <w:basedOn w:val="Normal"/>
    <w:link w:val="EncabezadoCar"/>
    <w:uiPriority w:val="99"/>
    <w:unhideWhenUsed/>
    <w:rsid w:val="00FC0C48"/>
    <w:pPr>
      <w:tabs>
        <w:tab w:val="center" w:pos="4252"/>
        <w:tab w:val="right" w:pos="8504"/>
      </w:tabs>
    </w:pPr>
  </w:style>
  <w:style w:type="character" w:customStyle="1" w:styleId="EncabezadoCar">
    <w:name w:val="Encabezado Car"/>
    <w:basedOn w:val="Fuentedeprrafopredeter"/>
    <w:link w:val="Encabezado"/>
    <w:uiPriority w:val="99"/>
    <w:rsid w:val="00FC0C48"/>
  </w:style>
  <w:style w:type="paragraph" w:styleId="Piedepgina">
    <w:name w:val="footer"/>
    <w:basedOn w:val="Normal"/>
    <w:link w:val="PiedepginaCar"/>
    <w:uiPriority w:val="99"/>
    <w:unhideWhenUsed/>
    <w:rsid w:val="00FC0C48"/>
    <w:pPr>
      <w:tabs>
        <w:tab w:val="center" w:pos="4252"/>
        <w:tab w:val="right" w:pos="8504"/>
      </w:tabs>
    </w:pPr>
  </w:style>
  <w:style w:type="character" w:customStyle="1" w:styleId="PiedepginaCar">
    <w:name w:val="Pie de página Car"/>
    <w:basedOn w:val="Fuentedeprrafopredeter"/>
    <w:link w:val="Piedepgina"/>
    <w:uiPriority w:val="99"/>
    <w:rsid w:val="00FC0C48"/>
  </w:style>
  <w:style w:type="character" w:styleId="Nmerodepgina">
    <w:name w:val="page number"/>
    <w:basedOn w:val="Fuentedeprrafopredeter"/>
    <w:uiPriority w:val="99"/>
    <w:semiHidden/>
    <w:unhideWhenUsed/>
    <w:rsid w:val="00FC0C48"/>
  </w:style>
  <w:style w:type="paragraph" w:customStyle="1" w:styleId="Numberedparagraphs">
    <w:name w:val="Numbered paragraphs"/>
    <w:basedOn w:val="Normal"/>
    <w:link w:val="NumberedparagraphsCar"/>
    <w:qFormat/>
    <w:rsid w:val="00980D2B"/>
    <w:pPr>
      <w:numPr>
        <w:numId w:val="13"/>
      </w:numPr>
      <w:spacing w:after="200"/>
      <w:jc w:val="both"/>
    </w:pPr>
    <w:rPr>
      <w:rFonts w:ascii="Verdana" w:eastAsia="MS Mincho" w:hAnsi="Verdana" w:cs="Times New Roman"/>
      <w:color w:val="000000"/>
      <w:kern w:val="0"/>
      <w:sz w:val="20"/>
      <w:szCs w:val="20"/>
      <w:lang w:val="es-ES_tradnl" w:eastAsia="en-US"/>
      <w14:ligatures w14:val="none"/>
    </w:rPr>
  </w:style>
  <w:style w:type="character" w:customStyle="1" w:styleId="NumberedparagraphsCar">
    <w:name w:val="Numbered paragraphs Car"/>
    <w:basedOn w:val="Fuentedeprrafopredeter"/>
    <w:link w:val="Numberedparagraphs"/>
    <w:rsid w:val="00980D2B"/>
    <w:rPr>
      <w:rFonts w:ascii="Verdana" w:eastAsia="MS Mincho" w:hAnsi="Verdana" w:cs="Times New Roman"/>
      <w:color w:val="000000"/>
      <w:kern w:val="0"/>
      <w:sz w:val="20"/>
      <w:szCs w:val="20"/>
      <w:lang w:val="es-ES_tradnl" w:eastAsia="en-US"/>
      <w14:ligatures w14:val="none"/>
    </w:rPr>
  </w:style>
  <w:style w:type="paragraph" w:customStyle="1" w:styleId="FootnotesrefssChar1Char">
    <w:name w:val="Footnotes refss Char1 Char"/>
    <w:aliases w:val="Texto de nota al pie Char1 Char,Appel note de bas de page Char1 Char,Footnote number Char1 Char,referencia nota al pie Char1 Char,BVI fnr Char1 Char,f Char1 Char,4_G Char1 Char,16 Point Char1 Char"/>
    <w:basedOn w:val="Normal"/>
    <w:uiPriority w:val="99"/>
    <w:qFormat/>
    <w:rsid w:val="000A01FA"/>
    <w:pPr>
      <w:spacing w:after="160" w:line="240" w:lineRule="exact"/>
      <w:jc w:val="both"/>
    </w:pPr>
    <w:rPr>
      <w:vertAlign w:val="superscript"/>
    </w:rPr>
  </w:style>
  <w:style w:type="character" w:styleId="Refdecomentario">
    <w:name w:val="annotation reference"/>
    <w:basedOn w:val="Fuentedeprrafopredeter"/>
    <w:uiPriority w:val="99"/>
    <w:semiHidden/>
    <w:unhideWhenUsed/>
    <w:rsid w:val="008A687D"/>
    <w:rPr>
      <w:sz w:val="16"/>
      <w:szCs w:val="16"/>
    </w:rPr>
  </w:style>
  <w:style w:type="paragraph" w:styleId="Textocomentario">
    <w:name w:val="annotation text"/>
    <w:basedOn w:val="Normal"/>
    <w:link w:val="TextocomentarioCar"/>
    <w:uiPriority w:val="99"/>
    <w:semiHidden/>
    <w:unhideWhenUsed/>
    <w:rsid w:val="008A687D"/>
    <w:rPr>
      <w:sz w:val="20"/>
      <w:szCs w:val="20"/>
    </w:rPr>
  </w:style>
  <w:style w:type="character" w:customStyle="1" w:styleId="TextocomentarioCar">
    <w:name w:val="Texto comentario Car"/>
    <w:basedOn w:val="Fuentedeprrafopredeter"/>
    <w:link w:val="Textocomentario"/>
    <w:uiPriority w:val="99"/>
    <w:semiHidden/>
    <w:rsid w:val="008A687D"/>
    <w:rPr>
      <w:sz w:val="20"/>
      <w:szCs w:val="20"/>
    </w:rPr>
  </w:style>
  <w:style w:type="paragraph" w:styleId="Asuntodelcomentario">
    <w:name w:val="annotation subject"/>
    <w:basedOn w:val="Textocomentario"/>
    <w:next w:val="Textocomentario"/>
    <w:link w:val="AsuntodelcomentarioCar"/>
    <w:uiPriority w:val="99"/>
    <w:semiHidden/>
    <w:unhideWhenUsed/>
    <w:rsid w:val="008A687D"/>
    <w:rPr>
      <w:b/>
      <w:bCs/>
    </w:rPr>
  </w:style>
  <w:style w:type="character" w:customStyle="1" w:styleId="AsuntodelcomentarioCar">
    <w:name w:val="Asunto del comentario Car"/>
    <w:basedOn w:val="TextocomentarioCar"/>
    <w:link w:val="Asuntodelcomentario"/>
    <w:uiPriority w:val="99"/>
    <w:semiHidden/>
    <w:rsid w:val="008A687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6969812">
      <w:bodyDiv w:val="1"/>
      <w:marLeft w:val="0"/>
      <w:marRight w:val="0"/>
      <w:marTop w:val="0"/>
      <w:marBottom w:val="0"/>
      <w:divBdr>
        <w:top w:val="none" w:sz="0" w:space="0" w:color="auto"/>
        <w:left w:val="none" w:sz="0" w:space="0" w:color="auto"/>
        <w:bottom w:val="none" w:sz="0" w:space="0" w:color="auto"/>
        <w:right w:val="none" w:sz="0" w:space="0" w:color="auto"/>
      </w:divBdr>
    </w:div>
    <w:div w:id="55065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1358</Words>
  <Characters>7471</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Corte IDH</dc:creator>
  <cp:keywords/>
  <dc:description/>
  <cp:lastModifiedBy>Francella Hernandez</cp:lastModifiedBy>
  <cp:revision>2</cp:revision>
  <dcterms:created xsi:type="dcterms:W3CDTF">2024-03-22T14:07:00Z</dcterms:created>
  <dcterms:modified xsi:type="dcterms:W3CDTF">2024-03-22T14:07:00Z</dcterms:modified>
</cp:coreProperties>
</file>