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B9C" w:rsidRPr="00847931" w:rsidRDefault="00943B9C" w:rsidP="00943B9C">
      <w:pPr>
        <w:jc w:val="center"/>
        <w:rPr>
          <w:b/>
          <w:szCs w:val="20"/>
          <w:u w:val="single"/>
          <w:lang w:val="es-CR"/>
        </w:rPr>
      </w:pPr>
      <w:bookmarkStart w:id="0" w:name="_GoBack"/>
      <w:bookmarkEnd w:id="0"/>
    </w:p>
    <w:p w:rsidR="00943B9C" w:rsidRPr="00847931" w:rsidRDefault="00943B9C" w:rsidP="00943B9C">
      <w:pPr>
        <w:jc w:val="center"/>
        <w:rPr>
          <w:b/>
          <w:szCs w:val="20"/>
          <w:u w:val="single"/>
          <w:lang w:val="es-CR"/>
        </w:rPr>
      </w:pPr>
    </w:p>
    <w:p w:rsidR="00943B9C" w:rsidRPr="00847931" w:rsidRDefault="00943B9C" w:rsidP="00943B9C">
      <w:pPr>
        <w:jc w:val="center"/>
        <w:rPr>
          <w:b/>
          <w:szCs w:val="20"/>
          <w:lang w:val="es-CR"/>
        </w:rPr>
      </w:pPr>
    </w:p>
    <w:p w:rsidR="00943B9C" w:rsidRPr="00847931" w:rsidRDefault="00943B9C" w:rsidP="00943B9C">
      <w:pPr>
        <w:jc w:val="center"/>
        <w:rPr>
          <w:b/>
          <w:szCs w:val="20"/>
          <w:lang w:val="es-CR"/>
        </w:rPr>
      </w:pPr>
    </w:p>
    <w:p w:rsidR="00943B9C" w:rsidRPr="00847931" w:rsidRDefault="00943B9C" w:rsidP="00943B9C">
      <w:pPr>
        <w:jc w:val="center"/>
        <w:rPr>
          <w:b/>
          <w:szCs w:val="20"/>
          <w:lang w:val="es-CR"/>
        </w:rPr>
      </w:pPr>
    </w:p>
    <w:p w:rsidR="00943B9C" w:rsidRPr="00847931" w:rsidRDefault="00943B9C" w:rsidP="00943B9C">
      <w:pPr>
        <w:jc w:val="center"/>
        <w:rPr>
          <w:b/>
          <w:szCs w:val="20"/>
          <w:lang w:val="es-CR"/>
        </w:rPr>
      </w:pPr>
    </w:p>
    <w:p w:rsidR="00943B9C" w:rsidRPr="00847931" w:rsidRDefault="00943B9C" w:rsidP="00943B9C">
      <w:pPr>
        <w:jc w:val="center"/>
        <w:rPr>
          <w:b/>
          <w:szCs w:val="20"/>
          <w:lang w:val="es-CR"/>
        </w:rPr>
      </w:pPr>
    </w:p>
    <w:p w:rsidR="00943B9C" w:rsidRPr="00847931" w:rsidRDefault="00943B9C" w:rsidP="00943B9C">
      <w:pPr>
        <w:ind w:left="1418" w:hanging="1418"/>
        <w:jc w:val="center"/>
        <w:rPr>
          <w:b/>
          <w:lang w:val="es-CR"/>
        </w:rPr>
      </w:pPr>
      <w:r w:rsidRPr="00847931">
        <w:rPr>
          <w:b/>
          <w:lang w:val="es-CR"/>
        </w:rPr>
        <w:t>CORTE INTERAMERICANA DE DERECHOS HUMANOS</w:t>
      </w:r>
      <w:r>
        <w:rPr>
          <w:rStyle w:val="FootnoteReference"/>
          <w:b/>
          <w:lang w:val="es-CR"/>
        </w:rPr>
        <w:footnoteReference w:id="1"/>
      </w:r>
    </w:p>
    <w:p w:rsidR="00943B9C" w:rsidRPr="00847931" w:rsidRDefault="00943B9C" w:rsidP="00943B9C">
      <w:pPr>
        <w:ind w:left="1418" w:hanging="1418"/>
        <w:jc w:val="center"/>
        <w:rPr>
          <w:b/>
          <w:lang w:val="es-CR"/>
        </w:rPr>
      </w:pPr>
    </w:p>
    <w:p w:rsidR="00943B9C" w:rsidRPr="00847931" w:rsidRDefault="00943B9C" w:rsidP="00943B9C">
      <w:pPr>
        <w:ind w:left="1418" w:hanging="1418"/>
        <w:jc w:val="center"/>
        <w:rPr>
          <w:lang w:val="es-CR"/>
        </w:rPr>
      </w:pPr>
      <w:r w:rsidRPr="00847931">
        <w:rPr>
          <w:lang w:val="es-CR"/>
        </w:rPr>
        <w:t xml:space="preserve"> </w:t>
      </w:r>
      <w:r w:rsidRPr="00847931">
        <w:rPr>
          <w:b/>
          <w:bCs/>
          <w:szCs w:val="20"/>
          <w:lang w:val="es-CR"/>
        </w:rPr>
        <w:t xml:space="preserve">CASO </w:t>
      </w:r>
      <w:r w:rsidR="00BD3D85">
        <w:rPr>
          <w:b/>
          <w:bCs/>
          <w:szCs w:val="20"/>
          <w:lang w:val="es-CR"/>
        </w:rPr>
        <w:t>POLLO RIVERA Y OTROS</w:t>
      </w:r>
      <w:r w:rsidRPr="00847931">
        <w:rPr>
          <w:b/>
          <w:bCs/>
          <w:szCs w:val="20"/>
          <w:lang w:val="es-CR"/>
        </w:rPr>
        <w:t xml:space="preserve"> VS. </w:t>
      </w:r>
      <w:r w:rsidR="00BD3D85">
        <w:rPr>
          <w:b/>
          <w:bCs/>
          <w:szCs w:val="20"/>
          <w:lang w:val="es-CR"/>
        </w:rPr>
        <w:t>PERÚ</w:t>
      </w:r>
    </w:p>
    <w:p w:rsidR="00943B9C" w:rsidRPr="00847931" w:rsidRDefault="00943B9C" w:rsidP="00943B9C">
      <w:pPr>
        <w:ind w:left="1418" w:hanging="1418"/>
        <w:jc w:val="center"/>
        <w:rPr>
          <w:rFonts w:cs="Verdana"/>
          <w:b/>
          <w:bCs/>
          <w:caps/>
          <w:highlight w:val="yellow"/>
          <w:lang w:val="es-CR"/>
        </w:rPr>
      </w:pPr>
    </w:p>
    <w:p w:rsidR="00943B9C" w:rsidRPr="00847931" w:rsidRDefault="00943B9C" w:rsidP="00943B9C">
      <w:pPr>
        <w:ind w:left="1418" w:hanging="1418"/>
        <w:jc w:val="center"/>
        <w:rPr>
          <w:b/>
          <w:lang w:val="es-CR"/>
        </w:rPr>
      </w:pPr>
      <w:r>
        <w:rPr>
          <w:b/>
          <w:lang w:val="es-CR"/>
        </w:rPr>
        <w:t>SENTENCIA DE</w:t>
      </w:r>
      <w:r w:rsidRPr="00847931">
        <w:rPr>
          <w:b/>
          <w:lang w:val="es-CR"/>
        </w:rPr>
        <w:t xml:space="preserve"> </w:t>
      </w:r>
      <w:r w:rsidR="00BD3D85">
        <w:rPr>
          <w:b/>
          <w:lang w:val="es-CR"/>
        </w:rPr>
        <w:t>21 DE OCTUBRE</w:t>
      </w:r>
      <w:r w:rsidRPr="00847931">
        <w:rPr>
          <w:b/>
          <w:lang w:val="es-CR"/>
        </w:rPr>
        <w:t xml:space="preserve"> DE 2016</w:t>
      </w:r>
    </w:p>
    <w:p w:rsidR="00943B9C" w:rsidRDefault="00943B9C" w:rsidP="00943B9C">
      <w:pPr>
        <w:ind w:left="1418" w:hanging="1418"/>
        <w:jc w:val="center"/>
        <w:rPr>
          <w:b/>
          <w:i/>
          <w:caps/>
          <w:lang w:val="es-CR"/>
        </w:rPr>
      </w:pPr>
      <w:r w:rsidRPr="00847931">
        <w:rPr>
          <w:b/>
          <w:i/>
          <w:lang w:val="es-CR"/>
        </w:rPr>
        <w:t>(Fondo, Reparaciones y Costas</w:t>
      </w:r>
      <w:r w:rsidRPr="00847931">
        <w:rPr>
          <w:b/>
          <w:i/>
          <w:caps/>
          <w:lang w:val="es-CR"/>
        </w:rPr>
        <w:t>)</w:t>
      </w:r>
    </w:p>
    <w:p w:rsidR="00943B9C" w:rsidRDefault="00943B9C" w:rsidP="00943B9C">
      <w:pPr>
        <w:ind w:left="1418" w:hanging="1418"/>
        <w:jc w:val="center"/>
        <w:rPr>
          <w:b/>
          <w:i/>
          <w:caps/>
          <w:lang w:val="es-CR"/>
        </w:rPr>
      </w:pPr>
    </w:p>
    <w:p w:rsidR="00943B9C" w:rsidRDefault="00943B9C" w:rsidP="00943B9C">
      <w:pPr>
        <w:ind w:left="1418" w:hanging="1418"/>
        <w:jc w:val="center"/>
        <w:rPr>
          <w:b/>
          <w:i/>
          <w:caps/>
          <w:lang w:val="es-CR"/>
        </w:rPr>
      </w:pPr>
    </w:p>
    <w:p w:rsidR="00943B9C" w:rsidRPr="00943B9C" w:rsidRDefault="00943B9C" w:rsidP="00943B9C">
      <w:pPr>
        <w:ind w:left="1418" w:hanging="1418"/>
        <w:jc w:val="center"/>
        <w:rPr>
          <w:lang w:val="es-CR"/>
        </w:rPr>
      </w:pPr>
      <w:r w:rsidRPr="00943B9C">
        <w:rPr>
          <w:b/>
          <w:bCs/>
          <w:szCs w:val="20"/>
          <w:lang w:val="es-CR"/>
        </w:rPr>
        <w:t>RESUMEN OFICIAL EMITIDO POR LA CORTE INTERAMERICANA</w:t>
      </w:r>
    </w:p>
    <w:p w:rsidR="00943B9C" w:rsidRDefault="00943B9C" w:rsidP="00943B9C">
      <w:pPr>
        <w:rPr>
          <w:smallCaps/>
          <w:highlight w:val="yellow"/>
          <w:lang w:val="es-CR"/>
        </w:rPr>
      </w:pPr>
    </w:p>
    <w:p w:rsidR="00943B9C" w:rsidRDefault="00943B9C" w:rsidP="00943B9C">
      <w:pPr>
        <w:rPr>
          <w:smallCaps/>
          <w:highlight w:val="yellow"/>
          <w:lang w:val="es-CR"/>
        </w:rPr>
      </w:pPr>
    </w:p>
    <w:p w:rsidR="00BD3D85" w:rsidRDefault="00943B9C" w:rsidP="00943B9C">
      <w:pPr>
        <w:contextualSpacing/>
        <w:rPr>
          <w:spacing w:val="-2"/>
          <w:szCs w:val="20"/>
          <w:lang w:val="es-MX"/>
        </w:rPr>
      </w:pPr>
      <w:r w:rsidRPr="00943B9C">
        <w:rPr>
          <w:lang w:val="es-CR"/>
        </w:rPr>
        <w:t xml:space="preserve">El </w:t>
      </w:r>
      <w:r w:rsidR="00BD3D85">
        <w:rPr>
          <w:lang w:val="es-CR"/>
        </w:rPr>
        <w:t>21 de octubre</w:t>
      </w:r>
      <w:r w:rsidRPr="00943B9C">
        <w:rPr>
          <w:lang w:val="es-CR"/>
        </w:rPr>
        <w:t xml:space="preserve"> de 2016 la Corte Interamericana de Derechos Humanos dictó una Sentencia, mediante la cual declaró responsable </w:t>
      </w:r>
      <w:r w:rsidR="00BD3D85">
        <w:rPr>
          <w:lang w:val="es-CR"/>
        </w:rPr>
        <w:t xml:space="preserve">internacionalmente al Estado del Perú </w:t>
      </w:r>
      <w:r w:rsidRPr="00847931">
        <w:rPr>
          <w:rFonts w:cs="Arial"/>
          <w:lang w:val="es-CR"/>
        </w:rPr>
        <w:t xml:space="preserve">por </w:t>
      </w:r>
      <w:r w:rsidR="00BD3D85" w:rsidRPr="00B12A37">
        <w:rPr>
          <w:spacing w:val="-2"/>
          <w:szCs w:val="20"/>
          <w:lang w:val="es-MX"/>
        </w:rPr>
        <w:t>la violación de</w:t>
      </w:r>
      <w:r w:rsidR="00BF0F48">
        <w:rPr>
          <w:spacing w:val="-2"/>
          <w:szCs w:val="20"/>
          <w:lang w:val="es-MX"/>
        </w:rPr>
        <w:t xml:space="preserve"> los siguientes</w:t>
      </w:r>
      <w:r w:rsidR="00BD3D85" w:rsidRPr="00B12A37">
        <w:rPr>
          <w:spacing w:val="-2"/>
          <w:szCs w:val="20"/>
          <w:lang w:val="es-MX"/>
        </w:rPr>
        <w:t xml:space="preserve"> derecho</w:t>
      </w:r>
      <w:r w:rsidR="00BF0F48">
        <w:rPr>
          <w:spacing w:val="-2"/>
          <w:szCs w:val="20"/>
          <w:lang w:val="es-MX"/>
        </w:rPr>
        <w:t>s humanos</w:t>
      </w:r>
      <w:r w:rsidR="00BD3D85" w:rsidRPr="00B12A37">
        <w:rPr>
          <w:spacing w:val="-2"/>
          <w:szCs w:val="20"/>
          <w:lang w:val="es-MX"/>
        </w:rPr>
        <w:t xml:space="preserve"> </w:t>
      </w:r>
      <w:r w:rsidR="00BF0F48" w:rsidRPr="00B12A37">
        <w:rPr>
          <w:spacing w:val="-2"/>
          <w:szCs w:val="20"/>
          <w:lang w:val="es-MX"/>
        </w:rPr>
        <w:t>en perjuicio del señor</w:t>
      </w:r>
      <w:r w:rsidR="00BF0F48">
        <w:rPr>
          <w:spacing w:val="-2"/>
          <w:szCs w:val="20"/>
          <w:lang w:val="es-MX"/>
        </w:rPr>
        <w:t xml:space="preserve"> Luis Williams</w:t>
      </w:r>
      <w:r w:rsidR="00BF0F48" w:rsidRPr="00B12A37">
        <w:rPr>
          <w:spacing w:val="-2"/>
          <w:szCs w:val="20"/>
          <w:lang w:val="es-MX"/>
        </w:rPr>
        <w:t xml:space="preserve"> Pollo Rivera</w:t>
      </w:r>
      <w:r w:rsidR="00BF0F48">
        <w:rPr>
          <w:spacing w:val="-2"/>
          <w:szCs w:val="20"/>
          <w:lang w:val="es-MX"/>
        </w:rPr>
        <w:t>:</w:t>
      </w:r>
      <w:r w:rsidR="00BF0F48" w:rsidRPr="00B12A37">
        <w:rPr>
          <w:spacing w:val="-2"/>
          <w:szCs w:val="20"/>
          <w:lang w:val="es-MX"/>
        </w:rPr>
        <w:t xml:space="preserve"> </w:t>
      </w:r>
      <w:r w:rsidR="00BD3D85" w:rsidRPr="00B12A37">
        <w:rPr>
          <w:spacing w:val="-2"/>
          <w:szCs w:val="20"/>
          <w:lang w:val="es-MX"/>
        </w:rPr>
        <w:t>a la libertad personal, reconocido en los artículos 7.1, 7.2, 7.3, 7.5, 7.6 de la Convención Americana</w:t>
      </w:r>
      <w:r w:rsidR="00BD3D85">
        <w:rPr>
          <w:spacing w:val="-2"/>
          <w:szCs w:val="20"/>
          <w:lang w:val="es-MX"/>
        </w:rPr>
        <w:t xml:space="preserve"> sobre Derechos Humanos</w:t>
      </w:r>
      <w:r w:rsidR="00BD3D85" w:rsidRPr="00B12A37">
        <w:rPr>
          <w:spacing w:val="-2"/>
          <w:szCs w:val="20"/>
          <w:lang w:val="es-MX"/>
        </w:rPr>
        <w:t>, en relación con los artículos 1.1 y 2 de la misma</w:t>
      </w:r>
      <w:r w:rsidR="00BD3D85">
        <w:rPr>
          <w:spacing w:val="-2"/>
          <w:szCs w:val="20"/>
          <w:lang w:val="es-MX"/>
        </w:rPr>
        <w:t xml:space="preserve">; </w:t>
      </w:r>
      <w:r w:rsidR="00BD3D85" w:rsidRPr="00B12A37">
        <w:rPr>
          <w:spacing w:val="-2"/>
          <w:szCs w:val="20"/>
          <w:lang w:val="es-MX"/>
        </w:rPr>
        <w:t xml:space="preserve">derecho a la integridad personal, reconocido en los artículos </w:t>
      </w:r>
      <w:r w:rsidR="00BD3D85" w:rsidRPr="00B12A37">
        <w:rPr>
          <w:rFonts w:eastAsia="Calibri" w:cs="Helvetica"/>
          <w:szCs w:val="20"/>
          <w:lang w:val="es-MX" w:bidi="en-US"/>
        </w:rPr>
        <w:t xml:space="preserve">5.1 y 5.2 </w:t>
      </w:r>
      <w:r w:rsidR="00BD3D85" w:rsidRPr="00B12A37">
        <w:rPr>
          <w:spacing w:val="-2"/>
          <w:szCs w:val="20"/>
          <w:lang w:val="es-MX"/>
        </w:rPr>
        <w:t>de la Convención, en relación con los artículos 1.1, 2, 8.1 y 25 de la misma</w:t>
      </w:r>
      <w:r w:rsidR="00BD3D85" w:rsidRPr="00B12A37">
        <w:rPr>
          <w:szCs w:val="20"/>
          <w:lang w:val="es-MX"/>
        </w:rPr>
        <w:t xml:space="preserve"> y los artículos 1, 6 y 8 de la Convención Interamericana para Prevenir y Sancionar la Tortura</w:t>
      </w:r>
      <w:r w:rsidR="00BD3D85">
        <w:rPr>
          <w:spacing w:val="-2"/>
          <w:szCs w:val="20"/>
          <w:lang w:val="es-MX"/>
        </w:rPr>
        <w:t xml:space="preserve">; </w:t>
      </w:r>
      <w:r w:rsidR="00BD3D85" w:rsidRPr="00B12A37">
        <w:rPr>
          <w:rFonts w:cs="Verdana"/>
          <w:spacing w:val="-2"/>
          <w:szCs w:val="20"/>
          <w:lang w:val="es-MX"/>
        </w:rPr>
        <w:t xml:space="preserve">derechos a ser juzgado por un tribunal competente, independiente e imparcial, a la presunción de inocencia, a la defensa, a no declarar contra sí mismo y a la publicidad del proceso, reconocidos en los artículos 8.1, 8.2, </w:t>
      </w:r>
      <w:r w:rsidR="00BD3D85" w:rsidRPr="00B12A37">
        <w:rPr>
          <w:rFonts w:eastAsia="Calibri" w:cs="Helvetica"/>
          <w:szCs w:val="20"/>
          <w:lang w:val="es-MX" w:bidi="en-US"/>
        </w:rPr>
        <w:t xml:space="preserve">8.2.b), 8.2.f), </w:t>
      </w:r>
      <w:r w:rsidR="00BD3D85" w:rsidRPr="00B12A37">
        <w:rPr>
          <w:rFonts w:cs="Verdana"/>
          <w:spacing w:val="-2"/>
          <w:szCs w:val="20"/>
          <w:lang w:val="es-MX"/>
        </w:rPr>
        <w:t>8.2.g) y 8.5 de la Convención, en relación con los artículos 1.1 y 2 de la misma</w:t>
      </w:r>
      <w:r w:rsidR="00BD3D85">
        <w:rPr>
          <w:rFonts w:cs="Verdana"/>
          <w:spacing w:val="-2"/>
          <w:szCs w:val="20"/>
          <w:lang w:val="es-MX"/>
        </w:rPr>
        <w:t xml:space="preserve">; </w:t>
      </w:r>
      <w:r w:rsidR="00BF0F48">
        <w:rPr>
          <w:rFonts w:cs="Verdana"/>
          <w:spacing w:val="-2"/>
          <w:szCs w:val="20"/>
          <w:lang w:val="es-MX"/>
        </w:rPr>
        <w:t xml:space="preserve">y </w:t>
      </w:r>
      <w:r w:rsidR="00BD3D85" w:rsidRPr="00B12A37">
        <w:rPr>
          <w:spacing w:val="-2"/>
          <w:szCs w:val="20"/>
          <w:lang w:val="es-MX"/>
        </w:rPr>
        <w:t>el principio de legalidad, reconocido en el artículo 9 de la Convención, en relación co</w:t>
      </w:r>
      <w:r w:rsidR="00BF0F48">
        <w:rPr>
          <w:spacing w:val="-2"/>
          <w:szCs w:val="20"/>
          <w:lang w:val="es-MX"/>
        </w:rPr>
        <w:t>n el artículo 1.1 de la misma</w:t>
      </w:r>
      <w:r w:rsidR="00BD3D85">
        <w:rPr>
          <w:spacing w:val="-2"/>
          <w:szCs w:val="20"/>
          <w:lang w:val="es-MX"/>
        </w:rPr>
        <w:t xml:space="preserve">.  </w:t>
      </w:r>
      <w:r w:rsidR="001D356A">
        <w:rPr>
          <w:spacing w:val="-2"/>
          <w:szCs w:val="20"/>
          <w:lang w:val="es-MX"/>
        </w:rPr>
        <w:t xml:space="preserve">Además, el Estado fue declarado responsable </w:t>
      </w:r>
      <w:r w:rsidR="001D356A" w:rsidRPr="00B12A37">
        <w:rPr>
          <w:szCs w:val="20"/>
          <w:lang w:val="es-MX"/>
        </w:rPr>
        <w:t xml:space="preserve">por la violación del derecho a la integridad personal, en los términos de los artículos 5.1 y 1.1 de la Convención, en perjuicio de </w:t>
      </w:r>
      <w:r w:rsidR="001D356A">
        <w:rPr>
          <w:szCs w:val="20"/>
          <w:lang w:val="es-MX"/>
        </w:rPr>
        <w:t xml:space="preserve">sus familiares: </w:t>
      </w:r>
      <w:r w:rsidR="001D356A" w:rsidRPr="00B12A37">
        <w:rPr>
          <w:szCs w:val="20"/>
          <w:lang w:val="es-MX"/>
        </w:rPr>
        <w:t xml:space="preserve">María </w:t>
      </w:r>
      <w:r w:rsidR="001D356A" w:rsidRPr="00B12A37">
        <w:rPr>
          <w:spacing w:val="-2"/>
          <w:szCs w:val="20"/>
          <w:lang w:val="es-MX"/>
        </w:rPr>
        <w:t>Asunción</w:t>
      </w:r>
      <w:r w:rsidR="001D356A" w:rsidRPr="00B12A37">
        <w:rPr>
          <w:szCs w:val="20"/>
          <w:lang w:val="es-MX"/>
        </w:rPr>
        <w:t xml:space="preserve"> Rivera </w:t>
      </w:r>
      <w:proofErr w:type="spellStart"/>
      <w:r w:rsidR="001D356A" w:rsidRPr="00B12A37">
        <w:rPr>
          <w:szCs w:val="20"/>
          <w:lang w:val="es-MX"/>
        </w:rPr>
        <w:t>Sono</w:t>
      </w:r>
      <w:proofErr w:type="spellEnd"/>
      <w:r w:rsidR="001D356A" w:rsidRPr="00B12A37">
        <w:rPr>
          <w:szCs w:val="20"/>
          <w:lang w:val="es-MX"/>
        </w:rPr>
        <w:t xml:space="preserve">, Eugenia Luz Del Pino </w:t>
      </w:r>
      <w:proofErr w:type="spellStart"/>
      <w:r w:rsidR="001D356A" w:rsidRPr="00B12A37">
        <w:rPr>
          <w:szCs w:val="20"/>
          <w:lang w:val="es-MX"/>
        </w:rPr>
        <w:t>Cenzano</w:t>
      </w:r>
      <w:proofErr w:type="spellEnd"/>
      <w:r w:rsidR="001D356A" w:rsidRPr="00B12A37">
        <w:rPr>
          <w:szCs w:val="20"/>
          <w:lang w:val="es-MX"/>
        </w:rPr>
        <w:t xml:space="preserve">, Juan Manuel, María Eugenia y Luis Eduardo </w:t>
      </w:r>
      <w:r w:rsidR="001D356A" w:rsidRPr="00B12A37">
        <w:rPr>
          <w:rFonts w:eastAsia="Calibri" w:cs="Helvetica"/>
          <w:szCs w:val="20"/>
          <w:lang w:val="es-MX" w:bidi="en-US"/>
        </w:rPr>
        <w:t>Pollo Del Pino</w:t>
      </w:r>
      <w:r w:rsidR="001D356A" w:rsidRPr="00B12A37">
        <w:rPr>
          <w:szCs w:val="20"/>
          <w:lang w:val="es-MX"/>
        </w:rPr>
        <w:t>,</w:t>
      </w:r>
      <w:r w:rsidR="001D356A" w:rsidRPr="00B12A37">
        <w:rPr>
          <w:rFonts w:eastAsia="Calibri" w:cs="Helvetica"/>
          <w:szCs w:val="20"/>
          <w:lang w:val="es-MX" w:bidi="en-US"/>
        </w:rPr>
        <w:t xml:space="preserve"> </w:t>
      </w:r>
      <w:r w:rsidR="001D356A" w:rsidRPr="00B12A37">
        <w:rPr>
          <w:szCs w:val="20"/>
          <w:lang w:val="es-MX"/>
        </w:rPr>
        <w:t xml:space="preserve">Luz María Regina Pollo Rivera, </w:t>
      </w:r>
      <w:r w:rsidR="001D356A" w:rsidRPr="00B12A37">
        <w:rPr>
          <w:rFonts w:eastAsia="Calibri" w:cs="Helvetica"/>
          <w:szCs w:val="20"/>
          <w:lang w:val="es-MX" w:bidi="en-US"/>
        </w:rPr>
        <w:t xml:space="preserve">María Mercedes </w:t>
      </w:r>
      <w:proofErr w:type="spellStart"/>
      <w:r w:rsidR="001D356A" w:rsidRPr="00B12A37">
        <w:rPr>
          <w:rFonts w:eastAsia="Calibri" w:cs="Helvetica"/>
          <w:szCs w:val="20"/>
          <w:lang w:val="es-MX" w:bidi="en-US"/>
        </w:rPr>
        <w:t>Ricse</w:t>
      </w:r>
      <w:proofErr w:type="spellEnd"/>
      <w:r w:rsidR="001D356A" w:rsidRPr="00B12A37">
        <w:rPr>
          <w:rFonts w:eastAsia="Calibri" w:cs="Helvetica"/>
          <w:szCs w:val="20"/>
          <w:lang w:val="es-MX" w:bidi="en-US"/>
        </w:rPr>
        <w:t xml:space="preserve"> Dionisio </w:t>
      </w:r>
      <w:r w:rsidR="001D356A">
        <w:rPr>
          <w:rFonts w:eastAsia="Calibri" w:cs="Helvetica"/>
          <w:szCs w:val="20"/>
          <w:lang w:val="es-MX" w:bidi="en-US"/>
        </w:rPr>
        <w:t xml:space="preserve">y Milagros de Jesús Pollo </w:t>
      </w:r>
      <w:proofErr w:type="spellStart"/>
      <w:r w:rsidR="001D356A">
        <w:rPr>
          <w:rFonts w:eastAsia="Calibri" w:cs="Helvetica"/>
          <w:szCs w:val="20"/>
          <w:lang w:val="es-MX" w:bidi="en-US"/>
        </w:rPr>
        <w:t>Ricse</w:t>
      </w:r>
      <w:proofErr w:type="spellEnd"/>
      <w:r w:rsidR="001D356A">
        <w:rPr>
          <w:rFonts w:eastAsia="Calibri" w:cs="Helvetica"/>
          <w:szCs w:val="20"/>
          <w:lang w:val="es-MX" w:bidi="en-US"/>
        </w:rPr>
        <w:t>.</w:t>
      </w:r>
    </w:p>
    <w:p w:rsidR="00BD3D85" w:rsidRDefault="00BD3D85" w:rsidP="00943B9C">
      <w:pPr>
        <w:contextualSpacing/>
        <w:rPr>
          <w:spacing w:val="-2"/>
          <w:szCs w:val="20"/>
          <w:lang w:val="es-MX"/>
        </w:rPr>
      </w:pPr>
    </w:p>
    <w:p w:rsidR="00943B9C" w:rsidRDefault="00BD3D85" w:rsidP="00943B9C">
      <w:pPr>
        <w:contextualSpacing/>
        <w:rPr>
          <w:rFonts w:cs="Arial"/>
          <w:lang w:val="es-CR"/>
        </w:rPr>
      </w:pPr>
      <w:r>
        <w:rPr>
          <w:spacing w:val="-2"/>
          <w:szCs w:val="20"/>
          <w:lang w:val="es-MX"/>
        </w:rPr>
        <w:t>E</w:t>
      </w:r>
      <w:r w:rsidRPr="00B12A37">
        <w:rPr>
          <w:rFonts w:cs="Tahoma"/>
          <w:szCs w:val="20"/>
          <w:lang w:val="es-MX"/>
        </w:rPr>
        <w:t>ntre 1992 y 1994, el señor Pollo Rivera</w:t>
      </w:r>
      <w:r>
        <w:rPr>
          <w:rFonts w:cs="Tahoma"/>
          <w:szCs w:val="20"/>
          <w:lang w:val="es-MX"/>
        </w:rPr>
        <w:t>,</w:t>
      </w:r>
      <w:r w:rsidRPr="00B12A37">
        <w:rPr>
          <w:rFonts w:cs="Tahoma"/>
          <w:szCs w:val="20"/>
          <w:lang w:val="es-MX"/>
        </w:rPr>
        <w:t xml:space="preserve"> </w:t>
      </w:r>
      <w:r>
        <w:rPr>
          <w:spacing w:val="-2"/>
          <w:szCs w:val="20"/>
          <w:lang w:val="es-MX"/>
        </w:rPr>
        <w:t xml:space="preserve">quien era médico de profesión, </w:t>
      </w:r>
      <w:r w:rsidRPr="00B12A37">
        <w:rPr>
          <w:rFonts w:cs="Tahoma"/>
          <w:szCs w:val="20"/>
          <w:lang w:val="es-MX"/>
        </w:rPr>
        <w:t>fue detenido por</w:t>
      </w:r>
      <w:r>
        <w:rPr>
          <w:rFonts w:cs="Tahoma"/>
          <w:szCs w:val="20"/>
          <w:lang w:val="es-MX"/>
        </w:rPr>
        <w:t xml:space="preserve"> </w:t>
      </w:r>
      <w:r w:rsidR="00915897">
        <w:rPr>
          <w:rFonts w:cs="Tahoma"/>
          <w:szCs w:val="20"/>
          <w:lang w:val="es-MX"/>
        </w:rPr>
        <w:t>supuestos cargos de terrorismo y</w:t>
      </w:r>
      <w:r w:rsidR="00BF0F48">
        <w:rPr>
          <w:rFonts w:cs="Tahoma"/>
          <w:szCs w:val="20"/>
          <w:lang w:val="es-MX"/>
        </w:rPr>
        <w:t>, luego de haber sido</w:t>
      </w:r>
      <w:r w:rsidRPr="00B12A37">
        <w:rPr>
          <w:rFonts w:cs="Tahoma"/>
          <w:szCs w:val="20"/>
          <w:lang w:val="es-MX"/>
        </w:rPr>
        <w:t xml:space="preserve"> sometido a </w:t>
      </w:r>
      <w:r>
        <w:rPr>
          <w:rFonts w:cs="Tahoma"/>
          <w:szCs w:val="20"/>
          <w:lang w:val="es-MX"/>
        </w:rPr>
        <w:t xml:space="preserve">actos de </w:t>
      </w:r>
      <w:r w:rsidRPr="00B12A37">
        <w:rPr>
          <w:rFonts w:cs="Tahoma"/>
          <w:szCs w:val="20"/>
          <w:lang w:val="es-MX"/>
        </w:rPr>
        <w:t>tortura y otros tratos crueles, inhumanos y degradantes</w:t>
      </w:r>
      <w:r w:rsidR="00BF0F48">
        <w:rPr>
          <w:rFonts w:cs="Tahoma"/>
          <w:szCs w:val="20"/>
          <w:lang w:val="es-MX"/>
        </w:rPr>
        <w:t>, fue procesado en</w:t>
      </w:r>
      <w:r w:rsidR="00BF0F48" w:rsidRPr="00B12A37">
        <w:rPr>
          <w:rFonts w:cs="Tahoma"/>
          <w:szCs w:val="20"/>
          <w:lang w:val="es-MX"/>
        </w:rPr>
        <w:t xml:space="preserve"> </w:t>
      </w:r>
      <w:r w:rsidR="00BF0F48">
        <w:rPr>
          <w:rFonts w:cs="Tahoma"/>
          <w:szCs w:val="20"/>
          <w:lang w:val="es-MX"/>
        </w:rPr>
        <w:t xml:space="preserve">el fuero </w:t>
      </w:r>
      <w:r w:rsidR="00BF0F48" w:rsidRPr="00B12A37">
        <w:rPr>
          <w:rFonts w:cs="Tahoma"/>
          <w:szCs w:val="20"/>
          <w:lang w:val="es-MX"/>
        </w:rPr>
        <w:t>militar</w:t>
      </w:r>
      <w:r w:rsidR="00BF0F48">
        <w:rPr>
          <w:rFonts w:cs="Tahoma"/>
          <w:szCs w:val="20"/>
          <w:lang w:val="es-MX"/>
        </w:rPr>
        <w:t xml:space="preserve"> </w:t>
      </w:r>
      <w:r w:rsidRPr="00B12A37">
        <w:rPr>
          <w:rFonts w:cs="Tahoma"/>
          <w:szCs w:val="20"/>
          <w:lang w:val="es-MX"/>
        </w:rPr>
        <w:t>por el</w:t>
      </w:r>
      <w:r w:rsidR="00B824F8">
        <w:rPr>
          <w:rFonts w:cs="Tahoma"/>
          <w:szCs w:val="20"/>
          <w:lang w:val="es-MX"/>
        </w:rPr>
        <w:t xml:space="preserve"> delito de traición a la patria</w:t>
      </w:r>
      <w:r w:rsidR="00BF0F48">
        <w:rPr>
          <w:rFonts w:cs="Tahoma"/>
          <w:szCs w:val="20"/>
          <w:lang w:val="es-MX"/>
        </w:rPr>
        <w:t xml:space="preserve"> y en </w:t>
      </w:r>
      <w:r w:rsidR="00BF0F48" w:rsidRPr="00B12A37">
        <w:rPr>
          <w:rFonts w:cs="Tahoma"/>
          <w:szCs w:val="20"/>
          <w:lang w:val="es-MX"/>
        </w:rPr>
        <w:t xml:space="preserve">la jurisdicción </w:t>
      </w:r>
      <w:r w:rsidR="00BF0F48">
        <w:rPr>
          <w:rFonts w:cs="Tahoma"/>
          <w:szCs w:val="20"/>
          <w:lang w:val="es-MX"/>
        </w:rPr>
        <w:t>penal ordinaria</w:t>
      </w:r>
      <w:r w:rsidRPr="00B12A37">
        <w:rPr>
          <w:rFonts w:cs="Tahoma"/>
          <w:szCs w:val="20"/>
          <w:lang w:val="es-MX"/>
        </w:rPr>
        <w:t xml:space="preserve"> por el delito de terrorismo</w:t>
      </w:r>
      <w:r w:rsidR="00BF0F48">
        <w:rPr>
          <w:rFonts w:cs="Tahoma"/>
          <w:szCs w:val="20"/>
          <w:lang w:val="es-MX"/>
        </w:rPr>
        <w:t>, en la cual fue absuelto</w:t>
      </w:r>
      <w:r w:rsidRPr="00B12A37">
        <w:rPr>
          <w:rFonts w:cs="Tahoma"/>
          <w:szCs w:val="20"/>
          <w:lang w:val="es-MX"/>
        </w:rPr>
        <w:t xml:space="preserve">. </w:t>
      </w:r>
      <w:r>
        <w:rPr>
          <w:rFonts w:cs="Tahoma"/>
          <w:szCs w:val="20"/>
          <w:lang w:val="es-MX"/>
        </w:rPr>
        <w:t xml:space="preserve">Posteriormente, fue nuevamente detenido </w:t>
      </w:r>
      <w:r w:rsidRPr="00B12A37">
        <w:rPr>
          <w:rFonts w:cs="Tahoma"/>
          <w:szCs w:val="20"/>
          <w:lang w:val="es-MX"/>
        </w:rPr>
        <w:t xml:space="preserve">en el año 2003 y </w:t>
      </w:r>
      <w:r>
        <w:rPr>
          <w:rFonts w:cs="Tahoma"/>
          <w:szCs w:val="20"/>
          <w:lang w:val="es-MX"/>
        </w:rPr>
        <w:t xml:space="preserve">fue juzgado </w:t>
      </w:r>
      <w:r w:rsidRPr="00B12A37">
        <w:rPr>
          <w:rFonts w:cs="Tahoma"/>
          <w:szCs w:val="20"/>
          <w:lang w:val="es-MX"/>
        </w:rPr>
        <w:t>y condena</w:t>
      </w:r>
      <w:r>
        <w:rPr>
          <w:rFonts w:cs="Tahoma"/>
          <w:szCs w:val="20"/>
          <w:lang w:val="es-MX"/>
        </w:rPr>
        <w:t>do</w:t>
      </w:r>
      <w:r w:rsidRPr="00B12A37">
        <w:rPr>
          <w:rFonts w:cs="Tahoma"/>
          <w:szCs w:val="20"/>
          <w:lang w:val="es-MX"/>
        </w:rPr>
        <w:t xml:space="preserve"> </w:t>
      </w:r>
      <w:r w:rsidR="00915897">
        <w:rPr>
          <w:rFonts w:cs="Tahoma"/>
          <w:szCs w:val="20"/>
          <w:lang w:val="es-MX"/>
        </w:rPr>
        <w:t xml:space="preserve">por otros supuestos hechos </w:t>
      </w:r>
      <w:r w:rsidRPr="00B12A37">
        <w:rPr>
          <w:rFonts w:cs="Tahoma"/>
          <w:szCs w:val="20"/>
          <w:lang w:val="es-MX"/>
        </w:rPr>
        <w:t xml:space="preserve">en el fuero </w:t>
      </w:r>
      <w:r>
        <w:rPr>
          <w:rFonts w:cs="Tahoma"/>
          <w:szCs w:val="20"/>
          <w:lang w:val="es-MX"/>
        </w:rPr>
        <w:t xml:space="preserve">penal </w:t>
      </w:r>
      <w:r w:rsidRPr="00B12A37">
        <w:rPr>
          <w:rFonts w:cs="Tahoma"/>
          <w:szCs w:val="20"/>
          <w:lang w:val="es-MX"/>
        </w:rPr>
        <w:t>ordinario por el delito de colaboración con el terrorismo</w:t>
      </w:r>
      <w:r w:rsidR="00BF0F48">
        <w:rPr>
          <w:rFonts w:cs="Tahoma"/>
          <w:szCs w:val="20"/>
          <w:lang w:val="es-MX"/>
        </w:rPr>
        <w:t xml:space="preserve"> por la supuesta realización de actos médicos a favor de miembros del grupo terrorista Sendero Luminoso</w:t>
      </w:r>
      <w:r w:rsidRPr="00B12A37">
        <w:rPr>
          <w:rFonts w:cs="Tahoma"/>
          <w:szCs w:val="20"/>
          <w:lang w:val="es-MX"/>
        </w:rPr>
        <w:t xml:space="preserve">. </w:t>
      </w:r>
    </w:p>
    <w:p w:rsidR="00534C4C" w:rsidRDefault="00534C4C" w:rsidP="00943B9C">
      <w:pPr>
        <w:contextualSpacing/>
        <w:rPr>
          <w:lang w:val="es-CR"/>
        </w:rPr>
      </w:pPr>
    </w:p>
    <w:p w:rsidR="00EA0716" w:rsidRPr="00EA0716" w:rsidRDefault="00EA0716" w:rsidP="00943B9C">
      <w:pPr>
        <w:contextualSpacing/>
        <w:rPr>
          <w:b/>
          <w:lang w:val="es-CR"/>
        </w:rPr>
      </w:pPr>
      <w:r w:rsidRPr="00EA0716">
        <w:rPr>
          <w:b/>
          <w:lang w:val="es-CR"/>
        </w:rPr>
        <w:tab/>
        <w:t>I.</w:t>
      </w:r>
      <w:r w:rsidRPr="00EA0716">
        <w:rPr>
          <w:b/>
          <w:lang w:val="es-CR"/>
        </w:rPr>
        <w:tab/>
        <w:t>Hechos</w:t>
      </w:r>
    </w:p>
    <w:p w:rsidR="00EA0716" w:rsidRDefault="00EA0716" w:rsidP="00943B9C">
      <w:pPr>
        <w:contextualSpacing/>
        <w:rPr>
          <w:lang w:val="es-CR"/>
        </w:rPr>
      </w:pPr>
    </w:p>
    <w:p w:rsidR="00392020" w:rsidRDefault="00512273" w:rsidP="00C664AB">
      <w:pPr>
        <w:suppressAutoHyphens/>
        <w:contextualSpacing/>
        <w:rPr>
          <w:szCs w:val="20"/>
          <w:lang w:val="es-MX"/>
        </w:rPr>
      </w:pPr>
      <w:r w:rsidRPr="00B12A37">
        <w:rPr>
          <w:rFonts w:cs="Tahoma"/>
          <w:szCs w:val="20"/>
          <w:lang w:val="es-MX"/>
        </w:rPr>
        <w:t>El 4 de noviembre de 1992 el señor Pollo Rivera fue detenido</w:t>
      </w:r>
      <w:r>
        <w:rPr>
          <w:rFonts w:cs="Tahoma"/>
          <w:szCs w:val="20"/>
          <w:lang w:val="es-MX"/>
        </w:rPr>
        <w:t xml:space="preserve"> sin orden judicial</w:t>
      </w:r>
      <w:r w:rsidRPr="00B12A37">
        <w:rPr>
          <w:rFonts w:cs="Tahoma"/>
          <w:szCs w:val="20"/>
          <w:lang w:val="es-MX"/>
        </w:rPr>
        <w:t xml:space="preserve"> por </w:t>
      </w:r>
      <w:r>
        <w:rPr>
          <w:rFonts w:cs="Tahoma"/>
          <w:szCs w:val="20"/>
          <w:lang w:val="es-MX"/>
        </w:rPr>
        <w:t>agentes</w:t>
      </w:r>
      <w:r w:rsidRPr="00B12A37">
        <w:rPr>
          <w:rFonts w:cs="Tahoma"/>
          <w:szCs w:val="20"/>
          <w:lang w:val="es-MX"/>
        </w:rPr>
        <w:t xml:space="preserve"> de la DINCOTE, en </w:t>
      </w:r>
      <w:r>
        <w:rPr>
          <w:rFonts w:cs="Tahoma"/>
          <w:szCs w:val="20"/>
          <w:lang w:val="es-MX"/>
        </w:rPr>
        <w:t>su</w:t>
      </w:r>
      <w:r w:rsidRPr="00B12A37">
        <w:rPr>
          <w:rFonts w:cs="Tahoma"/>
          <w:szCs w:val="20"/>
          <w:lang w:val="es-MX"/>
        </w:rPr>
        <w:t xml:space="preserve"> consultorio </w:t>
      </w:r>
      <w:r>
        <w:rPr>
          <w:rFonts w:cs="Tahoma"/>
          <w:szCs w:val="20"/>
          <w:lang w:val="es-MX"/>
        </w:rPr>
        <w:t xml:space="preserve">privado </w:t>
      </w:r>
      <w:r w:rsidRPr="00B12A37">
        <w:rPr>
          <w:rFonts w:cs="Tahoma"/>
          <w:szCs w:val="20"/>
          <w:lang w:val="es-MX"/>
        </w:rPr>
        <w:t xml:space="preserve">en Lima. </w:t>
      </w:r>
      <w:r w:rsidR="00392020">
        <w:rPr>
          <w:szCs w:val="20"/>
          <w:lang w:val="es-MX"/>
        </w:rPr>
        <w:t xml:space="preserve">Mediante un atestado policial </w:t>
      </w:r>
      <w:r w:rsidR="00392020" w:rsidRPr="00B12A37">
        <w:rPr>
          <w:szCs w:val="20"/>
          <w:lang w:val="es-MX"/>
        </w:rPr>
        <w:t>de 6 de noviembre de 1992,</w:t>
      </w:r>
      <w:r w:rsidR="00392020">
        <w:rPr>
          <w:szCs w:val="20"/>
          <w:lang w:val="es-MX"/>
        </w:rPr>
        <w:t xml:space="preserve"> y con base en la declaración de una persona acusada de terrorismo que </w:t>
      </w:r>
      <w:r w:rsidR="00392020">
        <w:rPr>
          <w:szCs w:val="20"/>
          <w:lang w:val="es-MX"/>
        </w:rPr>
        <w:lastRenderedPageBreak/>
        <w:t>lo señaló como el médico que le había amputado una pierna luego de un atentado,</w:t>
      </w:r>
      <w:r w:rsidR="00392020" w:rsidRPr="00B12A37">
        <w:rPr>
          <w:szCs w:val="20"/>
          <w:lang w:val="es-MX"/>
        </w:rPr>
        <w:t xml:space="preserve"> </w:t>
      </w:r>
      <w:r w:rsidR="00392020">
        <w:rPr>
          <w:szCs w:val="20"/>
          <w:lang w:val="es-MX"/>
        </w:rPr>
        <w:t xml:space="preserve">la </w:t>
      </w:r>
      <w:r w:rsidR="00392020" w:rsidRPr="00B12A37">
        <w:rPr>
          <w:szCs w:val="20"/>
          <w:lang w:val="es-MX"/>
        </w:rPr>
        <w:t xml:space="preserve">DINCOTE imputó el delito de traición a la patria </w:t>
      </w:r>
      <w:r w:rsidR="00392020">
        <w:rPr>
          <w:szCs w:val="20"/>
          <w:lang w:val="es-MX"/>
        </w:rPr>
        <w:t xml:space="preserve">al señor Pollo Rivera. </w:t>
      </w:r>
    </w:p>
    <w:p w:rsidR="00392020" w:rsidRDefault="00392020" w:rsidP="00392020">
      <w:pPr>
        <w:suppressAutoHyphens/>
        <w:contextualSpacing/>
        <w:rPr>
          <w:szCs w:val="20"/>
          <w:lang w:val="es-MX"/>
        </w:rPr>
      </w:pPr>
    </w:p>
    <w:p w:rsidR="00392020" w:rsidRDefault="00392020" w:rsidP="00392020">
      <w:pPr>
        <w:suppressAutoHyphens/>
        <w:contextualSpacing/>
        <w:rPr>
          <w:szCs w:val="20"/>
          <w:lang w:val="es-MX"/>
        </w:rPr>
      </w:pPr>
      <w:r>
        <w:rPr>
          <w:szCs w:val="20"/>
          <w:lang w:val="es-MX"/>
        </w:rPr>
        <w:t>E</w:t>
      </w:r>
      <w:r w:rsidRPr="00B12A37">
        <w:rPr>
          <w:szCs w:val="20"/>
          <w:lang w:val="es-MX"/>
        </w:rPr>
        <w:t xml:space="preserve">ntre el </w:t>
      </w:r>
      <w:r>
        <w:rPr>
          <w:szCs w:val="20"/>
          <w:lang w:val="es-MX"/>
        </w:rPr>
        <w:t xml:space="preserve">4 y </w:t>
      </w:r>
      <w:r w:rsidRPr="00B12A37">
        <w:rPr>
          <w:szCs w:val="20"/>
          <w:lang w:val="es-MX"/>
        </w:rPr>
        <w:t>7 de noviembre siguiente</w:t>
      </w:r>
      <w:r>
        <w:rPr>
          <w:szCs w:val="20"/>
          <w:lang w:val="es-MX"/>
        </w:rPr>
        <w:t xml:space="preserve">, el señor Pollo Rivera </w:t>
      </w:r>
      <w:r w:rsidRPr="00B12A37">
        <w:rPr>
          <w:szCs w:val="20"/>
          <w:lang w:val="es-MX"/>
        </w:rPr>
        <w:t>fue objeto de actos de violencia por parte de funcionarios de la DINCOTE</w:t>
      </w:r>
      <w:r>
        <w:rPr>
          <w:szCs w:val="20"/>
          <w:lang w:val="es-MX"/>
        </w:rPr>
        <w:t xml:space="preserve"> </w:t>
      </w:r>
      <w:r w:rsidR="00915897">
        <w:rPr>
          <w:szCs w:val="20"/>
          <w:lang w:val="es-MX"/>
        </w:rPr>
        <w:t xml:space="preserve">y </w:t>
      </w:r>
      <w:r w:rsidR="005D0E3A">
        <w:rPr>
          <w:szCs w:val="20"/>
          <w:lang w:val="es-MX"/>
        </w:rPr>
        <w:t xml:space="preserve">fue </w:t>
      </w:r>
      <w:r w:rsidR="005D0E3A" w:rsidRPr="00B12A37">
        <w:rPr>
          <w:szCs w:val="20"/>
          <w:lang w:val="es-MX"/>
        </w:rPr>
        <w:t xml:space="preserve">expuesto </w:t>
      </w:r>
      <w:r w:rsidR="005D0E3A">
        <w:rPr>
          <w:szCs w:val="20"/>
          <w:lang w:val="es-MX"/>
        </w:rPr>
        <w:t xml:space="preserve">con un traje a rayas </w:t>
      </w:r>
      <w:r w:rsidR="005D0E3A" w:rsidRPr="00B12A37">
        <w:rPr>
          <w:szCs w:val="20"/>
          <w:lang w:val="es-MX"/>
        </w:rPr>
        <w:t>a</w:t>
      </w:r>
      <w:r w:rsidR="005D0E3A">
        <w:rPr>
          <w:szCs w:val="20"/>
          <w:lang w:val="es-MX"/>
        </w:rPr>
        <w:t>nte</w:t>
      </w:r>
      <w:r w:rsidR="005D0E3A" w:rsidRPr="00B12A37">
        <w:rPr>
          <w:szCs w:val="20"/>
          <w:lang w:val="es-MX"/>
        </w:rPr>
        <w:t xml:space="preserve"> los medios de comunicación </w:t>
      </w:r>
      <w:r w:rsidR="005D0E3A">
        <w:rPr>
          <w:szCs w:val="20"/>
          <w:lang w:val="es-MX"/>
        </w:rPr>
        <w:t xml:space="preserve">como </w:t>
      </w:r>
      <w:r w:rsidR="00915897">
        <w:rPr>
          <w:szCs w:val="20"/>
          <w:lang w:val="es-MX"/>
        </w:rPr>
        <w:t xml:space="preserve">médico personal del </w:t>
      </w:r>
      <w:r w:rsidR="005D0E3A" w:rsidRPr="00B12A37">
        <w:rPr>
          <w:szCs w:val="20"/>
          <w:lang w:val="es-MX"/>
        </w:rPr>
        <w:t>cabecilla de Sendero Luminoso</w:t>
      </w:r>
      <w:r w:rsidR="00915897">
        <w:rPr>
          <w:szCs w:val="20"/>
          <w:lang w:val="es-MX"/>
        </w:rPr>
        <w:t xml:space="preserve">. </w:t>
      </w:r>
      <w:r w:rsidR="00915897" w:rsidRPr="00B12A37">
        <w:rPr>
          <w:rFonts w:cs="Tahoma"/>
          <w:szCs w:val="20"/>
          <w:lang w:val="es-MX"/>
        </w:rPr>
        <w:t xml:space="preserve">A pesar de que el Estado tuvo conocimiento de </w:t>
      </w:r>
      <w:r w:rsidR="00915897">
        <w:rPr>
          <w:rFonts w:cs="Tahoma"/>
          <w:szCs w:val="20"/>
          <w:lang w:val="es-MX"/>
        </w:rPr>
        <w:t>esos</w:t>
      </w:r>
      <w:r w:rsidR="00915897" w:rsidRPr="00B12A37">
        <w:rPr>
          <w:rFonts w:cs="Tahoma"/>
          <w:szCs w:val="20"/>
          <w:lang w:val="es-MX"/>
        </w:rPr>
        <w:t xml:space="preserve"> actos, no fue sino a partir de</w:t>
      </w:r>
      <w:r w:rsidR="00915897" w:rsidRPr="00B12A37">
        <w:rPr>
          <w:rFonts w:cs="Tahoma"/>
          <w:b/>
          <w:szCs w:val="20"/>
          <w:lang w:val="es-MX"/>
        </w:rPr>
        <w:t xml:space="preserve"> </w:t>
      </w:r>
      <w:r w:rsidR="00915897" w:rsidRPr="00B12A37">
        <w:rPr>
          <w:rFonts w:cs="Tahoma"/>
          <w:szCs w:val="20"/>
          <w:lang w:val="es-MX"/>
        </w:rPr>
        <w:t xml:space="preserve">enero de 2015 </w:t>
      </w:r>
      <w:r w:rsidR="00915897">
        <w:rPr>
          <w:rFonts w:cs="Tahoma"/>
          <w:szCs w:val="20"/>
          <w:lang w:val="es-MX"/>
        </w:rPr>
        <w:t>que</w:t>
      </w:r>
      <w:r w:rsidR="00915897" w:rsidRPr="00B12A37">
        <w:rPr>
          <w:rFonts w:cs="Tahoma"/>
          <w:szCs w:val="20"/>
          <w:lang w:val="es-MX"/>
        </w:rPr>
        <w:t xml:space="preserve"> la Tercera Fiscalía Penal </w:t>
      </w:r>
      <w:proofErr w:type="spellStart"/>
      <w:r w:rsidR="00915897" w:rsidRPr="00B12A37">
        <w:rPr>
          <w:rFonts w:cs="Tahoma"/>
          <w:szCs w:val="20"/>
          <w:lang w:val="es-MX"/>
        </w:rPr>
        <w:t>Supraprovincial</w:t>
      </w:r>
      <w:proofErr w:type="spellEnd"/>
      <w:r w:rsidR="00915897" w:rsidRPr="00B12A37">
        <w:rPr>
          <w:rFonts w:cs="Tahoma"/>
          <w:szCs w:val="20"/>
          <w:lang w:val="es-MX"/>
        </w:rPr>
        <w:t xml:space="preserve"> dispuso abrir investigación preliminar </w:t>
      </w:r>
      <w:r w:rsidR="00915897">
        <w:rPr>
          <w:rFonts w:cs="Tahoma"/>
          <w:szCs w:val="20"/>
          <w:lang w:val="es-MX"/>
        </w:rPr>
        <w:t>al respecto.</w:t>
      </w:r>
      <w:r w:rsidR="003346AD">
        <w:rPr>
          <w:rFonts w:cs="Tahoma"/>
          <w:szCs w:val="20"/>
          <w:lang w:val="es-MX"/>
        </w:rPr>
        <w:t xml:space="preserve"> </w:t>
      </w:r>
      <w:r w:rsidR="003346AD">
        <w:rPr>
          <w:spacing w:val="-2"/>
          <w:szCs w:val="20"/>
          <w:lang w:val="es-MX"/>
        </w:rPr>
        <w:t>Además, fue exhibido</w:t>
      </w:r>
      <w:r w:rsidR="003346AD" w:rsidRPr="00B12A37">
        <w:rPr>
          <w:spacing w:val="-2"/>
          <w:szCs w:val="20"/>
          <w:lang w:val="es-MX"/>
        </w:rPr>
        <w:t xml:space="preserve"> ante la prensa por parte de </w:t>
      </w:r>
      <w:r w:rsidR="003346AD">
        <w:rPr>
          <w:spacing w:val="-2"/>
          <w:szCs w:val="20"/>
          <w:lang w:val="es-MX"/>
        </w:rPr>
        <w:t xml:space="preserve">agentes </w:t>
      </w:r>
      <w:r w:rsidR="003346AD" w:rsidRPr="00B12A37">
        <w:rPr>
          <w:spacing w:val="-2"/>
          <w:szCs w:val="20"/>
          <w:lang w:val="es-MX"/>
        </w:rPr>
        <w:t xml:space="preserve">de la DINCOTE, </w:t>
      </w:r>
      <w:r w:rsidR="003346AD">
        <w:rPr>
          <w:szCs w:val="20"/>
          <w:lang w:val="es-MX" w:eastAsia="es-ES"/>
        </w:rPr>
        <w:t>esposado y</w:t>
      </w:r>
      <w:r w:rsidR="003346AD" w:rsidRPr="00B12A37">
        <w:rPr>
          <w:szCs w:val="20"/>
          <w:lang w:val="es-MX" w:eastAsia="es-ES"/>
        </w:rPr>
        <w:t xml:space="preserve"> con un traje a rayas</w:t>
      </w:r>
      <w:r w:rsidR="003346AD">
        <w:rPr>
          <w:szCs w:val="20"/>
          <w:lang w:val="es-MX" w:eastAsia="es-ES"/>
        </w:rPr>
        <w:t>,</w:t>
      </w:r>
      <w:r w:rsidR="003346AD" w:rsidRPr="00B12A37">
        <w:rPr>
          <w:spacing w:val="-2"/>
          <w:szCs w:val="20"/>
          <w:lang w:val="es-MX"/>
        </w:rPr>
        <w:t xml:space="preserve"> señalado como </w:t>
      </w:r>
      <w:r w:rsidR="003346AD" w:rsidRPr="00B12A37">
        <w:rPr>
          <w:szCs w:val="20"/>
          <w:lang w:val="es-MX" w:eastAsia="es-ES"/>
        </w:rPr>
        <w:t xml:space="preserve">médico personal del cabecilla de </w:t>
      </w:r>
      <w:r w:rsidR="003346AD" w:rsidRPr="00B12A37">
        <w:rPr>
          <w:spacing w:val="-2"/>
          <w:szCs w:val="20"/>
          <w:lang w:val="es-MX"/>
        </w:rPr>
        <w:t>Sendero Luminoso</w:t>
      </w:r>
      <w:r w:rsidR="003346AD">
        <w:rPr>
          <w:spacing w:val="-2"/>
          <w:szCs w:val="20"/>
          <w:lang w:val="es-MX"/>
        </w:rPr>
        <w:t>.</w:t>
      </w:r>
    </w:p>
    <w:p w:rsidR="00392020" w:rsidRDefault="00392020" w:rsidP="00392020">
      <w:pPr>
        <w:suppressAutoHyphens/>
        <w:contextualSpacing/>
        <w:rPr>
          <w:szCs w:val="20"/>
          <w:lang w:val="es-MX"/>
        </w:rPr>
      </w:pPr>
    </w:p>
    <w:p w:rsidR="00392020" w:rsidRDefault="00392020" w:rsidP="00392020">
      <w:pPr>
        <w:suppressAutoHyphens/>
        <w:contextualSpacing/>
        <w:rPr>
          <w:szCs w:val="20"/>
          <w:lang w:val="es-MX"/>
        </w:rPr>
      </w:pPr>
      <w:r w:rsidRPr="00B12A37">
        <w:rPr>
          <w:szCs w:val="20"/>
          <w:lang w:val="es-MX"/>
        </w:rPr>
        <w:t>Luego de permanecer en la DINCOTE, el 7 de noviembre de 1992 el señor Pollo Rivera fue llevado a un cuartel de la Fuerza Aérea del Perú</w:t>
      </w:r>
      <w:r w:rsidRPr="00B12A37">
        <w:rPr>
          <w:lang w:val="es-MX"/>
        </w:rPr>
        <w:t xml:space="preserve"> </w:t>
      </w:r>
      <w:r w:rsidRPr="00B12A37">
        <w:rPr>
          <w:szCs w:val="20"/>
          <w:lang w:val="es-MX"/>
        </w:rPr>
        <w:t>en Las Palmas.</w:t>
      </w:r>
      <w:r w:rsidR="005D0E3A">
        <w:rPr>
          <w:szCs w:val="20"/>
          <w:lang w:val="es-MX"/>
        </w:rPr>
        <w:t xml:space="preserve"> </w:t>
      </w:r>
      <w:r w:rsidR="005D0E3A" w:rsidRPr="00B12A37">
        <w:rPr>
          <w:szCs w:val="20"/>
          <w:lang w:val="es-MX"/>
        </w:rPr>
        <w:t xml:space="preserve">Posteriormente fue recluido en los Penales de Máxima Seguridad Miguel Castro </w:t>
      </w:r>
      <w:proofErr w:type="spellStart"/>
      <w:r w:rsidR="005D0E3A" w:rsidRPr="00B12A37">
        <w:rPr>
          <w:szCs w:val="20"/>
          <w:lang w:val="es-MX"/>
        </w:rPr>
        <w:t>Castro</w:t>
      </w:r>
      <w:proofErr w:type="spellEnd"/>
      <w:r w:rsidR="005D0E3A" w:rsidRPr="00B12A37">
        <w:rPr>
          <w:szCs w:val="20"/>
          <w:lang w:val="es-MX"/>
        </w:rPr>
        <w:t xml:space="preserve">, Canto Grande y </w:t>
      </w:r>
      <w:proofErr w:type="spellStart"/>
      <w:r w:rsidR="005D0E3A" w:rsidRPr="00B12A37">
        <w:rPr>
          <w:szCs w:val="20"/>
          <w:lang w:val="es-MX"/>
        </w:rPr>
        <w:t>Yanamayo</w:t>
      </w:r>
      <w:proofErr w:type="spellEnd"/>
      <w:r w:rsidR="005D0E3A" w:rsidRPr="00B12A37">
        <w:rPr>
          <w:szCs w:val="20"/>
          <w:lang w:val="es-MX"/>
        </w:rPr>
        <w:t>, en el Departamento de Puno.</w:t>
      </w:r>
      <w:r w:rsidR="005D0E3A">
        <w:rPr>
          <w:szCs w:val="20"/>
          <w:lang w:val="es-MX"/>
        </w:rPr>
        <w:t xml:space="preserve"> Señaló que fue </w:t>
      </w:r>
      <w:r w:rsidR="005D0E3A" w:rsidRPr="00B12A37">
        <w:rPr>
          <w:szCs w:val="20"/>
          <w:lang w:val="es-MX"/>
        </w:rPr>
        <w:t>recluido en condiciones deplorables</w:t>
      </w:r>
      <w:r w:rsidR="005D0E3A">
        <w:rPr>
          <w:szCs w:val="20"/>
          <w:lang w:val="es-MX"/>
        </w:rPr>
        <w:t>.</w:t>
      </w:r>
    </w:p>
    <w:p w:rsidR="00392020" w:rsidRDefault="00392020" w:rsidP="00C664AB">
      <w:pPr>
        <w:suppressAutoHyphens/>
        <w:contextualSpacing/>
        <w:rPr>
          <w:szCs w:val="20"/>
          <w:lang w:val="es-MX"/>
        </w:rPr>
      </w:pPr>
    </w:p>
    <w:p w:rsidR="00EA0716" w:rsidRDefault="00392020" w:rsidP="00C664AB">
      <w:pPr>
        <w:suppressAutoHyphens/>
        <w:contextualSpacing/>
        <w:rPr>
          <w:szCs w:val="20"/>
          <w:lang w:val="es-MX"/>
        </w:rPr>
      </w:pPr>
      <w:r>
        <w:rPr>
          <w:szCs w:val="20"/>
          <w:lang w:val="es-MX"/>
        </w:rPr>
        <w:t>T</w:t>
      </w:r>
      <w:r w:rsidRPr="00B12A37">
        <w:rPr>
          <w:szCs w:val="20"/>
          <w:lang w:val="es-MX"/>
        </w:rPr>
        <w:t>erminada la etapa de investigación policial, el señor Pollo Rivera fue sometido a un proceso penal sumario ante el fuero militar</w:t>
      </w:r>
      <w:r>
        <w:rPr>
          <w:szCs w:val="20"/>
          <w:lang w:val="es-MX"/>
        </w:rPr>
        <w:t xml:space="preserve">. </w:t>
      </w:r>
      <w:r w:rsidRPr="00B12A37">
        <w:rPr>
          <w:szCs w:val="20"/>
          <w:lang w:val="es-MX"/>
        </w:rPr>
        <w:t>El 27 de diciembre 1992 fue condenado</w:t>
      </w:r>
      <w:r w:rsidR="00AA4738">
        <w:rPr>
          <w:szCs w:val="20"/>
          <w:lang w:val="es-MX"/>
        </w:rPr>
        <w:t xml:space="preserve"> </w:t>
      </w:r>
      <w:r w:rsidRPr="00B12A37">
        <w:rPr>
          <w:szCs w:val="20"/>
          <w:lang w:val="es-MX"/>
        </w:rPr>
        <w:t>a cadena perpetua por el Juzgado Militar Especial de la Zona Judicial de la Fuerza Aérea del Perú como autor del delito de traición a la patria</w:t>
      </w:r>
      <w:r>
        <w:rPr>
          <w:szCs w:val="20"/>
          <w:lang w:val="es-MX"/>
        </w:rPr>
        <w:t xml:space="preserve">. </w:t>
      </w:r>
      <w:r w:rsidRPr="00B12A37">
        <w:rPr>
          <w:szCs w:val="20"/>
          <w:lang w:val="es-MX"/>
        </w:rPr>
        <w:t>El 12 de febrero de 1993 el Tribunal Militar Superior Especial de la Fuerza Aérea del Perú mantuvo la condena</w:t>
      </w:r>
      <w:r>
        <w:rPr>
          <w:szCs w:val="20"/>
          <w:lang w:val="es-MX"/>
        </w:rPr>
        <w:t xml:space="preserve">. </w:t>
      </w:r>
      <w:r w:rsidRPr="00B12A37">
        <w:rPr>
          <w:szCs w:val="20"/>
          <w:lang w:val="es-MX"/>
        </w:rPr>
        <w:t>Ambas decisiones fueron dictadas por jueces con identidad reservada (o jueces “sin rostro”)</w:t>
      </w:r>
      <w:r>
        <w:rPr>
          <w:szCs w:val="20"/>
          <w:lang w:val="es-MX"/>
        </w:rPr>
        <w:t xml:space="preserve">. </w:t>
      </w:r>
      <w:r w:rsidR="00AA4738">
        <w:rPr>
          <w:szCs w:val="20"/>
          <w:lang w:val="es-MX"/>
        </w:rPr>
        <w:t xml:space="preserve">Ante un </w:t>
      </w:r>
      <w:r w:rsidR="00AA4738" w:rsidRPr="00B12A37">
        <w:rPr>
          <w:szCs w:val="20"/>
          <w:lang w:val="es-MX"/>
        </w:rPr>
        <w:t xml:space="preserve">recurso </w:t>
      </w:r>
      <w:r w:rsidR="00AA4738">
        <w:rPr>
          <w:szCs w:val="20"/>
          <w:lang w:val="es-MX"/>
        </w:rPr>
        <w:t>de revisión interpuesto por el señor Pollo Rivera, e</w:t>
      </w:r>
      <w:r w:rsidRPr="00B12A37">
        <w:rPr>
          <w:szCs w:val="20"/>
          <w:lang w:val="es-MX"/>
        </w:rPr>
        <w:t xml:space="preserve">l 22 de junio de 1993 el Tribunal Especial del Consejo Supremo de Justicia Militar se inhibió de </w:t>
      </w:r>
      <w:r w:rsidR="00AA4738">
        <w:rPr>
          <w:szCs w:val="20"/>
          <w:lang w:val="es-MX"/>
        </w:rPr>
        <w:t xml:space="preserve">conocer </w:t>
      </w:r>
      <w:r w:rsidRPr="00B12A37">
        <w:rPr>
          <w:szCs w:val="20"/>
          <w:lang w:val="es-MX"/>
        </w:rPr>
        <w:t>la causa, declinó competencia y remitió los actuados al fuero ordinario</w:t>
      </w:r>
      <w:r>
        <w:rPr>
          <w:szCs w:val="20"/>
          <w:lang w:val="es-MX"/>
        </w:rPr>
        <w:t>.</w:t>
      </w:r>
    </w:p>
    <w:p w:rsidR="00512273" w:rsidRDefault="00512273" w:rsidP="00C664AB">
      <w:pPr>
        <w:suppressAutoHyphens/>
        <w:contextualSpacing/>
        <w:rPr>
          <w:szCs w:val="20"/>
          <w:lang w:val="es-MX"/>
        </w:rPr>
      </w:pPr>
    </w:p>
    <w:p w:rsidR="00512273" w:rsidRDefault="00392020" w:rsidP="00C664AB">
      <w:pPr>
        <w:suppressAutoHyphens/>
        <w:contextualSpacing/>
        <w:rPr>
          <w:szCs w:val="20"/>
          <w:lang w:val="es-MX"/>
        </w:rPr>
      </w:pPr>
      <w:r w:rsidRPr="00B12A37">
        <w:rPr>
          <w:szCs w:val="20"/>
          <w:lang w:val="es-MX"/>
        </w:rPr>
        <w:t xml:space="preserve">El 22 de septiembre de 1993 </w:t>
      </w:r>
      <w:r>
        <w:rPr>
          <w:szCs w:val="20"/>
          <w:lang w:val="es-MX"/>
        </w:rPr>
        <w:t xml:space="preserve">la </w:t>
      </w:r>
      <w:r w:rsidRPr="00B12A37">
        <w:rPr>
          <w:szCs w:val="20"/>
          <w:lang w:val="es-MX"/>
        </w:rPr>
        <w:t>Fiscalía Provincial Especial de Terrorismo presentó denuncia penal, acusándolo por el delito de colaboración con el terrorismo</w:t>
      </w:r>
      <w:r>
        <w:rPr>
          <w:szCs w:val="20"/>
          <w:lang w:val="es-MX"/>
        </w:rPr>
        <w:t xml:space="preserve">. </w:t>
      </w:r>
      <w:r w:rsidRPr="00B12A37">
        <w:rPr>
          <w:szCs w:val="20"/>
          <w:lang w:val="es-MX"/>
        </w:rPr>
        <w:t xml:space="preserve">El 24 de septiembre de 1993 </w:t>
      </w:r>
      <w:r w:rsidR="005313DA">
        <w:rPr>
          <w:szCs w:val="20"/>
          <w:lang w:val="es-MX"/>
        </w:rPr>
        <w:t>un juzgado dictó auto de apertura de</w:t>
      </w:r>
      <w:r w:rsidRPr="00B12A37">
        <w:rPr>
          <w:szCs w:val="20"/>
          <w:lang w:val="es-MX"/>
        </w:rPr>
        <w:t xml:space="preserve"> instrucción y mantuvo su detención preventiva</w:t>
      </w:r>
      <w:r>
        <w:rPr>
          <w:szCs w:val="20"/>
          <w:lang w:val="es-MX"/>
        </w:rPr>
        <w:t xml:space="preserve">. </w:t>
      </w:r>
      <w:r w:rsidRPr="00B12A37">
        <w:rPr>
          <w:szCs w:val="20"/>
          <w:lang w:val="es-MX"/>
        </w:rPr>
        <w:t xml:space="preserve">El 7 de noviembre de 1994 la Sala Penal Especial para Casos de Terrorismo de la Corte Superior de Justicia de Lima, conformada por jueces “sin rostro”, </w:t>
      </w:r>
      <w:r w:rsidR="005313DA">
        <w:rPr>
          <w:szCs w:val="20"/>
          <w:lang w:val="es-MX"/>
        </w:rPr>
        <w:t>absolvió</w:t>
      </w:r>
      <w:r w:rsidRPr="00B12A37">
        <w:rPr>
          <w:szCs w:val="20"/>
          <w:lang w:val="es-MX"/>
        </w:rPr>
        <w:t xml:space="preserve"> al señor Pollo Rivera y </w:t>
      </w:r>
      <w:r w:rsidR="005313DA">
        <w:rPr>
          <w:szCs w:val="20"/>
          <w:lang w:val="es-MX"/>
        </w:rPr>
        <w:t>ordenó</w:t>
      </w:r>
      <w:r w:rsidRPr="00B12A37">
        <w:rPr>
          <w:szCs w:val="20"/>
          <w:lang w:val="es-MX"/>
        </w:rPr>
        <w:t xml:space="preserve"> su libertad</w:t>
      </w:r>
      <w:r>
        <w:rPr>
          <w:szCs w:val="20"/>
          <w:lang w:val="es-MX"/>
        </w:rPr>
        <w:t>.</w:t>
      </w:r>
    </w:p>
    <w:p w:rsidR="00512273" w:rsidRDefault="00512273" w:rsidP="00C664AB">
      <w:pPr>
        <w:suppressAutoHyphens/>
        <w:contextualSpacing/>
        <w:rPr>
          <w:szCs w:val="20"/>
          <w:lang w:val="es-MX"/>
        </w:rPr>
      </w:pPr>
    </w:p>
    <w:p w:rsidR="005D0E3A" w:rsidRDefault="00AA4738" w:rsidP="00C664AB">
      <w:pPr>
        <w:suppressAutoHyphens/>
        <w:contextualSpacing/>
        <w:rPr>
          <w:szCs w:val="20"/>
          <w:lang w:val="es-MX"/>
        </w:rPr>
      </w:pPr>
      <w:r>
        <w:rPr>
          <w:szCs w:val="20"/>
          <w:lang w:val="es-MX"/>
        </w:rPr>
        <w:t>Paralelamente a ese</w:t>
      </w:r>
      <w:r w:rsidR="00392020" w:rsidRPr="00B12A37">
        <w:rPr>
          <w:szCs w:val="20"/>
          <w:lang w:val="es-MX"/>
        </w:rPr>
        <w:t xml:space="preserve"> primer proceso penal, varias personas rindieron declaraciones ante agentes de la DINCOTE entre agosto y diciembre de 1995, en el marco de otras investigaciones o procesos por delitos terrorismo y traición a la patria, en que habrían señalado que aquél brindó atención médica a presuntos integrantes de Sendero Luminoso</w:t>
      </w:r>
      <w:r w:rsidR="005D0E3A">
        <w:rPr>
          <w:szCs w:val="20"/>
          <w:lang w:val="es-MX"/>
        </w:rPr>
        <w:t xml:space="preserve">. En </w:t>
      </w:r>
      <w:r w:rsidR="005D0E3A" w:rsidRPr="00B12A37">
        <w:rPr>
          <w:szCs w:val="20"/>
          <w:lang w:val="es-MX"/>
        </w:rPr>
        <w:t>noviembre de 1996 la Sala Penal Corporativa Nacional para Casos de Terrorismo dispuso la remisión de piezas pertinentes al Fiscal Provincial a efectos</w:t>
      </w:r>
      <w:r w:rsidR="005D0E3A">
        <w:rPr>
          <w:szCs w:val="20"/>
          <w:lang w:val="es-MX"/>
        </w:rPr>
        <w:t xml:space="preserve"> de que formalizara</w:t>
      </w:r>
      <w:r w:rsidR="005D0E3A" w:rsidRPr="00B12A37">
        <w:rPr>
          <w:szCs w:val="20"/>
          <w:lang w:val="es-MX"/>
        </w:rPr>
        <w:t xml:space="preserve"> denuncia penal </w:t>
      </w:r>
      <w:r w:rsidR="005D0E3A">
        <w:rPr>
          <w:szCs w:val="20"/>
          <w:lang w:val="es-MX"/>
        </w:rPr>
        <w:t>en su contra.</w:t>
      </w:r>
    </w:p>
    <w:p w:rsidR="005D0E3A" w:rsidRDefault="005D0E3A" w:rsidP="00C664AB">
      <w:pPr>
        <w:suppressAutoHyphens/>
        <w:contextualSpacing/>
        <w:rPr>
          <w:szCs w:val="20"/>
          <w:lang w:val="es-MX"/>
        </w:rPr>
      </w:pPr>
    </w:p>
    <w:p w:rsidR="005D0E3A" w:rsidRDefault="005D0E3A" w:rsidP="00C664AB">
      <w:pPr>
        <w:suppressAutoHyphens/>
        <w:contextualSpacing/>
        <w:rPr>
          <w:szCs w:val="20"/>
          <w:lang w:val="es-MX"/>
        </w:rPr>
      </w:pPr>
      <w:r>
        <w:rPr>
          <w:szCs w:val="20"/>
          <w:lang w:val="es-MX"/>
        </w:rPr>
        <w:t>E</w:t>
      </w:r>
      <w:r w:rsidRPr="00B12A37">
        <w:rPr>
          <w:szCs w:val="20"/>
          <w:lang w:val="es-MX"/>
        </w:rPr>
        <w:t xml:space="preserve">l 26 de agosto de 2003 el señor Pollo Rivera fue detenido en su domicilio en la ciudad de Andahuaylas, departamento de </w:t>
      </w:r>
      <w:proofErr w:type="spellStart"/>
      <w:r w:rsidRPr="00B12A37">
        <w:rPr>
          <w:szCs w:val="20"/>
          <w:lang w:val="es-MX"/>
        </w:rPr>
        <w:t>Apurimac</w:t>
      </w:r>
      <w:proofErr w:type="spellEnd"/>
      <w:r w:rsidRPr="00B12A37">
        <w:rPr>
          <w:szCs w:val="20"/>
          <w:lang w:val="es-MX"/>
        </w:rPr>
        <w:t xml:space="preserve">, en cumplimiento del mandato expedido por </w:t>
      </w:r>
      <w:r>
        <w:rPr>
          <w:szCs w:val="20"/>
          <w:lang w:val="es-MX"/>
        </w:rPr>
        <w:t>un j</w:t>
      </w:r>
      <w:r w:rsidRPr="00B12A37">
        <w:rPr>
          <w:szCs w:val="20"/>
          <w:lang w:val="es-MX"/>
        </w:rPr>
        <w:t xml:space="preserve">uzgado </w:t>
      </w:r>
      <w:r>
        <w:rPr>
          <w:szCs w:val="20"/>
          <w:lang w:val="es-MX"/>
        </w:rPr>
        <w:t xml:space="preserve">penal </w:t>
      </w:r>
      <w:r w:rsidRPr="00B12A37">
        <w:rPr>
          <w:szCs w:val="20"/>
          <w:lang w:val="es-MX"/>
        </w:rPr>
        <w:t>en noviembre de 1999</w:t>
      </w:r>
      <w:r>
        <w:rPr>
          <w:szCs w:val="20"/>
          <w:lang w:val="es-MX"/>
        </w:rPr>
        <w:t xml:space="preserve">. El </w:t>
      </w:r>
      <w:r w:rsidRPr="00B12A37">
        <w:rPr>
          <w:szCs w:val="20"/>
          <w:lang w:val="es-MX"/>
        </w:rPr>
        <w:t xml:space="preserve">24 de febrero de 2004 la Sala Nacional de Terrorismo </w:t>
      </w:r>
      <w:r>
        <w:rPr>
          <w:szCs w:val="20"/>
          <w:lang w:val="es-MX"/>
        </w:rPr>
        <w:t xml:space="preserve">lo condenó </w:t>
      </w:r>
      <w:r w:rsidRPr="00B12A37">
        <w:rPr>
          <w:szCs w:val="20"/>
          <w:lang w:val="es-MX"/>
        </w:rPr>
        <w:t>como autor del Delito contra la Tranquilidad Pública- Terrorismo en la modalidad de Colaboración, en los términos del artículo 4 del Decreto Ley No. 25.475, imponiéndole 10 años de pena privativa de la libertad</w:t>
      </w:r>
      <w:r>
        <w:rPr>
          <w:szCs w:val="20"/>
          <w:lang w:val="es-MX"/>
        </w:rPr>
        <w:t>. Al resolver el recurso interpuesto, e</w:t>
      </w:r>
      <w:r w:rsidRPr="00B12A37">
        <w:rPr>
          <w:szCs w:val="20"/>
          <w:lang w:val="es-MX"/>
        </w:rPr>
        <w:t>l 22 de diciembre del 2004 la Sala Penal Permanente de la Corte Suprema de Justicia</w:t>
      </w:r>
      <w:r w:rsidRPr="005D0E3A">
        <w:rPr>
          <w:szCs w:val="20"/>
          <w:lang w:val="es-MX"/>
        </w:rPr>
        <w:t xml:space="preserve"> </w:t>
      </w:r>
      <w:r w:rsidRPr="00B12A37">
        <w:rPr>
          <w:szCs w:val="20"/>
          <w:lang w:val="es-MX"/>
        </w:rPr>
        <w:t>declaró, mediante Ejecutoria Suprema, no haber nulidad en la sentencia de la Sala Nacional de Terrorismo,</w:t>
      </w:r>
      <w:r>
        <w:rPr>
          <w:szCs w:val="20"/>
          <w:lang w:val="es-MX"/>
        </w:rPr>
        <w:t xml:space="preserve"> pero</w:t>
      </w:r>
      <w:r w:rsidRPr="00B12A37">
        <w:rPr>
          <w:szCs w:val="20"/>
          <w:lang w:val="es-MX"/>
        </w:rPr>
        <w:t xml:space="preserve"> </w:t>
      </w:r>
      <w:r>
        <w:rPr>
          <w:szCs w:val="20"/>
          <w:lang w:val="es-MX"/>
        </w:rPr>
        <w:t xml:space="preserve">la </w:t>
      </w:r>
      <w:r w:rsidRPr="00B12A37">
        <w:rPr>
          <w:szCs w:val="20"/>
          <w:lang w:val="es-MX"/>
        </w:rPr>
        <w:t xml:space="preserve">declaró nula </w:t>
      </w:r>
      <w:r>
        <w:rPr>
          <w:szCs w:val="20"/>
          <w:lang w:val="es-MX"/>
        </w:rPr>
        <w:t>en el extremo que impuso</w:t>
      </w:r>
      <w:r w:rsidRPr="00B12A37">
        <w:rPr>
          <w:szCs w:val="20"/>
          <w:lang w:val="es-MX"/>
        </w:rPr>
        <w:t xml:space="preserve"> </w:t>
      </w:r>
      <w:r>
        <w:rPr>
          <w:szCs w:val="20"/>
          <w:lang w:val="es-MX"/>
        </w:rPr>
        <w:t xml:space="preserve">una </w:t>
      </w:r>
      <w:r w:rsidRPr="00B12A37">
        <w:rPr>
          <w:szCs w:val="20"/>
          <w:lang w:val="es-MX"/>
        </w:rPr>
        <w:t>pena de multa</w:t>
      </w:r>
      <w:r>
        <w:rPr>
          <w:szCs w:val="20"/>
          <w:lang w:val="es-MX"/>
        </w:rPr>
        <w:t>,</w:t>
      </w:r>
      <w:r w:rsidRPr="00B12A37">
        <w:rPr>
          <w:szCs w:val="20"/>
          <w:lang w:val="es-MX"/>
        </w:rPr>
        <w:t xml:space="preserve"> varió ciertos fundamentos de la sentencia anterior y dispuso que la norma penal aplicable era el artículo 321 del Código Penal de 1991</w:t>
      </w:r>
      <w:r>
        <w:rPr>
          <w:szCs w:val="20"/>
          <w:lang w:val="es-MX"/>
        </w:rPr>
        <w:t>.</w:t>
      </w:r>
    </w:p>
    <w:p w:rsidR="005D0E3A" w:rsidRDefault="005D0E3A" w:rsidP="00C664AB">
      <w:pPr>
        <w:suppressAutoHyphens/>
        <w:contextualSpacing/>
        <w:rPr>
          <w:szCs w:val="20"/>
          <w:lang w:val="es-MX"/>
        </w:rPr>
      </w:pPr>
    </w:p>
    <w:p w:rsidR="005D0E3A" w:rsidRDefault="00AA4738" w:rsidP="00C664AB">
      <w:pPr>
        <w:suppressAutoHyphens/>
        <w:contextualSpacing/>
        <w:rPr>
          <w:szCs w:val="20"/>
          <w:lang w:val="es-MX"/>
        </w:rPr>
      </w:pPr>
      <w:r>
        <w:rPr>
          <w:szCs w:val="20"/>
          <w:lang w:val="es-MX"/>
        </w:rPr>
        <w:lastRenderedPageBreak/>
        <w:t>D</w:t>
      </w:r>
      <w:r w:rsidR="005D0E3A" w:rsidRPr="00B12A37">
        <w:rPr>
          <w:szCs w:val="20"/>
          <w:lang w:val="es-MX"/>
        </w:rPr>
        <w:t>esde octubre de 2005</w:t>
      </w:r>
      <w:r>
        <w:rPr>
          <w:szCs w:val="20"/>
          <w:lang w:val="es-MX"/>
        </w:rPr>
        <w:t>, por cuestiones de salud</w:t>
      </w:r>
      <w:r w:rsidR="005D0E3A" w:rsidRPr="00B12A37">
        <w:rPr>
          <w:szCs w:val="20"/>
          <w:lang w:val="es-MX"/>
        </w:rPr>
        <w:t xml:space="preserve"> el señor Pollo Rivera pasó a cumplir su condena en el Hospital Dos de Mayo, bajo la custodia de personal de la Dirección de Seguridad de Penales de la Policía Nacional del Perú</w:t>
      </w:r>
      <w:r>
        <w:rPr>
          <w:szCs w:val="20"/>
          <w:lang w:val="es-MX"/>
        </w:rPr>
        <w:t>.</w:t>
      </w:r>
    </w:p>
    <w:p w:rsidR="00512273" w:rsidRDefault="00512273" w:rsidP="00C664AB">
      <w:pPr>
        <w:suppressAutoHyphens/>
        <w:contextualSpacing/>
        <w:rPr>
          <w:szCs w:val="20"/>
          <w:lang w:val="es-MX"/>
        </w:rPr>
      </w:pPr>
    </w:p>
    <w:p w:rsidR="00512273" w:rsidRDefault="00915897" w:rsidP="00C664AB">
      <w:pPr>
        <w:suppressAutoHyphens/>
        <w:contextualSpacing/>
        <w:rPr>
          <w:szCs w:val="20"/>
          <w:lang w:val="es-MX"/>
        </w:rPr>
      </w:pPr>
      <w:r>
        <w:rPr>
          <w:szCs w:val="20"/>
          <w:lang w:val="es-MX"/>
        </w:rPr>
        <w:t xml:space="preserve">Entre enero de 2006 y noviembre de 2011, el señor Pollo Rivera presentó </w:t>
      </w:r>
      <w:r w:rsidRPr="00B12A37">
        <w:rPr>
          <w:szCs w:val="20"/>
          <w:lang w:val="es-MX"/>
        </w:rPr>
        <w:t xml:space="preserve">tres solicitudes de indulto humanitario </w:t>
      </w:r>
      <w:r>
        <w:rPr>
          <w:szCs w:val="20"/>
          <w:lang w:val="es-MX"/>
        </w:rPr>
        <w:t xml:space="preserve">ante una </w:t>
      </w:r>
      <w:r w:rsidRPr="00B12A37">
        <w:rPr>
          <w:szCs w:val="20"/>
          <w:lang w:val="es-MX"/>
        </w:rPr>
        <w:t>Comisión de Indulto y Derecho de Gracia por Razones Humanitarias y Conmutación de la Pena</w:t>
      </w:r>
      <w:r>
        <w:rPr>
          <w:szCs w:val="20"/>
          <w:lang w:val="es-MX"/>
        </w:rPr>
        <w:t xml:space="preserve">; ante una </w:t>
      </w:r>
      <w:r w:rsidRPr="00B12A37">
        <w:rPr>
          <w:szCs w:val="20"/>
          <w:lang w:val="es-MX"/>
        </w:rPr>
        <w:t>Comisión de Indulto, Derecho de Gracia y Conmutación de la Pena para casos de Terrorismo y Traición a la Patria</w:t>
      </w:r>
      <w:r>
        <w:rPr>
          <w:szCs w:val="20"/>
          <w:lang w:val="es-MX"/>
        </w:rPr>
        <w:t xml:space="preserve"> o ante una</w:t>
      </w:r>
      <w:r w:rsidRPr="00B12A37">
        <w:rPr>
          <w:szCs w:val="20"/>
          <w:lang w:val="es-MX"/>
        </w:rPr>
        <w:t xml:space="preserve"> Comisión de Gracias Presidenciales</w:t>
      </w:r>
      <w:r>
        <w:rPr>
          <w:szCs w:val="20"/>
          <w:lang w:val="es-MX"/>
        </w:rPr>
        <w:t>, las cuales habrían sido resueltas</w:t>
      </w:r>
      <w:r w:rsidR="005313DA">
        <w:rPr>
          <w:szCs w:val="20"/>
          <w:lang w:val="es-MX"/>
        </w:rPr>
        <w:t xml:space="preserve"> negativamente</w:t>
      </w:r>
      <w:r>
        <w:rPr>
          <w:szCs w:val="20"/>
          <w:lang w:val="es-MX"/>
        </w:rPr>
        <w:t xml:space="preserve">, salvo la tercera que fue archivada luego de que </w:t>
      </w:r>
      <w:r w:rsidRPr="00B12A37">
        <w:rPr>
          <w:szCs w:val="20"/>
          <w:lang w:val="es-MX"/>
        </w:rPr>
        <w:t>el solicitante falleció el 12 de febrero de 2012</w:t>
      </w:r>
      <w:r>
        <w:rPr>
          <w:szCs w:val="20"/>
          <w:lang w:val="es-MX"/>
        </w:rPr>
        <w:t>.</w:t>
      </w:r>
    </w:p>
    <w:p w:rsidR="00512273" w:rsidRDefault="00512273" w:rsidP="00C664AB">
      <w:pPr>
        <w:suppressAutoHyphens/>
        <w:contextualSpacing/>
        <w:rPr>
          <w:lang w:val="es-CR"/>
        </w:rPr>
      </w:pPr>
    </w:p>
    <w:p w:rsidR="000A0623" w:rsidRDefault="000A0623" w:rsidP="00943B9C">
      <w:pPr>
        <w:rPr>
          <w:rFonts w:cs="Arial"/>
          <w:lang w:val="es-CR"/>
        </w:rPr>
      </w:pPr>
    </w:p>
    <w:p w:rsidR="00EA0716" w:rsidRPr="00EA0716" w:rsidRDefault="00EA0716" w:rsidP="00943B9C">
      <w:pPr>
        <w:rPr>
          <w:rFonts w:cs="Arial"/>
          <w:b/>
          <w:lang w:val="es-CR"/>
        </w:rPr>
      </w:pPr>
      <w:r w:rsidRPr="00EA0716">
        <w:rPr>
          <w:rFonts w:cs="Arial"/>
          <w:b/>
          <w:lang w:val="es-CR"/>
        </w:rPr>
        <w:tab/>
        <w:t>II.</w:t>
      </w:r>
      <w:r w:rsidRPr="00EA0716">
        <w:rPr>
          <w:rFonts w:cs="Arial"/>
          <w:b/>
          <w:lang w:val="es-CR"/>
        </w:rPr>
        <w:tab/>
        <w:t>Fondo</w:t>
      </w:r>
    </w:p>
    <w:p w:rsidR="00EA0716" w:rsidRDefault="00EA0716" w:rsidP="00943B9C">
      <w:pPr>
        <w:rPr>
          <w:rFonts w:cs="Arial"/>
          <w:lang w:val="es-CR"/>
        </w:rPr>
      </w:pPr>
    </w:p>
    <w:p w:rsidR="00900307" w:rsidRDefault="003346AD" w:rsidP="00900307">
      <w:pPr>
        <w:contextualSpacing/>
        <w:rPr>
          <w:spacing w:val="-2"/>
          <w:lang w:val="es-MX"/>
        </w:rPr>
      </w:pPr>
      <w:r>
        <w:rPr>
          <w:lang w:val="es-MX"/>
        </w:rPr>
        <w:t>Los hechos ocurrieron</w:t>
      </w:r>
      <w:r w:rsidR="00900307" w:rsidRPr="00B12A37">
        <w:rPr>
          <w:lang w:val="es-MX"/>
        </w:rPr>
        <w:t xml:space="preserve"> en el contexto </w:t>
      </w:r>
      <w:r w:rsidR="00900307" w:rsidRPr="00B12A37">
        <w:rPr>
          <w:lang w:val="es-MX" w:eastAsia="es-ES"/>
        </w:rPr>
        <w:t>de conflicto entre grupos armados y agentes de las fuerzas policiales y militares</w:t>
      </w:r>
      <w:r w:rsidR="00900307" w:rsidRPr="00B12A37">
        <w:rPr>
          <w:lang w:val="es-MX"/>
        </w:rPr>
        <w:t xml:space="preserve"> en Perú</w:t>
      </w:r>
      <w:r w:rsidR="00900307">
        <w:rPr>
          <w:spacing w:val="-2"/>
          <w:lang w:val="es-MX"/>
        </w:rPr>
        <w:t xml:space="preserve">. </w:t>
      </w:r>
    </w:p>
    <w:p w:rsidR="00900307" w:rsidRDefault="00900307" w:rsidP="00900307">
      <w:pPr>
        <w:contextualSpacing/>
        <w:rPr>
          <w:spacing w:val="-2"/>
          <w:lang w:val="es-MX"/>
        </w:rPr>
      </w:pPr>
    </w:p>
    <w:p w:rsidR="00900307" w:rsidRDefault="00900307" w:rsidP="00900307">
      <w:pPr>
        <w:pStyle w:val="ListParagraph"/>
        <w:ind w:left="0"/>
        <w:rPr>
          <w:lang w:val="es-CR"/>
        </w:rPr>
      </w:pPr>
      <w:r>
        <w:rPr>
          <w:spacing w:val="-2"/>
          <w:lang w:val="es-MX"/>
        </w:rPr>
        <w:t>En este caso,</w:t>
      </w:r>
      <w:r w:rsidR="003346AD">
        <w:rPr>
          <w:spacing w:val="-2"/>
          <w:lang w:val="es-MX"/>
        </w:rPr>
        <w:t xml:space="preserve"> </w:t>
      </w:r>
      <w:r w:rsidR="003346AD" w:rsidRPr="00B12A37">
        <w:rPr>
          <w:lang w:val="es-MX"/>
        </w:rPr>
        <w:t xml:space="preserve">la detención inicial del señor Pollo Rivera </w:t>
      </w:r>
      <w:r w:rsidR="003346AD">
        <w:rPr>
          <w:lang w:val="es-MX"/>
        </w:rPr>
        <w:t xml:space="preserve">ocurrió </w:t>
      </w:r>
      <w:r w:rsidR="003346AD" w:rsidRPr="00B12A37">
        <w:rPr>
          <w:lang w:val="es-MX"/>
        </w:rPr>
        <w:t>el 4 de noviembre de 1992</w:t>
      </w:r>
      <w:r w:rsidR="003346AD">
        <w:rPr>
          <w:lang w:val="es-MX"/>
        </w:rPr>
        <w:t xml:space="preserve"> y</w:t>
      </w:r>
      <w:r>
        <w:rPr>
          <w:spacing w:val="-2"/>
          <w:lang w:val="es-MX"/>
        </w:rPr>
        <w:t xml:space="preserve"> l</w:t>
      </w:r>
      <w:r>
        <w:rPr>
          <w:rFonts w:eastAsia="Calibri"/>
          <w:spacing w:val="-2"/>
          <w:lang w:val="es-MX"/>
        </w:rPr>
        <w:t xml:space="preserve">a primera constancia de comparecencia </w:t>
      </w:r>
      <w:r w:rsidR="003346AD">
        <w:rPr>
          <w:rFonts w:eastAsia="Calibri"/>
          <w:spacing w:val="-2"/>
          <w:lang w:val="es-MX"/>
        </w:rPr>
        <w:t xml:space="preserve">suya </w:t>
      </w:r>
      <w:r>
        <w:rPr>
          <w:rFonts w:eastAsia="Calibri"/>
          <w:spacing w:val="-2"/>
          <w:lang w:val="es-MX"/>
        </w:rPr>
        <w:t xml:space="preserve">ante una autoridad judicial competente es del 26 de noviembre de 1993, cuando el proceso en su contra ya había sido remitido al fuero ordinario y rindió declaración instructiva ante el juez de instrucción, es decir, más de un año después de su detención. </w:t>
      </w:r>
      <w:r w:rsidR="005313DA">
        <w:rPr>
          <w:spacing w:val="-2"/>
          <w:lang w:val="es-MX"/>
        </w:rPr>
        <w:t>Es decir,</w:t>
      </w:r>
      <w:r>
        <w:rPr>
          <w:spacing w:val="-2"/>
          <w:lang w:val="es-MX"/>
        </w:rPr>
        <w:t xml:space="preserve"> no fue presentado sin demora personalmente ante una autoridad judicial competente, habiéndose sobrepasado manifiestamente los plazos máximos establecidos en la legislación aplicable para haberlo hecho, por lo que la detención fue ilegal. </w:t>
      </w:r>
      <w:r>
        <w:rPr>
          <w:rFonts w:eastAsia="Calibri"/>
          <w:spacing w:val="-2"/>
          <w:lang w:val="es-MX"/>
        </w:rPr>
        <w:t>En consecuencia</w:t>
      </w:r>
      <w:r>
        <w:rPr>
          <w:spacing w:val="-2"/>
          <w:lang w:val="es-MX"/>
        </w:rPr>
        <w:t>, el Estado es responsable por la violación del derecho a la libertad personal, en perjuicio del señor Pollo Rivera.</w:t>
      </w:r>
    </w:p>
    <w:p w:rsidR="00613701" w:rsidRDefault="00613701" w:rsidP="00943B9C">
      <w:pPr>
        <w:rPr>
          <w:rFonts w:cs="Arial"/>
          <w:lang w:val="es-CR"/>
        </w:rPr>
      </w:pPr>
    </w:p>
    <w:p w:rsidR="00900307" w:rsidRPr="005313DA" w:rsidRDefault="005313DA" w:rsidP="005313DA">
      <w:pPr>
        <w:autoSpaceDE w:val="0"/>
        <w:autoSpaceDN w:val="0"/>
        <w:adjustRightInd w:val="0"/>
        <w:contextualSpacing/>
        <w:rPr>
          <w:spacing w:val="-2"/>
          <w:szCs w:val="20"/>
          <w:lang w:val="es-MX"/>
        </w:rPr>
      </w:pPr>
      <w:r>
        <w:rPr>
          <w:lang w:val="es-MX" w:eastAsia="es-ES"/>
        </w:rPr>
        <w:t>En cuanto a la primera detención preventiva</w:t>
      </w:r>
      <w:r w:rsidR="00DF37E1" w:rsidRPr="00B12A37">
        <w:rPr>
          <w:lang w:val="es-MX" w:eastAsia="es-ES"/>
        </w:rPr>
        <w:t xml:space="preserve">, no </w:t>
      </w:r>
      <w:r>
        <w:rPr>
          <w:lang w:val="es-MX" w:eastAsia="es-ES"/>
        </w:rPr>
        <w:t xml:space="preserve">constan </w:t>
      </w:r>
      <w:r w:rsidR="00DF37E1" w:rsidRPr="00B12A37">
        <w:rPr>
          <w:lang w:val="es-MX" w:eastAsia="es-ES"/>
        </w:rPr>
        <w:t xml:space="preserve">resoluciones que </w:t>
      </w:r>
      <w:r w:rsidR="00DF37E1">
        <w:rPr>
          <w:lang w:val="es-MX" w:eastAsia="es-ES"/>
        </w:rPr>
        <w:t xml:space="preserve">la </w:t>
      </w:r>
      <w:r w:rsidR="00DF37E1" w:rsidRPr="00B12A37">
        <w:rPr>
          <w:lang w:val="es-MX" w:eastAsia="es-ES"/>
        </w:rPr>
        <w:t xml:space="preserve">autorizaran </w:t>
      </w:r>
      <w:r w:rsidR="00DF37E1">
        <w:rPr>
          <w:lang w:val="es-MX" w:eastAsia="es-ES"/>
        </w:rPr>
        <w:t>mientras fue procesado en el fuero penal militar</w:t>
      </w:r>
      <w:r>
        <w:rPr>
          <w:lang w:val="es-MX" w:eastAsia="es-ES"/>
        </w:rPr>
        <w:t>, por lo cual</w:t>
      </w:r>
      <w:r w:rsidR="00DF37E1" w:rsidRPr="00B12A37">
        <w:rPr>
          <w:lang w:val="es-MX" w:eastAsia="es-ES"/>
        </w:rPr>
        <w:t xml:space="preserve">, </w:t>
      </w:r>
      <w:r w:rsidR="003346AD">
        <w:rPr>
          <w:lang w:val="es-MX" w:eastAsia="es-ES"/>
        </w:rPr>
        <w:t xml:space="preserve">al </w:t>
      </w:r>
      <w:r w:rsidR="00DF37E1" w:rsidRPr="00B12A37">
        <w:rPr>
          <w:lang w:val="es-MX" w:eastAsia="es-ES"/>
        </w:rPr>
        <w:t xml:space="preserve">haberlo mantenido en detención sin una orden judicial que examinara la necesidad de una medida cautelar, </w:t>
      </w:r>
      <w:r w:rsidR="003346AD">
        <w:rPr>
          <w:lang w:val="es-MX" w:eastAsia="es-ES"/>
        </w:rPr>
        <w:t>el Estado incurrió en</w:t>
      </w:r>
      <w:r w:rsidR="00DF37E1" w:rsidRPr="00B12A37">
        <w:rPr>
          <w:lang w:val="es-MX" w:eastAsia="es-ES"/>
        </w:rPr>
        <w:t xml:space="preserve"> una manifiesta violación del derecho reconocido en los artículos 7.1 y 7.3</w:t>
      </w:r>
      <w:r>
        <w:rPr>
          <w:lang w:val="es-MX" w:eastAsia="es-ES"/>
        </w:rPr>
        <w:t xml:space="preserve"> de la Convención</w:t>
      </w:r>
      <w:r w:rsidR="00DF37E1" w:rsidRPr="00B12A37">
        <w:rPr>
          <w:lang w:val="es-MX" w:eastAsia="es-ES"/>
        </w:rPr>
        <w:t>.</w:t>
      </w:r>
      <w:r>
        <w:rPr>
          <w:spacing w:val="-2"/>
          <w:szCs w:val="20"/>
          <w:lang w:val="es-MX"/>
        </w:rPr>
        <w:t xml:space="preserve"> </w:t>
      </w:r>
      <w:r w:rsidR="00DF37E1" w:rsidRPr="00B12A37">
        <w:rPr>
          <w:lang w:val="es-MX" w:eastAsia="es-ES"/>
        </w:rPr>
        <w:t>Posteriormente, el 24 de septiembre de 1993 el 21 Juzgado de Instrucción de Lima dictó un auto de apertura de instrucción, en que dispuso su detención preventiva únicamente con base en los términos del artículo 13.a) del Decreto Ley No. 25475</w:t>
      </w:r>
      <w:r w:rsidR="003346AD" w:rsidRPr="003346AD">
        <w:rPr>
          <w:lang w:val="es-MX" w:eastAsia="es-ES"/>
        </w:rPr>
        <w:t xml:space="preserve"> </w:t>
      </w:r>
      <w:r w:rsidR="003346AD">
        <w:rPr>
          <w:lang w:val="es-MX" w:eastAsia="es-ES"/>
        </w:rPr>
        <w:t xml:space="preserve">y sin </w:t>
      </w:r>
      <w:r w:rsidR="003346AD" w:rsidRPr="00B12A37">
        <w:rPr>
          <w:lang w:val="es-MX" w:eastAsia="es-ES"/>
        </w:rPr>
        <w:t xml:space="preserve">una motivación que justificara la necesidad de </w:t>
      </w:r>
      <w:r w:rsidR="00E81235">
        <w:rPr>
          <w:lang w:val="es-MX" w:eastAsia="es-ES"/>
        </w:rPr>
        <w:t>adoptar</w:t>
      </w:r>
      <w:r w:rsidR="003346AD" w:rsidRPr="00B12A37">
        <w:rPr>
          <w:lang w:val="es-MX" w:eastAsia="es-ES"/>
        </w:rPr>
        <w:t xml:space="preserve"> </w:t>
      </w:r>
      <w:r w:rsidR="00E81235">
        <w:rPr>
          <w:lang w:val="es-MX" w:eastAsia="es-ES"/>
        </w:rPr>
        <w:t xml:space="preserve">tal </w:t>
      </w:r>
      <w:r w:rsidR="003346AD" w:rsidRPr="00B12A37">
        <w:rPr>
          <w:lang w:val="es-MX" w:eastAsia="es-ES"/>
        </w:rPr>
        <w:t>medida</w:t>
      </w:r>
      <w:r w:rsidR="00DF37E1">
        <w:rPr>
          <w:lang w:val="es-MX" w:eastAsia="es-ES"/>
        </w:rPr>
        <w:t>, lo cual resultó</w:t>
      </w:r>
      <w:r w:rsidR="00DF37E1" w:rsidRPr="00B12A37">
        <w:rPr>
          <w:lang w:val="es-MX" w:eastAsia="es-ES"/>
        </w:rPr>
        <w:t xml:space="preserve"> </w:t>
      </w:r>
      <w:r w:rsidR="00DF37E1" w:rsidRPr="00B12A37">
        <w:rPr>
          <w:i/>
          <w:lang w:val="es-MX" w:eastAsia="es-ES"/>
        </w:rPr>
        <w:t>per se</w:t>
      </w:r>
      <w:r w:rsidR="00DF37E1" w:rsidRPr="00B12A37">
        <w:rPr>
          <w:lang w:val="es-MX" w:eastAsia="es-ES"/>
        </w:rPr>
        <w:t xml:space="preserve"> incompatible con el contenido de los </w:t>
      </w:r>
      <w:r w:rsidR="00CA7B88">
        <w:rPr>
          <w:lang w:val="es-MX" w:eastAsia="es-ES"/>
        </w:rPr>
        <w:t xml:space="preserve">derechos a la </w:t>
      </w:r>
      <w:r w:rsidR="00884FCB">
        <w:rPr>
          <w:lang w:val="es-MX" w:eastAsia="es-ES"/>
        </w:rPr>
        <w:t xml:space="preserve">libertad </w:t>
      </w:r>
      <w:r w:rsidR="00CA7B88">
        <w:rPr>
          <w:lang w:val="es-MX" w:eastAsia="es-ES"/>
        </w:rPr>
        <w:t>personal y a la presunción de inocencia</w:t>
      </w:r>
      <w:r w:rsidR="00E81235">
        <w:rPr>
          <w:lang w:val="es-MX" w:eastAsia="es-ES"/>
        </w:rPr>
        <w:t xml:space="preserve">, </w:t>
      </w:r>
      <w:r w:rsidR="00DF37E1" w:rsidRPr="00B12A37">
        <w:rPr>
          <w:lang w:val="es-MX" w:eastAsia="es-ES"/>
        </w:rPr>
        <w:t>en relación con los artículos 1.1 y 2 de la Convención</w:t>
      </w:r>
      <w:r w:rsidR="00DF37E1">
        <w:rPr>
          <w:lang w:val="es-MX" w:eastAsia="es-ES"/>
        </w:rPr>
        <w:t>.</w:t>
      </w:r>
    </w:p>
    <w:p w:rsidR="00900307" w:rsidRDefault="00900307" w:rsidP="00943B9C">
      <w:pPr>
        <w:rPr>
          <w:rFonts w:cs="Arial"/>
          <w:lang w:val="es-CR"/>
        </w:rPr>
      </w:pPr>
    </w:p>
    <w:p w:rsidR="00DF37E1" w:rsidRDefault="00306878" w:rsidP="00943B9C">
      <w:pPr>
        <w:rPr>
          <w:rFonts w:cs="Arial"/>
          <w:lang w:val="es-CR"/>
        </w:rPr>
      </w:pPr>
      <w:r>
        <w:rPr>
          <w:lang w:val="es-MX" w:eastAsia="es-ES"/>
        </w:rPr>
        <w:t>M</w:t>
      </w:r>
      <w:r w:rsidR="00DF37E1" w:rsidRPr="00B12A37">
        <w:rPr>
          <w:lang w:val="es-MX" w:eastAsia="es-ES"/>
        </w:rPr>
        <w:t xml:space="preserve">ientras </w:t>
      </w:r>
      <w:r w:rsidRPr="00B12A37">
        <w:rPr>
          <w:lang w:val="es-MX" w:eastAsia="es-ES"/>
        </w:rPr>
        <w:t xml:space="preserve">el señor Pollo Rivera </w:t>
      </w:r>
      <w:r w:rsidR="00DF37E1" w:rsidRPr="00B12A37">
        <w:rPr>
          <w:lang w:val="es-MX" w:eastAsia="es-ES"/>
        </w:rPr>
        <w:t>estuvo detenido, o al m</w:t>
      </w:r>
      <w:r>
        <w:rPr>
          <w:lang w:val="es-MX" w:eastAsia="es-ES"/>
        </w:rPr>
        <w:t xml:space="preserve">enos por un año y veintiún días, </w:t>
      </w:r>
      <w:r w:rsidR="00DF37E1" w:rsidRPr="00B12A37">
        <w:rPr>
          <w:lang w:val="es-MX" w:eastAsia="es-ES"/>
        </w:rPr>
        <w:t xml:space="preserve">mientras </w:t>
      </w:r>
      <w:r w:rsidRPr="00B12A37">
        <w:rPr>
          <w:lang w:val="es-MX" w:eastAsia="es-ES"/>
        </w:rPr>
        <w:t>el Decreto Ley No. 25.659 de agosto de 1992</w:t>
      </w:r>
      <w:r>
        <w:rPr>
          <w:lang w:val="es-MX" w:eastAsia="es-ES"/>
        </w:rPr>
        <w:t xml:space="preserve"> </w:t>
      </w:r>
      <w:r w:rsidRPr="00B12A37">
        <w:rPr>
          <w:lang w:val="es-MX" w:eastAsia="es-ES"/>
        </w:rPr>
        <w:t>estuvo vigente</w:t>
      </w:r>
      <w:r w:rsidR="00DF37E1" w:rsidRPr="00B12A37">
        <w:rPr>
          <w:lang w:val="es-MX" w:eastAsia="es-ES"/>
        </w:rPr>
        <w:t xml:space="preserve">, no existió jurídicamente la posibilidad de ejercer acciones de </w:t>
      </w:r>
      <w:r w:rsidR="00DF37E1" w:rsidRPr="00B12A37">
        <w:rPr>
          <w:i/>
          <w:lang w:val="es-MX" w:eastAsia="es-ES"/>
        </w:rPr>
        <w:t>habeas corpus</w:t>
      </w:r>
      <w:r>
        <w:rPr>
          <w:lang w:val="es-MX" w:eastAsia="es-ES"/>
        </w:rPr>
        <w:t xml:space="preserve"> </w:t>
      </w:r>
      <w:r w:rsidRPr="00B12A37">
        <w:rPr>
          <w:lang w:val="es-MX" w:eastAsia="es-ES"/>
        </w:rPr>
        <w:t>respecto de detenidos, implicados o procesados por delito de terrorismo</w:t>
      </w:r>
      <w:r w:rsidR="00DF37E1">
        <w:rPr>
          <w:lang w:val="es-MX" w:eastAsia="es-ES"/>
        </w:rPr>
        <w:t>, la que</w:t>
      </w:r>
      <w:r w:rsidR="00DF37E1" w:rsidRPr="00B12A37">
        <w:rPr>
          <w:lang w:val="es-MX" w:eastAsia="es-ES"/>
        </w:rPr>
        <w:t xml:space="preserve"> es incompatible con el derecho reconocido en los artículos 7.1 y 7.6 de la Convención.</w:t>
      </w:r>
    </w:p>
    <w:p w:rsidR="00DF37E1" w:rsidRDefault="00DF37E1" w:rsidP="00943B9C">
      <w:pPr>
        <w:rPr>
          <w:rFonts w:cs="Arial"/>
          <w:lang w:val="es-CR"/>
        </w:rPr>
      </w:pPr>
    </w:p>
    <w:p w:rsidR="00DF37E1" w:rsidRDefault="00DF37E1" w:rsidP="00CA7B88">
      <w:pPr>
        <w:autoSpaceDE w:val="0"/>
        <w:autoSpaceDN w:val="0"/>
        <w:adjustRightInd w:val="0"/>
        <w:ind w:right="49"/>
        <w:contextualSpacing/>
        <w:rPr>
          <w:rFonts w:cs="Arial"/>
          <w:lang w:val="es-CR"/>
        </w:rPr>
      </w:pPr>
      <w:r>
        <w:rPr>
          <w:rFonts w:eastAsia="Calibri" w:cs="Helvetica"/>
          <w:szCs w:val="20"/>
          <w:lang w:val="es-MX" w:bidi="en-US"/>
        </w:rPr>
        <w:t xml:space="preserve">La Corte consideró que </w:t>
      </w:r>
      <w:r w:rsidRPr="00B12A37">
        <w:rPr>
          <w:rFonts w:eastAsia="Calibri" w:cs="Helvetica"/>
          <w:szCs w:val="20"/>
          <w:lang w:val="es-MX" w:bidi="en-US"/>
        </w:rPr>
        <w:t xml:space="preserve">existen suficientes indicios para concluir que el señor Pollo Rivera fue objeto de actos de </w:t>
      </w:r>
      <w:r>
        <w:rPr>
          <w:rFonts w:eastAsia="Calibri" w:cs="Helvetica"/>
          <w:szCs w:val="20"/>
          <w:lang w:val="es-MX" w:bidi="en-US"/>
        </w:rPr>
        <w:t>tortura</w:t>
      </w:r>
      <w:r w:rsidRPr="00B12A37">
        <w:rPr>
          <w:rFonts w:eastAsia="Calibri" w:cs="Helvetica"/>
          <w:szCs w:val="20"/>
          <w:lang w:val="es-MX" w:bidi="en-US"/>
        </w:rPr>
        <w:t xml:space="preserve"> por parte de agentes policiales en las instalaciones de la DINCOTE entre el 4 y el 7 de noviembre de 1992. </w:t>
      </w:r>
      <w:r w:rsidR="00CA7B88">
        <w:rPr>
          <w:rFonts w:eastAsia="Calibri" w:cs="Helvetica"/>
          <w:szCs w:val="20"/>
          <w:lang w:val="es-MX" w:bidi="en-US"/>
        </w:rPr>
        <w:t>T</w:t>
      </w:r>
      <w:r w:rsidRPr="00B12A37">
        <w:rPr>
          <w:rFonts w:eastAsia="Calibri" w:cs="Helvetica"/>
          <w:szCs w:val="20"/>
          <w:lang w:val="es-MX" w:bidi="en-US"/>
        </w:rPr>
        <w:t>ales actos incluyeron vejaciones, amenazas, golpizas, colgamientos</w:t>
      </w:r>
      <w:r w:rsidR="00CA7B88">
        <w:rPr>
          <w:rFonts w:eastAsia="Calibri" w:cs="Helvetica"/>
          <w:szCs w:val="20"/>
          <w:lang w:val="es-MX" w:bidi="en-US"/>
        </w:rPr>
        <w:t xml:space="preserve"> y sumersión en tanques de agua, </w:t>
      </w:r>
      <w:r w:rsidR="00421841" w:rsidRPr="00B12A37">
        <w:rPr>
          <w:rFonts w:eastAsia="Calibri" w:cs="Helvetica"/>
          <w:szCs w:val="20"/>
          <w:lang w:val="es-MX" w:bidi="en-US"/>
        </w:rPr>
        <w:t>deliberadamente infligidos</w:t>
      </w:r>
      <w:r w:rsidR="00421841">
        <w:rPr>
          <w:rFonts w:eastAsia="Calibri" w:cs="Helvetica"/>
          <w:szCs w:val="20"/>
          <w:lang w:val="es-MX" w:bidi="en-US"/>
        </w:rPr>
        <w:t>,</w:t>
      </w:r>
      <w:r w:rsidR="00421841" w:rsidRPr="00B12A37">
        <w:rPr>
          <w:rFonts w:eastAsia="Calibri" w:cs="Helvetica"/>
          <w:szCs w:val="20"/>
          <w:lang w:val="es-MX" w:bidi="en-US"/>
        </w:rPr>
        <w:t xml:space="preserve"> </w:t>
      </w:r>
      <w:r w:rsidR="00CA7B88">
        <w:rPr>
          <w:rFonts w:eastAsia="Calibri" w:cs="Helvetica"/>
          <w:szCs w:val="20"/>
          <w:lang w:val="es-MX" w:bidi="en-US"/>
        </w:rPr>
        <w:t xml:space="preserve">que le causaron </w:t>
      </w:r>
      <w:r w:rsidRPr="00B12A37">
        <w:rPr>
          <w:szCs w:val="20"/>
          <w:lang w:val="es-MX" w:eastAsia="es-ES"/>
        </w:rPr>
        <w:t>un sufrimiento severo</w:t>
      </w:r>
      <w:r w:rsidR="00CA7B88">
        <w:rPr>
          <w:szCs w:val="20"/>
          <w:lang w:val="es-MX" w:eastAsia="es-ES"/>
        </w:rPr>
        <w:t xml:space="preserve"> y</w:t>
      </w:r>
      <w:r w:rsidR="00421841">
        <w:rPr>
          <w:szCs w:val="20"/>
          <w:lang w:val="es-MX" w:eastAsia="es-ES"/>
        </w:rPr>
        <w:t xml:space="preserve"> que</w:t>
      </w:r>
      <w:r w:rsidR="00CA7B88">
        <w:rPr>
          <w:szCs w:val="20"/>
          <w:lang w:val="es-MX" w:eastAsia="es-ES"/>
        </w:rPr>
        <w:t xml:space="preserve"> </w:t>
      </w:r>
      <w:r w:rsidRPr="00B12A37">
        <w:rPr>
          <w:szCs w:val="20"/>
          <w:lang w:val="es-MX"/>
        </w:rPr>
        <w:t xml:space="preserve">ocurrieron en un contexto de práctica sistemática de tortura y otros tratos crueles, inhumanos y degradantes y en que la legislación antiterrorista preveía </w:t>
      </w:r>
      <w:r w:rsidRPr="00B12A37">
        <w:rPr>
          <w:spacing w:val="-2"/>
          <w:lang w:val="es-MX"/>
        </w:rPr>
        <w:t>un régimen de incomunicación y</w:t>
      </w:r>
      <w:r w:rsidRPr="00B12A37">
        <w:rPr>
          <w:szCs w:val="20"/>
          <w:lang w:val="es-MX"/>
        </w:rPr>
        <w:t xml:space="preserve"> </w:t>
      </w:r>
      <w:r w:rsidR="00CA7B88">
        <w:rPr>
          <w:szCs w:val="20"/>
          <w:lang w:val="es-MX" w:eastAsia="es-ES"/>
        </w:rPr>
        <w:t>aislamiento, entre</w:t>
      </w:r>
      <w:r w:rsidR="00421841">
        <w:rPr>
          <w:szCs w:val="20"/>
          <w:lang w:val="es-MX" w:eastAsia="es-ES"/>
        </w:rPr>
        <w:t xml:space="preserve"> otras restricciones. Esto </w:t>
      </w:r>
      <w:r w:rsidRPr="00B12A37">
        <w:rPr>
          <w:szCs w:val="20"/>
          <w:lang w:val="es-MX" w:eastAsia="es-ES"/>
        </w:rPr>
        <w:t xml:space="preserve">efectivamente ocurrió a la presunta víctima, quien permaneció incomunicado </w:t>
      </w:r>
      <w:r w:rsidRPr="00B12A37">
        <w:rPr>
          <w:rFonts w:eastAsia="Calibri" w:cs="Helvetica"/>
          <w:szCs w:val="20"/>
          <w:lang w:val="es-MX" w:bidi="en-US"/>
        </w:rPr>
        <w:t xml:space="preserve">entre varios días y </w:t>
      </w:r>
      <w:r w:rsidRPr="00B12A37">
        <w:rPr>
          <w:szCs w:val="20"/>
          <w:lang w:val="es-MX"/>
        </w:rPr>
        <w:t>algunas</w:t>
      </w:r>
      <w:r>
        <w:rPr>
          <w:rFonts w:eastAsia="Calibri" w:cs="Helvetica"/>
          <w:szCs w:val="20"/>
          <w:lang w:val="es-MX" w:bidi="en-US"/>
        </w:rPr>
        <w:t xml:space="preserve"> semanas. Asimismo, </w:t>
      </w:r>
      <w:r w:rsidRPr="00B12A37">
        <w:rPr>
          <w:rFonts w:eastAsia="Calibri" w:cs="Helvetica"/>
          <w:szCs w:val="20"/>
          <w:lang w:val="es-MX" w:bidi="en-US"/>
        </w:rPr>
        <w:t xml:space="preserve">tanto en instalaciones de la DINCOTE como posteriormente en otros centros de detención, el señor Pollo Rivera fue sometido a tratos crueles, inhumanos o degradantes </w:t>
      </w:r>
      <w:r>
        <w:rPr>
          <w:rFonts w:eastAsia="Calibri" w:cs="Helvetica"/>
          <w:szCs w:val="20"/>
          <w:lang w:val="es-MX" w:bidi="en-US"/>
        </w:rPr>
        <w:t xml:space="preserve">y </w:t>
      </w:r>
      <w:r w:rsidRPr="00B12A37">
        <w:rPr>
          <w:szCs w:val="20"/>
          <w:lang w:val="es-MX"/>
        </w:rPr>
        <w:t>enfrentó inhumanas condiciones de detención</w:t>
      </w:r>
      <w:r w:rsidRPr="00B12A37">
        <w:rPr>
          <w:szCs w:val="20"/>
          <w:lang w:val="es-MX" w:eastAsia="es-ES"/>
        </w:rPr>
        <w:t xml:space="preserve">. </w:t>
      </w:r>
      <w:r w:rsidRPr="00B12A37">
        <w:rPr>
          <w:rFonts w:eastAsia="Calibri" w:cs="Helvetica"/>
          <w:szCs w:val="20"/>
          <w:lang w:val="es-MX" w:bidi="en-US"/>
        </w:rPr>
        <w:t xml:space="preserve">En </w:t>
      </w:r>
      <w:r w:rsidRPr="00B12A37">
        <w:rPr>
          <w:rFonts w:eastAsia="Calibri" w:cs="Helvetica"/>
          <w:szCs w:val="20"/>
          <w:lang w:val="es-MX" w:bidi="en-US"/>
        </w:rPr>
        <w:lastRenderedPageBreak/>
        <w:t xml:space="preserve">consecuencia, por haber incumplido sus obligaciones de respetar el derecho a la integridad personal del señor Pollo Rivera, </w:t>
      </w:r>
      <w:r w:rsidR="00E36307">
        <w:rPr>
          <w:rFonts w:eastAsia="Calibri" w:cs="Helvetica"/>
          <w:szCs w:val="20"/>
          <w:lang w:val="es-MX" w:bidi="en-US"/>
        </w:rPr>
        <w:t>la Corte consideró</w:t>
      </w:r>
      <w:r w:rsidRPr="00B12A37">
        <w:rPr>
          <w:rFonts w:eastAsia="Calibri" w:cs="Helvetica"/>
          <w:szCs w:val="20"/>
          <w:lang w:val="es-MX" w:bidi="en-US"/>
        </w:rPr>
        <w:t xml:space="preserve"> que el Estado es responsable por la violación de</w:t>
      </w:r>
      <w:r w:rsidR="00CA7B88">
        <w:rPr>
          <w:rFonts w:eastAsia="Calibri" w:cs="Helvetica"/>
          <w:szCs w:val="20"/>
          <w:lang w:val="es-MX" w:bidi="en-US"/>
        </w:rPr>
        <w:t xml:space="preserve"> su</w:t>
      </w:r>
      <w:r w:rsidRPr="00B12A37">
        <w:rPr>
          <w:rFonts w:eastAsia="Calibri" w:cs="Helvetica"/>
          <w:szCs w:val="20"/>
          <w:lang w:val="es-MX" w:bidi="en-US"/>
        </w:rPr>
        <w:t xml:space="preserve"> derecho </w:t>
      </w:r>
      <w:r w:rsidR="00CA7B88">
        <w:rPr>
          <w:rFonts w:eastAsia="Calibri" w:cs="Helvetica"/>
          <w:szCs w:val="20"/>
          <w:lang w:val="es-MX" w:bidi="en-US"/>
        </w:rPr>
        <w:t xml:space="preserve">a la integridad personal, así como por </w:t>
      </w:r>
      <w:r w:rsidRPr="00B12A37">
        <w:rPr>
          <w:rFonts w:eastAsia="Calibri" w:cs="Helvetica"/>
          <w:szCs w:val="20"/>
          <w:lang w:val="es-MX" w:bidi="en-US"/>
        </w:rPr>
        <w:t>l</w:t>
      </w:r>
      <w:r w:rsidRPr="00B12A37">
        <w:rPr>
          <w:szCs w:val="20"/>
          <w:lang w:val="es-MX"/>
        </w:rPr>
        <w:t xml:space="preserve">a falta de investigación oportuna de hechos tan graves </w:t>
      </w:r>
      <w:r w:rsidR="00CA7B88">
        <w:rPr>
          <w:szCs w:val="20"/>
          <w:lang w:val="es-MX"/>
        </w:rPr>
        <w:t xml:space="preserve">y </w:t>
      </w:r>
      <w:r w:rsidRPr="00B12A37">
        <w:rPr>
          <w:szCs w:val="20"/>
          <w:lang w:val="es-MX"/>
        </w:rPr>
        <w:t>una deneg</w:t>
      </w:r>
      <w:r w:rsidR="00CA7B88">
        <w:rPr>
          <w:szCs w:val="20"/>
          <w:lang w:val="es-MX"/>
        </w:rPr>
        <w:t>ación de justicia</w:t>
      </w:r>
      <w:r w:rsidRPr="00B12A37">
        <w:rPr>
          <w:szCs w:val="20"/>
          <w:lang w:val="es-MX"/>
        </w:rPr>
        <w:t>.</w:t>
      </w:r>
    </w:p>
    <w:p w:rsidR="00DF37E1" w:rsidRDefault="00DF37E1" w:rsidP="00943B9C">
      <w:pPr>
        <w:rPr>
          <w:rFonts w:cs="Arial"/>
          <w:lang w:val="es-CR"/>
        </w:rPr>
      </w:pPr>
    </w:p>
    <w:p w:rsidR="00B824F8" w:rsidRDefault="00CA7B88" w:rsidP="00B824F8">
      <w:pPr>
        <w:autoSpaceDE w:val="0"/>
        <w:autoSpaceDN w:val="0"/>
        <w:adjustRightInd w:val="0"/>
        <w:ind w:right="49"/>
        <w:contextualSpacing/>
        <w:rPr>
          <w:rFonts w:cs="Arial"/>
          <w:lang w:val="es-CR"/>
        </w:rPr>
      </w:pPr>
      <w:r>
        <w:rPr>
          <w:rFonts w:cs="Verdana"/>
          <w:spacing w:val="-2"/>
          <w:szCs w:val="20"/>
          <w:lang w:val="es-MX"/>
        </w:rPr>
        <w:t>El Tribunal</w:t>
      </w:r>
      <w:r w:rsidR="00B824F8">
        <w:rPr>
          <w:rFonts w:cs="Verdana"/>
          <w:spacing w:val="-2"/>
          <w:szCs w:val="20"/>
          <w:lang w:val="es-MX"/>
        </w:rPr>
        <w:t xml:space="preserve"> reiteró</w:t>
      </w:r>
      <w:r w:rsidR="00B824F8" w:rsidRPr="00B12A37">
        <w:rPr>
          <w:rFonts w:cs="Verdana"/>
          <w:spacing w:val="-2"/>
          <w:szCs w:val="20"/>
          <w:lang w:val="es-MX"/>
        </w:rPr>
        <w:t xml:space="preserve"> que el procesamiento del señor Pollo Rivera por fiscales y jueces “sin rostro” en el primer proceso penal seguido en su contra</w:t>
      </w:r>
      <w:r w:rsidR="00B824F8">
        <w:rPr>
          <w:rFonts w:cs="Verdana"/>
          <w:spacing w:val="-2"/>
          <w:szCs w:val="20"/>
          <w:lang w:val="es-MX"/>
        </w:rPr>
        <w:t xml:space="preserve"> en las jurisdicciones militar y ordinaria,</w:t>
      </w:r>
      <w:r w:rsidR="00B824F8" w:rsidRPr="00B12A37">
        <w:rPr>
          <w:rFonts w:cs="Verdana"/>
          <w:spacing w:val="-2"/>
          <w:szCs w:val="20"/>
          <w:lang w:val="es-MX"/>
        </w:rPr>
        <w:t xml:space="preserve"> constituyó una violación del derecho a ser juzgado por un tribunal competente, independiente e imparcial. En tanto la garantía de competencia del juzgador es la base para el ejercicio de todas las demás garantías del debido proceso, la conclusión anterior implica que todo lo actuado en esos procesos carece de efectos jurídicos.</w:t>
      </w:r>
    </w:p>
    <w:p w:rsidR="00B824F8" w:rsidRDefault="00B824F8" w:rsidP="00943B9C">
      <w:pPr>
        <w:rPr>
          <w:rFonts w:cs="Arial"/>
          <w:lang w:val="es-CR"/>
        </w:rPr>
      </w:pPr>
    </w:p>
    <w:p w:rsidR="00B824F8" w:rsidRDefault="00A30310" w:rsidP="00943B9C">
      <w:pPr>
        <w:rPr>
          <w:spacing w:val="-2"/>
          <w:szCs w:val="20"/>
          <w:lang w:val="es-MX"/>
        </w:rPr>
      </w:pPr>
      <w:r>
        <w:rPr>
          <w:lang w:val="es-CR" w:eastAsia="es-ES"/>
        </w:rPr>
        <w:t xml:space="preserve">Sin perjuicio de lo anterior, la Corte </w:t>
      </w:r>
      <w:r w:rsidR="00436764">
        <w:rPr>
          <w:lang w:val="es-CR" w:eastAsia="es-ES"/>
        </w:rPr>
        <w:t xml:space="preserve">verificó que el </w:t>
      </w:r>
      <w:r w:rsidR="000E10FF">
        <w:rPr>
          <w:lang w:val="es-MX" w:eastAsia="es-ES"/>
        </w:rPr>
        <w:t xml:space="preserve">señor Pollo Rivera </w:t>
      </w:r>
      <w:r w:rsidR="00436764">
        <w:rPr>
          <w:lang w:val="es-MX" w:eastAsia="es-ES"/>
        </w:rPr>
        <w:t xml:space="preserve">fue sometido a </w:t>
      </w:r>
      <w:r w:rsidR="00E23C15">
        <w:rPr>
          <w:lang w:val="es-MX" w:eastAsia="es-ES"/>
        </w:rPr>
        <w:t xml:space="preserve">actos de </w:t>
      </w:r>
      <w:r w:rsidR="00436764">
        <w:rPr>
          <w:lang w:val="es-MX" w:eastAsia="es-ES"/>
        </w:rPr>
        <w:t>tortura y</w:t>
      </w:r>
      <w:r w:rsidR="00E23C15">
        <w:rPr>
          <w:lang w:val="es-MX" w:eastAsia="es-ES"/>
        </w:rPr>
        <w:t>,</w:t>
      </w:r>
      <w:r w:rsidR="00436764">
        <w:rPr>
          <w:lang w:val="es-MX" w:eastAsia="es-ES"/>
        </w:rPr>
        <w:t xml:space="preserve"> </w:t>
      </w:r>
      <w:r w:rsidR="001E7DEA">
        <w:rPr>
          <w:lang w:val="es-MX" w:eastAsia="es-ES"/>
        </w:rPr>
        <w:t>aun</w:t>
      </w:r>
      <w:r w:rsidR="00436764">
        <w:rPr>
          <w:lang w:val="es-MX" w:eastAsia="es-ES"/>
        </w:rPr>
        <w:t xml:space="preserve"> cuando </w:t>
      </w:r>
      <w:r w:rsidR="000E10FF">
        <w:rPr>
          <w:lang w:val="es-MX" w:eastAsia="es-ES"/>
        </w:rPr>
        <w:t xml:space="preserve">no declaró en su contra o de terceros, </w:t>
      </w:r>
      <w:r w:rsidR="00E23C15">
        <w:rPr>
          <w:lang w:val="es-MX" w:eastAsia="es-ES"/>
        </w:rPr>
        <w:t>tales actos</w:t>
      </w:r>
      <w:r w:rsidR="00B824F8">
        <w:rPr>
          <w:lang w:val="es-MX" w:eastAsia="es-ES"/>
        </w:rPr>
        <w:t xml:space="preserve"> cometidos </w:t>
      </w:r>
      <w:r w:rsidR="000E10FF">
        <w:rPr>
          <w:lang w:val="es-MX" w:eastAsia="es-ES"/>
        </w:rPr>
        <w:t xml:space="preserve">en su </w:t>
      </w:r>
      <w:r w:rsidR="00B824F8">
        <w:rPr>
          <w:lang w:val="es-MX" w:eastAsia="es-ES"/>
        </w:rPr>
        <w:t xml:space="preserve">contra </w:t>
      </w:r>
      <w:r w:rsidR="000E10FF">
        <w:rPr>
          <w:lang w:val="es-MX" w:eastAsia="es-ES"/>
        </w:rPr>
        <w:t xml:space="preserve">constituyeron una violación del derecho </w:t>
      </w:r>
      <w:r w:rsidR="00B824F8">
        <w:rPr>
          <w:lang w:val="es-MX" w:eastAsia="es-ES"/>
        </w:rPr>
        <w:t xml:space="preserve">reconocido en el artículo 8.2.g) de la Convención, </w:t>
      </w:r>
      <w:r w:rsidR="00B824F8">
        <w:rPr>
          <w:spacing w:val="-2"/>
          <w:szCs w:val="20"/>
          <w:lang w:val="es-MX"/>
        </w:rPr>
        <w:t>en relación con el artículo 1.1 de la misma</w:t>
      </w:r>
      <w:r w:rsidR="00B824F8">
        <w:rPr>
          <w:lang w:val="es-MX" w:eastAsia="es-ES"/>
        </w:rPr>
        <w:t>.</w:t>
      </w:r>
      <w:r>
        <w:rPr>
          <w:lang w:val="es-MX" w:eastAsia="es-ES"/>
        </w:rPr>
        <w:t xml:space="preserve"> R</w:t>
      </w:r>
      <w:r>
        <w:rPr>
          <w:rFonts w:eastAsia="Calibri" w:cs="Helvetica"/>
          <w:szCs w:val="20"/>
          <w:lang w:val="es-MX" w:bidi="en-US"/>
        </w:rPr>
        <w:t xml:space="preserve">eiteró lo señalado en </w:t>
      </w:r>
      <w:r w:rsidRPr="00B12A37">
        <w:rPr>
          <w:rFonts w:eastAsia="Calibri" w:cs="Helvetica"/>
          <w:szCs w:val="20"/>
          <w:lang w:val="es-MX" w:bidi="en-US"/>
        </w:rPr>
        <w:t xml:space="preserve">casos anteriores respecto del Perú, </w:t>
      </w:r>
      <w:r>
        <w:rPr>
          <w:rFonts w:eastAsia="Calibri" w:cs="Helvetica"/>
          <w:szCs w:val="20"/>
          <w:lang w:val="es-MX" w:bidi="en-US"/>
        </w:rPr>
        <w:t xml:space="preserve">en que </w:t>
      </w:r>
      <w:r w:rsidRPr="00B12A37">
        <w:rPr>
          <w:rFonts w:eastAsia="Calibri" w:cs="Helvetica"/>
          <w:szCs w:val="20"/>
          <w:lang w:val="es-MX" w:bidi="en-US"/>
        </w:rPr>
        <w:t>se ha establecido que el artículo 13.f) del</w:t>
      </w:r>
      <w:r>
        <w:rPr>
          <w:rFonts w:eastAsia="Calibri" w:cs="Helvetica"/>
          <w:szCs w:val="20"/>
          <w:lang w:val="es-MX" w:bidi="en-US"/>
        </w:rPr>
        <w:t xml:space="preserve"> Decreto Ley No. 25.475, que establecía el </w:t>
      </w:r>
      <w:r w:rsidRPr="00B12A37">
        <w:rPr>
          <w:rFonts w:eastAsia="Calibri" w:cs="Helvetica"/>
          <w:szCs w:val="20"/>
          <w:lang w:val="es-MX" w:bidi="en-US"/>
        </w:rPr>
        <w:t>carácter</w:t>
      </w:r>
      <w:r w:rsidRPr="00B12A37">
        <w:rPr>
          <w:rFonts w:ascii="Calibri" w:eastAsia="Calibri" w:hAnsi="Calibri"/>
          <w:lang w:val="es-MX"/>
        </w:rPr>
        <w:t xml:space="preserve"> </w:t>
      </w:r>
      <w:r w:rsidRPr="00B12A37">
        <w:rPr>
          <w:rFonts w:eastAsia="Calibri" w:cs="Helvetica"/>
          <w:szCs w:val="20"/>
          <w:lang w:val="es-MX" w:bidi="en-US"/>
        </w:rPr>
        <w:t>privado del proceso como regla general (para casos de terrorismo)</w:t>
      </w:r>
      <w:r>
        <w:rPr>
          <w:rFonts w:eastAsia="Calibri" w:cs="Helvetica"/>
          <w:szCs w:val="20"/>
          <w:lang w:val="es-MX" w:bidi="en-US"/>
        </w:rPr>
        <w:t>, infringía</w:t>
      </w:r>
      <w:r w:rsidRPr="00B12A37">
        <w:rPr>
          <w:rFonts w:eastAsia="Calibri" w:cs="Helvetica"/>
          <w:szCs w:val="20"/>
          <w:lang w:val="es-MX" w:bidi="en-US"/>
        </w:rPr>
        <w:t xml:space="preserve"> la garantía de publicidad del proceso</w:t>
      </w:r>
      <w:r>
        <w:rPr>
          <w:rFonts w:eastAsia="Calibri" w:cs="Helvetica"/>
          <w:szCs w:val="20"/>
          <w:lang w:val="es-MX" w:bidi="en-US"/>
        </w:rPr>
        <w:t>, en violación d</w:t>
      </w:r>
      <w:r w:rsidRPr="00B12A37">
        <w:rPr>
          <w:rFonts w:eastAsia="Calibri" w:cs="Helvetica"/>
          <w:szCs w:val="20"/>
          <w:lang w:val="es-MX" w:bidi="en-US"/>
        </w:rPr>
        <w:t>el</w:t>
      </w:r>
      <w:r>
        <w:rPr>
          <w:rFonts w:eastAsia="Calibri" w:cs="Helvetica"/>
          <w:szCs w:val="20"/>
          <w:lang w:val="es-MX" w:bidi="en-US"/>
        </w:rPr>
        <w:t xml:space="preserve"> artículo 8.5 de la Convención. Además, l</w:t>
      </w:r>
      <w:r w:rsidR="00B824F8" w:rsidRPr="00B12A37">
        <w:rPr>
          <w:spacing w:val="-2"/>
          <w:szCs w:val="20"/>
          <w:lang w:val="es-MX"/>
        </w:rPr>
        <w:t>a Corte consider</w:t>
      </w:r>
      <w:r w:rsidR="000E10FF">
        <w:rPr>
          <w:spacing w:val="-2"/>
          <w:szCs w:val="20"/>
          <w:lang w:val="es-MX"/>
        </w:rPr>
        <w:t>ó</w:t>
      </w:r>
      <w:r w:rsidR="00B824F8" w:rsidRPr="00B12A37">
        <w:rPr>
          <w:spacing w:val="-2"/>
          <w:szCs w:val="20"/>
          <w:lang w:val="es-MX"/>
        </w:rPr>
        <w:t xml:space="preserve"> que la presentación del señor Pollo Rivera ante la prensa por parte de funcionarios de la DINCOTE, </w:t>
      </w:r>
      <w:r w:rsidR="000E10FF">
        <w:rPr>
          <w:szCs w:val="20"/>
          <w:lang w:val="es-MX" w:eastAsia="es-ES"/>
        </w:rPr>
        <w:t>esposado,</w:t>
      </w:r>
      <w:r w:rsidR="00B824F8" w:rsidRPr="00B12A37">
        <w:rPr>
          <w:szCs w:val="20"/>
          <w:lang w:val="es-MX" w:eastAsia="es-ES"/>
        </w:rPr>
        <w:t xml:space="preserve"> con un traje a rayas</w:t>
      </w:r>
      <w:r w:rsidR="000E10FF">
        <w:rPr>
          <w:szCs w:val="20"/>
          <w:lang w:val="es-MX" w:eastAsia="es-ES"/>
        </w:rPr>
        <w:t xml:space="preserve"> y</w:t>
      </w:r>
      <w:r w:rsidR="00B824F8" w:rsidRPr="00B12A37">
        <w:rPr>
          <w:spacing w:val="-2"/>
          <w:szCs w:val="20"/>
          <w:lang w:val="es-MX"/>
        </w:rPr>
        <w:t xml:space="preserve"> señalado como </w:t>
      </w:r>
      <w:r w:rsidR="00B824F8" w:rsidRPr="00B12A37">
        <w:rPr>
          <w:szCs w:val="20"/>
          <w:lang w:val="es-MX" w:eastAsia="es-ES"/>
        </w:rPr>
        <w:t xml:space="preserve">médico personal del cabecilla de </w:t>
      </w:r>
      <w:r w:rsidR="000E10FF" w:rsidRPr="00B12A37">
        <w:rPr>
          <w:spacing w:val="-2"/>
          <w:szCs w:val="20"/>
          <w:lang w:val="es-MX"/>
        </w:rPr>
        <w:t>Sendero Luminoso</w:t>
      </w:r>
      <w:r w:rsidR="00B824F8" w:rsidRPr="00B12A37">
        <w:rPr>
          <w:szCs w:val="20"/>
          <w:lang w:val="es-MX" w:eastAsia="es-ES"/>
        </w:rPr>
        <w:t xml:space="preserve">, </w:t>
      </w:r>
      <w:r w:rsidR="00B824F8" w:rsidRPr="00B12A37">
        <w:rPr>
          <w:spacing w:val="-2"/>
          <w:szCs w:val="20"/>
          <w:lang w:val="es-MX"/>
        </w:rPr>
        <w:t xml:space="preserve">cuando aún no había sido procesado y condenado, </w:t>
      </w:r>
      <w:r w:rsidR="000E10FF">
        <w:rPr>
          <w:szCs w:val="20"/>
          <w:lang w:val="es-MX" w:eastAsia="es-ES"/>
        </w:rPr>
        <w:t>constituyó una</w:t>
      </w:r>
      <w:r w:rsidR="00B824F8" w:rsidRPr="00B12A37">
        <w:rPr>
          <w:spacing w:val="-2"/>
          <w:szCs w:val="20"/>
          <w:lang w:val="es-MX"/>
        </w:rPr>
        <w:t xml:space="preserve"> violación del principio de presunción de inocencia</w:t>
      </w:r>
      <w:r w:rsidR="000E10FF">
        <w:rPr>
          <w:spacing w:val="-2"/>
          <w:szCs w:val="20"/>
          <w:lang w:val="es-MX"/>
        </w:rPr>
        <w:t>.</w:t>
      </w:r>
    </w:p>
    <w:p w:rsidR="00B824F8" w:rsidRDefault="00B824F8" w:rsidP="00943B9C">
      <w:pPr>
        <w:rPr>
          <w:spacing w:val="-2"/>
          <w:szCs w:val="20"/>
          <w:lang w:val="es-MX"/>
        </w:rPr>
      </w:pPr>
    </w:p>
    <w:p w:rsidR="00B824F8" w:rsidRPr="00446221" w:rsidRDefault="00B824F8" w:rsidP="00446221">
      <w:pPr>
        <w:rPr>
          <w:rFonts w:cs="Arial"/>
          <w:lang w:val="es-CR"/>
        </w:rPr>
      </w:pPr>
      <w:r>
        <w:rPr>
          <w:rFonts w:cs="Arial"/>
          <w:lang w:val="es-CR"/>
        </w:rPr>
        <w:t>En cuanto a la</w:t>
      </w:r>
      <w:r w:rsidR="006A0A32">
        <w:rPr>
          <w:rFonts w:cs="Arial"/>
          <w:lang w:val="es-CR"/>
        </w:rPr>
        <w:t xml:space="preserve"> segunda detención preventiva</w:t>
      </w:r>
      <w:r w:rsidR="00851BDB">
        <w:rPr>
          <w:rFonts w:cs="Arial"/>
          <w:lang w:val="es-CR"/>
        </w:rPr>
        <w:t xml:space="preserve"> a partir de agosto de 2003</w:t>
      </w:r>
      <w:r w:rsidR="006A0A32">
        <w:rPr>
          <w:rFonts w:cs="Arial"/>
          <w:lang w:val="es-CR"/>
        </w:rPr>
        <w:t>,</w:t>
      </w:r>
      <w:r w:rsidR="00851BDB">
        <w:rPr>
          <w:rFonts w:cs="Arial"/>
          <w:lang w:val="es-CR"/>
        </w:rPr>
        <w:t xml:space="preserve"> la Corte hizo notar que se basó en un </w:t>
      </w:r>
      <w:r w:rsidR="000E10FF" w:rsidRPr="00B12A37">
        <w:rPr>
          <w:lang w:val="es-MX" w:eastAsia="es-ES"/>
        </w:rPr>
        <w:t xml:space="preserve">mandato de detención </w:t>
      </w:r>
      <w:r w:rsidR="00851BDB">
        <w:rPr>
          <w:lang w:val="es-MX" w:eastAsia="es-ES"/>
        </w:rPr>
        <w:t xml:space="preserve">dictado en </w:t>
      </w:r>
      <w:r w:rsidRPr="00B12A37">
        <w:rPr>
          <w:szCs w:val="20"/>
          <w:lang w:val="es-MX" w:eastAsia="es-ES"/>
        </w:rPr>
        <w:t>noviembre de 1999</w:t>
      </w:r>
      <w:r w:rsidR="00851BDB">
        <w:rPr>
          <w:szCs w:val="20"/>
          <w:lang w:val="es-MX" w:eastAsia="es-ES"/>
        </w:rPr>
        <w:t xml:space="preserve">, que </w:t>
      </w:r>
      <w:r w:rsidR="000A6105">
        <w:rPr>
          <w:szCs w:val="20"/>
          <w:lang w:val="es-MX" w:eastAsia="es-ES"/>
        </w:rPr>
        <w:t>carecía</w:t>
      </w:r>
      <w:r w:rsidR="006A0A32">
        <w:rPr>
          <w:szCs w:val="20"/>
          <w:lang w:val="es-MX" w:eastAsia="es-ES"/>
        </w:rPr>
        <w:t xml:space="preserve"> de </w:t>
      </w:r>
      <w:r w:rsidRPr="00B12A37">
        <w:rPr>
          <w:szCs w:val="20"/>
          <w:lang w:val="es-MX" w:eastAsia="es-ES"/>
        </w:rPr>
        <w:t>motivación suficiente, configurándose así en el fundamento de una detención ilegal.</w:t>
      </w:r>
      <w:r w:rsidRPr="00B12A37">
        <w:rPr>
          <w:spacing w:val="-12"/>
          <w:sz w:val="16"/>
          <w:szCs w:val="16"/>
          <w:lang w:val="es-MX" w:eastAsia="es-ES"/>
        </w:rPr>
        <w:t xml:space="preserve"> </w:t>
      </w:r>
      <w:r w:rsidR="006A0A32">
        <w:rPr>
          <w:rFonts w:cs="Arial"/>
          <w:lang w:val="es-CR"/>
        </w:rPr>
        <w:t xml:space="preserve">Luego, </w:t>
      </w:r>
      <w:r w:rsidRPr="00B12A37">
        <w:rPr>
          <w:lang w:val="es-MX" w:eastAsia="es-ES"/>
        </w:rPr>
        <w:t>al avocar conocimiento de la causa, en julio y agosto de 2003 la Sala Nacional de Terrorismo se limitó a reiterar los términos del referido mandato emitido por el juzgado tres años y siete meses atrás</w:t>
      </w:r>
      <w:r w:rsidR="00446221">
        <w:rPr>
          <w:lang w:val="es-MX" w:eastAsia="es-ES"/>
        </w:rPr>
        <w:t xml:space="preserve">, sin hacer </w:t>
      </w:r>
      <w:r w:rsidRPr="00B12A37">
        <w:rPr>
          <w:lang w:val="es-MX" w:eastAsia="es-ES"/>
        </w:rPr>
        <w:t xml:space="preserve">su propia apreciación, lo cual implica que </w:t>
      </w:r>
      <w:r w:rsidR="000E10FF">
        <w:rPr>
          <w:lang w:val="es-MX" w:eastAsia="es-ES"/>
        </w:rPr>
        <w:t xml:space="preserve">la detención </w:t>
      </w:r>
      <w:r w:rsidRPr="00B12A37">
        <w:rPr>
          <w:lang w:val="es-MX" w:eastAsia="es-ES"/>
        </w:rPr>
        <w:t xml:space="preserve">realizada en agosto de 2003 </w:t>
      </w:r>
      <w:r w:rsidR="000E10FF">
        <w:rPr>
          <w:lang w:val="es-MX" w:eastAsia="es-ES"/>
        </w:rPr>
        <w:t xml:space="preserve">fue ilegal, en violación de los </w:t>
      </w:r>
      <w:r w:rsidRPr="00B12A37">
        <w:rPr>
          <w:lang w:val="es-MX" w:eastAsia="es-ES"/>
        </w:rPr>
        <w:t>derecho</w:t>
      </w:r>
      <w:r w:rsidR="000E10FF">
        <w:rPr>
          <w:lang w:val="es-MX" w:eastAsia="es-ES"/>
        </w:rPr>
        <w:t>s a la libertad personal y presunción de inocencia</w:t>
      </w:r>
      <w:r w:rsidRPr="00B12A37">
        <w:rPr>
          <w:lang w:val="es-MX" w:eastAsia="es-ES"/>
        </w:rPr>
        <w:t>.</w:t>
      </w:r>
    </w:p>
    <w:p w:rsidR="00B824F8" w:rsidRPr="00B824F8" w:rsidRDefault="00B824F8" w:rsidP="00943B9C">
      <w:pPr>
        <w:rPr>
          <w:rFonts w:cs="Arial"/>
          <w:lang w:val="es-MX"/>
        </w:rPr>
      </w:pPr>
    </w:p>
    <w:p w:rsidR="00446221" w:rsidRPr="00B12A37" w:rsidRDefault="00851BDB" w:rsidP="00851BDB">
      <w:pPr>
        <w:rPr>
          <w:rFonts w:eastAsia="Calibri" w:cs="Helvetica"/>
          <w:szCs w:val="20"/>
          <w:lang w:val="es-MX" w:bidi="en-US"/>
        </w:rPr>
      </w:pPr>
      <w:r>
        <w:rPr>
          <w:rFonts w:eastAsia="Calibri" w:cs="Helvetica"/>
          <w:szCs w:val="20"/>
          <w:lang w:val="es-MX" w:bidi="en-US"/>
        </w:rPr>
        <w:t>Respecto d</w:t>
      </w:r>
      <w:r w:rsidR="000E10FF">
        <w:rPr>
          <w:rFonts w:eastAsia="Calibri" w:cs="Helvetica"/>
          <w:szCs w:val="20"/>
          <w:lang w:val="es-MX" w:bidi="en-US"/>
        </w:rPr>
        <w:t xml:space="preserve">el segundo proceso penal realizado contra el señor Pollo Rivera, </w:t>
      </w:r>
      <w:r>
        <w:rPr>
          <w:rFonts w:eastAsia="Calibri" w:cs="Helvetica"/>
          <w:szCs w:val="20"/>
          <w:lang w:val="es-MX" w:bidi="en-US"/>
        </w:rPr>
        <w:t xml:space="preserve">la Corte consideró que el Estado </w:t>
      </w:r>
      <w:r w:rsidR="000E10FF">
        <w:rPr>
          <w:rFonts w:eastAsia="Calibri" w:cs="Helvetica"/>
          <w:szCs w:val="20"/>
          <w:lang w:val="es-MX" w:bidi="en-US"/>
        </w:rPr>
        <w:t xml:space="preserve">violó su </w:t>
      </w:r>
      <w:r w:rsidR="00446221" w:rsidRPr="00B12A37">
        <w:rPr>
          <w:rFonts w:eastAsia="Calibri" w:cs="Helvetica"/>
          <w:szCs w:val="20"/>
          <w:lang w:val="es-MX" w:bidi="en-US"/>
        </w:rPr>
        <w:t xml:space="preserve">derecho de defensa porque en la sentencia </w:t>
      </w:r>
      <w:r>
        <w:rPr>
          <w:rFonts w:eastAsia="Calibri" w:cs="Helvetica"/>
          <w:szCs w:val="20"/>
          <w:lang w:val="es-MX" w:bidi="en-US"/>
        </w:rPr>
        <w:t>condenatoria</w:t>
      </w:r>
      <w:r w:rsidR="00446221" w:rsidRPr="00B12A37">
        <w:rPr>
          <w:rFonts w:eastAsia="Calibri" w:cs="Helvetica"/>
          <w:szCs w:val="20"/>
          <w:lang w:val="es-MX" w:bidi="en-US"/>
        </w:rPr>
        <w:t xml:space="preserve"> </w:t>
      </w:r>
      <w:r w:rsidR="000E10FF">
        <w:rPr>
          <w:rFonts w:eastAsia="Calibri" w:cs="Helvetica"/>
          <w:szCs w:val="20"/>
          <w:lang w:val="es-MX" w:bidi="en-US"/>
        </w:rPr>
        <w:t xml:space="preserve">se tomaron en cuenta </w:t>
      </w:r>
      <w:r w:rsidR="000E10FF" w:rsidRPr="00B12A37">
        <w:rPr>
          <w:rFonts w:eastAsia="Calibri" w:cs="Helvetica"/>
          <w:szCs w:val="20"/>
          <w:lang w:val="es-MX" w:bidi="en-US"/>
        </w:rPr>
        <w:t>declaraciones rendidas ante la DINCOTE en 1995</w:t>
      </w:r>
      <w:r w:rsidR="000E10FF">
        <w:rPr>
          <w:rFonts w:eastAsia="Calibri" w:cs="Helvetica"/>
          <w:szCs w:val="20"/>
          <w:lang w:val="es-MX" w:bidi="en-US"/>
        </w:rPr>
        <w:t xml:space="preserve"> por personas </w:t>
      </w:r>
      <w:r w:rsidR="00446221" w:rsidRPr="00B12A37">
        <w:rPr>
          <w:rFonts w:eastAsia="Calibri" w:cs="Helvetica"/>
          <w:szCs w:val="20"/>
          <w:lang w:val="es-MX" w:bidi="en-US"/>
        </w:rPr>
        <w:t>que</w:t>
      </w:r>
      <w:r>
        <w:rPr>
          <w:rFonts w:eastAsia="Calibri" w:cs="Helvetica"/>
          <w:szCs w:val="20"/>
          <w:lang w:val="es-MX" w:bidi="en-US"/>
        </w:rPr>
        <w:t>, al declarar</w:t>
      </w:r>
      <w:r w:rsidR="000E10FF">
        <w:rPr>
          <w:rFonts w:eastAsia="Calibri" w:cs="Helvetica"/>
          <w:szCs w:val="20"/>
          <w:lang w:val="es-MX" w:bidi="en-US"/>
        </w:rPr>
        <w:t xml:space="preserve"> </w:t>
      </w:r>
      <w:r w:rsidR="00446221" w:rsidRPr="00B12A37">
        <w:rPr>
          <w:rFonts w:eastAsia="Calibri" w:cs="Helvetica"/>
          <w:szCs w:val="20"/>
          <w:lang w:val="es-MX" w:bidi="en-US"/>
        </w:rPr>
        <w:t xml:space="preserve">durante el juicio oral, manifestaron haber sido presionadas o coaccionadas por integrantes de la DINCOTE </w:t>
      </w:r>
      <w:r>
        <w:rPr>
          <w:rFonts w:eastAsia="Calibri" w:cs="Helvetica"/>
          <w:szCs w:val="20"/>
          <w:lang w:val="es-MX" w:bidi="en-US"/>
        </w:rPr>
        <w:t xml:space="preserve">en aquél entonces, sin que conste </w:t>
      </w:r>
      <w:r w:rsidRPr="00B12A37">
        <w:rPr>
          <w:rFonts w:eastAsia="Calibri" w:cs="Helvetica"/>
          <w:szCs w:val="20"/>
          <w:lang w:val="es-MX" w:bidi="en-US"/>
        </w:rPr>
        <w:t xml:space="preserve">un pronunciamiento o valoración específicos </w:t>
      </w:r>
      <w:r>
        <w:rPr>
          <w:rFonts w:eastAsia="Calibri" w:cs="Helvetica"/>
          <w:szCs w:val="20"/>
          <w:lang w:val="es-MX" w:bidi="en-US"/>
        </w:rPr>
        <w:t xml:space="preserve">al respecto y </w:t>
      </w:r>
      <w:r w:rsidR="00446221" w:rsidRPr="00B12A37">
        <w:rPr>
          <w:rFonts w:eastAsia="Calibri" w:cs="Helvetica"/>
          <w:szCs w:val="20"/>
          <w:lang w:val="es-MX" w:bidi="en-US"/>
        </w:rPr>
        <w:t xml:space="preserve">si dicha situación invalidaba tal medio probatorio en ese caso. </w:t>
      </w:r>
      <w:r>
        <w:rPr>
          <w:rFonts w:eastAsia="Calibri" w:cs="Helvetica"/>
          <w:szCs w:val="20"/>
          <w:lang w:val="es-MX" w:bidi="en-US"/>
        </w:rPr>
        <w:t xml:space="preserve">Además, el Estado violó su derecho de defensa porque </w:t>
      </w:r>
      <w:r w:rsidR="00446221" w:rsidRPr="00B12A37">
        <w:rPr>
          <w:rFonts w:eastAsia="Calibri" w:cs="Helvetica"/>
          <w:szCs w:val="20"/>
          <w:lang w:val="es-MX" w:bidi="en-US"/>
        </w:rPr>
        <w:t xml:space="preserve">la condena penal también se basó en </w:t>
      </w:r>
      <w:r>
        <w:rPr>
          <w:rFonts w:eastAsia="Calibri" w:cs="Helvetica"/>
          <w:szCs w:val="20"/>
          <w:lang w:val="es-MX" w:bidi="en-US"/>
        </w:rPr>
        <w:t xml:space="preserve">grado decisivo en </w:t>
      </w:r>
      <w:r w:rsidR="00446221" w:rsidRPr="00B12A37">
        <w:rPr>
          <w:rFonts w:eastAsia="Calibri" w:cs="Helvetica"/>
          <w:szCs w:val="20"/>
          <w:lang w:val="es-MX" w:bidi="en-US"/>
        </w:rPr>
        <w:t>información proporcionada en las declaraciones de una testigo “arrepentida” con identidad reservada, quien fue la única que en el juicio oral lo reconoció como partícipe en determinados actos médicos</w:t>
      </w:r>
      <w:r>
        <w:rPr>
          <w:rFonts w:eastAsia="Calibri" w:cs="Helvetica"/>
          <w:szCs w:val="20"/>
          <w:lang w:val="es-MX" w:bidi="en-US"/>
        </w:rPr>
        <w:t xml:space="preserve">, sin que las autoridades judiciales </w:t>
      </w:r>
      <w:r w:rsidR="00446221" w:rsidRPr="00B12A37">
        <w:rPr>
          <w:rFonts w:eastAsia="Calibri" w:cs="Helvetica"/>
          <w:szCs w:val="20"/>
          <w:lang w:val="es-MX" w:bidi="en-US"/>
        </w:rPr>
        <w:t>sustanciar</w:t>
      </w:r>
      <w:r>
        <w:rPr>
          <w:rFonts w:eastAsia="Calibri" w:cs="Helvetica"/>
          <w:szCs w:val="20"/>
          <w:lang w:val="es-MX" w:bidi="en-US"/>
        </w:rPr>
        <w:t>a</w:t>
      </w:r>
      <w:r w:rsidR="00446221" w:rsidRPr="00B12A37">
        <w:rPr>
          <w:rFonts w:eastAsia="Calibri" w:cs="Helvetica"/>
          <w:szCs w:val="20"/>
          <w:lang w:val="es-MX" w:bidi="en-US"/>
        </w:rPr>
        <w:t>n la existe</w:t>
      </w:r>
      <w:r>
        <w:rPr>
          <w:rFonts w:eastAsia="Calibri" w:cs="Helvetica"/>
          <w:szCs w:val="20"/>
          <w:lang w:val="es-MX" w:bidi="en-US"/>
        </w:rPr>
        <w:t>ncia de un riesgo para la vida o</w:t>
      </w:r>
      <w:r w:rsidR="00446221" w:rsidRPr="00B12A37">
        <w:rPr>
          <w:rFonts w:eastAsia="Calibri" w:cs="Helvetica"/>
          <w:szCs w:val="20"/>
          <w:lang w:val="es-MX" w:bidi="en-US"/>
        </w:rPr>
        <w:t xml:space="preserve"> integridad de la testigo o la imposibilidad de disponer medidas de protección alternativas</w:t>
      </w:r>
      <w:r>
        <w:rPr>
          <w:rFonts w:eastAsia="Calibri" w:cs="Helvetica"/>
          <w:szCs w:val="20"/>
          <w:lang w:val="es-MX" w:bidi="en-US"/>
        </w:rPr>
        <w:t xml:space="preserve">, y sin haber </w:t>
      </w:r>
      <w:r w:rsidR="00446221" w:rsidRPr="00B12A37">
        <w:rPr>
          <w:rFonts w:eastAsia="Calibri" w:cs="Helvetica"/>
          <w:szCs w:val="20"/>
          <w:lang w:val="es-MX" w:bidi="en-US"/>
        </w:rPr>
        <w:t xml:space="preserve">dispuesto </w:t>
      </w:r>
      <w:r>
        <w:rPr>
          <w:rFonts w:eastAsia="Calibri" w:cs="Helvetica"/>
          <w:szCs w:val="20"/>
          <w:lang w:val="es-MX" w:bidi="en-US"/>
        </w:rPr>
        <w:t xml:space="preserve">alguna </w:t>
      </w:r>
      <w:r w:rsidR="00446221" w:rsidRPr="00B12A37">
        <w:rPr>
          <w:rFonts w:eastAsia="Calibri" w:cs="Helvetica"/>
          <w:szCs w:val="20"/>
          <w:lang w:val="es-MX" w:bidi="en-US"/>
        </w:rPr>
        <w:t xml:space="preserve">medida compensatoria </w:t>
      </w:r>
      <w:r>
        <w:rPr>
          <w:rFonts w:eastAsia="Calibri" w:cs="Helvetica"/>
          <w:szCs w:val="20"/>
          <w:lang w:val="es-MX" w:bidi="en-US"/>
        </w:rPr>
        <w:t xml:space="preserve">para </w:t>
      </w:r>
      <w:r w:rsidR="00446221" w:rsidRPr="00B12A37">
        <w:rPr>
          <w:rFonts w:eastAsia="Calibri" w:cs="Helvetica"/>
          <w:szCs w:val="20"/>
          <w:lang w:val="es-MX" w:bidi="en-US"/>
        </w:rPr>
        <w:t xml:space="preserve">preservar el derecho de defensa del imputado. </w:t>
      </w:r>
    </w:p>
    <w:p w:rsidR="00446221" w:rsidRDefault="00446221" w:rsidP="00943B9C">
      <w:pPr>
        <w:rPr>
          <w:rFonts w:cs="Arial"/>
          <w:lang w:val="es-CR"/>
        </w:rPr>
      </w:pPr>
    </w:p>
    <w:p w:rsidR="00446221" w:rsidRDefault="00446221" w:rsidP="005A7268">
      <w:pPr>
        <w:autoSpaceDE w:val="0"/>
        <w:autoSpaceDN w:val="0"/>
        <w:adjustRightInd w:val="0"/>
        <w:ind w:right="49"/>
        <w:contextualSpacing/>
        <w:rPr>
          <w:rFonts w:ascii="Times New Roman" w:hAnsi="Times New Roman"/>
          <w:sz w:val="24"/>
          <w:lang w:val="es-CR" w:eastAsia="es-CR"/>
        </w:rPr>
      </w:pPr>
      <w:r>
        <w:rPr>
          <w:rFonts w:eastAsia="Calibri" w:cs="Verdana Bold"/>
          <w:bCs/>
          <w:lang w:val="es-MX"/>
        </w:rPr>
        <w:t xml:space="preserve">La Corte reiteró </w:t>
      </w:r>
      <w:r>
        <w:rPr>
          <w:lang w:val="es-MX"/>
        </w:rPr>
        <w:t xml:space="preserve">que un </w:t>
      </w:r>
      <w:r>
        <w:rPr>
          <w:rFonts w:eastAsia="Calibri" w:cs="Verdana Bold"/>
          <w:bCs/>
          <w:lang w:val="es-MX"/>
        </w:rPr>
        <w:t>Estado</w:t>
      </w:r>
      <w:r>
        <w:rPr>
          <w:lang w:val="es-MX"/>
        </w:rPr>
        <w:t xml:space="preserve"> tiene el derecho y el deber de garantizar su propia seguridad y de </w:t>
      </w:r>
      <w:r>
        <w:rPr>
          <w:rFonts w:eastAsia="Batang" w:cs="Times"/>
          <w:lang w:val="es-MX"/>
        </w:rPr>
        <w:t>mantener el orden púb</w:t>
      </w:r>
      <w:r w:rsidR="00856D78">
        <w:rPr>
          <w:rFonts w:eastAsia="Batang" w:cs="Times"/>
          <w:lang w:val="es-MX"/>
        </w:rPr>
        <w:t xml:space="preserve">lico dentro de su territorio y que </w:t>
      </w:r>
      <w:r>
        <w:rPr>
          <w:rFonts w:eastAsia="Calibri" w:cs="Helvetica"/>
          <w:lang w:val="es-MX" w:bidi="en-US"/>
        </w:rPr>
        <w:t xml:space="preserve">el terrorismo representa </w:t>
      </w:r>
      <w:r w:rsidR="00856D78">
        <w:rPr>
          <w:rFonts w:eastAsia="Calibri" w:cs="Helvetica"/>
          <w:lang w:val="es-MX" w:bidi="en-US"/>
        </w:rPr>
        <w:t>un</w:t>
      </w:r>
      <w:r w:rsidR="00466F93">
        <w:rPr>
          <w:rFonts w:eastAsia="Calibri" w:cs="Helvetica"/>
          <w:lang w:val="es-MX" w:bidi="en-US"/>
        </w:rPr>
        <w:t>a</w:t>
      </w:r>
      <w:r w:rsidR="00856D78">
        <w:rPr>
          <w:rFonts w:eastAsia="Calibri" w:cs="Helvetica"/>
          <w:lang w:val="es-MX" w:bidi="en-US"/>
        </w:rPr>
        <w:t xml:space="preserve"> amenaza </w:t>
      </w:r>
      <w:r>
        <w:rPr>
          <w:rFonts w:eastAsia="Calibri" w:cs="Helvetica"/>
          <w:lang w:val="es-MX" w:bidi="en-US"/>
        </w:rPr>
        <w:t xml:space="preserve">para los valores democráticos y para la </w:t>
      </w:r>
      <w:r w:rsidR="00856D78">
        <w:rPr>
          <w:rFonts w:eastAsia="Calibri" w:cs="Helvetica"/>
          <w:lang w:val="es-MX" w:bidi="en-US"/>
        </w:rPr>
        <w:t>paz y seguridad internacionales</w:t>
      </w:r>
      <w:r>
        <w:rPr>
          <w:rFonts w:eastAsia="Calibri" w:cs="Helvetica"/>
          <w:lang w:val="es-MX" w:bidi="en-US"/>
        </w:rPr>
        <w:t xml:space="preserve">. </w:t>
      </w:r>
      <w:r>
        <w:rPr>
          <w:lang w:val="es-MX"/>
        </w:rPr>
        <w:t>Al mismo tiempo</w:t>
      </w:r>
      <w:r w:rsidR="005A7268">
        <w:rPr>
          <w:lang w:val="es-MX"/>
        </w:rPr>
        <w:t>,</w:t>
      </w:r>
      <w:r>
        <w:rPr>
          <w:lang w:val="es-MX"/>
        </w:rPr>
        <w:t xml:space="preserve"> debe quedar claro que la prevención y represión del crimen debe desarrollarse dentro de los límites y conforme a los procedimientos que permitan preservar tanto la seguridad pública como el pleno respeto a los derechos humanos de quienes se hal</w:t>
      </w:r>
      <w:r w:rsidR="005A7268">
        <w:rPr>
          <w:lang w:val="es-MX"/>
        </w:rPr>
        <w:t>len sometidos a su jurisdicción</w:t>
      </w:r>
      <w:r>
        <w:rPr>
          <w:lang w:val="es-MX"/>
        </w:rPr>
        <w:t xml:space="preserve">. </w:t>
      </w:r>
    </w:p>
    <w:p w:rsidR="00446221" w:rsidRPr="0068038B" w:rsidRDefault="00446221" w:rsidP="00446221">
      <w:pPr>
        <w:contextualSpacing/>
        <w:rPr>
          <w:rFonts w:cs="Times"/>
          <w:szCs w:val="20"/>
          <w:lang w:val="es-CR"/>
        </w:rPr>
      </w:pPr>
    </w:p>
    <w:p w:rsidR="00B824F8" w:rsidRDefault="005A7268" w:rsidP="00446221">
      <w:pPr>
        <w:rPr>
          <w:rFonts w:eastAsia="Calibri" w:cs="Helvetica"/>
          <w:szCs w:val="20"/>
          <w:lang w:val="es-MX" w:bidi="en-US"/>
        </w:rPr>
      </w:pPr>
      <w:r>
        <w:rPr>
          <w:rFonts w:eastAsia="Calibri" w:cs="Helvetica"/>
          <w:szCs w:val="20"/>
          <w:lang w:val="es-MX" w:bidi="en-US"/>
        </w:rPr>
        <w:lastRenderedPageBreak/>
        <w:t xml:space="preserve">En este sentido, al notar que la condena final del señor Pollo Rivera fue impuesta en aplicación del </w:t>
      </w:r>
      <w:r w:rsidR="00446221">
        <w:rPr>
          <w:rFonts w:eastAsia="Calibri" w:cs="Helvetica"/>
          <w:szCs w:val="20"/>
          <w:lang w:val="es-MX" w:bidi="en-US"/>
        </w:rPr>
        <w:t>artículo 321</w:t>
      </w:r>
      <w:r>
        <w:rPr>
          <w:rFonts w:eastAsia="Calibri" w:cs="Helvetica"/>
          <w:szCs w:val="20"/>
          <w:lang w:val="es-MX" w:bidi="en-US"/>
        </w:rPr>
        <w:t xml:space="preserve"> del Código Penal peruano de 1991</w:t>
      </w:r>
      <w:r w:rsidR="00446221">
        <w:rPr>
          <w:rFonts w:eastAsia="Calibri" w:cs="Helvetica"/>
          <w:szCs w:val="20"/>
          <w:lang w:val="es-MX" w:bidi="en-US"/>
        </w:rPr>
        <w:t xml:space="preserve">, </w:t>
      </w:r>
      <w:r w:rsidR="004D4C19">
        <w:rPr>
          <w:rFonts w:eastAsia="Calibri" w:cs="Helvetica"/>
          <w:szCs w:val="20"/>
          <w:lang w:val="es-MX" w:bidi="en-US"/>
        </w:rPr>
        <w:t xml:space="preserve">la Corte consideró que </w:t>
      </w:r>
      <w:r>
        <w:rPr>
          <w:rFonts w:eastAsia="Calibri" w:cs="Helvetica"/>
          <w:szCs w:val="20"/>
          <w:lang w:val="es-MX" w:bidi="en-US"/>
        </w:rPr>
        <w:t xml:space="preserve">en </w:t>
      </w:r>
      <w:r w:rsidR="004D4C19">
        <w:rPr>
          <w:rFonts w:eastAsia="Calibri" w:cs="Helvetica"/>
          <w:szCs w:val="20"/>
          <w:lang w:val="es-MX" w:bidi="en-US"/>
        </w:rPr>
        <w:t xml:space="preserve">este </w:t>
      </w:r>
      <w:r>
        <w:rPr>
          <w:rFonts w:eastAsia="Calibri" w:cs="Helvetica"/>
          <w:szCs w:val="20"/>
          <w:lang w:val="es-MX" w:bidi="en-US"/>
        </w:rPr>
        <w:t xml:space="preserve">caso </w:t>
      </w:r>
      <w:r w:rsidR="004D4C19">
        <w:rPr>
          <w:rFonts w:eastAsia="Calibri" w:cs="Helvetica"/>
          <w:szCs w:val="20"/>
          <w:lang w:val="es-MX" w:bidi="en-US"/>
        </w:rPr>
        <w:t xml:space="preserve">se </w:t>
      </w:r>
      <w:r>
        <w:rPr>
          <w:rFonts w:eastAsia="Calibri" w:cs="Helvetica"/>
          <w:szCs w:val="20"/>
          <w:lang w:val="es-MX" w:bidi="en-US"/>
        </w:rPr>
        <w:t>lesionó</w:t>
      </w:r>
      <w:r w:rsidR="00446221">
        <w:rPr>
          <w:rFonts w:eastAsia="Calibri" w:cs="Helvetica"/>
          <w:szCs w:val="20"/>
          <w:lang w:val="es-MX" w:bidi="en-US"/>
        </w:rPr>
        <w:t xml:space="preserve"> la legalidad </w:t>
      </w:r>
      <w:r w:rsidR="004D4C19">
        <w:rPr>
          <w:rFonts w:eastAsia="Calibri" w:cs="Helvetica"/>
          <w:szCs w:val="20"/>
          <w:lang w:val="es-MX" w:bidi="en-US"/>
        </w:rPr>
        <w:t xml:space="preserve">por </w:t>
      </w:r>
      <w:r w:rsidR="00446221">
        <w:rPr>
          <w:rFonts w:eastAsia="Calibri" w:cs="Helvetica"/>
          <w:szCs w:val="20"/>
          <w:lang w:val="es-MX" w:bidi="en-US"/>
        </w:rPr>
        <w:t xml:space="preserve">la interpretación </w:t>
      </w:r>
      <w:r>
        <w:rPr>
          <w:rFonts w:eastAsia="Calibri" w:cs="Helvetica"/>
          <w:szCs w:val="20"/>
          <w:lang w:val="es-MX" w:bidi="en-US"/>
        </w:rPr>
        <w:t xml:space="preserve">que </w:t>
      </w:r>
      <w:r w:rsidR="00446221">
        <w:rPr>
          <w:rFonts w:eastAsia="Calibri" w:cs="Helvetica"/>
          <w:szCs w:val="20"/>
          <w:lang w:val="es-MX" w:bidi="en-US"/>
        </w:rPr>
        <w:t>de</w:t>
      </w:r>
      <w:r>
        <w:rPr>
          <w:rFonts w:eastAsia="Calibri" w:cs="Helvetica"/>
          <w:szCs w:val="20"/>
          <w:lang w:val="es-MX" w:bidi="en-US"/>
        </w:rPr>
        <w:t>l mismo hizo</w:t>
      </w:r>
      <w:r w:rsidR="00446221">
        <w:rPr>
          <w:rFonts w:eastAsia="Calibri" w:cs="Helvetica"/>
          <w:szCs w:val="20"/>
          <w:lang w:val="es-MX" w:bidi="en-US"/>
        </w:rPr>
        <w:t xml:space="preserve"> la Corte Suprema</w:t>
      </w:r>
      <w:r>
        <w:rPr>
          <w:rFonts w:eastAsia="Calibri" w:cs="Helvetica"/>
          <w:szCs w:val="20"/>
          <w:lang w:val="es-MX" w:bidi="en-US"/>
        </w:rPr>
        <w:t xml:space="preserve"> de Justicia, pues</w:t>
      </w:r>
      <w:r w:rsidRPr="005A7268">
        <w:rPr>
          <w:lang w:val="es-MX"/>
        </w:rPr>
        <w:t xml:space="preserve"> </w:t>
      </w:r>
      <w:r>
        <w:rPr>
          <w:lang w:val="es-MX"/>
        </w:rPr>
        <w:t xml:space="preserve">la sentencia </w:t>
      </w:r>
      <w:r w:rsidR="00244C3B">
        <w:rPr>
          <w:lang w:val="es-MX"/>
        </w:rPr>
        <w:t xml:space="preserve">a pesar de afirmar que el acto médico era atípico finalmente </w:t>
      </w:r>
      <w:r w:rsidR="004D4C19">
        <w:rPr>
          <w:lang w:val="es-MX"/>
        </w:rPr>
        <w:t>consideró</w:t>
      </w:r>
      <w:r>
        <w:rPr>
          <w:lang w:val="es-MX"/>
        </w:rPr>
        <w:t xml:space="preserve"> </w:t>
      </w:r>
      <w:r w:rsidR="00244C3B">
        <w:rPr>
          <w:lang w:val="es-MX"/>
        </w:rPr>
        <w:t xml:space="preserve">que la reiteración de actos médicos por parte del </w:t>
      </w:r>
      <w:r w:rsidR="00E23C15">
        <w:rPr>
          <w:lang w:val="es-MX"/>
        </w:rPr>
        <w:t>señor</w:t>
      </w:r>
      <w:r w:rsidR="00244C3B">
        <w:rPr>
          <w:lang w:val="es-MX"/>
        </w:rPr>
        <w:t xml:space="preserve"> Pollo Rivera </w:t>
      </w:r>
      <w:r w:rsidR="00AA4F97">
        <w:rPr>
          <w:lang w:val="es-MX"/>
        </w:rPr>
        <w:t>para</w:t>
      </w:r>
      <w:r w:rsidR="00E23C15">
        <w:rPr>
          <w:lang w:val="es-MX"/>
        </w:rPr>
        <w:t xml:space="preserve"> supuestamente</w:t>
      </w:r>
      <w:r w:rsidR="00AA4F97">
        <w:rPr>
          <w:lang w:val="es-MX"/>
        </w:rPr>
        <w:t xml:space="preserve"> atender a miembros del grupo terrorista, quienes luego volverían a practicar actos criminales, </w:t>
      </w:r>
      <w:r w:rsidR="00244C3B">
        <w:rPr>
          <w:lang w:val="es-MX"/>
        </w:rPr>
        <w:t xml:space="preserve">indicaría </w:t>
      </w:r>
      <w:r w:rsidR="00AA4F97">
        <w:rPr>
          <w:lang w:val="es-MX"/>
        </w:rPr>
        <w:t>la</w:t>
      </w:r>
      <w:r w:rsidR="00244C3B">
        <w:rPr>
          <w:lang w:val="es-MX"/>
        </w:rPr>
        <w:t xml:space="preserve"> voluntad </w:t>
      </w:r>
      <w:r w:rsidR="00AA4F97">
        <w:rPr>
          <w:lang w:val="es-MX"/>
        </w:rPr>
        <w:t xml:space="preserve">del médico </w:t>
      </w:r>
      <w:r w:rsidR="00244C3B">
        <w:rPr>
          <w:lang w:val="es-MX"/>
        </w:rPr>
        <w:t>de cooperar con la or</w:t>
      </w:r>
      <w:r w:rsidR="00AA4F97">
        <w:rPr>
          <w:lang w:val="es-MX"/>
        </w:rPr>
        <w:t>ganización criminal, aunque dicha</w:t>
      </w:r>
      <w:r w:rsidR="00244C3B">
        <w:rPr>
          <w:lang w:val="es-MX"/>
        </w:rPr>
        <w:t xml:space="preserve"> colaboración consistiera en actos atípicos</w:t>
      </w:r>
      <w:r>
        <w:rPr>
          <w:rFonts w:eastAsia="Calibri" w:cs="Helvetica"/>
          <w:szCs w:val="20"/>
          <w:lang w:val="es-MX" w:bidi="en-US"/>
        </w:rPr>
        <w:t xml:space="preserve">. </w:t>
      </w:r>
      <w:r w:rsidR="00446221">
        <w:rPr>
          <w:rFonts w:eastAsia="Calibri" w:cs="Helvetica"/>
          <w:szCs w:val="20"/>
          <w:lang w:val="es-MX" w:bidi="en-US"/>
        </w:rPr>
        <w:t>La Corte reiteró la responsabilidad del Estado por haber criminalizado el acto médico, que no sólo es un acto esencialmente lícito sino que es un deber de un médico el prestarlo. Por las razon</w:t>
      </w:r>
      <w:r w:rsidR="00856D78">
        <w:rPr>
          <w:rFonts w:eastAsia="Calibri" w:cs="Helvetica"/>
          <w:szCs w:val="20"/>
          <w:lang w:val="es-MX" w:bidi="en-US"/>
        </w:rPr>
        <w:t>es anteriores, la Corte concluyó</w:t>
      </w:r>
      <w:r w:rsidR="00446221">
        <w:rPr>
          <w:rFonts w:eastAsia="Calibri" w:cs="Helvetica"/>
          <w:szCs w:val="20"/>
          <w:lang w:val="es-MX" w:bidi="en-US"/>
        </w:rPr>
        <w:t xml:space="preserve"> que el Estado es responsable por la violación del principio de legalidad, reconocido en el artículo 9 de la Convención, en relación con el artículo 1.1 de la misma, en perjuicio del señor Pollo Rivera.</w:t>
      </w:r>
    </w:p>
    <w:p w:rsidR="00446221" w:rsidRDefault="00446221" w:rsidP="00446221">
      <w:pPr>
        <w:rPr>
          <w:rFonts w:eastAsia="Calibri" w:cs="Helvetica"/>
          <w:szCs w:val="20"/>
          <w:lang w:val="es-MX" w:bidi="en-US"/>
        </w:rPr>
      </w:pPr>
    </w:p>
    <w:p w:rsidR="000A6105" w:rsidRPr="00B12A37" w:rsidRDefault="004D4C19" w:rsidP="000A6105">
      <w:pPr>
        <w:autoSpaceDE w:val="0"/>
        <w:autoSpaceDN w:val="0"/>
        <w:adjustRightInd w:val="0"/>
        <w:ind w:right="49"/>
        <w:contextualSpacing/>
        <w:rPr>
          <w:i/>
          <w:szCs w:val="20"/>
          <w:lang w:val="es-MX" w:eastAsia="es-ES"/>
        </w:rPr>
      </w:pPr>
      <w:r>
        <w:rPr>
          <w:szCs w:val="20"/>
          <w:lang w:val="es-CR" w:eastAsia="es-ES"/>
        </w:rPr>
        <w:t>D</w:t>
      </w:r>
      <w:proofErr w:type="spellStart"/>
      <w:r w:rsidR="000A6105" w:rsidRPr="00B12A37">
        <w:rPr>
          <w:szCs w:val="20"/>
          <w:lang w:val="es-MX"/>
        </w:rPr>
        <w:t>ado</w:t>
      </w:r>
      <w:proofErr w:type="spellEnd"/>
      <w:r w:rsidR="000A6105" w:rsidRPr="00B12A37">
        <w:rPr>
          <w:szCs w:val="20"/>
          <w:lang w:val="es-MX"/>
        </w:rPr>
        <w:t xml:space="preserve"> que </w:t>
      </w:r>
      <w:r>
        <w:rPr>
          <w:szCs w:val="20"/>
          <w:lang w:val="es-MX"/>
        </w:rPr>
        <w:t xml:space="preserve">el señor Pollo Rivera </w:t>
      </w:r>
      <w:r w:rsidR="000A6105" w:rsidRPr="00B12A37">
        <w:rPr>
          <w:szCs w:val="20"/>
          <w:lang w:val="es-MX"/>
        </w:rPr>
        <w:t>permaneció privado de su libertad entre el 26 de agosto de 2003 y el 12 de febrero de 2012</w:t>
      </w:r>
      <w:r>
        <w:rPr>
          <w:szCs w:val="20"/>
          <w:lang w:val="es-MX"/>
        </w:rPr>
        <w:t>,</w:t>
      </w:r>
      <w:r w:rsidR="000A6105" w:rsidRPr="00B12A37">
        <w:rPr>
          <w:szCs w:val="20"/>
          <w:lang w:val="es-MX"/>
        </w:rPr>
        <w:t xml:space="preserve"> a raíz del procesamiento y condena penal derivados de un enjuiciamiento violatorio del principio de legalidad y las garantías judiciales, la Corte consider</w:t>
      </w:r>
      <w:r>
        <w:rPr>
          <w:szCs w:val="20"/>
          <w:lang w:val="es-MX"/>
        </w:rPr>
        <w:t>ó</w:t>
      </w:r>
      <w:r w:rsidR="000A6105" w:rsidRPr="00B12A37">
        <w:rPr>
          <w:szCs w:val="20"/>
          <w:lang w:val="es-MX"/>
        </w:rPr>
        <w:t xml:space="preserve"> que </w:t>
      </w:r>
      <w:r w:rsidR="000A6105" w:rsidRPr="00B12A37">
        <w:rPr>
          <w:rFonts w:cs="Arial"/>
          <w:bCs/>
          <w:snapToGrid w:val="0"/>
          <w:szCs w:val="20"/>
          <w:lang w:val="es-MX"/>
        </w:rPr>
        <w:t xml:space="preserve">la detención devino </w:t>
      </w:r>
      <w:r>
        <w:rPr>
          <w:rFonts w:cs="Arial"/>
          <w:bCs/>
          <w:snapToGrid w:val="0"/>
          <w:szCs w:val="20"/>
          <w:lang w:val="es-MX"/>
        </w:rPr>
        <w:t xml:space="preserve">además </w:t>
      </w:r>
      <w:r w:rsidR="000A6105" w:rsidRPr="00B12A37">
        <w:rPr>
          <w:rFonts w:cs="Arial"/>
          <w:bCs/>
          <w:snapToGrid w:val="0"/>
          <w:szCs w:val="20"/>
          <w:lang w:val="es-MX"/>
        </w:rPr>
        <w:t xml:space="preserve">en arbitraria, en violación del artículo 7.3 de la Convención, </w:t>
      </w:r>
      <w:r w:rsidR="000A6105" w:rsidRPr="00B12A37">
        <w:rPr>
          <w:szCs w:val="20"/>
          <w:lang w:val="es-MX"/>
        </w:rPr>
        <w:t>en perjuicio del señor Pollo Rivera.</w:t>
      </w:r>
    </w:p>
    <w:p w:rsidR="000A6105" w:rsidRDefault="000A6105" w:rsidP="00446221">
      <w:pPr>
        <w:rPr>
          <w:rFonts w:eastAsia="Calibri" w:cs="Helvetica"/>
          <w:szCs w:val="20"/>
          <w:lang w:val="es-MX" w:bidi="en-US"/>
        </w:rPr>
      </w:pPr>
    </w:p>
    <w:p w:rsidR="00B824F8" w:rsidRDefault="00856D78" w:rsidP="00943B9C">
      <w:pPr>
        <w:rPr>
          <w:rFonts w:cs="Arial"/>
          <w:lang w:val="es-CR"/>
        </w:rPr>
      </w:pPr>
      <w:r>
        <w:rPr>
          <w:rFonts w:eastAsia="Calibri" w:cs="Helvetica"/>
          <w:szCs w:val="20"/>
          <w:lang w:val="es-MX" w:bidi="en-US"/>
        </w:rPr>
        <w:t xml:space="preserve">Por último, </w:t>
      </w:r>
      <w:r w:rsidR="00BF0F48" w:rsidRPr="00B12A37">
        <w:rPr>
          <w:rFonts w:cs="Times"/>
          <w:bCs/>
          <w:snapToGrid w:val="0"/>
          <w:lang w:val="es-MX"/>
        </w:rPr>
        <w:t xml:space="preserve">la Corte </w:t>
      </w:r>
      <w:r>
        <w:rPr>
          <w:rFonts w:cs="Times"/>
          <w:bCs/>
          <w:snapToGrid w:val="0"/>
          <w:lang w:val="es-MX"/>
        </w:rPr>
        <w:t>consideró las</w:t>
      </w:r>
      <w:r w:rsidR="00BF0F48" w:rsidRPr="00B12A37">
        <w:rPr>
          <w:rFonts w:cs="Times"/>
          <w:bCs/>
          <w:snapToGrid w:val="0"/>
          <w:lang w:val="es-MX"/>
        </w:rPr>
        <w:t xml:space="preserve"> afectaciones </w:t>
      </w:r>
      <w:r w:rsidRPr="00B12A37">
        <w:rPr>
          <w:rFonts w:cs="Times"/>
          <w:bCs/>
          <w:lang w:val="es-MX"/>
        </w:rPr>
        <w:t xml:space="preserve">psíquicas </w:t>
      </w:r>
      <w:r w:rsidR="00BF0F48" w:rsidRPr="00B12A37">
        <w:rPr>
          <w:rFonts w:cs="Times"/>
          <w:bCs/>
          <w:snapToGrid w:val="0"/>
          <w:lang w:val="es-MX"/>
        </w:rPr>
        <w:t xml:space="preserve">a </w:t>
      </w:r>
      <w:r>
        <w:rPr>
          <w:rFonts w:cs="Times"/>
          <w:bCs/>
          <w:snapToGrid w:val="0"/>
          <w:lang w:val="es-MX"/>
        </w:rPr>
        <w:t xml:space="preserve">la integridad de los familiares, por lo cual declaró al </w:t>
      </w:r>
      <w:r w:rsidR="00BF0F48" w:rsidRPr="00B12A37">
        <w:rPr>
          <w:szCs w:val="20"/>
          <w:lang w:val="es-MX"/>
        </w:rPr>
        <w:t xml:space="preserve">Estado responsable por la violación </w:t>
      </w:r>
      <w:r>
        <w:rPr>
          <w:szCs w:val="20"/>
          <w:lang w:val="es-MX"/>
        </w:rPr>
        <w:t xml:space="preserve">del </w:t>
      </w:r>
      <w:r w:rsidR="00BF0F48" w:rsidRPr="00B12A37">
        <w:rPr>
          <w:szCs w:val="20"/>
          <w:lang w:val="es-MX"/>
        </w:rPr>
        <w:t xml:space="preserve">derecho a la integridad psíquica y moral, reconocido en el artículos 5.1 de la Convención Americana, en perjuicio de María Asunción Rivera </w:t>
      </w:r>
      <w:proofErr w:type="spellStart"/>
      <w:r w:rsidR="00BF0F48" w:rsidRPr="00B12A37">
        <w:rPr>
          <w:szCs w:val="20"/>
          <w:lang w:val="es-MX"/>
        </w:rPr>
        <w:t>Sono</w:t>
      </w:r>
      <w:proofErr w:type="spellEnd"/>
      <w:r w:rsidR="00BF0F48" w:rsidRPr="00B12A37">
        <w:rPr>
          <w:szCs w:val="20"/>
          <w:lang w:val="es-MX"/>
        </w:rPr>
        <w:t xml:space="preserve"> (madre), Eugenia Luz Del Pino </w:t>
      </w:r>
      <w:proofErr w:type="spellStart"/>
      <w:r w:rsidR="00BF0F48" w:rsidRPr="00B12A37">
        <w:rPr>
          <w:szCs w:val="20"/>
          <w:lang w:val="es-MX"/>
        </w:rPr>
        <w:t>Cenzano</w:t>
      </w:r>
      <w:proofErr w:type="spellEnd"/>
      <w:r w:rsidR="00BF0F48" w:rsidRPr="00B12A37">
        <w:rPr>
          <w:szCs w:val="20"/>
          <w:lang w:val="es-MX"/>
        </w:rPr>
        <w:t xml:space="preserve"> (ex esposa), Juan Manuel, María Eugenia y Luis Eduardo </w:t>
      </w:r>
      <w:r w:rsidR="00BF0F48" w:rsidRPr="00B12A37">
        <w:rPr>
          <w:rFonts w:eastAsia="Calibri" w:cs="Helvetica"/>
          <w:szCs w:val="20"/>
          <w:lang w:val="es-MX" w:bidi="en-US"/>
        </w:rPr>
        <w:t>Pollo Del Pino (hijos)</w:t>
      </w:r>
      <w:r w:rsidR="00BF0F48" w:rsidRPr="00B12A37">
        <w:rPr>
          <w:szCs w:val="20"/>
          <w:lang w:val="es-MX"/>
        </w:rPr>
        <w:t>,</w:t>
      </w:r>
      <w:r w:rsidR="00BF0F48" w:rsidRPr="00B12A37">
        <w:rPr>
          <w:rFonts w:eastAsia="Calibri" w:cs="Helvetica"/>
          <w:szCs w:val="20"/>
          <w:lang w:val="es-MX" w:bidi="en-US"/>
        </w:rPr>
        <w:t xml:space="preserve"> </w:t>
      </w:r>
      <w:r w:rsidR="00BF0F48" w:rsidRPr="00B12A37">
        <w:rPr>
          <w:szCs w:val="20"/>
          <w:lang w:val="es-MX"/>
        </w:rPr>
        <w:t xml:space="preserve">Luz María Regina Pollo Rivera (hermana), </w:t>
      </w:r>
      <w:r w:rsidR="00BF0F48" w:rsidRPr="00B12A37">
        <w:rPr>
          <w:rFonts w:eastAsia="Calibri" w:cs="Helvetica"/>
          <w:szCs w:val="20"/>
          <w:lang w:val="es-MX" w:bidi="en-US"/>
        </w:rPr>
        <w:t xml:space="preserve">María Mercedes </w:t>
      </w:r>
      <w:proofErr w:type="spellStart"/>
      <w:r w:rsidR="00BF0F48" w:rsidRPr="00B12A37">
        <w:rPr>
          <w:rFonts w:eastAsia="Calibri" w:cs="Helvetica"/>
          <w:szCs w:val="20"/>
          <w:lang w:val="es-MX" w:bidi="en-US"/>
        </w:rPr>
        <w:t>Ricse</w:t>
      </w:r>
      <w:proofErr w:type="spellEnd"/>
      <w:r w:rsidR="00BF0F48" w:rsidRPr="00B12A37">
        <w:rPr>
          <w:rFonts w:eastAsia="Calibri" w:cs="Helvetica"/>
          <w:szCs w:val="20"/>
          <w:lang w:val="es-MX" w:bidi="en-US"/>
        </w:rPr>
        <w:t xml:space="preserve"> Dionisio (conviviente) y Milagros de Jesús Pollo </w:t>
      </w:r>
      <w:proofErr w:type="spellStart"/>
      <w:r w:rsidR="00BF0F48" w:rsidRPr="00B12A37">
        <w:rPr>
          <w:rFonts w:eastAsia="Calibri" w:cs="Helvetica"/>
          <w:szCs w:val="20"/>
          <w:lang w:val="es-MX" w:bidi="en-US"/>
        </w:rPr>
        <w:t>Ricse</w:t>
      </w:r>
      <w:proofErr w:type="spellEnd"/>
      <w:r w:rsidR="00BF0F48" w:rsidRPr="00B12A37">
        <w:rPr>
          <w:rFonts w:eastAsia="Calibri" w:cs="Helvetica"/>
          <w:szCs w:val="20"/>
          <w:lang w:val="es-MX" w:bidi="en-US"/>
        </w:rPr>
        <w:t xml:space="preserve"> (hija)</w:t>
      </w:r>
      <w:r>
        <w:rPr>
          <w:rFonts w:eastAsia="Calibri" w:cs="Helvetica"/>
          <w:szCs w:val="20"/>
          <w:lang w:val="es-MX" w:bidi="en-US"/>
        </w:rPr>
        <w:t>.</w:t>
      </w:r>
    </w:p>
    <w:p w:rsidR="00B824F8" w:rsidRDefault="00B824F8" w:rsidP="00943B9C">
      <w:pPr>
        <w:rPr>
          <w:rFonts w:cs="Arial"/>
          <w:lang w:val="es-CR"/>
        </w:rPr>
      </w:pPr>
    </w:p>
    <w:p w:rsidR="00B824F8" w:rsidRDefault="00B824F8" w:rsidP="00943B9C">
      <w:pPr>
        <w:rPr>
          <w:rFonts w:cs="Arial"/>
          <w:lang w:val="es-CR"/>
        </w:rPr>
      </w:pPr>
    </w:p>
    <w:p w:rsidR="000A0623" w:rsidRPr="000A0623" w:rsidRDefault="000A0623" w:rsidP="000A0623">
      <w:pPr>
        <w:ind w:firstLine="708"/>
        <w:rPr>
          <w:rFonts w:cs="Arial"/>
          <w:b/>
          <w:lang w:val="es-CR"/>
        </w:rPr>
      </w:pPr>
      <w:r w:rsidRPr="000A0623">
        <w:rPr>
          <w:rFonts w:cs="Arial"/>
          <w:b/>
          <w:lang w:val="es-CR"/>
        </w:rPr>
        <w:t xml:space="preserve">IV. Reparaciones </w:t>
      </w:r>
    </w:p>
    <w:p w:rsidR="000A0623" w:rsidRDefault="000A0623" w:rsidP="00943B9C">
      <w:pPr>
        <w:rPr>
          <w:lang w:val="es-CR"/>
        </w:rPr>
      </w:pPr>
    </w:p>
    <w:p w:rsidR="000A0623" w:rsidRDefault="000A0623" w:rsidP="00943B9C">
      <w:pPr>
        <w:rPr>
          <w:lang w:val="es-CR"/>
        </w:rPr>
      </w:pPr>
      <w:r w:rsidRPr="000A0623">
        <w:rPr>
          <w:lang w:val="es-CR"/>
        </w:rPr>
        <w:t xml:space="preserve">Con respecto a las reparaciones, la Corte estableció que su Sentencia constituye </w:t>
      </w:r>
      <w:r w:rsidRPr="000A0623">
        <w:rPr>
          <w:i/>
          <w:lang w:val="es-CR"/>
        </w:rPr>
        <w:t>per se</w:t>
      </w:r>
      <w:r w:rsidRPr="000A0623">
        <w:rPr>
          <w:lang w:val="es-CR"/>
        </w:rPr>
        <w:t xml:space="preserve"> una forma de reparación y, adicionalmente, ordenó al Estado: i) </w:t>
      </w:r>
      <w:r w:rsidR="001D356A" w:rsidRPr="00B12A37">
        <w:rPr>
          <w:rFonts w:eastAsia="Calibri"/>
          <w:szCs w:val="20"/>
          <w:lang w:val="es-MX"/>
        </w:rPr>
        <w:t>continuar y concluir, con la debida diligencia y en un plazo razonable, la investigación actualmente en curso por los hechos de tortura y otros tratos crueles, inhumanos o degradantes sufridos por el señor Pollo Rivera y, de ser procedente, procesar y, en su caso, sancionar a los responsables</w:t>
      </w:r>
      <w:r w:rsidR="001D356A">
        <w:rPr>
          <w:rFonts w:eastAsia="Calibri"/>
          <w:szCs w:val="20"/>
          <w:lang w:val="es-MX"/>
        </w:rPr>
        <w:t xml:space="preserve">; </w:t>
      </w:r>
      <w:r w:rsidR="001D356A">
        <w:rPr>
          <w:lang w:val="es-CR"/>
        </w:rPr>
        <w:t xml:space="preserve">ii) </w:t>
      </w:r>
      <w:r w:rsidRPr="000A0623">
        <w:rPr>
          <w:lang w:val="es-CR"/>
        </w:rPr>
        <w:t>publicar la Sentencia de la Corte I</w:t>
      </w:r>
      <w:r w:rsidR="001D356A">
        <w:rPr>
          <w:lang w:val="es-CR"/>
        </w:rPr>
        <w:t xml:space="preserve">nteramericana y su resumen; </w:t>
      </w:r>
      <w:r w:rsidRPr="000A0623">
        <w:rPr>
          <w:lang w:val="es-CR"/>
        </w:rPr>
        <w:t>y i</w:t>
      </w:r>
      <w:r w:rsidR="002E6D40">
        <w:rPr>
          <w:lang w:val="es-CR"/>
        </w:rPr>
        <w:t>ii</w:t>
      </w:r>
      <w:r w:rsidRPr="000A0623">
        <w:rPr>
          <w:lang w:val="es-CR"/>
        </w:rPr>
        <w:t>) pagar la</w:t>
      </w:r>
      <w:r w:rsidR="00534C4C">
        <w:rPr>
          <w:lang w:val="es-CR"/>
        </w:rPr>
        <w:t>s</w:t>
      </w:r>
      <w:r w:rsidRPr="000A0623">
        <w:rPr>
          <w:lang w:val="es-CR"/>
        </w:rPr>
        <w:t xml:space="preserve"> cantidad</w:t>
      </w:r>
      <w:r w:rsidR="00534C4C">
        <w:rPr>
          <w:lang w:val="es-CR"/>
        </w:rPr>
        <w:t>es</w:t>
      </w:r>
      <w:r w:rsidRPr="000A0623">
        <w:rPr>
          <w:lang w:val="es-CR"/>
        </w:rPr>
        <w:t xml:space="preserve"> fijada</w:t>
      </w:r>
      <w:r w:rsidR="00534C4C">
        <w:rPr>
          <w:lang w:val="es-CR"/>
        </w:rPr>
        <w:t>s</w:t>
      </w:r>
      <w:r w:rsidRPr="000A0623">
        <w:rPr>
          <w:lang w:val="es-CR"/>
        </w:rPr>
        <w:t xml:space="preserve"> en la Sentencia por concepto de daño</w:t>
      </w:r>
      <w:r w:rsidR="002E6D40">
        <w:rPr>
          <w:lang w:val="es-CR"/>
        </w:rPr>
        <w:t>s</w:t>
      </w:r>
      <w:r w:rsidRPr="000A0623">
        <w:rPr>
          <w:lang w:val="es-CR"/>
        </w:rPr>
        <w:t xml:space="preserve"> material</w:t>
      </w:r>
      <w:r w:rsidR="001D356A">
        <w:rPr>
          <w:lang w:val="es-CR"/>
        </w:rPr>
        <w:t>es</w:t>
      </w:r>
      <w:r w:rsidRPr="000A0623">
        <w:rPr>
          <w:lang w:val="es-CR"/>
        </w:rPr>
        <w:t xml:space="preserve"> e inmaterial</w:t>
      </w:r>
      <w:r w:rsidR="001D356A">
        <w:rPr>
          <w:lang w:val="es-CR"/>
        </w:rPr>
        <w:t>es</w:t>
      </w:r>
      <w:r w:rsidRPr="000A0623">
        <w:rPr>
          <w:lang w:val="es-CR"/>
        </w:rPr>
        <w:t xml:space="preserve"> y por reintegro de costas y gastos. </w:t>
      </w:r>
    </w:p>
    <w:p w:rsidR="000A0623" w:rsidRDefault="000A0623" w:rsidP="00943B9C">
      <w:pPr>
        <w:rPr>
          <w:lang w:val="es-CR"/>
        </w:rPr>
      </w:pPr>
    </w:p>
    <w:p w:rsidR="000A0623" w:rsidRDefault="000A0623" w:rsidP="000A0623">
      <w:pPr>
        <w:jc w:val="center"/>
        <w:rPr>
          <w:lang w:val="es-CR"/>
        </w:rPr>
      </w:pPr>
      <w:r w:rsidRPr="000A0623">
        <w:rPr>
          <w:lang w:val="es-CR"/>
        </w:rPr>
        <w:t>-</w:t>
      </w:r>
      <w:r>
        <w:rPr>
          <w:lang w:val="es-CR"/>
        </w:rPr>
        <w:t>--</w:t>
      </w:r>
    </w:p>
    <w:p w:rsidR="000A0623" w:rsidRDefault="000A0623" w:rsidP="00943B9C">
      <w:pPr>
        <w:rPr>
          <w:lang w:val="es-CR"/>
        </w:rPr>
      </w:pPr>
    </w:p>
    <w:p w:rsidR="000A0623" w:rsidRDefault="000A0623" w:rsidP="00943B9C">
      <w:pPr>
        <w:rPr>
          <w:lang w:val="es-CR"/>
        </w:rPr>
      </w:pPr>
      <w:r w:rsidRPr="000A0623">
        <w:rPr>
          <w:lang w:val="es-CR"/>
        </w:rPr>
        <w:t xml:space="preserve">La Corte Interamericana de Derechos Humanos supervisará el cumplimiento íntegro de la Sentencia, en ejercicio de sus atribuciones y en cumplimiento de sus deberes conforme a la Convención Americana sobre Derechos Humanos, y dará por concluido el caso una vez que el Estado haya dado cabal cumplimiento a lo dispuesto en la Sentencia. </w:t>
      </w:r>
    </w:p>
    <w:p w:rsidR="000A0623" w:rsidRDefault="000A0623" w:rsidP="00943B9C">
      <w:pPr>
        <w:rPr>
          <w:lang w:val="es-CR"/>
        </w:rPr>
      </w:pPr>
    </w:p>
    <w:p w:rsidR="000A0623" w:rsidRDefault="000A0623" w:rsidP="00943B9C">
      <w:pPr>
        <w:rPr>
          <w:rFonts w:cs="Arial"/>
          <w:lang w:val="es-CR"/>
        </w:rPr>
      </w:pPr>
      <w:r w:rsidRPr="000A0623">
        <w:rPr>
          <w:lang w:val="es-CR"/>
        </w:rPr>
        <w:t xml:space="preserve">El texto íntegro de la Sentencia puede consultarse en el siguiente enlace: </w:t>
      </w:r>
      <w:hyperlink r:id="rId9" w:history="1">
        <w:r w:rsidR="00E23C15" w:rsidRPr="00392174">
          <w:rPr>
            <w:rStyle w:val="Hyperlink"/>
            <w:lang w:val="es-CR"/>
          </w:rPr>
          <w:t>http://www.corteidh.or.cr/casos.cfm</w:t>
        </w:r>
      </w:hyperlink>
      <w:r>
        <w:rPr>
          <w:lang w:val="es-CR"/>
        </w:rPr>
        <w:t xml:space="preserve"> </w:t>
      </w:r>
    </w:p>
    <w:p w:rsidR="00C35929" w:rsidRPr="00943B9C" w:rsidRDefault="00C35929">
      <w:pPr>
        <w:rPr>
          <w:lang w:val="es-CR"/>
        </w:rPr>
      </w:pPr>
    </w:p>
    <w:sectPr w:rsidR="00C35929" w:rsidRPr="00943B9C" w:rsidSect="00691FCC">
      <w:headerReference w:type="default" r:id="rId10"/>
      <w:pgSz w:w="12240" w:h="15840"/>
      <w:pgMar w:top="1134" w:right="1325"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5BB" w:rsidRDefault="00CB05BB" w:rsidP="00943B9C">
      <w:r>
        <w:separator/>
      </w:r>
    </w:p>
  </w:endnote>
  <w:endnote w:type="continuationSeparator" w:id="0">
    <w:p w:rsidR="00CB05BB" w:rsidRDefault="00CB05BB" w:rsidP="0094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5BB" w:rsidRDefault="00CB05BB" w:rsidP="00943B9C">
      <w:r>
        <w:separator/>
      </w:r>
    </w:p>
  </w:footnote>
  <w:footnote w:type="continuationSeparator" w:id="0">
    <w:p w:rsidR="00CB05BB" w:rsidRDefault="00CB05BB" w:rsidP="00943B9C">
      <w:r>
        <w:continuationSeparator/>
      </w:r>
    </w:p>
  </w:footnote>
  <w:footnote w:id="1">
    <w:p w:rsidR="00840511" w:rsidRPr="00943B9C" w:rsidRDefault="00840511">
      <w:pPr>
        <w:pStyle w:val="FootnoteText"/>
        <w:rPr>
          <w:sz w:val="16"/>
          <w:szCs w:val="16"/>
          <w:lang w:val="es-CR"/>
        </w:rPr>
      </w:pPr>
      <w:r w:rsidRPr="00943B9C">
        <w:rPr>
          <w:rStyle w:val="FootnoteReference"/>
          <w:sz w:val="16"/>
          <w:szCs w:val="16"/>
        </w:rPr>
        <w:footnoteRef/>
      </w:r>
      <w:r w:rsidRPr="00943B9C">
        <w:rPr>
          <w:sz w:val="16"/>
          <w:szCs w:val="16"/>
          <w:lang w:val="es-CR"/>
        </w:rPr>
        <w:t xml:space="preserve"> </w:t>
      </w:r>
      <w:r w:rsidRPr="00943B9C">
        <w:rPr>
          <w:sz w:val="16"/>
          <w:szCs w:val="16"/>
          <w:lang w:val="es-CR"/>
        </w:rPr>
        <w:tab/>
        <w:t>Integrada por los siguientes jueces: Roberto F. Caldas, Presidente; Eduardo Ferrer Mac-Gregor Poisot, Vic</w:t>
      </w:r>
      <w:r w:rsidR="008F1BE2">
        <w:rPr>
          <w:sz w:val="16"/>
          <w:szCs w:val="16"/>
          <w:lang w:val="es-CR"/>
        </w:rPr>
        <w:t>epresidente; Eduardo Vio Grossi</w:t>
      </w:r>
      <w:r w:rsidRPr="00943B9C">
        <w:rPr>
          <w:sz w:val="16"/>
          <w:szCs w:val="16"/>
          <w:lang w:val="es-CR"/>
        </w:rPr>
        <w:t>; Humberto A. Sierra Porto</w:t>
      </w:r>
      <w:r w:rsidR="00512273">
        <w:rPr>
          <w:sz w:val="16"/>
          <w:szCs w:val="16"/>
          <w:lang w:val="es-CR"/>
        </w:rPr>
        <w:t xml:space="preserve">; </w:t>
      </w:r>
      <w:r w:rsidR="00512273" w:rsidRPr="00512273">
        <w:rPr>
          <w:sz w:val="16"/>
          <w:szCs w:val="16"/>
          <w:lang w:val="es-CR"/>
        </w:rPr>
        <w:t>Elizabeth Odio Benito; Eugenio Raúl Zaffaroni; y L. Patricio Pazmiño Freire</w:t>
      </w:r>
      <w:r w:rsidRPr="00943B9C">
        <w:rPr>
          <w:sz w:val="16"/>
          <w:szCs w:val="16"/>
          <w:lang w:val="es-CR"/>
        </w:rPr>
        <w:t xml:space="preserve">. </w:t>
      </w:r>
      <w:r w:rsidR="008F1BE2">
        <w:rPr>
          <w:sz w:val="16"/>
          <w:szCs w:val="16"/>
          <w:lang w:val="es-CR"/>
        </w:rPr>
        <w:t>Estuvieron p</w:t>
      </w:r>
      <w:r w:rsidRPr="00943B9C">
        <w:rPr>
          <w:sz w:val="16"/>
          <w:szCs w:val="16"/>
          <w:lang w:val="es-CR"/>
        </w:rPr>
        <w:t>resente</w:t>
      </w:r>
      <w:r w:rsidR="00512273">
        <w:rPr>
          <w:sz w:val="16"/>
          <w:szCs w:val="16"/>
          <w:lang w:val="es-CR"/>
        </w:rPr>
        <w:t>s</w:t>
      </w:r>
      <w:r w:rsidRPr="00943B9C">
        <w:rPr>
          <w:sz w:val="16"/>
          <w:szCs w:val="16"/>
          <w:lang w:val="es-CR"/>
        </w:rPr>
        <w:t>, además</w:t>
      </w:r>
      <w:r w:rsidR="008F1BE2">
        <w:rPr>
          <w:sz w:val="16"/>
          <w:szCs w:val="16"/>
          <w:lang w:val="es-CR"/>
        </w:rPr>
        <w:t>,</w:t>
      </w:r>
      <w:r w:rsidRPr="00943B9C">
        <w:rPr>
          <w:sz w:val="16"/>
          <w:szCs w:val="16"/>
          <w:lang w:val="es-CR"/>
        </w:rPr>
        <w:t xml:space="preserve"> </w:t>
      </w:r>
      <w:r w:rsidR="008F1BE2">
        <w:rPr>
          <w:sz w:val="16"/>
          <w:szCs w:val="16"/>
          <w:lang w:val="es-CR"/>
        </w:rPr>
        <w:t>P</w:t>
      </w:r>
      <w:r w:rsidRPr="00943B9C">
        <w:rPr>
          <w:sz w:val="16"/>
          <w:szCs w:val="16"/>
          <w:lang w:val="es-CR"/>
        </w:rPr>
        <w:t>ablo Saavedra Alessandri</w:t>
      </w:r>
      <w:r w:rsidR="008F1BE2">
        <w:rPr>
          <w:sz w:val="16"/>
          <w:szCs w:val="16"/>
          <w:lang w:val="es-CR"/>
        </w:rPr>
        <w:t>,</w:t>
      </w:r>
      <w:r w:rsidR="008F1BE2" w:rsidRPr="00943B9C">
        <w:rPr>
          <w:sz w:val="16"/>
          <w:szCs w:val="16"/>
          <w:lang w:val="es-CR"/>
        </w:rPr>
        <w:t xml:space="preserve"> Secretario</w:t>
      </w:r>
      <w:r w:rsidR="008F1BE2">
        <w:rPr>
          <w:sz w:val="16"/>
          <w:szCs w:val="16"/>
          <w:lang w:val="es-CR"/>
        </w:rPr>
        <w:t xml:space="preserve"> de la Corte,</w:t>
      </w:r>
      <w:r w:rsidRPr="00943B9C">
        <w:rPr>
          <w:sz w:val="16"/>
          <w:szCs w:val="16"/>
          <w:lang w:val="es-CR"/>
        </w:rPr>
        <w:t xml:space="preserve"> y Emilia Segares Rodríguez</w:t>
      </w:r>
      <w:r w:rsidR="008F1BE2">
        <w:rPr>
          <w:sz w:val="16"/>
          <w:szCs w:val="16"/>
          <w:lang w:val="es-CR"/>
        </w:rPr>
        <w:t xml:space="preserve">, </w:t>
      </w:r>
      <w:r w:rsidR="008F1BE2" w:rsidRPr="00943B9C">
        <w:rPr>
          <w:sz w:val="16"/>
          <w:szCs w:val="16"/>
          <w:lang w:val="es-CR"/>
        </w:rPr>
        <w:t>la Secretaria Adjunta</w:t>
      </w:r>
      <w:r w:rsidRPr="00943B9C">
        <w:rPr>
          <w:sz w:val="16"/>
          <w:szCs w:val="16"/>
          <w:lang w:val="es-C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03733"/>
      <w:docPartObj>
        <w:docPartGallery w:val="Page Numbers (Top of Page)"/>
        <w:docPartUnique/>
      </w:docPartObj>
    </w:sdtPr>
    <w:sdtEndPr>
      <w:rPr>
        <w:noProof/>
      </w:rPr>
    </w:sdtEndPr>
    <w:sdtContent>
      <w:p w:rsidR="00306878" w:rsidRDefault="00306878">
        <w:pPr>
          <w:pStyle w:val="Header"/>
          <w:jc w:val="center"/>
        </w:pPr>
        <w:r>
          <w:fldChar w:fldCharType="begin"/>
        </w:r>
        <w:r>
          <w:instrText xml:space="preserve"> PAGE   \* MERGEFORMAT </w:instrText>
        </w:r>
        <w:r>
          <w:fldChar w:fldCharType="separate"/>
        </w:r>
        <w:r w:rsidR="006F0DC4">
          <w:rPr>
            <w:noProof/>
          </w:rPr>
          <w:t>2</w:t>
        </w:r>
        <w:r>
          <w:rPr>
            <w:noProof/>
          </w:rPr>
          <w:fldChar w:fldCharType="end"/>
        </w:r>
      </w:p>
    </w:sdtContent>
  </w:sdt>
  <w:p w:rsidR="00306878" w:rsidRDefault="003068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3369E"/>
    <w:multiLevelType w:val="multilevel"/>
    <w:tmpl w:val="F8267062"/>
    <w:lvl w:ilvl="0">
      <w:start w:val="1"/>
      <w:numFmt w:val="decimal"/>
      <w:lvlText w:val="%1."/>
      <w:lvlJc w:val="left"/>
      <w:pPr>
        <w:tabs>
          <w:tab w:val="num" w:pos="1247"/>
        </w:tabs>
        <w:ind w:left="0" w:firstLine="0"/>
      </w:pPr>
      <w:rPr>
        <w:rFonts w:ascii="Verdana" w:eastAsia="Times" w:hAnsi="Verdana" w:cs="Times New Roman"/>
        <w:b w:val="0"/>
        <w:i w:val="0"/>
        <w:sz w:val="20"/>
        <w:lang w:val="es-CR"/>
      </w:rPr>
    </w:lvl>
    <w:lvl w:ilvl="1">
      <w:start w:val="1"/>
      <w:numFmt w:val="lowerLetter"/>
      <w:lvlText w:val="%2)"/>
      <w:lvlJc w:val="left"/>
      <w:pPr>
        <w:tabs>
          <w:tab w:val="num" w:pos="1080"/>
        </w:tabs>
        <w:ind w:left="1080" w:hanging="360"/>
      </w:pPr>
      <w:rPr>
        <w:b w:val="0"/>
        <w:i w:val="0"/>
        <w:sz w:val="18"/>
        <w:szCs w:val="18"/>
      </w:rPr>
    </w:lvl>
    <w:lvl w:ilvl="2">
      <w:start w:val="1"/>
      <w:numFmt w:val="lowerRoman"/>
      <w:lvlText w:val="%3."/>
      <w:lvlJc w:val="right"/>
      <w:pPr>
        <w:tabs>
          <w:tab w:val="num" w:pos="2160"/>
        </w:tabs>
        <w:ind w:left="2160" w:hanging="180"/>
      </w:pPr>
      <w:rPr>
        <w:b/>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A8C0434"/>
    <w:multiLevelType w:val="hybridMultilevel"/>
    <w:tmpl w:val="498003F6"/>
    <w:lvl w:ilvl="0" w:tplc="435EF360">
      <w:start w:val="1"/>
      <w:numFmt w:val="decimal"/>
      <w:lvlText w:val="%1."/>
      <w:lvlJc w:val="left"/>
      <w:pPr>
        <w:ind w:left="720" w:hanging="360"/>
      </w:pPr>
      <w:rPr>
        <w:rFonts w:ascii="Verdana" w:hAnsi="Verdana"/>
        <w:b w:val="0"/>
        <w:i w:val="0"/>
        <w:sz w:val="2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9C"/>
    <w:rsid w:val="00003CD5"/>
    <w:rsid w:val="00016129"/>
    <w:rsid w:val="00074DE8"/>
    <w:rsid w:val="000A0623"/>
    <w:rsid w:val="000A6105"/>
    <w:rsid w:val="000E10FF"/>
    <w:rsid w:val="001D356A"/>
    <w:rsid w:val="001E7DEA"/>
    <w:rsid w:val="001F4CB5"/>
    <w:rsid w:val="002024D0"/>
    <w:rsid w:val="00221BEE"/>
    <w:rsid w:val="00244C3B"/>
    <w:rsid w:val="00265735"/>
    <w:rsid w:val="002E6D40"/>
    <w:rsid w:val="002F501B"/>
    <w:rsid w:val="00306878"/>
    <w:rsid w:val="00313BBB"/>
    <w:rsid w:val="003346AD"/>
    <w:rsid w:val="00345234"/>
    <w:rsid w:val="003529A0"/>
    <w:rsid w:val="00392020"/>
    <w:rsid w:val="003C0EE2"/>
    <w:rsid w:val="003E2EA5"/>
    <w:rsid w:val="00421841"/>
    <w:rsid w:val="00436764"/>
    <w:rsid w:val="00446221"/>
    <w:rsid w:val="00454F1B"/>
    <w:rsid w:val="00466F93"/>
    <w:rsid w:val="00487B8C"/>
    <w:rsid w:val="004934B7"/>
    <w:rsid w:val="004D4C19"/>
    <w:rsid w:val="004F067D"/>
    <w:rsid w:val="00512273"/>
    <w:rsid w:val="005313DA"/>
    <w:rsid w:val="00534C4C"/>
    <w:rsid w:val="00547C67"/>
    <w:rsid w:val="005A3135"/>
    <w:rsid w:val="005A7268"/>
    <w:rsid w:val="005D0E3A"/>
    <w:rsid w:val="005E4612"/>
    <w:rsid w:val="006105C3"/>
    <w:rsid w:val="00613701"/>
    <w:rsid w:val="0063204A"/>
    <w:rsid w:val="00691FCC"/>
    <w:rsid w:val="006A0A32"/>
    <w:rsid w:val="006A774A"/>
    <w:rsid w:val="006F0DC4"/>
    <w:rsid w:val="0070789F"/>
    <w:rsid w:val="007670A6"/>
    <w:rsid w:val="007C0957"/>
    <w:rsid w:val="007D1DF8"/>
    <w:rsid w:val="00806ECF"/>
    <w:rsid w:val="00840511"/>
    <w:rsid w:val="00851BDB"/>
    <w:rsid w:val="00856D78"/>
    <w:rsid w:val="0086001C"/>
    <w:rsid w:val="00881AB1"/>
    <w:rsid w:val="00884FCB"/>
    <w:rsid w:val="008F1BE2"/>
    <w:rsid w:val="00900307"/>
    <w:rsid w:val="00915897"/>
    <w:rsid w:val="00943B9C"/>
    <w:rsid w:val="0096382E"/>
    <w:rsid w:val="009D2D5C"/>
    <w:rsid w:val="009D4795"/>
    <w:rsid w:val="009F31C2"/>
    <w:rsid w:val="00A30310"/>
    <w:rsid w:val="00A33E28"/>
    <w:rsid w:val="00AA4738"/>
    <w:rsid w:val="00AA4F97"/>
    <w:rsid w:val="00B402DD"/>
    <w:rsid w:val="00B67E64"/>
    <w:rsid w:val="00B824F8"/>
    <w:rsid w:val="00B839C2"/>
    <w:rsid w:val="00B8589A"/>
    <w:rsid w:val="00BD3D85"/>
    <w:rsid w:val="00BD640A"/>
    <w:rsid w:val="00BE73F4"/>
    <w:rsid w:val="00BF0F48"/>
    <w:rsid w:val="00C35929"/>
    <w:rsid w:val="00C664AB"/>
    <w:rsid w:val="00CA7B88"/>
    <w:rsid w:val="00CB05BB"/>
    <w:rsid w:val="00CF7432"/>
    <w:rsid w:val="00D52CF8"/>
    <w:rsid w:val="00D76338"/>
    <w:rsid w:val="00DF37E1"/>
    <w:rsid w:val="00E13210"/>
    <w:rsid w:val="00E23C15"/>
    <w:rsid w:val="00E36307"/>
    <w:rsid w:val="00E81235"/>
    <w:rsid w:val="00EA0716"/>
    <w:rsid w:val="00F47D1A"/>
    <w:rsid w:val="00FA0D8F"/>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9C"/>
    <w:pPr>
      <w:spacing w:after="0" w:line="240" w:lineRule="auto"/>
      <w:jc w:val="both"/>
    </w:pPr>
    <w:rPr>
      <w:rFonts w:ascii="Verdana" w:eastAsia="Times New Roman" w:hAnsi="Verdana"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A Fu?notentext,Ca"/>
    <w:basedOn w:val="Normal"/>
    <w:link w:val="FootnoteTextChar"/>
    <w:unhideWhenUsed/>
    <w:qFormat/>
    <w:rsid w:val="00943B9C"/>
    <w:rPr>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basedOn w:val="DefaultParagraphFont"/>
    <w:link w:val="FootnoteText"/>
    <w:rsid w:val="00943B9C"/>
    <w:rPr>
      <w:rFonts w:ascii="Verdana" w:eastAsia="Times New Roman" w:hAnsi="Verdana" w:cs="Times New Roman"/>
      <w:sz w:val="20"/>
      <w:szCs w:val="20"/>
      <w:lang w:val="en-US"/>
    </w:rPr>
  </w:style>
  <w:style w:type="character" w:styleId="FootnoteReference">
    <w:name w:val="footnote reference"/>
    <w:aliases w:val="Texto de nota al pie,Appel note de bas de page,Footnotes refss,Footnote number,referencia nota al pie,BVI fnr,f,4_G,16 Point,Superscript 6 Point,Texto nota al pie,Footnote Reference Char3,Footnote Reference Char1 Char,Ref. de nota al"/>
    <w:basedOn w:val="DefaultParagraphFont"/>
    <w:link w:val="4GChar"/>
    <w:unhideWhenUsed/>
    <w:qFormat/>
    <w:rsid w:val="00943B9C"/>
    <w:rPr>
      <w:vertAlign w:val="superscript"/>
    </w:rPr>
  </w:style>
  <w:style w:type="paragraph" w:styleId="ListParagraph">
    <w:name w:val="List Paragraph"/>
    <w:basedOn w:val="Normal"/>
    <w:link w:val="ListParagraphChar"/>
    <w:qFormat/>
    <w:rsid w:val="00EA0716"/>
    <w:pPr>
      <w:ind w:left="720"/>
      <w:contextualSpacing/>
    </w:pPr>
  </w:style>
  <w:style w:type="character" w:styleId="Hyperlink">
    <w:name w:val="Hyperlink"/>
    <w:basedOn w:val="DefaultParagraphFont"/>
    <w:uiPriority w:val="99"/>
    <w:unhideWhenUsed/>
    <w:rsid w:val="000A0623"/>
    <w:rPr>
      <w:color w:val="0000FF" w:themeColor="hyperlink"/>
      <w:u w:val="single"/>
    </w:rPr>
  </w:style>
  <w:style w:type="character" w:customStyle="1" w:styleId="FootnoteAnchor">
    <w:name w:val="Footnote Anchor"/>
    <w:rsid w:val="00016129"/>
    <w:rPr>
      <w:vertAlign w:val="superscript"/>
    </w:rPr>
  </w:style>
  <w:style w:type="paragraph" w:customStyle="1" w:styleId="Footnotes">
    <w:name w:val="**. Footnotes"/>
    <w:basedOn w:val="FootnoteText"/>
    <w:autoRedefine/>
    <w:qFormat/>
    <w:rsid w:val="00016129"/>
    <w:pPr>
      <w:spacing w:before="120" w:after="120"/>
    </w:pPr>
    <w:rPr>
      <w:bCs/>
      <w:iCs/>
      <w:sz w:val="16"/>
      <w:szCs w:val="16"/>
      <w:lang w:val="es-ES"/>
    </w:rPr>
  </w:style>
  <w:style w:type="paragraph" w:customStyle="1" w:styleId="ColorfulList-Accent12">
    <w:name w:val="Colorful List - Accent 12"/>
    <w:basedOn w:val="Normal"/>
    <w:uiPriority w:val="34"/>
    <w:qFormat/>
    <w:rsid w:val="00016129"/>
    <w:pPr>
      <w:ind w:left="708"/>
    </w:pPr>
  </w:style>
  <w:style w:type="paragraph" w:styleId="BalloonText">
    <w:name w:val="Balloon Text"/>
    <w:basedOn w:val="Normal"/>
    <w:link w:val="BalloonTextChar"/>
    <w:uiPriority w:val="99"/>
    <w:semiHidden/>
    <w:unhideWhenUsed/>
    <w:rsid w:val="00840511"/>
    <w:rPr>
      <w:rFonts w:ascii="Lucida Grande" w:hAnsi="Lucida Grande"/>
      <w:sz w:val="18"/>
      <w:szCs w:val="18"/>
    </w:rPr>
  </w:style>
  <w:style w:type="character" w:customStyle="1" w:styleId="BalloonTextChar">
    <w:name w:val="Balloon Text Char"/>
    <w:basedOn w:val="DefaultParagraphFont"/>
    <w:link w:val="BalloonText"/>
    <w:uiPriority w:val="99"/>
    <w:semiHidden/>
    <w:rsid w:val="00840511"/>
    <w:rPr>
      <w:rFonts w:ascii="Lucida Grande" w:eastAsia="Times New Roman" w:hAnsi="Lucida Grande" w:cs="Times New Roman"/>
      <w:sz w:val="18"/>
      <w:szCs w:val="18"/>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rsid w:val="00512273"/>
    <w:rPr>
      <w:rFonts w:asciiTheme="minorHAnsi" w:eastAsiaTheme="minorHAnsi" w:hAnsiTheme="minorHAnsi" w:cstheme="minorBidi"/>
      <w:sz w:val="22"/>
      <w:szCs w:val="22"/>
      <w:vertAlign w:val="superscript"/>
      <w:lang w:val="es-CR"/>
    </w:rPr>
  </w:style>
  <w:style w:type="character" w:customStyle="1" w:styleId="ListParagraphChar">
    <w:name w:val="List Paragraph Char"/>
    <w:link w:val="ListParagraph"/>
    <w:locked/>
    <w:rsid w:val="00900307"/>
    <w:rPr>
      <w:rFonts w:ascii="Verdana" w:eastAsia="Times New Roman" w:hAnsi="Verdana" w:cs="Times New Roman"/>
      <w:sz w:val="20"/>
      <w:szCs w:val="24"/>
      <w:lang w:val="en-US"/>
    </w:rPr>
  </w:style>
  <w:style w:type="paragraph" w:styleId="Header">
    <w:name w:val="header"/>
    <w:basedOn w:val="Normal"/>
    <w:link w:val="HeaderChar"/>
    <w:uiPriority w:val="99"/>
    <w:unhideWhenUsed/>
    <w:rsid w:val="00306878"/>
    <w:pPr>
      <w:tabs>
        <w:tab w:val="center" w:pos="4419"/>
        <w:tab w:val="right" w:pos="8838"/>
      </w:tabs>
    </w:pPr>
  </w:style>
  <w:style w:type="character" w:customStyle="1" w:styleId="HeaderChar">
    <w:name w:val="Header Char"/>
    <w:basedOn w:val="DefaultParagraphFont"/>
    <w:link w:val="Header"/>
    <w:uiPriority w:val="99"/>
    <w:rsid w:val="00306878"/>
    <w:rPr>
      <w:rFonts w:ascii="Verdana" w:eastAsia="Times New Roman" w:hAnsi="Verdana" w:cs="Times New Roman"/>
      <w:sz w:val="20"/>
      <w:szCs w:val="24"/>
      <w:lang w:val="en-US"/>
    </w:rPr>
  </w:style>
  <w:style w:type="paragraph" w:styleId="Footer">
    <w:name w:val="footer"/>
    <w:basedOn w:val="Normal"/>
    <w:link w:val="FooterChar"/>
    <w:uiPriority w:val="99"/>
    <w:unhideWhenUsed/>
    <w:rsid w:val="00306878"/>
    <w:pPr>
      <w:tabs>
        <w:tab w:val="center" w:pos="4419"/>
        <w:tab w:val="right" w:pos="8838"/>
      </w:tabs>
    </w:pPr>
  </w:style>
  <w:style w:type="character" w:customStyle="1" w:styleId="FooterChar">
    <w:name w:val="Footer Char"/>
    <w:basedOn w:val="DefaultParagraphFont"/>
    <w:link w:val="Footer"/>
    <w:uiPriority w:val="99"/>
    <w:rsid w:val="00306878"/>
    <w:rPr>
      <w:rFonts w:ascii="Verdana" w:eastAsia="Times New Roman" w:hAnsi="Verdana" w:cs="Times New Roman"/>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9C"/>
    <w:pPr>
      <w:spacing w:after="0" w:line="240" w:lineRule="auto"/>
      <w:jc w:val="both"/>
    </w:pPr>
    <w:rPr>
      <w:rFonts w:ascii="Verdana" w:eastAsia="Times New Roman" w:hAnsi="Verdana"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A Fu?notentext,Ca"/>
    <w:basedOn w:val="Normal"/>
    <w:link w:val="FootnoteTextChar"/>
    <w:unhideWhenUsed/>
    <w:qFormat/>
    <w:rsid w:val="00943B9C"/>
    <w:rPr>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basedOn w:val="DefaultParagraphFont"/>
    <w:link w:val="FootnoteText"/>
    <w:rsid w:val="00943B9C"/>
    <w:rPr>
      <w:rFonts w:ascii="Verdana" w:eastAsia="Times New Roman" w:hAnsi="Verdana" w:cs="Times New Roman"/>
      <w:sz w:val="20"/>
      <w:szCs w:val="20"/>
      <w:lang w:val="en-US"/>
    </w:rPr>
  </w:style>
  <w:style w:type="character" w:styleId="FootnoteReference">
    <w:name w:val="footnote reference"/>
    <w:aliases w:val="Texto de nota al pie,Appel note de bas de page,Footnotes refss,Footnote number,referencia nota al pie,BVI fnr,f,4_G,16 Point,Superscript 6 Point,Texto nota al pie,Footnote Reference Char3,Footnote Reference Char1 Char,Ref. de nota al"/>
    <w:basedOn w:val="DefaultParagraphFont"/>
    <w:link w:val="4GChar"/>
    <w:unhideWhenUsed/>
    <w:qFormat/>
    <w:rsid w:val="00943B9C"/>
    <w:rPr>
      <w:vertAlign w:val="superscript"/>
    </w:rPr>
  </w:style>
  <w:style w:type="paragraph" w:styleId="ListParagraph">
    <w:name w:val="List Paragraph"/>
    <w:basedOn w:val="Normal"/>
    <w:link w:val="ListParagraphChar"/>
    <w:qFormat/>
    <w:rsid w:val="00EA0716"/>
    <w:pPr>
      <w:ind w:left="720"/>
      <w:contextualSpacing/>
    </w:pPr>
  </w:style>
  <w:style w:type="character" w:styleId="Hyperlink">
    <w:name w:val="Hyperlink"/>
    <w:basedOn w:val="DefaultParagraphFont"/>
    <w:uiPriority w:val="99"/>
    <w:unhideWhenUsed/>
    <w:rsid w:val="000A0623"/>
    <w:rPr>
      <w:color w:val="0000FF" w:themeColor="hyperlink"/>
      <w:u w:val="single"/>
    </w:rPr>
  </w:style>
  <w:style w:type="character" w:customStyle="1" w:styleId="FootnoteAnchor">
    <w:name w:val="Footnote Anchor"/>
    <w:rsid w:val="00016129"/>
    <w:rPr>
      <w:vertAlign w:val="superscript"/>
    </w:rPr>
  </w:style>
  <w:style w:type="paragraph" w:customStyle="1" w:styleId="Footnotes">
    <w:name w:val="**. Footnotes"/>
    <w:basedOn w:val="FootnoteText"/>
    <w:autoRedefine/>
    <w:qFormat/>
    <w:rsid w:val="00016129"/>
    <w:pPr>
      <w:spacing w:before="120" w:after="120"/>
    </w:pPr>
    <w:rPr>
      <w:bCs/>
      <w:iCs/>
      <w:sz w:val="16"/>
      <w:szCs w:val="16"/>
      <w:lang w:val="es-ES"/>
    </w:rPr>
  </w:style>
  <w:style w:type="paragraph" w:customStyle="1" w:styleId="ColorfulList-Accent12">
    <w:name w:val="Colorful List - Accent 12"/>
    <w:basedOn w:val="Normal"/>
    <w:uiPriority w:val="34"/>
    <w:qFormat/>
    <w:rsid w:val="00016129"/>
    <w:pPr>
      <w:ind w:left="708"/>
    </w:pPr>
  </w:style>
  <w:style w:type="paragraph" w:styleId="BalloonText">
    <w:name w:val="Balloon Text"/>
    <w:basedOn w:val="Normal"/>
    <w:link w:val="BalloonTextChar"/>
    <w:uiPriority w:val="99"/>
    <w:semiHidden/>
    <w:unhideWhenUsed/>
    <w:rsid w:val="00840511"/>
    <w:rPr>
      <w:rFonts w:ascii="Lucida Grande" w:hAnsi="Lucida Grande"/>
      <w:sz w:val="18"/>
      <w:szCs w:val="18"/>
    </w:rPr>
  </w:style>
  <w:style w:type="character" w:customStyle="1" w:styleId="BalloonTextChar">
    <w:name w:val="Balloon Text Char"/>
    <w:basedOn w:val="DefaultParagraphFont"/>
    <w:link w:val="BalloonText"/>
    <w:uiPriority w:val="99"/>
    <w:semiHidden/>
    <w:rsid w:val="00840511"/>
    <w:rPr>
      <w:rFonts w:ascii="Lucida Grande" w:eastAsia="Times New Roman" w:hAnsi="Lucida Grande" w:cs="Times New Roman"/>
      <w:sz w:val="18"/>
      <w:szCs w:val="18"/>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rsid w:val="00512273"/>
    <w:rPr>
      <w:rFonts w:asciiTheme="minorHAnsi" w:eastAsiaTheme="minorHAnsi" w:hAnsiTheme="minorHAnsi" w:cstheme="minorBidi"/>
      <w:sz w:val="22"/>
      <w:szCs w:val="22"/>
      <w:vertAlign w:val="superscript"/>
      <w:lang w:val="es-CR"/>
    </w:rPr>
  </w:style>
  <w:style w:type="character" w:customStyle="1" w:styleId="ListParagraphChar">
    <w:name w:val="List Paragraph Char"/>
    <w:link w:val="ListParagraph"/>
    <w:locked/>
    <w:rsid w:val="00900307"/>
    <w:rPr>
      <w:rFonts w:ascii="Verdana" w:eastAsia="Times New Roman" w:hAnsi="Verdana" w:cs="Times New Roman"/>
      <w:sz w:val="20"/>
      <w:szCs w:val="24"/>
      <w:lang w:val="en-US"/>
    </w:rPr>
  </w:style>
  <w:style w:type="paragraph" w:styleId="Header">
    <w:name w:val="header"/>
    <w:basedOn w:val="Normal"/>
    <w:link w:val="HeaderChar"/>
    <w:uiPriority w:val="99"/>
    <w:unhideWhenUsed/>
    <w:rsid w:val="00306878"/>
    <w:pPr>
      <w:tabs>
        <w:tab w:val="center" w:pos="4419"/>
        <w:tab w:val="right" w:pos="8838"/>
      </w:tabs>
    </w:pPr>
  </w:style>
  <w:style w:type="character" w:customStyle="1" w:styleId="HeaderChar">
    <w:name w:val="Header Char"/>
    <w:basedOn w:val="DefaultParagraphFont"/>
    <w:link w:val="Header"/>
    <w:uiPriority w:val="99"/>
    <w:rsid w:val="00306878"/>
    <w:rPr>
      <w:rFonts w:ascii="Verdana" w:eastAsia="Times New Roman" w:hAnsi="Verdana" w:cs="Times New Roman"/>
      <w:sz w:val="20"/>
      <w:szCs w:val="24"/>
      <w:lang w:val="en-US"/>
    </w:rPr>
  </w:style>
  <w:style w:type="paragraph" w:styleId="Footer">
    <w:name w:val="footer"/>
    <w:basedOn w:val="Normal"/>
    <w:link w:val="FooterChar"/>
    <w:uiPriority w:val="99"/>
    <w:unhideWhenUsed/>
    <w:rsid w:val="00306878"/>
    <w:pPr>
      <w:tabs>
        <w:tab w:val="center" w:pos="4419"/>
        <w:tab w:val="right" w:pos="8838"/>
      </w:tabs>
    </w:pPr>
  </w:style>
  <w:style w:type="character" w:customStyle="1" w:styleId="FooterChar">
    <w:name w:val="Footer Char"/>
    <w:basedOn w:val="DefaultParagraphFont"/>
    <w:link w:val="Footer"/>
    <w:uiPriority w:val="99"/>
    <w:rsid w:val="00306878"/>
    <w:rPr>
      <w:rFonts w:ascii="Verdana" w:eastAsia="Times New Roman" w:hAnsi="Verdana"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rteidh.or.cr/caso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F5CA2-95EB-4354-A6E2-47834DD3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2748</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"Corte IDH" &lt;corteidh@corteidh.or.cr&gt;</dc:creator>
  <cp:lastModifiedBy>Magda Ramirez</cp:lastModifiedBy>
  <cp:revision>2</cp:revision>
  <cp:lastPrinted>2016-12-09T20:25:00Z</cp:lastPrinted>
  <dcterms:created xsi:type="dcterms:W3CDTF">2016-12-09T21:37:00Z</dcterms:created>
  <dcterms:modified xsi:type="dcterms:W3CDTF">2016-12-09T21:37:00Z</dcterms:modified>
</cp:coreProperties>
</file>