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183F6" w14:textId="168E9B79" w:rsidR="00DF0926" w:rsidRPr="000B588B" w:rsidRDefault="00D74FD4" w:rsidP="007C40A9">
      <w:pPr>
        <w:spacing w:line="360" w:lineRule="auto"/>
        <w:jc w:val="center"/>
        <w:rPr>
          <w:rFonts w:asciiTheme="minorHAnsi" w:hAnsiTheme="minorHAnsi" w:cstheme="minorHAnsi"/>
          <w:noProof/>
          <w:color w:val="000000" w:themeColor="text1"/>
        </w:rPr>
      </w:pPr>
      <w:r>
        <w:rPr>
          <w:rFonts w:asciiTheme="minorHAnsi" w:hAnsiTheme="minorHAnsi" w:cstheme="minorHAnsi"/>
          <w:noProof/>
          <w:color w:val="000000" w:themeColor="text1"/>
        </w:rPr>
        <w:drawing>
          <wp:anchor distT="0" distB="0" distL="114300" distR="114300" simplePos="0" relativeHeight="251658240" behindDoc="0" locked="0" layoutInCell="1" allowOverlap="1" wp14:anchorId="4A79A11B" wp14:editId="2AA02478">
            <wp:simplePos x="0" y="0"/>
            <wp:positionH relativeFrom="page">
              <wp:align>left</wp:align>
            </wp:positionH>
            <wp:positionV relativeFrom="page">
              <wp:align>top</wp:align>
            </wp:positionV>
            <wp:extent cx="7570800" cy="1067760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para relatórios da CPJUD - Coordenadoria de Pesquisa Judiciária_Capa_Participação Feminina.png"/>
                    <pic:cNvPicPr/>
                  </pic:nvPicPr>
                  <pic:blipFill>
                    <a:blip r:embed="rId9">
                      <a:extLst>
                        <a:ext uri="{28A0092B-C50C-407E-A947-70E740481C1C}">
                          <a14:useLocalDpi xmlns:a14="http://schemas.microsoft.com/office/drawing/2010/main" val="0"/>
                        </a:ext>
                      </a:extLst>
                    </a:blip>
                    <a:stretch>
                      <a:fillRect/>
                    </a:stretch>
                  </pic:blipFill>
                  <pic:spPr>
                    <a:xfrm>
                      <a:off x="0" y="0"/>
                      <a:ext cx="7570800" cy="10677600"/>
                    </a:xfrm>
                    <a:prstGeom prst="rect">
                      <a:avLst/>
                    </a:prstGeom>
                  </pic:spPr>
                </pic:pic>
              </a:graphicData>
            </a:graphic>
            <wp14:sizeRelH relativeFrom="page">
              <wp14:pctWidth>0</wp14:pctWidth>
            </wp14:sizeRelH>
            <wp14:sizeRelV relativeFrom="page">
              <wp14:pctHeight>0</wp14:pctHeight>
            </wp14:sizeRelV>
          </wp:anchor>
        </w:drawing>
      </w:r>
      <w:r w:rsidR="00DF0926" w:rsidRPr="000B588B">
        <w:rPr>
          <w:rFonts w:asciiTheme="minorHAnsi" w:hAnsiTheme="minorHAnsi" w:cstheme="minorHAnsi"/>
          <w:noProof/>
          <w:color w:val="000000" w:themeColor="text1"/>
          <w:highlight w:val="yellow"/>
        </w:rPr>
        <w:t>[CAPA]</w:t>
      </w:r>
    </w:p>
    <w:p w14:paraId="187DB29E" w14:textId="7B8476E1" w:rsidR="007A1C8C" w:rsidRPr="000B588B" w:rsidRDefault="007A1C8C" w:rsidP="007C40A9">
      <w:pPr>
        <w:spacing w:line="360" w:lineRule="auto"/>
        <w:rPr>
          <w:rStyle w:val="oypena"/>
          <w:rFonts w:asciiTheme="minorHAnsi" w:hAnsiTheme="minorHAnsi" w:cstheme="minorHAnsi"/>
          <w:color w:val="000000" w:themeColor="text1"/>
        </w:rPr>
      </w:pPr>
      <w:r w:rsidRPr="000B588B">
        <w:rPr>
          <w:rFonts w:asciiTheme="minorHAnsi" w:hAnsiTheme="minorHAnsi" w:cstheme="minorHAnsi"/>
          <w:color w:val="000000" w:themeColor="text1"/>
        </w:rPr>
        <w:br w:type="page"/>
      </w:r>
    </w:p>
    <w:p w14:paraId="5174846D"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7BA52DA2"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18AE5A9D"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18D17D08"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672A3E9E"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58AE484B"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0A168238"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1C7DE499"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0B213F78"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1E0A2E72"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4E5C8EB6"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3E0DC514"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4D4268E8"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5818FE44"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7E611ED4"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3EF8F6E7"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25AA600A" w14:textId="29844CD0" w:rsidR="00B8378D" w:rsidRPr="00B8378D" w:rsidRDefault="008327B3" w:rsidP="00B8378D">
      <w:pPr>
        <w:jc w:val="center"/>
        <w:rPr>
          <w:rFonts w:asciiTheme="minorHAnsi" w:hAnsiTheme="minorHAnsi" w:cstheme="minorHAnsi"/>
          <w:b/>
          <w:sz w:val="28"/>
          <w:szCs w:val="28"/>
        </w:rPr>
      </w:pPr>
      <w:r>
        <w:rPr>
          <w:rFonts w:asciiTheme="minorHAnsi" w:hAnsiTheme="minorHAnsi" w:cstheme="minorHAnsi"/>
          <w:b/>
          <w:sz w:val="28"/>
          <w:szCs w:val="28"/>
        </w:rPr>
        <w:t>PESQUISA SOBRE A</w:t>
      </w:r>
      <w:r w:rsidR="00B8378D" w:rsidRPr="00B8378D">
        <w:rPr>
          <w:rFonts w:asciiTheme="minorHAnsi" w:hAnsiTheme="minorHAnsi" w:cstheme="minorHAnsi"/>
          <w:b/>
          <w:sz w:val="28"/>
          <w:szCs w:val="28"/>
        </w:rPr>
        <w:t xml:space="preserve"> PARTICI</w:t>
      </w:r>
      <w:r w:rsidR="00B8378D">
        <w:rPr>
          <w:rFonts w:asciiTheme="minorHAnsi" w:hAnsiTheme="minorHAnsi" w:cstheme="minorHAnsi"/>
          <w:b/>
          <w:sz w:val="28"/>
          <w:szCs w:val="28"/>
        </w:rPr>
        <w:t xml:space="preserve">PAÇÃO FEMININA NO </w:t>
      </w:r>
      <w:r w:rsidR="002F3A44">
        <w:rPr>
          <w:rFonts w:asciiTheme="minorHAnsi" w:hAnsiTheme="minorHAnsi" w:cstheme="minorHAnsi"/>
          <w:b/>
          <w:sz w:val="28"/>
          <w:szCs w:val="28"/>
        </w:rPr>
        <w:t>TRIBUNAL SUPERIOR DO TRABALHO E NO CONSELHO SUPERIOR DA JUSTIÇA DO TRABALHO</w:t>
      </w:r>
    </w:p>
    <w:p w14:paraId="4172FC69" w14:textId="77777777" w:rsidR="00FB0ADA" w:rsidRPr="000B588B" w:rsidRDefault="00FB0ADA" w:rsidP="007C40A9">
      <w:pPr>
        <w:spacing w:line="360" w:lineRule="auto"/>
        <w:rPr>
          <w:rStyle w:val="oypena"/>
          <w:rFonts w:asciiTheme="minorHAnsi" w:hAnsiTheme="minorHAnsi" w:cstheme="minorHAnsi"/>
          <w:color w:val="000000" w:themeColor="text1"/>
        </w:rPr>
      </w:pPr>
    </w:p>
    <w:p w14:paraId="4E39181F" w14:textId="0B6ADA81" w:rsidR="0093711C" w:rsidRPr="000B588B" w:rsidRDefault="0093711C" w:rsidP="007C40A9">
      <w:pPr>
        <w:spacing w:line="360" w:lineRule="auto"/>
        <w:rPr>
          <w:rStyle w:val="oypena"/>
          <w:rFonts w:asciiTheme="minorHAnsi" w:hAnsiTheme="minorHAnsi" w:cstheme="minorHAnsi"/>
          <w:color w:val="000000" w:themeColor="text1"/>
        </w:rPr>
      </w:pPr>
      <w:r w:rsidRPr="000B588B">
        <w:rPr>
          <w:rStyle w:val="oypena"/>
          <w:rFonts w:asciiTheme="minorHAnsi" w:hAnsiTheme="minorHAnsi" w:cstheme="minorHAnsi"/>
          <w:color w:val="000000" w:themeColor="text1"/>
        </w:rPr>
        <w:br w:type="page"/>
      </w:r>
    </w:p>
    <w:p w14:paraId="36B613E4" w14:textId="10620D04" w:rsidR="00FB0ADA" w:rsidRPr="00C10350" w:rsidRDefault="00FB0ADA" w:rsidP="007C40A9">
      <w:pPr>
        <w:jc w:val="center"/>
        <w:rPr>
          <w:rFonts w:asciiTheme="minorHAnsi" w:hAnsiTheme="minorHAnsi" w:cstheme="minorHAnsi"/>
        </w:rPr>
      </w:pPr>
      <w:r w:rsidRPr="00C10350">
        <w:rPr>
          <w:rFonts w:asciiTheme="minorHAnsi" w:hAnsiTheme="minorHAnsi" w:cstheme="minorHAnsi"/>
          <w:b/>
          <w:bCs/>
          <w:color w:val="000000"/>
        </w:rPr>
        <w:lastRenderedPageBreak/>
        <w:t>COMPOSIÇÃO DO TRIBUNAL SUPERIOR DO TRABALHO</w:t>
      </w:r>
    </w:p>
    <w:p w14:paraId="0225E215" w14:textId="5FF1A6FD" w:rsidR="00FB0ADA" w:rsidRPr="00C10350" w:rsidRDefault="00FB0ADA" w:rsidP="007C40A9">
      <w:pPr>
        <w:jc w:val="center"/>
        <w:rPr>
          <w:rFonts w:asciiTheme="minorHAnsi" w:hAnsiTheme="minorHAnsi" w:cstheme="minorHAnsi"/>
          <w:sz w:val="18"/>
          <w:szCs w:val="18"/>
        </w:rPr>
      </w:pPr>
      <w:r w:rsidRPr="00C10350">
        <w:rPr>
          <w:rFonts w:asciiTheme="minorHAnsi" w:hAnsiTheme="minorHAnsi" w:cstheme="minorHAnsi"/>
          <w:color w:val="000000"/>
          <w:sz w:val="18"/>
          <w:szCs w:val="18"/>
        </w:rPr>
        <w:t xml:space="preserve">(Composição em </w:t>
      </w:r>
      <w:r w:rsidR="00B8378D">
        <w:rPr>
          <w:rFonts w:asciiTheme="minorHAnsi" w:hAnsiTheme="minorHAnsi" w:cstheme="minorHAnsi"/>
          <w:color w:val="000000"/>
          <w:sz w:val="18"/>
          <w:szCs w:val="18"/>
        </w:rPr>
        <w:t>3</w:t>
      </w:r>
      <w:r w:rsidR="009A0D9E">
        <w:rPr>
          <w:rFonts w:asciiTheme="minorHAnsi" w:hAnsiTheme="minorHAnsi" w:cstheme="minorHAnsi"/>
          <w:color w:val="000000"/>
          <w:sz w:val="18"/>
          <w:szCs w:val="18"/>
        </w:rPr>
        <w:t>1</w:t>
      </w:r>
      <w:r w:rsidR="00B8378D">
        <w:rPr>
          <w:rFonts w:asciiTheme="minorHAnsi" w:hAnsiTheme="minorHAnsi" w:cstheme="minorHAnsi"/>
          <w:color w:val="000000"/>
          <w:sz w:val="18"/>
          <w:szCs w:val="18"/>
        </w:rPr>
        <w:t>/07/2025</w:t>
      </w:r>
      <w:r w:rsidRPr="00C10350">
        <w:rPr>
          <w:rFonts w:asciiTheme="minorHAnsi" w:hAnsiTheme="minorHAnsi" w:cstheme="minorHAnsi"/>
          <w:color w:val="000000"/>
          <w:sz w:val="18"/>
          <w:szCs w:val="18"/>
        </w:rPr>
        <w:t>)</w:t>
      </w:r>
    </w:p>
    <w:p w14:paraId="025EE15A" w14:textId="77777777" w:rsidR="00FB0ADA" w:rsidRPr="00C10350" w:rsidRDefault="00FB0ADA" w:rsidP="007C40A9">
      <w:pPr>
        <w:jc w:val="center"/>
        <w:rPr>
          <w:rFonts w:asciiTheme="minorHAnsi" w:hAnsiTheme="minorHAnsi" w:cstheme="minorHAnsi"/>
          <w:sz w:val="18"/>
          <w:szCs w:val="18"/>
        </w:rPr>
      </w:pPr>
    </w:p>
    <w:p w14:paraId="7F275F79" w14:textId="7E843459" w:rsidR="0093711C" w:rsidRPr="00C10350" w:rsidRDefault="0093711C" w:rsidP="007C40A9">
      <w:pPr>
        <w:jc w:val="center"/>
        <w:rPr>
          <w:rFonts w:asciiTheme="minorHAnsi" w:hAnsiTheme="minorHAnsi" w:cstheme="minorHAnsi"/>
          <w:b/>
          <w:sz w:val="18"/>
          <w:szCs w:val="18"/>
        </w:rPr>
      </w:pPr>
      <w:r w:rsidRPr="00C10350">
        <w:rPr>
          <w:rFonts w:asciiTheme="minorHAnsi" w:hAnsiTheme="minorHAnsi" w:cstheme="minorHAnsi"/>
          <w:b/>
          <w:sz w:val="18"/>
          <w:szCs w:val="18"/>
        </w:rPr>
        <w:t>PRESIDENTE</w:t>
      </w:r>
    </w:p>
    <w:p w14:paraId="2486A40A" w14:textId="77777777" w:rsidR="0093711C" w:rsidRPr="00C10350" w:rsidRDefault="0093711C" w:rsidP="007C40A9">
      <w:pPr>
        <w:jc w:val="center"/>
        <w:rPr>
          <w:rFonts w:asciiTheme="minorHAnsi" w:hAnsiTheme="minorHAnsi" w:cstheme="minorHAnsi"/>
          <w:sz w:val="18"/>
          <w:szCs w:val="18"/>
        </w:rPr>
      </w:pPr>
      <w:r w:rsidRPr="00C10350">
        <w:rPr>
          <w:rFonts w:asciiTheme="minorHAnsi" w:hAnsiTheme="minorHAnsi" w:cstheme="minorHAnsi"/>
          <w:sz w:val="18"/>
          <w:szCs w:val="18"/>
        </w:rPr>
        <w:t>Ministro Aloysio Corrêa da Veiga</w:t>
      </w:r>
    </w:p>
    <w:p w14:paraId="5C4FC981" w14:textId="1887CCDE" w:rsidR="0093711C" w:rsidRPr="00C10350" w:rsidRDefault="0093711C" w:rsidP="007C40A9">
      <w:pPr>
        <w:jc w:val="center"/>
        <w:rPr>
          <w:rFonts w:asciiTheme="minorHAnsi" w:hAnsiTheme="minorHAnsi" w:cstheme="minorHAnsi"/>
          <w:b/>
          <w:sz w:val="18"/>
          <w:szCs w:val="18"/>
        </w:rPr>
      </w:pPr>
      <w:r w:rsidRPr="00C10350">
        <w:rPr>
          <w:rFonts w:asciiTheme="minorHAnsi" w:hAnsiTheme="minorHAnsi" w:cstheme="minorHAnsi"/>
          <w:b/>
          <w:sz w:val="18"/>
          <w:szCs w:val="18"/>
        </w:rPr>
        <w:t>VICE-PRESIDENTE</w:t>
      </w:r>
    </w:p>
    <w:p w14:paraId="7BF24AB4" w14:textId="77777777" w:rsidR="0093711C" w:rsidRPr="00C10350" w:rsidRDefault="0093711C" w:rsidP="007C40A9">
      <w:pPr>
        <w:jc w:val="center"/>
        <w:rPr>
          <w:rFonts w:asciiTheme="minorHAnsi" w:hAnsiTheme="minorHAnsi" w:cstheme="minorHAnsi"/>
          <w:sz w:val="18"/>
          <w:szCs w:val="18"/>
        </w:rPr>
      </w:pPr>
      <w:r w:rsidRPr="00C10350">
        <w:rPr>
          <w:rFonts w:asciiTheme="minorHAnsi" w:hAnsiTheme="minorHAnsi" w:cstheme="minorHAnsi"/>
          <w:sz w:val="18"/>
          <w:szCs w:val="18"/>
        </w:rPr>
        <w:t>Ministro Mauricio José Godinho Delgado</w:t>
      </w:r>
    </w:p>
    <w:p w14:paraId="1928CA5D" w14:textId="664CA5A9" w:rsidR="0093711C" w:rsidRPr="00C10350" w:rsidRDefault="0093711C" w:rsidP="007C40A9">
      <w:pPr>
        <w:jc w:val="center"/>
        <w:rPr>
          <w:rFonts w:asciiTheme="minorHAnsi" w:hAnsiTheme="minorHAnsi" w:cstheme="minorHAnsi"/>
          <w:b/>
          <w:sz w:val="18"/>
          <w:szCs w:val="18"/>
        </w:rPr>
      </w:pPr>
      <w:r w:rsidRPr="00C10350">
        <w:rPr>
          <w:rFonts w:asciiTheme="minorHAnsi" w:hAnsiTheme="minorHAnsi" w:cstheme="minorHAnsi"/>
          <w:b/>
          <w:sz w:val="18"/>
          <w:szCs w:val="18"/>
        </w:rPr>
        <w:t>CORREGEDOR-GERAL DA JUSTIÇA DO TRABALHO</w:t>
      </w:r>
    </w:p>
    <w:p w14:paraId="4CE805B6" w14:textId="77777777" w:rsidR="0093711C" w:rsidRPr="00C10350" w:rsidRDefault="0093711C" w:rsidP="007C40A9">
      <w:pPr>
        <w:jc w:val="center"/>
        <w:rPr>
          <w:rFonts w:asciiTheme="minorHAnsi" w:hAnsiTheme="minorHAnsi" w:cstheme="minorHAnsi"/>
          <w:sz w:val="18"/>
          <w:szCs w:val="18"/>
        </w:rPr>
      </w:pPr>
      <w:r w:rsidRPr="00C10350">
        <w:rPr>
          <w:rFonts w:asciiTheme="minorHAnsi" w:hAnsiTheme="minorHAnsi" w:cstheme="minorHAnsi"/>
          <w:sz w:val="18"/>
          <w:szCs w:val="18"/>
        </w:rPr>
        <w:t>Ministro Luiz Philippe Vieira de Mello Filho</w:t>
      </w:r>
    </w:p>
    <w:p w14:paraId="696913BE" w14:textId="2E07FC68" w:rsidR="0093711C" w:rsidRPr="00966C50" w:rsidRDefault="0093711C" w:rsidP="007C40A9">
      <w:pPr>
        <w:jc w:val="center"/>
        <w:rPr>
          <w:rFonts w:asciiTheme="minorHAnsi" w:hAnsiTheme="minorHAnsi" w:cstheme="minorHAnsi"/>
          <w:sz w:val="4"/>
          <w:szCs w:val="4"/>
        </w:rPr>
      </w:pPr>
      <w:r w:rsidRPr="00C10350">
        <w:rPr>
          <w:rFonts w:asciiTheme="minorHAnsi" w:hAnsiTheme="minorHAnsi" w:cstheme="minorHAnsi"/>
          <w:b/>
          <w:sz w:val="18"/>
          <w:szCs w:val="18"/>
        </w:rPr>
        <w:t>MINISTROS</w:t>
      </w:r>
    </w:p>
    <w:p w14:paraId="3859CCFE" w14:textId="77777777" w:rsidR="0093711C" w:rsidRPr="00C10350" w:rsidRDefault="0093711C" w:rsidP="007C40A9">
      <w:pPr>
        <w:rPr>
          <w:rFonts w:asciiTheme="minorHAnsi" w:hAnsiTheme="minorHAnsi" w:cstheme="minorHAnsi"/>
          <w:color w:val="000000"/>
          <w:sz w:val="18"/>
          <w:szCs w:val="18"/>
        </w:rPr>
        <w:sectPr w:rsidR="0093711C" w:rsidRPr="00C10350" w:rsidSect="000B588B">
          <w:type w:val="continuous"/>
          <w:pgSz w:w="11907" w:h="16840" w:code="9"/>
          <w:pgMar w:top="1134" w:right="1134" w:bottom="1134" w:left="1134" w:header="709" w:footer="709" w:gutter="0"/>
          <w:cols w:space="708"/>
          <w:docGrid w:linePitch="360"/>
        </w:sectPr>
      </w:pPr>
    </w:p>
    <w:p w14:paraId="512E061D" w14:textId="2B3C035D"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lastRenderedPageBreak/>
        <w:t>Ministro Ives Gandra da Silva Martins Filho</w:t>
      </w:r>
    </w:p>
    <w:p w14:paraId="6DAD6FFF" w14:textId="77777777"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t>Ministra Maria Cristina Irigoyen Peduzzi</w:t>
      </w:r>
    </w:p>
    <w:p w14:paraId="31AE699F" w14:textId="77777777"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t>Ministro Lelio Bentes Corrêa</w:t>
      </w:r>
    </w:p>
    <w:p w14:paraId="0B16C677" w14:textId="77777777"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t>Ministra Dora Maria da Costa</w:t>
      </w:r>
    </w:p>
    <w:p w14:paraId="03C88492" w14:textId="77777777"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t>Ministro Guilherme Augusto Caputo Bastos</w:t>
      </w:r>
    </w:p>
    <w:p w14:paraId="3E929780" w14:textId="77777777"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t>Ministra Kátia Magalhães Arruda</w:t>
      </w:r>
    </w:p>
    <w:p w14:paraId="18CAE7C3" w14:textId="77777777"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t>Ministro Augusto César Leite de Carvalho</w:t>
      </w:r>
    </w:p>
    <w:p w14:paraId="3B29EAA6" w14:textId="77777777"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t>Ministro José Roberto Freire Pimenta</w:t>
      </w:r>
    </w:p>
    <w:p w14:paraId="521BAEBB" w14:textId="77777777"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t>Ministra Delaíde Alves Miranda Arantes</w:t>
      </w:r>
    </w:p>
    <w:p w14:paraId="0B0B2044" w14:textId="77777777"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t>Ministro Hugo Carlos Scheuermann</w:t>
      </w:r>
    </w:p>
    <w:p w14:paraId="44E18C7F" w14:textId="77777777"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t>Ministro Alexandre de Souza Agra Belmonte</w:t>
      </w:r>
    </w:p>
    <w:p w14:paraId="1BD7BC08" w14:textId="77777777" w:rsidR="00FB0ADA" w:rsidRPr="00C10350" w:rsidRDefault="00FB0ADA" w:rsidP="007C40A9">
      <w:pPr>
        <w:jc w:val="right"/>
        <w:rPr>
          <w:rFonts w:asciiTheme="minorHAnsi" w:hAnsiTheme="minorHAnsi" w:cstheme="minorHAnsi"/>
          <w:sz w:val="18"/>
          <w:szCs w:val="18"/>
        </w:rPr>
      </w:pPr>
      <w:r w:rsidRPr="00C10350">
        <w:rPr>
          <w:rFonts w:asciiTheme="minorHAnsi" w:hAnsiTheme="minorHAnsi" w:cstheme="minorHAnsi"/>
          <w:color w:val="000000"/>
          <w:sz w:val="18"/>
          <w:szCs w:val="18"/>
        </w:rPr>
        <w:t>Ministro Cláudio Mascarenhas Brandão</w:t>
      </w:r>
    </w:p>
    <w:p w14:paraId="3E5534DB" w14:textId="77777777" w:rsidR="00FB0ADA" w:rsidRPr="00C10350" w:rsidRDefault="00FB0ADA" w:rsidP="007C40A9">
      <w:pPr>
        <w:jc w:val="both"/>
        <w:rPr>
          <w:rFonts w:asciiTheme="minorHAnsi" w:hAnsiTheme="minorHAnsi" w:cstheme="minorHAnsi"/>
          <w:sz w:val="18"/>
          <w:szCs w:val="18"/>
        </w:rPr>
      </w:pPr>
      <w:r w:rsidRPr="00C10350">
        <w:rPr>
          <w:rFonts w:asciiTheme="minorHAnsi" w:hAnsiTheme="minorHAnsi" w:cstheme="minorHAnsi"/>
          <w:color w:val="000000"/>
          <w:sz w:val="18"/>
          <w:szCs w:val="18"/>
        </w:rPr>
        <w:lastRenderedPageBreak/>
        <w:t>Ministro Douglas Alencar Rodrigues</w:t>
      </w:r>
    </w:p>
    <w:p w14:paraId="65D98701" w14:textId="77777777" w:rsidR="00FB0ADA" w:rsidRPr="00C10350" w:rsidRDefault="00FB0ADA" w:rsidP="007C40A9">
      <w:pPr>
        <w:jc w:val="both"/>
        <w:rPr>
          <w:rFonts w:asciiTheme="minorHAnsi" w:hAnsiTheme="minorHAnsi" w:cstheme="minorHAnsi"/>
          <w:sz w:val="18"/>
          <w:szCs w:val="18"/>
        </w:rPr>
      </w:pPr>
      <w:r w:rsidRPr="00C10350">
        <w:rPr>
          <w:rFonts w:asciiTheme="minorHAnsi" w:hAnsiTheme="minorHAnsi" w:cstheme="minorHAnsi"/>
          <w:color w:val="000000"/>
          <w:sz w:val="18"/>
          <w:szCs w:val="18"/>
        </w:rPr>
        <w:t>Ministra Maria Helena Mallmann</w:t>
      </w:r>
    </w:p>
    <w:p w14:paraId="651D1C36" w14:textId="77777777" w:rsidR="00FB0ADA" w:rsidRPr="00C10350" w:rsidRDefault="00FB0ADA" w:rsidP="007C40A9">
      <w:pPr>
        <w:jc w:val="both"/>
        <w:rPr>
          <w:rFonts w:asciiTheme="minorHAnsi" w:hAnsiTheme="minorHAnsi" w:cstheme="minorHAnsi"/>
          <w:sz w:val="18"/>
          <w:szCs w:val="18"/>
        </w:rPr>
      </w:pPr>
      <w:r w:rsidRPr="00C10350">
        <w:rPr>
          <w:rFonts w:asciiTheme="minorHAnsi" w:hAnsiTheme="minorHAnsi" w:cstheme="minorHAnsi"/>
          <w:color w:val="000000"/>
          <w:sz w:val="18"/>
          <w:szCs w:val="18"/>
        </w:rPr>
        <w:t>Ministro Breno Medeiros</w:t>
      </w:r>
    </w:p>
    <w:p w14:paraId="28D01E35" w14:textId="77777777" w:rsidR="00FB0ADA" w:rsidRPr="00C10350" w:rsidRDefault="00FB0ADA" w:rsidP="007C40A9">
      <w:pPr>
        <w:jc w:val="both"/>
        <w:rPr>
          <w:rFonts w:asciiTheme="minorHAnsi" w:hAnsiTheme="minorHAnsi" w:cstheme="minorHAnsi"/>
          <w:sz w:val="18"/>
          <w:szCs w:val="18"/>
        </w:rPr>
      </w:pPr>
      <w:r w:rsidRPr="00C10350">
        <w:rPr>
          <w:rFonts w:asciiTheme="minorHAnsi" w:hAnsiTheme="minorHAnsi" w:cstheme="minorHAnsi"/>
          <w:color w:val="000000"/>
          <w:sz w:val="18"/>
          <w:szCs w:val="18"/>
        </w:rPr>
        <w:t>Ministro Alexandre Luiz Ramos</w:t>
      </w:r>
    </w:p>
    <w:p w14:paraId="5323A1E2" w14:textId="77777777" w:rsidR="00FB0ADA" w:rsidRPr="00C10350" w:rsidRDefault="00FB0ADA" w:rsidP="007C40A9">
      <w:pPr>
        <w:jc w:val="both"/>
        <w:rPr>
          <w:rFonts w:asciiTheme="minorHAnsi" w:hAnsiTheme="minorHAnsi" w:cstheme="minorHAnsi"/>
          <w:sz w:val="18"/>
          <w:szCs w:val="18"/>
        </w:rPr>
      </w:pPr>
      <w:r w:rsidRPr="00C10350">
        <w:rPr>
          <w:rFonts w:asciiTheme="minorHAnsi" w:hAnsiTheme="minorHAnsi" w:cstheme="minorHAnsi"/>
          <w:color w:val="000000"/>
          <w:sz w:val="18"/>
          <w:szCs w:val="18"/>
        </w:rPr>
        <w:t>Ministro Luiz José Dezena da Silva</w:t>
      </w:r>
    </w:p>
    <w:p w14:paraId="190631A5" w14:textId="77777777" w:rsidR="00FB0ADA" w:rsidRPr="00C10350" w:rsidRDefault="00FB0ADA" w:rsidP="007C40A9">
      <w:pPr>
        <w:jc w:val="both"/>
        <w:rPr>
          <w:rFonts w:asciiTheme="minorHAnsi" w:hAnsiTheme="minorHAnsi" w:cstheme="minorHAnsi"/>
          <w:sz w:val="18"/>
          <w:szCs w:val="18"/>
        </w:rPr>
      </w:pPr>
      <w:r w:rsidRPr="00C10350">
        <w:rPr>
          <w:rFonts w:asciiTheme="minorHAnsi" w:hAnsiTheme="minorHAnsi" w:cstheme="minorHAnsi"/>
          <w:color w:val="000000"/>
          <w:sz w:val="18"/>
          <w:szCs w:val="18"/>
        </w:rPr>
        <w:t>Ministro Evandro Pereira Valadão Lopes</w:t>
      </w:r>
    </w:p>
    <w:p w14:paraId="1DAB58EA" w14:textId="77777777" w:rsidR="00FB0ADA" w:rsidRPr="00C10350" w:rsidRDefault="00FB0ADA" w:rsidP="007C40A9">
      <w:pPr>
        <w:jc w:val="both"/>
        <w:rPr>
          <w:rFonts w:asciiTheme="minorHAnsi" w:hAnsiTheme="minorHAnsi" w:cstheme="minorHAnsi"/>
          <w:sz w:val="18"/>
          <w:szCs w:val="18"/>
        </w:rPr>
      </w:pPr>
      <w:r w:rsidRPr="00C10350">
        <w:rPr>
          <w:rFonts w:asciiTheme="minorHAnsi" w:hAnsiTheme="minorHAnsi" w:cstheme="minorHAnsi"/>
          <w:color w:val="000000"/>
          <w:sz w:val="18"/>
          <w:szCs w:val="18"/>
        </w:rPr>
        <w:t>Ministro Amaury Rodrigues Pinto Junior</w:t>
      </w:r>
    </w:p>
    <w:p w14:paraId="517ED7E8" w14:textId="77777777" w:rsidR="00FB0ADA" w:rsidRPr="00C10350" w:rsidRDefault="00FB0ADA" w:rsidP="007C40A9">
      <w:pPr>
        <w:jc w:val="both"/>
        <w:rPr>
          <w:rFonts w:asciiTheme="minorHAnsi" w:hAnsiTheme="minorHAnsi" w:cstheme="minorHAnsi"/>
          <w:sz w:val="18"/>
          <w:szCs w:val="18"/>
        </w:rPr>
      </w:pPr>
      <w:r w:rsidRPr="00C10350">
        <w:rPr>
          <w:rFonts w:asciiTheme="minorHAnsi" w:hAnsiTheme="minorHAnsi" w:cstheme="minorHAnsi"/>
          <w:color w:val="000000"/>
          <w:sz w:val="18"/>
          <w:szCs w:val="18"/>
        </w:rPr>
        <w:t>Ministro Alberto Bastos Balazeiro</w:t>
      </w:r>
    </w:p>
    <w:p w14:paraId="0A2DC364" w14:textId="77777777" w:rsidR="00FB0ADA" w:rsidRPr="00C10350" w:rsidRDefault="00FB0ADA" w:rsidP="007C40A9">
      <w:pPr>
        <w:jc w:val="both"/>
        <w:rPr>
          <w:rFonts w:asciiTheme="minorHAnsi" w:hAnsiTheme="minorHAnsi" w:cstheme="minorHAnsi"/>
          <w:sz w:val="18"/>
          <w:szCs w:val="18"/>
        </w:rPr>
      </w:pPr>
      <w:r w:rsidRPr="00C10350">
        <w:rPr>
          <w:rFonts w:asciiTheme="minorHAnsi" w:hAnsiTheme="minorHAnsi" w:cstheme="minorHAnsi"/>
          <w:color w:val="000000"/>
          <w:sz w:val="18"/>
          <w:szCs w:val="18"/>
        </w:rPr>
        <w:t>Ministra Morgana de Almeida Richa</w:t>
      </w:r>
    </w:p>
    <w:p w14:paraId="18AD7A38" w14:textId="77777777" w:rsidR="00FB0ADA" w:rsidRPr="00C10350" w:rsidRDefault="00FB0ADA" w:rsidP="007C40A9">
      <w:pPr>
        <w:jc w:val="both"/>
        <w:rPr>
          <w:rFonts w:asciiTheme="minorHAnsi" w:hAnsiTheme="minorHAnsi" w:cstheme="minorHAnsi"/>
          <w:sz w:val="18"/>
          <w:szCs w:val="18"/>
        </w:rPr>
      </w:pPr>
      <w:r w:rsidRPr="00C10350">
        <w:rPr>
          <w:rFonts w:asciiTheme="minorHAnsi" w:hAnsiTheme="minorHAnsi" w:cstheme="minorHAnsi"/>
          <w:color w:val="000000"/>
          <w:sz w:val="18"/>
          <w:szCs w:val="18"/>
        </w:rPr>
        <w:t>Ministro Sergio Pinto Martins</w:t>
      </w:r>
    </w:p>
    <w:p w14:paraId="5236743C" w14:textId="77777777" w:rsidR="00FB0ADA" w:rsidRPr="00C10350" w:rsidRDefault="00FB0ADA" w:rsidP="007C40A9">
      <w:pPr>
        <w:jc w:val="both"/>
        <w:rPr>
          <w:rFonts w:asciiTheme="minorHAnsi" w:hAnsiTheme="minorHAnsi" w:cstheme="minorHAnsi"/>
          <w:sz w:val="18"/>
          <w:szCs w:val="18"/>
        </w:rPr>
      </w:pPr>
      <w:r w:rsidRPr="00C10350">
        <w:rPr>
          <w:rFonts w:asciiTheme="minorHAnsi" w:hAnsiTheme="minorHAnsi" w:cstheme="minorHAnsi"/>
          <w:color w:val="000000"/>
          <w:sz w:val="18"/>
          <w:szCs w:val="18"/>
        </w:rPr>
        <w:t>Ministra Liana Chaib</w:t>
      </w:r>
    </w:p>
    <w:p w14:paraId="0E15FCFD" w14:textId="77777777" w:rsidR="00FB0ADA" w:rsidRPr="00C10350" w:rsidRDefault="00FB0ADA" w:rsidP="007C40A9">
      <w:pPr>
        <w:jc w:val="both"/>
        <w:rPr>
          <w:rFonts w:asciiTheme="minorHAnsi" w:hAnsiTheme="minorHAnsi" w:cstheme="minorHAnsi"/>
          <w:color w:val="000000"/>
          <w:sz w:val="18"/>
          <w:szCs w:val="18"/>
        </w:rPr>
      </w:pPr>
      <w:r w:rsidRPr="00C10350">
        <w:rPr>
          <w:rFonts w:asciiTheme="minorHAnsi" w:hAnsiTheme="minorHAnsi" w:cstheme="minorHAnsi"/>
          <w:color w:val="000000"/>
          <w:sz w:val="18"/>
          <w:szCs w:val="18"/>
        </w:rPr>
        <w:t>Ministro Antônio Fabrício de Matos Gonçalves</w:t>
      </w:r>
    </w:p>
    <w:p w14:paraId="4A8BAB25" w14:textId="77777777" w:rsidR="0093711C" w:rsidRPr="00C10350" w:rsidRDefault="0093711C" w:rsidP="007C40A9">
      <w:pPr>
        <w:rPr>
          <w:rFonts w:asciiTheme="minorHAnsi" w:hAnsiTheme="minorHAnsi" w:cstheme="minorHAnsi"/>
          <w:sz w:val="18"/>
          <w:szCs w:val="18"/>
        </w:rPr>
        <w:sectPr w:rsidR="0093711C" w:rsidRPr="00C10350" w:rsidSect="000B588B">
          <w:type w:val="continuous"/>
          <w:pgSz w:w="11907" w:h="16840" w:code="9"/>
          <w:pgMar w:top="1134" w:right="1134" w:bottom="1134" w:left="1134" w:header="709" w:footer="709" w:gutter="0"/>
          <w:cols w:num="2" w:space="708"/>
          <w:docGrid w:linePitch="360"/>
        </w:sectPr>
      </w:pPr>
    </w:p>
    <w:p w14:paraId="0CB766BD" w14:textId="681A0DAE" w:rsidR="00EC4E08" w:rsidRPr="0085505B" w:rsidRDefault="00EC4E08" w:rsidP="007C40A9">
      <w:pPr>
        <w:jc w:val="center"/>
        <w:rPr>
          <w:rFonts w:asciiTheme="minorHAnsi" w:hAnsiTheme="minorHAnsi" w:cstheme="minorHAnsi"/>
          <w:szCs w:val="18"/>
        </w:rPr>
      </w:pPr>
    </w:p>
    <w:p w14:paraId="4621EC8E" w14:textId="257C2B7F" w:rsidR="0093711C" w:rsidRPr="00C10350" w:rsidRDefault="0093711C" w:rsidP="007C40A9">
      <w:pPr>
        <w:jc w:val="center"/>
        <w:rPr>
          <w:rFonts w:asciiTheme="minorHAnsi" w:hAnsiTheme="minorHAnsi" w:cstheme="minorHAnsi"/>
          <w:sz w:val="18"/>
          <w:szCs w:val="18"/>
        </w:rPr>
      </w:pPr>
      <w:r w:rsidRPr="00C10350">
        <w:rPr>
          <w:rFonts w:asciiTheme="minorHAnsi" w:hAnsiTheme="minorHAnsi" w:cstheme="minorHAnsi"/>
          <w:b/>
          <w:sz w:val="18"/>
          <w:szCs w:val="18"/>
        </w:rPr>
        <w:t>CENTRO DE PESQUISAS JUDICIÁRIAS, ESTATÍSTICA E CIÊNCIA DE DADOS (CPJED)</w:t>
      </w:r>
    </w:p>
    <w:p w14:paraId="1E7CEE49" w14:textId="77777777" w:rsidR="0093711C" w:rsidRPr="00C10350" w:rsidRDefault="0093711C" w:rsidP="007C40A9">
      <w:pPr>
        <w:jc w:val="center"/>
        <w:rPr>
          <w:rFonts w:asciiTheme="minorHAnsi" w:hAnsiTheme="minorHAnsi" w:cstheme="minorHAnsi"/>
          <w:sz w:val="18"/>
          <w:szCs w:val="18"/>
        </w:rPr>
      </w:pPr>
      <w:r w:rsidRPr="00C10350">
        <w:rPr>
          <w:rFonts w:asciiTheme="minorHAnsi" w:hAnsiTheme="minorHAnsi" w:cstheme="minorHAnsi"/>
          <w:sz w:val="18"/>
          <w:szCs w:val="18"/>
        </w:rPr>
        <w:t xml:space="preserve">Ministro Douglas Alencar Rodrigues </w:t>
      </w:r>
      <w:r w:rsidRPr="00C10350">
        <w:rPr>
          <w:rFonts w:asciiTheme="minorHAnsi" w:hAnsiTheme="minorHAnsi" w:cstheme="minorHAnsi"/>
          <w:i/>
          <w:sz w:val="18"/>
          <w:szCs w:val="18"/>
        </w:rPr>
        <w:t>(Ministro Diretor)</w:t>
      </w:r>
    </w:p>
    <w:p w14:paraId="39CE332C" w14:textId="77777777" w:rsidR="0093711C" w:rsidRPr="00C10350" w:rsidRDefault="0093711C" w:rsidP="007C40A9">
      <w:pPr>
        <w:jc w:val="center"/>
        <w:rPr>
          <w:rFonts w:asciiTheme="minorHAnsi" w:hAnsiTheme="minorHAnsi" w:cstheme="minorHAnsi"/>
          <w:i/>
          <w:sz w:val="18"/>
          <w:szCs w:val="18"/>
        </w:rPr>
      </w:pPr>
      <w:r w:rsidRPr="00C10350">
        <w:rPr>
          <w:rFonts w:asciiTheme="minorHAnsi" w:hAnsiTheme="minorHAnsi" w:cstheme="minorHAnsi"/>
          <w:sz w:val="18"/>
          <w:szCs w:val="18"/>
        </w:rPr>
        <w:t xml:space="preserve">Juiz Cristiano Siqueira de Abreu e Lima </w:t>
      </w:r>
      <w:r w:rsidRPr="00C10350">
        <w:rPr>
          <w:rFonts w:asciiTheme="minorHAnsi" w:hAnsiTheme="minorHAnsi" w:cstheme="minorHAnsi"/>
          <w:i/>
          <w:sz w:val="18"/>
          <w:szCs w:val="18"/>
        </w:rPr>
        <w:t>(Magistrado Supervisor)</w:t>
      </w:r>
    </w:p>
    <w:p w14:paraId="600DCCA1" w14:textId="77777777" w:rsidR="0093711C" w:rsidRPr="00966C50" w:rsidRDefault="0093711C" w:rsidP="007C40A9">
      <w:pPr>
        <w:jc w:val="center"/>
        <w:rPr>
          <w:rFonts w:asciiTheme="minorHAnsi" w:hAnsiTheme="minorHAnsi" w:cstheme="minorHAnsi"/>
          <w:sz w:val="4"/>
          <w:szCs w:val="4"/>
        </w:rPr>
      </w:pPr>
    </w:p>
    <w:p w14:paraId="1CEEB5C1" w14:textId="77777777" w:rsidR="0085505B" w:rsidRPr="00C10350" w:rsidRDefault="0085505B" w:rsidP="0085505B">
      <w:pPr>
        <w:jc w:val="center"/>
        <w:rPr>
          <w:rFonts w:asciiTheme="minorHAnsi" w:hAnsiTheme="minorHAnsi" w:cstheme="minorHAnsi"/>
          <w:b/>
          <w:sz w:val="18"/>
          <w:szCs w:val="18"/>
        </w:rPr>
      </w:pPr>
      <w:r w:rsidRPr="00C10350">
        <w:rPr>
          <w:rFonts w:asciiTheme="minorHAnsi" w:hAnsiTheme="minorHAnsi" w:cstheme="minorHAnsi"/>
          <w:b/>
          <w:sz w:val="18"/>
          <w:szCs w:val="18"/>
        </w:rPr>
        <w:t>SECRETARIA DE PESQUISA JUDICIÁRIA, ESTATÍSTICA E CIÊNCIA DE DADOS (SEPJD)</w:t>
      </w:r>
    </w:p>
    <w:p w14:paraId="49E9C550" w14:textId="77777777" w:rsidR="0093711C" w:rsidRPr="00966C50" w:rsidRDefault="0093711C" w:rsidP="007C40A9">
      <w:pPr>
        <w:jc w:val="center"/>
        <w:rPr>
          <w:rFonts w:asciiTheme="minorHAnsi" w:hAnsiTheme="minorHAnsi" w:cstheme="minorHAnsi"/>
          <w:sz w:val="4"/>
          <w:szCs w:val="4"/>
        </w:rPr>
      </w:pPr>
    </w:p>
    <w:p w14:paraId="1FF12A24" w14:textId="77777777" w:rsidR="00C10350" w:rsidRPr="00C10350" w:rsidRDefault="00C10350" w:rsidP="007C40A9">
      <w:pPr>
        <w:jc w:val="center"/>
        <w:rPr>
          <w:rFonts w:asciiTheme="minorHAnsi" w:hAnsiTheme="minorHAnsi" w:cstheme="minorHAnsi"/>
          <w:b/>
          <w:sz w:val="18"/>
          <w:szCs w:val="18"/>
        </w:rPr>
        <w:sectPr w:rsidR="00C10350" w:rsidRPr="00C10350" w:rsidSect="000B588B">
          <w:type w:val="continuous"/>
          <w:pgSz w:w="11907" w:h="16840" w:code="9"/>
          <w:pgMar w:top="1134" w:right="1134" w:bottom="1134" w:left="1134" w:header="709" w:footer="709" w:gutter="0"/>
          <w:cols w:space="708"/>
          <w:docGrid w:linePitch="360"/>
        </w:sectPr>
      </w:pPr>
    </w:p>
    <w:p w14:paraId="207C5481" w14:textId="77777777" w:rsidR="00966C50" w:rsidRDefault="00966C50" w:rsidP="007C40A9">
      <w:pPr>
        <w:jc w:val="right"/>
        <w:rPr>
          <w:rFonts w:asciiTheme="minorHAnsi" w:hAnsiTheme="minorHAnsi" w:cstheme="minorHAnsi"/>
          <w:i/>
          <w:sz w:val="18"/>
          <w:szCs w:val="18"/>
        </w:rPr>
      </w:pPr>
      <w:r w:rsidRPr="00C10350">
        <w:rPr>
          <w:rFonts w:asciiTheme="minorHAnsi" w:hAnsiTheme="minorHAnsi" w:cstheme="minorHAnsi"/>
          <w:sz w:val="18"/>
          <w:szCs w:val="18"/>
        </w:rPr>
        <w:lastRenderedPageBreak/>
        <w:t xml:space="preserve">Joaquim Otávio Pereira da Silva Júnior </w:t>
      </w:r>
      <w:r w:rsidRPr="00C10350">
        <w:rPr>
          <w:rFonts w:asciiTheme="minorHAnsi" w:hAnsiTheme="minorHAnsi" w:cstheme="minorHAnsi"/>
          <w:i/>
          <w:sz w:val="18"/>
          <w:szCs w:val="18"/>
        </w:rPr>
        <w:t>(Secretário)</w:t>
      </w:r>
    </w:p>
    <w:p w14:paraId="5CC2934E" w14:textId="77777777" w:rsidR="00966C50" w:rsidRPr="0085505B" w:rsidRDefault="00966C50" w:rsidP="007C40A9">
      <w:pPr>
        <w:jc w:val="right"/>
        <w:rPr>
          <w:rFonts w:asciiTheme="minorHAnsi" w:hAnsiTheme="minorHAnsi" w:cstheme="minorHAnsi"/>
          <w:sz w:val="8"/>
          <w:szCs w:val="12"/>
        </w:rPr>
      </w:pPr>
    </w:p>
    <w:p w14:paraId="2843607C" w14:textId="0F6E9259"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b/>
          <w:sz w:val="18"/>
          <w:szCs w:val="18"/>
        </w:rPr>
        <w:t>COORDENADORIA DE PESQUISA JUDICIÁRIA (CPJUD)</w:t>
      </w:r>
    </w:p>
    <w:p w14:paraId="3BD94765" w14:textId="1D9E953C"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 xml:space="preserve">Priscila Aurora Landim </w:t>
      </w:r>
      <w:r w:rsidRPr="00C10350">
        <w:rPr>
          <w:rFonts w:asciiTheme="minorHAnsi" w:hAnsiTheme="minorHAnsi" w:cstheme="minorHAnsi"/>
          <w:i/>
          <w:sz w:val="18"/>
          <w:szCs w:val="18"/>
        </w:rPr>
        <w:t>(Coordenadora Substituta)</w:t>
      </w:r>
    </w:p>
    <w:p w14:paraId="1994B912" w14:textId="77777777"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Adhara Campos Vieira</w:t>
      </w:r>
    </w:p>
    <w:p w14:paraId="798CB709" w14:textId="77777777"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Erlene Maria Coelho Avelino</w:t>
      </w:r>
    </w:p>
    <w:p w14:paraId="2656C9C2" w14:textId="77777777"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Roberto Krauspenhar</w:t>
      </w:r>
    </w:p>
    <w:p w14:paraId="6A86EA1F" w14:textId="77777777"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Marcelino Champagnat Boaventura</w:t>
      </w:r>
    </w:p>
    <w:p w14:paraId="6999613A" w14:textId="77777777" w:rsidR="00C10350" w:rsidRPr="0085505B" w:rsidRDefault="00C10350" w:rsidP="007C40A9">
      <w:pPr>
        <w:jc w:val="right"/>
        <w:rPr>
          <w:rFonts w:asciiTheme="minorHAnsi" w:hAnsiTheme="minorHAnsi" w:cstheme="minorHAnsi"/>
          <w:sz w:val="8"/>
          <w:szCs w:val="12"/>
        </w:rPr>
      </w:pPr>
    </w:p>
    <w:p w14:paraId="3C33E4D5" w14:textId="77777777" w:rsidR="00C10350" w:rsidRPr="00C10350" w:rsidRDefault="00C10350" w:rsidP="007C40A9">
      <w:pPr>
        <w:jc w:val="right"/>
        <w:rPr>
          <w:rFonts w:asciiTheme="minorHAnsi" w:hAnsiTheme="minorHAnsi" w:cstheme="minorHAnsi"/>
          <w:sz w:val="18"/>
          <w:szCs w:val="18"/>
        </w:rPr>
      </w:pPr>
      <w:r w:rsidRPr="00C10350">
        <w:rPr>
          <w:rFonts w:asciiTheme="minorHAnsi" w:hAnsiTheme="minorHAnsi" w:cstheme="minorHAnsi"/>
          <w:b/>
          <w:sz w:val="18"/>
          <w:szCs w:val="18"/>
        </w:rPr>
        <w:t>COORDENADORIA DE ESTATÍSTICA (CESTAT)</w:t>
      </w:r>
    </w:p>
    <w:p w14:paraId="2DDE9566" w14:textId="77777777" w:rsidR="00C10350" w:rsidRPr="00B8378D" w:rsidRDefault="00C10350" w:rsidP="007C40A9">
      <w:pPr>
        <w:jc w:val="right"/>
        <w:rPr>
          <w:rFonts w:asciiTheme="minorHAnsi" w:hAnsiTheme="minorHAnsi" w:cstheme="minorHAnsi"/>
          <w:i/>
          <w:sz w:val="18"/>
          <w:szCs w:val="18"/>
        </w:rPr>
      </w:pPr>
      <w:r w:rsidRPr="00C10350">
        <w:rPr>
          <w:rFonts w:asciiTheme="minorHAnsi" w:hAnsiTheme="minorHAnsi" w:cstheme="minorHAnsi"/>
          <w:sz w:val="18"/>
          <w:szCs w:val="18"/>
        </w:rPr>
        <w:t xml:space="preserve">Taise de Castro Xavier da Silveira Han </w:t>
      </w:r>
      <w:r w:rsidRPr="00B8378D">
        <w:rPr>
          <w:rFonts w:asciiTheme="minorHAnsi" w:hAnsiTheme="minorHAnsi" w:cstheme="minorHAnsi"/>
          <w:i/>
          <w:sz w:val="18"/>
          <w:szCs w:val="18"/>
        </w:rPr>
        <w:t>(Coordenadora)</w:t>
      </w:r>
    </w:p>
    <w:p w14:paraId="4F16319C" w14:textId="77777777" w:rsidR="00C10350" w:rsidRPr="00C10350" w:rsidRDefault="00C10350" w:rsidP="007C40A9">
      <w:pPr>
        <w:jc w:val="right"/>
        <w:rPr>
          <w:rFonts w:asciiTheme="minorHAnsi" w:hAnsiTheme="minorHAnsi" w:cstheme="minorHAnsi"/>
          <w:sz w:val="18"/>
          <w:szCs w:val="18"/>
        </w:rPr>
      </w:pPr>
      <w:r w:rsidRPr="00C10350">
        <w:rPr>
          <w:rFonts w:asciiTheme="minorHAnsi" w:hAnsiTheme="minorHAnsi" w:cstheme="minorHAnsi"/>
          <w:sz w:val="18"/>
          <w:szCs w:val="18"/>
        </w:rPr>
        <w:t>André Silva de Queiroz</w:t>
      </w:r>
    </w:p>
    <w:p w14:paraId="217A196C" w14:textId="77777777" w:rsidR="00C10350" w:rsidRPr="00C10350" w:rsidRDefault="00C10350" w:rsidP="007C40A9">
      <w:pPr>
        <w:jc w:val="right"/>
        <w:rPr>
          <w:rFonts w:asciiTheme="minorHAnsi" w:hAnsiTheme="minorHAnsi" w:cstheme="minorHAnsi"/>
          <w:sz w:val="18"/>
          <w:szCs w:val="18"/>
        </w:rPr>
      </w:pPr>
      <w:r w:rsidRPr="00C10350">
        <w:rPr>
          <w:rFonts w:asciiTheme="minorHAnsi" w:hAnsiTheme="minorHAnsi" w:cstheme="minorHAnsi"/>
          <w:sz w:val="18"/>
          <w:szCs w:val="18"/>
        </w:rPr>
        <w:t>Diêgo Carneiro Lopes</w:t>
      </w:r>
    </w:p>
    <w:p w14:paraId="642DFF5A" w14:textId="77777777" w:rsidR="00C10350" w:rsidRPr="00C10350" w:rsidRDefault="00C10350" w:rsidP="007C40A9">
      <w:pPr>
        <w:jc w:val="right"/>
        <w:rPr>
          <w:rFonts w:asciiTheme="minorHAnsi" w:hAnsiTheme="minorHAnsi" w:cstheme="minorHAnsi"/>
          <w:sz w:val="18"/>
          <w:szCs w:val="18"/>
        </w:rPr>
      </w:pPr>
      <w:r w:rsidRPr="00C10350">
        <w:rPr>
          <w:rFonts w:asciiTheme="minorHAnsi" w:hAnsiTheme="minorHAnsi" w:cstheme="minorHAnsi"/>
          <w:sz w:val="18"/>
          <w:szCs w:val="18"/>
        </w:rPr>
        <w:t>Giselle Gomes de Oliveira Natividade</w:t>
      </w:r>
    </w:p>
    <w:p w14:paraId="53AA0599" w14:textId="77777777" w:rsidR="00C10350" w:rsidRPr="00C10350" w:rsidRDefault="00C10350" w:rsidP="007C40A9">
      <w:pPr>
        <w:jc w:val="right"/>
        <w:rPr>
          <w:rFonts w:asciiTheme="minorHAnsi" w:hAnsiTheme="minorHAnsi" w:cstheme="minorHAnsi"/>
          <w:sz w:val="18"/>
          <w:szCs w:val="18"/>
        </w:rPr>
      </w:pPr>
      <w:r w:rsidRPr="00C10350">
        <w:rPr>
          <w:rFonts w:asciiTheme="minorHAnsi" w:hAnsiTheme="minorHAnsi" w:cstheme="minorHAnsi"/>
          <w:sz w:val="18"/>
          <w:szCs w:val="18"/>
        </w:rPr>
        <w:t>Daiane da Costa Sorato</w:t>
      </w:r>
    </w:p>
    <w:p w14:paraId="3CA5999F" w14:textId="77777777" w:rsidR="00C10350" w:rsidRPr="00C10350" w:rsidRDefault="00C10350" w:rsidP="007C40A9">
      <w:pPr>
        <w:jc w:val="right"/>
        <w:rPr>
          <w:rFonts w:asciiTheme="minorHAnsi" w:hAnsiTheme="minorHAnsi" w:cstheme="minorHAnsi"/>
          <w:sz w:val="18"/>
          <w:szCs w:val="18"/>
        </w:rPr>
      </w:pPr>
      <w:r w:rsidRPr="00C10350">
        <w:rPr>
          <w:rFonts w:asciiTheme="minorHAnsi" w:hAnsiTheme="minorHAnsi" w:cstheme="minorHAnsi"/>
          <w:sz w:val="18"/>
          <w:szCs w:val="18"/>
        </w:rPr>
        <w:t>Elmiro Andrei Tarrago Jaques</w:t>
      </w:r>
    </w:p>
    <w:p w14:paraId="380336D6" w14:textId="77777777" w:rsidR="00C10350" w:rsidRPr="00C10350" w:rsidRDefault="00C10350" w:rsidP="007C40A9">
      <w:pPr>
        <w:jc w:val="right"/>
        <w:rPr>
          <w:rFonts w:asciiTheme="minorHAnsi" w:hAnsiTheme="minorHAnsi" w:cstheme="minorHAnsi"/>
          <w:sz w:val="18"/>
          <w:szCs w:val="18"/>
        </w:rPr>
      </w:pPr>
      <w:r w:rsidRPr="00C10350">
        <w:rPr>
          <w:rFonts w:asciiTheme="minorHAnsi" w:hAnsiTheme="minorHAnsi" w:cstheme="minorHAnsi"/>
          <w:sz w:val="18"/>
          <w:szCs w:val="18"/>
        </w:rPr>
        <w:t>Júlio César Moreira Marino</w:t>
      </w:r>
    </w:p>
    <w:p w14:paraId="599CD834" w14:textId="77777777" w:rsidR="00B76C9E" w:rsidRDefault="00C10350" w:rsidP="007C40A9">
      <w:pPr>
        <w:jc w:val="right"/>
        <w:rPr>
          <w:rFonts w:asciiTheme="minorHAnsi" w:hAnsiTheme="minorHAnsi" w:cstheme="minorHAnsi"/>
          <w:sz w:val="18"/>
          <w:szCs w:val="18"/>
        </w:rPr>
      </w:pPr>
      <w:r w:rsidRPr="00C10350">
        <w:rPr>
          <w:rFonts w:asciiTheme="minorHAnsi" w:hAnsiTheme="minorHAnsi" w:cstheme="minorHAnsi"/>
          <w:sz w:val="18"/>
          <w:szCs w:val="18"/>
        </w:rPr>
        <w:t>Marcos Lima de Oliveira</w:t>
      </w:r>
    </w:p>
    <w:p w14:paraId="4A4698F4" w14:textId="0CBF6AC8" w:rsidR="00C10350" w:rsidRPr="00C10350" w:rsidRDefault="00C10350" w:rsidP="0085505B">
      <w:pPr>
        <w:jc w:val="right"/>
        <w:rPr>
          <w:rFonts w:asciiTheme="minorHAnsi" w:hAnsiTheme="minorHAnsi" w:cstheme="minorHAnsi"/>
          <w:sz w:val="18"/>
          <w:szCs w:val="18"/>
        </w:rPr>
      </w:pPr>
      <w:r w:rsidRPr="00C10350">
        <w:rPr>
          <w:rFonts w:asciiTheme="minorHAnsi" w:hAnsiTheme="minorHAnsi" w:cstheme="minorHAnsi"/>
          <w:sz w:val="18"/>
          <w:szCs w:val="18"/>
        </w:rPr>
        <w:t>Ana Paula Rodrigues Berçot</w:t>
      </w:r>
    </w:p>
    <w:p w14:paraId="1166A8C7" w14:textId="267040F1" w:rsidR="00C10350" w:rsidRPr="00C10350" w:rsidRDefault="0085505B" w:rsidP="007C40A9">
      <w:pPr>
        <w:rPr>
          <w:rFonts w:asciiTheme="minorHAnsi" w:hAnsiTheme="minorHAnsi" w:cstheme="minorHAnsi"/>
          <w:sz w:val="18"/>
          <w:szCs w:val="18"/>
        </w:rPr>
      </w:pPr>
      <w:r>
        <w:rPr>
          <w:rFonts w:asciiTheme="minorHAnsi" w:hAnsiTheme="minorHAnsi" w:cstheme="minorHAnsi"/>
          <w:sz w:val="18"/>
          <w:szCs w:val="18"/>
        </w:rPr>
        <w:br w:type="column"/>
      </w:r>
      <w:r w:rsidR="00C10350" w:rsidRPr="00C10350">
        <w:rPr>
          <w:rFonts w:asciiTheme="minorHAnsi" w:hAnsiTheme="minorHAnsi" w:cstheme="minorHAnsi"/>
          <w:sz w:val="18"/>
          <w:szCs w:val="18"/>
        </w:rPr>
        <w:lastRenderedPageBreak/>
        <w:t>Mateus Gomes de Araujo</w:t>
      </w:r>
    </w:p>
    <w:p w14:paraId="2A658F7E" w14:textId="77777777" w:rsidR="00C10350" w:rsidRPr="00C10350" w:rsidRDefault="00C10350" w:rsidP="007C40A9">
      <w:pPr>
        <w:rPr>
          <w:rFonts w:asciiTheme="minorHAnsi" w:hAnsiTheme="minorHAnsi" w:cstheme="minorHAnsi"/>
          <w:sz w:val="18"/>
          <w:szCs w:val="18"/>
        </w:rPr>
      </w:pPr>
      <w:r w:rsidRPr="00C10350">
        <w:rPr>
          <w:rFonts w:asciiTheme="minorHAnsi" w:hAnsiTheme="minorHAnsi" w:cstheme="minorHAnsi"/>
          <w:sz w:val="18"/>
          <w:szCs w:val="18"/>
        </w:rPr>
        <w:t>William Bacelar Rezende</w:t>
      </w:r>
    </w:p>
    <w:p w14:paraId="153EAD44" w14:textId="77777777" w:rsidR="00C10350" w:rsidRDefault="00C10350" w:rsidP="007C40A9">
      <w:pPr>
        <w:rPr>
          <w:rFonts w:asciiTheme="minorHAnsi" w:hAnsiTheme="minorHAnsi" w:cstheme="minorHAnsi"/>
          <w:sz w:val="18"/>
          <w:szCs w:val="18"/>
        </w:rPr>
      </w:pPr>
      <w:r w:rsidRPr="00C10350">
        <w:rPr>
          <w:rFonts w:asciiTheme="minorHAnsi" w:hAnsiTheme="minorHAnsi" w:cstheme="minorHAnsi"/>
          <w:sz w:val="18"/>
          <w:szCs w:val="18"/>
        </w:rPr>
        <w:t>Heraldo Maciel França Madeira</w:t>
      </w:r>
    </w:p>
    <w:p w14:paraId="2444DD3F" w14:textId="77777777" w:rsidR="00966C50" w:rsidRPr="0085505B" w:rsidRDefault="00966C50" w:rsidP="007C40A9">
      <w:pPr>
        <w:rPr>
          <w:rFonts w:asciiTheme="minorHAnsi" w:hAnsiTheme="minorHAnsi" w:cstheme="minorHAnsi"/>
          <w:sz w:val="8"/>
          <w:szCs w:val="18"/>
        </w:rPr>
      </w:pPr>
    </w:p>
    <w:p w14:paraId="62251D1C"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b/>
          <w:sz w:val="18"/>
          <w:szCs w:val="18"/>
        </w:rPr>
        <w:t>COORDENADORIA DE CIÊNCIA DE DADOS (CCID)</w:t>
      </w:r>
    </w:p>
    <w:p w14:paraId="44DAA904"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 xml:space="preserve">Sheila Rezende Abdala </w:t>
      </w:r>
      <w:r w:rsidRPr="00B8378D">
        <w:rPr>
          <w:rFonts w:asciiTheme="minorHAnsi" w:hAnsiTheme="minorHAnsi" w:cstheme="minorHAnsi"/>
          <w:i/>
          <w:sz w:val="18"/>
          <w:szCs w:val="18"/>
        </w:rPr>
        <w:t>(Coordenadora)</w:t>
      </w:r>
    </w:p>
    <w:p w14:paraId="1392E33C"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Alessandro Vinicius Amaral de Moura Beltrão</w:t>
      </w:r>
    </w:p>
    <w:p w14:paraId="0524340A"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Ana Carolina Pereira Rocha</w:t>
      </w:r>
    </w:p>
    <w:p w14:paraId="58ED22CC"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Rafael Raupp Bocorny</w:t>
      </w:r>
    </w:p>
    <w:p w14:paraId="1C5CCAAC"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Aecio Fernandes Galiza Magalhaes</w:t>
      </w:r>
    </w:p>
    <w:p w14:paraId="2ED7E4CE"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Eduardo Ramos Correa</w:t>
      </w:r>
    </w:p>
    <w:p w14:paraId="2B716EC8"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José Geraldo Lopes Mappa</w:t>
      </w:r>
    </w:p>
    <w:p w14:paraId="39B3AE1F"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João Afonso de Souza Oliveira</w:t>
      </w:r>
    </w:p>
    <w:p w14:paraId="3D2BAF55"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Debora Leticia Torres da Silva</w:t>
      </w:r>
    </w:p>
    <w:p w14:paraId="4FF22213"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Marcelo Rodrigues Barreto Regis</w:t>
      </w:r>
    </w:p>
    <w:p w14:paraId="171216B6"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Michelle Ferreira Salgado Barros</w:t>
      </w:r>
    </w:p>
    <w:p w14:paraId="2BFDF57F"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Giscard Stephanou Silva</w:t>
      </w:r>
    </w:p>
    <w:p w14:paraId="48BFD783"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Alvaro Henrique Figueiredo Nunes</w:t>
      </w:r>
    </w:p>
    <w:p w14:paraId="02BB9648" w14:textId="77777777" w:rsidR="00C103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Andre de Souza Andrade</w:t>
      </w:r>
    </w:p>
    <w:p w14:paraId="3653FCEF" w14:textId="62C7C106" w:rsidR="00966C50" w:rsidRPr="00C10350" w:rsidRDefault="00C10350" w:rsidP="007C40A9">
      <w:pPr>
        <w:jc w:val="both"/>
        <w:rPr>
          <w:rFonts w:asciiTheme="minorHAnsi" w:hAnsiTheme="minorHAnsi" w:cstheme="minorHAnsi"/>
          <w:sz w:val="18"/>
          <w:szCs w:val="18"/>
        </w:rPr>
      </w:pPr>
      <w:r w:rsidRPr="00C10350">
        <w:rPr>
          <w:rFonts w:asciiTheme="minorHAnsi" w:hAnsiTheme="minorHAnsi" w:cstheme="minorHAnsi"/>
          <w:sz w:val="18"/>
          <w:szCs w:val="18"/>
        </w:rPr>
        <w:t>Victor Dolirio Ferreira Barbosa</w:t>
      </w:r>
    </w:p>
    <w:p w14:paraId="162530D2" w14:textId="77777777" w:rsidR="00C10350" w:rsidRPr="00C10350" w:rsidRDefault="00C10350" w:rsidP="007C40A9">
      <w:pPr>
        <w:tabs>
          <w:tab w:val="left" w:pos="-1985"/>
        </w:tabs>
        <w:jc w:val="center"/>
        <w:rPr>
          <w:rFonts w:asciiTheme="minorHAnsi" w:hAnsiTheme="minorHAnsi" w:cstheme="minorHAnsi"/>
          <w:b/>
          <w:sz w:val="18"/>
          <w:szCs w:val="18"/>
        </w:rPr>
        <w:sectPr w:rsidR="00C10350" w:rsidRPr="00C10350" w:rsidSect="00C10350">
          <w:type w:val="continuous"/>
          <w:pgSz w:w="11907" w:h="16840" w:code="9"/>
          <w:pgMar w:top="1134" w:right="1134" w:bottom="1134" w:left="1134" w:header="709" w:footer="709" w:gutter="0"/>
          <w:cols w:num="2" w:space="708"/>
          <w:docGrid w:linePitch="360"/>
        </w:sectPr>
      </w:pPr>
    </w:p>
    <w:p w14:paraId="7EB20B75" w14:textId="77777777" w:rsidR="00C10350" w:rsidRPr="0085505B" w:rsidRDefault="00C10350" w:rsidP="007C40A9">
      <w:pPr>
        <w:tabs>
          <w:tab w:val="left" w:pos="-1985"/>
        </w:tabs>
        <w:jc w:val="center"/>
        <w:rPr>
          <w:rFonts w:asciiTheme="minorHAnsi" w:hAnsiTheme="minorHAnsi" w:cstheme="minorHAnsi"/>
          <w:b/>
          <w:sz w:val="14"/>
          <w:szCs w:val="12"/>
        </w:rPr>
      </w:pPr>
    </w:p>
    <w:p w14:paraId="12AC6CF7" w14:textId="77777777" w:rsidR="0093711C" w:rsidRPr="0085505B" w:rsidRDefault="0093711C" w:rsidP="007C40A9">
      <w:pPr>
        <w:tabs>
          <w:tab w:val="left" w:pos="-1985"/>
        </w:tabs>
        <w:rPr>
          <w:rFonts w:asciiTheme="minorHAnsi" w:hAnsiTheme="minorHAnsi" w:cstheme="minorHAnsi"/>
          <w:b/>
          <w:szCs w:val="18"/>
        </w:rPr>
        <w:sectPr w:rsidR="0093711C" w:rsidRPr="0085505B" w:rsidSect="000B588B">
          <w:type w:val="continuous"/>
          <w:pgSz w:w="11907" w:h="16840" w:code="9"/>
          <w:pgMar w:top="1134" w:right="1134" w:bottom="1134" w:left="1134" w:header="709" w:footer="709" w:gutter="0"/>
          <w:cols w:space="708"/>
          <w:docGrid w:linePitch="360"/>
        </w:sectPr>
      </w:pPr>
    </w:p>
    <w:p w14:paraId="78F72419" w14:textId="77777777" w:rsidR="00966C50" w:rsidRPr="00C10350" w:rsidRDefault="00966C50" w:rsidP="007C40A9">
      <w:pPr>
        <w:rPr>
          <w:rFonts w:asciiTheme="minorHAnsi" w:hAnsiTheme="minorHAnsi" w:cstheme="minorHAnsi"/>
          <w:b/>
          <w:sz w:val="18"/>
          <w:szCs w:val="18"/>
        </w:rPr>
      </w:pPr>
      <w:r w:rsidRPr="00C10350">
        <w:rPr>
          <w:rFonts w:asciiTheme="minorHAnsi" w:hAnsiTheme="minorHAnsi" w:cstheme="minorHAnsi"/>
          <w:b/>
          <w:sz w:val="18"/>
          <w:szCs w:val="18"/>
        </w:rPr>
        <w:lastRenderedPageBreak/>
        <w:t>COMITÊ NACIONAL DE PESQUISA JUDICIÁRIA, ESTATÍSTICA E CIÊNCIA DE DADOS DA JUSTIÇA DO TRABALHO (CNPJED)</w:t>
      </w:r>
    </w:p>
    <w:p w14:paraId="3C30DAA1" w14:textId="77777777" w:rsidR="00966C50" w:rsidRPr="00C10350" w:rsidRDefault="00966C50" w:rsidP="007C40A9">
      <w:pPr>
        <w:rPr>
          <w:rFonts w:asciiTheme="minorHAnsi" w:hAnsiTheme="minorHAnsi" w:cstheme="minorHAnsi"/>
          <w:sz w:val="18"/>
          <w:szCs w:val="18"/>
        </w:rPr>
      </w:pPr>
      <w:r w:rsidRPr="00C10350">
        <w:rPr>
          <w:rFonts w:asciiTheme="minorHAnsi" w:hAnsiTheme="minorHAnsi" w:cstheme="minorHAnsi"/>
          <w:sz w:val="18"/>
          <w:szCs w:val="18"/>
        </w:rPr>
        <w:t xml:space="preserve">Ministro Douglas Alencar Rodrigues </w:t>
      </w:r>
      <w:r w:rsidRPr="00C10350">
        <w:rPr>
          <w:rFonts w:asciiTheme="minorHAnsi" w:hAnsiTheme="minorHAnsi" w:cstheme="minorHAnsi"/>
          <w:i/>
          <w:sz w:val="18"/>
          <w:szCs w:val="18"/>
        </w:rPr>
        <w:t>(Presidente)</w:t>
      </w:r>
    </w:p>
    <w:p w14:paraId="39401C98" w14:textId="77777777" w:rsidR="00966C50" w:rsidRPr="00C10350" w:rsidRDefault="00966C50" w:rsidP="007C40A9">
      <w:pPr>
        <w:rPr>
          <w:rFonts w:asciiTheme="minorHAnsi" w:hAnsiTheme="minorHAnsi" w:cstheme="minorHAnsi"/>
          <w:sz w:val="18"/>
          <w:szCs w:val="18"/>
        </w:rPr>
      </w:pPr>
      <w:r w:rsidRPr="00C10350">
        <w:rPr>
          <w:rFonts w:asciiTheme="minorHAnsi" w:hAnsiTheme="minorHAnsi" w:cstheme="minorHAnsi"/>
          <w:sz w:val="18"/>
          <w:szCs w:val="18"/>
        </w:rPr>
        <w:t>Juiz Cristiano Siqueira de Abreu e Lima</w:t>
      </w:r>
    </w:p>
    <w:p w14:paraId="6B95BF58" w14:textId="77777777" w:rsidR="00966C50" w:rsidRPr="00C10350" w:rsidRDefault="00966C50" w:rsidP="007C40A9">
      <w:pPr>
        <w:rPr>
          <w:rFonts w:asciiTheme="minorHAnsi" w:hAnsiTheme="minorHAnsi" w:cstheme="minorHAnsi"/>
          <w:sz w:val="18"/>
          <w:szCs w:val="18"/>
        </w:rPr>
      </w:pPr>
      <w:r w:rsidRPr="00C10350">
        <w:rPr>
          <w:rFonts w:asciiTheme="minorHAnsi" w:hAnsiTheme="minorHAnsi" w:cstheme="minorHAnsi"/>
          <w:sz w:val="18"/>
          <w:szCs w:val="18"/>
        </w:rPr>
        <w:t>Juiz Marcelo Antônio de Oliveira</w:t>
      </w:r>
    </w:p>
    <w:p w14:paraId="6ADA81C9" w14:textId="77777777" w:rsidR="00966C50" w:rsidRPr="00C10350" w:rsidRDefault="00966C50" w:rsidP="007C40A9">
      <w:pPr>
        <w:rPr>
          <w:rFonts w:asciiTheme="minorHAnsi" w:hAnsiTheme="minorHAnsi" w:cstheme="minorHAnsi"/>
          <w:sz w:val="18"/>
          <w:szCs w:val="18"/>
        </w:rPr>
      </w:pPr>
      <w:r w:rsidRPr="00C10350">
        <w:rPr>
          <w:rFonts w:asciiTheme="minorHAnsi" w:hAnsiTheme="minorHAnsi" w:cstheme="minorHAnsi"/>
          <w:sz w:val="18"/>
          <w:szCs w:val="18"/>
        </w:rPr>
        <w:t>Juiz Hermann de Araujo Hackradt</w:t>
      </w:r>
    </w:p>
    <w:p w14:paraId="5BB1EEBC" w14:textId="77777777" w:rsidR="00966C50" w:rsidRPr="00C10350" w:rsidRDefault="00966C50" w:rsidP="007C40A9">
      <w:pPr>
        <w:rPr>
          <w:rFonts w:asciiTheme="minorHAnsi" w:hAnsiTheme="minorHAnsi" w:cstheme="minorHAnsi"/>
          <w:sz w:val="18"/>
          <w:szCs w:val="18"/>
        </w:rPr>
      </w:pPr>
      <w:r w:rsidRPr="00C10350">
        <w:rPr>
          <w:rFonts w:asciiTheme="minorHAnsi" w:hAnsiTheme="minorHAnsi" w:cstheme="minorHAnsi"/>
          <w:sz w:val="18"/>
          <w:szCs w:val="18"/>
        </w:rPr>
        <w:t>Juiz Bráulio Gabriel Gusmão</w:t>
      </w:r>
    </w:p>
    <w:p w14:paraId="54207FBB" w14:textId="77777777" w:rsidR="00966C50" w:rsidRPr="00C10350" w:rsidRDefault="00966C50" w:rsidP="007C40A9">
      <w:pPr>
        <w:rPr>
          <w:rFonts w:asciiTheme="minorHAnsi" w:hAnsiTheme="minorHAnsi" w:cstheme="minorHAnsi"/>
          <w:sz w:val="18"/>
          <w:szCs w:val="18"/>
        </w:rPr>
      </w:pPr>
      <w:r w:rsidRPr="00C10350">
        <w:rPr>
          <w:rFonts w:asciiTheme="minorHAnsi" w:hAnsiTheme="minorHAnsi" w:cstheme="minorHAnsi"/>
          <w:sz w:val="18"/>
          <w:szCs w:val="18"/>
        </w:rPr>
        <w:t>Silvania Pinheiro Coelho José</w:t>
      </w:r>
    </w:p>
    <w:p w14:paraId="7DD1162D" w14:textId="77777777" w:rsidR="00966C50" w:rsidRPr="00C10350" w:rsidRDefault="00966C50" w:rsidP="007C40A9">
      <w:pPr>
        <w:rPr>
          <w:rFonts w:asciiTheme="minorHAnsi" w:hAnsiTheme="minorHAnsi" w:cstheme="minorHAnsi"/>
          <w:i/>
          <w:sz w:val="18"/>
          <w:szCs w:val="18"/>
        </w:rPr>
      </w:pPr>
      <w:r w:rsidRPr="00C10350">
        <w:rPr>
          <w:rFonts w:asciiTheme="minorHAnsi" w:hAnsiTheme="minorHAnsi" w:cstheme="minorHAnsi"/>
          <w:sz w:val="18"/>
          <w:szCs w:val="18"/>
        </w:rPr>
        <w:t>Joaquim Otávio Pereira da Silva Júnior</w:t>
      </w:r>
    </w:p>
    <w:p w14:paraId="594CB61B" w14:textId="77777777" w:rsidR="00966C50" w:rsidRPr="00C10350" w:rsidRDefault="00966C50" w:rsidP="007C40A9">
      <w:pPr>
        <w:rPr>
          <w:rFonts w:asciiTheme="minorHAnsi" w:hAnsiTheme="minorHAnsi" w:cstheme="minorHAnsi"/>
          <w:sz w:val="18"/>
          <w:szCs w:val="18"/>
        </w:rPr>
      </w:pPr>
      <w:r w:rsidRPr="00C10350">
        <w:rPr>
          <w:rFonts w:asciiTheme="minorHAnsi" w:hAnsiTheme="minorHAnsi" w:cstheme="minorHAnsi"/>
          <w:sz w:val="18"/>
          <w:szCs w:val="18"/>
        </w:rPr>
        <w:t>Antônio Francisco Morais Rolla</w:t>
      </w:r>
    </w:p>
    <w:p w14:paraId="6EF30A17" w14:textId="77777777" w:rsidR="00966C50" w:rsidRPr="00C10350" w:rsidRDefault="00966C50" w:rsidP="007C40A9">
      <w:pPr>
        <w:rPr>
          <w:rFonts w:asciiTheme="minorHAnsi" w:hAnsiTheme="minorHAnsi" w:cstheme="minorHAnsi"/>
          <w:sz w:val="18"/>
          <w:szCs w:val="18"/>
        </w:rPr>
      </w:pPr>
      <w:r w:rsidRPr="00C10350">
        <w:rPr>
          <w:rFonts w:asciiTheme="minorHAnsi" w:hAnsiTheme="minorHAnsi" w:cstheme="minorHAnsi"/>
          <w:sz w:val="18"/>
          <w:szCs w:val="18"/>
        </w:rPr>
        <w:t>Fabiano de Andrade Lima</w:t>
      </w:r>
    </w:p>
    <w:p w14:paraId="5ED58ACE" w14:textId="77777777" w:rsidR="00966C50" w:rsidRDefault="00966C50" w:rsidP="007C40A9">
      <w:pPr>
        <w:rPr>
          <w:rFonts w:asciiTheme="minorHAnsi" w:hAnsiTheme="minorHAnsi" w:cstheme="minorHAnsi"/>
          <w:sz w:val="18"/>
          <w:szCs w:val="18"/>
        </w:rPr>
      </w:pPr>
      <w:r w:rsidRPr="00C10350">
        <w:rPr>
          <w:rFonts w:asciiTheme="minorHAnsi" w:hAnsiTheme="minorHAnsi" w:cstheme="minorHAnsi"/>
          <w:sz w:val="18"/>
          <w:szCs w:val="18"/>
        </w:rPr>
        <w:t>Juíza Patricia Maeda</w:t>
      </w:r>
    </w:p>
    <w:p w14:paraId="1CB83FAE" w14:textId="6C196EB1" w:rsidR="0093711C" w:rsidRPr="00C10350" w:rsidRDefault="007C40A9" w:rsidP="007C40A9">
      <w:pPr>
        <w:jc w:val="right"/>
        <w:rPr>
          <w:rFonts w:asciiTheme="minorHAnsi" w:hAnsiTheme="minorHAnsi" w:cstheme="minorHAnsi"/>
          <w:b/>
          <w:sz w:val="18"/>
          <w:szCs w:val="18"/>
        </w:rPr>
      </w:pPr>
      <w:r w:rsidRPr="007C40A9">
        <w:rPr>
          <w:rFonts w:asciiTheme="minorHAnsi" w:hAnsiTheme="minorHAnsi" w:cstheme="minorHAnsi"/>
          <w:b/>
          <w:sz w:val="18"/>
          <w:szCs w:val="18"/>
        </w:rPr>
        <w:br w:type="column"/>
      </w:r>
      <w:r w:rsidR="0093711C" w:rsidRPr="00C10350">
        <w:rPr>
          <w:rFonts w:asciiTheme="minorHAnsi" w:hAnsiTheme="minorHAnsi" w:cstheme="minorHAnsi"/>
          <w:b/>
          <w:sz w:val="18"/>
          <w:szCs w:val="18"/>
        </w:rPr>
        <w:lastRenderedPageBreak/>
        <w:t>CONSELHO CIENTÍFICO DE PESQUISA JUDICIÁRIA (CCPJ)</w:t>
      </w:r>
    </w:p>
    <w:p w14:paraId="636FAE2E" w14:textId="77777777"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Juiz Cristiano Siqueira de Abreu e Lima (Coordenador)</w:t>
      </w:r>
    </w:p>
    <w:p w14:paraId="4E7A0ED9" w14:textId="77777777"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Joaquim Otávio Pereira da Silva Júnior</w:t>
      </w:r>
    </w:p>
    <w:p w14:paraId="3B988980" w14:textId="7A5F5A53"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Doutora Desembargadora Vólia de Menezes Bomfim</w:t>
      </w:r>
    </w:p>
    <w:p w14:paraId="65DFD834" w14:textId="37191F6F"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Doutor Juiz Luciano Athayde Chaves</w:t>
      </w:r>
    </w:p>
    <w:p w14:paraId="57762186" w14:textId="59D7B3C6"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Doutor Juiz Luciano Dórea Martinez Carreiro</w:t>
      </w:r>
    </w:p>
    <w:p w14:paraId="69F0FB54" w14:textId="43189396"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Doutor Juiz Ney Stany Morais Maranhão</w:t>
      </w:r>
    </w:p>
    <w:p w14:paraId="5CE6A3B3" w14:textId="20E2C779" w:rsidR="0093711C" w:rsidRPr="00C10350" w:rsidRDefault="0093711C" w:rsidP="007C40A9">
      <w:pPr>
        <w:jc w:val="right"/>
        <w:rPr>
          <w:rFonts w:asciiTheme="minorHAnsi" w:hAnsiTheme="minorHAnsi" w:cstheme="minorHAnsi"/>
          <w:sz w:val="18"/>
          <w:szCs w:val="18"/>
        </w:rPr>
      </w:pPr>
      <w:r w:rsidRPr="00C10350">
        <w:rPr>
          <w:rFonts w:asciiTheme="minorHAnsi" w:hAnsiTheme="minorHAnsi" w:cstheme="minorHAnsi"/>
          <w:sz w:val="18"/>
          <w:szCs w:val="18"/>
        </w:rPr>
        <w:t>Doutora Carolina Tupinambá Faria Carreiro</w:t>
      </w:r>
    </w:p>
    <w:p w14:paraId="23C7203D" w14:textId="77777777" w:rsidR="00B76C9E" w:rsidRDefault="00B76C9E" w:rsidP="007C40A9">
      <w:pPr>
        <w:jc w:val="right"/>
        <w:rPr>
          <w:rFonts w:asciiTheme="minorHAnsi" w:hAnsiTheme="minorHAnsi" w:cstheme="minorHAnsi"/>
          <w:sz w:val="18"/>
          <w:szCs w:val="18"/>
        </w:rPr>
      </w:pPr>
    </w:p>
    <w:p w14:paraId="26B86FD8" w14:textId="77777777" w:rsidR="007C40A9" w:rsidRPr="00C10350" w:rsidRDefault="007C40A9" w:rsidP="007C40A9">
      <w:pPr>
        <w:jc w:val="right"/>
        <w:rPr>
          <w:rFonts w:asciiTheme="minorHAnsi" w:hAnsiTheme="minorHAnsi" w:cstheme="minorHAnsi"/>
          <w:sz w:val="18"/>
          <w:szCs w:val="18"/>
        </w:rPr>
      </w:pPr>
    </w:p>
    <w:p w14:paraId="622E75FB" w14:textId="77777777" w:rsidR="0093711C" w:rsidRPr="00C10350" w:rsidRDefault="0093711C" w:rsidP="007C40A9">
      <w:pPr>
        <w:rPr>
          <w:rFonts w:asciiTheme="minorHAnsi" w:hAnsiTheme="minorHAnsi" w:cstheme="minorHAnsi"/>
          <w:sz w:val="18"/>
          <w:szCs w:val="18"/>
        </w:rPr>
        <w:sectPr w:rsidR="0093711C" w:rsidRPr="00C10350" w:rsidSect="000B588B">
          <w:headerReference w:type="default" r:id="rId10"/>
          <w:footerReference w:type="default" r:id="rId11"/>
          <w:type w:val="continuous"/>
          <w:pgSz w:w="11907" w:h="16840" w:code="9"/>
          <w:pgMar w:top="1134" w:right="1134" w:bottom="1134" w:left="1134" w:header="709" w:footer="709" w:gutter="0"/>
          <w:cols w:num="2" w:space="340"/>
          <w:docGrid w:linePitch="360"/>
        </w:sectPr>
      </w:pPr>
    </w:p>
    <w:p w14:paraId="75827634" w14:textId="77777777" w:rsidR="00EC4E08" w:rsidRPr="007C40A9" w:rsidRDefault="00FB0ADA" w:rsidP="007C40A9">
      <w:pPr>
        <w:jc w:val="center"/>
        <w:rPr>
          <w:rStyle w:val="oypena"/>
          <w:rFonts w:asciiTheme="minorHAnsi" w:hAnsiTheme="minorHAnsi" w:cstheme="minorHAnsi"/>
          <w:color w:val="525E5E"/>
          <w:sz w:val="10"/>
          <w:szCs w:val="18"/>
        </w:rPr>
      </w:pPr>
      <w:r w:rsidRPr="007C40A9">
        <w:rPr>
          <w:rStyle w:val="oypena"/>
          <w:rFonts w:asciiTheme="minorHAnsi" w:hAnsiTheme="minorHAnsi" w:cstheme="minorHAnsi"/>
          <w:color w:val="525E5E"/>
          <w:sz w:val="10"/>
          <w:szCs w:val="18"/>
        </w:rPr>
        <w:lastRenderedPageBreak/>
        <w:br w:type="page"/>
      </w:r>
    </w:p>
    <w:p w14:paraId="228CBAAA" w14:textId="53E1494D" w:rsidR="00EC4E08" w:rsidRPr="00A43C91" w:rsidRDefault="00EC4E08" w:rsidP="00A43C91">
      <w:pPr>
        <w:spacing w:after="240"/>
        <w:jc w:val="center"/>
        <w:rPr>
          <w:rFonts w:asciiTheme="minorHAnsi" w:hAnsiTheme="minorHAnsi" w:cstheme="minorHAnsi"/>
        </w:rPr>
      </w:pPr>
      <w:r w:rsidRPr="00A43C91">
        <w:rPr>
          <w:rFonts w:asciiTheme="minorHAnsi" w:hAnsiTheme="minorHAnsi" w:cstheme="minorHAnsi"/>
        </w:rPr>
        <w:lastRenderedPageBreak/>
        <w:fldChar w:fldCharType="begin"/>
      </w:r>
      <w:r w:rsidRPr="00A43C91">
        <w:rPr>
          <w:rFonts w:asciiTheme="minorHAnsi" w:hAnsiTheme="minorHAnsi" w:cstheme="minorHAnsi"/>
        </w:rPr>
        <w:instrText xml:space="preserve"> INCLUDEPICTURE "https://lh7-rt.googleusercontent.com/docsz/AD_4nXemd_qhVnVkVPmFQnQBum8GFE2nQCCrhohBxb_9mEHXDRmOHfXkTx5Lu7-9Bq5r2d_29vvtTmbhtCi-As97HsUvgml5cX_hmFp7qONVleoZF3mZzIG1eZNIJ-_zuEy9iT2459MT?key=2-UAjJvkDCh6xhewSQB22w" \* MERGEFORMATINET </w:instrText>
      </w:r>
      <w:r w:rsidRPr="00A43C91">
        <w:rPr>
          <w:rFonts w:asciiTheme="minorHAnsi" w:hAnsiTheme="minorHAnsi" w:cstheme="minorHAnsi"/>
        </w:rPr>
        <w:fldChar w:fldCharType="separate"/>
      </w:r>
      <w:r w:rsidRPr="00A43C91">
        <w:rPr>
          <w:rFonts w:asciiTheme="minorHAnsi" w:hAnsiTheme="minorHAnsi" w:cstheme="minorHAnsi"/>
          <w:noProof/>
        </w:rPr>
        <w:drawing>
          <wp:inline distT="0" distB="0" distL="0" distR="0" wp14:anchorId="5DB8A2DB" wp14:editId="14BABBD4">
            <wp:extent cx="2282257" cy="463463"/>
            <wp:effectExtent l="0" t="0" r="0" b="0"/>
            <wp:docPr id="1422614887" name="Imagem 2" descr="Ícon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14887" name="Imagem 2" descr="Ícone&#10;&#10;O conteúdo gerado por IA pode estar incorre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5952" cy="474367"/>
                    </a:xfrm>
                    <a:prstGeom prst="rect">
                      <a:avLst/>
                    </a:prstGeom>
                    <a:noFill/>
                    <a:ln>
                      <a:noFill/>
                    </a:ln>
                  </pic:spPr>
                </pic:pic>
              </a:graphicData>
            </a:graphic>
          </wp:inline>
        </w:drawing>
      </w:r>
      <w:r w:rsidRPr="00A43C91">
        <w:rPr>
          <w:rFonts w:asciiTheme="minorHAnsi" w:hAnsiTheme="minorHAnsi" w:cstheme="minorHAnsi"/>
        </w:rPr>
        <w:fldChar w:fldCharType="end"/>
      </w:r>
    </w:p>
    <w:p w14:paraId="60DB626F" w14:textId="77777777" w:rsidR="00EC4E08" w:rsidRPr="00BA53F3" w:rsidRDefault="00EC4E08" w:rsidP="007C40A9">
      <w:pPr>
        <w:jc w:val="center"/>
        <w:rPr>
          <w:rFonts w:asciiTheme="minorHAnsi" w:hAnsiTheme="minorHAnsi" w:cstheme="minorHAnsi"/>
          <w:sz w:val="28"/>
        </w:rPr>
      </w:pPr>
      <w:r w:rsidRPr="00BA53F3">
        <w:rPr>
          <w:rFonts w:asciiTheme="minorHAnsi" w:hAnsiTheme="minorHAnsi" w:cstheme="minorHAnsi"/>
          <w:color w:val="000000"/>
        </w:rPr>
        <w:t>Tribunal Superior do Trabalho</w:t>
      </w:r>
    </w:p>
    <w:p w14:paraId="5B5C2A78" w14:textId="77777777" w:rsidR="00EC4E08" w:rsidRPr="00BA53F3" w:rsidRDefault="00EC4E08" w:rsidP="007C40A9">
      <w:pPr>
        <w:jc w:val="center"/>
        <w:rPr>
          <w:rFonts w:asciiTheme="minorHAnsi" w:hAnsiTheme="minorHAnsi" w:cstheme="minorHAnsi"/>
          <w:sz w:val="28"/>
        </w:rPr>
      </w:pPr>
      <w:r w:rsidRPr="00BA53F3">
        <w:rPr>
          <w:rFonts w:asciiTheme="minorHAnsi" w:hAnsiTheme="minorHAnsi" w:cstheme="minorHAnsi"/>
          <w:color w:val="000000"/>
        </w:rPr>
        <w:t>Centro de Pesquisas Judiciárias, Estatística e Ciência de Dados</w:t>
      </w:r>
    </w:p>
    <w:p w14:paraId="7BA40B08" w14:textId="77777777" w:rsidR="003503A3" w:rsidRPr="003503A3" w:rsidRDefault="003503A3" w:rsidP="003503A3">
      <w:pPr>
        <w:jc w:val="center"/>
        <w:rPr>
          <w:rFonts w:asciiTheme="minorHAnsi" w:hAnsiTheme="minorHAnsi" w:cstheme="minorHAnsi"/>
          <w:color w:val="000000"/>
        </w:rPr>
      </w:pPr>
      <w:r w:rsidRPr="003503A3">
        <w:rPr>
          <w:rFonts w:asciiTheme="minorHAnsi" w:hAnsiTheme="minorHAnsi" w:cstheme="minorHAnsi"/>
          <w:color w:val="000000"/>
        </w:rPr>
        <w:t>Coordenação e organização</w:t>
      </w:r>
    </w:p>
    <w:p w14:paraId="255F0E39" w14:textId="07C75AF1" w:rsidR="00EC4E08" w:rsidRPr="000B588B" w:rsidRDefault="00EC4E08" w:rsidP="007C40A9">
      <w:pPr>
        <w:spacing w:after="240"/>
        <w:rPr>
          <w:rFonts w:asciiTheme="minorHAnsi" w:hAnsiTheme="minorHAnsi" w:cstheme="minorHAnsi"/>
        </w:rPr>
      </w:pPr>
    </w:p>
    <w:p w14:paraId="164CB072" w14:textId="77777777" w:rsidR="00142FE4" w:rsidRPr="000B588B" w:rsidRDefault="00142FE4" w:rsidP="007C40A9">
      <w:pPr>
        <w:spacing w:after="240"/>
        <w:rPr>
          <w:rFonts w:asciiTheme="minorHAnsi" w:hAnsiTheme="minorHAnsi" w:cstheme="minorHAnsi"/>
        </w:rPr>
      </w:pPr>
    </w:p>
    <w:p w14:paraId="05F889D9" w14:textId="77777777" w:rsidR="00FC53C4" w:rsidRPr="000B588B" w:rsidRDefault="00FC53C4" w:rsidP="007C40A9">
      <w:pPr>
        <w:spacing w:after="240"/>
        <w:rPr>
          <w:rFonts w:asciiTheme="minorHAnsi" w:hAnsiTheme="minorHAnsi" w:cstheme="minorHAnsi"/>
        </w:rPr>
      </w:pPr>
    </w:p>
    <w:p w14:paraId="2ACD0973" w14:textId="77777777" w:rsidR="00FC53C4" w:rsidRPr="000B588B" w:rsidRDefault="00FC53C4" w:rsidP="007C40A9">
      <w:pPr>
        <w:spacing w:after="240"/>
        <w:rPr>
          <w:rFonts w:asciiTheme="minorHAnsi" w:hAnsiTheme="minorHAnsi" w:cstheme="minorHAnsi"/>
        </w:rPr>
      </w:pPr>
    </w:p>
    <w:p w14:paraId="13B5ADE4" w14:textId="77777777" w:rsidR="00FC53C4" w:rsidRDefault="00FC53C4" w:rsidP="007C40A9">
      <w:pPr>
        <w:spacing w:after="240"/>
        <w:rPr>
          <w:rFonts w:asciiTheme="minorHAnsi" w:hAnsiTheme="minorHAnsi" w:cstheme="minorHAnsi"/>
        </w:rPr>
      </w:pPr>
    </w:p>
    <w:p w14:paraId="2AAB8CAA" w14:textId="77777777" w:rsidR="00A43C91" w:rsidRDefault="00A43C91" w:rsidP="007C40A9">
      <w:pPr>
        <w:spacing w:after="240"/>
        <w:rPr>
          <w:rFonts w:asciiTheme="minorHAnsi" w:hAnsiTheme="minorHAnsi" w:cstheme="minorHAnsi"/>
        </w:rPr>
      </w:pPr>
    </w:p>
    <w:p w14:paraId="1240142D" w14:textId="77777777" w:rsidR="00A43C91" w:rsidRDefault="00A43C91" w:rsidP="007C40A9">
      <w:pPr>
        <w:spacing w:after="240"/>
        <w:rPr>
          <w:rFonts w:asciiTheme="minorHAnsi" w:hAnsiTheme="minorHAnsi" w:cstheme="minorHAnsi"/>
        </w:rPr>
      </w:pPr>
    </w:p>
    <w:p w14:paraId="0F575714" w14:textId="77777777" w:rsidR="00A43C91" w:rsidRDefault="00A43C91" w:rsidP="007C40A9">
      <w:pPr>
        <w:spacing w:after="240"/>
        <w:rPr>
          <w:rFonts w:asciiTheme="minorHAnsi" w:hAnsiTheme="minorHAnsi" w:cstheme="minorHAnsi"/>
        </w:rPr>
      </w:pPr>
    </w:p>
    <w:p w14:paraId="24B44C65" w14:textId="77777777" w:rsidR="00A43C91" w:rsidRPr="000B588B" w:rsidRDefault="00A43C91" w:rsidP="007C40A9">
      <w:pPr>
        <w:spacing w:after="240"/>
        <w:rPr>
          <w:rFonts w:asciiTheme="minorHAnsi" w:hAnsiTheme="minorHAnsi" w:cstheme="minorHAnsi"/>
        </w:rPr>
      </w:pPr>
    </w:p>
    <w:p w14:paraId="69A45387" w14:textId="77777777" w:rsidR="00FC53C4" w:rsidRPr="000B588B" w:rsidRDefault="00FC53C4" w:rsidP="007C40A9">
      <w:pPr>
        <w:spacing w:after="240"/>
        <w:rPr>
          <w:rFonts w:asciiTheme="minorHAnsi" w:hAnsiTheme="minorHAnsi" w:cstheme="minorHAnsi"/>
        </w:rPr>
      </w:pPr>
    </w:p>
    <w:p w14:paraId="194AC531" w14:textId="77777777" w:rsidR="00FC53C4" w:rsidRPr="000B588B" w:rsidRDefault="00FC53C4" w:rsidP="007C40A9">
      <w:pPr>
        <w:spacing w:after="240"/>
        <w:rPr>
          <w:rFonts w:asciiTheme="minorHAnsi" w:hAnsiTheme="minorHAnsi" w:cstheme="minorHAnsi"/>
        </w:rPr>
      </w:pPr>
    </w:p>
    <w:p w14:paraId="4AB1615F" w14:textId="373657DB" w:rsidR="00EC4E08" w:rsidRPr="000B588B" w:rsidRDefault="008327B3" w:rsidP="007C40A9">
      <w:pPr>
        <w:jc w:val="center"/>
        <w:rPr>
          <w:rFonts w:asciiTheme="minorHAnsi" w:hAnsiTheme="minorHAnsi" w:cstheme="minorHAnsi"/>
          <w:b/>
          <w:bCs/>
          <w:color w:val="000000"/>
          <w:sz w:val="36"/>
          <w:szCs w:val="36"/>
        </w:rPr>
      </w:pPr>
      <w:r>
        <w:rPr>
          <w:rFonts w:asciiTheme="minorHAnsi" w:hAnsiTheme="minorHAnsi" w:cstheme="minorHAnsi"/>
          <w:b/>
          <w:bCs/>
          <w:color w:val="000000"/>
          <w:sz w:val="36"/>
          <w:szCs w:val="36"/>
        </w:rPr>
        <w:t>PESQUISA SOBRE A</w:t>
      </w:r>
      <w:r w:rsidR="00B8378D">
        <w:rPr>
          <w:rFonts w:asciiTheme="minorHAnsi" w:hAnsiTheme="minorHAnsi" w:cstheme="minorHAnsi"/>
          <w:b/>
          <w:bCs/>
          <w:color w:val="000000"/>
          <w:sz w:val="36"/>
          <w:szCs w:val="36"/>
        </w:rPr>
        <w:t xml:space="preserve"> PARTICIPAÇÃO FEMININA NO </w:t>
      </w:r>
      <w:r w:rsidR="002F3A44">
        <w:rPr>
          <w:rFonts w:asciiTheme="minorHAnsi" w:hAnsiTheme="minorHAnsi" w:cstheme="minorHAnsi"/>
          <w:b/>
          <w:bCs/>
          <w:color w:val="000000"/>
          <w:sz w:val="36"/>
          <w:szCs w:val="36"/>
        </w:rPr>
        <w:t>TRIBUNAL SUPERIOR DO TRABALHO E NO CONSELHO SUPERIOR DA JUSTIÇA DO TRABALHO</w:t>
      </w:r>
    </w:p>
    <w:p w14:paraId="11F149FD" w14:textId="76C22EF8" w:rsidR="00EC4E08" w:rsidRPr="000B588B" w:rsidRDefault="00EC4E08" w:rsidP="007C40A9">
      <w:pPr>
        <w:spacing w:after="240"/>
        <w:rPr>
          <w:rFonts w:asciiTheme="minorHAnsi" w:hAnsiTheme="minorHAnsi" w:cstheme="minorHAnsi"/>
        </w:rPr>
      </w:pPr>
    </w:p>
    <w:p w14:paraId="58D48DFB" w14:textId="77777777" w:rsidR="00FC53C4" w:rsidRPr="000B588B" w:rsidRDefault="00FC53C4" w:rsidP="007C40A9">
      <w:pPr>
        <w:spacing w:after="240"/>
        <w:rPr>
          <w:rFonts w:asciiTheme="minorHAnsi" w:hAnsiTheme="minorHAnsi" w:cstheme="minorHAnsi"/>
        </w:rPr>
      </w:pPr>
    </w:p>
    <w:p w14:paraId="60255834" w14:textId="77777777" w:rsidR="00FC53C4" w:rsidRPr="000B588B" w:rsidRDefault="00FC53C4" w:rsidP="007C40A9">
      <w:pPr>
        <w:spacing w:after="240"/>
        <w:rPr>
          <w:rFonts w:asciiTheme="minorHAnsi" w:hAnsiTheme="minorHAnsi" w:cstheme="minorHAnsi"/>
        </w:rPr>
      </w:pPr>
    </w:p>
    <w:p w14:paraId="6D57C36D" w14:textId="77777777" w:rsidR="00FC53C4" w:rsidRDefault="00FC53C4" w:rsidP="007C40A9">
      <w:pPr>
        <w:spacing w:after="240"/>
        <w:rPr>
          <w:rFonts w:asciiTheme="minorHAnsi" w:hAnsiTheme="minorHAnsi" w:cstheme="minorHAnsi"/>
        </w:rPr>
      </w:pPr>
    </w:p>
    <w:p w14:paraId="33E38606" w14:textId="77777777" w:rsidR="00A43C91" w:rsidRDefault="00A43C91" w:rsidP="007C40A9">
      <w:pPr>
        <w:spacing w:after="240"/>
        <w:rPr>
          <w:rFonts w:asciiTheme="minorHAnsi" w:hAnsiTheme="minorHAnsi" w:cstheme="minorHAnsi"/>
        </w:rPr>
      </w:pPr>
    </w:p>
    <w:p w14:paraId="3BDCC5FE" w14:textId="77777777" w:rsidR="00FC53C4" w:rsidRPr="000B588B" w:rsidRDefault="00FC53C4" w:rsidP="007C40A9">
      <w:pPr>
        <w:spacing w:after="240"/>
        <w:rPr>
          <w:rFonts w:asciiTheme="minorHAnsi" w:hAnsiTheme="minorHAnsi" w:cstheme="minorHAnsi"/>
        </w:rPr>
      </w:pPr>
    </w:p>
    <w:p w14:paraId="5298A661" w14:textId="77777777" w:rsidR="00DF0926" w:rsidRPr="000B588B" w:rsidRDefault="00DF0926" w:rsidP="007C40A9">
      <w:pPr>
        <w:spacing w:after="240"/>
        <w:rPr>
          <w:rFonts w:asciiTheme="minorHAnsi" w:hAnsiTheme="minorHAnsi" w:cstheme="minorHAnsi"/>
        </w:rPr>
      </w:pPr>
    </w:p>
    <w:p w14:paraId="637DBC0E" w14:textId="77777777" w:rsidR="00FC53C4" w:rsidRPr="000B588B" w:rsidRDefault="00FC53C4" w:rsidP="007C40A9">
      <w:pPr>
        <w:spacing w:after="240"/>
        <w:rPr>
          <w:rFonts w:asciiTheme="minorHAnsi" w:hAnsiTheme="minorHAnsi" w:cstheme="minorHAnsi"/>
        </w:rPr>
      </w:pPr>
    </w:p>
    <w:p w14:paraId="70B02588" w14:textId="77777777" w:rsidR="00EC4E08" w:rsidRPr="000B588B" w:rsidRDefault="00EC4E08" w:rsidP="007C40A9">
      <w:pPr>
        <w:jc w:val="center"/>
        <w:rPr>
          <w:rFonts w:asciiTheme="minorHAnsi" w:hAnsiTheme="minorHAnsi" w:cstheme="minorHAnsi"/>
        </w:rPr>
      </w:pPr>
      <w:r w:rsidRPr="000B588B">
        <w:rPr>
          <w:rFonts w:asciiTheme="minorHAnsi" w:hAnsiTheme="minorHAnsi" w:cstheme="minorHAnsi"/>
          <w:color w:val="000000"/>
        </w:rPr>
        <w:t>TST</w:t>
      </w:r>
    </w:p>
    <w:p w14:paraId="6525AC41" w14:textId="7DC8AAC8" w:rsidR="00CD66E4" w:rsidRPr="000B588B" w:rsidRDefault="00142FE4" w:rsidP="007C40A9">
      <w:pPr>
        <w:jc w:val="center"/>
        <w:rPr>
          <w:rFonts w:asciiTheme="minorHAnsi" w:hAnsiTheme="minorHAnsi" w:cstheme="minorHAnsi"/>
          <w:color w:val="000000"/>
        </w:rPr>
      </w:pPr>
      <w:r w:rsidRPr="000B588B">
        <w:rPr>
          <w:rFonts w:asciiTheme="minorHAnsi" w:hAnsiTheme="minorHAnsi" w:cstheme="minorHAnsi"/>
          <w:color w:val="000000"/>
        </w:rPr>
        <w:t>Secretaria</w:t>
      </w:r>
      <w:r w:rsidR="00CD66E4" w:rsidRPr="000B588B">
        <w:rPr>
          <w:rFonts w:asciiTheme="minorHAnsi" w:hAnsiTheme="minorHAnsi" w:cstheme="minorHAnsi"/>
          <w:color w:val="000000"/>
        </w:rPr>
        <w:t xml:space="preserve"> de Pesquisa Judiciária</w:t>
      </w:r>
      <w:r w:rsidR="00FA528D" w:rsidRPr="000B588B">
        <w:rPr>
          <w:rFonts w:asciiTheme="minorHAnsi" w:hAnsiTheme="minorHAnsi" w:cstheme="minorHAnsi"/>
          <w:color w:val="000000"/>
        </w:rPr>
        <w:t>, Estatística</w:t>
      </w:r>
      <w:r w:rsidR="00CD66E4" w:rsidRPr="000B588B">
        <w:rPr>
          <w:rFonts w:asciiTheme="minorHAnsi" w:hAnsiTheme="minorHAnsi" w:cstheme="minorHAnsi"/>
          <w:color w:val="000000"/>
        </w:rPr>
        <w:t xml:space="preserve"> e Ciência de Dados</w:t>
      </w:r>
    </w:p>
    <w:p w14:paraId="1135EE35" w14:textId="77777777" w:rsidR="002F3A44" w:rsidRDefault="00EC4E08" w:rsidP="002F3A44">
      <w:pPr>
        <w:jc w:val="center"/>
        <w:rPr>
          <w:rFonts w:asciiTheme="minorHAnsi" w:hAnsiTheme="minorHAnsi" w:cstheme="minorHAnsi"/>
        </w:rPr>
      </w:pPr>
      <w:r w:rsidRPr="000B588B">
        <w:rPr>
          <w:rFonts w:asciiTheme="minorHAnsi" w:hAnsiTheme="minorHAnsi" w:cstheme="minorHAnsi"/>
          <w:color w:val="000000"/>
        </w:rPr>
        <w:t>Brasília, DF</w:t>
      </w:r>
    </w:p>
    <w:p w14:paraId="13EC239D" w14:textId="5D001243" w:rsidR="00EC4E08" w:rsidRPr="002F3A44" w:rsidRDefault="00EC4E08" w:rsidP="002F3A44">
      <w:pPr>
        <w:jc w:val="center"/>
        <w:rPr>
          <w:rStyle w:val="oypena"/>
          <w:rFonts w:asciiTheme="minorHAnsi" w:hAnsiTheme="minorHAnsi" w:cstheme="minorHAnsi"/>
        </w:rPr>
      </w:pPr>
      <w:r w:rsidRPr="000B588B">
        <w:rPr>
          <w:rFonts w:asciiTheme="minorHAnsi" w:hAnsiTheme="minorHAnsi" w:cstheme="minorHAnsi"/>
          <w:color w:val="000000"/>
        </w:rPr>
        <w:t>2025</w:t>
      </w:r>
      <w:r w:rsidRPr="000B588B">
        <w:rPr>
          <w:rStyle w:val="oypena"/>
          <w:rFonts w:asciiTheme="minorHAnsi" w:hAnsiTheme="minorHAnsi" w:cstheme="minorHAnsi"/>
        </w:rPr>
        <w:br w:type="page"/>
      </w:r>
    </w:p>
    <w:p w14:paraId="02A743FA" w14:textId="77777777" w:rsidR="00A43C91" w:rsidRPr="000B588B" w:rsidRDefault="00A43C91" w:rsidP="00A43C91">
      <w:pPr>
        <w:jc w:val="both"/>
        <w:rPr>
          <w:rFonts w:asciiTheme="minorHAnsi" w:hAnsiTheme="minorHAnsi" w:cstheme="minorHAnsi"/>
          <w:sz w:val="18"/>
          <w:szCs w:val="18"/>
        </w:rPr>
      </w:pPr>
      <w:r w:rsidRPr="000B588B">
        <w:rPr>
          <w:rFonts w:asciiTheme="minorHAnsi" w:hAnsiTheme="minorHAnsi" w:cstheme="minorHAnsi"/>
          <w:color w:val="000000"/>
          <w:sz w:val="18"/>
          <w:szCs w:val="18"/>
        </w:rPr>
        <w:lastRenderedPageBreak/>
        <w:t>©2025 BRASIL. Tribunal Superior do Trabalho. Centro de Pesquisas Judiciárias, Estatística e Ciência de Dados.</w:t>
      </w:r>
    </w:p>
    <w:p w14:paraId="3D9C2A99" w14:textId="2A0E4A47" w:rsidR="00EC4E08" w:rsidRPr="000B588B" w:rsidRDefault="00EC4E08" w:rsidP="007C40A9">
      <w:pPr>
        <w:rPr>
          <w:rFonts w:asciiTheme="minorHAnsi" w:hAnsiTheme="minorHAnsi" w:cstheme="minorHAnsi"/>
        </w:rPr>
      </w:pPr>
      <w:r w:rsidRPr="000B588B">
        <w:rPr>
          <w:rFonts w:asciiTheme="minorHAnsi" w:hAnsiTheme="minorHAnsi" w:cstheme="minorHAnsi"/>
          <w:b/>
          <w:bCs/>
          <w:color w:val="1F497D"/>
          <w:sz w:val="28"/>
          <w:szCs w:val="28"/>
          <w:bdr w:val="none" w:sz="0" w:space="0" w:color="auto" w:frame="1"/>
        </w:rPr>
        <w:fldChar w:fldCharType="begin"/>
      </w:r>
      <w:r w:rsidRPr="000B588B">
        <w:rPr>
          <w:rFonts w:asciiTheme="minorHAnsi" w:hAnsiTheme="minorHAnsi" w:cstheme="minorHAnsi"/>
          <w:b/>
          <w:bCs/>
          <w:color w:val="1F497D"/>
          <w:sz w:val="28"/>
          <w:szCs w:val="28"/>
          <w:bdr w:val="none" w:sz="0" w:space="0" w:color="auto" w:frame="1"/>
        </w:rPr>
        <w:instrText xml:space="preserve"> INCLUDEPICTURE "https://lh7-rt.googleusercontent.com/docsz/AD_4nXcOtb1gFv89XI0dleYQvWE0gZUvDtRjQFPTeMl3Mpbed8mTscuIyinzclddHJMc9XsXxVFzpmti9Fh1lowfVoiAPIqh2ZWv_4kIzsH6Fmw8EyspL_d7RQuXDEg9ayDMDyEI4bXK?key=2-UAjJvkDCh6xhewSQB22w" \* MERGEFORMATINET </w:instrText>
      </w:r>
      <w:r w:rsidRPr="000B588B">
        <w:rPr>
          <w:rFonts w:asciiTheme="minorHAnsi" w:hAnsiTheme="minorHAnsi" w:cstheme="minorHAnsi"/>
          <w:b/>
          <w:bCs/>
          <w:color w:val="1F497D"/>
          <w:sz w:val="28"/>
          <w:szCs w:val="28"/>
          <w:bdr w:val="none" w:sz="0" w:space="0" w:color="auto" w:frame="1"/>
        </w:rPr>
        <w:fldChar w:fldCharType="separate"/>
      </w:r>
      <w:r w:rsidRPr="000B588B">
        <w:rPr>
          <w:rFonts w:asciiTheme="minorHAnsi" w:hAnsiTheme="minorHAnsi" w:cstheme="minorHAnsi"/>
          <w:b/>
          <w:bCs/>
          <w:noProof/>
          <w:color w:val="1F497D"/>
          <w:sz w:val="28"/>
          <w:szCs w:val="28"/>
          <w:bdr w:val="none" w:sz="0" w:space="0" w:color="auto" w:frame="1"/>
        </w:rPr>
        <w:drawing>
          <wp:inline distT="0" distB="0" distL="0" distR="0" wp14:anchorId="226FFF26" wp14:editId="014461BC">
            <wp:extent cx="1039495" cy="426085"/>
            <wp:effectExtent l="0" t="0" r="1905" b="5715"/>
            <wp:docPr id="1622690745" name="Imagem 3" descr="Uma imagem contendo 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90745" name="Imagem 3" descr="Uma imagem contendo Calendário&#10;&#10;O conteúdo gerado por IA pode estar incorr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9495" cy="426085"/>
                    </a:xfrm>
                    <a:prstGeom prst="rect">
                      <a:avLst/>
                    </a:prstGeom>
                    <a:noFill/>
                    <a:ln>
                      <a:noFill/>
                    </a:ln>
                  </pic:spPr>
                </pic:pic>
              </a:graphicData>
            </a:graphic>
          </wp:inline>
        </w:drawing>
      </w:r>
      <w:r w:rsidRPr="000B588B">
        <w:rPr>
          <w:rFonts w:asciiTheme="minorHAnsi" w:hAnsiTheme="minorHAnsi" w:cstheme="minorHAnsi"/>
          <w:b/>
          <w:bCs/>
          <w:color w:val="1F497D"/>
          <w:sz w:val="28"/>
          <w:szCs w:val="28"/>
          <w:bdr w:val="none" w:sz="0" w:space="0" w:color="auto" w:frame="1"/>
        </w:rPr>
        <w:fldChar w:fldCharType="end"/>
      </w:r>
    </w:p>
    <w:p w14:paraId="4725A754" w14:textId="77777777" w:rsidR="00EC4E08" w:rsidRPr="000B588B" w:rsidRDefault="00EC4E08" w:rsidP="007C40A9">
      <w:pPr>
        <w:rPr>
          <w:rFonts w:asciiTheme="minorHAnsi" w:hAnsiTheme="minorHAnsi" w:cstheme="minorHAnsi"/>
          <w:sz w:val="18"/>
          <w:szCs w:val="18"/>
        </w:rPr>
      </w:pPr>
    </w:p>
    <w:p w14:paraId="0A9121E1" w14:textId="77777777" w:rsidR="00EC4E08" w:rsidRPr="000B588B" w:rsidRDefault="00EC4E08" w:rsidP="007C40A9">
      <w:pPr>
        <w:jc w:val="both"/>
        <w:rPr>
          <w:rFonts w:asciiTheme="minorHAnsi" w:hAnsiTheme="minorHAnsi" w:cstheme="minorHAnsi"/>
          <w:sz w:val="18"/>
          <w:szCs w:val="18"/>
        </w:rPr>
      </w:pPr>
      <w:r w:rsidRPr="000B588B">
        <w:rPr>
          <w:rFonts w:asciiTheme="minorHAnsi" w:hAnsiTheme="minorHAnsi" w:cstheme="minorHAnsi"/>
          <w:b/>
          <w:bCs/>
          <w:color w:val="000000"/>
          <w:sz w:val="18"/>
          <w:szCs w:val="18"/>
        </w:rPr>
        <w:t>Tribunal Superior do Trabalho (TST)</w:t>
      </w:r>
    </w:p>
    <w:p w14:paraId="7CCD587A" w14:textId="77777777" w:rsidR="00EC4E08" w:rsidRPr="003B0DD4" w:rsidRDefault="00EC4E08" w:rsidP="007C40A9">
      <w:pPr>
        <w:jc w:val="both"/>
        <w:rPr>
          <w:rFonts w:asciiTheme="minorHAnsi" w:hAnsiTheme="minorHAnsi" w:cstheme="minorHAnsi"/>
          <w:sz w:val="18"/>
          <w:szCs w:val="18"/>
        </w:rPr>
      </w:pPr>
      <w:r w:rsidRPr="003B0DD4">
        <w:rPr>
          <w:rFonts w:asciiTheme="minorHAnsi" w:hAnsiTheme="minorHAnsi" w:cstheme="minorHAnsi"/>
          <w:color w:val="000000"/>
          <w:sz w:val="18"/>
          <w:szCs w:val="18"/>
        </w:rPr>
        <w:t>Presidente: Ministro Aloysio Corrêa da Veiga</w:t>
      </w:r>
    </w:p>
    <w:p w14:paraId="6CC832CF" w14:textId="77777777" w:rsidR="00EC4E08" w:rsidRPr="003B0DD4" w:rsidRDefault="00EC4E08" w:rsidP="007C40A9">
      <w:pPr>
        <w:jc w:val="both"/>
        <w:rPr>
          <w:rFonts w:asciiTheme="minorHAnsi" w:hAnsiTheme="minorHAnsi" w:cstheme="minorHAnsi"/>
          <w:sz w:val="18"/>
          <w:szCs w:val="18"/>
        </w:rPr>
      </w:pPr>
      <w:r w:rsidRPr="003B0DD4">
        <w:rPr>
          <w:rFonts w:asciiTheme="minorHAnsi" w:hAnsiTheme="minorHAnsi" w:cstheme="minorHAnsi"/>
          <w:color w:val="000000"/>
          <w:sz w:val="18"/>
          <w:szCs w:val="18"/>
        </w:rPr>
        <w:t>Vice-Presidente: Ministro Mauricio José Godinho Delgado</w:t>
      </w:r>
    </w:p>
    <w:p w14:paraId="57521E04" w14:textId="77777777" w:rsidR="00EC4E08" w:rsidRPr="000B588B" w:rsidRDefault="00EC4E08" w:rsidP="007C40A9">
      <w:pPr>
        <w:jc w:val="both"/>
        <w:rPr>
          <w:rFonts w:asciiTheme="minorHAnsi" w:hAnsiTheme="minorHAnsi" w:cstheme="minorHAnsi"/>
          <w:sz w:val="18"/>
          <w:szCs w:val="18"/>
        </w:rPr>
      </w:pPr>
      <w:r w:rsidRPr="003B0DD4">
        <w:rPr>
          <w:rFonts w:asciiTheme="minorHAnsi" w:hAnsiTheme="minorHAnsi" w:cstheme="minorHAnsi"/>
          <w:color w:val="000000"/>
          <w:sz w:val="18"/>
          <w:szCs w:val="18"/>
        </w:rPr>
        <w:t>Corregedor-Geral da Justiça do Trabalho: Ministro Luiz Philippe Vieira de Mello Filho</w:t>
      </w:r>
    </w:p>
    <w:p w14:paraId="0456722C" w14:textId="77777777" w:rsidR="00EC4E08" w:rsidRPr="000B588B" w:rsidRDefault="00EC4E08" w:rsidP="007C40A9">
      <w:pPr>
        <w:jc w:val="both"/>
        <w:rPr>
          <w:rFonts w:asciiTheme="minorHAnsi" w:hAnsiTheme="minorHAnsi" w:cstheme="minorHAnsi"/>
          <w:sz w:val="18"/>
          <w:szCs w:val="18"/>
        </w:rPr>
      </w:pPr>
      <w:r w:rsidRPr="000B588B">
        <w:rPr>
          <w:rFonts w:asciiTheme="minorHAnsi" w:hAnsiTheme="minorHAnsi" w:cstheme="minorHAnsi"/>
          <w:b/>
          <w:bCs/>
          <w:color w:val="000000"/>
          <w:sz w:val="18"/>
          <w:szCs w:val="18"/>
        </w:rPr>
        <w:t> </w:t>
      </w:r>
    </w:p>
    <w:p w14:paraId="0366B8FC" w14:textId="77777777" w:rsidR="00EC4E08" w:rsidRPr="000B588B" w:rsidRDefault="00EC4E08" w:rsidP="007C40A9">
      <w:pPr>
        <w:jc w:val="both"/>
        <w:rPr>
          <w:rFonts w:asciiTheme="minorHAnsi" w:hAnsiTheme="minorHAnsi" w:cstheme="minorHAnsi"/>
          <w:sz w:val="18"/>
          <w:szCs w:val="18"/>
        </w:rPr>
      </w:pPr>
      <w:r w:rsidRPr="000B588B">
        <w:rPr>
          <w:rFonts w:asciiTheme="minorHAnsi" w:hAnsiTheme="minorHAnsi" w:cstheme="minorHAnsi"/>
          <w:b/>
          <w:bCs/>
          <w:color w:val="000000"/>
          <w:sz w:val="18"/>
          <w:szCs w:val="18"/>
        </w:rPr>
        <w:t>Coordenação e organização:</w:t>
      </w:r>
    </w:p>
    <w:p w14:paraId="16D35B77" w14:textId="77777777" w:rsidR="00EC4E08" w:rsidRPr="000B588B" w:rsidRDefault="00EC4E08" w:rsidP="007C40A9">
      <w:pPr>
        <w:jc w:val="both"/>
        <w:rPr>
          <w:rFonts w:asciiTheme="minorHAnsi" w:hAnsiTheme="minorHAnsi" w:cstheme="minorHAnsi"/>
          <w:sz w:val="18"/>
          <w:szCs w:val="18"/>
        </w:rPr>
      </w:pPr>
      <w:r w:rsidRPr="000B588B">
        <w:rPr>
          <w:rFonts w:asciiTheme="minorHAnsi" w:hAnsiTheme="minorHAnsi" w:cstheme="minorHAnsi"/>
          <w:b/>
          <w:bCs/>
          <w:color w:val="000000"/>
          <w:sz w:val="18"/>
          <w:szCs w:val="18"/>
        </w:rPr>
        <w:t>Centro de Pesquisas Judiciárias, Estatística e Ciência de Dados (CPJED)</w:t>
      </w:r>
    </w:p>
    <w:p w14:paraId="45689562" w14:textId="77777777" w:rsidR="00EC4E08" w:rsidRPr="003B0DD4" w:rsidRDefault="00EC4E08" w:rsidP="007C40A9">
      <w:pPr>
        <w:jc w:val="both"/>
        <w:rPr>
          <w:rFonts w:asciiTheme="minorHAnsi" w:hAnsiTheme="minorHAnsi" w:cstheme="minorHAnsi"/>
          <w:sz w:val="18"/>
          <w:szCs w:val="18"/>
        </w:rPr>
      </w:pPr>
      <w:r w:rsidRPr="003B0DD4">
        <w:rPr>
          <w:rFonts w:asciiTheme="minorHAnsi" w:hAnsiTheme="minorHAnsi" w:cstheme="minorHAnsi"/>
          <w:color w:val="000000"/>
          <w:sz w:val="18"/>
          <w:szCs w:val="18"/>
        </w:rPr>
        <w:t>Diretor: Ministro Douglas Alencar Rodrigues</w:t>
      </w:r>
    </w:p>
    <w:p w14:paraId="5837B06F" w14:textId="77777777" w:rsidR="00EC4E08" w:rsidRPr="003B0DD4" w:rsidRDefault="00EC4E08" w:rsidP="007C40A9">
      <w:pPr>
        <w:jc w:val="both"/>
        <w:rPr>
          <w:rFonts w:asciiTheme="minorHAnsi" w:hAnsiTheme="minorHAnsi" w:cstheme="minorHAnsi"/>
          <w:sz w:val="18"/>
          <w:szCs w:val="18"/>
        </w:rPr>
      </w:pPr>
      <w:r w:rsidRPr="003B0DD4">
        <w:rPr>
          <w:rFonts w:asciiTheme="minorHAnsi" w:hAnsiTheme="minorHAnsi" w:cstheme="minorHAnsi"/>
          <w:color w:val="000000"/>
          <w:sz w:val="18"/>
          <w:szCs w:val="18"/>
        </w:rPr>
        <w:t>Magistrado Supervisor: Juiz Cristiano Siqueira de Abreu e Lima</w:t>
      </w:r>
    </w:p>
    <w:p w14:paraId="6B787860" w14:textId="4533B93F" w:rsidR="00EC4E08" w:rsidRPr="000B588B" w:rsidRDefault="00EC4E08" w:rsidP="007C40A9">
      <w:pPr>
        <w:jc w:val="both"/>
        <w:rPr>
          <w:rFonts w:asciiTheme="minorHAnsi" w:hAnsiTheme="minorHAnsi" w:cstheme="minorHAnsi"/>
          <w:sz w:val="18"/>
          <w:szCs w:val="18"/>
        </w:rPr>
      </w:pPr>
      <w:r w:rsidRPr="003B0DD4">
        <w:rPr>
          <w:rFonts w:asciiTheme="minorHAnsi" w:hAnsiTheme="minorHAnsi" w:cstheme="minorHAnsi"/>
          <w:color w:val="000000"/>
          <w:sz w:val="18"/>
          <w:szCs w:val="18"/>
        </w:rPr>
        <w:t>Secretário: Joaquim Otávio Pereira da Silva Júnior</w:t>
      </w:r>
    </w:p>
    <w:p w14:paraId="07AEE3DA" w14:textId="77777777" w:rsidR="00EC4E08" w:rsidRDefault="00EC4E08" w:rsidP="007C40A9">
      <w:pPr>
        <w:rPr>
          <w:rFonts w:asciiTheme="minorHAnsi" w:hAnsiTheme="minorHAnsi" w:cstheme="minorHAnsi"/>
          <w:sz w:val="18"/>
          <w:szCs w:val="18"/>
        </w:rPr>
      </w:pPr>
    </w:p>
    <w:p w14:paraId="069E0761" w14:textId="05AED13E" w:rsidR="00A43C91" w:rsidRPr="00A43C91" w:rsidRDefault="00A43C91" w:rsidP="007C40A9">
      <w:pPr>
        <w:rPr>
          <w:rFonts w:asciiTheme="minorHAnsi" w:hAnsiTheme="minorHAnsi" w:cstheme="minorHAnsi"/>
          <w:b/>
          <w:sz w:val="18"/>
          <w:szCs w:val="18"/>
        </w:rPr>
      </w:pPr>
      <w:r w:rsidRPr="00A43C91">
        <w:rPr>
          <w:rFonts w:asciiTheme="minorHAnsi" w:hAnsiTheme="minorHAnsi" w:cstheme="minorHAnsi"/>
          <w:b/>
          <w:sz w:val="18"/>
          <w:szCs w:val="18"/>
        </w:rPr>
        <w:t>Elaboração:</w:t>
      </w:r>
    </w:p>
    <w:p w14:paraId="651B44CE" w14:textId="3DF3BFF2" w:rsidR="00DA3035" w:rsidRDefault="00DA3035" w:rsidP="00A43C91">
      <w:pPr>
        <w:rPr>
          <w:rFonts w:asciiTheme="minorHAnsi" w:hAnsiTheme="minorHAnsi" w:cstheme="minorHAnsi"/>
          <w:sz w:val="18"/>
          <w:szCs w:val="18"/>
        </w:rPr>
      </w:pPr>
      <w:r>
        <w:rPr>
          <w:rFonts w:asciiTheme="minorHAnsi" w:hAnsiTheme="minorHAnsi" w:cstheme="minorHAnsi"/>
          <w:sz w:val="18"/>
          <w:szCs w:val="18"/>
        </w:rPr>
        <w:t>Cristiano Siqueira de Abreu e Lima</w:t>
      </w:r>
    </w:p>
    <w:p w14:paraId="6E95A17B" w14:textId="569E74F9" w:rsidR="003B0DD4" w:rsidRPr="003B0DD4" w:rsidRDefault="003B0DD4" w:rsidP="00A43C91">
      <w:pPr>
        <w:rPr>
          <w:rFonts w:asciiTheme="minorHAnsi" w:hAnsiTheme="minorHAnsi" w:cstheme="minorHAnsi"/>
          <w:sz w:val="18"/>
          <w:szCs w:val="18"/>
        </w:rPr>
      </w:pPr>
      <w:r w:rsidRPr="003B0DD4">
        <w:rPr>
          <w:rFonts w:asciiTheme="minorHAnsi" w:hAnsiTheme="minorHAnsi" w:cstheme="minorHAnsi"/>
          <w:sz w:val="18"/>
          <w:szCs w:val="18"/>
        </w:rPr>
        <w:t>Elisa Sardão Colares</w:t>
      </w:r>
    </w:p>
    <w:p w14:paraId="40029B7B" w14:textId="043B360F" w:rsidR="00A43C91" w:rsidRPr="003B0DD4" w:rsidRDefault="00A43C91" w:rsidP="00A43C91">
      <w:pPr>
        <w:rPr>
          <w:rFonts w:asciiTheme="minorHAnsi" w:hAnsiTheme="minorHAnsi" w:cstheme="minorHAnsi"/>
          <w:sz w:val="18"/>
          <w:szCs w:val="18"/>
        </w:rPr>
      </w:pPr>
      <w:r w:rsidRPr="003B0DD4">
        <w:rPr>
          <w:rFonts w:asciiTheme="minorHAnsi" w:hAnsiTheme="minorHAnsi" w:cstheme="minorHAnsi"/>
          <w:sz w:val="18"/>
          <w:szCs w:val="18"/>
        </w:rPr>
        <w:t>Erlene Maria Coelho Avelino</w:t>
      </w:r>
    </w:p>
    <w:p w14:paraId="6CBD0BF4" w14:textId="77777777" w:rsidR="00A43C91" w:rsidRPr="003B0DD4" w:rsidRDefault="00A43C91" w:rsidP="00A43C91">
      <w:pPr>
        <w:rPr>
          <w:rFonts w:asciiTheme="minorHAnsi" w:hAnsiTheme="minorHAnsi" w:cstheme="minorHAnsi"/>
          <w:sz w:val="18"/>
          <w:szCs w:val="18"/>
        </w:rPr>
      </w:pPr>
      <w:r w:rsidRPr="003B0DD4">
        <w:rPr>
          <w:rFonts w:asciiTheme="minorHAnsi" w:hAnsiTheme="minorHAnsi" w:cstheme="minorHAnsi"/>
          <w:sz w:val="18"/>
          <w:szCs w:val="18"/>
        </w:rPr>
        <w:t>Marcelino Champagnat Boaventura</w:t>
      </w:r>
    </w:p>
    <w:p w14:paraId="1E9DE41C" w14:textId="5A167FF7" w:rsidR="00A43C91" w:rsidRDefault="003B0DD4" w:rsidP="007C40A9">
      <w:pPr>
        <w:rPr>
          <w:rFonts w:asciiTheme="minorHAnsi" w:hAnsiTheme="minorHAnsi" w:cstheme="minorHAnsi"/>
          <w:sz w:val="18"/>
          <w:szCs w:val="18"/>
        </w:rPr>
      </w:pPr>
      <w:r>
        <w:rPr>
          <w:rFonts w:asciiTheme="minorHAnsi" w:hAnsiTheme="minorHAnsi" w:cstheme="minorHAnsi"/>
          <w:sz w:val="18"/>
          <w:szCs w:val="18"/>
        </w:rPr>
        <w:t xml:space="preserve">Priscila Aurora Landim </w:t>
      </w:r>
    </w:p>
    <w:p w14:paraId="2C380285" w14:textId="77777777" w:rsidR="003B0DD4" w:rsidRPr="003B0DD4" w:rsidRDefault="003B0DD4" w:rsidP="007C40A9">
      <w:pPr>
        <w:rPr>
          <w:rFonts w:asciiTheme="minorHAnsi" w:hAnsiTheme="minorHAnsi" w:cstheme="minorHAnsi"/>
          <w:sz w:val="18"/>
          <w:szCs w:val="18"/>
        </w:rPr>
      </w:pPr>
    </w:p>
    <w:p w14:paraId="5B67E81A" w14:textId="77777777" w:rsidR="00EC4E08" w:rsidRPr="003B0DD4" w:rsidRDefault="00EC4E08" w:rsidP="007C40A9">
      <w:pPr>
        <w:jc w:val="both"/>
        <w:rPr>
          <w:rFonts w:asciiTheme="minorHAnsi" w:hAnsiTheme="minorHAnsi" w:cstheme="minorHAnsi"/>
          <w:sz w:val="18"/>
          <w:szCs w:val="18"/>
        </w:rPr>
      </w:pPr>
      <w:r w:rsidRPr="003B0DD4">
        <w:rPr>
          <w:rFonts w:asciiTheme="minorHAnsi" w:hAnsiTheme="minorHAnsi" w:cstheme="minorHAnsi"/>
          <w:b/>
          <w:bCs/>
          <w:color w:val="000000"/>
          <w:sz w:val="18"/>
          <w:szCs w:val="18"/>
        </w:rPr>
        <w:t>Revisão:</w:t>
      </w:r>
    </w:p>
    <w:p w14:paraId="227E9B40" w14:textId="77777777" w:rsidR="00DA3035" w:rsidRPr="000B588B" w:rsidRDefault="00DA3035" w:rsidP="00DA3035">
      <w:pPr>
        <w:jc w:val="both"/>
        <w:rPr>
          <w:rFonts w:asciiTheme="minorHAnsi" w:hAnsiTheme="minorHAnsi" w:cstheme="minorHAnsi"/>
        </w:rPr>
      </w:pPr>
      <w:r>
        <w:rPr>
          <w:rFonts w:asciiTheme="minorHAnsi" w:hAnsiTheme="minorHAnsi" w:cstheme="minorHAnsi"/>
          <w:color w:val="000000"/>
          <w:sz w:val="18"/>
          <w:szCs w:val="18"/>
        </w:rPr>
        <w:t xml:space="preserve">Adhara Campos Vieira </w:t>
      </w:r>
    </w:p>
    <w:p w14:paraId="02190E07" w14:textId="77777777" w:rsidR="00EC4E08" w:rsidRDefault="00EC4E08" w:rsidP="007C40A9">
      <w:pPr>
        <w:jc w:val="both"/>
        <w:rPr>
          <w:rFonts w:asciiTheme="minorHAnsi" w:hAnsiTheme="minorHAnsi" w:cstheme="minorHAnsi"/>
          <w:color w:val="000000"/>
          <w:sz w:val="18"/>
          <w:szCs w:val="18"/>
        </w:rPr>
      </w:pPr>
      <w:r w:rsidRPr="003B0DD4">
        <w:rPr>
          <w:rFonts w:asciiTheme="minorHAnsi" w:hAnsiTheme="minorHAnsi" w:cstheme="minorHAnsi"/>
          <w:color w:val="000000"/>
          <w:sz w:val="18"/>
          <w:szCs w:val="18"/>
        </w:rPr>
        <w:t>Roberto Krauspenhar</w:t>
      </w:r>
    </w:p>
    <w:p w14:paraId="71176899" w14:textId="77777777" w:rsidR="00A44CAD" w:rsidRDefault="00A44CAD" w:rsidP="007C40A9">
      <w:pPr>
        <w:jc w:val="center"/>
        <w:rPr>
          <w:rFonts w:asciiTheme="minorHAnsi" w:hAnsiTheme="minorHAnsi" w:cstheme="minorHAnsi"/>
        </w:rPr>
      </w:pPr>
    </w:p>
    <w:p w14:paraId="6D573A6E" w14:textId="77777777" w:rsidR="00A43C91" w:rsidRDefault="00A43C91" w:rsidP="007C40A9">
      <w:pPr>
        <w:jc w:val="center"/>
        <w:rPr>
          <w:rFonts w:asciiTheme="minorHAnsi" w:hAnsiTheme="minorHAnsi" w:cstheme="minorHAnsi"/>
        </w:rPr>
      </w:pPr>
    </w:p>
    <w:p w14:paraId="46697C7B" w14:textId="77777777" w:rsidR="00A43C91" w:rsidRDefault="00A43C91" w:rsidP="007C40A9">
      <w:pPr>
        <w:jc w:val="center"/>
        <w:rPr>
          <w:rFonts w:asciiTheme="minorHAnsi" w:hAnsiTheme="minorHAnsi" w:cstheme="minorHAnsi"/>
        </w:rPr>
      </w:pPr>
    </w:p>
    <w:p w14:paraId="57D95186" w14:textId="77777777" w:rsidR="00A43C91" w:rsidRPr="000B588B" w:rsidRDefault="00A43C91" w:rsidP="007C40A9">
      <w:pPr>
        <w:jc w:val="center"/>
        <w:rPr>
          <w:rFonts w:asciiTheme="minorHAnsi" w:hAnsiTheme="minorHAnsi" w:cstheme="minorHAnsi"/>
        </w:rPr>
      </w:pPr>
    </w:p>
    <w:p w14:paraId="3736E7E6" w14:textId="77777777" w:rsidR="00A44CAD" w:rsidRPr="000B588B" w:rsidRDefault="00A44CAD" w:rsidP="007C40A9">
      <w:pPr>
        <w:jc w:val="center"/>
        <w:rPr>
          <w:rFonts w:asciiTheme="minorHAnsi" w:hAnsiTheme="minorHAnsi" w:cstheme="minorHAnsi"/>
        </w:rPr>
      </w:pPr>
    </w:p>
    <w:p w14:paraId="2D5796BB" w14:textId="77777777" w:rsidR="008520F6" w:rsidRPr="000B588B" w:rsidRDefault="008520F6" w:rsidP="008520F6">
      <w:pPr>
        <w:jc w:val="center"/>
        <w:rPr>
          <w:rFonts w:asciiTheme="minorHAnsi" w:hAnsiTheme="minorHAnsi" w:cstheme="minorHAnsi"/>
          <w:sz w:val="28"/>
          <w:szCs w:val="28"/>
        </w:rPr>
      </w:pPr>
      <w:r w:rsidRPr="000B588B">
        <w:rPr>
          <w:rFonts w:asciiTheme="minorHAnsi" w:hAnsiTheme="minorHAnsi" w:cstheme="minorHAnsi"/>
          <w:color w:val="000000"/>
          <w:sz w:val="18"/>
          <w:szCs w:val="18"/>
        </w:rPr>
        <w:t>Dados Internacionais de Catalogação na Publicação (CIP)</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7087"/>
      </w:tblGrid>
      <w:tr w:rsidR="008520F6" w:rsidRPr="003E5BD2" w14:paraId="501D67C4" w14:textId="77777777" w:rsidTr="008520F6">
        <w:trPr>
          <w:trHeight w:hRule="exact" w:val="4253"/>
          <w:jc w:val="center"/>
        </w:trPr>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E566F" w14:textId="77777777" w:rsidR="008520F6" w:rsidRPr="003E5BD2" w:rsidRDefault="008520F6" w:rsidP="008520F6">
            <w:pPr>
              <w:spacing w:after="60"/>
              <w:ind w:left="1134" w:hanging="1134"/>
              <w:rPr>
                <w:rFonts w:asciiTheme="minorHAnsi" w:hAnsiTheme="minorHAnsi" w:cstheme="minorHAnsi"/>
                <w:color w:val="000000"/>
                <w:sz w:val="8"/>
                <w:szCs w:val="18"/>
              </w:rPr>
            </w:pPr>
          </w:p>
          <w:p w14:paraId="36869347" w14:textId="77777777" w:rsidR="008520F6" w:rsidRPr="009A4046" w:rsidRDefault="008520F6" w:rsidP="008520F6">
            <w:pPr>
              <w:ind w:left="892" w:hanging="874"/>
              <w:rPr>
                <w:rFonts w:asciiTheme="minorHAnsi" w:hAnsiTheme="minorHAnsi" w:cstheme="minorHAnsi"/>
                <w:color w:val="000000"/>
                <w:sz w:val="18"/>
                <w:szCs w:val="18"/>
              </w:rPr>
            </w:pPr>
            <w:r w:rsidRPr="00EA2B87">
              <w:rPr>
                <w:rFonts w:asciiTheme="minorHAnsi" w:hAnsiTheme="minorHAnsi" w:cstheme="minorHAnsi"/>
                <w:color w:val="000000"/>
                <w:sz w:val="18"/>
                <w:szCs w:val="18"/>
              </w:rPr>
              <w:t>P474</w:t>
            </w:r>
            <w:r w:rsidRPr="003E5BD2">
              <w:rPr>
                <w:rFonts w:asciiTheme="minorHAnsi" w:hAnsiTheme="minorHAnsi" w:cstheme="minorHAnsi"/>
                <w:color w:val="000000"/>
                <w:sz w:val="18"/>
                <w:szCs w:val="18"/>
              </w:rPr>
              <w:t xml:space="preserve">   Pesquisa sobre a participação feminina no Tribunal Superior do Trabalho e n</w:t>
            </w:r>
            <w:r>
              <w:rPr>
                <w:rFonts w:asciiTheme="minorHAnsi" w:hAnsiTheme="minorHAnsi" w:cstheme="minorHAnsi"/>
                <w:color w:val="000000"/>
                <w:sz w:val="18"/>
                <w:szCs w:val="18"/>
              </w:rPr>
              <w:t>o Conselho Superior da Justiça d</w:t>
            </w:r>
            <w:r w:rsidRPr="003E5BD2">
              <w:rPr>
                <w:rFonts w:asciiTheme="minorHAnsi" w:hAnsiTheme="minorHAnsi" w:cstheme="minorHAnsi"/>
                <w:color w:val="000000"/>
                <w:sz w:val="18"/>
                <w:szCs w:val="18"/>
              </w:rPr>
              <w:t xml:space="preserve">o Trabalho / Tribunal Superior do Trabalho, Centro </w:t>
            </w:r>
            <w:r w:rsidRPr="009A4046">
              <w:rPr>
                <w:rFonts w:asciiTheme="minorHAnsi" w:hAnsiTheme="minorHAnsi" w:cstheme="minorHAnsi"/>
                <w:color w:val="000000"/>
                <w:sz w:val="18"/>
                <w:szCs w:val="18"/>
              </w:rPr>
              <w:t xml:space="preserve">de Pesquisas Judiciárias, </w:t>
            </w:r>
            <w:r>
              <w:rPr>
                <w:rFonts w:asciiTheme="minorHAnsi" w:hAnsiTheme="minorHAnsi" w:cstheme="minorHAnsi"/>
                <w:color w:val="000000"/>
                <w:sz w:val="18"/>
                <w:szCs w:val="18"/>
              </w:rPr>
              <w:t>Estatística e Ciência de Dados, coordenação e organização</w:t>
            </w:r>
            <w:r w:rsidRPr="009A4046">
              <w:rPr>
                <w:rFonts w:asciiTheme="minorHAnsi" w:hAnsiTheme="minorHAnsi" w:cstheme="minorHAnsi"/>
                <w:color w:val="000000"/>
                <w:sz w:val="18"/>
                <w:szCs w:val="18"/>
              </w:rPr>
              <w:t>. – Brasília, DF: TST, Secretaria de Pesquisa Judiciária, Estatística e Ciência de Dados do Tribunal Superior do Trabalho, 2025.</w:t>
            </w:r>
          </w:p>
          <w:p w14:paraId="63CCD20C" w14:textId="3A4DAC7C" w:rsidR="008520F6" w:rsidRPr="009A4046" w:rsidRDefault="008520F6" w:rsidP="008520F6">
            <w:pPr>
              <w:ind w:left="892"/>
              <w:jc w:val="both"/>
              <w:rPr>
                <w:rFonts w:asciiTheme="minorHAnsi" w:hAnsiTheme="minorHAnsi" w:cstheme="minorHAnsi"/>
                <w:color w:val="000000"/>
                <w:sz w:val="18"/>
                <w:szCs w:val="18"/>
              </w:rPr>
            </w:pPr>
            <w:r w:rsidRPr="007A5CEB">
              <w:rPr>
                <w:rFonts w:asciiTheme="minorHAnsi" w:hAnsiTheme="minorHAnsi" w:cstheme="minorHAnsi"/>
                <w:color w:val="000000"/>
                <w:sz w:val="18"/>
                <w:szCs w:val="18"/>
              </w:rPr>
              <w:t>1</w:t>
            </w:r>
            <w:r w:rsidR="00890D33" w:rsidRPr="007A5CEB">
              <w:rPr>
                <w:rFonts w:asciiTheme="minorHAnsi" w:hAnsiTheme="minorHAnsi" w:cstheme="minorHAnsi"/>
                <w:color w:val="000000"/>
                <w:sz w:val="18"/>
                <w:szCs w:val="18"/>
              </w:rPr>
              <w:t>6</w:t>
            </w:r>
            <w:r w:rsidR="00835F73">
              <w:rPr>
                <w:rFonts w:asciiTheme="minorHAnsi" w:hAnsiTheme="minorHAnsi" w:cstheme="minorHAnsi"/>
                <w:color w:val="000000"/>
                <w:sz w:val="18"/>
                <w:szCs w:val="18"/>
              </w:rPr>
              <w:t>9</w:t>
            </w:r>
            <w:r w:rsidRPr="007A5CEB">
              <w:rPr>
                <w:rFonts w:asciiTheme="minorHAnsi" w:hAnsiTheme="minorHAnsi" w:cstheme="minorHAnsi"/>
                <w:color w:val="000000"/>
                <w:sz w:val="18"/>
                <w:szCs w:val="18"/>
              </w:rPr>
              <w:t xml:space="preserve"> p.</w:t>
            </w:r>
            <w:r w:rsidRPr="009A4046">
              <w:rPr>
                <w:rFonts w:asciiTheme="minorHAnsi" w:hAnsiTheme="minorHAnsi" w:cstheme="minorHAnsi"/>
                <w:color w:val="000000"/>
                <w:sz w:val="18"/>
                <w:szCs w:val="18"/>
              </w:rPr>
              <w:t> </w:t>
            </w:r>
          </w:p>
          <w:p w14:paraId="43A30C99" w14:textId="77777777" w:rsidR="008520F6" w:rsidRPr="009A4046" w:rsidRDefault="008520F6" w:rsidP="008520F6">
            <w:pPr>
              <w:ind w:left="668" w:firstLine="252"/>
              <w:rPr>
                <w:rFonts w:asciiTheme="minorHAnsi" w:hAnsiTheme="minorHAnsi" w:cstheme="minorHAnsi"/>
                <w:sz w:val="18"/>
                <w:szCs w:val="18"/>
              </w:rPr>
            </w:pPr>
          </w:p>
          <w:p w14:paraId="6127152F" w14:textId="77777777" w:rsidR="008520F6" w:rsidRPr="003E5BD2" w:rsidRDefault="008520F6" w:rsidP="008520F6">
            <w:pPr>
              <w:ind w:left="668" w:firstLine="252"/>
              <w:jc w:val="both"/>
              <w:rPr>
                <w:rFonts w:asciiTheme="minorHAnsi" w:hAnsiTheme="minorHAnsi" w:cstheme="minorHAnsi"/>
                <w:sz w:val="18"/>
                <w:szCs w:val="18"/>
              </w:rPr>
            </w:pPr>
            <w:r w:rsidRPr="009A4046">
              <w:rPr>
                <w:rFonts w:asciiTheme="minorHAnsi" w:hAnsiTheme="minorHAnsi" w:cstheme="minorHAnsi"/>
                <w:color w:val="000000"/>
                <w:sz w:val="18"/>
                <w:szCs w:val="18"/>
              </w:rPr>
              <w:t>ISBN 978-85-85667-20-7 </w:t>
            </w:r>
          </w:p>
          <w:p w14:paraId="3364907B" w14:textId="77777777" w:rsidR="008520F6" w:rsidRPr="003E5BD2" w:rsidRDefault="008520F6" w:rsidP="008520F6">
            <w:pPr>
              <w:ind w:left="668" w:firstLine="252"/>
              <w:rPr>
                <w:rFonts w:asciiTheme="minorHAnsi" w:hAnsiTheme="minorHAnsi" w:cstheme="minorHAnsi"/>
                <w:sz w:val="18"/>
                <w:szCs w:val="18"/>
              </w:rPr>
            </w:pPr>
          </w:p>
          <w:p w14:paraId="34078172" w14:textId="77777777" w:rsidR="008520F6" w:rsidRDefault="008520F6" w:rsidP="008520F6">
            <w:pPr>
              <w:spacing w:after="600"/>
              <w:ind w:left="542" w:firstLine="350"/>
              <w:rPr>
                <w:rFonts w:asciiTheme="minorHAnsi" w:hAnsiTheme="minorHAnsi" w:cstheme="minorHAnsi"/>
                <w:color w:val="000000"/>
                <w:sz w:val="18"/>
                <w:szCs w:val="18"/>
              </w:rPr>
            </w:pPr>
            <w:r w:rsidRPr="003E5BD2">
              <w:rPr>
                <w:rFonts w:asciiTheme="minorHAnsi" w:hAnsiTheme="minorHAnsi" w:cstheme="minorHAnsi"/>
                <w:color w:val="000000"/>
                <w:sz w:val="18"/>
                <w:szCs w:val="18"/>
              </w:rPr>
              <w:t xml:space="preserve">1. </w:t>
            </w:r>
            <w:r>
              <w:rPr>
                <w:rFonts w:asciiTheme="minorHAnsi" w:hAnsiTheme="minorHAnsi" w:cstheme="minorHAnsi"/>
                <w:color w:val="000000"/>
                <w:sz w:val="18"/>
                <w:szCs w:val="18"/>
              </w:rPr>
              <w:t>Igualdade de gênero — pesquisa — Brasil. 2. Trabalho feminino — pesquisa — Brasil. 3</w:t>
            </w:r>
            <w:r w:rsidRPr="003D157D">
              <w:rPr>
                <w:rFonts w:asciiTheme="minorHAnsi" w:hAnsiTheme="minorHAnsi" w:cstheme="minorHAnsi"/>
                <w:color w:val="000000"/>
                <w:sz w:val="18"/>
                <w:szCs w:val="18"/>
              </w:rPr>
              <w:t>. Brasil. Tribunal Superior do Trabalho</w:t>
            </w:r>
            <w:r>
              <w:rPr>
                <w:rFonts w:asciiTheme="minorHAnsi" w:hAnsiTheme="minorHAnsi" w:cstheme="minorHAnsi"/>
                <w:color w:val="000000"/>
                <w:sz w:val="18"/>
                <w:szCs w:val="18"/>
              </w:rPr>
              <w:t>. 4.</w:t>
            </w:r>
            <w:r>
              <w:t xml:space="preserve"> </w:t>
            </w:r>
            <w:r w:rsidRPr="003D157D">
              <w:rPr>
                <w:rFonts w:asciiTheme="minorHAnsi" w:hAnsiTheme="minorHAnsi" w:cstheme="minorHAnsi"/>
                <w:color w:val="000000"/>
                <w:sz w:val="18"/>
                <w:szCs w:val="18"/>
              </w:rPr>
              <w:t>Conselho Superior da Justiça do Trabalho (Brasil</w:t>
            </w:r>
            <w:r>
              <w:rPr>
                <w:rFonts w:asciiTheme="minorHAnsi" w:hAnsiTheme="minorHAnsi" w:cstheme="minorHAnsi"/>
                <w:color w:val="000000"/>
                <w:sz w:val="18"/>
                <w:szCs w:val="18"/>
              </w:rPr>
              <w:t xml:space="preserve">). </w:t>
            </w:r>
            <w:r w:rsidRPr="003E5BD2">
              <w:rPr>
                <w:rFonts w:asciiTheme="minorHAnsi" w:hAnsiTheme="minorHAnsi" w:cstheme="minorHAnsi"/>
                <w:color w:val="000000"/>
                <w:sz w:val="18"/>
                <w:szCs w:val="18"/>
              </w:rPr>
              <w:t xml:space="preserve">I. Brasil. Tribunal Superior do Trabalho. Centro de Pesquisas Judiciárias, Estatística </w:t>
            </w:r>
            <w:r>
              <w:rPr>
                <w:rFonts w:asciiTheme="minorHAnsi" w:hAnsiTheme="minorHAnsi" w:cstheme="minorHAnsi"/>
                <w:color w:val="000000"/>
                <w:sz w:val="18"/>
                <w:szCs w:val="18"/>
              </w:rPr>
              <w:t>e Ciência de Dados. II. Título.</w:t>
            </w:r>
          </w:p>
          <w:p w14:paraId="1EFDC630" w14:textId="77777777" w:rsidR="008520F6" w:rsidRPr="003E5BD2" w:rsidRDefault="008520F6" w:rsidP="008520F6">
            <w:pPr>
              <w:rPr>
                <w:rFonts w:asciiTheme="minorHAnsi" w:hAnsiTheme="minorHAnsi" w:cstheme="minorHAnsi"/>
                <w:color w:val="000000"/>
                <w:sz w:val="12"/>
                <w:szCs w:val="18"/>
              </w:rPr>
            </w:pPr>
          </w:p>
          <w:p w14:paraId="08A8D5C4" w14:textId="77777777" w:rsidR="008520F6" w:rsidRPr="003E5BD2" w:rsidRDefault="008520F6" w:rsidP="008520F6">
            <w:pPr>
              <w:jc w:val="right"/>
              <w:rPr>
                <w:rFonts w:asciiTheme="minorHAnsi" w:hAnsiTheme="minorHAnsi" w:cstheme="minorHAnsi"/>
              </w:rPr>
            </w:pPr>
            <w:r w:rsidRPr="009A4046">
              <w:rPr>
                <w:rFonts w:asciiTheme="minorHAnsi" w:hAnsiTheme="minorHAnsi" w:cstheme="minorHAnsi"/>
                <w:color w:val="000000"/>
                <w:sz w:val="18"/>
                <w:szCs w:val="18"/>
              </w:rPr>
              <w:t>CDU 347.962:331-055.2(81)</w:t>
            </w:r>
          </w:p>
        </w:tc>
      </w:tr>
    </w:tbl>
    <w:p w14:paraId="1322A073" w14:textId="77777777" w:rsidR="008520F6" w:rsidRPr="000B588B" w:rsidRDefault="008520F6" w:rsidP="008520F6">
      <w:pPr>
        <w:spacing w:before="120"/>
        <w:jc w:val="center"/>
        <w:rPr>
          <w:rFonts w:asciiTheme="minorHAnsi" w:hAnsiTheme="minorHAnsi" w:cstheme="minorHAnsi"/>
          <w:color w:val="000000"/>
          <w:sz w:val="18"/>
          <w:szCs w:val="18"/>
        </w:rPr>
      </w:pPr>
      <w:r w:rsidRPr="003D157D">
        <w:rPr>
          <w:rFonts w:asciiTheme="minorHAnsi" w:hAnsiTheme="minorHAnsi" w:cstheme="minorHAnsi"/>
          <w:color w:val="000000"/>
          <w:sz w:val="18"/>
          <w:szCs w:val="18"/>
        </w:rPr>
        <w:t>Ficha catalográfica elaborada por Karin Torres Schiessl</w:t>
      </w:r>
      <w:r w:rsidRPr="003D157D">
        <w:rPr>
          <w:rFonts w:asciiTheme="minorHAnsi" w:hAnsiTheme="minorHAnsi" w:cstheme="minorHAnsi"/>
          <w:i/>
          <w:color w:val="000000"/>
          <w:sz w:val="18"/>
          <w:szCs w:val="18"/>
        </w:rPr>
        <w:t xml:space="preserve"> — </w:t>
      </w:r>
      <w:r w:rsidRPr="003D157D">
        <w:rPr>
          <w:rFonts w:asciiTheme="minorHAnsi" w:hAnsiTheme="minorHAnsi" w:cstheme="minorHAnsi"/>
          <w:color w:val="000000"/>
          <w:sz w:val="18"/>
          <w:szCs w:val="18"/>
        </w:rPr>
        <w:t>CRB1/3209</w:t>
      </w:r>
    </w:p>
    <w:p w14:paraId="0860D4B5" w14:textId="79C8F478" w:rsidR="00EC4E08" w:rsidRPr="000B588B" w:rsidRDefault="00EC4E08" w:rsidP="007C40A9">
      <w:pPr>
        <w:jc w:val="center"/>
        <w:rPr>
          <w:rFonts w:asciiTheme="minorHAnsi" w:hAnsiTheme="minorHAnsi" w:cstheme="minorHAnsi"/>
          <w:color w:val="000000"/>
          <w:sz w:val="18"/>
          <w:szCs w:val="18"/>
        </w:rPr>
      </w:pPr>
    </w:p>
    <w:p w14:paraId="1A7B4CF6" w14:textId="77777777" w:rsidR="00CD66E4" w:rsidRDefault="00CD66E4" w:rsidP="007C40A9">
      <w:pPr>
        <w:jc w:val="center"/>
        <w:rPr>
          <w:rFonts w:asciiTheme="minorHAnsi" w:hAnsiTheme="minorHAnsi" w:cstheme="minorHAnsi"/>
          <w:szCs w:val="28"/>
        </w:rPr>
      </w:pPr>
    </w:p>
    <w:p w14:paraId="665E9FC5" w14:textId="77777777" w:rsidR="00A43C91" w:rsidRDefault="00A43C91" w:rsidP="007C40A9">
      <w:pPr>
        <w:jc w:val="center"/>
        <w:rPr>
          <w:rFonts w:asciiTheme="minorHAnsi" w:hAnsiTheme="minorHAnsi" w:cstheme="minorHAnsi"/>
          <w:szCs w:val="28"/>
        </w:rPr>
      </w:pPr>
    </w:p>
    <w:p w14:paraId="26CA1A2E" w14:textId="77777777" w:rsidR="00A43C91" w:rsidRDefault="00A43C91" w:rsidP="007C40A9">
      <w:pPr>
        <w:jc w:val="center"/>
        <w:rPr>
          <w:rFonts w:asciiTheme="minorHAnsi" w:hAnsiTheme="minorHAnsi" w:cstheme="minorHAnsi"/>
          <w:szCs w:val="28"/>
        </w:rPr>
      </w:pPr>
    </w:p>
    <w:p w14:paraId="325B22EA" w14:textId="77777777" w:rsidR="00A43C91" w:rsidRPr="000B588B" w:rsidRDefault="00A43C91" w:rsidP="007C40A9">
      <w:pPr>
        <w:jc w:val="center"/>
        <w:rPr>
          <w:rFonts w:asciiTheme="minorHAnsi" w:hAnsiTheme="minorHAnsi" w:cstheme="minorHAnsi"/>
          <w:szCs w:val="28"/>
        </w:rPr>
      </w:pPr>
    </w:p>
    <w:p w14:paraId="5AAA8DDA" w14:textId="77777777" w:rsidR="00FC53C4" w:rsidRPr="000B588B" w:rsidRDefault="00FC53C4" w:rsidP="007C40A9">
      <w:pPr>
        <w:jc w:val="center"/>
        <w:rPr>
          <w:rFonts w:asciiTheme="minorHAnsi" w:hAnsiTheme="minorHAnsi" w:cstheme="minorHAnsi"/>
          <w:szCs w:val="28"/>
        </w:rPr>
      </w:pPr>
    </w:p>
    <w:p w14:paraId="45F54512" w14:textId="2B675495" w:rsidR="00CD66E4" w:rsidRPr="000B588B" w:rsidRDefault="00CD66E4" w:rsidP="007C40A9">
      <w:pPr>
        <w:rPr>
          <w:rFonts w:asciiTheme="minorHAnsi" w:hAnsiTheme="minorHAnsi" w:cstheme="minorHAnsi"/>
          <w:sz w:val="16"/>
          <w:szCs w:val="16"/>
        </w:rPr>
      </w:pPr>
      <w:r w:rsidRPr="000B588B">
        <w:rPr>
          <w:rFonts w:asciiTheme="minorHAnsi" w:hAnsiTheme="minorHAnsi" w:cstheme="minorHAnsi"/>
          <w:sz w:val="16"/>
          <w:szCs w:val="16"/>
        </w:rPr>
        <w:t>Tribunal Superior do Trabalho</w:t>
      </w:r>
    </w:p>
    <w:p w14:paraId="256EC1E3" w14:textId="0AA037FD" w:rsidR="00CD66E4" w:rsidRPr="000B588B" w:rsidRDefault="00CD66E4" w:rsidP="007C40A9">
      <w:pPr>
        <w:rPr>
          <w:rFonts w:asciiTheme="minorHAnsi" w:hAnsiTheme="minorHAnsi" w:cstheme="minorHAnsi"/>
          <w:sz w:val="16"/>
          <w:szCs w:val="16"/>
        </w:rPr>
      </w:pPr>
      <w:r w:rsidRPr="000B588B">
        <w:rPr>
          <w:rFonts w:asciiTheme="minorHAnsi" w:hAnsiTheme="minorHAnsi" w:cstheme="minorHAnsi"/>
          <w:sz w:val="16"/>
          <w:szCs w:val="16"/>
        </w:rPr>
        <w:t>Secretaria de Pesquisa Judiciária</w:t>
      </w:r>
      <w:r w:rsidR="00DA42BF" w:rsidRPr="000B588B">
        <w:rPr>
          <w:rFonts w:asciiTheme="minorHAnsi" w:hAnsiTheme="minorHAnsi" w:cstheme="minorHAnsi"/>
          <w:sz w:val="16"/>
          <w:szCs w:val="16"/>
        </w:rPr>
        <w:t>, Estatística e Ciência de Dados</w:t>
      </w:r>
    </w:p>
    <w:p w14:paraId="63CA18AB" w14:textId="6C6BD755" w:rsidR="006D395A" w:rsidRDefault="00646C91" w:rsidP="007C40A9">
      <w:pPr>
        <w:rPr>
          <w:rFonts w:asciiTheme="minorHAnsi" w:hAnsiTheme="minorHAnsi" w:cstheme="minorHAnsi"/>
          <w:sz w:val="16"/>
          <w:szCs w:val="16"/>
        </w:rPr>
      </w:pPr>
      <w:hyperlink r:id="rId14" w:history="1">
        <w:r w:rsidR="006D395A" w:rsidRPr="00AE1BAD">
          <w:rPr>
            <w:rStyle w:val="Hyperlink"/>
            <w:rFonts w:asciiTheme="minorHAnsi" w:hAnsiTheme="minorHAnsi" w:cstheme="minorHAnsi"/>
            <w:sz w:val="16"/>
            <w:szCs w:val="16"/>
          </w:rPr>
          <w:t>sepjd@tst.jus.br</w:t>
        </w:r>
      </w:hyperlink>
    </w:p>
    <w:p w14:paraId="6D0F4D1A" w14:textId="77777777" w:rsidR="006D395A" w:rsidRDefault="006D395A">
      <w:pPr>
        <w:rPr>
          <w:rFonts w:asciiTheme="minorHAnsi" w:hAnsiTheme="minorHAnsi" w:cstheme="minorHAnsi"/>
          <w:sz w:val="16"/>
          <w:szCs w:val="16"/>
        </w:rPr>
      </w:pPr>
      <w:r>
        <w:rPr>
          <w:rFonts w:asciiTheme="minorHAnsi" w:hAnsiTheme="minorHAnsi" w:cstheme="minorHAnsi"/>
          <w:sz w:val="16"/>
          <w:szCs w:val="16"/>
        </w:rPr>
        <w:lastRenderedPageBreak/>
        <w:br w:type="page"/>
      </w:r>
    </w:p>
    <w:p w14:paraId="4FF5ED9D" w14:textId="77777777" w:rsidR="006D395A" w:rsidRPr="006D395A" w:rsidRDefault="006D395A" w:rsidP="006D395A">
      <w:pPr>
        <w:spacing w:before="120" w:line="360" w:lineRule="auto"/>
        <w:ind w:right="119"/>
        <w:rPr>
          <w:rFonts w:ascii="Verdana" w:hAnsi="Verdana" w:cstheme="minorHAnsi"/>
          <w:b/>
          <w:sz w:val="52"/>
          <w:szCs w:val="52"/>
        </w:rPr>
      </w:pPr>
      <w:r w:rsidRPr="006D395A">
        <w:rPr>
          <w:rFonts w:ascii="Verdana" w:hAnsi="Verdana" w:cstheme="minorHAnsi"/>
          <w:b/>
          <w:sz w:val="52"/>
          <w:szCs w:val="52"/>
        </w:rPr>
        <w:lastRenderedPageBreak/>
        <w:t>Lista de Ilustrações</w:t>
      </w:r>
    </w:p>
    <w:p w14:paraId="6C505A4A" w14:textId="77777777" w:rsidR="00096697" w:rsidRDefault="00096697" w:rsidP="00B81BC9">
      <w:pPr>
        <w:pStyle w:val="ndicedeilustraes"/>
        <w:tabs>
          <w:tab w:val="right" w:leader="dot" w:pos="9629"/>
        </w:tabs>
        <w:jc w:val="center"/>
        <w:rPr>
          <w:rFonts w:asciiTheme="minorHAnsi" w:hAnsiTheme="minorHAnsi" w:cstheme="minorHAnsi"/>
          <w:b/>
          <w:bCs/>
          <w:szCs w:val="28"/>
        </w:rPr>
      </w:pPr>
    </w:p>
    <w:p w14:paraId="2795EA21" w14:textId="08983031" w:rsidR="00096697" w:rsidRPr="007A5CEB" w:rsidRDefault="00B81BC9" w:rsidP="007A5CEB">
      <w:pPr>
        <w:pStyle w:val="ndicedeilustraes"/>
        <w:tabs>
          <w:tab w:val="right" w:leader="dot" w:pos="9629"/>
        </w:tabs>
        <w:rPr>
          <w:rFonts w:ascii="Verdana" w:hAnsi="Verdana" w:cstheme="minorHAnsi"/>
          <w:b/>
          <w:bCs/>
          <w:szCs w:val="28"/>
        </w:rPr>
      </w:pPr>
      <w:r w:rsidRPr="007A5CEB">
        <w:rPr>
          <w:rFonts w:ascii="Verdana" w:hAnsi="Verdana" w:cstheme="minorHAnsi"/>
          <w:b/>
          <w:bCs/>
          <w:szCs w:val="28"/>
        </w:rPr>
        <w:t>LISTA DE FIGURAS</w:t>
      </w:r>
    </w:p>
    <w:p w14:paraId="517D8863" w14:textId="77777777" w:rsidR="00096697" w:rsidRPr="007A5CEB" w:rsidRDefault="00096697" w:rsidP="007A5CEB">
      <w:pPr>
        <w:spacing w:after="120"/>
        <w:rPr>
          <w:rFonts w:ascii="Calibri" w:hAnsi="Calibri" w:cs="Calibri"/>
          <w:sz w:val="22"/>
          <w:szCs w:val="22"/>
        </w:rPr>
      </w:pPr>
    </w:p>
    <w:p w14:paraId="0A28FA15" w14:textId="77777777" w:rsidR="007A5CEB" w:rsidRPr="007A5CEB" w:rsidRDefault="00B81BC9" w:rsidP="007A5CEB">
      <w:pPr>
        <w:pStyle w:val="ndicedeilustraes"/>
        <w:tabs>
          <w:tab w:val="right" w:leader="dot" w:pos="9629"/>
        </w:tabs>
        <w:spacing w:after="120"/>
        <w:rPr>
          <w:rFonts w:ascii="Calibri" w:eastAsiaTheme="minorEastAsia" w:hAnsi="Calibri" w:cs="Calibri"/>
          <w:noProof/>
          <w:sz w:val="22"/>
          <w:szCs w:val="22"/>
        </w:rPr>
      </w:pPr>
      <w:r w:rsidRPr="007A5CEB">
        <w:rPr>
          <w:rFonts w:ascii="Calibri" w:hAnsi="Calibri" w:cs="Calibri"/>
          <w:b/>
          <w:bCs/>
          <w:sz w:val="22"/>
          <w:szCs w:val="22"/>
        </w:rPr>
        <w:fldChar w:fldCharType="begin"/>
      </w:r>
      <w:r w:rsidRPr="007A5CEB">
        <w:rPr>
          <w:rFonts w:ascii="Calibri" w:hAnsi="Calibri" w:cs="Calibri"/>
          <w:b/>
          <w:bCs/>
          <w:sz w:val="22"/>
          <w:szCs w:val="22"/>
        </w:rPr>
        <w:instrText xml:space="preserve"> TOC \h \z \c "Figura" </w:instrText>
      </w:r>
      <w:r w:rsidRPr="007A5CEB">
        <w:rPr>
          <w:rFonts w:ascii="Calibri" w:hAnsi="Calibri" w:cs="Calibri"/>
          <w:b/>
          <w:bCs/>
          <w:sz w:val="22"/>
          <w:szCs w:val="22"/>
        </w:rPr>
        <w:fldChar w:fldCharType="separate"/>
      </w:r>
      <w:hyperlink w:anchor="_Toc208510683" w:history="1">
        <w:r w:rsidR="007A5CEB" w:rsidRPr="007A5CEB">
          <w:rPr>
            <w:rStyle w:val="Hyperlink"/>
            <w:rFonts w:ascii="Calibri" w:hAnsi="Calibri" w:cs="Calibri"/>
            <w:noProof/>
            <w:sz w:val="22"/>
            <w:szCs w:val="22"/>
          </w:rPr>
          <w:t>Figura 1 - Percepção feminina sobre comentários relativos à aparência física,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_Toc208510683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85</w:t>
        </w:r>
        <w:r w:rsidR="007A5CEB" w:rsidRPr="007A5CEB">
          <w:rPr>
            <w:rFonts w:ascii="Calibri" w:hAnsi="Calibri" w:cs="Calibri"/>
            <w:noProof/>
            <w:webHidden/>
            <w:sz w:val="22"/>
            <w:szCs w:val="22"/>
          </w:rPr>
          <w:fldChar w:fldCharType="end"/>
        </w:r>
      </w:hyperlink>
    </w:p>
    <w:p w14:paraId="610EA8DB"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84" w:history="1">
        <w:r w:rsidR="007A5CEB" w:rsidRPr="007A5CEB">
          <w:rPr>
            <w:rStyle w:val="Hyperlink"/>
            <w:rFonts w:ascii="Calibri" w:hAnsi="Calibri" w:cs="Calibri"/>
            <w:noProof/>
            <w:sz w:val="22"/>
            <w:szCs w:val="22"/>
          </w:rPr>
          <w:t>Figura 2 - Percepção feminina sobre cobranças por comportamento e vestimenta,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_Toc208510684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87</w:t>
        </w:r>
        <w:r w:rsidR="007A5CEB" w:rsidRPr="007A5CEB">
          <w:rPr>
            <w:rFonts w:ascii="Calibri" w:hAnsi="Calibri" w:cs="Calibri"/>
            <w:noProof/>
            <w:webHidden/>
            <w:sz w:val="22"/>
            <w:szCs w:val="22"/>
          </w:rPr>
          <w:fldChar w:fldCharType="end"/>
        </w:r>
      </w:hyperlink>
    </w:p>
    <w:p w14:paraId="0A70C05D"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85" w:history="1">
        <w:r w:rsidR="007A5CEB" w:rsidRPr="007A5CEB">
          <w:rPr>
            <w:rStyle w:val="Hyperlink"/>
            <w:rFonts w:ascii="Calibri" w:hAnsi="Calibri" w:cs="Calibri"/>
            <w:noProof/>
            <w:sz w:val="22"/>
            <w:szCs w:val="22"/>
          </w:rPr>
          <w:t>Figura 3 - Percepção feminina sobre o respeito a fala de mulheres em reuniões e conversas de grupo,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_Toc208510685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89</w:t>
        </w:r>
        <w:r w:rsidR="007A5CEB" w:rsidRPr="007A5CEB">
          <w:rPr>
            <w:rFonts w:ascii="Calibri" w:hAnsi="Calibri" w:cs="Calibri"/>
            <w:noProof/>
            <w:webHidden/>
            <w:sz w:val="22"/>
            <w:szCs w:val="22"/>
          </w:rPr>
          <w:fldChar w:fldCharType="end"/>
        </w:r>
      </w:hyperlink>
    </w:p>
    <w:p w14:paraId="22906B5B"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86" w:history="1">
        <w:r w:rsidR="007A5CEB" w:rsidRPr="007A5CEB">
          <w:rPr>
            <w:rStyle w:val="Hyperlink"/>
            <w:rFonts w:ascii="Calibri" w:hAnsi="Calibri" w:cs="Calibri"/>
            <w:noProof/>
            <w:sz w:val="22"/>
            <w:szCs w:val="22"/>
          </w:rPr>
          <w:t>Figura 4 - Percepção feminina sobre a interrupção frequente de mulheres por homens em espaços de reunião e conversas de grupo,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_Toc208510686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92</w:t>
        </w:r>
        <w:r w:rsidR="007A5CEB" w:rsidRPr="007A5CEB">
          <w:rPr>
            <w:rFonts w:ascii="Calibri" w:hAnsi="Calibri" w:cs="Calibri"/>
            <w:noProof/>
            <w:webHidden/>
            <w:sz w:val="22"/>
            <w:szCs w:val="22"/>
          </w:rPr>
          <w:fldChar w:fldCharType="end"/>
        </w:r>
      </w:hyperlink>
    </w:p>
    <w:p w14:paraId="1973450C"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87" w:history="1">
        <w:r w:rsidR="007A5CEB" w:rsidRPr="007A5CEB">
          <w:rPr>
            <w:rStyle w:val="Hyperlink"/>
            <w:rFonts w:ascii="Calibri" w:hAnsi="Calibri" w:cs="Calibri"/>
            <w:noProof/>
            <w:sz w:val="22"/>
            <w:szCs w:val="22"/>
          </w:rPr>
          <w:t>Figura 5 - Percepção feminina sobre a atribuição de tarefas associadas a estereótipos de gênero no TST/CSJT (%),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_Toc208510687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94</w:t>
        </w:r>
        <w:r w:rsidR="007A5CEB" w:rsidRPr="007A5CEB">
          <w:rPr>
            <w:rFonts w:ascii="Calibri" w:hAnsi="Calibri" w:cs="Calibri"/>
            <w:noProof/>
            <w:webHidden/>
            <w:sz w:val="22"/>
            <w:szCs w:val="22"/>
          </w:rPr>
          <w:fldChar w:fldCharType="end"/>
        </w:r>
      </w:hyperlink>
    </w:p>
    <w:p w14:paraId="762C9FAB"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88" w:history="1">
        <w:r w:rsidR="007A5CEB" w:rsidRPr="007A5CEB">
          <w:rPr>
            <w:rStyle w:val="Hyperlink"/>
            <w:rFonts w:ascii="Calibri" w:hAnsi="Calibri" w:cs="Calibri"/>
            <w:noProof/>
            <w:sz w:val="22"/>
            <w:szCs w:val="22"/>
          </w:rPr>
          <w:t>Figura 6 - Percepção feminina sobre piadas e comentários sexistas no ambiente de trabalho do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_Toc208510688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96</w:t>
        </w:r>
        <w:r w:rsidR="007A5CEB" w:rsidRPr="007A5CEB">
          <w:rPr>
            <w:rFonts w:ascii="Calibri" w:hAnsi="Calibri" w:cs="Calibri"/>
            <w:noProof/>
            <w:webHidden/>
            <w:sz w:val="22"/>
            <w:szCs w:val="22"/>
          </w:rPr>
          <w:fldChar w:fldCharType="end"/>
        </w:r>
      </w:hyperlink>
    </w:p>
    <w:p w14:paraId="28F659CF"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89" w:history="1">
        <w:r w:rsidR="007A5CEB" w:rsidRPr="007A5CEB">
          <w:rPr>
            <w:rStyle w:val="Hyperlink"/>
            <w:rFonts w:ascii="Calibri" w:hAnsi="Calibri" w:cs="Calibri"/>
            <w:noProof/>
            <w:sz w:val="22"/>
            <w:szCs w:val="22"/>
          </w:rPr>
          <w:t>Figura 7 - Percepção feminina sobre Igualdade de Oportunidades de Desenvolvimento Profissional entre Mulheres e Homens,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_Toc208510689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99</w:t>
        </w:r>
        <w:r w:rsidR="007A5CEB" w:rsidRPr="007A5CEB">
          <w:rPr>
            <w:rFonts w:ascii="Calibri" w:hAnsi="Calibri" w:cs="Calibri"/>
            <w:noProof/>
            <w:webHidden/>
            <w:sz w:val="22"/>
            <w:szCs w:val="22"/>
          </w:rPr>
          <w:fldChar w:fldCharType="end"/>
        </w:r>
      </w:hyperlink>
    </w:p>
    <w:p w14:paraId="0DE02940"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90" w:history="1">
        <w:r w:rsidR="007A5CEB" w:rsidRPr="007A5CEB">
          <w:rPr>
            <w:rStyle w:val="Hyperlink"/>
            <w:rFonts w:ascii="Calibri" w:hAnsi="Calibri" w:cs="Calibri"/>
            <w:noProof/>
            <w:sz w:val="22"/>
            <w:szCs w:val="22"/>
          </w:rPr>
          <w:t>Figura 8 - Percepção feminina sobre perdas de oportunidades profissionais de mulheres,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_Toc208510690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101</w:t>
        </w:r>
        <w:r w:rsidR="007A5CEB" w:rsidRPr="007A5CEB">
          <w:rPr>
            <w:rFonts w:ascii="Calibri" w:hAnsi="Calibri" w:cs="Calibri"/>
            <w:noProof/>
            <w:webHidden/>
            <w:sz w:val="22"/>
            <w:szCs w:val="22"/>
          </w:rPr>
          <w:fldChar w:fldCharType="end"/>
        </w:r>
      </w:hyperlink>
    </w:p>
    <w:p w14:paraId="6B9B47ED"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91" w:history="1">
        <w:r w:rsidR="007A5CEB" w:rsidRPr="007A5CEB">
          <w:rPr>
            <w:rStyle w:val="Hyperlink"/>
            <w:rFonts w:ascii="Calibri" w:hAnsi="Calibri" w:cs="Calibri"/>
            <w:noProof/>
            <w:sz w:val="22"/>
            <w:szCs w:val="22"/>
          </w:rPr>
          <w:t>Figura 9 - Percepção feminina sobre oportunidades e encorajamento de mulheres para assunção de cargos de chefia no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_Toc208510691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105</w:t>
        </w:r>
        <w:r w:rsidR="007A5CEB" w:rsidRPr="007A5CEB">
          <w:rPr>
            <w:rFonts w:ascii="Calibri" w:hAnsi="Calibri" w:cs="Calibri"/>
            <w:noProof/>
            <w:webHidden/>
            <w:sz w:val="22"/>
            <w:szCs w:val="22"/>
          </w:rPr>
          <w:fldChar w:fldCharType="end"/>
        </w:r>
      </w:hyperlink>
    </w:p>
    <w:p w14:paraId="3F233A78"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92" w:history="1">
        <w:r w:rsidR="007A5CEB" w:rsidRPr="007A5CEB">
          <w:rPr>
            <w:rStyle w:val="Hyperlink"/>
            <w:rFonts w:ascii="Calibri" w:hAnsi="Calibri" w:cs="Calibri"/>
            <w:noProof/>
            <w:sz w:val="22"/>
            <w:szCs w:val="22"/>
          </w:rPr>
          <w:t>Figura 10 - Percepção Feminina sobre Presença e Voz das Mulheres em Espaços de Decisão,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_Toc208510692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107</w:t>
        </w:r>
        <w:r w:rsidR="007A5CEB" w:rsidRPr="007A5CEB">
          <w:rPr>
            <w:rFonts w:ascii="Calibri" w:hAnsi="Calibri" w:cs="Calibri"/>
            <w:noProof/>
            <w:webHidden/>
            <w:sz w:val="22"/>
            <w:szCs w:val="22"/>
          </w:rPr>
          <w:fldChar w:fldCharType="end"/>
        </w:r>
      </w:hyperlink>
    </w:p>
    <w:p w14:paraId="4586F2AC"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93" w:history="1">
        <w:r w:rsidR="007A5CEB" w:rsidRPr="007A5CEB">
          <w:rPr>
            <w:rStyle w:val="Hyperlink"/>
            <w:rFonts w:ascii="Calibri" w:hAnsi="Calibri" w:cs="Calibri"/>
            <w:noProof/>
            <w:sz w:val="22"/>
            <w:szCs w:val="22"/>
          </w:rPr>
          <w:t>Figura 11 - Percepção Feminina sobre a necessidade de maior esforço das mulheres para promoção no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_Toc208510693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109</w:t>
        </w:r>
        <w:r w:rsidR="007A5CEB" w:rsidRPr="007A5CEB">
          <w:rPr>
            <w:rFonts w:ascii="Calibri" w:hAnsi="Calibri" w:cs="Calibri"/>
            <w:noProof/>
            <w:webHidden/>
            <w:sz w:val="22"/>
            <w:szCs w:val="22"/>
          </w:rPr>
          <w:fldChar w:fldCharType="end"/>
        </w:r>
      </w:hyperlink>
    </w:p>
    <w:p w14:paraId="65188B98"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94" w:history="1">
        <w:r w:rsidR="007A5CEB" w:rsidRPr="007A5CEB">
          <w:rPr>
            <w:rStyle w:val="Hyperlink"/>
            <w:rFonts w:ascii="Calibri" w:hAnsi="Calibri" w:cs="Calibri"/>
            <w:noProof/>
            <w:sz w:val="22"/>
            <w:szCs w:val="22"/>
          </w:rPr>
          <w:t>Figura 12 - Percepção feminina sobre desvalorização ou apropriação de ideias de mulheres em reuniões no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_Toc208510694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111</w:t>
        </w:r>
        <w:r w:rsidR="007A5CEB" w:rsidRPr="007A5CEB">
          <w:rPr>
            <w:rFonts w:ascii="Calibri" w:hAnsi="Calibri" w:cs="Calibri"/>
            <w:noProof/>
            <w:webHidden/>
            <w:sz w:val="22"/>
            <w:szCs w:val="22"/>
          </w:rPr>
          <w:fldChar w:fldCharType="end"/>
        </w:r>
      </w:hyperlink>
    </w:p>
    <w:p w14:paraId="79B0419F"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95" w:history="1">
        <w:r w:rsidR="007A5CEB" w:rsidRPr="007A5CEB">
          <w:rPr>
            <w:rStyle w:val="Hyperlink"/>
            <w:rFonts w:ascii="Calibri" w:hAnsi="Calibri" w:cs="Calibri"/>
            <w:noProof/>
            <w:sz w:val="22"/>
            <w:szCs w:val="22"/>
          </w:rPr>
          <w:t>Figura 13 - Percepção feminina sobre pressão no TST/CSJT para mulheres priorizarem trabalho em detrimento da vida pessoal,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_Toc208510695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114</w:t>
        </w:r>
        <w:r w:rsidR="007A5CEB" w:rsidRPr="007A5CEB">
          <w:rPr>
            <w:rFonts w:ascii="Calibri" w:hAnsi="Calibri" w:cs="Calibri"/>
            <w:noProof/>
            <w:webHidden/>
            <w:sz w:val="22"/>
            <w:szCs w:val="22"/>
          </w:rPr>
          <w:fldChar w:fldCharType="end"/>
        </w:r>
      </w:hyperlink>
    </w:p>
    <w:p w14:paraId="79D2772E"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96" w:history="1">
        <w:r w:rsidR="007A5CEB" w:rsidRPr="007A5CEB">
          <w:rPr>
            <w:rStyle w:val="Hyperlink"/>
            <w:rFonts w:ascii="Calibri" w:hAnsi="Calibri" w:cs="Calibri"/>
            <w:noProof/>
            <w:sz w:val="22"/>
            <w:szCs w:val="22"/>
          </w:rPr>
          <w:t>Figura 14 - Percepção sobre o suporte às mães no ambiente de trabalho do TST/CSJT, por gênero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_Toc208510696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117</w:t>
        </w:r>
        <w:r w:rsidR="007A5CEB" w:rsidRPr="007A5CEB">
          <w:rPr>
            <w:rFonts w:ascii="Calibri" w:hAnsi="Calibri" w:cs="Calibri"/>
            <w:noProof/>
            <w:webHidden/>
            <w:sz w:val="22"/>
            <w:szCs w:val="22"/>
          </w:rPr>
          <w:fldChar w:fldCharType="end"/>
        </w:r>
      </w:hyperlink>
    </w:p>
    <w:p w14:paraId="1A331AAC"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97" w:history="1">
        <w:r w:rsidR="007A5CEB" w:rsidRPr="007A5CEB">
          <w:rPr>
            <w:rStyle w:val="Hyperlink"/>
            <w:rFonts w:ascii="Calibri" w:hAnsi="Calibri" w:cs="Calibri"/>
            <w:noProof/>
            <w:sz w:val="22"/>
            <w:szCs w:val="22"/>
          </w:rPr>
          <w:t>Figura 15 - Percepção feminina sobre prejuízos profissionais sofridos por mães em função da maternidade,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_Toc208510697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119</w:t>
        </w:r>
        <w:r w:rsidR="007A5CEB" w:rsidRPr="007A5CEB">
          <w:rPr>
            <w:rFonts w:ascii="Calibri" w:hAnsi="Calibri" w:cs="Calibri"/>
            <w:noProof/>
            <w:webHidden/>
            <w:sz w:val="22"/>
            <w:szCs w:val="22"/>
          </w:rPr>
          <w:fldChar w:fldCharType="end"/>
        </w:r>
      </w:hyperlink>
    </w:p>
    <w:p w14:paraId="3592EECF"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98" w:history="1">
        <w:r w:rsidR="007A5CEB" w:rsidRPr="007A5CEB">
          <w:rPr>
            <w:rStyle w:val="Hyperlink"/>
            <w:rFonts w:ascii="Calibri" w:hAnsi="Calibri" w:cs="Calibri"/>
            <w:noProof/>
            <w:sz w:val="22"/>
            <w:szCs w:val="22"/>
          </w:rPr>
          <w:t>Figura 16 - Percepção feminina sobre o conforto das mães para falar sobre maternidade no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_Toc208510698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121</w:t>
        </w:r>
        <w:r w:rsidR="007A5CEB" w:rsidRPr="007A5CEB">
          <w:rPr>
            <w:rFonts w:ascii="Calibri" w:hAnsi="Calibri" w:cs="Calibri"/>
            <w:noProof/>
            <w:webHidden/>
            <w:sz w:val="22"/>
            <w:szCs w:val="22"/>
          </w:rPr>
          <w:fldChar w:fldCharType="end"/>
        </w:r>
      </w:hyperlink>
    </w:p>
    <w:p w14:paraId="60E0491F"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699" w:history="1">
        <w:r w:rsidR="007A5CEB" w:rsidRPr="007A5CEB">
          <w:rPr>
            <w:rStyle w:val="Hyperlink"/>
            <w:rFonts w:ascii="Calibri" w:hAnsi="Calibri" w:cs="Calibri"/>
            <w:noProof/>
            <w:sz w:val="22"/>
            <w:szCs w:val="22"/>
          </w:rPr>
          <w:t>Figura 17 - Percepção feminina sobre a reintegração de mulheres após licença-maternidade no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_Toc208510699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123</w:t>
        </w:r>
        <w:r w:rsidR="007A5CEB" w:rsidRPr="007A5CEB">
          <w:rPr>
            <w:rFonts w:ascii="Calibri" w:hAnsi="Calibri" w:cs="Calibri"/>
            <w:noProof/>
            <w:webHidden/>
            <w:sz w:val="22"/>
            <w:szCs w:val="22"/>
          </w:rPr>
          <w:fldChar w:fldCharType="end"/>
        </w:r>
      </w:hyperlink>
    </w:p>
    <w:p w14:paraId="176226DF"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700" w:history="1">
        <w:r w:rsidR="007A5CEB" w:rsidRPr="007A5CEB">
          <w:rPr>
            <w:rStyle w:val="Hyperlink"/>
            <w:rFonts w:ascii="Calibri" w:hAnsi="Calibri" w:cs="Calibri"/>
            <w:noProof/>
            <w:sz w:val="22"/>
            <w:szCs w:val="22"/>
          </w:rPr>
          <w:t>Figura 18 - Percepção feminina sobre a compreensão de gestores e colegas em ausências para cuidado familiar,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_Toc208510700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125</w:t>
        </w:r>
        <w:r w:rsidR="007A5CEB" w:rsidRPr="007A5CEB">
          <w:rPr>
            <w:rFonts w:ascii="Calibri" w:hAnsi="Calibri" w:cs="Calibri"/>
            <w:noProof/>
            <w:webHidden/>
            <w:sz w:val="22"/>
            <w:szCs w:val="22"/>
          </w:rPr>
          <w:fldChar w:fldCharType="end"/>
        </w:r>
      </w:hyperlink>
    </w:p>
    <w:p w14:paraId="2B79EF1D"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701" w:history="1">
        <w:r w:rsidR="007A5CEB" w:rsidRPr="007A5CEB">
          <w:rPr>
            <w:rStyle w:val="Hyperlink"/>
            <w:rFonts w:ascii="Calibri" w:hAnsi="Calibri" w:cs="Calibri"/>
            <w:noProof/>
            <w:sz w:val="22"/>
            <w:szCs w:val="22"/>
          </w:rPr>
          <w:t>Figura 19 - Percepção feminina sobre o trabalho remoto/híbrido para a participação feminina, por faixa etária e tempo de serviço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_Toc208510701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126</w:t>
        </w:r>
        <w:r w:rsidR="007A5CEB" w:rsidRPr="007A5CEB">
          <w:rPr>
            <w:rFonts w:ascii="Calibri" w:hAnsi="Calibri" w:cs="Calibri"/>
            <w:noProof/>
            <w:webHidden/>
            <w:sz w:val="22"/>
            <w:szCs w:val="22"/>
          </w:rPr>
          <w:fldChar w:fldCharType="end"/>
        </w:r>
      </w:hyperlink>
    </w:p>
    <w:p w14:paraId="7FD6E48D"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702" w:history="1">
        <w:r w:rsidR="007A5CEB" w:rsidRPr="007A5CEB">
          <w:rPr>
            <w:rStyle w:val="Hyperlink"/>
            <w:rFonts w:ascii="Calibri" w:hAnsi="Calibri" w:cs="Calibri"/>
            <w:noProof/>
            <w:sz w:val="22"/>
            <w:szCs w:val="22"/>
          </w:rPr>
          <w:t>Figura 20 - Percepção feminina sobre o impacto da licença maternidade na carreira das mulheres no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_Toc208510702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128</w:t>
        </w:r>
        <w:r w:rsidR="007A5CEB" w:rsidRPr="007A5CEB">
          <w:rPr>
            <w:rFonts w:ascii="Calibri" w:hAnsi="Calibri" w:cs="Calibri"/>
            <w:noProof/>
            <w:webHidden/>
            <w:sz w:val="22"/>
            <w:szCs w:val="22"/>
          </w:rPr>
          <w:fldChar w:fldCharType="end"/>
        </w:r>
      </w:hyperlink>
    </w:p>
    <w:p w14:paraId="720AFE30"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703" w:history="1">
        <w:r w:rsidR="007A5CEB" w:rsidRPr="007A5CEB">
          <w:rPr>
            <w:rStyle w:val="Hyperlink"/>
            <w:rFonts w:ascii="Calibri" w:hAnsi="Calibri" w:cs="Calibri"/>
            <w:noProof/>
            <w:sz w:val="22"/>
            <w:szCs w:val="22"/>
          </w:rPr>
          <w:t>Figura 21 - Percepção feminina sobre a promoção de uma cultura de respeito e igualdade de gênero no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_Toc208510703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132</w:t>
        </w:r>
        <w:r w:rsidR="007A5CEB" w:rsidRPr="007A5CEB">
          <w:rPr>
            <w:rFonts w:ascii="Calibri" w:hAnsi="Calibri" w:cs="Calibri"/>
            <w:noProof/>
            <w:webHidden/>
            <w:sz w:val="22"/>
            <w:szCs w:val="22"/>
          </w:rPr>
          <w:fldChar w:fldCharType="end"/>
        </w:r>
      </w:hyperlink>
    </w:p>
    <w:p w14:paraId="2AC67924"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704" w:history="1">
        <w:r w:rsidR="007A5CEB" w:rsidRPr="007A5CEB">
          <w:rPr>
            <w:rStyle w:val="Hyperlink"/>
            <w:rFonts w:ascii="Calibri" w:hAnsi="Calibri" w:cs="Calibri"/>
            <w:noProof/>
            <w:sz w:val="22"/>
            <w:szCs w:val="22"/>
          </w:rPr>
          <w:t>Figura 22 - Percepção feminina sobre a igualdade de oportunidades para mulheres de diferentes perfis,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_Toc208510704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134</w:t>
        </w:r>
        <w:r w:rsidR="007A5CEB" w:rsidRPr="007A5CEB">
          <w:rPr>
            <w:rFonts w:ascii="Calibri" w:hAnsi="Calibri" w:cs="Calibri"/>
            <w:noProof/>
            <w:webHidden/>
            <w:sz w:val="22"/>
            <w:szCs w:val="22"/>
          </w:rPr>
          <w:fldChar w:fldCharType="end"/>
        </w:r>
      </w:hyperlink>
    </w:p>
    <w:p w14:paraId="1B221DBE"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705" w:history="1">
        <w:r w:rsidR="007A5CEB" w:rsidRPr="007A5CEB">
          <w:rPr>
            <w:rStyle w:val="Hyperlink"/>
            <w:rFonts w:ascii="Calibri" w:hAnsi="Calibri" w:cs="Calibri"/>
            <w:noProof/>
            <w:sz w:val="22"/>
            <w:szCs w:val="22"/>
          </w:rPr>
          <w:t>Figura 23 - Percepção feminina sobre equilíbrio de gênero em cargos estratégicos no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_Toc208510705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136</w:t>
        </w:r>
        <w:r w:rsidR="007A5CEB" w:rsidRPr="007A5CEB">
          <w:rPr>
            <w:rFonts w:ascii="Calibri" w:hAnsi="Calibri" w:cs="Calibri"/>
            <w:noProof/>
            <w:webHidden/>
            <w:sz w:val="22"/>
            <w:szCs w:val="22"/>
          </w:rPr>
          <w:fldChar w:fldCharType="end"/>
        </w:r>
      </w:hyperlink>
    </w:p>
    <w:p w14:paraId="06DBB654"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706" w:history="1">
        <w:r w:rsidR="007A5CEB" w:rsidRPr="007A5CEB">
          <w:rPr>
            <w:rStyle w:val="Hyperlink"/>
            <w:rFonts w:ascii="Calibri" w:hAnsi="Calibri" w:cs="Calibri"/>
            <w:noProof/>
            <w:sz w:val="22"/>
            <w:szCs w:val="22"/>
          </w:rPr>
          <w:t>Figura 24 - Percepção feminina sobre a abertura para a discussão de equidade de gênero no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_Toc208510706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138</w:t>
        </w:r>
        <w:r w:rsidR="007A5CEB" w:rsidRPr="007A5CEB">
          <w:rPr>
            <w:rFonts w:ascii="Calibri" w:hAnsi="Calibri" w:cs="Calibri"/>
            <w:noProof/>
            <w:webHidden/>
            <w:sz w:val="22"/>
            <w:szCs w:val="22"/>
          </w:rPr>
          <w:fldChar w:fldCharType="end"/>
        </w:r>
      </w:hyperlink>
    </w:p>
    <w:p w14:paraId="35EE5FC0"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707" w:history="1">
        <w:r w:rsidR="007A5CEB" w:rsidRPr="007A5CEB">
          <w:rPr>
            <w:rStyle w:val="Hyperlink"/>
            <w:rFonts w:ascii="Calibri" w:hAnsi="Calibri" w:cs="Calibri"/>
            <w:noProof/>
            <w:sz w:val="22"/>
            <w:szCs w:val="22"/>
          </w:rPr>
          <w:t>Figura 25 - Percepção feminina sobre a ocorrência de gaslighting contra mulheres no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_Toc208510707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140</w:t>
        </w:r>
        <w:r w:rsidR="007A5CEB" w:rsidRPr="007A5CEB">
          <w:rPr>
            <w:rFonts w:ascii="Calibri" w:hAnsi="Calibri" w:cs="Calibri"/>
            <w:noProof/>
            <w:webHidden/>
            <w:sz w:val="22"/>
            <w:szCs w:val="22"/>
          </w:rPr>
          <w:fldChar w:fldCharType="end"/>
        </w:r>
      </w:hyperlink>
    </w:p>
    <w:p w14:paraId="14DC1B2D"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708" w:history="1">
        <w:r w:rsidR="007A5CEB" w:rsidRPr="007A5CEB">
          <w:rPr>
            <w:rStyle w:val="Hyperlink"/>
            <w:rFonts w:ascii="Calibri" w:hAnsi="Calibri" w:cs="Calibri"/>
            <w:noProof/>
            <w:sz w:val="22"/>
            <w:szCs w:val="22"/>
          </w:rPr>
          <w:t>Figura 26 - Percepção feminina sobre a ocorrência de mansplaining contra mulheres no TST/CSJT, por perfil (%)</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_Toc208510708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143</w:t>
        </w:r>
        <w:r w:rsidR="007A5CEB" w:rsidRPr="007A5CEB">
          <w:rPr>
            <w:rFonts w:ascii="Calibri" w:hAnsi="Calibri" w:cs="Calibri"/>
            <w:noProof/>
            <w:webHidden/>
            <w:sz w:val="22"/>
            <w:szCs w:val="22"/>
          </w:rPr>
          <w:fldChar w:fldCharType="end"/>
        </w:r>
      </w:hyperlink>
    </w:p>
    <w:p w14:paraId="5B0B3954"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10709" w:history="1">
        <w:r w:rsidR="007A5CEB" w:rsidRPr="007A5CEB">
          <w:rPr>
            <w:rStyle w:val="Hyperlink"/>
            <w:rFonts w:ascii="Calibri" w:hAnsi="Calibri" w:cs="Calibri"/>
            <w:noProof/>
            <w:sz w:val="22"/>
            <w:szCs w:val="22"/>
          </w:rPr>
          <w:t>Figura 27 - Dinâmica da ocupação funcional das servidoras do TST/CSJT frente à maternidade por nível de cargo comissionado ou função comissionada</w:t>
        </w:r>
        <w:r w:rsidR="007A5CEB" w:rsidRPr="007A5CEB">
          <w:rPr>
            <w:rFonts w:ascii="Calibri" w:hAnsi="Calibri" w:cs="Calibri"/>
            <w:noProof/>
            <w:webHidden/>
            <w:sz w:val="22"/>
            <w:szCs w:val="22"/>
          </w:rPr>
          <w:tab/>
        </w:r>
        <w:r w:rsidR="007A5CEB" w:rsidRPr="007A5CEB">
          <w:rPr>
            <w:rFonts w:ascii="Calibri" w:hAnsi="Calibri" w:cs="Calibri"/>
            <w:noProof/>
            <w:webHidden/>
            <w:sz w:val="22"/>
            <w:szCs w:val="22"/>
          </w:rPr>
          <w:fldChar w:fldCharType="begin"/>
        </w:r>
        <w:r w:rsidR="007A5CEB" w:rsidRPr="007A5CEB">
          <w:rPr>
            <w:rFonts w:ascii="Calibri" w:hAnsi="Calibri" w:cs="Calibri"/>
            <w:noProof/>
            <w:webHidden/>
            <w:sz w:val="22"/>
            <w:szCs w:val="22"/>
          </w:rPr>
          <w:instrText xml:space="preserve"> PAGEREF _Toc208510709 \h </w:instrText>
        </w:r>
        <w:r w:rsidR="007A5CEB" w:rsidRPr="007A5CEB">
          <w:rPr>
            <w:rFonts w:ascii="Calibri" w:hAnsi="Calibri" w:cs="Calibri"/>
            <w:noProof/>
            <w:webHidden/>
            <w:sz w:val="22"/>
            <w:szCs w:val="22"/>
          </w:rPr>
        </w:r>
        <w:r w:rsidR="007A5CEB" w:rsidRPr="007A5CEB">
          <w:rPr>
            <w:rFonts w:ascii="Calibri" w:hAnsi="Calibri" w:cs="Calibri"/>
            <w:noProof/>
            <w:webHidden/>
            <w:sz w:val="22"/>
            <w:szCs w:val="22"/>
          </w:rPr>
          <w:fldChar w:fldCharType="separate"/>
        </w:r>
        <w:r w:rsidR="00D85D1E">
          <w:rPr>
            <w:rFonts w:ascii="Calibri" w:hAnsi="Calibri" w:cs="Calibri"/>
            <w:noProof/>
            <w:webHidden/>
            <w:sz w:val="22"/>
            <w:szCs w:val="22"/>
          </w:rPr>
          <w:t>156</w:t>
        </w:r>
        <w:r w:rsidR="007A5CEB" w:rsidRPr="007A5CEB">
          <w:rPr>
            <w:rFonts w:ascii="Calibri" w:hAnsi="Calibri" w:cs="Calibri"/>
            <w:noProof/>
            <w:webHidden/>
            <w:sz w:val="22"/>
            <w:szCs w:val="22"/>
          </w:rPr>
          <w:fldChar w:fldCharType="end"/>
        </w:r>
      </w:hyperlink>
    </w:p>
    <w:p w14:paraId="7F0FD1C6" w14:textId="461ECE3F" w:rsidR="00B81BC9" w:rsidRDefault="00B81BC9" w:rsidP="007A5CEB">
      <w:pPr>
        <w:pStyle w:val="ndicedeilustraes"/>
        <w:tabs>
          <w:tab w:val="right" w:leader="dot" w:pos="9629"/>
        </w:tabs>
        <w:spacing w:after="120"/>
        <w:jc w:val="center"/>
        <w:rPr>
          <w:rFonts w:asciiTheme="minorHAnsi" w:hAnsiTheme="minorHAnsi" w:cstheme="minorHAnsi"/>
          <w:b/>
          <w:bCs/>
          <w:szCs w:val="28"/>
        </w:rPr>
      </w:pPr>
      <w:r w:rsidRPr="007A5CEB">
        <w:rPr>
          <w:rFonts w:ascii="Calibri" w:hAnsi="Calibri" w:cs="Calibri"/>
          <w:b/>
          <w:bCs/>
          <w:sz w:val="22"/>
          <w:szCs w:val="22"/>
        </w:rPr>
        <w:fldChar w:fldCharType="end"/>
      </w:r>
    </w:p>
    <w:p w14:paraId="0E71B4E0" w14:textId="57E62DD5" w:rsidR="00B81BC9" w:rsidRPr="007A5CEB" w:rsidRDefault="0083024D" w:rsidP="007A5CEB">
      <w:pPr>
        <w:pStyle w:val="ndicedeilustraes"/>
        <w:tabs>
          <w:tab w:val="right" w:leader="dot" w:pos="9629"/>
        </w:tabs>
        <w:rPr>
          <w:rFonts w:ascii="Verdana" w:hAnsi="Verdana" w:cstheme="minorHAnsi"/>
          <w:b/>
          <w:bCs/>
          <w:szCs w:val="28"/>
        </w:rPr>
      </w:pPr>
      <w:r w:rsidRPr="007A5CEB">
        <w:rPr>
          <w:rFonts w:ascii="Verdana" w:hAnsi="Verdana" w:cstheme="minorHAnsi"/>
          <w:b/>
          <w:bCs/>
          <w:szCs w:val="28"/>
        </w:rPr>
        <w:t xml:space="preserve">LISTA DE </w:t>
      </w:r>
      <w:r w:rsidR="00B81BC9" w:rsidRPr="007A5CEB">
        <w:rPr>
          <w:rFonts w:ascii="Verdana" w:hAnsi="Verdana" w:cstheme="minorHAnsi"/>
          <w:b/>
          <w:bCs/>
          <w:szCs w:val="28"/>
        </w:rPr>
        <w:t>GRÁFICOS</w:t>
      </w:r>
    </w:p>
    <w:p w14:paraId="3479257D" w14:textId="77777777" w:rsidR="00096697" w:rsidRPr="007A5CEB" w:rsidRDefault="00096697" w:rsidP="007A5CEB">
      <w:pPr>
        <w:spacing w:after="120"/>
        <w:rPr>
          <w:rFonts w:ascii="Calibri" w:hAnsi="Calibri" w:cs="Calibri"/>
          <w:sz w:val="22"/>
          <w:szCs w:val="22"/>
        </w:rPr>
      </w:pPr>
    </w:p>
    <w:p w14:paraId="283558E5" w14:textId="77777777" w:rsidR="00C77C7B" w:rsidRPr="007A5CEB" w:rsidRDefault="00B81BC9" w:rsidP="007A5CEB">
      <w:pPr>
        <w:pStyle w:val="ndicedeilustraes"/>
        <w:tabs>
          <w:tab w:val="right" w:leader="dot" w:pos="9629"/>
        </w:tabs>
        <w:spacing w:after="120"/>
        <w:rPr>
          <w:rFonts w:ascii="Calibri" w:eastAsiaTheme="minorEastAsia" w:hAnsi="Calibri" w:cs="Calibri"/>
          <w:noProof/>
          <w:sz w:val="22"/>
          <w:szCs w:val="22"/>
        </w:rPr>
      </w:pPr>
      <w:r w:rsidRPr="007A5CEB">
        <w:rPr>
          <w:rFonts w:ascii="Calibri" w:hAnsi="Calibri" w:cs="Calibri"/>
          <w:sz w:val="22"/>
          <w:szCs w:val="22"/>
        </w:rPr>
        <w:fldChar w:fldCharType="begin"/>
      </w:r>
      <w:r w:rsidRPr="007A5CEB">
        <w:rPr>
          <w:rFonts w:ascii="Calibri" w:hAnsi="Calibri" w:cs="Calibri"/>
          <w:sz w:val="22"/>
          <w:szCs w:val="22"/>
        </w:rPr>
        <w:instrText xml:space="preserve"> TOC \h \z \c "Gráfico" </w:instrText>
      </w:r>
      <w:r w:rsidRPr="007A5CEB">
        <w:rPr>
          <w:rFonts w:ascii="Calibri" w:hAnsi="Calibri" w:cs="Calibri"/>
          <w:sz w:val="22"/>
          <w:szCs w:val="22"/>
        </w:rPr>
        <w:fldChar w:fldCharType="separate"/>
      </w:r>
      <w:hyperlink w:anchor="_Toc208508623" w:history="1">
        <w:r w:rsidR="00C77C7B" w:rsidRPr="007A5CEB">
          <w:rPr>
            <w:rStyle w:val="Hyperlink"/>
            <w:rFonts w:ascii="Calibri" w:hAnsi="Calibri" w:cs="Calibri"/>
            <w:noProof/>
            <w:sz w:val="22"/>
            <w:szCs w:val="22"/>
          </w:rPr>
          <w:t>Gráfico 1 - Distribuição dos cargos em comissão e das funções comissionadas – total consolidado (TST e 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_Toc208508623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30</w:t>
        </w:r>
        <w:r w:rsidR="00C77C7B" w:rsidRPr="007A5CEB">
          <w:rPr>
            <w:rFonts w:ascii="Calibri" w:hAnsi="Calibri" w:cs="Calibri"/>
            <w:noProof/>
            <w:webHidden/>
            <w:sz w:val="22"/>
            <w:szCs w:val="22"/>
          </w:rPr>
          <w:fldChar w:fldCharType="end"/>
        </w:r>
      </w:hyperlink>
    </w:p>
    <w:p w14:paraId="21A00FA0"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24" w:history="1">
        <w:r w:rsidR="00C77C7B" w:rsidRPr="007A5CEB">
          <w:rPr>
            <w:rStyle w:val="Hyperlink"/>
            <w:rFonts w:ascii="Calibri" w:hAnsi="Calibri" w:cs="Calibri"/>
            <w:noProof/>
            <w:sz w:val="22"/>
            <w:szCs w:val="22"/>
          </w:rPr>
          <w:t>Gráfico 2 - Percentuais dos cargos em comissão e das funções comissionadas do TST/CSJT por gênero(%)</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_Toc208508624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31</w:t>
        </w:r>
        <w:r w:rsidR="00C77C7B" w:rsidRPr="007A5CEB">
          <w:rPr>
            <w:rFonts w:ascii="Calibri" w:hAnsi="Calibri" w:cs="Calibri"/>
            <w:noProof/>
            <w:webHidden/>
            <w:sz w:val="22"/>
            <w:szCs w:val="22"/>
          </w:rPr>
          <w:fldChar w:fldCharType="end"/>
        </w:r>
      </w:hyperlink>
    </w:p>
    <w:p w14:paraId="14843D14"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25" w:history="1">
        <w:r w:rsidR="00C77C7B" w:rsidRPr="007A5CEB">
          <w:rPr>
            <w:rStyle w:val="Hyperlink"/>
            <w:rFonts w:ascii="Calibri" w:hAnsi="Calibri" w:cs="Calibri"/>
            <w:noProof/>
            <w:sz w:val="22"/>
            <w:szCs w:val="22"/>
          </w:rPr>
          <w:t>Gráfico 3 - Participação por gênero nos cargos em comissão e nas funções comissionadas – comparativo entre TST e CSJT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_Toc208508625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32</w:t>
        </w:r>
        <w:r w:rsidR="00C77C7B" w:rsidRPr="007A5CEB">
          <w:rPr>
            <w:rFonts w:ascii="Calibri" w:hAnsi="Calibri" w:cs="Calibri"/>
            <w:noProof/>
            <w:webHidden/>
            <w:sz w:val="22"/>
            <w:szCs w:val="22"/>
          </w:rPr>
          <w:fldChar w:fldCharType="end"/>
        </w:r>
      </w:hyperlink>
    </w:p>
    <w:p w14:paraId="3027D47A"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26" w:history="1">
        <w:r w:rsidR="00C77C7B" w:rsidRPr="007A5CEB">
          <w:rPr>
            <w:rStyle w:val="Hyperlink"/>
            <w:rFonts w:ascii="Calibri" w:hAnsi="Calibri" w:cs="Calibri"/>
            <w:noProof/>
            <w:sz w:val="22"/>
            <w:szCs w:val="22"/>
          </w:rPr>
          <w:t>Gráfico 4 - Distribuição por gênero dos cargos em comissão e funções comissionadas do TST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_Toc208508626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34</w:t>
        </w:r>
        <w:r w:rsidR="00C77C7B" w:rsidRPr="007A5CEB">
          <w:rPr>
            <w:rFonts w:ascii="Calibri" w:hAnsi="Calibri" w:cs="Calibri"/>
            <w:noProof/>
            <w:webHidden/>
            <w:sz w:val="22"/>
            <w:szCs w:val="22"/>
          </w:rPr>
          <w:fldChar w:fldCharType="end"/>
        </w:r>
      </w:hyperlink>
    </w:p>
    <w:p w14:paraId="030F063E"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27" w:history="1">
        <w:r w:rsidR="00C77C7B" w:rsidRPr="007A5CEB">
          <w:rPr>
            <w:rStyle w:val="Hyperlink"/>
            <w:rFonts w:ascii="Calibri" w:hAnsi="Calibri" w:cs="Calibri"/>
            <w:noProof/>
            <w:sz w:val="22"/>
            <w:szCs w:val="22"/>
          </w:rPr>
          <w:t>Gráfico 5 - Distribuição por nível e por gênero dos cargos em comissão do TST em relação ao total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_Toc208508627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35</w:t>
        </w:r>
        <w:r w:rsidR="00C77C7B" w:rsidRPr="007A5CEB">
          <w:rPr>
            <w:rFonts w:ascii="Calibri" w:hAnsi="Calibri" w:cs="Calibri"/>
            <w:noProof/>
            <w:webHidden/>
            <w:sz w:val="22"/>
            <w:szCs w:val="22"/>
          </w:rPr>
          <w:fldChar w:fldCharType="end"/>
        </w:r>
      </w:hyperlink>
    </w:p>
    <w:p w14:paraId="726F3BA8"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28" w:history="1">
        <w:r w:rsidR="00C77C7B" w:rsidRPr="007A5CEB">
          <w:rPr>
            <w:rStyle w:val="Hyperlink"/>
            <w:rFonts w:ascii="Calibri" w:hAnsi="Calibri" w:cs="Calibri"/>
            <w:noProof/>
            <w:sz w:val="22"/>
            <w:szCs w:val="22"/>
          </w:rPr>
          <w:t>Gráfico 6 - Distribuição por nível e por gênero das funções comissionadas do TST em relação ao total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_Toc208508628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36</w:t>
        </w:r>
        <w:r w:rsidR="00C77C7B" w:rsidRPr="007A5CEB">
          <w:rPr>
            <w:rFonts w:ascii="Calibri" w:hAnsi="Calibri" w:cs="Calibri"/>
            <w:noProof/>
            <w:webHidden/>
            <w:sz w:val="22"/>
            <w:szCs w:val="22"/>
          </w:rPr>
          <w:fldChar w:fldCharType="end"/>
        </w:r>
      </w:hyperlink>
    </w:p>
    <w:p w14:paraId="1E16A307"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30" w:history="1">
        <w:r w:rsidR="00C77C7B" w:rsidRPr="007A5CEB">
          <w:rPr>
            <w:rStyle w:val="Hyperlink"/>
            <w:rFonts w:ascii="Calibri" w:hAnsi="Calibri" w:cs="Calibri"/>
            <w:noProof/>
            <w:sz w:val="22"/>
            <w:szCs w:val="22"/>
          </w:rPr>
          <w:t>Gráfico 7 - Distribuição por gênero dos cargos em comissão e funções comissionadas do CSJT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_Toc208508630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38</w:t>
        </w:r>
        <w:r w:rsidR="00C77C7B" w:rsidRPr="007A5CEB">
          <w:rPr>
            <w:rFonts w:ascii="Calibri" w:hAnsi="Calibri" w:cs="Calibri"/>
            <w:noProof/>
            <w:webHidden/>
            <w:sz w:val="22"/>
            <w:szCs w:val="22"/>
          </w:rPr>
          <w:fldChar w:fldCharType="end"/>
        </w:r>
      </w:hyperlink>
    </w:p>
    <w:p w14:paraId="65790A46"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31" w:history="1">
        <w:r w:rsidR="00C77C7B" w:rsidRPr="007A5CEB">
          <w:rPr>
            <w:rStyle w:val="Hyperlink"/>
            <w:rFonts w:ascii="Calibri" w:hAnsi="Calibri" w:cs="Calibri"/>
            <w:noProof/>
            <w:sz w:val="22"/>
            <w:szCs w:val="22"/>
          </w:rPr>
          <w:t>Gráfico 8 - Distribuição por nível e por gênero dos cargos em comissão do CSJT em relação ao total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_Toc208508631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38</w:t>
        </w:r>
        <w:r w:rsidR="00C77C7B" w:rsidRPr="007A5CEB">
          <w:rPr>
            <w:rFonts w:ascii="Calibri" w:hAnsi="Calibri" w:cs="Calibri"/>
            <w:noProof/>
            <w:webHidden/>
            <w:sz w:val="22"/>
            <w:szCs w:val="22"/>
          </w:rPr>
          <w:fldChar w:fldCharType="end"/>
        </w:r>
      </w:hyperlink>
    </w:p>
    <w:p w14:paraId="6F8C0B40"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32" w:history="1">
        <w:r w:rsidR="00C77C7B" w:rsidRPr="007A5CEB">
          <w:rPr>
            <w:rStyle w:val="Hyperlink"/>
            <w:rFonts w:ascii="Calibri" w:hAnsi="Calibri" w:cs="Calibri"/>
            <w:noProof/>
            <w:sz w:val="22"/>
            <w:szCs w:val="22"/>
          </w:rPr>
          <w:t>Gráfico 9 - Distribuição por nível e por gênero das funções comissionadas do CSJT em relação ao total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_Toc208508632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39</w:t>
        </w:r>
        <w:r w:rsidR="00C77C7B" w:rsidRPr="007A5CEB">
          <w:rPr>
            <w:rFonts w:ascii="Calibri" w:hAnsi="Calibri" w:cs="Calibri"/>
            <w:noProof/>
            <w:webHidden/>
            <w:sz w:val="22"/>
            <w:szCs w:val="22"/>
          </w:rPr>
          <w:fldChar w:fldCharType="end"/>
        </w:r>
      </w:hyperlink>
    </w:p>
    <w:p w14:paraId="6A987EB3"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33" w:history="1">
        <w:r w:rsidR="00C77C7B" w:rsidRPr="007A5CEB">
          <w:rPr>
            <w:rStyle w:val="Hyperlink"/>
            <w:rFonts w:ascii="Calibri" w:hAnsi="Calibri" w:cs="Calibri"/>
            <w:noProof/>
            <w:sz w:val="22"/>
            <w:szCs w:val="22"/>
          </w:rPr>
          <w:t>Gráfico 10 - Distribuição dos cargos de gestão e liderança – total consolidado (TST e CSJT)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_Toc208508633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42</w:t>
        </w:r>
        <w:r w:rsidR="00C77C7B" w:rsidRPr="007A5CEB">
          <w:rPr>
            <w:rFonts w:ascii="Calibri" w:hAnsi="Calibri" w:cs="Calibri"/>
            <w:noProof/>
            <w:webHidden/>
            <w:sz w:val="22"/>
            <w:szCs w:val="22"/>
          </w:rPr>
          <w:fldChar w:fldCharType="end"/>
        </w:r>
      </w:hyperlink>
    </w:p>
    <w:p w14:paraId="77417ACE"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34" w:history="1">
        <w:r w:rsidR="00C77C7B" w:rsidRPr="007A5CEB">
          <w:rPr>
            <w:rStyle w:val="Hyperlink"/>
            <w:rFonts w:ascii="Calibri" w:hAnsi="Calibri" w:cs="Calibri"/>
            <w:noProof/>
            <w:sz w:val="22"/>
            <w:szCs w:val="22"/>
          </w:rPr>
          <w:t>Gráfico 11 - Participação por gênero nos cargos de gestão e liderança – comparativo entre TST e CSJT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_Toc208508634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43</w:t>
        </w:r>
        <w:r w:rsidR="00C77C7B" w:rsidRPr="007A5CEB">
          <w:rPr>
            <w:rFonts w:ascii="Calibri" w:hAnsi="Calibri" w:cs="Calibri"/>
            <w:noProof/>
            <w:webHidden/>
            <w:sz w:val="22"/>
            <w:szCs w:val="22"/>
          </w:rPr>
          <w:fldChar w:fldCharType="end"/>
        </w:r>
      </w:hyperlink>
    </w:p>
    <w:p w14:paraId="2611329D"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35" w:history="1">
        <w:r w:rsidR="00C77C7B" w:rsidRPr="007A5CEB">
          <w:rPr>
            <w:rStyle w:val="Hyperlink"/>
            <w:rFonts w:ascii="Calibri" w:hAnsi="Calibri" w:cs="Calibri"/>
            <w:noProof/>
            <w:sz w:val="22"/>
            <w:szCs w:val="22"/>
          </w:rPr>
          <w:t>Gráfico 12 - Série histórica da participação feminina em cargos de gestão e liderança do TST e do CSJT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_Toc208508635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43</w:t>
        </w:r>
        <w:r w:rsidR="00C77C7B" w:rsidRPr="007A5CEB">
          <w:rPr>
            <w:rFonts w:ascii="Calibri" w:hAnsi="Calibri" w:cs="Calibri"/>
            <w:noProof/>
            <w:webHidden/>
            <w:sz w:val="22"/>
            <w:szCs w:val="22"/>
          </w:rPr>
          <w:fldChar w:fldCharType="end"/>
        </w:r>
      </w:hyperlink>
    </w:p>
    <w:p w14:paraId="7CCF7B96"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36" w:history="1">
        <w:r w:rsidR="00C77C7B" w:rsidRPr="007A5CEB">
          <w:rPr>
            <w:rStyle w:val="Hyperlink"/>
            <w:rFonts w:ascii="Calibri" w:hAnsi="Calibri" w:cs="Calibri"/>
            <w:noProof/>
            <w:sz w:val="22"/>
            <w:szCs w:val="22"/>
          </w:rPr>
          <w:t>Gráfico 13 - Distribuição racial/étnica dos cargos de gestão e liderança do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_Toc208508636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44</w:t>
        </w:r>
        <w:r w:rsidR="00C77C7B" w:rsidRPr="007A5CEB">
          <w:rPr>
            <w:rFonts w:ascii="Calibri" w:hAnsi="Calibri" w:cs="Calibri"/>
            <w:noProof/>
            <w:webHidden/>
            <w:sz w:val="22"/>
            <w:szCs w:val="22"/>
          </w:rPr>
          <w:fldChar w:fldCharType="end"/>
        </w:r>
      </w:hyperlink>
    </w:p>
    <w:p w14:paraId="3EC51F6E"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37" w:history="1">
        <w:r w:rsidR="00C77C7B" w:rsidRPr="007A5CEB">
          <w:rPr>
            <w:rStyle w:val="Hyperlink"/>
            <w:rFonts w:ascii="Calibri" w:hAnsi="Calibri" w:cs="Calibri"/>
            <w:noProof/>
            <w:sz w:val="22"/>
            <w:szCs w:val="22"/>
          </w:rPr>
          <w:t>Gráfico 14 - Distribuição dos cargos de gestão e liderança do TST,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_Toc208508637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46</w:t>
        </w:r>
        <w:r w:rsidR="00C77C7B" w:rsidRPr="007A5CEB">
          <w:rPr>
            <w:rFonts w:ascii="Calibri" w:hAnsi="Calibri" w:cs="Calibri"/>
            <w:noProof/>
            <w:webHidden/>
            <w:sz w:val="22"/>
            <w:szCs w:val="22"/>
          </w:rPr>
          <w:fldChar w:fldCharType="end"/>
        </w:r>
      </w:hyperlink>
    </w:p>
    <w:p w14:paraId="2B53950E"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38" w:history="1">
        <w:r w:rsidR="00C77C7B" w:rsidRPr="007A5CEB">
          <w:rPr>
            <w:rStyle w:val="Hyperlink"/>
            <w:rFonts w:ascii="Calibri" w:hAnsi="Calibri" w:cs="Calibri"/>
            <w:noProof/>
            <w:sz w:val="22"/>
            <w:szCs w:val="22"/>
          </w:rPr>
          <w:t>Gráfico 15 - Proporção de mulheres e homens nos cargos comissionados de gestão e liderança do TST, em relação ao total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_Toc208508638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47</w:t>
        </w:r>
        <w:r w:rsidR="00C77C7B" w:rsidRPr="007A5CEB">
          <w:rPr>
            <w:rFonts w:ascii="Calibri" w:hAnsi="Calibri" w:cs="Calibri"/>
            <w:noProof/>
            <w:webHidden/>
            <w:sz w:val="22"/>
            <w:szCs w:val="22"/>
          </w:rPr>
          <w:fldChar w:fldCharType="end"/>
        </w:r>
      </w:hyperlink>
    </w:p>
    <w:p w14:paraId="408A089C"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39" w:history="1">
        <w:r w:rsidR="00C77C7B" w:rsidRPr="007A5CEB">
          <w:rPr>
            <w:rStyle w:val="Hyperlink"/>
            <w:rFonts w:ascii="Calibri" w:hAnsi="Calibri" w:cs="Calibri"/>
            <w:noProof/>
            <w:sz w:val="22"/>
            <w:szCs w:val="22"/>
          </w:rPr>
          <w:t>Gráfico 16 - Proporção de mulheres e homens nas funções comissionadas de gestão e liderança do TST, em relação ao total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_Toc208508639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47</w:t>
        </w:r>
        <w:r w:rsidR="00C77C7B" w:rsidRPr="007A5CEB">
          <w:rPr>
            <w:rFonts w:ascii="Calibri" w:hAnsi="Calibri" w:cs="Calibri"/>
            <w:noProof/>
            <w:webHidden/>
            <w:sz w:val="22"/>
            <w:szCs w:val="22"/>
          </w:rPr>
          <w:fldChar w:fldCharType="end"/>
        </w:r>
      </w:hyperlink>
    </w:p>
    <w:p w14:paraId="0A79304D"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40" w:history="1">
        <w:r w:rsidR="00C77C7B" w:rsidRPr="007A5CEB">
          <w:rPr>
            <w:rStyle w:val="Hyperlink"/>
            <w:rFonts w:ascii="Calibri" w:hAnsi="Calibri" w:cs="Calibri"/>
            <w:noProof/>
            <w:sz w:val="22"/>
            <w:szCs w:val="22"/>
          </w:rPr>
          <w:t>Gráfico 17 - Comparativo da representatividade feminina entre cargos em geral e cargos de liderança do TST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_Toc208508640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48</w:t>
        </w:r>
        <w:r w:rsidR="00C77C7B" w:rsidRPr="007A5CEB">
          <w:rPr>
            <w:rFonts w:ascii="Calibri" w:hAnsi="Calibri" w:cs="Calibri"/>
            <w:noProof/>
            <w:webHidden/>
            <w:sz w:val="22"/>
            <w:szCs w:val="22"/>
          </w:rPr>
          <w:fldChar w:fldCharType="end"/>
        </w:r>
      </w:hyperlink>
    </w:p>
    <w:p w14:paraId="663EB577"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41" w:history="1">
        <w:r w:rsidR="00C77C7B" w:rsidRPr="007A5CEB">
          <w:rPr>
            <w:rStyle w:val="Hyperlink"/>
            <w:rFonts w:ascii="Calibri" w:hAnsi="Calibri" w:cs="Calibri"/>
            <w:noProof/>
            <w:sz w:val="22"/>
            <w:szCs w:val="22"/>
          </w:rPr>
          <w:t>Gráfico 18 - Distribuição dos cargos em comissão e funções comissionadas de gestão e liderança do 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_Toc208508641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50</w:t>
        </w:r>
        <w:r w:rsidR="00C77C7B" w:rsidRPr="007A5CEB">
          <w:rPr>
            <w:rFonts w:ascii="Calibri" w:hAnsi="Calibri" w:cs="Calibri"/>
            <w:noProof/>
            <w:webHidden/>
            <w:sz w:val="22"/>
            <w:szCs w:val="22"/>
          </w:rPr>
          <w:fldChar w:fldCharType="end"/>
        </w:r>
      </w:hyperlink>
    </w:p>
    <w:p w14:paraId="0EC4789D"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42" w:history="1">
        <w:r w:rsidR="00C77C7B" w:rsidRPr="007A5CEB">
          <w:rPr>
            <w:rStyle w:val="Hyperlink"/>
            <w:rFonts w:ascii="Calibri" w:hAnsi="Calibri" w:cs="Calibri"/>
            <w:noProof/>
            <w:sz w:val="22"/>
            <w:szCs w:val="22"/>
          </w:rPr>
          <w:t>Gráfico 19 - Proporção de mulheres e homens nos cargos comissionados de gestão e liderança do CSJT, em relação ao total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_Toc208508642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50</w:t>
        </w:r>
        <w:r w:rsidR="00C77C7B" w:rsidRPr="007A5CEB">
          <w:rPr>
            <w:rFonts w:ascii="Calibri" w:hAnsi="Calibri" w:cs="Calibri"/>
            <w:noProof/>
            <w:webHidden/>
            <w:sz w:val="22"/>
            <w:szCs w:val="22"/>
          </w:rPr>
          <w:fldChar w:fldCharType="end"/>
        </w:r>
      </w:hyperlink>
    </w:p>
    <w:p w14:paraId="2253E578"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43" w:history="1">
        <w:r w:rsidR="00C77C7B" w:rsidRPr="007A5CEB">
          <w:rPr>
            <w:rStyle w:val="Hyperlink"/>
            <w:rFonts w:ascii="Calibri" w:hAnsi="Calibri" w:cs="Calibri"/>
            <w:noProof/>
            <w:sz w:val="22"/>
            <w:szCs w:val="22"/>
          </w:rPr>
          <w:t>Gráfico 20 - Proporção de mulheres e homens nas funções comissionadas de gestão e liderança do CSJT, em relação ao total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_Toc208508643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51</w:t>
        </w:r>
        <w:r w:rsidR="00C77C7B" w:rsidRPr="007A5CEB">
          <w:rPr>
            <w:rFonts w:ascii="Calibri" w:hAnsi="Calibri" w:cs="Calibri"/>
            <w:noProof/>
            <w:webHidden/>
            <w:sz w:val="22"/>
            <w:szCs w:val="22"/>
          </w:rPr>
          <w:fldChar w:fldCharType="end"/>
        </w:r>
      </w:hyperlink>
    </w:p>
    <w:p w14:paraId="0796FC8C"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44" w:history="1">
        <w:r w:rsidR="00C77C7B" w:rsidRPr="007A5CEB">
          <w:rPr>
            <w:rStyle w:val="Hyperlink"/>
            <w:rFonts w:ascii="Calibri" w:hAnsi="Calibri" w:cs="Calibri"/>
            <w:noProof/>
            <w:sz w:val="22"/>
            <w:szCs w:val="22"/>
          </w:rPr>
          <w:t>Gráfico 21 - Comparativo da representatividade feminina entre cargos em geral e cargos de liderança do CSJT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_Toc208508644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52</w:t>
        </w:r>
        <w:r w:rsidR="00C77C7B" w:rsidRPr="007A5CEB">
          <w:rPr>
            <w:rFonts w:ascii="Calibri" w:hAnsi="Calibri" w:cs="Calibri"/>
            <w:noProof/>
            <w:webHidden/>
            <w:sz w:val="22"/>
            <w:szCs w:val="22"/>
          </w:rPr>
          <w:fldChar w:fldCharType="end"/>
        </w:r>
      </w:hyperlink>
    </w:p>
    <w:p w14:paraId="46633311"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45" w:history="1">
        <w:r w:rsidR="00C77C7B" w:rsidRPr="007A5CEB">
          <w:rPr>
            <w:rStyle w:val="Hyperlink"/>
            <w:rFonts w:ascii="Calibri" w:hAnsi="Calibri" w:cs="Calibri"/>
            <w:noProof/>
            <w:sz w:val="22"/>
            <w:szCs w:val="22"/>
          </w:rPr>
          <w:t>Gráfico 22 - Participação Feminina Geral nos Comitês Temáticos de Governança do TST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_Toc208508645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54</w:t>
        </w:r>
        <w:r w:rsidR="00C77C7B" w:rsidRPr="007A5CEB">
          <w:rPr>
            <w:rFonts w:ascii="Calibri" w:hAnsi="Calibri" w:cs="Calibri"/>
            <w:noProof/>
            <w:webHidden/>
            <w:sz w:val="22"/>
            <w:szCs w:val="22"/>
          </w:rPr>
          <w:fldChar w:fldCharType="end"/>
        </w:r>
      </w:hyperlink>
    </w:p>
    <w:p w14:paraId="66AAF375"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46" w:history="1">
        <w:r w:rsidR="00C77C7B" w:rsidRPr="007A5CEB">
          <w:rPr>
            <w:rStyle w:val="Hyperlink"/>
            <w:rFonts w:ascii="Calibri" w:hAnsi="Calibri" w:cs="Calibri"/>
            <w:noProof/>
            <w:sz w:val="22"/>
            <w:szCs w:val="22"/>
          </w:rPr>
          <w:t>Gráfico 23 - Distribuição por gênero dos cargos de gestão e liderança do TST pela denominação do cargo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_Toc208508646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57</w:t>
        </w:r>
        <w:r w:rsidR="00C77C7B" w:rsidRPr="007A5CEB">
          <w:rPr>
            <w:rFonts w:ascii="Calibri" w:hAnsi="Calibri" w:cs="Calibri"/>
            <w:noProof/>
            <w:webHidden/>
            <w:sz w:val="22"/>
            <w:szCs w:val="22"/>
          </w:rPr>
          <w:fldChar w:fldCharType="end"/>
        </w:r>
      </w:hyperlink>
    </w:p>
    <w:p w14:paraId="474AB901"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47" w:history="1">
        <w:r w:rsidR="00C77C7B" w:rsidRPr="007A5CEB">
          <w:rPr>
            <w:rStyle w:val="Hyperlink"/>
            <w:rFonts w:ascii="Calibri" w:hAnsi="Calibri" w:cs="Calibri"/>
            <w:noProof/>
            <w:sz w:val="22"/>
            <w:szCs w:val="22"/>
          </w:rPr>
          <w:t>Gráfico 24 - Distribuição por gênero dos cargos em comissão dos gabinetes do TST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_Toc208508647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58</w:t>
        </w:r>
        <w:r w:rsidR="00C77C7B" w:rsidRPr="007A5CEB">
          <w:rPr>
            <w:rFonts w:ascii="Calibri" w:hAnsi="Calibri" w:cs="Calibri"/>
            <w:noProof/>
            <w:webHidden/>
            <w:sz w:val="22"/>
            <w:szCs w:val="22"/>
          </w:rPr>
          <w:fldChar w:fldCharType="end"/>
        </w:r>
      </w:hyperlink>
    </w:p>
    <w:p w14:paraId="18A82B9D"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48" w:history="1">
        <w:r w:rsidR="00C77C7B" w:rsidRPr="007A5CEB">
          <w:rPr>
            <w:rStyle w:val="Hyperlink"/>
            <w:rFonts w:ascii="Calibri" w:hAnsi="Calibri" w:cs="Calibri"/>
            <w:noProof/>
            <w:sz w:val="22"/>
            <w:szCs w:val="22"/>
          </w:rPr>
          <w:t>Gráfico 25 - Percentual de mulheres nas unidades administrativas do TST – Comparativos entre áreas judiciária e administrativa</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_Toc208508648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65</w:t>
        </w:r>
        <w:r w:rsidR="00C77C7B" w:rsidRPr="007A5CEB">
          <w:rPr>
            <w:rFonts w:ascii="Calibri" w:hAnsi="Calibri" w:cs="Calibri"/>
            <w:noProof/>
            <w:webHidden/>
            <w:sz w:val="22"/>
            <w:szCs w:val="22"/>
          </w:rPr>
          <w:fldChar w:fldCharType="end"/>
        </w:r>
      </w:hyperlink>
    </w:p>
    <w:p w14:paraId="069DEE1F"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49" w:history="1">
        <w:r w:rsidR="00C77C7B" w:rsidRPr="007A5CEB">
          <w:rPr>
            <w:rStyle w:val="Hyperlink"/>
            <w:rFonts w:ascii="Calibri" w:hAnsi="Calibri" w:cs="Calibri"/>
            <w:noProof/>
            <w:sz w:val="22"/>
            <w:szCs w:val="22"/>
          </w:rPr>
          <w:t>Gráfico 26 - Distribuição de gênero no TST– Comparativos entre áreas judiciária e administrativa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_Toc208508649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67</w:t>
        </w:r>
        <w:r w:rsidR="00C77C7B" w:rsidRPr="007A5CEB">
          <w:rPr>
            <w:rFonts w:ascii="Calibri" w:hAnsi="Calibri" w:cs="Calibri"/>
            <w:noProof/>
            <w:webHidden/>
            <w:sz w:val="22"/>
            <w:szCs w:val="22"/>
          </w:rPr>
          <w:fldChar w:fldCharType="end"/>
        </w:r>
      </w:hyperlink>
    </w:p>
    <w:p w14:paraId="73C4C4B2"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50" w:history="1">
        <w:r w:rsidR="00C77C7B" w:rsidRPr="007A5CEB">
          <w:rPr>
            <w:rStyle w:val="Hyperlink"/>
            <w:rFonts w:ascii="Calibri" w:hAnsi="Calibri" w:cs="Calibri"/>
            <w:noProof/>
            <w:sz w:val="22"/>
            <w:szCs w:val="22"/>
          </w:rPr>
          <w:t>Gráfico 27 - Distribuição dos ocupantes de cargos de gestão e liderança do TST e do CSJT, por faixa etária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_Toc208508650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69</w:t>
        </w:r>
        <w:r w:rsidR="00C77C7B" w:rsidRPr="007A5CEB">
          <w:rPr>
            <w:rFonts w:ascii="Calibri" w:hAnsi="Calibri" w:cs="Calibri"/>
            <w:noProof/>
            <w:webHidden/>
            <w:sz w:val="22"/>
            <w:szCs w:val="22"/>
          </w:rPr>
          <w:fldChar w:fldCharType="end"/>
        </w:r>
      </w:hyperlink>
    </w:p>
    <w:p w14:paraId="5EBACBA9"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51" w:history="1">
        <w:r w:rsidR="00C77C7B" w:rsidRPr="007A5CEB">
          <w:rPr>
            <w:rStyle w:val="Hyperlink"/>
            <w:rFonts w:ascii="Calibri" w:hAnsi="Calibri" w:cs="Calibri"/>
            <w:noProof/>
            <w:sz w:val="22"/>
            <w:szCs w:val="22"/>
          </w:rPr>
          <w:t>Gráfico 28 - Distribuição dos ocupantes de cargos de gestão e liderança do TST e do CSJT, por gênero e por faixa etária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_Toc208508651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69</w:t>
        </w:r>
        <w:r w:rsidR="00C77C7B" w:rsidRPr="007A5CEB">
          <w:rPr>
            <w:rFonts w:ascii="Calibri" w:hAnsi="Calibri" w:cs="Calibri"/>
            <w:noProof/>
            <w:webHidden/>
            <w:sz w:val="22"/>
            <w:szCs w:val="22"/>
          </w:rPr>
          <w:fldChar w:fldCharType="end"/>
        </w:r>
      </w:hyperlink>
    </w:p>
    <w:p w14:paraId="3F23FAEB"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52" w:history="1">
        <w:r w:rsidR="00C77C7B" w:rsidRPr="007A5CEB">
          <w:rPr>
            <w:rStyle w:val="Hyperlink"/>
            <w:rFonts w:ascii="Calibri" w:hAnsi="Calibri" w:cs="Calibri"/>
            <w:noProof/>
            <w:sz w:val="22"/>
            <w:szCs w:val="22"/>
          </w:rPr>
          <w:t>Gráfico 29 - Distribuição dos ocupantes de cargos de gestão e liderança do TST e do CSJT, por faixa etária e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_Toc208508652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70</w:t>
        </w:r>
        <w:r w:rsidR="00C77C7B" w:rsidRPr="007A5CEB">
          <w:rPr>
            <w:rFonts w:ascii="Calibri" w:hAnsi="Calibri" w:cs="Calibri"/>
            <w:noProof/>
            <w:webHidden/>
            <w:sz w:val="22"/>
            <w:szCs w:val="22"/>
          </w:rPr>
          <w:fldChar w:fldCharType="end"/>
        </w:r>
      </w:hyperlink>
    </w:p>
    <w:p w14:paraId="625DF21E"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53" w:history="1">
        <w:r w:rsidR="00C77C7B" w:rsidRPr="007A5CEB">
          <w:rPr>
            <w:rStyle w:val="Hyperlink"/>
            <w:rFonts w:ascii="Calibri" w:hAnsi="Calibri" w:cs="Calibri"/>
            <w:noProof/>
            <w:sz w:val="22"/>
            <w:szCs w:val="22"/>
          </w:rPr>
          <w:t>Gráfico 30 - Distribuição etária das mulheres ocupantes de cargos de liderança do TST e do CSJT, por nível hierárquico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_Toc208508653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71</w:t>
        </w:r>
        <w:r w:rsidR="00C77C7B" w:rsidRPr="007A5CEB">
          <w:rPr>
            <w:rFonts w:ascii="Calibri" w:hAnsi="Calibri" w:cs="Calibri"/>
            <w:noProof/>
            <w:webHidden/>
            <w:sz w:val="22"/>
            <w:szCs w:val="22"/>
          </w:rPr>
          <w:fldChar w:fldCharType="end"/>
        </w:r>
      </w:hyperlink>
    </w:p>
    <w:p w14:paraId="491E668E"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54" w:history="1">
        <w:r w:rsidR="00C77C7B" w:rsidRPr="007A5CEB">
          <w:rPr>
            <w:rStyle w:val="Hyperlink"/>
            <w:rFonts w:ascii="Calibri" w:hAnsi="Calibri" w:cs="Calibri"/>
            <w:noProof/>
            <w:sz w:val="22"/>
            <w:szCs w:val="22"/>
          </w:rPr>
          <w:t xml:space="preserve">Gráfico 31 - Percentuais de </w:t>
        </w:r>
        <w:r w:rsidR="00C77C7B" w:rsidRPr="007A5CEB">
          <w:rPr>
            <w:rStyle w:val="Hyperlink"/>
            <w:rFonts w:ascii="Calibri" w:hAnsi="Calibri" w:cs="Calibri"/>
            <w:bCs/>
            <w:noProof/>
            <w:sz w:val="22"/>
            <w:szCs w:val="22"/>
          </w:rPr>
          <w:t>respondentes</w:t>
        </w:r>
        <w:r w:rsidR="00C77C7B" w:rsidRPr="007A5CEB">
          <w:rPr>
            <w:rStyle w:val="Hyperlink"/>
            <w:rFonts w:ascii="Calibri" w:hAnsi="Calibri" w:cs="Calibri"/>
            <w:noProof/>
            <w:sz w:val="22"/>
            <w:szCs w:val="22"/>
          </w:rPr>
          <w:t>, por gênero</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_Toc208508654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76</w:t>
        </w:r>
        <w:r w:rsidR="00C77C7B" w:rsidRPr="007A5CEB">
          <w:rPr>
            <w:rFonts w:ascii="Calibri" w:hAnsi="Calibri" w:cs="Calibri"/>
            <w:noProof/>
            <w:webHidden/>
            <w:sz w:val="22"/>
            <w:szCs w:val="22"/>
          </w:rPr>
          <w:fldChar w:fldCharType="end"/>
        </w:r>
      </w:hyperlink>
    </w:p>
    <w:p w14:paraId="2E512084"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55" w:history="1">
        <w:r w:rsidR="00C77C7B" w:rsidRPr="007A5CEB">
          <w:rPr>
            <w:rStyle w:val="Hyperlink"/>
            <w:rFonts w:ascii="Calibri" w:hAnsi="Calibri" w:cs="Calibri"/>
            <w:noProof/>
            <w:sz w:val="22"/>
            <w:szCs w:val="22"/>
          </w:rPr>
          <w:t>Gráfico 32 - Percentuais de respondentes, por gênero e identidade de gênero</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_Toc208508655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77</w:t>
        </w:r>
        <w:r w:rsidR="00C77C7B" w:rsidRPr="007A5CEB">
          <w:rPr>
            <w:rFonts w:ascii="Calibri" w:hAnsi="Calibri" w:cs="Calibri"/>
            <w:noProof/>
            <w:webHidden/>
            <w:sz w:val="22"/>
            <w:szCs w:val="22"/>
          </w:rPr>
          <w:fldChar w:fldCharType="end"/>
        </w:r>
      </w:hyperlink>
    </w:p>
    <w:p w14:paraId="79593401"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56" w:history="1">
        <w:r w:rsidR="00C77C7B" w:rsidRPr="007A5CEB">
          <w:rPr>
            <w:rStyle w:val="Hyperlink"/>
            <w:rFonts w:ascii="Calibri" w:hAnsi="Calibri" w:cs="Calibri"/>
            <w:noProof/>
            <w:sz w:val="22"/>
            <w:szCs w:val="22"/>
          </w:rPr>
          <w:t>Gráfico 33 - Percentuais de respondentes, por gênero e orientação sexual</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_Toc208508656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78</w:t>
        </w:r>
        <w:r w:rsidR="00C77C7B" w:rsidRPr="007A5CEB">
          <w:rPr>
            <w:rFonts w:ascii="Calibri" w:hAnsi="Calibri" w:cs="Calibri"/>
            <w:noProof/>
            <w:webHidden/>
            <w:sz w:val="22"/>
            <w:szCs w:val="22"/>
          </w:rPr>
          <w:fldChar w:fldCharType="end"/>
        </w:r>
      </w:hyperlink>
    </w:p>
    <w:p w14:paraId="6E2CF236"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57" w:history="1">
        <w:r w:rsidR="00C77C7B" w:rsidRPr="007A5CEB">
          <w:rPr>
            <w:rStyle w:val="Hyperlink"/>
            <w:rFonts w:ascii="Calibri" w:hAnsi="Calibri" w:cs="Calibri"/>
            <w:noProof/>
            <w:sz w:val="22"/>
            <w:szCs w:val="22"/>
          </w:rPr>
          <w:t>Gráfico 34 - Percentuais de respondentes, por gênero e idade</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_Toc208508657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80</w:t>
        </w:r>
        <w:r w:rsidR="00C77C7B" w:rsidRPr="007A5CEB">
          <w:rPr>
            <w:rFonts w:ascii="Calibri" w:hAnsi="Calibri" w:cs="Calibri"/>
            <w:noProof/>
            <w:webHidden/>
            <w:sz w:val="22"/>
            <w:szCs w:val="22"/>
          </w:rPr>
          <w:fldChar w:fldCharType="end"/>
        </w:r>
      </w:hyperlink>
    </w:p>
    <w:p w14:paraId="4D54F861"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58" w:history="1">
        <w:r w:rsidR="00C77C7B" w:rsidRPr="007A5CEB">
          <w:rPr>
            <w:rStyle w:val="Hyperlink"/>
            <w:rFonts w:ascii="Calibri" w:hAnsi="Calibri" w:cs="Calibri"/>
            <w:noProof/>
            <w:sz w:val="22"/>
            <w:szCs w:val="22"/>
          </w:rPr>
          <w:t>Gráfico 35 - Percentuais de respondentes segundo gênero e identidade étnica/racial</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_Toc208508658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80</w:t>
        </w:r>
        <w:r w:rsidR="00C77C7B" w:rsidRPr="007A5CEB">
          <w:rPr>
            <w:rFonts w:ascii="Calibri" w:hAnsi="Calibri" w:cs="Calibri"/>
            <w:noProof/>
            <w:webHidden/>
            <w:sz w:val="22"/>
            <w:szCs w:val="22"/>
          </w:rPr>
          <w:fldChar w:fldCharType="end"/>
        </w:r>
      </w:hyperlink>
    </w:p>
    <w:p w14:paraId="4FC97755"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59" w:history="1">
        <w:r w:rsidR="00C77C7B" w:rsidRPr="007A5CEB">
          <w:rPr>
            <w:rStyle w:val="Hyperlink"/>
            <w:rFonts w:ascii="Calibri" w:hAnsi="Calibri" w:cs="Calibri"/>
            <w:noProof/>
            <w:sz w:val="22"/>
            <w:szCs w:val="22"/>
          </w:rPr>
          <w:t>Gráfico 36 - Percentuais de respondentes por gênero e cargo/função ocupado</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_Toc208508659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81</w:t>
        </w:r>
        <w:r w:rsidR="00C77C7B" w:rsidRPr="007A5CEB">
          <w:rPr>
            <w:rFonts w:ascii="Calibri" w:hAnsi="Calibri" w:cs="Calibri"/>
            <w:noProof/>
            <w:webHidden/>
            <w:sz w:val="22"/>
            <w:szCs w:val="22"/>
          </w:rPr>
          <w:fldChar w:fldCharType="end"/>
        </w:r>
      </w:hyperlink>
    </w:p>
    <w:p w14:paraId="7EF3C666"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60" w:history="1">
        <w:r w:rsidR="00C77C7B" w:rsidRPr="007A5CEB">
          <w:rPr>
            <w:rStyle w:val="Hyperlink"/>
            <w:rFonts w:ascii="Calibri" w:hAnsi="Calibri" w:cs="Calibri"/>
            <w:noProof/>
            <w:sz w:val="22"/>
            <w:szCs w:val="22"/>
          </w:rPr>
          <w:t>Gráfico 37 - Percentuais de respondentes por gênero e tempo de trabalho no TST e/ou no CSJT</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_Toc208508660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82</w:t>
        </w:r>
        <w:r w:rsidR="00C77C7B" w:rsidRPr="007A5CEB">
          <w:rPr>
            <w:rFonts w:ascii="Calibri" w:hAnsi="Calibri" w:cs="Calibri"/>
            <w:noProof/>
            <w:webHidden/>
            <w:sz w:val="22"/>
            <w:szCs w:val="22"/>
          </w:rPr>
          <w:fldChar w:fldCharType="end"/>
        </w:r>
      </w:hyperlink>
    </w:p>
    <w:p w14:paraId="690F450B"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61" w:history="1">
        <w:r w:rsidR="00C77C7B" w:rsidRPr="007A5CEB">
          <w:rPr>
            <w:rStyle w:val="Hyperlink"/>
            <w:rFonts w:ascii="Calibri" w:hAnsi="Calibri" w:cs="Calibri"/>
            <w:noProof/>
            <w:sz w:val="22"/>
            <w:szCs w:val="22"/>
          </w:rPr>
          <w:t>Gráfico 38 - Percepção sobre comentários relativos à aparência física no ambiente de trabalho,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_Toc208508661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84</w:t>
        </w:r>
        <w:r w:rsidR="00C77C7B" w:rsidRPr="007A5CEB">
          <w:rPr>
            <w:rFonts w:ascii="Calibri" w:hAnsi="Calibri" w:cs="Calibri"/>
            <w:noProof/>
            <w:webHidden/>
            <w:sz w:val="22"/>
            <w:szCs w:val="22"/>
          </w:rPr>
          <w:fldChar w:fldCharType="end"/>
        </w:r>
      </w:hyperlink>
    </w:p>
    <w:p w14:paraId="09D898EE"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62" w:history="1">
        <w:r w:rsidR="00C77C7B" w:rsidRPr="007A5CEB">
          <w:rPr>
            <w:rStyle w:val="Hyperlink"/>
            <w:rFonts w:ascii="Calibri" w:hAnsi="Calibri" w:cs="Calibri"/>
            <w:noProof/>
            <w:sz w:val="22"/>
            <w:szCs w:val="22"/>
          </w:rPr>
          <w:t>Gráfico 39 - Percepção sobre cobranças por comportamento e vestimenta,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_Toc208508662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86</w:t>
        </w:r>
        <w:r w:rsidR="00C77C7B" w:rsidRPr="007A5CEB">
          <w:rPr>
            <w:rFonts w:ascii="Calibri" w:hAnsi="Calibri" w:cs="Calibri"/>
            <w:noProof/>
            <w:webHidden/>
            <w:sz w:val="22"/>
            <w:szCs w:val="22"/>
          </w:rPr>
          <w:fldChar w:fldCharType="end"/>
        </w:r>
      </w:hyperlink>
    </w:p>
    <w:p w14:paraId="556FA572"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63" w:history="1">
        <w:r w:rsidR="00C77C7B" w:rsidRPr="007A5CEB">
          <w:rPr>
            <w:rStyle w:val="Hyperlink"/>
            <w:rFonts w:ascii="Calibri" w:hAnsi="Calibri" w:cs="Calibri"/>
            <w:noProof/>
            <w:sz w:val="22"/>
            <w:szCs w:val="22"/>
          </w:rPr>
          <w:t>Gráfico 40 - Percepção sobre o respeito a fala de mulheres em reuniões e conversas de grupo,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_Toc208508663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88</w:t>
        </w:r>
        <w:r w:rsidR="00C77C7B" w:rsidRPr="007A5CEB">
          <w:rPr>
            <w:rFonts w:ascii="Calibri" w:hAnsi="Calibri" w:cs="Calibri"/>
            <w:noProof/>
            <w:webHidden/>
            <w:sz w:val="22"/>
            <w:szCs w:val="22"/>
          </w:rPr>
          <w:fldChar w:fldCharType="end"/>
        </w:r>
      </w:hyperlink>
    </w:p>
    <w:p w14:paraId="372AEF17"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64" w:history="1">
        <w:r w:rsidR="00C77C7B" w:rsidRPr="007A5CEB">
          <w:rPr>
            <w:rStyle w:val="Hyperlink"/>
            <w:rFonts w:ascii="Calibri" w:hAnsi="Calibri" w:cs="Calibri"/>
            <w:noProof/>
            <w:sz w:val="22"/>
            <w:szCs w:val="22"/>
          </w:rPr>
          <w:t>Gráfico 41 - Percepção sobre a interrupção frequente de mulheres por homens em espaços de reunião e conversas de grupo,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_Toc208508664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90</w:t>
        </w:r>
        <w:r w:rsidR="00C77C7B" w:rsidRPr="007A5CEB">
          <w:rPr>
            <w:rFonts w:ascii="Calibri" w:hAnsi="Calibri" w:cs="Calibri"/>
            <w:noProof/>
            <w:webHidden/>
            <w:sz w:val="22"/>
            <w:szCs w:val="22"/>
          </w:rPr>
          <w:fldChar w:fldCharType="end"/>
        </w:r>
      </w:hyperlink>
    </w:p>
    <w:p w14:paraId="052315AF"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65" w:history="1">
        <w:r w:rsidR="00C77C7B" w:rsidRPr="007A5CEB">
          <w:rPr>
            <w:rStyle w:val="Hyperlink"/>
            <w:rFonts w:ascii="Calibri" w:hAnsi="Calibri" w:cs="Calibri"/>
            <w:noProof/>
            <w:sz w:val="22"/>
            <w:szCs w:val="22"/>
          </w:rPr>
          <w:t>Gráfico 42 - Percepção de Manterrupting entre mulheres que se sentem respeitadas em reuniões e conversas de grupo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_Toc208508665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91</w:t>
        </w:r>
        <w:r w:rsidR="00C77C7B" w:rsidRPr="007A5CEB">
          <w:rPr>
            <w:rFonts w:ascii="Calibri" w:hAnsi="Calibri" w:cs="Calibri"/>
            <w:noProof/>
            <w:webHidden/>
            <w:sz w:val="22"/>
            <w:szCs w:val="22"/>
          </w:rPr>
          <w:fldChar w:fldCharType="end"/>
        </w:r>
      </w:hyperlink>
    </w:p>
    <w:p w14:paraId="2E038343"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66" w:history="1">
        <w:r w:rsidR="00C77C7B" w:rsidRPr="007A5CEB">
          <w:rPr>
            <w:rStyle w:val="Hyperlink"/>
            <w:rFonts w:ascii="Calibri" w:hAnsi="Calibri" w:cs="Calibri"/>
            <w:noProof/>
            <w:sz w:val="22"/>
            <w:szCs w:val="22"/>
          </w:rPr>
          <w:t>Gráfico 43 - Percepção sobre a atribuição de tarefas associadas a estereótipos de gênero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_Toc208508666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93</w:t>
        </w:r>
        <w:r w:rsidR="00C77C7B" w:rsidRPr="007A5CEB">
          <w:rPr>
            <w:rFonts w:ascii="Calibri" w:hAnsi="Calibri" w:cs="Calibri"/>
            <w:noProof/>
            <w:webHidden/>
            <w:sz w:val="22"/>
            <w:szCs w:val="22"/>
          </w:rPr>
          <w:fldChar w:fldCharType="end"/>
        </w:r>
      </w:hyperlink>
    </w:p>
    <w:p w14:paraId="57CF6D04"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67" w:history="1">
        <w:r w:rsidR="00C77C7B" w:rsidRPr="007A5CEB">
          <w:rPr>
            <w:rStyle w:val="Hyperlink"/>
            <w:rFonts w:ascii="Calibri" w:hAnsi="Calibri" w:cs="Calibri"/>
            <w:noProof/>
            <w:sz w:val="22"/>
            <w:szCs w:val="22"/>
          </w:rPr>
          <w:t>Gráfico 44 - Percepção sobre piadas e comentários sexistas no ambiente de trabalho do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_Toc208508667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95</w:t>
        </w:r>
        <w:r w:rsidR="00C77C7B" w:rsidRPr="007A5CEB">
          <w:rPr>
            <w:rFonts w:ascii="Calibri" w:hAnsi="Calibri" w:cs="Calibri"/>
            <w:noProof/>
            <w:webHidden/>
            <w:sz w:val="22"/>
            <w:szCs w:val="22"/>
          </w:rPr>
          <w:fldChar w:fldCharType="end"/>
        </w:r>
      </w:hyperlink>
    </w:p>
    <w:p w14:paraId="4B961DD3"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68" w:history="1">
        <w:r w:rsidR="00C77C7B" w:rsidRPr="007A5CEB">
          <w:rPr>
            <w:rStyle w:val="Hyperlink"/>
            <w:rFonts w:ascii="Calibri" w:hAnsi="Calibri" w:cs="Calibri"/>
            <w:noProof/>
            <w:sz w:val="22"/>
            <w:szCs w:val="22"/>
          </w:rPr>
          <w:t>Gráfico 45 - Percepção sobre Igualdade de Oportunidades de Desenvolvimento Profissional,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_Toc208508668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98</w:t>
        </w:r>
        <w:r w:rsidR="00C77C7B" w:rsidRPr="007A5CEB">
          <w:rPr>
            <w:rFonts w:ascii="Calibri" w:hAnsi="Calibri" w:cs="Calibri"/>
            <w:noProof/>
            <w:webHidden/>
            <w:sz w:val="22"/>
            <w:szCs w:val="22"/>
          </w:rPr>
          <w:fldChar w:fldCharType="end"/>
        </w:r>
      </w:hyperlink>
    </w:p>
    <w:p w14:paraId="59030CA8"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69" w:history="1">
        <w:r w:rsidR="00C77C7B" w:rsidRPr="007A5CEB">
          <w:rPr>
            <w:rStyle w:val="Hyperlink"/>
            <w:rFonts w:ascii="Calibri" w:hAnsi="Calibri" w:cs="Calibri"/>
            <w:noProof/>
            <w:sz w:val="22"/>
            <w:szCs w:val="22"/>
          </w:rPr>
          <w:t>Gráfico 46 - Percepção sobre perdas de oportunidades profissionais de mulheres,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_Toc208508669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100</w:t>
        </w:r>
        <w:r w:rsidR="00C77C7B" w:rsidRPr="007A5CEB">
          <w:rPr>
            <w:rFonts w:ascii="Calibri" w:hAnsi="Calibri" w:cs="Calibri"/>
            <w:noProof/>
            <w:webHidden/>
            <w:sz w:val="22"/>
            <w:szCs w:val="22"/>
          </w:rPr>
          <w:fldChar w:fldCharType="end"/>
        </w:r>
      </w:hyperlink>
    </w:p>
    <w:p w14:paraId="65095D2C"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70" w:history="1">
        <w:r w:rsidR="00C77C7B" w:rsidRPr="007A5CEB">
          <w:rPr>
            <w:rStyle w:val="Hyperlink"/>
            <w:rFonts w:ascii="Calibri" w:hAnsi="Calibri" w:cs="Calibri"/>
            <w:noProof/>
            <w:sz w:val="22"/>
            <w:szCs w:val="22"/>
          </w:rPr>
          <w:t>Gráfico 47 - Percepção sobre desigualdade de gênero em promoções para cargos de chefia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_Toc208508670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102</w:t>
        </w:r>
        <w:r w:rsidR="00C77C7B" w:rsidRPr="007A5CEB">
          <w:rPr>
            <w:rFonts w:ascii="Calibri" w:hAnsi="Calibri" w:cs="Calibri"/>
            <w:noProof/>
            <w:webHidden/>
            <w:sz w:val="22"/>
            <w:szCs w:val="22"/>
          </w:rPr>
          <w:fldChar w:fldCharType="end"/>
        </w:r>
      </w:hyperlink>
    </w:p>
    <w:p w14:paraId="33486083"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71" w:history="1">
        <w:r w:rsidR="00C77C7B" w:rsidRPr="007A5CEB">
          <w:rPr>
            <w:rStyle w:val="Hyperlink"/>
            <w:rFonts w:ascii="Calibri" w:hAnsi="Calibri" w:cs="Calibri"/>
            <w:noProof/>
            <w:sz w:val="22"/>
            <w:szCs w:val="22"/>
          </w:rPr>
          <w:t>Gráfico 48 - Percepção feminina sobre desigualdade de gênero em promoções para cargos de chefia no TST/CSJT, por tempo de serviço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_Toc208508671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103</w:t>
        </w:r>
        <w:r w:rsidR="00C77C7B" w:rsidRPr="007A5CEB">
          <w:rPr>
            <w:rFonts w:ascii="Calibri" w:hAnsi="Calibri" w:cs="Calibri"/>
            <w:noProof/>
            <w:webHidden/>
            <w:sz w:val="22"/>
            <w:szCs w:val="22"/>
          </w:rPr>
          <w:fldChar w:fldCharType="end"/>
        </w:r>
      </w:hyperlink>
    </w:p>
    <w:p w14:paraId="7AAB6145"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72" w:history="1">
        <w:r w:rsidR="00C77C7B" w:rsidRPr="007A5CEB">
          <w:rPr>
            <w:rStyle w:val="Hyperlink"/>
            <w:rFonts w:ascii="Calibri" w:hAnsi="Calibri" w:cs="Calibri"/>
            <w:noProof/>
            <w:sz w:val="22"/>
            <w:szCs w:val="22"/>
          </w:rPr>
          <w:t>Gráfico 49 - Percepção masculina sobre desigualdade de gênero em promoções para cargos de chefia no TST/CSJT, por tempo de serviço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_Toc208508672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103</w:t>
        </w:r>
        <w:r w:rsidR="00C77C7B" w:rsidRPr="007A5CEB">
          <w:rPr>
            <w:rFonts w:ascii="Calibri" w:hAnsi="Calibri" w:cs="Calibri"/>
            <w:noProof/>
            <w:webHidden/>
            <w:sz w:val="22"/>
            <w:szCs w:val="22"/>
          </w:rPr>
          <w:fldChar w:fldCharType="end"/>
        </w:r>
      </w:hyperlink>
    </w:p>
    <w:p w14:paraId="1BBF928C"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73" w:history="1">
        <w:r w:rsidR="00C77C7B" w:rsidRPr="007A5CEB">
          <w:rPr>
            <w:rStyle w:val="Hyperlink"/>
            <w:rFonts w:ascii="Calibri" w:hAnsi="Calibri" w:cs="Calibri"/>
            <w:noProof/>
            <w:sz w:val="22"/>
            <w:szCs w:val="22"/>
          </w:rPr>
          <w:t>Gráfico 50 - Percepção sobre oportunidades e encorajamento de mulheres para assunção de cargos de chefia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_Toc208508673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104</w:t>
        </w:r>
        <w:r w:rsidR="00C77C7B" w:rsidRPr="007A5CEB">
          <w:rPr>
            <w:rFonts w:ascii="Calibri" w:hAnsi="Calibri" w:cs="Calibri"/>
            <w:noProof/>
            <w:webHidden/>
            <w:sz w:val="22"/>
            <w:szCs w:val="22"/>
          </w:rPr>
          <w:fldChar w:fldCharType="end"/>
        </w:r>
      </w:hyperlink>
    </w:p>
    <w:p w14:paraId="1F65CFB7"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74" w:history="1">
        <w:r w:rsidR="00C77C7B" w:rsidRPr="007A5CEB">
          <w:rPr>
            <w:rStyle w:val="Hyperlink"/>
            <w:rFonts w:ascii="Calibri" w:hAnsi="Calibri" w:cs="Calibri"/>
            <w:noProof/>
            <w:sz w:val="22"/>
            <w:szCs w:val="22"/>
          </w:rPr>
          <w:t>Gráfico 51 - Percepção sobre presença e voz das mulheres em espaços de decisão,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_Toc208508674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106</w:t>
        </w:r>
        <w:r w:rsidR="00C77C7B" w:rsidRPr="007A5CEB">
          <w:rPr>
            <w:rFonts w:ascii="Calibri" w:hAnsi="Calibri" w:cs="Calibri"/>
            <w:noProof/>
            <w:webHidden/>
            <w:sz w:val="22"/>
            <w:szCs w:val="22"/>
          </w:rPr>
          <w:fldChar w:fldCharType="end"/>
        </w:r>
      </w:hyperlink>
    </w:p>
    <w:p w14:paraId="1FDE6491"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75" w:history="1">
        <w:r w:rsidR="00C77C7B" w:rsidRPr="007A5CEB">
          <w:rPr>
            <w:rStyle w:val="Hyperlink"/>
            <w:rFonts w:ascii="Calibri" w:hAnsi="Calibri" w:cs="Calibri"/>
            <w:noProof/>
            <w:sz w:val="22"/>
            <w:szCs w:val="22"/>
          </w:rPr>
          <w:t>Gráfico 52 - Percepção sobre a necessidade de maior esforço das mulheres para promoção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_Toc208508675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108</w:t>
        </w:r>
        <w:r w:rsidR="00C77C7B" w:rsidRPr="007A5CEB">
          <w:rPr>
            <w:rFonts w:ascii="Calibri" w:hAnsi="Calibri" w:cs="Calibri"/>
            <w:noProof/>
            <w:webHidden/>
            <w:sz w:val="22"/>
            <w:szCs w:val="22"/>
          </w:rPr>
          <w:fldChar w:fldCharType="end"/>
        </w:r>
      </w:hyperlink>
    </w:p>
    <w:p w14:paraId="31C4D449"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76" w:history="1">
        <w:r w:rsidR="00C77C7B" w:rsidRPr="007A5CEB">
          <w:rPr>
            <w:rStyle w:val="Hyperlink"/>
            <w:rFonts w:ascii="Calibri" w:hAnsi="Calibri" w:cs="Calibri"/>
            <w:noProof/>
            <w:sz w:val="22"/>
            <w:szCs w:val="22"/>
          </w:rPr>
          <w:t>Gráfico 53 - Percepção sobre desvalorização ou apropriação de ideias de mulheres em reuniões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_Toc208508676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110</w:t>
        </w:r>
        <w:r w:rsidR="00C77C7B" w:rsidRPr="007A5CEB">
          <w:rPr>
            <w:rFonts w:ascii="Calibri" w:hAnsi="Calibri" w:cs="Calibri"/>
            <w:noProof/>
            <w:webHidden/>
            <w:sz w:val="22"/>
            <w:szCs w:val="22"/>
          </w:rPr>
          <w:fldChar w:fldCharType="end"/>
        </w:r>
      </w:hyperlink>
    </w:p>
    <w:p w14:paraId="6710C48A"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77" w:history="1">
        <w:r w:rsidR="00C77C7B" w:rsidRPr="007A5CEB">
          <w:rPr>
            <w:rStyle w:val="Hyperlink"/>
            <w:rFonts w:ascii="Calibri" w:hAnsi="Calibri" w:cs="Calibri"/>
            <w:noProof/>
            <w:sz w:val="22"/>
            <w:szCs w:val="22"/>
          </w:rPr>
          <w:t>Gráfico 54- Percepção sobre pressão no TST/CSJT para mulheres priorizarem trabalho em detrimento da vida pessoal,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_Toc208508677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113</w:t>
        </w:r>
        <w:r w:rsidR="00C77C7B" w:rsidRPr="007A5CEB">
          <w:rPr>
            <w:rFonts w:ascii="Calibri" w:hAnsi="Calibri" w:cs="Calibri"/>
            <w:noProof/>
            <w:webHidden/>
            <w:sz w:val="22"/>
            <w:szCs w:val="22"/>
          </w:rPr>
          <w:fldChar w:fldCharType="end"/>
        </w:r>
      </w:hyperlink>
    </w:p>
    <w:p w14:paraId="0950E20A"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78" w:history="1">
        <w:r w:rsidR="00C77C7B" w:rsidRPr="007A5CEB">
          <w:rPr>
            <w:rStyle w:val="Hyperlink"/>
            <w:rFonts w:ascii="Calibri" w:hAnsi="Calibri" w:cs="Calibri"/>
            <w:noProof/>
            <w:sz w:val="22"/>
            <w:szCs w:val="22"/>
          </w:rPr>
          <w:t>Gráfico 55 - Percepção sobre o suporte às mães no ambiente de trabalho do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_Toc208508678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115</w:t>
        </w:r>
        <w:r w:rsidR="00C77C7B" w:rsidRPr="007A5CEB">
          <w:rPr>
            <w:rFonts w:ascii="Calibri" w:hAnsi="Calibri" w:cs="Calibri"/>
            <w:noProof/>
            <w:webHidden/>
            <w:sz w:val="22"/>
            <w:szCs w:val="22"/>
          </w:rPr>
          <w:fldChar w:fldCharType="end"/>
        </w:r>
      </w:hyperlink>
    </w:p>
    <w:p w14:paraId="7EFC4F6E"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79" w:history="1">
        <w:r w:rsidR="00C77C7B" w:rsidRPr="007A5CEB">
          <w:rPr>
            <w:rStyle w:val="Hyperlink"/>
            <w:rFonts w:ascii="Calibri" w:hAnsi="Calibri" w:cs="Calibri"/>
            <w:noProof/>
            <w:sz w:val="22"/>
            <w:szCs w:val="22"/>
          </w:rPr>
          <w:t>Gráfico 56 - Percepção sobre prejuízos profissionais sofridos por mães em função da maternidade,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_Toc208508679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118</w:t>
        </w:r>
        <w:r w:rsidR="00C77C7B" w:rsidRPr="007A5CEB">
          <w:rPr>
            <w:rFonts w:ascii="Calibri" w:hAnsi="Calibri" w:cs="Calibri"/>
            <w:noProof/>
            <w:webHidden/>
            <w:sz w:val="22"/>
            <w:szCs w:val="22"/>
          </w:rPr>
          <w:fldChar w:fldCharType="end"/>
        </w:r>
      </w:hyperlink>
    </w:p>
    <w:p w14:paraId="308018D6"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80" w:history="1">
        <w:r w:rsidR="00C77C7B" w:rsidRPr="007A5CEB">
          <w:rPr>
            <w:rStyle w:val="Hyperlink"/>
            <w:rFonts w:ascii="Calibri" w:hAnsi="Calibri" w:cs="Calibri"/>
            <w:noProof/>
            <w:sz w:val="22"/>
            <w:szCs w:val="22"/>
          </w:rPr>
          <w:t>Gráfico 57 - Percepção sobre o conforto das mães para falar sobre maternidade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_Toc208508680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120</w:t>
        </w:r>
        <w:r w:rsidR="00C77C7B" w:rsidRPr="007A5CEB">
          <w:rPr>
            <w:rFonts w:ascii="Calibri" w:hAnsi="Calibri" w:cs="Calibri"/>
            <w:noProof/>
            <w:webHidden/>
            <w:sz w:val="22"/>
            <w:szCs w:val="22"/>
          </w:rPr>
          <w:fldChar w:fldCharType="end"/>
        </w:r>
      </w:hyperlink>
    </w:p>
    <w:p w14:paraId="3D45968B"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81" w:history="1">
        <w:r w:rsidR="00C77C7B" w:rsidRPr="007A5CEB">
          <w:rPr>
            <w:rStyle w:val="Hyperlink"/>
            <w:rFonts w:ascii="Calibri" w:hAnsi="Calibri" w:cs="Calibri"/>
            <w:noProof/>
            <w:sz w:val="22"/>
            <w:szCs w:val="22"/>
          </w:rPr>
          <w:t>Gráfico 58 - Percepção sobre a reintegração de mulheres após licença-maternidade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_Toc208508681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122</w:t>
        </w:r>
        <w:r w:rsidR="00C77C7B" w:rsidRPr="007A5CEB">
          <w:rPr>
            <w:rFonts w:ascii="Calibri" w:hAnsi="Calibri" w:cs="Calibri"/>
            <w:noProof/>
            <w:webHidden/>
            <w:sz w:val="22"/>
            <w:szCs w:val="22"/>
          </w:rPr>
          <w:fldChar w:fldCharType="end"/>
        </w:r>
      </w:hyperlink>
    </w:p>
    <w:p w14:paraId="31AD334E"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82" w:history="1">
        <w:r w:rsidR="00C77C7B" w:rsidRPr="007A5CEB">
          <w:rPr>
            <w:rStyle w:val="Hyperlink"/>
            <w:rFonts w:ascii="Calibri" w:hAnsi="Calibri" w:cs="Calibri"/>
            <w:noProof/>
            <w:sz w:val="22"/>
            <w:szCs w:val="22"/>
          </w:rPr>
          <w:t>Gráfico 59 - Percepção sobre a compreensão de gestores e colegas em ausências para cuidado familiar,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_Toc208508682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124</w:t>
        </w:r>
        <w:r w:rsidR="00C77C7B" w:rsidRPr="007A5CEB">
          <w:rPr>
            <w:rFonts w:ascii="Calibri" w:hAnsi="Calibri" w:cs="Calibri"/>
            <w:noProof/>
            <w:webHidden/>
            <w:sz w:val="22"/>
            <w:szCs w:val="22"/>
          </w:rPr>
          <w:fldChar w:fldCharType="end"/>
        </w:r>
      </w:hyperlink>
    </w:p>
    <w:p w14:paraId="5C9604E3"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83" w:history="1">
        <w:r w:rsidR="00C77C7B" w:rsidRPr="007A5CEB">
          <w:rPr>
            <w:rStyle w:val="Hyperlink"/>
            <w:rFonts w:ascii="Calibri" w:hAnsi="Calibri" w:cs="Calibri"/>
            <w:noProof/>
            <w:sz w:val="22"/>
            <w:szCs w:val="22"/>
          </w:rPr>
          <w:t>Gráfico 60 - Percepção sobre o trabalho remoto/híbrido para a participação feminina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_Toc208508683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126</w:t>
        </w:r>
        <w:r w:rsidR="00C77C7B" w:rsidRPr="007A5CEB">
          <w:rPr>
            <w:rFonts w:ascii="Calibri" w:hAnsi="Calibri" w:cs="Calibri"/>
            <w:noProof/>
            <w:webHidden/>
            <w:sz w:val="22"/>
            <w:szCs w:val="22"/>
          </w:rPr>
          <w:fldChar w:fldCharType="end"/>
        </w:r>
      </w:hyperlink>
    </w:p>
    <w:p w14:paraId="0246523C"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84" w:history="1">
        <w:r w:rsidR="00C77C7B" w:rsidRPr="007A5CEB">
          <w:rPr>
            <w:rStyle w:val="Hyperlink"/>
            <w:rFonts w:ascii="Calibri" w:hAnsi="Calibri" w:cs="Calibri"/>
            <w:noProof/>
            <w:sz w:val="22"/>
            <w:szCs w:val="22"/>
          </w:rPr>
          <w:t>Gráfico 61 - Percepção sobre o impacto da licença-maternidade na carreira das mulheres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_Toc208508684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127</w:t>
        </w:r>
        <w:r w:rsidR="00C77C7B" w:rsidRPr="007A5CEB">
          <w:rPr>
            <w:rFonts w:ascii="Calibri" w:hAnsi="Calibri" w:cs="Calibri"/>
            <w:noProof/>
            <w:webHidden/>
            <w:sz w:val="22"/>
            <w:szCs w:val="22"/>
          </w:rPr>
          <w:fldChar w:fldCharType="end"/>
        </w:r>
      </w:hyperlink>
    </w:p>
    <w:p w14:paraId="5ECD6C23"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85" w:history="1">
        <w:r w:rsidR="00C77C7B" w:rsidRPr="007A5CEB">
          <w:rPr>
            <w:rStyle w:val="Hyperlink"/>
            <w:rFonts w:ascii="Calibri" w:hAnsi="Calibri" w:cs="Calibri"/>
            <w:noProof/>
            <w:sz w:val="22"/>
            <w:szCs w:val="22"/>
          </w:rPr>
          <w:t>Gráfico 62 - Percepção sobre a promoção de uma cultura de respeito e igualdade de gênero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_Toc208508685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131</w:t>
        </w:r>
        <w:r w:rsidR="00C77C7B" w:rsidRPr="007A5CEB">
          <w:rPr>
            <w:rFonts w:ascii="Calibri" w:hAnsi="Calibri" w:cs="Calibri"/>
            <w:noProof/>
            <w:webHidden/>
            <w:sz w:val="22"/>
            <w:szCs w:val="22"/>
          </w:rPr>
          <w:fldChar w:fldCharType="end"/>
        </w:r>
      </w:hyperlink>
    </w:p>
    <w:p w14:paraId="09BA583B"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86" w:history="1">
        <w:r w:rsidR="00C77C7B" w:rsidRPr="007A5CEB">
          <w:rPr>
            <w:rStyle w:val="Hyperlink"/>
            <w:rFonts w:ascii="Calibri" w:hAnsi="Calibri" w:cs="Calibri"/>
            <w:noProof/>
            <w:sz w:val="22"/>
            <w:szCs w:val="22"/>
          </w:rPr>
          <w:t>Gráfico 63 - Percepção sobre a igualdade de oportunidades para mulheres de diferentes perfis,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_Toc208508686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133</w:t>
        </w:r>
        <w:r w:rsidR="00C77C7B" w:rsidRPr="007A5CEB">
          <w:rPr>
            <w:rFonts w:ascii="Calibri" w:hAnsi="Calibri" w:cs="Calibri"/>
            <w:noProof/>
            <w:webHidden/>
            <w:sz w:val="22"/>
            <w:szCs w:val="22"/>
          </w:rPr>
          <w:fldChar w:fldCharType="end"/>
        </w:r>
      </w:hyperlink>
    </w:p>
    <w:p w14:paraId="4CD78DEC"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87" w:history="1">
        <w:r w:rsidR="00C77C7B" w:rsidRPr="007A5CEB">
          <w:rPr>
            <w:rStyle w:val="Hyperlink"/>
            <w:rFonts w:ascii="Calibri" w:hAnsi="Calibri" w:cs="Calibri"/>
            <w:noProof/>
            <w:sz w:val="22"/>
            <w:szCs w:val="22"/>
          </w:rPr>
          <w:t>Gráfico 64 - Percepção sobre o equilíbrio de gênero em cargos estratégicos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_Toc208508687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135</w:t>
        </w:r>
        <w:r w:rsidR="00C77C7B" w:rsidRPr="007A5CEB">
          <w:rPr>
            <w:rFonts w:ascii="Calibri" w:hAnsi="Calibri" w:cs="Calibri"/>
            <w:noProof/>
            <w:webHidden/>
            <w:sz w:val="22"/>
            <w:szCs w:val="22"/>
          </w:rPr>
          <w:fldChar w:fldCharType="end"/>
        </w:r>
      </w:hyperlink>
    </w:p>
    <w:p w14:paraId="046C834F"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88" w:history="1">
        <w:r w:rsidR="00C77C7B" w:rsidRPr="007A5CEB">
          <w:rPr>
            <w:rStyle w:val="Hyperlink"/>
            <w:rFonts w:ascii="Calibri" w:hAnsi="Calibri" w:cs="Calibri"/>
            <w:noProof/>
            <w:sz w:val="22"/>
            <w:szCs w:val="22"/>
          </w:rPr>
          <w:t>Gráfico 65 - Percepção sobre a abertura para a discussão de equidade de gênero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_Toc208508688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137</w:t>
        </w:r>
        <w:r w:rsidR="00C77C7B" w:rsidRPr="007A5CEB">
          <w:rPr>
            <w:rFonts w:ascii="Calibri" w:hAnsi="Calibri" w:cs="Calibri"/>
            <w:noProof/>
            <w:webHidden/>
            <w:sz w:val="22"/>
            <w:szCs w:val="22"/>
          </w:rPr>
          <w:fldChar w:fldCharType="end"/>
        </w:r>
      </w:hyperlink>
    </w:p>
    <w:p w14:paraId="51F628BE"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89" w:history="1">
        <w:r w:rsidR="00C77C7B" w:rsidRPr="007A5CEB">
          <w:rPr>
            <w:rStyle w:val="Hyperlink"/>
            <w:rFonts w:ascii="Calibri" w:hAnsi="Calibri" w:cs="Calibri"/>
            <w:noProof/>
            <w:sz w:val="22"/>
            <w:szCs w:val="22"/>
          </w:rPr>
          <w:t>Gráfico 66 - Percepção sobre a ocorrência de gaslighting contra mulheres,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_Toc208508689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139</w:t>
        </w:r>
        <w:r w:rsidR="00C77C7B" w:rsidRPr="007A5CEB">
          <w:rPr>
            <w:rFonts w:ascii="Calibri" w:hAnsi="Calibri" w:cs="Calibri"/>
            <w:noProof/>
            <w:webHidden/>
            <w:sz w:val="22"/>
            <w:szCs w:val="22"/>
          </w:rPr>
          <w:fldChar w:fldCharType="end"/>
        </w:r>
      </w:hyperlink>
    </w:p>
    <w:p w14:paraId="6B85DFF5"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90" w:history="1">
        <w:r w:rsidR="00C77C7B" w:rsidRPr="007A5CEB">
          <w:rPr>
            <w:rStyle w:val="Hyperlink"/>
            <w:rFonts w:ascii="Calibri" w:hAnsi="Calibri" w:cs="Calibri"/>
            <w:noProof/>
            <w:sz w:val="22"/>
            <w:szCs w:val="22"/>
          </w:rPr>
          <w:t>Gráfico 67 - Percepção sobre a ocorrência de mansplaining contra mulheres no TST/CSJT, por gênero (%)</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_Toc208508690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141</w:t>
        </w:r>
        <w:r w:rsidR="00C77C7B" w:rsidRPr="007A5CEB">
          <w:rPr>
            <w:rFonts w:ascii="Calibri" w:hAnsi="Calibri" w:cs="Calibri"/>
            <w:noProof/>
            <w:webHidden/>
            <w:sz w:val="22"/>
            <w:szCs w:val="22"/>
          </w:rPr>
          <w:fldChar w:fldCharType="end"/>
        </w:r>
      </w:hyperlink>
    </w:p>
    <w:p w14:paraId="09ED992B"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91" w:history="1">
        <w:r w:rsidR="00C77C7B" w:rsidRPr="007A5CEB">
          <w:rPr>
            <w:rStyle w:val="Hyperlink"/>
            <w:rFonts w:ascii="Calibri" w:hAnsi="Calibri" w:cs="Calibri"/>
            <w:noProof/>
            <w:sz w:val="22"/>
            <w:szCs w:val="22"/>
          </w:rPr>
          <w:t>Gráfico 68 - Quantidade de servidoras em licença-maternidade por ano</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_Toc208508691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150</w:t>
        </w:r>
        <w:r w:rsidR="00C77C7B" w:rsidRPr="007A5CEB">
          <w:rPr>
            <w:rFonts w:ascii="Calibri" w:hAnsi="Calibri" w:cs="Calibri"/>
            <w:noProof/>
            <w:webHidden/>
            <w:sz w:val="22"/>
            <w:szCs w:val="22"/>
          </w:rPr>
          <w:fldChar w:fldCharType="end"/>
        </w:r>
      </w:hyperlink>
    </w:p>
    <w:p w14:paraId="7B19ADF5"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92" w:history="1">
        <w:r w:rsidR="00C77C7B" w:rsidRPr="007A5CEB">
          <w:rPr>
            <w:rStyle w:val="Hyperlink"/>
            <w:rFonts w:ascii="Calibri" w:hAnsi="Calibri" w:cs="Calibri"/>
            <w:noProof/>
            <w:sz w:val="22"/>
            <w:szCs w:val="22"/>
          </w:rPr>
          <w:t>Gráfico 69 - Quantidade de ocorrências de licença-maternidade por função ocupada pela servidora (2020-2025)</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_Toc208508692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151</w:t>
        </w:r>
        <w:r w:rsidR="00C77C7B" w:rsidRPr="007A5CEB">
          <w:rPr>
            <w:rFonts w:ascii="Calibri" w:hAnsi="Calibri" w:cs="Calibri"/>
            <w:noProof/>
            <w:webHidden/>
            <w:sz w:val="22"/>
            <w:szCs w:val="22"/>
          </w:rPr>
          <w:fldChar w:fldCharType="end"/>
        </w:r>
      </w:hyperlink>
    </w:p>
    <w:p w14:paraId="233377B5"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93" w:history="1">
        <w:r w:rsidR="00C77C7B" w:rsidRPr="007A5CEB">
          <w:rPr>
            <w:rStyle w:val="Hyperlink"/>
            <w:rFonts w:ascii="Calibri" w:hAnsi="Calibri" w:cs="Calibri"/>
            <w:noProof/>
            <w:sz w:val="22"/>
            <w:szCs w:val="22"/>
          </w:rPr>
          <w:t>Gráfico 70 - Análise da trajetória profissional das servidoras do TST/CSJT antes e durante o período de licença-maternidade (2020-2025)</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_Toc208508693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152</w:t>
        </w:r>
        <w:r w:rsidR="00C77C7B" w:rsidRPr="007A5CEB">
          <w:rPr>
            <w:rFonts w:ascii="Calibri" w:hAnsi="Calibri" w:cs="Calibri"/>
            <w:noProof/>
            <w:webHidden/>
            <w:sz w:val="22"/>
            <w:szCs w:val="22"/>
          </w:rPr>
          <w:fldChar w:fldCharType="end"/>
        </w:r>
      </w:hyperlink>
    </w:p>
    <w:p w14:paraId="08841D38"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94" w:history="1">
        <w:r w:rsidR="00C77C7B" w:rsidRPr="007A5CEB">
          <w:rPr>
            <w:rStyle w:val="Hyperlink"/>
            <w:rFonts w:ascii="Calibri" w:hAnsi="Calibri" w:cs="Calibri"/>
            <w:noProof/>
            <w:sz w:val="22"/>
            <w:szCs w:val="22"/>
          </w:rPr>
          <w:t>Gráfico 71 - Análise da trajetória profissional das servidoras do TST/CSJT durante e após o período de licença-maternidade (2020-2025)</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_Toc208508694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152</w:t>
        </w:r>
        <w:r w:rsidR="00C77C7B" w:rsidRPr="007A5CEB">
          <w:rPr>
            <w:rFonts w:ascii="Calibri" w:hAnsi="Calibri" w:cs="Calibri"/>
            <w:noProof/>
            <w:webHidden/>
            <w:sz w:val="22"/>
            <w:szCs w:val="22"/>
          </w:rPr>
          <w:fldChar w:fldCharType="end"/>
        </w:r>
      </w:hyperlink>
    </w:p>
    <w:p w14:paraId="4F61A53D"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95" w:history="1">
        <w:r w:rsidR="00C77C7B" w:rsidRPr="007A5CEB">
          <w:rPr>
            <w:rStyle w:val="Hyperlink"/>
            <w:rFonts w:ascii="Calibri" w:hAnsi="Calibri" w:cs="Calibri"/>
            <w:noProof/>
            <w:sz w:val="22"/>
            <w:szCs w:val="22"/>
          </w:rPr>
          <w:t>Gráfico 72 - Análise da trajetória profissional das servidoras do TST/CSJT antes, durante e após o período de licença-maternidade (2020-2025)</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_Toc208508695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153</w:t>
        </w:r>
        <w:r w:rsidR="00C77C7B" w:rsidRPr="007A5CEB">
          <w:rPr>
            <w:rFonts w:ascii="Calibri" w:hAnsi="Calibri" w:cs="Calibri"/>
            <w:noProof/>
            <w:webHidden/>
            <w:sz w:val="22"/>
            <w:szCs w:val="22"/>
          </w:rPr>
          <w:fldChar w:fldCharType="end"/>
        </w:r>
      </w:hyperlink>
    </w:p>
    <w:p w14:paraId="700D0254" w14:textId="77777777" w:rsidR="00C77C7B" w:rsidRPr="007A5CEB" w:rsidRDefault="00646C91" w:rsidP="007A5CEB">
      <w:pPr>
        <w:pStyle w:val="ndicedeilustraes"/>
        <w:tabs>
          <w:tab w:val="right" w:leader="dot" w:pos="9629"/>
        </w:tabs>
        <w:spacing w:after="120"/>
        <w:rPr>
          <w:rFonts w:ascii="Calibri" w:eastAsiaTheme="minorEastAsia" w:hAnsi="Calibri" w:cs="Calibri"/>
          <w:noProof/>
          <w:sz w:val="22"/>
          <w:szCs w:val="22"/>
        </w:rPr>
      </w:pPr>
      <w:hyperlink w:anchor="_Toc208508696" w:history="1">
        <w:r w:rsidR="00C77C7B" w:rsidRPr="007A5CEB">
          <w:rPr>
            <w:rStyle w:val="Hyperlink"/>
            <w:rFonts w:ascii="Calibri" w:hAnsi="Calibri" w:cs="Calibri"/>
            <w:noProof/>
            <w:sz w:val="22"/>
            <w:szCs w:val="22"/>
          </w:rPr>
          <w:t>Gráfico 73 - Análise geral da trajetória profissional das servidoras do TST/CSJT em relação à licença- maternidade</w:t>
        </w:r>
        <w:r w:rsidR="00C77C7B" w:rsidRPr="007A5CEB">
          <w:rPr>
            <w:rFonts w:ascii="Calibri" w:hAnsi="Calibri" w:cs="Calibri"/>
            <w:noProof/>
            <w:webHidden/>
            <w:sz w:val="22"/>
            <w:szCs w:val="22"/>
          </w:rPr>
          <w:tab/>
        </w:r>
        <w:r w:rsidR="00C77C7B" w:rsidRPr="007A5CEB">
          <w:rPr>
            <w:rFonts w:ascii="Calibri" w:hAnsi="Calibri" w:cs="Calibri"/>
            <w:noProof/>
            <w:webHidden/>
            <w:sz w:val="22"/>
            <w:szCs w:val="22"/>
          </w:rPr>
          <w:fldChar w:fldCharType="begin"/>
        </w:r>
        <w:r w:rsidR="00C77C7B" w:rsidRPr="007A5CEB">
          <w:rPr>
            <w:rFonts w:ascii="Calibri" w:hAnsi="Calibri" w:cs="Calibri"/>
            <w:noProof/>
            <w:webHidden/>
            <w:sz w:val="22"/>
            <w:szCs w:val="22"/>
          </w:rPr>
          <w:instrText xml:space="preserve"> PAGEREF _Toc208508696 \h </w:instrText>
        </w:r>
        <w:r w:rsidR="00C77C7B" w:rsidRPr="007A5CEB">
          <w:rPr>
            <w:rFonts w:ascii="Calibri" w:hAnsi="Calibri" w:cs="Calibri"/>
            <w:noProof/>
            <w:webHidden/>
            <w:sz w:val="22"/>
            <w:szCs w:val="22"/>
          </w:rPr>
        </w:r>
        <w:r w:rsidR="00C77C7B" w:rsidRPr="007A5CEB">
          <w:rPr>
            <w:rFonts w:ascii="Calibri" w:hAnsi="Calibri" w:cs="Calibri"/>
            <w:noProof/>
            <w:webHidden/>
            <w:sz w:val="22"/>
            <w:szCs w:val="22"/>
          </w:rPr>
          <w:fldChar w:fldCharType="separate"/>
        </w:r>
        <w:r w:rsidR="00D85D1E">
          <w:rPr>
            <w:rFonts w:ascii="Calibri" w:hAnsi="Calibri" w:cs="Calibri"/>
            <w:noProof/>
            <w:webHidden/>
            <w:sz w:val="22"/>
            <w:szCs w:val="22"/>
          </w:rPr>
          <w:t>154</w:t>
        </w:r>
        <w:r w:rsidR="00C77C7B" w:rsidRPr="007A5CEB">
          <w:rPr>
            <w:rFonts w:ascii="Calibri" w:hAnsi="Calibri" w:cs="Calibri"/>
            <w:noProof/>
            <w:webHidden/>
            <w:sz w:val="22"/>
            <w:szCs w:val="22"/>
          </w:rPr>
          <w:fldChar w:fldCharType="end"/>
        </w:r>
      </w:hyperlink>
    </w:p>
    <w:p w14:paraId="28A98F28" w14:textId="49EAE51E" w:rsidR="006D395A" w:rsidRDefault="00B81BC9" w:rsidP="007A5CEB">
      <w:pPr>
        <w:spacing w:after="120" w:line="360" w:lineRule="auto"/>
        <w:rPr>
          <w:rFonts w:asciiTheme="minorHAnsi" w:hAnsiTheme="minorHAnsi" w:cstheme="minorHAnsi"/>
          <w:szCs w:val="28"/>
        </w:rPr>
      </w:pPr>
      <w:r w:rsidRPr="007A5CEB">
        <w:rPr>
          <w:rFonts w:ascii="Calibri" w:hAnsi="Calibri" w:cs="Calibri"/>
          <w:sz w:val="22"/>
          <w:szCs w:val="22"/>
        </w:rPr>
        <w:fldChar w:fldCharType="end"/>
      </w:r>
    </w:p>
    <w:p w14:paraId="24FC9690" w14:textId="77777777" w:rsidR="006D395A" w:rsidRPr="006D395A" w:rsidRDefault="006D395A" w:rsidP="006D395A">
      <w:pPr>
        <w:spacing w:line="360" w:lineRule="auto"/>
        <w:rPr>
          <w:rFonts w:asciiTheme="minorHAnsi" w:hAnsiTheme="minorHAnsi" w:cstheme="minorHAnsi"/>
          <w:szCs w:val="28"/>
        </w:rPr>
      </w:pPr>
    </w:p>
    <w:p w14:paraId="0928DB5F" w14:textId="77777777" w:rsidR="006D395A" w:rsidRPr="006D395A" w:rsidRDefault="006D395A" w:rsidP="006D395A">
      <w:pPr>
        <w:spacing w:line="360" w:lineRule="auto"/>
        <w:rPr>
          <w:rFonts w:asciiTheme="minorHAnsi" w:hAnsiTheme="minorHAnsi" w:cstheme="minorHAnsi"/>
          <w:szCs w:val="28"/>
        </w:rPr>
      </w:pPr>
      <w:r w:rsidRPr="006D395A">
        <w:rPr>
          <w:rFonts w:asciiTheme="minorHAnsi" w:hAnsiTheme="minorHAnsi" w:cstheme="minorHAnsi"/>
          <w:szCs w:val="28"/>
        </w:rPr>
        <w:br w:type="page"/>
      </w:r>
    </w:p>
    <w:p w14:paraId="7F0DBE80" w14:textId="01B46126" w:rsidR="006D395A" w:rsidRPr="006D395A" w:rsidRDefault="006D395A" w:rsidP="006D395A">
      <w:pPr>
        <w:spacing w:before="120" w:line="360" w:lineRule="auto"/>
        <w:ind w:right="119"/>
        <w:rPr>
          <w:rFonts w:ascii="Verdana" w:hAnsi="Verdana" w:cstheme="minorHAnsi"/>
          <w:b/>
          <w:sz w:val="52"/>
          <w:szCs w:val="52"/>
        </w:rPr>
      </w:pPr>
      <w:r w:rsidRPr="006D395A">
        <w:rPr>
          <w:rFonts w:ascii="Verdana" w:hAnsi="Verdana" w:cstheme="minorHAnsi"/>
          <w:b/>
          <w:sz w:val="52"/>
          <w:szCs w:val="52"/>
        </w:rPr>
        <w:lastRenderedPageBreak/>
        <w:t xml:space="preserve">Lista de </w:t>
      </w:r>
      <w:r>
        <w:rPr>
          <w:rFonts w:ascii="Verdana" w:hAnsi="Verdana" w:cstheme="minorHAnsi"/>
          <w:b/>
          <w:sz w:val="52"/>
          <w:szCs w:val="52"/>
        </w:rPr>
        <w:t>Tabelas</w:t>
      </w:r>
    </w:p>
    <w:p w14:paraId="5B0C08B9" w14:textId="77777777" w:rsidR="006D395A" w:rsidRDefault="006D395A" w:rsidP="006D395A">
      <w:pPr>
        <w:spacing w:line="360" w:lineRule="auto"/>
        <w:rPr>
          <w:rFonts w:asciiTheme="minorHAnsi" w:hAnsiTheme="minorHAnsi" w:cstheme="minorHAnsi"/>
          <w:szCs w:val="28"/>
        </w:rPr>
      </w:pPr>
    </w:p>
    <w:p w14:paraId="6AB298DF" w14:textId="77777777" w:rsidR="007A5CEB" w:rsidRPr="007A5CEB" w:rsidRDefault="00DB4DAE" w:rsidP="007A5CEB">
      <w:pPr>
        <w:pStyle w:val="ndicedeilustraes"/>
        <w:tabs>
          <w:tab w:val="right" w:leader="dot" w:pos="9629"/>
        </w:tabs>
        <w:spacing w:after="120"/>
        <w:rPr>
          <w:rFonts w:ascii="Calibri" w:eastAsiaTheme="minorEastAsia" w:hAnsi="Calibri" w:cs="Calibri"/>
          <w:noProof/>
          <w:sz w:val="20"/>
          <w:szCs w:val="22"/>
        </w:rPr>
      </w:pPr>
      <w:r w:rsidRPr="007A5CEB">
        <w:rPr>
          <w:rFonts w:ascii="Calibri" w:hAnsi="Calibri" w:cs="Calibri"/>
          <w:sz w:val="22"/>
          <w:szCs w:val="28"/>
        </w:rPr>
        <w:fldChar w:fldCharType="begin"/>
      </w:r>
      <w:r w:rsidRPr="007A5CEB">
        <w:rPr>
          <w:rFonts w:ascii="Calibri" w:hAnsi="Calibri" w:cs="Calibri"/>
          <w:sz w:val="22"/>
          <w:szCs w:val="28"/>
        </w:rPr>
        <w:instrText xml:space="preserve"> TOC \h \z \c "Tabela" </w:instrText>
      </w:r>
      <w:r w:rsidRPr="007A5CEB">
        <w:rPr>
          <w:rFonts w:ascii="Calibri" w:hAnsi="Calibri" w:cs="Calibri"/>
          <w:sz w:val="22"/>
          <w:szCs w:val="28"/>
        </w:rPr>
        <w:fldChar w:fldCharType="separate"/>
      </w:r>
      <w:hyperlink w:anchor="_Toc208510772" w:history="1">
        <w:r w:rsidR="007A5CEB" w:rsidRPr="007A5CEB">
          <w:rPr>
            <w:rStyle w:val="Hyperlink"/>
            <w:rFonts w:ascii="Calibri" w:hAnsi="Calibri" w:cs="Calibri"/>
            <w:noProof/>
            <w:sz w:val="22"/>
          </w:rPr>
          <w:t>Tabela 1 - Participação e Taxa de Adesão à Pesquisa sobre Percepção da Participação Feminina no TST e no CSJT</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_Toc208510772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22</w:t>
        </w:r>
        <w:r w:rsidR="007A5CEB" w:rsidRPr="007A5CEB">
          <w:rPr>
            <w:rFonts w:ascii="Calibri" w:hAnsi="Calibri" w:cs="Calibri"/>
            <w:noProof/>
            <w:webHidden/>
            <w:sz w:val="22"/>
          </w:rPr>
          <w:fldChar w:fldCharType="end"/>
        </w:r>
      </w:hyperlink>
    </w:p>
    <w:p w14:paraId="609FA60F"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0"/>
          <w:szCs w:val="22"/>
        </w:rPr>
      </w:pPr>
      <w:hyperlink w:anchor="_Toc208510773" w:history="1">
        <w:r w:rsidR="007A5CEB" w:rsidRPr="007A5CEB">
          <w:rPr>
            <w:rStyle w:val="Hyperlink"/>
            <w:rFonts w:ascii="Calibri" w:hAnsi="Calibri" w:cs="Calibri"/>
            <w:noProof/>
            <w:sz w:val="22"/>
          </w:rPr>
          <w:t>Tabela 2 - Distribuição por gênero dos cargos em comissão e funções comissionadas do TST</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_Toc208510773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33</w:t>
        </w:r>
        <w:r w:rsidR="007A5CEB" w:rsidRPr="007A5CEB">
          <w:rPr>
            <w:rFonts w:ascii="Calibri" w:hAnsi="Calibri" w:cs="Calibri"/>
            <w:noProof/>
            <w:webHidden/>
            <w:sz w:val="22"/>
          </w:rPr>
          <w:fldChar w:fldCharType="end"/>
        </w:r>
      </w:hyperlink>
    </w:p>
    <w:p w14:paraId="67B281BC"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0"/>
          <w:szCs w:val="22"/>
        </w:rPr>
      </w:pPr>
      <w:hyperlink w:anchor="_Toc208510774" w:history="1">
        <w:r w:rsidR="007A5CEB" w:rsidRPr="007A5CEB">
          <w:rPr>
            <w:rStyle w:val="Hyperlink"/>
            <w:rFonts w:ascii="Calibri" w:hAnsi="Calibri" w:cs="Calibri"/>
            <w:noProof/>
            <w:sz w:val="22"/>
          </w:rPr>
          <w:t>Tabela 3 - Distribuição por gênero dos cargos em comissão e funções comissionadas do CSJT</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_Toc208510774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37</w:t>
        </w:r>
        <w:r w:rsidR="007A5CEB" w:rsidRPr="007A5CEB">
          <w:rPr>
            <w:rFonts w:ascii="Calibri" w:hAnsi="Calibri" w:cs="Calibri"/>
            <w:noProof/>
            <w:webHidden/>
            <w:sz w:val="22"/>
          </w:rPr>
          <w:fldChar w:fldCharType="end"/>
        </w:r>
      </w:hyperlink>
    </w:p>
    <w:p w14:paraId="462805E7"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0"/>
          <w:szCs w:val="22"/>
        </w:rPr>
      </w:pPr>
      <w:hyperlink w:anchor="_Toc208510775" w:history="1">
        <w:r w:rsidR="007A5CEB" w:rsidRPr="007A5CEB">
          <w:rPr>
            <w:rStyle w:val="Hyperlink"/>
            <w:rFonts w:ascii="Calibri" w:hAnsi="Calibri" w:cs="Calibri"/>
            <w:noProof/>
            <w:sz w:val="22"/>
          </w:rPr>
          <w:t>Tabela 4 - Distribuição dos servidores em cargos de gestão e liderança no TST, por gênero</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_Toc208510775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45</w:t>
        </w:r>
        <w:r w:rsidR="007A5CEB" w:rsidRPr="007A5CEB">
          <w:rPr>
            <w:rFonts w:ascii="Calibri" w:hAnsi="Calibri" w:cs="Calibri"/>
            <w:noProof/>
            <w:webHidden/>
            <w:sz w:val="22"/>
          </w:rPr>
          <w:fldChar w:fldCharType="end"/>
        </w:r>
      </w:hyperlink>
    </w:p>
    <w:p w14:paraId="08774B62"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0"/>
          <w:szCs w:val="22"/>
        </w:rPr>
      </w:pPr>
      <w:hyperlink w:anchor="_Toc208510776" w:history="1">
        <w:r w:rsidR="007A5CEB" w:rsidRPr="007A5CEB">
          <w:rPr>
            <w:rStyle w:val="Hyperlink"/>
            <w:rFonts w:ascii="Calibri" w:hAnsi="Calibri" w:cs="Calibri"/>
            <w:noProof/>
            <w:sz w:val="22"/>
          </w:rPr>
          <w:t>Tabela 5 - Distribuição dos servidores em cargos de gestão e liderança no CSJT, por gênero</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_Toc208510776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49</w:t>
        </w:r>
        <w:r w:rsidR="007A5CEB" w:rsidRPr="007A5CEB">
          <w:rPr>
            <w:rFonts w:ascii="Calibri" w:hAnsi="Calibri" w:cs="Calibri"/>
            <w:noProof/>
            <w:webHidden/>
            <w:sz w:val="22"/>
          </w:rPr>
          <w:fldChar w:fldCharType="end"/>
        </w:r>
      </w:hyperlink>
    </w:p>
    <w:p w14:paraId="6393A79F"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0"/>
          <w:szCs w:val="22"/>
        </w:rPr>
      </w:pPr>
      <w:hyperlink w:anchor="_Toc208510777" w:history="1">
        <w:r w:rsidR="007A5CEB" w:rsidRPr="007A5CEB">
          <w:rPr>
            <w:rStyle w:val="Hyperlink"/>
            <w:rFonts w:ascii="Calibri" w:hAnsi="Calibri" w:cs="Calibri"/>
            <w:noProof/>
            <w:sz w:val="22"/>
          </w:rPr>
          <w:t>Tabela 6 - Distribuição dos integrantes dos Comitês Temáticos de Governança do TST, por gênero</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_Toc208510777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53</w:t>
        </w:r>
        <w:r w:rsidR="007A5CEB" w:rsidRPr="007A5CEB">
          <w:rPr>
            <w:rFonts w:ascii="Calibri" w:hAnsi="Calibri" w:cs="Calibri"/>
            <w:noProof/>
            <w:webHidden/>
            <w:sz w:val="22"/>
          </w:rPr>
          <w:fldChar w:fldCharType="end"/>
        </w:r>
      </w:hyperlink>
    </w:p>
    <w:p w14:paraId="3292615E"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0"/>
          <w:szCs w:val="22"/>
        </w:rPr>
      </w:pPr>
      <w:hyperlink w:anchor="_Toc208510778" w:history="1">
        <w:r w:rsidR="007A5CEB" w:rsidRPr="007A5CEB">
          <w:rPr>
            <w:rStyle w:val="Hyperlink"/>
            <w:rFonts w:ascii="Calibri" w:hAnsi="Calibri" w:cs="Calibri"/>
            <w:noProof/>
            <w:sz w:val="22"/>
          </w:rPr>
          <w:t>Tabela 7 - Distribuição por gênero de cargos de gestão e liderança do TST pela denominação do cargo</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_Toc208510778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56</w:t>
        </w:r>
        <w:r w:rsidR="007A5CEB" w:rsidRPr="007A5CEB">
          <w:rPr>
            <w:rFonts w:ascii="Calibri" w:hAnsi="Calibri" w:cs="Calibri"/>
            <w:noProof/>
            <w:webHidden/>
            <w:sz w:val="22"/>
          </w:rPr>
          <w:fldChar w:fldCharType="end"/>
        </w:r>
      </w:hyperlink>
    </w:p>
    <w:p w14:paraId="34AE2E7D"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0"/>
          <w:szCs w:val="22"/>
        </w:rPr>
      </w:pPr>
      <w:hyperlink w:anchor="_Toc208510779" w:history="1">
        <w:r w:rsidR="007A5CEB" w:rsidRPr="007A5CEB">
          <w:rPr>
            <w:rStyle w:val="Hyperlink"/>
            <w:rFonts w:ascii="Calibri" w:hAnsi="Calibri" w:cs="Calibri"/>
            <w:noProof/>
            <w:sz w:val="22"/>
          </w:rPr>
          <w:t>Tabela 8 - Classificação das unidades do TST segundo a natureza das atividades</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_Toc208510779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59</w:t>
        </w:r>
        <w:r w:rsidR="007A5CEB" w:rsidRPr="007A5CEB">
          <w:rPr>
            <w:rFonts w:ascii="Calibri" w:hAnsi="Calibri" w:cs="Calibri"/>
            <w:noProof/>
            <w:webHidden/>
            <w:sz w:val="22"/>
          </w:rPr>
          <w:fldChar w:fldCharType="end"/>
        </w:r>
      </w:hyperlink>
    </w:p>
    <w:p w14:paraId="193A3500"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0"/>
          <w:szCs w:val="22"/>
        </w:rPr>
      </w:pPr>
      <w:hyperlink w:anchor="_Toc208510780" w:history="1">
        <w:r w:rsidR="007A5CEB" w:rsidRPr="007A5CEB">
          <w:rPr>
            <w:rStyle w:val="Hyperlink"/>
            <w:rFonts w:ascii="Calibri" w:hAnsi="Calibri" w:cs="Calibri"/>
            <w:noProof/>
            <w:sz w:val="22"/>
          </w:rPr>
          <w:t>Tabela 9 - Distribuição de gênero dos cargos de gestão e liderança do TST por área e unidade</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_Toc208510780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64</w:t>
        </w:r>
        <w:r w:rsidR="007A5CEB" w:rsidRPr="007A5CEB">
          <w:rPr>
            <w:rFonts w:ascii="Calibri" w:hAnsi="Calibri" w:cs="Calibri"/>
            <w:noProof/>
            <w:webHidden/>
            <w:sz w:val="22"/>
          </w:rPr>
          <w:fldChar w:fldCharType="end"/>
        </w:r>
      </w:hyperlink>
    </w:p>
    <w:p w14:paraId="690FEE54"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0"/>
          <w:szCs w:val="22"/>
        </w:rPr>
      </w:pPr>
      <w:hyperlink w:anchor="_Toc208510781" w:history="1">
        <w:r w:rsidR="007A5CEB" w:rsidRPr="007A5CEB">
          <w:rPr>
            <w:rStyle w:val="Hyperlink"/>
            <w:rFonts w:ascii="Calibri" w:hAnsi="Calibri" w:cs="Calibri"/>
            <w:noProof/>
            <w:sz w:val="22"/>
          </w:rPr>
          <w:t>Tabela 10 - Distribuição etária dos respondentes da pesquisa</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_Toc208510781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79</w:t>
        </w:r>
        <w:r w:rsidR="007A5CEB" w:rsidRPr="007A5CEB">
          <w:rPr>
            <w:rFonts w:ascii="Calibri" w:hAnsi="Calibri" w:cs="Calibri"/>
            <w:noProof/>
            <w:webHidden/>
            <w:sz w:val="22"/>
          </w:rPr>
          <w:fldChar w:fldCharType="end"/>
        </w:r>
      </w:hyperlink>
    </w:p>
    <w:p w14:paraId="23370899"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0"/>
          <w:szCs w:val="22"/>
        </w:rPr>
      </w:pPr>
      <w:hyperlink w:anchor="_Toc208510782" w:history="1">
        <w:r w:rsidR="007A5CEB" w:rsidRPr="007A5CEB">
          <w:rPr>
            <w:rStyle w:val="Hyperlink"/>
            <w:rFonts w:ascii="Calibri" w:hAnsi="Calibri" w:cs="Calibri"/>
            <w:noProof/>
            <w:sz w:val="22"/>
          </w:rPr>
          <w:t>Tabela 11 - Distribuição por Tempo de Trabalho no TST/CSJT</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_Toc208510782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82</w:t>
        </w:r>
        <w:r w:rsidR="007A5CEB" w:rsidRPr="007A5CEB">
          <w:rPr>
            <w:rFonts w:ascii="Calibri" w:hAnsi="Calibri" w:cs="Calibri"/>
            <w:noProof/>
            <w:webHidden/>
            <w:sz w:val="22"/>
          </w:rPr>
          <w:fldChar w:fldCharType="end"/>
        </w:r>
      </w:hyperlink>
    </w:p>
    <w:p w14:paraId="1151A7A2" w14:textId="77777777" w:rsidR="007A5CEB" w:rsidRPr="007A5CEB" w:rsidRDefault="00646C91" w:rsidP="007A5CEB">
      <w:pPr>
        <w:pStyle w:val="ndicedeilustraes"/>
        <w:tabs>
          <w:tab w:val="right" w:leader="dot" w:pos="9629"/>
        </w:tabs>
        <w:spacing w:after="120"/>
        <w:rPr>
          <w:rFonts w:ascii="Calibri" w:eastAsiaTheme="minorEastAsia" w:hAnsi="Calibri" w:cs="Calibri"/>
          <w:noProof/>
          <w:sz w:val="20"/>
          <w:szCs w:val="22"/>
        </w:rPr>
      </w:pPr>
      <w:hyperlink w:anchor="_Toc208510783" w:history="1">
        <w:r w:rsidR="007A5CEB" w:rsidRPr="007A5CEB">
          <w:rPr>
            <w:rStyle w:val="Hyperlink"/>
            <w:rFonts w:ascii="Calibri" w:hAnsi="Calibri" w:cs="Calibri"/>
            <w:noProof/>
            <w:sz w:val="22"/>
          </w:rPr>
          <w:t>Tabela 12 - Número de respondentes por tipo de deficiência</w:t>
        </w:r>
        <w:r w:rsidR="007A5CEB" w:rsidRPr="007A5CEB">
          <w:rPr>
            <w:rFonts w:ascii="Calibri" w:hAnsi="Calibri" w:cs="Calibri"/>
            <w:noProof/>
            <w:webHidden/>
            <w:sz w:val="22"/>
          </w:rPr>
          <w:tab/>
        </w:r>
        <w:r w:rsidR="007A5CEB" w:rsidRPr="007A5CEB">
          <w:rPr>
            <w:rFonts w:ascii="Calibri" w:hAnsi="Calibri" w:cs="Calibri"/>
            <w:noProof/>
            <w:webHidden/>
            <w:sz w:val="22"/>
          </w:rPr>
          <w:fldChar w:fldCharType="begin"/>
        </w:r>
        <w:r w:rsidR="007A5CEB" w:rsidRPr="007A5CEB">
          <w:rPr>
            <w:rFonts w:ascii="Calibri" w:hAnsi="Calibri" w:cs="Calibri"/>
            <w:noProof/>
            <w:webHidden/>
            <w:sz w:val="22"/>
          </w:rPr>
          <w:instrText xml:space="preserve"> PAGEREF _Toc208510783 \h </w:instrText>
        </w:r>
        <w:r w:rsidR="007A5CEB" w:rsidRPr="007A5CEB">
          <w:rPr>
            <w:rFonts w:ascii="Calibri" w:hAnsi="Calibri" w:cs="Calibri"/>
            <w:noProof/>
            <w:webHidden/>
            <w:sz w:val="22"/>
          </w:rPr>
        </w:r>
        <w:r w:rsidR="007A5CEB" w:rsidRPr="007A5CEB">
          <w:rPr>
            <w:rFonts w:ascii="Calibri" w:hAnsi="Calibri" w:cs="Calibri"/>
            <w:noProof/>
            <w:webHidden/>
            <w:sz w:val="22"/>
          </w:rPr>
          <w:fldChar w:fldCharType="separate"/>
        </w:r>
        <w:r w:rsidR="00D85D1E">
          <w:rPr>
            <w:rFonts w:ascii="Calibri" w:hAnsi="Calibri" w:cs="Calibri"/>
            <w:noProof/>
            <w:webHidden/>
            <w:sz w:val="22"/>
          </w:rPr>
          <w:t>83</w:t>
        </w:r>
        <w:r w:rsidR="007A5CEB" w:rsidRPr="007A5CEB">
          <w:rPr>
            <w:rFonts w:ascii="Calibri" w:hAnsi="Calibri" w:cs="Calibri"/>
            <w:noProof/>
            <w:webHidden/>
            <w:sz w:val="22"/>
          </w:rPr>
          <w:fldChar w:fldCharType="end"/>
        </w:r>
      </w:hyperlink>
    </w:p>
    <w:p w14:paraId="77B79A4A" w14:textId="7EEC2625" w:rsidR="006D395A" w:rsidRDefault="00DB4DAE" w:rsidP="007A5CEB">
      <w:pPr>
        <w:spacing w:after="120" w:line="360" w:lineRule="auto"/>
        <w:rPr>
          <w:rFonts w:asciiTheme="minorHAnsi" w:hAnsiTheme="minorHAnsi" w:cstheme="minorHAnsi"/>
          <w:szCs w:val="28"/>
        </w:rPr>
      </w:pPr>
      <w:r w:rsidRPr="007A5CEB">
        <w:rPr>
          <w:rFonts w:ascii="Calibri" w:hAnsi="Calibri" w:cs="Calibri"/>
          <w:sz w:val="22"/>
          <w:szCs w:val="28"/>
        </w:rPr>
        <w:fldChar w:fldCharType="end"/>
      </w:r>
    </w:p>
    <w:p w14:paraId="77C8DD29" w14:textId="0030D95C" w:rsidR="00DA42BF" w:rsidRPr="006D395A" w:rsidRDefault="00DA42BF" w:rsidP="006D395A">
      <w:pPr>
        <w:spacing w:line="360" w:lineRule="auto"/>
        <w:rPr>
          <w:rFonts w:asciiTheme="minorHAnsi" w:hAnsiTheme="minorHAnsi" w:cstheme="minorHAnsi"/>
          <w:szCs w:val="28"/>
        </w:rPr>
      </w:pPr>
      <w:r w:rsidRPr="006D395A">
        <w:rPr>
          <w:rFonts w:asciiTheme="minorHAnsi" w:hAnsiTheme="minorHAnsi" w:cstheme="minorHAnsi"/>
          <w:szCs w:val="28"/>
        </w:rPr>
        <w:br w:type="page"/>
      </w:r>
    </w:p>
    <w:p w14:paraId="7FFFA161" w14:textId="7154B061" w:rsidR="006D395A" w:rsidRDefault="006D395A" w:rsidP="006D395A">
      <w:pPr>
        <w:spacing w:before="120" w:line="360" w:lineRule="auto"/>
        <w:ind w:right="119"/>
        <w:rPr>
          <w:rFonts w:ascii="Verdana" w:hAnsi="Verdana" w:cstheme="minorHAnsi"/>
          <w:b/>
          <w:sz w:val="52"/>
          <w:szCs w:val="52"/>
        </w:rPr>
      </w:pPr>
      <w:r>
        <w:rPr>
          <w:rFonts w:ascii="Verdana" w:hAnsi="Verdana" w:cstheme="minorHAnsi"/>
          <w:b/>
          <w:sz w:val="52"/>
          <w:szCs w:val="52"/>
        </w:rPr>
        <w:lastRenderedPageBreak/>
        <w:t>Sumário</w:t>
      </w:r>
    </w:p>
    <w:p w14:paraId="478B5EF3" w14:textId="77777777" w:rsidR="007A5CEB" w:rsidRPr="007A5CEB" w:rsidRDefault="00E33569">
      <w:pPr>
        <w:pStyle w:val="Sumrio1"/>
        <w:tabs>
          <w:tab w:val="right" w:pos="9629"/>
        </w:tabs>
        <w:rPr>
          <w:rFonts w:ascii="Calibri" w:eastAsiaTheme="minorEastAsia" w:hAnsi="Calibri" w:cs="Calibri"/>
          <w:b w:val="0"/>
          <w:bCs w:val="0"/>
          <w:caps w:val="0"/>
          <w:noProof/>
          <w:sz w:val="22"/>
          <w:szCs w:val="22"/>
        </w:rPr>
      </w:pPr>
      <w:r w:rsidRPr="007A5CEB">
        <w:rPr>
          <w:rFonts w:ascii="Calibri" w:hAnsi="Calibri" w:cs="Calibri"/>
        </w:rPr>
        <w:fldChar w:fldCharType="begin"/>
      </w:r>
      <w:r w:rsidRPr="007A5CEB">
        <w:rPr>
          <w:rFonts w:ascii="Calibri" w:hAnsi="Calibri" w:cs="Calibri"/>
        </w:rPr>
        <w:instrText xml:space="preserve"> TOC \o "1-3" \h \z \u </w:instrText>
      </w:r>
      <w:r w:rsidRPr="007A5CEB">
        <w:rPr>
          <w:rFonts w:ascii="Calibri" w:hAnsi="Calibri" w:cs="Calibri"/>
        </w:rPr>
        <w:fldChar w:fldCharType="separate"/>
      </w:r>
      <w:hyperlink w:anchor="_Toc208510803" w:history="1">
        <w:r w:rsidR="007A5CEB" w:rsidRPr="007A5CEB">
          <w:rPr>
            <w:rStyle w:val="Hyperlink"/>
            <w:rFonts w:ascii="Calibri" w:hAnsi="Calibri" w:cs="Calibri"/>
            <w:noProof/>
          </w:rPr>
          <w:t>APRESENTAÇÃO</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_Toc208510803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14</w:t>
        </w:r>
        <w:r w:rsidR="007A5CEB" w:rsidRPr="007A5CEB">
          <w:rPr>
            <w:rFonts w:ascii="Calibri" w:hAnsi="Calibri" w:cs="Calibri"/>
            <w:noProof/>
            <w:webHidden/>
          </w:rPr>
          <w:fldChar w:fldCharType="end"/>
        </w:r>
      </w:hyperlink>
    </w:p>
    <w:p w14:paraId="48C6719C" w14:textId="77777777" w:rsidR="007A5CEB" w:rsidRPr="007A5CEB" w:rsidRDefault="00646C91">
      <w:pPr>
        <w:pStyle w:val="Sumrio1"/>
        <w:tabs>
          <w:tab w:val="left" w:pos="480"/>
          <w:tab w:val="right" w:pos="9629"/>
        </w:tabs>
        <w:rPr>
          <w:rFonts w:ascii="Calibri" w:eastAsiaTheme="minorEastAsia" w:hAnsi="Calibri" w:cs="Calibri"/>
          <w:b w:val="0"/>
          <w:bCs w:val="0"/>
          <w:caps w:val="0"/>
          <w:noProof/>
          <w:sz w:val="22"/>
          <w:szCs w:val="22"/>
        </w:rPr>
      </w:pPr>
      <w:hyperlink w:anchor="_Toc208510804" w:history="1">
        <w:r w:rsidR="007A5CEB" w:rsidRPr="007A5CEB">
          <w:rPr>
            <w:rStyle w:val="Hyperlink"/>
            <w:rFonts w:ascii="Calibri" w:hAnsi="Calibri" w:cs="Calibri"/>
            <w:noProof/>
          </w:rPr>
          <w:t>1.</w:t>
        </w:r>
        <w:r w:rsidR="007A5CEB" w:rsidRPr="007A5CEB">
          <w:rPr>
            <w:rFonts w:ascii="Calibri" w:eastAsiaTheme="minorEastAsia" w:hAnsi="Calibri" w:cs="Calibri"/>
            <w:b w:val="0"/>
            <w:bCs w:val="0"/>
            <w:caps w:val="0"/>
            <w:noProof/>
            <w:sz w:val="22"/>
            <w:szCs w:val="22"/>
          </w:rPr>
          <w:tab/>
        </w:r>
        <w:r w:rsidR="007A5CEB" w:rsidRPr="007A5CEB">
          <w:rPr>
            <w:rStyle w:val="Hyperlink"/>
            <w:rFonts w:ascii="Calibri" w:hAnsi="Calibri" w:cs="Calibri"/>
            <w:noProof/>
          </w:rPr>
          <w:t>INTRODUÇÃO</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_Toc208510804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16</w:t>
        </w:r>
        <w:r w:rsidR="007A5CEB" w:rsidRPr="007A5CEB">
          <w:rPr>
            <w:rFonts w:ascii="Calibri" w:hAnsi="Calibri" w:cs="Calibri"/>
            <w:noProof/>
            <w:webHidden/>
          </w:rPr>
          <w:fldChar w:fldCharType="end"/>
        </w:r>
      </w:hyperlink>
    </w:p>
    <w:p w14:paraId="000145A4" w14:textId="77777777" w:rsidR="007A5CEB" w:rsidRPr="007A5CEB" w:rsidRDefault="00646C91">
      <w:pPr>
        <w:pStyle w:val="Sumrio1"/>
        <w:tabs>
          <w:tab w:val="left" w:pos="480"/>
          <w:tab w:val="right" w:pos="9629"/>
        </w:tabs>
        <w:rPr>
          <w:rFonts w:ascii="Calibri" w:eastAsiaTheme="minorEastAsia" w:hAnsi="Calibri" w:cs="Calibri"/>
          <w:b w:val="0"/>
          <w:bCs w:val="0"/>
          <w:caps w:val="0"/>
          <w:noProof/>
          <w:sz w:val="22"/>
          <w:szCs w:val="22"/>
        </w:rPr>
      </w:pPr>
      <w:hyperlink w:anchor="_Toc208510805" w:history="1">
        <w:r w:rsidR="007A5CEB" w:rsidRPr="007A5CEB">
          <w:rPr>
            <w:rStyle w:val="Hyperlink"/>
            <w:rFonts w:ascii="Calibri" w:hAnsi="Calibri" w:cs="Calibri"/>
            <w:noProof/>
          </w:rPr>
          <w:t>2.</w:t>
        </w:r>
        <w:r w:rsidR="007A5CEB" w:rsidRPr="007A5CEB">
          <w:rPr>
            <w:rFonts w:ascii="Calibri" w:eastAsiaTheme="minorEastAsia" w:hAnsi="Calibri" w:cs="Calibri"/>
            <w:b w:val="0"/>
            <w:bCs w:val="0"/>
            <w:caps w:val="0"/>
            <w:noProof/>
            <w:sz w:val="22"/>
            <w:szCs w:val="22"/>
          </w:rPr>
          <w:tab/>
        </w:r>
        <w:r w:rsidR="007A5CEB" w:rsidRPr="007A5CEB">
          <w:rPr>
            <w:rStyle w:val="Hyperlink"/>
            <w:rFonts w:ascii="Calibri" w:hAnsi="Calibri" w:cs="Calibri"/>
            <w:noProof/>
          </w:rPr>
          <w:t>METODOLOGIA</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_Toc208510805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21</w:t>
        </w:r>
        <w:r w:rsidR="007A5CEB" w:rsidRPr="007A5CEB">
          <w:rPr>
            <w:rFonts w:ascii="Calibri" w:hAnsi="Calibri" w:cs="Calibri"/>
            <w:noProof/>
            <w:webHidden/>
          </w:rPr>
          <w:fldChar w:fldCharType="end"/>
        </w:r>
      </w:hyperlink>
    </w:p>
    <w:p w14:paraId="4BD9617F" w14:textId="77777777" w:rsidR="007A5CEB" w:rsidRPr="007A5CEB" w:rsidRDefault="00646C91">
      <w:pPr>
        <w:pStyle w:val="Sumrio2"/>
        <w:tabs>
          <w:tab w:val="left" w:pos="720"/>
          <w:tab w:val="right" w:pos="9629"/>
        </w:tabs>
        <w:rPr>
          <w:rFonts w:ascii="Calibri" w:eastAsiaTheme="minorEastAsia" w:hAnsi="Calibri" w:cs="Calibri"/>
          <w:b w:val="0"/>
          <w:bCs w:val="0"/>
          <w:noProof/>
          <w:sz w:val="22"/>
          <w:szCs w:val="22"/>
        </w:rPr>
      </w:pPr>
      <w:hyperlink w:anchor="_Toc208510806" w:history="1">
        <w:r w:rsidR="007A5CEB" w:rsidRPr="007A5CEB">
          <w:rPr>
            <w:rStyle w:val="Hyperlink"/>
            <w:rFonts w:ascii="Calibri" w:hAnsi="Calibri" w:cs="Calibri"/>
            <w:noProof/>
          </w:rPr>
          <w:t>2.1.</w:t>
        </w:r>
        <w:r w:rsidR="007A5CEB" w:rsidRPr="007A5CEB">
          <w:rPr>
            <w:rFonts w:ascii="Calibri" w:eastAsiaTheme="minorEastAsia" w:hAnsi="Calibri" w:cs="Calibri"/>
            <w:b w:val="0"/>
            <w:bCs w:val="0"/>
            <w:noProof/>
            <w:sz w:val="22"/>
            <w:szCs w:val="22"/>
          </w:rPr>
          <w:tab/>
        </w:r>
        <w:r w:rsidR="007A5CEB" w:rsidRPr="007A5CEB">
          <w:rPr>
            <w:rStyle w:val="Hyperlink"/>
            <w:rFonts w:ascii="Calibri" w:hAnsi="Calibri" w:cs="Calibri"/>
            <w:noProof/>
          </w:rPr>
          <w:t>PROCEDIMENTOS METODOLÓGICOS DA ANÁLISE DO QUADRO ATUAL DE PARTICIPAÇÃO FEMININA NO TST E NO CSJT</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_Toc208510806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21</w:t>
        </w:r>
        <w:r w:rsidR="007A5CEB" w:rsidRPr="007A5CEB">
          <w:rPr>
            <w:rFonts w:ascii="Calibri" w:hAnsi="Calibri" w:cs="Calibri"/>
            <w:noProof/>
            <w:webHidden/>
          </w:rPr>
          <w:fldChar w:fldCharType="end"/>
        </w:r>
      </w:hyperlink>
    </w:p>
    <w:p w14:paraId="6D7E1276" w14:textId="77777777" w:rsidR="007A5CEB" w:rsidRPr="007A5CEB" w:rsidRDefault="00646C91">
      <w:pPr>
        <w:pStyle w:val="Sumrio2"/>
        <w:tabs>
          <w:tab w:val="left" w:pos="720"/>
          <w:tab w:val="right" w:pos="9629"/>
        </w:tabs>
        <w:rPr>
          <w:rFonts w:ascii="Calibri" w:eastAsiaTheme="minorEastAsia" w:hAnsi="Calibri" w:cs="Calibri"/>
          <w:b w:val="0"/>
          <w:bCs w:val="0"/>
          <w:noProof/>
          <w:sz w:val="22"/>
          <w:szCs w:val="22"/>
        </w:rPr>
      </w:pPr>
      <w:hyperlink w:anchor="_Toc208510807" w:history="1">
        <w:r w:rsidR="007A5CEB" w:rsidRPr="007A5CEB">
          <w:rPr>
            <w:rStyle w:val="Hyperlink"/>
            <w:rFonts w:ascii="Calibri" w:hAnsi="Calibri" w:cs="Calibri"/>
            <w:noProof/>
          </w:rPr>
          <w:t>2.2.</w:t>
        </w:r>
        <w:r w:rsidR="007A5CEB" w:rsidRPr="007A5CEB">
          <w:rPr>
            <w:rFonts w:ascii="Calibri" w:eastAsiaTheme="minorEastAsia" w:hAnsi="Calibri" w:cs="Calibri"/>
            <w:b w:val="0"/>
            <w:bCs w:val="0"/>
            <w:noProof/>
            <w:sz w:val="22"/>
            <w:szCs w:val="22"/>
          </w:rPr>
          <w:tab/>
        </w:r>
        <w:r w:rsidR="007A5CEB" w:rsidRPr="007A5CEB">
          <w:rPr>
            <w:rStyle w:val="Hyperlink"/>
            <w:rFonts w:ascii="Calibri" w:hAnsi="Calibri" w:cs="Calibri"/>
            <w:noProof/>
          </w:rPr>
          <w:t>PROCEDIMENTOS METODOLÓGICOS DA PESQUISA DE PERCEPÇÃO SOBRE A PARTICIPAÇÃO FEMININA NO TST E NO CSJT</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_Toc208510807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22</w:t>
        </w:r>
        <w:r w:rsidR="007A5CEB" w:rsidRPr="007A5CEB">
          <w:rPr>
            <w:rFonts w:ascii="Calibri" w:hAnsi="Calibri" w:cs="Calibri"/>
            <w:noProof/>
            <w:webHidden/>
          </w:rPr>
          <w:fldChar w:fldCharType="end"/>
        </w:r>
      </w:hyperlink>
    </w:p>
    <w:p w14:paraId="189731F4" w14:textId="77777777" w:rsidR="007A5CEB" w:rsidRPr="007A5CEB" w:rsidRDefault="00646C91">
      <w:pPr>
        <w:pStyle w:val="Sumrio2"/>
        <w:tabs>
          <w:tab w:val="left" w:pos="720"/>
          <w:tab w:val="right" w:pos="9629"/>
        </w:tabs>
        <w:rPr>
          <w:rFonts w:ascii="Calibri" w:eastAsiaTheme="minorEastAsia" w:hAnsi="Calibri" w:cs="Calibri"/>
          <w:b w:val="0"/>
          <w:bCs w:val="0"/>
          <w:noProof/>
          <w:sz w:val="22"/>
          <w:szCs w:val="22"/>
        </w:rPr>
      </w:pPr>
      <w:hyperlink w:anchor="_Toc208510808" w:history="1">
        <w:r w:rsidR="007A5CEB" w:rsidRPr="007A5CEB">
          <w:rPr>
            <w:rStyle w:val="Hyperlink"/>
            <w:rFonts w:ascii="Calibri" w:hAnsi="Calibri" w:cs="Calibri"/>
            <w:noProof/>
          </w:rPr>
          <w:t>2.3.</w:t>
        </w:r>
        <w:r w:rsidR="007A5CEB" w:rsidRPr="007A5CEB">
          <w:rPr>
            <w:rFonts w:ascii="Calibri" w:eastAsiaTheme="minorEastAsia" w:hAnsi="Calibri" w:cs="Calibri"/>
            <w:b w:val="0"/>
            <w:bCs w:val="0"/>
            <w:noProof/>
            <w:sz w:val="22"/>
            <w:szCs w:val="22"/>
          </w:rPr>
          <w:tab/>
        </w:r>
        <w:r w:rsidR="007A5CEB" w:rsidRPr="007A5CEB">
          <w:rPr>
            <w:rStyle w:val="Hyperlink"/>
            <w:rFonts w:ascii="Calibri" w:hAnsi="Calibri" w:cs="Calibri"/>
            <w:noProof/>
          </w:rPr>
          <w:t>PROCEDIMENTOS METODOLÓGICOS DOS ENCONTROS “DIÁLOGOS QUE TRANSFORMAM – VOZES FEMININAS: ACOLHIMENTO E CONEXÃO”</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_Toc208510808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25</w:t>
        </w:r>
        <w:r w:rsidR="007A5CEB" w:rsidRPr="007A5CEB">
          <w:rPr>
            <w:rFonts w:ascii="Calibri" w:hAnsi="Calibri" w:cs="Calibri"/>
            <w:noProof/>
            <w:webHidden/>
          </w:rPr>
          <w:fldChar w:fldCharType="end"/>
        </w:r>
      </w:hyperlink>
    </w:p>
    <w:p w14:paraId="7B64257E" w14:textId="77777777" w:rsidR="007A5CEB" w:rsidRPr="007A5CEB" w:rsidRDefault="00646C91">
      <w:pPr>
        <w:pStyle w:val="Sumrio2"/>
        <w:tabs>
          <w:tab w:val="left" w:pos="720"/>
          <w:tab w:val="right" w:pos="9629"/>
        </w:tabs>
        <w:rPr>
          <w:rFonts w:ascii="Calibri" w:eastAsiaTheme="minorEastAsia" w:hAnsi="Calibri" w:cs="Calibri"/>
          <w:b w:val="0"/>
          <w:bCs w:val="0"/>
          <w:noProof/>
          <w:sz w:val="22"/>
          <w:szCs w:val="22"/>
        </w:rPr>
      </w:pPr>
      <w:hyperlink w:anchor="_Toc208510809" w:history="1">
        <w:r w:rsidR="007A5CEB" w:rsidRPr="007A5CEB">
          <w:rPr>
            <w:rStyle w:val="Hyperlink"/>
            <w:rFonts w:ascii="Calibri" w:hAnsi="Calibri" w:cs="Calibri"/>
            <w:noProof/>
          </w:rPr>
          <w:t>2.4.</w:t>
        </w:r>
        <w:r w:rsidR="007A5CEB" w:rsidRPr="007A5CEB">
          <w:rPr>
            <w:rFonts w:ascii="Calibri" w:eastAsiaTheme="minorEastAsia" w:hAnsi="Calibri" w:cs="Calibri"/>
            <w:b w:val="0"/>
            <w:bCs w:val="0"/>
            <w:noProof/>
            <w:sz w:val="22"/>
            <w:szCs w:val="22"/>
          </w:rPr>
          <w:tab/>
        </w:r>
        <w:r w:rsidR="007A5CEB" w:rsidRPr="007A5CEB">
          <w:rPr>
            <w:rStyle w:val="Hyperlink"/>
            <w:rFonts w:ascii="Calibri" w:hAnsi="Calibri" w:cs="Calibri"/>
            <w:noProof/>
          </w:rPr>
          <w:t>PROCEDIMENTOS METODOLÓGICOS DA ANÁLISE SOBRE A TRAJETÓRIA PROFISSIONAL DE SERVIDORAS QUE USUFRUÍRAM DE LICENÇA-MATERNIDADE NO TST E NO CSJT</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_Toc208510809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26</w:t>
        </w:r>
        <w:r w:rsidR="007A5CEB" w:rsidRPr="007A5CEB">
          <w:rPr>
            <w:rFonts w:ascii="Calibri" w:hAnsi="Calibri" w:cs="Calibri"/>
            <w:noProof/>
            <w:webHidden/>
          </w:rPr>
          <w:fldChar w:fldCharType="end"/>
        </w:r>
      </w:hyperlink>
    </w:p>
    <w:p w14:paraId="4BFF5A65" w14:textId="77777777" w:rsidR="007A5CEB" w:rsidRPr="007A5CEB" w:rsidRDefault="00646C91">
      <w:pPr>
        <w:pStyle w:val="Sumrio1"/>
        <w:tabs>
          <w:tab w:val="left" w:pos="480"/>
          <w:tab w:val="right" w:pos="9629"/>
        </w:tabs>
        <w:rPr>
          <w:rFonts w:ascii="Calibri" w:eastAsiaTheme="minorEastAsia" w:hAnsi="Calibri" w:cs="Calibri"/>
          <w:b w:val="0"/>
          <w:bCs w:val="0"/>
          <w:caps w:val="0"/>
          <w:noProof/>
          <w:sz w:val="22"/>
          <w:szCs w:val="22"/>
        </w:rPr>
      </w:pPr>
      <w:hyperlink w:anchor="_Toc208510810" w:history="1">
        <w:r w:rsidR="007A5CEB" w:rsidRPr="007A5CEB">
          <w:rPr>
            <w:rStyle w:val="Hyperlink"/>
            <w:rFonts w:ascii="Calibri" w:hAnsi="Calibri" w:cs="Calibri"/>
            <w:noProof/>
          </w:rPr>
          <w:t>3.</w:t>
        </w:r>
        <w:r w:rsidR="007A5CEB" w:rsidRPr="007A5CEB">
          <w:rPr>
            <w:rFonts w:ascii="Calibri" w:eastAsiaTheme="minorEastAsia" w:hAnsi="Calibri" w:cs="Calibri"/>
            <w:b w:val="0"/>
            <w:bCs w:val="0"/>
            <w:caps w:val="0"/>
            <w:noProof/>
            <w:sz w:val="22"/>
            <w:szCs w:val="22"/>
          </w:rPr>
          <w:tab/>
        </w:r>
        <w:r w:rsidR="007A5CEB" w:rsidRPr="007A5CEB">
          <w:rPr>
            <w:rStyle w:val="Hyperlink"/>
            <w:rFonts w:ascii="Calibri" w:hAnsi="Calibri" w:cs="Calibri"/>
            <w:noProof/>
          </w:rPr>
          <w:t>RESULTADOS</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_Toc208510810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28</w:t>
        </w:r>
        <w:r w:rsidR="007A5CEB" w:rsidRPr="007A5CEB">
          <w:rPr>
            <w:rFonts w:ascii="Calibri" w:hAnsi="Calibri" w:cs="Calibri"/>
            <w:noProof/>
            <w:webHidden/>
          </w:rPr>
          <w:fldChar w:fldCharType="end"/>
        </w:r>
      </w:hyperlink>
    </w:p>
    <w:p w14:paraId="1E3BA5B1" w14:textId="77777777" w:rsidR="007A5CEB" w:rsidRPr="007A5CEB" w:rsidRDefault="00646C91">
      <w:pPr>
        <w:pStyle w:val="Sumrio2"/>
        <w:tabs>
          <w:tab w:val="left" w:pos="720"/>
          <w:tab w:val="right" w:pos="9629"/>
        </w:tabs>
        <w:rPr>
          <w:rFonts w:ascii="Calibri" w:eastAsiaTheme="minorEastAsia" w:hAnsi="Calibri" w:cs="Calibri"/>
          <w:b w:val="0"/>
          <w:bCs w:val="0"/>
          <w:noProof/>
          <w:sz w:val="22"/>
          <w:szCs w:val="22"/>
        </w:rPr>
      </w:pPr>
      <w:hyperlink w:anchor="_Toc208510811" w:history="1">
        <w:r w:rsidR="007A5CEB" w:rsidRPr="007A5CEB">
          <w:rPr>
            <w:rStyle w:val="Hyperlink"/>
            <w:rFonts w:ascii="Calibri" w:hAnsi="Calibri" w:cs="Calibri"/>
            <w:noProof/>
          </w:rPr>
          <w:t>3.1.</w:t>
        </w:r>
        <w:r w:rsidR="007A5CEB" w:rsidRPr="007A5CEB">
          <w:rPr>
            <w:rFonts w:ascii="Calibri" w:eastAsiaTheme="minorEastAsia" w:hAnsi="Calibri" w:cs="Calibri"/>
            <w:b w:val="0"/>
            <w:bCs w:val="0"/>
            <w:noProof/>
            <w:sz w:val="22"/>
            <w:szCs w:val="22"/>
          </w:rPr>
          <w:tab/>
        </w:r>
        <w:r w:rsidR="007A5CEB" w:rsidRPr="007A5CEB">
          <w:rPr>
            <w:rStyle w:val="Hyperlink"/>
            <w:rFonts w:ascii="Calibri" w:hAnsi="Calibri" w:cs="Calibri"/>
            <w:noProof/>
          </w:rPr>
          <w:t>DIAGNÓSTICO DA PARTICIPAÇÃO FEMININA NO TST E NO CSJT</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_Toc208510811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28</w:t>
        </w:r>
        <w:r w:rsidR="007A5CEB" w:rsidRPr="007A5CEB">
          <w:rPr>
            <w:rFonts w:ascii="Calibri" w:hAnsi="Calibri" w:cs="Calibri"/>
            <w:noProof/>
            <w:webHidden/>
          </w:rPr>
          <w:fldChar w:fldCharType="end"/>
        </w:r>
      </w:hyperlink>
    </w:p>
    <w:p w14:paraId="71503856"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12" w:history="1">
        <w:r w:rsidR="007A5CEB" w:rsidRPr="007A5CEB">
          <w:rPr>
            <w:rStyle w:val="Hyperlink"/>
            <w:rFonts w:ascii="Calibri" w:hAnsi="Calibri" w:cs="Calibri"/>
            <w:noProof/>
          </w:rPr>
          <w:t>3.1.1.</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Participação feminina em cargos em comissão e funções comissionadas no TST e no CSJT</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_Toc208510812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29</w:t>
        </w:r>
        <w:r w:rsidR="007A5CEB" w:rsidRPr="007A5CEB">
          <w:rPr>
            <w:rFonts w:ascii="Calibri" w:hAnsi="Calibri" w:cs="Calibri"/>
            <w:noProof/>
            <w:webHidden/>
          </w:rPr>
          <w:fldChar w:fldCharType="end"/>
        </w:r>
      </w:hyperlink>
    </w:p>
    <w:p w14:paraId="2D8E2E8F"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13" w:history="1">
        <w:r w:rsidR="007A5CEB" w:rsidRPr="007A5CEB">
          <w:rPr>
            <w:rStyle w:val="Hyperlink"/>
            <w:rFonts w:ascii="Calibri" w:hAnsi="Calibri" w:cs="Calibri"/>
            <w:noProof/>
          </w:rPr>
          <w:t>3.1.2.</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Participação feminina em cargos de gestão e liderança no TST e no CSJT</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_Toc208510813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40</w:t>
        </w:r>
        <w:r w:rsidR="007A5CEB" w:rsidRPr="007A5CEB">
          <w:rPr>
            <w:rFonts w:ascii="Calibri" w:hAnsi="Calibri" w:cs="Calibri"/>
            <w:noProof/>
            <w:webHidden/>
          </w:rPr>
          <w:fldChar w:fldCharType="end"/>
        </w:r>
      </w:hyperlink>
    </w:p>
    <w:p w14:paraId="429CEC68"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14" w:history="1">
        <w:r w:rsidR="007A5CEB" w:rsidRPr="007A5CEB">
          <w:rPr>
            <w:rStyle w:val="Hyperlink"/>
            <w:rFonts w:ascii="Calibri" w:hAnsi="Calibri" w:cs="Calibri"/>
            <w:noProof/>
          </w:rPr>
          <w:t>3.1.3.</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Participação feminina em cargos de gestão e liderança do TST pela natureza da atividade</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_Toc208510814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55</w:t>
        </w:r>
        <w:r w:rsidR="007A5CEB" w:rsidRPr="007A5CEB">
          <w:rPr>
            <w:rFonts w:ascii="Calibri" w:hAnsi="Calibri" w:cs="Calibri"/>
            <w:noProof/>
            <w:webHidden/>
          </w:rPr>
          <w:fldChar w:fldCharType="end"/>
        </w:r>
      </w:hyperlink>
    </w:p>
    <w:p w14:paraId="19261E10"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15" w:history="1">
        <w:r w:rsidR="007A5CEB" w:rsidRPr="007A5CEB">
          <w:rPr>
            <w:rStyle w:val="Hyperlink"/>
            <w:rFonts w:ascii="Calibri" w:hAnsi="Calibri" w:cs="Calibri"/>
            <w:noProof/>
          </w:rPr>
          <w:t>3.1.4.</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Participação feminina em cargos de gestão e liderança do TST e do CSJT por idade</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_Toc208510815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67</w:t>
        </w:r>
        <w:r w:rsidR="007A5CEB" w:rsidRPr="007A5CEB">
          <w:rPr>
            <w:rFonts w:ascii="Calibri" w:hAnsi="Calibri" w:cs="Calibri"/>
            <w:noProof/>
            <w:webHidden/>
          </w:rPr>
          <w:fldChar w:fldCharType="end"/>
        </w:r>
      </w:hyperlink>
    </w:p>
    <w:p w14:paraId="665BFBD7"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16" w:history="1">
        <w:r w:rsidR="007A5CEB" w:rsidRPr="007A5CEB">
          <w:rPr>
            <w:rStyle w:val="Hyperlink"/>
            <w:rFonts w:ascii="Calibri" w:hAnsi="Calibri" w:cs="Calibri"/>
            <w:noProof/>
          </w:rPr>
          <w:t>3.1.5.</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Considerações sobre o diagnóstico de participação feminina no TST/CSJT</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_Toc208510816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71</w:t>
        </w:r>
        <w:r w:rsidR="007A5CEB" w:rsidRPr="007A5CEB">
          <w:rPr>
            <w:rFonts w:ascii="Calibri" w:hAnsi="Calibri" w:cs="Calibri"/>
            <w:noProof/>
            <w:webHidden/>
          </w:rPr>
          <w:fldChar w:fldCharType="end"/>
        </w:r>
      </w:hyperlink>
    </w:p>
    <w:p w14:paraId="71D95180" w14:textId="77777777" w:rsidR="007A5CEB" w:rsidRPr="007A5CEB" w:rsidRDefault="00646C91">
      <w:pPr>
        <w:pStyle w:val="Sumrio2"/>
        <w:tabs>
          <w:tab w:val="left" w:pos="720"/>
          <w:tab w:val="right" w:pos="9629"/>
        </w:tabs>
        <w:rPr>
          <w:rFonts w:ascii="Calibri" w:eastAsiaTheme="minorEastAsia" w:hAnsi="Calibri" w:cs="Calibri"/>
          <w:b w:val="0"/>
          <w:bCs w:val="0"/>
          <w:noProof/>
          <w:sz w:val="22"/>
          <w:szCs w:val="22"/>
        </w:rPr>
      </w:pPr>
      <w:hyperlink w:anchor="_Toc208510817" w:history="1">
        <w:r w:rsidR="007A5CEB" w:rsidRPr="007A5CEB">
          <w:rPr>
            <w:rStyle w:val="Hyperlink"/>
            <w:rFonts w:ascii="Calibri" w:hAnsi="Calibri" w:cs="Calibri"/>
            <w:noProof/>
          </w:rPr>
          <w:t>3.2.</w:t>
        </w:r>
        <w:r w:rsidR="007A5CEB" w:rsidRPr="007A5CEB">
          <w:rPr>
            <w:rFonts w:ascii="Calibri" w:eastAsiaTheme="minorEastAsia" w:hAnsi="Calibri" w:cs="Calibri"/>
            <w:b w:val="0"/>
            <w:bCs w:val="0"/>
            <w:noProof/>
            <w:sz w:val="22"/>
            <w:szCs w:val="22"/>
          </w:rPr>
          <w:tab/>
        </w:r>
        <w:r w:rsidR="007A5CEB" w:rsidRPr="007A5CEB">
          <w:rPr>
            <w:rStyle w:val="Hyperlink"/>
            <w:rFonts w:ascii="Calibri" w:hAnsi="Calibri" w:cs="Calibri"/>
            <w:noProof/>
          </w:rPr>
          <w:t>RESULTADOS DA PESQUISA DE PERCEPÇÃO SOBRE A PARTICIPAÇÃO FEMININA NO TST E NO CSJT</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_Toc208510817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75</w:t>
        </w:r>
        <w:r w:rsidR="007A5CEB" w:rsidRPr="007A5CEB">
          <w:rPr>
            <w:rFonts w:ascii="Calibri" w:hAnsi="Calibri" w:cs="Calibri"/>
            <w:noProof/>
            <w:webHidden/>
          </w:rPr>
          <w:fldChar w:fldCharType="end"/>
        </w:r>
      </w:hyperlink>
    </w:p>
    <w:p w14:paraId="39189901"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18" w:history="1">
        <w:r w:rsidR="007A5CEB" w:rsidRPr="007A5CEB">
          <w:rPr>
            <w:rStyle w:val="Hyperlink"/>
            <w:rFonts w:ascii="Calibri" w:hAnsi="Calibri" w:cs="Calibri"/>
            <w:noProof/>
          </w:rPr>
          <w:t>3.2.1.</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Bloco Perfil dos Respondentes</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_Toc208510818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75</w:t>
        </w:r>
        <w:r w:rsidR="007A5CEB" w:rsidRPr="007A5CEB">
          <w:rPr>
            <w:rFonts w:ascii="Calibri" w:hAnsi="Calibri" w:cs="Calibri"/>
            <w:noProof/>
            <w:webHidden/>
          </w:rPr>
          <w:fldChar w:fldCharType="end"/>
        </w:r>
      </w:hyperlink>
    </w:p>
    <w:p w14:paraId="7FB29ECA"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19" w:history="1">
        <w:r w:rsidR="007A5CEB" w:rsidRPr="007A5CEB">
          <w:rPr>
            <w:rStyle w:val="Hyperlink"/>
            <w:rFonts w:ascii="Calibri" w:hAnsi="Calibri" w:cs="Calibri"/>
            <w:noProof/>
          </w:rPr>
          <w:t>3.2.2.</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Bloco Preconceito ou Discriminação de Gênero</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_Toc208510819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83</w:t>
        </w:r>
        <w:r w:rsidR="007A5CEB" w:rsidRPr="007A5CEB">
          <w:rPr>
            <w:rFonts w:ascii="Calibri" w:hAnsi="Calibri" w:cs="Calibri"/>
            <w:noProof/>
            <w:webHidden/>
          </w:rPr>
          <w:fldChar w:fldCharType="end"/>
        </w:r>
      </w:hyperlink>
    </w:p>
    <w:p w14:paraId="0282AD03"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20" w:history="1">
        <w:r w:rsidR="007A5CEB" w:rsidRPr="007A5CEB">
          <w:rPr>
            <w:rStyle w:val="Hyperlink"/>
            <w:rFonts w:ascii="Calibri" w:hAnsi="Calibri" w:cs="Calibri"/>
            <w:noProof/>
          </w:rPr>
          <w:t>3.2.3.</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Bloco Oportunidade, Carreira e Liderança</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_Toc208510820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97</w:t>
        </w:r>
        <w:r w:rsidR="007A5CEB" w:rsidRPr="007A5CEB">
          <w:rPr>
            <w:rFonts w:ascii="Calibri" w:hAnsi="Calibri" w:cs="Calibri"/>
            <w:noProof/>
            <w:webHidden/>
          </w:rPr>
          <w:fldChar w:fldCharType="end"/>
        </w:r>
      </w:hyperlink>
    </w:p>
    <w:p w14:paraId="6A3408B4"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21" w:history="1">
        <w:r w:rsidR="007A5CEB" w:rsidRPr="007A5CEB">
          <w:rPr>
            <w:rStyle w:val="Hyperlink"/>
            <w:rFonts w:ascii="Calibri" w:hAnsi="Calibri" w:cs="Calibri"/>
            <w:noProof/>
          </w:rPr>
          <w:t>3.2.4.</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Bloco Família e Vida Pessoal</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_Toc208510821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112</w:t>
        </w:r>
        <w:r w:rsidR="007A5CEB" w:rsidRPr="007A5CEB">
          <w:rPr>
            <w:rFonts w:ascii="Calibri" w:hAnsi="Calibri" w:cs="Calibri"/>
            <w:noProof/>
            <w:webHidden/>
          </w:rPr>
          <w:fldChar w:fldCharType="end"/>
        </w:r>
      </w:hyperlink>
    </w:p>
    <w:p w14:paraId="693EDF92"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22" w:history="1">
        <w:r w:rsidR="007A5CEB" w:rsidRPr="007A5CEB">
          <w:rPr>
            <w:rStyle w:val="Hyperlink"/>
            <w:rFonts w:ascii="Calibri" w:hAnsi="Calibri" w:cs="Calibri"/>
            <w:noProof/>
          </w:rPr>
          <w:t>3.2.5.</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Bloco Cultura Organizacional, Respeito e Equidade</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_Toc208510822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130</w:t>
        </w:r>
        <w:r w:rsidR="007A5CEB" w:rsidRPr="007A5CEB">
          <w:rPr>
            <w:rFonts w:ascii="Calibri" w:hAnsi="Calibri" w:cs="Calibri"/>
            <w:noProof/>
            <w:webHidden/>
          </w:rPr>
          <w:fldChar w:fldCharType="end"/>
        </w:r>
      </w:hyperlink>
    </w:p>
    <w:p w14:paraId="2C13D063" w14:textId="77777777" w:rsidR="007A5CEB" w:rsidRPr="007A5CEB" w:rsidRDefault="00646C91">
      <w:pPr>
        <w:pStyle w:val="Sumrio2"/>
        <w:tabs>
          <w:tab w:val="left" w:pos="720"/>
          <w:tab w:val="right" w:pos="9629"/>
        </w:tabs>
        <w:rPr>
          <w:rFonts w:ascii="Calibri" w:eastAsiaTheme="minorEastAsia" w:hAnsi="Calibri" w:cs="Calibri"/>
          <w:b w:val="0"/>
          <w:bCs w:val="0"/>
          <w:noProof/>
          <w:sz w:val="22"/>
          <w:szCs w:val="22"/>
        </w:rPr>
      </w:pPr>
      <w:hyperlink w:anchor="_Toc208510823" w:history="1">
        <w:r w:rsidR="007A5CEB" w:rsidRPr="007A5CEB">
          <w:rPr>
            <w:rStyle w:val="Hyperlink"/>
            <w:rFonts w:ascii="Calibri" w:hAnsi="Calibri" w:cs="Calibri"/>
            <w:noProof/>
          </w:rPr>
          <w:t>3.3.</w:t>
        </w:r>
        <w:r w:rsidR="007A5CEB" w:rsidRPr="007A5CEB">
          <w:rPr>
            <w:rFonts w:ascii="Calibri" w:eastAsiaTheme="minorEastAsia" w:hAnsi="Calibri" w:cs="Calibri"/>
            <w:b w:val="0"/>
            <w:bCs w:val="0"/>
            <w:noProof/>
            <w:sz w:val="22"/>
            <w:szCs w:val="22"/>
          </w:rPr>
          <w:tab/>
        </w:r>
        <w:r w:rsidR="007A5CEB" w:rsidRPr="007A5CEB">
          <w:rPr>
            <w:rStyle w:val="Hyperlink"/>
            <w:rFonts w:ascii="Calibri" w:hAnsi="Calibri" w:cs="Calibri"/>
            <w:noProof/>
          </w:rPr>
          <w:t>RESULTADOS DOS ENCONTROS “DIÁLOGOS QUE TRANSFORMAM - VOZES FEMININAS: ACOLHIMENTO E CONEXÃO”</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_Toc208510823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145</w:t>
        </w:r>
        <w:r w:rsidR="007A5CEB" w:rsidRPr="007A5CEB">
          <w:rPr>
            <w:rFonts w:ascii="Calibri" w:hAnsi="Calibri" w:cs="Calibri"/>
            <w:noProof/>
            <w:webHidden/>
          </w:rPr>
          <w:fldChar w:fldCharType="end"/>
        </w:r>
      </w:hyperlink>
    </w:p>
    <w:p w14:paraId="0F2E3278"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24" w:history="1">
        <w:r w:rsidR="007A5CEB" w:rsidRPr="007A5CEB">
          <w:rPr>
            <w:rStyle w:val="Hyperlink"/>
            <w:rFonts w:ascii="Calibri" w:hAnsi="Calibri" w:cs="Calibri"/>
            <w:noProof/>
          </w:rPr>
          <w:t>3.3.1.</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Percepções das participantes sobre o papel do Tribunal na vida das mulheres e o papel feminino na instituição</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_Toc208510824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145</w:t>
        </w:r>
        <w:r w:rsidR="007A5CEB" w:rsidRPr="007A5CEB">
          <w:rPr>
            <w:rFonts w:ascii="Calibri" w:hAnsi="Calibri" w:cs="Calibri"/>
            <w:noProof/>
            <w:webHidden/>
          </w:rPr>
          <w:fldChar w:fldCharType="end"/>
        </w:r>
      </w:hyperlink>
    </w:p>
    <w:p w14:paraId="7A52EA86"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25" w:history="1">
        <w:r w:rsidR="007A5CEB" w:rsidRPr="007A5CEB">
          <w:rPr>
            <w:rStyle w:val="Hyperlink"/>
            <w:rFonts w:ascii="Calibri" w:hAnsi="Calibri" w:cs="Calibri"/>
            <w:noProof/>
          </w:rPr>
          <w:t>3.3.2.</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Percepções das participantes sobre os desafios vivenciados por mulheres no TST</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_Toc208510825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146</w:t>
        </w:r>
        <w:r w:rsidR="007A5CEB" w:rsidRPr="007A5CEB">
          <w:rPr>
            <w:rFonts w:ascii="Calibri" w:hAnsi="Calibri" w:cs="Calibri"/>
            <w:noProof/>
            <w:webHidden/>
          </w:rPr>
          <w:fldChar w:fldCharType="end"/>
        </w:r>
      </w:hyperlink>
    </w:p>
    <w:p w14:paraId="59FC1B14" w14:textId="77777777" w:rsidR="007A5CEB" w:rsidRPr="007A5CEB" w:rsidRDefault="00646C91">
      <w:pPr>
        <w:pStyle w:val="Sumrio3"/>
        <w:tabs>
          <w:tab w:val="left" w:pos="960"/>
          <w:tab w:val="right" w:pos="9629"/>
        </w:tabs>
        <w:rPr>
          <w:rFonts w:ascii="Calibri" w:eastAsiaTheme="minorEastAsia" w:hAnsi="Calibri" w:cs="Calibri"/>
          <w:noProof/>
          <w:sz w:val="22"/>
          <w:szCs w:val="22"/>
        </w:rPr>
      </w:pPr>
      <w:hyperlink w:anchor="_Toc208510826" w:history="1">
        <w:r w:rsidR="007A5CEB" w:rsidRPr="007A5CEB">
          <w:rPr>
            <w:rStyle w:val="Hyperlink"/>
            <w:rFonts w:ascii="Calibri" w:hAnsi="Calibri" w:cs="Calibri"/>
            <w:noProof/>
          </w:rPr>
          <w:t>3.3.3.</w:t>
        </w:r>
        <w:r w:rsidR="007A5CEB" w:rsidRPr="007A5CEB">
          <w:rPr>
            <w:rFonts w:ascii="Calibri" w:eastAsiaTheme="minorEastAsia" w:hAnsi="Calibri" w:cs="Calibri"/>
            <w:noProof/>
            <w:sz w:val="22"/>
            <w:szCs w:val="22"/>
          </w:rPr>
          <w:tab/>
        </w:r>
        <w:r w:rsidR="007A5CEB" w:rsidRPr="007A5CEB">
          <w:rPr>
            <w:rStyle w:val="Hyperlink"/>
            <w:rFonts w:ascii="Calibri" w:hAnsi="Calibri" w:cs="Calibri"/>
            <w:noProof/>
          </w:rPr>
          <w:t>Propostas de melhorias apresentadas pelos grupos</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_Toc208510826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147</w:t>
        </w:r>
        <w:r w:rsidR="007A5CEB" w:rsidRPr="007A5CEB">
          <w:rPr>
            <w:rFonts w:ascii="Calibri" w:hAnsi="Calibri" w:cs="Calibri"/>
            <w:noProof/>
            <w:webHidden/>
          </w:rPr>
          <w:fldChar w:fldCharType="end"/>
        </w:r>
      </w:hyperlink>
    </w:p>
    <w:p w14:paraId="37A7A69B" w14:textId="77777777" w:rsidR="007A5CEB" w:rsidRPr="007A5CEB" w:rsidRDefault="00646C91">
      <w:pPr>
        <w:pStyle w:val="Sumrio2"/>
        <w:tabs>
          <w:tab w:val="left" w:pos="720"/>
          <w:tab w:val="right" w:pos="9629"/>
        </w:tabs>
        <w:rPr>
          <w:rFonts w:ascii="Calibri" w:eastAsiaTheme="minorEastAsia" w:hAnsi="Calibri" w:cs="Calibri"/>
          <w:b w:val="0"/>
          <w:bCs w:val="0"/>
          <w:noProof/>
          <w:sz w:val="22"/>
          <w:szCs w:val="22"/>
        </w:rPr>
      </w:pPr>
      <w:hyperlink w:anchor="_Toc208510827" w:history="1">
        <w:r w:rsidR="007A5CEB" w:rsidRPr="007A5CEB">
          <w:rPr>
            <w:rStyle w:val="Hyperlink"/>
            <w:rFonts w:ascii="Calibri" w:hAnsi="Calibri" w:cs="Calibri"/>
            <w:noProof/>
          </w:rPr>
          <w:t>3.4.</w:t>
        </w:r>
        <w:r w:rsidR="007A5CEB" w:rsidRPr="007A5CEB">
          <w:rPr>
            <w:rFonts w:ascii="Calibri" w:eastAsiaTheme="minorEastAsia" w:hAnsi="Calibri" w:cs="Calibri"/>
            <w:b w:val="0"/>
            <w:bCs w:val="0"/>
            <w:noProof/>
            <w:sz w:val="22"/>
            <w:szCs w:val="22"/>
          </w:rPr>
          <w:tab/>
        </w:r>
        <w:r w:rsidR="007A5CEB" w:rsidRPr="007A5CEB">
          <w:rPr>
            <w:rStyle w:val="Hyperlink"/>
            <w:rFonts w:ascii="Calibri" w:hAnsi="Calibri" w:cs="Calibri"/>
            <w:noProof/>
          </w:rPr>
          <w:t>LICENÇA-MATERNIDADE E TRAJETÓRIA PROFISSIONAL DE SERVIDORAS DO TST E DO CSJT</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_Toc208510827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149</w:t>
        </w:r>
        <w:r w:rsidR="007A5CEB" w:rsidRPr="007A5CEB">
          <w:rPr>
            <w:rFonts w:ascii="Calibri" w:hAnsi="Calibri" w:cs="Calibri"/>
            <w:noProof/>
            <w:webHidden/>
          </w:rPr>
          <w:fldChar w:fldCharType="end"/>
        </w:r>
      </w:hyperlink>
    </w:p>
    <w:p w14:paraId="35AF6811" w14:textId="77777777" w:rsidR="007A5CEB" w:rsidRPr="007A5CEB" w:rsidRDefault="00646C91">
      <w:pPr>
        <w:pStyle w:val="Sumrio1"/>
        <w:tabs>
          <w:tab w:val="left" w:pos="480"/>
          <w:tab w:val="right" w:pos="9629"/>
        </w:tabs>
        <w:rPr>
          <w:rFonts w:ascii="Calibri" w:eastAsiaTheme="minorEastAsia" w:hAnsi="Calibri" w:cs="Calibri"/>
          <w:b w:val="0"/>
          <w:bCs w:val="0"/>
          <w:caps w:val="0"/>
          <w:noProof/>
          <w:sz w:val="22"/>
          <w:szCs w:val="22"/>
        </w:rPr>
      </w:pPr>
      <w:hyperlink w:anchor="_Toc208510828" w:history="1">
        <w:r w:rsidR="007A5CEB" w:rsidRPr="007A5CEB">
          <w:rPr>
            <w:rStyle w:val="Hyperlink"/>
            <w:rFonts w:ascii="Calibri" w:hAnsi="Calibri" w:cs="Calibri"/>
            <w:noProof/>
          </w:rPr>
          <w:t>4.</w:t>
        </w:r>
        <w:r w:rsidR="007A5CEB" w:rsidRPr="007A5CEB">
          <w:rPr>
            <w:rFonts w:ascii="Calibri" w:eastAsiaTheme="minorEastAsia" w:hAnsi="Calibri" w:cs="Calibri"/>
            <w:b w:val="0"/>
            <w:bCs w:val="0"/>
            <w:caps w:val="0"/>
            <w:noProof/>
            <w:sz w:val="22"/>
            <w:szCs w:val="22"/>
          </w:rPr>
          <w:tab/>
        </w:r>
        <w:r w:rsidR="007A5CEB" w:rsidRPr="007A5CEB">
          <w:rPr>
            <w:rStyle w:val="Hyperlink"/>
            <w:rFonts w:ascii="Calibri" w:hAnsi="Calibri" w:cs="Calibri"/>
            <w:noProof/>
          </w:rPr>
          <w:t>CONSIDERAÇÕES FINAIS</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_Toc208510828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157</w:t>
        </w:r>
        <w:r w:rsidR="007A5CEB" w:rsidRPr="007A5CEB">
          <w:rPr>
            <w:rFonts w:ascii="Calibri" w:hAnsi="Calibri" w:cs="Calibri"/>
            <w:noProof/>
            <w:webHidden/>
          </w:rPr>
          <w:fldChar w:fldCharType="end"/>
        </w:r>
      </w:hyperlink>
    </w:p>
    <w:p w14:paraId="25383343" w14:textId="77777777" w:rsidR="007A5CEB" w:rsidRPr="007A5CEB" w:rsidRDefault="00646C91">
      <w:pPr>
        <w:pStyle w:val="Sumrio1"/>
        <w:tabs>
          <w:tab w:val="left" w:pos="480"/>
          <w:tab w:val="right" w:pos="9629"/>
        </w:tabs>
        <w:rPr>
          <w:rFonts w:ascii="Calibri" w:eastAsiaTheme="minorEastAsia" w:hAnsi="Calibri" w:cs="Calibri"/>
          <w:b w:val="0"/>
          <w:bCs w:val="0"/>
          <w:caps w:val="0"/>
          <w:noProof/>
          <w:sz w:val="22"/>
          <w:szCs w:val="22"/>
        </w:rPr>
      </w:pPr>
      <w:hyperlink w:anchor="_Toc208510829" w:history="1">
        <w:r w:rsidR="007A5CEB" w:rsidRPr="007A5CEB">
          <w:rPr>
            <w:rStyle w:val="Hyperlink"/>
            <w:rFonts w:ascii="Calibri" w:hAnsi="Calibri" w:cs="Calibri"/>
            <w:noProof/>
          </w:rPr>
          <w:t>5.</w:t>
        </w:r>
        <w:r w:rsidR="007A5CEB" w:rsidRPr="007A5CEB">
          <w:rPr>
            <w:rFonts w:ascii="Calibri" w:eastAsiaTheme="minorEastAsia" w:hAnsi="Calibri" w:cs="Calibri"/>
            <w:b w:val="0"/>
            <w:bCs w:val="0"/>
            <w:caps w:val="0"/>
            <w:noProof/>
            <w:sz w:val="22"/>
            <w:szCs w:val="22"/>
          </w:rPr>
          <w:tab/>
        </w:r>
        <w:r w:rsidR="007A5CEB" w:rsidRPr="007A5CEB">
          <w:rPr>
            <w:rStyle w:val="Hyperlink"/>
            <w:rFonts w:ascii="Calibri" w:hAnsi="Calibri" w:cs="Calibri"/>
            <w:noProof/>
          </w:rPr>
          <w:t>REFERÊNCIAS</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_Toc208510829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162</w:t>
        </w:r>
        <w:r w:rsidR="007A5CEB" w:rsidRPr="007A5CEB">
          <w:rPr>
            <w:rFonts w:ascii="Calibri" w:hAnsi="Calibri" w:cs="Calibri"/>
            <w:noProof/>
            <w:webHidden/>
          </w:rPr>
          <w:fldChar w:fldCharType="end"/>
        </w:r>
      </w:hyperlink>
    </w:p>
    <w:p w14:paraId="78135812" w14:textId="77777777" w:rsidR="007A5CEB" w:rsidRPr="007A5CEB" w:rsidRDefault="00646C91">
      <w:pPr>
        <w:pStyle w:val="Sumrio1"/>
        <w:tabs>
          <w:tab w:val="left" w:pos="480"/>
          <w:tab w:val="right" w:pos="9629"/>
        </w:tabs>
        <w:rPr>
          <w:rFonts w:ascii="Calibri" w:eastAsiaTheme="minorEastAsia" w:hAnsi="Calibri" w:cs="Calibri"/>
          <w:b w:val="0"/>
          <w:bCs w:val="0"/>
          <w:caps w:val="0"/>
          <w:noProof/>
          <w:sz w:val="22"/>
          <w:szCs w:val="22"/>
        </w:rPr>
      </w:pPr>
      <w:hyperlink w:anchor="_Toc208510830" w:history="1">
        <w:r w:rsidR="007A5CEB" w:rsidRPr="007A5CEB">
          <w:rPr>
            <w:rStyle w:val="Hyperlink"/>
            <w:rFonts w:ascii="Calibri" w:hAnsi="Calibri" w:cs="Calibri"/>
            <w:noProof/>
          </w:rPr>
          <w:t>6.</w:t>
        </w:r>
        <w:r w:rsidR="007A5CEB" w:rsidRPr="007A5CEB">
          <w:rPr>
            <w:rFonts w:ascii="Calibri" w:eastAsiaTheme="minorEastAsia" w:hAnsi="Calibri" w:cs="Calibri"/>
            <w:b w:val="0"/>
            <w:bCs w:val="0"/>
            <w:caps w:val="0"/>
            <w:noProof/>
            <w:sz w:val="22"/>
            <w:szCs w:val="22"/>
          </w:rPr>
          <w:tab/>
        </w:r>
        <w:r w:rsidR="007A5CEB" w:rsidRPr="007A5CEB">
          <w:rPr>
            <w:rStyle w:val="Hyperlink"/>
            <w:rFonts w:ascii="Calibri" w:hAnsi="Calibri" w:cs="Calibri"/>
            <w:noProof/>
          </w:rPr>
          <w:t xml:space="preserve">APÊNDICE </w:t>
        </w:r>
        <w:r w:rsidR="007A5CEB" w:rsidRPr="007A5CEB">
          <w:rPr>
            <w:rStyle w:val="Hyperlink"/>
            <w:rFonts w:ascii="Calibri" w:hAnsi="Calibri" w:cs="Calibri"/>
            <w:noProof/>
            <w:highlight w:val="yellow"/>
          </w:rPr>
          <w:t>A</w:t>
        </w:r>
        <w:r w:rsidR="007A5CEB" w:rsidRPr="007A5CEB">
          <w:rPr>
            <w:rFonts w:ascii="Calibri" w:hAnsi="Calibri" w:cs="Calibri"/>
            <w:noProof/>
            <w:webHidden/>
          </w:rPr>
          <w:tab/>
        </w:r>
        <w:r w:rsidR="007A5CEB" w:rsidRPr="007A5CEB">
          <w:rPr>
            <w:rFonts w:ascii="Calibri" w:hAnsi="Calibri" w:cs="Calibri"/>
            <w:noProof/>
            <w:webHidden/>
          </w:rPr>
          <w:fldChar w:fldCharType="begin"/>
        </w:r>
        <w:r w:rsidR="007A5CEB" w:rsidRPr="007A5CEB">
          <w:rPr>
            <w:rFonts w:ascii="Calibri" w:hAnsi="Calibri" w:cs="Calibri"/>
            <w:noProof/>
            <w:webHidden/>
          </w:rPr>
          <w:instrText xml:space="preserve"> PAGEREF _Toc208510830 \h </w:instrText>
        </w:r>
        <w:r w:rsidR="007A5CEB" w:rsidRPr="007A5CEB">
          <w:rPr>
            <w:rFonts w:ascii="Calibri" w:hAnsi="Calibri" w:cs="Calibri"/>
            <w:noProof/>
            <w:webHidden/>
          </w:rPr>
        </w:r>
        <w:r w:rsidR="007A5CEB" w:rsidRPr="007A5CEB">
          <w:rPr>
            <w:rFonts w:ascii="Calibri" w:hAnsi="Calibri" w:cs="Calibri"/>
            <w:noProof/>
            <w:webHidden/>
          </w:rPr>
          <w:fldChar w:fldCharType="separate"/>
        </w:r>
        <w:r w:rsidR="00D85D1E">
          <w:rPr>
            <w:rFonts w:ascii="Calibri" w:hAnsi="Calibri" w:cs="Calibri"/>
            <w:noProof/>
            <w:webHidden/>
          </w:rPr>
          <w:t>166</w:t>
        </w:r>
        <w:r w:rsidR="007A5CEB" w:rsidRPr="007A5CEB">
          <w:rPr>
            <w:rFonts w:ascii="Calibri" w:hAnsi="Calibri" w:cs="Calibri"/>
            <w:noProof/>
            <w:webHidden/>
          </w:rPr>
          <w:fldChar w:fldCharType="end"/>
        </w:r>
      </w:hyperlink>
    </w:p>
    <w:p w14:paraId="00FDAEA0" w14:textId="357AC22B" w:rsidR="00274DA6" w:rsidRPr="000B588B" w:rsidRDefault="00E33569" w:rsidP="00C77C7B">
      <w:pPr>
        <w:rPr>
          <w:rFonts w:asciiTheme="minorHAnsi" w:hAnsiTheme="minorHAnsi" w:cstheme="minorHAnsi"/>
          <w:noProof/>
        </w:rPr>
      </w:pPr>
      <w:r w:rsidRPr="007A5CEB">
        <w:rPr>
          <w:rFonts w:ascii="Calibri" w:hAnsi="Calibri" w:cs="Calibri"/>
        </w:rPr>
        <w:fldChar w:fldCharType="end"/>
      </w:r>
    </w:p>
    <w:p w14:paraId="4345326E" w14:textId="77777777" w:rsidR="003D6E1C" w:rsidRPr="000B588B" w:rsidRDefault="003D6E1C" w:rsidP="007C40A9">
      <w:pPr>
        <w:jc w:val="center"/>
        <w:rPr>
          <w:rFonts w:asciiTheme="minorHAnsi" w:hAnsiTheme="minorHAnsi" w:cstheme="minorHAnsi"/>
          <w:noProof/>
        </w:rPr>
        <w:sectPr w:rsidR="003D6E1C" w:rsidRPr="000B588B" w:rsidSect="000B588B">
          <w:headerReference w:type="even" r:id="rId15"/>
          <w:headerReference w:type="default" r:id="rId16"/>
          <w:footerReference w:type="default" r:id="rId17"/>
          <w:type w:val="continuous"/>
          <w:pgSz w:w="11907" w:h="16840" w:code="9"/>
          <w:pgMar w:top="1134" w:right="1134" w:bottom="1134" w:left="1134" w:header="709" w:footer="709" w:gutter="0"/>
          <w:cols w:space="708"/>
          <w:docGrid w:linePitch="360"/>
        </w:sectPr>
      </w:pPr>
    </w:p>
    <w:p w14:paraId="6A77B180" w14:textId="107D7623" w:rsidR="00341927" w:rsidRPr="009A0D9E" w:rsidRDefault="00341927" w:rsidP="00341927">
      <w:pPr>
        <w:pStyle w:val="Ttulo1"/>
        <w:numPr>
          <w:ilvl w:val="0"/>
          <w:numId w:val="0"/>
        </w:numPr>
      </w:pPr>
      <w:bookmarkStart w:id="0" w:name="_Toc208510803"/>
      <w:bookmarkStart w:id="1" w:name="_Toc207370446"/>
      <w:r>
        <w:lastRenderedPageBreak/>
        <w:t>APRESENTAÇÃO</w:t>
      </w:r>
      <w:bookmarkEnd w:id="0"/>
    </w:p>
    <w:p w14:paraId="0CE17CC1" w14:textId="77777777" w:rsidR="00341927" w:rsidRPr="00341927" w:rsidRDefault="00341927" w:rsidP="00341927">
      <w:pPr>
        <w:pStyle w:val="Texto"/>
      </w:pPr>
    </w:p>
    <w:p w14:paraId="2706FF79" w14:textId="77777777" w:rsidR="00341927" w:rsidRPr="00696CE5" w:rsidRDefault="00341927" w:rsidP="00341927">
      <w:pPr>
        <w:pStyle w:val="Texto"/>
        <w:jc w:val="right"/>
        <w:rPr>
          <w:b/>
        </w:rPr>
      </w:pPr>
      <w:r w:rsidRPr="00696CE5">
        <w:rPr>
          <w:b/>
        </w:rPr>
        <w:t>Ministro Douglas Alencar Rodrigues</w:t>
      </w:r>
    </w:p>
    <w:p w14:paraId="52837F53" w14:textId="77777777" w:rsidR="00341927" w:rsidRPr="00696CE5" w:rsidRDefault="00341927" w:rsidP="00341927">
      <w:pPr>
        <w:pStyle w:val="Texto"/>
        <w:jc w:val="right"/>
      </w:pPr>
      <w:r w:rsidRPr="00696CE5">
        <w:t>Diretor do Centro de Pesquisas Judiciárias,</w:t>
      </w:r>
      <w:r w:rsidRPr="00696CE5">
        <w:br/>
        <w:t>Estatística e Ciência de Dados - CPJED</w:t>
      </w:r>
    </w:p>
    <w:p w14:paraId="417BB841" w14:textId="3829C866" w:rsidR="00341927" w:rsidRDefault="00341927" w:rsidP="00341927">
      <w:pPr>
        <w:pStyle w:val="Texto"/>
      </w:pPr>
    </w:p>
    <w:p w14:paraId="637B7D41" w14:textId="5552158C" w:rsidR="00D24B6E" w:rsidRDefault="00D24B6E" w:rsidP="00D24B6E">
      <w:pPr>
        <w:pStyle w:val="Texto"/>
      </w:pPr>
      <w:r w:rsidRPr="00D24B6E">
        <w:t>Com satisfação, apresento o relatório da “Pesquisa sobre a Participação Feminina no Tribunal Superior do Trabalho e no Conselho Superior da Justiça do Trabalho”, um estudo aprofundado e de grande relevância</w:t>
      </w:r>
      <w:r w:rsidR="00954EBC">
        <w:t xml:space="preserve">, que </w:t>
      </w:r>
      <w:r w:rsidR="00954EBC" w:rsidRPr="00D24B6E">
        <w:t xml:space="preserve">reflete o compromisso fundamental </w:t>
      </w:r>
      <w:r w:rsidR="00A142E8">
        <w:t>de</w:t>
      </w:r>
      <w:r w:rsidR="00954EBC" w:rsidRPr="00D24B6E">
        <w:t xml:space="preserve"> produzir conhecimento a partir de evidências empíricas</w:t>
      </w:r>
      <w:r w:rsidR="00A142E8">
        <w:t xml:space="preserve"> e que busca </w:t>
      </w:r>
      <w:r w:rsidR="00954EBC" w:rsidRPr="00D24B6E">
        <w:t>subsidiar a formulação de políticas judiciárias e o contínuo aprimoramento da prestação de serviços na Justiça do Trabalho.</w:t>
      </w:r>
    </w:p>
    <w:p w14:paraId="3FACD38C" w14:textId="1A3A8FC7" w:rsidR="00D24B6E" w:rsidRDefault="00954EBC" w:rsidP="00954EBC">
      <w:pPr>
        <w:pStyle w:val="Texto"/>
      </w:pPr>
      <w:r w:rsidRPr="00D24B6E">
        <w:t>Em um momento em que a equidade de gênero se firma como pilar indispensável para a legitimidade das instituições, compreender as dinâmicas que moldam a presença e a progressão profissional das mulheres em nosso ambiente é uma tarefa inadiável e estratégica.</w:t>
      </w:r>
      <w:r>
        <w:t xml:space="preserve"> Nesse contexto, o</w:t>
      </w:r>
      <w:r w:rsidR="00D24B6E" w:rsidRPr="00954EBC">
        <w:t xml:space="preserve"> estudo</w:t>
      </w:r>
      <w:r w:rsidR="00A142E8">
        <w:t>, realizado</w:t>
      </w:r>
      <w:r w:rsidR="00A142E8" w:rsidRPr="00D24B6E">
        <w:t xml:space="preserve"> pelo Centro de Pesquisas Judiciárias, Estatística e Ciência de Dados (CPJED)</w:t>
      </w:r>
      <w:r w:rsidR="00A142E8">
        <w:t>,</w:t>
      </w:r>
      <w:r w:rsidR="00D24B6E" w:rsidRPr="00954EBC">
        <w:t xml:space="preserve"> foi desenvolvido em </w:t>
      </w:r>
      <w:r w:rsidR="00D24B6E" w:rsidRPr="00954EBC">
        <w:rPr>
          <w:bCs/>
        </w:rPr>
        <w:t>conformidade com</w:t>
      </w:r>
      <w:r w:rsidR="00D24B6E" w:rsidRPr="00954EBC">
        <w:t xml:space="preserve"> as diretrizes da Resolução nº 255/2018 do Conselho Nacional de Justiça (CNJ) e do Ato Conjunto TST.CSJT.GP nº 42/2024, as quais </w:t>
      </w:r>
      <w:r w:rsidR="00D24B6E" w:rsidRPr="00954EBC">
        <w:rPr>
          <w:bCs/>
        </w:rPr>
        <w:t>preconizam</w:t>
      </w:r>
      <w:r w:rsidR="00D24B6E" w:rsidRPr="00954EBC">
        <w:t xml:space="preserve"> políticas de conscientização e valorização feminina</w:t>
      </w:r>
      <w:r w:rsidR="00A142E8">
        <w:t xml:space="preserve"> que visam</w:t>
      </w:r>
      <w:r w:rsidR="00D24B6E" w:rsidRPr="00954EBC">
        <w:rPr>
          <w:bCs/>
        </w:rPr>
        <w:t xml:space="preserve"> à criação</w:t>
      </w:r>
      <w:r w:rsidR="00D24B6E" w:rsidRPr="00954EBC">
        <w:t xml:space="preserve"> d</w:t>
      </w:r>
      <w:r w:rsidR="002D3E53">
        <w:t>e</w:t>
      </w:r>
      <w:r w:rsidR="00D24B6E" w:rsidRPr="00954EBC">
        <w:t xml:space="preserve"> ambiente institucional </w:t>
      </w:r>
      <w:r w:rsidR="002D3E53">
        <w:t>apto a assegurar</w:t>
      </w:r>
      <w:r w:rsidR="00D24B6E" w:rsidRPr="00954EBC">
        <w:t xml:space="preserve"> igualdade de gênero, </w:t>
      </w:r>
      <w:r w:rsidR="00D24B6E" w:rsidRPr="00954EBC">
        <w:rPr>
          <w:bCs/>
        </w:rPr>
        <w:t>mediante</w:t>
      </w:r>
      <w:r w:rsidR="00D24B6E" w:rsidRPr="00954EBC">
        <w:t xml:space="preserve"> a participação de mulheres</w:t>
      </w:r>
      <w:r w:rsidR="00D24B6E">
        <w:t xml:space="preserve"> em cargos de chefia e assessoramento.</w:t>
      </w:r>
    </w:p>
    <w:p w14:paraId="01257943" w14:textId="0ADB91A8" w:rsidR="00954EBC" w:rsidRDefault="00D24B6E" w:rsidP="00D24B6E">
      <w:pPr>
        <w:pStyle w:val="Texto"/>
      </w:pPr>
      <w:r>
        <w:t>Por meio de uma robusta abordagem metodológica, que incluiu desde a análise quantitativa de dados funcionais até a captação de percepções subjetivas, o relatório nos oferece um pan</w:t>
      </w:r>
      <w:r w:rsidR="00954EBC">
        <w:t>orama detalhado e multifacetado, iluminando a real dimensão da participação feminina nos espaços de assessoramento e decisão do TST e do CSJT.</w:t>
      </w:r>
    </w:p>
    <w:p w14:paraId="141D11C1" w14:textId="2433336B" w:rsidR="00C77C7B" w:rsidRDefault="00954EBC" w:rsidP="00C77C7B">
      <w:pPr>
        <w:pStyle w:val="Texto"/>
      </w:pPr>
      <w:r>
        <w:t xml:space="preserve">A pesquisa pretende </w:t>
      </w:r>
      <w:r w:rsidR="00A142E8">
        <w:t>contribuir para</w:t>
      </w:r>
      <w:r>
        <w:t xml:space="preserve"> </w:t>
      </w:r>
      <w:r w:rsidR="00A142E8">
        <w:t>atuação</w:t>
      </w:r>
      <w:r>
        <w:t xml:space="preserve"> do Comitê de Participação Feminina do Tribunal Superior do Trabalho (TST)</w:t>
      </w:r>
      <w:r w:rsidR="00374307">
        <w:t>, da Assessoria de Promoção do Trabalho Decente e dos Direitos Humanos (ASPRODEC) da Presidência do TST</w:t>
      </w:r>
      <w:r>
        <w:t xml:space="preserve"> e do Conselho Superior da Justiça do Trabalho (CSJT), oferecendo evidências para formulação de ações concretas que promovam ambientes mais inclusivos, representativos e comprometidos com a igualdade de oportunidades.</w:t>
      </w:r>
    </w:p>
    <w:p w14:paraId="33526FA2" w14:textId="09844E63" w:rsidR="00D24B6E" w:rsidRPr="00954EBC" w:rsidRDefault="00D24B6E" w:rsidP="00341927">
      <w:pPr>
        <w:pStyle w:val="Texto"/>
      </w:pPr>
      <w:r w:rsidRPr="00954EBC">
        <w:t xml:space="preserve">O diagnóstico aqui apresentado não é um ponto de chegada, mas, sim, uma valiosa ferramenta para a gestão e um convite ao diálogo qualificado. Que a leitura atenta deste relatório </w:t>
      </w:r>
      <w:r w:rsidRPr="00954EBC">
        <w:lastRenderedPageBreak/>
        <w:t xml:space="preserve">inspire em todo o </w:t>
      </w:r>
      <w:r w:rsidRPr="00954EBC">
        <w:rPr>
          <w:bCs/>
        </w:rPr>
        <w:t>corpo funcional</w:t>
      </w:r>
      <w:r w:rsidRPr="00954EBC">
        <w:t xml:space="preserve"> do TST e do CSJT, em especial nos gestores e líderes, uma reflexão aprofundada e, acima de tudo, ações concretas para a construção de uma Justiça do Trabalho cada vez mais inclusiva, representativa e justa para </w:t>
      </w:r>
      <w:r w:rsidRPr="00954EBC">
        <w:rPr>
          <w:bCs/>
        </w:rPr>
        <w:t>todos</w:t>
      </w:r>
      <w:r w:rsidRPr="00954EBC">
        <w:t>.</w:t>
      </w:r>
    </w:p>
    <w:p w14:paraId="33BFE330" w14:textId="77777777" w:rsidR="00D24B6E" w:rsidRPr="00696CE5" w:rsidRDefault="00D24B6E" w:rsidP="00341927">
      <w:pPr>
        <w:pStyle w:val="Texto"/>
        <w:rPr>
          <w:rStyle w:val="ng-star-inserted1"/>
        </w:rPr>
      </w:pPr>
    </w:p>
    <w:p w14:paraId="4DA4094C" w14:textId="504B38AC" w:rsidR="00341927" w:rsidRPr="00696CE5" w:rsidRDefault="00341927" w:rsidP="00341927">
      <w:pPr>
        <w:pStyle w:val="Texto"/>
        <w:rPr>
          <w:rStyle w:val="ng-star-inserted1"/>
        </w:rPr>
      </w:pPr>
      <w:r w:rsidRPr="00696CE5">
        <w:rPr>
          <w:rStyle w:val="ng-star-inserted1"/>
        </w:rPr>
        <w:t xml:space="preserve">Brasília, </w:t>
      </w:r>
      <w:r>
        <w:rPr>
          <w:rStyle w:val="ng-star-inserted1"/>
        </w:rPr>
        <w:t>15</w:t>
      </w:r>
      <w:r w:rsidRPr="00696CE5">
        <w:rPr>
          <w:rStyle w:val="ng-star-inserted1"/>
        </w:rPr>
        <w:t xml:space="preserve"> de </w:t>
      </w:r>
      <w:r>
        <w:rPr>
          <w:rStyle w:val="ng-star-inserted1"/>
        </w:rPr>
        <w:t>setembro</w:t>
      </w:r>
      <w:r w:rsidRPr="00696CE5">
        <w:rPr>
          <w:rStyle w:val="ng-star-inserted1"/>
        </w:rPr>
        <w:t xml:space="preserve"> de 2025.</w:t>
      </w:r>
    </w:p>
    <w:p w14:paraId="42EE2289" w14:textId="44AFBDB5" w:rsidR="00341927" w:rsidRDefault="00341927">
      <w:pPr>
        <w:rPr>
          <w:rFonts w:asciiTheme="minorHAnsi" w:hAnsiTheme="minorHAnsi" w:cstheme="minorHAnsi"/>
          <w:noProof/>
        </w:rPr>
      </w:pPr>
      <w:r>
        <w:br w:type="page"/>
      </w:r>
    </w:p>
    <w:p w14:paraId="585260B5" w14:textId="1C37C9EC" w:rsidR="00347CBD" w:rsidRPr="009A0D9E" w:rsidRDefault="00347CBD" w:rsidP="009A0D9E">
      <w:pPr>
        <w:pStyle w:val="Ttulo1"/>
      </w:pPr>
      <w:bookmarkStart w:id="2" w:name="_Toc208510804"/>
      <w:r w:rsidRPr="009A0D9E">
        <w:lastRenderedPageBreak/>
        <w:t>INTRODUÇÃO</w:t>
      </w:r>
      <w:bookmarkEnd w:id="1"/>
      <w:bookmarkEnd w:id="2"/>
    </w:p>
    <w:p w14:paraId="639BDF1E" w14:textId="77777777" w:rsidR="00347CBD" w:rsidRDefault="00347CBD" w:rsidP="008B3EFF">
      <w:pPr>
        <w:pStyle w:val="Texto"/>
      </w:pPr>
    </w:p>
    <w:p w14:paraId="7BAB647C" w14:textId="7FADE1BC" w:rsidR="00B61A91" w:rsidRDefault="00B61A91" w:rsidP="008B3EFF">
      <w:pPr>
        <w:pStyle w:val="Texto"/>
      </w:pPr>
      <w:r w:rsidRPr="00B61A91">
        <w:t>A equidade de gênero é essencial para uma sociedade justa e democrática, constituindo</w:t>
      </w:r>
      <w:r w:rsidR="003A393A">
        <w:t>-se</w:t>
      </w:r>
      <w:r w:rsidRPr="00B61A91">
        <w:t xml:space="preserve"> direito fundamental assegurado pelo artigo 5º, inciso I, da Constituição de 1988</w:t>
      </w:r>
      <w:r w:rsidRPr="00B61A91">
        <w:rPr>
          <w:rStyle w:val="Refdenotaderodap"/>
        </w:rPr>
        <w:footnoteReference w:id="1"/>
      </w:r>
      <w:r w:rsidRPr="00B61A91">
        <w:t xml:space="preserve">. Esse dispositivo garante a igualdade de direitos e obrigações entre homens e mulheres, </w:t>
      </w:r>
      <w:r w:rsidR="003A393A">
        <w:t>o que exige</w:t>
      </w:r>
      <w:r w:rsidRPr="00B61A91">
        <w:t xml:space="preserve"> tratamento isonômico que assegure igualdade de oportunidades e possibilite o pleno desenvolvimento das mulheres e o bem-estar de todos. </w:t>
      </w:r>
    </w:p>
    <w:p w14:paraId="14A99FB8" w14:textId="72E5097E" w:rsidR="008E4B36" w:rsidRPr="00B61A91" w:rsidRDefault="008E4B36" w:rsidP="008B3EFF">
      <w:pPr>
        <w:pStyle w:val="Texto"/>
      </w:pPr>
      <w:r w:rsidRPr="003A393A">
        <w:t>A isonomia, prevista constitucionalmente, não significa tratar todos de maneira idêntica, mas sim reconhecer diferenças históricas e sociais que colocam determinados grupos em situação de desvantagem. Por isso, o princípio da igualdade material exige a adoção de medidas diferenciadas para que se alcance, de fato, a equiparação de condições e oportunidades. Assim, o tratamento diferenciado deixa de ser privilégio para se tornar instrumento de justiça, assegurando que homens e mulheres possam exercer seus direitos em bases equânimes e participar</w:t>
      </w:r>
      <w:r w:rsidR="003A393A" w:rsidRPr="003A393A">
        <w:t xml:space="preserve"> </w:t>
      </w:r>
      <w:r w:rsidRPr="003A393A">
        <w:t>plenamente da vida social, econômica e política.</w:t>
      </w:r>
    </w:p>
    <w:p w14:paraId="793ADA43" w14:textId="6D78AE6F" w:rsidR="00B61A91" w:rsidRDefault="00B61A91" w:rsidP="008B3EFF">
      <w:pPr>
        <w:pStyle w:val="Texto"/>
      </w:pPr>
      <w:r w:rsidRPr="00B61A91">
        <w:t>A Agenda 2030 da Organização das Nações Unidas (ONU)</w:t>
      </w:r>
      <w:r w:rsidRPr="00B61A91">
        <w:rPr>
          <w:rStyle w:val="Refdenotaderodap"/>
        </w:rPr>
        <w:footnoteReference w:id="2"/>
      </w:r>
      <w:r w:rsidRPr="00B61A91">
        <w:t xml:space="preserve"> também inclui a igualdade de gênero e o empoderamento feminino como um dos seus Objetivos de Desenvolvimento Sustentável (ODS 5), </w:t>
      </w:r>
      <w:r w:rsidR="003A393A">
        <w:t>a qual tem como uma de suas metas</w:t>
      </w:r>
      <w:r w:rsidRPr="00B61A91">
        <w:t xml:space="preserve"> garantir a participação plena e efetiva das mulheres e a igualdade de oportunidades para a liderança em todos os níveis de tomada de decisão na vida política, econômica e pública.</w:t>
      </w:r>
    </w:p>
    <w:p w14:paraId="074637DE" w14:textId="75F41427" w:rsidR="00CA6678" w:rsidRDefault="00CA6678" w:rsidP="008B3EFF">
      <w:pPr>
        <w:pStyle w:val="Texto"/>
      </w:pPr>
      <w:r w:rsidRPr="003A393A">
        <w:t xml:space="preserve">Esse compromisso global de promoção da igualdade de gênero dialoga diretamente com outros instrumentos internacionais elaborados pela própria ONU, que desde a segunda metade do século XX vem consolidando convenções e acordos voltados à garantia dos direitos das mulheres. A Organização das Nações Unidas tem desempenhado papel central na promoção dos direitos humanos das mulheres, por meio da negociação de compromissos e tratados internacionais, entre os quais se destaca a Convenção sobre a Eliminação de Todas as Formas de Discriminação contra a Mulher (CEDAW). Dentre as recomendações previstas, ressalta-se a necessidade de que os Estados-partes </w:t>
      </w:r>
      <w:r w:rsidR="003A393A">
        <w:t xml:space="preserve">implementem políticas públicas voltadas ao aumento da presença feminina em </w:t>
      </w:r>
      <w:r w:rsidR="003A393A">
        <w:lastRenderedPageBreak/>
        <w:t>espaços de representação e decisão — como cargos e funções públicas em todas as esferas governamentais — e à garantia de sua participação na vida pública e política do país, conforme dispõe o artigo 7º da CEDAW</w:t>
      </w:r>
      <w:r w:rsidRPr="003A393A">
        <w:rPr>
          <w:rStyle w:val="Refdenotaderodap"/>
        </w:rPr>
        <w:footnoteReference w:id="3"/>
      </w:r>
      <w:r w:rsidRPr="003A393A">
        <w:t>.</w:t>
      </w:r>
    </w:p>
    <w:p w14:paraId="61D427DC" w14:textId="2FB613AE" w:rsidR="00B61A91" w:rsidRDefault="00B61A91" w:rsidP="008B3EFF">
      <w:pPr>
        <w:pStyle w:val="Texto"/>
      </w:pPr>
      <w:r w:rsidRPr="00B61A91">
        <w:t>A participação feminina no setor público - e, particularmente</w:t>
      </w:r>
      <w:r w:rsidR="003A393A">
        <w:t>,</w:t>
      </w:r>
      <w:r w:rsidRPr="00B61A91">
        <w:t xml:space="preserve"> no Poder Judiciário - é fundamental não apenas para o cumprimento de preceitos constitucionais e de compromissos internacionais, mas também por seu caráter estratégico, dados os impactos positivos na qualidade da prestação jurisdicional e no desempenho das organizações públicas. A presença de mulheres em cargos de liderança, ao incorporar diferentes perspectivas na tomada de decisão, fortalece a democracia, aprimora a governança e contribui para resultados mais qualificados.</w:t>
      </w:r>
      <w:r w:rsidRPr="00B61A91">
        <w:rPr>
          <w:rStyle w:val="Refdenotaderodap"/>
        </w:rPr>
        <w:footnoteReference w:id="4"/>
      </w:r>
    </w:p>
    <w:p w14:paraId="28EEE9D8" w14:textId="04BB672D" w:rsidR="003A393A" w:rsidRDefault="003A393A" w:rsidP="008B3EFF">
      <w:pPr>
        <w:pStyle w:val="Texto"/>
      </w:pPr>
      <w:r>
        <w:t>Nesse sentido, o Conselho Nacional de Justiça tem instituído políticas específicas com o propósito de estimular a participação feminina no Poder Judiciário. Um marco inicial foi a Resolução nº 255/2018</w:t>
      </w:r>
      <w:r w:rsidRPr="00CD64A3">
        <w:rPr>
          <w:rStyle w:val="Refdenotaderodap"/>
        </w:rPr>
        <w:footnoteReference w:id="5"/>
      </w:r>
      <w:r>
        <w:t>, que estabeleceu a Política Nacional de Incentivo à Participação Institucional Feminina, determinando que os órgãos judiciários buscassem medidas para assegurar a igualdade de gênero, por meio da promoção de diretrizes e mecanismos que incentivassem a atuação de mulheres em cargos de chefia e assessoramento. Por sua vez, a Resolução nº 492/2023</w:t>
      </w:r>
      <w:r w:rsidRPr="00CD64A3">
        <w:rPr>
          <w:rStyle w:val="Refdenotaderodap"/>
        </w:rPr>
        <w:footnoteReference w:id="6"/>
      </w:r>
      <w:r>
        <w:t xml:space="preserve"> aprofundou essa diretriz ao determinar a adoção da perspectiva de gênero nos julgamentos, instituindo a obrigatoriedade de capacitação de magistrados e magistradas em matérias de direitos humanos, gênero, raça e etnia sob uma ótica interseccional, além de criar o Comitê de Incentivo à Participação Feminina no Poder Judiciário, com o claro propósito de ampliar a representatividade de mulheres em espaços de poder e à eliminação de barreiras estruturais de </w:t>
      </w:r>
      <w:r>
        <w:lastRenderedPageBreak/>
        <w:t>desigualdade. Finalmente, a Resolução nº 525/2023</w:t>
      </w:r>
      <w:r>
        <w:rPr>
          <w:rStyle w:val="Refdenotaderodap"/>
        </w:rPr>
        <w:footnoteReference w:id="7"/>
      </w:r>
      <w:r>
        <w:t xml:space="preserve"> instituiu uma ação afirmativa de gênero para o acesso das magistradas aos tribunais de 2º grau. Este mesmo movimento de conscientização sobre o equilíbrio de oportunidades entre homens e mulheres, de estímulo a políticas de valorização da mulher e da necessidade de sua participação em cargos de liderança e gestão é igualmente promovido no âmbito do Tribunal Superior do Trabalho e do Conselho Superior da Justiça do Trabalho (Ato Conjunto TST.CSJT.GP nº 42/24)</w:t>
      </w:r>
      <w:r w:rsidRPr="003A393A">
        <w:rPr>
          <w:rStyle w:val="Refdenotaderodap"/>
        </w:rPr>
        <w:t xml:space="preserve"> </w:t>
      </w:r>
      <w:r>
        <w:rPr>
          <w:rStyle w:val="Refdenotaderodap"/>
        </w:rPr>
        <w:footnoteReference w:id="8"/>
      </w:r>
      <w:r>
        <w:t>.</w:t>
      </w:r>
    </w:p>
    <w:p w14:paraId="5E37B085" w14:textId="64873F68" w:rsidR="00D868AB" w:rsidRDefault="00583D79" w:rsidP="008B3EFF">
      <w:pPr>
        <w:pStyle w:val="Texto"/>
      </w:pPr>
      <w:r>
        <w:t>Dados</w:t>
      </w:r>
      <w:r w:rsidR="00D868AB" w:rsidRPr="00B61A91">
        <w:t xml:space="preserve"> do Painel do Conselho Nacional de Justiça (CNJ), de junho de 2025</w:t>
      </w:r>
      <w:r w:rsidR="00D868AB" w:rsidRPr="00B61A91">
        <w:rPr>
          <w:vertAlign w:val="superscript"/>
        </w:rPr>
        <w:footnoteReference w:id="9"/>
      </w:r>
      <w:r w:rsidR="00D868AB">
        <w:t>,</w:t>
      </w:r>
      <w:r>
        <w:t xml:space="preserve"> apontam que</w:t>
      </w:r>
      <w:r w:rsidR="00D868AB">
        <w:t xml:space="preserve"> as mulheres representam 54,8% </w:t>
      </w:r>
      <w:r w:rsidR="00AE5260">
        <w:t>do total de</w:t>
      </w:r>
      <w:r w:rsidR="00D868AB">
        <w:t xml:space="preserve"> servidores do Poder Judiciário</w:t>
      </w:r>
      <w:r w:rsidR="008106E7">
        <w:t xml:space="preserve"> e ocupam</w:t>
      </w:r>
      <w:r w:rsidR="00D868AB" w:rsidRPr="00B61A91">
        <w:t xml:space="preserve"> 58,4% dos cargos em comissão ou funções comiss</w:t>
      </w:r>
      <w:r w:rsidR="008106E7">
        <w:t xml:space="preserve">ionadas. </w:t>
      </w:r>
      <w:r w:rsidR="00AE5260">
        <w:t>C</w:t>
      </w:r>
      <w:r w:rsidR="00D868AB">
        <w:t xml:space="preserve">onsiderando que as mulheres </w:t>
      </w:r>
      <w:r w:rsidR="008106E7">
        <w:t xml:space="preserve">correspondem a </w:t>
      </w:r>
      <w:r w:rsidR="00B61A91" w:rsidRPr="00B61A91">
        <w:t>51,5% da população brasileira</w:t>
      </w:r>
      <w:r w:rsidR="00B61A91" w:rsidRPr="00B61A91">
        <w:rPr>
          <w:rStyle w:val="Refdenotaderodap"/>
        </w:rPr>
        <w:footnoteReference w:id="10"/>
      </w:r>
      <w:r w:rsidR="00AE5260">
        <w:t xml:space="preserve">, observa-se um </w:t>
      </w:r>
      <w:r>
        <w:t>cenário</w:t>
      </w:r>
      <w:r w:rsidR="00AE5260">
        <w:t xml:space="preserve"> positivo </w:t>
      </w:r>
      <w:r>
        <w:t>d</w:t>
      </w:r>
      <w:r w:rsidR="008106E7">
        <w:t>e</w:t>
      </w:r>
      <w:r>
        <w:t xml:space="preserve"> participação feminina no corpo de servidores</w:t>
      </w:r>
      <w:r w:rsidR="008106E7">
        <w:t xml:space="preserve"> do Judiciário</w:t>
      </w:r>
      <w:r>
        <w:t xml:space="preserve">, </w:t>
      </w:r>
      <w:r w:rsidR="00757B34">
        <w:t>em constraste</w:t>
      </w:r>
      <w:r w:rsidR="00AE5260">
        <w:t xml:space="preserve"> com a sub</w:t>
      </w:r>
      <w:r>
        <w:t>-</w:t>
      </w:r>
      <w:r w:rsidR="00AE5260">
        <w:t>representação</w:t>
      </w:r>
      <w:r>
        <w:t xml:space="preserve"> das mulheres</w:t>
      </w:r>
      <w:r w:rsidR="00AE5260">
        <w:t xml:space="preserve"> </w:t>
      </w:r>
      <w:r w:rsidR="008D745C">
        <w:t xml:space="preserve">verificada </w:t>
      </w:r>
      <w:r>
        <w:t xml:space="preserve">na magistratura </w:t>
      </w:r>
      <w:r w:rsidR="008D745C">
        <w:t xml:space="preserve">em que apenas </w:t>
      </w:r>
      <w:r w:rsidR="00D868AB">
        <w:t>39,6%</w:t>
      </w:r>
      <w:r w:rsidR="008D745C">
        <w:t xml:space="preserve"> dos cargos são ocupados por mulehres</w:t>
      </w:r>
      <w:r w:rsidR="00D868AB">
        <w:t>.</w:t>
      </w:r>
      <w:r w:rsidR="008D745C">
        <w:t xml:space="preserve"> No âmbito específico da Justiça do Trabalho</w:t>
      </w:r>
      <w:r w:rsidR="00AC4C5A">
        <w:rPr>
          <w:rStyle w:val="Refdenotaderodap"/>
        </w:rPr>
        <w:footnoteReference w:id="11"/>
      </w:r>
      <w:r w:rsidR="00AC4C5A">
        <w:t xml:space="preserve">, </w:t>
      </w:r>
      <w:r w:rsidR="008106E7">
        <w:t xml:space="preserve">as mulheres </w:t>
      </w:r>
      <w:r w:rsidR="00757B34">
        <w:t>compõem</w:t>
      </w:r>
      <w:r w:rsidR="008106E7">
        <w:t xml:space="preserve"> 50,2% do quadro de servidores e</w:t>
      </w:r>
      <w:r w:rsidR="008D745C">
        <w:t xml:space="preserve"> alcançam</w:t>
      </w:r>
      <w:r w:rsidR="008106E7">
        <w:t xml:space="preserve"> 48,5% do</w:t>
      </w:r>
      <w:r w:rsidR="008D745C">
        <w:t>s</w:t>
      </w:r>
      <w:r w:rsidR="008106E7">
        <w:t xml:space="preserve"> </w:t>
      </w:r>
      <w:r w:rsidR="008D745C">
        <w:t>cargos destinados às magistratura</w:t>
      </w:r>
      <w:r w:rsidR="008106E7">
        <w:t>.</w:t>
      </w:r>
      <w:r w:rsidR="008106E7">
        <w:rPr>
          <w:rStyle w:val="Refdenotaderodap"/>
        </w:rPr>
        <w:footnoteReference w:id="12"/>
      </w:r>
      <w:r w:rsidR="008D745C">
        <w:t xml:space="preserve"> No que se refere ao Tribunal Superior do Trabalho (TST) e ao Conselho Superior da Justiça do Trabalho (CSJT), levantamento realizado em abril de 2025</w:t>
      </w:r>
      <w:r w:rsidR="008D745C">
        <w:rPr>
          <w:rStyle w:val="Refdenotaderodap"/>
        </w:rPr>
        <w:footnoteReference w:id="13"/>
      </w:r>
      <w:r w:rsidR="008D745C">
        <w:t xml:space="preserve"> pela Coordenadoria de Informações Funcionais (CIF) do TST, mostra que, de um total de 2.606 servidores, 53,2% são mulheres.</w:t>
      </w:r>
    </w:p>
    <w:p w14:paraId="325C8414" w14:textId="314DB85F" w:rsidR="008D745C" w:rsidRDefault="008D745C" w:rsidP="008B3EFF">
      <w:pPr>
        <w:pStyle w:val="Texto"/>
      </w:pPr>
      <w:r>
        <w:lastRenderedPageBreak/>
        <w:t>O presente relatório apresenta os resultados da pesquisa realizada pelo Centro de Pesquisa Judiciária, Estatística e Ciência de Dados (CEPJED), que se debruça sobre a participação feminina no Tribunal Superior do Trabalho (TST) e no Conselho Superior da Justiça do Trabalho (CSJT). O estudo foi elaborado em alinhamento com as diretrizes da Resolução nº 255/2018 do CNJ</w:t>
      </w:r>
      <w:r w:rsidRPr="00B61A91">
        <w:rPr>
          <w:rStyle w:val="Refdenotaderodap"/>
        </w:rPr>
        <w:footnoteReference w:id="14"/>
      </w:r>
      <w:r>
        <w:t xml:space="preserve"> e Ato Conjunto TST.CSJT.GP nº 42/24,</w:t>
      </w:r>
      <w:r>
        <w:rPr>
          <w:rStyle w:val="Refdenotaderodap"/>
        </w:rPr>
        <w:footnoteReference w:id="15"/>
      </w:r>
      <w:r>
        <w:t xml:space="preserve"> que estabelecem a implementação de ações afirmativas e políticas internas voltadas à promoção da equidade de gênero no Poder Judiciário.</w:t>
      </w:r>
    </w:p>
    <w:p w14:paraId="78FBFA18" w14:textId="5EB56018" w:rsidR="00B61A91" w:rsidRDefault="008D745C" w:rsidP="008B3EFF">
      <w:pPr>
        <w:pStyle w:val="Texto"/>
      </w:pPr>
      <w:r>
        <w:t>Nesse cenário, os dados e as análises contidos neste documento têm como objetivo precípuo subsidiar o Comitê de Participação Feminina do TST e do CSJT na formulação e execução de suas ações e políticas. Ademais, as considerações e recomendações aqui apresentadas têm o propósito de oferecer suporte em relação ao tema a diversas áreas, em especial à Assessoria de Promoção do Trabalho Decente e dos Direitos Humanos (ASPRODEC) da Presidência do TST, que solicitou a elaboração de um estudo capaz de responder aos seguintes questionamentos:</w:t>
      </w:r>
    </w:p>
    <w:p w14:paraId="6F3452C8" w14:textId="77777777" w:rsidR="008D745C" w:rsidRPr="00B61A91" w:rsidRDefault="008D745C" w:rsidP="008B3EFF">
      <w:pPr>
        <w:pStyle w:val="Texto"/>
      </w:pPr>
    </w:p>
    <w:p w14:paraId="75B65B2F" w14:textId="77777777" w:rsidR="00B61A91" w:rsidRPr="00B61A91" w:rsidRDefault="00B61A91" w:rsidP="00C5041C">
      <w:pPr>
        <w:pStyle w:val="Texto"/>
        <w:numPr>
          <w:ilvl w:val="0"/>
          <w:numId w:val="1"/>
        </w:numPr>
      </w:pPr>
      <w:r w:rsidRPr="00B61A91">
        <w:t>Em termos percentuais, qual o quantitativo de mulheres em cargos de gestão e em espaços de decisão institucional (comitês, comissões, grupos de trabalho etc)? Há alteração desse percentual à medida que o espaço decisório sobe na escala hierárquica do TST e do CSJT? Em havendo uma alteração significativa desse quantitativo com a subida da escala hierárquica e de poder, é possível mapear as causas do fenômeno?</w:t>
      </w:r>
    </w:p>
    <w:p w14:paraId="6FD50CA3" w14:textId="77777777" w:rsidR="00B61A91" w:rsidRPr="00B61A91" w:rsidRDefault="00B61A91" w:rsidP="00C5041C">
      <w:pPr>
        <w:pStyle w:val="Texto"/>
        <w:numPr>
          <w:ilvl w:val="0"/>
          <w:numId w:val="1"/>
        </w:numPr>
      </w:pPr>
      <w:r w:rsidRPr="00B61A91">
        <w:t>É possível estabelecer alguma relação entre o tipo de chefia (natureza do setor) e o gênero?</w:t>
      </w:r>
    </w:p>
    <w:p w14:paraId="5B52BF13" w14:textId="77777777" w:rsidR="00B61A91" w:rsidRPr="00B61A91" w:rsidRDefault="00B61A91" w:rsidP="00C5041C">
      <w:pPr>
        <w:pStyle w:val="Texto"/>
        <w:numPr>
          <w:ilvl w:val="0"/>
          <w:numId w:val="1"/>
        </w:numPr>
      </w:pPr>
      <w:r w:rsidRPr="00B61A91">
        <w:t>Existem fatores externos ao trabalho (família, filhos, trabalho de cuidado, criação, cultura) que interferem no percentual da participação feminina no TST/CSJT?</w:t>
      </w:r>
    </w:p>
    <w:p w14:paraId="0A5BA099" w14:textId="20C40817" w:rsidR="00B61A91" w:rsidRDefault="00B61A91" w:rsidP="00C5041C">
      <w:pPr>
        <w:pStyle w:val="Texto"/>
        <w:numPr>
          <w:ilvl w:val="0"/>
          <w:numId w:val="1"/>
        </w:numPr>
      </w:pPr>
      <w:r w:rsidRPr="00B61A91">
        <w:t>É possível estabelecer alguma relação entre a participação feminina no TST/CSJT e as diferentes gerações de servidoras (X, Y, Z etc)?</w:t>
      </w:r>
    </w:p>
    <w:p w14:paraId="4558A93C" w14:textId="77777777" w:rsidR="008D745C" w:rsidRPr="00B61A91" w:rsidRDefault="008D745C" w:rsidP="008D745C">
      <w:pPr>
        <w:pStyle w:val="Texto"/>
        <w:ind w:left="928" w:firstLine="0"/>
      </w:pPr>
    </w:p>
    <w:p w14:paraId="5DD970E6" w14:textId="6BE5BE1E" w:rsidR="00197B3C" w:rsidRDefault="00B61A91" w:rsidP="008B3EFF">
      <w:pPr>
        <w:pStyle w:val="Texto"/>
      </w:pPr>
      <w:r w:rsidRPr="00B61A91">
        <w:lastRenderedPageBreak/>
        <w:t xml:space="preserve">Devido a limitações de tempo e de recursos, </w:t>
      </w:r>
      <w:r w:rsidR="00840312">
        <w:t>esta pesquisa</w:t>
      </w:r>
      <w:r w:rsidRPr="00B61A91">
        <w:t xml:space="preserve"> não contempla todas as dimensões necessárias para responder integralmente aos questionamentos propostos. </w:t>
      </w:r>
      <w:r w:rsidR="00840312">
        <w:t xml:space="preserve">Assim, a análise </w:t>
      </w:r>
      <w:r w:rsidRPr="00B61A91">
        <w:t xml:space="preserve">apresentada concentra-se no exame de dados quantitativos sobre a </w:t>
      </w:r>
      <w:r w:rsidR="00840312">
        <w:t>representatividade de mulheres</w:t>
      </w:r>
      <w:r w:rsidRPr="00B61A91">
        <w:t xml:space="preserve"> em cargos de</w:t>
      </w:r>
      <w:r w:rsidR="00A4744B">
        <w:t xml:space="preserve"> assessoramento,</w:t>
      </w:r>
      <w:r w:rsidRPr="00B61A91">
        <w:t xml:space="preserve"> gestão e liderança no TST e no CSJT, bem </w:t>
      </w:r>
      <w:r w:rsidR="00840312">
        <w:t>como na compreensão de como a</w:t>
      </w:r>
      <w:r w:rsidRPr="00B61A91">
        <w:t xml:space="preserve"> participação </w:t>
      </w:r>
      <w:r w:rsidR="00840312">
        <w:t xml:space="preserve">feminina </w:t>
      </w:r>
      <w:r w:rsidRPr="00B61A91">
        <w:t>tem sido percebida internamente. Para uma abordagem mais abrangente e explicativa, seria necessário adotar uma estratégia metodológica multidimensional, que combinasse diferentes métodos de pesquisa - quantitativos e qualitativos -, de modo a permitir a identificação de fatores causais relacio</w:t>
      </w:r>
      <w:r w:rsidR="00197B3C">
        <w:t>nados aos fenômenos observados.</w:t>
      </w:r>
    </w:p>
    <w:p w14:paraId="65931854" w14:textId="77777777" w:rsidR="00A4744B" w:rsidRPr="00A4744B" w:rsidRDefault="00A4744B" w:rsidP="00A4744B">
      <w:pPr>
        <w:pStyle w:val="Texto"/>
      </w:pPr>
      <w:r w:rsidRPr="00A4744B">
        <w:t>Nesse sentido, a presente pesquisa, de natureza exploratória e descritiva, tem por escopo a identificação de tendências e padrões no que tange à participação feminina no TST e no CSJT, a fim de oferecer um ponto de partida para o aprimoramento das políticas institucionais.</w:t>
      </w:r>
    </w:p>
    <w:p w14:paraId="57192DE6" w14:textId="77777777" w:rsidR="00A4744B" w:rsidRPr="00A4744B" w:rsidRDefault="00A4744B" w:rsidP="00A4744B">
      <w:pPr>
        <w:pStyle w:val="Texto"/>
      </w:pPr>
      <w:r w:rsidRPr="00A4744B">
        <w:t>Para tanto, este relatório debruça-se sobre os seguintes eixos temáticos: (1) o diagnóstico do quadro atual de participação feminina no TST e no CSJT; (2) os resultados do questionário “Pesquisa de Percepção sobre a Participação Feminina no TST e no CSJT”, elaborado e aplicado pela Secretaria de Pesquisa Judiciária, Estatística e Ciência de Dados em março de 2025; (3) os resultados obtidos a partir dos encontros “Diálogos que transformam - Vozes Femininas: acolhimento e conexão”, promovidos pela Coordenadoria de Desenvolvimento de Pessoas do TST (CDEP); e (4) a análise da trajetória profissional das servidoras do TST e do CSJT que usufruíram de licença-maternidade nos últimos cinco anos.</w:t>
      </w:r>
    </w:p>
    <w:p w14:paraId="391A8F90" w14:textId="4B02589C" w:rsidR="00C74449" w:rsidRPr="00347CBD" w:rsidRDefault="00C74449" w:rsidP="00CA10A0">
      <w:pPr>
        <w:pStyle w:val="Texto"/>
      </w:pPr>
      <w:r w:rsidRPr="00347CBD">
        <w:br w:type="page"/>
      </w:r>
    </w:p>
    <w:p w14:paraId="37EC6C06" w14:textId="62749518" w:rsidR="00726867" w:rsidRPr="009A0D9E" w:rsidRDefault="00726867" w:rsidP="009A0D9E">
      <w:pPr>
        <w:pStyle w:val="Ttulo1"/>
      </w:pPr>
      <w:bookmarkStart w:id="3" w:name="_Toc207370447"/>
      <w:bookmarkStart w:id="4" w:name="_Toc208510805"/>
      <w:r w:rsidRPr="009A0D9E">
        <w:lastRenderedPageBreak/>
        <w:t>METODOLOGIA</w:t>
      </w:r>
      <w:bookmarkEnd w:id="3"/>
      <w:bookmarkEnd w:id="4"/>
    </w:p>
    <w:p w14:paraId="3B23B205" w14:textId="77777777" w:rsidR="00DD69CB" w:rsidRPr="00341927" w:rsidRDefault="00DD69CB" w:rsidP="00341927">
      <w:pPr>
        <w:pStyle w:val="Texto"/>
      </w:pPr>
    </w:p>
    <w:p w14:paraId="4509D453" w14:textId="5C34343A" w:rsidR="00102A72" w:rsidRPr="00341927" w:rsidRDefault="00DD69CB" w:rsidP="00341927">
      <w:pPr>
        <w:pStyle w:val="Texto"/>
      </w:pPr>
      <w:r w:rsidRPr="00341927">
        <w:t>Este estudo adot</w:t>
      </w:r>
      <w:r w:rsidR="00D42347" w:rsidRPr="00341927">
        <w:t>ou</w:t>
      </w:r>
      <w:r w:rsidRPr="00341927">
        <w:t xml:space="preserve"> diferentes métodos de pesquisa para compreender</w:t>
      </w:r>
      <w:r w:rsidR="004229CA" w:rsidRPr="00341927">
        <w:t>,</w:t>
      </w:r>
      <w:r w:rsidRPr="00341927">
        <w:t xml:space="preserve"> de forma</w:t>
      </w:r>
      <w:r w:rsidR="004229CA" w:rsidRPr="00341927">
        <w:t xml:space="preserve"> mais ampla,</w:t>
      </w:r>
      <w:r w:rsidRPr="00341927">
        <w:t xml:space="preserve"> a participação feminina no TST e no CSJT. A </w:t>
      </w:r>
      <w:r w:rsidR="004229CA" w:rsidRPr="00341927">
        <w:t>investigação</w:t>
      </w:r>
      <w:r w:rsidRPr="00341927">
        <w:t xml:space="preserve"> </w:t>
      </w:r>
      <w:r w:rsidR="00197B3C" w:rsidRPr="00341927">
        <w:t>abrange</w:t>
      </w:r>
      <w:r w:rsidRPr="00341927">
        <w:t xml:space="preserve"> </w:t>
      </w:r>
      <w:r w:rsidR="004229CA" w:rsidRPr="00341927">
        <w:t xml:space="preserve">a </w:t>
      </w:r>
      <w:r w:rsidRPr="00341927">
        <w:t xml:space="preserve">análise </w:t>
      </w:r>
      <w:r w:rsidR="004229CA" w:rsidRPr="00341927">
        <w:t>da</w:t>
      </w:r>
      <w:r w:rsidR="004615F0" w:rsidRPr="00341927">
        <w:t xml:space="preserve"> distribuição de mulheres em cargos de</w:t>
      </w:r>
      <w:r w:rsidR="00A4744B">
        <w:t xml:space="preserve"> assessoramento,</w:t>
      </w:r>
      <w:r w:rsidR="004615F0" w:rsidRPr="00341927">
        <w:t xml:space="preserve"> gestão e liderança</w:t>
      </w:r>
      <w:r w:rsidR="00197B3C" w:rsidRPr="00341927">
        <w:t>, além da avaliação dos resultados obtidos por meio da</w:t>
      </w:r>
      <w:r w:rsidRPr="00341927">
        <w:t xml:space="preserve"> aplicação de </w:t>
      </w:r>
      <w:r w:rsidR="004615F0" w:rsidRPr="00341927">
        <w:t>um questionário</w:t>
      </w:r>
      <w:r w:rsidRPr="00341927">
        <w:t xml:space="preserve"> direcionado ao público interno</w:t>
      </w:r>
      <w:r w:rsidR="004229CA" w:rsidRPr="00341927">
        <w:t xml:space="preserve">, com </w:t>
      </w:r>
      <w:r w:rsidR="00102A72" w:rsidRPr="00341927">
        <w:t>o intuito de</w:t>
      </w:r>
      <w:r w:rsidR="00197B3C" w:rsidRPr="00341927">
        <w:t xml:space="preserve"> </w:t>
      </w:r>
      <w:r w:rsidR="004229CA" w:rsidRPr="00341927">
        <w:t xml:space="preserve">captar </w:t>
      </w:r>
      <w:r w:rsidR="004615F0" w:rsidRPr="00341927">
        <w:t>percepções sobre a equidade de gênero no ambiente institucional</w:t>
      </w:r>
      <w:r w:rsidR="004229CA" w:rsidRPr="00341927">
        <w:t xml:space="preserve"> do TST/CSJT</w:t>
      </w:r>
      <w:r w:rsidR="004615F0" w:rsidRPr="00341927">
        <w:t>.</w:t>
      </w:r>
      <w:r w:rsidR="004229CA" w:rsidRPr="00341927">
        <w:t xml:space="preserve"> </w:t>
      </w:r>
    </w:p>
    <w:p w14:paraId="726536F4" w14:textId="2A6EE18C" w:rsidR="00102A72" w:rsidRPr="00341927" w:rsidRDefault="004615F0" w:rsidP="00341927">
      <w:pPr>
        <w:pStyle w:val="Texto"/>
      </w:pPr>
      <w:r w:rsidRPr="00341927">
        <w:t>A</w:t>
      </w:r>
      <w:r w:rsidR="00D42347" w:rsidRPr="00341927">
        <w:t>dicionalmente</w:t>
      </w:r>
      <w:r w:rsidRPr="00341927">
        <w:t>, o estudo i</w:t>
      </w:r>
      <w:r w:rsidR="004229CA" w:rsidRPr="00341927">
        <w:t>ncorpora</w:t>
      </w:r>
      <w:r w:rsidRPr="00341927">
        <w:t xml:space="preserve"> </w:t>
      </w:r>
      <w:r w:rsidR="004229CA" w:rsidRPr="00341927">
        <w:t xml:space="preserve">percepções </w:t>
      </w:r>
      <w:r w:rsidR="00D42347" w:rsidRPr="00341927">
        <w:t xml:space="preserve">mapeadas pela </w:t>
      </w:r>
      <w:r w:rsidR="00102A72" w:rsidRPr="00341927">
        <w:t>CDEP</w:t>
      </w:r>
      <w:r w:rsidR="00D42347" w:rsidRPr="00341927">
        <w:t xml:space="preserve"> </w:t>
      </w:r>
      <w:r w:rsidR="004229CA" w:rsidRPr="00341927">
        <w:t xml:space="preserve">em </w:t>
      </w:r>
      <w:r w:rsidRPr="00341927">
        <w:t xml:space="preserve">grupos de discussão com mulheres que </w:t>
      </w:r>
      <w:r w:rsidR="004229CA" w:rsidRPr="00341927">
        <w:t xml:space="preserve">atuam </w:t>
      </w:r>
      <w:r w:rsidRPr="00341927">
        <w:t>no TST/CSJT</w:t>
      </w:r>
      <w:r w:rsidR="00102A72" w:rsidRPr="00341927">
        <w:t>, bem como</w:t>
      </w:r>
      <w:r w:rsidR="004229CA" w:rsidRPr="00341927">
        <w:t xml:space="preserve"> </w:t>
      </w:r>
      <w:r w:rsidRPr="00341927">
        <w:t>uma análise da tra</w:t>
      </w:r>
      <w:r w:rsidR="00102A72" w:rsidRPr="00341927">
        <w:t>jetória profissional de servidoras</w:t>
      </w:r>
      <w:r w:rsidRPr="00341927">
        <w:t xml:space="preserve"> que </w:t>
      </w:r>
      <w:r w:rsidR="00D42347" w:rsidRPr="00341927">
        <w:t>usufruíram</w:t>
      </w:r>
      <w:r w:rsidRPr="00341927">
        <w:t xml:space="preserve"> </w:t>
      </w:r>
      <w:r w:rsidR="00D42347" w:rsidRPr="00341927">
        <w:t>de</w:t>
      </w:r>
      <w:r w:rsidRPr="00341927">
        <w:t xml:space="preserve"> licença-maternidade nos últimos </w:t>
      </w:r>
      <w:r w:rsidR="00047C2B" w:rsidRPr="00341927">
        <w:t xml:space="preserve">cinco </w:t>
      </w:r>
      <w:r w:rsidRPr="00341927">
        <w:t xml:space="preserve">anos. </w:t>
      </w:r>
    </w:p>
    <w:p w14:paraId="07D5FB6D" w14:textId="2FFA221B" w:rsidR="004229CA" w:rsidRPr="00341927" w:rsidRDefault="004615F0" w:rsidP="00341927">
      <w:pPr>
        <w:pStyle w:val="Texto"/>
      </w:pPr>
      <w:r w:rsidRPr="00341927">
        <w:t xml:space="preserve">A seguir, </w:t>
      </w:r>
      <w:r w:rsidR="00D42347" w:rsidRPr="00341927">
        <w:t>são detalhados os</w:t>
      </w:r>
      <w:r w:rsidRPr="00341927">
        <w:t xml:space="preserve"> procedimentos </w:t>
      </w:r>
      <w:r w:rsidR="004229CA" w:rsidRPr="00341927">
        <w:t xml:space="preserve">metodológicos utilizados </w:t>
      </w:r>
      <w:r w:rsidRPr="00341927">
        <w:t>em cada uma d</w:t>
      </w:r>
      <w:r w:rsidR="004229CA" w:rsidRPr="00341927">
        <w:t xml:space="preserve">essas </w:t>
      </w:r>
      <w:r w:rsidR="00D42347" w:rsidRPr="00341927">
        <w:t>dimensões</w:t>
      </w:r>
      <w:r w:rsidR="004229CA" w:rsidRPr="00341927">
        <w:t xml:space="preserve"> da pesquisa. </w:t>
      </w:r>
    </w:p>
    <w:p w14:paraId="2C5633D5" w14:textId="77777777" w:rsidR="00D42347" w:rsidRPr="00341927" w:rsidRDefault="00D42347" w:rsidP="00341927">
      <w:pPr>
        <w:pStyle w:val="Texto"/>
      </w:pPr>
    </w:p>
    <w:p w14:paraId="16534342" w14:textId="7500AFEC" w:rsidR="00CD2086" w:rsidRPr="009A0D9E" w:rsidRDefault="00D42347" w:rsidP="00777082">
      <w:pPr>
        <w:pStyle w:val="Ttulo2"/>
      </w:pPr>
      <w:bookmarkStart w:id="5" w:name="_Toc207370448"/>
      <w:bookmarkStart w:id="6" w:name="_Toc208510806"/>
      <w:r w:rsidRPr="009A0D9E">
        <w:t xml:space="preserve">PROCEDIMENTOS METODOLÓGICOS </w:t>
      </w:r>
      <w:r w:rsidR="00DB1697" w:rsidRPr="009A0D9E">
        <w:t>DA</w:t>
      </w:r>
      <w:r w:rsidRPr="009A0D9E">
        <w:t xml:space="preserve"> ANÁLISE DO QUADRO ATUAL DE PARTICIPAÇÃO FEMININA </w:t>
      </w:r>
      <w:r w:rsidR="00F54EAB">
        <w:t>NO TST E N</w:t>
      </w:r>
      <w:r w:rsidRPr="009A0D9E">
        <w:t>O CSJT</w:t>
      </w:r>
      <w:bookmarkEnd w:id="5"/>
      <w:bookmarkEnd w:id="6"/>
    </w:p>
    <w:p w14:paraId="7C5E5892" w14:textId="4C4E536E" w:rsidR="00B737DE" w:rsidRDefault="00CD2086" w:rsidP="008B3EFF">
      <w:pPr>
        <w:pStyle w:val="Texto"/>
        <w:contextualSpacing/>
      </w:pPr>
      <w:r>
        <w:t xml:space="preserve">Com o propósito de </w:t>
      </w:r>
      <w:r w:rsidR="00507E4B">
        <w:t xml:space="preserve">verificar </w:t>
      </w:r>
      <w:r>
        <w:t>a representatividade feminina em cargos de</w:t>
      </w:r>
      <w:r w:rsidR="00A4744B">
        <w:t xml:space="preserve"> assessoramento, </w:t>
      </w:r>
      <w:r>
        <w:t xml:space="preserve"> </w:t>
      </w:r>
      <w:r w:rsidR="00507E4B">
        <w:t xml:space="preserve">gestão e </w:t>
      </w:r>
      <w:r>
        <w:t xml:space="preserve">liderança no TST e no </w:t>
      </w:r>
      <w:r w:rsidR="00507E4B">
        <w:t xml:space="preserve">CSJT, adotou-se uma abordagem metodológica de caráter quantitativo, baseada </w:t>
      </w:r>
      <w:r w:rsidR="00B737DE">
        <w:t>na análise</w:t>
      </w:r>
      <w:r>
        <w:t xml:space="preserve"> dos dados funcionais </w:t>
      </w:r>
      <w:r w:rsidR="00507E4B">
        <w:t>anonimizados fornecidos</w:t>
      </w:r>
      <w:r w:rsidR="00102A72">
        <w:t xml:space="preserve"> pela Coordenadoria de Informações Funcionais do TST (CIF)</w:t>
      </w:r>
      <w:r>
        <w:t>.</w:t>
      </w:r>
      <w:r w:rsidR="00431AB1">
        <w:t xml:space="preserve"> </w:t>
      </w:r>
      <w:r w:rsidR="00B737DE">
        <w:t>A principal técnica de pesquisa utilizada foi a</w:t>
      </w:r>
      <w:r w:rsidR="0061708A">
        <w:t xml:space="preserve"> estat</w:t>
      </w:r>
      <w:r w:rsidR="00507E4B">
        <w:t xml:space="preserve">ísitica descritiva, </w:t>
      </w:r>
      <w:r w:rsidR="00B737DE">
        <w:t>que</w:t>
      </w:r>
      <w:r w:rsidR="00507E4B">
        <w:t xml:space="preserve"> permitiu</w:t>
      </w:r>
      <w:r w:rsidR="004773D1">
        <w:t xml:space="preserve"> aferir o quantitativo de mulher</w:t>
      </w:r>
      <w:r w:rsidR="00507E4B">
        <w:t>es em cargos de gestão no TST/CSJT</w:t>
      </w:r>
      <w:r w:rsidR="0061708A">
        <w:t>,</w:t>
      </w:r>
      <w:r w:rsidR="00507E4B">
        <w:t xml:space="preserve"> confo</w:t>
      </w:r>
      <w:r w:rsidR="00102A72">
        <w:t xml:space="preserve">rme solicitado pela </w:t>
      </w:r>
      <w:r w:rsidR="003A345E" w:rsidRPr="00A4744B">
        <w:t xml:space="preserve">Assessoria de Promoção do Trabalho Decente e dos Direitos Humanos - </w:t>
      </w:r>
      <w:r w:rsidR="00102A72" w:rsidRPr="00A4744B">
        <w:t>ASPRODEC</w:t>
      </w:r>
      <w:r w:rsidR="00507E4B" w:rsidRPr="00A4744B">
        <w:t>.</w:t>
      </w:r>
      <w:r w:rsidR="00507E4B">
        <w:t xml:space="preserve"> </w:t>
      </w:r>
    </w:p>
    <w:p w14:paraId="5E012D6E" w14:textId="1C20E065" w:rsidR="0061708A" w:rsidRDefault="00F54EAB" w:rsidP="008B3EFF">
      <w:pPr>
        <w:pStyle w:val="Texto"/>
        <w:contextualSpacing/>
      </w:pPr>
      <w:r>
        <w:t>Foi analisada a</w:t>
      </w:r>
      <w:r w:rsidR="00507E4B">
        <w:t xml:space="preserve"> distribuição por gênero dos ocupantes de cargos em c</w:t>
      </w:r>
      <w:r>
        <w:t xml:space="preserve">omissão e funções comissionadas, bem como daqueles que </w:t>
      </w:r>
      <w:r w:rsidR="00507E4B">
        <w:t>exercem</w:t>
      </w:r>
      <w:r>
        <w:t xml:space="preserve"> especificamente</w:t>
      </w:r>
      <w:r w:rsidR="00507E4B">
        <w:t xml:space="preserve"> atribuições de direção e supervisão, </w:t>
      </w:r>
      <w:r>
        <w:t>considerando ainda a variação do</w:t>
      </w:r>
      <w:r w:rsidR="00507E4B">
        <w:t xml:space="preserve"> perc</w:t>
      </w:r>
      <w:r w:rsidR="001C23B1">
        <w:t xml:space="preserve">entual de mulheres à medida que </w:t>
      </w:r>
      <w:r>
        <w:t>se avança na escala hierárquica</w:t>
      </w:r>
      <w:r w:rsidR="00507E4B">
        <w:t>.</w:t>
      </w:r>
    </w:p>
    <w:p w14:paraId="32DA93AA" w14:textId="72767803" w:rsidR="00CD2086" w:rsidRDefault="00B737DE" w:rsidP="008B3EFF">
      <w:pPr>
        <w:pStyle w:val="Texto"/>
        <w:contextualSpacing/>
      </w:pPr>
      <w:r>
        <w:t xml:space="preserve">No que se refere à </w:t>
      </w:r>
      <w:r w:rsidR="001C23B1">
        <w:t>participação feminina em espaços de decisão institucional</w:t>
      </w:r>
      <w:r>
        <w:t>, o estudo</w:t>
      </w:r>
      <w:r w:rsidR="001C23B1">
        <w:t xml:space="preserve"> en</w:t>
      </w:r>
      <w:r>
        <w:t>frentou</w:t>
      </w:r>
      <w:r w:rsidR="001C23B1">
        <w:t xml:space="preserve"> limitações </w:t>
      </w:r>
      <w:r>
        <w:t xml:space="preserve">devido à ausência de dados </w:t>
      </w:r>
      <w:r w:rsidR="001C23B1">
        <w:t>agregad</w:t>
      </w:r>
      <w:r>
        <w:t>o</w:t>
      </w:r>
      <w:r w:rsidR="001C23B1">
        <w:t xml:space="preserve">s </w:t>
      </w:r>
      <w:r>
        <w:t>e</w:t>
      </w:r>
      <w:r w:rsidR="00102A72">
        <w:t xml:space="preserve"> sistematizado</w:t>
      </w:r>
      <w:r w:rsidR="001C23B1">
        <w:t xml:space="preserve">s. </w:t>
      </w:r>
      <w:r>
        <w:t>Por esse motivo</w:t>
      </w:r>
      <w:r w:rsidR="001C23B1">
        <w:t xml:space="preserve">, </w:t>
      </w:r>
      <w:r w:rsidR="00933702">
        <w:lastRenderedPageBreak/>
        <w:t>esse exame</w:t>
      </w:r>
      <w:r w:rsidR="001C23B1">
        <w:t xml:space="preserve"> restringiu-se aos Comitês de Governança do TST, com base </w:t>
      </w:r>
      <w:r>
        <w:t>em levantamento feito pela</w:t>
      </w:r>
      <w:r w:rsidR="001C23B1">
        <w:t xml:space="preserve"> Secretaria de Governança Estratégica do TST</w:t>
      </w:r>
      <w:r w:rsidR="00102A72">
        <w:t xml:space="preserve"> (SEGGE)</w:t>
      </w:r>
      <w:r w:rsidR="008B3EFF">
        <w:t>.</w:t>
      </w:r>
    </w:p>
    <w:p w14:paraId="45E6F3FD" w14:textId="77777777" w:rsidR="008B3EFF" w:rsidRPr="00CD2086" w:rsidRDefault="008B3EFF" w:rsidP="008B3EFF">
      <w:pPr>
        <w:pStyle w:val="Texto"/>
        <w:contextualSpacing/>
      </w:pPr>
    </w:p>
    <w:p w14:paraId="08527D94" w14:textId="40BEE7B2" w:rsidR="009510E8" w:rsidRDefault="00DB1697" w:rsidP="00777082">
      <w:pPr>
        <w:pStyle w:val="Ttulo2"/>
      </w:pPr>
      <w:bookmarkStart w:id="7" w:name="_Toc207370449"/>
      <w:bookmarkStart w:id="8" w:name="_Toc208510807"/>
      <w:r>
        <w:t>PROCEDIMENTOS METODOLÓGICOS DA PESQUISA DE PERCEPÇÃO SOBRE A PARTICIPAÇÃO FEMININA NO TST E NO CSJT</w:t>
      </w:r>
      <w:bookmarkEnd w:id="7"/>
      <w:bookmarkEnd w:id="8"/>
    </w:p>
    <w:p w14:paraId="14BABA98" w14:textId="164E0A5E" w:rsidR="00096697" w:rsidRDefault="009510E8" w:rsidP="008B3EFF">
      <w:pPr>
        <w:pStyle w:val="Texto"/>
      </w:pPr>
      <w:r>
        <w:t xml:space="preserve">A </w:t>
      </w:r>
      <w:r w:rsidR="00096697">
        <w:t>pesquisa de percepção sobre a participação feminina no TST e no CSJT adotou como estratégia metodológica um questionário autoaplicado, elaborado pel</w:t>
      </w:r>
      <w:r w:rsidR="00A4744B">
        <w:t>o Centro de</w:t>
      </w:r>
      <w:r w:rsidR="003A345E">
        <w:t xml:space="preserve"> Pesquisa Judiciária, Estatística e Ciência de Dados - </w:t>
      </w:r>
      <w:r w:rsidR="00A4744B">
        <w:t>C</w:t>
      </w:r>
      <w:r w:rsidR="00102A72">
        <w:t>PJ</w:t>
      </w:r>
      <w:r w:rsidR="00A4744B">
        <w:t>E</w:t>
      </w:r>
      <w:r w:rsidR="00102A72">
        <w:t>D</w:t>
      </w:r>
      <w:r w:rsidR="00096697">
        <w:t>. O instrumento foi disponibilizado eletronicamente entre os dias 11 e 21 de março de 2025, com divulgação pelos canais institucionais (</w:t>
      </w:r>
      <w:r w:rsidR="00096697">
        <w:rPr>
          <w:i/>
        </w:rPr>
        <w:t>intranet</w:t>
      </w:r>
      <w:r w:rsidR="00096697">
        <w:t xml:space="preserve">, </w:t>
      </w:r>
      <w:r w:rsidR="00096697">
        <w:rPr>
          <w:i/>
        </w:rPr>
        <w:t xml:space="preserve">mailing </w:t>
      </w:r>
      <w:r w:rsidR="00096697">
        <w:t xml:space="preserve">e mídia </w:t>
      </w:r>
      <w:r w:rsidR="00096697">
        <w:rPr>
          <w:i/>
        </w:rPr>
        <w:t>indoor</w:t>
      </w:r>
      <w:r w:rsidR="00102A72">
        <w:t>)</w:t>
      </w:r>
      <w:r w:rsidR="00096697">
        <w:t xml:space="preserve"> e direcionado a magistrados, servidores, terceirizados, estagiários e jovens aprendizes do TST e do CSJT.</w:t>
      </w:r>
    </w:p>
    <w:p w14:paraId="0547F0EE" w14:textId="00A5ED04" w:rsidR="003A345E" w:rsidRDefault="00096697" w:rsidP="008B3EFF">
      <w:pPr>
        <w:pStyle w:val="Texto"/>
      </w:pPr>
      <w:r>
        <w:t>A participação foi voluntária, anônima e abrangeu todos os cargos incluídos no escopo da investigação. Contudo, verificou-se uma adesão expressiva de servidores na composição da amostra. Ao todo, 303 pessoas responderam ao questionário, o que corresponde</w:t>
      </w:r>
      <w:r w:rsidR="00A4744B">
        <w:t>u</w:t>
      </w:r>
      <w:r>
        <w:t xml:space="preserve"> a 7% do público-alvo</w:t>
      </w:r>
      <w:r w:rsidR="009D272C">
        <w:t>, conforme cargos ou funções indicados na</w:t>
      </w:r>
      <w:r>
        <w:t xml:space="preserve"> Tabela 1</w:t>
      </w:r>
      <w:r>
        <w:rPr>
          <w:vertAlign w:val="superscript"/>
        </w:rPr>
        <w:footnoteReference w:id="16"/>
      </w:r>
      <w:r>
        <w:t xml:space="preserve">. </w:t>
      </w:r>
    </w:p>
    <w:p w14:paraId="6333FF4C" w14:textId="77777777" w:rsidR="00F86259" w:rsidRDefault="00F86259" w:rsidP="008B3EFF">
      <w:pPr>
        <w:pStyle w:val="Texto"/>
      </w:pPr>
    </w:p>
    <w:p w14:paraId="62FB6FF9" w14:textId="7CC47B1C" w:rsidR="00096697" w:rsidRDefault="00096697" w:rsidP="00FB5A95">
      <w:pPr>
        <w:pStyle w:val="TtulodaTabela"/>
      </w:pPr>
      <w:bookmarkStart w:id="9" w:name="_Toc204871482"/>
      <w:bookmarkStart w:id="10" w:name="_Toc208510772"/>
      <w:r>
        <w:t xml:space="preserve">Tabela </w:t>
      </w:r>
      <w:r>
        <w:fldChar w:fldCharType="begin"/>
      </w:r>
      <w:r>
        <w:instrText xml:space="preserve"> SEQ Tabela \* ARABIC </w:instrText>
      </w:r>
      <w:r>
        <w:fldChar w:fldCharType="separate"/>
      </w:r>
      <w:r w:rsidR="00D85D1E">
        <w:t>1</w:t>
      </w:r>
      <w:r>
        <w:fldChar w:fldCharType="end"/>
      </w:r>
      <w:r w:rsidRPr="000E2230">
        <w:rPr>
          <w:b w:val="0"/>
        </w:rPr>
        <w:t xml:space="preserve"> - Participação e Taxa de Adesão à Pesquisa sobre Percepção da Participação Feminina no TST e no CSJT</w:t>
      </w:r>
      <w:bookmarkEnd w:id="9"/>
      <w:bookmarkEnd w:id="10"/>
    </w:p>
    <w:tbl>
      <w:tblPr>
        <w:tblW w:w="5000" w:type="pct"/>
        <w:jc w:val="center"/>
        <w:tblBorders>
          <w:top w:val="single" w:sz="6" w:space="0" w:color="E5E7EB"/>
          <w:bottom w:val="single" w:sz="6" w:space="0" w:color="E5E7EB"/>
          <w:insideH w:val="single" w:sz="6" w:space="0" w:color="E5E7EB"/>
          <w:insideV w:val="single" w:sz="6" w:space="0" w:color="E5E7EB"/>
        </w:tblBorders>
        <w:tblLook w:val="0600" w:firstRow="0" w:lastRow="0" w:firstColumn="0" w:lastColumn="0" w:noHBand="1" w:noVBand="1"/>
      </w:tblPr>
      <w:tblGrid>
        <w:gridCol w:w="3838"/>
        <w:gridCol w:w="2039"/>
        <w:gridCol w:w="2021"/>
        <w:gridCol w:w="1901"/>
      </w:tblGrid>
      <w:tr w:rsidR="00096697" w14:paraId="68AE06FD" w14:textId="77777777" w:rsidTr="008B3EFF">
        <w:trPr>
          <w:cantSplit/>
          <w:trHeight w:val="680"/>
          <w:tblHeader/>
          <w:jc w:val="center"/>
        </w:trPr>
        <w:tc>
          <w:tcPr>
            <w:tcW w:w="1958" w:type="pct"/>
            <w:shd w:val="clear" w:color="auto" w:fill="D9D9D9"/>
            <w:tcMar>
              <w:top w:w="0" w:type="dxa"/>
              <w:left w:w="80" w:type="dxa"/>
              <w:bottom w:w="0" w:type="dxa"/>
              <w:right w:w="80" w:type="dxa"/>
            </w:tcMar>
            <w:vAlign w:val="center"/>
          </w:tcPr>
          <w:p w14:paraId="7D724703" w14:textId="77777777" w:rsidR="00096697" w:rsidRPr="008520F6" w:rsidRDefault="00096697" w:rsidP="008B3EFF">
            <w:pPr>
              <w:jc w:val="center"/>
              <w:rPr>
                <w:rFonts w:asciiTheme="minorHAnsi" w:hAnsiTheme="minorHAnsi" w:cstheme="minorHAnsi"/>
                <w:b/>
                <w:sz w:val="22"/>
                <w:szCs w:val="22"/>
              </w:rPr>
            </w:pPr>
            <w:r w:rsidRPr="008520F6">
              <w:rPr>
                <w:rFonts w:asciiTheme="minorHAnsi" w:hAnsiTheme="minorHAnsi" w:cstheme="minorHAnsi"/>
                <w:b/>
                <w:sz w:val="22"/>
                <w:szCs w:val="22"/>
              </w:rPr>
              <w:t>Cargo ou função ocupado no TST e/ou no CSJT</w:t>
            </w:r>
          </w:p>
        </w:tc>
        <w:tc>
          <w:tcPr>
            <w:tcW w:w="1040" w:type="pct"/>
            <w:shd w:val="clear" w:color="auto" w:fill="D9D9D9"/>
            <w:tcMar>
              <w:top w:w="0" w:type="dxa"/>
              <w:left w:w="80" w:type="dxa"/>
              <w:bottom w:w="0" w:type="dxa"/>
              <w:right w:w="80" w:type="dxa"/>
            </w:tcMar>
            <w:vAlign w:val="center"/>
          </w:tcPr>
          <w:p w14:paraId="241B36E0" w14:textId="77777777" w:rsidR="00096697" w:rsidRPr="008520F6" w:rsidRDefault="00096697" w:rsidP="008B3EFF">
            <w:pPr>
              <w:jc w:val="center"/>
              <w:rPr>
                <w:rFonts w:asciiTheme="minorHAnsi" w:hAnsiTheme="minorHAnsi" w:cstheme="minorHAnsi"/>
                <w:b/>
                <w:sz w:val="22"/>
                <w:szCs w:val="22"/>
              </w:rPr>
            </w:pPr>
            <w:r w:rsidRPr="008520F6">
              <w:rPr>
                <w:rFonts w:asciiTheme="minorHAnsi" w:hAnsiTheme="minorHAnsi" w:cstheme="minorHAnsi"/>
                <w:b/>
                <w:sz w:val="22"/>
                <w:szCs w:val="22"/>
              </w:rPr>
              <w:t>Potenciais Participantes</w:t>
            </w:r>
          </w:p>
        </w:tc>
        <w:tc>
          <w:tcPr>
            <w:tcW w:w="1031" w:type="pct"/>
            <w:shd w:val="clear" w:color="auto" w:fill="D9D9D9"/>
            <w:tcMar>
              <w:top w:w="0" w:type="dxa"/>
              <w:left w:w="80" w:type="dxa"/>
              <w:bottom w:w="0" w:type="dxa"/>
              <w:right w:w="80" w:type="dxa"/>
            </w:tcMar>
            <w:vAlign w:val="center"/>
          </w:tcPr>
          <w:p w14:paraId="431501B9" w14:textId="77777777" w:rsidR="00096697" w:rsidRPr="008520F6" w:rsidRDefault="00096697" w:rsidP="008B3EFF">
            <w:pPr>
              <w:jc w:val="center"/>
              <w:rPr>
                <w:rFonts w:asciiTheme="minorHAnsi" w:hAnsiTheme="minorHAnsi" w:cstheme="minorHAnsi"/>
                <w:b/>
                <w:sz w:val="22"/>
                <w:szCs w:val="22"/>
              </w:rPr>
            </w:pPr>
            <w:r w:rsidRPr="008520F6">
              <w:rPr>
                <w:rFonts w:asciiTheme="minorHAnsi" w:hAnsiTheme="minorHAnsi" w:cstheme="minorHAnsi"/>
                <w:b/>
                <w:sz w:val="22"/>
                <w:szCs w:val="22"/>
              </w:rPr>
              <w:t>Participação Efetiva</w:t>
            </w:r>
          </w:p>
        </w:tc>
        <w:tc>
          <w:tcPr>
            <w:tcW w:w="970" w:type="pct"/>
            <w:shd w:val="clear" w:color="auto" w:fill="D9D9D9"/>
            <w:tcMar>
              <w:top w:w="0" w:type="dxa"/>
              <w:left w:w="80" w:type="dxa"/>
              <w:bottom w:w="0" w:type="dxa"/>
              <w:right w:w="80" w:type="dxa"/>
            </w:tcMar>
            <w:vAlign w:val="center"/>
          </w:tcPr>
          <w:p w14:paraId="17EFE196" w14:textId="77777777" w:rsidR="00096697" w:rsidRPr="008520F6" w:rsidRDefault="00096697" w:rsidP="008B3EFF">
            <w:pPr>
              <w:jc w:val="center"/>
              <w:rPr>
                <w:rFonts w:asciiTheme="minorHAnsi" w:hAnsiTheme="minorHAnsi" w:cstheme="minorHAnsi"/>
                <w:b/>
                <w:sz w:val="22"/>
                <w:szCs w:val="22"/>
              </w:rPr>
            </w:pPr>
            <w:r w:rsidRPr="008520F6">
              <w:rPr>
                <w:rFonts w:asciiTheme="minorHAnsi" w:hAnsiTheme="minorHAnsi" w:cstheme="minorHAnsi"/>
                <w:b/>
                <w:sz w:val="22"/>
                <w:szCs w:val="22"/>
              </w:rPr>
              <w:t>% Adesão</w:t>
            </w:r>
          </w:p>
        </w:tc>
      </w:tr>
      <w:tr w:rsidR="00096697" w14:paraId="5F28C57F" w14:textId="77777777" w:rsidTr="008B3EFF">
        <w:trPr>
          <w:cantSplit/>
          <w:trHeight w:val="680"/>
          <w:jc w:val="center"/>
        </w:trPr>
        <w:tc>
          <w:tcPr>
            <w:tcW w:w="1958" w:type="pct"/>
            <w:tcMar>
              <w:top w:w="0" w:type="dxa"/>
              <w:left w:w="80" w:type="dxa"/>
              <w:bottom w:w="0" w:type="dxa"/>
              <w:right w:w="80" w:type="dxa"/>
            </w:tcMar>
          </w:tcPr>
          <w:p w14:paraId="774F0D65" w14:textId="77777777" w:rsidR="00096697" w:rsidRPr="008520F6" w:rsidRDefault="00096697" w:rsidP="008B3EFF">
            <w:pPr>
              <w:rPr>
                <w:rFonts w:asciiTheme="minorHAnsi" w:hAnsiTheme="minorHAnsi" w:cstheme="minorHAnsi"/>
                <w:sz w:val="22"/>
                <w:szCs w:val="22"/>
              </w:rPr>
            </w:pPr>
            <w:r w:rsidRPr="008520F6">
              <w:rPr>
                <w:rFonts w:asciiTheme="minorHAnsi" w:hAnsiTheme="minorHAnsi" w:cstheme="minorHAnsi"/>
                <w:sz w:val="22"/>
                <w:szCs w:val="22"/>
              </w:rPr>
              <w:t>Ministro/Ministra</w:t>
            </w:r>
          </w:p>
        </w:tc>
        <w:tc>
          <w:tcPr>
            <w:tcW w:w="1040" w:type="pct"/>
            <w:tcMar>
              <w:top w:w="0" w:type="dxa"/>
              <w:left w:w="80" w:type="dxa"/>
              <w:bottom w:w="0" w:type="dxa"/>
              <w:right w:w="80" w:type="dxa"/>
            </w:tcMar>
            <w:vAlign w:val="center"/>
          </w:tcPr>
          <w:p w14:paraId="2EC1D4B4" w14:textId="4F0A3C71"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33</w:t>
            </w:r>
          </w:p>
        </w:tc>
        <w:tc>
          <w:tcPr>
            <w:tcW w:w="1031" w:type="pct"/>
            <w:tcMar>
              <w:top w:w="0" w:type="dxa"/>
              <w:left w:w="80" w:type="dxa"/>
              <w:bottom w:w="0" w:type="dxa"/>
              <w:right w:w="80" w:type="dxa"/>
            </w:tcMar>
            <w:vAlign w:val="center"/>
          </w:tcPr>
          <w:p w14:paraId="5D09BE5A" w14:textId="77777777"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w:t>
            </w:r>
          </w:p>
        </w:tc>
        <w:tc>
          <w:tcPr>
            <w:tcW w:w="970" w:type="pct"/>
            <w:tcMar>
              <w:top w:w="0" w:type="dxa"/>
              <w:left w:w="80" w:type="dxa"/>
              <w:bottom w:w="0" w:type="dxa"/>
              <w:right w:w="80" w:type="dxa"/>
            </w:tcMar>
            <w:vAlign w:val="center"/>
          </w:tcPr>
          <w:p w14:paraId="59D86F0A" w14:textId="56BD8EE5"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0%</w:t>
            </w:r>
          </w:p>
        </w:tc>
      </w:tr>
      <w:tr w:rsidR="00096697" w14:paraId="3D5B8784" w14:textId="77777777" w:rsidTr="008B3EFF">
        <w:trPr>
          <w:cantSplit/>
          <w:trHeight w:val="680"/>
          <w:jc w:val="center"/>
        </w:trPr>
        <w:tc>
          <w:tcPr>
            <w:tcW w:w="1958" w:type="pct"/>
            <w:tcMar>
              <w:top w:w="0" w:type="dxa"/>
              <w:left w:w="80" w:type="dxa"/>
              <w:bottom w:w="0" w:type="dxa"/>
              <w:right w:w="80" w:type="dxa"/>
            </w:tcMar>
          </w:tcPr>
          <w:p w14:paraId="3A2D846F" w14:textId="77777777" w:rsidR="00096697" w:rsidRPr="008520F6" w:rsidRDefault="00096697" w:rsidP="008B3EFF">
            <w:pPr>
              <w:rPr>
                <w:rFonts w:asciiTheme="minorHAnsi" w:hAnsiTheme="minorHAnsi" w:cstheme="minorHAnsi"/>
                <w:sz w:val="22"/>
                <w:szCs w:val="22"/>
              </w:rPr>
            </w:pPr>
            <w:r w:rsidRPr="008520F6">
              <w:rPr>
                <w:rFonts w:asciiTheme="minorHAnsi" w:hAnsiTheme="minorHAnsi" w:cstheme="minorHAnsi"/>
                <w:sz w:val="22"/>
                <w:szCs w:val="22"/>
              </w:rPr>
              <w:t>Juiz/Juíza ou Desembargador/Desembargadora Convocado/Requisitado</w:t>
            </w:r>
          </w:p>
        </w:tc>
        <w:tc>
          <w:tcPr>
            <w:tcW w:w="1040" w:type="pct"/>
            <w:tcMar>
              <w:top w:w="0" w:type="dxa"/>
              <w:left w:w="80" w:type="dxa"/>
              <w:bottom w:w="0" w:type="dxa"/>
              <w:right w:w="80" w:type="dxa"/>
            </w:tcMar>
            <w:vAlign w:val="center"/>
          </w:tcPr>
          <w:p w14:paraId="7F3E745B" w14:textId="411FCAD9"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26</w:t>
            </w:r>
          </w:p>
        </w:tc>
        <w:tc>
          <w:tcPr>
            <w:tcW w:w="1031" w:type="pct"/>
            <w:tcMar>
              <w:top w:w="0" w:type="dxa"/>
              <w:left w:w="80" w:type="dxa"/>
              <w:bottom w:w="0" w:type="dxa"/>
              <w:right w:w="80" w:type="dxa"/>
            </w:tcMar>
            <w:vAlign w:val="center"/>
          </w:tcPr>
          <w:p w14:paraId="1A02C5B1" w14:textId="7BB5B0A2"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w:t>
            </w:r>
          </w:p>
        </w:tc>
        <w:tc>
          <w:tcPr>
            <w:tcW w:w="970" w:type="pct"/>
            <w:tcMar>
              <w:top w:w="0" w:type="dxa"/>
              <w:left w:w="80" w:type="dxa"/>
              <w:bottom w:w="0" w:type="dxa"/>
              <w:right w:w="80" w:type="dxa"/>
            </w:tcMar>
            <w:vAlign w:val="center"/>
          </w:tcPr>
          <w:p w14:paraId="7766C9E0" w14:textId="044633D6"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0%</w:t>
            </w:r>
          </w:p>
        </w:tc>
      </w:tr>
      <w:tr w:rsidR="00096697" w14:paraId="6BD70658" w14:textId="77777777" w:rsidTr="008B3EFF">
        <w:trPr>
          <w:cantSplit/>
          <w:trHeight w:val="680"/>
          <w:jc w:val="center"/>
        </w:trPr>
        <w:tc>
          <w:tcPr>
            <w:tcW w:w="1958" w:type="pct"/>
            <w:tcMar>
              <w:top w:w="0" w:type="dxa"/>
              <w:left w:w="80" w:type="dxa"/>
              <w:bottom w:w="0" w:type="dxa"/>
              <w:right w:w="80" w:type="dxa"/>
            </w:tcMar>
          </w:tcPr>
          <w:p w14:paraId="7B6AB794" w14:textId="77777777" w:rsidR="00096697" w:rsidRPr="008520F6" w:rsidRDefault="00096697" w:rsidP="008B3EFF">
            <w:pPr>
              <w:rPr>
                <w:rFonts w:asciiTheme="minorHAnsi" w:hAnsiTheme="minorHAnsi" w:cstheme="minorHAnsi"/>
                <w:sz w:val="22"/>
                <w:szCs w:val="22"/>
              </w:rPr>
            </w:pPr>
            <w:r w:rsidRPr="008520F6">
              <w:rPr>
                <w:rFonts w:asciiTheme="minorHAnsi" w:hAnsiTheme="minorHAnsi" w:cstheme="minorHAnsi"/>
                <w:sz w:val="22"/>
                <w:szCs w:val="22"/>
              </w:rPr>
              <w:t>Servidor(a) efetivo do TST ou do CSJT</w:t>
            </w:r>
          </w:p>
        </w:tc>
        <w:tc>
          <w:tcPr>
            <w:tcW w:w="1040" w:type="pct"/>
            <w:tcMar>
              <w:top w:w="0" w:type="dxa"/>
              <w:left w:w="80" w:type="dxa"/>
              <w:bottom w:w="0" w:type="dxa"/>
              <w:right w:w="80" w:type="dxa"/>
            </w:tcMar>
            <w:vAlign w:val="center"/>
          </w:tcPr>
          <w:p w14:paraId="4811A6CB" w14:textId="77777777"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2.253</w:t>
            </w:r>
          </w:p>
        </w:tc>
        <w:tc>
          <w:tcPr>
            <w:tcW w:w="1031" w:type="pct"/>
            <w:tcMar>
              <w:top w:w="0" w:type="dxa"/>
              <w:left w:w="80" w:type="dxa"/>
              <w:bottom w:w="0" w:type="dxa"/>
              <w:right w:w="80" w:type="dxa"/>
            </w:tcMar>
            <w:vAlign w:val="center"/>
          </w:tcPr>
          <w:p w14:paraId="6838A7AA" w14:textId="77777777"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247</w:t>
            </w:r>
          </w:p>
        </w:tc>
        <w:tc>
          <w:tcPr>
            <w:tcW w:w="970" w:type="pct"/>
            <w:tcMar>
              <w:top w:w="0" w:type="dxa"/>
              <w:left w:w="80" w:type="dxa"/>
              <w:bottom w:w="0" w:type="dxa"/>
              <w:right w:w="80" w:type="dxa"/>
            </w:tcMar>
            <w:vAlign w:val="center"/>
          </w:tcPr>
          <w:p w14:paraId="60851081" w14:textId="143F4B52"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11%</w:t>
            </w:r>
          </w:p>
        </w:tc>
      </w:tr>
      <w:tr w:rsidR="00096697" w14:paraId="41889A1A" w14:textId="77777777" w:rsidTr="008B3EFF">
        <w:trPr>
          <w:cantSplit/>
          <w:trHeight w:val="680"/>
          <w:jc w:val="center"/>
        </w:trPr>
        <w:tc>
          <w:tcPr>
            <w:tcW w:w="1958" w:type="pct"/>
            <w:tcMar>
              <w:top w:w="0" w:type="dxa"/>
              <w:left w:w="80" w:type="dxa"/>
              <w:bottom w:w="0" w:type="dxa"/>
              <w:right w:w="80" w:type="dxa"/>
            </w:tcMar>
          </w:tcPr>
          <w:p w14:paraId="331B43DF" w14:textId="77777777" w:rsidR="00096697" w:rsidRPr="008520F6" w:rsidRDefault="00096697" w:rsidP="008B3EFF">
            <w:pPr>
              <w:rPr>
                <w:rFonts w:asciiTheme="minorHAnsi" w:hAnsiTheme="minorHAnsi" w:cstheme="minorHAnsi"/>
                <w:sz w:val="22"/>
                <w:szCs w:val="22"/>
              </w:rPr>
            </w:pPr>
            <w:r w:rsidRPr="008520F6">
              <w:rPr>
                <w:rFonts w:asciiTheme="minorHAnsi" w:hAnsiTheme="minorHAnsi" w:cstheme="minorHAnsi"/>
                <w:sz w:val="22"/>
                <w:szCs w:val="22"/>
              </w:rPr>
              <w:t>Servidor(a) de outro órgão cedido ou requisitado(a) atuando no TST ou no CSJT</w:t>
            </w:r>
          </w:p>
        </w:tc>
        <w:tc>
          <w:tcPr>
            <w:tcW w:w="1040" w:type="pct"/>
            <w:tcMar>
              <w:top w:w="0" w:type="dxa"/>
              <w:left w:w="80" w:type="dxa"/>
              <w:bottom w:w="0" w:type="dxa"/>
              <w:right w:w="80" w:type="dxa"/>
            </w:tcMar>
            <w:vAlign w:val="center"/>
          </w:tcPr>
          <w:p w14:paraId="38079D0D" w14:textId="77777777"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159</w:t>
            </w:r>
          </w:p>
        </w:tc>
        <w:tc>
          <w:tcPr>
            <w:tcW w:w="1031" w:type="pct"/>
            <w:tcMar>
              <w:top w:w="0" w:type="dxa"/>
              <w:left w:w="80" w:type="dxa"/>
              <w:bottom w:w="0" w:type="dxa"/>
              <w:right w:w="80" w:type="dxa"/>
            </w:tcMar>
            <w:vAlign w:val="center"/>
          </w:tcPr>
          <w:p w14:paraId="1720C9CD" w14:textId="77777777"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23</w:t>
            </w:r>
          </w:p>
        </w:tc>
        <w:tc>
          <w:tcPr>
            <w:tcW w:w="970" w:type="pct"/>
            <w:tcMar>
              <w:top w:w="0" w:type="dxa"/>
              <w:left w:w="80" w:type="dxa"/>
              <w:bottom w:w="0" w:type="dxa"/>
              <w:right w:w="80" w:type="dxa"/>
            </w:tcMar>
            <w:vAlign w:val="center"/>
          </w:tcPr>
          <w:p w14:paraId="5FEA7B49" w14:textId="5B395391"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14%</w:t>
            </w:r>
          </w:p>
        </w:tc>
      </w:tr>
      <w:tr w:rsidR="00096697" w14:paraId="6357B559" w14:textId="77777777" w:rsidTr="008B3EFF">
        <w:trPr>
          <w:cantSplit/>
          <w:trHeight w:val="680"/>
          <w:jc w:val="center"/>
        </w:trPr>
        <w:tc>
          <w:tcPr>
            <w:tcW w:w="1958" w:type="pct"/>
            <w:tcMar>
              <w:top w:w="0" w:type="dxa"/>
              <w:left w:w="80" w:type="dxa"/>
              <w:bottom w:w="0" w:type="dxa"/>
              <w:right w:w="80" w:type="dxa"/>
            </w:tcMar>
          </w:tcPr>
          <w:p w14:paraId="308CB794" w14:textId="4147C628" w:rsidR="00096697" w:rsidRPr="008520F6" w:rsidRDefault="00096697" w:rsidP="008B3EFF">
            <w:pPr>
              <w:rPr>
                <w:rFonts w:asciiTheme="minorHAnsi" w:hAnsiTheme="minorHAnsi" w:cstheme="minorHAnsi"/>
                <w:sz w:val="22"/>
                <w:szCs w:val="22"/>
              </w:rPr>
            </w:pPr>
            <w:r w:rsidRPr="008520F6">
              <w:rPr>
                <w:rFonts w:asciiTheme="minorHAnsi" w:hAnsiTheme="minorHAnsi" w:cstheme="minorHAnsi"/>
                <w:sz w:val="22"/>
                <w:szCs w:val="22"/>
              </w:rPr>
              <w:lastRenderedPageBreak/>
              <w:t>Servidor(a) comissionado(a) não concursado(a)</w:t>
            </w:r>
          </w:p>
        </w:tc>
        <w:tc>
          <w:tcPr>
            <w:tcW w:w="1040" w:type="pct"/>
            <w:tcMar>
              <w:top w:w="0" w:type="dxa"/>
              <w:left w:w="80" w:type="dxa"/>
              <w:bottom w:w="0" w:type="dxa"/>
              <w:right w:w="80" w:type="dxa"/>
            </w:tcMar>
            <w:vAlign w:val="center"/>
          </w:tcPr>
          <w:p w14:paraId="216B8455" w14:textId="77777777"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59</w:t>
            </w:r>
          </w:p>
        </w:tc>
        <w:tc>
          <w:tcPr>
            <w:tcW w:w="1031" w:type="pct"/>
            <w:vMerge w:val="restart"/>
            <w:tcMar>
              <w:top w:w="0" w:type="dxa"/>
              <w:left w:w="80" w:type="dxa"/>
              <w:bottom w:w="0" w:type="dxa"/>
              <w:right w:w="80" w:type="dxa"/>
            </w:tcMar>
            <w:vAlign w:val="center"/>
          </w:tcPr>
          <w:p w14:paraId="34C06302" w14:textId="77777777"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11</w:t>
            </w:r>
            <w:r w:rsidRPr="008520F6">
              <w:rPr>
                <w:rFonts w:asciiTheme="minorHAnsi" w:hAnsiTheme="minorHAnsi" w:cstheme="minorHAnsi"/>
                <w:sz w:val="22"/>
                <w:szCs w:val="22"/>
                <w:vertAlign w:val="superscript"/>
              </w:rPr>
              <w:footnoteReference w:id="17"/>
            </w:r>
          </w:p>
        </w:tc>
        <w:tc>
          <w:tcPr>
            <w:tcW w:w="970" w:type="pct"/>
            <w:vMerge w:val="restart"/>
            <w:tcMar>
              <w:top w:w="0" w:type="dxa"/>
              <w:left w:w="80" w:type="dxa"/>
              <w:bottom w:w="0" w:type="dxa"/>
              <w:right w:w="80" w:type="dxa"/>
            </w:tcMar>
            <w:vAlign w:val="center"/>
          </w:tcPr>
          <w:p w14:paraId="6BF9A5BA" w14:textId="07584777"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19%</w:t>
            </w:r>
          </w:p>
        </w:tc>
      </w:tr>
      <w:tr w:rsidR="00096697" w14:paraId="03FAD413" w14:textId="77777777" w:rsidTr="008B3EFF">
        <w:trPr>
          <w:cantSplit/>
          <w:trHeight w:val="680"/>
          <w:jc w:val="center"/>
        </w:trPr>
        <w:tc>
          <w:tcPr>
            <w:tcW w:w="1958" w:type="pct"/>
            <w:tcMar>
              <w:top w:w="0" w:type="dxa"/>
              <w:left w:w="80" w:type="dxa"/>
              <w:bottom w:w="0" w:type="dxa"/>
              <w:right w:w="80" w:type="dxa"/>
            </w:tcMar>
          </w:tcPr>
          <w:p w14:paraId="36D4FD03" w14:textId="77777777" w:rsidR="00096697" w:rsidRPr="008520F6" w:rsidRDefault="00096697" w:rsidP="008B3EFF">
            <w:pPr>
              <w:rPr>
                <w:rFonts w:asciiTheme="minorHAnsi" w:hAnsiTheme="minorHAnsi" w:cstheme="minorHAnsi"/>
                <w:sz w:val="22"/>
                <w:szCs w:val="22"/>
              </w:rPr>
            </w:pPr>
            <w:r w:rsidRPr="008520F6">
              <w:rPr>
                <w:rFonts w:asciiTheme="minorHAnsi" w:hAnsiTheme="minorHAnsi" w:cstheme="minorHAnsi"/>
                <w:sz w:val="22"/>
                <w:szCs w:val="22"/>
              </w:rPr>
              <w:t>Estagiário(a)</w:t>
            </w:r>
          </w:p>
        </w:tc>
        <w:tc>
          <w:tcPr>
            <w:tcW w:w="1040" w:type="pct"/>
            <w:tcMar>
              <w:top w:w="0" w:type="dxa"/>
              <w:left w:w="80" w:type="dxa"/>
              <w:bottom w:w="0" w:type="dxa"/>
              <w:right w:w="80" w:type="dxa"/>
            </w:tcMar>
            <w:vAlign w:val="center"/>
          </w:tcPr>
          <w:p w14:paraId="23FB223A" w14:textId="3321F7FD"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295</w:t>
            </w:r>
          </w:p>
        </w:tc>
        <w:tc>
          <w:tcPr>
            <w:tcW w:w="1031" w:type="pct"/>
            <w:vMerge/>
            <w:tcMar>
              <w:top w:w="0" w:type="dxa"/>
              <w:left w:w="80" w:type="dxa"/>
              <w:bottom w:w="0" w:type="dxa"/>
              <w:right w:w="80" w:type="dxa"/>
            </w:tcMar>
            <w:vAlign w:val="center"/>
          </w:tcPr>
          <w:p w14:paraId="745CBF25" w14:textId="77777777" w:rsidR="00096697" w:rsidRPr="008520F6" w:rsidRDefault="00096697" w:rsidP="008B3EFF">
            <w:pPr>
              <w:jc w:val="center"/>
              <w:rPr>
                <w:rFonts w:asciiTheme="minorHAnsi" w:hAnsiTheme="minorHAnsi" w:cstheme="minorHAnsi"/>
                <w:sz w:val="22"/>
                <w:szCs w:val="22"/>
              </w:rPr>
            </w:pPr>
          </w:p>
        </w:tc>
        <w:tc>
          <w:tcPr>
            <w:tcW w:w="970" w:type="pct"/>
            <w:vMerge/>
            <w:tcMar>
              <w:top w:w="0" w:type="dxa"/>
              <w:left w:w="80" w:type="dxa"/>
              <w:bottom w:w="0" w:type="dxa"/>
              <w:right w:w="80" w:type="dxa"/>
            </w:tcMar>
            <w:vAlign w:val="center"/>
          </w:tcPr>
          <w:p w14:paraId="251DD180" w14:textId="77777777" w:rsidR="00096697" w:rsidRPr="008520F6" w:rsidRDefault="00096697" w:rsidP="008B3EFF">
            <w:pPr>
              <w:jc w:val="center"/>
              <w:rPr>
                <w:rFonts w:asciiTheme="minorHAnsi" w:hAnsiTheme="minorHAnsi" w:cstheme="minorHAnsi"/>
                <w:sz w:val="22"/>
                <w:szCs w:val="22"/>
              </w:rPr>
            </w:pPr>
          </w:p>
        </w:tc>
      </w:tr>
      <w:tr w:rsidR="00096697" w14:paraId="1FA2F017" w14:textId="77777777" w:rsidTr="008B3EFF">
        <w:trPr>
          <w:cantSplit/>
          <w:trHeight w:val="680"/>
          <w:jc w:val="center"/>
        </w:trPr>
        <w:tc>
          <w:tcPr>
            <w:tcW w:w="1958" w:type="pct"/>
            <w:tcMar>
              <w:top w:w="0" w:type="dxa"/>
              <w:left w:w="80" w:type="dxa"/>
              <w:bottom w:w="0" w:type="dxa"/>
              <w:right w:w="80" w:type="dxa"/>
            </w:tcMar>
          </w:tcPr>
          <w:p w14:paraId="48A695B3" w14:textId="77777777" w:rsidR="00096697" w:rsidRPr="008520F6" w:rsidRDefault="00096697" w:rsidP="008B3EFF">
            <w:pPr>
              <w:rPr>
                <w:rFonts w:asciiTheme="minorHAnsi" w:hAnsiTheme="minorHAnsi" w:cstheme="minorHAnsi"/>
                <w:sz w:val="22"/>
                <w:szCs w:val="22"/>
              </w:rPr>
            </w:pPr>
            <w:r w:rsidRPr="008520F6">
              <w:rPr>
                <w:rFonts w:asciiTheme="minorHAnsi" w:hAnsiTheme="minorHAnsi" w:cstheme="minorHAnsi"/>
                <w:sz w:val="22"/>
                <w:szCs w:val="22"/>
              </w:rPr>
              <w:t>Jovem Aprendiz</w:t>
            </w:r>
          </w:p>
        </w:tc>
        <w:tc>
          <w:tcPr>
            <w:tcW w:w="1040" w:type="pct"/>
            <w:tcMar>
              <w:top w:w="0" w:type="dxa"/>
              <w:left w:w="80" w:type="dxa"/>
              <w:bottom w:w="0" w:type="dxa"/>
              <w:right w:w="80" w:type="dxa"/>
            </w:tcMar>
            <w:vAlign w:val="center"/>
          </w:tcPr>
          <w:p w14:paraId="39C9C1BB" w14:textId="3933820C"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40</w:t>
            </w:r>
          </w:p>
        </w:tc>
        <w:tc>
          <w:tcPr>
            <w:tcW w:w="1031" w:type="pct"/>
            <w:tcMar>
              <w:top w:w="0" w:type="dxa"/>
              <w:left w:w="80" w:type="dxa"/>
              <w:bottom w:w="0" w:type="dxa"/>
              <w:right w:w="80" w:type="dxa"/>
            </w:tcMar>
            <w:vAlign w:val="center"/>
          </w:tcPr>
          <w:p w14:paraId="0C19E446" w14:textId="77777777"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3</w:t>
            </w:r>
          </w:p>
        </w:tc>
        <w:tc>
          <w:tcPr>
            <w:tcW w:w="970" w:type="pct"/>
            <w:tcMar>
              <w:top w:w="0" w:type="dxa"/>
              <w:left w:w="80" w:type="dxa"/>
              <w:bottom w:w="0" w:type="dxa"/>
              <w:right w:w="80" w:type="dxa"/>
            </w:tcMar>
            <w:vAlign w:val="center"/>
          </w:tcPr>
          <w:p w14:paraId="585713E4" w14:textId="0810D7BC"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8%</w:t>
            </w:r>
          </w:p>
        </w:tc>
      </w:tr>
      <w:tr w:rsidR="00096697" w14:paraId="150D21CC" w14:textId="77777777" w:rsidTr="008B3EFF">
        <w:trPr>
          <w:cantSplit/>
          <w:trHeight w:val="680"/>
          <w:jc w:val="center"/>
        </w:trPr>
        <w:tc>
          <w:tcPr>
            <w:tcW w:w="1958" w:type="pct"/>
            <w:tcMar>
              <w:top w:w="0" w:type="dxa"/>
              <w:left w:w="80" w:type="dxa"/>
              <w:bottom w:w="0" w:type="dxa"/>
              <w:right w:w="80" w:type="dxa"/>
            </w:tcMar>
          </w:tcPr>
          <w:p w14:paraId="48E1692A" w14:textId="77777777" w:rsidR="00096697" w:rsidRPr="008520F6" w:rsidRDefault="00096697" w:rsidP="008B3EFF">
            <w:pPr>
              <w:rPr>
                <w:rFonts w:asciiTheme="minorHAnsi" w:hAnsiTheme="minorHAnsi" w:cstheme="minorHAnsi"/>
                <w:sz w:val="22"/>
                <w:szCs w:val="22"/>
              </w:rPr>
            </w:pPr>
            <w:r w:rsidRPr="008520F6">
              <w:rPr>
                <w:rFonts w:asciiTheme="minorHAnsi" w:hAnsiTheme="minorHAnsi" w:cstheme="minorHAnsi"/>
                <w:sz w:val="22"/>
                <w:szCs w:val="22"/>
              </w:rPr>
              <w:t>Terceirizado(a) ou contratado (a) Voluntário</w:t>
            </w:r>
          </w:p>
        </w:tc>
        <w:tc>
          <w:tcPr>
            <w:tcW w:w="1040" w:type="pct"/>
            <w:tcMar>
              <w:top w:w="0" w:type="dxa"/>
              <w:left w:w="80" w:type="dxa"/>
              <w:bottom w:w="0" w:type="dxa"/>
              <w:right w:w="80" w:type="dxa"/>
            </w:tcMar>
            <w:vAlign w:val="center"/>
          </w:tcPr>
          <w:p w14:paraId="0A8C3CB0" w14:textId="093104D1"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1.937</w:t>
            </w:r>
          </w:p>
        </w:tc>
        <w:tc>
          <w:tcPr>
            <w:tcW w:w="1031" w:type="pct"/>
            <w:tcMar>
              <w:top w:w="0" w:type="dxa"/>
              <w:left w:w="80" w:type="dxa"/>
              <w:bottom w:w="0" w:type="dxa"/>
              <w:right w:w="80" w:type="dxa"/>
            </w:tcMar>
            <w:vAlign w:val="center"/>
          </w:tcPr>
          <w:p w14:paraId="4100E9E7" w14:textId="77777777"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19</w:t>
            </w:r>
          </w:p>
        </w:tc>
        <w:tc>
          <w:tcPr>
            <w:tcW w:w="970" w:type="pct"/>
            <w:tcMar>
              <w:top w:w="0" w:type="dxa"/>
              <w:left w:w="80" w:type="dxa"/>
              <w:bottom w:w="0" w:type="dxa"/>
              <w:right w:w="80" w:type="dxa"/>
            </w:tcMar>
            <w:vAlign w:val="center"/>
          </w:tcPr>
          <w:p w14:paraId="5B1A2513" w14:textId="38927E46" w:rsidR="00096697" w:rsidRPr="008520F6" w:rsidRDefault="00096697" w:rsidP="008B3EFF">
            <w:pPr>
              <w:jc w:val="center"/>
              <w:rPr>
                <w:rFonts w:asciiTheme="minorHAnsi" w:hAnsiTheme="minorHAnsi" w:cstheme="minorHAnsi"/>
                <w:sz w:val="22"/>
                <w:szCs w:val="22"/>
              </w:rPr>
            </w:pPr>
            <w:r w:rsidRPr="008520F6">
              <w:rPr>
                <w:rFonts w:asciiTheme="minorHAnsi" w:hAnsiTheme="minorHAnsi" w:cstheme="minorHAnsi"/>
                <w:sz w:val="22"/>
                <w:szCs w:val="22"/>
              </w:rPr>
              <w:t>1%</w:t>
            </w:r>
          </w:p>
        </w:tc>
      </w:tr>
      <w:tr w:rsidR="00096697" w14:paraId="2F86C856" w14:textId="77777777" w:rsidTr="008B3EFF">
        <w:trPr>
          <w:cantSplit/>
          <w:trHeight w:val="680"/>
          <w:jc w:val="center"/>
        </w:trPr>
        <w:tc>
          <w:tcPr>
            <w:tcW w:w="1958" w:type="pct"/>
            <w:tcMar>
              <w:top w:w="0" w:type="dxa"/>
              <w:left w:w="80" w:type="dxa"/>
              <w:bottom w:w="0" w:type="dxa"/>
              <w:right w:w="80" w:type="dxa"/>
            </w:tcMar>
            <w:vAlign w:val="center"/>
          </w:tcPr>
          <w:p w14:paraId="33D6450F" w14:textId="77777777" w:rsidR="00096697" w:rsidRPr="008B3EFF" w:rsidRDefault="00096697" w:rsidP="008B3EFF">
            <w:pPr>
              <w:jc w:val="center"/>
              <w:rPr>
                <w:rFonts w:asciiTheme="minorHAnsi" w:hAnsiTheme="minorHAnsi" w:cstheme="minorHAnsi"/>
                <w:b/>
                <w:sz w:val="22"/>
                <w:szCs w:val="22"/>
              </w:rPr>
            </w:pPr>
            <w:r w:rsidRPr="008B3EFF">
              <w:rPr>
                <w:rFonts w:asciiTheme="minorHAnsi" w:hAnsiTheme="minorHAnsi" w:cstheme="minorHAnsi"/>
                <w:b/>
                <w:sz w:val="22"/>
                <w:szCs w:val="22"/>
              </w:rPr>
              <w:t>Total</w:t>
            </w:r>
          </w:p>
        </w:tc>
        <w:tc>
          <w:tcPr>
            <w:tcW w:w="1040" w:type="pct"/>
            <w:tcMar>
              <w:top w:w="0" w:type="dxa"/>
              <w:left w:w="80" w:type="dxa"/>
              <w:bottom w:w="0" w:type="dxa"/>
              <w:right w:w="80" w:type="dxa"/>
            </w:tcMar>
            <w:vAlign w:val="center"/>
          </w:tcPr>
          <w:p w14:paraId="3E2421E6" w14:textId="67030DAE" w:rsidR="00096697" w:rsidRPr="008B3EFF" w:rsidRDefault="00096697" w:rsidP="008B3EFF">
            <w:pPr>
              <w:jc w:val="center"/>
              <w:rPr>
                <w:rFonts w:asciiTheme="minorHAnsi" w:hAnsiTheme="minorHAnsi" w:cstheme="minorHAnsi"/>
                <w:b/>
                <w:sz w:val="22"/>
                <w:szCs w:val="22"/>
              </w:rPr>
            </w:pPr>
            <w:r w:rsidRPr="008B3EFF">
              <w:rPr>
                <w:rFonts w:asciiTheme="minorHAnsi" w:hAnsiTheme="minorHAnsi" w:cstheme="minorHAnsi"/>
                <w:b/>
                <w:sz w:val="22"/>
                <w:szCs w:val="22"/>
              </w:rPr>
              <w:t>4.507</w:t>
            </w:r>
          </w:p>
        </w:tc>
        <w:tc>
          <w:tcPr>
            <w:tcW w:w="1031" w:type="pct"/>
            <w:tcMar>
              <w:top w:w="0" w:type="dxa"/>
              <w:left w:w="80" w:type="dxa"/>
              <w:bottom w:w="0" w:type="dxa"/>
              <w:right w:w="80" w:type="dxa"/>
            </w:tcMar>
            <w:vAlign w:val="center"/>
          </w:tcPr>
          <w:p w14:paraId="0B35390B" w14:textId="77777777" w:rsidR="00096697" w:rsidRPr="008B3EFF" w:rsidRDefault="00096697" w:rsidP="008B3EFF">
            <w:pPr>
              <w:jc w:val="center"/>
              <w:rPr>
                <w:rFonts w:asciiTheme="minorHAnsi" w:hAnsiTheme="minorHAnsi" w:cstheme="minorHAnsi"/>
                <w:b/>
                <w:sz w:val="22"/>
                <w:szCs w:val="22"/>
              </w:rPr>
            </w:pPr>
            <w:r w:rsidRPr="008B3EFF">
              <w:rPr>
                <w:rFonts w:asciiTheme="minorHAnsi" w:hAnsiTheme="minorHAnsi" w:cstheme="minorHAnsi"/>
                <w:b/>
                <w:sz w:val="22"/>
                <w:szCs w:val="22"/>
              </w:rPr>
              <w:t>303</w:t>
            </w:r>
          </w:p>
        </w:tc>
        <w:tc>
          <w:tcPr>
            <w:tcW w:w="970" w:type="pct"/>
            <w:tcMar>
              <w:top w:w="0" w:type="dxa"/>
              <w:left w:w="80" w:type="dxa"/>
              <w:bottom w:w="0" w:type="dxa"/>
              <w:right w:w="80" w:type="dxa"/>
            </w:tcMar>
            <w:vAlign w:val="center"/>
          </w:tcPr>
          <w:p w14:paraId="13DA0F39" w14:textId="7B30CCA2" w:rsidR="00096697" w:rsidRPr="008B3EFF" w:rsidRDefault="00096697" w:rsidP="008B3EFF">
            <w:pPr>
              <w:jc w:val="center"/>
              <w:rPr>
                <w:rFonts w:asciiTheme="minorHAnsi" w:hAnsiTheme="minorHAnsi" w:cstheme="minorHAnsi"/>
                <w:b/>
                <w:sz w:val="22"/>
                <w:szCs w:val="22"/>
              </w:rPr>
            </w:pPr>
            <w:r w:rsidRPr="008B3EFF">
              <w:rPr>
                <w:rFonts w:asciiTheme="minorHAnsi" w:hAnsiTheme="minorHAnsi" w:cstheme="minorHAnsi"/>
                <w:b/>
                <w:sz w:val="22"/>
                <w:szCs w:val="22"/>
              </w:rPr>
              <w:t>7%</w:t>
            </w:r>
          </w:p>
        </w:tc>
      </w:tr>
    </w:tbl>
    <w:p w14:paraId="4F742DFE" w14:textId="4343B387" w:rsidR="00096697" w:rsidRDefault="00096697" w:rsidP="00096697">
      <w:pPr>
        <w:pStyle w:val="Fonte"/>
      </w:pPr>
      <w:r>
        <w:t xml:space="preserve">Fonte: </w:t>
      </w:r>
      <w:r w:rsidRPr="000638C3">
        <w:rPr>
          <w:b w:val="0"/>
          <w:bCs/>
        </w:rPr>
        <w:t>Elaborado pela CPJUD/SEPJD/CPJED, com base nos dados da pesquisa (2025) e nos dados de pessoal do TST/CSJT (período de referência - março/2025).</w:t>
      </w:r>
    </w:p>
    <w:p w14:paraId="41D5828C" w14:textId="77777777" w:rsidR="00096697" w:rsidRDefault="00096697" w:rsidP="000638C3">
      <w:pPr>
        <w:pStyle w:val="Texto"/>
      </w:pPr>
    </w:p>
    <w:p w14:paraId="5E3F8A55" w14:textId="77777777" w:rsidR="009D272C" w:rsidRPr="00F86259" w:rsidRDefault="009D272C" w:rsidP="009D272C">
      <w:pPr>
        <w:pStyle w:val="Texto"/>
      </w:pPr>
      <w:r w:rsidRPr="00F86259">
        <w:t>A opção pelo questionário autoaplicado fundamentou-se na necessidade de abranger a maior quantidade possível de respondentes, garantir a padronização na investigação de percepções e comportamentos e, ainda, permitir a aplicação de questões distintas para respondentes que se identificam como homens e para aquelas que se identificam como mulheres.</w:t>
      </w:r>
    </w:p>
    <w:p w14:paraId="05BBD3F8" w14:textId="77777777" w:rsidR="009D272C" w:rsidRDefault="009D272C" w:rsidP="009D272C">
      <w:pPr>
        <w:pStyle w:val="Texto"/>
      </w:pPr>
      <w:r w:rsidRPr="00F86259">
        <w:t xml:space="preserve">Sucede que o uso de tal metodologia apresenta vantagens e limitações que devem ser consideradas na interpretação dos resultados. </w:t>
      </w:r>
    </w:p>
    <w:p w14:paraId="78826208" w14:textId="11BF8ACB" w:rsidR="009D272C" w:rsidRDefault="009D272C" w:rsidP="009D272C">
      <w:pPr>
        <w:pStyle w:val="Texto"/>
      </w:pPr>
      <w:r w:rsidRPr="00F86259">
        <w:t>Entre os aspectos positivos, destacam-se a praticidade do instrumento, o baixo custo op</w:t>
      </w:r>
      <w:r>
        <w:t>eracional,</w:t>
      </w:r>
      <w:r w:rsidRPr="00F86259">
        <w:t xml:space="preserve"> a possibilidade de alcançar um número expressivo de participantes em um curto espaço de tempo, </w:t>
      </w:r>
      <w:r>
        <w:t>além</w:t>
      </w:r>
      <w:r w:rsidRPr="00F86259">
        <w:t xml:space="preserve"> de reduzir potenciais vieses relacionados à influência do pesquisador durante a coleta de dados. </w:t>
      </w:r>
    </w:p>
    <w:p w14:paraId="69B5654B" w14:textId="77777777" w:rsidR="009D272C" w:rsidRDefault="009D272C" w:rsidP="009D272C">
      <w:pPr>
        <w:pStyle w:val="Texto"/>
      </w:pPr>
      <w:r w:rsidRPr="00F86259">
        <w:t xml:space="preserve">Por outro lado, trata-se de uma técnica que depende fortemente do engajamento voluntário, o que pode ocasionar taxas de resposta reduzidas e a formação de amostras não representativas de todo o público-alvo. </w:t>
      </w:r>
    </w:p>
    <w:p w14:paraId="61DAB4F1" w14:textId="6EFBF08B" w:rsidR="009D272C" w:rsidRPr="00096697" w:rsidRDefault="009D272C" w:rsidP="009D272C">
      <w:pPr>
        <w:pStyle w:val="Texto"/>
      </w:pPr>
      <w:r>
        <w:t xml:space="preserve">Ademais, </w:t>
      </w:r>
      <w:r w:rsidRPr="00096697">
        <w:t xml:space="preserve">pesquisas que utilizam amostragem voluntária estão sujeitas ao “viés de autosseleção”, uma vez que indivíduos que se interessam pessoalmente por um determinado tema têm maior probabilidade de participar e, portanto, tendem a ter opiniões que diferem de </w:t>
      </w:r>
      <w:r w:rsidRPr="00096697">
        <w:lastRenderedPageBreak/>
        <w:t>alguma forma daqueles que não participaram.</w:t>
      </w:r>
      <w:r w:rsidRPr="00096697">
        <w:rPr>
          <w:rStyle w:val="Refdenotaderodap"/>
        </w:rPr>
        <w:footnoteReference w:id="18"/>
      </w:r>
      <w:r w:rsidRPr="00096697">
        <w:t xml:space="preserve"> Tal tendência foi encontrada na própria distribuição do gênero dos/as respondentes, já que 80,5% (244 respondentes) declararam ser do gênero feminino, 19,1% (58 respondentes) do gênero masculino; e 0,3% (1 respondente) preferiu não informar.</w:t>
      </w:r>
    </w:p>
    <w:p w14:paraId="7C3C3BF9" w14:textId="3AA4B8EC" w:rsidR="009D272C" w:rsidRDefault="009D272C" w:rsidP="009D272C">
      <w:pPr>
        <w:pStyle w:val="Texto"/>
      </w:pPr>
      <w:r>
        <w:t>Outra limitação</w:t>
      </w:r>
      <w:r w:rsidRPr="00096697">
        <w:t xml:space="preserve"> é que opiniões sobre temas socialmente sensíveis, como àqueles relacionados à “participação feminina”, especialmente se mensuradas por perguntas diretas, podem ser enviesadas por um “efeito de desejabilidade social”. Esse viés consiste na tendência, intencional ou não-intencional, de participantes de pesquisas apresentarem respostas percebidas como socialmente aceitáveis, mesmo que estas não estejam de acordo com suas opiniões ou comportamentos verdadeiros.</w:t>
      </w:r>
      <w:r w:rsidRPr="00096697">
        <w:rPr>
          <w:rStyle w:val="Refdenotaderodap"/>
        </w:rPr>
        <w:footnoteReference w:id="19"/>
      </w:r>
    </w:p>
    <w:p w14:paraId="1834FD2E" w14:textId="77777777" w:rsidR="002D1C84" w:rsidRDefault="002D1C84" w:rsidP="00FB5A95">
      <w:pPr>
        <w:pStyle w:val="Texto"/>
      </w:pPr>
      <w:r>
        <w:t>Revela-se igualmente desafiadora a ausência de mediação direta, que pode gerar dificuldades na compreensão de determinadas questões, implicando, por via de consequência, respostas imprecisas, incompletas ou inconsistentes.</w:t>
      </w:r>
    </w:p>
    <w:p w14:paraId="2CC489E7" w14:textId="43E187DB" w:rsidR="00DB1697" w:rsidRDefault="00096697" w:rsidP="00FB5A95">
      <w:pPr>
        <w:pStyle w:val="Texto"/>
      </w:pPr>
      <w:r w:rsidRPr="00096697">
        <w:t>Essas limitações não permitem generalizar os resultados que serão apresentados neste relatório a todo universo de trabalhadores do TST e do CSJT, dado que a amostra da pesquisa não é representativa estatisticamente da população de interesse. Contudo, estudos que abordam percepção social, ao investigarem vivências, impressões, julgamentos e avaliações acerca de determinado fenômeno</w:t>
      </w:r>
      <w:r w:rsidRPr="00096697">
        <w:rPr>
          <w:rStyle w:val="Refdenotaderodap"/>
        </w:rPr>
        <w:footnoteReference w:id="20"/>
      </w:r>
      <w:r w:rsidRPr="00096697">
        <w:t xml:space="preserve">, mostram-se relevantes para identificar obstáculos sutis, expor sentimentos invisibilizados, promover a escuta e a reflexão crítica, e, assim, fundamentar a elaboração de políticas mais sensíveis e eficazes. </w:t>
      </w:r>
    </w:p>
    <w:p w14:paraId="1194330B" w14:textId="77777777" w:rsidR="00DB1697" w:rsidRDefault="00096697" w:rsidP="00FB5A95">
      <w:pPr>
        <w:pStyle w:val="Texto"/>
      </w:pPr>
      <w:r w:rsidRPr="00096697">
        <w:t>O instrumento de pesquisa, além das perguntas para o levantamento do perfil dos respondentes, continha perguntas comportamentais que foram divididas nos seguintes blocos temáticos: preconceito ou discriminação de gênero; oportunidades, carreira e liderança; família e vida pessoal; e cultura organizacional, respeito e equidade.</w:t>
      </w:r>
    </w:p>
    <w:p w14:paraId="75120517" w14:textId="77777777" w:rsidR="00DB1697" w:rsidRDefault="00096697" w:rsidP="00FB5A95">
      <w:pPr>
        <w:pStyle w:val="Texto"/>
      </w:pPr>
      <w:r w:rsidRPr="00096697">
        <w:lastRenderedPageBreak/>
        <w:t>Com vistas a identificar as diferenças entre a percepção de homens e mulheres sobre os temas abordados, bem como captar nuances presentes nas diferentes experiências, práticas sociais e perspectivas,</w:t>
      </w:r>
      <w:r w:rsidRPr="00096697">
        <w:rPr>
          <w:rStyle w:val="Refdenotaderodap"/>
        </w:rPr>
        <w:footnoteReference w:id="21"/>
      </w:r>
      <w:r w:rsidRPr="00096697">
        <w:t xml:space="preserve"> as perguntas foram adaptadas a cada gênero</w:t>
      </w:r>
      <w:r w:rsidRPr="00096697">
        <w:rPr>
          <w:vertAlign w:val="superscript"/>
        </w:rPr>
        <w:footnoteReference w:id="22"/>
      </w:r>
      <w:r w:rsidRPr="00096697">
        <w:t>. Essa abordagem, fundamentada na lente analítica do gênero, facilita a comparação entre os grupos e reduz o viés nas respostas, dado que as questões podem ser interpretadas de formas distintas, a depender da vivência de cada grupo.</w:t>
      </w:r>
    </w:p>
    <w:p w14:paraId="29B83A83" w14:textId="54F5CEF9" w:rsidR="00096697" w:rsidRPr="00096697" w:rsidRDefault="00096697" w:rsidP="00FB5A95">
      <w:pPr>
        <w:pStyle w:val="Texto"/>
      </w:pPr>
      <w:r w:rsidRPr="00096697">
        <w:t>Por fim, reconhecendo que as experiências de gênero são atravessadas por outras dimensões da identidade, os dados coletados foram analisados sob uma perspectiva interseccional</w:t>
      </w:r>
      <w:r w:rsidRPr="00096697">
        <w:rPr>
          <w:vertAlign w:val="superscript"/>
        </w:rPr>
        <w:footnoteReference w:id="23"/>
      </w:r>
      <w:r w:rsidRPr="00096697">
        <w:t>. Nesse sentido, as respostas do questionário foram cruzadas com os dados de perfil dos respondentes, incluindo raça/etnia, orientação sexual, tempo de serviço, idade e se a pessoa se identifica como pessoa com deficiência. Cabe destacar que os dados analisados sob essa ótica foram, em sua grande maioria, provenientes das respondentes do gênero feminino. Isso se deve, sobretudo, à maior sensibilidade e engajamento das mulheres em relação ao tema da participação feminina, bem como à relevância de suas percepções, marcadas por vivências e experiências diretamente afetadas pelas desigualdades de gênero.</w:t>
      </w:r>
    </w:p>
    <w:p w14:paraId="652E500C" w14:textId="7B6CB723" w:rsidR="00EE295F" w:rsidRDefault="00EE295F" w:rsidP="00FB5A95">
      <w:pPr>
        <w:pStyle w:val="Texto"/>
      </w:pPr>
    </w:p>
    <w:p w14:paraId="07F6B807" w14:textId="327982B7" w:rsidR="00DB1697" w:rsidRDefault="00DB1697" w:rsidP="00777082">
      <w:pPr>
        <w:pStyle w:val="Ttulo2"/>
      </w:pPr>
      <w:bookmarkStart w:id="11" w:name="_Toc207370450"/>
      <w:bookmarkStart w:id="12" w:name="_Toc208510808"/>
      <w:r>
        <w:t>PROCEDIMENTOS METODOLÓGICOS DOS ENCONTROS “DIÁLOGOS QUE TRANSFORMAM – VOZES FEMININAS: ACOLHIMENTO E CONEXÃO”</w:t>
      </w:r>
      <w:bookmarkEnd w:id="11"/>
      <w:bookmarkEnd w:id="12"/>
    </w:p>
    <w:p w14:paraId="064B983F" w14:textId="13AC6823" w:rsidR="007F7861" w:rsidRDefault="004D2D34" w:rsidP="00FB5A95">
      <w:pPr>
        <w:pStyle w:val="Texto"/>
      </w:pPr>
      <w:r>
        <w:t>Em março de 2025, a CDEP</w:t>
      </w:r>
      <w:r w:rsidR="007F7861">
        <w:t xml:space="preserve"> promoveu dois encontros intitulados “Diálogos que transformam - Vozes femininas: acolhimento e conexão”. A iniciativa teve como </w:t>
      </w:r>
      <w:r w:rsidR="002D1C84">
        <w:t>escopo precípuo</w:t>
      </w:r>
      <w:r w:rsidR="007F7861">
        <w:t xml:space="preserve"> principal fomentar um ambiente seguro, inclusivo e participativo para as servidoras e gestoras do TST, incentivando o diálogo, a escuta ativa e a construção coletiva de soluções para os desafios organizacionais e profissionais. </w:t>
      </w:r>
    </w:p>
    <w:p w14:paraId="1D1C6A74" w14:textId="2608B69B" w:rsidR="007F7861" w:rsidRDefault="007F7861" w:rsidP="00FB5A95">
      <w:pPr>
        <w:pStyle w:val="Texto"/>
      </w:pPr>
      <w:r>
        <w:lastRenderedPageBreak/>
        <w:t>A ação foi realizada em duas turmas: uma direcionada às servidoras e outra às gestoras lotadas nas diversas unidades do Tribunal. Cada encontro teve duração de três horas-aula e utilizou a Roda de Conversa</w:t>
      </w:r>
      <w:r w:rsidR="00925922">
        <w:rPr>
          <w:rStyle w:val="Refdenotaderodap"/>
        </w:rPr>
        <w:footnoteReference w:id="24"/>
      </w:r>
      <w:r>
        <w:t xml:space="preserve"> e o </w:t>
      </w:r>
      <w:r>
        <w:rPr>
          <w:i/>
        </w:rPr>
        <w:t>World Café</w:t>
      </w:r>
      <w:r w:rsidR="00925922">
        <w:rPr>
          <w:rStyle w:val="Refdenotaderodap"/>
          <w:i/>
        </w:rPr>
        <w:footnoteReference w:id="25"/>
      </w:r>
      <w:r>
        <w:t xml:space="preserve"> como metodologias. As participantes foram divididas em mesas menores para discutir questões previamente elaboradas pelas facilitadoras, integrantes da equipe da Coordenadoria de Desenvolvimento de Pessoas e da Divisão de Educação Corporativa. </w:t>
      </w:r>
    </w:p>
    <w:p w14:paraId="00EEB899" w14:textId="7308120C" w:rsidR="00726867" w:rsidRPr="00347CBD" w:rsidRDefault="007F7861" w:rsidP="00FB5A95">
      <w:pPr>
        <w:pStyle w:val="Texto"/>
      </w:pPr>
      <w:r>
        <w:t xml:space="preserve">Após os encontros, as informações mapeadas foram consolidadas pela CDEP e submetidas à análise das participantes. Os resultados foram validados pelos grupos e, posteriormente, apresentados ao Comitê de Participação Feminina do TST e do CSJT. O documento com a apresentação dos resultados foi então encaminhado à </w:t>
      </w:r>
      <w:r w:rsidR="00DB1697">
        <w:t>SEPJD</w:t>
      </w:r>
      <w:r>
        <w:t xml:space="preserve"> (Processo Administrativo TST nº 6007417/2025-00), com o objetivo de incorporar os dados a esta Pesquisa de Participação Feminina.</w:t>
      </w:r>
    </w:p>
    <w:p w14:paraId="612C67F9" w14:textId="77777777" w:rsidR="00726867" w:rsidRPr="00347CBD" w:rsidRDefault="00726867" w:rsidP="00FB5A95">
      <w:pPr>
        <w:pStyle w:val="Texto"/>
      </w:pPr>
    </w:p>
    <w:p w14:paraId="7F9DAF1A" w14:textId="2C9B984E" w:rsidR="00726867" w:rsidRPr="00777082" w:rsidRDefault="00DB1697" w:rsidP="00777082">
      <w:pPr>
        <w:pStyle w:val="Ttulo2"/>
      </w:pPr>
      <w:bookmarkStart w:id="13" w:name="_Toc207370451"/>
      <w:bookmarkStart w:id="14" w:name="_Toc208510809"/>
      <w:r w:rsidRPr="00777082">
        <w:t>PROCEDIMENTOS METODOLÓGICOS DA ANÁLISE SOBRE A TRAJETÓRIA PROFISSIONAL DE SERVIDORAS QUE USUFRUÍRAM DE LICENÇA-MATERNIDADE</w:t>
      </w:r>
      <w:r w:rsidR="00004AE0" w:rsidRPr="00777082">
        <w:t xml:space="preserve"> NO TST E NO CSJT</w:t>
      </w:r>
      <w:bookmarkEnd w:id="13"/>
      <w:bookmarkEnd w:id="14"/>
    </w:p>
    <w:p w14:paraId="746505EC" w14:textId="376750FF" w:rsidR="00004AE0" w:rsidRDefault="00933702" w:rsidP="00FB5A95">
      <w:pPr>
        <w:pStyle w:val="Texto"/>
      </w:pPr>
      <w:r>
        <w:t>Os resultados encontrados n</w:t>
      </w:r>
      <w:r w:rsidR="00004AE0">
        <w:t>o diagnóstico</w:t>
      </w:r>
      <w:r>
        <w:t xml:space="preserve"> da participação feminina no</w:t>
      </w:r>
      <w:r w:rsidR="00004AE0">
        <w:t xml:space="preserve">s cargos de gestão e </w:t>
      </w:r>
      <w:r>
        <w:t xml:space="preserve">na pesquisa de percepção geraram a necessidade de complementar </w:t>
      </w:r>
      <w:r w:rsidR="001B7B19">
        <w:t>este</w:t>
      </w:r>
      <w:r>
        <w:t xml:space="preserve"> estudo com uma </w:t>
      </w:r>
      <w:r>
        <w:lastRenderedPageBreak/>
        <w:t>análise da dinâmica de ocupação de funções comissionadas e cargos em comissão por servidoras que usufruíram de licença-maternidade no TST/CSJT.</w:t>
      </w:r>
      <w:r w:rsidR="00004AE0">
        <w:t xml:space="preserve"> </w:t>
      </w:r>
    </w:p>
    <w:p w14:paraId="7FB73430" w14:textId="77D93D9B" w:rsidR="00004AE0" w:rsidRDefault="00004AE0" w:rsidP="00FB5A95">
      <w:pPr>
        <w:pStyle w:val="Texto"/>
        <w:rPr>
          <w:color w:val="000000"/>
        </w:rPr>
      </w:pPr>
      <w:r>
        <w:t>Dess</w:t>
      </w:r>
      <w:r w:rsidR="004D2D34">
        <w:t xml:space="preserve">a forma, solicitou-se à CIF </w:t>
      </w:r>
      <w:r>
        <w:t xml:space="preserve">um levantamento dos </w:t>
      </w:r>
      <w:r>
        <w:rPr>
          <w:color w:val="000000"/>
        </w:rPr>
        <w:t>cargos e funções ocupados p</w:t>
      </w:r>
      <w:r w:rsidR="001B7B19">
        <w:rPr>
          <w:color w:val="000000"/>
        </w:rPr>
        <w:t xml:space="preserve">or essas </w:t>
      </w:r>
      <w:r>
        <w:rPr>
          <w:color w:val="000000"/>
        </w:rPr>
        <w:t xml:space="preserve">servidoras um ano antes, durante e um ano </w:t>
      </w:r>
      <w:r w:rsidR="001B7B19">
        <w:rPr>
          <w:color w:val="000000"/>
        </w:rPr>
        <w:t xml:space="preserve">após </w:t>
      </w:r>
      <w:r w:rsidR="004D2D34">
        <w:rPr>
          <w:color w:val="000000"/>
        </w:rPr>
        <w:t>o período de</w:t>
      </w:r>
      <w:r w:rsidR="001B7B19">
        <w:rPr>
          <w:color w:val="000000"/>
        </w:rPr>
        <w:t xml:space="preserve"> </w:t>
      </w:r>
      <w:r>
        <w:rPr>
          <w:color w:val="000000"/>
        </w:rPr>
        <w:t>licença-maternidade, no intuito de</w:t>
      </w:r>
      <w:r w:rsidR="001B7B19">
        <w:rPr>
          <w:color w:val="000000"/>
        </w:rPr>
        <w:t xml:space="preserve"> verificar possíveis </w:t>
      </w:r>
      <w:r>
        <w:rPr>
          <w:color w:val="000000"/>
        </w:rPr>
        <w:t xml:space="preserve">indícios de </w:t>
      </w:r>
      <w:r w:rsidR="001B7B19">
        <w:rPr>
          <w:color w:val="000000"/>
        </w:rPr>
        <w:t>impacto da</w:t>
      </w:r>
      <w:r>
        <w:rPr>
          <w:color w:val="000000"/>
        </w:rPr>
        <w:t xml:space="preserve"> licença</w:t>
      </w:r>
      <w:r w:rsidR="001B7B19">
        <w:rPr>
          <w:color w:val="000000"/>
        </w:rPr>
        <w:t xml:space="preserve"> na</w:t>
      </w:r>
      <w:r>
        <w:rPr>
          <w:color w:val="000000"/>
        </w:rPr>
        <w:t xml:space="preserve"> manutenção de funções e responsabilidades pelas servidoras.</w:t>
      </w:r>
      <w:r>
        <w:t xml:space="preserve"> </w:t>
      </w:r>
      <w:r>
        <w:rPr>
          <w:color w:val="000000"/>
        </w:rPr>
        <w:t>Os dados utilizados são ref</w:t>
      </w:r>
      <w:r w:rsidR="001B7B19">
        <w:rPr>
          <w:color w:val="000000"/>
        </w:rPr>
        <w:t>erentes a todas as mulheres que estiveram em</w:t>
      </w:r>
      <w:r>
        <w:rPr>
          <w:color w:val="000000"/>
        </w:rPr>
        <w:t xml:space="preserve"> licença-maternidade entre 2020 e 2025</w:t>
      </w:r>
      <w:r w:rsidR="001B7B19">
        <w:rPr>
          <w:color w:val="000000"/>
        </w:rPr>
        <w:t>, no âmbito do</w:t>
      </w:r>
      <w:r w:rsidR="003503A3">
        <w:rPr>
          <w:color w:val="000000"/>
        </w:rPr>
        <w:t xml:space="preserve"> TST/CSJT.</w:t>
      </w:r>
    </w:p>
    <w:p w14:paraId="63823D95" w14:textId="77777777" w:rsidR="00FB5A95" w:rsidRDefault="00004AE0" w:rsidP="00FB5A95">
      <w:pPr>
        <w:pStyle w:val="Texto"/>
      </w:pPr>
      <w:r>
        <w:rPr>
          <w:color w:val="000000"/>
        </w:rPr>
        <w:t xml:space="preserve">A análise foi </w:t>
      </w:r>
      <w:r w:rsidR="001B7B19">
        <w:rPr>
          <w:color w:val="000000"/>
        </w:rPr>
        <w:t>conduzida a</w:t>
      </w:r>
      <w:r>
        <w:rPr>
          <w:color w:val="000000"/>
        </w:rPr>
        <w:t xml:space="preserve"> partir da estatística descritiva, </w:t>
      </w:r>
      <w:r w:rsidR="001B7B19">
        <w:rPr>
          <w:color w:val="000000"/>
        </w:rPr>
        <w:t>após organização e classif</w:t>
      </w:r>
      <w:r w:rsidR="009E0365">
        <w:rPr>
          <w:color w:val="000000"/>
        </w:rPr>
        <w:t>icação prévias das informações.</w:t>
      </w:r>
    </w:p>
    <w:p w14:paraId="7AC71BB4" w14:textId="77777777" w:rsidR="00FB5A95" w:rsidRDefault="00FB5A95" w:rsidP="00FB5A95">
      <w:pPr>
        <w:pStyle w:val="Texto"/>
      </w:pPr>
    </w:p>
    <w:p w14:paraId="5F5382C3" w14:textId="168155D9" w:rsidR="00726867" w:rsidRPr="00347CBD" w:rsidRDefault="00726867" w:rsidP="00FB5A95">
      <w:pPr>
        <w:pStyle w:val="Texto"/>
      </w:pPr>
      <w:r w:rsidRPr="00347CBD">
        <w:br w:type="page"/>
      </w:r>
    </w:p>
    <w:p w14:paraId="21CC58AB" w14:textId="2FA5042D" w:rsidR="00726867" w:rsidRPr="00347CBD" w:rsidRDefault="007701F6" w:rsidP="009A0D9E">
      <w:pPr>
        <w:pStyle w:val="Ttulo1"/>
      </w:pPr>
      <w:bookmarkStart w:id="15" w:name="_Toc207370452"/>
      <w:bookmarkStart w:id="16" w:name="_Toc208510810"/>
      <w:r>
        <w:lastRenderedPageBreak/>
        <w:t>RESULTADOS</w:t>
      </w:r>
      <w:bookmarkEnd w:id="15"/>
      <w:bookmarkEnd w:id="16"/>
    </w:p>
    <w:p w14:paraId="062ECB72" w14:textId="77777777" w:rsidR="00726867" w:rsidRDefault="00726867" w:rsidP="00FB5A95">
      <w:pPr>
        <w:pStyle w:val="Texto"/>
      </w:pPr>
    </w:p>
    <w:p w14:paraId="1D7B23C1" w14:textId="7FAA84E7" w:rsidR="001A6593" w:rsidRDefault="006F14E5" w:rsidP="00FB5A95">
      <w:pPr>
        <w:spacing w:line="360" w:lineRule="auto"/>
        <w:ind w:firstLine="851"/>
        <w:jc w:val="both"/>
        <w:rPr>
          <w:rFonts w:asciiTheme="minorHAnsi" w:hAnsiTheme="minorHAnsi" w:cstheme="minorHAnsi"/>
        </w:rPr>
      </w:pPr>
      <w:r>
        <w:rPr>
          <w:rFonts w:asciiTheme="minorHAnsi" w:hAnsiTheme="minorHAnsi" w:cstheme="minorHAnsi"/>
        </w:rPr>
        <w:t xml:space="preserve">Esta seção do relatório apresenta os </w:t>
      </w:r>
      <w:r w:rsidR="00B370C4">
        <w:rPr>
          <w:rFonts w:asciiTheme="minorHAnsi" w:hAnsiTheme="minorHAnsi" w:cstheme="minorHAnsi"/>
        </w:rPr>
        <w:t>principais resultados obtidos</w:t>
      </w:r>
      <w:r w:rsidR="009E0365">
        <w:rPr>
          <w:rFonts w:asciiTheme="minorHAnsi" w:hAnsiTheme="minorHAnsi" w:cstheme="minorHAnsi"/>
        </w:rPr>
        <w:t xml:space="preserve"> em cada uma das dimensões analisadas n</w:t>
      </w:r>
      <w:r w:rsidR="00B370C4">
        <w:rPr>
          <w:rFonts w:asciiTheme="minorHAnsi" w:hAnsiTheme="minorHAnsi" w:cstheme="minorHAnsi"/>
        </w:rPr>
        <w:t>a pesquisa sobre a particip</w:t>
      </w:r>
      <w:r w:rsidR="009E0365">
        <w:rPr>
          <w:rFonts w:asciiTheme="minorHAnsi" w:hAnsiTheme="minorHAnsi" w:cstheme="minorHAnsi"/>
        </w:rPr>
        <w:t xml:space="preserve">ação feminina no TST e no CSJT. </w:t>
      </w:r>
      <w:r w:rsidR="001A6593">
        <w:rPr>
          <w:rFonts w:asciiTheme="minorHAnsi" w:hAnsiTheme="minorHAnsi" w:cstheme="minorHAnsi"/>
        </w:rPr>
        <w:t>Está organizada</w:t>
      </w:r>
      <w:r w:rsidR="009E0365">
        <w:rPr>
          <w:rFonts w:asciiTheme="minorHAnsi" w:hAnsiTheme="minorHAnsi" w:cstheme="minorHAnsi"/>
        </w:rPr>
        <w:t xml:space="preserve"> em quatro subseções, nas quais são detalhados os achados a partir das diferentes bases de dados utilizadas.</w:t>
      </w:r>
    </w:p>
    <w:p w14:paraId="52375473" w14:textId="77777777" w:rsidR="004D2D34" w:rsidRPr="00B370C4" w:rsidRDefault="004D2D34" w:rsidP="00FB5A95">
      <w:pPr>
        <w:spacing w:line="360" w:lineRule="auto"/>
        <w:ind w:firstLine="851"/>
        <w:jc w:val="both"/>
        <w:rPr>
          <w:rFonts w:asciiTheme="minorHAnsi" w:hAnsiTheme="minorHAnsi" w:cstheme="minorHAnsi"/>
        </w:rPr>
      </w:pPr>
    </w:p>
    <w:p w14:paraId="0958AFB9" w14:textId="467C99DA" w:rsidR="00914641" w:rsidRDefault="007701F6" w:rsidP="00982FCA">
      <w:pPr>
        <w:pStyle w:val="Ttulo2"/>
        <w:spacing w:after="160"/>
        <w:contextualSpacing/>
      </w:pPr>
      <w:bookmarkStart w:id="17" w:name="_Toc207370453"/>
      <w:bookmarkStart w:id="18" w:name="_Toc208510811"/>
      <w:r w:rsidRPr="00AD29D0">
        <w:t xml:space="preserve">DIAGNÓSTICO DA PARTICIPAÇÃO FEMININA </w:t>
      </w:r>
      <w:r w:rsidR="008C2310">
        <w:t>NO</w:t>
      </w:r>
      <w:r w:rsidRPr="00AD29D0">
        <w:t xml:space="preserve"> TST E </w:t>
      </w:r>
      <w:r w:rsidR="008C2310">
        <w:t>N</w:t>
      </w:r>
      <w:r w:rsidRPr="00AD29D0">
        <w:t>O CSJT</w:t>
      </w:r>
      <w:bookmarkEnd w:id="17"/>
      <w:bookmarkEnd w:id="18"/>
    </w:p>
    <w:p w14:paraId="563DD183" w14:textId="77777777" w:rsidR="007C5574" w:rsidRDefault="007C5574" w:rsidP="00FB5A95">
      <w:pPr>
        <w:pStyle w:val="Texto"/>
      </w:pPr>
      <w:r>
        <w:t>A presente subseção debruça-se sobre a análise da distribuição por gênero dos cargos de gestão e liderança, no âmbito do TST e do CSJT, a partir de recortes por nível hierárquico, natureza da atividade e faixa etária, com o propósito de se averiguar em que medida a representatividade observada no quadro geral de servidores se reflete nos espaços decisórios. Previamente, contudo, proceder-se-á ao exame da ocupação dos cargos em comissão e das funções comissionadas, com o fito de se delinear um panorama geral da distribuição por gênero nas aludidas posições.</w:t>
      </w:r>
    </w:p>
    <w:p w14:paraId="5B6495BB" w14:textId="1C9B764B" w:rsidR="008D57E1" w:rsidRDefault="008D57E1" w:rsidP="00FB5A95">
      <w:pPr>
        <w:pStyle w:val="Texto"/>
      </w:pPr>
      <w:r>
        <w:t xml:space="preserve">O estudo </w:t>
      </w:r>
      <w:r w:rsidRPr="00B61A91">
        <w:t xml:space="preserve"> considera os dados de abril de 2025, período próximo à realização da “Pesquisa de Percepção da Participação Feminina no TST/CSJT”, </w:t>
      </w:r>
      <w:r w:rsidR="004C1112">
        <w:t>ocorrida</w:t>
      </w:r>
      <w:r w:rsidRPr="00B61A91">
        <w:t xml:space="preserve"> em março de 2025, e os compara com a série his</w:t>
      </w:r>
      <w:r>
        <w:t xml:space="preserve">tórica dos últimos cinco anos. </w:t>
      </w:r>
    </w:p>
    <w:p w14:paraId="59905FEA" w14:textId="44503F1C" w:rsidR="00524B47" w:rsidRDefault="0009216C" w:rsidP="00FB5A95">
      <w:pPr>
        <w:pStyle w:val="Texto"/>
      </w:pPr>
      <w:r>
        <w:t>Para assegurar</w:t>
      </w:r>
      <w:r w:rsidRPr="00B61A91">
        <w:t xml:space="preserve"> a p</w:t>
      </w:r>
      <w:r>
        <w:t xml:space="preserve">recisão da análise, os dados </w:t>
      </w:r>
      <w:r w:rsidRPr="00B61A91">
        <w:t>do TST e do CSJT</w:t>
      </w:r>
      <w:r w:rsidR="009C4B5F">
        <w:t xml:space="preserve"> serão examinados tanto conjuntamente como separadamente. </w:t>
      </w:r>
      <w:r w:rsidR="00675FEB">
        <w:t>É preciso esclarecer que o CSJT</w:t>
      </w:r>
      <w:r w:rsidR="009C4B5F">
        <w:t xml:space="preserve"> possui, em seu quadro efetivo, apenas 44 cargos </w:t>
      </w:r>
      <w:r w:rsidR="00D114F3">
        <w:t>criados pela Lei nº 12.934/2013</w:t>
      </w:r>
      <w:r w:rsidR="00524B47">
        <w:rPr>
          <w:rStyle w:val="Refdenotaderodap"/>
        </w:rPr>
        <w:footnoteReference w:id="26"/>
      </w:r>
      <w:r w:rsidR="00D114F3">
        <w:t>. Esses cargos estão relacionados à área de Tecnologia da Informação e não representam a totalidade</w:t>
      </w:r>
      <w:r w:rsidR="00982FCA">
        <w:t xml:space="preserve"> de servidores que atuam no órgão</w:t>
      </w:r>
      <w:r w:rsidR="00D114F3">
        <w:t>. Dessa forma, a maior part</w:t>
      </w:r>
      <w:r w:rsidR="00675FEB">
        <w:t xml:space="preserve">e dos servidores que compõem o </w:t>
      </w:r>
      <w:r w:rsidR="00982FCA">
        <w:t>CSJT</w:t>
      </w:r>
      <w:r w:rsidR="00675FEB">
        <w:t xml:space="preserve"> é proveniente</w:t>
      </w:r>
      <w:r w:rsidR="00D114F3">
        <w:t xml:space="preserve"> </w:t>
      </w:r>
      <w:r w:rsidR="00524B47">
        <w:t xml:space="preserve">do TST, </w:t>
      </w:r>
      <w:r w:rsidR="00982FCA">
        <w:t xml:space="preserve">situação </w:t>
      </w:r>
      <w:r w:rsidR="00675FEB">
        <w:t>viabilizad</w:t>
      </w:r>
      <w:r w:rsidR="00982FCA">
        <w:t xml:space="preserve">a </w:t>
      </w:r>
      <w:r w:rsidR="00D114F3">
        <w:t>por um Protocolo de Cooperação</w:t>
      </w:r>
      <w:r w:rsidR="00227DA8">
        <w:rPr>
          <w:rStyle w:val="Refdenotaderodap"/>
        </w:rPr>
        <w:footnoteReference w:id="27"/>
      </w:r>
      <w:r w:rsidR="00D114F3">
        <w:t xml:space="preserve"> firmado entre </w:t>
      </w:r>
      <w:r w:rsidR="00524B47">
        <w:t>os dois órgãos</w:t>
      </w:r>
      <w:r w:rsidR="00D114F3">
        <w:t xml:space="preserve">. </w:t>
      </w:r>
    </w:p>
    <w:p w14:paraId="609DD140" w14:textId="47445234" w:rsidR="00B61A91" w:rsidRDefault="007C5574" w:rsidP="00FB5A95">
      <w:pPr>
        <w:pStyle w:val="Texto"/>
      </w:pPr>
      <w:r>
        <w:lastRenderedPageBreak/>
        <w:t>Conquanto o número de cargos efetivos próprios do Conselho seja restrito, a análise a ser desenvolvida neste relatório abarcará os cargos em comissão e as funções comissionadas existentes na estrutura do referido órgão, com o fito de se propiciar uma compreensão mais abrangente da distribuição dos cargos de gestão e liderança no contexto organizacional do CSJT. A referida abordagem, ademais, justifica-se na necessidade de se alinhar os dados desta pesquisa à metodologia empregada pelo Painel Justiça em Números do CNJ, o qual apresenta de forma segregada os dados referentes ao CSJT e ao TST.</w:t>
      </w:r>
    </w:p>
    <w:p w14:paraId="23126657" w14:textId="77777777" w:rsidR="007C5574" w:rsidRPr="00726867" w:rsidRDefault="007C5574" w:rsidP="00FB5A95">
      <w:pPr>
        <w:pStyle w:val="Texto"/>
      </w:pPr>
    </w:p>
    <w:p w14:paraId="7D835CAC" w14:textId="4F982676" w:rsidR="00C37349" w:rsidRPr="00FB5A95" w:rsidRDefault="007701F6" w:rsidP="00FB5A95">
      <w:pPr>
        <w:pStyle w:val="Ttulo3"/>
      </w:pPr>
      <w:bookmarkStart w:id="19" w:name="_Toc208510812"/>
      <w:r w:rsidRPr="00FB5A95">
        <w:t xml:space="preserve">Participação feminina em cargos </w:t>
      </w:r>
      <w:r w:rsidR="000612D5" w:rsidRPr="00FB5A95">
        <w:t>em comissão</w:t>
      </w:r>
      <w:r w:rsidR="003C00B9" w:rsidRPr="00FB5A95">
        <w:t xml:space="preserve"> e funções comissionadas no</w:t>
      </w:r>
      <w:r w:rsidRPr="00FB5A95">
        <w:t xml:space="preserve"> TST e no CSJT</w:t>
      </w:r>
      <w:bookmarkEnd w:id="19"/>
    </w:p>
    <w:p w14:paraId="70AB9930" w14:textId="77777777" w:rsidR="00B93F60" w:rsidRDefault="00B93F60" w:rsidP="00FB5A95">
      <w:pPr>
        <w:pStyle w:val="Texto"/>
      </w:pPr>
    </w:p>
    <w:p w14:paraId="0004984D" w14:textId="77777777" w:rsidR="007701F6" w:rsidRPr="007701F6" w:rsidRDefault="007701F6" w:rsidP="00FB5A95">
      <w:pPr>
        <w:pStyle w:val="Texto"/>
      </w:pPr>
      <w:r w:rsidRPr="007701F6">
        <w:t>Os cargos em comissão (CJs) e as funções comissionadas (FCs) integram os quadros de pessoal do TST e do CSJT, conforme previsto no Plano de Carreiras do Judiciário</w:t>
      </w:r>
      <w:r w:rsidRPr="007701F6">
        <w:rPr>
          <w:vertAlign w:val="superscript"/>
        </w:rPr>
        <w:footnoteReference w:id="28"/>
      </w:r>
      <w:r w:rsidRPr="007701F6">
        <w:t xml:space="preserve">. Os CJs, escalonados de CJ-01 a CJ-04, podem ser ocupados por servidores efetivos ou por pessoas externas ao quadro institucional, sem necessidade de concurso público, desde que atendam aos requisitos legais. Já as FCs, escalonadas de FC-01 a FC-06, são exercidas exclusivamente por servidores efetivos. Ambos são instrumentos essenciais para a ocupação de postos estratégicos, como posições de direção, chefia ou assessoramento, sendo preenchidos por indicação, com base na confiança do titular da unidade. </w:t>
      </w:r>
    </w:p>
    <w:p w14:paraId="3A6A18F6" w14:textId="77777777" w:rsidR="00A47911" w:rsidRDefault="00B93F60" w:rsidP="00A47911">
      <w:pPr>
        <w:pStyle w:val="Texto"/>
      </w:pPr>
      <w:r w:rsidRPr="007B5F0A">
        <w:t>O quadro total de servidores do TST/CSJT perfaz um universo de 2.606 pessoas, composto por 53,2% de mulheres (1.386) e 46,8% de homens (1.220)</w:t>
      </w:r>
      <w:r w:rsidR="007B5F0A" w:rsidRPr="007B5F0A">
        <w:t>.</w:t>
      </w:r>
      <w:r w:rsidR="00915525">
        <w:t xml:space="preserve"> Quando considerados apenas os cargos em exercício, tem-se 2.411 pessoas, sendo e 1.295 mulheres (53,71%) e 1.116 homens (46,28%).</w:t>
      </w:r>
      <w:r w:rsidR="00A47911">
        <w:t xml:space="preserve"> A </w:t>
      </w:r>
      <w:r w:rsidR="00A47911" w:rsidRPr="007B5F0A">
        <w:t>diferença entre o total de servidores e os que estão em exercício corresponde aos servidores cedidos, removidos, afastados ou licenciados, que, por conseguinte, não estão ocupando cargos em comissão nem funções comissi</w:t>
      </w:r>
      <w:r w:rsidR="00A47911">
        <w:t>o</w:t>
      </w:r>
      <w:r w:rsidR="00A47911" w:rsidRPr="007B5F0A">
        <w:t>nadas nos órgãos.</w:t>
      </w:r>
      <w:r w:rsidR="00A47911">
        <w:t xml:space="preserve"> </w:t>
      </w:r>
      <w:r w:rsidR="00A47911" w:rsidRPr="007B5F0A">
        <w:t>Dos 2.606 servidores, registre-se que 2.276 estão lotados e em exercício no TST e 135 no</w:t>
      </w:r>
      <w:r w:rsidR="00A47911">
        <w:t xml:space="preserve"> CSJT, o que totaliza 2.411. </w:t>
      </w:r>
    </w:p>
    <w:p w14:paraId="43046C69" w14:textId="13623A7A" w:rsidR="00A47911" w:rsidRDefault="00A47911" w:rsidP="00FB5A95">
      <w:pPr>
        <w:pStyle w:val="Texto"/>
      </w:pPr>
    </w:p>
    <w:p w14:paraId="0589AD01" w14:textId="0A2345F1" w:rsidR="00FB5A95" w:rsidRDefault="007B5F0A" w:rsidP="00A47911">
      <w:pPr>
        <w:pStyle w:val="Texto"/>
      </w:pPr>
      <w:r>
        <w:lastRenderedPageBreak/>
        <w:t>A</w:t>
      </w:r>
      <w:r w:rsidR="00B93F60">
        <w:t xml:space="preserve"> maior parte </w:t>
      </w:r>
      <w:r w:rsidR="00A47911">
        <w:t>do</w:t>
      </w:r>
      <w:r w:rsidR="00B02B74">
        <w:t xml:space="preserve"> contingente ocupa cargos</w:t>
      </w:r>
      <w:r w:rsidR="00B93F60">
        <w:t xml:space="preserve"> em comissão e funções comissionadas. </w:t>
      </w:r>
      <w:r w:rsidR="00B02B74">
        <w:t>De fato</w:t>
      </w:r>
      <w:r w:rsidR="00B93F60">
        <w:t>, do</w:t>
      </w:r>
      <w:r w:rsidR="00B02B74">
        <w:t xml:space="preserve"> </w:t>
      </w:r>
      <w:r w:rsidR="00B93F60">
        <w:t>universo</w:t>
      </w:r>
      <w:r w:rsidR="00915525">
        <w:t xml:space="preserve"> do quadro total</w:t>
      </w:r>
      <w:r w:rsidR="00B93F60">
        <w:t xml:space="preserve"> </w:t>
      </w:r>
      <w:r w:rsidR="00B02B74">
        <w:t>(</w:t>
      </w:r>
      <w:r w:rsidR="00B93F60">
        <w:t>2.606 servidores</w:t>
      </w:r>
      <w:r w:rsidR="00B02B74">
        <w:t>)</w:t>
      </w:r>
      <w:r w:rsidR="00B93F60">
        <w:t>, 2.151 (o que corresponde a 82,5%) encontram-se alocados nessas posições</w:t>
      </w:r>
      <w:r w:rsidR="00A47911">
        <w:t xml:space="preserve"> (CJs e FCs)</w:t>
      </w:r>
      <w:r w:rsidR="00B93F60">
        <w:t>,</w:t>
      </w:r>
      <w:r w:rsidR="00B02B74">
        <w:t xml:space="preserve"> cuja distribuição por gênero é de</w:t>
      </w:r>
      <w:r w:rsidR="00B93F60">
        <w:t xml:space="preserve"> 1.195 mulheres</w:t>
      </w:r>
      <w:r w:rsidR="00B02B74">
        <w:t xml:space="preserve"> (55,6%)</w:t>
      </w:r>
      <w:r w:rsidR="00B93F60">
        <w:t xml:space="preserve"> e 956 homens</w:t>
      </w:r>
      <w:r w:rsidR="00B02B74">
        <w:t xml:space="preserve"> (44,4%)</w:t>
      </w:r>
      <w:r w:rsidR="00B93F60">
        <w:t>, conforme se pode depreender do Gráfico 1.</w:t>
      </w:r>
    </w:p>
    <w:p w14:paraId="063EF0DE" w14:textId="77777777" w:rsidR="00A47911" w:rsidRDefault="00A47911" w:rsidP="00FB5A95">
      <w:pPr>
        <w:pStyle w:val="TtulodaIlustrao"/>
      </w:pPr>
      <w:bookmarkStart w:id="20" w:name="_Toc208508623"/>
    </w:p>
    <w:p w14:paraId="38D4767E" w14:textId="2C8A21AE" w:rsidR="00DB4DAE" w:rsidRPr="00FB5A95" w:rsidRDefault="00DB4DAE" w:rsidP="00FB5A95">
      <w:pPr>
        <w:pStyle w:val="TtulodaIlustrao"/>
      </w:pPr>
      <w:r w:rsidRPr="00FB5A95">
        <w:t xml:space="preserve">Gráfico </w:t>
      </w:r>
      <w:r w:rsidRPr="00FB5A95">
        <w:fldChar w:fldCharType="begin"/>
      </w:r>
      <w:r w:rsidRPr="00FB5A95">
        <w:instrText xml:space="preserve"> SEQ Gráfico \* ARABIC </w:instrText>
      </w:r>
      <w:r w:rsidRPr="00FB5A95">
        <w:fldChar w:fldCharType="separate"/>
      </w:r>
      <w:r w:rsidR="00D85D1E">
        <w:t>1</w:t>
      </w:r>
      <w:r w:rsidRPr="00FB5A95">
        <w:fldChar w:fldCharType="end"/>
      </w:r>
      <w:r w:rsidRPr="00FB5A95">
        <w:rPr>
          <w:b w:val="0"/>
        </w:rPr>
        <w:t xml:space="preserve"> </w:t>
      </w:r>
      <w:r w:rsidR="00FB5A95" w:rsidRPr="00FB5A95">
        <w:rPr>
          <w:b w:val="0"/>
        </w:rPr>
        <w:t>-</w:t>
      </w:r>
      <w:r w:rsidRPr="00FB5A95">
        <w:rPr>
          <w:b w:val="0"/>
        </w:rPr>
        <w:t xml:space="preserve"> Distribuição dos cargos em comissão e das funções comissionadas – total consolidado (TST e CSJT) </w:t>
      </w:r>
      <w:r w:rsidR="00C37436" w:rsidRPr="00FB5A95">
        <w:rPr>
          <w:b w:val="0"/>
        </w:rPr>
        <w:t xml:space="preserve">por gênero </w:t>
      </w:r>
      <w:r w:rsidRPr="00FB5A95">
        <w:rPr>
          <w:b w:val="0"/>
        </w:rPr>
        <w:t>(%)</w:t>
      </w:r>
      <w:bookmarkEnd w:id="20"/>
    </w:p>
    <w:p w14:paraId="468D5511" w14:textId="77777777" w:rsidR="00DB4DAE" w:rsidRDefault="000C5E1B" w:rsidP="00DB4DAE">
      <w:pPr>
        <w:keepNext/>
        <w:jc w:val="center"/>
      </w:pPr>
      <w:r>
        <w:rPr>
          <w:noProof/>
        </w:rPr>
        <w:drawing>
          <wp:inline distT="0" distB="0" distL="0" distR="0" wp14:anchorId="799FDCF4" wp14:editId="4FF5949F">
            <wp:extent cx="4572000" cy="2743200"/>
            <wp:effectExtent l="0" t="0" r="0" b="0"/>
            <wp:docPr id="1622690729" name="Gráfico 1622690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385F78" w14:textId="70823A4F" w:rsidR="0046486D" w:rsidRDefault="007701F6" w:rsidP="00617865">
      <w:pPr>
        <w:pStyle w:val="Fonte"/>
        <w:rPr>
          <w:b w:val="0"/>
        </w:rPr>
      </w:pPr>
      <w:r w:rsidRPr="007701F6">
        <w:t xml:space="preserve">Fonte: </w:t>
      </w:r>
      <w:r w:rsidRPr="007701F6">
        <w:rPr>
          <w:b w:val="0"/>
        </w:rPr>
        <w:t>Dados disponibilizados pelo Sistema de Recursos Humanos do TST (abril de 2025). Compilação e elaboração: CPJUD/SEPJD/CPJED</w:t>
      </w:r>
      <w:r w:rsidR="005271C1">
        <w:rPr>
          <w:b w:val="0"/>
        </w:rPr>
        <w:t>.</w:t>
      </w:r>
    </w:p>
    <w:p w14:paraId="4F03C982" w14:textId="77777777" w:rsidR="00EC0418" w:rsidRDefault="00EC0418" w:rsidP="00FB5A95">
      <w:pPr>
        <w:pStyle w:val="Texto"/>
      </w:pPr>
    </w:p>
    <w:p w14:paraId="479FD2CA" w14:textId="51956A8A" w:rsidR="00725A0F" w:rsidRDefault="00725A0F" w:rsidP="00725A0F">
      <w:pPr>
        <w:pStyle w:val="Texto"/>
        <w:rPr>
          <w:bCs/>
        </w:rPr>
      </w:pPr>
      <w:r>
        <w:t>Verifica-se que a maior participação feminina</w:t>
      </w:r>
      <w:r w:rsidR="00B02B74">
        <w:t>, em termos absolutos (55,6%),</w:t>
      </w:r>
      <w:r>
        <w:t xml:space="preserve"> na ocupação de CJs e FCs no quadro geral do TST/CSJT</w:t>
      </w:r>
      <w:r w:rsidR="00B02B74">
        <w:t>, guarda</w:t>
      </w:r>
      <w:r>
        <w:t xml:space="preserve"> correlação com a proporção total de mulheres existentes nos dois</w:t>
      </w:r>
      <w:r w:rsidR="00372447">
        <w:t xml:space="preserve"> órgãos (53,2%), o que denota</w:t>
      </w:r>
      <w:r>
        <w:t xml:space="preserve"> indicador positivo de equilíbrio na distribuição das posições de maior remuneração entre homens e mulheres,</w:t>
      </w:r>
    </w:p>
    <w:p w14:paraId="0813730F" w14:textId="52CC1514" w:rsidR="00C37436" w:rsidRDefault="00372447" w:rsidP="00FB5A95">
      <w:pPr>
        <w:pStyle w:val="Texto"/>
      </w:pPr>
      <w:r>
        <w:t>Ao se examinar de forma isolada os CJs e as FCs (Gráfico 2)</w:t>
      </w:r>
      <w:r w:rsidR="00B02B74">
        <w:t>, verifica-se um cenário parecido</w:t>
      </w:r>
      <w:r>
        <w:t>, porquanto se mantém o equilíbrio entre a ocupação desses postos e a proporção da população total feminina, considerados os dois órgãos conjuntamente. Nesse particular, constata-se que, do universo de 453 CJs existentes no TST/CSJT, 56,5% são ocupados por mulheres (256 cargos), quase a mesma proporção do número total de mulheres (53,2%), e 43,5% por homens (197 cargos), ao passo que, entre as 1.698 FCs, a distribuição é de 55,3% para o gênero feminino (939 funções) e 44,7% para o masculino (759 funções).</w:t>
      </w:r>
    </w:p>
    <w:p w14:paraId="1C9AF267" w14:textId="6B6BE63E" w:rsidR="00983B93" w:rsidRDefault="00983B93">
      <w:pPr>
        <w:rPr>
          <w:rFonts w:asciiTheme="minorHAnsi" w:hAnsiTheme="minorHAnsi" w:cstheme="minorHAnsi"/>
          <w:noProof/>
        </w:rPr>
      </w:pPr>
      <w:r>
        <w:br w:type="page"/>
      </w:r>
    </w:p>
    <w:p w14:paraId="256CC41F" w14:textId="77777777" w:rsidR="00372447" w:rsidRDefault="00372447" w:rsidP="00FB5A95">
      <w:pPr>
        <w:pStyle w:val="Texto"/>
      </w:pPr>
    </w:p>
    <w:p w14:paraId="1C77FCE2" w14:textId="6A1A7F8C" w:rsidR="00C37436" w:rsidRDefault="00C37436" w:rsidP="00FB5A95">
      <w:pPr>
        <w:pStyle w:val="TtulodaIlustrao"/>
      </w:pPr>
      <w:bookmarkStart w:id="21" w:name="_Toc208508624"/>
      <w:r>
        <w:t xml:space="preserve">Gráfico </w:t>
      </w:r>
      <w:r>
        <w:fldChar w:fldCharType="begin"/>
      </w:r>
      <w:r>
        <w:instrText xml:space="preserve"> SEQ Gráfico \* ARABIC </w:instrText>
      </w:r>
      <w:r>
        <w:fldChar w:fldCharType="separate"/>
      </w:r>
      <w:r w:rsidR="00D85D1E">
        <w:t>2</w:t>
      </w:r>
      <w:r>
        <w:fldChar w:fldCharType="end"/>
      </w:r>
      <w:r w:rsidRPr="00FB5A95">
        <w:rPr>
          <w:b w:val="0"/>
        </w:rPr>
        <w:t xml:space="preserve"> </w:t>
      </w:r>
      <w:r w:rsidR="00FB5A95" w:rsidRPr="00FB5A95">
        <w:rPr>
          <w:b w:val="0"/>
        </w:rPr>
        <w:t>-</w:t>
      </w:r>
      <w:r w:rsidRPr="00FB5A95">
        <w:rPr>
          <w:b w:val="0"/>
        </w:rPr>
        <w:t xml:space="preserve"> Percentuais dos cargos em comissão e das funções comissionadas do TST/CSJT por gênero(%)</w:t>
      </w:r>
      <w:bookmarkEnd w:id="21"/>
    </w:p>
    <w:p w14:paraId="6D31B2E1" w14:textId="07385E56" w:rsidR="00C37436" w:rsidRDefault="00C37436" w:rsidP="00C37436">
      <w:pPr>
        <w:pStyle w:val="Texto"/>
        <w:jc w:val="center"/>
      </w:pPr>
      <w:r>
        <w:drawing>
          <wp:inline distT="0" distB="0" distL="0" distR="0" wp14:anchorId="1887B7A0" wp14:editId="1FAD6F55">
            <wp:extent cx="4572000" cy="2743200"/>
            <wp:effectExtent l="0" t="0" r="0" b="0"/>
            <wp:docPr id="1622690746" name="Gráfico 1622690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A856EE" w14:textId="73BB77EF" w:rsidR="00C37436" w:rsidRPr="00C37436" w:rsidRDefault="00C37436" w:rsidP="00C37436">
      <w:pPr>
        <w:pStyle w:val="Fonte"/>
        <w:rPr>
          <w:b w:val="0"/>
        </w:rPr>
      </w:pPr>
      <w:r w:rsidRPr="007701F6">
        <w:t xml:space="preserve">Fonte: </w:t>
      </w:r>
      <w:r w:rsidRPr="007701F6">
        <w:rPr>
          <w:b w:val="0"/>
        </w:rPr>
        <w:t>Dados disponibilizados pelo Sistema de Recursos Humanos do TST (abril de 2025). Compilação e elaboração: CPJUD/SEPJD/CPJED</w:t>
      </w:r>
      <w:r>
        <w:rPr>
          <w:b w:val="0"/>
        </w:rPr>
        <w:t>.</w:t>
      </w:r>
    </w:p>
    <w:p w14:paraId="083332BF" w14:textId="77777777" w:rsidR="00135903" w:rsidRDefault="00135903" w:rsidP="00FB5A95">
      <w:pPr>
        <w:pStyle w:val="Texto"/>
      </w:pPr>
    </w:p>
    <w:p w14:paraId="18ECD790" w14:textId="742FEA39" w:rsidR="00E0153E" w:rsidRPr="00A47911" w:rsidRDefault="00E0153E" w:rsidP="00FB5A95">
      <w:pPr>
        <w:pStyle w:val="Texto"/>
        <w:rPr>
          <w:b/>
        </w:rPr>
      </w:pPr>
      <w:r w:rsidRPr="00A47911">
        <w:t xml:space="preserve">O Gráfico 3 apresenta a distribuição de gênero nos cargos em comissão e funções comissionadas, considerada a realidade isolada de cada órgão. No TST, que contém 2031 cargos em comissão e funções comissionadas, </w:t>
      </w:r>
      <w:r w:rsidR="008F38B4" w:rsidRPr="00A47911">
        <w:t xml:space="preserve">as mulheres ocupam 56,4% </w:t>
      </w:r>
      <w:r w:rsidRPr="00A47911">
        <w:t xml:space="preserve">de CJs e FCs (1.146 pessoas), enquanto </w:t>
      </w:r>
      <w:r w:rsidR="008F38B4" w:rsidRPr="00A47911">
        <w:t xml:space="preserve">os homem ocupam </w:t>
      </w:r>
      <w:r w:rsidRPr="00A47911">
        <w:t xml:space="preserve">43,6% (885 pessoas). No CSJT, que contém 120 cargos em comissão e função comissionada, a proporção se inverte: 40,8% dos ocupantes (49 pessoas) são mulheres e 59,2% (71 pessoas) são homens. </w:t>
      </w:r>
    </w:p>
    <w:p w14:paraId="7917EBB4" w14:textId="201C9853" w:rsidR="008F38B4" w:rsidRDefault="008F38B4">
      <w:pPr>
        <w:rPr>
          <w:rFonts w:asciiTheme="minorHAnsi" w:hAnsiTheme="minorHAnsi" w:cstheme="minorHAnsi"/>
          <w:noProof/>
        </w:rPr>
      </w:pPr>
      <w:r>
        <w:br w:type="page"/>
      </w:r>
    </w:p>
    <w:p w14:paraId="040C788E" w14:textId="77777777" w:rsidR="00414C63" w:rsidRPr="00414C63" w:rsidRDefault="00414C63" w:rsidP="00FB5A95">
      <w:pPr>
        <w:pStyle w:val="Texto"/>
      </w:pPr>
    </w:p>
    <w:p w14:paraId="6F700678" w14:textId="0C8209C6" w:rsidR="009468EB" w:rsidRDefault="009468EB" w:rsidP="00FB5A95">
      <w:pPr>
        <w:pStyle w:val="TtulodaIlustrao"/>
      </w:pPr>
      <w:bookmarkStart w:id="22" w:name="_Toc208508625"/>
      <w:r>
        <w:t xml:space="preserve">Gráfico </w:t>
      </w:r>
      <w:r>
        <w:fldChar w:fldCharType="begin"/>
      </w:r>
      <w:r>
        <w:instrText xml:space="preserve"> SEQ Gráfico \* ARABIC </w:instrText>
      </w:r>
      <w:r>
        <w:fldChar w:fldCharType="separate"/>
      </w:r>
      <w:r w:rsidR="00D85D1E">
        <w:t>3</w:t>
      </w:r>
      <w:r>
        <w:fldChar w:fldCharType="end"/>
      </w:r>
      <w:r w:rsidRPr="00FB5A95">
        <w:rPr>
          <w:b w:val="0"/>
        </w:rPr>
        <w:t xml:space="preserve"> - Participação por gênero nos cargos em comissão e nas funções comissionadas – comparativo entre TST e CSJT (%)</w:t>
      </w:r>
      <w:bookmarkEnd w:id="22"/>
    </w:p>
    <w:p w14:paraId="0D2D0C3E" w14:textId="3758BA57" w:rsidR="0046486D" w:rsidRPr="006D5A72" w:rsidRDefault="001471CF" w:rsidP="00617865">
      <w:pPr>
        <w:jc w:val="center"/>
      </w:pPr>
      <w:r>
        <w:rPr>
          <w:noProof/>
        </w:rPr>
        <w:drawing>
          <wp:inline distT="0" distB="0" distL="0" distR="0" wp14:anchorId="61F15FB7" wp14:editId="7CB778CD">
            <wp:extent cx="4400550" cy="2543175"/>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C9D512" w14:textId="5F61AA9A" w:rsidR="0046486D" w:rsidRDefault="0046486D" w:rsidP="00617865">
      <w:pPr>
        <w:pStyle w:val="Fonte"/>
        <w:rPr>
          <w:b w:val="0"/>
        </w:rPr>
      </w:pPr>
      <w:r w:rsidRPr="00A739AB">
        <w:t xml:space="preserve">Fonte: </w:t>
      </w:r>
      <w:r w:rsidRPr="0046486D">
        <w:rPr>
          <w:b w:val="0"/>
        </w:rPr>
        <w:t>Dados disponibilizados pelo Sistema de Recursos Humanos do TST (abril de 2025). Compilação e elaboração: CPJUD/SEPJD/CPJED</w:t>
      </w:r>
      <w:r w:rsidR="005271C1">
        <w:rPr>
          <w:b w:val="0"/>
        </w:rPr>
        <w:t>.</w:t>
      </w:r>
    </w:p>
    <w:p w14:paraId="5F0705D7" w14:textId="0B34E904" w:rsidR="00FB5A95" w:rsidRDefault="00FB5A95">
      <w:pPr>
        <w:rPr>
          <w:rFonts w:asciiTheme="minorHAnsi" w:hAnsiTheme="minorHAnsi" w:cstheme="minorHAnsi"/>
          <w:noProof/>
        </w:rPr>
      </w:pPr>
    </w:p>
    <w:p w14:paraId="69900381" w14:textId="25A2425E" w:rsidR="00B53BD9" w:rsidRPr="00B53BD9" w:rsidRDefault="00B53BD9" w:rsidP="001C6456">
      <w:pPr>
        <w:pStyle w:val="Ttulo4"/>
      </w:pPr>
      <w:r w:rsidRPr="006D5A72">
        <w:t xml:space="preserve">Distribuição por gênero </w:t>
      </w:r>
      <w:r>
        <w:t xml:space="preserve">e por nível hierárquico </w:t>
      </w:r>
      <w:r w:rsidRPr="006D5A72">
        <w:t xml:space="preserve">dos cargos </w:t>
      </w:r>
      <w:r>
        <w:t xml:space="preserve">em comissão e das funções comissionadas </w:t>
      </w:r>
      <w:r w:rsidRPr="006D5A72">
        <w:t>do TST</w:t>
      </w:r>
    </w:p>
    <w:p w14:paraId="402F898D" w14:textId="77777777" w:rsidR="00A47911" w:rsidRDefault="00A47911" w:rsidP="00FB5A95">
      <w:pPr>
        <w:pStyle w:val="Texto"/>
      </w:pPr>
    </w:p>
    <w:p w14:paraId="1153CB8F" w14:textId="46591A93" w:rsidR="004C32BC" w:rsidRDefault="005E406F" w:rsidP="00FB5A95">
      <w:pPr>
        <w:pStyle w:val="Texto"/>
        <w:rPr>
          <w:bCs/>
        </w:rPr>
      </w:pPr>
      <w:r>
        <w:t xml:space="preserve">A Tabela 2 </w:t>
      </w:r>
      <w:r w:rsidR="003C00B9">
        <w:t>e o Gr</w:t>
      </w:r>
      <w:r w:rsidR="003B04E6">
        <w:t>áfico 4</w:t>
      </w:r>
      <w:r w:rsidR="00EC0418">
        <w:t xml:space="preserve"> detalham a distribuição por gênero</w:t>
      </w:r>
      <w:r w:rsidR="003C00B9">
        <w:t xml:space="preserve"> dos CJs e FCs do TST</w:t>
      </w:r>
      <w:r w:rsidR="003A1E78">
        <w:t>, com os percentuais em relação ao total de cargos disponíveis em cada nível</w:t>
      </w:r>
      <w:r w:rsidR="003C00B9">
        <w:t>. A análise dos dados</w:t>
      </w:r>
      <w:r w:rsidR="001138A5">
        <w:t>, em valores absolutos,</w:t>
      </w:r>
      <w:r w:rsidR="003C00B9">
        <w:t xml:space="preserve"> revela uma </w:t>
      </w:r>
      <w:r w:rsidR="00B22866">
        <w:t>ascendência</w:t>
      </w:r>
      <w:r w:rsidR="003C00B9" w:rsidRPr="003C00B9">
        <w:t xml:space="preserve"> feminina em quase todas</w:t>
      </w:r>
      <w:r w:rsidR="008E551C">
        <w:t xml:space="preserve"> as categorias</w:t>
      </w:r>
      <w:r w:rsidR="00B22866">
        <w:rPr>
          <w:bCs/>
        </w:rPr>
        <w:t>. Dos dez níveis existentes, a exceção fica na FC-01 que é ocupada por 02 homens, sendo</w:t>
      </w:r>
      <w:r w:rsidR="001138A5">
        <w:rPr>
          <w:bCs/>
        </w:rPr>
        <w:t xml:space="preserve"> </w:t>
      </w:r>
      <w:r w:rsidR="00B22866">
        <w:rPr>
          <w:bCs/>
        </w:rPr>
        <w:t>quantitativo</w:t>
      </w:r>
      <w:r w:rsidR="001138A5">
        <w:rPr>
          <w:bCs/>
        </w:rPr>
        <w:t>, entretanto,</w:t>
      </w:r>
      <w:r w:rsidR="00B22866">
        <w:rPr>
          <w:bCs/>
        </w:rPr>
        <w:t xml:space="preserve"> irrisório em relação ao total geral dos 2031 postos analisados (0,09%).</w:t>
      </w:r>
      <w:r w:rsidR="001138A5">
        <w:rPr>
          <w:rStyle w:val="Refdenotaderodap"/>
          <w:bCs/>
        </w:rPr>
        <w:footnoteReference w:id="29"/>
      </w:r>
      <w:r w:rsidR="00B22866">
        <w:rPr>
          <w:bCs/>
        </w:rPr>
        <w:t xml:space="preserve"> </w:t>
      </w:r>
      <w:r w:rsidR="008F38B4">
        <w:rPr>
          <w:bCs/>
        </w:rPr>
        <w:t>Nas</w:t>
      </w:r>
      <w:r w:rsidR="003C00B9" w:rsidRPr="003C00B9">
        <w:t xml:space="preserve"> </w:t>
      </w:r>
      <w:r w:rsidR="008F38B4">
        <w:t xml:space="preserve">4 </w:t>
      </w:r>
      <w:r w:rsidR="003C00B9" w:rsidRPr="003C00B9">
        <w:t>CJ-04</w:t>
      </w:r>
      <w:r w:rsidR="00EC0418">
        <w:t xml:space="preserve"> </w:t>
      </w:r>
      <w:r w:rsidR="003C00B9" w:rsidRPr="003C00B9">
        <w:t xml:space="preserve">e </w:t>
      </w:r>
      <w:r w:rsidR="008F38B4">
        <w:t xml:space="preserve">21 </w:t>
      </w:r>
      <w:r w:rsidR="003C00B9" w:rsidRPr="003C00B9">
        <w:t>CJ-02</w:t>
      </w:r>
      <w:r w:rsidR="008F38B4">
        <w:t>, as mulheres representam 50% dos ocupantes</w:t>
      </w:r>
      <w:r w:rsidR="003C00B9" w:rsidRPr="003C00B9">
        <w:t>. No nível CJ-03, as mulheres ocupam</w:t>
      </w:r>
      <w:r w:rsidR="008F38B4">
        <w:t xml:space="preserve"> 58,8%, ou seja</w:t>
      </w:r>
      <w:r w:rsidR="003C00B9" w:rsidRPr="003C00B9">
        <w:t xml:space="preserve"> 177 dos 30</w:t>
      </w:r>
      <w:r w:rsidR="00EC0418">
        <w:t>1 cargos; e</w:t>
      </w:r>
      <w:r w:rsidR="008F38B4">
        <w:t>,</w:t>
      </w:r>
      <w:r w:rsidR="00EC0418">
        <w:t xml:space="preserve"> n</w:t>
      </w:r>
      <w:r w:rsidR="003C00B9" w:rsidRPr="003C00B9">
        <w:t>o nível CJ-01,</w:t>
      </w:r>
      <w:r w:rsidR="008F38B4">
        <w:t xml:space="preserve"> 57,3%</w:t>
      </w:r>
      <w:r w:rsidR="003C00B9" w:rsidRPr="003C00B9">
        <w:t xml:space="preserve"> </w:t>
      </w:r>
      <w:r w:rsidR="008F38B4">
        <w:t>(</w:t>
      </w:r>
      <w:r w:rsidR="003C00B9" w:rsidRPr="003C00B9">
        <w:t>51 dos 89 cargos</w:t>
      </w:r>
      <w:r w:rsidR="008F38B4">
        <w:t>)</w:t>
      </w:r>
      <w:r w:rsidR="003C00B9" w:rsidRPr="00F61EF2">
        <w:t>.</w:t>
      </w:r>
      <w:r w:rsidR="008E551C">
        <w:t xml:space="preserve"> </w:t>
      </w:r>
      <w:r w:rsidR="008E551C">
        <w:rPr>
          <w:bCs/>
        </w:rPr>
        <w:t xml:space="preserve">Entre as funções comissionadas, </w:t>
      </w:r>
      <w:r w:rsidR="00086E57">
        <w:rPr>
          <w:bCs/>
        </w:rPr>
        <w:t>as mulheres predominam</w:t>
      </w:r>
      <w:r w:rsidR="006178C9" w:rsidRPr="008E551C">
        <w:rPr>
          <w:bCs/>
        </w:rPr>
        <w:t xml:space="preserve"> em todos os níveis de FC</w:t>
      </w:r>
      <w:r w:rsidR="00826342">
        <w:rPr>
          <w:bCs/>
        </w:rPr>
        <w:t xml:space="preserve">, </w:t>
      </w:r>
      <w:r w:rsidR="008F38B4">
        <w:rPr>
          <w:bCs/>
        </w:rPr>
        <w:t>salvo</w:t>
      </w:r>
      <w:r w:rsidR="00826342">
        <w:rPr>
          <w:bCs/>
        </w:rPr>
        <w:t xml:space="preserve"> no nível FC-01</w:t>
      </w:r>
      <w:r w:rsidR="008F38B4">
        <w:rPr>
          <w:bCs/>
        </w:rPr>
        <w:t>, que tem apenas 2 ocupantes</w:t>
      </w:r>
      <w:r w:rsidR="004330D0">
        <w:rPr>
          <w:bCs/>
        </w:rPr>
        <w:t xml:space="preserve">. </w:t>
      </w:r>
      <w:r w:rsidR="001138A5">
        <w:rPr>
          <w:bCs/>
        </w:rPr>
        <w:t>A</w:t>
      </w:r>
      <w:r w:rsidR="00234D19">
        <w:rPr>
          <w:bCs/>
        </w:rPr>
        <w:t xml:space="preserve"> maior diferença percentual entre gêneros ocorre no nível FC-02, com 30,2 pontos percentuais a mais para mulheres</w:t>
      </w:r>
      <w:r w:rsidR="008F38B4">
        <w:rPr>
          <w:bCs/>
        </w:rPr>
        <w:t xml:space="preserve"> (65,1% para 34,9%)</w:t>
      </w:r>
      <w:r w:rsidR="00234D19">
        <w:rPr>
          <w:bCs/>
        </w:rPr>
        <w:t>, e a menor diferença é observada no nível FC-06, 3,4 pontos percentuais</w:t>
      </w:r>
      <w:r w:rsidR="008F38B4">
        <w:rPr>
          <w:bCs/>
        </w:rPr>
        <w:t xml:space="preserve"> (51,7% para 48,3%)</w:t>
      </w:r>
      <w:r w:rsidR="00234D19">
        <w:rPr>
          <w:bCs/>
        </w:rPr>
        <w:t>.</w:t>
      </w:r>
    </w:p>
    <w:p w14:paraId="0DDDA264" w14:textId="1DBA33AB" w:rsidR="00983B93" w:rsidRDefault="00983B93">
      <w:pPr>
        <w:rPr>
          <w:rFonts w:asciiTheme="minorHAnsi" w:hAnsiTheme="minorHAnsi" w:cstheme="minorHAnsi"/>
          <w:bCs/>
          <w:noProof/>
        </w:rPr>
      </w:pPr>
      <w:r>
        <w:rPr>
          <w:bCs/>
        </w:rPr>
        <w:br w:type="page"/>
      </w:r>
    </w:p>
    <w:p w14:paraId="0B5CE098" w14:textId="77777777" w:rsidR="004330D0" w:rsidRDefault="004330D0" w:rsidP="00FB5A95">
      <w:pPr>
        <w:pStyle w:val="Texto"/>
        <w:rPr>
          <w:bCs/>
        </w:rPr>
      </w:pPr>
    </w:p>
    <w:p w14:paraId="32FC829F" w14:textId="68654D4F" w:rsidR="005E406F" w:rsidRPr="00DB4DAE" w:rsidRDefault="00DB4DAE" w:rsidP="004C32BC">
      <w:bookmarkStart w:id="23" w:name="_Toc208510773"/>
      <w:r>
        <w:t xml:space="preserve">Tabela </w:t>
      </w:r>
      <w:fldSimple w:instr=" SEQ Tabela \* ARABIC ">
        <w:r w:rsidR="00D85D1E">
          <w:rPr>
            <w:noProof/>
          </w:rPr>
          <w:t>2</w:t>
        </w:r>
      </w:fldSimple>
      <w:r w:rsidRPr="00FB5A95">
        <w:rPr>
          <w:b/>
        </w:rPr>
        <w:t xml:space="preserve"> - Distribuição por gênero dos cargos em comissão e funções comissionadas do TST</w:t>
      </w:r>
      <w:bookmarkEnd w:id="23"/>
    </w:p>
    <w:tbl>
      <w:tblPr>
        <w:tblW w:w="9356" w:type="dxa"/>
        <w:tblInd w:w="70" w:type="dxa"/>
        <w:tblBorders>
          <w:top w:val="single" w:sz="8" w:space="0" w:color="CCCCCC"/>
          <w:bottom w:val="single" w:sz="8" w:space="0" w:color="CCCCCC"/>
          <w:insideH w:val="single" w:sz="8" w:space="0" w:color="CCCCCC"/>
          <w:insideV w:val="single" w:sz="8" w:space="0" w:color="CCCCCC"/>
        </w:tblBorders>
        <w:tblCellMar>
          <w:left w:w="70" w:type="dxa"/>
          <w:right w:w="70" w:type="dxa"/>
        </w:tblCellMar>
        <w:tblLook w:val="04A0" w:firstRow="1" w:lastRow="0" w:firstColumn="1" w:lastColumn="0" w:noHBand="0" w:noVBand="1"/>
      </w:tblPr>
      <w:tblGrid>
        <w:gridCol w:w="2497"/>
        <w:gridCol w:w="1134"/>
        <w:gridCol w:w="1276"/>
        <w:gridCol w:w="1134"/>
        <w:gridCol w:w="1276"/>
        <w:gridCol w:w="2039"/>
      </w:tblGrid>
      <w:tr w:rsidR="00C259F2" w:rsidRPr="00ED0FFD" w14:paraId="470F2062" w14:textId="77777777" w:rsidTr="00FB5A95">
        <w:trPr>
          <w:trHeight w:val="315"/>
        </w:trPr>
        <w:tc>
          <w:tcPr>
            <w:tcW w:w="2497" w:type="dxa"/>
            <w:shd w:val="clear" w:color="000000" w:fill="B7B7B7"/>
            <w:vAlign w:val="center"/>
            <w:hideMark/>
          </w:tcPr>
          <w:p w14:paraId="16A367C5" w14:textId="77777777" w:rsidR="00C259F2" w:rsidRPr="008520F6" w:rsidRDefault="00C259F2" w:rsidP="00C259F2">
            <w:pPr>
              <w:jc w:val="cente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Cargos/Funções</w:t>
            </w:r>
          </w:p>
        </w:tc>
        <w:tc>
          <w:tcPr>
            <w:tcW w:w="1134" w:type="dxa"/>
            <w:shd w:val="clear" w:color="000000" w:fill="B7B7B7"/>
            <w:vAlign w:val="center"/>
            <w:hideMark/>
          </w:tcPr>
          <w:p w14:paraId="15D0BFEB" w14:textId="77777777" w:rsidR="00C259F2" w:rsidRPr="008520F6" w:rsidRDefault="00C259F2" w:rsidP="00C259F2">
            <w:pPr>
              <w:jc w:val="cente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Feminino</w:t>
            </w:r>
          </w:p>
        </w:tc>
        <w:tc>
          <w:tcPr>
            <w:tcW w:w="1276" w:type="dxa"/>
            <w:shd w:val="clear" w:color="000000" w:fill="B7B7B7"/>
            <w:vAlign w:val="center"/>
            <w:hideMark/>
          </w:tcPr>
          <w:p w14:paraId="045F5B90" w14:textId="77777777" w:rsidR="00C259F2" w:rsidRPr="008520F6" w:rsidRDefault="00C259F2" w:rsidP="00C259F2">
            <w:pPr>
              <w:jc w:val="cente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w:t>
            </w:r>
          </w:p>
        </w:tc>
        <w:tc>
          <w:tcPr>
            <w:tcW w:w="1134" w:type="dxa"/>
            <w:shd w:val="clear" w:color="000000" w:fill="B7B7B7"/>
            <w:vAlign w:val="center"/>
            <w:hideMark/>
          </w:tcPr>
          <w:p w14:paraId="594857D6" w14:textId="77777777" w:rsidR="00C259F2" w:rsidRPr="008520F6" w:rsidRDefault="00C259F2" w:rsidP="00C259F2">
            <w:pPr>
              <w:jc w:val="cente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Masculino</w:t>
            </w:r>
          </w:p>
        </w:tc>
        <w:tc>
          <w:tcPr>
            <w:tcW w:w="1276" w:type="dxa"/>
            <w:shd w:val="clear" w:color="000000" w:fill="B7B7B7"/>
            <w:vAlign w:val="center"/>
            <w:hideMark/>
          </w:tcPr>
          <w:p w14:paraId="475E933E" w14:textId="77777777" w:rsidR="00C259F2" w:rsidRPr="008520F6" w:rsidRDefault="00C259F2" w:rsidP="00C259F2">
            <w:pPr>
              <w:jc w:val="cente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w:t>
            </w:r>
          </w:p>
        </w:tc>
        <w:tc>
          <w:tcPr>
            <w:tcW w:w="2039" w:type="dxa"/>
            <w:shd w:val="clear" w:color="000000" w:fill="B7B7B7"/>
            <w:vAlign w:val="center"/>
            <w:hideMark/>
          </w:tcPr>
          <w:p w14:paraId="12439DF3" w14:textId="77777777" w:rsidR="00C259F2" w:rsidRPr="008520F6" w:rsidRDefault="00C259F2" w:rsidP="00C259F2">
            <w:pPr>
              <w:jc w:val="cente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Total</w:t>
            </w:r>
          </w:p>
        </w:tc>
      </w:tr>
      <w:tr w:rsidR="00C259F2" w:rsidRPr="00ED0FFD" w14:paraId="386F7FC6" w14:textId="77777777" w:rsidTr="00FB5A95">
        <w:trPr>
          <w:trHeight w:val="315"/>
        </w:trPr>
        <w:tc>
          <w:tcPr>
            <w:tcW w:w="2497" w:type="dxa"/>
            <w:shd w:val="clear" w:color="000000" w:fill="FFFFFF"/>
            <w:vAlign w:val="center"/>
            <w:hideMark/>
          </w:tcPr>
          <w:p w14:paraId="2A5A36C8" w14:textId="77777777" w:rsidR="00C259F2" w:rsidRPr="008520F6" w:rsidRDefault="00C259F2" w:rsidP="00C259F2">
            <w:pP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CJ-04</w:t>
            </w:r>
          </w:p>
        </w:tc>
        <w:tc>
          <w:tcPr>
            <w:tcW w:w="1134" w:type="dxa"/>
            <w:shd w:val="clear" w:color="000000" w:fill="FFFFFF"/>
            <w:vAlign w:val="center"/>
            <w:hideMark/>
          </w:tcPr>
          <w:p w14:paraId="61F44EB3"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w:t>
            </w:r>
          </w:p>
        </w:tc>
        <w:tc>
          <w:tcPr>
            <w:tcW w:w="1276" w:type="dxa"/>
            <w:shd w:val="clear" w:color="000000" w:fill="FFFFFF"/>
            <w:vAlign w:val="center"/>
            <w:hideMark/>
          </w:tcPr>
          <w:p w14:paraId="747C2422"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50,0%</w:t>
            </w:r>
          </w:p>
        </w:tc>
        <w:tc>
          <w:tcPr>
            <w:tcW w:w="1134" w:type="dxa"/>
            <w:shd w:val="clear" w:color="000000" w:fill="FFFFFF"/>
            <w:vAlign w:val="center"/>
            <w:hideMark/>
          </w:tcPr>
          <w:p w14:paraId="598316E6"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w:t>
            </w:r>
          </w:p>
        </w:tc>
        <w:tc>
          <w:tcPr>
            <w:tcW w:w="1276" w:type="dxa"/>
            <w:shd w:val="clear" w:color="000000" w:fill="FFFFFF"/>
            <w:vAlign w:val="center"/>
            <w:hideMark/>
          </w:tcPr>
          <w:p w14:paraId="15125AA3"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50,0%</w:t>
            </w:r>
          </w:p>
        </w:tc>
        <w:tc>
          <w:tcPr>
            <w:tcW w:w="2039" w:type="dxa"/>
            <w:shd w:val="clear" w:color="000000" w:fill="FFFFFF"/>
            <w:vAlign w:val="center"/>
            <w:hideMark/>
          </w:tcPr>
          <w:p w14:paraId="7C2BD3F6" w14:textId="77777777" w:rsidR="00C259F2" w:rsidRPr="00FB5A95" w:rsidRDefault="00C259F2" w:rsidP="00C259F2">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4</w:t>
            </w:r>
          </w:p>
        </w:tc>
      </w:tr>
      <w:tr w:rsidR="00C259F2" w:rsidRPr="00ED0FFD" w14:paraId="472B8054" w14:textId="77777777" w:rsidTr="00FB5A95">
        <w:trPr>
          <w:trHeight w:val="315"/>
        </w:trPr>
        <w:tc>
          <w:tcPr>
            <w:tcW w:w="2497" w:type="dxa"/>
            <w:shd w:val="clear" w:color="000000" w:fill="FFFFFF"/>
            <w:vAlign w:val="center"/>
            <w:hideMark/>
          </w:tcPr>
          <w:p w14:paraId="2885AF10" w14:textId="77777777" w:rsidR="00C259F2" w:rsidRPr="008520F6" w:rsidRDefault="00C259F2" w:rsidP="00C259F2">
            <w:pP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CJ-03</w:t>
            </w:r>
          </w:p>
        </w:tc>
        <w:tc>
          <w:tcPr>
            <w:tcW w:w="1134" w:type="dxa"/>
            <w:shd w:val="clear" w:color="000000" w:fill="FFFFFF"/>
            <w:vAlign w:val="center"/>
            <w:hideMark/>
          </w:tcPr>
          <w:p w14:paraId="2B99D460"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177</w:t>
            </w:r>
          </w:p>
        </w:tc>
        <w:tc>
          <w:tcPr>
            <w:tcW w:w="1276" w:type="dxa"/>
            <w:shd w:val="clear" w:color="000000" w:fill="FFFFFF"/>
            <w:vAlign w:val="center"/>
            <w:hideMark/>
          </w:tcPr>
          <w:p w14:paraId="47753F5D"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58,8%</w:t>
            </w:r>
          </w:p>
        </w:tc>
        <w:tc>
          <w:tcPr>
            <w:tcW w:w="1134" w:type="dxa"/>
            <w:shd w:val="clear" w:color="000000" w:fill="FFFFFF"/>
            <w:vAlign w:val="center"/>
            <w:hideMark/>
          </w:tcPr>
          <w:p w14:paraId="780CC07A"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124</w:t>
            </w:r>
          </w:p>
        </w:tc>
        <w:tc>
          <w:tcPr>
            <w:tcW w:w="1276" w:type="dxa"/>
            <w:shd w:val="clear" w:color="000000" w:fill="FFFFFF"/>
            <w:vAlign w:val="center"/>
            <w:hideMark/>
          </w:tcPr>
          <w:p w14:paraId="1C410587"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41,2%</w:t>
            </w:r>
          </w:p>
        </w:tc>
        <w:tc>
          <w:tcPr>
            <w:tcW w:w="2039" w:type="dxa"/>
            <w:shd w:val="clear" w:color="000000" w:fill="FFFFFF"/>
            <w:vAlign w:val="center"/>
            <w:hideMark/>
          </w:tcPr>
          <w:p w14:paraId="057DD39A" w14:textId="77777777" w:rsidR="00C259F2" w:rsidRPr="00FB5A95" w:rsidRDefault="00C259F2" w:rsidP="00C259F2">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301</w:t>
            </w:r>
          </w:p>
        </w:tc>
      </w:tr>
      <w:tr w:rsidR="00C259F2" w:rsidRPr="00ED0FFD" w14:paraId="2D3600E3" w14:textId="77777777" w:rsidTr="00FB5A95">
        <w:trPr>
          <w:trHeight w:val="315"/>
        </w:trPr>
        <w:tc>
          <w:tcPr>
            <w:tcW w:w="2497" w:type="dxa"/>
            <w:shd w:val="clear" w:color="000000" w:fill="FFFFFF"/>
            <w:vAlign w:val="center"/>
            <w:hideMark/>
          </w:tcPr>
          <w:p w14:paraId="6AE6F7FF" w14:textId="77777777" w:rsidR="00C259F2" w:rsidRPr="008520F6" w:rsidRDefault="00C259F2" w:rsidP="00C259F2">
            <w:pP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CJ-02</w:t>
            </w:r>
          </w:p>
        </w:tc>
        <w:tc>
          <w:tcPr>
            <w:tcW w:w="1134" w:type="dxa"/>
            <w:shd w:val="clear" w:color="000000" w:fill="FFFFFF"/>
            <w:vAlign w:val="center"/>
            <w:hideMark/>
          </w:tcPr>
          <w:p w14:paraId="39C4D78A"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21</w:t>
            </w:r>
          </w:p>
        </w:tc>
        <w:tc>
          <w:tcPr>
            <w:tcW w:w="1276" w:type="dxa"/>
            <w:shd w:val="clear" w:color="000000" w:fill="FFFFFF"/>
            <w:vAlign w:val="center"/>
            <w:hideMark/>
          </w:tcPr>
          <w:p w14:paraId="4F8DA42C"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50,0%</w:t>
            </w:r>
          </w:p>
        </w:tc>
        <w:tc>
          <w:tcPr>
            <w:tcW w:w="1134" w:type="dxa"/>
            <w:shd w:val="clear" w:color="000000" w:fill="FFFFFF"/>
            <w:vAlign w:val="center"/>
            <w:hideMark/>
          </w:tcPr>
          <w:p w14:paraId="07DFFA10"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21</w:t>
            </w:r>
          </w:p>
        </w:tc>
        <w:tc>
          <w:tcPr>
            <w:tcW w:w="1276" w:type="dxa"/>
            <w:shd w:val="clear" w:color="000000" w:fill="FFFFFF"/>
            <w:vAlign w:val="center"/>
            <w:hideMark/>
          </w:tcPr>
          <w:p w14:paraId="3688F5A1"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50,0%</w:t>
            </w:r>
          </w:p>
        </w:tc>
        <w:tc>
          <w:tcPr>
            <w:tcW w:w="2039" w:type="dxa"/>
            <w:shd w:val="clear" w:color="000000" w:fill="FFFFFF"/>
            <w:vAlign w:val="center"/>
            <w:hideMark/>
          </w:tcPr>
          <w:p w14:paraId="3F43F5B5" w14:textId="77777777" w:rsidR="00C259F2" w:rsidRPr="00FB5A95" w:rsidRDefault="00C259F2" w:rsidP="00C259F2">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42</w:t>
            </w:r>
          </w:p>
        </w:tc>
      </w:tr>
      <w:tr w:rsidR="00C259F2" w:rsidRPr="00ED0FFD" w14:paraId="7CD76169" w14:textId="77777777" w:rsidTr="00FB5A95">
        <w:trPr>
          <w:trHeight w:val="315"/>
        </w:trPr>
        <w:tc>
          <w:tcPr>
            <w:tcW w:w="2497" w:type="dxa"/>
            <w:shd w:val="clear" w:color="000000" w:fill="FFFFFF"/>
            <w:vAlign w:val="center"/>
            <w:hideMark/>
          </w:tcPr>
          <w:p w14:paraId="0BCCE008" w14:textId="77777777" w:rsidR="00C259F2" w:rsidRPr="008520F6" w:rsidRDefault="00C259F2" w:rsidP="00C259F2">
            <w:pP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CJ-01</w:t>
            </w:r>
          </w:p>
        </w:tc>
        <w:tc>
          <w:tcPr>
            <w:tcW w:w="1134" w:type="dxa"/>
            <w:shd w:val="clear" w:color="000000" w:fill="FFFFFF"/>
            <w:vAlign w:val="center"/>
            <w:hideMark/>
          </w:tcPr>
          <w:p w14:paraId="4DBB4508"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51</w:t>
            </w:r>
          </w:p>
        </w:tc>
        <w:tc>
          <w:tcPr>
            <w:tcW w:w="1276" w:type="dxa"/>
            <w:shd w:val="clear" w:color="000000" w:fill="FFFFFF"/>
            <w:vAlign w:val="center"/>
            <w:hideMark/>
          </w:tcPr>
          <w:p w14:paraId="2454319A"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57,3%</w:t>
            </w:r>
          </w:p>
        </w:tc>
        <w:tc>
          <w:tcPr>
            <w:tcW w:w="1134" w:type="dxa"/>
            <w:shd w:val="clear" w:color="000000" w:fill="FFFFFF"/>
            <w:vAlign w:val="center"/>
            <w:hideMark/>
          </w:tcPr>
          <w:p w14:paraId="4CFFB7C9"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38</w:t>
            </w:r>
          </w:p>
        </w:tc>
        <w:tc>
          <w:tcPr>
            <w:tcW w:w="1276" w:type="dxa"/>
            <w:shd w:val="clear" w:color="000000" w:fill="FFFFFF"/>
            <w:vAlign w:val="center"/>
            <w:hideMark/>
          </w:tcPr>
          <w:p w14:paraId="093A87DE"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42,7%</w:t>
            </w:r>
          </w:p>
        </w:tc>
        <w:tc>
          <w:tcPr>
            <w:tcW w:w="2039" w:type="dxa"/>
            <w:shd w:val="clear" w:color="000000" w:fill="FFFFFF"/>
            <w:vAlign w:val="center"/>
            <w:hideMark/>
          </w:tcPr>
          <w:p w14:paraId="257B0E11" w14:textId="77777777" w:rsidR="00C259F2" w:rsidRPr="00FB5A95" w:rsidRDefault="00C259F2" w:rsidP="00C259F2">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89</w:t>
            </w:r>
          </w:p>
        </w:tc>
      </w:tr>
      <w:tr w:rsidR="00C259F2" w:rsidRPr="00ED0FFD" w14:paraId="752CE44E" w14:textId="77777777" w:rsidTr="00FB5A95">
        <w:trPr>
          <w:trHeight w:val="315"/>
        </w:trPr>
        <w:tc>
          <w:tcPr>
            <w:tcW w:w="2497" w:type="dxa"/>
            <w:shd w:val="clear" w:color="auto" w:fill="D9D9D9" w:themeFill="background1" w:themeFillShade="D9"/>
            <w:vAlign w:val="center"/>
            <w:hideMark/>
          </w:tcPr>
          <w:p w14:paraId="6DC10508" w14:textId="77777777" w:rsidR="00C259F2" w:rsidRPr="000E2230" w:rsidRDefault="00C259F2" w:rsidP="00C259F2">
            <w:pPr>
              <w:rPr>
                <w:rFonts w:asciiTheme="minorHAnsi" w:hAnsiTheme="minorHAnsi" w:cstheme="minorHAnsi"/>
                <w:b/>
                <w:bCs/>
                <w:i/>
                <w:color w:val="000000"/>
                <w:sz w:val="22"/>
                <w:szCs w:val="22"/>
              </w:rPr>
            </w:pPr>
            <w:r w:rsidRPr="000E2230">
              <w:rPr>
                <w:rFonts w:asciiTheme="minorHAnsi" w:hAnsiTheme="minorHAnsi" w:cstheme="minorHAnsi"/>
                <w:b/>
                <w:bCs/>
                <w:i/>
                <w:color w:val="000000"/>
                <w:sz w:val="22"/>
                <w:szCs w:val="22"/>
              </w:rPr>
              <w:t>Subtotal CJ's</w:t>
            </w:r>
          </w:p>
        </w:tc>
        <w:tc>
          <w:tcPr>
            <w:tcW w:w="1134" w:type="dxa"/>
            <w:shd w:val="clear" w:color="auto" w:fill="D9D9D9" w:themeFill="background1" w:themeFillShade="D9"/>
            <w:vAlign w:val="center"/>
            <w:hideMark/>
          </w:tcPr>
          <w:p w14:paraId="20EB08E8" w14:textId="77777777" w:rsidR="00C259F2" w:rsidRPr="00FB5A95" w:rsidRDefault="00C259F2" w:rsidP="00C259F2">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251</w:t>
            </w:r>
          </w:p>
        </w:tc>
        <w:tc>
          <w:tcPr>
            <w:tcW w:w="1276" w:type="dxa"/>
            <w:shd w:val="clear" w:color="auto" w:fill="D9D9D9" w:themeFill="background1" w:themeFillShade="D9"/>
            <w:vAlign w:val="center"/>
            <w:hideMark/>
          </w:tcPr>
          <w:p w14:paraId="73C16FA4" w14:textId="77777777" w:rsidR="00C259F2" w:rsidRPr="00FB5A95" w:rsidRDefault="00C259F2" w:rsidP="00C259F2">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57,6%</w:t>
            </w:r>
          </w:p>
        </w:tc>
        <w:tc>
          <w:tcPr>
            <w:tcW w:w="1134" w:type="dxa"/>
            <w:shd w:val="clear" w:color="auto" w:fill="D9D9D9" w:themeFill="background1" w:themeFillShade="D9"/>
            <w:vAlign w:val="center"/>
            <w:hideMark/>
          </w:tcPr>
          <w:p w14:paraId="5EE4CBBB" w14:textId="77777777" w:rsidR="00C259F2" w:rsidRPr="00FB5A95" w:rsidRDefault="00C259F2" w:rsidP="00C259F2">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185</w:t>
            </w:r>
          </w:p>
        </w:tc>
        <w:tc>
          <w:tcPr>
            <w:tcW w:w="1276" w:type="dxa"/>
            <w:shd w:val="clear" w:color="auto" w:fill="D9D9D9" w:themeFill="background1" w:themeFillShade="D9"/>
            <w:vAlign w:val="center"/>
            <w:hideMark/>
          </w:tcPr>
          <w:p w14:paraId="0A68A705" w14:textId="77777777" w:rsidR="00C259F2" w:rsidRPr="00FB5A95" w:rsidRDefault="00C259F2" w:rsidP="00C259F2">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42,4%</w:t>
            </w:r>
          </w:p>
        </w:tc>
        <w:tc>
          <w:tcPr>
            <w:tcW w:w="2039" w:type="dxa"/>
            <w:shd w:val="clear" w:color="auto" w:fill="D9D9D9" w:themeFill="background1" w:themeFillShade="D9"/>
            <w:vAlign w:val="center"/>
            <w:hideMark/>
          </w:tcPr>
          <w:p w14:paraId="6BDC1560" w14:textId="77777777" w:rsidR="00C259F2" w:rsidRPr="00FB5A95" w:rsidRDefault="00C259F2" w:rsidP="00C259F2">
            <w:pPr>
              <w:jc w:val="center"/>
              <w:rPr>
                <w:rFonts w:asciiTheme="minorHAnsi" w:hAnsiTheme="minorHAnsi" w:cstheme="minorHAnsi"/>
                <w:b/>
                <w:i/>
                <w:color w:val="000000"/>
                <w:sz w:val="22"/>
                <w:szCs w:val="22"/>
              </w:rPr>
            </w:pPr>
            <w:r w:rsidRPr="00FB5A95">
              <w:rPr>
                <w:rFonts w:asciiTheme="minorHAnsi" w:hAnsiTheme="minorHAnsi" w:cstheme="minorHAnsi"/>
                <w:b/>
                <w:i/>
                <w:color w:val="000000"/>
                <w:sz w:val="22"/>
                <w:szCs w:val="22"/>
              </w:rPr>
              <w:t>436</w:t>
            </w:r>
          </w:p>
        </w:tc>
      </w:tr>
      <w:tr w:rsidR="00C259F2" w:rsidRPr="00ED0FFD" w14:paraId="0A684AB7" w14:textId="77777777" w:rsidTr="00FB5A95">
        <w:trPr>
          <w:trHeight w:val="315"/>
        </w:trPr>
        <w:tc>
          <w:tcPr>
            <w:tcW w:w="2497" w:type="dxa"/>
            <w:shd w:val="clear" w:color="000000" w:fill="FFFFFF"/>
            <w:vAlign w:val="center"/>
            <w:hideMark/>
          </w:tcPr>
          <w:p w14:paraId="563F7BD8" w14:textId="77777777" w:rsidR="00C259F2" w:rsidRPr="000E2230" w:rsidRDefault="00C259F2" w:rsidP="00C259F2">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FC-06</w:t>
            </w:r>
          </w:p>
        </w:tc>
        <w:tc>
          <w:tcPr>
            <w:tcW w:w="1134" w:type="dxa"/>
            <w:shd w:val="clear" w:color="000000" w:fill="FFFFFF"/>
            <w:vAlign w:val="center"/>
            <w:hideMark/>
          </w:tcPr>
          <w:p w14:paraId="5C7F02E1"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90</w:t>
            </w:r>
          </w:p>
        </w:tc>
        <w:tc>
          <w:tcPr>
            <w:tcW w:w="1276" w:type="dxa"/>
            <w:shd w:val="clear" w:color="000000" w:fill="FFFFFF"/>
            <w:vAlign w:val="center"/>
            <w:hideMark/>
          </w:tcPr>
          <w:p w14:paraId="0F9E63C8"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51,7%</w:t>
            </w:r>
          </w:p>
        </w:tc>
        <w:tc>
          <w:tcPr>
            <w:tcW w:w="1134" w:type="dxa"/>
            <w:shd w:val="clear" w:color="000000" w:fill="FFFFFF"/>
            <w:vAlign w:val="center"/>
            <w:hideMark/>
          </w:tcPr>
          <w:p w14:paraId="4A66B4AA"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84</w:t>
            </w:r>
          </w:p>
        </w:tc>
        <w:tc>
          <w:tcPr>
            <w:tcW w:w="1276" w:type="dxa"/>
            <w:shd w:val="clear" w:color="000000" w:fill="FFFFFF"/>
            <w:vAlign w:val="center"/>
            <w:hideMark/>
          </w:tcPr>
          <w:p w14:paraId="612DC2C2"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48,3%</w:t>
            </w:r>
          </w:p>
        </w:tc>
        <w:tc>
          <w:tcPr>
            <w:tcW w:w="2039" w:type="dxa"/>
            <w:shd w:val="clear" w:color="000000" w:fill="FFFFFF"/>
            <w:vAlign w:val="center"/>
            <w:hideMark/>
          </w:tcPr>
          <w:p w14:paraId="339586FC" w14:textId="77777777" w:rsidR="00C259F2" w:rsidRPr="00FB5A95" w:rsidRDefault="00C259F2" w:rsidP="00C259F2">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174</w:t>
            </w:r>
          </w:p>
        </w:tc>
      </w:tr>
      <w:tr w:rsidR="00C259F2" w:rsidRPr="00ED0FFD" w14:paraId="4CB4D538" w14:textId="77777777" w:rsidTr="00FB5A95">
        <w:trPr>
          <w:trHeight w:val="315"/>
        </w:trPr>
        <w:tc>
          <w:tcPr>
            <w:tcW w:w="2497" w:type="dxa"/>
            <w:shd w:val="clear" w:color="000000" w:fill="FFFFFF"/>
            <w:vAlign w:val="center"/>
            <w:hideMark/>
          </w:tcPr>
          <w:p w14:paraId="5E0707CD" w14:textId="77777777" w:rsidR="00C259F2" w:rsidRPr="000E2230" w:rsidRDefault="00C259F2" w:rsidP="00C259F2">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FC-05</w:t>
            </w:r>
          </w:p>
        </w:tc>
        <w:tc>
          <w:tcPr>
            <w:tcW w:w="1134" w:type="dxa"/>
            <w:shd w:val="clear" w:color="000000" w:fill="FFFFFF"/>
            <w:vAlign w:val="center"/>
            <w:hideMark/>
          </w:tcPr>
          <w:p w14:paraId="4EC31B96"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242</w:t>
            </w:r>
          </w:p>
        </w:tc>
        <w:tc>
          <w:tcPr>
            <w:tcW w:w="1276" w:type="dxa"/>
            <w:shd w:val="clear" w:color="000000" w:fill="FFFFFF"/>
            <w:vAlign w:val="center"/>
            <w:hideMark/>
          </w:tcPr>
          <w:p w14:paraId="2E063AB6"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55,0%</w:t>
            </w:r>
          </w:p>
        </w:tc>
        <w:tc>
          <w:tcPr>
            <w:tcW w:w="1134" w:type="dxa"/>
            <w:shd w:val="clear" w:color="000000" w:fill="FFFFFF"/>
            <w:vAlign w:val="center"/>
            <w:hideMark/>
          </w:tcPr>
          <w:p w14:paraId="40071D34"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198</w:t>
            </w:r>
          </w:p>
        </w:tc>
        <w:tc>
          <w:tcPr>
            <w:tcW w:w="1276" w:type="dxa"/>
            <w:shd w:val="clear" w:color="000000" w:fill="FFFFFF"/>
            <w:vAlign w:val="center"/>
            <w:hideMark/>
          </w:tcPr>
          <w:p w14:paraId="6BF8197F"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45,0%</w:t>
            </w:r>
          </w:p>
        </w:tc>
        <w:tc>
          <w:tcPr>
            <w:tcW w:w="2039" w:type="dxa"/>
            <w:shd w:val="clear" w:color="000000" w:fill="FFFFFF"/>
            <w:vAlign w:val="center"/>
            <w:hideMark/>
          </w:tcPr>
          <w:p w14:paraId="27F71386" w14:textId="77777777" w:rsidR="00C259F2" w:rsidRPr="00FB5A95" w:rsidRDefault="00C259F2" w:rsidP="00C259F2">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440</w:t>
            </w:r>
          </w:p>
        </w:tc>
      </w:tr>
      <w:tr w:rsidR="00C259F2" w:rsidRPr="00ED0FFD" w14:paraId="55EB08B3" w14:textId="77777777" w:rsidTr="00FB5A95">
        <w:trPr>
          <w:trHeight w:val="315"/>
        </w:trPr>
        <w:tc>
          <w:tcPr>
            <w:tcW w:w="2497" w:type="dxa"/>
            <w:shd w:val="clear" w:color="000000" w:fill="FFFFFF"/>
            <w:vAlign w:val="center"/>
            <w:hideMark/>
          </w:tcPr>
          <w:p w14:paraId="5064A181" w14:textId="77777777" w:rsidR="00C259F2" w:rsidRPr="000E2230" w:rsidRDefault="00C259F2" w:rsidP="00C259F2">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FC-04</w:t>
            </w:r>
          </w:p>
        </w:tc>
        <w:tc>
          <w:tcPr>
            <w:tcW w:w="1134" w:type="dxa"/>
            <w:shd w:val="clear" w:color="000000" w:fill="FFFFFF"/>
            <w:vAlign w:val="center"/>
            <w:hideMark/>
          </w:tcPr>
          <w:p w14:paraId="3F94BBBD"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250</w:t>
            </w:r>
          </w:p>
        </w:tc>
        <w:tc>
          <w:tcPr>
            <w:tcW w:w="1276" w:type="dxa"/>
            <w:shd w:val="clear" w:color="000000" w:fill="FFFFFF"/>
            <w:vAlign w:val="center"/>
            <w:hideMark/>
          </w:tcPr>
          <w:p w14:paraId="47F30E63"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53,4%</w:t>
            </w:r>
          </w:p>
        </w:tc>
        <w:tc>
          <w:tcPr>
            <w:tcW w:w="1134" w:type="dxa"/>
            <w:shd w:val="clear" w:color="000000" w:fill="FFFFFF"/>
            <w:vAlign w:val="center"/>
            <w:hideMark/>
          </w:tcPr>
          <w:p w14:paraId="527BC5CE"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218</w:t>
            </w:r>
          </w:p>
        </w:tc>
        <w:tc>
          <w:tcPr>
            <w:tcW w:w="1276" w:type="dxa"/>
            <w:shd w:val="clear" w:color="000000" w:fill="FFFFFF"/>
            <w:vAlign w:val="center"/>
            <w:hideMark/>
          </w:tcPr>
          <w:p w14:paraId="71604181"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46,6%</w:t>
            </w:r>
          </w:p>
        </w:tc>
        <w:tc>
          <w:tcPr>
            <w:tcW w:w="2039" w:type="dxa"/>
            <w:shd w:val="clear" w:color="000000" w:fill="FFFFFF"/>
            <w:vAlign w:val="center"/>
            <w:hideMark/>
          </w:tcPr>
          <w:p w14:paraId="14BDF19E" w14:textId="77777777" w:rsidR="00C259F2" w:rsidRPr="00FB5A95" w:rsidRDefault="00C259F2" w:rsidP="00C259F2">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468</w:t>
            </w:r>
          </w:p>
        </w:tc>
      </w:tr>
      <w:tr w:rsidR="00C259F2" w:rsidRPr="00ED0FFD" w14:paraId="2D89A341" w14:textId="77777777" w:rsidTr="00FB5A95">
        <w:trPr>
          <w:trHeight w:val="315"/>
        </w:trPr>
        <w:tc>
          <w:tcPr>
            <w:tcW w:w="2497" w:type="dxa"/>
            <w:shd w:val="clear" w:color="000000" w:fill="FFFFFF"/>
            <w:vAlign w:val="center"/>
            <w:hideMark/>
          </w:tcPr>
          <w:p w14:paraId="34B98DC0" w14:textId="77777777" w:rsidR="00C259F2" w:rsidRPr="000E2230" w:rsidRDefault="00C259F2" w:rsidP="00C259F2">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FC-03</w:t>
            </w:r>
          </w:p>
        </w:tc>
        <w:tc>
          <w:tcPr>
            <w:tcW w:w="1134" w:type="dxa"/>
            <w:shd w:val="clear" w:color="000000" w:fill="FFFFFF"/>
            <w:vAlign w:val="center"/>
            <w:hideMark/>
          </w:tcPr>
          <w:p w14:paraId="4D7FC69B"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214</w:t>
            </w:r>
          </w:p>
        </w:tc>
        <w:tc>
          <w:tcPr>
            <w:tcW w:w="1276" w:type="dxa"/>
            <w:shd w:val="clear" w:color="000000" w:fill="FFFFFF"/>
            <w:vAlign w:val="center"/>
            <w:hideMark/>
          </w:tcPr>
          <w:p w14:paraId="39F30991"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59,6%</w:t>
            </w:r>
          </w:p>
        </w:tc>
        <w:tc>
          <w:tcPr>
            <w:tcW w:w="1134" w:type="dxa"/>
            <w:shd w:val="clear" w:color="000000" w:fill="FFFFFF"/>
            <w:vAlign w:val="center"/>
            <w:hideMark/>
          </w:tcPr>
          <w:p w14:paraId="3BC2D0AD"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145</w:t>
            </w:r>
          </w:p>
        </w:tc>
        <w:tc>
          <w:tcPr>
            <w:tcW w:w="1276" w:type="dxa"/>
            <w:shd w:val="clear" w:color="000000" w:fill="FFFFFF"/>
            <w:vAlign w:val="center"/>
            <w:hideMark/>
          </w:tcPr>
          <w:p w14:paraId="3BCC3DE3"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40,4%</w:t>
            </w:r>
          </w:p>
        </w:tc>
        <w:tc>
          <w:tcPr>
            <w:tcW w:w="2039" w:type="dxa"/>
            <w:shd w:val="clear" w:color="000000" w:fill="FFFFFF"/>
            <w:vAlign w:val="center"/>
            <w:hideMark/>
          </w:tcPr>
          <w:p w14:paraId="256EFA6B" w14:textId="77777777" w:rsidR="00C259F2" w:rsidRPr="00FB5A95" w:rsidRDefault="00C259F2" w:rsidP="00C259F2">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359</w:t>
            </w:r>
          </w:p>
        </w:tc>
      </w:tr>
      <w:tr w:rsidR="00C259F2" w:rsidRPr="00ED0FFD" w14:paraId="44BBC741" w14:textId="77777777" w:rsidTr="00FB5A95">
        <w:trPr>
          <w:trHeight w:val="315"/>
        </w:trPr>
        <w:tc>
          <w:tcPr>
            <w:tcW w:w="2497" w:type="dxa"/>
            <w:shd w:val="clear" w:color="000000" w:fill="FFFFFF"/>
            <w:vAlign w:val="center"/>
            <w:hideMark/>
          </w:tcPr>
          <w:p w14:paraId="1448B9ED" w14:textId="77777777" w:rsidR="00C259F2" w:rsidRPr="000E2230" w:rsidRDefault="00C259F2" w:rsidP="00C259F2">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FC-02</w:t>
            </w:r>
          </w:p>
        </w:tc>
        <w:tc>
          <w:tcPr>
            <w:tcW w:w="1134" w:type="dxa"/>
            <w:shd w:val="clear" w:color="000000" w:fill="FFFFFF"/>
            <w:vAlign w:val="center"/>
            <w:hideMark/>
          </w:tcPr>
          <w:p w14:paraId="45116D3F"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99</w:t>
            </w:r>
          </w:p>
        </w:tc>
        <w:tc>
          <w:tcPr>
            <w:tcW w:w="1276" w:type="dxa"/>
            <w:shd w:val="clear" w:color="000000" w:fill="FFFFFF"/>
            <w:vAlign w:val="center"/>
            <w:hideMark/>
          </w:tcPr>
          <w:p w14:paraId="4898F3E9"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65,1%</w:t>
            </w:r>
          </w:p>
        </w:tc>
        <w:tc>
          <w:tcPr>
            <w:tcW w:w="1134" w:type="dxa"/>
            <w:shd w:val="clear" w:color="000000" w:fill="FFFFFF"/>
            <w:vAlign w:val="center"/>
            <w:hideMark/>
          </w:tcPr>
          <w:p w14:paraId="2ED20C4F"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53</w:t>
            </w:r>
          </w:p>
        </w:tc>
        <w:tc>
          <w:tcPr>
            <w:tcW w:w="1276" w:type="dxa"/>
            <w:shd w:val="clear" w:color="000000" w:fill="FFFFFF"/>
            <w:vAlign w:val="center"/>
            <w:hideMark/>
          </w:tcPr>
          <w:p w14:paraId="4B2F044C"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34,9%</w:t>
            </w:r>
          </w:p>
        </w:tc>
        <w:tc>
          <w:tcPr>
            <w:tcW w:w="2039" w:type="dxa"/>
            <w:shd w:val="clear" w:color="000000" w:fill="FFFFFF"/>
            <w:vAlign w:val="center"/>
            <w:hideMark/>
          </w:tcPr>
          <w:p w14:paraId="65C4AA07" w14:textId="77777777" w:rsidR="00C259F2" w:rsidRPr="00FB5A95" w:rsidRDefault="00C259F2" w:rsidP="00C259F2">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152</w:t>
            </w:r>
          </w:p>
        </w:tc>
      </w:tr>
      <w:tr w:rsidR="00C259F2" w:rsidRPr="00ED0FFD" w14:paraId="1D265F23" w14:textId="77777777" w:rsidTr="00FB5A95">
        <w:trPr>
          <w:trHeight w:val="315"/>
        </w:trPr>
        <w:tc>
          <w:tcPr>
            <w:tcW w:w="2497" w:type="dxa"/>
            <w:shd w:val="clear" w:color="000000" w:fill="FFFFFF"/>
            <w:vAlign w:val="center"/>
            <w:hideMark/>
          </w:tcPr>
          <w:p w14:paraId="72D7D3FD" w14:textId="77777777" w:rsidR="00C259F2" w:rsidRPr="000E2230" w:rsidRDefault="00C259F2" w:rsidP="00C259F2">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FC-01</w:t>
            </w:r>
          </w:p>
        </w:tc>
        <w:tc>
          <w:tcPr>
            <w:tcW w:w="1134" w:type="dxa"/>
            <w:shd w:val="clear" w:color="000000" w:fill="FFFFFF"/>
            <w:vAlign w:val="center"/>
            <w:hideMark/>
          </w:tcPr>
          <w:p w14:paraId="5CEC86C5" w14:textId="2629C609" w:rsidR="00C259F2" w:rsidRPr="008520F6" w:rsidRDefault="00FB5A95" w:rsidP="00C259F2">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276" w:type="dxa"/>
            <w:shd w:val="clear" w:color="000000" w:fill="FFFFFF"/>
            <w:vAlign w:val="center"/>
            <w:hideMark/>
          </w:tcPr>
          <w:p w14:paraId="78FB2920" w14:textId="11F42A4A" w:rsidR="00C259F2" w:rsidRPr="008520F6" w:rsidRDefault="00FB5A95" w:rsidP="00C259F2">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134" w:type="dxa"/>
            <w:shd w:val="clear" w:color="000000" w:fill="FFFFFF"/>
            <w:vAlign w:val="center"/>
            <w:hideMark/>
          </w:tcPr>
          <w:p w14:paraId="5665B09A"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w:t>
            </w:r>
          </w:p>
        </w:tc>
        <w:tc>
          <w:tcPr>
            <w:tcW w:w="1276" w:type="dxa"/>
            <w:shd w:val="clear" w:color="000000" w:fill="FFFFFF"/>
            <w:vAlign w:val="center"/>
            <w:hideMark/>
          </w:tcPr>
          <w:p w14:paraId="1634E714" w14:textId="77777777" w:rsidR="00C259F2" w:rsidRPr="008520F6" w:rsidRDefault="00C259F2" w:rsidP="00C259F2">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100,0%</w:t>
            </w:r>
          </w:p>
        </w:tc>
        <w:tc>
          <w:tcPr>
            <w:tcW w:w="2039" w:type="dxa"/>
            <w:shd w:val="clear" w:color="000000" w:fill="FFFFFF"/>
            <w:vAlign w:val="center"/>
            <w:hideMark/>
          </w:tcPr>
          <w:p w14:paraId="0691A9A9" w14:textId="77777777" w:rsidR="00C259F2" w:rsidRPr="00FB5A95" w:rsidRDefault="00C259F2" w:rsidP="00C259F2">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2</w:t>
            </w:r>
          </w:p>
        </w:tc>
      </w:tr>
      <w:tr w:rsidR="00C259F2" w:rsidRPr="00ED0FFD" w14:paraId="677802D8" w14:textId="77777777" w:rsidTr="00FB5A95">
        <w:trPr>
          <w:trHeight w:val="315"/>
        </w:trPr>
        <w:tc>
          <w:tcPr>
            <w:tcW w:w="2497" w:type="dxa"/>
            <w:shd w:val="clear" w:color="auto" w:fill="D9D9D9" w:themeFill="background1" w:themeFillShade="D9"/>
            <w:vAlign w:val="center"/>
            <w:hideMark/>
          </w:tcPr>
          <w:p w14:paraId="641C71AB" w14:textId="77777777" w:rsidR="00C259F2" w:rsidRPr="000E2230" w:rsidRDefault="00C259F2" w:rsidP="00C259F2">
            <w:pPr>
              <w:rPr>
                <w:rFonts w:asciiTheme="minorHAnsi" w:hAnsiTheme="minorHAnsi" w:cstheme="minorHAnsi"/>
                <w:b/>
                <w:bCs/>
                <w:i/>
                <w:color w:val="000000"/>
                <w:sz w:val="22"/>
                <w:szCs w:val="22"/>
              </w:rPr>
            </w:pPr>
            <w:r w:rsidRPr="000E2230">
              <w:rPr>
                <w:rFonts w:asciiTheme="minorHAnsi" w:hAnsiTheme="minorHAnsi" w:cstheme="minorHAnsi"/>
                <w:b/>
                <w:bCs/>
                <w:i/>
                <w:color w:val="000000"/>
                <w:sz w:val="22"/>
                <w:szCs w:val="22"/>
              </w:rPr>
              <w:t>Subtotal FC's</w:t>
            </w:r>
          </w:p>
        </w:tc>
        <w:tc>
          <w:tcPr>
            <w:tcW w:w="1134" w:type="dxa"/>
            <w:shd w:val="clear" w:color="auto" w:fill="D9D9D9" w:themeFill="background1" w:themeFillShade="D9"/>
            <w:vAlign w:val="center"/>
            <w:hideMark/>
          </w:tcPr>
          <w:p w14:paraId="3241908D" w14:textId="77777777" w:rsidR="00C259F2" w:rsidRPr="00FB5A95" w:rsidRDefault="00C259F2" w:rsidP="00C259F2">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895</w:t>
            </w:r>
          </w:p>
        </w:tc>
        <w:tc>
          <w:tcPr>
            <w:tcW w:w="1276" w:type="dxa"/>
            <w:shd w:val="clear" w:color="auto" w:fill="D9D9D9" w:themeFill="background1" w:themeFillShade="D9"/>
            <w:vAlign w:val="center"/>
            <w:hideMark/>
          </w:tcPr>
          <w:p w14:paraId="18534C7D" w14:textId="77777777" w:rsidR="00C259F2" w:rsidRPr="00FB5A95" w:rsidRDefault="00C259F2" w:rsidP="00C259F2">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56,1%</w:t>
            </w:r>
          </w:p>
        </w:tc>
        <w:tc>
          <w:tcPr>
            <w:tcW w:w="1134" w:type="dxa"/>
            <w:shd w:val="clear" w:color="auto" w:fill="D9D9D9" w:themeFill="background1" w:themeFillShade="D9"/>
            <w:vAlign w:val="center"/>
            <w:hideMark/>
          </w:tcPr>
          <w:p w14:paraId="4EAA1407" w14:textId="77777777" w:rsidR="00C259F2" w:rsidRPr="00FB5A95" w:rsidRDefault="00C259F2" w:rsidP="00C259F2">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700</w:t>
            </w:r>
          </w:p>
        </w:tc>
        <w:tc>
          <w:tcPr>
            <w:tcW w:w="1276" w:type="dxa"/>
            <w:shd w:val="clear" w:color="auto" w:fill="D9D9D9" w:themeFill="background1" w:themeFillShade="D9"/>
            <w:vAlign w:val="center"/>
            <w:hideMark/>
          </w:tcPr>
          <w:p w14:paraId="6DCF285B" w14:textId="77777777" w:rsidR="00C259F2" w:rsidRPr="00FB5A95" w:rsidRDefault="00C259F2" w:rsidP="00C259F2">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43,9%</w:t>
            </w:r>
          </w:p>
        </w:tc>
        <w:tc>
          <w:tcPr>
            <w:tcW w:w="2039" w:type="dxa"/>
            <w:shd w:val="clear" w:color="auto" w:fill="D9D9D9" w:themeFill="background1" w:themeFillShade="D9"/>
            <w:vAlign w:val="center"/>
            <w:hideMark/>
          </w:tcPr>
          <w:p w14:paraId="3F4C26C4" w14:textId="5CD8C738" w:rsidR="00C259F2" w:rsidRPr="00FB5A95" w:rsidRDefault="00C259F2" w:rsidP="00C259F2">
            <w:pPr>
              <w:jc w:val="center"/>
              <w:rPr>
                <w:rFonts w:asciiTheme="minorHAnsi" w:hAnsiTheme="minorHAnsi" w:cstheme="minorHAnsi"/>
                <w:b/>
                <w:i/>
                <w:color w:val="000000"/>
                <w:sz w:val="22"/>
                <w:szCs w:val="22"/>
              </w:rPr>
            </w:pPr>
            <w:r w:rsidRPr="00FB5A95">
              <w:rPr>
                <w:rFonts w:asciiTheme="minorHAnsi" w:hAnsiTheme="minorHAnsi" w:cstheme="minorHAnsi"/>
                <w:b/>
                <w:i/>
                <w:color w:val="000000"/>
                <w:sz w:val="22"/>
                <w:szCs w:val="22"/>
              </w:rPr>
              <w:t>1</w:t>
            </w:r>
            <w:r w:rsidR="00FB5A95" w:rsidRPr="00FB5A95">
              <w:rPr>
                <w:rFonts w:asciiTheme="minorHAnsi" w:hAnsiTheme="minorHAnsi" w:cstheme="minorHAnsi"/>
                <w:b/>
                <w:i/>
                <w:color w:val="000000"/>
                <w:sz w:val="22"/>
                <w:szCs w:val="22"/>
              </w:rPr>
              <w:t>.</w:t>
            </w:r>
            <w:r w:rsidRPr="00FB5A95">
              <w:rPr>
                <w:rFonts w:asciiTheme="minorHAnsi" w:hAnsiTheme="minorHAnsi" w:cstheme="minorHAnsi"/>
                <w:b/>
                <w:i/>
                <w:color w:val="000000"/>
                <w:sz w:val="22"/>
                <w:szCs w:val="22"/>
              </w:rPr>
              <w:t>595</w:t>
            </w:r>
          </w:p>
        </w:tc>
      </w:tr>
      <w:tr w:rsidR="00C259F2" w:rsidRPr="00ED0FFD" w14:paraId="38C78F21" w14:textId="77777777" w:rsidTr="00FB5A95">
        <w:trPr>
          <w:trHeight w:val="315"/>
        </w:trPr>
        <w:tc>
          <w:tcPr>
            <w:tcW w:w="2497" w:type="dxa"/>
            <w:shd w:val="clear" w:color="000000" w:fill="BFBFBF"/>
            <w:vAlign w:val="center"/>
            <w:hideMark/>
          </w:tcPr>
          <w:p w14:paraId="021209EA" w14:textId="77777777" w:rsidR="00C259F2" w:rsidRPr="008520F6" w:rsidRDefault="00C259F2" w:rsidP="00C259F2">
            <w:pP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Total Geral</w:t>
            </w:r>
          </w:p>
        </w:tc>
        <w:tc>
          <w:tcPr>
            <w:tcW w:w="1134" w:type="dxa"/>
            <w:shd w:val="clear" w:color="000000" w:fill="BFBFBF"/>
            <w:vAlign w:val="center"/>
            <w:hideMark/>
          </w:tcPr>
          <w:p w14:paraId="091309A3" w14:textId="06072041" w:rsidR="00C259F2" w:rsidRPr="008520F6" w:rsidRDefault="00C259F2" w:rsidP="00C259F2">
            <w:pPr>
              <w:jc w:val="center"/>
              <w:rPr>
                <w:rFonts w:asciiTheme="minorHAnsi" w:hAnsiTheme="minorHAnsi" w:cstheme="minorHAnsi"/>
                <w:b/>
                <w:color w:val="000000"/>
                <w:sz w:val="22"/>
                <w:szCs w:val="22"/>
              </w:rPr>
            </w:pPr>
            <w:r w:rsidRPr="008520F6">
              <w:rPr>
                <w:rFonts w:asciiTheme="minorHAnsi" w:hAnsiTheme="minorHAnsi" w:cstheme="minorHAnsi"/>
                <w:b/>
                <w:color w:val="000000"/>
                <w:sz w:val="22"/>
                <w:szCs w:val="22"/>
              </w:rPr>
              <w:t>1</w:t>
            </w:r>
            <w:r w:rsidR="00FB5A95">
              <w:rPr>
                <w:rFonts w:asciiTheme="minorHAnsi" w:hAnsiTheme="minorHAnsi" w:cstheme="minorHAnsi"/>
                <w:b/>
                <w:color w:val="000000"/>
                <w:sz w:val="22"/>
                <w:szCs w:val="22"/>
              </w:rPr>
              <w:t>.</w:t>
            </w:r>
            <w:r w:rsidRPr="008520F6">
              <w:rPr>
                <w:rFonts w:asciiTheme="minorHAnsi" w:hAnsiTheme="minorHAnsi" w:cstheme="minorHAnsi"/>
                <w:b/>
                <w:color w:val="000000"/>
                <w:sz w:val="22"/>
                <w:szCs w:val="22"/>
              </w:rPr>
              <w:t>146</w:t>
            </w:r>
          </w:p>
        </w:tc>
        <w:tc>
          <w:tcPr>
            <w:tcW w:w="1276" w:type="dxa"/>
            <w:shd w:val="clear" w:color="000000" w:fill="BFBFBF"/>
            <w:vAlign w:val="center"/>
            <w:hideMark/>
          </w:tcPr>
          <w:p w14:paraId="3A656B77" w14:textId="77777777" w:rsidR="00C259F2" w:rsidRPr="008520F6" w:rsidRDefault="00C259F2" w:rsidP="00C259F2">
            <w:pPr>
              <w:jc w:val="center"/>
              <w:rPr>
                <w:rFonts w:asciiTheme="minorHAnsi" w:hAnsiTheme="minorHAnsi" w:cstheme="minorHAnsi"/>
                <w:b/>
                <w:color w:val="000000"/>
                <w:sz w:val="22"/>
                <w:szCs w:val="22"/>
              </w:rPr>
            </w:pPr>
            <w:r w:rsidRPr="008520F6">
              <w:rPr>
                <w:rFonts w:asciiTheme="minorHAnsi" w:hAnsiTheme="minorHAnsi" w:cstheme="minorHAnsi"/>
                <w:b/>
                <w:color w:val="000000"/>
                <w:sz w:val="22"/>
                <w:szCs w:val="22"/>
              </w:rPr>
              <w:t>56,4%</w:t>
            </w:r>
          </w:p>
        </w:tc>
        <w:tc>
          <w:tcPr>
            <w:tcW w:w="1134" w:type="dxa"/>
            <w:shd w:val="clear" w:color="000000" w:fill="BFBFBF"/>
            <w:vAlign w:val="center"/>
            <w:hideMark/>
          </w:tcPr>
          <w:p w14:paraId="5FD87602" w14:textId="77777777" w:rsidR="00C259F2" w:rsidRPr="008520F6" w:rsidRDefault="00C259F2" w:rsidP="00C259F2">
            <w:pPr>
              <w:jc w:val="center"/>
              <w:rPr>
                <w:rFonts w:asciiTheme="minorHAnsi" w:hAnsiTheme="minorHAnsi" w:cstheme="minorHAnsi"/>
                <w:b/>
                <w:color w:val="000000"/>
                <w:sz w:val="22"/>
                <w:szCs w:val="22"/>
              </w:rPr>
            </w:pPr>
            <w:r w:rsidRPr="008520F6">
              <w:rPr>
                <w:rFonts w:asciiTheme="minorHAnsi" w:hAnsiTheme="minorHAnsi" w:cstheme="minorHAnsi"/>
                <w:b/>
                <w:color w:val="000000"/>
                <w:sz w:val="22"/>
                <w:szCs w:val="22"/>
              </w:rPr>
              <w:t>885</w:t>
            </w:r>
          </w:p>
        </w:tc>
        <w:tc>
          <w:tcPr>
            <w:tcW w:w="1276" w:type="dxa"/>
            <w:shd w:val="clear" w:color="000000" w:fill="BFBFBF"/>
            <w:vAlign w:val="center"/>
            <w:hideMark/>
          </w:tcPr>
          <w:p w14:paraId="0E3407B7" w14:textId="77777777" w:rsidR="00C259F2" w:rsidRPr="008520F6" w:rsidRDefault="00C259F2" w:rsidP="00C259F2">
            <w:pPr>
              <w:jc w:val="center"/>
              <w:rPr>
                <w:rFonts w:asciiTheme="minorHAnsi" w:hAnsiTheme="minorHAnsi" w:cstheme="minorHAnsi"/>
                <w:b/>
                <w:color w:val="000000"/>
                <w:sz w:val="22"/>
                <w:szCs w:val="22"/>
              </w:rPr>
            </w:pPr>
            <w:r w:rsidRPr="008520F6">
              <w:rPr>
                <w:rFonts w:asciiTheme="minorHAnsi" w:hAnsiTheme="minorHAnsi" w:cstheme="minorHAnsi"/>
                <w:b/>
                <w:color w:val="000000"/>
                <w:sz w:val="22"/>
                <w:szCs w:val="22"/>
              </w:rPr>
              <w:t>43,6%</w:t>
            </w:r>
          </w:p>
        </w:tc>
        <w:tc>
          <w:tcPr>
            <w:tcW w:w="2039" w:type="dxa"/>
            <w:shd w:val="clear" w:color="000000" w:fill="BFBFBF"/>
            <w:vAlign w:val="center"/>
            <w:hideMark/>
          </w:tcPr>
          <w:p w14:paraId="7D18BAEA" w14:textId="035F9C98" w:rsidR="00C259F2" w:rsidRPr="008520F6" w:rsidRDefault="00C259F2" w:rsidP="00C259F2">
            <w:pPr>
              <w:jc w:val="center"/>
              <w:rPr>
                <w:rFonts w:asciiTheme="minorHAnsi" w:hAnsiTheme="minorHAnsi" w:cstheme="minorHAnsi"/>
                <w:b/>
                <w:color w:val="000000"/>
                <w:sz w:val="22"/>
                <w:szCs w:val="22"/>
              </w:rPr>
            </w:pPr>
            <w:r w:rsidRPr="008520F6">
              <w:rPr>
                <w:rFonts w:asciiTheme="minorHAnsi" w:hAnsiTheme="minorHAnsi" w:cstheme="minorHAnsi"/>
                <w:b/>
                <w:color w:val="000000"/>
                <w:sz w:val="22"/>
                <w:szCs w:val="22"/>
              </w:rPr>
              <w:t>2</w:t>
            </w:r>
            <w:r w:rsidR="00FB5A95">
              <w:rPr>
                <w:rFonts w:asciiTheme="minorHAnsi" w:hAnsiTheme="minorHAnsi" w:cstheme="minorHAnsi"/>
                <w:b/>
                <w:color w:val="000000"/>
                <w:sz w:val="22"/>
                <w:szCs w:val="22"/>
              </w:rPr>
              <w:t>.</w:t>
            </w:r>
            <w:r w:rsidRPr="008520F6">
              <w:rPr>
                <w:rFonts w:asciiTheme="minorHAnsi" w:hAnsiTheme="minorHAnsi" w:cstheme="minorHAnsi"/>
                <w:b/>
                <w:color w:val="000000"/>
                <w:sz w:val="22"/>
                <w:szCs w:val="22"/>
              </w:rPr>
              <w:t>031</w:t>
            </w:r>
          </w:p>
        </w:tc>
      </w:tr>
    </w:tbl>
    <w:p w14:paraId="2BFC5567" w14:textId="77777777" w:rsidR="005E406F" w:rsidRDefault="005E406F" w:rsidP="00826342">
      <w:pPr>
        <w:pStyle w:val="Fonte"/>
        <w:jc w:val="left"/>
        <w:rPr>
          <w:b w:val="0"/>
        </w:rPr>
      </w:pPr>
      <w:r w:rsidRPr="007701F6">
        <w:t xml:space="preserve">Fonte: </w:t>
      </w:r>
      <w:r w:rsidRPr="007701F6">
        <w:rPr>
          <w:b w:val="0"/>
        </w:rPr>
        <w:t>Dados disponibilizados pelo Sistema de Recursos Humanos do TST (abril de 2025). Compilação e elaboração: CPJUD/SEPJD/CPJED</w:t>
      </w:r>
      <w:r>
        <w:rPr>
          <w:b w:val="0"/>
        </w:rPr>
        <w:t>.</w:t>
      </w:r>
    </w:p>
    <w:p w14:paraId="38BB2846" w14:textId="75855695" w:rsidR="004C32BC" w:rsidRDefault="004C32BC">
      <w:pPr>
        <w:rPr>
          <w:rFonts w:asciiTheme="minorHAnsi" w:hAnsiTheme="minorHAnsi" w:cstheme="minorHAnsi"/>
          <w:noProof/>
        </w:rPr>
      </w:pPr>
      <w:r>
        <w:br w:type="page"/>
      </w:r>
    </w:p>
    <w:p w14:paraId="1757975B" w14:textId="77777777" w:rsidR="00473221" w:rsidRDefault="00473221" w:rsidP="005E406F">
      <w:pPr>
        <w:pStyle w:val="Texto"/>
      </w:pPr>
    </w:p>
    <w:p w14:paraId="6ED63FA0" w14:textId="04906F3D" w:rsidR="00FA3862" w:rsidRDefault="00FA3862" w:rsidP="00FB5A95">
      <w:pPr>
        <w:pStyle w:val="TtulodaIlustrao"/>
      </w:pPr>
      <w:bookmarkStart w:id="24" w:name="_Toc208508626"/>
      <w:r>
        <w:t xml:space="preserve">Gráfico </w:t>
      </w:r>
      <w:r>
        <w:fldChar w:fldCharType="begin"/>
      </w:r>
      <w:r>
        <w:instrText xml:space="preserve"> SEQ Gráfico \* ARABIC </w:instrText>
      </w:r>
      <w:r>
        <w:fldChar w:fldCharType="separate"/>
      </w:r>
      <w:r w:rsidR="00D85D1E">
        <w:t>4</w:t>
      </w:r>
      <w:r>
        <w:fldChar w:fldCharType="end"/>
      </w:r>
      <w:r w:rsidRPr="00FB5A95">
        <w:rPr>
          <w:b w:val="0"/>
        </w:rPr>
        <w:t xml:space="preserve"> - Distribuição por gênero dos cargos em comissão e funções comissionadas do TST (%)</w:t>
      </w:r>
      <w:bookmarkEnd w:id="24"/>
    </w:p>
    <w:p w14:paraId="427E9986" w14:textId="3DA2E3EE" w:rsidR="00F76256" w:rsidRDefault="00C07EE8" w:rsidP="00FB5A95">
      <w:pPr>
        <w:pStyle w:val="TtulodaIlustrao"/>
      </w:pPr>
      <w:r>
        <w:drawing>
          <wp:inline distT="0" distB="0" distL="0" distR="0" wp14:anchorId="0659CCBE" wp14:editId="3A00D0A5">
            <wp:extent cx="4552950" cy="3133725"/>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5ED2ED" w14:textId="7A29F57F" w:rsidR="00470AFA" w:rsidRPr="003B04E6" w:rsidRDefault="00473221" w:rsidP="003B04E6">
      <w:pPr>
        <w:pStyle w:val="Fonte"/>
        <w:rPr>
          <w:b w:val="0"/>
        </w:rPr>
      </w:pPr>
      <w:r w:rsidRPr="00A739AB">
        <w:t xml:space="preserve">Fonte: </w:t>
      </w:r>
      <w:r w:rsidRPr="0046486D">
        <w:rPr>
          <w:b w:val="0"/>
        </w:rPr>
        <w:t>Dados disponibilizados pelo Sistema de Recursos Humanos do TST (abril de 2025). Compilação e elaboração: CPJUD/SEPJD/CPJED</w:t>
      </w:r>
      <w:r>
        <w:rPr>
          <w:b w:val="0"/>
        </w:rPr>
        <w:t>.</w:t>
      </w:r>
    </w:p>
    <w:p w14:paraId="587A950A" w14:textId="77777777" w:rsidR="00743D49" w:rsidRDefault="00743D49" w:rsidP="00FB5A95">
      <w:pPr>
        <w:pStyle w:val="Texto"/>
      </w:pPr>
    </w:p>
    <w:p w14:paraId="186BF4FC" w14:textId="775D4A1C" w:rsidR="004C32BC" w:rsidRDefault="004C32BC" w:rsidP="004C32BC">
      <w:pPr>
        <w:pStyle w:val="Texto"/>
        <w:rPr>
          <w:bCs/>
        </w:rPr>
      </w:pPr>
      <w:r w:rsidRPr="009438AA">
        <w:rPr>
          <w:bCs/>
        </w:rPr>
        <w:t>A distribuição por gênero nos cargos em comissão (CJ) e funções comissionadas (FC) do TST acompanha a composição geral do quadro funcional da Casa, em que as mulheres representam a maioria</w:t>
      </w:r>
      <w:r>
        <w:rPr>
          <w:bCs/>
        </w:rPr>
        <w:t xml:space="preserve"> (53,2%)</w:t>
      </w:r>
      <w:r w:rsidRPr="009438AA">
        <w:rPr>
          <w:bCs/>
        </w:rPr>
        <w:t>. Do total de 2.031 postos analisados, 1.146 (56,4%) são ocupados por mulheres e 885 (43,6%) por homens, proporção bastante próxima àquela observada na distribuição geral de servidores do Tribunal por gênero</w:t>
      </w:r>
      <w:r>
        <w:rPr>
          <w:bCs/>
        </w:rPr>
        <w:t>.</w:t>
      </w:r>
      <w:r w:rsidRPr="009438AA">
        <w:rPr>
          <w:bCs/>
        </w:rPr>
        <w:t xml:space="preserve"> </w:t>
      </w:r>
      <w:r>
        <w:rPr>
          <w:bCs/>
        </w:rPr>
        <w:t xml:space="preserve"> Embora a</w:t>
      </w:r>
      <w:r w:rsidRPr="009438AA">
        <w:rPr>
          <w:bCs/>
        </w:rPr>
        <w:t xml:space="preserve"> maior participação feminina em CJs e FCs acompanh</w:t>
      </w:r>
      <w:r>
        <w:rPr>
          <w:bCs/>
        </w:rPr>
        <w:t>e</w:t>
      </w:r>
      <w:r w:rsidRPr="009438AA">
        <w:rPr>
          <w:bCs/>
        </w:rPr>
        <w:t xml:space="preserve"> a proporção numérica total de mulheres na instituição, </w:t>
      </w:r>
      <w:r>
        <w:rPr>
          <w:bCs/>
        </w:rPr>
        <w:t>os</w:t>
      </w:r>
      <w:r w:rsidRPr="009438AA">
        <w:rPr>
          <w:bCs/>
        </w:rPr>
        <w:t xml:space="preserve"> dado</w:t>
      </w:r>
      <w:r>
        <w:rPr>
          <w:bCs/>
        </w:rPr>
        <w:t>s são</w:t>
      </w:r>
      <w:r w:rsidRPr="009438AA">
        <w:rPr>
          <w:bCs/>
        </w:rPr>
        <w:t xml:space="preserve"> positivo</w:t>
      </w:r>
      <w:r>
        <w:rPr>
          <w:bCs/>
        </w:rPr>
        <w:t>s</w:t>
      </w:r>
      <w:r w:rsidRPr="009438AA">
        <w:rPr>
          <w:bCs/>
        </w:rPr>
        <w:t>, pois sinaliza</w:t>
      </w:r>
      <w:r>
        <w:rPr>
          <w:bCs/>
        </w:rPr>
        <w:t>m</w:t>
      </w:r>
      <w:r w:rsidRPr="009438AA">
        <w:rPr>
          <w:bCs/>
        </w:rPr>
        <w:t xml:space="preserve"> igualdade na distribuição </w:t>
      </w:r>
      <w:r>
        <w:rPr>
          <w:bCs/>
        </w:rPr>
        <w:t xml:space="preserve">por gênero das funções, especialmente naquelas </w:t>
      </w:r>
      <w:r w:rsidRPr="009438AA">
        <w:rPr>
          <w:bCs/>
        </w:rPr>
        <w:t>melhor remuneradas.</w:t>
      </w:r>
      <w:r>
        <w:rPr>
          <w:bCs/>
        </w:rPr>
        <w:t xml:space="preserve"> </w:t>
      </w:r>
    </w:p>
    <w:p w14:paraId="3EE19FFD" w14:textId="78874146" w:rsidR="004C32BC" w:rsidRDefault="004C32BC" w:rsidP="004C32BC">
      <w:pPr>
        <w:pStyle w:val="Texto"/>
      </w:pPr>
      <w:r w:rsidRPr="00743D49">
        <w:t xml:space="preserve">De acordo com a Tabela 2, dos 436 cargos em comissão do TST, distribuídos nos níveis CJ-01, 02, 03 e 04, 57,6% (251 cargos) são ocupados por mulheres e 42,4% (185 cargos) </w:t>
      </w:r>
      <w:r>
        <w:t xml:space="preserve">por homens, seguindo </w:t>
      </w:r>
      <w:r w:rsidRPr="00743D49">
        <w:t>a continuidade da composição func</w:t>
      </w:r>
      <w:r>
        <w:t xml:space="preserve">ional majoritariamente feminina dos órgãos. Em dois dos quatro mais elevados níveis hierárquicos (CJ-03 e CJ-01), verifica-se uma preponderância feminina em patamar aproximado de 58% (um pouco superior à representatividade feminina no quadro geral – 53,2%), ao passo que nos outros dois (CJ-04 e CJ-02) constata-se distribuição paritária de 50% (um pouco inferior ao quadro geral), cenário que pode, consideradas eventuais </w:t>
      </w:r>
      <w:r>
        <w:lastRenderedPageBreak/>
        <w:t xml:space="preserve">flutuações sazonais, sinalizar inexistência de óbices aparentes à ascensão do gênero feminino aos mais altos postos funcionais do órgão. </w:t>
      </w:r>
    </w:p>
    <w:p w14:paraId="5417D0EF" w14:textId="77777777" w:rsidR="00B81EEB" w:rsidRDefault="00B81EEB" w:rsidP="00FB5A95">
      <w:pPr>
        <w:pStyle w:val="Texto"/>
      </w:pPr>
    </w:p>
    <w:p w14:paraId="75DAA7B6" w14:textId="092B60B7" w:rsidR="00FA3862" w:rsidRDefault="00FA3862" w:rsidP="00FB5A95">
      <w:pPr>
        <w:pStyle w:val="TtulodaIlustrao"/>
      </w:pPr>
      <w:bookmarkStart w:id="25" w:name="_Toc208508627"/>
      <w:r>
        <w:t xml:space="preserve">Gráfico </w:t>
      </w:r>
      <w:r>
        <w:fldChar w:fldCharType="begin"/>
      </w:r>
      <w:r>
        <w:instrText xml:space="preserve"> SEQ Gráfico \* ARABIC </w:instrText>
      </w:r>
      <w:r>
        <w:fldChar w:fldCharType="separate"/>
      </w:r>
      <w:r w:rsidR="00D85D1E">
        <w:t>5</w:t>
      </w:r>
      <w:r>
        <w:fldChar w:fldCharType="end"/>
      </w:r>
      <w:r w:rsidRPr="00FB5A95">
        <w:rPr>
          <w:b w:val="0"/>
        </w:rPr>
        <w:t xml:space="preserve"> - Distribuição por nível e por gênero dos cargos em comissão do TST em relação ao total (%)</w:t>
      </w:r>
      <w:bookmarkEnd w:id="25"/>
    </w:p>
    <w:p w14:paraId="0CAF01BA" w14:textId="3E36B9D9" w:rsidR="00B8489C" w:rsidRDefault="00086E57" w:rsidP="00086E57">
      <w:pPr>
        <w:pStyle w:val="Texto"/>
        <w:jc w:val="center"/>
      </w:pPr>
      <w:r>
        <w:drawing>
          <wp:inline distT="0" distB="0" distL="0" distR="0" wp14:anchorId="54848762" wp14:editId="5D27803C">
            <wp:extent cx="5000625" cy="3228975"/>
            <wp:effectExtent l="0" t="0" r="0" b="0"/>
            <wp:docPr id="1622690727" name="Gráfico 162269072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A6BAE1-D406-4391-9917-45A1C373A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55676F" w14:textId="3C155058" w:rsidR="00B8489C" w:rsidRPr="00470AFA" w:rsidRDefault="00470AFA" w:rsidP="00470AFA">
      <w:pPr>
        <w:pStyle w:val="Fonte"/>
        <w:rPr>
          <w:b w:val="0"/>
          <w:bCs/>
        </w:rPr>
      </w:pPr>
      <w:r w:rsidRPr="00470AFA">
        <w:t xml:space="preserve">Fonte: </w:t>
      </w:r>
      <w:r w:rsidRPr="00470AFA">
        <w:rPr>
          <w:b w:val="0"/>
          <w:bCs/>
        </w:rPr>
        <w:t>Dados disponibilizados pelo Sistema de Recursos Humanos do TST (abril de 2025). Compilação e elaboração: CPJUD/SEPJD/CPJED.</w:t>
      </w:r>
    </w:p>
    <w:p w14:paraId="16A98A19" w14:textId="77777777" w:rsidR="00FE4F02" w:rsidRDefault="00FE4F02" w:rsidP="007C36D4">
      <w:pPr>
        <w:pStyle w:val="Texto"/>
        <w:ind w:firstLine="709"/>
      </w:pPr>
    </w:p>
    <w:p w14:paraId="7D78E758" w14:textId="18567699" w:rsidR="00743D49" w:rsidRDefault="00743D49" w:rsidP="00743D49">
      <w:pPr>
        <w:pStyle w:val="Texto"/>
        <w:ind w:firstLine="709"/>
      </w:pPr>
      <w:r>
        <w:t>O Gráfico 5 mostra qual o percentual ocupado por homens e mulheres para cada nível de CJ em relação ao total de cargos em comissão do TST. Essa análise permite compreender o peso de cada nível na composição total de CJs. Observa-se que o nível CJ-03</w:t>
      </w:r>
      <w:r w:rsidR="004C32BC">
        <w:t>, ocupado 59,6% por mulheres (177),</w:t>
      </w:r>
      <w:r>
        <w:t xml:space="preserve"> concentra o maior número </w:t>
      </w:r>
      <w:r w:rsidR="004C32BC">
        <w:t>de</w:t>
      </w:r>
      <w:r>
        <w:t xml:space="preserve"> CJs no TST</w:t>
      </w:r>
      <w:r w:rsidR="004C32BC">
        <w:t xml:space="preserve"> (40,6% do total de CJs)</w:t>
      </w:r>
      <w:r>
        <w:t xml:space="preserve">. </w:t>
      </w:r>
    </w:p>
    <w:p w14:paraId="6FD7A05F" w14:textId="77777777" w:rsidR="00FE4F02" w:rsidRDefault="00FE4F02" w:rsidP="007C36D4">
      <w:pPr>
        <w:pStyle w:val="Texto"/>
        <w:ind w:firstLine="709"/>
      </w:pPr>
    </w:p>
    <w:p w14:paraId="4F6F7109" w14:textId="01504E0D" w:rsidR="00FB5A95" w:rsidRDefault="00FB5A95">
      <w:pPr>
        <w:rPr>
          <w:rFonts w:asciiTheme="minorHAnsi" w:hAnsiTheme="minorHAnsi" w:cstheme="minorHAnsi"/>
          <w:noProof/>
        </w:rPr>
      </w:pPr>
      <w:r>
        <w:br w:type="page"/>
      </w:r>
    </w:p>
    <w:p w14:paraId="23CEEFE6" w14:textId="297DAEB4" w:rsidR="00470AFA" w:rsidRDefault="00FA3862" w:rsidP="00FB5A95">
      <w:pPr>
        <w:pStyle w:val="TtulodaIlustrao"/>
      </w:pPr>
      <w:bookmarkStart w:id="26" w:name="_Toc208508628"/>
      <w:r>
        <w:lastRenderedPageBreak/>
        <w:t xml:space="preserve">Gráfico </w:t>
      </w:r>
      <w:r>
        <w:fldChar w:fldCharType="begin"/>
      </w:r>
      <w:r>
        <w:instrText xml:space="preserve"> SEQ Gráfico \* ARABIC </w:instrText>
      </w:r>
      <w:r>
        <w:fldChar w:fldCharType="separate"/>
      </w:r>
      <w:r w:rsidR="00D85D1E">
        <w:t>6</w:t>
      </w:r>
      <w:r>
        <w:fldChar w:fldCharType="end"/>
      </w:r>
      <w:r w:rsidRPr="00FB5A95">
        <w:rPr>
          <w:b w:val="0"/>
        </w:rPr>
        <w:t xml:space="preserve"> - Distribuição por nível e por gênero das funções comissionadas do TST em relação ao total (%)</w:t>
      </w:r>
      <w:r w:rsidR="007A6790" w:rsidRPr="00FB5A95">
        <w:rPr>
          <w:rStyle w:val="Refdenotaderodap"/>
          <w:b w:val="0"/>
        </w:rPr>
        <w:footnoteReference w:id="30"/>
      </w:r>
      <w:bookmarkEnd w:id="26"/>
    </w:p>
    <w:p w14:paraId="2998E7CA" w14:textId="3E6A5BE6" w:rsidR="00D83757" w:rsidRDefault="00A37515" w:rsidP="00A37515">
      <w:pPr>
        <w:pStyle w:val="Texto"/>
        <w:jc w:val="center"/>
      </w:pPr>
      <w:r>
        <w:drawing>
          <wp:inline distT="0" distB="0" distL="0" distR="0" wp14:anchorId="11546D6F" wp14:editId="4547034A">
            <wp:extent cx="4667250" cy="3124200"/>
            <wp:effectExtent l="0" t="0" r="0" b="0"/>
            <wp:docPr id="1622690734" name="Gráfico 162269073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6A20AD-3D93-4BF9-8931-B37614E66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82F556" w14:textId="2B790DFA" w:rsidR="007C36D4" w:rsidRDefault="007C36D4" w:rsidP="007C36D4">
      <w:pPr>
        <w:pStyle w:val="Fonte"/>
        <w:rPr>
          <w:b w:val="0"/>
        </w:rPr>
      </w:pPr>
      <w:r w:rsidRPr="00A739AB">
        <w:t xml:space="preserve">Fonte: </w:t>
      </w:r>
      <w:r w:rsidRPr="0046486D">
        <w:rPr>
          <w:b w:val="0"/>
        </w:rPr>
        <w:t>Dados disponibilizados pelo Sistema de Recursos Humanos do TST (abril de 2025). Compilação e elaboração: CPJUD/SEPJD/CPJED</w:t>
      </w:r>
      <w:r>
        <w:rPr>
          <w:b w:val="0"/>
        </w:rPr>
        <w:t>.</w:t>
      </w:r>
    </w:p>
    <w:p w14:paraId="1D387E86" w14:textId="77777777" w:rsidR="00FB5A95" w:rsidRDefault="00FB5A95" w:rsidP="00FB5A95">
      <w:pPr>
        <w:pStyle w:val="Texto"/>
      </w:pPr>
    </w:p>
    <w:p w14:paraId="5803B4FB" w14:textId="51C97ED6" w:rsidR="00743D49" w:rsidRDefault="00743D49" w:rsidP="00FB5A95">
      <w:pPr>
        <w:pStyle w:val="Texto"/>
      </w:pPr>
      <w:r>
        <w:t>Em relação às funções comissionadas, verifica-se (Gráfico 6) que estas totalizam 1.595 no TST, com as mulheres ocupando 56,1% (895 funções) e os homens, 43,9% (700 funções). O Gráfico 6 demonstra a distribuição por gênero em cada nível em relação ao total de FCs do TST. O nível FC-04 concentra o maior número de FCs no órgão (468 funções), sendo que as mulheres que ocupam FC-04 representam 15,7% do total de funções comissionadas do TST</w:t>
      </w:r>
      <w:r w:rsidR="001A76BD">
        <w:t>, ao passo que os homens ocupam 13,7%</w:t>
      </w:r>
      <w:r>
        <w:t>.</w:t>
      </w:r>
    </w:p>
    <w:p w14:paraId="5E1A0696" w14:textId="77777777" w:rsidR="001C6E4E" w:rsidRDefault="001C6E4E" w:rsidP="00FB5A95">
      <w:pPr>
        <w:pStyle w:val="Texto"/>
        <w:rPr>
          <w:b/>
        </w:rPr>
      </w:pPr>
    </w:p>
    <w:p w14:paraId="2DED96E4" w14:textId="1B5AAD5D" w:rsidR="00B53BD9" w:rsidRDefault="00B53BD9" w:rsidP="001C6456">
      <w:pPr>
        <w:pStyle w:val="Ttulo4"/>
      </w:pPr>
      <w:r w:rsidRPr="006D5A72">
        <w:t xml:space="preserve">Distribuição por gênero </w:t>
      </w:r>
      <w:r>
        <w:t xml:space="preserve">e por nível hierárquico </w:t>
      </w:r>
      <w:r w:rsidRPr="006D5A72">
        <w:t xml:space="preserve">dos cargos </w:t>
      </w:r>
      <w:r>
        <w:t xml:space="preserve">em comissão e das funções comissionadas </w:t>
      </w:r>
      <w:r w:rsidRPr="006D5A72">
        <w:t xml:space="preserve">do </w:t>
      </w:r>
      <w:r>
        <w:t>CSJT</w:t>
      </w:r>
    </w:p>
    <w:p w14:paraId="7ABCCCDF" w14:textId="77777777" w:rsidR="00A47911" w:rsidRDefault="00A47911" w:rsidP="00565283">
      <w:pPr>
        <w:pStyle w:val="Texto"/>
      </w:pPr>
    </w:p>
    <w:p w14:paraId="7B23AB2B" w14:textId="0AF1D70E" w:rsidR="00565283" w:rsidRDefault="00565283" w:rsidP="00565283">
      <w:pPr>
        <w:pStyle w:val="Texto"/>
      </w:pPr>
      <w:r>
        <w:t>No que se refere à composição de seu quadro de pessoal, observa-se que o Conselho Superior da Justiça do Trabalho (CSJT) apresenta uma pred</w:t>
      </w:r>
      <w:r w:rsidR="00BA6205">
        <w:t>ominância masculina, pois</w:t>
      </w:r>
      <w:r>
        <w:t>, de um total de 135 servidores lotados e em exercício, 80 (correspondendo a 59%) são homens, enquanto 55 (41%) são mulheres.</w:t>
      </w:r>
    </w:p>
    <w:p w14:paraId="226A81B1" w14:textId="77777777" w:rsidR="00565283" w:rsidRDefault="00565283" w:rsidP="00565283">
      <w:pPr>
        <w:pStyle w:val="Texto"/>
      </w:pPr>
    </w:p>
    <w:p w14:paraId="1EC11E9F" w14:textId="61EF4EB0" w:rsidR="0047126B" w:rsidRDefault="00565283" w:rsidP="00565283">
      <w:pPr>
        <w:pStyle w:val="Texto"/>
        <w:rPr>
          <w:highlight w:val="yellow"/>
        </w:rPr>
      </w:pPr>
      <w:r>
        <w:lastRenderedPageBreak/>
        <w:t>Essa mesma tendência é verificada na distribuição dos 120 Cargos em Comissão (CJs) e Funções Comissionadas (FCs) do órgão. Embora se constate, em termos absolutos, a manutenção da maioria masculina, é relevante pontuar que a distribuição de gênero nesses postos acompanha a proporção geral do quadro de servidores. Nesse sentido, 71 desses cargos (59,2%) são ocupados por homens, ao passo que 49 (40,8%) são titularizados por mulheres.</w:t>
      </w:r>
      <w:r w:rsidR="001A76BD" w:rsidRPr="004C32BC">
        <w:rPr>
          <w:highlight w:val="yellow"/>
        </w:rPr>
        <w:t xml:space="preserve"> </w:t>
      </w:r>
    </w:p>
    <w:p w14:paraId="34AAAB34" w14:textId="77777777" w:rsidR="00BA6205" w:rsidRDefault="00C232FE" w:rsidP="00C232FE">
      <w:pPr>
        <w:pStyle w:val="Texto"/>
      </w:pPr>
      <w:r>
        <w:t xml:space="preserve">Contudo, quando a análise da distribuição por gênero é estratificada por tipo de posto, emerge um cenário de maior disparidade. </w:t>
      </w:r>
    </w:p>
    <w:p w14:paraId="416DA866" w14:textId="5A7BAF2B" w:rsidR="00C232FE" w:rsidRPr="00C232FE" w:rsidRDefault="00C232FE" w:rsidP="00C232FE">
      <w:pPr>
        <w:pStyle w:val="Texto"/>
      </w:pPr>
      <w:r>
        <w:t>Ao se examinar especificamente a ocupação dos Cargos em Comissão (CJs), constata-se a presença de 5 servidoras (29,4%) e 12 servidores (70,6%). O quadro ainda se torna mais claro na ocupação</w:t>
      </w:r>
      <w:r w:rsidR="00BA6205">
        <w:t xml:space="preserve"> nos níveis mais altos</w:t>
      </w:r>
      <w:r>
        <w:t xml:space="preserve"> das CJ-03 e CJ-02. N</w:t>
      </w:r>
      <w:r w:rsidR="00BA6205">
        <w:t>a</w:t>
      </w:r>
      <w:r>
        <w:t xml:space="preserve"> CJ-03,</w:t>
      </w:r>
      <w:r w:rsidR="00BA6205">
        <w:t xml:space="preserve"> por exemplo,</w:t>
      </w:r>
      <w:r>
        <w:t xml:space="preserve"> verifica-se que cinco dos seis cargos existentes (83,3%) são </w:t>
      </w:r>
      <w:r w:rsidR="00BA6205">
        <w:t>homens</w:t>
      </w:r>
      <w:r>
        <w:t xml:space="preserve">. Seguindo-se uma tendência análoga, no nível CJ-02, a proporção </w:t>
      </w:r>
      <w:r w:rsidR="00BA6205">
        <w:t>masculina</w:t>
      </w:r>
      <w:r>
        <w:t xml:space="preserve"> alcança 80%, correspondendo a </w:t>
      </w:r>
      <w:r w:rsidR="00BA6205">
        <w:t>4</w:t>
      </w:r>
      <w:r>
        <w:t xml:space="preserve"> dos </w:t>
      </w:r>
      <w:r w:rsidR="00BA6205">
        <w:t>5</w:t>
      </w:r>
      <w:r>
        <w:t xml:space="preserve"> postos. A distribuição paritária entre os gêneros é observada apenas</w:t>
      </w:r>
      <w:r w:rsidR="00BA6205">
        <w:t xml:space="preserve"> no nível CJ-01, no qual os 6</w:t>
      </w:r>
      <w:r>
        <w:t xml:space="preserve"> cargos existentes são divididos equitativamente. Esses dados revelam uma predominância masculina consideravelmente mais acentuada nos postos de maior hierarquia do CSJT (70,6% de homens e 29,4% de mulheres), </w:t>
      </w:r>
      <w:r w:rsidR="00B57BA3">
        <w:t>mesmo que se contraponha</w:t>
      </w:r>
      <w:r>
        <w:t xml:space="preserve"> essa representação à participação feminina no quadro geral de servidores em exercício</w:t>
      </w:r>
      <w:r w:rsidR="00BA6205">
        <w:t xml:space="preserve"> (</w:t>
      </w:r>
      <w:r>
        <w:t>41%</w:t>
      </w:r>
      <w:r w:rsidR="00BA6205">
        <w:t xml:space="preserve"> de mulheres e 59% de homens)</w:t>
      </w:r>
      <w:r>
        <w:t>.</w:t>
      </w:r>
    </w:p>
    <w:p w14:paraId="0B4A38B6" w14:textId="46C326A0" w:rsidR="008E4629" w:rsidRPr="00FB5A95" w:rsidRDefault="00B57BA3" w:rsidP="00FB5A95">
      <w:pPr>
        <w:pStyle w:val="Texto"/>
      </w:pPr>
      <w:r w:rsidRPr="00B57BA3">
        <w:t xml:space="preserve">Em relação às FCs, em análise global, o cenário de distribuição por gênero se alinha ao quadro geral. Das 103 FCs, 44 são exercidas por mulheres (42,7%) e 59 por homens (57,3%), o que </w:t>
      </w:r>
      <w:r w:rsidR="00BA6205">
        <w:t>é similar ao nú</w:t>
      </w:r>
      <w:r w:rsidRPr="00B57BA3">
        <w:t xml:space="preserve">mero de servidores e servidoras em exercício (59% de homens e 41% de mulheres). Enquanto dos </w:t>
      </w:r>
      <w:r w:rsidR="005E5177" w:rsidRPr="00B57BA3">
        <w:t>34 cargos do nível FC-05</w:t>
      </w:r>
      <w:r w:rsidRPr="00B57BA3">
        <w:t xml:space="preserve"> há uma distribuição idêntica por gênero, o</w:t>
      </w:r>
      <w:r w:rsidR="005E5177" w:rsidRPr="00B57BA3">
        <w:t>s níveis FC-06, FC-04 e FC-03 são majoritariamente ocupados por homens, com 65%, 54,1% e 7</w:t>
      </w:r>
      <w:r w:rsidR="00CC1D39" w:rsidRPr="00B57BA3">
        <w:t>5% das funções, respectivamente</w:t>
      </w:r>
      <w:r w:rsidR="008E4629" w:rsidRPr="00B57BA3">
        <w:t>. A Tabela 3 detalha a distribuição de CJs e FCs p</w:t>
      </w:r>
      <w:r>
        <w:t>or gênero no CSJT</w:t>
      </w:r>
      <w:r w:rsidR="003B04E6" w:rsidRPr="00B57BA3">
        <w:t xml:space="preserve"> e o Gráfico 7</w:t>
      </w:r>
      <w:r w:rsidR="008E4629" w:rsidRPr="00B57BA3">
        <w:t xml:space="preserve"> ilustra essa distribuição em cada nível.</w:t>
      </w:r>
    </w:p>
    <w:p w14:paraId="1CF8D083" w14:textId="77777777" w:rsidR="008E4629" w:rsidRPr="00FB5A95" w:rsidRDefault="008E4629" w:rsidP="00FB5A95">
      <w:pPr>
        <w:pStyle w:val="Texto"/>
      </w:pPr>
    </w:p>
    <w:p w14:paraId="423D400E" w14:textId="46C0A20F" w:rsidR="007C36D4" w:rsidRDefault="00FA3862" w:rsidP="00FB5A95">
      <w:pPr>
        <w:pStyle w:val="TtulodaTabela"/>
      </w:pPr>
      <w:bookmarkStart w:id="27" w:name="_Toc208510774"/>
      <w:r>
        <w:t xml:space="preserve">Tabela </w:t>
      </w:r>
      <w:r>
        <w:fldChar w:fldCharType="begin"/>
      </w:r>
      <w:r>
        <w:instrText xml:space="preserve"> SEQ Tabela \* ARABIC </w:instrText>
      </w:r>
      <w:r>
        <w:fldChar w:fldCharType="separate"/>
      </w:r>
      <w:r w:rsidR="00D85D1E">
        <w:t>3</w:t>
      </w:r>
      <w:r>
        <w:fldChar w:fldCharType="end"/>
      </w:r>
      <w:r>
        <w:t xml:space="preserve"> - </w:t>
      </w:r>
      <w:r w:rsidRPr="00CF3E90">
        <w:t>Distribuição por gênero dos cargos em comissão e funções comissionadas do CSJT</w:t>
      </w:r>
      <w:r w:rsidR="003571B1">
        <w:rPr>
          <w:rStyle w:val="Refdenotaderodap"/>
        </w:rPr>
        <w:footnoteReference w:id="31"/>
      </w:r>
      <w:bookmarkEnd w:id="27"/>
    </w:p>
    <w:tbl>
      <w:tblPr>
        <w:tblW w:w="8237" w:type="dxa"/>
        <w:jc w:val="center"/>
        <w:tblBorders>
          <w:top w:val="single" w:sz="8" w:space="0" w:color="CCCCCC"/>
          <w:bottom w:val="single" w:sz="8" w:space="0" w:color="CCCCCC"/>
          <w:insideH w:val="single" w:sz="8" w:space="0" w:color="CCCCCC"/>
          <w:insideV w:val="single" w:sz="8" w:space="0" w:color="CCCCCC"/>
        </w:tblBorders>
        <w:tblCellMar>
          <w:left w:w="70" w:type="dxa"/>
          <w:right w:w="70" w:type="dxa"/>
        </w:tblCellMar>
        <w:tblLook w:val="04A0" w:firstRow="1" w:lastRow="0" w:firstColumn="1" w:lastColumn="0" w:noHBand="0" w:noVBand="1"/>
      </w:tblPr>
      <w:tblGrid>
        <w:gridCol w:w="1858"/>
        <w:gridCol w:w="1134"/>
        <w:gridCol w:w="1276"/>
        <w:gridCol w:w="1134"/>
        <w:gridCol w:w="1276"/>
        <w:gridCol w:w="1559"/>
      </w:tblGrid>
      <w:tr w:rsidR="003B04E6" w:rsidRPr="00030683" w14:paraId="55283C2A" w14:textId="77777777" w:rsidTr="00FB5A95">
        <w:trPr>
          <w:trHeight w:val="315"/>
          <w:jc w:val="center"/>
        </w:trPr>
        <w:tc>
          <w:tcPr>
            <w:tcW w:w="1858" w:type="dxa"/>
            <w:shd w:val="clear" w:color="000000" w:fill="B7B7B7"/>
            <w:vAlign w:val="center"/>
            <w:hideMark/>
          </w:tcPr>
          <w:p w14:paraId="27AC0A18" w14:textId="77777777" w:rsidR="003B04E6" w:rsidRPr="000E2230" w:rsidRDefault="003B04E6" w:rsidP="00881C43">
            <w:pPr>
              <w:jc w:val="cente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Cargos/Funções</w:t>
            </w:r>
          </w:p>
        </w:tc>
        <w:tc>
          <w:tcPr>
            <w:tcW w:w="1134" w:type="dxa"/>
            <w:shd w:val="clear" w:color="000000" w:fill="B7B7B7"/>
            <w:vAlign w:val="center"/>
            <w:hideMark/>
          </w:tcPr>
          <w:p w14:paraId="0E0C141D" w14:textId="77777777" w:rsidR="003B04E6" w:rsidRPr="008520F6" w:rsidRDefault="003B04E6" w:rsidP="00881C43">
            <w:pPr>
              <w:jc w:val="cente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Feminino</w:t>
            </w:r>
          </w:p>
        </w:tc>
        <w:tc>
          <w:tcPr>
            <w:tcW w:w="1276" w:type="dxa"/>
            <w:shd w:val="clear" w:color="000000" w:fill="B7B7B7"/>
            <w:vAlign w:val="center"/>
            <w:hideMark/>
          </w:tcPr>
          <w:p w14:paraId="006C4467" w14:textId="77777777" w:rsidR="003B04E6" w:rsidRPr="008520F6" w:rsidRDefault="003B04E6" w:rsidP="00881C43">
            <w:pPr>
              <w:jc w:val="cente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w:t>
            </w:r>
          </w:p>
        </w:tc>
        <w:tc>
          <w:tcPr>
            <w:tcW w:w="1134" w:type="dxa"/>
            <w:shd w:val="clear" w:color="000000" w:fill="B7B7B7"/>
            <w:vAlign w:val="center"/>
            <w:hideMark/>
          </w:tcPr>
          <w:p w14:paraId="5488C8CE" w14:textId="77777777" w:rsidR="003B04E6" w:rsidRPr="008520F6" w:rsidRDefault="003B04E6" w:rsidP="00881C43">
            <w:pPr>
              <w:jc w:val="cente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Masculino</w:t>
            </w:r>
          </w:p>
        </w:tc>
        <w:tc>
          <w:tcPr>
            <w:tcW w:w="1276" w:type="dxa"/>
            <w:shd w:val="clear" w:color="000000" w:fill="B7B7B7"/>
            <w:vAlign w:val="center"/>
            <w:hideMark/>
          </w:tcPr>
          <w:p w14:paraId="1E8C792E" w14:textId="77777777" w:rsidR="003B04E6" w:rsidRPr="008520F6" w:rsidRDefault="003B04E6" w:rsidP="00881C43">
            <w:pPr>
              <w:jc w:val="center"/>
              <w:rPr>
                <w:rFonts w:asciiTheme="minorHAnsi" w:hAnsiTheme="minorHAnsi" w:cstheme="minorHAnsi"/>
                <w:b/>
                <w:bCs/>
                <w:color w:val="000000"/>
                <w:sz w:val="22"/>
                <w:szCs w:val="22"/>
              </w:rPr>
            </w:pPr>
            <w:r w:rsidRPr="008520F6">
              <w:rPr>
                <w:rFonts w:asciiTheme="minorHAnsi" w:hAnsiTheme="minorHAnsi" w:cstheme="minorHAnsi"/>
                <w:b/>
                <w:bCs/>
                <w:color w:val="000000"/>
                <w:sz w:val="22"/>
                <w:szCs w:val="22"/>
              </w:rPr>
              <w:t>%</w:t>
            </w:r>
          </w:p>
        </w:tc>
        <w:tc>
          <w:tcPr>
            <w:tcW w:w="1559" w:type="dxa"/>
            <w:shd w:val="clear" w:color="000000" w:fill="B7B7B7"/>
            <w:vAlign w:val="center"/>
            <w:hideMark/>
          </w:tcPr>
          <w:p w14:paraId="0E119FB3" w14:textId="77777777" w:rsidR="003B04E6" w:rsidRPr="00FB5A95" w:rsidRDefault="003B04E6" w:rsidP="00881C43">
            <w:pPr>
              <w:jc w:val="center"/>
              <w:rPr>
                <w:rFonts w:asciiTheme="minorHAnsi" w:hAnsiTheme="minorHAnsi" w:cstheme="minorHAnsi"/>
                <w:b/>
                <w:bCs/>
                <w:color w:val="000000"/>
                <w:sz w:val="22"/>
                <w:szCs w:val="22"/>
              </w:rPr>
            </w:pPr>
            <w:r w:rsidRPr="00FB5A95">
              <w:rPr>
                <w:rFonts w:asciiTheme="minorHAnsi" w:hAnsiTheme="minorHAnsi" w:cstheme="minorHAnsi"/>
                <w:b/>
                <w:bCs/>
                <w:color w:val="000000"/>
                <w:sz w:val="22"/>
                <w:szCs w:val="22"/>
              </w:rPr>
              <w:t>Total</w:t>
            </w:r>
          </w:p>
        </w:tc>
      </w:tr>
      <w:tr w:rsidR="003B04E6" w:rsidRPr="00030683" w14:paraId="7D86C7AC" w14:textId="77777777" w:rsidTr="00FB5A95">
        <w:trPr>
          <w:trHeight w:val="315"/>
          <w:jc w:val="center"/>
        </w:trPr>
        <w:tc>
          <w:tcPr>
            <w:tcW w:w="1858" w:type="dxa"/>
            <w:shd w:val="clear" w:color="000000" w:fill="FFFFFF"/>
            <w:vAlign w:val="center"/>
            <w:hideMark/>
          </w:tcPr>
          <w:p w14:paraId="0399028F" w14:textId="77777777" w:rsidR="003B04E6" w:rsidRPr="000E2230" w:rsidRDefault="003B04E6" w:rsidP="00881C43">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CJ-03</w:t>
            </w:r>
          </w:p>
        </w:tc>
        <w:tc>
          <w:tcPr>
            <w:tcW w:w="1134" w:type="dxa"/>
            <w:shd w:val="clear" w:color="000000" w:fill="FFFFFF"/>
            <w:vAlign w:val="center"/>
            <w:hideMark/>
          </w:tcPr>
          <w:p w14:paraId="2003DFA0"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w:t>
            </w:r>
          </w:p>
        </w:tc>
        <w:tc>
          <w:tcPr>
            <w:tcW w:w="1276" w:type="dxa"/>
            <w:shd w:val="clear" w:color="000000" w:fill="FFFFFF"/>
            <w:vAlign w:val="center"/>
            <w:hideMark/>
          </w:tcPr>
          <w:p w14:paraId="4FA6AF07"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16,7%</w:t>
            </w:r>
          </w:p>
        </w:tc>
        <w:tc>
          <w:tcPr>
            <w:tcW w:w="1134" w:type="dxa"/>
            <w:shd w:val="clear" w:color="000000" w:fill="FFFFFF"/>
            <w:vAlign w:val="center"/>
            <w:hideMark/>
          </w:tcPr>
          <w:p w14:paraId="48957855"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w:t>
            </w:r>
          </w:p>
        </w:tc>
        <w:tc>
          <w:tcPr>
            <w:tcW w:w="1276" w:type="dxa"/>
            <w:shd w:val="clear" w:color="000000" w:fill="FFFFFF"/>
            <w:vAlign w:val="center"/>
            <w:hideMark/>
          </w:tcPr>
          <w:p w14:paraId="29363816"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83,3%</w:t>
            </w:r>
          </w:p>
        </w:tc>
        <w:tc>
          <w:tcPr>
            <w:tcW w:w="1559" w:type="dxa"/>
            <w:shd w:val="clear" w:color="000000" w:fill="FFFFFF"/>
            <w:vAlign w:val="center"/>
            <w:hideMark/>
          </w:tcPr>
          <w:p w14:paraId="20126A5A" w14:textId="77777777" w:rsidR="003B04E6" w:rsidRPr="00FB5A95" w:rsidRDefault="003B04E6" w:rsidP="00881C43">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6</w:t>
            </w:r>
          </w:p>
        </w:tc>
      </w:tr>
      <w:tr w:rsidR="003B04E6" w:rsidRPr="00030683" w14:paraId="47F17EED" w14:textId="77777777" w:rsidTr="00FB5A95">
        <w:trPr>
          <w:trHeight w:val="315"/>
          <w:jc w:val="center"/>
        </w:trPr>
        <w:tc>
          <w:tcPr>
            <w:tcW w:w="1858" w:type="dxa"/>
            <w:shd w:val="clear" w:color="000000" w:fill="FFFFFF"/>
            <w:vAlign w:val="center"/>
            <w:hideMark/>
          </w:tcPr>
          <w:p w14:paraId="36A70E8A" w14:textId="77777777" w:rsidR="003B04E6" w:rsidRPr="000E2230" w:rsidRDefault="003B04E6" w:rsidP="00881C43">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CJ-02</w:t>
            </w:r>
          </w:p>
        </w:tc>
        <w:tc>
          <w:tcPr>
            <w:tcW w:w="1134" w:type="dxa"/>
            <w:shd w:val="clear" w:color="000000" w:fill="FFFFFF"/>
            <w:vAlign w:val="center"/>
            <w:hideMark/>
          </w:tcPr>
          <w:p w14:paraId="41E5A41E"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w:t>
            </w:r>
          </w:p>
        </w:tc>
        <w:tc>
          <w:tcPr>
            <w:tcW w:w="1276" w:type="dxa"/>
            <w:shd w:val="clear" w:color="000000" w:fill="FFFFFF"/>
            <w:vAlign w:val="center"/>
            <w:hideMark/>
          </w:tcPr>
          <w:p w14:paraId="21D5E087"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20,0%</w:t>
            </w:r>
          </w:p>
        </w:tc>
        <w:tc>
          <w:tcPr>
            <w:tcW w:w="1134" w:type="dxa"/>
            <w:shd w:val="clear" w:color="000000" w:fill="FFFFFF"/>
            <w:vAlign w:val="center"/>
            <w:hideMark/>
          </w:tcPr>
          <w:p w14:paraId="2513556A"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4</w:t>
            </w:r>
          </w:p>
        </w:tc>
        <w:tc>
          <w:tcPr>
            <w:tcW w:w="1276" w:type="dxa"/>
            <w:shd w:val="clear" w:color="000000" w:fill="FFFFFF"/>
            <w:vAlign w:val="center"/>
            <w:hideMark/>
          </w:tcPr>
          <w:p w14:paraId="71C08A16"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80,0%</w:t>
            </w:r>
          </w:p>
        </w:tc>
        <w:tc>
          <w:tcPr>
            <w:tcW w:w="1559" w:type="dxa"/>
            <w:shd w:val="clear" w:color="000000" w:fill="FFFFFF"/>
            <w:vAlign w:val="center"/>
            <w:hideMark/>
          </w:tcPr>
          <w:p w14:paraId="027E723F" w14:textId="77777777" w:rsidR="003B04E6" w:rsidRPr="00FB5A95" w:rsidRDefault="003B04E6" w:rsidP="00881C43">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5</w:t>
            </w:r>
          </w:p>
        </w:tc>
      </w:tr>
      <w:tr w:rsidR="003B04E6" w:rsidRPr="00030683" w14:paraId="4E80F46E" w14:textId="77777777" w:rsidTr="00FB5A95">
        <w:trPr>
          <w:trHeight w:val="315"/>
          <w:jc w:val="center"/>
        </w:trPr>
        <w:tc>
          <w:tcPr>
            <w:tcW w:w="1858" w:type="dxa"/>
            <w:shd w:val="clear" w:color="000000" w:fill="FFFFFF"/>
            <w:vAlign w:val="center"/>
            <w:hideMark/>
          </w:tcPr>
          <w:p w14:paraId="169F321A" w14:textId="77777777" w:rsidR="003B04E6" w:rsidRPr="000E2230" w:rsidRDefault="003B04E6" w:rsidP="00881C43">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CJ-01</w:t>
            </w:r>
          </w:p>
        </w:tc>
        <w:tc>
          <w:tcPr>
            <w:tcW w:w="1134" w:type="dxa"/>
            <w:shd w:val="clear" w:color="000000" w:fill="FFFFFF"/>
            <w:vAlign w:val="center"/>
            <w:hideMark/>
          </w:tcPr>
          <w:p w14:paraId="7451DE6B"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3</w:t>
            </w:r>
          </w:p>
        </w:tc>
        <w:tc>
          <w:tcPr>
            <w:tcW w:w="1276" w:type="dxa"/>
            <w:shd w:val="clear" w:color="000000" w:fill="FFFFFF"/>
            <w:vAlign w:val="center"/>
            <w:hideMark/>
          </w:tcPr>
          <w:p w14:paraId="03CE99F3"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50,0%</w:t>
            </w:r>
          </w:p>
        </w:tc>
        <w:tc>
          <w:tcPr>
            <w:tcW w:w="1134" w:type="dxa"/>
            <w:shd w:val="clear" w:color="000000" w:fill="FFFFFF"/>
            <w:vAlign w:val="center"/>
            <w:hideMark/>
          </w:tcPr>
          <w:p w14:paraId="27F4A21F"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3</w:t>
            </w:r>
          </w:p>
        </w:tc>
        <w:tc>
          <w:tcPr>
            <w:tcW w:w="1276" w:type="dxa"/>
            <w:shd w:val="clear" w:color="000000" w:fill="FFFFFF"/>
            <w:vAlign w:val="center"/>
            <w:hideMark/>
          </w:tcPr>
          <w:p w14:paraId="6EFC447E"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50,0%</w:t>
            </w:r>
          </w:p>
        </w:tc>
        <w:tc>
          <w:tcPr>
            <w:tcW w:w="1559" w:type="dxa"/>
            <w:shd w:val="clear" w:color="000000" w:fill="FFFFFF"/>
            <w:vAlign w:val="center"/>
            <w:hideMark/>
          </w:tcPr>
          <w:p w14:paraId="5EDC8FAE" w14:textId="77777777" w:rsidR="003B04E6" w:rsidRPr="00FB5A95" w:rsidRDefault="003B04E6" w:rsidP="00881C43">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6</w:t>
            </w:r>
          </w:p>
        </w:tc>
      </w:tr>
      <w:tr w:rsidR="003B04E6" w:rsidRPr="00030683" w14:paraId="6BCE4C8E" w14:textId="77777777" w:rsidTr="00FB5A95">
        <w:trPr>
          <w:trHeight w:val="315"/>
          <w:jc w:val="center"/>
        </w:trPr>
        <w:tc>
          <w:tcPr>
            <w:tcW w:w="1858" w:type="dxa"/>
            <w:shd w:val="clear" w:color="auto" w:fill="D9D9D9" w:themeFill="background1" w:themeFillShade="D9"/>
            <w:vAlign w:val="center"/>
            <w:hideMark/>
          </w:tcPr>
          <w:p w14:paraId="442E0138" w14:textId="77777777" w:rsidR="003B04E6" w:rsidRPr="000E2230" w:rsidRDefault="003B04E6" w:rsidP="00881C43">
            <w:pPr>
              <w:rPr>
                <w:rFonts w:asciiTheme="minorHAnsi" w:hAnsiTheme="minorHAnsi" w:cstheme="minorHAnsi"/>
                <w:b/>
                <w:bCs/>
                <w:i/>
                <w:color w:val="000000"/>
                <w:sz w:val="22"/>
                <w:szCs w:val="22"/>
              </w:rPr>
            </w:pPr>
            <w:r w:rsidRPr="000E2230">
              <w:rPr>
                <w:rFonts w:asciiTheme="minorHAnsi" w:hAnsiTheme="minorHAnsi" w:cstheme="minorHAnsi"/>
                <w:b/>
                <w:bCs/>
                <w:i/>
                <w:color w:val="000000"/>
                <w:sz w:val="22"/>
                <w:szCs w:val="22"/>
              </w:rPr>
              <w:t>Subtotal CJ's</w:t>
            </w:r>
          </w:p>
        </w:tc>
        <w:tc>
          <w:tcPr>
            <w:tcW w:w="1134" w:type="dxa"/>
            <w:shd w:val="clear" w:color="auto" w:fill="D9D9D9" w:themeFill="background1" w:themeFillShade="D9"/>
            <w:vAlign w:val="center"/>
            <w:hideMark/>
          </w:tcPr>
          <w:p w14:paraId="33F19258" w14:textId="77777777" w:rsidR="003B04E6" w:rsidRPr="00FB5A95" w:rsidRDefault="003B04E6" w:rsidP="00881C43">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5</w:t>
            </w:r>
          </w:p>
        </w:tc>
        <w:tc>
          <w:tcPr>
            <w:tcW w:w="1276" w:type="dxa"/>
            <w:shd w:val="clear" w:color="auto" w:fill="D9D9D9" w:themeFill="background1" w:themeFillShade="D9"/>
            <w:vAlign w:val="center"/>
            <w:hideMark/>
          </w:tcPr>
          <w:p w14:paraId="5587FB01" w14:textId="77777777" w:rsidR="003B04E6" w:rsidRPr="00FB5A95" w:rsidRDefault="003B04E6" w:rsidP="00881C43">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29,4%</w:t>
            </w:r>
          </w:p>
        </w:tc>
        <w:tc>
          <w:tcPr>
            <w:tcW w:w="1134" w:type="dxa"/>
            <w:shd w:val="clear" w:color="auto" w:fill="D9D9D9" w:themeFill="background1" w:themeFillShade="D9"/>
            <w:vAlign w:val="center"/>
            <w:hideMark/>
          </w:tcPr>
          <w:p w14:paraId="5CB548AD" w14:textId="77777777" w:rsidR="003B04E6" w:rsidRPr="00FB5A95" w:rsidRDefault="003B04E6" w:rsidP="00881C43">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12</w:t>
            </w:r>
          </w:p>
        </w:tc>
        <w:tc>
          <w:tcPr>
            <w:tcW w:w="1276" w:type="dxa"/>
            <w:shd w:val="clear" w:color="auto" w:fill="D9D9D9" w:themeFill="background1" w:themeFillShade="D9"/>
            <w:vAlign w:val="center"/>
            <w:hideMark/>
          </w:tcPr>
          <w:p w14:paraId="31B20398" w14:textId="77777777" w:rsidR="003B04E6" w:rsidRPr="00FB5A95" w:rsidRDefault="003B04E6" w:rsidP="00881C43">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70,6%</w:t>
            </w:r>
          </w:p>
        </w:tc>
        <w:tc>
          <w:tcPr>
            <w:tcW w:w="1559" w:type="dxa"/>
            <w:shd w:val="clear" w:color="auto" w:fill="D9D9D9" w:themeFill="background1" w:themeFillShade="D9"/>
            <w:vAlign w:val="center"/>
            <w:hideMark/>
          </w:tcPr>
          <w:p w14:paraId="1540A388" w14:textId="77777777" w:rsidR="003B04E6" w:rsidRPr="00FB5A95" w:rsidRDefault="003B04E6" w:rsidP="00881C43">
            <w:pPr>
              <w:jc w:val="center"/>
              <w:rPr>
                <w:rFonts w:asciiTheme="minorHAnsi" w:hAnsiTheme="minorHAnsi" w:cstheme="minorHAnsi"/>
                <w:b/>
                <w:i/>
                <w:color w:val="000000"/>
                <w:sz w:val="22"/>
                <w:szCs w:val="22"/>
              </w:rPr>
            </w:pPr>
            <w:r w:rsidRPr="00FB5A95">
              <w:rPr>
                <w:rFonts w:asciiTheme="minorHAnsi" w:hAnsiTheme="minorHAnsi" w:cstheme="minorHAnsi"/>
                <w:b/>
                <w:i/>
                <w:color w:val="000000"/>
                <w:sz w:val="22"/>
                <w:szCs w:val="22"/>
              </w:rPr>
              <w:t>17</w:t>
            </w:r>
          </w:p>
        </w:tc>
      </w:tr>
      <w:tr w:rsidR="003B04E6" w:rsidRPr="00030683" w14:paraId="6A3A7C28" w14:textId="77777777" w:rsidTr="00FB5A95">
        <w:trPr>
          <w:trHeight w:val="315"/>
          <w:jc w:val="center"/>
        </w:trPr>
        <w:tc>
          <w:tcPr>
            <w:tcW w:w="1858" w:type="dxa"/>
            <w:shd w:val="clear" w:color="000000" w:fill="FFFFFF"/>
            <w:vAlign w:val="center"/>
            <w:hideMark/>
          </w:tcPr>
          <w:p w14:paraId="645BCD9C" w14:textId="77777777" w:rsidR="003B04E6" w:rsidRPr="000E2230" w:rsidRDefault="003B04E6" w:rsidP="00881C43">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FC-06</w:t>
            </w:r>
          </w:p>
        </w:tc>
        <w:tc>
          <w:tcPr>
            <w:tcW w:w="1134" w:type="dxa"/>
            <w:shd w:val="clear" w:color="000000" w:fill="FFFFFF"/>
            <w:vAlign w:val="center"/>
            <w:hideMark/>
          </w:tcPr>
          <w:p w14:paraId="30EBB469"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7</w:t>
            </w:r>
          </w:p>
        </w:tc>
        <w:tc>
          <w:tcPr>
            <w:tcW w:w="1276" w:type="dxa"/>
            <w:shd w:val="clear" w:color="000000" w:fill="FFFFFF"/>
            <w:vAlign w:val="center"/>
            <w:hideMark/>
          </w:tcPr>
          <w:p w14:paraId="5D74F8B5"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35,0%</w:t>
            </w:r>
          </w:p>
        </w:tc>
        <w:tc>
          <w:tcPr>
            <w:tcW w:w="1134" w:type="dxa"/>
            <w:shd w:val="clear" w:color="000000" w:fill="FFFFFF"/>
            <w:vAlign w:val="center"/>
            <w:hideMark/>
          </w:tcPr>
          <w:p w14:paraId="6B762C6A"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13</w:t>
            </w:r>
          </w:p>
        </w:tc>
        <w:tc>
          <w:tcPr>
            <w:tcW w:w="1276" w:type="dxa"/>
            <w:shd w:val="clear" w:color="000000" w:fill="FFFFFF"/>
            <w:vAlign w:val="center"/>
            <w:hideMark/>
          </w:tcPr>
          <w:p w14:paraId="2F92D798"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65,0%</w:t>
            </w:r>
          </w:p>
        </w:tc>
        <w:tc>
          <w:tcPr>
            <w:tcW w:w="1559" w:type="dxa"/>
            <w:shd w:val="clear" w:color="000000" w:fill="FFFFFF"/>
            <w:vAlign w:val="center"/>
            <w:hideMark/>
          </w:tcPr>
          <w:p w14:paraId="2F65AA14" w14:textId="77777777" w:rsidR="003B04E6" w:rsidRPr="00FB5A95" w:rsidRDefault="003B04E6" w:rsidP="00881C43">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20</w:t>
            </w:r>
          </w:p>
        </w:tc>
      </w:tr>
      <w:tr w:rsidR="003B04E6" w:rsidRPr="00030683" w14:paraId="6ED24260" w14:textId="77777777" w:rsidTr="00FB5A95">
        <w:trPr>
          <w:trHeight w:val="315"/>
          <w:jc w:val="center"/>
        </w:trPr>
        <w:tc>
          <w:tcPr>
            <w:tcW w:w="1858" w:type="dxa"/>
            <w:shd w:val="clear" w:color="000000" w:fill="FFFFFF"/>
            <w:vAlign w:val="center"/>
            <w:hideMark/>
          </w:tcPr>
          <w:p w14:paraId="60BA01E4" w14:textId="77777777" w:rsidR="003B04E6" w:rsidRPr="000E2230" w:rsidRDefault="003B04E6" w:rsidP="00881C43">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lastRenderedPageBreak/>
              <w:t>FC-05</w:t>
            </w:r>
          </w:p>
        </w:tc>
        <w:tc>
          <w:tcPr>
            <w:tcW w:w="1134" w:type="dxa"/>
            <w:shd w:val="clear" w:color="000000" w:fill="FFFFFF"/>
            <w:vAlign w:val="center"/>
            <w:hideMark/>
          </w:tcPr>
          <w:p w14:paraId="5AE76F3A"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17</w:t>
            </w:r>
          </w:p>
        </w:tc>
        <w:tc>
          <w:tcPr>
            <w:tcW w:w="1276" w:type="dxa"/>
            <w:shd w:val="clear" w:color="000000" w:fill="FFFFFF"/>
            <w:vAlign w:val="center"/>
            <w:hideMark/>
          </w:tcPr>
          <w:p w14:paraId="7BA2F762"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50,0%</w:t>
            </w:r>
          </w:p>
        </w:tc>
        <w:tc>
          <w:tcPr>
            <w:tcW w:w="1134" w:type="dxa"/>
            <w:shd w:val="clear" w:color="000000" w:fill="FFFFFF"/>
            <w:vAlign w:val="center"/>
            <w:hideMark/>
          </w:tcPr>
          <w:p w14:paraId="35F95959"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17</w:t>
            </w:r>
          </w:p>
        </w:tc>
        <w:tc>
          <w:tcPr>
            <w:tcW w:w="1276" w:type="dxa"/>
            <w:shd w:val="clear" w:color="000000" w:fill="FFFFFF"/>
            <w:vAlign w:val="center"/>
            <w:hideMark/>
          </w:tcPr>
          <w:p w14:paraId="39E570A4"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50,0%</w:t>
            </w:r>
          </w:p>
        </w:tc>
        <w:tc>
          <w:tcPr>
            <w:tcW w:w="1559" w:type="dxa"/>
            <w:shd w:val="clear" w:color="000000" w:fill="FFFFFF"/>
            <w:vAlign w:val="center"/>
            <w:hideMark/>
          </w:tcPr>
          <w:p w14:paraId="321F1E18" w14:textId="77777777" w:rsidR="003B04E6" w:rsidRPr="00FB5A95" w:rsidRDefault="003B04E6" w:rsidP="00881C43">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34</w:t>
            </w:r>
          </w:p>
        </w:tc>
      </w:tr>
      <w:tr w:rsidR="003B04E6" w:rsidRPr="00030683" w14:paraId="26FAEA2C" w14:textId="77777777" w:rsidTr="00FB5A95">
        <w:trPr>
          <w:trHeight w:val="315"/>
          <w:jc w:val="center"/>
        </w:trPr>
        <w:tc>
          <w:tcPr>
            <w:tcW w:w="1858" w:type="dxa"/>
            <w:shd w:val="clear" w:color="000000" w:fill="FFFFFF"/>
            <w:vAlign w:val="center"/>
            <w:hideMark/>
          </w:tcPr>
          <w:p w14:paraId="13495DE8" w14:textId="77777777" w:rsidR="003B04E6" w:rsidRPr="000E2230" w:rsidRDefault="003B04E6" w:rsidP="00881C43">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FC-04</w:t>
            </w:r>
          </w:p>
        </w:tc>
        <w:tc>
          <w:tcPr>
            <w:tcW w:w="1134" w:type="dxa"/>
            <w:shd w:val="clear" w:color="000000" w:fill="FFFFFF"/>
            <w:vAlign w:val="center"/>
            <w:hideMark/>
          </w:tcPr>
          <w:p w14:paraId="00A43885"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17</w:t>
            </w:r>
          </w:p>
        </w:tc>
        <w:tc>
          <w:tcPr>
            <w:tcW w:w="1276" w:type="dxa"/>
            <w:shd w:val="clear" w:color="000000" w:fill="FFFFFF"/>
            <w:vAlign w:val="center"/>
            <w:hideMark/>
          </w:tcPr>
          <w:p w14:paraId="3718F260"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45,9%</w:t>
            </w:r>
          </w:p>
        </w:tc>
        <w:tc>
          <w:tcPr>
            <w:tcW w:w="1134" w:type="dxa"/>
            <w:shd w:val="clear" w:color="000000" w:fill="FFFFFF"/>
            <w:vAlign w:val="center"/>
            <w:hideMark/>
          </w:tcPr>
          <w:p w14:paraId="53171F39"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20</w:t>
            </w:r>
          </w:p>
        </w:tc>
        <w:tc>
          <w:tcPr>
            <w:tcW w:w="1276" w:type="dxa"/>
            <w:shd w:val="clear" w:color="000000" w:fill="FFFFFF"/>
            <w:vAlign w:val="center"/>
            <w:hideMark/>
          </w:tcPr>
          <w:p w14:paraId="3915A48D"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54,1%</w:t>
            </w:r>
          </w:p>
        </w:tc>
        <w:tc>
          <w:tcPr>
            <w:tcW w:w="1559" w:type="dxa"/>
            <w:shd w:val="clear" w:color="000000" w:fill="FFFFFF"/>
            <w:vAlign w:val="center"/>
            <w:hideMark/>
          </w:tcPr>
          <w:p w14:paraId="0E567CB5" w14:textId="77777777" w:rsidR="003B04E6" w:rsidRPr="00FB5A95" w:rsidRDefault="003B04E6" w:rsidP="00881C43">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37</w:t>
            </w:r>
          </w:p>
        </w:tc>
      </w:tr>
      <w:tr w:rsidR="003B04E6" w:rsidRPr="00030683" w14:paraId="4B5C7F45" w14:textId="77777777" w:rsidTr="00FB5A95">
        <w:trPr>
          <w:trHeight w:val="315"/>
          <w:jc w:val="center"/>
        </w:trPr>
        <w:tc>
          <w:tcPr>
            <w:tcW w:w="1858" w:type="dxa"/>
            <w:shd w:val="clear" w:color="000000" w:fill="FFFFFF"/>
            <w:vAlign w:val="center"/>
            <w:hideMark/>
          </w:tcPr>
          <w:p w14:paraId="02F6593A" w14:textId="77777777" w:rsidR="003B04E6" w:rsidRPr="000E2230" w:rsidRDefault="003B04E6" w:rsidP="00881C43">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FC-03</w:t>
            </w:r>
          </w:p>
        </w:tc>
        <w:tc>
          <w:tcPr>
            <w:tcW w:w="1134" w:type="dxa"/>
            <w:shd w:val="clear" w:color="000000" w:fill="FFFFFF"/>
            <w:vAlign w:val="center"/>
            <w:hideMark/>
          </w:tcPr>
          <w:p w14:paraId="3FC9C53C"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3</w:t>
            </w:r>
          </w:p>
        </w:tc>
        <w:tc>
          <w:tcPr>
            <w:tcW w:w="1276" w:type="dxa"/>
            <w:shd w:val="clear" w:color="000000" w:fill="FFFFFF"/>
            <w:vAlign w:val="center"/>
            <w:hideMark/>
          </w:tcPr>
          <w:p w14:paraId="3AA06D5C"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25,0%</w:t>
            </w:r>
          </w:p>
        </w:tc>
        <w:tc>
          <w:tcPr>
            <w:tcW w:w="1134" w:type="dxa"/>
            <w:shd w:val="clear" w:color="000000" w:fill="FFFFFF"/>
            <w:vAlign w:val="center"/>
            <w:hideMark/>
          </w:tcPr>
          <w:p w14:paraId="379035BE"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9</w:t>
            </w:r>
          </w:p>
        </w:tc>
        <w:tc>
          <w:tcPr>
            <w:tcW w:w="1276" w:type="dxa"/>
            <w:shd w:val="clear" w:color="000000" w:fill="FFFFFF"/>
            <w:vAlign w:val="center"/>
            <w:hideMark/>
          </w:tcPr>
          <w:p w14:paraId="326A9344"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75,0%</w:t>
            </w:r>
          </w:p>
        </w:tc>
        <w:tc>
          <w:tcPr>
            <w:tcW w:w="1559" w:type="dxa"/>
            <w:shd w:val="clear" w:color="000000" w:fill="FFFFFF"/>
            <w:vAlign w:val="center"/>
            <w:hideMark/>
          </w:tcPr>
          <w:p w14:paraId="3DA057FE" w14:textId="77777777" w:rsidR="003B04E6" w:rsidRPr="00FB5A95" w:rsidRDefault="003B04E6" w:rsidP="00881C43">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12</w:t>
            </w:r>
          </w:p>
        </w:tc>
      </w:tr>
      <w:tr w:rsidR="003B04E6" w:rsidRPr="00030683" w14:paraId="6A545BC8" w14:textId="77777777" w:rsidTr="00FB5A95">
        <w:trPr>
          <w:trHeight w:val="315"/>
          <w:jc w:val="center"/>
        </w:trPr>
        <w:tc>
          <w:tcPr>
            <w:tcW w:w="1858" w:type="dxa"/>
            <w:shd w:val="clear" w:color="auto" w:fill="D9D9D9" w:themeFill="background1" w:themeFillShade="D9"/>
            <w:vAlign w:val="center"/>
            <w:hideMark/>
          </w:tcPr>
          <w:p w14:paraId="368B454C" w14:textId="77777777" w:rsidR="003B04E6" w:rsidRPr="000E2230" w:rsidRDefault="003B04E6" w:rsidP="00881C43">
            <w:pPr>
              <w:rPr>
                <w:rFonts w:asciiTheme="minorHAnsi" w:hAnsiTheme="minorHAnsi" w:cstheme="minorHAnsi"/>
                <w:b/>
                <w:bCs/>
                <w:i/>
                <w:color w:val="000000"/>
                <w:sz w:val="22"/>
                <w:szCs w:val="22"/>
              </w:rPr>
            </w:pPr>
            <w:r w:rsidRPr="000E2230">
              <w:rPr>
                <w:rFonts w:asciiTheme="minorHAnsi" w:hAnsiTheme="minorHAnsi" w:cstheme="minorHAnsi"/>
                <w:b/>
                <w:bCs/>
                <w:i/>
                <w:color w:val="000000"/>
                <w:sz w:val="22"/>
                <w:szCs w:val="22"/>
              </w:rPr>
              <w:t>Subtotal FC's</w:t>
            </w:r>
          </w:p>
        </w:tc>
        <w:tc>
          <w:tcPr>
            <w:tcW w:w="1134" w:type="dxa"/>
            <w:shd w:val="clear" w:color="auto" w:fill="D9D9D9" w:themeFill="background1" w:themeFillShade="D9"/>
            <w:vAlign w:val="center"/>
            <w:hideMark/>
          </w:tcPr>
          <w:p w14:paraId="17EE362D" w14:textId="77777777" w:rsidR="003B04E6" w:rsidRPr="00FB5A95" w:rsidRDefault="003B04E6" w:rsidP="00881C43">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44</w:t>
            </w:r>
          </w:p>
        </w:tc>
        <w:tc>
          <w:tcPr>
            <w:tcW w:w="1276" w:type="dxa"/>
            <w:shd w:val="clear" w:color="auto" w:fill="D9D9D9" w:themeFill="background1" w:themeFillShade="D9"/>
            <w:vAlign w:val="center"/>
            <w:hideMark/>
          </w:tcPr>
          <w:p w14:paraId="28A10D5A" w14:textId="77777777" w:rsidR="003B04E6" w:rsidRPr="00FB5A95" w:rsidRDefault="003B04E6" w:rsidP="00881C43">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42,7%</w:t>
            </w:r>
          </w:p>
        </w:tc>
        <w:tc>
          <w:tcPr>
            <w:tcW w:w="1134" w:type="dxa"/>
            <w:shd w:val="clear" w:color="auto" w:fill="D9D9D9" w:themeFill="background1" w:themeFillShade="D9"/>
            <w:vAlign w:val="center"/>
            <w:hideMark/>
          </w:tcPr>
          <w:p w14:paraId="458A0798" w14:textId="77777777" w:rsidR="003B04E6" w:rsidRPr="00FB5A95" w:rsidRDefault="003B04E6" w:rsidP="00881C43">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59</w:t>
            </w:r>
          </w:p>
        </w:tc>
        <w:tc>
          <w:tcPr>
            <w:tcW w:w="1276" w:type="dxa"/>
            <w:shd w:val="clear" w:color="auto" w:fill="D9D9D9" w:themeFill="background1" w:themeFillShade="D9"/>
            <w:vAlign w:val="center"/>
            <w:hideMark/>
          </w:tcPr>
          <w:p w14:paraId="5B521A26" w14:textId="77777777" w:rsidR="003B04E6" w:rsidRPr="00FB5A95" w:rsidRDefault="003B04E6" w:rsidP="00881C43">
            <w:pPr>
              <w:jc w:val="center"/>
              <w:rPr>
                <w:rFonts w:asciiTheme="minorHAnsi" w:hAnsiTheme="minorHAnsi" w:cstheme="minorHAnsi"/>
                <w:i/>
                <w:color w:val="000000"/>
                <w:sz w:val="22"/>
                <w:szCs w:val="22"/>
              </w:rPr>
            </w:pPr>
            <w:r w:rsidRPr="00FB5A95">
              <w:rPr>
                <w:rFonts w:asciiTheme="minorHAnsi" w:hAnsiTheme="minorHAnsi" w:cstheme="minorHAnsi"/>
                <w:i/>
                <w:color w:val="000000"/>
                <w:sz w:val="22"/>
                <w:szCs w:val="22"/>
              </w:rPr>
              <w:t>57,3%</w:t>
            </w:r>
          </w:p>
        </w:tc>
        <w:tc>
          <w:tcPr>
            <w:tcW w:w="1559" w:type="dxa"/>
            <w:shd w:val="clear" w:color="auto" w:fill="D9D9D9" w:themeFill="background1" w:themeFillShade="D9"/>
            <w:vAlign w:val="center"/>
            <w:hideMark/>
          </w:tcPr>
          <w:p w14:paraId="77C20C07" w14:textId="77777777" w:rsidR="003B04E6" w:rsidRPr="00FB5A95" w:rsidRDefault="003B04E6" w:rsidP="00881C43">
            <w:pPr>
              <w:jc w:val="center"/>
              <w:rPr>
                <w:rFonts w:asciiTheme="minorHAnsi" w:hAnsiTheme="minorHAnsi" w:cstheme="minorHAnsi"/>
                <w:b/>
                <w:i/>
                <w:color w:val="000000"/>
                <w:sz w:val="22"/>
                <w:szCs w:val="22"/>
              </w:rPr>
            </w:pPr>
            <w:r w:rsidRPr="00FB5A95">
              <w:rPr>
                <w:rFonts w:asciiTheme="minorHAnsi" w:hAnsiTheme="minorHAnsi" w:cstheme="minorHAnsi"/>
                <w:b/>
                <w:i/>
                <w:color w:val="000000"/>
                <w:sz w:val="22"/>
                <w:szCs w:val="22"/>
              </w:rPr>
              <w:t>103</w:t>
            </w:r>
          </w:p>
        </w:tc>
      </w:tr>
      <w:tr w:rsidR="003B04E6" w:rsidRPr="00030683" w14:paraId="5F642A94" w14:textId="77777777" w:rsidTr="00FB5A95">
        <w:trPr>
          <w:trHeight w:val="315"/>
          <w:jc w:val="center"/>
        </w:trPr>
        <w:tc>
          <w:tcPr>
            <w:tcW w:w="1858" w:type="dxa"/>
            <w:shd w:val="clear" w:color="auto" w:fill="BFBFBF" w:themeFill="background1" w:themeFillShade="BF"/>
            <w:vAlign w:val="center"/>
            <w:hideMark/>
          </w:tcPr>
          <w:p w14:paraId="4151EF6F" w14:textId="77777777" w:rsidR="003B04E6" w:rsidRPr="000E2230" w:rsidRDefault="003B04E6" w:rsidP="00881C43">
            <w:pPr>
              <w:rPr>
                <w:rFonts w:asciiTheme="minorHAnsi" w:hAnsiTheme="minorHAnsi" w:cstheme="minorHAnsi"/>
                <w:b/>
                <w:bCs/>
                <w:color w:val="000000"/>
                <w:sz w:val="22"/>
                <w:szCs w:val="22"/>
              </w:rPr>
            </w:pPr>
            <w:r w:rsidRPr="000E2230">
              <w:rPr>
                <w:rFonts w:asciiTheme="minorHAnsi" w:hAnsiTheme="minorHAnsi" w:cstheme="minorHAnsi"/>
                <w:b/>
                <w:bCs/>
                <w:color w:val="000000"/>
                <w:sz w:val="22"/>
                <w:szCs w:val="22"/>
              </w:rPr>
              <w:t>Total Geral</w:t>
            </w:r>
          </w:p>
        </w:tc>
        <w:tc>
          <w:tcPr>
            <w:tcW w:w="1134" w:type="dxa"/>
            <w:shd w:val="clear" w:color="auto" w:fill="BFBFBF" w:themeFill="background1" w:themeFillShade="BF"/>
            <w:vAlign w:val="center"/>
            <w:hideMark/>
          </w:tcPr>
          <w:p w14:paraId="7F5B3EC0"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49</w:t>
            </w:r>
          </w:p>
        </w:tc>
        <w:tc>
          <w:tcPr>
            <w:tcW w:w="1276" w:type="dxa"/>
            <w:shd w:val="clear" w:color="auto" w:fill="BFBFBF" w:themeFill="background1" w:themeFillShade="BF"/>
            <w:vAlign w:val="center"/>
            <w:hideMark/>
          </w:tcPr>
          <w:p w14:paraId="6A834C40"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40,8%</w:t>
            </w:r>
          </w:p>
        </w:tc>
        <w:tc>
          <w:tcPr>
            <w:tcW w:w="1134" w:type="dxa"/>
            <w:shd w:val="clear" w:color="auto" w:fill="BFBFBF" w:themeFill="background1" w:themeFillShade="BF"/>
            <w:vAlign w:val="center"/>
            <w:hideMark/>
          </w:tcPr>
          <w:p w14:paraId="4A1120DF"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71</w:t>
            </w:r>
          </w:p>
        </w:tc>
        <w:tc>
          <w:tcPr>
            <w:tcW w:w="1276" w:type="dxa"/>
            <w:shd w:val="clear" w:color="auto" w:fill="BFBFBF" w:themeFill="background1" w:themeFillShade="BF"/>
            <w:vAlign w:val="center"/>
            <w:hideMark/>
          </w:tcPr>
          <w:p w14:paraId="0E26DAE3" w14:textId="77777777" w:rsidR="003B04E6" w:rsidRPr="008520F6" w:rsidRDefault="003B04E6" w:rsidP="00881C43">
            <w:pPr>
              <w:jc w:val="center"/>
              <w:rPr>
                <w:rFonts w:asciiTheme="minorHAnsi" w:hAnsiTheme="minorHAnsi" w:cstheme="minorHAnsi"/>
                <w:color w:val="000000"/>
                <w:sz w:val="22"/>
                <w:szCs w:val="22"/>
              </w:rPr>
            </w:pPr>
            <w:r w:rsidRPr="008520F6">
              <w:rPr>
                <w:rFonts w:asciiTheme="minorHAnsi" w:hAnsiTheme="minorHAnsi" w:cstheme="minorHAnsi"/>
                <w:color w:val="000000"/>
                <w:sz w:val="22"/>
                <w:szCs w:val="22"/>
              </w:rPr>
              <w:t>59,2%</w:t>
            </w:r>
          </w:p>
        </w:tc>
        <w:tc>
          <w:tcPr>
            <w:tcW w:w="1559" w:type="dxa"/>
            <w:shd w:val="clear" w:color="auto" w:fill="BFBFBF" w:themeFill="background1" w:themeFillShade="BF"/>
            <w:vAlign w:val="center"/>
            <w:hideMark/>
          </w:tcPr>
          <w:p w14:paraId="03A80212" w14:textId="77777777" w:rsidR="003B04E6" w:rsidRPr="00FB5A95" w:rsidRDefault="003B04E6" w:rsidP="00881C43">
            <w:pPr>
              <w:jc w:val="center"/>
              <w:rPr>
                <w:rFonts w:asciiTheme="minorHAnsi" w:hAnsiTheme="minorHAnsi" w:cstheme="minorHAnsi"/>
                <w:b/>
                <w:color w:val="000000"/>
                <w:sz w:val="22"/>
                <w:szCs w:val="22"/>
              </w:rPr>
            </w:pPr>
            <w:r w:rsidRPr="00FB5A95">
              <w:rPr>
                <w:rFonts w:asciiTheme="minorHAnsi" w:hAnsiTheme="minorHAnsi" w:cstheme="minorHAnsi"/>
                <w:b/>
                <w:color w:val="000000"/>
                <w:sz w:val="22"/>
                <w:szCs w:val="22"/>
              </w:rPr>
              <w:t>120</w:t>
            </w:r>
          </w:p>
        </w:tc>
      </w:tr>
    </w:tbl>
    <w:p w14:paraId="10D0CBBE" w14:textId="77777777" w:rsidR="003571B1" w:rsidRDefault="003571B1" w:rsidP="00617865">
      <w:pPr>
        <w:pStyle w:val="Fonte"/>
        <w:jc w:val="left"/>
        <w:rPr>
          <w:b w:val="0"/>
        </w:rPr>
      </w:pPr>
      <w:r w:rsidRPr="00A739AB">
        <w:t xml:space="preserve">Fonte: </w:t>
      </w:r>
      <w:r w:rsidRPr="0046486D">
        <w:rPr>
          <w:b w:val="0"/>
        </w:rPr>
        <w:t>Dados disponibilizados pelo Sistema de Recursos Humanos do TST (abril de 2025). Compilação e elaboração: CPJUD/SEPJD/CPJED</w:t>
      </w:r>
      <w:r>
        <w:rPr>
          <w:b w:val="0"/>
        </w:rPr>
        <w:t>.</w:t>
      </w:r>
    </w:p>
    <w:p w14:paraId="00B98957" w14:textId="77777777" w:rsidR="00FB5A95" w:rsidRPr="00E33569" w:rsidRDefault="00FB5A95" w:rsidP="00E33569">
      <w:pPr>
        <w:pStyle w:val="Texto"/>
        <w:rPr>
          <w:highlight w:val="yellow"/>
        </w:rPr>
      </w:pPr>
    </w:p>
    <w:p w14:paraId="40FB6CBE" w14:textId="1C7B1BE0" w:rsidR="00FA3862" w:rsidRDefault="00FA3862" w:rsidP="00FB5A95">
      <w:pPr>
        <w:pStyle w:val="TtulodaIlustrao"/>
      </w:pPr>
      <w:bookmarkStart w:id="28" w:name="_Toc208508630"/>
      <w:r>
        <w:t xml:space="preserve">Gráfico </w:t>
      </w:r>
      <w:r w:rsidR="00B57BA3">
        <w:t>7</w:t>
      </w:r>
      <w:r w:rsidRPr="000138EC">
        <w:rPr>
          <w:b w:val="0"/>
        </w:rPr>
        <w:t xml:space="preserve"> - Distribuição por gênero dos cargos em comissão e funções comissionadas do CSJT (%)</w:t>
      </w:r>
      <w:bookmarkEnd w:id="28"/>
    </w:p>
    <w:p w14:paraId="4B0ED126" w14:textId="58BE6B5D" w:rsidR="007C36D4" w:rsidRDefault="00A37515" w:rsidP="003571B1">
      <w:pPr>
        <w:pStyle w:val="Texto"/>
        <w:jc w:val="center"/>
      </w:pPr>
      <w:r>
        <w:drawing>
          <wp:inline distT="0" distB="0" distL="0" distR="0" wp14:anchorId="1C29C660" wp14:editId="58A51796">
            <wp:extent cx="4819650" cy="3228975"/>
            <wp:effectExtent l="0" t="0" r="0" b="0"/>
            <wp:docPr id="1622690733" name="Gráfico 162269073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B5C82-9129-4F03-B80F-DA6AF0772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B47D6E" w14:textId="77777777" w:rsidR="00540DE5" w:rsidRDefault="00540DE5" w:rsidP="00540DE5">
      <w:pPr>
        <w:pStyle w:val="Fonte"/>
        <w:rPr>
          <w:b w:val="0"/>
        </w:rPr>
      </w:pPr>
      <w:r w:rsidRPr="00A739AB">
        <w:t xml:space="preserve">Fonte: </w:t>
      </w:r>
      <w:r w:rsidRPr="0046486D">
        <w:rPr>
          <w:b w:val="0"/>
        </w:rPr>
        <w:t>Dados disponibilizados pelo Sistema de Recursos Humanos do TST (abril de 2025). Compilação e elaboração: CPJUD/SEPJD/CPJED</w:t>
      </w:r>
      <w:r>
        <w:rPr>
          <w:b w:val="0"/>
        </w:rPr>
        <w:t>.</w:t>
      </w:r>
    </w:p>
    <w:p w14:paraId="7F08D3DC" w14:textId="77777777" w:rsidR="007C36D4" w:rsidRPr="000138EC" w:rsidRDefault="007C36D4" w:rsidP="000138EC">
      <w:pPr>
        <w:pStyle w:val="Texto"/>
      </w:pPr>
    </w:p>
    <w:p w14:paraId="5FA422DF" w14:textId="4530BC64" w:rsidR="00A37515" w:rsidRPr="000138EC" w:rsidRDefault="00307527" w:rsidP="000138EC">
      <w:pPr>
        <w:pStyle w:val="Texto"/>
      </w:pPr>
      <w:r w:rsidRPr="000138EC">
        <w:t>No</w:t>
      </w:r>
      <w:r w:rsidR="00540DE5" w:rsidRPr="000138EC">
        <w:t xml:space="preserve"> Gráf</w:t>
      </w:r>
      <w:r w:rsidR="003B04E6" w:rsidRPr="000138EC">
        <w:t>ico 8</w:t>
      </w:r>
      <w:r w:rsidRPr="000138EC">
        <w:t>,</w:t>
      </w:r>
      <w:r w:rsidR="00540DE5" w:rsidRPr="000138EC">
        <w:t xml:space="preserve"> </w:t>
      </w:r>
      <w:r w:rsidR="008E4629" w:rsidRPr="000138EC">
        <w:t>observa</w:t>
      </w:r>
      <w:r w:rsidRPr="000138EC">
        <w:t>-se</w:t>
      </w:r>
      <w:r w:rsidR="008E4629" w:rsidRPr="000138EC">
        <w:t xml:space="preserve"> o peso de mulheres e homens </w:t>
      </w:r>
      <w:r w:rsidRPr="000138EC">
        <w:t>que compõem</w:t>
      </w:r>
      <w:r w:rsidR="008E4629" w:rsidRPr="000138EC">
        <w:t xml:space="preserve"> cada nível em relação ao total de CJs do CSJT. </w:t>
      </w:r>
      <w:r w:rsidRPr="000138EC">
        <w:t>Os</w:t>
      </w:r>
      <w:r w:rsidR="00A37515" w:rsidRPr="000138EC">
        <w:t xml:space="preserve"> três níveis </w:t>
      </w:r>
      <w:r w:rsidRPr="000138EC">
        <w:t xml:space="preserve">apresentam um quantitativo equilibrado de servidores, com </w:t>
      </w:r>
      <w:r w:rsidR="00A37515" w:rsidRPr="000138EC">
        <w:t xml:space="preserve">predominância masculina nos dois níveis mais altos. </w:t>
      </w:r>
    </w:p>
    <w:p w14:paraId="124F27DC" w14:textId="360AF494" w:rsidR="00A37515" w:rsidRPr="000138EC" w:rsidRDefault="00A37515" w:rsidP="000138EC">
      <w:pPr>
        <w:pStyle w:val="Texto"/>
      </w:pPr>
    </w:p>
    <w:p w14:paraId="7CB8C404" w14:textId="403DA640" w:rsidR="00FA3862" w:rsidRDefault="00FA3862" w:rsidP="00FB5A95">
      <w:pPr>
        <w:pStyle w:val="TtulodaIlustrao"/>
      </w:pPr>
      <w:bookmarkStart w:id="29" w:name="_Toc208508631"/>
      <w:r>
        <w:t xml:space="preserve">Gráfico </w:t>
      </w:r>
      <w:r w:rsidR="00B57BA3">
        <w:t>8</w:t>
      </w:r>
      <w:r w:rsidRPr="000138EC">
        <w:rPr>
          <w:b w:val="0"/>
        </w:rPr>
        <w:t xml:space="preserve"> - Distribuição por nível e por gênero dos cargos em comissão do CSJT em relação ao total (%)</w:t>
      </w:r>
      <w:bookmarkEnd w:id="29"/>
    </w:p>
    <w:p w14:paraId="25783EE5" w14:textId="4377DEF0" w:rsidR="00A37515" w:rsidRDefault="00A37515" w:rsidP="00A37515">
      <w:pPr>
        <w:pStyle w:val="Texto"/>
        <w:jc w:val="center"/>
      </w:pPr>
      <w:r>
        <w:lastRenderedPageBreak/>
        <w:drawing>
          <wp:inline distT="0" distB="0" distL="0" distR="0" wp14:anchorId="68B081E4" wp14:editId="68AA1580">
            <wp:extent cx="4572000" cy="2743200"/>
            <wp:effectExtent l="0" t="0" r="0" b="0"/>
            <wp:docPr id="1622690732" name="Gráfico 162269073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8F397F-35B0-4F52-8CE2-2D0121B5D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28013C" w14:textId="28A7DC0F" w:rsidR="00A37515" w:rsidRDefault="00A37515" w:rsidP="00A37515">
      <w:pPr>
        <w:pStyle w:val="Fonte"/>
        <w:rPr>
          <w:b w:val="0"/>
        </w:rPr>
      </w:pPr>
      <w:r w:rsidRPr="00A739AB">
        <w:t xml:space="preserve">Fonte: </w:t>
      </w:r>
      <w:r w:rsidRPr="0046486D">
        <w:rPr>
          <w:b w:val="0"/>
        </w:rPr>
        <w:t>Dados disponibilizados pelo Sistema de Recursos Humanos do TST (abril de 2025). Compilação e elaboração: CPJUD/SEPJD/CPJED</w:t>
      </w:r>
      <w:r>
        <w:rPr>
          <w:b w:val="0"/>
        </w:rPr>
        <w:t>.</w:t>
      </w:r>
    </w:p>
    <w:p w14:paraId="4AB1F255" w14:textId="77777777" w:rsidR="00707430" w:rsidRDefault="00707430" w:rsidP="000138EC">
      <w:pPr>
        <w:pStyle w:val="Texto"/>
      </w:pPr>
    </w:p>
    <w:p w14:paraId="7514B996" w14:textId="09E59C2D" w:rsidR="001423BF" w:rsidRPr="00133189" w:rsidRDefault="00307527" w:rsidP="000138EC">
      <w:pPr>
        <w:pStyle w:val="Texto"/>
      </w:pPr>
      <w:r>
        <w:t>No que concerne às</w:t>
      </w:r>
      <w:r w:rsidR="00707430">
        <w:t xml:space="preserve"> 103</w:t>
      </w:r>
      <w:r>
        <w:t xml:space="preserve"> funções comiss</w:t>
      </w:r>
      <w:r w:rsidR="00FA3862">
        <w:t>ionadas do CSJT (Gráf</w:t>
      </w:r>
      <w:r w:rsidR="003B04E6">
        <w:t>ico 9</w:t>
      </w:r>
      <w:r>
        <w:t xml:space="preserve">), a exemplo do TST, </w:t>
      </w:r>
      <w:r w:rsidR="004E1457">
        <w:t>a maior parte das FCs</w:t>
      </w:r>
      <w:r>
        <w:t xml:space="preserve"> está concentrada</w:t>
      </w:r>
      <w:r w:rsidR="004E1457">
        <w:t xml:space="preserve"> no nível FC-04 (37</w:t>
      </w:r>
      <w:r>
        <w:t xml:space="preserve"> funções, com 20 ocupadas por homens</w:t>
      </w:r>
      <w:r w:rsidR="004E1457">
        <w:t>), seguido do nível FC-05 (34</w:t>
      </w:r>
      <w:r>
        <w:t xml:space="preserve"> funções distribuídas partitária</w:t>
      </w:r>
      <w:r w:rsidR="00133189">
        <w:t>).</w:t>
      </w:r>
    </w:p>
    <w:p w14:paraId="257AAECA" w14:textId="69749B2E" w:rsidR="007C36D4" w:rsidRDefault="007C36D4" w:rsidP="000138EC">
      <w:pPr>
        <w:pStyle w:val="Texto"/>
      </w:pPr>
    </w:p>
    <w:p w14:paraId="7BFB38CD" w14:textId="74BAE12C" w:rsidR="00133189" w:rsidRDefault="00133189" w:rsidP="00FB5A95">
      <w:pPr>
        <w:pStyle w:val="TtulodaIlustrao"/>
      </w:pPr>
      <w:bookmarkStart w:id="30" w:name="_Toc208508632"/>
      <w:r>
        <w:t xml:space="preserve">Gráfico </w:t>
      </w:r>
      <w:r w:rsidR="00B57BA3">
        <w:t>9</w:t>
      </w:r>
      <w:r w:rsidRPr="000138EC">
        <w:rPr>
          <w:b w:val="0"/>
        </w:rPr>
        <w:t xml:space="preserve"> - Distribuição por nível e por gênero das funções comissionadas do CSJT em relação ao total (%)</w:t>
      </w:r>
      <w:bookmarkEnd w:id="30"/>
    </w:p>
    <w:p w14:paraId="0B1E11E8" w14:textId="66CEE427" w:rsidR="007C36D4" w:rsidRDefault="00D66510" w:rsidP="00D66510">
      <w:pPr>
        <w:pStyle w:val="Texto"/>
        <w:jc w:val="center"/>
      </w:pPr>
      <w:r>
        <w:drawing>
          <wp:inline distT="0" distB="0" distL="0" distR="0" wp14:anchorId="2A138B8E" wp14:editId="6007B88C">
            <wp:extent cx="4572000" cy="2743200"/>
            <wp:effectExtent l="0" t="0" r="0" b="0"/>
            <wp:docPr id="1622690735" name="Gráfico 162269073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77EC41-6A9C-4E07-935B-519EDFA3A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70069A" w14:textId="77777777" w:rsidR="001423BF" w:rsidRDefault="001423BF" w:rsidP="001423BF">
      <w:pPr>
        <w:pStyle w:val="Fonte"/>
        <w:rPr>
          <w:b w:val="0"/>
        </w:rPr>
      </w:pPr>
      <w:r w:rsidRPr="00A739AB">
        <w:t xml:space="preserve">Fonte: </w:t>
      </w:r>
      <w:r w:rsidRPr="0046486D">
        <w:rPr>
          <w:b w:val="0"/>
        </w:rPr>
        <w:t>Dados disponibilizados pelo Sistema de Recursos Humanos do TST (abril de 2025). Compilação e elaboração: CPJUD/SEPJD/CPJED</w:t>
      </w:r>
      <w:r>
        <w:rPr>
          <w:b w:val="0"/>
        </w:rPr>
        <w:t>.</w:t>
      </w:r>
    </w:p>
    <w:p w14:paraId="674B6C75" w14:textId="77777777" w:rsidR="00E31247" w:rsidRDefault="00E31247" w:rsidP="000138EC">
      <w:pPr>
        <w:pStyle w:val="Texto"/>
      </w:pPr>
    </w:p>
    <w:p w14:paraId="4CD1B903" w14:textId="3A3FFFF9" w:rsidR="00761247" w:rsidRPr="00BA6205" w:rsidRDefault="00E31247" w:rsidP="000138EC">
      <w:pPr>
        <w:pStyle w:val="Texto"/>
        <w:rPr>
          <w:color w:val="000000" w:themeColor="text1"/>
        </w:rPr>
      </w:pPr>
      <w:r w:rsidRPr="00BA6205">
        <w:rPr>
          <w:color w:val="000000" w:themeColor="text1"/>
        </w:rPr>
        <w:t xml:space="preserve">O gráfico apresenta a proporção de mulheres e homens em relação ao total de </w:t>
      </w:r>
      <w:r w:rsidR="00BA6205" w:rsidRPr="00BA6205">
        <w:rPr>
          <w:color w:val="000000" w:themeColor="text1"/>
        </w:rPr>
        <w:t>CJs e FCs</w:t>
      </w:r>
      <w:r w:rsidRPr="00BA6205">
        <w:rPr>
          <w:color w:val="000000" w:themeColor="text1"/>
        </w:rPr>
        <w:t xml:space="preserve">, permitindo observar a distribuição de gênero segundo o nível hierárquico. No nível FC-03, por </w:t>
      </w:r>
      <w:r w:rsidRPr="00BA6205">
        <w:rPr>
          <w:color w:val="000000" w:themeColor="text1"/>
        </w:rPr>
        <w:lastRenderedPageBreak/>
        <w:t>exemplo, apenas 2,9% das mulheres ocupam essas funções, contra 8,7% dos homens. Em contrapartida, no FC-05</w:t>
      </w:r>
      <w:r w:rsidR="00BA6205" w:rsidRPr="00BA6205">
        <w:rPr>
          <w:color w:val="000000" w:themeColor="text1"/>
        </w:rPr>
        <w:t>, há equilíbrio em termos absolutos</w:t>
      </w:r>
      <w:r w:rsidRPr="00BA6205">
        <w:rPr>
          <w:color w:val="000000" w:themeColor="text1"/>
        </w:rPr>
        <w:t xml:space="preserve"> (16,5% para cada gênero), e no FC-04 a diferença é pequena, ainda que com leve predominância masculina (19,4% contra 16,5%). Na FC-06, observa-se uma participação feminina (6,8%) significativamente menor que a masculina (12,6%).</w:t>
      </w:r>
      <w:r w:rsidR="00BA6205" w:rsidRPr="00BA6205">
        <w:rPr>
          <w:color w:val="000000" w:themeColor="text1"/>
        </w:rPr>
        <w:t xml:space="preserve"> Os</w:t>
      </w:r>
      <w:r w:rsidRPr="00BA6205">
        <w:rPr>
          <w:color w:val="000000" w:themeColor="text1"/>
        </w:rPr>
        <w:t xml:space="preserve"> dado</w:t>
      </w:r>
      <w:r w:rsidR="00BA6205" w:rsidRPr="00BA6205">
        <w:rPr>
          <w:color w:val="000000" w:themeColor="text1"/>
        </w:rPr>
        <w:t>s</w:t>
      </w:r>
      <w:r w:rsidRPr="00BA6205">
        <w:rPr>
          <w:color w:val="000000" w:themeColor="text1"/>
        </w:rPr>
        <w:t xml:space="preserve"> aponta</w:t>
      </w:r>
      <w:r w:rsidR="00BA6205" w:rsidRPr="00BA6205">
        <w:rPr>
          <w:color w:val="000000" w:themeColor="text1"/>
        </w:rPr>
        <w:t>m</w:t>
      </w:r>
      <w:r w:rsidRPr="00BA6205">
        <w:rPr>
          <w:color w:val="000000" w:themeColor="text1"/>
        </w:rPr>
        <w:t xml:space="preserve"> para a necessidade de monitorar se o predomínio </w:t>
      </w:r>
      <w:r w:rsidR="0037088A" w:rsidRPr="00BA6205">
        <w:rPr>
          <w:color w:val="000000" w:themeColor="text1"/>
        </w:rPr>
        <w:t>masculino</w:t>
      </w:r>
      <w:r w:rsidRPr="00BA6205">
        <w:rPr>
          <w:color w:val="000000" w:themeColor="text1"/>
        </w:rPr>
        <w:t xml:space="preserve"> no conjunto do </w:t>
      </w:r>
      <w:r w:rsidR="0037088A" w:rsidRPr="00BA6205">
        <w:rPr>
          <w:color w:val="000000" w:themeColor="text1"/>
        </w:rPr>
        <w:t>CSJT</w:t>
      </w:r>
      <w:r w:rsidRPr="00BA6205">
        <w:rPr>
          <w:color w:val="000000" w:themeColor="text1"/>
        </w:rPr>
        <w:t xml:space="preserve"> se traduz, de fato, em acesso proporcional às funções de maior relevância institucional.</w:t>
      </w:r>
      <w:r w:rsidR="004A4BD1" w:rsidRPr="00BA6205">
        <w:rPr>
          <w:color w:val="000000" w:themeColor="text1"/>
        </w:rPr>
        <w:t xml:space="preserve"> </w:t>
      </w:r>
      <w:r w:rsidR="00761247" w:rsidRPr="00BA6205">
        <w:rPr>
          <w:color w:val="000000" w:themeColor="text1"/>
        </w:rPr>
        <w:t xml:space="preserve">Além disso, </w:t>
      </w:r>
      <w:r w:rsidR="00BA6205" w:rsidRPr="00BA6205">
        <w:rPr>
          <w:color w:val="000000" w:themeColor="text1"/>
        </w:rPr>
        <w:t>uma informação</w:t>
      </w:r>
      <w:r w:rsidR="00761247" w:rsidRPr="00BA6205">
        <w:rPr>
          <w:color w:val="000000" w:themeColor="text1"/>
        </w:rPr>
        <w:t xml:space="preserve"> que contribuiria para uma análise mais realista e qualitativa sobre a participação feminina na Corte seria a avaliação do nível de escolaridade em conjunto com a observação de eventuais diferenças salariais e do acesso a cargos de liderança.</w:t>
      </w:r>
    </w:p>
    <w:p w14:paraId="0A0C6E68" w14:textId="47EC858A" w:rsidR="00983B93" w:rsidRPr="00983B93" w:rsidRDefault="00983B93" w:rsidP="00983B93">
      <w:pPr>
        <w:pStyle w:val="Texto"/>
      </w:pPr>
      <w:r w:rsidRPr="00983B93">
        <w:t xml:space="preserve">A análise comparativa entre a distribuição de gênero nos cargos e funções de confiança do Tribunal Superior do Trabalho (TST) e do Conselho Superior da Justiça do Trabalho (CSJT) revela dinâmicas </w:t>
      </w:r>
      <w:r>
        <w:t>semelhantes,</w:t>
      </w:r>
      <w:r w:rsidRPr="00983B93">
        <w:t xml:space="preserve"> intrinsecamente relacionadas à composição</w:t>
      </w:r>
      <w:r>
        <w:t xml:space="preserve"> total de homens e mulhetes</w:t>
      </w:r>
      <w:r w:rsidRPr="00983B93">
        <w:t xml:space="preserve"> predominante de cada instituição. De fato, observa-se que, em termos globais, ambos os órgãos mantêm uma distribuição de postos comissionados que acompanha a proporção geral entre servidores e servidoras de seus respectivos quadros.</w:t>
      </w:r>
      <w:r>
        <w:t xml:space="preserve"> </w:t>
      </w:r>
      <w:r w:rsidRPr="00983B93">
        <w:t>A divergência fundamental, contudo, emerge ao se examinar os patamares hierárquicos superiores. Enquanto no TST a tendência de proporcionalidade</w:t>
      </w:r>
      <w:r>
        <w:t xml:space="preserve"> ao quadro geral</w:t>
      </w:r>
      <w:r w:rsidRPr="00983B93">
        <w:t xml:space="preserve"> se estende aos Cargos em Comissão (CJs), o mesmo não se verifica no CSJT. Neste último, constata-se que a ocupação dos postos de maior prestígio e poder decisório é marcadamente assimétrica: as mulheres ocupam 29,4% desses cargos, ao passo que os homens detêm 70,6%. Tal cenário evidencia uma disparidade de gênero nos cargos de cúpula</w:t>
      </w:r>
      <w:r>
        <w:t xml:space="preserve"> do CSJT</w:t>
      </w:r>
      <w:r w:rsidRPr="00983B93">
        <w:t xml:space="preserve"> que destoa significativamente da representação feminina no quadro geral do órgão, que é de 41%.</w:t>
      </w:r>
    </w:p>
    <w:p w14:paraId="637F6E6E" w14:textId="77777777" w:rsidR="0037088A" w:rsidRPr="00E31247" w:rsidRDefault="0037088A" w:rsidP="0037088A">
      <w:pPr>
        <w:pStyle w:val="Texto"/>
      </w:pPr>
    </w:p>
    <w:p w14:paraId="3D6FB82E" w14:textId="206A6D5A" w:rsidR="001423BF" w:rsidRDefault="008C2310" w:rsidP="00FB5A95">
      <w:pPr>
        <w:pStyle w:val="Ttulo3"/>
      </w:pPr>
      <w:bookmarkStart w:id="31" w:name="_Toc208510813"/>
      <w:r>
        <w:t>Participação</w:t>
      </w:r>
      <w:r w:rsidR="004E1457" w:rsidRPr="00777082">
        <w:t xml:space="preserve"> feminina </w:t>
      </w:r>
      <w:r w:rsidR="004E1457">
        <w:t>em cargos de gestão e liderança no</w:t>
      </w:r>
      <w:r w:rsidR="004E1457" w:rsidRPr="00777082">
        <w:t xml:space="preserve"> TST e no CSJT</w:t>
      </w:r>
      <w:bookmarkEnd w:id="31"/>
    </w:p>
    <w:p w14:paraId="380C815F" w14:textId="77777777" w:rsidR="00A47911" w:rsidRDefault="00A47911" w:rsidP="000138EC">
      <w:pPr>
        <w:pStyle w:val="Texto"/>
      </w:pPr>
    </w:p>
    <w:p w14:paraId="72C89941" w14:textId="77777777" w:rsidR="00B914E3" w:rsidRDefault="00D15BA1" w:rsidP="000138EC">
      <w:pPr>
        <w:pStyle w:val="Texto"/>
      </w:pPr>
      <w:r>
        <w:t>Apenas parte d</w:t>
      </w:r>
      <w:r w:rsidR="008C2310">
        <w:t>os</w:t>
      </w:r>
      <w:r>
        <w:t xml:space="preserve"> </w:t>
      </w:r>
      <w:r w:rsidR="00DF6537">
        <w:t>cargos em comissão e funções comissionadas</w:t>
      </w:r>
      <w:r w:rsidR="00CD2A09">
        <w:t xml:space="preserve"> corresponde</w:t>
      </w:r>
      <w:r w:rsidR="000612D5">
        <w:t>m</w:t>
      </w:r>
      <w:r w:rsidR="0046486D" w:rsidRPr="000C0776">
        <w:t xml:space="preserve"> a </w:t>
      </w:r>
      <w:r w:rsidR="0075595F">
        <w:t>funções de chefia, supervisão ou</w:t>
      </w:r>
      <w:r w:rsidR="0075595F" w:rsidRPr="00414C63">
        <w:t xml:space="preserve"> direção</w:t>
      </w:r>
      <w:r w:rsidR="0046486D" w:rsidRPr="000C0776">
        <w:t xml:space="preserve"> nas estruturas organizacionais</w:t>
      </w:r>
      <w:r>
        <w:t xml:space="preserve"> do TST e do CSJT</w:t>
      </w:r>
      <w:r w:rsidR="0075595F">
        <w:t>, ou seja, a posições de gestão e liderança.</w:t>
      </w:r>
      <w:r w:rsidR="0046486D" w:rsidRPr="000C0776">
        <w:t xml:space="preserve"> </w:t>
      </w:r>
    </w:p>
    <w:p w14:paraId="2D352990" w14:textId="5BB2A954" w:rsidR="00574BD4" w:rsidRDefault="00DF6537" w:rsidP="000138EC">
      <w:pPr>
        <w:pStyle w:val="Texto"/>
      </w:pPr>
      <w:r>
        <w:lastRenderedPageBreak/>
        <w:t xml:space="preserve">Segundo </w:t>
      </w:r>
      <w:r w:rsidR="00D15BA1">
        <w:t>o Anexo I do Ato GD</w:t>
      </w:r>
      <w:r w:rsidR="00CC7CFA">
        <w:t>G</w:t>
      </w:r>
      <w:r w:rsidR="00D15BA1">
        <w:t>SET.GP</w:t>
      </w:r>
      <w:r w:rsidR="00CC7CFA">
        <w:t xml:space="preserve"> Nº 155/2025</w:t>
      </w:r>
      <w:r w:rsidR="00CC7CFA">
        <w:rPr>
          <w:rStyle w:val="Refdenotaderodap"/>
        </w:rPr>
        <w:footnoteReference w:id="32"/>
      </w:r>
      <w:r w:rsidR="00CC7CFA">
        <w:t xml:space="preserve">, os cargos em comissão de direção e chefia </w:t>
      </w:r>
      <w:r w:rsidR="00CD2A09">
        <w:t xml:space="preserve">incluem as seguintes posições: </w:t>
      </w:r>
      <w:r w:rsidR="00EF3949">
        <w:t>S</w:t>
      </w:r>
      <w:r w:rsidR="00CC7CFA">
        <w:t>ecretário-</w:t>
      </w:r>
      <w:r w:rsidR="00EF3949">
        <w:t>G</w:t>
      </w:r>
      <w:r w:rsidR="00CC7CFA">
        <w:t xml:space="preserve">eral, </w:t>
      </w:r>
      <w:r w:rsidR="00EF3949">
        <w:t>D</w:t>
      </w:r>
      <w:r w:rsidR="00CC7CFA">
        <w:t>iretor-</w:t>
      </w:r>
      <w:r w:rsidR="00EF3949">
        <w:t>G</w:t>
      </w:r>
      <w:r w:rsidR="00CC7CFA">
        <w:t xml:space="preserve">eral, </w:t>
      </w:r>
      <w:r w:rsidR="00EF3949">
        <w:t>S</w:t>
      </w:r>
      <w:r w:rsidR="00CC7CFA">
        <w:t xml:space="preserve">ecretário, </w:t>
      </w:r>
      <w:r w:rsidR="00EF3949">
        <w:t>D</w:t>
      </w:r>
      <w:r w:rsidR="00CC7CFA">
        <w:t xml:space="preserve">iretor de </w:t>
      </w:r>
      <w:r w:rsidR="00EF3949">
        <w:t>S</w:t>
      </w:r>
      <w:r w:rsidR="00CC7CFA">
        <w:t xml:space="preserve">ecretaria, </w:t>
      </w:r>
      <w:r w:rsidR="00EF3949">
        <w:t>C</w:t>
      </w:r>
      <w:r w:rsidR="00CC7CFA">
        <w:t xml:space="preserve">hefe de </w:t>
      </w:r>
      <w:r w:rsidR="00EF3949">
        <w:t>G</w:t>
      </w:r>
      <w:r w:rsidR="00CC7CFA">
        <w:t xml:space="preserve">abinete, </w:t>
      </w:r>
      <w:r w:rsidR="00EF3949">
        <w:t>A</w:t>
      </w:r>
      <w:r w:rsidR="00CC7CFA">
        <w:t>ssessor-</w:t>
      </w:r>
      <w:r w:rsidR="00EF3949">
        <w:t>C</w:t>
      </w:r>
      <w:r w:rsidR="00CC7CFA">
        <w:t xml:space="preserve">hefe, </w:t>
      </w:r>
      <w:r w:rsidR="00EF3949">
        <w:t>C</w:t>
      </w:r>
      <w:r w:rsidR="00CC7CFA">
        <w:t xml:space="preserve">oordenador, </w:t>
      </w:r>
      <w:r w:rsidR="00EF3949">
        <w:t>C</w:t>
      </w:r>
      <w:r w:rsidR="00A5274A">
        <w:t xml:space="preserve">hefe de </w:t>
      </w:r>
      <w:r w:rsidR="00EF3949">
        <w:t>D</w:t>
      </w:r>
      <w:r w:rsidR="00A5274A">
        <w:t xml:space="preserve">ivisão, </w:t>
      </w:r>
      <w:r w:rsidR="00EF3949">
        <w:t>P</w:t>
      </w:r>
      <w:r w:rsidR="00CC7CFA">
        <w:t xml:space="preserve">residente da Comissão Permanente Disciplina (CMPD) e </w:t>
      </w:r>
      <w:r w:rsidR="00EF3949">
        <w:t>P</w:t>
      </w:r>
      <w:r w:rsidR="00CC7CFA">
        <w:t>regoeiro.</w:t>
      </w:r>
      <w:r w:rsidR="00CD2A09">
        <w:t xml:space="preserve"> </w:t>
      </w:r>
      <w:r w:rsidR="00B914E3">
        <w:t xml:space="preserve">Os demais CJs correspondem a cargos de assessoramento ou de assistente judiciário. </w:t>
      </w:r>
      <w:r w:rsidR="00A722E2">
        <w:t>Já</w:t>
      </w:r>
      <w:r w:rsidR="00CD2A09">
        <w:t xml:space="preserve"> as funções</w:t>
      </w:r>
      <w:r w:rsidR="00B914E3">
        <w:t xml:space="preserve"> comissionadas consideradas </w:t>
      </w:r>
      <w:r w:rsidR="00D2608F">
        <w:t>de</w:t>
      </w:r>
      <w:r w:rsidR="00CD2A09">
        <w:t xml:space="preserve"> gestão e liderança </w:t>
      </w:r>
      <w:r w:rsidR="00D2608F">
        <w:t>restringem-se às</w:t>
      </w:r>
      <w:r w:rsidR="00CD2A09">
        <w:t xml:space="preserve"> de supervisor de seção e chefe de núcleo</w:t>
      </w:r>
      <w:r w:rsidR="00D2608F">
        <w:t xml:space="preserve">, conforme </w:t>
      </w:r>
      <w:r w:rsidR="00A722E2">
        <w:t xml:space="preserve">informações </w:t>
      </w:r>
      <w:r w:rsidR="00B914E3">
        <w:t>disponibilizadas</w:t>
      </w:r>
      <w:r w:rsidR="00D2608F">
        <w:t xml:space="preserve"> pela CIF</w:t>
      </w:r>
      <w:r w:rsidR="00B914E3">
        <w:t>. As</w:t>
      </w:r>
      <w:r w:rsidR="00574BD4">
        <w:t xml:space="preserve"> demais FCs são destinadas a funções de assistente.</w:t>
      </w:r>
    </w:p>
    <w:p w14:paraId="338E6973" w14:textId="33FE3415" w:rsidR="00574BD4" w:rsidRDefault="00340668" w:rsidP="000138EC">
      <w:pPr>
        <w:pStyle w:val="Texto"/>
      </w:pPr>
      <w:r>
        <w:t>Sendo assim, d</w:t>
      </w:r>
      <w:r w:rsidR="0046486D" w:rsidRPr="000C0776">
        <w:t xml:space="preserve">os 2.151 CJs e FCs </w:t>
      </w:r>
      <w:r w:rsidR="00574BD4">
        <w:t>existentes no</w:t>
      </w:r>
      <w:r w:rsidR="0046486D" w:rsidRPr="000C0776">
        <w:t xml:space="preserve"> TST e </w:t>
      </w:r>
      <w:r w:rsidR="00574BD4">
        <w:t xml:space="preserve">no </w:t>
      </w:r>
      <w:r w:rsidR="0046486D" w:rsidRPr="000C0776">
        <w:t xml:space="preserve">CSJT, </w:t>
      </w:r>
      <w:r w:rsidR="0046486D" w:rsidRPr="00076B93">
        <w:rPr>
          <w:b/>
        </w:rPr>
        <w:t>ape</w:t>
      </w:r>
      <w:r w:rsidR="00574BD4" w:rsidRPr="00076B93">
        <w:rPr>
          <w:b/>
        </w:rPr>
        <w:t>nas</w:t>
      </w:r>
      <w:r w:rsidR="0046486D" w:rsidRPr="00076B93">
        <w:rPr>
          <w:b/>
        </w:rPr>
        <w:t xml:space="preserve"> 342 </w:t>
      </w:r>
      <w:r w:rsidR="00377811" w:rsidRPr="00076B93">
        <w:rPr>
          <w:b/>
        </w:rPr>
        <w:t xml:space="preserve">(15,9%) </w:t>
      </w:r>
      <w:r w:rsidR="0046486D" w:rsidRPr="00076B93">
        <w:rPr>
          <w:b/>
        </w:rPr>
        <w:t xml:space="preserve">são </w:t>
      </w:r>
      <w:r w:rsidR="00A722E2" w:rsidRPr="00076B93">
        <w:rPr>
          <w:b/>
        </w:rPr>
        <w:t>reconhecidos como</w:t>
      </w:r>
      <w:r w:rsidR="0046486D" w:rsidRPr="00076B93">
        <w:rPr>
          <w:b/>
        </w:rPr>
        <w:t xml:space="preserve"> </w:t>
      </w:r>
      <w:r w:rsidR="0075595F" w:rsidRPr="00076B93">
        <w:rPr>
          <w:b/>
        </w:rPr>
        <w:t xml:space="preserve">cargos </w:t>
      </w:r>
      <w:r w:rsidR="0046486D" w:rsidRPr="00076B93">
        <w:rPr>
          <w:b/>
        </w:rPr>
        <w:t>de gestão e liderança (307 do TST e 35 do CSJT).</w:t>
      </w:r>
      <w:r w:rsidR="0046486D" w:rsidRPr="000C0776">
        <w:t xml:space="preserve"> </w:t>
      </w:r>
      <w:r w:rsidR="0075595F">
        <w:t>Nenhuma das</w:t>
      </w:r>
      <w:r w:rsidR="0046486D" w:rsidRPr="000C0776">
        <w:t xml:space="preserve"> FCs de níveis 1 a 4 </w:t>
      </w:r>
      <w:r w:rsidR="009B4545">
        <w:t xml:space="preserve">são </w:t>
      </w:r>
      <w:r w:rsidR="0075595F">
        <w:t>designadas para direção, supervisão e chefia;</w:t>
      </w:r>
      <w:r>
        <w:t xml:space="preserve"> e apenas uma parcela</w:t>
      </w:r>
      <w:r w:rsidR="0046486D" w:rsidRPr="000C0776">
        <w:t xml:space="preserve"> das FC-05 e 06, assim como dos CJs de níveis 1 a 3, está </w:t>
      </w:r>
      <w:r w:rsidR="00377811">
        <w:t>vinculada a essas atividades</w:t>
      </w:r>
      <w:r w:rsidR="0046486D" w:rsidRPr="000C0776">
        <w:t xml:space="preserve">. </w:t>
      </w:r>
      <w:r w:rsidR="00377811">
        <w:t>T</w:t>
      </w:r>
      <w:r w:rsidR="0046486D" w:rsidRPr="000C0776">
        <w:t>odos os cargos CJ-04 são</w:t>
      </w:r>
      <w:r w:rsidR="00377811">
        <w:t xml:space="preserve">, por sua vez, </w:t>
      </w:r>
      <w:r w:rsidR="0046486D" w:rsidRPr="000C0776">
        <w:t xml:space="preserve">de gestão e liderança. </w:t>
      </w:r>
    </w:p>
    <w:p w14:paraId="71E47AE8" w14:textId="371D09BB" w:rsidR="00983B93" w:rsidRDefault="00377811" w:rsidP="00C53DBD">
      <w:pPr>
        <w:pStyle w:val="Texto"/>
      </w:pPr>
      <w:r>
        <w:t xml:space="preserve">No que diz respeito </w:t>
      </w:r>
      <w:r w:rsidR="00782EF9">
        <w:t>ao quantitativo</w:t>
      </w:r>
      <w:r w:rsidR="0075595F">
        <w:t xml:space="preserve"> de mulheres </w:t>
      </w:r>
      <w:r w:rsidR="00B914E3">
        <w:t>nesses cargos</w:t>
      </w:r>
      <w:r w:rsidR="00782EF9">
        <w:t>,</w:t>
      </w:r>
      <w:r w:rsidR="00B914E3">
        <w:t xml:space="preserve"> os dados indicam</w:t>
      </w:r>
      <w:r w:rsidR="0075595F">
        <w:t xml:space="preserve"> que </w:t>
      </w:r>
      <w:r w:rsidR="00FD0FAF">
        <w:t>135</w:t>
      </w:r>
      <w:r w:rsidR="0075595F">
        <w:t xml:space="preserve"> </w:t>
      </w:r>
      <w:r w:rsidR="00B914E3">
        <w:t xml:space="preserve">das posições de gestão e liderança do TST/CSJT </w:t>
      </w:r>
      <w:r w:rsidR="00E418F8">
        <w:t>são ocupadas por mulheres</w:t>
      </w:r>
      <w:r w:rsidR="00B914E3">
        <w:t xml:space="preserve">, o que </w:t>
      </w:r>
      <w:r w:rsidR="00E418F8">
        <w:t>representa</w:t>
      </w:r>
      <w:r w:rsidR="0075595F">
        <w:t xml:space="preserve"> 39,5% do tota</w:t>
      </w:r>
      <w:r w:rsidR="00E418F8">
        <w:t>l.</w:t>
      </w:r>
      <w:r w:rsidR="0075595F">
        <w:t xml:space="preserve"> Enquanto isso, os homens ocupam</w:t>
      </w:r>
      <w:r w:rsidR="00FD0FAF">
        <w:t xml:space="preserve"> 207 </w:t>
      </w:r>
      <w:r w:rsidR="0075595F">
        <w:t>cargos</w:t>
      </w:r>
      <w:r w:rsidR="00E418F8">
        <w:t xml:space="preserve"> (</w:t>
      </w:r>
      <w:r w:rsidR="00FD0FAF">
        <w:t>60,5%</w:t>
      </w:r>
      <w:r w:rsidR="00B914E3">
        <w:t xml:space="preserve"> do total</w:t>
      </w:r>
      <w:r w:rsidR="00FD0FAF">
        <w:t>). O Gr</w:t>
      </w:r>
      <w:r w:rsidR="00F74817">
        <w:t xml:space="preserve">áfico </w:t>
      </w:r>
      <w:r w:rsidR="00234D19">
        <w:t>10</w:t>
      </w:r>
      <w:r w:rsidR="00F74817">
        <w:t xml:space="preserve"> </w:t>
      </w:r>
      <w:r w:rsidR="00E418F8">
        <w:t>apresenta</w:t>
      </w:r>
      <w:r w:rsidR="00782EF9">
        <w:t xml:space="preserve"> </w:t>
      </w:r>
      <w:r w:rsidR="0075595F">
        <w:t xml:space="preserve">a distribuição </w:t>
      </w:r>
      <w:r w:rsidR="00E418F8">
        <w:t xml:space="preserve">percentual </w:t>
      </w:r>
      <w:r w:rsidR="00B914E3">
        <w:t>por gênero dos cargos de gestão e liderança</w:t>
      </w:r>
      <w:r w:rsidR="0075595F">
        <w:t xml:space="preserve"> no TST/CSJT.</w:t>
      </w:r>
      <w:r w:rsidR="00983B93">
        <w:br w:type="page"/>
      </w:r>
    </w:p>
    <w:p w14:paraId="77FDAD55" w14:textId="77777777" w:rsidR="00FD0FAF" w:rsidRDefault="00FD0FAF" w:rsidP="000138EC">
      <w:pPr>
        <w:pStyle w:val="Texto"/>
      </w:pPr>
    </w:p>
    <w:p w14:paraId="7F0B37FA" w14:textId="639264A7" w:rsidR="00133189" w:rsidRDefault="00133189" w:rsidP="00FB5A95">
      <w:pPr>
        <w:pStyle w:val="TtulodaIlustrao"/>
      </w:pPr>
      <w:bookmarkStart w:id="32" w:name="_Toc208508633"/>
      <w:r>
        <w:t xml:space="preserve">Gráfico </w:t>
      </w:r>
      <w:r w:rsidR="00983B93">
        <w:t>10</w:t>
      </w:r>
      <w:r w:rsidRPr="000138EC">
        <w:rPr>
          <w:b w:val="0"/>
        </w:rPr>
        <w:t xml:space="preserve"> - Distribuição dos cargos de gestão e liderança – total consolidado (TST e CSJT) (%)</w:t>
      </w:r>
      <w:bookmarkEnd w:id="32"/>
    </w:p>
    <w:p w14:paraId="6F7421F1" w14:textId="711DE7F3" w:rsidR="00FD0FAF" w:rsidRPr="006D5A72" w:rsidRDefault="000C5E1B" w:rsidP="00617865">
      <w:pPr>
        <w:jc w:val="center"/>
      </w:pPr>
      <w:r>
        <w:rPr>
          <w:noProof/>
        </w:rPr>
        <w:drawing>
          <wp:inline distT="0" distB="0" distL="0" distR="0" wp14:anchorId="23583A95" wp14:editId="609CB4FC">
            <wp:extent cx="4572000" cy="2743200"/>
            <wp:effectExtent l="0" t="0" r="0" b="0"/>
            <wp:docPr id="1622690728" name="Gráfico 16226907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470F4A" w14:textId="77777777" w:rsidR="00FD0FAF" w:rsidRDefault="00FD0FAF" w:rsidP="00617865">
      <w:pPr>
        <w:pStyle w:val="Fonte"/>
        <w:rPr>
          <w:b w:val="0"/>
        </w:rPr>
      </w:pPr>
      <w:r w:rsidRPr="00A739AB">
        <w:t xml:space="preserve">Fonte: </w:t>
      </w:r>
      <w:r w:rsidRPr="00414C63">
        <w:rPr>
          <w:b w:val="0"/>
        </w:rPr>
        <w:t>Dados disponibilizados pelo Sistema de Recursos Humanos do TST (abril de 2025). Compilação e elaboração: CPJUD/SEPJD/CPJED</w:t>
      </w:r>
      <w:r>
        <w:rPr>
          <w:b w:val="0"/>
        </w:rPr>
        <w:t>.</w:t>
      </w:r>
    </w:p>
    <w:p w14:paraId="50AF315F" w14:textId="77777777" w:rsidR="00FD0FAF" w:rsidRDefault="00FD0FAF" w:rsidP="000138EC">
      <w:pPr>
        <w:pStyle w:val="Texto"/>
      </w:pPr>
    </w:p>
    <w:p w14:paraId="2F808042" w14:textId="031E1B10" w:rsidR="00596E80" w:rsidRDefault="00782EF9" w:rsidP="000138EC">
      <w:pPr>
        <w:pStyle w:val="Texto"/>
      </w:pPr>
      <w:r>
        <w:t xml:space="preserve">Ao </w:t>
      </w:r>
      <w:r w:rsidR="00B914E3">
        <w:t>separar os dados do TST e do CSJT</w:t>
      </w:r>
      <w:r w:rsidR="007C3B2D">
        <w:t xml:space="preserve"> (Gráfico </w:t>
      </w:r>
      <w:r w:rsidR="00234D19">
        <w:t>11</w:t>
      </w:r>
      <w:r w:rsidR="007C3B2D">
        <w:t>)</w:t>
      </w:r>
      <w:r w:rsidR="00FD0FAF" w:rsidRPr="007C3B2D">
        <w:t>, observa-se que</w:t>
      </w:r>
      <w:r w:rsidR="00B914E3">
        <w:t>,</w:t>
      </w:r>
      <w:r w:rsidR="00FD0FAF" w:rsidRPr="007C3B2D">
        <w:t xml:space="preserve"> no TST</w:t>
      </w:r>
      <w:r w:rsidR="00B914E3">
        <w:t>,</w:t>
      </w:r>
      <w:r w:rsidR="00F74817" w:rsidRPr="007C3B2D">
        <w:t xml:space="preserve"> </w:t>
      </w:r>
      <w:r w:rsidR="00E418F8">
        <w:t xml:space="preserve">as mulheres representam </w:t>
      </w:r>
      <w:r w:rsidR="007C3B2D" w:rsidRPr="007C3B2D">
        <w:t>39,7% (122</w:t>
      </w:r>
      <w:r w:rsidR="00E418F8">
        <w:t xml:space="preserve"> cargos</w:t>
      </w:r>
      <w:r w:rsidR="007C3B2D" w:rsidRPr="007C3B2D">
        <w:t>) dos cargos de gestão e liderança</w:t>
      </w:r>
      <w:r w:rsidR="00B914E3">
        <w:t>, enquanto os homens representam</w:t>
      </w:r>
      <w:r w:rsidR="00E418F8">
        <w:t xml:space="preserve"> </w:t>
      </w:r>
      <w:r w:rsidR="007C3B2D" w:rsidRPr="007C3B2D">
        <w:t>60,3% (185</w:t>
      </w:r>
      <w:r w:rsidR="00E418F8">
        <w:t xml:space="preserve"> cargos</w:t>
      </w:r>
      <w:r w:rsidR="007C3B2D" w:rsidRPr="007C3B2D">
        <w:t>)</w:t>
      </w:r>
      <w:r w:rsidR="00E418F8">
        <w:t>. Já n</w:t>
      </w:r>
      <w:r w:rsidR="007C3B2D" w:rsidRPr="007C3B2D">
        <w:t xml:space="preserve">o CSJT, as mulheres </w:t>
      </w:r>
      <w:r w:rsidR="00E418F8">
        <w:t xml:space="preserve">representam </w:t>
      </w:r>
      <w:r w:rsidR="007C3B2D" w:rsidRPr="007C3B2D">
        <w:t>37,1% (13</w:t>
      </w:r>
      <w:r w:rsidR="00E418F8">
        <w:t xml:space="preserve"> cargos</w:t>
      </w:r>
      <w:r w:rsidR="007C3B2D" w:rsidRPr="007C3B2D">
        <w:t xml:space="preserve">) </w:t>
      </w:r>
      <w:r w:rsidR="0005410E">
        <w:t xml:space="preserve">e </w:t>
      </w:r>
      <w:r w:rsidR="007C3B2D" w:rsidRPr="007C3B2D">
        <w:t>os homens</w:t>
      </w:r>
      <w:r w:rsidR="0005410E">
        <w:t>,</w:t>
      </w:r>
      <w:r w:rsidR="007C3B2D" w:rsidRPr="007C3B2D">
        <w:t xml:space="preserve"> 62,9% (22</w:t>
      </w:r>
      <w:r w:rsidR="00E418F8">
        <w:t xml:space="preserve"> cargos</w:t>
      </w:r>
      <w:r w:rsidR="007C3B2D" w:rsidRPr="007C3B2D">
        <w:t>).</w:t>
      </w:r>
    </w:p>
    <w:p w14:paraId="7E08AC8D" w14:textId="77777777" w:rsidR="000138EC" w:rsidRDefault="000138EC" w:rsidP="000138EC">
      <w:pPr>
        <w:pStyle w:val="Texto"/>
      </w:pPr>
    </w:p>
    <w:p w14:paraId="2EB56BA3" w14:textId="76D81B75" w:rsidR="000138EC" w:rsidRDefault="000138EC">
      <w:pPr>
        <w:rPr>
          <w:rFonts w:asciiTheme="minorHAnsi" w:hAnsiTheme="minorHAnsi" w:cstheme="minorHAnsi"/>
          <w:noProof/>
        </w:rPr>
      </w:pPr>
      <w:r>
        <w:br w:type="page"/>
      </w:r>
    </w:p>
    <w:p w14:paraId="29452C88" w14:textId="53026DBB" w:rsidR="00133189" w:rsidRDefault="00133189" w:rsidP="00FB5A95">
      <w:pPr>
        <w:pStyle w:val="TtulodaIlustrao"/>
      </w:pPr>
      <w:bookmarkStart w:id="33" w:name="_Toc208508634"/>
      <w:r>
        <w:lastRenderedPageBreak/>
        <w:t xml:space="preserve">Gráfico </w:t>
      </w:r>
      <w:r w:rsidR="00983B93">
        <w:t>11</w:t>
      </w:r>
      <w:r w:rsidRPr="000138EC">
        <w:rPr>
          <w:b w:val="0"/>
        </w:rPr>
        <w:t xml:space="preserve"> - Participação por gênero nos cargos de gestão e liderança – comparativo entre TST e CSJT (%)</w:t>
      </w:r>
      <w:bookmarkEnd w:id="33"/>
    </w:p>
    <w:p w14:paraId="7AF236B5" w14:textId="4328BB79" w:rsidR="0046486D" w:rsidRDefault="001471CF" w:rsidP="007C3B2D">
      <w:pPr>
        <w:spacing w:line="360" w:lineRule="auto"/>
        <w:jc w:val="center"/>
      </w:pPr>
      <w:r>
        <w:rPr>
          <w:noProof/>
        </w:rPr>
        <w:drawing>
          <wp:inline distT="0" distB="0" distL="0" distR="0" wp14:anchorId="0CACD8D1" wp14:editId="37C109EF">
            <wp:extent cx="4572000" cy="2743200"/>
            <wp:effectExtent l="0" t="0" r="0" b="0"/>
            <wp:docPr id="1622690726" name="Gráfico 16226907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6D7B5A" w14:textId="24D09C11" w:rsidR="00414C63" w:rsidRPr="007C3B2D" w:rsidRDefault="0046486D" w:rsidP="007C3B2D">
      <w:pPr>
        <w:pStyle w:val="Fonte"/>
      </w:pPr>
      <w:r w:rsidRPr="00A739AB">
        <w:t xml:space="preserve">Fonte: </w:t>
      </w:r>
      <w:r w:rsidRPr="00414C63">
        <w:rPr>
          <w:b w:val="0"/>
        </w:rPr>
        <w:t xml:space="preserve">Dados disponibilizados pelo Sistema de Recursos Humanos do TST (abril de 2025). Compilação </w:t>
      </w:r>
      <w:r w:rsidR="00414C63" w:rsidRPr="00414C63">
        <w:rPr>
          <w:b w:val="0"/>
        </w:rPr>
        <w:t>e elaboração: CPJUD/SEPJD/CPJED</w:t>
      </w:r>
      <w:r w:rsidR="005271C1">
        <w:rPr>
          <w:b w:val="0"/>
        </w:rPr>
        <w:t>.</w:t>
      </w:r>
    </w:p>
    <w:p w14:paraId="7B41D58A" w14:textId="77777777" w:rsidR="000C0776" w:rsidRPr="000C0776" w:rsidRDefault="000C0776" w:rsidP="000138EC">
      <w:pPr>
        <w:pStyle w:val="Texto"/>
      </w:pPr>
      <w:bookmarkStart w:id="34" w:name="_iy59e1fjjb5w" w:colFirst="0" w:colLast="0"/>
      <w:bookmarkEnd w:id="34"/>
    </w:p>
    <w:p w14:paraId="7D8124E8" w14:textId="7A789B38" w:rsidR="00335EE4" w:rsidRDefault="00335EE4" w:rsidP="000138EC">
      <w:pPr>
        <w:pStyle w:val="Texto"/>
      </w:pPr>
      <w:r>
        <w:t>A análise da série histórica referente ao período de 2020 a 2024 revela uma tendência de crescimento na participação feminina no TST e no CSJT, que atingiu seu ápice em 2023, seguida, contudo, por uma discreta retração no ano subsequente (Gráfico 12). Adverte-se, todavia, que, por se tratarem de variações de pequena magnitude, sua correta interpretação demandaria investigação e análise contextualizadas, sem desprezar eventuais sazonalidades e também eventual influência de fatores de índole tanto conjuntural quanto estrutural.</w:t>
      </w:r>
    </w:p>
    <w:p w14:paraId="339E6D07" w14:textId="77777777" w:rsidR="00335EE4" w:rsidRDefault="00335EE4" w:rsidP="000138EC">
      <w:pPr>
        <w:pStyle w:val="Texto"/>
      </w:pPr>
    </w:p>
    <w:p w14:paraId="17700F55" w14:textId="35E17E28" w:rsidR="00133189" w:rsidRDefault="00133189" w:rsidP="00FB5A95">
      <w:pPr>
        <w:pStyle w:val="TtulodaIlustrao"/>
      </w:pPr>
      <w:bookmarkStart w:id="35" w:name="_Toc208508635"/>
      <w:r>
        <w:t xml:space="preserve">Gráfico </w:t>
      </w:r>
      <w:r w:rsidR="00983B93">
        <w:t>12</w:t>
      </w:r>
      <w:r w:rsidRPr="000138EC">
        <w:rPr>
          <w:b w:val="0"/>
        </w:rPr>
        <w:t xml:space="preserve"> - Série histórica da participação feminina em cargos de gestão e liderança do TST e do CSJT (%)</w:t>
      </w:r>
      <w:bookmarkEnd w:id="35"/>
    </w:p>
    <w:p w14:paraId="514E5E1B" w14:textId="77777777" w:rsidR="0046486D" w:rsidRPr="006D5A72" w:rsidRDefault="0046486D" w:rsidP="00617865">
      <w:pPr>
        <w:jc w:val="center"/>
      </w:pPr>
      <w:r w:rsidRPr="006D5A72">
        <w:rPr>
          <w:noProof/>
        </w:rPr>
        <w:drawing>
          <wp:inline distT="114300" distB="114300" distL="114300" distR="114300" wp14:anchorId="17466F1A" wp14:editId="40924817">
            <wp:extent cx="4498848" cy="2816352"/>
            <wp:effectExtent l="0" t="0" r="0" b="3175"/>
            <wp:docPr id="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rotWithShape="1">
                    <a:blip r:embed="rId29"/>
                    <a:srcRect l="796" t="1196" r="1274" b="2134"/>
                    <a:stretch/>
                  </pic:blipFill>
                  <pic:spPr bwMode="auto">
                    <a:xfrm>
                      <a:off x="0" y="0"/>
                      <a:ext cx="4499389" cy="2816691"/>
                    </a:xfrm>
                    <a:prstGeom prst="rect">
                      <a:avLst/>
                    </a:prstGeom>
                    <a:ln>
                      <a:noFill/>
                    </a:ln>
                    <a:extLst>
                      <a:ext uri="{53640926-AAD7-44D8-BBD7-CCE9431645EC}">
                        <a14:shadowObscured xmlns:a14="http://schemas.microsoft.com/office/drawing/2010/main"/>
                      </a:ext>
                    </a:extLst>
                  </pic:spPr>
                </pic:pic>
              </a:graphicData>
            </a:graphic>
          </wp:inline>
        </w:drawing>
      </w:r>
    </w:p>
    <w:p w14:paraId="1D68FDF6" w14:textId="1AD0EABD" w:rsidR="00E136DD" w:rsidRDefault="0046486D" w:rsidP="00617865">
      <w:pPr>
        <w:pStyle w:val="Fonte"/>
        <w:rPr>
          <w:b w:val="0"/>
        </w:rPr>
      </w:pPr>
      <w:r w:rsidRPr="00A739AB">
        <w:lastRenderedPageBreak/>
        <w:t xml:space="preserve">Fonte: </w:t>
      </w:r>
      <w:r w:rsidRPr="00414C63">
        <w:rPr>
          <w:b w:val="0"/>
        </w:rPr>
        <w:t>Dados disponibilizados pelo Sistema de Recursos Humanos do TST (abril de 2025). Compilação e elaboração: CPJUD/SEPJD/CPJED</w:t>
      </w:r>
      <w:r w:rsidR="005271C1">
        <w:rPr>
          <w:b w:val="0"/>
        </w:rPr>
        <w:t>.</w:t>
      </w:r>
    </w:p>
    <w:p w14:paraId="57113919" w14:textId="77777777" w:rsidR="00596E80" w:rsidRPr="00596E80" w:rsidRDefault="00596E80" w:rsidP="000138EC">
      <w:pPr>
        <w:pStyle w:val="Texto"/>
      </w:pPr>
    </w:p>
    <w:p w14:paraId="47C5D37C" w14:textId="19303F67" w:rsidR="00596E80" w:rsidRDefault="0046486D" w:rsidP="000138EC">
      <w:pPr>
        <w:pStyle w:val="Texto"/>
      </w:pPr>
      <w:r w:rsidRPr="000C0776">
        <w:t xml:space="preserve">No que concerne ao perfil racial das </w:t>
      </w:r>
      <w:r w:rsidR="00B53BD9">
        <w:t xml:space="preserve">135 </w:t>
      </w:r>
      <w:r w:rsidRPr="000C0776">
        <w:t xml:space="preserve">mulheres que ocupam cargos de gestão e liderança </w:t>
      </w:r>
      <w:r w:rsidR="0098483F">
        <w:t>no TST/CSJT</w:t>
      </w:r>
      <w:r w:rsidRPr="000C0776">
        <w:t>, observa-se que a maioria (72,6%) se declara branca</w:t>
      </w:r>
      <w:r w:rsidR="008A0282">
        <w:t xml:space="preserve">. </w:t>
      </w:r>
      <w:r w:rsidRPr="000C0776">
        <w:t>Já as pardas representam</w:t>
      </w:r>
      <w:r>
        <w:t xml:space="preserve"> 24,4%,</w:t>
      </w:r>
      <w:r w:rsidR="008A0282">
        <w:t xml:space="preserve"> </w:t>
      </w:r>
      <w:r>
        <w:t>enquanto as mulheres pretas</w:t>
      </w:r>
      <w:r w:rsidR="008A0282">
        <w:t xml:space="preserve"> </w:t>
      </w:r>
      <w:r>
        <w:t>e amarelas</w:t>
      </w:r>
      <w:r w:rsidR="008A0282">
        <w:t xml:space="preserve"> </w:t>
      </w:r>
      <w:r>
        <w:t>representam 1,5% cada. Entre os homens</w:t>
      </w:r>
      <w:r w:rsidR="00B53BD9">
        <w:t xml:space="preserve"> (207 servidores)</w:t>
      </w:r>
      <w:r>
        <w:t>, o percentual de pardos e pretos nesses cargos é maior, 32,9% e 3,4%, respectivamente</w:t>
      </w:r>
      <w:r w:rsidR="00234D19">
        <w:t xml:space="preserve"> (Gráfico 13</w:t>
      </w:r>
      <w:r w:rsidR="00133189">
        <w:t>)</w:t>
      </w:r>
      <w:r>
        <w:t xml:space="preserve">. </w:t>
      </w:r>
    </w:p>
    <w:p w14:paraId="726EE1C6" w14:textId="77777777" w:rsidR="00596E80" w:rsidRDefault="00596E80" w:rsidP="000138EC">
      <w:pPr>
        <w:pStyle w:val="Texto"/>
      </w:pPr>
    </w:p>
    <w:p w14:paraId="552EA589" w14:textId="4AE26C91" w:rsidR="00133189" w:rsidRDefault="00133189" w:rsidP="00FB5A95">
      <w:pPr>
        <w:pStyle w:val="TtulodaIlustrao"/>
      </w:pPr>
      <w:bookmarkStart w:id="36" w:name="_pi8msgntp2vh" w:colFirst="0" w:colLast="0"/>
      <w:bookmarkStart w:id="37" w:name="_Toc208508636"/>
      <w:bookmarkEnd w:id="36"/>
      <w:r>
        <w:t xml:space="preserve">Gráfico </w:t>
      </w:r>
      <w:r w:rsidR="00983B93">
        <w:t>13</w:t>
      </w:r>
      <w:r w:rsidRPr="000138EC">
        <w:rPr>
          <w:b w:val="0"/>
        </w:rPr>
        <w:t xml:space="preserve"> - Distribuição racial/étnica dos cargos de gestão e liderança do TST/CSJT, por gênero (%)</w:t>
      </w:r>
      <w:bookmarkEnd w:id="37"/>
    </w:p>
    <w:p w14:paraId="22C2E7EB" w14:textId="77777777" w:rsidR="0046486D" w:rsidRDefault="0046486D" w:rsidP="00EE295F">
      <w:pPr>
        <w:jc w:val="center"/>
      </w:pPr>
      <w:r>
        <w:rPr>
          <w:noProof/>
        </w:rPr>
        <w:drawing>
          <wp:inline distT="114300" distB="114300" distL="114300" distR="114300" wp14:anchorId="002F7594" wp14:editId="692CBBAE">
            <wp:extent cx="4718304" cy="2566904"/>
            <wp:effectExtent l="0" t="0" r="6350" b="5080"/>
            <wp:docPr id="6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rotWithShape="1">
                    <a:blip r:embed="rId30"/>
                    <a:srcRect l="764" t="1647" r="764" b="1923"/>
                    <a:stretch/>
                  </pic:blipFill>
                  <pic:spPr bwMode="auto">
                    <a:xfrm>
                      <a:off x="0" y="0"/>
                      <a:ext cx="4728151" cy="2572261"/>
                    </a:xfrm>
                    <a:prstGeom prst="rect">
                      <a:avLst/>
                    </a:prstGeom>
                    <a:ln>
                      <a:noFill/>
                    </a:ln>
                    <a:extLst>
                      <a:ext uri="{53640926-AAD7-44D8-BBD7-CCE9431645EC}">
                        <a14:shadowObscured xmlns:a14="http://schemas.microsoft.com/office/drawing/2010/main"/>
                      </a:ext>
                    </a:extLst>
                  </pic:spPr>
                </pic:pic>
              </a:graphicData>
            </a:graphic>
          </wp:inline>
        </w:drawing>
      </w:r>
    </w:p>
    <w:p w14:paraId="236D5A47" w14:textId="45B2B3FF" w:rsidR="0046486D" w:rsidRPr="000C0776" w:rsidRDefault="0046486D" w:rsidP="00777082">
      <w:pPr>
        <w:pStyle w:val="Fonte"/>
      </w:pPr>
      <w:r w:rsidRPr="00A739AB">
        <w:t xml:space="preserve">Fonte: </w:t>
      </w:r>
      <w:r w:rsidRPr="000C0776">
        <w:rPr>
          <w:b w:val="0"/>
        </w:rPr>
        <w:t>Dados disponibilizados pelo Sistema de Recursos Humanos do TST (abril de 2025). Compilação e elaboração: CPJUD/SEPJD/CPJED</w:t>
      </w:r>
      <w:r w:rsidR="005271C1">
        <w:rPr>
          <w:b w:val="0"/>
        </w:rPr>
        <w:t>.</w:t>
      </w:r>
    </w:p>
    <w:p w14:paraId="7C583173" w14:textId="77777777" w:rsidR="000C0776" w:rsidRDefault="000C0776" w:rsidP="00286131">
      <w:pPr>
        <w:pStyle w:val="Texto"/>
      </w:pPr>
    </w:p>
    <w:p w14:paraId="48F01EA6" w14:textId="4A71F565" w:rsidR="00C37349" w:rsidRPr="008A0282" w:rsidRDefault="008A0282" w:rsidP="00286131">
      <w:pPr>
        <w:pStyle w:val="Texto"/>
      </w:pPr>
      <w:r w:rsidRPr="008A0282">
        <w:t>De acordo com dados de junho de 2025 do “Painel de Dados de Pessoal do P</w:t>
      </w:r>
      <w:r w:rsidR="0075172E">
        <w:t xml:space="preserve">oder Judiciário” </w:t>
      </w:r>
      <w:r w:rsidRPr="008A0282">
        <w:t>do CNJ</w:t>
      </w:r>
      <w:r w:rsidR="0075172E">
        <w:rPr>
          <w:rStyle w:val="Refdenotaderodap"/>
        </w:rPr>
        <w:footnoteReference w:id="33"/>
      </w:r>
      <w:r w:rsidRPr="008A0282">
        <w:t xml:space="preserve">, a composição racial no TST/CSJT é a seguinte: entre as mulheres, 69,6% se declaram brancas, 25,6% pardas, 3,9% pretas e 0,8% amarelas; entre os homens, 63,3% se declaram brancos, 31,2% pardos, 4% pretos e 1,3% amarelos. Dessa forma, a representação das mulheres pardas que estão em cargos de gestão e liderança é próxima da proporção geral no TST/CSJT. Todavia, as mulheres pretas </w:t>
      </w:r>
      <w:r w:rsidR="0075172E">
        <w:t xml:space="preserve">ainda se </w:t>
      </w:r>
      <w:r w:rsidRPr="008A0282">
        <w:t>encontram sub-representadas nessas posições.</w:t>
      </w:r>
    </w:p>
    <w:p w14:paraId="6DA5CF10" w14:textId="00D8919C" w:rsidR="00961CAE" w:rsidRDefault="0085285B" w:rsidP="00286131">
      <w:pPr>
        <w:pStyle w:val="Texto"/>
      </w:pPr>
      <w:r>
        <w:t>Nas próximas duas subseções</w:t>
      </w:r>
      <w:r w:rsidR="0046486D">
        <w:t>, apresentam-se os dados desagregado</w:t>
      </w:r>
      <w:r w:rsidR="00961CAE">
        <w:t>s</w:t>
      </w:r>
      <w:r w:rsidR="0046486D">
        <w:t xml:space="preserve"> por gênero, </w:t>
      </w:r>
      <w:r w:rsidR="00961CAE">
        <w:t xml:space="preserve">distribuídos </w:t>
      </w:r>
      <w:r w:rsidR="0046486D">
        <w:t>conforme os níveis hierárquicos dos cargos de gestão e liderança do TST</w:t>
      </w:r>
      <w:r>
        <w:t xml:space="preserve"> e do CSJT</w:t>
      </w:r>
      <w:r w:rsidR="0046486D">
        <w:t>.</w:t>
      </w:r>
    </w:p>
    <w:p w14:paraId="22E88AEA" w14:textId="77777777" w:rsidR="00D02438" w:rsidRPr="00961CAE" w:rsidRDefault="00D02438" w:rsidP="00286131">
      <w:pPr>
        <w:pStyle w:val="Texto"/>
      </w:pPr>
    </w:p>
    <w:p w14:paraId="1C1CED2A" w14:textId="334575D5" w:rsidR="006D5A72" w:rsidRDefault="006D5A72" w:rsidP="00286131">
      <w:pPr>
        <w:ind w:firstLine="851"/>
        <w:rPr>
          <w:rFonts w:asciiTheme="minorHAnsi" w:hAnsiTheme="minorHAnsi" w:cstheme="minorHAnsi"/>
          <w:noProof/>
        </w:rPr>
      </w:pPr>
    </w:p>
    <w:p w14:paraId="4A421612" w14:textId="573D19D4" w:rsidR="00E136DD" w:rsidRPr="006D5A72" w:rsidRDefault="000C0776" w:rsidP="001C6456">
      <w:pPr>
        <w:pStyle w:val="Ttulo4"/>
      </w:pPr>
      <w:r w:rsidRPr="006D5A72">
        <w:t xml:space="preserve">Distribuição por gênero </w:t>
      </w:r>
      <w:r w:rsidR="00961CAE">
        <w:t xml:space="preserve">e por nível hierárquico </w:t>
      </w:r>
      <w:r w:rsidRPr="006D5A72">
        <w:t>dos cargos de gestão e liderança do TST</w:t>
      </w:r>
    </w:p>
    <w:p w14:paraId="090D5881" w14:textId="77777777" w:rsidR="00C53DBD" w:rsidRDefault="00C53DBD" w:rsidP="00286131">
      <w:pPr>
        <w:pStyle w:val="Texto"/>
      </w:pPr>
    </w:p>
    <w:p w14:paraId="63B7EA7A" w14:textId="1D43C253" w:rsidR="00834A56" w:rsidRDefault="0075172E" w:rsidP="00286131">
      <w:pPr>
        <w:pStyle w:val="Texto"/>
      </w:pPr>
      <w:r>
        <w:t xml:space="preserve">Conforme </w:t>
      </w:r>
      <w:r w:rsidR="00214F07">
        <w:t>mencionado</w:t>
      </w:r>
      <w:r>
        <w:t xml:space="preserve"> anteriormente, </w:t>
      </w:r>
      <w:r w:rsidR="00E136DD">
        <w:t xml:space="preserve">o TST possui 307 cargos de gestão e liderança. A análise </w:t>
      </w:r>
      <w:r w:rsidR="00214F07">
        <w:t xml:space="preserve">detalhada desses dados, </w:t>
      </w:r>
      <w:r>
        <w:t>segregad</w:t>
      </w:r>
      <w:r w:rsidR="00214F07">
        <w:t xml:space="preserve">os </w:t>
      </w:r>
      <w:r>
        <w:t>por cargo em comissão e função comissionada</w:t>
      </w:r>
      <w:r w:rsidR="00214F07">
        <w:t>,</w:t>
      </w:r>
      <w:r w:rsidR="00E136DD">
        <w:t xml:space="preserve"> demonstra variações significat</w:t>
      </w:r>
      <w:r w:rsidR="00B53BD9">
        <w:t>ivas na distribuição por gênero.</w:t>
      </w:r>
    </w:p>
    <w:p w14:paraId="0B226030" w14:textId="05385E04" w:rsidR="00F928AF" w:rsidRDefault="00B53BD9" w:rsidP="00286131">
      <w:pPr>
        <w:pStyle w:val="Texto"/>
      </w:pPr>
      <w:r>
        <w:t>Os dados da Tabela 4</w:t>
      </w:r>
      <w:r w:rsidR="00214F07">
        <w:t xml:space="preserve"> </w:t>
      </w:r>
      <w:r w:rsidR="00F928AF">
        <w:t>de</w:t>
      </w:r>
      <w:r w:rsidR="00214F07">
        <w:t xml:space="preserve">mostram que </w:t>
      </w:r>
      <w:r w:rsidR="00F928AF">
        <w:t>n</w:t>
      </w:r>
      <w:r w:rsidR="00214F07">
        <w:t xml:space="preserve">os cargos de maior hierarquia do TST (CJ-03 e CJ-04) </w:t>
      </w:r>
      <w:r w:rsidR="00F928AF">
        <w:t>há paridade de gênero. A proporção de homens e mulheres ocupando os quatro cargos CJ-04 e os 58 cargos CJ-03</w:t>
      </w:r>
      <w:r w:rsidR="00666AD4">
        <w:t xml:space="preserve"> de gestão e liderança</w:t>
      </w:r>
      <w:r w:rsidR="00F928AF">
        <w:t xml:space="preserve"> é de 50% cada.</w:t>
      </w:r>
    </w:p>
    <w:p w14:paraId="408A4FB6" w14:textId="7AFD36EA" w:rsidR="00214F07" w:rsidRDefault="00214F07" w:rsidP="00286131">
      <w:pPr>
        <w:pStyle w:val="Texto"/>
      </w:pPr>
      <w:r>
        <w:t xml:space="preserve">Nos </w:t>
      </w:r>
      <w:r w:rsidR="00666AD4">
        <w:t xml:space="preserve">nível </w:t>
      </w:r>
      <w:r w:rsidR="00F928AF">
        <w:t>CJ-02,</w:t>
      </w:r>
      <w:r w:rsidR="00666AD4">
        <w:t xml:space="preserve"> dos 37 cargos de gestão e liderança,</w:t>
      </w:r>
      <w:r w:rsidR="00F928AF">
        <w:t xml:space="preserve"> 54% (20 cargos</w:t>
      </w:r>
      <w:r>
        <w:t>) são ocupados por h</w:t>
      </w:r>
      <w:r w:rsidR="00F928AF">
        <w:t>omens e 46% (17 cargos</w:t>
      </w:r>
      <w:r w:rsidR="00666AD4">
        <w:t>) por mulheres. Entre os 21</w:t>
      </w:r>
      <w:r>
        <w:t xml:space="preserve"> cargos CJ-01</w:t>
      </w:r>
      <w:r w:rsidR="00666AD4">
        <w:t xml:space="preserve"> que são de direção e chefia</w:t>
      </w:r>
      <w:r>
        <w:t>, a proporcionalidade apresenta o maior desequilíbrio entre os níveis de CJs, dado que a presença masculina é mais que o dobro da feminina: 6 dos 21 cargos (28,6%) são ocupados por mulheres, enquanto os homens ocupam 15 (71,4%).</w:t>
      </w:r>
    </w:p>
    <w:p w14:paraId="7DC853E8" w14:textId="1D910FA4" w:rsidR="00857E93" w:rsidRDefault="00857E93" w:rsidP="00286131">
      <w:pPr>
        <w:pStyle w:val="Texto"/>
      </w:pPr>
      <w:r>
        <w:t>No que se refere</w:t>
      </w:r>
      <w:r w:rsidR="00480F62">
        <w:t xml:space="preserve"> às funções comissionadas de gestã</w:t>
      </w:r>
      <w:r w:rsidR="00666AD4">
        <w:t>o e liderança do TST, a Tabela 4</w:t>
      </w:r>
      <w:r w:rsidR="00480F62">
        <w:t xml:space="preserve"> revela que </w:t>
      </w:r>
      <w:r>
        <w:t xml:space="preserve">90 </w:t>
      </w:r>
      <w:r w:rsidR="00480F62">
        <w:t>das FCs-05 (supervisores de seção)</w:t>
      </w:r>
      <w:r>
        <w:t xml:space="preserve"> são ocupadas por homens e</w:t>
      </w:r>
      <w:r w:rsidR="00480F62">
        <w:t xml:space="preserve"> </w:t>
      </w:r>
      <w:r w:rsidR="00666AD4">
        <w:t>64</w:t>
      </w:r>
      <w:r>
        <w:t xml:space="preserve"> por mulheres</w:t>
      </w:r>
      <w:r w:rsidR="00480F62">
        <w:t>, o que representa 58,4% e 41,6% respectivamente</w:t>
      </w:r>
      <w:r>
        <w:t>. A</w:t>
      </w:r>
      <w:r w:rsidR="00666AD4">
        <w:t xml:space="preserve"> distribuição das 33</w:t>
      </w:r>
      <w:r>
        <w:t xml:space="preserve"> FC</w:t>
      </w:r>
      <w:r w:rsidR="00666AD4">
        <w:t>s</w:t>
      </w:r>
      <w:r>
        <w:t>-06 (chefes de núcleo) apresenta uma desproporcionalidade mais acentuada: 87,9% (29 cargos) são ocupados por homens e 12,1% (4 cargos) por mulheres.</w:t>
      </w:r>
    </w:p>
    <w:p w14:paraId="78D5DA05" w14:textId="4BDCEB0C" w:rsidR="00F005A7" w:rsidRDefault="00F005A7" w:rsidP="00286131">
      <w:pPr>
        <w:pStyle w:val="Texto"/>
      </w:pPr>
    </w:p>
    <w:p w14:paraId="55572084" w14:textId="002BABAE" w:rsidR="003821FF" w:rsidRDefault="003821FF" w:rsidP="00FB5A95">
      <w:pPr>
        <w:pStyle w:val="TtulodaTabela"/>
      </w:pPr>
      <w:bookmarkStart w:id="38" w:name="_Toc208510775"/>
      <w:r>
        <w:t xml:space="preserve">Tabela </w:t>
      </w:r>
      <w:r>
        <w:fldChar w:fldCharType="begin"/>
      </w:r>
      <w:r>
        <w:instrText xml:space="preserve"> SEQ Tabela \* ARABIC </w:instrText>
      </w:r>
      <w:r>
        <w:fldChar w:fldCharType="separate"/>
      </w:r>
      <w:r w:rsidR="00D85D1E">
        <w:t>4</w:t>
      </w:r>
      <w:r>
        <w:fldChar w:fldCharType="end"/>
      </w:r>
      <w:r>
        <w:t xml:space="preserve"> - </w:t>
      </w:r>
      <w:r w:rsidRPr="00311AA4">
        <w:t>Distribuição dos servidores em cargos de gestão e liderança no TST, por gênero</w:t>
      </w:r>
      <w:bookmarkEnd w:id="38"/>
    </w:p>
    <w:tbl>
      <w:tblPr>
        <w:tblW w:w="9000" w:type="dxa"/>
        <w:jc w:val="center"/>
        <w:tblBorders>
          <w:top w:val="single" w:sz="6" w:space="0" w:color="CCCCCC"/>
          <w:bottom w:val="single" w:sz="6" w:space="0" w:color="CCCCCC"/>
          <w:insideH w:val="single" w:sz="6" w:space="0" w:color="CCCCCC"/>
          <w:insideV w:val="single" w:sz="6" w:space="0" w:color="CCCCCC"/>
        </w:tblBorders>
        <w:tblLayout w:type="fixed"/>
        <w:tblLook w:val="0600" w:firstRow="0" w:lastRow="0" w:firstColumn="0" w:lastColumn="0" w:noHBand="1" w:noVBand="1"/>
      </w:tblPr>
      <w:tblGrid>
        <w:gridCol w:w="1860"/>
        <w:gridCol w:w="1065"/>
        <w:gridCol w:w="1215"/>
        <w:gridCol w:w="1215"/>
        <w:gridCol w:w="1215"/>
        <w:gridCol w:w="1215"/>
        <w:gridCol w:w="1215"/>
      </w:tblGrid>
      <w:tr w:rsidR="00E136DD" w:rsidRPr="00E136DD" w14:paraId="6AEA7D3C" w14:textId="77777777" w:rsidTr="001C6456">
        <w:trPr>
          <w:trHeight w:val="345"/>
          <w:jc w:val="center"/>
        </w:trPr>
        <w:tc>
          <w:tcPr>
            <w:tcW w:w="1860" w:type="dxa"/>
            <w:shd w:val="clear" w:color="auto" w:fill="B7B7B7"/>
            <w:tcMar>
              <w:top w:w="40" w:type="dxa"/>
              <w:left w:w="40" w:type="dxa"/>
              <w:bottom w:w="40" w:type="dxa"/>
              <w:right w:w="40" w:type="dxa"/>
            </w:tcMar>
            <w:vAlign w:val="center"/>
          </w:tcPr>
          <w:p w14:paraId="71A9EAF7" w14:textId="77777777" w:rsidR="00E136DD" w:rsidRPr="008520F6" w:rsidRDefault="00E136DD" w:rsidP="00286131">
            <w:pPr>
              <w:jc w:val="center"/>
              <w:rPr>
                <w:rFonts w:asciiTheme="minorHAnsi" w:hAnsiTheme="minorHAnsi" w:cstheme="minorHAnsi"/>
                <w:b/>
                <w:bCs/>
                <w:sz w:val="22"/>
                <w:szCs w:val="22"/>
              </w:rPr>
            </w:pPr>
            <w:r w:rsidRPr="008520F6">
              <w:rPr>
                <w:rFonts w:asciiTheme="minorHAnsi" w:hAnsiTheme="minorHAnsi" w:cstheme="minorHAnsi"/>
                <w:b/>
                <w:bCs/>
                <w:sz w:val="22"/>
                <w:szCs w:val="22"/>
              </w:rPr>
              <w:t>Cargos/Funções</w:t>
            </w:r>
          </w:p>
        </w:tc>
        <w:tc>
          <w:tcPr>
            <w:tcW w:w="1065" w:type="dxa"/>
            <w:shd w:val="clear" w:color="auto" w:fill="B7B7B7"/>
            <w:tcMar>
              <w:top w:w="40" w:type="dxa"/>
              <w:left w:w="40" w:type="dxa"/>
              <w:bottom w:w="40" w:type="dxa"/>
              <w:right w:w="40" w:type="dxa"/>
            </w:tcMar>
            <w:vAlign w:val="center"/>
          </w:tcPr>
          <w:p w14:paraId="1EA7FBAC" w14:textId="77777777" w:rsidR="00E136DD" w:rsidRPr="008520F6" w:rsidRDefault="00E136DD" w:rsidP="00286131">
            <w:pPr>
              <w:jc w:val="center"/>
              <w:rPr>
                <w:rFonts w:asciiTheme="minorHAnsi" w:hAnsiTheme="minorHAnsi" w:cstheme="minorHAnsi"/>
                <w:b/>
                <w:bCs/>
                <w:sz w:val="22"/>
                <w:szCs w:val="22"/>
              </w:rPr>
            </w:pPr>
            <w:r w:rsidRPr="008520F6">
              <w:rPr>
                <w:rFonts w:asciiTheme="minorHAnsi" w:hAnsiTheme="minorHAnsi" w:cstheme="minorHAnsi"/>
                <w:b/>
                <w:bCs/>
                <w:sz w:val="22"/>
                <w:szCs w:val="22"/>
              </w:rPr>
              <w:t>Feminino</w:t>
            </w:r>
          </w:p>
        </w:tc>
        <w:tc>
          <w:tcPr>
            <w:tcW w:w="1215" w:type="dxa"/>
            <w:shd w:val="clear" w:color="auto" w:fill="B7B7B7"/>
            <w:tcMar>
              <w:top w:w="40" w:type="dxa"/>
              <w:left w:w="40" w:type="dxa"/>
              <w:bottom w:w="40" w:type="dxa"/>
              <w:right w:w="40" w:type="dxa"/>
            </w:tcMar>
            <w:vAlign w:val="center"/>
          </w:tcPr>
          <w:p w14:paraId="2D6EA55D" w14:textId="77777777" w:rsidR="00E136DD" w:rsidRPr="008520F6" w:rsidRDefault="00E136DD" w:rsidP="00286131">
            <w:pPr>
              <w:jc w:val="center"/>
              <w:rPr>
                <w:rFonts w:asciiTheme="minorHAnsi" w:hAnsiTheme="minorHAnsi" w:cstheme="minorHAnsi"/>
                <w:b/>
                <w:bCs/>
                <w:sz w:val="22"/>
                <w:szCs w:val="22"/>
              </w:rPr>
            </w:pPr>
            <w:r w:rsidRPr="008520F6">
              <w:rPr>
                <w:rFonts w:asciiTheme="minorHAnsi" w:hAnsiTheme="minorHAnsi" w:cstheme="minorHAnsi"/>
                <w:b/>
                <w:bCs/>
                <w:sz w:val="22"/>
                <w:szCs w:val="22"/>
              </w:rPr>
              <w:t>%</w:t>
            </w:r>
          </w:p>
        </w:tc>
        <w:tc>
          <w:tcPr>
            <w:tcW w:w="1215" w:type="dxa"/>
            <w:shd w:val="clear" w:color="auto" w:fill="B7B7B7"/>
            <w:tcMar>
              <w:top w:w="40" w:type="dxa"/>
              <w:left w:w="40" w:type="dxa"/>
              <w:bottom w:w="40" w:type="dxa"/>
              <w:right w:w="40" w:type="dxa"/>
            </w:tcMar>
            <w:vAlign w:val="center"/>
          </w:tcPr>
          <w:p w14:paraId="08CABD40" w14:textId="77777777" w:rsidR="00E136DD" w:rsidRPr="008520F6" w:rsidRDefault="00E136DD" w:rsidP="00286131">
            <w:pPr>
              <w:jc w:val="center"/>
              <w:rPr>
                <w:rFonts w:asciiTheme="minorHAnsi" w:hAnsiTheme="minorHAnsi" w:cstheme="minorHAnsi"/>
                <w:b/>
                <w:bCs/>
                <w:sz w:val="22"/>
                <w:szCs w:val="22"/>
              </w:rPr>
            </w:pPr>
            <w:r w:rsidRPr="008520F6">
              <w:rPr>
                <w:rFonts w:asciiTheme="minorHAnsi" w:hAnsiTheme="minorHAnsi" w:cstheme="minorHAnsi"/>
                <w:b/>
                <w:bCs/>
                <w:sz w:val="22"/>
                <w:szCs w:val="22"/>
              </w:rPr>
              <w:t>Masculino</w:t>
            </w:r>
          </w:p>
        </w:tc>
        <w:tc>
          <w:tcPr>
            <w:tcW w:w="1215" w:type="dxa"/>
            <w:shd w:val="clear" w:color="auto" w:fill="B7B7B7"/>
            <w:tcMar>
              <w:top w:w="40" w:type="dxa"/>
              <w:left w:w="40" w:type="dxa"/>
              <w:bottom w:w="40" w:type="dxa"/>
              <w:right w:w="40" w:type="dxa"/>
            </w:tcMar>
            <w:vAlign w:val="center"/>
          </w:tcPr>
          <w:p w14:paraId="64CAF945" w14:textId="77777777" w:rsidR="00E136DD" w:rsidRPr="008520F6" w:rsidRDefault="00E136DD" w:rsidP="00286131">
            <w:pPr>
              <w:jc w:val="center"/>
              <w:rPr>
                <w:rFonts w:asciiTheme="minorHAnsi" w:hAnsiTheme="minorHAnsi" w:cstheme="minorHAnsi"/>
                <w:b/>
                <w:bCs/>
                <w:sz w:val="22"/>
                <w:szCs w:val="22"/>
              </w:rPr>
            </w:pPr>
            <w:r w:rsidRPr="008520F6">
              <w:rPr>
                <w:rFonts w:asciiTheme="minorHAnsi" w:hAnsiTheme="minorHAnsi" w:cstheme="minorHAnsi"/>
                <w:b/>
                <w:bCs/>
                <w:sz w:val="22"/>
                <w:szCs w:val="22"/>
              </w:rPr>
              <w:t>%</w:t>
            </w:r>
          </w:p>
        </w:tc>
        <w:tc>
          <w:tcPr>
            <w:tcW w:w="1215" w:type="dxa"/>
            <w:shd w:val="clear" w:color="auto" w:fill="B7B7B7"/>
            <w:tcMar>
              <w:top w:w="40" w:type="dxa"/>
              <w:left w:w="40" w:type="dxa"/>
              <w:bottom w:w="40" w:type="dxa"/>
              <w:right w:w="40" w:type="dxa"/>
            </w:tcMar>
            <w:vAlign w:val="center"/>
          </w:tcPr>
          <w:p w14:paraId="59C9AEAC" w14:textId="77777777" w:rsidR="00E136DD" w:rsidRPr="008520F6" w:rsidRDefault="00E136DD" w:rsidP="00286131">
            <w:pPr>
              <w:jc w:val="center"/>
              <w:rPr>
                <w:rFonts w:asciiTheme="minorHAnsi" w:hAnsiTheme="minorHAnsi" w:cstheme="minorHAnsi"/>
                <w:b/>
                <w:bCs/>
                <w:sz w:val="22"/>
                <w:szCs w:val="22"/>
              </w:rPr>
            </w:pPr>
            <w:r w:rsidRPr="008520F6">
              <w:rPr>
                <w:rFonts w:asciiTheme="minorHAnsi" w:hAnsiTheme="minorHAnsi" w:cstheme="minorHAnsi"/>
                <w:b/>
                <w:bCs/>
                <w:sz w:val="22"/>
                <w:szCs w:val="22"/>
              </w:rPr>
              <w:t>Total</w:t>
            </w:r>
          </w:p>
        </w:tc>
        <w:tc>
          <w:tcPr>
            <w:tcW w:w="1215" w:type="dxa"/>
            <w:shd w:val="clear" w:color="auto" w:fill="B7B7B7"/>
            <w:tcMar>
              <w:top w:w="40" w:type="dxa"/>
              <w:left w:w="40" w:type="dxa"/>
              <w:bottom w:w="40" w:type="dxa"/>
              <w:right w:w="40" w:type="dxa"/>
            </w:tcMar>
            <w:vAlign w:val="center"/>
          </w:tcPr>
          <w:p w14:paraId="293ED7D3" w14:textId="77777777" w:rsidR="00E136DD" w:rsidRPr="008520F6" w:rsidRDefault="00E136DD" w:rsidP="00286131">
            <w:pPr>
              <w:jc w:val="center"/>
              <w:rPr>
                <w:rFonts w:asciiTheme="minorHAnsi" w:hAnsiTheme="minorHAnsi" w:cstheme="minorHAnsi"/>
                <w:b/>
                <w:bCs/>
                <w:sz w:val="22"/>
                <w:szCs w:val="22"/>
              </w:rPr>
            </w:pPr>
            <w:r w:rsidRPr="008520F6">
              <w:rPr>
                <w:rFonts w:asciiTheme="minorHAnsi" w:hAnsiTheme="minorHAnsi" w:cstheme="minorHAnsi"/>
                <w:b/>
                <w:bCs/>
                <w:sz w:val="22"/>
                <w:szCs w:val="22"/>
              </w:rPr>
              <w:t>%</w:t>
            </w:r>
          </w:p>
        </w:tc>
      </w:tr>
      <w:tr w:rsidR="00E136DD" w:rsidRPr="00E136DD" w14:paraId="581FFCDD" w14:textId="77777777" w:rsidTr="001C6456">
        <w:trPr>
          <w:trHeight w:val="345"/>
          <w:jc w:val="center"/>
        </w:trPr>
        <w:tc>
          <w:tcPr>
            <w:tcW w:w="1860" w:type="dxa"/>
            <w:shd w:val="clear" w:color="auto" w:fill="FFFFFF"/>
            <w:tcMar>
              <w:top w:w="40" w:type="dxa"/>
              <w:left w:w="40" w:type="dxa"/>
              <w:bottom w:w="40" w:type="dxa"/>
              <w:right w:w="40" w:type="dxa"/>
            </w:tcMar>
            <w:vAlign w:val="center"/>
          </w:tcPr>
          <w:p w14:paraId="40D360DB" w14:textId="77777777" w:rsidR="00E136DD" w:rsidRPr="008520F6" w:rsidRDefault="00E136DD" w:rsidP="00286131">
            <w:pPr>
              <w:jc w:val="center"/>
              <w:rPr>
                <w:rFonts w:asciiTheme="minorHAnsi" w:hAnsiTheme="minorHAnsi" w:cstheme="minorHAnsi"/>
                <w:b/>
                <w:bCs/>
                <w:sz w:val="22"/>
                <w:szCs w:val="22"/>
              </w:rPr>
            </w:pPr>
            <w:r w:rsidRPr="008520F6">
              <w:rPr>
                <w:rFonts w:asciiTheme="minorHAnsi" w:hAnsiTheme="minorHAnsi" w:cstheme="minorHAnsi"/>
                <w:b/>
                <w:bCs/>
                <w:sz w:val="22"/>
                <w:szCs w:val="22"/>
              </w:rPr>
              <w:t>CJ-4</w:t>
            </w:r>
          </w:p>
        </w:tc>
        <w:tc>
          <w:tcPr>
            <w:tcW w:w="1065" w:type="dxa"/>
            <w:shd w:val="clear" w:color="auto" w:fill="FFFFFF"/>
            <w:tcMar>
              <w:top w:w="40" w:type="dxa"/>
              <w:left w:w="40" w:type="dxa"/>
              <w:bottom w:w="40" w:type="dxa"/>
              <w:right w:w="40" w:type="dxa"/>
            </w:tcMar>
            <w:vAlign w:val="center"/>
          </w:tcPr>
          <w:p w14:paraId="0837875B"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2</w:t>
            </w:r>
          </w:p>
        </w:tc>
        <w:tc>
          <w:tcPr>
            <w:tcW w:w="1215" w:type="dxa"/>
            <w:shd w:val="clear" w:color="auto" w:fill="FFFFFF"/>
            <w:tcMar>
              <w:top w:w="40" w:type="dxa"/>
              <w:left w:w="40" w:type="dxa"/>
              <w:bottom w:w="40" w:type="dxa"/>
              <w:right w:w="40" w:type="dxa"/>
            </w:tcMar>
            <w:vAlign w:val="center"/>
          </w:tcPr>
          <w:p w14:paraId="555060B6"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50,0%</w:t>
            </w:r>
          </w:p>
        </w:tc>
        <w:tc>
          <w:tcPr>
            <w:tcW w:w="1215" w:type="dxa"/>
            <w:shd w:val="clear" w:color="auto" w:fill="FFFFFF"/>
            <w:tcMar>
              <w:top w:w="40" w:type="dxa"/>
              <w:left w:w="40" w:type="dxa"/>
              <w:bottom w:w="40" w:type="dxa"/>
              <w:right w:w="40" w:type="dxa"/>
            </w:tcMar>
            <w:vAlign w:val="center"/>
          </w:tcPr>
          <w:p w14:paraId="079AF7DE"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2</w:t>
            </w:r>
          </w:p>
        </w:tc>
        <w:tc>
          <w:tcPr>
            <w:tcW w:w="1215" w:type="dxa"/>
            <w:shd w:val="clear" w:color="auto" w:fill="FFFFFF"/>
            <w:tcMar>
              <w:top w:w="40" w:type="dxa"/>
              <w:left w:w="40" w:type="dxa"/>
              <w:bottom w:w="40" w:type="dxa"/>
              <w:right w:w="40" w:type="dxa"/>
            </w:tcMar>
            <w:vAlign w:val="center"/>
          </w:tcPr>
          <w:p w14:paraId="5F23B9A4"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50,0%</w:t>
            </w:r>
          </w:p>
        </w:tc>
        <w:tc>
          <w:tcPr>
            <w:tcW w:w="1215" w:type="dxa"/>
            <w:shd w:val="clear" w:color="auto" w:fill="FFFFFF"/>
            <w:tcMar>
              <w:top w:w="40" w:type="dxa"/>
              <w:left w:w="40" w:type="dxa"/>
              <w:bottom w:w="40" w:type="dxa"/>
              <w:right w:w="40" w:type="dxa"/>
            </w:tcMar>
            <w:vAlign w:val="center"/>
          </w:tcPr>
          <w:p w14:paraId="7895B90B"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4</w:t>
            </w:r>
          </w:p>
        </w:tc>
        <w:tc>
          <w:tcPr>
            <w:tcW w:w="1215" w:type="dxa"/>
            <w:shd w:val="clear" w:color="auto" w:fill="FFFFFF"/>
            <w:tcMar>
              <w:top w:w="40" w:type="dxa"/>
              <w:left w:w="40" w:type="dxa"/>
              <w:bottom w:w="40" w:type="dxa"/>
              <w:right w:w="40" w:type="dxa"/>
            </w:tcMar>
            <w:vAlign w:val="center"/>
          </w:tcPr>
          <w:p w14:paraId="22E8CD7D"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3,3%</w:t>
            </w:r>
          </w:p>
        </w:tc>
      </w:tr>
      <w:tr w:rsidR="00E136DD" w:rsidRPr="00E136DD" w14:paraId="06497995" w14:textId="77777777" w:rsidTr="001C6456">
        <w:trPr>
          <w:trHeight w:val="345"/>
          <w:jc w:val="center"/>
        </w:trPr>
        <w:tc>
          <w:tcPr>
            <w:tcW w:w="1860" w:type="dxa"/>
            <w:shd w:val="clear" w:color="auto" w:fill="FFFFFF"/>
            <w:tcMar>
              <w:top w:w="40" w:type="dxa"/>
              <w:left w:w="40" w:type="dxa"/>
              <w:bottom w:w="40" w:type="dxa"/>
              <w:right w:w="40" w:type="dxa"/>
            </w:tcMar>
            <w:vAlign w:val="center"/>
          </w:tcPr>
          <w:p w14:paraId="5E349CED" w14:textId="77777777" w:rsidR="00E136DD" w:rsidRPr="008520F6" w:rsidRDefault="00E136DD" w:rsidP="00286131">
            <w:pPr>
              <w:jc w:val="center"/>
              <w:rPr>
                <w:rFonts w:asciiTheme="minorHAnsi" w:hAnsiTheme="minorHAnsi" w:cstheme="minorHAnsi"/>
                <w:b/>
                <w:bCs/>
                <w:sz w:val="22"/>
                <w:szCs w:val="22"/>
              </w:rPr>
            </w:pPr>
            <w:r w:rsidRPr="008520F6">
              <w:rPr>
                <w:rFonts w:asciiTheme="minorHAnsi" w:hAnsiTheme="minorHAnsi" w:cstheme="minorHAnsi"/>
                <w:b/>
                <w:bCs/>
                <w:sz w:val="22"/>
                <w:szCs w:val="22"/>
              </w:rPr>
              <w:t>CJ-3</w:t>
            </w:r>
          </w:p>
        </w:tc>
        <w:tc>
          <w:tcPr>
            <w:tcW w:w="1065" w:type="dxa"/>
            <w:shd w:val="clear" w:color="auto" w:fill="FFFFFF"/>
            <w:tcMar>
              <w:top w:w="40" w:type="dxa"/>
              <w:left w:w="40" w:type="dxa"/>
              <w:bottom w:w="40" w:type="dxa"/>
              <w:right w:w="40" w:type="dxa"/>
            </w:tcMar>
            <w:vAlign w:val="center"/>
          </w:tcPr>
          <w:p w14:paraId="2375067E"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29</w:t>
            </w:r>
          </w:p>
        </w:tc>
        <w:tc>
          <w:tcPr>
            <w:tcW w:w="1215" w:type="dxa"/>
            <w:shd w:val="clear" w:color="auto" w:fill="FFFFFF"/>
            <w:tcMar>
              <w:top w:w="40" w:type="dxa"/>
              <w:left w:w="40" w:type="dxa"/>
              <w:bottom w:w="40" w:type="dxa"/>
              <w:right w:w="40" w:type="dxa"/>
            </w:tcMar>
            <w:vAlign w:val="center"/>
          </w:tcPr>
          <w:p w14:paraId="5B86D3CF"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50,0%</w:t>
            </w:r>
          </w:p>
        </w:tc>
        <w:tc>
          <w:tcPr>
            <w:tcW w:w="1215" w:type="dxa"/>
            <w:shd w:val="clear" w:color="auto" w:fill="FFFFFF"/>
            <w:tcMar>
              <w:top w:w="40" w:type="dxa"/>
              <w:left w:w="40" w:type="dxa"/>
              <w:bottom w:w="40" w:type="dxa"/>
              <w:right w:w="40" w:type="dxa"/>
            </w:tcMar>
            <w:vAlign w:val="center"/>
          </w:tcPr>
          <w:p w14:paraId="5E788357"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29</w:t>
            </w:r>
          </w:p>
        </w:tc>
        <w:tc>
          <w:tcPr>
            <w:tcW w:w="1215" w:type="dxa"/>
            <w:shd w:val="clear" w:color="auto" w:fill="FFFFFF"/>
            <w:tcMar>
              <w:top w:w="40" w:type="dxa"/>
              <w:left w:w="40" w:type="dxa"/>
              <w:bottom w:w="40" w:type="dxa"/>
              <w:right w:w="40" w:type="dxa"/>
            </w:tcMar>
            <w:vAlign w:val="center"/>
          </w:tcPr>
          <w:p w14:paraId="505383F6"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50,0%</w:t>
            </w:r>
          </w:p>
        </w:tc>
        <w:tc>
          <w:tcPr>
            <w:tcW w:w="1215" w:type="dxa"/>
            <w:shd w:val="clear" w:color="auto" w:fill="FFFFFF"/>
            <w:tcMar>
              <w:top w:w="40" w:type="dxa"/>
              <w:left w:w="40" w:type="dxa"/>
              <w:bottom w:w="40" w:type="dxa"/>
              <w:right w:w="40" w:type="dxa"/>
            </w:tcMar>
            <w:vAlign w:val="center"/>
          </w:tcPr>
          <w:p w14:paraId="2EFA48AA"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58</w:t>
            </w:r>
          </w:p>
        </w:tc>
        <w:tc>
          <w:tcPr>
            <w:tcW w:w="1215" w:type="dxa"/>
            <w:shd w:val="clear" w:color="auto" w:fill="FFFFFF"/>
            <w:tcMar>
              <w:top w:w="40" w:type="dxa"/>
              <w:left w:w="40" w:type="dxa"/>
              <w:bottom w:w="40" w:type="dxa"/>
              <w:right w:w="40" w:type="dxa"/>
            </w:tcMar>
            <w:vAlign w:val="center"/>
          </w:tcPr>
          <w:p w14:paraId="52C2627F"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48,3%</w:t>
            </w:r>
          </w:p>
        </w:tc>
      </w:tr>
      <w:tr w:rsidR="00E136DD" w:rsidRPr="00E136DD" w14:paraId="13B6C6E8" w14:textId="77777777" w:rsidTr="001C6456">
        <w:trPr>
          <w:trHeight w:val="345"/>
          <w:jc w:val="center"/>
        </w:trPr>
        <w:tc>
          <w:tcPr>
            <w:tcW w:w="1860" w:type="dxa"/>
            <w:shd w:val="clear" w:color="auto" w:fill="FFFFFF"/>
            <w:tcMar>
              <w:top w:w="40" w:type="dxa"/>
              <w:left w:w="40" w:type="dxa"/>
              <w:bottom w:w="40" w:type="dxa"/>
              <w:right w:w="40" w:type="dxa"/>
            </w:tcMar>
            <w:vAlign w:val="center"/>
          </w:tcPr>
          <w:p w14:paraId="4BC9FBA1" w14:textId="77777777" w:rsidR="00E136DD" w:rsidRPr="008520F6" w:rsidRDefault="00E136DD" w:rsidP="00286131">
            <w:pPr>
              <w:jc w:val="center"/>
              <w:rPr>
                <w:rFonts w:asciiTheme="minorHAnsi" w:hAnsiTheme="minorHAnsi" w:cstheme="minorHAnsi"/>
                <w:b/>
                <w:bCs/>
                <w:sz w:val="22"/>
                <w:szCs w:val="22"/>
              </w:rPr>
            </w:pPr>
            <w:r w:rsidRPr="008520F6">
              <w:rPr>
                <w:rFonts w:asciiTheme="minorHAnsi" w:hAnsiTheme="minorHAnsi" w:cstheme="minorHAnsi"/>
                <w:b/>
                <w:bCs/>
                <w:sz w:val="22"/>
                <w:szCs w:val="22"/>
              </w:rPr>
              <w:t>CJ-2</w:t>
            </w:r>
          </w:p>
        </w:tc>
        <w:tc>
          <w:tcPr>
            <w:tcW w:w="1065" w:type="dxa"/>
            <w:shd w:val="clear" w:color="auto" w:fill="FFFFFF"/>
            <w:tcMar>
              <w:top w:w="40" w:type="dxa"/>
              <w:left w:w="40" w:type="dxa"/>
              <w:bottom w:w="40" w:type="dxa"/>
              <w:right w:w="40" w:type="dxa"/>
            </w:tcMar>
            <w:vAlign w:val="center"/>
          </w:tcPr>
          <w:p w14:paraId="1EC739AA"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17</w:t>
            </w:r>
          </w:p>
        </w:tc>
        <w:tc>
          <w:tcPr>
            <w:tcW w:w="1215" w:type="dxa"/>
            <w:shd w:val="clear" w:color="auto" w:fill="FFFFFF"/>
            <w:tcMar>
              <w:top w:w="40" w:type="dxa"/>
              <w:left w:w="40" w:type="dxa"/>
              <w:bottom w:w="40" w:type="dxa"/>
              <w:right w:w="40" w:type="dxa"/>
            </w:tcMar>
            <w:vAlign w:val="center"/>
          </w:tcPr>
          <w:p w14:paraId="5BFBF0FE"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45,9%</w:t>
            </w:r>
          </w:p>
        </w:tc>
        <w:tc>
          <w:tcPr>
            <w:tcW w:w="1215" w:type="dxa"/>
            <w:shd w:val="clear" w:color="auto" w:fill="FFFFFF"/>
            <w:tcMar>
              <w:top w:w="40" w:type="dxa"/>
              <w:left w:w="40" w:type="dxa"/>
              <w:bottom w:w="40" w:type="dxa"/>
              <w:right w:w="40" w:type="dxa"/>
            </w:tcMar>
            <w:vAlign w:val="center"/>
          </w:tcPr>
          <w:p w14:paraId="6B592FFD"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20</w:t>
            </w:r>
          </w:p>
        </w:tc>
        <w:tc>
          <w:tcPr>
            <w:tcW w:w="1215" w:type="dxa"/>
            <w:shd w:val="clear" w:color="auto" w:fill="FFFFFF"/>
            <w:tcMar>
              <w:top w:w="40" w:type="dxa"/>
              <w:left w:w="40" w:type="dxa"/>
              <w:bottom w:w="40" w:type="dxa"/>
              <w:right w:w="40" w:type="dxa"/>
            </w:tcMar>
            <w:vAlign w:val="center"/>
          </w:tcPr>
          <w:p w14:paraId="5792F671"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54,1%</w:t>
            </w:r>
          </w:p>
        </w:tc>
        <w:tc>
          <w:tcPr>
            <w:tcW w:w="1215" w:type="dxa"/>
            <w:shd w:val="clear" w:color="auto" w:fill="FFFFFF"/>
            <w:tcMar>
              <w:top w:w="40" w:type="dxa"/>
              <w:left w:w="40" w:type="dxa"/>
              <w:bottom w:w="40" w:type="dxa"/>
              <w:right w:w="40" w:type="dxa"/>
            </w:tcMar>
            <w:vAlign w:val="center"/>
          </w:tcPr>
          <w:p w14:paraId="3C053EDE"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37</w:t>
            </w:r>
          </w:p>
        </w:tc>
        <w:tc>
          <w:tcPr>
            <w:tcW w:w="1215" w:type="dxa"/>
            <w:shd w:val="clear" w:color="auto" w:fill="FFFFFF"/>
            <w:tcMar>
              <w:top w:w="40" w:type="dxa"/>
              <w:left w:w="40" w:type="dxa"/>
              <w:bottom w:w="40" w:type="dxa"/>
              <w:right w:w="40" w:type="dxa"/>
            </w:tcMar>
            <w:vAlign w:val="center"/>
          </w:tcPr>
          <w:p w14:paraId="3049A11E"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30,8%</w:t>
            </w:r>
          </w:p>
        </w:tc>
      </w:tr>
      <w:tr w:rsidR="00E136DD" w:rsidRPr="00E136DD" w14:paraId="7239EC51" w14:textId="77777777" w:rsidTr="001C6456">
        <w:trPr>
          <w:trHeight w:val="345"/>
          <w:jc w:val="center"/>
        </w:trPr>
        <w:tc>
          <w:tcPr>
            <w:tcW w:w="1860" w:type="dxa"/>
            <w:shd w:val="clear" w:color="auto" w:fill="FFFFFF"/>
            <w:tcMar>
              <w:top w:w="40" w:type="dxa"/>
              <w:left w:w="40" w:type="dxa"/>
              <w:bottom w:w="40" w:type="dxa"/>
              <w:right w:w="40" w:type="dxa"/>
            </w:tcMar>
            <w:vAlign w:val="center"/>
          </w:tcPr>
          <w:p w14:paraId="65F95EF0" w14:textId="77777777" w:rsidR="00E136DD" w:rsidRPr="008520F6" w:rsidRDefault="00E136DD" w:rsidP="00286131">
            <w:pPr>
              <w:jc w:val="center"/>
              <w:rPr>
                <w:rFonts w:asciiTheme="minorHAnsi" w:hAnsiTheme="minorHAnsi" w:cstheme="minorHAnsi"/>
                <w:b/>
                <w:bCs/>
                <w:sz w:val="22"/>
                <w:szCs w:val="22"/>
              </w:rPr>
            </w:pPr>
            <w:r w:rsidRPr="008520F6">
              <w:rPr>
                <w:rFonts w:asciiTheme="minorHAnsi" w:hAnsiTheme="minorHAnsi" w:cstheme="minorHAnsi"/>
                <w:b/>
                <w:bCs/>
                <w:sz w:val="22"/>
                <w:szCs w:val="22"/>
              </w:rPr>
              <w:t>CJ-1</w:t>
            </w:r>
          </w:p>
        </w:tc>
        <w:tc>
          <w:tcPr>
            <w:tcW w:w="1065" w:type="dxa"/>
            <w:shd w:val="clear" w:color="auto" w:fill="FFFFFF"/>
            <w:tcMar>
              <w:top w:w="40" w:type="dxa"/>
              <w:left w:w="40" w:type="dxa"/>
              <w:bottom w:w="40" w:type="dxa"/>
              <w:right w:w="40" w:type="dxa"/>
            </w:tcMar>
            <w:vAlign w:val="center"/>
          </w:tcPr>
          <w:p w14:paraId="2ABC00EB"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6</w:t>
            </w:r>
          </w:p>
        </w:tc>
        <w:tc>
          <w:tcPr>
            <w:tcW w:w="1215" w:type="dxa"/>
            <w:shd w:val="clear" w:color="auto" w:fill="FFFFFF"/>
            <w:tcMar>
              <w:top w:w="40" w:type="dxa"/>
              <w:left w:w="40" w:type="dxa"/>
              <w:bottom w:w="40" w:type="dxa"/>
              <w:right w:w="40" w:type="dxa"/>
            </w:tcMar>
            <w:vAlign w:val="center"/>
          </w:tcPr>
          <w:p w14:paraId="097C0826"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28,6%</w:t>
            </w:r>
          </w:p>
        </w:tc>
        <w:tc>
          <w:tcPr>
            <w:tcW w:w="1215" w:type="dxa"/>
            <w:shd w:val="clear" w:color="auto" w:fill="FFFFFF"/>
            <w:tcMar>
              <w:top w:w="40" w:type="dxa"/>
              <w:left w:w="40" w:type="dxa"/>
              <w:bottom w:w="40" w:type="dxa"/>
              <w:right w:w="40" w:type="dxa"/>
            </w:tcMar>
            <w:vAlign w:val="center"/>
          </w:tcPr>
          <w:p w14:paraId="765145EF"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15</w:t>
            </w:r>
          </w:p>
        </w:tc>
        <w:tc>
          <w:tcPr>
            <w:tcW w:w="1215" w:type="dxa"/>
            <w:shd w:val="clear" w:color="auto" w:fill="FFFFFF"/>
            <w:tcMar>
              <w:top w:w="40" w:type="dxa"/>
              <w:left w:w="40" w:type="dxa"/>
              <w:bottom w:w="40" w:type="dxa"/>
              <w:right w:w="40" w:type="dxa"/>
            </w:tcMar>
            <w:vAlign w:val="center"/>
          </w:tcPr>
          <w:p w14:paraId="26F4E181"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71,4%</w:t>
            </w:r>
          </w:p>
        </w:tc>
        <w:tc>
          <w:tcPr>
            <w:tcW w:w="1215" w:type="dxa"/>
            <w:shd w:val="clear" w:color="auto" w:fill="FFFFFF"/>
            <w:tcMar>
              <w:top w:w="40" w:type="dxa"/>
              <w:left w:w="40" w:type="dxa"/>
              <w:bottom w:w="40" w:type="dxa"/>
              <w:right w:w="40" w:type="dxa"/>
            </w:tcMar>
            <w:vAlign w:val="center"/>
          </w:tcPr>
          <w:p w14:paraId="1B7BD91F"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21</w:t>
            </w:r>
          </w:p>
        </w:tc>
        <w:tc>
          <w:tcPr>
            <w:tcW w:w="1215" w:type="dxa"/>
            <w:shd w:val="clear" w:color="auto" w:fill="FFFFFF"/>
            <w:tcMar>
              <w:top w:w="40" w:type="dxa"/>
              <w:left w:w="40" w:type="dxa"/>
              <w:bottom w:w="40" w:type="dxa"/>
              <w:right w:w="40" w:type="dxa"/>
            </w:tcMar>
            <w:vAlign w:val="center"/>
          </w:tcPr>
          <w:p w14:paraId="79454A22"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17,5%</w:t>
            </w:r>
          </w:p>
        </w:tc>
      </w:tr>
      <w:tr w:rsidR="00E136DD" w:rsidRPr="00E136DD" w14:paraId="2E790738" w14:textId="77777777" w:rsidTr="001C6456">
        <w:trPr>
          <w:trHeight w:val="345"/>
          <w:jc w:val="center"/>
        </w:trPr>
        <w:tc>
          <w:tcPr>
            <w:tcW w:w="1860" w:type="dxa"/>
            <w:shd w:val="clear" w:color="auto" w:fill="D9D9D9"/>
            <w:tcMar>
              <w:top w:w="40" w:type="dxa"/>
              <w:left w:w="40" w:type="dxa"/>
              <w:bottom w:w="40" w:type="dxa"/>
              <w:right w:w="40" w:type="dxa"/>
            </w:tcMar>
            <w:vAlign w:val="center"/>
          </w:tcPr>
          <w:p w14:paraId="332BC3E8" w14:textId="77777777" w:rsidR="00E136DD" w:rsidRPr="001C6456" w:rsidRDefault="00E136DD" w:rsidP="00286131">
            <w:pPr>
              <w:jc w:val="center"/>
              <w:rPr>
                <w:rFonts w:asciiTheme="minorHAnsi" w:hAnsiTheme="minorHAnsi" w:cstheme="minorHAnsi"/>
                <w:b/>
                <w:bCs/>
                <w:i/>
                <w:sz w:val="22"/>
                <w:szCs w:val="22"/>
              </w:rPr>
            </w:pPr>
            <w:r w:rsidRPr="001C6456">
              <w:rPr>
                <w:rFonts w:asciiTheme="minorHAnsi" w:hAnsiTheme="minorHAnsi" w:cstheme="minorHAnsi"/>
                <w:b/>
                <w:bCs/>
                <w:i/>
                <w:sz w:val="22"/>
                <w:szCs w:val="22"/>
              </w:rPr>
              <w:t>Subtotal CJ'S</w:t>
            </w:r>
          </w:p>
        </w:tc>
        <w:tc>
          <w:tcPr>
            <w:tcW w:w="1065" w:type="dxa"/>
            <w:shd w:val="clear" w:color="auto" w:fill="D9D9D9"/>
            <w:tcMar>
              <w:top w:w="40" w:type="dxa"/>
              <w:left w:w="40" w:type="dxa"/>
              <w:bottom w:w="40" w:type="dxa"/>
              <w:right w:w="40" w:type="dxa"/>
            </w:tcMar>
            <w:vAlign w:val="center"/>
          </w:tcPr>
          <w:p w14:paraId="31076516" w14:textId="77777777" w:rsidR="00E136DD" w:rsidRPr="00286131" w:rsidRDefault="00E136DD" w:rsidP="00286131">
            <w:pPr>
              <w:jc w:val="center"/>
              <w:rPr>
                <w:rFonts w:asciiTheme="minorHAnsi" w:hAnsiTheme="minorHAnsi" w:cstheme="minorHAnsi"/>
                <w:i/>
                <w:sz w:val="22"/>
                <w:szCs w:val="22"/>
              </w:rPr>
            </w:pPr>
            <w:r w:rsidRPr="00286131">
              <w:rPr>
                <w:rFonts w:asciiTheme="minorHAnsi" w:hAnsiTheme="minorHAnsi" w:cstheme="minorHAnsi"/>
                <w:i/>
                <w:sz w:val="22"/>
                <w:szCs w:val="22"/>
              </w:rPr>
              <w:t>54</w:t>
            </w:r>
          </w:p>
        </w:tc>
        <w:tc>
          <w:tcPr>
            <w:tcW w:w="1215" w:type="dxa"/>
            <w:shd w:val="clear" w:color="auto" w:fill="D9D9D9"/>
            <w:tcMar>
              <w:top w:w="40" w:type="dxa"/>
              <w:left w:w="40" w:type="dxa"/>
              <w:bottom w:w="40" w:type="dxa"/>
              <w:right w:w="40" w:type="dxa"/>
            </w:tcMar>
            <w:vAlign w:val="center"/>
          </w:tcPr>
          <w:p w14:paraId="03BDD39D" w14:textId="77777777" w:rsidR="00E136DD" w:rsidRPr="00286131" w:rsidRDefault="00E136DD" w:rsidP="00286131">
            <w:pPr>
              <w:jc w:val="center"/>
              <w:rPr>
                <w:rFonts w:asciiTheme="minorHAnsi" w:hAnsiTheme="minorHAnsi" w:cstheme="minorHAnsi"/>
                <w:i/>
                <w:sz w:val="22"/>
                <w:szCs w:val="22"/>
              </w:rPr>
            </w:pPr>
            <w:r w:rsidRPr="00286131">
              <w:rPr>
                <w:rFonts w:asciiTheme="minorHAnsi" w:hAnsiTheme="minorHAnsi" w:cstheme="minorHAnsi"/>
                <w:i/>
                <w:sz w:val="22"/>
                <w:szCs w:val="22"/>
              </w:rPr>
              <w:t>45,0%</w:t>
            </w:r>
          </w:p>
        </w:tc>
        <w:tc>
          <w:tcPr>
            <w:tcW w:w="1215" w:type="dxa"/>
            <w:shd w:val="clear" w:color="auto" w:fill="D9D9D9"/>
            <w:tcMar>
              <w:top w:w="40" w:type="dxa"/>
              <w:left w:w="40" w:type="dxa"/>
              <w:bottom w:w="40" w:type="dxa"/>
              <w:right w:w="40" w:type="dxa"/>
            </w:tcMar>
            <w:vAlign w:val="center"/>
          </w:tcPr>
          <w:p w14:paraId="246BE09D" w14:textId="77777777" w:rsidR="00E136DD" w:rsidRPr="00286131" w:rsidRDefault="00E136DD" w:rsidP="00286131">
            <w:pPr>
              <w:jc w:val="center"/>
              <w:rPr>
                <w:rFonts w:asciiTheme="minorHAnsi" w:hAnsiTheme="minorHAnsi" w:cstheme="minorHAnsi"/>
                <w:i/>
                <w:sz w:val="22"/>
                <w:szCs w:val="22"/>
              </w:rPr>
            </w:pPr>
            <w:r w:rsidRPr="00286131">
              <w:rPr>
                <w:rFonts w:asciiTheme="minorHAnsi" w:hAnsiTheme="minorHAnsi" w:cstheme="minorHAnsi"/>
                <w:i/>
                <w:sz w:val="22"/>
                <w:szCs w:val="22"/>
              </w:rPr>
              <w:t>66</w:t>
            </w:r>
          </w:p>
        </w:tc>
        <w:tc>
          <w:tcPr>
            <w:tcW w:w="1215" w:type="dxa"/>
            <w:shd w:val="clear" w:color="auto" w:fill="D9D9D9"/>
            <w:tcMar>
              <w:top w:w="40" w:type="dxa"/>
              <w:left w:w="40" w:type="dxa"/>
              <w:bottom w:w="40" w:type="dxa"/>
              <w:right w:w="40" w:type="dxa"/>
            </w:tcMar>
            <w:vAlign w:val="center"/>
          </w:tcPr>
          <w:p w14:paraId="5994B1D0" w14:textId="77777777" w:rsidR="00E136DD" w:rsidRPr="00286131" w:rsidRDefault="00E136DD" w:rsidP="00286131">
            <w:pPr>
              <w:jc w:val="center"/>
              <w:rPr>
                <w:rFonts w:asciiTheme="minorHAnsi" w:hAnsiTheme="minorHAnsi" w:cstheme="minorHAnsi"/>
                <w:i/>
                <w:sz w:val="22"/>
                <w:szCs w:val="22"/>
              </w:rPr>
            </w:pPr>
            <w:r w:rsidRPr="00286131">
              <w:rPr>
                <w:rFonts w:asciiTheme="minorHAnsi" w:hAnsiTheme="minorHAnsi" w:cstheme="minorHAnsi"/>
                <w:i/>
                <w:sz w:val="22"/>
                <w:szCs w:val="22"/>
              </w:rPr>
              <w:t>55,0%</w:t>
            </w:r>
          </w:p>
        </w:tc>
        <w:tc>
          <w:tcPr>
            <w:tcW w:w="1215" w:type="dxa"/>
            <w:shd w:val="clear" w:color="auto" w:fill="D9D9D9"/>
            <w:tcMar>
              <w:top w:w="40" w:type="dxa"/>
              <w:left w:w="40" w:type="dxa"/>
              <w:bottom w:w="40" w:type="dxa"/>
              <w:right w:w="40" w:type="dxa"/>
            </w:tcMar>
            <w:vAlign w:val="center"/>
          </w:tcPr>
          <w:p w14:paraId="38765D0B" w14:textId="77777777" w:rsidR="00E136DD" w:rsidRPr="00286131" w:rsidRDefault="00E136DD" w:rsidP="00286131">
            <w:pPr>
              <w:jc w:val="center"/>
              <w:rPr>
                <w:rFonts w:asciiTheme="minorHAnsi" w:hAnsiTheme="minorHAnsi" w:cstheme="minorHAnsi"/>
                <w:b/>
                <w:i/>
                <w:sz w:val="22"/>
                <w:szCs w:val="22"/>
              </w:rPr>
            </w:pPr>
            <w:r w:rsidRPr="00286131">
              <w:rPr>
                <w:rFonts w:asciiTheme="minorHAnsi" w:hAnsiTheme="minorHAnsi" w:cstheme="minorHAnsi"/>
                <w:b/>
                <w:i/>
                <w:sz w:val="22"/>
                <w:szCs w:val="22"/>
              </w:rPr>
              <w:t>120</w:t>
            </w:r>
          </w:p>
        </w:tc>
        <w:tc>
          <w:tcPr>
            <w:tcW w:w="1215" w:type="dxa"/>
            <w:shd w:val="clear" w:color="auto" w:fill="D9D9D9"/>
            <w:tcMar>
              <w:top w:w="40" w:type="dxa"/>
              <w:left w:w="40" w:type="dxa"/>
              <w:bottom w:w="40" w:type="dxa"/>
              <w:right w:w="40" w:type="dxa"/>
            </w:tcMar>
            <w:vAlign w:val="center"/>
          </w:tcPr>
          <w:p w14:paraId="2FDC38BA" w14:textId="77777777" w:rsidR="00E136DD" w:rsidRPr="00286131" w:rsidRDefault="00E136DD" w:rsidP="00286131">
            <w:pPr>
              <w:jc w:val="center"/>
              <w:rPr>
                <w:rFonts w:asciiTheme="minorHAnsi" w:hAnsiTheme="minorHAnsi" w:cstheme="minorHAnsi"/>
                <w:b/>
                <w:i/>
                <w:sz w:val="22"/>
                <w:szCs w:val="22"/>
              </w:rPr>
            </w:pPr>
            <w:r w:rsidRPr="00286131">
              <w:rPr>
                <w:rFonts w:asciiTheme="minorHAnsi" w:hAnsiTheme="minorHAnsi" w:cstheme="minorHAnsi"/>
                <w:b/>
                <w:i/>
                <w:sz w:val="22"/>
                <w:szCs w:val="22"/>
              </w:rPr>
              <w:t>39,1%</w:t>
            </w:r>
          </w:p>
        </w:tc>
      </w:tr>
      <w:tr w:rsidR="00E136DD" w:rsidRPr="00E136DD" w14:paraId="58B2E7E7" w14:textId="77777777" w:rsidTr="001C6456">
        <w:trPr>
          <w:trHeight w:val="345"/>
          <w:jc w:val="center"/>
        </w:trPr>
        <w:tc>
          <w:tcPr>
            <w:tcW w:w="1860" w:type="dxa"/>
            <w:shd w:val="clear" w:color="auto" w:fill="FFFFFF"/>
            <w:tcMar>
              <w:top w:w="40" w:type="dxa"/>
              <w:left w:w="40" w:type="dxa"/>
              <w:bottom w:w="40" w:type="dxa"/>
              <w:right w:w="40" w:type="dxa"/>
            </w:tcMar>
            <w:vAlign w:val="center"/>
          </w:tcPr>
          <w:p w14:paraId="7416CC67" w14:textId="77777777" w:rsidR="00E136DD" w:rsidRPr="001C6456" w:rsidRDefault="00E136DD" w:rsidP="00286131">
            <w:pPr>
              <w:jc w:val="center"/>
              <w:rPr>
                <w:rFonts w:asciiTheme="minorHAnsi" w:hAnsiTheme="minorHAnsi" w:cstheme="minorHAnsi"/>
                <w:b/>
                <w:bCs/>
                <w:sz w:val="22"/>
                <w:szCs w:val="22"/>
              </w:rPr>
            </w:pPr>
            <w:r w:rsidRPr="001C6456">
              <w:rPr>
                <w:rFonts w:asciiTheme="minorHAnsi" w:hAnsiTheme="minorHAnsi" w:cstheme="minorHAnsi"/>
                <w:b/>
                <w:bCs/>
                <w:sz w:val="22"/>
                <w:szCs w:val="22"/>
              </w:rPr>
              <w:t>FC-6</w:t>
            </w:r>
          </w:p>
        </w:tc>
        <w:tc>
          <w:tcPr>
            <w:tcW w:w="1065" w:type="dxa"/>
            <w:shd w:val="clear" w:color="auto" w:fill="FFFFFF"/>
            <w:tcMar>
              <w:top w:w="40" w:type="dxa"/>
              <w:left w:w="40" w:type="dxa"/>
              <w:bottom w:w="40" w:type="dxa"/>
              <w:right w:w="40" w:type="dxa"/>
            </w:tcMar>
            <w:vAlign w:val="center"/>
          </w:tcPr>
          <w:p w14:paraId="29AC7C30"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4</w:t>
            </w:r>
          </w:p>
        </w:tc>
        <w:tc>
          <w:tcPr>
            <w:tcW w:w="1215" w:type="dxa"/>
            <w:shd w:val="clear" w:color="auto" w:fill="FFFFFF"/>
            <w:tcMar>
              <w:top w:w="40" w:type="dxa"/>
              <w:left w:w="40" w:type="dxa"/>
              <w:bottom w:w="40" w:type="dxa"/>
              <w:right w:w="40" w:type="dxa"/>
            </w:tcMar>
            <w:vAlign w:val="center"/>
          </w:tcPr>
          <w:p w14:paraId="5924FF26"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12,1%</w:t>
            </w:r>
          </w:p>
        </w:tc>
        <w:tc>
          <w:tcPr>
            <w:tcW w:w="1215" w:type="dxa"/>
            <w:shd w:val="clear" w:color="auto" w:fill="FFFFFF"/>
            <w:tcMar>
              <w:top w:w="40" w:type="dxa"/>
              <w:left w:w="40" w:type="dxa"/>
              <w:bottom w:w="40" w:type="dxa"/>
              <w:right w:w="40" w:type="dxa"/>
            </w:tcMar>
            <w:vAlign w:val="center"/>
          </w:tcPr>
          <w:p w14:paraId="7B5D3A1B"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29</w:t>
            </w:r>
          </w:p>
        </w:tc>
        <w:tc>
          <w:tcPr>
            <w:tcW w:w="1215" w:type="dxa"/>
            <w:shd w:val="clear" w:color="auto" w:fill="FFFFFF"/>
            <w:tcMar>
              <w:top w:w="40" w:type="dxa"/>
              <w:left w:w="40" w:type="dxa"/>
              <w:bottom w:w="40" w:type="dxa"/>
              <w:right w:w="40" w:type="dxa"/>
            </w:tcMar>
            <w:vAlign w:val="center"/>
          </w:tcPr>
          <w:p w14:paraId="428B0DD4"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87,9%</w:t>
            </w:r>
          </w:p>
        </w:tc>
        <w:tc>
          <w:tcPr>
            <w:tcW w:w="1215" w:type="dxa"/>
            <w:shd w:val="clear" w:color="auto" w:fill="FFFFFF"/>
            <w:tcMar>
              <w:top w:w="40" w:type="dxa"/>
              <w:left w:w="40" w:type="dxa"/>
              <w:bottom w:w="40" w:type="dxa"/>
              <w:right w:w="40" w:type="dxa"/>
            </w:tcMar>
            <w:vAlign w:val="center"/>
          </w:tcPr>
          <w:p w14:paraId="6B9E46C5"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33</w:t>
            </w:r>
          </w:p>
        </w:tc>
        <w:tc>
          <w:tcPr>
            <w:tcW w:w="1215" w:type="dxa"/>
            <w:shd w:val="clear" w:color="auto" w:fill="FFFFFF"/>
            <w:tcMar>
              <w:top w:w="40" w:type="dxa"/>
              <w:left w:w="40" w:type="dxa"/>
              <w:bottom w:w="40" w:type="dxa"/>
              <w:right w:w="40" w:type="dxa"/>
            </w:tcMar>
            <w:vAlign w:val="center"/>
          </w:tcPr>
          <w:p w14:paraId="320DDBB8"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10,7%</w:t>
            </w:r>
          </w:p>
        </w:tc>
      </w:tr>
      <w:tr w:rsidR="00E136DD" w:rsidRPr="00E136DD" w14:paraId="288D8EA4" w14:textId="77777777" w:rsidTr="001C6456">
        <w:trPr>
          <w:trHeight w:val="345"/>
          <w:jc w:val="center"/>
        </w:trPr>
        <w:tc>
          <w:tcPr>
            <w:tcW w:w="1860" w:type="dxa"/>
            <w:shd w:val="clear" w:color="auto" w:fill="FFFFFF"/>
            <w:tcMar>
              <w:top w:w="40" w:type="dxa"/>
              <w:left w:w="40" w:type="dxa"/>
              <w:bottom w:w="40" w:type="dxa"/>
              <w:right w:w="40" w:type="dxa"/>
            </w:tcMar>
            <w:vAlign w:val="center"/>
          </w:tcPr>
          <w:p w14:paraId="62775C63" w14:textId="77777777" w:rsidR="00E136DD" w:rsidRPr="001C6456" w:rsidRDefault="00E136DD" w:rsidP="00286131">
            <w:pPr>
              <w:jc w:val="center"/>
              <w:rPr>
                <w:rFonts w:asciiTheme="minorHAnsi" w:hAnsiTheme="minorHAnsi" w:cstheme="minorHAnsi"/>
                <w:b/>
                <w:bCs/>
                <w:sz w:val="22"/>
                <w:szCs w:val="22"/>
              </w:rPr>
            </w:pPr>
            <w:r w:rsidRPr="001C6456">
              <w:rPr>
                <w:rFonts w:asciiTheme="minorHAnsi" w:hAnsiTheme="minorHAnsi" w:cstheme="minorHAnsi"/>
                <w:b/>
                <w:bCs/>
                <w:sz w:val="22"/>
                <w:szCs w:val="22"/>
              </w:rPr>
              <w:t>FC-5</w:t>
            </w:r>
          </w:p>
        </w:tc>
        <w:tc>
          <w:tcPr>
            <w:tcW w:w="1065" w:type="dxa"/>
            <w:shd w:val="clear" w:color="auto" w:fill="FFFFFF"/>
            <w:tcMar>
              <w:top w:w="40" w:type="dxa"/>
              <w:left w:w="40" w:type="dxa"/>
              <w:bottom w:w="40" w:type="dxa"/>
              <w:right w:w="40" w:type="dxa"/>
            </w:tcMar>
            <w:vAlign w:val="center"/>
          </w:tcPr>
          <w:p w14:paraId="18202925"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64</w:t>
            </w:r>
          </w:p>
        </w:tc>
        <w:tc>
          <w:tcPr>
            <w:tcW w:w="1215" w:type="dxa"/>
            <w:shd w:val="clear" w:color="auto" w:fill="FFFFFF"/>
            <w:tcMar>
              <w:top w:w="40" w:type="dxa"/>
              <w:left w:w="40" w:type="dxa"/>
              <w:bottom w:w="40" w:type="dxa"/>
              <w:right w:w="40" w:type="dxa"/>
            </w:tcMar>
            <w:vAlign w:val="center"/>
          </w:tcPr>
          <w:p w14:paraId="24D7287D"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41,6%</w:t>
            </w:r>
          </w:p>
        </w:tc>
        <w:tc>
          <w:tcPr>
            <w:tcW w:w="1215" w:type="dxa"/>
            <w:shd w:val="clear" w:color="auto" w:fill="FFFFFF"/>
            <w:tcMar>
              <w:top w:w="40" w:type="dxa"/>
              <w:left w:w="40" w:type="dxa"/>
              <w:bottom w:w="40" w:type="dxa"/>
              <w:right w:w="40" w:type="dxa"/>
            </w:tcMar>
            <w:vAlign w:val="center"/>
          </w:tcPr>
          <w:p w14:paraId="6D391827"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90</w:t>
            </w:r>
          </w:p>
        </w:tc>
        <w:tc>
          <w:tcPr>
            <w:tcW w:w="1215" w:type="dxa"/>
            <w:shd w:val="clear" w:color="auto" w:fill="FFFFFF"/>
            <w:tcMar>
              <w:top w:w="40" w:type="dxa"/>
              <w:left w:w="40" w:type="dxa"/>
              <w:bottom w:w="40" w:type="dxa"/>
              <w:right w:w="40" w:type="dxa"/>
            </w:tcMar>
            <w:vAlign w:val="center"/>
          </w:tcPr>
          <w:p w14:paraId="42607AB7" w14:textId="77777777" w:rsidR="00E136DD" w:rsidRPr="008520F6" w:rsidRDefault="00E136DD" w:rsidP="00286131">
            <w:pPr>
              <w:jc w:val="center"/>
              <w:rPr>
                <w:rFonts w:asciiTheme="minorHAnsi" w:hAnsiTheme="minorHAnsi" w:cstheme="minorHAnsi"/>
                <w:sz w:val="22"/>
                <w:szCs w:val="22"/>
              </w:rPr>
            </w:pPr>
            <w:r w:rsidRPr="008520F6">
              <w:rPr>
                <w:rFonts w:asciiTheme="minorHAnsi" w:hAnsiTheme="minorHAnsi" w:cstheme="minorHAnsi"/>
                <w:sz w:val="22"/>
                <w:szCs w:val="22"/>
              </w:rPr>
              <w:t>58,4%</w:t>
            </w:r>
          </w:p>
        </w:tc>
        <w:tc>
          <w:tcPr>
            <w:tcW w:w="1215" w:type="dxa"/>
            <w:shd w:val="clear" w:color="auto" w:fill="FFFFFF"/>
            <w:tcMar>
              <w:top w:w="40" w:type="dxa"/>
              <w:left w:w="40" w:type="dxa"/>
              <w:bottom w:w="40" w:type="dxa"/>
              <w:right w:w="40" w:type="dxa"/>
            </w:tcMar>
            <w:vAlign w:val="center"/>
          </w:tcPr>
          <w:p w14:paraId="0A50A3B6"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154</w:t>
            </w:r>
          </w:p>
        </w:tc>
        <w:tc>
          <w:tcPr>
            <w:tcW w:w="1215" w:type="dxa"/>
            <w:shd w:val="clear" w:color="auto" w:fill="FFFFFF"/>
            <w:tcMar>
              <w:top w:w="40" w:type="dxa"/>
              <w:left w:w="40" w:type="dxa"/>
              <w:bottom w:w="40" w:type="dxa"/>
              <w:right w:w="40" w:type="dxa"/>
            </w:tcMar>
            <w:vAlign w:val="center"/>
          </w:tcPr>
          <w:p w14:paraId="52A53FCD"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50,2%</w:t>
            </w:r>
          </w:p>
        </w:tc>
      </w:tr>
      <w:tr w:rsidR="00E136DD" w:rsidRPr="00E136DD" w14:paraId="70C0C39A" w14:textId="77777777" w:rsidTr="001C6456">
        <w:trPr>
          <w:trHeight w:val="345"/>
          <w:jc w:val="center"/>
        </w:trPr>
        <w:tc>
          <w:tcPr>
            <w:tcW w:w="1860" w:type="dxa"/>
            <w:shd w:val="clear" w:color="auto" w:fill="D9D9D9"/>
            <w:tcMar>
              <w:top w:w="40" w:type="dxa"/>
              <w:left w:w="40" w:type="dxa"/>
              <w:bottom w:w="40" w:type="dxa"/>
              <w:right w:w="40" w:type="dxa"/>
            </w:tcMar>
            <w:vAlign w:val="center"/>
          </w:tcPr>
          <w:p w14:paraId="59A5E405" w14:textId="77777777" w:rsidR="00E136DD" w:rsidRPr="001C6456" w:rsidRDefault="00E136DD" w:rsidP="00286131">
            <w:pPr>
              <w:jc w:val="center"/>
              <w:rPr>
                <w:rFonts w:asciiTheme="minorHAnsi" w:hAnsiTheme="minorHAnsi" w:cstheme="minorHAnsi"/>
                <w:b/>
                <w:bCs/>
                <w:i/>
                <w:sz w:val="22"/>
                <w:szCs w:val="22"/>
              </w:rPr>
            </w:pPr>
            <w:r w:rsidRPr="001C6456">
              <w:rPr>
                <w:rFonts w:asciiTheme="minorHAnsi" w:hAnsiTheme="minorHAnsi" w:cstheme="minorHAnsi"/>
                <w:b/>
                <w:bCs/>
                <w:i/>
                <w:sz w:val="22"/>
                <w:szCs w:val="22"/>
              </w:rPr>
              <w:t>Subtotal FC'S</w:t>
            </w:r>
          </w:p>
        </w:tc>
        <w:tc>
          <w:tcPr>
            <w:tcW w:w="1065" w:type="dxa"/>
            <w:shd w:val="clear" w:color="auto" w:fill="D9D9D9"/>
            <w:tcMar>
              <w:top w:w="40" w:type="dxa"/>
              <w:left w:w="40" w:type="dxa"/>
              <w:bottom w:w="40" w:type="dxa"/>
              <w:right w:w="40" w:type="dxa"/>
            </w:tcMar>
            <w:vAlign w:val="center"/>
          </w:tcPr>
          <w:p w14:paraId="4C2987BB" w14:textId="77777777" w:rsidR="00E136DD" w:rsidRPr="00286131" w:rsidRDefault="00E136DD" w:rsidP="00286131">
            <w:pPr>
              <w:jc w:val="center"/>
              <w:rPr>
                <w:rFonts w:asciiTheme="minorHAnsi" w:hAnsiTheme="minorHAnsi" w:cstheme="minorHAnsi"/>
                <w:i/>
                <w:sz w:val="22"/>
                <w:szCs w:val="22"/>
              </w:rPr>
            </w:pPr>
            <w:r w:rsidRPr="00286131">
              <w:rPr>
                <w:rFonts w:asciiTheme="minorHAnsi" w:hAnsiTheme="minorHAnsi" w:cstheme="minorHAnsi"/>
                <w:i/>
                <w:sz w:val="22"/>
                <w:szCs w:val="22"/>
              </w:rPr>
              <w:t>68</w:t>
            </w:r>
          </w:p>
        </w:tc>
        <w:tc>
          <w:tcPr>
            <w:tcW w:w="1215" w:type="dxa"/>
            <w:shd w:val="clear" w:color="auto" w:fill="D9D9D9"/>
            <w:tcMar>
              <w:top w:w="40" w:type="dxa"/>
              <w:left w:w="40" w:type="dxa"/>
              <w:bottom w:w="40" w:type="dxa"/>
              <w:right w:w="40" w:type="dxa"/>
            </w:tcMar>
            <w:vAlign w:val="center"/>
          </w:tcPr>
          <w:p w14:paraId="7048EAB2" w14:textId="77777777" w:rsidR="00E136DD" w:rsidRPr="00286131" w:rsidRDefault="00E136DD" w:rsidP="00286131">
            <w:pPr>
              <w:jc w:val="center"/>
              <w:rPr>
                <w:rFonts w:asciiTheme="minorHAnsi" w:hAnsiTheme="minorHAnsi" w:cstheme="minorHAnsi"/>
                <w:i/>
                <w:sz w:val="22"/>
                <w:szCs w:val="22"/>
              </w:rPr>
            </w:pPr>
            <w:r w:rsidRPr="00286131">
              <w:rPr>
                <w:rFonts w:asciiTheme="minorHAnsi" w:hAnsiTheme="minorHAnsi" w:cstheme="minorHAnsi"/>
                <w:i/>
                <w:sz w:val="22"/>
                <w:szCs w:val="22"/>
              </w:rPr>
              <w:t>36,4%</w:t>
            </w:r>
          </w:p>
        </w:tc>
        <w:tc>
          <w:tcPr>
            <w:tcW w:w="1215" w:type="dxa"/>
            <w:shd w:val="clear" w:color="auto" w:fill="D9D9D9"/>
            <w:tcMar>
              <w:top w:w="40" w:type="dxa"/>
              <w:left w:w="40" w:type="dxa"/>
              <w:bottom w:w="40" w:type="dxa"/>
              <w:right w:w="40" w:type="dxa"/>
            </w:tcMar>
            <w:vAlign w:val="center"/>
          </w:tcPr>
          <w:p w14:paraId="38609FBB" w14:textId="77777777" w:rsidR="00E136DD" w:rsidRPr="00286131" w:rsidRDefault="00E136DD" w:rsidP="00286131">
            <w:pPr>
              <w:jc w:val="center"/>
              <w:rPr>
                <w:rFonts w:asciiTheme="minorHAnsi" w:hAnsiTheme="minorHAnsi" w:cstheme="minorHAnsi"/>
                <w:i/>
                <w:sz w:val="22"/>
                <w:szCs w:val="22"/>
              </w:rPr>
            </w:pPr>
            <w:r w:rsidRPr="00286131">
              <w:rPr>
                <w:rFonts w:asciiTheme="minorHAnsi" w:hAnsiTheme="minorHAnsi" w:cstheme="minorHAnsi"/>
                <w:i/>
                <w:sz w:val="22"/>
                <w:szCs w:val="22"/>
              </w:rPr>
              <w:t>119</w:t>
            </w:r>
          </w:p>
        </w:tc>
        <w:tc>
          <w:tcPr>
            <w:tcW w:w="1215" w:type="dxa"/>
            <w:shd w:val="clear" w:color="auto" w:fill="D9D9D9"/>
            <w:tcMar>
              <w:top w:w="40" w:type="dxa"/>
              <w:left w:w="40" w:type="dxa"/>
              <w:bottom w:w="40" w:type="dxa"/>
              <w:right w:w="40" w:type="dxa"/>
            </w:tcMar>
            <w:vAlign w:val="center"/>
          </w:tcPr>
          <w:p w14:paraId="6DDCA684" w14:textId="77777777" w:rsidR="00E136DD" w:rsidRPr="00286131" w:rsidRDefault="00E136DD" w:rsidP="00286131">
            <w:pPr>
              <w:jc w:val="center"/>
              <w:rPr>
                <w:rFonts w:asciiTheme="minorHAnsi" w:hAnsiTheme="minorHAnsi" w:cstheme="minorHAnsi"/>
                <w:i/>
                <w:sz w:val="22"/>
                <w:szCs w:val="22"/>
              </w:rPr>
            </w:pPr>
            <w:r w:rsidRPr="00286131">
              <w:rPr>
                <w:rFonts w:asciiTheme="minorHAnsi" w:hAnsiTheme="minorHAnsi" w:cstheme="minorHAnsi"/>
                <w:i/>
                <w:sz w:val="22"/>
                <w:szCs w:val="22"/>
              </w:rPr>
              <w:t>63,6%</w:t>
            </w:r>
          </w:p>
        </w:tc>
        <w:tc>
          <w:tcPr>
            <w:tcW w:w="1215" w:type="dxa"/>
            <w:shd w:val="clear" w:color="auto" w:fill="D9D9D9"/>
            <w:tcMar>
              <w:top w:w="40" w:type="dxa"/>
              <w:left w:w="40" w:type="dxa"/>
              <w:bottom w:w="40" w:type="dxa"/>
              <w:right w:w="40" w:type="dxa"/>
            </w:tcMar>
            <w:vAlign w:val="center"/>
          </w:tcPr>
          <w:p w14:paraId="44ED1123" w14:textId="77777777" w:rsidR="00E136DD" w:rsidRPr="00286131" w:rsidRDefault="00E136DD" w:rsidP="00286131">
            <w:pPr>
              <w:jc w:val="center"/>
              <w:rPr>
                <w:rFonts w:asciiTheme="minorHAnsi" w:hAnsiTheme="minorHAnsi" w:cstheme="minorHAnsi"/>
                <w:b/>
                <w:i/>
                <w:sz w:val="22"/>
                <w:szCs w:val="22"/>
              </w:rPr>
            </w:pPr>
            <w:r w:rsidRPr="00286131">
              <w:rPr>
                <w:rFonts w:asciiTheme="minorHAnsi" w:hAnsiTheme="minorHAnsi" w:cstheme="minorHAnsi"/>
                <w:b/>
                <w:i/>
                <w:sz w:val="22"/>
                <w:szCs w:val="22"/>
              </w:rPr>
              <w:t>187</w:t>
            </w:r>
          </w:p>
        </w:tc>
        <w:tc>
          <w:tcPr>
            <w:tcW w:w="1215" w:type="dxa"/>
            <w:shd w:val="clear" w:color="auto" w:fill="D9D9D9"/>
            <w:tcMar>
              <w:top w:w="40" w:type="dxa"/>
              <w:left w:w="40" w:type="dxa"/>
              <w:bottom w:w="40" w:type="dxa"/>
              <w:right w:w="40" w:type="dxa"/>
            </w:tcMar>
            <w:vAlign w:val="center"/>
          </w:tcPr>
          <w:p w14:paraId="55B736DE" w14:textId="77777777" w:rsidR="00E136DD" w:rsidRPr="00286131" w:rsidRDefault="00E136DD" w:rsidP="00286131">
            <w:pPr>
              <w:jc w:val="center"/>
              <w:rPr>
                <w:rFonts w:asciiTheme="minorHAnsi" w:hAnsiTheme="minorHAnsi" w:cstheme="minorHAnsi"/>
                <w:b/>
                <w:i/>
                <w:sz w:val="22"/>
                <w:szCs w:val="22"/>
              </w:rPr>
            </w:pPr>
            <w:r w:rsidRPr="00286131">
              <w:rPr>
                <w:rFonts w:asciiTheme="minorHAnsi" w:hAnsiTheme="minorHAnsi" w:cstheme="minorHAnsi"/>
                <w:b/>
                <w:i/>
                <w:sz w:val="22"/>
                <w:szCs w:val="22"/>
              </w:rPr>
              <w:t>60,9%</w:t>
            </w:r>
          </w:p>
        </w:tc>
      </w:tr>
      <w:tr w:rsidR="00E136DD" w:rsidRPr="00E136DD" w14:paraId="264DCDFD" w14:textId="77777777" w:rsidTr="001C6456">
        <w:trPr>
          <w:trHeight w:val="345"/>
          <w:jc w:val="center"/>
        </w:trPr>
        <w:tc>
          <w:tcPr>
            <w:tcW w:w="1860" w:type="dxa"/>
            <w:shd w:val="clear" w:color="auto" w:fill="B7B7B7"/>
            <w:tcMar>
              <w:top w:w="40" w:type="dxa"/>
              <w:left w:w="40" w:type="dxa"/>
              <w:bottom w:w="40" w:type="dxa"/>
              <w:right w:w="40" w:type="dxa"/>
            </w:tcMar>
            <w:vAlign w:val="center"/>
          </w:tcPr>
          <w:p w14:paraId="2E1CECCC" w14:textId="77777777" w:rsidR="00E136DD" w:rsidRPr="00286131" w:rsidRDefault="00E136DD" w:rsidP="00286131">
            <w:pPr>
              <w:jc w:val="center"/>
              <w:rPr>
                <w:rFonts w:asciiTheme="minorHAnsi" w:hAnsiTheme="minorHAnsi" w:cstheme="minorHAnsi"/>
                <w:b/>
                <w:bCs/>
                <w:sz w:val="22"/>
                <w:szCs w:val="22"/>
              </w:rPr>
            </w:pPr>
            <w:r w:rsidRPr="00286131">
              <w:rPr>
                <w:rFonts w:asciiTheme="minorHAnsi" w:hAnsiTheme="minorHAnsi" w:cstheme="minorHAnsi"/>
                <w:b/>
                <w:bCs/>
                <w:sz w:val="22"/>
                <w:szCs w:val="22"/>
              </w:rPr>
              <w:t>Total</w:t>
            </w:r>
          </w:p>
        </w:tc>
        <w:tc>
          <w:tcPr>
            <w:tcW w:w="1065" w:type="dxa"/>
            <w:shd w:val="clear" w:color="auto" w:fill="B7B7B7"/>
            <w:tcMar>
              <w:top w:w="40" w:type="dxa"/>
              <w:left w:w="40" w:type="dxa"/>
              <w:bottom w:w="40" w:type="dxa"/>
              <w:right w:w="40" w:type="dxa"/>
            </w:tcMar>
            <w:vAlign w:val="center"/>
          </w:tcPr>
          <w:p w14:paraId="26B51FB5"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122</w:t>
            </w:r>
          </w:p>
        </w:tc>
        <w:tc>
          <w:tcPr>
            <w:tcW w:w="1215" w:type="dxa"/>
            <w:shd w:val="clear" w:color="auto" w:fill="B7B7B7"/>
            <w:tcMar>
              <w:top w:w="40" w:type="dxa"/>
              <w:left w:w="40" w:type="dxa"/>
              <w:bottom w:w="40" w:type="dxa"/>
              <w:right w:w="40" w:type="dxa"/>
            </w:tcMar>
            <w:vAlign w:val="center"/>
          </w:tcPr>
          <w:p w14:paraId="0D8E352E"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39,7%</w:t>
            </w:r>
          </w:p>
        </w:tc>
        <w:tc>
          <w:tcPr>
            <w:tcW w:w="1215" w:type="dxa"/>
            <w:shd w:val="clear" w:color="auto" w:fill="B7B7B7"/>
            <w:tcMar>
              <w:top w:w="40" w:type="dxa"/>
              <w:left w:w="40" w:type="dxa"/>
              <w:bottom w:w="40" w:type="dxa"/>
              <w:right w:w="40" w:type="dxa"/>
            </w:tcMar>
            <w:vAlign w:val="center"/>
          </w:tcPr>
          <w:p w14:paraId="239AD1B2"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185</w:t>
            </w:r>
          </w:p>
        </w:tc>
        <w:tc>
          <w:tcPr>
            <w:tcW w:w="1215" w:type="dxa"/>
            <w:shd w:val="clear" w:color="auto" w:fill="B7B7B7"/>
            <w:tcMar>
              <w:top w:w="40" w:type="dxa"/>
              <w:left w:w="40" w:type="dxa"/>
              <w:bottom w:w="40" w:type="dxa"/>
              <w:right w:w="40" w:type="dxa"/>
            </w:tcMar>
            <w:vAlign w:val="center"/>
          </w:tcPr>
          <w:p w14:paraId="056B650C"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60,3%</w:t>
            </w:r>
          </w:p>
        </w:tc>
        <w:tc>
          <w:tcPr>
            <w:tcW w:w="1215" w:type="dxa"/>
            <w:shd w:val="clear" w:color="auto" w:fill="B7B7B7"/>
            <w:tcMar>
              <w:top w:w="40" w:type="dxa"/>
              <w:left w:w="40" w:type="dxa"/>
              <w:bottom w:w="40" w:type="dxa"/>
              <w:right w:w="40" w:type="dxa"/>
            </w:tcMar>
            <w:vAlign w:val="center"/>
          </w:tcPr>
          <w:p w14:paraId="04102680"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307</w:t>
            </w:r>
          </w:p>
        </w:tc>
        <w:tc>
          <w:tcPr>
            <w:tcW w:w="1215" w:type="dxa"/>
            <w:shd w:val="clear" w:color="auto" w:fill="B7B7B7"/>
            <w:tcMar>
              <w:top w:w="40" w:type="dxa"/>
              <w:left w:w="40" w:type="dxa"/>
              <w:bottom w:w="40" w:type="dxa"/>
              <w:right w:w="40" w:type="dxa"/>
            </w:tcMar>
            <w:vAlign w:val="center"/>
          </w:tcPr>
          <w:p w14:paraId="7AA1A542" w14:textId="77777777" w:rsidR="00E136DD" w:rsidRPr="00286131" w:rsidRDefault="00E136DD" w:rsidP="00286131">
            <w:pPr>
              <w:jc w:val="center"/>
              <w:rPr>
                <w:rFonts w:asciiTheme="minorHAnsi" w:hAnsiTheme="minorHAnsi" w:cstheme="minorHAnsi"/>
                <w:b/>
                <w:sz w:val="22"/>
                <w:szCs w:val="22"/>
              </w:rPr>
            </w:pPr>
            <w:r w:rsidRPr="00286131">
              <w:rPr>
                <w:rFonts w:asciiTheme="minorHAnsi" w:hAnsiTheme="minorHAnsi" w:cstheme="minorHAnsi"/>
                <w:b/>
                <w:sz w:val="22"/>
                <w:szCs w:val="22"/>
              </w:rPr>
              <w:t>100%</w:t>
            </w:r>
          </w:p>
        </w:tc>
      </w:tr>
    </w:tbl>
    <w:p w14:paraId="4AEA36A8" w14:textId="796950C6" w:rsidR="00666AD4" w:rsidRDefault="00E136DD" w:rsidP="00EB694D">
      <w:pPr>
        <w:pStyle w:val="Fonte"/>
        <w:rPr>
          <w:b w:val="0"/>
        </w:rPr>
      </w:pPr>
      <w:r w:rsidRPr="00A739AB">
        <w:lastRenderedPageBreak/>
        <w:t xml:space="preserve">Fonte: </w:t>
      </w:r>
      <w:r w:rsidRPr="00F005A7">
        <w:rPr>
          <w:b w:val="0"/>
        </w:rPr>
        <w:t>Dados disponibilizados pelo Sistema de Recursos Humanos do TST (abril de 2025). Compilação e elaboração: CPJUD/SEPJD/CPJED</w:t>
      </w:r>
      <w:r w:rsidR="005271C1">
        <w:rPr>
          <w:b w:val="0"/>
        </w:rPr>
        <w:t>.</w:t>
      </w:r>
    </w:p>
    <w:p w14:paraId="584CB5E9" w14:textId="77777777" w:rsidR="00EB694D" w:rsidRPr="00EB694D" w:rsidRDefault="00EB694D" w:rsidP="00286131">
      <w:pPr>
        <w:pStyle w:val="Texto"/>
      </w:pPr>
    </w:p>
    <w:p w14:paraId="1AE2416B" w14:textId="5206D0C0" w:rsidR="00F005A7" w:rsidRDefault="00F005A7" w:rsidP="00286131">
      <w:pPr>
        <w:pStyle w:val="Texto"/>
      </w:pPr>
      <w:r>
        <w:t>O Gráfico</w:t>
      </w:r>
      <w:r w:rsidR="00234D19">
        <w:t xml:space="preserve"> 14</w:t>
      </w:r>
      <w:r w:rsidR="00E136DD" w:rsidRPr="00F005A7">
        <w:t xml:space="preserve"> fornece uma representação gráfica complementar, ilustrando a proporção por gênero em</w:t>
      </w:r>
      <w:r w:rsidR="00666AD4">
        <w:t xml:space="preserve"> cada nível hierárquico</w:t>
      </w:r>
      <w:r w:rsidR="00E136DD" w:rsidRPr="00F005A7">
        <w:t>.</w:t>
      </w:r>
      <w:bookmarkStart w:id="39" w:name="_gsh1gz5tg5b" w:colFirst="0" w:colLast="0"/>
      <w:bookmarkEnd w:id="39"/>
    </w:p>
    <w:p w14:paraId="6809512E" w14:textId="77777777" w:rsidR="00286131" w:rsidRPr="003821FF" w:rsidRDefault="00286131" w:rsidP="00286131">
      <w:pPr>
        <w:pStyle w:val="Texto"/>
      </w:pPr>
    </w:p>
    <w:p w14:paraId="5111842E" w14:textId="2ECF4F3D" w:rsidR="003821FF" w:rsidRDefault="003821FF" w:rsidP="00FB5A95">
      <w:pPr>
        <w:pStyle w:val="TtulodaIlustrao"/>
      </w:pPr>
      <w:bookmarkStart w:id="40" w:name="_Toc208508637"/>
      <w:r>
        <w:t xml:space="preserve">Gráfico </w:t>
      </w:r>
      <w:r w:rsidR="00D953AF">
        <w:t>14</w:t>
      </w:r>
      <w:r w:rsidRPr="00286131">
        <w:rPr>
          <w:b w:val="0"/>
        </w:rPr>
        <w:t xml:space="preserve"> - Distribuição dos cargos de gestão e liderança do TST, por gênero (%)</w:t>
      </w:r>
      <w:bookmarkEnd w:id="40"/>
    </w:p>
    <w:p w14:paraId="1E6FB794" w14:textId="1D9F70EF" w:rsidR="00E136DD" w:rsidRPr="006D5A72" w:rsidRDefault="00EB694D" w:rsidP="00617865">
      <w:pPr>
        <w:jc w:val="center"/>
      </w:pPr>
      <w:r>
        <w:rPr>
          <w:noProof/>
        </w:rPr>
        <w:drawing>
          <wp:inline distT="0" distB="0" distL="0" distR="0" wp14:anchorId="08BC44A3" wp14:editId="15CDC35F">
            <wp:extent cx="5000625" cy="2990850"/>
            <wp:effectExtent l="0" t="0" r="0" b="0"/>
            <wp:docPr id="1622690730" name="Gráfico 1622690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014E43" w14:textId="6C940C5D" w:rsidR="00E136DD" w:rsidRDefault="00E136DD" w:rsidP="00617865">
      <w:pPr>
        <w:pStyle w:val="Fonte"/>
        <w:rPr>
          <w:b w:val="0"/>
        </w:rPr>
      </w:pPr>
      <w:r w:rsidRPr="00A739AB">
        <w:t xml:space="preserve">Fonte: </w:t>
      </w:r>
      <w:r w:rsidRPr="00F005A7">
        <w:rPr>
          <w:b w:val="0"/>
        </w:rPr>
        <w:t>Dados disponibilizados pelo Sistema de Recursos Humanos do TST (abril de 2025). Compilação e elaboração: CPJUD/SEPJD/CPJED</w:t>
      </w:r>
      <w:r w:rsidR="005271C1">
        <w:rPr>
          <w:b w:val="0"/>
        </w:rPr>
        <w:t>.</w:t>
      </w:r>
    </w:p>
    <w:p w14:paraId="06AB3A02" w14:textId="77777777" w:rsidR="00FE3309" w:rsidRDefault="00FE3309" w:rsidP="00286131">
      <w:pPr>
        <w:pStyle w:val="Texto"/>
      </w:pPr>
    </w:p>
    <w:p w14:paraId="62FDC9BC" w14:textId="7B4D1E92" w:rsidR="000D29C9" w:rsidRDefault="000D29C9" w:rsidP="00286131">
      <w:pPr>
        <w:pStyle w:val="Texto"/>
      </w:pPr>
      <w:r>
        <w:t>Aprofundando a análise sobre os cargos em comissão em que se exerce gestão e liderança no TST</w:t>
      </w:r>
      <w:r w:rsidR="00857E93">
        <w:t>,</w:t>
      </w:r>
      <w:r>
        <w:t xml:space="preserve"> observa-se que</w:t>
      </w:r>
      <w:r w:rsidR="00857E93">
        <w:t xml:space="preserve"> as mulheres oc</w:t>
      </w:r>
      <w:r>
        <w:t>upam aproximadamente 45% do total de 120 CJs destinados a funções de direção e chefia</w:t>
      </w:r>
      <w:r w:rsidR="00857E93" w:rsidRPr="00FE3309">
        <w:t xml:space="preserve">, o que corresponde a 54 CJs, enquanto </w:t>
      </w:r>
      <w:r>
        <w:t xml:space="preserve">os homens ocupam 55%, correspondendo </w:t>
      </w:r>
      <w:r w:rsidR="001A00E9">
        <w:t xml:space="preserve">a </w:t>
      </w:r>
      <w:r>
        <w:t xml:space="preserve">66 CJs. </w:t>
      </w:r>
      <w:r w:rsidR="00D21D90">
        <w:t xml:space="preserve">Lembrando que </w:t>
      </w:r>
      <w:r w:rsidR="00D21D90" w:rsidRPr="00D21D90">
        <w:t>no TST, observa-se uma predominância feminina (56,4%) em relação aos homens (43,6%), enquanto no CSJT ocorre o inverso: os homens constituem a maioria (59,2%), e as mulheres somam 40,8%.</w:t>
      </w:r>
    </w:p>
    <w:p w14:paraId="0F9FDE9F" w14:textId="73723472" w:rsidR="00FE3309" w:rsidRPr="00FE3309" w:rsidRDefault="00234D19" w:rsidP="00286131">
      <w:pPr>
        <w:pStyle w:val="Texto"/>
      </w:pPr>
      <w:r>
        <w:t>O Gráfico 15</w:t>
      </w:r>
      <w:r w:rsidR="00FE3309" w:rsidRPr="00FE3309">
        <w:t xml:space="preserve"> mostra a distribuição por gênero </w:t>
      </w:r>
      <w:r w:rsidR="004A1769">
        <w:t xml:space="preserve">de </w:t>
      </w:r>
      <w:r w:rsidR="000D29C9">
        <w:t>cada</w:t>
      </w:r>
      <w:r w:rsidR="004A1769">
        <w:t xml:space="preserve"> um dos</w:t>
      </w:r>
      <w:r w:rsidR="000D29C9">
        <w:t xml:space="preserve"> </w:t>
      </w:r>
      <w:r w:rsidR="00D02438">
        <w:t>níve</w:t>
      </w:r>
      <w:r w:rsidR="004A1769">
        <w:t>is</w:t>
      </w:r>
      <w:r w:rsidR="000D29C9">
        <w:t xml:space="preserve"> de CJ e</w:t>
      </w:r>
      <w:r w:rsidR="00FE3309" w:rsidRPr="00FE3309">
        <w:t>m relação ao total de cargos comissionados</w:t>
      </w:r>
      <w:r w:rsidR="000D29C9">
        <w:t xml:space="preserve"> de gestão e liderança do TST</w:t>
      </w:r>
      <w:r w:rsidR="00FE3309" w:rsidRPr="00FE3309">
        <w:t>. Verifica-se que o nível CJ-03</w:t>
      </w:r>
      <w:r w:rsidR="00D02438">
        <w:t>, que se destaca pela paridade de gênero na ocupação dos cargos</w:t>
      </w:r>
      <w:r w:rsidR="009C4254">
        <w:t xml:space="preserve"> em termos absolutos</w:t>
      </w:r>
      <w:r w:rsidR="00D02438">
        <w:t>,</w:t>
      </w:r>
      <w:r w:rsidR="00FE3309" w:rsidRPr="00FE3309">
        <w:t xml:space="preserve"> concent</w:t>
      </w:r>
      <w:r w:rsidR="00D02438">
        <w:t xml:space="preserve">ra o maior quantitativo: </w:t>
      </w:r>
      <w:r w:rsidR="00FE3309" w:rsidRPr="00FE3309">
        <w:t>58</w:t>
      </w:r>
      <w:r w:rsidR="000D29C9">
        <w:t xml:space="preserve"> cargos</w:t>
      </w:r>
      <w:r w:rsidR="00D02438">
        <w:t xml:space="preserve">, que representam </w:t>
      </w:r>
      <w:r w:rsidR="004A1769">
        <w:t xml:space="preserve">aproximadamente </w:t>
      </w:r>
      <w:r w:rsidR="00D02438">
        <w:t>48% dos</w:t>
      </w:r>
      <w:r w:rsidR="004A1769">
        <w:t xml:space="preserve"> </w:t>
      </w:r>
      <w:r w:rsidR="00D02438">
        <w:t>CJs de gestão e liderança</w:t>
      </w:r>
      <w:r w:rsidR="003F1EED">
        <w:t>.</w:t>
      </w:r>
    </w:p>
    <w:p w14:paraId="6F9A2AFA" w14:textId="2D657667" w:rsidR="006D5A72" w:rsidRDefault="006D5A72" w:rsidP="00286131">
      <w:pPr>
        <w:pStyle w:val="Texto"/>
      </w:pPr>
    </w:p>
    <w:p w14:paraId="287C2A2E" w14:textId="0DE6DE30" w:rsidR="00286131" w:rsidRDefault="00286131">
      <w:pPr>
        <w:rPr>
          <w:rFonts w:asciiTheme="minorHAnsi" w:hAnsiTheme="minorHAnsi" w:cstheme="minorHAnsi"/>
          <w:noProof/>
        </w:rPr>
      </w:pPr>
      <w:r>
        <w:br w:type="page"/>
      </w:r>
    </w:p>
    <w:p w14:paraId="177D49C5" w14:textId="7C77E7E8" w:rsidR="003821FF" w:rsidRDefault="003821FF" w:rsidP="00FB5A95">
      <w:pPr>
        <w:pStyle w:val="TtulodaIlustrao"/>
      </w:pPr>
      <w:bookmarkStart w:id="41" w:name="_Toc208508638"/>
      <w:r>
        <w:lastRenderedPageBreak/>
        <w:t xml:space="preserve">Gráfico </w:t>
      </w:r>
      <w:r w:rsidR="00D953AF">
        <w:t>15</w:t>
      </w:r>
      <w:r w:rsidRPr="00286131">
        <w:rPr>
          <w:b w:val="0"/>
        </w:rPr>
        <w:t xml:space="preserve"> - Proporção de mulheres e homens nos cargos comissionados de gestão e liderança do TST, em relação ao total (%)</w:t>
      </w:r>
      <w:bookmarkEnd w:id="41"/>
    </w:p>
    <w:p w14:paraId="45677E1E" w14:textId="2A0FB58C" w:rsidR="00E136DD" w:rsidRDefault="004A1769" w:rsidP="004A1769">
      <w:pPr>
        <w:jc w:val="center"/>
      </w:pPr>
      <w:r>
        <w:rPr>
          <w:noProof/>
        </w:rPr>
        <w:drawing>
          <wp:inline distT="0" distB="0" distL="0" distR="0" wp14:anchorId="37B47D93" wp14:editId="2AA6654C">
            <wp:extent cx="4572000" cy="2684679"/>
            <wp:effectExtent l="0" t="0" r="0" b="1905"/>
            <wp:docPr id="1622690731" name="Gráfico 1622690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834DB1" w14:textId="72EFDF48" w:rsidR="00E136DD" w:rsidRDefault="00E136DD" w:rsidP="00777082">
      <w:pPr>
        <w:pStyle w:val="Fonte"/>
        <w:rPr>
          <w:b w:val="0"/>
        </w:rPr>
      </w:pPr>
      <w:r w:rsidRPr="00A739AB">
        <w:t xml:space="preserve">Fonte: </w:t>
      </w:r>
      <w:r w:rsidRPr="008327B3">
        <w:rPr>
          <w:b w:val="0"/>
        </w:rPr>
        <w:t>Dados disponibilizados pelo Sistema de Recursos Humanos do TST (abril de 2025). Compilação e elaboração: CPJUD/SEPJD/CPJED</w:t>
      </w:r>
      <w:r w:rsidR="005271C1">
        <w:rPr>
          <w:b w:val="0"/>
        </w:rPr>
        <w:t>.</w:t>
      </w:r>
    </w:p>
    <w:p w14:paraId="7755CA82" w14:textId="77777777" w:rsidR="00BB6185" w:rsidRPr="00BB6185" w:rsidRDefault="00BB6185" w:rsidP="00286131">
      <w:pPr>
        <w:pStyle w:val="Texto"/>
      </w:pPr>
    </w:p>
    <w:p w14:paraId="3FA590CD" w14:textId="2839D86A" w:rsidR="003F1EED" w:rsidRDefault="006C0461" w:rsidP="00286131">
      <w:pPr>
        <w:pStyle w:val="Texto"/>
      </w:pPr>
      <w:r>
        <w:t xml:space="preserve">Em comparação aos cargos em comissão, a análise das funções comissionadas de gestão e liderança do TST indica um desequilíbrio de gênero maior </w:t>
      </w:r>
      <w:r w:rsidR="00D953AF">
        <w:t>(Gráfico 16</w:t>
      </w:r>
      <w:r w:rsidR="008C55AB">
        <w:t>)</w:t>
      </w:r>
      <w:r w:rsidR="00E136DD">
        <w:t>. Do</w:t>
      </w:r>
      <w:r w:rsidR="00C72B7D">
        <w:t xml:space="preserve"> total de 187 FCs</w:t>
      </w:r>
      <w:r w:rsidR="00E136DD">
        <w:t xml:space="preserve"> (somando FC</w:t>
      </w:r>
      <w:r w:rsidR="00C72B7D">
        <w:t xml:space="preserve">s-05 e </w:t>
      </w:r>
      <w:r w:rsidR="00E136DD">
        <w:t>06</w:t>
      </w:r>
      <w:r w:rsidR="004A1769">
        <w:t xml:space="preserve"> de supervisão e chefia</w:t>
      </w:r>
      <w:r w:rsidR="00E136DD">
        <w:t xml:space="preserve">), 63,6% </w:t>
      </w:r>
      <w:r w:rsidR="00F84A2D">
        <w:t xml:space="preserve">(119 funções) </w:t>
      </w:r>
      <w:r w:rsidR="00E136DD">
        <w:t>são ocupadas por homens e 36,4%</w:t>
      </w:r>
      <w:r w:rsidR="00F84A2D">
        <w:t xml:space="preserve"> (68 funções)</w:t>
      </w:r>
      <w:r w:rsidR="00E136DD">
        <w:t xml:space="preserve"> por mulheres.</w:t>
      </w:r>
      <w:r w:rsidR="00234D19">
        <w:t xml:space="preserve"> O Gráfico 16</w:t>
      </w:r>
      <w:r w:rsidR="003F1EED">
        <w:t xml:space="preserve"> apresenta a distribuição por gênero dos ocupantes </w:t>
      </w:r>
      <w:r w:rsidR="00C72B7D">
        <w:t>de cada nível</w:t>
      </w:r>
      <w:r w:rsidR="003F1EED">
        <w:t xml:space="preserve"> em relação ao total d</w:t>
      </w:r>
      <w:bookmarkStart w:id="42" w:name="_2svbdty0y6y2" w:colFirst="0" w:colLast="0"/>
      <w:bookmarkEnd w:id="42"/>
      <w:r w:rsidR="00C72B7D">
        <w:t xml:space="preserve">as FCs </w:t>
      </w:r>
      <w:r>
        <w:t>designadas para</w:t>
      </w:r>
      <w:r w:rsidR="00C72B7D">
        <w:t xml:space="preserve"> atividades de gestão e liderança. </w:t>
      </w:r>
    </w:p>
    <w:p w14:paraId="2748771D" w14:textId="4DB0F14C" w:rsidR="00E136DD" w:rsidRDefault="00E136DD" w:rsidP="00286131">
      <w:pPr>
        <w:pStyle w:val="Texto"/>
      </w:pPr>
    </w:p>
    <w:p w14:paraId="3A8DF065" w14:textId="1C500580" w:rsidR="003821FF" w:rsidRDefault="003821FF" w:rsidP="00FB5A95">
      <w:pPr>
        <w:pStyle w:val="TtulodaIlustrao"/>
      </w:pPr>
      <w:bookmarkStart w:id="43" w:name="_Toc208508639"/>
      <w:r>
        <w:t xml:space="preserve">Gráfico </w:t>
      </w:r>
      <w:r w:rsidR="00D953AF">
        <w:t>16</w:t>
      </w:r>
      <w:r w:rsidRPr="00286131">
        <w:rPr>
          <w:b w:val="0"/>
        </w:rPr>
        <w:t xml:space="preserve"> - Proporção de mulheres e homens nas funções comissionadas de gestão e liderança do TST, em relação ao total (%)</w:t>
      </w:r>
      <w:bookmarkEnd w:id="43"/>
    </w:p>
    <w:p w14:paraId="62D77D73" w14:textId="099498C5" w:rsidR="00E136DD" w:rsidRPr="00777082" w:rsidRDefault="006C0461" w:rsidP="001800BC">
      <w:pPr>
        <w:jc w:val="center"/>
      </w:pPr>
      <w:r>
        <w:rPr>
          <w:noProof/>
        </w:rPr>
        <w:drawing>
          <wp:inline distT="0" distB="0" distL="0" distR="0" wp14:anchorId="24B56A86" wp14:editId="3798D858">
            <wp:extent cx="4572000" cy="2743200"/>
            <wp:effectExtent l="0" t="0" r="0" b="0"/>
            <wp:docPr id="1622690736" name="Gráfico 16226907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37BF01E" w14:textId="3DA07506" w:rsidR="00E136DD" w:rsidRDefault="00E136DD" w:rsidP="001800BC">
      <w:pPr>
        <w:pStyle w:val="Fonte"/>
        <w:rPr>
          <w:b w:val="0"/>
        </w:rPr>
      </w:pPr>
      <w:r w:rsidRPr="00A739AB">
        <w:t xml:space="preserve">Fonte: </w:t>
      </w:r>
      <w:r w:rsidRPr="00081334">
        <w:rPr>
          <w:b w:val="0"/>
        </w:rPr>
        <w:t>Dados disponibilizados pelo Sistema de Recursos Humanos do TST (abril de 2025). Compilação e elaboração: CPJUD/SEPJD/CPJED</w:t>
      </w:r>
      <w:r w:rsidR="005271C1">
        <w:rPr>
          <w:b w:val="0"/>
        </w:rPr>
        <w:t>.</w:t>
      </w:r>
    </w:p>
    <w:p w14:paraId="21A68565" w14:textId="77777777" w:rsidR="008C55AB" w:rsidRDefault="008C55AB" w:rsidP="00286131">
      <w:pPr>
        <w:pStyle w:val="Texto"/>
      </w:pPr>
    </w:p>
    <w:p w14:paraId="511F2E05" w14:textId="48F195A9" w:rsidR="00F87C69" w:rsidRDefault="006A063B" w:rsidP="00286131">
      <w:pPr>
        <w:pStyle w:val="Texto"/>
      </w:pPr>
      <w:r>
        <w:t xml:space="preserve">Diante desse </w:t>
      </w:r>
      <w:r w:rsidR="009345A4">
        <w:t>quadro</w:t>
      </w:r>
      <w:r>
        <w:t>, considerou-se relevante comparar a</w:t>
      </w:r>
      <w:r w:rsidR="009345A4">
        <w:t xml:space="preserve"> </w:t>
      </w:r>
      <w:r w:rsidR="00C55D97">
        <w:t>participação</w:t>
      </w:r>
      <w:r>
        <w:t xml:space="preserve"> feminina </w:t>
      </w:r>
      <w:r w:rsidR="009345A4">
        <w:t>em</w:t>
      </w:r>
      <w:r>
        <w:t xml:space="preserve"> postos estratégicos </w:t>
      </w:r>
      <w:r w:rsidR="00303AF2">
        <w:t>n</w:t>
      </w:r>
      <w:r w:rsidR="00C55D97">
        <w:t xml:space="preserve">o TST </w:t>
      </w:r>
      <w:r>
        <w:t xml:space="preserve">com </w:t>
      </w:r>
      <w:r w:rsidR="00C55D97">
        <w:t xml:space="preserve">sua presença </w:t>
      </w:r>
      <w:r>
        <w:t xml:space="preserve">nos cargos em comissão e funções comissionadas do </w:t>
      </w:r>
      <w:r w:rsidR="009345A4">
        <w:t>Tribunal</w:t>
      </w:r>
      <w:r>
        <w:t xml:space="preserve">. </w:t>
      </w:r>
      <w:r w:rsidR="009345A4">
        <w:t>Assim</w:t>
      </w:r>
      <w:r>
        <w:t xml:space="preserve">, o </w:t>
      </w:r>
      <w:r w:rsidR="00081334">
        <w:t>Gráfico</w:t>
      </w:r>
      <w:r w:rsidR="00234D19">
        <w:t xml:space="preserve"> 17</w:t>
      </w:r>
      <w:r w:rsidR="006C0461">
        <w:t xml:space="preserve"> </w:t>
      </w:r>
      <w:r w:rsidR="009345A4">
        <w:t>compara a proporção</w:t>
      </w:r>
      <w:r w:rsidR="00E136DD">
        <w:t xml:space="preserve"> de mulheres </w:t>
      </w:r>
      <w:r w:rsidR="009345A4">
        <w:t>em cada nível de CJ e FC, de forma geral, com o percentual verificado especificamente em posições de gestão e liderança.</w:t>
      </w:r>
      <w:r w:rsidR="0085285B">
        <w:t xml:space="preserve"> Constata-se que</w:t>
      </w:r>
      <w:r w:rsidR="00E136DD">
        <w:t xml:space="preserve"> a representatividade feminina, equilibrada nos níveis superiores e com proporções de cargos gerais e cargos de</w:t>
      </w:r>
      <w:r w:rsidR="0085285B">
        <w:t xml:space="preserve"> gestão e</w:t>
      </w:r>
      <w:r w:rsidR="00E136DD">
        <w:t xml:space="preserve"> liderança que se aproximam, decresce progressivamente nos níveis inferiores. É possível observar uma queda acentuada a partir do nível CJ-01, com uma diferença expressiva no nível FC-06</w:t>
      </w:r>
      <w:r w:rsidR="00E136DD">
        <w:rPr>
          <w:vertAlign w:val="superscript"/>
        </w:rPr>
        <w:footnoteReference w:id="34"/>
      </w:r>
      <w:r w:rsidR="00E136DD">
        <w:t xml:space="preserve"> e uma redução desse desequilíbrio no nível FC-05.</w:t>
      </w:r>
    </w:p>
    <w:p w14:paraId="1507CE2A" w14:textId="77777777" w:rsidR="00834A56" w:rsidRDefault="00834A56" w:rsidP="00286131">
      <w:pPr>
        <w:pStyle w:val="Texto"/>
      </w:pPr>
    </w:p>
    <w:p w14:paraId="43406806" w14:textId="0E97D6EC" w:rsidR="003821FF" w:rsidRDefault="003821FF" w:rsidP="00FB5A95">
      <w:pPr>
        <w:pStyle w:val="TtulodaIlustrao"/>
      </w:pPr>
      <w:bookmarkStart w:id="44" w:name="_Toc208508640"/>
      <w:r>
        <w:t xml:space="preserve">Gráfico </w:t>
      </w:r>
      <w:r w:rsidR="00D953AF">
        <w:t>17</w:t>
      </w:r>
      <w:r w:rsidRPr="00286131">
        <w:rPr>
          <w:b w:val="0"/>
        </w:rPr>
        <w:t xml:space="preserve"> - Comparativo da representatividade feminina entre cargos em geral e cargos de liderança do TST (%)</w:t>
      </w:r>
      <w:r w:rsidRPr="00286131">
        <w:rPr>
          <w:rStyle w:val="Refdenotaderodap"/>
          <w:b w:val="0"/>
        </w:rPr>
        <w:footnoteReference w:id="35"/>
      </w:r>
      <w:bookmarkEnd w:id="44"/>
    </w:p>
    <w:p w14:paraId="6CEBA1CD" w14:textId="52AA23A7" w:rsidR="00F87C69" w:rsidRPr="006D5A72" w:rsidRDefault="00F87C69" w:rsidP="006D5A72">
      <w:pPr>
        <w:jc w:val="center"/>
      </w:pPr>
      <w:r w:rsidRPr="006D5A72">
        <w:rPr>
          <w:noProof/>
        </w:rPr>
        <w:drawing>
          <wp:inline distT="114300" distB="114300" distL="114300" distR="114300" wp14:anchorId="41251F47" wp14:editId="6CD0B73D">
            <wp:extent cx="5040726" cy="3042878"/>
            <wp:effectExtent l="0" t="0" r="7620" b="5715"/>
            <wp:docPr id="5" name="image13.png" descr="Gráfico"/>
            <wp:cNvGraphicFramePr/>
            <a:graphic xmlns:a="http://schemas.openxmlformats.org/drawingml/2006/main">
              <a:graphicData uri="http://schemas.openxmlformats.org/drawingml/2006/picture">
                <pic:pic xmlns:pic="http://schemas.openxmlformats.org/drawingml/2006/picture">
                  <pic:nvPicPr>
                    <pic:cNvPr id="0" name="image13.png" descr="Gráfico"/>
                    <pic:cNvPicPr preferRelativeResize="0"/>
                  </pic:nvPicPr>
                  <pic:blipFill>
                    <a:blip r:embed="rId34"/>
                    <a:srcRect/>
                    <a:stretch>
                      <a:fillRect/>
                    </a:stretch>
                  </pic:blipFill>
                  <pic:spPr>
                    <a:xfrm>
                      <a:off x="0" y="0"/>
                      <a:ext cx="5043311" cy="3044438"/>
                    </a:xfrm>
                    <a:prstGeom prst="rect">
                      <a:avLst/>
                    </a:prstGeom>
                    <a:ln/>
                  </pic:spPr>
                </pic:pic>
              </a:graphicData>
            </a:graphic>
          </wp:inline>
        </w:drawing>
      </w:r>
    </w:p>
    <w:p w14:paraId="0CA2345D" w14:textId="33FB0DB4" w:rsidR="00F87C69" w:rsidRPr="004A03D9" w:rsidRDefault="00F87C69" w:rsidP="00777082">
      <w:pPr>
        <w:pStyle w:val="Fonte"/>
        <w:rPr>
          <w:b w:val="0"/>
          <w:bCs/>
          <w:sz w:val="24"/>
        </w:rPr>
      </w:pPr>
      <w:r>
        <w:t xml:space="preserve">Fonte: </w:t>
      </w:r>
      <w:r w:rsidRPr="004A03D9">
        <w:rPr>
          <w:b w:val="0"/>
          <w:bCs/>
        </w:rPr>
        <w:t>Dados disponibilizados pelo Sistema de Recursos Humanos do TST (abril de 2025). Compilação e elaboração: CPJUD/SEPJD/CPJED</w:t>
      </w:r>
      <w:r w:rsidRPr="004A03D9">
        <w:rPr>
          <w:b w:val="0"/>
          <w:bCs/>
          <w:sz w:val="24"/>
        </w:rPr>
        <w:t>.</w:t>
      </w:r>
    </w:p>
    <w:p w14:paraId="6814B3BB" w14:textId="77777777" w:rsidR="008C55AB" w:rsidRDefault="008C55AB" w:rsidP="0085285B">
      <w:pPr>
        <w:pStyle w:val="Texto"/>
      </w:pPr>
    </w:p>
    <w:p w14:paraId="2C37FCEF" w14:textId="7AEF384F" w:rsidR="00286131" w:rsidRDefault="00286131">
      <w:pPr>
        <w:rPr>
          <w:rFonts w:asciiTheme="minorHAnsi" w:hAnsiTheme="minorHAnsi" w:cstheme="minorHAnsi"/>
          <w:noProof/>
        </w:rPr>
      </w:pPr>
      <w:r>
        <w:br w:type="page"/>
      </w:r>
    </w:p>
    <w:p w14:paraId="3D1F1B27" w14:textId="20AA3F1C" w:rsidR="004A03D9" w:rsidRDefault="004A03D9" w:rsidP="001C6456">
      <w:pPr>
        <w:pStyle w:val="Ttulo4"/>
      </w:pPr>
      <w:r>
        <w:lastRenderedPageBreak/>
        <w:t>Distribuição por gênero</w:t>
      </w:r>
      <w:r w:rsidR="006A063B">
        <w:t xml:space="preserve"> e por nível hierárquico</w:t>
      </w:r>
      <w:r>
        <w:t xml:space="preserve"> dos cargos de</w:t>
      </w:r>
      <w:r w:rsidR="00330EAB">
        <w:t xml:space="preserve"> gestão e</w:t>
      </w:r>
      <w:r>
        <w:t xml:space="preserve"> liderança do CSJT</w:t>
      </w:r>
    </w:p>
    <w:p w14:paraId="5F15A3D4" w14:textId="77777777" w:rsidR="00D953AF" w:rsidRDefault="00D953AF" w:rsidP="00D953AF">
      <w:pPr>
        <w:pStyle w:val="Texto"/>
      </w:pPr>
      <w:r>
        <w:t xml:space="preserve">O CSJT tem 135 cargos em exercício, sendo 55 ocupados por mulheres (41%) e 80 por homens (59%). Desses, </w:t>
      </w:r>
      <w:r w:rsidR="0085285B">
        <w:t xml:space="preserve">apenas </w:t>
      </w:r>
      <w:r w:rsidR="004A03D9">
        <w:t>35 cargos de gestão</w:t>
      </w:r>
      <w:r w:rsidR="0085285B">
        <w:t xml:space="preserve"> e liderança</w:t>
      </w:r>
      <w:r w:rsidR="004A03D9">
        <w:t xml:space="preserve">, sendo 15 CJs e 20 FCs. </w:t>
      </w:r>
    </w:p>
    <w:p w14:paraId="7C386D87" w14:textId="472E8E53" w:rsidR="004A03D9" w:rsidRPr="006D5A72" w:rsidRDefault="00221F78" w:rsidP="00221F78">
      <w:pPr>
        <w:pStyle w:val="Texto"/>
      </w:pPr>
      <w:bookmarkStart w:id="45" w:name="_keua0x4ohgxr" w:colFirst="0" w:colLast="0"/>
      <w:bookmarkEnd w:id="45"/>
      <w:r>
        <w:t>A Tabela 5 permite uma análise pormenorizada do quantitativo de homens e mulheres em cada um dos níveis hierárquicos de gestão e liderança. No que tange aos Cargos em Comissão (CJs), que integram os principais de liderança e gestão, os dados revelam uma notável assimetria: 4 desses postos (26,7%) são ocupados por mulheres, enquanto 11 (73,3%) são de titularidade masculina. Tal distribuição evidencia um desequilíbrio significativo quando contrastada com a composição geral de servidores em exercício no CSJT, na qual as mulheres representam 41% do efetivo. Em contrapartida, ao se analisar as Funções Comissionadas (FCs) – tidas como de liderança e gestão -, o cenário se mostra distinto. Nesses postos, 9 (45%) são ocupados por mulheres e 11 (55%) por homens, uma proporção que se alinha à distribuição de gênero observada no quadro geral de servidores do órgão.</w:t>
      </w:r>
    </w:p>
    <w:p w14:paraId="3E207BEE" w14:textId="53863FA6" w:rsidR="004A03D9" w:rsidRDefault="00070F4C" w:rsidP="00FB5A95">
      <w:pPr>
        <w:pStyle w:val="TtulodaTabela"/>
      </w:pPr>
      <w:bookmarkStart w:id="46" w:name="_Toc208510776"/>
      <w:r>
        <w:t xml:space="preserve">Tabela </w:t>
      </w:r>
      <w:r>
        <w:fldChar w:fldCharType="begin"/>
      </w:r>
      <w:r>
        <w:instrText xml:space="preserve"> SEQ Tabela \* ARABIC </w:instrText>
      </w:r>
      <w:r>
        <w:fldChar w:fldCharType="separate"/>
      </w:r>
      <w:r w:rsidR="00D85D1E">
        <w:t>5</w:t>
      </w:r>
      <w:r>
        <w:fldChar w:fldCharType="end"/>
      </w:r>
      <w:r w:rsidRPr="00286131">
        <w:rPr>
          <w:b w:val="0"/>
        </w:rPr>
        <w:t xml:space="preserve"> - Distribuição dos servidores em cargos de gestão e liderança no CSJT, por gênero</w:t>
      </w:r>
      <w:bookmarkEnd w:id="46"/>
    </w:p>
    <w:tbl>
      <w:tblPr>
        <w:tblW w:w="9000" w:type="dxa"/>
        <w:jc w:val="center"/>
        <w:tblBorders>
          <w:top w:val="single" w:sz="6" w:space="0" w:color="CCCCCC"/>
          <w:bottom w:val="single" w:sz="6" w:space="0" w:color="CCCCCC"/>
          <w:insideH w:val="single" w:sz="6" w:space="0" w:color="CCCCCC"/>
          <w:insideV w:val="single" w:sz="6" w:space="0" w:color="CCCCCC"/>
        </w:tblBorders>
        <w:tblLayout w:type="fixed"/>
        <w:tblLook w:val="0600" w:firstRow="0" w:lastRow="0" w:firstColumn="0" w:lastColumn="0" w:noHBand="1" w:noVBand="1"/>
      </w:tblPr>
      <w:tblGrid>
        <w:gridCol w:w="2160"/>
        <w:gridCol w:w="1140"/>
        <w:gridCol w:w="1140"/>
        <w:gridCol w:w="1305"/>
        <w:gridCol w:w="975"/>
        <w:gridCol w:w="1140"/>
        <w:gridCol w:w="1140"/>
      </w:tblGrid>
      <w:tr w:rsidR="00EE295F" w14:paraId="3714EB24" w14:textId="77777777" w:rsidTr="001C6456">
        <w:trPr>
          <w:trHeight w:val="345"/>
          <w:jc w:val="center"/>
        </w:trPr>
        <w:tc>
          <w:tcPr>
            <w:tcW w:w="2160" w:type="dxa"/>
            <w:shd w:val="clear" w:color="auto" w:fill="BFBFBF" w:themeFill="background1" w:themeFillShade="BF"/>
            <w:tcMar>
              <w:top w:w="40" w:type="dxa"/>
              <w:left w:w="40" w:type="dxa"/>
              <w:bottom w:w="40" w:type="dxa"/>
              <w:right w:w="40" w:type="dxa"/>
            </w:tcMar>
            <w:vAlign w:val="center"/>
          </w:tcPr>
          <w:p w14:paraId="48E60631" w14:textId="242BBEEB" w:rsidR="00EE295F" w:rsidRPr="008520F6" w:rsidRDefault="00EE295F" w:rsidP="00286131">
            <w:pPr>
              <w:widowControl w:val="0"/>
              <w:jc w:val="center"/>
              <w:rPr>
                <w:rFonts w:asciiTheme="minorHAnsi" w:hAnsiTheme="minorHAnsi" w:cstheme="minorHAnsi"/>
                <w:b/>
                <w:sz w:val="22"/>
                <w:szCs w:val="22"/>
              </w:rPr>
            </w:pPr>
            <w:r w:rsidRPr="008520F6">
              <w:rPr>
                <w:rFonts w:asciiTheme="minorHAnsi" w:hAnsiTheme="minorHAnsi" w:cstheme="minorHAnsi"/>
                <w:b/>
                <w:sz w:val="22"/>
                <w:szCs w:val="22"/>
              </w:rPr>
              <w:t>Cargos/Funções</w:t>
            </w:r>
          </w:p>
        </w:tc>
        <w:tc>
          <w:tcPr>
            <w:tcW w:w="1140" w:type="dxa"/>
            <w:shd w:val="clear" w:color="auto" w:fill="BFBFBF" w:themeFill="background1" w:themeFillShade="BF"/>
            <w:tcMar>
              <w:top w:w="40" w:type="dxa"/>
              <w:left w:w="40" w:type="dxa"/>
              <w:bottom w:w="40" w:type="dxa"/>
              <w:right w:w="40" w:type="dxa"/>
            </w:tcMar>
            <w:vAlign w:val="center"/>
          </w:tcPr>
          <w:p w14:paraId="3B885D8B" w14:textId="3D48035B"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b/>
                <w:sz w:val="22"/>
                <w:szCs w:val="22"/>
              </w:rPr>
              <w:t>Feminino</w:t>
            </w:r>
          </w:p>
        </w:tc>
        <w:tc>
          <w:tcPr>
            <w:tcW w:w="1140" w:type="dxa"/>
            <w:shd w:val="clear" w:color="auto" w:fill="BFBFBF" w:themeFill="background1" w:themeFillShade="BF"/>
            <w:tcMar>
              <w:top w:w="40" w:type="dxa"/>
              <w:left w:w="40" w:type="dxa"/>
              <w:bottom w:w="40" w:type="dxa"/>
              <w:right w:w="40" w:type="dxa"/>
            </w:tcMar>
            <w:vAlign w:val="center"/>
          </w:tcPr>
          <w:p w14:paraId="79796BDE" w14:textId="0EB58690"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b/>
                <w:sz w:val="22"/>
                <w:szCs w:val="22"/>
              </w:rPr>
              <w:t>%</w:t>
            </w:r>
          </w:p>
        </w:tc>
        <w:tc>
          <w:tcPr>
            <w:tcW w:w="1305" w:type="dxa"/>
            <w:shd w:val="clear" w:color="auto" w:fill="BFBFBF" w:themeFill="background1" w:themeFillShade="BF"/>
            <w:tcMar>
              <w:top w:w="40" w:type="dxa"/>
              <w:left w:w="40" w:type="dxa"/>
              <w:bottom w:w="40" w:type="dxa"/>
              <w:right w:w="40" w:type="dxa"/>
            </w:tcMar>
            <w:vAlign w:val="center"/>
          </w:tcPr>
          <w:p w14:paraId="422C23B3" w14:textId="64F8073F"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b/>
                <w:sz w:val="22"/>
                <w:szCs w:val="22"/>
              </w:rPr>
              <w:t>Masculino</w:t>
            </w:r>
          </w:p>
        </w:tc>
        <w:tc>
          <w:tcPr>
            <w:tcW w:w="975" w:type="dxa"/>
            <w:shd w:val="clear" w:color="auto" w:fill="BFBFBF" w:themeFill="background1" w:themeFillShade="BF"/>
            <w:tcMar>
              <w:top w:w="40" w:type="dxa"/>
              <w:left w:w="40" w:type="dxa"/>
              <w:bottom w:w="40" w:type="dxa"/>
              <w:right w:w="40" w:type="dxa"/>
            </w:tcMar>
            <w:vAlign w:val="center"/>
          </w:tcPr>
          <w:p w14:paraId="32627434" w14:textId="1A3AD9ED"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b/>
                <w:sz w:val="22"/>
                <w:szCs w:val="22"/>
              </w:rPr>
              <w:t>%</w:t>
            </w:r>
          </w:p>
        </w:tc>
        <w:tc>
          <w:tcPr>
            <w:tcW w:w="1140" w:type="dxa"/>
            <w:shd w:val="clear" w:color="auto" w:fill="BFBFBF" w:themeFill="background1" w:themeFillShade="BF"/>
            <w:tcMar>
              <w:top w:w="40" w:type="dxa"/>
              <w:left w:w="40" w:type="dxa"/>
              <w:bottom w:w="40" w:type="dxa"/>
              <w:right w:w="40" w:type="dxa"/>
            </w:tcMar>
            <w:vAlign w:val="center"/>
          </w:tcPr>
          <w:p w14:paraId="0610B122" w14:textId="5EC70B00"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Total</w:t>
            </w:r>
          </w:p>
        </w:tc>
        <w:tc>
          <w:tcPr>
            <w:tcW w:w="1140" w:type="dxa"/>
            <w:shd w:val="clear" w:color="auto" w:fill="BFBFBF" w:themeFill="background1" w:themeFillShade="BF"/>
            <w:tcMar>
              <w:top w:w="40" w:type="dxa"/>
              <w:left w:w="40" w:type="dxa"/>
              <w:bottom w:w="40" w:type="dxa"/>
              <w:right w:w="40" w:type="dxa"/>
            </w:tcMar>
            <w:vAlign w:val="center"/>
          </w:tcPr>
          <w:p w14:paraId="49680858" w14:textId="14FDD7CB"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w:t>
            </w:r>
          </w:p>
        </w:tc>
      </w:tr>
      <w:tr w:rsidR="00EE295F" w14:paraId="672A5A11" w14:textId="77777777" w:rsidTr="001C6456">
        <w:trPr>
          <w:trHeight w:val="345"/>
          <w:jc w:val="center"/>
        </w:trPr>
        <w:tc>
          <w:tcPr>
            <w:tcW w:w="2160" w:type="dxa"/>
            <w:tcMar>
              <w:top w:w="40" w:type="dxa"/>
              <w:left w:w="40" w:type="dxa"/>
              <w:bottom w:w="40" w:type="dxa"/>
              <w:right w:w="40" w:type="dxa"/>
            </w:tcMar>
            <w:vAlign w:val="center"/>
          </w:tcPr>
          <w:p w14:paraId="41280204"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b/>
                <w:sz w:val="22"/>
                <w:szCs w:val="22"/>
              </w:rPr>
              <w:t>CJ-03</w:t>
            </w:r>
          </w:p>
        </w:tc>
        <w:tc>
          <w:tcPr>
            <w:tcW w:w="1140" w:type="dxa"/>
            <w:tcMar>
              <w:top w:w="40" w:type="dxa"/>
              <w:left w:w="40" w:type="dxa"/>
              <w:bottom w:w="40" w:type="dxa"/>
              <w:right w:w="40" w:type="dxa"/>
            </w:tcMar>
            <w:vAlign w:val="center"/>
          </w:tcPr>
          <w:p w14:paraId="36E22833"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1</w:t>
            </w:r>
          </w:p>
        </w:tc>
        <w:tc>
          <w:tcPr>
            <w:tcW w:w="1140" w:type="dxa"/>
            <w:tcMar>
              <w:top w:w="40" w:type="dxa"/>
              <w:left w:w="40" w:type="dxa"/>
              <w:bottom w:w="40" w:type="dxa"/>
              <w:right w:w="40" w:type="dxa"/>
            </w:tcMar>
            <w:vAlign w:val="center"/>
          </w:tcPr>
          <w:p w14:paraId="1D2CF0B7"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16,7%</w:t>
            </w:r>
          </w:p>
        </w:tc>
        <w:tc>
          <w:tcPr>
            <w:tcW w:w="1305" w:type="dxa"/>
            <w:tcMar>
              <w:top w:w="40" w:type="dxa"/>
              <w:left w:w="40" w:type="dxa"/>
              <w:bottom w:w="40" w:type="dxa"/>
              <w:right w:w="40" w:type="dxa"/>
            </w:tcMar>
            <w:vAlign w:val="center"/>
          </w:tcPr>
          <w:p w14:paraId="601B5B32"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5</w:t>
            </w:r>
          </w:p>
        </w:tc>
        <w:tc>
          <w:tcPr>
            <w:tcW w:w="975" w:type="dxa"/>
            <w:tcMar>
              <w:top w:w="40" w:type="dxa"/>
              <w:left w:w="40" w:type="dxa"/>
              <w:bottom w:w="40" w:type="dxa"/>
              <w:right w:w="40" w:type="dxa"/>
            </w:tcMar>
            <w:vAlign w:val="center"/>
          </w:tcPr>
          <w:p w14:paraId="14866848"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83,3%</w:t>
            </w:r>
          </w:p>
        </w:tc>
        <w:tc>
          <w:tcPr>
            <w:tcW w:w="1140" w:type="dxa"/>
            <w:tcMar>
              <w:top w:w="40" w:type="dxa"/>
              <w:left w:w="40" w:type="dxa"/>
              <w:bottom w:w="40" w:type="dxa"/>
              <w:right w:w="40" w:type="dxa"/>
            </w:tcMar>
            <w:vAlign w:val="center"/>
          </w:tcPr>
          <w:p w14:paraId="035B40D7"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6</w:t>
            </w:r>
          </w:p>
        </w:tc>
        <w:tc>
          <w:tcPr>
            <w:tcW w:w="1140" w:type="dxa"/>
            <w:tcMar>
              <w:top w:w="40" w:type="dxa"/>
              <w:left w:w="40" w:type="dxa"/>
              <w:bottom w:w="40" w:type="dxa"/>
              <w:right w:w="40" w:type="dxa"/>
            </w:tcMar>
            <w:vAlign w:val="center"/>
          </w:tcPr>
          <w:p w14:paraId="5ED331CC"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17,1%</w:t>
            </w:r>
          </w:p>
        </w:tc>
      </w:tr>
      <w:tr w:rsidR="00EE295F" w14:paraId="39855FE4" w14:textId="77777777" w:rsidTr="001C6456">
        <w:trPr>
          <w:trHeight w:val="345"/>
          <w:jc w:val="center"/>
        </w:trPr>
        <w:tc>
          <w:tcPr>
            <w:tcW w:w="2160" w:type="dxa"/>
            <w:tcMar>
              <w:top w:w="40" w:type="dxa"/>
              <w:left w:w="40" w:type="dxa"/>
              <w:bottom w:w="40" w:type="dxa"/>
              <w:right w:w="40" w:type="dxa"/>
            </w:tcMar>
            <w:vAlign w:val="center"/>
          </w:tcPr>
          <w:p w14:paraId="5ECE1AC9"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b/>
                <w:sz w:val="22"/>
                <w:szCs w:val="22"/>
              </w:rPr>
              <w:t>CJ-02</w:t>
            </w:r>
          </w:p>
        </w:tc>
        <w:tc>
          <w:tcPr>
            <w:tcW w:w="1140" w:type="dxa"/>
            <w:tcMar>
              <w:top w:w="40" w:type="dxa"/>
              <w:left w:w="40" w:type="dxa"/>
              <w:bottom w:w="40" w:type="dxa"/>
              <w:right w:w="40" w:type="dxa"/>
            </w:tcMar>
            <w:vAlign w:val="center"/>
          </w:tcPr>
          <w:p w14:paraId="23E67E58"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1</w:t>
            </w:r>
          </w:p>
        </w:tc>
        <w:tc>
          <w:tcPr>
            <w:tcW w:w="1140" w:type="dxa"/>
            <w:tcMar>
              <w:top w:w="40" w:type="dxa"/>
              <w:left w:w="40" w:type="dxa"/>
              <w:bottom w:w="40" w:type="dxa"/>
              <w:right w:w="40" w:type="dxa"/>
            </w:tcMar>
            <w:vAlign w:val="center"/>
          </w:tcPr>
          <w:p w14:paraId="5C89A9F8"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20,0%</w:t>
            </w:r>
          </w:p>
        </w:tc>
        <w:tc>
          <w:tcPr>
            <w:tcW w:w="1305" w:type="dxa"/>
            <w:tcMar>
              <w:top w:w="40" w:type="dxa"/>
              <w:left w:w="40" w:type="dxa"/>
              <w:bottom w:w="40" w:type="dxa"/>
              <w:right w:w="40" w:type="dxa"/>
            </w:tcMar>
            <w:vAlign w:val="center"/>
          </w:tcPr>
          <w:p w14:paraId="284A6B2F"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4</w:t>
            </w:r>
          </w:p>
        </w:tc>
        <w:tc>
          <w:tcPr>
            <w:tcW w:w="975" w:type="dxa"/>
            <w:tcMar>
              <w:top w:w="40" w:type="dxa"/>
              <w:left w:w="40" w:type="dxa"/>
              <w:bottom w:w="40" w:type="dxa"/>
              <w:right w:w="40" w:type="dxa"/>
            </w:tcMar>
            <w:vAlign w:val="center"/>
          </w:tcPr>
          <w:p w14:paraId="49FEA69E"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80,0%</w:t>
            </w:r>
          </w:p>
        </w:tc>
        <w:tc>
          <w:tcPr>
            <w:tcW w:w="1140" w:type="dxa"/>
            <w:tcMar>
              <w:top w:w="40" w:type="dxa"/>
              <w:left w:w="40" w:type="dxa"/>
              <w:bottom w:w="40" w:type="dxa"/>
              <w:right w:w="40" w:type="dxa"/>
            </w:tcMar>
            <w:vAlign w:val="center"/>
          </w:tcPr>
          <w:p w14:paraId="494ACC3F"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5</w:t>
            </w:r>
          </w:p>
        </w:tc>
        <w:tc>
          <w:tcPr>
            <w:tcW w:w="1140" w:type="dxa"/>
            <w:tcMar>
              <w:top w:w="40" w:type="dxa"/>
              <w:left w:w="40" w:type="dxa"/>
              <w:bottom w:w="40" w:type="dxa"/>
              <w:right w:w="40" w:type="dxa"/>
            </w:tcMar>
            <w:vAlign w:val="center"/>
          </w:tcPr>
          <w:p w14:paraId="558A665A"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14,3%</w:t>
            </w:r>
          </w:p>
        </w:tc>
      </w:tr>
      <w:tr w:rsidR="00EE295F" w14:paraId="59259DDB" w14:textId="77777777" w:rsidTr="001C6456">
        <w:trPr>
          <w:trHeight w:val="345"/>
          <w:jc w:val="center"/>
        </w:trPr>
        <w:tc>
          <w:tcPr>
            <w:tcW w:w="2160" w:type="dxa"/>
            <w:tcMar>
              <w:top w:w="40" w:type="dxa"/>
              <w:left w:w="40" w:type="dxa"/>
              <w:bottom w:w="40" w:type="dxa"/>
              <w:right w:w="40" w:type="dxa"/>
            </w:tcMar>
            <w:vAlign w:val="center"/>
          </w:tcPr>
          <w:p w14:paraId="4CBC7576"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b/>
                <w:sz w:val="22"/>
                <w:szCs w:val="22"/>
              </w:rPr>
              <w:t>CJ-01</w:t>
            </w:r>
          </w:p>
        </w:tc>
        <w:tc>
          <w:tcPr>
            <w:tcW w:w="1140" w:type="dxa"/>
            <w:tcMar>
              <w:top w:w="40" w:type="dxa"/>
              <w:left w:w="40" w:type="dxa"/>
              <w:bottom w:w="40" w:type="dxa"/>
              <w:right w:w="40" w:type="dxa"/>
            </w:tcMar>
            <w:vAlign w:val="center"/>
          </w:tcPr>
          <w:p w14:paraId="74F2FC37"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2</w:t>
            </w:r>
          </w:p>
        </w:tc>
        <w:tc>
          <w:tcPr>
            <w:tcW w:w="1140" w:type="dxa"/>
            <w:tcMar>
              <w:top w:w="40" w:type="dxa"/>
              <w:left w:w="40" w:type="dxa"/>
              <w:bottom w:w="40" w:type="dxa"/>
              <w:right w:w="40" w:type="dxa"/>
            </w:tcMar>
            <w:vAlign w:val="center"/>
          </w:tcPr>
          <w:p w14:paraId="28C2CDB5"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50,0%</w:t>
            </w:r>
          </w:p>
        </w:tc>
        <w:tc>
          <w:tcPr>
            <w:tcW w:w="1305" w:type="dxa"/>
            <w:tcMar>
              <w:top w:w="40" w:type="dxa"/>
              <w:left w:w="40" w:type="dxa"/>
              <w:bottom w:w="40" w:type="dxa"/>
              <w:right w:w="40" w:type="dxa"/>
            </w:tcMar>
            <w:vAlign w:val="center"/>
          </w:tcPr>
          <w:p w14:paraId="545A58D1"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2</w:t>
            </w:r>
          </w:p>
        </w:tc>
        <w:tc>
          <w:tcPr>
            <w:tcW w:w="975" w:type="dxa"/>
            <w:tcMar>
              <w:top w:w="40" w:type="dxa"/>
              <w:left w:w="40" w:type="dxa"/>
              <w:bottom w:w="40" w:type="dxa"/>
              <w:right w:w="40" w:type="dxa"/>
            </w:tcMar>
            <w:vAlign w:val="center"/>
          </w:tcPr>
          <w:p w14:paraId="290E2F61"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50,0%</w:t>
            </w:r>
          </w:p>
        </w:tc>
        <w:tc>
          <w:tcPr>
            <w:tcW w:w="1140" w:type="dxa"/>
            <w:tcMar>
              <w:top w:w="40" w:type="dxa"/>
              <w:left w:w="40" w:type="dxa"/>
              <w:bottom w:w="40" w:type="dxa"/>
              <w:right w:w="40" w:type="dxa"/>
            </w:tcMar>
            <w:vAlign w:val="center"/>
          </w:tcPr>
          <w:p w14:paraId="203C73D5"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4</w:t>
            </w:r>
          </w:p>
        </w:tc>
        <w:tc>
          <w:tcPr>
            <w:tcW w:w="1140" w:type="dxa"/>
            <w:tcMar>
              <w:top w:w="40" w:type="dxa"/>
              <w:left w:w="40" w:type="dxa"/>
              <w:bottom w:w="40" w:type="dxa"/>
              <w:right w:w="40" w:type="dxa"/>
            </w:tcMar>
            <w:vAlign w:val="center"/>
          </w:tcPr>
          <w:p w14:paraId="4A3472D1"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11,4%</w:t>
            </w:r>
          </w:p>
        </w:tc>
      </w:tr>
      <w:tr w:rsidR="00EE295F" w14:paraId="4CAC970F" w14:textId="77777777" w:rsidTr="001C6456">
        <w:trPr>
          <w:trHeight w:val="345"/>
          <w:jc w:val="center"/>
        </w:trPr>
        <w:tc>
          <w:tcPr>
            <w:tcW w:w="2160" w:type="dxa"/>
            <w:shd w:val="clear" w:color="auto" w:fill="D9D9D9" w:themeFill="background1" w:themeFillShade="D9"/>
            <w:tcMar>
              <w:top w:w="40" w:type="dxa"/>
              <w:left w:w="40" w:type="dxa"/>
              <w:bottom w:w="40" w:type="dxa"/>
              <w:right w:w="40" w:type="dxa"/>
            </w:tcMar>
            <w:vAlign w:val="center"/>
          </w:tcPr>
          <w:p w14:paraId="1325C3E9" w14:textId="77777777" w:rsidR="00EE295F" w:rsidRPr="00286131" w:rsidRDefault="00EE295F" w:rsidP="00286131">
            <w:pPr>
              <w:widowControl w:val="0"/>
              <w:jc w:val="center"/>
              <w:rPr>
                <w:rFonts w:asciiTheme="minorHAnsi" w:hAnsiTheme="minorHAnsi" w:cstheme="minorHAnsi"/>
                <w:b/>
                <w:i/>
                <w:sz w:val="22"/>
                <w:szCs w:val="22"/>
              </w:rPr>
            </w:pPr>
            <w:r w:rsidRPr="00286131">
              <w:rPr>
                <w:rFonts w:asciiTheme="minorHAnsi" w:hAnsiTheme="minorHAnsi" w:cstheme="minorHAnsi"/>
                <w:b/>
                <w:i/>
                <w:sz w:val="22"/>
                <w:szCs w:val="22"/>
              </w:rPr>
              <w:t>Subtotal CJ'S</w:t>
            </w:r>
          </w:p>
        </w:tc>
        <w:tc>
          <w:tcPr>
            <w:tcW w:w="1140" w:type="dxa"/>
            <w:shd w:val="clear" w:color="auto" w:fill="D9D9D9" w:themeFill="background1" w:themeFillShade="D9"/>
            <w:tcMar>
              <w:top w:w="40" w:type="dxa"/>
              <w:left w:w="40" w:type="dxa"/>
              <w:bottom w:w="40" w:type="dxa"/>
              <w:right w:w="40" w:type="dxa"/>
            </w:tcMar>
            <w:vAlign w:val="center"/>
          </w:tcPr>
          <w:p w14:paraId="2AD983F5" w14:textId="77777777" w:rsidR="00EE295F" w:rsidRPr="00286131" w:rsidRDefault="00EE295F" w:rsidP="00286131">
            <w:pPr>
              <w:widowControl w:val="0"/>
              <w:jc w:val="center"/>
              <w:rPr>
                <w:rFonts w:asciiTheme="minorHAnsi" w:hAnsiTheme="minorHAnsi" w:cstheme="minorHAnsi"/>
                <w:i/>
                <w:sz w:val="22"/>
                <w:szCs w:val="22"/>
              </w:rPr>
            </w:pPr>
            <w:r w:rsidRPr="00286131">
              <w:rPr>
                <w:rFonts w:asciiTheme="minorHAnsi" w:hAnsiTheme="minorHAnsi" w:cstheme="minorHAnsi"/>
                <w:i/>
                <w:sz w:val="22"/>
                <w:szCs w:val="22"/>
              </w:rPr>
              <w:t>4</w:t>
            </w:r>
          </w:p>
        </w:tc>
        <w:tc>
          <w:tcPr>
            <w:tcW w:w="1140" w:type="dxa"/>
            <w:shd w:val="clear" w:color="auto" w:fill="D9D9D9" w:themeFill="background1" w:themeFillShade="D9"/>
            <w:tcMar>
              <w:top w:w="40" w:type="dxa"/>
              <w:left w:w="40" w:type="dxa"/>
              <w:bottom w:w="40" w:type="dxa"/>
              <w:right w:w="40" w:type="dxa"/>
            </w:tcMar>
            <w:vAlign w:val="center"/>
          </w:tcPr>
          <w:p w14:paraId="75A81E53" w14:textId="77777777" w:rsidR="00EE295F" w:rsidRPr="00286131" w:rsidRDefault="00EE295F" w:rsidP="00286131">
            <w:pPr>
              <w:widowControl w:val="0"/>
              <w:jc w:val="center"/>
              <w:rPr>
                <w:rFonts w:asciiTheme="minorHAnsi" w:hAnsiTheme="minorHAnsi" w:cstheme="minorHAnsi"/>
                <w:i/>
                <w:sz w:val="22"/>
                <w:szCs w:val="22"/>
              </w:rPr>
            </w:pPr>
            <w:r w:rsidRPr="00286131">
              <w:rPr>
                <w:rFonts w:asciiTheme="minorHAnsi" w:hAnsiTheme="minorHAnsi" w:cstheme="minorHAnsi"/>
                <w:i/>
                <w:sz w:val="22"/>
                <w:szCs w:val="22"/>
              </w:rPr>
              <w:t>26,7%</w:t>
            </w:r>
          </w:p>
        </w:tc>
        <w:tc>
          <w:tcPr>
            <w:tcW w:w="1305" w:type="dxa"/>
            <w:shd w:val="clear" w:color="auto" w:fill="D9D9D9" w:themeFill="background1" w:themeFillShade="D9"/>
            <w:tcMar>
              <w:top w:w="40" w:type="dxa"/>
              <w:left w:w="40" w:type="dxa"/>
              <w:bottom w:w="40" w:type="dxa"/>
              <w:right w:w="40" w:type="dxa"/>
            </w:tcMar>
            <w:vAlign w:val="center"/>
          </w:tcPr>
          <w:p w14:paraId="4DA04B91" w14:textId="77777777" w:rsidR="00EE295F" w:rsidRPr="00286131" w:rsidRDefault="00EE295F" w:rsidP="00286131">
            <w:pPr>
              <w:widowControl w:val="0"/>
              <w:jc w:val="center"/>
              <w:rPr>
                <w:rFonts w:asciiTheme="minorHAnsi" w:hAnsiTheme="minorHAnsi" w:cstheme="minorHAnsi"/>
                <w:i/>
                <w:sz w:val="22"/>
                <w:szCs w:val="22"/>
              </w:rPr>
            </w:pPr>
            <w:r w:rsidRPr="00286131">
              <w:rPr>
                <w:rFonts w:asciiTheme="minorHAnsi" w:hAnsiTheme="minorHAnsi" w:cstheme="minorHAnsi"/>
                <w:i/>
                <w:sz w:val="22"/>
                <w:szCs w:val="22"/>
              </w:rPr>
              <w:t>11</w:t>
            </w:r>
          </w:p>
        </w:tc>
        <w:tc>
          <w:tcPr>
            <w:tcW w:w="975" w:type="dxa"/>
            <w:shd w:val="clear" w:color="auto" w:fill="D9D9D9" w:themeFill="background1" w:themeFillShade="D9"/>
            <w:tcMar>
              <w:top w:w="40" w:type="dxa"/>
              <w:left w:w="40" w:type="dxa"/>
              <w:bottom w:w="40" w:type="dxa"/>
              <w:right w:w="40" w:type="dxa"/>
            </w:tcMar>
            <w:vAlign w:val="center"/>
          </w:tcPr>
          <w:p w14:paraId="197FC56E" w14:textId="77777777" w:rsidR="00EE295F" w:rsidRPr="00286131" w:rsidRDefault="00EE295F" w:rsidP="00286131">
            <w:pPr>
              <w:widowControl w:val="0"/>
              <w:jc w:val="center"/>
              <w:rPr>
                <w:rFonts w:asciiTheme="minorHAnsi" w:hAnsiTheme="minorHAnsi" w:cstheme="minorHAnsi"/>
                <w:i/>
                <w:sz w:val="22"/>
                <w:szCs w:val="22"/>
              </w:rPr>
            </w:pPr>
            <w:r w:rsidRPr="00286131">
              <w:rPr>
                <w:rFonts w:asciiTheme="minorHAnsi" w:hAnsiTheme="minorHAnsi" w:cstheme="minorHAnsi"/>
                <w:i/>
                <w:sz w:val="22"/>
                <w:szCs w:val="22"/>
              </w:rPr>
              <w:t>73,3%</w:t>
            </w:r>
          </w:p>
        </w:tc>
        <w:tc>
          <w:tcPr>
            <w:tcW w:w="1140" w:type="dxa"/>
            <w:shd w:val="clear" w:color="auto" w:fill="D9D9D9" w:themeFill="background1" w:themeFillShade="D9"/>
            <w:tcMar>
              <w:top w:w="40" w:type="dxa"/>
              <w:left w:w="40" w:type="dxa"/>
              <w:bottom w:w="40" w:type="dxa"/>
              <w:right w:w="40" w:type="dxa"/>
            </w:tcMar>
            <w:vAlign w:val="center"/>
          </w:tcPr>
          <w:p w14:paraId="55C5D8F0" w14:textId="77777777" w:rsidR="00EE295F" w:rsidRPr="00286131" w:rsidRDefault="00EE295F" w:rsidP="00286131">
            <w:pPr>
              <w:widowControl w:val="0"/>
              <w:jc w:val="center"/>
              <w:rPr>
                <w:rFonts w:asciiTheme="minorHAnsi" w:hAnsiTheme="minorHAnsi" w:cstheme="minorHAnsi"/>
                <w:b/>
                <w:i/>
                <w:sz w:val="22"/>
                <w:szCs w:val="22"/>
              </w:rPr>
            </w:pPr>
            <w:r w:rsidRPr="00286131">
              <w:rPr>
                <w:rFonts w:asciiTheme="minorHAnsi" w:hAnsiTheme="minorHAnsi" w:cstheme="minorHAnsi"/>
                <w:b/>
                <w:i/>
                <w:sz w:val="22"/>
                <w:szCs w:val="22"/>
              </w:rPr>
              <w:t>15</w:t>
            </w:r>
          </w:p>
        </w:tc>
        <w:tc>
          <w:tcPr>
            <w:tcW w:w="1140" w:type="dxa"/>
            <w:shd w:val="clear" w:color="auto" w:fill="D9D9D9" w:themeFill="background1" w:themeFillShade="D9"/>
            <w:tcMar>
              <w:top w:w="40" w:type="dxa"/>
              <w:left w:w="40" w:type="dxa"/>
              <w:bottom w:w="40" w:type="dxa"/>
              <w:right w:w="40" w:type="dxa"/>
            </w:tcMar>
            <w:vAlign w:val="center"/>
          </w:tcPr>
          <w:p w14:paraId="22205012" w14:textId="77777777" w:rsidR="00EE295F" w:rsidRPr="00286131" w:rsidRDefault="00EE295F" w:rsidP="00286131">
            <w:pPr>
              <w:widowControl w:val="0"/>
              <w:jc w:val="center"/>
              <w:rPr>
                <w:rFonts w:asciiTheme="minorHAnsi" w:hAnsiTheme="minorHAnsi" w:cstheme="minorHAnsi"/>
                <w:b/>
                <w:i/>
                <w:sz w:val="22"/>
                <w:szCs w:val="22"/>
              </w:rPr>
            </w:pPr>
            <w:r w:rsidRPr="00286131">
              <w:rPr>
                <w:rFonts w:asciiTheme="minorHAnsi" w:hAnsiTheme="minorHAnsi" w:cstheme="minorHAnsi"/>
                <w:b/>
                <w:i/>
                <w:sz w:val="22"/>
                <w:szCs w:val="22"/>
              </w:rPr>
              <w:t>42,9%</w:t>
            </w:r>
          </w:p>
        </w:tc>
      </w:tr>
      <w:tr w:rsidR="00EE295F" w14:paraId="2C23F106" w14:textId="77777777" w:rsidTr="001C6456">
        <w:trPr>
          <w:trHeight w:val="345"/>
          <w:jc w:val="center"/>
        </w:trPr>
        <w:tc>
          <w:tcPr>
            <w:tcW w:w="2160" w:type="dxa"/>
            <w:tcMar>
              <w:top w:w="40" w:type="dxa"/>
              <w:left w:w="40" w:type="dxa"/>
              <w:bottom w:w="40" w:type="dxa"/>
              <w:right w:w="40" w:type="dxa"/>
            </w:tcMar>
            <w:vAlign w:val="center"/>
          </w:tcPr>
          <w:p w14:paraId="142BF018"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b/>
                <w:sz w:val="22"/>
                <w:szCs w:val="22"/>
              </w:rPr>
              <w:t>FC-06</w:t>
            </w:r>
          </w:p>
        </w:tc>
        <w:tc>
          <w:tcPr>
            <w:tcW w:w="1140" w:type="dxa"/>
            <w:tcMar>
              <w:top w:w="40" w:type="dxa"/>
              <w:left w:w="40" w:type="dxa"/>
              <w:bottom w:w="40" w:type="dxa"/>
              <w:right w:w="40" w:type="dxa"/>
            </w:tcMar>
            <w:vAlign w:val="center"/>
          </w:tcPr>
          <w:p w14:paraId="74A693CB"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4</w:t>
            </w:r>
          </w:p>
        </w:tc>
        <w:tc>
          <w:tcPr>
            <w:tcW w:w="1140" w:type="dxa"/>
            <w:tcMar>
              <w:top w:w="40" w:type="dxa"/>
              <w:left w:w="40" w:type="dxa"/>
              <w:bottom w:w="40" w:type="dxa"/>
              <w:right w:w="40" w:type="dxa"/>
            </w:tcMar>
            <w:vAlign w:val="center"/>
          </w:tcPr>
          <w:p w14:paraId="3580D319"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44,4%</w:t>
            </w:r>
          </w:p>
        </w:tc>
        <w:tc>
          <w:tcPr>
            <w:tcW w:w="1305" w:type="dxa"/>
            <w:tcMar>
              <w:top w:w="40" w:type="dxa"/>
              <w:left w:w="40" w:type="dxa"/>
              <w:bottom w:w="40" w:type="dxa"/>
              <w:right w:w="40" w:type="dxa"/>
            </w:tcMar>
            <w:vAlign w:val="center"/>
          </w:tcPr>
          <w:p w14:paraId="2A2F45C4"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5</w:t>
            </w:r>
          </w:p>
        </w:tc>
        <w:tc>
          <w:tcPr>
            <w:tcW w:w="975" w:type="dxa"/>
            <w:tcMar>
              <w:top w:w="40" w:type="dxa"/>
              <w:left w:w="40" w:type="dxa"/>
              <w:bottom w:w="40" w:type="dxa"/>
              <w:right w:w="40" w:type="dxa"/>
            </w:tcMar>
            <w:vAlign w:val="center"/>
          </w:tcPr>
          <w:p w14:paraId="72944851"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55,6%</w:t>
            </w:r>
          </w:p>
        </w:tc>
        <w:tc>
          <w:tcPr>
            <w:tcW w:w="1140" w:type="dxa"/>
            <w:tcMar>
              <w:top w:w="40" w:type="dxa"/>
              <w:left w:w="40" w:type="dxa"/>
              <w:bottom w:w="40" w:type="dxa"/>
              <w:right w:w="40" w:type="dxa"/>
            </w:tcMar>
            <w:vAlign w:val="center"/>
          </w:tcPr>
          <w:p w14:paraId="3DA73CA5"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9</w:t>
            </w:r>
          </w:p>
        </w:tc>
        <w:tc>
          <w:tcPr>
            <w:tcW w:w="1140" w:type="dxa"/>
            <w:tcMar>
              <w:top w:w="40" w:type="dxa"/>
              <w:left w:w="40" w:type="dxa"/>
              <w:bottom w:w="40" w:type="dxa"/>
              <w:right w:w="40" w:type="dxa"/>
            </w:tcMar>
            <w:vAlign w:val="center"/>
          </w:tcPr>
          <w:p w14:paraId="53CE4B19"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25,7%</w:t>
            </w:r>
          </w:p>
        </w:tc>
      </w:tr>
      <w:tr w:rsidR="00EE295F" w14:paraId="7C051D5B" w14:textId="77777777" w:rsidTr="001C6456">
        <w:trPr>
          <w:trHeight w:val="345"/>
          <w:jc w:val="center"/>
        </w:trPr>
        <w:tc>
          <w:tcPr>
            <w:tcW w:w="2160" w:type="dxa"/>
            <w:tcMar>
              <w:top w:w="40" w:type="dxa"/>
              <w:left w:w="40" w:type="dxa"/>
              <w:bottom w:w="40" w:type="dxa"/>
              <w:right w:w="40" w:type="dxa"/>
            </w:tcMar>
            <w:vAlign w:val="center"/>
          </w:tcPr>
          <w:p w14:paraId="79E23F14"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b/>
                <w:sz w:val="22"/>
                <w:szCs w:val="22"/>
              </w:rPr>
              <w:t>FC-05</w:t>
            </w:r>
          </w:p>
        </w:tc>
        <w:tc>
          <w:tcPr>
            <w:tcW w:w="1140" w:type="dxa"/>
            <w:tcMar>
              <w:top w:w="40" w:type="dxa"/>
              <w:left w:w="40" w:type="dxa"/>
              <w:bottom w:w="40" w:type="dxa"/>
              <w:right w:w="40" w:type="dxa"/>
            </w:tcMar>
            <w:vAlign w:val="center"/>
          </w:tcPr>
          <w:p w14:paraId="779AE28A"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5</w:t>
            </w:r>
          </w:p>
        </w:tc>
        <w:tc>
          <w:tcPr>
            <w:tcW w:w="1140" w:type="dxa"/>
            <w:tcMar>
              <w:top w:w="40" w:type="dxa"/>
              <w:left w:w="40" w:type="dxa"/>
              <w:bottom w:w="40" w:type="dxa"/>
              <w:right w:w="40" w:type="dxa"/>
            </w:tcMar>
            <w:vAlign w:val="center"/>
          </w:tcPr>
          <w:p w14:paraId="0BF1C724"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45,5%</w:t>
            </w:r>
          </w:p>
        </w:tc>
        <w:tc>
          <w:tcPr>
            <w:tcW w:w="1305" w:type="dxa"/>
            <w:tcMar>
              <w:top w:w="40" w:type="dxa"/>
              <w:left w:w="40" w:type="dxa"/>
              <w:bottom w:w="40" w:type="dxa"/>
              <w:right w:w="40" w:type="dxa"/>
            </w:tcMar>
            <w:vAlign w:val="center"/>
          </w:tcPr>
          <w:p w14:paraId="55715F0F"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6</w:t>
            </w:r>
          </w:p>
        </w:tc>
        <w:tc>
          <w:tcPr>
            <w:tcW w:w="975" w:type="dxa"/>
            <w:tcMar>
              <w:top w:w="40" w:type="dxa"/>
              <w:left w:w="40" w:type="dxa"/>
              <w:bottom w:w="40" w:type="dxa"/>
              <w:right w:w="40" w:type="dxa"/>
            </w:tcMar>
            <w:vAlign w:val="center"/>
          </w:tcPr>
          <w:p w14:paraId="79589804"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54,5%</w:t>
            </w:r>
          </w:p>
        </w:tc>
        <w:tc>
          <w:tcPr>
            <w:tcW w:w="1140" w:type="dxa"/>
            <w:tcMar>
              <w:top w:w="40" w:type="dxa"/>
              <w:left w:w="40" w:type="dxa"/>
              <w:bottom w:w="40" w:type="dxa"/>
              <w:right w:w="40" w:type="dxa"/>
            </w:tcMar>
            <w:vAlign w:val="center"/>
          </w:tcPr>
          <w:p w14:paraId="56CCBBED"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11</w:t>
            </w:r>
          </w:p>
        </w:tc>
        <w:tc>
          <w:tcPr>
            <w:tcW w:w="1140" w:type="dxa"/>
            <w:tcMar>
              <w:top w:w="40" w:type="dxa"/>
              <w:left w:w="40" w:type="dxa"/>
              <w:bottom w:w="40" w:type="dxa"/>
              <w:right w:w="40" w:type="dxa"/>
            </w:tcMar>
            <w:vAlign w:val="center"/>
          </w:tcPr>
          <w:p w14:paraId="07525149"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31,4%</w:t>
            </w:r>
          </w:p>
        </w:tc>
      </w:tr>
      <w:tr w:rsidR="00EE295F" w14:paraId="7493BC7F" w14:textId="77777777" w:rsidTr="001C6456">
        <w:trPr>
          <w:trHeight w:val="345"/>
          <w:jc w:val="center"/>
        </w:trPr>
        <w:tc>
          <w:tcPr>
            <w:tcW w:w="2160" w:type="dxa"/>
            <w:shd w:val="clear" w:color="auto" w:fill="D9D9D9" w:themeFill="background1" w:themeFillShade="D9"/>
            <w:tcMar>
              <w:top w:w="40" w:type="dxa"/>
              <w:left w:w="40" w:type="dxa"/>
              <w:bottom w:w="40" w:type="dxa"/>
              <w:right w:w="40" w:type="dxa"/>
            </w:tcMar>
            <w:vAlign w:val="center"/>
          </w:tcPr>
          <w:p w14:paraId="6B4422F8" w14:textId="77777777" w:rsidR="00EE295F" w:rsidRPr="00286131" w:rsidRDefault="00EE295F" w:rsidP="00286131">
            <w:pPr>
              <w:widowControl w:val="0"/>
              <w:jc w:val="center"/>
              <w:rPr>
                <w:rFonts w:asciiTheme="minorHAnsi" w:hAnsiTheme="minorHAnsi" w:cstheme="minorHAnsi"/>
                <w:b/>
                <w:i/>
                <w:sz w:val="22"/>
                <w:szCs w:val="22"/>
              </w:rPr>
            </w:pPr>
            <w:r w:rsidRPr="00286131">
              <w:rPr>
                <w:rFonts w:asciiTheme="minorHAnsi" w:hAnsiTheme="minorHAnsi" w:cstheme="minorHAnsi"/>
                <w:b/>
                <w:i/>
                <w:sz w:val="22"/>
                <w:szCs w:val="22"/>
              </w:rPr>
              <w:t>Subtotal FC'S</w:t>
            </w:r>
          </w:p>
        </w:tc>
        <w:tc>
          <w:tcPr>
            <w:tcW w:w="1140" w:type="dxa"/>
            <w:shd w:val="clear" w:color="auto" w:fill="D9D9D9" w:themeFill="background1" w:themeFillShade="D9"/>
            <w:tcMar>
              <w:top w:w="40" w:type="dxa"/>
              <w:left w:w="40" w:type="dxa"/>
              <w:bottom w:w="40" w:type="dxa"/>
              <w:right w:w="40" w:type="dxa"/>
            </w:tcMar>
            <w:vAlign w:val="center"/>
          </w:tcPr>
          <w:p w14:paraId="2FFE6820" w14:textId="77777777" w:rsidR="00EE295F" w:rsidRPr="00286131" w:rsidRDefault="00EE295F" w:rsidP="00286131">
            <w:pPr>
              <w:widowControl w:val="0"/>
              <w:jc w:val="center"/>
              <w:rPr>
                <w:rFonts w:asciiTheme="minorHAnsi" w:hAnsiTheme="minorHAnsi" w:cstheme="minorHAnsi"/>
                <w:i/>
                <w:sz w:val="22"/>
                <w:szCs w:val="22"/>
              </w:rPr>
            </w:pPr>
            <w:r w:rsidRPr="00286131">
              <w:rPr>
                <w:rFonts w:asciiTheme="minorHAnsi" w:hAnsiTheme="minorHAnsi" w:cstheme="minorHAnsi"/>
                <w:i/>
                <w:sz w:val="22"/>
                <w:szCs w:val="22"/>
              </w:rPr>
              <w:t>9</w:t>
            </w:r>
          </w:p>
        </w:tc>
        <w:tc>
          <w:tcPr>
            <w:tcW w:w="1140" w:type="dxa"/>
            <w:shd w:val="clear" w:color="auto" w:fill="D9D9D9" w:themeFill="background1" w:themeFillShade="D9"/>
            <w:tcMar>
              <w:top w:w="40" w:type="dxa"/>
              <w:left w:w="40" w:type="dxa"/>
              <w:bottom w:w="40" w:type="dxa"/>
              <w:right w:w="40" w:type="dxa"/>
            </w:tcMar>
            <w:vAlign w:val="center"/>
          </w:tcPr>
          <w:p w14:paraId="4DED59FB" w14:textId="77777777" w:rsidR="00EE295F" w:rsidRPr="00286131" w:rsidRDefault="00EE295F" w:rsidP="00286131">
            <w:pPr>
              <w:widowControl w:val="0"/>
              <w:jc w:val="center"/>
              <w:rPr>
                <w:rFonts w:asciiTheme="minorHAnsi" w:hAnsiTheme="minorHAnsi" w:cstheme="minorHAnsi"/>
                <w:i/>
                <w:sz w:val="22"/>
                <w:szCs w:val="22"/>
              </w:rPr>
            </w:pPr>
            <w:r w:rsidRPr="00286131">
              <w:rPr>
                <w:rFonts w:asciiTheme="minorHAnsi" w:hAnsiTheme="minorHAnsi" w:cstheme="minorHAnsi"/>
                <w:i/>
                <w:sz w:val="22"/>
                <w:szCs w:val="22"/>
              </w:rPr>
              <w:t>45,0%</w:t>
            </w:r>
          </w:p>
        </w:tc>
        <w:tc>
          <w:tcPr>
            <w:tcW w:w="1305" w:type="dxa"/>
            <w:shd w:val="clear" w:color="auto" w:fill="D9D9D9" w:themeFill="background1" w:themeFillShade="D9"/>
            <w:tcMar>
              <w:top w:w="40" w:type="dxa"/>
              <w:left w:w="40" w:type="dxa"/>
              <w:bottom w:w="40" w:type="dxa"/>
              <w:right w:w="40" w:type="dxa"/>
            </w:tcMar>
            <w:vAlign w:val="center"/>
          </w:tcPr>
          <w:p w14:paraId="25A1E187" w14:textId="77777777" w:rsidR="00EE295F" w:rsidRPr="00286131" w:rsidRDefault="00EE295F" w:rsidP="00286131">
            <w:pPr>
              <w:widowControl w:val="0"/>
              <w:jc w:val="center"/>
              <w:rPr>
                <w:rFonts w:asciiTheme="minorHAnsi" w:hAnsiTheme="minorHAnsi" w:cstheme="minorHAnsi"/>
                <w:i/>
                <w:sz w:val="22"/>
                <w:szCs w:val="22"/>
              </w:rPr>
            </w:pPr>
            <w:r w:rsidRPr="00286131">
              <w:rPr>
                <w:rFonts w:asciiTheme="minorHAnsi" w:hAnsiTheme="minorHAnsi" w:cstheme="minorHAnsi"/>
                <w:i/>
                <w:sz w:val="22"/>
                <w:szCs w:val="22"/>
              </w:rPr>
              <w:t>11</w:t>
            </w:r>
          </w:p>
        </w:tc>
        <w:tc>
          <w:tcPr>
            <w:tcW w:w="975" w:type="dxa"/>
            <w:shd w:val="clear" w:color="auto" w:fill="D9D9D9" w:themeFill="background1" w:themeFillShade="D9"/>
            <w:tcMar>
              <w:top w:w="40" w:type="dxa"/>
              <w:left w:w="40" w:type="dxa"/>
              <w:bottom w:w="40" w:type="dxa"/>
              <w:right w:w="40" w:type="dxa"/>
            </w:tcMar>
            <w:vAlign w:val="center"/>
          </w:tcPr>
          <w:p w14:paraId="4E55CEBC" w14:textId="77777777" w:rsidR="00EE295F" w:rsidRPr="00286131" w:rsidRDefault="00EE295F" w:rsidP="00286131">
            <w:pPr>
              <w:widowControl w:val="0"/>
              <w:jc w:val="center"/>
              <w:rPr>
                <w:rFonts w:asciiTheme="minorHAnsi" w:hAnsiTheme="minorHAnsi" w:cstheme="minorHAnsi"/>
                <w:i/>
                <w:sz w:val="22"/>
                <w:szCs w:val="22"/>
              </w:rPr>
            </w:pPr>
            <w:r w:rsidRPr="00286131">
              <w:rPr>
                <w:rFonts w:asciiTheme="minorHAnsi" w:hAnsiTheme="minorHAnsi" w:cstheme="minorHAnsi"/>
                <w:i/>
                <w:sz w:val="22"/>
                <w:szCs w:val="22"/>
              </w:rPr>
              <w:t>55,0%</w:t>
            </w:r>
          </w:p>
        </w:tc>
        <w:tc>
          <w:tcPr>
            <w:tcW w:w="1140" w:type="dxa"/>
            <w:shd w:val="clear" w:color="auto" w:fill="D9D9D9" w:themeFill="background1" w:themeFillShade="D9"/>
            <w:tcMar>
              <w:top w:w="40" w:type="dxa"/>
              <w:left w:w="40" w:type="dxa"/>
              <w:bottom w:w="40" w:type="dxa"/>
              <w:right w:w="40" w:type="dxa"/>
            </w:tcMar>
            <w:vAlign w:val="center"/>
          </w:tcPr>
          <w:p w14:paraId="4CE8E234" w14:textId="77777777" w:rsidR="00EE295F" w:rsidRPr="00286131" w:rsidRDefault="00EE295F" w:rsidP="00286131">
            <w:pPr>
              <w:widowControl w:val="0"/>
              <w:jc w:val="center"/>
              <w:rPr>
                <w:rFonts w:asciiTheme="minorHAnsi" w:hAnsiTheme="minorHAnsi" w:cstheme="minorHAnsi"/>
                <w:b/>
                <w:i/>
                <w:sz w:val="22"/>
                <w:szCs w:val="22"/>
              </w:rPr>
            </w:pPr>
            <w:r w:rsidRPr="00286131">
              <w:rPr>
                <w:rFonts w:asciiTheme="minorHAnsi" w:hAnsiTheme="minorHAnsi" w:cstheme="minorHAnsi"/>
                <w:b/>
                <w:i/>
                <w:sz w:val="22"/>
                <w:szCs w:val="22"/>
              </w:rPr>
              <w:t>20</w:t>
            </w:r>
          </w:p>
        </w:tc>
        <w:tc>
          <w:tcPr>
            <w:tcW w:w="1140" w:type="dxa"/>
            <w:shd w:val="clear" w:color="auto" w:fill="D9D9D9" w:themeFill="background1" w:themeFillShade="D9"/>
            <w:tcMar>
              <w:top w:w="40" w:type="dxa"/>
              <w:left w:w="40" w:type="dxa"/>
              <w:bottom w:w="40" w:type="dxa"/>
              <w:right w:w="40" w:type="dxa"/>
            </w:tcMar>
            <w:vAlign w:val="center"/>
          </w:tcPr>
          <w:p w14:paraId="1D3AD1EA" w14:textId="77777777" w:rsidR="00EE295F" w:rsidRPr="00286131" w:rsidRDefault="00EE295F" w:rsidP="00286131">
            <w:pPr>
              <w:widowControl w:val="0"/>
              <w:jc w:val="center"/>
              <w:rPr>
                <w:rFonts w:asciiTheme="minorHAnsi" w:hAnsiTheme="minorHAnsi" w:cstheme="minorHAnsi"/>
                <w:b/>
                <w:i/>
                <w:sz w:val="22"/>
                <w:szCs w:val="22"/>
              </w:rPr>
            </w:pPr>
            <w:r w:rsidRPr="00286131">
              <w:rPr>
                <w:rFonts w:asciiTheme="minorHAnsi" w:hAnsiTheme="minorHAnsi" w:cstheme="minorHAnsi"/>
                <w:b/>
                <w:i/>
                <w:sz w:val="22"/>
                <w:szCs w:val="22"/>
              </w:rPr>
              <w:t>57,1%</w:t>
            </w:r>
          </w:p>
        </w:tc>
      </w:tr>
      <w:tr w:rsidR="00EE295F" w14:paraId="1088C7CB" w14:textId="77777777" w:rsidTr="001C6456">
        <w:trPr>
          <w:trHeight w:val="345"/>
          <w:jc w:val="center"/>
        </w:trPr>
        <w:tc>
          <w:tcPr>
            <w:tcW w:w="2160" w:type="dxa"/>
            <w:shd w:val="clear" w:color="auto" w:fill="BFBFBF" w:themeFill="background1" w:themeFillShade="BF"/>
            <w:tcMar>
              <w:top w:w="40" w:type="dxa"/>
              <w:left w:w="40" w:type="dxa"/>
              <w:bottom w:w="40" w:type="dxa"/>
              <w:right w:w="40" w:type="dxa"/>
            </w:tcMar>
            <w:vAlign w:val="center"/>
          </w:tcPr>
          <w:p w14:paraId="62B340B5"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b/>
                <w:sz w:val="22"/>
                <w:szCs w:val="22"/>
              </w:rPr>
              <w:t>Total</w:t>
            </w:r>
          </w:p>
        </w:tc>
        <w:tc>
          <w:tcPr>
            <w:tcW w:w="1140" w:type="dxa"/>
            <w:shd w:val="clear" w:color="auto" w:fill="BFBFBF" w:themeFill="background1" w:themeFillShade="BF"/>
            <w:tcMar>
              <w:top w:w="40" w:type="dxa"/>
              <w:left w:w="40" w:type="dxa"/>
              <w:bottom w:w="40" w:type="dxa"/>
              <w:right w:w="40" w:type="dxa"/>
            </w:tcMar>
            <w:vAlign w:val="center"/>
          </w:tcPr>
          <w:p w14:paraId="11C6413D"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13</w:t>
            </w:r>
          </w:p>
        </w:tc>
        <w:tc>
          <w:tcPr>
            <w:tcW w:w="1140" w:type="dxa"/>
            <w:shd w:val="clear" w:color="auto" w:fill="BFBFBF" w:themeFill="background1" w:themeFillShade="BF"/>
            <w:tcMar>
              <w:top w:w="40" w:type="dxa"/>
              <w:left w:w="40" w:type="dxa"/>
              <w:bottom w:w="40" w:type="dxa"/>
              <w:right w:w="40" w:type="dxa"/>
            </w:tcMar>
            <w:vAlign w:val="center"/>
          </w:tcPr>
          <w:p w14:paraId="7DC180B2"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37,1%</w:t>
            </w:r>
          </w:p>
        </w:tc>
        <w:tc>
          <w:tcPr>
            <w:tcW w:w="1305" w:type="dxa"/>
            <w:shd w:val="clear" w:color="auto" w:fill="BFBFBF" w:themeFill="background1" w:themeFillShade="BF"/>
            <w:tcMar>
              <w:top w:w="40" w:type="dxa"/>
              <w:left w:w="40" w:type="dxa"/>
              <w:bottom w:w="40" w:type="dxa"/>
              <w:right w:w="40" w:type="dxa"/>
            </w:tcMar>
            <w:vAlign w:val="center"/>
          </w:tcPr>
          <w:p w14:paraId="03732E12"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22</w:t>
            </w:r>
          </w:p>
        </w:tc>
        <w:tc>
          <w:tcPr>
            <w:tcW w:w="975" w:type="dxa"/>
            <w:shd w:val="clear" w:color="auto" w:fill="BFBFBF" w:themeFill="background1" w:themeFillShade="BF"/>
            <w:tcMar>
              <w:top w:w="40" w:type="dxa"/>
              <w:left w:w="40" w:type="dxa"/>
              <w:bottom w:w="40" w:type="dxa"/>
              <w:right w:w="40" w:type="dxa"/>
            </w:tcMar>
            <w:vAlign w:val="center"/>
          </w:tcPr>
          <w:p w14:paraId="74BB1053" w14:textId="77777777" w:rsidR="00EE295F" w:rsidRPr="008520F6" w:rsidRDefault="00EE295F" w:rsidP="00286131">
            <w:pPr>
              <w:widowControl w:val="0"/>
              <w:jc w:val="center"/>
              <w:rPr>
                <w:rFonts w:asciiTheme="minorHAnsi" w:hAnsiTheme="minorHAnsi" w:cstheme="minorHAnsi"/>
                <w:sz w:val="22"/>
                <w:szCs w:val="22"/>
              </w:rPr>
            </w:pPr>
            <w:r w:rsidRPr="008520F6">
              <w:rPr>
                <w:rFonts w:asciiTheme="minorHAnsi" w:hAnsiTheme="minorHAnsi" w:cstheme="minorHAnsi"/>
                <w:sz w:val="22"/>
                <w:szCs w:val="22"/>
              </w:rPr>
              <w:t>62,9%</w:t>
            </w:r>
          </w:p>
        </w:tc>
        <w:tc>
          <w:tcPr>
            <w:tcW w:w="1140" w:type="dxa"/>
            <w:shd w:val="clear" w:color="auto" w:fill="BFBFBF" w:themeFill="background1" w:themeFillShade="BF"/>
            <w:tcMar>
              <w:top w:w="40" w:type="dxa"/>
              <w:left w:w="40" w:type="dxa"/>
              <w:bottom w:w="40" w:type="dxa"/>
              <w:right w:w="40" w:type="dxa"/>
            </w:tcMar>
            <w:vAlign w:val="center"/>
          </w:tcPr>
          <w:p w14:paraId="476E2B4D"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35</w:t>
            </w:r>
          </w:p>
        </w:tc>
        <w:tc>
          <w:tcPr>
            <w:tcW w:w="1140" w:type="dxa"/>
            <w:shd w:val="clear" w:color="auto" w:fill="BFBFBF" w:themeFill="background1" w:themeFillShade="BF"/>
            <w:tcMar>
              <w:top w:w="40" w:type="dxa"/>
              <w:left w:w="40" w:type="dxa"/>
              <w:bottom w:w="40" w:type="dxa"/>
              <w:right w:w="40" w:type="dxa"/>
            </w:tcMar>
            <w:vAlign w:val="center"/>
          </w:tcPr>
          <w:p w14:paraId="687FF938" w14:textId="77777777" w:rsidR="00EE295F" w:rsidRPr="00286131" w:rsidRDefault="00EE295F" w:rsidP="00286131">
            <w:pPr>
              <w:widowControl w:val="0"/>
              <w:jc w:val="center"/>
              <w:rPr>
                <w:rFonts w:asciiTheme="minorHAnsi" w:hAnsiTheme="minorHAnsi" w:cstheme="minorHAnsi"/>
                <w:b/>
                <w:sz w:val="22"/>
                <w:szCs w:val="22"/>
              </w:rPr>
            </w:pPr>
            <w:r w:rsidRPr="00286131">
              <w:rPr>
                <w:rFonts w:asciiTheme="minorHAnsi" w:hAnsiTheme="minorHAnsi" w:cstheme="minorHAnsi"/>
                <w:b/>
                <w:sz w:val="22"/>
                <w:szCs w:val="22"/>
              </w:rPr>
              <w:t>100%</w:t>
            </w:r>
          </w:p>
        </w:tc>
      </w:tr>
    </w:tbl>
    <w:p w14:paraId="4E27AFB5" w14:textId="6FC5DB42" w:rsidR="004A03D9" w:rsidRDefault="004A03D9" w:rsidP="00777082">
      <w:pPr>
        <w:pStyle w:val="Fonte"/>
        <w:rPr>
          <w:b w:val="0"/>
          <w:bCs/>
        </w:rPr>
      </w:pPr>
      <w:r>
        <w:t xml:space="preserve">Fonte: </w:t>
      </w:r>
      <w:r w:rsidRPr="00AC0A64">
        <w:rPr>
          <w:b w:val="0"/>
          <w:bCs/>
        </w:rPr>
        <w:t>Dados disponibilizados pelo Sistema de Recursos Humanos do TST (abril de 2025). Compilação e elaboração: CPJUD/SEPJD/CPJED.</w:t>
      </w:r>
    </w:p>
    <w:p w14:paraId="14796DDD" w14:textId="77777777" w:rsidR="00AC0A64" w:rsidRPr="00AC0A64" w:rsidRDefault="00AC0A64" w:rsidP="000D5EA7">
      <w:pPr>
        <w:pStyle w:val="Texto"/>
      </w:pPr>
    </w:p>
    <w:p w14:paraId="50D069CE" w14:textId="53B0D69F" w:rsidR="000D5EA7" w:rsidRDefault="00DF00F4" w:rsidP="00221F78">
      <w:pPr>
        <w:pStyle w:val="Texto"/>
      </w:pPr>
      <w:r>
        <w:t>A análise do Gráfico 1</w:t>
      </w:r>
      <w:r w:rsidR="00234D19">
        <w:t>8</w:t>
      </w:r>
      <w:r>
        <w:t xml:space="preserve"> demonstra que, no CSJT, a </w:t>
      </w:r>
      <w:r w:rsidR="003218AE">
        <w:t xml:space="preserve">representação </w:t>
      </w:r>
      <w:r>
        <w:t>de mulheres nos</w:t>
      </w:r>
      <w:r w:rsidR="003218AE">
        <w:t xml:space="preserve"> níveis hierárquicos superiores (16,7% entre os CJ-03 e 20% entre os CJ-02) </w:t>
      </w:r>
      <w:r>
        <w:t xml:space="preserve">é menor que no nível CJ-01, onde a representação é paritária. Nas </w:t>
      </w:r>
      <w:r w:rsidR="003218AE">
        <w:t>funções comissionadas</w:t>
      </w:r>
      <w:r w:rsidR="00877E17">
        <w:t xml:space="preserve"> de gestão e liderança</w:t>
      </w:r>
      <w:r w:rsidR="003218AE">
        <w:t>,</w:t>
      </w:r>
      <w:r w:rsidR="00877E17">
        <w:t xml:space="preserve"> em comparação aos níveis CJ-03 e 02,</w:t>
      </w:r>
      <w:r w:rsidR="003218AE">
        <w:t xml:space="preserve"> observa-se um desequilíbrio </w:t>
      </w:r>
      <w:r w:rsidR="00877E17">
        <w:t>menos acentuado</w:t>
      </w:r>
      <w:r>
        <w:t>: 44,4% nas FC-06 e 45,5% nas FC-05.</w:t>
      </w:r>
      <w:r w:rsidR="000D5EA7">
        <w:br w:type="page"/>
      </w:r>
    </w:p>
    <w:p w14:paraId="0651C5BF" w14:textId="13D0DE44" w:rsidR="00070F4C" w:rsidRDefault="00070F4C" w:rsidP="00FB5A95">
      <w:pPr>
        <w:pStyle w:val="TtulodaIlustrao"/>
      </w:pPr>
      <w:bookmarkStart w:id="47" w:name="_Toc208508641"/>
      <w:r>
        <w:lastRenderedPageBreak/>
        <w:t xml:space="preserve">Gráfico </w:t>
      </w:r>
      <w:r w:rsidR="00D953AF">
        <w:t>18</w:t>
      </w:r>
      <w:r w:rsidRPr="001C6456">
        <w:rPr>
          <w:b w:val="0"/>
        </w:rPr>
        <w:t xml:space="preserve"> - Distribuição dos cargos em comissão e funções comissionadas de gestão e liderança do CSJT, por gênero (%)</w:t>
      </w:r>
      <w:bookmarkEnd w:id="47"/>
    </w:p>
    <w:p w14:paraId="718FFDDB" w14:textId="19DE9151" w:rsidR="00DF00F4" w:rsidRDefault="00302A40" w:rsidP="00DF00F4">
      <w:pPr>
        <w:jc w:val="center"/>
      </w:pPr>
      <w:r>
        <w:rPr>
          <w:noProof/>
        </w:rPr>
        <w:drawing>
          <wp:inline distT="0" distB="0" distL="0" distR="0" wp14:anchorId="0A7995D0" wp14:editId="770098E9">
            <wp:extent cx="4572000" cy="2743200"/>
            <wp:effectExtent l="0" t="0" r="0" b="0"/>
            <wp:docPr id="1622690737" name="Gráfico 16226907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0AA542" w14:textId="77777777" w:rsidR="00DF00F4" w:rsidRDefault="00DF00F4" w:rsidP="00DF00F4">
      <w:pPr>
        <w:pStyle w:val="Fonte"/>
        <w:rPr>
          <w:sz w:val="24"/>
        </w:rPr>
      </w:pPr>
      <w:r>
        <w:t xml:space="preserve">Fonte: </w:t>
      </w:r>
      <w:r w:rsidRPr="00AC0A64">
        <w:rPr>
          <w:b w:val="0"/>
          <w:bCs/>
        </w:rPr>
        <w:t>Dados disponibilizados pelo Sistema de Recursos Humanos do TST (abril de 2025). Compilação e elaboração: CPJUD/SEPJD/CPJED</w:t>
      </w:r>
      <w:r w:rsidRPr="00AC0A64">
        <w:rPr>
          <w:b w:val="0"/>
          <w:bCs/>
          <w:sz w:val="24"/>
        </w:rPr>
        <w:t>.</w:t>
      </w:r>
    </w:p>
    <w:p w14:paraId="19A1AABD" w14:textId="77777777" w:rsidR="00DF00F4" w:rsidRDefault="00DF00F4" w:rsidP="001C6456">
      <w:pPr>
        <w:pStyle w:val="Texto"/>
      </w:pPr>
    </w:p>
    <w:p w14:paraId="1F44CD5A" w14:textId="2D2C74D6" w:rsidR="001800BC" w:rsidRDefault="00B41EA9" w:rsidP="001C6456">
      <w:pPr>
        <w:pStyle w:val="Texto"/>
      </w:pPr>
      <w:r>
        <w:t xml:space="preserve">A partir dos </w:t>
      </w:r>
      <w:r w:rsidR="00AC0A64" w:rsidRPr="002F284E">
        <w:t>Gráfico</w:t>
      </w:r>
      <w:r w:rsidR="00BD383D" w:rsidRPr="002F284E">
        <w:t>s</w:t>
      </w:r>
      <w:r w:rsidR="004A03D9" w:rsidRPr="002F284E">
        <w:t xml:space="preserve"> </w:t>
      </w:r>
      <w:r w:rsidR="00877E17" w:rsidRPr="002F284E">
        <w:t>1</w:t>
      </w:r>
      <w:r w:rsidR="00234D19">
        <w:t>9 e 20</w:t>
      </w:r>
      <w:r w:rsidRPr="002F284E">
        <w:t xml:space="preserve">, </w:t>
      </w:r>
      <w:r w:rsidR="00F51239" w:rsidRPr="00F51239">
        <w:t xml:space="preserve">é possível observar </w:t>
      </w:r>
      <w:r w:rsidR="001800BC">
        <w:t>os percentuais de</w:t>
      </w:r>
      <w:r w:rsidR="00F51239" w:rsidRPr="00F51239">
        <w:t xml:space="preserve"> participação feminina</w:t>
      </w:r>
      <w:r w:rsidR="001800BC">
        <w:t xml:space="preserve"> e masculina</w:t>
      </w:r>
      <w:r w:rsidR="00F51239" w:rsidRPr="00F51239">
        <w:t xml:space="preserve"> em cada nível </w:t>
      </w:r>
      <w:r w:rsidR="001800BC">
        <w:t>em relação à</w:t>
      </w:r>
      <w:r w:rsidR="00F51239" w:rsidRPr="00F51239">
        <w:t xml:space="preserve"> composição total de </w:t>
      </w:r>
      <w:r w:rsidR="00F51239" w:rsidRPr="002F284E">
        <w:t>CJs e FCs</w:t>
      </w:r>
      <w:r w:rsidR="00F51239" w:rsidRPr="00F51239">
        <w:t xml:space="preserve"> destinados a atividades gerenciais no CSJT</w:t>
      </w:r>
      <w:r w:rsidR="004A03D9" w:rsidRPr="002F284E">
        <w:t>.</w:t>
      </w:r>
      <w:r w:rsidR="00BD383D" w:rsidRPr="002F284E">
        <w:t xml:space="preserve"> </w:t>
      </w:r>
      <w:r w:rsidR="008E16B8">
        <w:t>Salienta-se que c</w:t>
      </w:r>
      <w:r w:rsidR="002F284E" w:rsidRPr="002F284E">
        <w:t>omo o número de cargos do Conselho</w:t>
      </w:r>
      <w:r w:rsidR="001800BC">
        <w:t xml:space="preserve"> é reduzido</w:t>
      </w:r>
      <w:r w:rsidR="002F284E" w:rsidRPr="002F284E">
        <w:t xml:space="preserve"> e as variações númericas entre os níveis</w:t>
      </w:r>
      <w:r w:rsidR="002F284E">
        <w:t xml:space="preserve"> são pequen</w:t>
      </w:r>
      <w:r w:rsidR="001800BC">
        <w:t>a</w:t>
      </w:r>
      <w:r w:rsidR="002F284E">
        <w:t>s,</w:t>
      </w:r>
      <w:r w:rsidR="002F284E" w:rsidRPr="002F284E">
        <w:t xml:space="preserve"> as diferenças percentuais nesse caso</w:t>
      </w:r>
      <w:r w:rsidR="001800BC">
        <w:t xml:space="preserve"> têm</w:t>
      </w:r>
      <w:r w:rsidR="002F284E" w:rsidRPr="002F284E">
        <w:t xml:space="preserve"> relevância analítica menor.</w:t>
      </w:r>
    </w:p>
    <w:p w14:paraId="06918BB1" w14:textId="56BB685F" w:rsidR="00AC0A64" w:rsidRPr="00877E17" w:rsidRDefault="00AC0A64" w:rsidP="001C6456">
      <w:pPr>
        <w:pStyle w:val="Texto"/>
      </w:pPr>
    </w:p>
    <w:p w14:paraId="4A94A044" w14:textId="48A12ED8" w:rsidR="00070F4C" w:rsidRDefault="00070F4C" w:rsidP="00FB5A95">
      <w:pPr>
        <w:pStyle w:val="TtulodaIlustrao"/>
      </w:pPr>
      <w:bookmarkStart w:id="48" w:name="_Toc208508642"/>
      <w:r>
        <w:t xml:space="preserve">Gráfico </w:t>
      </w:r>
      <w:r w:rsidR="00D953AF">
        <w:t>19</w:t>
      </w:r>
      <w:r w:rsidRPr="001C6456">
        <w:rPr>
          <w:b w:val="0"/>
        </w:rPr>
        <w:t xml:space="preserve"> - Proporção de mulheres e homens nos cargos comissionados de gestão e liderança do CSJT, em relação ao total (%)</w:t>
      </w:r>
      <w:bookmarkEnd w:id="48"/>
    </w:p>
    <w:p w14:paraId="1D782250" w14:textId="62439078" w:rsidR="004A03D9" w:rsidRPr="006D5A72" w:rsidRDefault="00302A40" w:rsidP="001800BC">
      <w:pPr>
        <w:jc w:val="center"/>
      </w:pPr>
      <w:r>
        <w:rPr>
          <w:noProof/>
        </w:rPr>
        <w:drawing>
          <wp:inline distT="0" distB="0" distL="0" distR="0" wp14:anchorId="550A44FA" wp14:editId="12E9C6DE">
            <wp:extent cx="4235501" cy="2494483"/>
            <wp:effectExtent l="0" t="0" r="0" b="1270"/>
            <wp:docPr id="1622690738" name="Gráfico 16226907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CC63D7" w14:textId="32332C80" w:rsidR="004A03D9" w:rsidRDefault="004A03D9" w:rsidP="001800BC">
      <w:pPr>
        <w:pStyle w:val="Fonte"/>
        <w:rPr>
          <w:b w:val="0"/>
          <w:bCs/>
          <w:sz w:val="24"/>
        </w:rPr>
      </w:pPr>
      <w:r>
        <w:t xml:space="preserve">Fonte: </w:t>
      </w:r>
      <w:r w:rsidRPr="00AC0A64">
        <w:rPr>
          <w:b w:val="0"/>
          <w:bCs/>
        </w:rPr>
        <w:t>Dados disponibilizados pelo Sistema de Recursos Humanos do TST (abril de 2025). Compilação e elaboração: CPJUD/SEPJD/CPJED</w:t>
      </w:r>
      <w:r w:rsidRPr="00AC0A64">
        <w:rPr>
          <w:b w:val="0"/>
          <w:bCs/>
          <w:sz w:val="24"/>
        </w:rPr>
        <w:t>.</w:t>
      </w:r>
    </w:p>
    <w:p w14:paraId="05C63058" w14:textId="2BB02A48" w:rsidR="001800BC" w:rsidRDefault="001800BC" w:rsidP="001C6456">
      <w:pPr>
        <w:pStyle w:val="Texto"/>
      </w:pPr>
    </w:p>
    <w:p w14:paraId="7EE35AFD" w14:textId="533F3BC3" w:rsidR="00070F4C" w:rsidRDefault="00070F4C" w:rsidP="00FB5A95">
      <w:pPr>
        <w:pStyle w:val="TtulodaIlustrao"/>
      </w:pPr>
      <w:bookmarkStart w:id="49" w:name="_Toc208508643"/>
      <w:r>
        <w:t xml:space="preserve">Gráfico </w:t>
      </w:r>
      <w:r w:rsidR="00D953AF">
        <w:t>20</w:t>
      </w:r>
      <w:r w:rsidRPr="001C6456">
        <w:rPr>
          <w:b w:val="0"/>
        </w:rPr>
        <w:t xml:space="preserve"> - Proporção de mulheres e homens nas funções comissionadas de gestão e liderança do CSJT, em relação ao total (%)</w:t>
      </w:r>
      <w:bookmarkEnd w:id="49"/>
    </w:p>
    <w:p w14:paraId="679B9421" w14:textId="1F3944B0" w:rsidR="00302A40" w:rsidRDefault="001340C5" w:rsidP="00FB5A95">
      <w:pPr>
        <w:pStyle w:val="TtulodaIlustrao"/>
        <w:rPr>
          <w:sz w:val="24"/>
        </w:rPr>
      </w:pPr>
      <w:r>
        <w:drawing>
          <wp:inline distT="0" distB="0" distL="0" distR="0" wp14:anchorId="16F4E639" wp14:editId="2D7EE7ED">
            <wp:extent cx="3962400" cy="2381250"/>
            <wp:effectExtent l="0" t="0" r="0" b="0"/>
            <wp:docPr id="1622690739" name="Gráfico 16226907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E4F960" w14:textId="6B9A2CD6" w:rsidR="001340C5" w:rsidRDefault="001340C5" w:rsidP="001340C5">
      <w:pPr>
        <w:pStyle w:val="Fonte"/>
        <w:rPr>
          <w:b w:val="0"/>
          <w:bCs/>
          <w:sz w:val="24"/>
        </w:rPr>
      </w:pPr>
      <w:r>
        <w:t xml:space="preserve">Fonte: </w:t>
      </w:r>
      <w:r w:rsidRPr="00AC0A64">
        <w:rPr>
          <w:b w:val="0"/>
          <w:bCs/>
        </w:rPr>
        <w:t>Dados disponibilizados pelo Sistema de Recursos Humanos do TST (abril de 2025). Compilação e elaboração: CPJUD/SEPJD/CPJED</w:t>
      </w:r>
      <w:r w:rsidRPr="00AC0A64">
        <w:rPr>
          <w:b w:val="0"/>
          <w:bCs/>
          <w:sz w:val="24"/>
        </w:rPr>
        <w:t>.</w:t>
      </w:r>
    </w:p>
    <w:p w14:paraId="78942831" w14:textId="77777777" w:rsidR="001C6456" w:rsidRDefault="001C6456" w:rsidP="001C6456">
      <w:pPr>
        <w:pStyle w:val="Texto"/>
      </w:pPr>
    </w:p>
    <w:p w14:paraId="14B70016" w14:textId="53F7D7E9" w:rsidR="007C7321" w:rsidRPr="00070F4C" w:rsidRDefault="00AF0046" w:rsidP="001C6456">
      <w:pPr>
        <w:pStyle w:val="Texto"/>
      </w:pPr>
      <w:r>
        <w:t>Ao</w:t>
      </w:r>
      <w:r w:rsidR="009B5290">
        <w:t xml:space="preserve"> comparar a </w:t>
      </w:r>
      <w:r w:rsidR="00617865">
        <w:t xml:space="preserve">participação feminina </w:t>
      </w:r>
      <w:r w:rsidR="009B5290">
        <w:t>em posições decisórias</w:t>
      </w:r>
      <w:r>
        <w:t xml:space="preserve"> do CSJT</w:t>
      </w:r>
      <w:r w:rsidR="009B5290">
        <w:t xml:space="preserve"> com</w:t>
      </w:r>
      <w:r w:rsidR="008E16B8">
        <w:t xml:space="preserve"> </w:t>
      </w:r>
      <w:r w:rsidR="009B5290">
        <w:t xml:space="preserve">sua </w:t>
      </w:r>
      <w:r w:rsidR="00617865">
        <w:t>presença nos cargos em comissão e funções comissionadas</w:t>
      </w:r>
      <w:r w:rsidR="009B5290">
        <w:t xml:space="preserve"> como um todo</w:t>
      </w:r>
      <w:r w:rsidR="008E16B8">
        <w:t xml:space="preserve"> (Gráfico </w:t>
      </w:r>
      <w:r w:rsidR="00234D19">
        <w:t>21</w:t>
      </w:r>
      <w:r w:rsidR="008E16B8">
        <w:t>), verifica-se que a proporção de mulheres é equivalente nos níveis CJ-03, 02 e 01</w:t>
      </w:r>
      <w:r w:rsidR="00FB67BD">
        <w:t xml:space="preserve">, </w:t>
      </w:r>
      <w:r w:rsidR="008E16B8">
        <w:t xml:space="preserve">diferenciando-se </w:t>
      </w:r>
      <w:r w:rsidR="009B5290">
        <w:t>nos dois níveis de FCs.</w:t>
      </w:r>
      <w:r w:rsidR="008E16B8">
        <w:t xml:space="preserve"> </w:t>
      </w:r>
      <w:r>
        <w:t>Isto é, n</w:t>
      </w:r>
      <w:r w:rsidR="008E16B8">
        <w:t>o nível FC-06 a representação</w:t>
      </w:r>
      <w:r w:rsidR="00FB67BD">
        <w:t xml:space="preserve"> feminina</w:t>
      </w:r>
      <w:r w:rsidR="008E16B8">
        <w:t xml:space="preserve"> em cargos de gestão e liderança é maior que nos cargos gerais, </w:t>
      </w:r>
      <w:r w:rsidR="00FB67BD">
        <w:t xml:space="preserve">enquanto que </w:t>
      </w:r>
      <w:r w:rsidR="008E16B8">
        <w:t xml:space="preserve">no nível FC-05 a situação se inverte, </w:t>
      </w:r>
      <w:r w:rsidR="00FB67BD">
        <w:t xml:space="preserve">com </w:t>
      </w:r>
      <w:r w:rsidR="009B5290">
        <w:t>o percentual ligeiramente</w:t>
      </w:r>
      <w:r w:rsidR="00FB67BD">
        <w:t xml:space="preserve"> menor </w:t>
      </w:r>
      <w:r w:rsidR="009B5290">
        <w:t>entre o</w:t>
      </w:r>
      <w:r w:rsidR="00FB67BD">
        <w:t>s cargos de liderança.</w:t>
      </w:r>
    </w:p>
    <w:p w14:paraId="2F8B63DA" w14:textId="5DE66E23" w:rsidR="007C7321" w:rsidRDefault="007C7321" w:rsidP="001C6456">
      <w:pPr>
        <w:pStyle w:val="Texto"/>
      </w:pPr>
    </w:p>
    <w:p w14:paraId="66D6C95F" w14:textId="58F83F2A" w:rsidR="001C6456" w:rsidRDefault="001C6456">
      <w:pPr>
        <w:rPr>
          <w:rFonts w:asciiTheme="minorHAnsi" w:hAnsiTheme="minorHAnsi" w:cstheme="minorHAnsi"/>
          <w:noProof/>
        </w:rPr>
      </w:pPr>
      <w:r>
        <w:br w:type="page"/>
      </w:r>
    </w:p>
    <w:p w14:paraId="24E0B558" w14:textId="473D1D6D" w:rsidR="00070F4C" w:rsidRDefault="00070F4C" w:rsidP="00FB5A95">
      <w:pPr>
        <w:pStyle w:val="TtulodaIlustrao"/>
      </w:pPr>
      <w:bookmarkStart w:id="50" w:name="_Toc208508644"/>
      <w:r>
        <w:lastRenderedPageBreak/>
        <w:t xml:space="preserve">Gráfico </w:t>
      </w:r>
      <w:r w:rsidR="00221F78">
        <w:t>21</w:t>
      </w:r>
      <w:r w:rsidRPr="001C6456">
        <w:rPr>
          <w:b w:val="0"/>
        </w:rPr>
        <w:t xml:space="preserve"> - Comparativo da representatividade feminina entre cargos em geral e cargos de liderança do CSJT (%)</w:t>
      </w:r>
      <w:bookmarkEnd w:id="50"/>
    </w:p>
    <w:p w14:paraId="6DE83549" w14:textId="7227DBCD" w:rsidR="009B42F2" w:rsidRPr="00617865" w:rsidRDefault="009B42F2" w:rsidP="00FB5A95">
      <w:pPr>
        <w:pStyle w:val="TtulodaIlustrao"/>
      </w:pPr>
      <w:r>
        <w:drawing>
          <wp:inline distT="0" distB="0" distL="0" distR="0" wp14:anchorId="0D15379C" wp14:editId="5D839D7A">
            <wp:extent cx="4867275" cy="3009540"/>
            <wp:effectExtent l="0" t="0" r="0" b="635"/>
            <wp:docPr id="1622690741" name="Imagem 162269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4316" cy="3020077"/>
                    </a:xfrm>
                    <a:prstGeom prst="rect">
                      <a:avLst/>
                    </a:prstGeom>
                    <a:noFill/>
                    <a:ln>
                      <a:noFill/>
                    </a:ln>
                  </pic:spPr>
                </pic:pic>
              </a:graphicData>
            </a:graphic>
          </wp:inline>
        </w:drawing>
      </w:r>
    </w:p>
    <w:p w14:paraId="49B64154" w14:textId="743FF099" w:rsidR="00834A56" w:rsidRPr="00AF0046" w:rsidRDefault="009B5290" w:rsidP="00AF0046">
      <w:pPr>
        <w:pStyle w:val="Fonte"/>
        <w:rPr>
          <w:b w:val="0"/>
          <w:bCs/>
          <w:sz w:val="24"/>
        </w:rPr>
      </w:pPr>
      <w:r>
        <w:t xml:space="preserve">Fonte: </w:t>
      </w:r>
      <w:r w:rsidRPr="00AC0A64">
        <w:rPr>
          <w:b w:val="0"/>
          <w:bCs/>
        </w:rPr>
        <w:t>Dados disponibilizados pelo Sistema de Recursos Humanos do TST (abril de 2025). Compilação e elaboração: CPJUD/SEPJD/CPJED</w:t>
      </w:r>
      <w:r w:rsidRPr="00AC0A64">
        <w:rPr>
          <w:b w:val="0"/>
          <w:bCs/>
          <w:sz w:val="24"/>
        </w:rPr>
        <w:t>.</w:t>
      </w:r>
    </w:p>
    <w:p w14:paraId="7DD84AB2" w14:textId="77777777" w:rsidR="00AF0046" w:rsidRPr="001C6456" w:rsidRDefault="00AF0046" w:rsidP="001C6456">
      <w:pPr>
        <w:pStyle w:val="Texto"/>
      </w:pPr>
    </w:p>
    <w:p w14:paraId="12D701A9" w14:textId="7BAD65EA" w:rsidR="00C574EA" w:rsidRPr="001C6456" w:rsidRDefault="00C574EA" w:rsidP="001C6456">
      <w:pPr>
        <w:pStyle w:val="Ttulo4"/>
      </w:pPr>
      <w:r w:rsidRPr="001C6456">
        <w:t>Participação Feminina em espaços de decisão institucional no TST e no CSJT</w:t>
      </w:r>
    </w:p>
    <w:p w14:paraId="5D6772C8" w14:textId="1A73E80E" w:rsidR="00C574EA" w:rsidRDefault="00C574EA" w:rsidP="001C6456">
      <w:pPr>
        <w:pStyle w:val="Texto"/>
      </w:pPr>
      <w:r>
        <w:t xml:space="preserve">A pedido da ASPRODEC/TST, esta Coordenadoria de Pesquisa Judiciária (CPJUD/SEPJD) buscou identificar a composição dos espaços de decisão institucional do TST e do CSJT - tais como comitês, comissões, grupos de trabalho, entre outros - com o objetivo de apurar a participação feminina nesses espaços. </w:t>
      </w:r>
    </w:p>
    <w:p w14:paraId="64AB39F2" w14:textId="5733CD2B" w:rsidR="00C574EA" w:rsidRDefault="00C574EA" w:rsidP="001C6456">
      <w:pPr>
        <w:pStyle w:val="Texto"/>
      </w:pPr>
      <w:r>
        <w:t xml:space="preserve">Inicialmente, ao entrar em contato com diversas áreas do órgão, constatou-se que o TST/CSJT não possui dados sistematizados sobre a composição de seus espaços de decisão. </w:t>
      </w:r>
      <w:r w:rsidR="00A60058">
        <w:t>Diante disso</w:t>
      </w:r>
      <w:r>
        <w:t xml:space="preserve">, </w:t>
      </w:r>
      <w:r w:rsidR="00A60058">
        <w:t>realizou-se</w:t>
      </w:r>
      <w:r>
        <w:t xml:space="preserve"> uma busca no sistema </w:t>
      </w:r>
      <w:r>
        <w:rPr>
          <w:i/>
        </w:rPr>
        <w:t>Juslaboris</w:t>
      </w:r>
      <w:r>
        <w:t>, a partir da pesquisa de atos normativos do TST e do CSJT</w:t>
      </w:r>
      <w:r w:rsidR="00A60058">
        <w:t xml:space="preserve">. Contudo, </w:t>
      </w:r>
      <w:r>
        <w:t xml:space="preserve">essa estratégia revelou-se limitada para aferir a participação feminina, em virtude da imprecisão dos resultados e da ampla variedade de documentos e informações retornados, </w:t>
      </w:r>
      <w:r w:rsidR="00A60058">
        <w:t>muitos d</w:t>
      </w:r>
      <w:r>
        <w:t xml:space="preserve">os quais não </w:t>
      </w:r>
      <w:r w:rsidR="00A60058">
        <w:t>guardavam</w:t>
      </w:r>
      <w:r>
        <w:t xml:space="preserve"> relação direta com os objetivos desta pesquisa.</w:t>
      </w:r>
    </w:p>
    <w:p w14:paraId="7815D233" w14:textId="525F00E7" w:rsidR="00A60058" w:rsidRDefault="00A60058" w:rsidP="001C6456">
      <w:pPr>
        <w:pStyle w:val="Texto"/>
      </w:pPr>
      <w:r>
        <w:t>O</w:t>
      </w:r>
      <w:r w:rsidR="00C574EA">
        <w:t xml:space="preserve"> procedimento mais eficaz para os fins deste estudo consistiria na prévia identificação e delimitação dos espaços de decisão institucional existentes no TST e no CSJT, para, então, realizar buscas específicas por cada um. </w:t>
      </w:r>
      <w:r>
        <w:t>Entretanto</w:t>
      </w:r>
      <w:r w:rsidR="00C574EA">
        <w:t>, verific</w:t>
      </w:r>
      <w:r>
        <w:t>ou</w:t>
      </w:r>
      <w:r w:rsidR="00C574EA">
        <w:t xml:space="preserve">-se que a gestão de criação </w:t>
      </w:r>
      <w:r w:rsidR="00507E4B">
        <w:t xml:space="preserve">de </w:t>
      </w:r>
      <w:r w:rsidR="00C574EA">
        <w:t xml:space="preserve">comissões, </w:t>
      </w:r>
      <w:r w:rsidR="00C574EA">
        <w:lastRenderedPageBreak/>
        <w:t>comitês e grupos de trabalho é descentralizada entre diversas unidades do Tribunal, o que resulta na dispersão dessas informações e na ausência de um ponto centralizado para consulta.</w:t>
      </w:r>
    </w:p>
    <w:p w14:paraId="7803924B" w14:textId="6F39DF02" w:rsidR="005271C1" w:rsidRDefault="00C574EA" w:rsidP="001C6456">
      <w:pPr>
        <w:pStyle w:val="Texto"/>
      </w:pPr>
      <w:r>
        <w:t>Considerando o exposto, o único levantamento de colegiados obtido foi o fornecido pela Secretaria de Governança e Gestão Estratégica (SEGGE/TST), que disponibilizou informações referentes aos “Comitês Temáticos de Governança”</w:t>
      </w:r>
      <w:r>
        <w:rPr>
          <w:vertAlign w:val="superscript"/>
        </w:rPr>
        <w:footnoteReference w:id="36"/>
      </w:r>
      <w:r>
        <w:t>, cuja gestão</w:t>
      </w:r>
      <w:r w:rsidR="007B5800">
        <w:t xml:space="preserve"> está</w:t>
      </w:r>
      <w:r>
        <w:t xml:space="preserve"> sob sua responsabilidade. </w:t>
      </w:r>
      <w:r w:rsidR="005271C1">
        <w:t>Desse modo</w:t>
      </w:r>
      <w:r>
        <w:t>, a análise apresentada nesta seção baseia-se exclusivamente nessas informações.</w:t>
      </w:r>
    </w:p>
    <w:p w14:paraId="5BA45AE1" w14:textId="15A0C644" w:rsidR="005271C1" w:rsidRPr="005271C1" w:rsidRDefault="00C574EA" w:rsidP="001C6456">
      <w:pPr>
        <w:pStyle w:val="Texto"/>
      </w:pPr>
      <w:r>
        <w:t xml:space="preserve">A Tabela </w:t>
      </w:r>
      <w:r w:rsidR="008754C3">
        <w:t>6</w:t>
      </w:r>
      <w:r>
        <w:t xml:space="preserve"> apresenta a distribuição por gênero dos membros dos referidos comitês. Observa-se que a participação feminina é minoritária em todos os casos, apresentando índices significativamente inferiores na maior parte.</w:t>
      </w:r>
    </w:p>
    <w:p w14:paraId="100D57D7" w14:textId="7D7AA060" w:rsidR="00C574EA" w:rsidRPr="00E44555" w:rsidRDefault="00C574EA" w:rsidP="001C6456">
      <w:pPr>
        <w:pStyle w:val="Texto"/>
      </w:pPr>
      <w:bookmarkStart w:id="51" w:name="_7oeyllavzmmx" w:colFirst="0" w:colLast="0"/>
      <w:bookmarkEnd w:id="51"/>
    </w:p>
    <w:p w14:paraId="54068D49" w14:textId="30AB9694" w:rsidR="005271C1" w:rsidRDefault="00186EC0" w:rsidP="00FB5A95">
      <w:pPr>
        <w:pStyle w:val="TtulodaTabela"/>
      </w:pPr>
      <w:bookmarkStart w:id="52" w:name="_Toc208510777"/>
      <w:r>
        <w:t xml:space="preserve">Tabela </w:t>
      </w:r>
      <w:r>
        <w:fldChar w:fldCharType="begin"/>
      </w:r>
      <w:r>
        <w:instrText xml:space="preserve"> SEQ Tabela \* ARABIC </w:instrText>
      </w:r>
      <w:r>
        <w:fldChar w:fldCharType="separate"/>
      </w:r>
      <w:r w:rsidR="00D85D1E">
        <w:t>6</w:t>
      </w:r>
      <w:r>
        <w:fldChar w:fldCharType="end"/>
      </w:r>
      <w:r w:rsidRPr="001C6456">
        <w:rPr>
          <w:b w:val="0"/>
        </w:rPr>
        <w:t xml:space="preserve"> - Distribuição dos integrantes dos Comitês Temáticos de Governança do TST, por gênero</w:t>
      </w:r>
      <w:bookmarkEnd w:id="52"/>
    </w:p>
    <w:tbl>
      <w:tblPr>
        <w:tblW w:w="5000" w:type="pct"/>
        <w:tblBorders>
          <w:top w:val="nil"/>
          <w:left w:val="nil"/>
          <w:bottom w:val="nil"/>
          <w:right w:val="nil"/>
          <w:insideH w:val="nil"/>
          <w:insideV w:val="nil"/>
        </w:tblBorders>
        <w:tblLook w:val="0600" w:firstRow="0" w:lastRow="0" w:firstColumn="0" w:lastColumn="0" w:noHBand="1" w:noVBand="1"/>
      </w:tblPr>
      <w:tblGrid>
        <w:gridCol w:w="3857"/>
        <w:gridCol w:w="1173"/>
        <w:gridCol w:w="1173"/>
        <w:gridCol w:w="1172"/>
        <w:gridCol w:w="1172"/>
        <w:gridCol w:w="1172"/>
      </w:tblGrid>
      <w:tr w:rsidR="00C574EA" w14:paraId="042C27DB" w14:textId="77777777" w:rsidTr="001C6456">
        <w:trPr>
          <w:trHeight w:val="737"/>
        </w:trPr>
        <w:tc>
          <w:tcPr>
            <w:tcW w:w="1983" w:type="pct"/>
            <w:tcBorders>
              <w:top w:val="single" w:sz="5" w:space="0" w:color="CCCCCC"/>
              <w:left w:val="single" w:sz="5" w:space="0" w:color="CCCCCC"/>
              <w:bottom w:val="single" w:sz="5" w:space="0" w:color="CCCCCC"/>
              <w:right w:val="single" w:sz="5" w:space="0" w:color="CCCCCC"/>
            </w:tcBorders>
            <w:shd w:val="clear" w:color="auto" w:fill="B7B7B7"/>
            <w:tcMar>
              <w:top w:w="0" w:type="dxa"/>
              <w:left w:w="40" w:type="dxa"/>
              <w:bottom w:w="0" w:type="dxa"/>
              <w:right w:w="40" w:type="dxa"/>
            </w:tcMar>
            <w:vAlign w:val="center"/>
          </w:tcPr>
          <w:p w14:paraId="6AEF7B44"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b/>
                <w:sz w:val="22"/>
                <w:szCs w:val="22"/>
              </w:rPr>
              <w:t>Comitês Temáticos de Governança do TST</w:t>
            </w:r>
          </w:p>
        </w:tc>
        <w:tc>
          <w:tcPr>
            <w:tcW w:w="603" w:type="pct"/>
            <w:tcBorders>
              <w:top w:val="single" w:sz="5" w:space="0" w:color="CCCCCC"/>
              <w:left w:val="single" w:sz="5" w:space="0" w:color="CCCCCC"/>
              <w:bottom w:val="single" w:sz="5" w:space="0" w:color="CCCCCC"/>
              <w:right w:val="single" w:sz="5" w:space="0" w:color="CCCCCC"/>
            </w:tcBorders>
            <w:shd w:val="clear" w:color="auto" w:fill="B7B7B7"/>
            <w:tcMar>
              <w:top w:w="0" w:type="dxa"/>
              <w:left w:w="40" w:type="dxa"/>
              <w:bottom w:w="0" w:type="dxa"/>
              <w:right w:w="40" w:type="dxa"/>
            </w:tcMar>
            <w:vAlign w:val="center"/>
          </w:tcPr>
          <w:p w14:paraId="0058C755" w14:textId="77777777" w:rsidR="00C574EA" w:rsidRPr="001C6ABC" w:rsidRDefault="00C574EA" w:rsidP="001C6456">
            <w:pPr>
              <w:widowControl w:val="0"/>
              <w:jc w:val="center"/>
              <w:rPr>
                <w:rFonts w:asciiTheme="minorHAnsi" w:hAnsiTheme="minorHAnsi" w:cstheme="minorHAnsi"/>
                <w:b/>
                <w:sz w:val="22"/>
                <w:szCs w:val="22"/>
              </w:rPr>
            </w:pPr>
            <w:r w:rsidRPr="001C6ABC">
              <w:rPr>
                <w:rFonts w:asciiTheme="minorHAnsi" w:hAnsiTheme="minorHAnsi" w:cstheme="minorHAnsi"/>
                <w:b/>
                <w:sz w:val="22"/>
                <w:szCs w:val="22"/>
              </w:rPr>
              <w:t>Feminino</w:t>
            </w:r>
          </w:p>
        </w:tc>
        <w:tc>
          <w:tcPr>
            <w:tcW w:w="603" w:type="pct"/>
            <w:tcBorders>
              <w:top w:val="single" w:sz="5" w:space="0" w:color="CCCCCC"/>
              <w:left w:val="single" w:sz="5" w:space="0" w:color="CCCCCC"/>
              <w:bottom w:val="single" w:sz="5" w:space="0" w:color="CCCCCC"/>
              <w:right w:val="single" w:sz="5" w:space="0" w:color="CCCCCC"/>
            </w:tcBorders>
            <w:shd w:val="clear" w:color="auto" w:fill="B7B7B7"/>
            <w:tcMar>
              <w:top w:w="0" w:type="dxa"/>
              <w:left w:w="40" w:type="dxa"/>
              <w:bottom w:w="0" w:type="dxa"/>
              <w:right w:w="40" w:type="dxa"/>
            </w:tcMar>
            <w:vAlign w:val="center"/>
          </w:tcPr>
          <w:p w14:paraId="68E3C372" w14:textId="77777777" w:rsidR="00C574EA" w:rsidRPr="001C6ABC" w:rsidRDefault="00C574EA" w:rsidP="001C6456">
            <w:pPr>
              <w:widowControl w:val="0"/>
              <w:jc w:val="center"/>
              <w:rPr>
                <w:rFonts w:asciiTheme="minorHAnsi" w:hAnsiTheme="minorHAnsi" w:cstheme="minorHAnsi"/>
                <w:b/>
                <w:sz w:val="22"/>
                <w:szCs w:val="22"/>
              </w:rPr>
            </w:pPr>
            <w:r w:rsidRPr="001C6ABC">
              <w:rPr>
                <w:rFonts w:asciiTheme="minorHAnsi" w:hAnsiTheme="minorHAnsi" w:cstheme="minorHAnsi"/>
                <w:b/>
                <w:sz w:val="22"/>
                <w:szCs w:val="22"/>
              </w:rPr>
              <w:t>(%)</w:t>
            </w:r>
          </w:p>
        </w:tc>
        <w:tc>
          <w:tcPr>
            <w:tcW w:w="603" w:type="pct"/>
            <w:tcBorders>
              <w:top w:val="single" w:sz="5" w:space="0" w:color="CCCCCC"/>
              <w:left w:val="single" w:sz="5" w:space="0" w:color="CCCCCC"/>
              <w:bottom w:val="single" w:sz="5" w:space="0" w:color="CCCCCC"/>
              <w:right w:val="single" w:sz="5" w:space="0" w:color="CCCCCC"/>
            </w:tcBorders>
            <w:shd w:val="clear" w:color="auto" w:fill="B7B7B7"/>
            <w:tcMar>
              <w:top w:w="0" w:type="dxa"/>
              <w:left w:w="40" w:type="dxa"/>
              <w:bottom w:w="0" w:type="dxa"/>
              <w:right w:w="40" w:type="dxa"/>
            </w:tcMar>
            <w:vAlign w:val="center"/>
          </w:tcPr>
          <w:p w14:paraId="04CDD5C5" w14:textId="77777777" w:rsidR="00C574EA" w:rsidRPr="001C6ABC" w:rsidRDefault="00C574EA" w:rsidP="001C6456">
            <w:pPr>
              <w:widowControl w:val="0"/>
              <w:jc w:val="center"/>
              <w:rPr>
                <w:rFonts w:asciiTheme="minorHAnsi" w:hAnsiTheme="minorHAnsi" w:cstheme="minorHAnsi"/>
                <w:b/>
                <w:sz w:val="22"/>
                <w:szCs w:val="22"/>
              </w:rPr>
            </w:pPr>
            <w:r w:rsidRPr="001C6ABC">
              <w:rPr>
                <w:rFonts w:asciiTheme="minorHAnsi" w:hAnsiTheme="minorHAnsi" w:cstheme="minorHAnsi"/>
                <w:b/>
                <w:sz w:val="22"/>
                <w:szCs w:val="22"/>
              </w:rPr>
              <w:t>Masculino</w:t>
            </w:r>
          </w:p>
        </w:tc>
        <w:tc>
          <w:tcPr>
            <w:tcW w:w="603" w:type="pct"/>
            <w:tcBorders>
              <w:top w:val="single" w:sz="5" w:space="0" w:color="CCCCCC"/>
              <w:left w:val="single" w:sz="5" w:space="0" w:color="CCCCCC"/>
              <w:bottom w:val="single" w:sz="5" w:space="0" w:color="CCCCCC"/>
              <w:right w:val="single" w:sz="5" w:space="0" w:color="CCCCCC"/>
            </w:tcBorders>
            <w:shd w:val="clear" w:color="auto" w:fill="B7B7B7"/>
            <w:tcMar>
              <w:top w:w="0" w:type="dxa"/>
              <w:left w:w="40" w:type="dxa"/>
              <w:bottom w:w="0" w:type="dxa"/>
              <w:right w:w="40" w:type="dxa"/>
            </w:tcMar>
            <w:vAlign w:val="center"/>
          </w:tcPr>
          <w:p w14:paraId="678E90E6" w14:textId="77777777" w:rsidR="00C574EA" w:rsidRPr="001C6ABC" w:rsidRDefault="00C574EA" w:rsidP="001C6456">
            <w:pPr>
              <w:widowControl w:val="0"/>
              <w:jc w:val="center"/>
              <w:rPr>
                <w:rFonts w:asciiTheme="minorHAnsi" w:hAnsiTheme="minorHAnsi" w:cstheme="minorHAnsi"/>
                <w:b/>
                <w:sz w:val="22"/>
                <w:szCs w:val="22"/>
              </w:rPr>
            </w:pPr>
            <w:r w:rsidRPr="001C6ABC">
              <w:rPr>
                <w:rFonts w:asciiTheme="minorHAnsi" w:hAnsiTheme="minorHAnsi" w:cstheme="minorHAnsi"/>
                <w:b/>
                <w:sz w:val="22"/>
                <w:szCs w:val="22"/>
              </w:rPr>
              <w:t>(%)</w:t>
            </w:r>
          </w:p>
        </w:tc>
        <w:tc>
          <w:tcPr>
            <w:tcW w:w="603" w:type="pct"/>
            <w:tcBorders>
              <w:top w:val="single" w:sz="5" w:space="0" w:color="CCCCCC"/>
              <w:left w:val="single" w:sz="5" w:space="0" w:color="CCCCCC"/>
              <w:bottom w:val="single" w:sz="5" w:space="0" w:color="CCCCCC"/>
              <w:right w:val="single" w:sz="5" w:space="0" w:color="CCCCCC"/>
            </w:tcBorders>
            <w:shd w:val="clear" w:color="auto" w:fill="B7B7B7"/>
            <w:tcMar>
              <w:top w:w="0" w:type="dxa"/>
              <w:left w:w="40" w:type="dxa"/>
              <w:bottom w:w="0" w:type="dxa"/>
              <w:right w:w="40" w:type="dxa"/>
            </w:tcMar>
            <w:vAlign w:val="center"/>
          </w:tcPr>
          <w:p w14:paraId="6359B972" w14:textId="77777777" w:rsidR="00C574EA" w:rsidRPr="001C6ABC" w:rsidRDefault="00C574EA" w:rsidP="001C6456">
            <w:pPr>
              <w:widowControl w:val="0"/>
              <w:jc w:val="center"/>
              <w:rPr>
                <w:rFonts w:asciiTheme="minorHAnsi" w:hAnsiTheme="minorHAnsi" w:cstheme="minorHAnsi"/>
                <w:b/>
                <w:sz w:val="22"/>
                <w:szCs w:val="22"/>
              </w:rPr>
            </w:pPr>
            <w:r w:rsidRPr="001C6ABC">
              <w:rPr>
                <w:rFonts w:asciiTheme="minorHAnsi" w:hAnsiTheme="minorHAnsi" w:cstheme="minorHAnsi"/>
                <w:b/>
                <w:sz w:val="22"/>
                <w:szCs w:val="22"/>
              </w:rPr>
              <w:t>Total</w:t>
            </w:r>
          </w:p>
        </w:tc>
      </w:tr>
      <w:tr w:rsidR="00C574EA" w14:paraId="5B760BF0" w14:textId="77777777" w:rsidTr="001C6456">
        <w:trPr>
          <w:trHeight w:val="737"/>
        </w:trPr>
        <w:tc>
          <w:tcPr>
            <w:tcW w:w="198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2D019D14" w14:textId="77777777" w:rsidR="00C574EA" w:rsidRPr="001C6ABC" w:rsidRDefault="00C574EA" w:rsidP="001C6456">
            <w:pPr>
              <w:widowControl w:val="0"/>
              <w:rPr>
                <w:rFonts w:asciiTheme="minorHAnsi" w:hAnsiTheme="minorHAnsi" w:cstheme="minorHAnsi"/>
                <w:sz w:val="22"/>
                <w:szCs w:val="22"/>
              </w:rPr>
            </w:pPr>
            <w:r w:rsidRPr="001C6ABC">
              <w:rPr>
                <w:rFonts w:asciiTheme="minorHAnsi" w:hAnsiTheme="minorHAnsi" w:cstheme="minorHAnsi"/>
                <w:b/>
                <w:sz w:val="22"/>
                <w:szCs w:val="22"/>
              </w:rPr>
              <w:t>Comitê de Governança Institucional (CGI)</w:t>
            </w:r>
            <w:r w:rsidRPr="001C6ABC">
              <w:rPr>
                <w:rFonts w:asciiTheme="minorHAnsi" w:hAnsiTheme="minorHAnsi" w:cstheme="minorHAnsi"/>
                <w:b/>
                <w:sz w:val="22"/>
                <w:szCs w:val="22"/>
                <w:vertAlign w:val="superscript"/>
              </w:rPr>
              <w:footnoteReference w:id="37"/>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31F3DBA9"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2</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733EC29A"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28,6%</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49BC707A"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5</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5D33CCC3"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71,4%</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274349E1" w14:textId="77777777" w:rsidR="00C574EA" w:rsidRPr="001C6456" w:rsidRDefault="00C574EA" w:rsidP="001C6456">
            <w:pPr>
              <w:widowControl w:val="0"/>
              <w:jc w:val="center"/>
              <w:rPr>
                <w:rFonts w:asciiTheme="minorHAnsi" w:hAnsiTheme="minorHAnsi" w:cstheme="minorHAnsi"/>
                <w:b/>
                <w:sz w:val="22"/>
                <w:szCs w:val="22"/>
              </w:rPr>
            </w:pPr>
            <w:r w:rsidRPr="001C6456">
              <w:rPr>
                <w:rFonts w:asciiTheme="minorHAnsi" w:hAnsiTheme="minorHAnsi" w:cstheme="minorHAnsi"/>
                <w:b/>
                <w:sz w:val="22"/>
                <w:szCs w:val="22"/>
              </w:rPr>
              <w:t>7</w:t>
            </w:r>
          </w:p>
        </w:tc>
      </w:tr>
      <w:tr w:rsidR="00C574EA" w14:paraId="26E5C878" w14:textId="77777777" w:rsidTr="001C6456">
        <w:trPr>
          <w:trHeight w:val="737"/>
        </w:trPr>
        <w:tc>
          <w:tcPr>
            <w:tcW w:w="198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5AB4CFCD" w14:textId="77777777" w:rsidR="00C574EA" w:rsidRPr="001C6ABC" w:rsidRDefault="00C574EA" w:rsidP="001C6456">
            <w:pPr>
              <w:widowControl w:val="0"/>
              <w:rPr>
                <w:rFonts w:asciiTheme="minorHAnsi" w:hAnsiTheme="minorHAnsi" w:cstheme="minorHAnsi"/>
                <w:sz w:val="22"/>
                <w:szCs w:val="22"/>
              </w:rPr>
            </w:pPr>
            <w:r w:rsidRPr="001C6ABC">
              <w:rPr>
                <w:rFonts w:asciiTheme="minorHAnsi" w:hAnsiTheme="minorHAnsi" w:cstheme="minorHAnsi"/>
                <w:b/>
                <w:sz w:val="22"/>
                <w:szCs w:val="22"/>
              </w:rPr>
              <w:t>Comissão de Governança e de Gestão Estratégica (CGGE)</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6594CE9A"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3</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18C6CFB3"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37,5%</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1E1AD322"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5</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6226F4F"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62,5%</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7214E6C3" w14:textId="77777777" w:rsidR="00C574EA" w:rsidRPr="001C6456" w:rsidRDefault="00C574EA" w:rsidP="001C6456">
            <w:pPr>
              <w:widowControl w:val="0"/>
              <w:jc w:val="center"/>
              <w:rPr>
                <w:rFonts w:asciiTheme="minorHAnsi" w:hAnsiTheme="minorHAnsi" w:cstheme="minorHAnsi"/>
                <w:b/>
                <w:sz w:val="22"/>
                <w:szCs w:val="22"/>
              </w:rPr>
            </w:pPr>
            <w:r w:rsidRPr="001C6456">
              <w:rPr>
                <w:rFonts w:asciiTheme="minorHAnsi" w:hAnsiTheme="minorHAnsi" w:cstheme="minorHAnsi"/>
                <w:b/>
                <w:sz w:val="22"/>
                <w:szCs w:val="22"/>
              </w:rPr>
              <w:t>8</w:t>
            </w:r>
          </w:p>
        </w:tc>
      </w:tr>
      <w:tr w:rsidR="00C574EA" w14:paraId="47558C5C" w14:textId="77777777" w:rsidTr="001C6456">
        <w:trPr>
          <w:trHeight w:val="737"/>
        </w:trPr>
        <w:tc>
          <w:tcPr>
            <w:tcW w:w="198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5848605C" w14:textId="77777777" w:rsidR="00C574EA" w:rsidRPr="001C6ABC" w:rsidRDefault="00C574EA" w:rsidP="001C6456">
            <w:pPr>
              <w:widowControl w:val="0"/>
              <w:rPr>
                <w:rFonts w:asciiTheme="minorHAnsi" w:hAnsiTheme="minorHAnsi" w:cstheme="minorHAnsi"/>
                <w:sz w:val="22"/>
                <w:szCs w:val="22"/>
              </w:rPr>
            </w:pPr>
            <w:r w:rsidRPr="001C6ABC">
              <w:rPr>
                <w:rFonts w:asciiTheme="minorHAnsi" w:hAnsiTheme="minorHAnsi" w:cstheme="minorHAnsi"/>
                <w:b/>
                <w:sz w:val="22"/>
                <w:szCs w:val="22"/>
              </w:rPr>
              <w:t>Comitê de Governança de Gestão Orçamentária e de Contratações (CGCOC)</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6BA58F2C"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1</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49727E73"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14,3%</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4869D82B"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6</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1F96D406"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85,7%</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78509AF4" w14:textId="77777777" w:rsidR="00C574EA" w:rsidRPr="001C6456" w:rsidRDefault="00C574EA" w:rsidP="001C6456">
            <w:pPr>
              <w:widowControl w:val="0"/>
              <w:jc w:val="center"/>
              <w:rPr>
                <w:rFonts w:asciiTheme="minorHAnsi" w:hAnsiTheme="minorHAnsi" w:cstheme="minorHAnsi"/>
                <w:b/>
                <w:sz w:val="22"/>
                <w:szCs w:val="22"/>
              </w:rPr>
            </w:pPr>
            <w:r w:rsidRPr="001C6456">
              <w:rPr>
                <w:rFonts w:asciiTheme="minorHAnsi" w:hAnsiTheme="minorHAnsi" w:cstheme="minorHAnsi"/>
                <w:b/>
                <w:sz w:val="22"/>
                <w:szCs w:val="22"/>
              </w:rPr>
              <w:t>7</w:t>
            </w:r>
          </w:p>
        </w:tc>
      </w:tr>
      <w:tr w:rsidR="00C574EA" w14:paraId="4FFE16DA" w14:textId="77777777" w:rsidTr="001C6456">
        <w:trPr>
          <w:trHeight w:val="737"/>
        </w:trPr>
        <w:tc>
          <w:tcPr>
            <w:tcW w:w="198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37F679DE" w14:textId="77777777" w:rsidR="00C574EA" w:rsidRPr="001C6ABC" w:rsidRDefault="00C574EA" w:rsidP="001C6456">
            <w:pPr>
              <w:widowControl w:val="0"/>
              <w:rPr>
                <w:rFonts w:asciiTheme="minorHAnsi" w:hAnsiTheme="minorHAnsi" w:cstheme="minorHAnsi"/>
                <w:sz w:val="22"/>
                <w:szCs w:val="22"/>
              </w:rPr>
            </w:pPr>
            <w:r w:rsidRPr="001C6ABC">
              <w:rPr>
                <w:rFonts w:asciiTheme="minorHAnsi" w:hAnsiTheme="minorHAnsi" w:cstheme="minorHAnsi"/>
                <w:b/>
                <w:sz w:val="22"/>
                <w:szCs w:val="22"/>
              </w:rPr>
              <w:t>Comitê de Governança de Gestão de Pessoas (CGGP)</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5AE0854"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4</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082275B"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33,3%</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1C2C8150"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8</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726996D4"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66,7%</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57CC3445" w14:textId="77777777" w:rsidR="00C574EA" w:rsidRPr="001C6456" w:rsidRDefault="00C574EA" w:rsidP="001C6456">
            <w:pPr>
              <w:widowControl w:val="0"/>
              <w:jc w:val="center"/>
              <w:rPr>
                <w:rFonts w:asciiTheme="minorHAnsi" w:hAnsiTheme="minorHAnsi" w:cstheme="minorHAnsi"/>
                <w:b/>
                <w:sz w:val="22"/>
                <w:szCs w:val="22"/>
              </w:rPr>
            </w:pPr>
            <w:r w:rsidRPr="001C6456">
              <w:rPr>
                <w:rFonts w:asciiTheme="minorHAnsi" w:hAnsiTheme="minorHAnsi" w:cstheme="minorHAnsi"/>
                <w:b/>
                <w:sz w:val="22"/>
                <w:szCs w:val="22"/>
              </w:rPr>
              <w:t>12</w:t>
            </w:r>
          </w:p>
        </w:tc>
      </w:tr>
      <w:tr w:rsidR="00C574EA" w14:paraId="0DD30C84" w14:textId="77777777" w:rsidTr="001C6456">
        <w:trPr>
          <w:trHeight w:val="737"/>
        </w:trPr>
        <w:tc>
          <w:tcPr>
            <w:tcW w:w="198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61BF9697" w14:textId="77777777" w:rsidR="00C574EA" w:rsidRPr="001C6ABC" w:rsidRDefault="00C574EA" w:rsidP="001C6456">
            <w:pPr>
              <w:widowControl w:val="0"/>
              <w:rPr>
                <w:rFonts w:asciiTheme="minorHAnsi" w:hAnsiTheme="minorHAnsi" w:cstheme="minorHAnsi"/>
                <w:sz w:val="22"/>
                <w:szCs w:val="22"/>
              </w:rPr>
            </w:pPr>
            <w:r w:rsidRPr="001C6ABC">
              <w:rPr>
                <w:rFonts w:asciiTheme="minorHAnsi" w:hAnsiTheme="minorHAnsi" w:cstheme="minorHAnsi"/>
                <w:b/>
                <w:sz w:val="22"/>
                <w:szCs w:val="22"/>
              </w:rPr>
              <w:t>Comitê de Governança de Gestão de Sustentabilidade (CGGS)</w:t>
            </w:r>
            <w:r w:rsidRPr="001C6ABC">
              <w:rPr>
                <w:rFonts w:asciiTheme="minorHAnsi" w:hAnsiTheme="minorHAnsi" w:cstheme="minorHAnsi"/>
                <w:b/>
                <w:sz w:val="22"/>
                <w:szCs w:val="22"/>
                <w:vertAlign w:val="superscript"/>
              </w:rPr>
              <w:footnoteReference w:id="38"/>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0E010031"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1</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57710967"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16,7%</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268297B3"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5</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7B027B5A"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83,3%</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294316EB" w14:textId="77777777" w:rsidR="00C574EA" w:rsidRPr="001C6456" w:rsidRDefault="00C574EA" w:rsidP="001C6456">
            <w:pPr>
              <w:widowControl w:val="0"/>
              <w:jc w:val="center"/>
              <w:rPr>
                <w:rFonts w:asciiTheme="minorHAnsi" w:hAnsiTheme="minorHAnsi" w:cstheme="minorHAnsi"/>
                <w:b/>
                <w:sz w:val="22"/>
                <w:szCs w:val="22"/>
              </w:rPr>
            </w:pPr>
            <w:r w:rsidRPr="001C6456">
              <w:rPr>
                <w:rFonts w:asciiTheme="minorHAnsi" w:hAnsiTheme="minorHAnsi" w:cstheme="minorHAnsi"/>
                <w:b/>
                <w:sz w:val="22"/>
                <w:szCs w:val="22"/>
              </w:rPr>
              <w:t>6</w:t>
            </w:r>
          </w:p>
        </w:tc>
      </w:tr>
      <w:tr w:rsidR="00C574EA" w14:paraId="57617CEB" w14:textId="77777777" w:rsidTr="001C6456">
        <w:trPr>
          <w:trHeight w:val="737"/>
        </w:trPr>
        <w:tc>
          <w:tcPr>
            <w:tcW w:w="198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7493E0F1" w14:textId="77777777" w:rsidR="00C574EA" w:rsidRPr="001C6ABC" w:rsidRDefault="00C574EA" w:rsidP="001C6456">
            <w:pPr>
              <w:widowControl w:val="0"/>
              <w:rPr>
                <w:rFonts w:asciiTheme="minorHAnsi" w:hAnsiTheme="minorHAnsi" w:cstheme="minorHAnsi"/>
                <w:sz w:val="22"/>
                <w:szCs w:val="22"/>
              </w:rPr>
            </w:pPr>
            <w:r w:rsidRPr="001C6ABC">
              <w:rPr>
                <w:rFonts w:asciiTheme="minorHAnsi" w:hAnsiTheme="minorHAnsi" w:cstheme="minorHAnsi"/>
                <w:b/>
                <w:color w:val="222222"/>
                <w:sz w:val="22"/>
                <w:szCs w:val="22"/>
              </w:rPr>
              <w:t>Comitê de Governança de Tecnologia da Informação e Comunicação (CGTI)</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68297835"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1</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19F5706F"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11,1%</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77E70A5E"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8</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7585B341"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88,9%</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253AAF3D" w14:textId="77777777" w:rsidR="00C574EA" w:rsidRPr="001C6456" w:rsidRDefault="00C574EA" w:rsidP="001C6456">
            <w:pPr>
              <w:widowControl w:val="0"/>
              <w:jc w:val="center"/>
              <w:rPr>
                <w:rFonts w:asciiTheme="minorHAnsi" w:hAnsiTheme="minorHAnsi" w:cstheme="minorHAnsi"/>
                <w:b/>
                <w:sz w:val="22"/>
                <w:szCs w:val="22"/>
              </w:rPr>
            </w:pPr>
            <w:r w:rsidRPr="001C6456">
              <w:rPr>
                <w:rFonts w:asciiTheme="minorHAnsi" w:hAnsiTheme="minorHAnsi" w:cstheme="minorHAnsi"/>
                <w:b/>
                <w:sz w:val="22"/>
                <w:szCs w:val="22"/>
              </w:rPr>
              <w:t>9</w:t>
            </w:r>
          </w:p>
        </w:tc>
      </w:tr>
      <w:tr w:rsidR="00C574EA" w14:paraId="0C470B05" w14:textId="77777777" w:rsidTr="001C6456">
        <w:trPr>
          <w:trHeight w:val="737"/>
        </w:trPr>
        <w:tc>
          <w:tcPr>
            <w:tcW w:w="198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52022155" w14:textId="77777777" w:rsidR="00C574EA" w:rsidRPr="001C6ABC" w:rsidRDefault="00C574EA" w:rsidP="001C6456">
            <w:pPr>
              <w:widowControl w:val="0"/>
              <w:rPr>
                <w:rFonts w:asciiTheme="minorHAnsi" w:hAnsiTheme="minorHAnsi" w:cstheme="minorHAnsi"/>
                <w:sz w:val="22"/>
                <w:szCs w:val="22"/>
              </w:rPr>
            </w:pPr>
            <w:r w:rsidRPr="001C6ABC">
              <w:rPr>
                <w:rFonts w:asciiTheme="minorHAnsi" w:hAnsiTheme="minorHAnsi" w:cstheme="minorHAnsi"/>
                <w:b/>
                <w:sz w:val="22"/>
                <w:szCs w:val="22"/>
              </w:rPr>
              <w:t>Comitê de Governança de Integridade e de Gestão de Riscos (CGIGR)</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36C58B2D"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1</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53791A42"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11,1%</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67F138CE"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8</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2C1D2714" w14:textId="77777777" w:rsidR="00C574EA" w:rsidRPr="001C6ABC" w:rsidRDefault="00C574EA" w:rsidP="001C6456">
            <w:pPr>
              <w:widowControl w:val="0"/>
              <w:jc w:val="center"/>
              <w:rPr>
                <w:rFonts w:asciiTheme="minorHAnsi" w:hAnsiTheme="minorHAnsi" w:cstheme="minorHAnsi"/>
                <w:sz w:val="22"/>
                <w:szCs w:val="22"/>
              </w:rPr>
            </w:pPr>
            <w:r w:rsidRPr="001C6ABC">
              <w:rPr>
                <w:rFonts w:asciiTheme="minorHAnsi" w:hAnsiTheme="minorHAnsi" w:cstheme="minorHAnsi"/>
                <w:sz w:val="22"/>
                <w:szCs w:val="22"/>
              </w:rPr>
              <w:t>88,9%</w:t>
            </w:r>
          </w:p>
        </w:tc>
        <w:tc>
          <w:tcPr>
            <w:tcW w:w="603" w:type="pct"/>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center"/>
          </w:tcPr>
          <w:p w14:paraId="757107D9" w14:textId="77777777" w:rsidR="00C574EA" w:rsidRPr="001C6456" w:rsidRDefault="00C574EA" w:rsidP="001C6456">
            <w:pPr>
              <w:widowControl w:val="0"/>
              <w:jc w:val="center"/>
              <w:rPr>
                <w:rFonts w:asciiTheme="minorHAnsi" w:hAnsiTheme="minorHAnsi" w:cstheme="minorHAnsi"/>
                <w:b/>
                <w:sz w:val="22"/>
                <w:szCs w:val="22"/>
              </w:rPr>
            </w:pPr>
            <w:r w:rsidRPr="001C6456">
              <w:rPr>
                <w:rFonts w:asciiTheme="minorHAnsi" w:hAnsiTheme="minorHAnsi" w:cstheme="minorHAnsi"/>
                <w:b/>
                <w:sz w:val="22"/>
                <w:szCs w:val="22"/>
              </w:rPr>
              <w:t>9</w:t>
            </w:r>
          </w:p>
        </w:tc>
      </w:tr>
    </w:tbl>
    <w:p w14:paraId="0EC44A02" w14:textId="3613A58D" w:rsidR="005271C1" w:rsidRDefault="00C574EA" w:rsidP="00777082">
      <w:pPr>
        <w:pStyle w:val="Fonte"/>
        <w:rPr>
          <w:b w:val="0"/>
          <w:bCs/>
          <w:sz w:val="24"/>
        </w:rPr>
      </w:pPr>
      <w:r>
        <w:t xml:space="preserve">Fonte: </w:t>
      </w:r>
      <w:r w:rsidRPr="005271C1">
        <w:rPr>
          <w:b w:val="0"/>
          <w:bCs/>
        </w:rPr>
        <w:t>Dados disponibilizados pela Secretaria de Governança e de Gestão Estratégica do TST (maio de 2025). Compilação e elaboração: CPJUD/SEPJD/CPJED</w:t>
      </w:r>
      <w:r w:rsidRPr="005271C1">
        <w:rPr>
          <w:b w:val="0"/>
          <w:bCs/>
          <w:sz w:val="24"/>
        </w:rPr>
        <w:t>.</w:t>
      </w:r>
    </w:p>
    <w:p w14:paraId="2AC2D583" w14:textId="77777777" w:rsidR="00EE295F" w:rsidRPr="00EE295F" w:rsidRDefault="00EE295F" w:rsidP="001C6456">
      <w:pPr>
        <w:pStyle w:val="Texto"/>
      </w:pPr>
    </w:p>
    <w:p w14:paraId="686DD954" w14:textId="46144465" w:rsidR="00EE295F" w:rsidRDefault="00C574EA" w:rsidP="001C6456">
      <w:pPr>
        <w:pStyle w:val="Texto"/>
      </w:pPr>
      <w:r>
        <w:t xml:space="preserve">A agregação dos dados da Tabela </w:t>
      </w:r>
      <w:r w:rsidR="008754C3">
        <w:t>6</w:t>
      </w:r>
      <w:r>
        <w:t xml:space="preserve"> n</w:t>
      </w:r>
      <w:r w:rsidR="005271C1">
        <w:t>o Gráfico</w:t>
      </w:r>
      <w:r w:rsidR="008754C3">
        <w:t xml:space="preserve"> </w:t>
      </w:r>
      <w:r w:rsidR="00234D19">
        <w:t>22</w:t>
      </w:r>
      <w:r>
        <w:t xml:space="preserve"> evidencia a sub-representação feminina nos co</w:t>
      </w:r>
      <w:r w:rsidR="008754C3">
        <w:t xml:space="preserve">mitês, com uma participação de </w:t>
      </w:r>
      <w:r>
        <w:t xml:space="preserve">22,4% em comparação </w:t>
      </w:r>
      <w:r w:rsidR="00AF0046">
        <w:t>a</w:t>
      </w:r>
      <w:r>
        <w:t xml:space="preserve"> 77,6% de participação masculina</w:t>
      </w:r>
      <w:bookmarkStart w:id="53" w:name="_rmdnbiw9wcfd" w:colFirst="0" w:colLast="0"/>
      <w:bookmarkEnd w:id="53"/>
      <w:r w:rsidR="00AF0046">
        <w:t>.</w:t>
      </w:r>
    </w:p>
    <w:p w14:paraId="3E0F1B1A" w14:textId="77777777" w:rsidR="008754C3" w:rsidRPr="005271C1" w:rsidRDefault="008754C3" w:rsidP="001C6456">
      <w:pPr>
        <w:pStyle w:val="Texto"/>
      </w:pPr>
    </w:p>
    <w:p w14:paraId="6B98C990" w14:textId="194B870B" w:rsidR="005271C1" w:rsidRDefault="00022A33" w:rsidP="00FB5A95">
      <w:pPr>
        <w:pStyle w:val="TtulodaIlustrao"/>
      </w:pPr>
      <w:bookmarkStart w:id="54" w:name="_Toc208508645"/>
      <w:r>
        <w:t xml:space="preserve">Gráfico </w:t>
      </w:r>
      <w:r w:rsidR="00221F78">
        <w:t>22</w:t>
      </w:r>
      <w:r w:rsidRPr="001C6456">
        <w:rPr>
          <w:b w:val="0"/>
        </w:rPr>
        <w:t xml:space="preserve"> - Participação Feminina Geral nos Comitês Temáticos de Governança do TST (%)</w:t>
      </w:r>
      <w:bookmarkEnd w:id="54"/>
    </w:p>
    <w:p w14:paraId="26B4D66D" w14:textId="09635ADF" w:rsidR="007B5800" w:rsidRDefault="00C752A7" w:rsidP="00C752A7">
      <w:pPr>
        <w:ind w:left="708" w:right="951"/>
        <w:jc w:val="center"/>
      </w:pPr>
      <w:r>
        <w:rPr>
          <w:noProof/>
        </w:rPr>
        <w:drawing>
          <wp:inline distT="0" distB="0" distL="0" distR="0" wp14:anchorId="5EE0910E" wp14:editId="0F404C9B">
            <wp:extent cx="4572000" cy="2743200"/>
            <wp:effectExtent l="0" t="0" r="0" b="0"/>
            <wp:docPr id="1422614899" name="Gráfico 1422614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A82515" w14:textId="77777777" w:rsidR="007B5800" w:rsidRDefault="007B5800" w:rsidP="007B5800">
      <w:pPr>
        <w:pStyle w:val="Fonte"/>
        <w:rPr>
          <w:b w:val="0"/>
          <w:bCs/>
          <w:sz w:val="24"/>
        </w:rPr>
      </w:pPr>
      <w:r>
        <w:t xml:space="preserve">Fonte: </w:t>
      </w:r>
      <w:r w:rsidRPr="005271C1">
        <w:rPr>
          <w:b w:val="0"/>
          <w:bCs/>
        </w:rPr>
        <w:t>Dados disponibilizados pela Secretaria de Governança e de Gestão Estratégica do TST (maio de 2025). Compilação e elaboração: CPJUD/SEPJD/CPJED</w:t>
      </w:r>
      <w:r w:rsidRPr="005271C1">
        <w:rPr>
          <w:b w:val="0"/>
          <w:bCs/>
          <w:sz w:val="24"/>
        </w:rPr>
        <w:t>.</w:t>
      </w:r>
    </w:p>
    <w:p w14:paraId="74FD3C0E" w14:textId="77777777" w:rsidR="009E1EF8" w:rsidRDefault="009E1EF8" w:rsidP="001C6456">
      <w:pPr>
        <w:pStyle w:val="Texto"/>
      </w:pPr>
    </w:p>
    <w:p w14:paraId="4D5C8537" w14:textId="4AE0B9AF" w:rsidR="009E1EF8" w:rsidRDefault="009E1EF8" w:rsidP="001C6456">
      <w:pPr>
        <w:pStyle w:val="Texto"/>
        <w:rPr>
          <w:rFonts w:ascii="Calibri" w:hAnsi="Calibri" w:cs="Calibri"/>
          <w:color w:val="222222"/>
        </w:rPr>
      </w:pPr>
      <w:r w:rsidRPr="009E1EF8">
        <w:rPr>
          <w:rFonts w:ascii="Calibri" w:hAnsi="Calibri" w:cs="Calibri"/>
        </w:rPr>
        <w:t>A compreensão das causas que explicam a disparidade de participação entre os gêneros nesses comitês requer investigações mais aprofundadas, particularmente com o uso de abordagens qualitativas. Salienta-se, contudo, que o incentivo à maior presença feminina nesses espaços constitui uma política relevante, não apenas por refletir o compromisso com a equidade de gênero, mas também pelo impacto positivo que exerce sobre a qualidade e a legitimidade das decisões</w:t>
      </w:r>
      <w:r w:rsidR="00993A26">
        <w:rPr>
          <w:rFonts w:ascii="Calibri" w:hAnsi="Calibri" w:cs="Calibri"/>
        </w:rPr>
        <w:t>, conforme indicado em estudos</w:t>
      </w:r>
      <w:r>
        <w:rPr>
          <w:rStyle w:val="Refdenotaderodap"/>
          <w:rFonts w:ascii="Calibri" w:hAnsi="Calibri" w:cs="Calibri"/>
        </w:rPr>
        <w:footnoteReference w:id="39"/>
      </w:r>
      <w:r w:rsidR="00993A26">
        <w:rPr>
          <w:rFonts w:ascii="Calibri" w:hAnsi="Calibri" w:cs="Calibri"/>
        </w:rPr>
        <w:t>.</w:t>
      </w:r>
    </w:p>
    <w:p w14:paraId="00356CE3" w14:textId="77777777" w:rsidR="00E136DD" w:rsidRDefault="00E136DD" w:rsidP="001C6456">
      <w:pPr>
        <w:pStyle w:val="Texto"/>
      </w:pPr>
      <w:bookmarkStart w:id="55" w:name="_x9zpjzdeny3l" w:colFirst="0" w:colLast="0"/>
      <w:bookmarkEnd w:id="55"/>
    </w:p>
    <w:p w14:paraId="30C79DDE" w14:textId="75001307" w:rsidR="001C6456" w:rsidRDefault="001C6456">
      <w:pPr>
        <w:rPr>
          <w:rFonts w:asciiTheme="minorHAnsi" w:hAnsiTheme="minorHAnsi" w:cstheme="minorHAnsi"/>
          <w:noProof/>
        </w:rPr>
      </w:pPr>
      <w:r>
        <w:br w:type="page"/>
      </w:r>
    </w:p>
    <w:p w14:paraId="17470189" w14:textId="1D4F8CED" w:rsidR="00C37349" w:rsidRPr="007669F4" w:rsidRDefault="00C37349" w:rsidP="00FB5A95">
      <w:pPr>
        <w:pStyle w:val="Ttulo3"/>
      </w:pPr>
      <w:bookmarkStart w:id="56" w:name="_Toc208510814"/>
      <w:r w:rsidRPr="007669F4">
        <w:lastRenderedPageBreak/>
        <w:t>Participação feminina em cargos de</w:t>
      </w:r>
      <w:r w:rsidR="00E71EAF" w:rsidRPr="007669F4">
        <w:t xml:space="preserve"> gestão e</w:t>
      </w:r>
      <w:r w:rsidRPr="007669F4">
        <w:t xml:space="preserve"> liderança do TST</w:t>
      </w:r>
      <w:r w:rsidR="00EA2F07" w:rsidRPr="007669F4">
        <w:rPr>
          <w:rStyle w:val="Refdenotaderodap"/>
        </w:rPr>
        <w:footnoteReference w:id="40"/>
      </w:r>
      <w:r w:rsidR="008754C3" w:rsidRPr="007669F4">
        <w:t xml:space="preserve"> </w:t>
      </w:r>
      <w:r w:rsidR="003F6A5E" w:rsidRPr="007669F4">
        <w:t>pela natureza da atividade</w:t>
      </w:r>
      <w:bookmarkEnd w:id="56"/>
    </w:p>
    <w:p w14:paraId="63A17ADF" w14:textId="7AEB9028" w:rsidR="009A06C7" w:rsidRDefault="001A3BAD" w:rsidP="001C6456">
      <w:pPr>
        <w:pStyle w:val="Texto"/>
      </w:pPr>
      <w:r w:rsidRPr="00590D3A">
        <w:t xml:space="preserve">Nesta subseção, a distribuição por gênero dos cargos de gestão e liderança do TST será </w:t>
      </w:r>
      <w:r w:rsidR="00590D3A" w:rsidRPr="00590D3A">
        <w:t xml:space="preserve">analisada com base </w:t>
      </w:r>
      <w:r w:rsidR="003F6A5E">
        <w:t>na natureza da atividade</w:t>
      </w:r>
      <w:r w:rsidR="00234D19">
        <w:t xml:space="preserve">: judiciária ou administrativa. </w:t>
      </w:r>
      <w:r w:rsidR="009A06C7" w:rsidRPr="009A06C7">
        <w:t xml:space="preserve">É importante destacar que a compreensão de eventuais relações entre o tipo de chefia e o gênero do ocupante, conforme solicitado pela ASPRODEC, exigiria uma abordagem mais abrangente, incorporando diferentes técnicas de pesquisa qualitativa, </w:t>
      </w:r>
      <w:r w:rsidR="00234D19">
        <w:t xml:space="preserve">para </w:t>
      </w:r>
      <w:r w:rsidR="009A06C7" w:rsidRPr="009A06C7">
        <w:t>além dos métodos quantitativos utilizados neste estudo. Esse tipo de análise permitiria compreender, por exemplo, a natureza efetiva das atividades desenvolvidas, as competências requeridas e os fatores culturais que influenciam a composição de gênero em cada área.</w:t>
      </w:r>
    </w:p>
    <w:p w14:paraId="4CFD7178" w14:textId="175ACC8A" w:rsidR="00590D3A" w:rsidRPr="006B042E" w:rsidRDefault="009A06C7" w:rsidP="001C6456">
      <w:pPr>
        <w:pStyle w:val="Texto"/>
      </w:pPr>
      <w:r>
        <w:t>Dadas essas limitações, a análise aqui efetuada está restrita a análise dos cargos conform</w:t>
      </w:r>
      <w:r w:rsidR="001079F4">
        <w:t>e os tipos de unidades do TST, nos termos d</w:t>
      </w:r>
      <w:r>
        <w:t>o organog</w:t>
      </w:r>
      <w:r w:rsidR="006B042E">
        <w:t>r</w:t>
      </w:r>
      <w:r>
        <w:t>ama do órgão</w:t>
      </w:r>
      <w:r w:rsidR="006B042E">
        <w:rPr>
          <w:rStyle w:val="Refdenotaderodap"/>
        </w:rPr>
        <w:footnoteReference w:id="41"/>
      </w:r>
      <w:r>
        <w:t xml:space="preserve"> </w:t>
      </w:r>
      <w:r w:rsidR="006B042E">
        <w:t xml:space="preserve">e </w:t>
      </w:r>
      <w:r w:rsidR="001079F4">
        <w:t>d</w:t>
      </w:r>
      <w:r w:rsidR="006B042E">
        <w:t xml:space="preserve">as denominações constantes no </w:t>
      </w:r>
      <w:r w:rsidR="006973F4">
        <w:t>Anexo I do Ato GDGSET.GP Nº 155/2025</w:t>
      </w:r>
      <w:r w:rsidR="006973F4">
        <w:rPr>
          <w:rStyle w:val="Refdenotaderodap"/>
        </w:rPr>
        <w:footnoteReference w:id="42"/>
      </w:r>
      <w:r w:rsidR="006B042E">
        <w:t xml:space="preserve">. </w:t>
      </w:r>
    </w:p>
    <w:p w14:paraId="0CBE0057" w14:textId="3706D536" w:rsidR="00522215" w:rsidRDefault="00E71EAF" w:rsidP="001C6456">
      <w:pPr>
        <w:pStyle w:val="Texto"/>
      </w:pPr>
      <w:r>
        <w:t>A</w:t>
      </w:r>
      <w:r w:rsidR="00AF773A">
        <w:t xml:space="preserve"> Tabela 7</w:t>
      </w:r>
      <w:r>
        <w:t xml:space="preserve"> apresenta</w:t>
      </w:r>
      <w:r w:rsidR="008754C3">
        <w:t xml:space="preserve"> o quantitativo</w:t>
      </w:r>
      <w:r w:rsidR="00792D02">
        <w:t xml:space="preserve"> de cargos para cada denominação</w:t>
      </w:r>
      <w:r w:rsidR="008754C3">
        <w:t>.</w:t>
      </w:r>
      <w:r w:rsidR="00792D02">
        <w:t xml:space="preserve"> </w:t>
      </w:r>
      <w:r w:rsidR="006B042E">
        <w:t>Os tipos de chefia</w:t>
      </w:r>
      <w:r>
        <w:t xml:space="preserve"> com apenas um cargo (Pregoeiro, Presidente da CMPD e Diretor de Secretaria) foram excluídas desta tabela, pois não </w:t>
      </w:r>
      <w:r w:rsidR="00522215">
        <w:t>seria</w:t>
      </w:r>
      <w:r>
        <w:t xml:space="preserve"> possível realizar, nesses casos, uma comparação proporcional entre gêneros. Entretanto, esses cargos </w:t>
      </w:r>
      <w:r w:rsidR="00522215">
        <w:t>foram</w:t>
      </w:r>
      <w:r>
        <w:t xml:space="preserve"> considerados nos quantitativos gerais e nas análises por nível hierárquico apresentadas neste relatório.</w:t>
      </w:r>
      <w:r w:rsidR="00522215">
        <w:t xml:space="preserve"> </w:t>
      </w:r>
    </w:p>
    <w:p w14:paraId="20F76743" w14:textId="398C9D17" w:rsidR="00522215" w:rsidRDefault="000203FE" w:rsidP="001C6456">
      <w:pPr>
        <w:pStyle w:val="Texto"/>
      </w:pPr>
      <w:r>
        <w:t>A análise da tabela</w:t>
      </w:r>
      <w:r w:rsidR="00522215">
        <w:t xml:space="preserve"> mostra a paridade de gênero </w:t>
      </w:r>
      <w:r w:rsidR="001B56B6">
        <w:t>existe nos cargos de mais alta hierarquia do TST (</w:t>
      </w:r>
      <w:r w:rsidR="00522215">
        <w:t>Secretários-Gerais</w:t>
      </w:r>
      <w:r w:rsidR="001B56B6">
        <w:t xml:space="preserve"> </w:t>
      </w:r>
      <w:r w:rsidR="00C25FF4">
        <w:t>e Diretor-Geral</w:t>
      </w:r>
      <w:r w:rsidR="001B56B6">
        <w:t>)</w:t>
      </w:r>
      <w:r w:rsidR="006B042E">
        <w:t>, com 50% de ocupação por mulheres e 50% por homens</w:t>
      </w:r>
      <w:r w:rsidR="00C25FF4">
        <w:t>. O exame dos dados</w:t>
      </w:r>
      <w:r>
        <w:t xml:space="preserve"> revela</w:t>
      </w:r>
      <w:r w:rsidR="00C25FF4">
        <w:t xml:space="preserve"> também</w:t>
      </w:r>
      <w:r>
        <w:t xml:space="preserve"> que as mulher</w:t>
      </w:r>
      <w:r w:rsidR="00EF56F9">
        <w:t>e</w:t>
      </w:r>
      <w:r>
        <w:t xml:space="preserve">s detêm a maioria dos cargos de </w:t>
      </w:r>
      <w:r>
        <w:lastRenderedPageBreak/>
        <w:t>Chefe</w:t>
      </w:r>
      <w:r w:rsidR="006B042E">
        <w:t xml:space="preserve"> </w:t>
      </w:r>
      <w:r>
        <w:t>de G</w:t>
      </w:r>
      <w:r w:rsidR="006973F4">
        <w:t>abinete</w:t>
      </w:r>
      <w:r>
        <w:t>. Das 28 posições</w:t>
      </w:r>
      <w:r w:rsidR="006B042E">
        <w:rPr>
          <w:rStyle w:val="Refdenotaderodap"/>
        </w:rPr>
        <w:footnoteReference w:id="43"/>
      </w:r>
      <w:r>
        <w:t>, 17 são ocupadas por mulheres (</w:t>
      </w:r>
      <w:r w:rsidR="006973F4">
        <w:t>60,7%</w:t>
      </w:r>
      <w:r>
        <w:t>)</w:t>
      </w:r>
      <w:r w:rsidR="006973F4">
        <w:t>,</w:t>
      </w:r>
      <w:r w:rsidR="001079F4">
        <w:t xml:space="preserve"> enquanto 11</w:t>
      </w:r>
      <w:r w:rsidR="00EF56F9">
        <w:t>,</w:t>
      </w:r>
      <w:r w:rsidR="001079F4">
        <w:t xml:space="preserve"> </w:t>
      </w:r>
      <w:r>
        <w:t>por homens (</w:t>
      </w:r>
      <w:r w:rsidR="006973F4">
        <w:t>39,3%</w:t>
      </w:r>
      <w:r>
        <w:t>)</w:t>
      </w:r>
      <w:r w:rsidR="00C83691">
        <w:t>,</w:t>
      </w:r>
      <w:r>
        <w:t xml:space="preserve"> representando</w:t>
      </w:r>
      <w:r w:rsidR="00C83691">
        <w:t xml:space="preserve"> uma diferença de 21,4 pontos percentuais</w:t>
      </w:r>
      <w:r w:rsidR="006973F4">
        <w:t xml:space="preserve">. </w:t>
      </w:r>
    </w:p>
    <w:p w14:paraId="102D992E" w14:textId="585EB7A0" w:rsidR="006B042E" w:rsidRDefault="000203FE" w:rsidP="001C6456">
      <w:pPr>
        <w:pStyle w:val="Texto"/>
      </w:pPr>
      <w:r>
        <w:t xml:space="preserve">Observa-se, contudo, </w:t>
      </w:r>
      <w:r w:rsidR="001079F4">
        <w:t xml:space="preserve">predomínio masculino no restante dos cargos: </w:t>
      </w:r>
      <w:r w:rsidR="00463A8C">
        <w:t xml:space="preserve">Secretário, Coordenador, Assessor-Chefe, Chefe de Divisão, Chefe de Núcleo e Supervisãor de Seção. </w:t>
      </w:r>
      <w:r w:rsidR="00C83691">
        <w:t xml:space="preserve">A </w:t>
      </w:r>
      <w:r>
        <w:t>m</w:t>
      </w:r>
      <w:r w:rsidR="001079F4">
        <w:t>aior disparidade proporcional é observada na função</w:t>
      </w:r>
      <w:r>
        <w:t xml:space="preserve"> de Chefe de Núcleo: de um total de</w:t>
      </w:r>
      <w:r w:rsidR="00C83691">
        <w:t xml:space="preserve"> 33 chefias, 29 são ocupadas por homens (87,9%) e 4 por mulheres (12,1%).</w:t>
      </w:r>
    </w:p>
    <w:p w14:paraId="63753676" w14:textId="77777777" w:rsidR="00CC4796" w:rsidRDefault="00CC4796" w:rsidP="001C6456">
      <w:pPr>
        <w:pStyle w:val="Texto"/>
      </w:pPr>
    </w:p>
    <w:p w14:paraId="1DD065D0" w14:textId="019A43E9" w:rsidR="00AF773A" w:rsidRDefault="00CC4796" w:rsidP="00FB5A95">
      <w:pPr>
        <w:pStyle w:val="TtulodaTabela"/>
      </w:pPr>
      <w:bookmarkStart w:id="58" w:name="_Toc208510778"/>
      <w:r>
        <w:t xml:space="preserve">Tabela </w:t>
      </w:r>
      <w:r>
        <w:fldChar w:fldCharType="begin"/>
      </w:r>
      <w:r>
        <w:instrText xml:space="preserve"> SEQ Tabela \* ARABIC </w:instrText>
      </w:r>
      <w:r>
        <w:fldChar w:fldCharType="separate"/>
      </w:r>
      <w:r w:rsidR="00D85D1E">
        <w:t>7</w:t>
      </w:r>
      <w:r>
        <w:fldChar w:fldCharType="end"/>
      </w:r>
      <w:r w:rsidRPr="001C6456">
        <w:rPr>
          <w:b w:val="0"/>
        </w:rPr>
        <w:t xml:space="preserve"> - Distribuição por gênero de cargos de gestão e liderança do TST pela denominação do cargo</w:t>
      </w:r>
      <w:bookmarkEnd w:id="58"/>
    </w:p>
    <w:tbl>
      <w:tblPr>
        <w:tblW w:w="5000" w:type="pct"/>
        <w:tblBorders>
          <w:top w:val="single" w:sz="6" w:space="0" w:color="CCCCCC"/>
          <w:bottom w:val="single" w:sz="6" w:space="0" w:color="CCCCCC"/>
          <w:insideH w:val="single" w:sz="6" w:space="0" w:color="CCCCCC"/>
          <w:insideV w:val="single" w:sz="6" w:space="0" w:color="CCCCCC"/>
        </w:tblBorders>
        <w:tblLayout w:type="fixed"/>
        <w:tblCellMar>
          <w:left w:w="0" w:type="dxa"/>
          <w:right w:w="0" w:type="dxa"/>
        </w:tblCellMar>
        <w:tblLook w:val="04A0" w:firstRow="1" w:lastRow="0" w:firstColumn="1" w:lastColumn="0" w:noHBand="0" w:noVBand="1"/>
      </w:tblPr>
      <w:tblGrid>
        <w:gridCol w:w="3064"/>
        <w:gridCol w:w="1375"/>
        <w:gridCol w:w="1056"/>
        <w:gridCol w:w="1059"/>
        <w:gridCol w:w="1057"/>
        <w:gridCol w:w="1059"/>
        <w:gridCol w:w="1059"/>
      </w:tblGrid>
      <w:tr w:rsidR="001C6456" w:rsidRPr="00E3291C" w14:paraId="10D8A2D6" w14:textId="77777777" w:rsidTr="001C6456">
        <w:trPr>
          <w:trHeight w:val="510"/>
        </w:trPr>
        <w:tc>
          <w:tcPr>
            <w:tcW w:w="1575" w:type="pct"/>
            <w:shd w:val="clear" w:color="auto" w:fill="999999"/>
            <w:tcMar>
              <w:top w:w="0" w:type="dxa"/>
              <w:left w:w="45" w:type="dxa"/>
              <w:bottom w:w="0" w:type="dxa"/>
              <w:right w:w="45" w:type="dxa"/>
            </w:tcMar>
            <w:vAlign w:val="center"/>
            <w:hideMark/>
          </w:tcPr>
          <w:p w14:paraId="4F09E8DD" w14:textId="77777777" w:rsidR="00E3291C" w:rsidRPr="001C6ABC" w:rsidRDefault="00E3291C" w:rsidP="001C6456">
            <w:pPr>
              <w:jc w:val="center"/>
              <w:rPr>
                <w:rFonts w:asciiTheme="minorHAnsi" w:hAnsiTheme="minorHAnsi" w:cstheme="minorHAnsi"/>
                <w:b/>
                <w:bCs/>
                <w:sz w:val="22"/>
                <w:szCs w:val="22"/>
              </w:rPr>
            </w:pPr>
            <w:r w:rsidRPr="001C6ABC">
              <w:rPr>
                <w:rFonts w:asciiTheme="minorHAnsi" w:hAnsiTheme="minorHAnsi" w:cstheme="minorHAnsi"/>
                <w:b/>
                <w:bCs/>
                <w:sz w:val="22"/>
                <w:szCs w:val="22"/>
              </w:rPr>
              <w:t>Denominação</w:t>
            </w:r>
          </w:p>
        </w:tc>
        <w:tc>
          <w:tcPr>
            <w:tcW w:w="707" w:type="pct"/>
            <w:shd w:val="clear" w:color="auto" w:fill="999999"/>
            <w:tcMar>
              <w:top w:w="0" w:type="dxa"/>
              <w:left w:w="45" w:type="dxa"/>
              <w:bottom w:w="0" w:type="dxa"/>
              <w:right w:w="45" w:type="dxa"/>
            </w:tcMar>
            <w:vAlign w:val="center"/>
            <w:hideMark/>
          </w:tcPr>
          <w:p w14:paraId="4A374D50" w14:textId="77777777" w:rsidR="00E3291C" w:rsidRPr="001C6ABC" w:rsidRDefault="00E3291C" w:rsidP="001C6456">
            <w:pPr>
              <w:jc w:val="center"/>
              <w:rPr>
                <w:rFonts w:asciiTheme="minorHAnsi" w:hAnsiTheme="minorHAnsi" w:cstheme="minorHAnsi"/>
                <w:b/>
                <w:bCs/>
                <w:sz w:val="22"/>
                <w:szCs w:val="22"/>
              </w:rPr>
            </w:pPr>
            <w:r w:rsidRPr="001C6ABC">
              <w:rPr>
                <w:rFonts w:asciiTheme="minorHAnsi" w:hAnsiTheme="minorHAnsi" w:cstheme="minorHAnsi"/>
                <w:b/>
                <w:bCs/>
                <w:sz w:val="22"/>
                <w:szCs w:val="22"/>
              </w:rPr>
              <w:t>Nível</w:t>
            </w:r>
          </w:p>
        </w:tc>
        <w:tc>
          <w:tcPr>
            <w:tcW w:w="543" w:type="pct"/>
            <w:shd w:val="clear" w:color="auto" w:fill="999999"/>
            <w:tcMar>
              <w:top w:w="0" w:type="dxa"/>
              <w:left w:w="45" w:type="dxa"/>
              <w:bottom w:w="0" w:type="dxa"/>
              <w:right w:w="45" w:type="dxa"/>
            </w:tcMar>
            <w:vAlign w:val="center"/>
            <w:hideMark/>
          </w:tcPr>
          <w:p w14:paraId="469DDD8A" w14:textId="77777777" w:rsidR="00E3291C" w:rsidRPr="001C6ABC" w:rsidRDefault="00E3291C" w:rsidP="001C6456">
            <w:pPr>
              <w:jc w:val="center"/>
              <w:rPr>
                <w:rFonts w:asciiTheme="minorHAnsi" w:hAnsiTheme="minorHAnsi" w:cstheme="minorHAnsi"/>
                <w:b/>
                <w:bCs/>
                <w:sz w:val="22"/>
                <w:szCs w:val="22"/>
              </w:rPr>
            </w:pPr>
            <w:r w:rsidRPr="001C6ABC">
              <w:rPr>
                <w:rFonts w:asciiTheme="minorHAnsi" w:hAnsiTheme="minorHAnsi" w:cstheme="minorHAnsi"/>
                <w:b/>
                <w:bCs/>
                <w:sz w:val="22"/>
                <w:szCs w:val="22"/>
              </w:rPr>
              <w:t>Feminino</w:t>
            </w:r>
          </w:p>
        </w:tc>
        <w:tc>
          <w:tcPr>
            <w:tcW w:w="544" w:type="pct"/>
            <w:shd w:val="clear" w:color="auto" w:fill="999999"/>
            <w:tcMar>
              <w:top w:w="0" w:type="dxa"/>
              <w:left w:w="45" w:type="dxa"/>
              <w:bottom w:w="0" w:type="dxa"/>
              <w:right w:w="45" w:type="dxa"/>
            </w:tcMar>
            <w:vAlign w:val="center"/>
            <w:hideMark/>
          </w:tcPr>
          <w:p w14:paraId="3148CB0E" w14:textId="77777777" w:rsidR="00E3291C" w:rsidRPr="001C6ABC" w:rsidRDefault="00E3291C" w:rsidP="001C6456">
            <w:pPr>
              <w:jc w:val="center"/>
              <w:rPr>
                <w:rFonts w:asciiTheme="minorHAnsi" w:hAnsiTheme="minorHAnsi" w:cstheme="minorHAnsi"/>
                <w:b/>
                <w:bCs/>
                <w:sz w:val="22"/>
                <w:szCs w:val="22"/>
              </w:rPr>
            </w:pPr>
            <w:r w:rsidRPr="001C6ABC">
              <w:rPr>
                <w:rFonts w:asciiTheme="minorHAnsi" w:hAnsiTheme="minorHAnsi" w:cstheme="minorHAnsi"/>
                <w:b/>
                <w:bCs/>
                <w:sz w:val="22"/>
                <w:szCs w:val="22"/>
              </w:rPr>
              <w:t>%</w:t>
            </w:r>
          </w:p>
        </w:tc>
        <w:tc>
          <w:tcPr>
            <w:tcW w:w="543" w:type="pct"/>
            <w:shd w:val="clear" w:color="auto" w:fill="999999"/>
            <w:tcMar>
              <w:top w:w="0" w:type="dxa"/>
              <w:left w:w="45" w:type="dxa"/>
              <w:bottom w:w="0" w:type="dxa"/>
              <w:right w:w="45" w:type="dxa"/>
            </w:tcMar>
            <w:vAlign w:val="center"/>
            <w:hideMark/>
          </w:tcPr>
          <w:p w14:paraId="50A29C58" w14:textId="77777777" w:rsidR="00E3291C" w:rsidRPr="001C6ABC" w:rsidRDefault="00E3291C" w:rsidP="001C6456">
            <w:pPr>
              <w:jc w:val="center"/>
              <w:rPr>
                <w:rFonts w:asciiTheme="minorHAnsi" w:hAnsiTheme="minorHAnsi" w:cstheme="minorHAnsi"/>
                <w:b/>
                <w:bCs/>
                <w:sz w:val="22"/>
                <w:szCs w:val="22"/>
              </w:rPr>
            </w:pPr>
            <w:r w:rsidRPr="001C6ABC">
              <w:rPr>
                <w:rFonts w:asciiTheme="minorHAnsi" w:hAnsiTheme="minorHAnsi" w:cstheme="minorHAnsi"/>
                <w:b/>
                <w:bCs/>
                <w:sz w:val="22"/>
                <w:szCs w:val="22"/>
              </w:rPr>
              <w:t>Masculino</w:t>
            </w:r>
          </w:p>
        </w:tc>
        <w:tc>
          <w:tcPr>
            <w:tcW w:w="544" w:type="pct"/>
            <w:shd w:val="clear" w:color="auto" w:fill="999999"/>
            <w:tcMar>
              <w:top w:w="0" w:type="dxa"/>
              <w:left w:w="45" w:type="dxa"/>
              <w:bottom w:w="0" w:type="dxa"/>
              <w:right w:w="45" w:type="dxa"/>
            </w:tcMar>
            <w:vAlign w:val="center"/>
            <w:hideMark/>
          </w:tcPr>
          <w:p w14:paraId="0954C805" w14:textId="77777777" w:rsidR="00E3291C" w:rsidRPr="001C6ABC" w:rsidRDefault="00E3291C" w:rsidP="001C6456">
            <w:pPr>
              <w:jc w:val="center"/>
              <w:rPr>
                <w:rFonts w:asciiTheme="minorHAnsi" w:hAnsiTheme="minorHAnsi" w:cstheme="minorHAnsi"/>
                <w:b/>
                <w:bCs/>
                <w:sz w:val="22"/>
                <w:szCs w:val="22"/>
              </w:rPr>
            </w:pPr>
            <w:r w:rsidRPr="001C6ABC">
              <w:rPr>
                <w:rFonts w:asciiTheme="minorHAnsi" w:hAnsiTheme="minorHAnsi" w:cstheme="minorHAnsi"/>
                <w:b/>
                <w:bCs/>
                <w:sz w:val="22"/>
                <w:szCs w:val="22"/>
              </w:rPr>
              <w:t>%</w:t>
            </w:r>
          </w:p>
        </w:tc>
        <w:tc>
          <w:tcPr>
            <w:tcW w:w="544" w:type="pct"/>
            <w:shd w:val="clear" w:color="auto" w:fill="999999"/>
            <w:tcMar>
              <w:top w:w="0" w:type="dxa"/>
              <w:left w:w="45" w:type="dxa"/>
              <w:bottom w:w="0" w:type="dxa"/>
              <w:right w:w="45" w:type="dxa"/>
            </w:tcMar>
            <w:vAlign w:val="center"/>
            <w:hideMark/>
          </w:tcPr>
          <w:p w14:paraId="148A1873" w14:textId="77777777" w:rsidR="00E3291C" w:rsidRPr="001C6ABC" w:rsidRDefault="00E3291C" w:rsidP="001C6456">
            <w:pPr>
              <w:jc w:val="center"/>
              <w:rPr>
                <w:rFonts w:asciiTheme="minorHAnsi" w:hAnsiTheme="minorHAnsi" w:cstheme="minorHAnsi"/>
                <w:b/>
                <w:bCs/>
                <w:sz w:val="22"/>
                <w:szCs w:val="22"/>
              </w:rPr>
            </w:pPr>
            <w:r w:rsidRPr="001C6ABC">
              <w:rPr>
                <w:rFonts w:asciiTheme="minorHAnsi" w:hAnsiTheme="minorHAnsi" w:cstheme="minorHAnsi"/>
                <w:b/>
                <w:bCs/>
                <w:sz w:val="22"/>
                <w:szCs w:val="22"/>
              </w:rPr>
              <w:t>Total</w:t>
            </w:r>
          </w:p>
        </w:tc>
      </w:tr>
      <w:tr w:rsidR="001C6456" w:rsidRPr="00E3291C" w14:paraId="04D41568" w14:textId="77777777" w:rsidTr="001C6456">
        <w:trPr>
          <w:trHeight w:val="510"/>
        </w:trPr>
        <w:tc>
          <w:tcPr>
            <w:tcW w:w="1575" w:type="pct"/>
            <w:shd w:val="clear" w:color="auto" w:fill="FFFFFF"/>
            <w:tcMar>
              <w:top w:w="0" w:type="dxa"/>
              <w:left w:w="45" w:type="dxa"/>
              <w:bottom w:w="0" w:type="dxa"/>
              <w:right w:w="45" w:type="dxa"/>
            </w:tcMar>
            <w:vAlign w:val="center"/>
          </w:tcPr>
          <w:p w14:paraId="501F9B9D" w14:textId="4C36CF30" w:rsidR="00522215" w:rsidRPr="001C6ABC" w:rsidRDefault="00522215" w:rsidP="001C6456">
            <w:pPr>
              <w:rPr>
                <w:rFonts w:asciiTheme="minorHAnsi" w:hAnsiTheme="minorHAnsi" w:cstheme="minorHAnsi"/>
                <w:color w:val="333333"/>
                <w:sz w:val="22"/>
                <w:szCs w:val="22"/>
              </w:rPr>
            </w:pPr>
            <w:r w:rsidRPr="001C6ABC">
              <w:rPr>
                <w:rFonts w:asciiTheme="minorHAnsi" w:hAnsiTheme="minorHAnsi" w:cstheme="minorHAnsi"/>
                <w:color w:val="333333"/>
                <w:sz w:val="22"/>
                <w:szCs w:val="22"/>
              </w:rPr>
              <w:t>Secretário-Geral/Diretor-Geral</w:t>
            </w:r>
          </w:p>
        </w:tc>
        <w:tc>
          <w:tcPr>
            <w:tcW w:w="707" w:type="pct"/>
            <w:shd w:val="clear" w:color="auto" w:fill="FFFFFF"/>
            <w:tcMar>
              <w:top w:w="0" w:type="dxa"/>
              <w:left w:w="45" w:type="dxa"/>
              <w:bottom w:w="0" w:type="dxa"/>
              <w:right w:w="45" w:type="dxa"/>
            </w:tcMar>
            <w:vAlign w:val="center"/>
          </w:tcPr>
          <w:p w14:paraId="67A1BF88" w14:textId="16E67486" w:rsidR="00522215" w:rsidRPr="001C6ABC" w:rsidRDefault="00522215" w:rsidP="001C6456">
            <w:pPr>
              <w:jc w:val="center"/>
              <w:rPr>
                <w:rFonts w:asciiTheme="minorHAnsi" w:hAnsiTheme="minorHAnsi" w:cstheme="minorHAnsi"/>
                <w:sz w:val="22"/>
                <w:szCs w:val="22"/>
              </w:rPr>
            </w:pPr>
            <w:r w:rsidRPr="001C6ABC">
              <w:rPr>
                <w:rFonts w:asciiTheme="minorHAnsi" w:hAnsiTheme="minorHAnsi" w:cstheme="minorHAnsi"/>
                <w:sz w:val="22"/>
                <w:szCs w:val="22"/>
              </w:rPr>
              <w:t>CJ-04</w:t>
            </w:r>
          </w:p>
        </w:tc>
        <w:tc>
          <w:tcPr>
            <w:tcW w:w="543" w:type="pct"/>
            <w:shd w:val="clear" w:color="auto" w:fill="FFFFFF"/>
            <w:tcMar>
              <w:top w:w="0" w:type="dxa"/>
              <w:left w:w="45" w:type="dxa"/>
              <w:bottom w:w="0" w:type="dxa"/>
              <w:right w:w="45" w:type="dxa"/>
            </w:tcMar>
            <w:vAlign w:val="center"/>
          </w:tcPr>
          <w:p w14:paraId="433DBB05" w14:textId="11D80FAD" w:rsidR="00522215" w:rsidRPr="001C6ABC" w:rsidRDefault="00522215" w:rsidP="001C6456">
            <w:pPr>
              <w:jc w:val="center"/>
              <w:rPr>
                <w:rFonts w:asciiTheme="minorHAnsi" w:hAnsiTheme="minorHAnsi" w:cstheme="minorHAnsi"/>
                <w:color w:val="333333"/>
                <w:sz w:val="22"/>
                <w:szCs w:val="22"/>
              </w:rPr>
            </w:pPr>
            <w:r w:rsidRPr="001C6ABC">
              <w:rPr>
                <w:rFonts w:asciiTheme="minorHAnsi" w:hAnsiTheme="minorHAnsi" w:cstheme="minorHAnsi"/>
                <w:color w:val="333333"/>
                <w:sz w:val="22"/>
                <w:szCs w:val="22"/>
              </w:rPr>
              <w:t>2</w:t>
            </w:r>
          </w:p>
        </w:tc>
        <w:tc>
          <w:tcPr>
            <w:tcW w:w="544" w:type="pct"/>
            <w:shd w:val="clear" w:color="auto" w:fill="FFFFFF"/>
            <w:tcMar>
              <w:top w:w="0" w:type="dxa"/>
              <w:left w:w="45" w:type="dxa"/>
              <w:bottom w:w="0" w:type="dxa"/>
              <w:right w:w="45" w:type="dxa"/>
            </w:tcMar>
            <w:vAlign w:val="center"/>
          </w:tcPr>
          <w:p w14:paraId="323C76E6" w14:textId="28DE1007" w:rsidR="00522215" w:rsidRPr="001C6ABC" w:rsidRDefault="00522215" w:rsidP="001C6456">
            <w:pPr>
              <w:jc w:val="center"/>
              <w:rPr>
                <w:rFonts w:asciiTheme="minorHAnsi" w:hAnsiTheme="minorHAnsi" w:cstheme="minorHAnsi"/>
                <w:sz w:val="22"/>
                <w:szCs w:val="22"/>
              </w:rPr>
            </w:pPr>
            <w:r w:rsidRPr="001C6ABC">
              <w:rPr>
                <w:rFonts w:asciiTheme="minorHAnsi" w:hAnsiTheme="minorHAnsi" w:cstheme="minorHAnsi"/>
                <w:color w:val="000000"/>
                <w:sz w:val="22"/>
                <w:szCs w:val="22"/>
              </w:rPr>
              <w:t>50,0%</w:t>
            </w:r>
          </w:p>
        </w:tc>
        <w:tc>
          <w:tcPr>
            <w:tcW w:w="543" w:type="pct"/>
            <w:shd w:val="clear" w:color="auto" w:fill="FFFFFF"/>
            <w:tcMar>
              <w:top w:w="0" w:type="dxa"/>
              <w:left w:w="45" w:type="dxa"/>
              <w:bottom w:w="0" w:type="dxa"/>
              <w:right w:w="45" w:type="dxa"/>
            </w:tcMar>
            <w:vAlign w:val="center"/>
          </w:tcPr>
          <w:p w14:paraId="54AA255A" w14:textId="6A19AE83" w:rsidR="00522215" w:rsidRPr="001C6ABC" w:rsidRDefault="00522215" w:rsidP="001C6456">
            <w:pPr>
              <w:jc w:val="center"/>
              <w:rPr>
                <w:rFonts w:asciiTheme="minorHAnsi" w:hAnsiTheme="minorHAnsi" w:cstheme="minorHAnsi"/>
                <w:sz w:val="22"/>
                <w:szCs w:val="22"/>
              </w:rPr>
            </w:pPr>
            <w:r w:rsidRPr="001C6ABC">
              <w:rPr>
                <w:rFonts w:asciiTheme="minorHAnsi" w:hAnsiTheme="minorHAnsi" w:cstheme="minorHAnsi"/>
                <w:color w:val="333333"/>
                <w:sz w:val="22"/>
                <w:szCs w:val="22"/>
              </w:rPr>
              <w:t>2</w:t>
            </w:r>
          </w:p>
        </w:tc>
        <w:tc>
          <w:tcPr>
            <w:tcW w:w="544" w:type="pct"/>
            <w:shd w:val="clear" w:color="auto" w:fill="FFFFFF"/>
            <w:tcMar>
              <w:top w:w="0" w:type="dxa"/>
              <w:left w:w="45" w:type="dxa"/>
              <w:bottom w:w="0" w:type="dxa"/>
              <w:right w:w="45" w:type="dxa"/>
            </w:tcMar>
            <w:vAlign w:val="center"/>
          </w:tcPr>
          <w:p w14:paraId="1E67D8B2" w14:textId="7648CCDA" w:rsidR="00522215" w:rsidRPr="001C6ABC" w:rsidRDefault="00522215" w:rsidP="001C6456">
            <w:pPr>
              <w:jc w:val="center"/>
              <w:rPr>
                <w:rFonts w:asciiTheme="minorHAnsi" w:hAnsiTheme="minorHAnsi" w:cstheme="minorHAnsi"/>
                <w:sz w:val="22"/>
                <w:szCs w:val="22"/>
              </w:rPr>
            </w:pPr>
            <w:r w:rsidRPr="001C6ABC">
              <w:rPr>
                <w:rFonts w:asciiTheme="minorHAnsi" w:hAnsiTheme="minorHAnsi" w:cstheme="minorHAnsi"/>
                <w:color w:val="000000"/>
                <w:sz w:val="22"/>
                <w:szCs w:val="22"/>
              </w:rPr>
              <w:t>50,0%</w:t>
            </w:r>
          </w:p>
        </w:tc>
        <w:tc>
          <w:tcPr>
            <w:tcW w:w="544" w:type="pct"/>
            <w:shd w:val="clear" w:color="auto" w:fill="FFFFFF"/>
            <w:tcMar>
              <w:top w:w="0" w:type="dxa"/>
              <w:left w:w="45" w:type="dxa"/>
              <w:bottom w:w="0" w:type="dxa"/>
              <w:right w:w="45" w:type="dxa"/>
            </w:tcMar>
            <w:vAlign w:val="center"/>
          </w:tcPr>
          <w:p w14:paraId="10F0E6D4" w14:textId="61E7AB4C" w:rsidR="00522215" w:rsidRPr="001C6ABC" w:rsidRDefault="00522215" w:rsidP="001C6456">
            <w:pPr>
              <w:jc w:val="center"/>
              <w:rPr>
                <w:rFonts w:asciiTheme="minorHAnsi" w:hAnsiTheme="minorHAnsi" w:cstheme="minorHAnsi"/>
                <w:sz w:val="22"/>
                <w:szCs w:val="22"/>
              </w:rPr>
            </w:pPr>
            <w:r w:rsidRPr="001C6ABC">
              <w:rPr>
                <w:rFonts w:asciiTheme="minorHAnsi" w:hAnsiTheme="minorHAnsi" w:cstheme="minorHAnsi"/>
                <w:color w:val="000000"/>
                <w:sz w:val="22"/>
                <w:szCs w:val="22"/>
              </w:rPr>
              <w:t>4</w:t>
            </w:r>
          </w:p>
        </w:tc>
      </w:tr>
      <w:tr w:rsidR="001C6456" w:rsidRPr="00E3291C" w14:paraId="1C4045BD" w14:textId="77777777" w:rsidTr="001C6456">
        <w:trPr>
          <w:trHeight w:val="510"/>
        </w:trPr>
        <w:tc>
          <w:tcPr>
            <w:tcW w:w="1575" w:type="pct"/>
            <w:shd w:val="clear" w:color="auto" w:fill="FFFFFF"/>
            <w:tcMar>
              <w:top w:w="0" w:type="dxa"/>
              <w:left w:w="45" w:type="dxa"/>
              <w:bottom w:w="0" w:type="dxa"/>
              <w:right w:w="45" w:type="dxa"/>
            </w:tcMar>
            <w:vAlign w:val="center"/>
            <w:hideMark/>
          </w:tcPr>
          <w:p w14:paraId="6119775D" w14:textId="77777777" w:rsidR="00E3291C" w:rsidRPr="001C6ABC" w:rsidRDefault="00E3291C" w:rsidP="001C6456">
            <w:pPr>
              <w:rPr>
                <w:rFonts w:asciiTheme="minorHAnsi" w:hAnsiTheme="minorHAnsi" w:cstheme="minorHAnsi"/>
                <w:color w:val="333333"/>
                <w:sz w:val="22"/>
                <w:szCs w:val="22"/>
              </w:rPr>
            </w:pPr>
            <w:r w:rsidRPr="001C6ABC">
              <w:rPr>
                <w:rFonts w:asciiTheme="minorHAnsi" w:hAnsiTheme="minorHAnsi" w:cstheme="minorHAnsi"/>
                <w:color w:val="333333"/>
                <w:sz w:val="22"/>
                <w:szCs w:val="22"/>
              </w:rPr>
              <w:t>Chefe de Gabinete</w:t>
            </w:r>
          </w:p>
        </w:tc>
        <w:tc>
          <w:tcPr>
            <w:tcW w:w="707" w:type="pct"/>
            <w:shd w:val="clear" w:color="auto" w:fill="FFFFFF"/>
            <w:tcMar>
              <w:top w:w="0" w:type="dxa"/>
              <w:left w:w="45" w:type="dxa"/>
              <w:bottom w:w="0" w:type="dxa"/>
              <w:right w:w="45" w:type="dxa"/>
            </w:tcMar>
            <w:vAlign w:val="center"/>
            <w:hideMark/>
          </w:tcPr>
          <w:p w14:paraId="29051423"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CJ-03</w:t>
            </w:r>
          </w:p>
        </w:tc>
        <w:tc>
          <w:tcPr>
            <w:tcW w:w="543" w:type="pct"/>
            <w:shd w:val="clear" w:color="auto" w:fill="FFFFFF"/>
            <w:tcMar>
              <w:top w:w="0" w:type="dxa"/>
              <w:left w:w="45" w:type="dxa"/>
              <w:bottom w:w="0" w:type="dxa"/>
              <w:right w:w="45" w:type="dxa"/>
            </w:tcMar>
            <w:vAlign w:val="center"/>
            <w:hideMark/>
          </w:tcPr>
          <w:p w14:paraId="42E24507" w14:textId="77777777" w:rsidR="00E3291C" w:rsidRPr="001C6ABC" w:rsidRDefault="00E3291C" w:rsidP="001C6456">
            <w:pPr>
              <w:jc w:val="center"/>
              <w:rPr>
                <w:rFonts w:asciiTheme="minorHAnsi" w:hAnsiTheme="minorHAnsi" w:cstheme="minorHAnsi"/>
                <w:color w:val="333333"/>
                <w:sz w:val="22"/>
                <w:szCs w:val="22"/>
              </w:rPr>
            </w:pPr>
            <w:r w:rsidRPr="001C6ABC">
              <w:rPr>
                <w:rFonts w:asciiTheme="minorHAnsi" w:hAnsiTheme="minorHAnsi" w:cstheme="minorHAnsi"/>
                <w:color w:val="333333"/>
                <w:sz w:val="22"/>
                <w:szCs w:val="22"/>
              </w:rPr>
              <w:t>17</w:t>
            </w:r>
          </w:p>
        </w:tc>
        <w:tc>
          <w:tcPr>
            <w:tcW w:w="544" w:type="pct"/>
            <w:shd w:val="clear" w:color="auto" w:fill="FFFFFF"/>
            <w:tcMar>
              <w:top w:w="0" w:type="dxa"/>
              <w:left w:w="45" w:type="dxa"/>
              <w:bottom w:w="0" w:type="dxa"/>
              <w:right w:w="45" w:type="dxa"/>
            </w:tcMar>
            <w:vAlign w:val="center"/>
            <w:hideMark/>
          </w:tcPr>
          <w:p w14:paraId="7D7EEDDD"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60,7%</w:t>
            </w:r>
          </w:p>
        </w:tc>
        <w:tc>
          <w:tcPr>
            <w:tcW w:w="543" w:type="pct"/>
            <w:shd w:val="clear" w:color="auto" w:fill="FFFFFF"/>
            <w:tcMar>
              <w:top w:w="0" w:type="dxa"/>
              <w:left w:w="45" w:type="dxa"/>
              <w:bottom w:w="0" w:type="dxa"/>
              <w:right w:w="45" w:type="dxa"/>
            </w:tcMar>
            <w:vAlign w:val="center"/>
            <w:hideMark/>
          </w:tcPr>
          <w:p w14:paraId="09782CB4"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11</w:t>
            </w:r>
          </w:p>
        </w:tc>
        <w:tc>
          <w:tcPr>
            <w:tcW w:w="544" w:type="pct"/>
            <w:shd w:val="clear" w:color="auto" w:fill="FFFFFF"/>
            <w:tcMar>
              <w:top w:w="0" w:type="dxa"/>
              <w:left w:w="45" w:type="dxa"/>
              <w:bottom w:w="0" w:type="dxa"/>
              <w:right w:w="45" w:type="dxa"/>
            </w:tcMar>
            <w:vAlign w:val="center"/>
            <w:hideMark/>
          </w:tcPr>
          <w:p w14:paraId="62579AC7"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39,3%</w:t>
            </w:r>
          </w:p>
        </w:tc>
        <w:tc>
          <w:tcPr>
            <w:tcW w:w="544" w:type="pct"/>
            <w:shd w:val="clear" w:color="auto" w:fill="FFFFFF"/>
            <w:tcMar>
              <w:top w:w="0" w:type="dxa"/>
              <w:left w:w="45" w:type="dxa"/>
              <w:bottom w:w="0" w:type="dxa"/>
              <w:right w:w="45" w:type="dxa"/>
            </w:tcMar>
            <w:vAlign w:val="center"/>
            <w:hideMark/>
          </w:tcPr>
          <w:p w14:paraId="55D9B6A2"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28</w:t>
            </w:r>
          </w:p>
        </w:tc>
      </w:tr>
      <w:tr w:rsidR="001C6456" w:rsidRPr="00E3291C" w14:paraId="13FCEABD" w14:textId="77777777" w:rsidTr="001C6456">
        <w:trPr>
          <w:trHeight w:val="510"/>
        </w:trPr>
        <w:tc>
          <w:tcPr>
            <w:tcW w:w="1575" w:type="pct"/>
            <w:shd w:val="clear" w:color="auto" w:fill="FFFFFF"/>
            <w:tcMar>
              <w:top w:w="0" w:type="dxa"/>
              <w:left w:w="45" w:type="dxa"/>
              <w:bottom w:w="0" w:type="dxa"/>
              <w:right w:w="45" w:type="dxa"/>
            </w:tcMar>
            <w:vAlign w:val="center"/>
            <w:hideMark/>
          </w:tcPr>
          <w:p w14:paraId="68C011D0" w14:textId="77777777" w:rsidR="00E3291C" w:rsidRPr="001C6ABC" w:rsidRDefault="00E3291C" w:rsidP="001C6456">
            <w:pPr>
              <w:rPr>
                <w:rFonts w:asciiTheme="minorHAnsi" w:hAnsiTheme="minorHAnsi" w:cstheme="minorHAnsi"/>
                <w:color w:val="333333"/>
                <w:sz w:val="22"/>
                <w:szCs w:val="22"/>
              </w:rPr>
            </w:pPr>
            <w:r w:rsidRPr="001C6ABC">
              <w:rPr>
                <w:rFonts w:asciiTheme="minorHAnsi" w:hAnsiTheme="minorHAnsi" w:cstheme="minorHAnsi"/>
                <w:color w:val="333333"/>
                <w:sz w:val="22"/>
                <w:szCs w:val="22"/>
              </w:rPr>
              <w:t>Secretário</w:t>
            </w:r>
          </w:p>
        </w:tc>
        <w:tc>
          <w:tcPr>
            <w:tcW w:w="707" w:type="pct"/>
            <w:shd w:val="clear" w:color="auto" w:fill="FFFFFF"/>
            <w:tcMar>
              <w:top w:w="0" w:type="dxa"/>
              <w:left w:w="45" w:type="dxa"/>
              <w:bottom w:w="0" w:type="dxa"/>
              <w:right w:w="45" w:type="dxa"/>
            </w:tcMar>
            <w:vAlign w:val="center"/>
            <w:hideMark/>
          </w:tcPr>
          <w:p w14:paraId="2B785492"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CJ-03</w:t>
            </w:r>
          </w:p>
        </w:tc>
        <w:tc>
          <w:tcPr>
            <w:tcW w:w="543" w:type="pct"/>
            <w:shd w:val="clear" w:color="auto" w:fill="FFFFFF"/>
            <w:tcMar>
              <w:top w:w="0" w:type="dxa"/>
              <w:left w:w="45" w:type="dxa"/>
              <w:bottom w:w="0" w:type="dxa"/>
              <w:right w:w="45" w:type="dxa"/>
            </w:tcMar>
            <w:vAlign w:val="center"/>
            <w:hideMark/>
          </w:tcPr>
          <w:p w14:paraId="4251301E" w14:textId="77777777" w:rsidR="00E3291C" w:rsidRPr="001C6ABC" w:rsidRDefault="00E3291C" w:rsidP="001C6456">
            <w:pPr>
              <w:jc w:val="center"/>
              <w:rPr>
                <w:rFonts w:asciiTheme="minorHAnsi" w:hAnsiTheme="minorHAnsi" w:cstheme="minorHAnsi"/>
                <w:color w:val="333333"/>
                <w:sz w:val="22"/>
                <w:szCs w:val="22"/>
              </w:rPr>
            </w:pPr>
            <w:r w:rsidRPr="001C6ABC">
              <w:rPr>
                <w:rFonts w:asciiTheme="minorHAnsi" w:hAnsiTheme="minorHAnsi" w:cstheme="minorHAnsi"/>
                <w:color w:val="333333"/>
                <w:sz w:val="22"/>
                <w:szCs w:val="22"/>
              </w:rPr>
              <w:t>10</w:t>
            </w:r>
          </w:p>
        </w:tc>
        <w:tc>
          <w:tcPr>
            <w:tcW w:w="544" w:type="pct"/>
            <w:shd w:val="clear" w:color="auto" w:fill="FFFFFF"/>
            <w:tcMar>
              <w:top w:w="0" w:type="dxa"/>
              <w:left w:w="45" w:type="dxa"/>
              <w:bottom w:w="0" w:type="dxa"/>
              <w:right w:w="45" w:type="dxa"/>
            </w:tcMar>
            <w:vAlign w:val="center"/>
            <w:hideMark/>
          </w:tcPr>
          <w:p w14:paraId="3FAFC8E3"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43,5%</w:t>
            </w:r>
          </w:p>
        </w:tc>
        <w:tc>
          <w:tcPr>
            <w:tcW w:w="543" w:type="pct"/>
            <w:shd w:val="clear" w:color="auto" w:fill="FFFFFF"/>
            <w:tcMar>
              <w:top w:w="0" w:type="dxa"/>
              <w:left w:w="45" w:type="dxa"/>
              <w:bottom w:w="0" w:type="dxa"/>
              <w:right w:w="45" w:type="dxa"/>
            </w:tcMar>
            <w:vAlign w:val="center"/>
            <w:hideMark/>
          </w:tcPr>
          <w:p w14:paraId="55BA8C13"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13</w:t>
            </w:r>
          </w:p>
        </w:tc>
        <w:tc>
          <w:tcPr>
            <w:tcW w:w="544" w:type="pct"/>
            <w:shd w:val="clear" w:color="auto" w:fill="FFFFFF"/>
            <w:tcMar>
              <w:top w:w="0" w:type="dxa"/>
              <w:left w:w="45" w:type="dxa"/>
              <w:bottom w:w="0" w:type="dxa"/>
              <w:right w:w="45" w:type="dxa"/>
            </w:tcMar>
            <w:vAlign w:val="center"/>
            <w:hideMark/>
          </w:tcPr>
          <w:p w14:paraId="709C860C"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56,5%</w:t>
            </w:r>
          </w:p>
        </w:tc>
        <w:tc>
          <w:tcPr>
            <w:tcW w:w="544" w:type="pct"/>
            <w:shd w:val="clear" w:color="auto" w:fill="FFFFFF"/>
            <w:tcMar>
              <w:top w:w="0" w:type="dxa"/>
              <w:left w:w="45" w:type="dxa"/>
              <w:bottom w:w="0" w:type="dxa"/>
              <w:right w:w="45" w:type="dxa"/>
            </w:tcMar>
            <w:vAlign w:val="center"/>
            <w:hideMark/>
          </w:tcPr>
          <w:p w14:paraId="3FCF6FB3"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23</w:t>
            </w:r>
          </w:p>
        </w:tc>
      </w:tr>
      <w:tr w:rsidR="001C6456" w:rsidRPr="00E3291C" w14:paraId="77E3DC0D" w14:textId="77777777" w:rsidTr="001C6456">
        <w:trPr>
          <w:trHeight w:val="510"/>
        </w:trPr>
        <w:tc>
          <w:tcPr>
            <w:tcW w:w="1575" w:type="pct"/>
            <w:shd w:val="clear" w:color="auto" w:fill="FFFFFF"/>
            <w:tcMar>
              <w:top w:w="0" w:type="dxa"/>
              <w:left w:w="45" w:type="dxa"/>
              <w:bottom w:w="0" w:type="dxa"/>
              <w:right w:w="45" w:type="dxa"/>
            </w:tcMar>
            <w:vAlign w:val="center"/>
            <w:hideMark/>
          </w:tcPr>
          <w:p w14:paraId="68C61DCA" w14:textId="77777777" w:rsidR="00E3291C" w:rsidRPr="001C6ABC" w:rsidRDefault="00E3291C" w:rsidP="001C6456">
            <w:pPr>
              <w:rPr>
                <w:rFonts w:asciiTheme="minorHAnsi" w:hAnsiTheme="minorHAnsi" w:cstheme="minorHAnsi"/>
                <w:color w:val="333333"/>
                <w:sz w:val="22"/>
                <w:szCs w:val="22"/>
              </w:rPr>
            </w:pPr>
            <w:r w:rsidRPr="001C6ABC">
              <w:rPr>
                <w:rFonts w:asciiTheme="minorHAnsi" w:hAnsiTheme="minorHAnsi" w:cstheme="minorHAnsi"/>
                <w:color w:val="333333"/>
                <w:sz w:val="22"/>
                <w:szCs w:val="22"/>
              </w:rPr>
              <w:t>Coordenador</w:t>
            </w:r>
          </w:p>
        </w:tc>
        <w:tc>
          <w:tcPr>
            <w:tcW w:w="707" w:type="pct"/>
            <w:shd w:val="clear" w:color="auto" w:fill="FFFFFF"/>
            <w:tcMar>
              <w:top w:w="0" w:type="dxa"/>
              <w:left w:w="45" w:type="dxa"/>
              <w:bottom w:w="0" w:type="dxa"/>
              <w:right w:w="45" w:type="dxa"/>
            </w:tcMar>
            <w:vAlign w:val="center"/>
            <w:hideMark/>
          </w:tcPr>
          <w:p w14:paraId="1371B304"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CJ-02</w:t>
            </w:r>
          </w:p>
        </w:tc>
        <w:tc>
          <w:tcPr>
            <w:tcW w:w="543" w:type="pct"/>
            <w:shd w:val="clear" w:color="auto" w:fill="FFFFFF"/>
            <w:tcMar>
              <w:top w:w="0" w:type="dxa"/>
              <w:left w:w="45" w:type="dxa"/>
              <w:bottom w:w="0" w:type="dxa"/>
              <w:right w:w="45" w:type="dxa"/>
            </w:tcMar>
            <w:vAlign w:val="center"/>
            <w:hideMark/>
          </w:tcPr>
          <w:p w14:paraId="0BED51C2" w14:textId="77777777" w:rsidR="00E3291C" w:rsidRPr="001C6ABC" w:rsidRDefault="00E3291C" w:rsidP="001C6456">
            <w:pPr>
              <w:jc w:val="center"/>
              <w:rPr>
                <w:rFonts w:asciiTheme="minorHAnsi" w:hAnsiTheme="minorHAnsi" w:cstheme="minorHAnsi"/>
                <w:color w:val="333333"/>
                <w:sz w:val="22"/>
                <w:szCs w:val="22"/>
              </w:rPr>
            </w:pPr>
            <w:r w:rsidRPr="001C6ABC">
              <w:rPr>
                <w:rFonts w:asciiTheme="minorHAnsi" w:hAnsiTheme="minorHAnsi" w:cstheme="minorHAnsi"/>
                <w:color w:val="333333"/>
                <w:sz w:val="22"/>
                <w:szCs w:val="22"/>
              </w:rPr>
              <w:t>13</w:t>
            </w:r>
          </w:p>
        </w:tc>
        <w:tc>
          <w:tcPr>
            <w:tcW w:w="544" w:type="pct"/>
            <w:shd w:val="clear" w:color="auto" w:fill="FFFFFF"/>
            <w:tcMar>
              <w:top w:w="0" w:type="dxa"/>
              <w:left w:w="45" w:type="dxa"/>
              <w:bottom w:w="0" w:type="dxa"/>
              <w:right w:w="45" w:type="dxa"/>
            </w:tcMar>
            <w:vAlign w:val="center"/>
            <w:hideMark/>
          </w:tcPr>
          <w:p w14:paraId="2A6646E3"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41,9%</w:t>
            </w:r>
          </w:p>
        </w:tc>
        <w:tc>
          <w:tcPr>
            <w:tcW w:w="543" w:type="pct"/>
            <w:shd w:val="clear" w:color="auto" w:fill="FFFFFF"/>
            <w:tcMar>
              <w:top w:w="0" w:type="dxa"/>
              <w:left w:w="45" w:type="dxa"/>
              <w:bottom w:w="0" w:type="dxa"/>
              <w:right w:w="45" w:type="dxa"/>
            </w:tcMar>
            <w:vAlign w:val="center"/>
            <w:hideMark/>
          </w:tcPr>
          <w:p w14:paraId="30BA29EA"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18</w:t>
            </w:r>
          </w:p>
        </w:tc>
        <w:tc>
          <w:tcPr>
            <w:tcW w:w="544" w:type="pct"/>
            <w:shd w:val="clear" w:color="auto" w:fill="FFFFFF"/>
            <w:tcMar>
              <w:top w:w="0" w:type="dxa"/>
              <w:left w:w="45" w:type="dxa"/>
              <w:bottom w:w="0" w:type="dxa"/>
              <w:right w:w="45" w:type="dxa"/>
            </w:tcMar>
            <w:vAlign w:val="center"/>
            <w:hideMark/>
          </w:tcPr>
          <w:p w14:paraId="70E6B95E"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58,1%</w:t>
            </w:r>
          </w:p>
        </w:tc>
        <w:tc>
          <w:tcPr>
            <w:tcW w:w="544" w:type="pct"/>
            <w:shd w:val="clear" w:color="auto" w:fill="FFFFFF"/>
            <w:tcMar>
              <w:top w:w="0" w:type="dxa"/>
              <w:left w:w="45" w:type="dxa"/>
              <w:bottom w:w="0" w:type="dxa"/>
              <w:right w:w="45" w:type="dxa"/>
            </w:tcMar>
            <w:vAlign w:val="center"/>
            <w:hideMark/>
          </w:tcPr>
          <w:p w14:paraId="5E62304D"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31</w:t>
            </w:r>
          </w:p>
        </w:tc>
      </w:tr>
      <w:tr w:rsidR="001C6456" w:rsidRPr="00E3291C" w14:paraId="22AB7AE8" w14:textId="77777777" w:rsidTr="001C6456">
        <w:trPr>
          <w:trHeight w:val="510"/>
        </w:trPr>
        <w:tc>
          <w:tcPr>
            <w:tcW w:w="1575" w:type="pct"/>
            <w:shd w:val="clear" w:color="auto" w:fill="FFFFFF"/>
            <w:tcMar>
              <w:top w:w="0" w:type="dxa"/>
              <w:left w:w="45" w:type="dxa"/>
              <w:bottom w:w="0" w:type="dxa"/>
              <w:right w:w="45" w:type="dxa"/>
            </w:tcMar>
            <w:vAlign w:val="center"/>
            <w:hideMark/>
          </w:tcPr>
          <w:p w14:paraId="7B7DD601" w14:textId="77777777" w:rsidR="00E3291C" w:rsidRPr="001C6ABC" w:rsidRDefault="00E3291C" w:rsidP="001C6456">
            <w:pPr>
              <w:rPr>
                <w:rFonts w:asciiTheme="minorHAnsi" w:hAnsiTheme="minorHAnsi" w:cstheme="minorHAnsi"/>
                <w:color w:val="333333"/>
                <w:sz w:val="22"/>
                <w:szCs w:val="22"/>
              </w:rPr>
            </w:pPr>
            <w:r w:rsidRPr="001C6ABC">
              <w:rPr>
                <w:rFonts w:asciiTheme="minorHAnsi" w:hAnsiTheme="minorHAnsi" w:cstheme="minorHAnsi"/>
                <w:color w:val="333333"/>
                <w:sz w:val="22"/>
                <w:szCs w:val="22"/>
              </w:rPr>
              <w:t>Assessor-Chefe</w:t>
            </w:r>
          </w:p>
        </w:tc>
        <w:tc>
          <w:tcPr>
            <w:tcW w:w="707" w:type="pct"/>
            <w:shd w:val="clear" w:color="auto" w:fill="FFFFFF"/>
            <w:tcMar>
              <w:top w:w="0" w:type="dxa"/>
              <w:left w:w="45" w:type="dxa"/>
              <w:bottom w:w="0" w:type="dxa"/>
              <w:right w:w="45" w:type="dxa"/>
            </w:tcMar>
            <w:vAlign w:val="center"/>
            <w:hideMark/>
          </w:tcPr>
          <w:p w14:paraId="2587EB29" w14:textId="1B2D2CE0"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CJ-03, CJ-02 e CJ-01</w:t>
            </w:r>
            <w:r w:rsidRPr="001C6ABC">
              <w:rPr>
                <w:rStyle w:val="Refdenotaderodap"/>
                <w:rFonts w:asciiTheme="minorHAnsi" w:hAnsiTheme="minorHAnsi" w:cstheme="minorHAnsi"/>
                <w:sz w:val="22"/>
                <w:szCs w:val="22"/>
              </w:rPr>
              <w:footnoteReference w:id="44"/>
            </w:r>
          </w:p>
        </w:tc>
        <w:tc>
          <w:tcPr>
            <w:tcW w:w="543" w:type="pct"/>
            <w:shd w:val="clear" w:color="auto" w:fill="FFFFFF"/>
            <w:tcMar>
              <w:top w:w="0" w:type="dxa"/>
              <w:left w:w="45" w:type="dxa"/>
              <w:bottom w:w="0" w:type="dxa"/>
              <w:right w:w="45" w:type="dxa"/>
            </w:tcMar>
            <w:vAlign w:val="center"/>
            <w:hideMark/>
          </w:tcPr>
          <w:p w14:paraId="6A55550A" w14:textId="77777777" w:rsidR="00E3291C" w:rsidRPr="001C6ABC" w:rsidRDefault="00E3291C" w:rsidP="001C6456">
            <w:pPr>
              <w:jc w:val="center"/>
              <w:rPr>
                <w:rFonts w:asciiTheme="minorHAnsi" w:hAnsiTheme="minorHAnsi" w:cstheme="minorHAnsi"/>
                <w:color w:val="333333"/>
                <w:sz w:val="22"/>
                <w:szCs w:val="22"/>
              </w:rPr>
            </w:pPr>
            <w:r w:rsidRPr="001C6ABC">
              <w:rPr>
                <w:rFonts w:asciiTheme="minorHAnsi" w:hAnsiTheme="minorHAnsi" w:cstheme="minorHAnsi"/>
                <w:color w:val="333333"/>
                <w:sz w:val="22"/>
                <w:szCs w:val="22"/>
              </w:rPr>
              <w:t>5</w:t>
            </w:r>
          </w:p>
        </w:tc>
        <w:tc>
          <w:tcPr>
            <w:tcW w:w="544" w:type="pct"/>
            <w:shd w:val="clear" w:color="auto" w:fill="FFFFFF"/>
            <w:tcMar>
              <w:top w:w="0" w:type="dxa"/>
              <w:left w:w="45" w:type="dxa"/>
              <w:bottom w:w="0" w:type="dxa"/>
              <w:right w:w="45" w:type="dxa"/>
            </w:tcMar>
            <w:vAlign w:val="center"/>
            <w:hideMark/>
          </w:tcPr>
          <w:p w14:paraId="66AC55F8"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35,7%</w:t>
            </w:r>
          </w:p>
        </w:tc>
        <w:tc>
          <w:tcPr>
            <w:tcW w:w="543" w:type="pct"/>
            <w:shd w:val="clear" w:color="auto" w:fill="FFFFFF"/>
            <w:tcMar>
              <w:top w:w="0" w:type="dxa"/>
              <w:left w:w="45" w:type="dxa"/>
              <w:bottom w:w="0" w:type="dxa"/>
              <w:right w:w="45" w:type="dxa"/>
            </w:tcMar>
            <w:vAlign w:val="center"/>
            <w:hideMark/>
          </w:tcPr>
          <w:p w14:paraId="7C6AF62A"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9</w:t>
            </w:r>
          </w:p>
        </w:tc>
        <w:tc>
          <w:tcPr>
            <w:tcW w:w="544" w:type="pct"/>
            <w:shd w:val="clear" w:color="auto" w:fill="FFFFFF"/>
            <w:tcMar>
              <w:top w:w="0" w:type="dxa"/>
              <w:left w:w="45" w:type="dxa"/>
              <w:bottom w:w="0" w:type="dxa"/>
              <w:right w:w="45" w:type="dxa"/>
            </w:tcMar>
            <w:vAlign w:val="center"/>
            <w:hideMark/>
          </w:tcPr>
          <w:p w14:paraId="2E7298C1"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64,3%</w:t>
            </w:r>
          </w:p>
        </w:tc>
        <w:tc>
          <w:tcPr>
            <w:tcW w:w="544" w:type="pct"/>
            <w:shd w:val="clear" w:color="auto" w:fill="FFFFFF"/>
            <w:tcMar>
              <w:top w:w="0" w:type="dxa"/>
              <w:left w:w="45" w:type="dxa"/>
              <w:bottom w:w="0" w:type="dxa"/>
              <w:right w:w="45" w:type="dxa"/>
            </w:tcMar>
            <w:vAlign w:val="center"/>
            <w:hideMark/>
          </w:tcPr>
          <w:p w14:paraId="7D5AE260"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14</w:t>
            </w:r>
          </w:p>
        </w:tc>
      </w:tr>
      <w:tr w:rsidR="001C6456" w:rsidRPr="00E3291C" w14:paraId="12DB45DE" w14:textId="77777777" w:rsidTr="001C6456">
        <w:trPr>
          <w:trHeight w:val="510"/>
        </w:trPr>
        <w:tc>
          <w:tcPr>
            <w:tcW w:w="1575" w:type="pct"/>
            <w:shd w:val="clear" w:color="auto" w:fill="FFFFFF"/>
            <w:tcMar>
              <w:top w:w="0" w:type="dxa"/>
              <w:left w:w="45" w:type="dxa"/>
              <w:bottom w:w="0" w:type="dxa"/>
              <w:right w:w="45" w:type="dxa"/>
            </w:tcMar>
            <w:vAlign w:val="center"/>
            <w:hideMark/>
          </w:tcPr>
          <w:p w14:paraId="2796DDB1" w14:textId="77777777" w:rsidR="00E3291C" w:rsidRPr="001C6ABC" w:rsidRDefault="00E3291C" w:rsidP="001C6456">
            <w:pPr>
              <w:rPr>
                <w:rFonts w:asciiTheme="minorHAnsi" w:hAnsiTheme="minorHAnsi" w:cstheme="minorHAnsi"/>
                <w:color w:val="333333"/>
                <w:sz w:val="22"/>
                <w:szCs w:val="22"/>
              </w:rPr>
            </w:pPr>
            <w:r w:rsidRPr="001C6ABC">
              <w:rPr>
                <w:rFonts w:asciiTheme="minorHAnsi" w:hAnsiTheme="minorHAnsi" w:cstheme="minorHAnsi"/>
                <w:color w:val="333333"/>
                <w:sz w:val="22"/>
                <w:szCs w:val="22"/>
              </w:rPr>
              <w:t>Chefe de Divisão</w:t>
            </w:r>
          </w:p>
        </w:tc>
        <w:tc>
          <w:tcPr>
            <w:tcW w:w="707" w:type="pct"/>
            <w:shd w:val="clear" w:color="auto" w:fill="FFFFFF"/>
            <w:tcMar>
              <w:top w:w="0" w:type="dxa"/>
              <w:left w:w="45" w:type="dxa"/>
              <w:bottom w:w="0" w:type="dxa"/>
              <w:right w:w="45" w:type="dxa"/>
            </w:tcMar>
            <w:vAlign w:val="center"/>
            <w:hideMark/>
          </w:tcPr>
          <w:p w14:paraId="61C386BF"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CJ-01</w:t>
            </w:r>
          </w:p>
        </w:tc>
        <w:tc>
          <w:tcPr>
            <w:tcW w:w="543" w:type="pct"/>
            <w:shd w:val="clear" w:color="auto" w:fill="FFFFFF"/>
            <w:tcMar>
              <w:top w:w="0" w:type="dxa"/>
              <w:left w:w="45" w:type="dxa"/>
              <w:bottom w:w="0" w:type="dxa"/>
              <w:right w:w="45" w:type="dxa"/>
            </w:tcMar>
            <w:vAlign w:val="center"/>
            <w:hideMark/>
          </w:tcPr>
          <w:p w14:paraId="2515371D" w14:textId="77777777" w:rsidR="00E3291C" w:rsidRPr="001C6ABC" w:rsidRDefault="00E3291C" w:rsidP="001C6456">
            <w:pPr>
              <w:jc w:val="center"/>
              <w:rPr>
                <w:rFonts w:asciiTheme="minorHAnsi" w:hAnsiTheme="minorHAnsi" w:cstheme="minorHAnsi"/>
                <w:color w:val="333333"/>
                <w:sz w:val="22"/>
                <w:szCs w:val="22"/>
              </w:rPr>
            </w:pPr>
            <w:r w:rsidRPr="001C6ABC">
              <w:rPr>
                <w:rFonts w:asciiTheme="minorHAnsi" w:hAnsiTheme="minorHAnsi" w:cstheme="minorHAnsi"/>
                <w:color w:val="333333"/>
                <w:sz w:val="22"/>
                <w:szCs w:val="22"/>
              </w:rPr>
              <w:t>6</w:t>
            </w:r>
          </w:p>
        </w:tc>
        <w:tc>
          <w:tcPr>
            <w:tcW w:w="544" w:type="pct"/>
            <w:shd w:val="clear" w:color="auto" w:fill="FFFFFF"/>
            <w:tcMar>
              <w:top w:w="0" w:type="dxa"/>
              <w:left w:w="45" w:type="dxa"/>
              <w:bottom w:w="0" w:type="dxa"/>
              <w:right w:w="45" w:type="dxa"/>
            </w:tcMar>
            <w:vAlign w:val="center"/>
            <w:hideMark/>
          </w:tcPr>
          <w:p w14:paraId="39F01253"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35,3%</w:t>
            </w:r>
          </w:p>
        </w:tc>
        <w:tc>
          <w:tcPr>
            <w:tcW w:w="543" w:type="pct"/>
            <w:shd w:val="clear" w:color="auto" w:fill="FFFFFF"/>
            <w:tcMar>
              <w:top w:w="0" w:type="dxa"/>
              <w:left w:w="45" w:type="dxa"/>
              <w:bottom w:w="0" w:type="dxa"/>
              <w:right w:w="45" w:type="dxa"/>
            </w:tcMar>
            <w:vAlign w:val="center"/>
            <w:hideMark/>
          </w:tcPr>
          <w:p w14:paraId="49FBDC3C"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11</w:t>
            </w:r>
          </w:p>
        </w:tc>
        <w:tc>
          <w:tcPr>
            <w:tcW w:w="544" w:type="pct"/>
            <w:shd w:val="clear" w:color="auto" w:fill="FFFFFF"/>
            <w:tcMar>
              <w:top w:w="0" w:type="dxa"/>
              <w:left w:w="45" w:type="dxa"/>
              <w:bottom w:w="0" w:type="dxa"/>
              <w:right w:w="45" w:type="dxa"/>
            </w:tcMar>
            <w:vAlign w:val="center"/>
            <w:hideMark/>
          </w:tcPr>
          <w:p w14:paraId="5E3CBAB8"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64,7%</w:t>
            </w:r>
          </w:p>
        </w:tc>
        <w:tc>
          <w:tcPr>
            <w:tcW w:w="544" w:type="pct"/>
            <w:shd w:val="clear" w:color="auto" w:fill="FFFFFF"/>
            <w:tcMar>
              <w:top w:w="0" w:type="dxa"/>
              <w:left w:w="45" w:type="dxa"/>
              <w:bottom w:w="0" w:type="dxa"/>
              <w:right w:w="45" w:type="dxa"/>
            </w:tcMar>
            <w:vAlign w:val="center"/>
            <w:hideMark/>
          </w:tcPr>
          <w:p w14:paraId="5AD40546"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17</w:t>
            </w:r>
          </w:p>
        </w:tc>
      </w:tr>
      <w:tr w:rsidR="001C6456" w:rsidRPr="00E3291C" w14:paraId="1F99E99F" w14:textId="77777777" w:rsidTr="001C6456">
        <w:trPr>
          <w:trHeight w:val="510"/>
        </w:trPr>
        <w:tc>
          <w:tcPr>
            <w:tcW w:w="1575" w:type="pct"/>
            <w:shd w:val="clear" w:color="auto" w:fill="FFFFFF"/>
            <w:tcMar>
              <w:top w:w="0" w:type="dxa"/>
              <w:left w:w="45" w:type="dxa"/>
              <w:bottom w:w="0" w:type="dxa"/>
              <w:right w:w="45" w:type="dxa"/>
            </w:tcMar>
            <w:vAlign w:val="center"/>
            <w:hideMark/>
          </w:tcPr>
          <w:p w14:paraId="01141DA9" w14:textId="77777777" w:rsidR="00E3291C" w:rsidRPr="001C6ABC" w:rsidRDefault="00E3291C" w:rsidP="001C6456">
            <w:pPr>
              <w:rPr>
                <w:rFonts w:asciiTheme="minorHAnsi" w:hAnsiTheme="minorHAnsi" w:cstheme="minorHAnsi"/>
                <w:color w:val="333333"/>
                <w:sz w:val="22"/>
                <w:szCs w:val="22"/>
              </w:rPr>
            </w:pPr>
            <w:r w:rsidRPr="001C6ABC">
              <w:rPr>
                <w:rFonts w:asciiTheme="minorHAnsi" w:hAnsiTheme="minorHAnsi" w:cstheme="minorHAnsi"/>
                <w:color w:val="333333"/>
                <w:sz w:val="22"/>
                <w:szCs w:val="22"/>
              </w:rPr>
              <w:t>Chefe de Núcleo</w:t>
            </w:r>
          </w:p>
        </w:tc>
        <w:tc>
          <w:tcPr>
            <w:tcW w:w="707" w:type="pct"/>
            <w:shd w:val="clear" w:color="auto" w:fill="FFFFFF"/>
            <w:tcMar>
              <w:top w:w="0" w:type="dxa"/>
              <w:left w:w="45" w:type="dxa"/>
              <w:bottom w:w="0" w:type="dxa"/>
              <w:right w:w="45" w:type="dxa"/>
            </w:tcMar>
            <w:vAlign w:val="center"/>
            <w:hideMark/>
          </w:tcPr>
          <w:p w14:paraId="7BC27EDC"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FC-06</w:t>
            </w:r>
          </w:p>
        </w:tc>
        <w:tc>
          <w:tcPr>
            <w:tcW w:w="543" w:type="pct"/>
            <w:shd w:val="clear" w:color="auto" w:fill="FFFFFF"/>
            <w:tcMar>
              <w:top w:w="0" w:type="dxa"/>
              <w:left w:w="45" w:type="dxa"/>
              <w:bottom w:w="0" w:type="dxa"/>
              <w:right w:w="45" w:type="dxa"/>
            </w:tcMar>
            <w:vAlign w:val="center"/>
            <w:hideMark/>
          </w:tcPr>
          <w:p w14:paraId="6F89AD0A" w14:textId="77777777" w:rsidR="00E3291C" w:rsidRPr="001C6ABC" w:rsidRDefault="00E3291C" w:rsidP="001C6456">
            <w:pPr>
              <w:jc w:val="center"/>
              <w:rPr>
                <w:rFonts w:asciiTheme="minorHAnsi" w:hAnsiTheme="minorHAnsi" w:cstheme="minorHAnsi"/>
                <w:color w:val="333333"/>
                <w:sz w:val="22"/>
                <w:szCs w:val="22"/>
              </w:rPr>
            </w:pPr>
            <w:r w:rsidRPr="001C6ABC">
              <w:rPr>
                <w:rFonts w:asciiTheme="minorHAnsi" w:hAnsiTheme="minorHAnsi" w:cstheme="minorHAnsi"/>
                <w:color w:val="333333"/>
                <w:sz w:val="22"/>
                <w:szCs w:val="22"/>
              </w:rPr>
              <w:t>4</w:t>
            </w:r>
          </w:p>
        </w:tc>
        <w:tc>
          <w:tcPr>
            <w:tcW w:w="544" w:type="pct"/>
            <w:shd w:val="clear" w:color="auto" w:fill="FFFFFF"/>
            <w:tcMar>
              <w:top w:w="0" w:type="dxa"/>
              <w:left w:w="45" w:type="dxa"/>
              <w:bottom w:w="0" w:type="dxa"/>
              <w:right w:w="45" w:type="dxa"/>
            </w:tcMar>
            <w:vAlign w:val="center"/>
            <w:hideMark/>
          </w:tcPr>
          <w:p w14:paraId="0FC04C40"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12,1%</w:t>
            </w:r>
          </w:p>
        </w:tc>
        <w:tc>
          <w:tcPr>
            <w:tcW w:w="543" w:type="pct"/>
            <w:shd w:val="clear" w:color="auto" w:fill="FFFFFF"/>
            <w:tcMar>
              <w:top w:w="0" w:type="dxa"/>
              <w:left w:w="45" w:type="dxa"/>
              <w:bottom w:w="0" w:type="dxa"/>
              <w:right w:w="45" w:type="dxa"/>
            </w:tcMar>
            <w:vAlign w:val="center"/>
            <w:hideMark/>
          </w:tcPr>
          <w:p w14:paraId="5F39F137"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29</w:t>
            </w:r>
          </w:p>
        </w:tc>
        <w:tc>
          <w:tcPr>
            <w:tcW w:w="544" w:type="pct"/>
            <w:shd w:val="clear" w:color="auto" w:fill="FFFFFF"/>
            <w:tcMar>
              <w:top w:w="0" w:type="dxa"/>
              <w:left w:w="45" w:type="dxa"/>
              <w:bottom w:w="0" w:type="dxa"/>
              <w:right w:w="45" w:type="dxa"/>
            </w:tcMar>
            <w:vAlign w:val="center"/>
            <w:hideMark/>
          </w:tcPr>
          <w:p w14:paraId="4CE7AD23"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87,9%</w:t>
            </w:r>
          </w:p>
        </w:tc>
        <w:tc>
          <w:tcPr>
            <w:tcW w:w="544" w:type="pct"/>
            <w:shd w:val="clear" w:color="auto" w:fill="FFFFFF"/>
            <w:tcMar>
              <w:top w:w="0" w:type="dxa"/>
              <w:left w:w="45" w:type="dxa"/>
              <w:bottom w:w="0" w:type="dxa"/>
              <w:right w:w="45" w:type="dxa"/>
            </w:tcMar>
            <w:vAlign w:val="center"/>
            <w:hideMark/>
          </w:tcPr>
          <w:p w14:paraId="6EE9EF9A"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33</w:t>
            </w:r>
          </w:p>
        </w:tc>
      </w:tr>
      <w:tr w:rsidR="001C6456" w:rsidRPr="00E3291C" w14:paraId="430CD2A7" w14:textId="77777777" w:rsidTr="001C6456">
        <w:trPr>
          <w:trHeight w:val="510"/>
        </w:trPr>
        <w:tc>
          <w:tcPr>
            <w:tcW w:w="1575" w:type="pct"/>
            <w:shd w:val="clear" w:color="auto" w:fill="FFFFFF"/>
            <w:tcMar>
              <w:top w:w="0" w:type="dxa"/>
              <w:left w:w="45" w:type="dxa"/>
              <w:bottom w:w="0" w:type="dxa"/>
              <w:right w:w="45" w:type="dxa"/>
            </w:tcMar>
            <w:vAlign w:val="center"/>
            <w:hideMark/>
          </w:tcPr>
          <w:p w14:paraId="6EA44A35" w14:textId="77777777" w:rsidR="00E3291C" w:rsidRPr="001C6ABC" w:rsidRDefault="00E3291C" w:rsidP="001C6456">
            <w:pPr>
              <w:rPr>
                <w:rFonts w:asciiTheme="minorHAnsi" w:hAnsiTheme="minorHAnsi" w:cstheme="minorHAnsi"/>
                <w:color w:val="333333"/>
                <w:sz w:val="22"/>
                <w:szCs w:val="22"/>
              </w:rPr>
            </w:pPr>
            <w:r w:rsidRPr="001C6ABC">
              <w:rPr>
                <w:rFonts w:asciiTheme="minorHAnsi" w:hAnsiTheme="minorHAnsi" w:cstheme="minorHAnsi"/>
                <w:color w:val="333333"/>
                <w:sz w:val="22"/>
                <w:szCs w:val="22"/>
              </w:rPr>
              <w:t>Supervisor de Seção</w:t>
            </w:r>
          </w:p>
        </w:tc>
        <w:tc>
          <w:tcPr>
            <w:tcW w:w="707" w:type="pct"/>
            <w:shd w:val="clear" w:color="auto" w:fill="FFFFFF"/>
            <w:tcMar>
              <w:top w:w="0" w:type="dxa"/>
              <w:left w:w="45" w:type="dxa"/>
              <w:bottom w:w="0" w:type="dxa"/>
              <w:right w:w="45" w:type="dxa"/>
            </w:tcMar>
            <w:vAlign w:val="center"/>
            <w:hideMark/>
          </w:tcPr>
          <w:p w14:paraId="2FBFBE1A"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FC-05</w:t>
            </w:r>
          </w:p>
        </w:tc>
        <w:tc>
          <w:tcPr>
            <w:tcW w:w="543" w:type="pct"/>
            <w:shd w:val="clear" w:color="auto" w:fill="FFFFFF"/>
            <w:tcMar>
              <w:top w:w="0" w:type="dxa"/>
              <w:left w:w="45" w:type="dxa"/>
              <w:bottom w:w="0" w:type="dxa"/>
              <w:right w:w="45" w:type="dxa"/>
            </w:tcMar>
            <w:vAlign w:val="center"/>
            <w:hideMark/>
          </w:tcPr>
          <w:p w14:paraId="69ECC608" w14:textId="77777777" w:rsidR="00E3291C" w:rsidRPr="001C6ABC" w:rsidRDefault="00E3291C" w:rsidP="001C6456">
            <w:pPr>
              <w:jc w:val="center"/>
              <w:rPr>
                <w:rFonts w:asciiTheme="minorHAnsi" w:hAnsiTheme="minorHAnsi" w:cstheme="minorHAnsi"/>
                <w:color w:val="333333"/>
                <w:sz w:val="22"/>
                <w:szCs w:val="22"/>
              </w:rPr>
            </w:pPr>
            <w:r w:rsidRPr="001C6ABC">
              <w:rPr>
                <w:rFonts w:asciiTheme="minorHAnsi" w:hAnsiTheme="minorHAnsi" w:cstheme="minorHAnsi"/>
                <w:color w:val="333333"/>
                <w:sz w:val="22"/>
                <w:szCs w:val="22"/>
              </w:rPr>
              <w:t>64</w:t>
            </w:r>
          </w:p>
        </w:tc>
        <w:tc>
          <w:tcPr>
            <w:tcW w:w="544" w:type="pct"/>
            <w:shd w:val="clear" w:color="auto" w:fill="FFFFFF"/>
            <w:tcMar>
              <w:top w:w="0" w:type="dxa"/>
              <w:left w:w="45" w:type="dxa"/>
              <w:bottom w:w="0" w:type="dxa"/>
              <w:right w:w="45" w:type="dxa"/>
            </w:tcMar>
            <w:vAlign w:val="center"/>
            <w:hideMark/>
          </w:tcPr>
          <w:p w14:paraId="3B7611E6"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41,6%</w:t>
            </w:r>
          </w:p>
        </w:tc>
        <w:tc>
          <w:tcPr>
            <w:tcW w:w="543" w:type="pct"/>
            <w:shd w:val="clear" w:color="auto" w:fill="FFFFFF"/>
            <w:tcMar>
              <w:top w:w="0" w:type="dxa"/>
              <w:left w:w="45" w:type="dxa"/>
              <w:bottom w:w="0" w:type="dxa"/>
              <w:right w:w="45" w:type="dxa"/>
            </w:tcMar>
            <w:vAlign w:val="center"/>
            <w:hideMark/>
          </w:tcPr>
          <w:p w14:paraId="3B997B19" w14:textId="77777777" w:rsidR="00E3291C" w:rsidRPr="001C6ABC" w:rsidRDefault="00E3291C" w:rsidP="001C6456">
            <w:pPr>
              <w:jc w:val="center"/>
              <w:rPr>
                <w:rFonts w:asciiTheme="minorHAnsi" w:hAnsiTheme="minorHAnsi" w:cstheme="minorHAnsi"/>
                <w:color w:val="333333"/>
                <w:sz w:val="22"/>
                <w:szCs w:val="22"/>
              </w:rPr>
            </w:pPr>
            <w:r w:rsidRPr="001C6ABC">
              <w:rPr>
                <w:rFonts w:asciiTheme="minorHAnsi" w:hAnsiTheme="minorHAnsi" w:cstheme="minorHAnsi"/>
                <w:color w:val="333333"/>
                <w:sz w:val="22"/>
                <w:szCs w:val="22"/>
              </w:rPr>
              <w:t>90</w:t>
            </w:r>
          </w:p>
        </w:tc>
        <w:tc>
          <w:tcPr>
            <w:tcW w:w="544" w:type="pct"/>
            <w:shd w:val="clear" w:color="auto" w:fill="FFFFFF"/>
            <w:tcMar>
              <w:top w:w="0" w:type="dxa"/>
              <w:left w:w="45" w:type="dxa"/>
              <w:bottom w:w="0" w:type="dxa"/>
              <w:right w:w="45" w:type="dxa"/>
            </w:tcMar>
            <w:vAlign w:val="center"/>
            <w:hideMark/>
          </w:tcPr>
          <w:p w14:paraId="0A14400F"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58,4%</w:t>
            </w:r>
          </w:p>
        </w:tc>
        <w:tc>
          <w:tcPr>
            <w:tcW w:w="544" w:type="pct"/>
            <w:shd w:val="clear" w:color="auto" w:fill="FFFFFF"/>
            <w:tcMar>
              <w:top w:w="0" w:type="dxa"/>
              <w:left w:w="45" w:type="dxa"/>
              <w:bottom w:w="0" w:type="dxa"/>
              <w:right w:w="45" w:type="dxa"/>
            </w:tcMar>
            <w:vAlign w:val="center"/>
            <w:hideMark/>
          </w:tcPr>
          <w:p w14:paraId="45EA27FC" w14:textId="77777777" w:rsidR="00E3291C" w:rsidRPr="001C6ABC" w:rsidRDefault="00E3291C" w:rsidP="001C6456">
            <w:pPr>
              <w:jc w:val="center"/>
              <w:rPr>
                <w:rFonts w:asciiTheme="minorHAnsi" w:hAnsiTheme="minorHAnsi" w:cstheme="minorHAnsi"/>
                <w:sz w:val="22"/>
                <w:szCs w:val="22"/>
              </w:rPr>
            </w:pPr>
            <w:r w:rsidRPr="001C6ABC">
              <w:rPr>
                <w:rFonts w:asciiTheme="minorHAnsi" w:hAnsiTheme="minorHAnsi" w:cstheme="minorHAnsi"/>
                <w:sz w:val="22"/>
                <w:szCs w:val="22"/>
              </w:rPr>
              <w:t>154</w:t>
            </w:r>
          </w:p>
        </w:tc>
      </w:tr>
    </w:tbl>
    <w:p w14:paraId="2E42739E" w14:textId="0CC6C1E5" w:rsidR="001B56B6" w:rsidRDefault="00CA4885" w:rsidP="001B56B6">
      <w:pPr>
        <w:pStyle w:val="Fonte"/>
        <w:rPr>
          <w:b w:val="0"/>
          <w:bCs/>
          <w:sz w:val="24"/>
        </w:rPr>
      </w:pPr>
      <w:r>
        <w:t xml:space="preserve">Fonte: </w:t>
      </w:r>
      <w:r w:rsidRPr="00AC0A64">
        <w:rPr>
          <w:b w:val="0"/>
          <w:bCs/>
        </w:rPr>
        <w:t>Dados disponibilizados pelo Sistema de Recursos Humanos do TST (abril de 2025). Compilação e elaboração: CPJUD/SEPJD/CPJED</w:t>
      </w:r>
      <w:r w:rsidRPr="00AC0A64">
        <w:rPr>
          <w:b w:val="0"/>
          <w:bCs/>
          <w:sz w:val="24"/>
        </w:rPr>
        <w:t>.</w:t>
      </w:r>
    </w:p>
    <w:p w14:paraId="40091D79" w14:textId="77777777" w:rsidR="001B56B6" w:rsidRDefault="001B56B6" w:rsidP="001C6456">
      <w:pPr>
        <w:pStyle w:val="Texto"/>
      </w:pPr>
    </w:p>
    <w:p w14:paraId="61449C6C" w14:textId="7FF17A61" w:rsidR="006B042E" w:rsidRDefault="001079F4" w:rsidP="001C6456">
      <w:pPr>
        <w:pStyle w:val="Texto"/>
      </w:pPr>
      <w:r>
        <w:t>Especificando melhor os dados,</w:t>
      </w:r>
      <w:r w:rsidR="00CA4885">
        <w:t xml:space="preserve"> </w:t>
      </w:r>
      <w:r>
        <w:t>tem-se</w:t>
      </w:r>
      <w:r w:rsidR="00CA4885">
        <w:t xml:space="preserve"> que, dos 23 cargos de Secretário, 10 são ocupados por mulheres (43,5%) e 13 por homens (56,5%). Dentre os 31 Coordenadores, 13 são mulheres (41,9%) e 18 são homens (58,1%). Dos 14 cargos de assessor-chefe, 5 são ocupados por mulheres (35,7%) e 9 por homens (64,3%). Em relação aos 17 cargos de Chefes de Divisão, as </w:t>
      </w:r>
      <w:r w:rsidR="00CA4885" w:rsidRPr="00CA4885">
        <w:t xml:space="preserve">mulheres ocupam 6 cargos (35,3%) e os homens 11 (64,7%). Por fim, dos 154 cargos de Supervisor de Seção, 64 são ocupados por mulheres (41,6%) e 90 por homens (58,4%). </w:t>
      </w:r>
      <w:r w:rsidR="004B64A1" w:rsidRPr="00CA4885">
        <w:t xml:space="preserve">O Gráfico </w:t>
      </w:r>
      <w:r w:rsidR="00881C43">
        <w:t>23</w:t>
      </w:r>
      <w:r w:rsidR="004B64A1" w:rsidRPr="00CA4885">
        <w:t xml:space="preserve"> </w:t>
      </w:r>
      <w:r w:rsidR="00CA4885" w:rsidRPr="00CA4885">
        <w:t>ilustra a distribuição</w:t>
      </w:r>
      <w:r w:rsidR="004B64A1" w:rsidRPr="00CA4885">
        <w:t xml:space="preserve"> desses dados.</w:t>
      </w:r>
    </w:p>
    <w:p w14:paraId="7AF6F91E" w14:textId="106A5CA3" w:rsidR="00CA4885" w:rsidRPr="00CA4885" w:rsidRDefault="00CA4885" w:rsidP="001C6456">
      <w:pPr>
        <w:pStyle w:val="Texto"/>
      </w:pPr>
    </w:p>
    <w:p w14:paraId="6393B1E7" w14:textId="7343B41B" w:rsidR="00CC4796" w:rsidRDefault="00CC4796" w:rsidP="00FB5A95">
      <w:pPr>
        <w:pStyle w:val="TtulodaIlustrao"/>
      </w:pPr>
      <w:bookmarkStart w:id="59" w:name="_Toc208508646"/>
      <w:r>
        <w:lastRenderedPageBreak/>
        <w:t xml:space="preserve">Gráfico </w:t>
      </w:r>
      <w:r w:rsidR="00221F78">
        <w:t>23</w:t>
      </w:r>
      <w:r w:rsidRPr="001C6456">
        <w:rPr>
          <w:b w:val="0"/>
        </w:rPr>
        <w:t xml:space="preserve"> - Distribuição por gênero dos cargos de gestão e liderança do TST pela denominação do cargo (%)</w:t>
      </w:r>
      <w:bookmarkEnd w:id="59"/>
    </w:p>
    <w:p w14:paraId="7BB72E83" w14:textId="6D702300" w:rsidR="002D34F4" w:rsidRPr="002D34F4" w:rsidRDefault="008B07CB" w:rsidP="008B07CB">
      <w:pPr>
        <w:pStyle w:val="Fonte"/>
        <w:rPr>
          <w:b w:val="0"/>
          <w:bCs/>
          <w:sz w:val="24"/>
        </w:rPr>
      </w:pPr>
      <w:r>
        <w:drawing>
          <wp:inline distT="0" distB="0" distL="0" distR="0" wp14:anchorId="01FB9F14" wp14:editId="7589728B">
            <wp:extent cx="4743450" cy="294322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1040FC" w14:textId="53799C14" w:rsidR="00490E59" w:rsidRDefault="00CA4885" w:rsidP="006B042E">
      <w:pPr>
        <w:pStyle w:val="Fonte"/>
        <w:rPr>
          <w:b w:val="0"/>
          <w:bCs/>
          <w:sz w:val="24"/>
        </w:rPr>
      </w:pPr>
      <w:r>
        <w:t xml:space="preserve">Fonte: </w:t>
      </w:r>
      <w:r w:rsidRPr="00AC0A64">
        <w:rPr>
          <w:b w:val="0"/>
          <w:bCs/>
        </w:rPr>
        <w:t>Dados disponibilizados pelo Sistema de Recursos Humanos do TST (abril de 2025). Compilação e elaboração: CPJUD/SEPJD/CPJED</w:t>
      </w:r>
      <w:r w:rsidRPr="00AC0A64">
        <w:rPr>
          <w:b w:val="0"/>
          <w:bCs/>
          <w:sz w:val="24"/>
        </w:rPr>
        <w:t>.</w:t>
      </w:r>
    </w:p>
    <w:p w14:paraId="7B659596" w14:textId="77777777" w:rsidR="006B042E" w:rsidRPr="006B042E" w:rsidRDefault="006B042E" w:rsidP="001C6456">
      <w:pPr>
        <w:pStyle w:val="Fonte"/>
        <w:ind w:firstLine="851"/>
        <w:rPr>
          <w:b w:val="0"/>
          <w:bCs/>
          <w:sz w:val="24"/>
        </w:rPr>
      </w:pPr>
    </w:p>
    <w:p w14:paraId="5A34382D" w14:textId="462B6AD8" w:rsidR="00816927" w:rsidRDefault="00881C43" w:rsidP="001C6456">
      <w:pPr>
        <w:pStyle w:val="Texto"/>
      </w:pPr>
      <w:r>
        <w:t>O exame detalhado dos dados utilizados nesta pesquisa mostra que, segundo a</w:t>
      </w:r>
      <w:r w:rsidR="00A50E94">
        <w:t xml:space="preserve"> classificação estabelecida em ato administrativo</w:t>
      </w:r>
      <w:r w:rsidR="00816927">
        <w:rPr>
          <w:rStyle w:val="Refdenotaderodap"/>
        </w:rPr>
        <w:footnoteReference w:id="45"/>
      </w:r>
      <w:r w:rsidR="00A50E94">
        <w:t>, apenas os Chefes de Gabinete são reconhecidos como cargos de gestão e liderança no âmbito dos gabinetes</w:t>
      </w:r>
      <w:r w:rsidR="00365DE7">
        <w:t xml:space="preserve"> do TST</w:t>
      </w:r>
      <w:r w:rsidR="00A50E94">
        <w:t>. Entretanto, considerando que, em média, cada gabinete possui aproximadamente 39 CJs</w:t>
      </w:r>
      <w:r w:rsidR="001B7D79">
        <w:t>/</w:t>
      </w:r>
      <w:r w:rsidR="00A50E94">
        <w:t>FCs</w:t>
      </w:r>
      <w:r w:rsidR="00365DE7">
        <w:t xml:space="preserve">, </w:t>
      </w:r>
      <w:r>
        <w:t>parte-se do pressuposto</w:t>
      </w:r>
      <w:r w:rsidR="00365DE7">
        <w:t xml:space="preserve"> que </w:t>
      </w:r>
      <w:r w:rsidR="001B7D79">
        <w:t>a</w:t>
      </w:r>
      <w:r w:rsidR="00365DE7">
        <w:t xml:space="preserve"> liderança </w:t>
      </w:r>
      <w:r w:rsidR="001B7D79">
        <w:t>nesses setores</w:t>
      </w:r>
      <w:r w:rsidR="00365DE7">
        <w:t xml:space="preserve"> não se restringe apenas aos chefes de gabinete. </w:t>
      </w:r>
    </w:p>
    <w:p w14:paraId="2228373B" w14:textId="2554B26D" w:rsidR="003467F8" w:rsidRDefault="003467F8" w:rsidP="001C6456">
      <w:pPr>
        <w:pStyle w:val="Texto"/>
      </w:pPr>
      <w:r>
        <w:t>A compreensão da o</w:t>
      </w:r>
      <w:r w:rsidR="00881C43">
        <w:t>rganização interna dessas unidades</w:t>
      </w:r>
      <w:r w:rsidR="00365DE7">
        <w:t xml:space="preserve"> </w:t>
      </w:r>
      <w:r>
        <w:t>exigiria</w:t>
      </w:r>
      <w:r w:rsidR="00365DE7">
        <w:t xml:space="preserve"> a complementação deste estudo com</w:t>
      </w:r>
      <w:r>
        <w:t xml:space="preserve"> métodos qualitativos</w:t>
      </w:r>
      <w:r w:rsidR="00816927">
        <w:t>, o que está além do escopo deste relatório</w:t>
      </w:r>
      <w:r>
        <w:t>.</w:t>
      </w:r>
      <w:r w:rsidR="00892517">
        <w:t xml:space="preserve"> </w:t>
      </w:r>
      <w:r w:rsidR="00945BBD">
        <w:t>No entanto</w:t>
      </w:r>
      <w:r w:rsidR="001B7D79">
        <w:t>, c</w:t>
      </w:r>
      <w:r w:rsidR="00892517">
        <w:t xml:space="preserve">om o intuito </w:t>
      </w:r>
      <w:r w:rsidR="001B7D79">
        <w:t>de subsidiar</w:t>
      </w:r>
      <w:r w:rsidR="00892517">
        <w:t xml:space="preserve"> </w:t>
      </w:r>
      <w:r w:rsidR="001B7D79">
        <w:t>uma</w:t>
      </w:r>
      <w:r w:rsidR="00365DE7">
        <w:t xml:space="preserve"> interpretação</w:t>
      </w:r>
      <w:r w:rsidR="001B7D79">
        <w:t xml:space="preserve"> mais aprofundada</w:t>
      </w:r>
      <w:r w:rsidR="00365DE7">
        <w:t xml:space="preserve"> dos dados</w:t>
      </w:r>
      <w:r w:rsidR="00892517">
        <w:t xml:space="preserve"> sobre a participação feminina no TST</w:t>
      </w:r>
      <w:r w:rsidR="00365DE7">
        <w:t xml:space="preserve">, </w:t>
      </w:r>
      <w:r>
        <w:t xml:space="preserve">optou-se por </w:t>
      </w:r>
      <w:r w:rsidR="00892517">
        <w:t>realizar a análise quantitativa</w:t>
      </w:r>
      <w:r>
        <w:t xml:space="preserve"> </w:t>
      </w:r>
      <w:r w:rsidR="00365DE7">
        <w:t xml:space="preserve">da distribuição </w:t>
      </w:r>
      <w:r>
        <w:t xml:space="preserve">de gênero </w:t>
      </w:r>
      <w:r w:rsidR="00365DE7">
        <w:t xml:space="preserve">dos cargos em comissão </w:t>
      </w:r>
      <w:r w:rsidR="00892517">
        <w:t>nos</w:t>
      </w:r>
      <w:r w:rsidR="00365DE7">
        <w:t xml:space="preserve"> gabinetes, </w:t>
      </w:r>
      <w:r w:rsidR="00892517">
        <w:t>considerando que esses cargos podem corresponder</w:t>
      </w:r>
      <w:r w:rsidR="00365DE7">
        <w:t xml:space="preserve"> a pos</w:t>
      </w:r>
      <w:r w:rsidR="00892517">
        <w:t>ições</w:t>
      </w:r>
      <w:r w:rsidR="00365DE7">
        <w:t xml:space="preserve"> estratégic</w:t>
      </w:r>
      <w:r w:rsidR="00892517">
        <w:t>a</w:t>
      </w:r>
      <w:r w:rsidR="00365DE7">
        <w:t xml:space="preserve">s </w:t>
      </w:r>
      <w:r w:rsidR="005A2090">
        <w:t xml:space="preserve">nessas unidades. </w:t>
      </w:r>
      <w:r w:rsidR="00490E59">
        <w:t>Cabe destacar que as FCs nos gabinetes de Ministros são de funções de assistentes e não contemplam as FCs de chefia e supervisão.</w:t>
      </w:r>
    </w:p>
    <w:p w14:paraId="5A2E40AD" w14:textId="67ACB08C" w:rsidR="00A253B9" w:rsidRDefault="00490E59" w:rsidP="001C6456">
      <w:pPr>
        <w:pStyle w:val="Texto"/>
      </w:pPr>
      <w:r>
        <w:lastRenderedPageBreak/>
        <w:t xml:space="preserve">Ante o exposto, </w:t>
      </w:r>
      <w:r w:rsidR="00881C43">
        <w:t>de acordo com o Anexo II do Ato GDGSET.GP Nº 155/2025</w:t>
      </w:r>
      <w:r w:rsidR="00881C43">
        <w:rPr>
          <w:rStyle w:val="Refdenotaderodap"/>
        </w:rPr>
        <w:footnoteReference w:id="46"/>
      </w:r>
      <w:r w:rsidR="00881C43">
        <w:t xml:space="preserve">, </w:t>
      </w:r>
      <w:r w:rsidR="001B7D79">
        <w:t xml:space="preserve">os </w:t>
      </w:r>
      <w:r w:rsidR="00881C43">
        <w:t>CJ’s</w:t>
      </w:r>
      <w:r w:rsidR="00A253B9">
        <w:t xml:space="preserve"> n</w:t>
      </w:r>
      <w:r w:rsidR="001B7D79">
        <w:t>os g</w:t>
      </w:r>
      <w:r w:rsidR="009538D6">
        <w:t>abinetes dos Minis</w:t>
      </w:r>
      <w:r w:rsidR="001B7D79">
        <w:t xml:space="preserve">tros do TST </w:t>
      </w:r>
      <w:r>
        <w:t>correspondem a</w:t>
      </w:r>
      <w:r w:rsidR="009538D6">
        <w:t xml:space="preserve"> Chefe de Gabinete (CJ-03),</w:t>
      </w:r>
      <w:r>
        <w:t xml:space="preserve"> </w:t>
      </w:r>
      <w:r w:rsidR="009538D6">
        <w:t>Assessor de Ministro (CJ-03) e Assistente Jud</w:t>
      </w:r>
      <w:r w:rsidR="00A253B9">
        <w:t>iciário (CJ-01)</w:t>
      </w:r>
      <w:r w:rsidR="00881C43">
        <w:t xml:space="preserve">. </w:t>
      </w:r>
      <w:r w:rsidR="00A253B9">
        <w:t>Nos g</w:t>
      </w:r>
      <w:r w:rsidR="00320A34">
        <w:t>abinetes da Presidência, da Vice-Precidência e da Corregedoria-Geral da Justiça do Trabalho</w:t>
      </w:r>
      <w:r w:rsidR="00A253B9">
        <w:t>, os cargos em comissão</w:t>
      </w:r>
      <w:r w:rsidR="00320A34">
        <w:t xml:space="preserve"> </w:t>
      </w:r>
      <w:r w:rsidR="00A253B9">
        <w:t>incluem esses e</w:t>
      </w:r>
      <w:r w:rsidR="00320A34">
        <w:t xml:space="preserve"> outros de assessoramento. </w:t>
      </w:r>
    </w:p>
    <w:p w14:paraId="6068CCA9" w14:textId="475621AF" w:rsidR="00CA4885" w:rsidRDefault="00A253B9" w:rsidP="001C6456">
      <w:pPr>
        <w:pStyle w:val="Texto"/>
      </w:pPr>
      <w:r>
        <w:t>Nesse sentido, considerando apenas os CJs dos</w:t>
      </w:r>
      <w:r w:rsidR="00881C43">
        <w:t xml:space="preserve"> gabinetes, os dados indicam uma predominância feminina superior a 25 pontos percentuais. D</w:t>
      </w:r>
      <w:r>
        <w:t xml:space="preserve">e um total de </w:t>
      </w:r>
      <w:r w:rsidR="00320A34">
        <w:t>334 cargo</w:t>
      </w:r>
      <w:r>
        <w:t>s</w:t>
      </w:r>
      <w:r w:rsidR="005A2090">
        <w:t xml:space="preserve">, </w:t>
      </w:r>
      <w:r w:rsidR="00320A34">
        <w:t>209 (62,5%) são ocupados por mulh</w:t>
      </w:r>
      <w:r w:rsidR="00881C43">
        <w:t xml:space="preserve">eres e 125 (37,4%) por homens. </w:t>
      </w:r>
      <w:r>
        <w:t xml:space="preserve">Essas proporções são apresentadas no Gráfico </w:t>
      </w:r>
      <w:r w:rsidR="00881C43">
        <w:t>24</w:t>
      </w:r>
      <w:r>
        <w:t>.</w:t>
      </w:r>
    </w:p>
    <w:p w14:paraId="4F09AD47" w14:textId="77777777" w:rsidR="00CC4796" w:rsidRDefault="00CC4796" w:rsidP="001C6456">
      <w:pPr>
        <w:pStyle w:val="Texto"/>
      </w:pPr>
    </w:p>
    <w:p w14:paraId="35E3DD52" w14:textId="060A9BAD" w:rsidR="00CC4796" w:rsidRDefault="00CC4796" w:rsidP="00FB5A95">
      <w:pPr>
        <w:pStyle w:val="TtulodaIlustrao"/>
      </w:pPr>
      <w:bookmarkStart w:id="60" w:name="_Toc208508647"/>
      <w:r>
        <w:t xml:space="preserve">Gráfico </w:t>
      </w:r>
      <w:r w:rsidR="00221F78">
        <w:t>24</w:t>
      </w:r>
      <w:r w:rsidRPr="001C6456">
        <w:rPr>
          <w:b w:val="0"/>
        </w:rPr>
        <w:t xml:space="preserve"> - Distribuição por gênero dos cargos em comissão dos gabinetes do TST (%)</w:t>
      </w:r>
      <w:bookmarkEnd w:id="60"/>
    </w:p>
    <w:p w14:paraId="2F806482" w14:textId="7AF60B9F" w:rsidR="00CA4885" w:rsidRDefault="00320A34" w:rsidP="00CF7A9F">
      <w:pPr>
        <w:pStyle w:val="Texto"/>
        <w:jc w:val="center"/>
      </w:pPr>
      <w:r>
        <w:drawing>
          <wp:inline distT="0" distB="0" distL="0" distR="0" wp14:anchorId="4C28C806" wp14:editId="4BC4AD5C">
            <wp:extent cx="4572000" cy="27432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7DDE14" w14:textId="77777777" w:rsidR="005A2090" w:rsidRDefault="005A2090" w:rsidP="005A2090">
      <w:pPr>
        <w:pStyle w:val="Fonte"/>
        <w:rPr>
          <w:b w:val="0"/>
          <w:bCs/>
          <w:sz w:val="24"/>
        </w:rPr>
      </w:pPr>
      <w:r>
        <w:t xml:space="preserve">Fonte: </w:t>
      </w:r>
      <w:r w:rsidRPr="00AC0A64">
        <w:rPr>
          <w:b w:val="0"/>
          <w:bCs/>
        </w:rPr>
        <w:t>Dados disponibilizados pelo Sistema de Recursos Humanos do TST (abril de 2025). Compilação e elaboração: CPJUD/SEPJD/CPJED</w:t>
      </w:r>
      <w:r w:rsidRPr="00AC0A64">
        <w:rPr>
          <w:b w:val="0"/>
          <w:bCs/>
          <w:sz w:val="24"/>
        </w:rPr>
        <w:t>.</w:t>
      </w:r>
    </w:p>
    <w:p w14:paraId="2641B4D0" w14:textId="77777777" w:rsidR="00B76D16" w:rsidRDefault="00B76D16" w:rsidP="001C6456">
      <w:pPr>
        <w:pStyle w:val="Fonte"/>
        <w:ind w:firstLine="851"/>
        <w:rPr>
          <w:b w:val="0"/>
          <w:bCs/>
          <w:sz w:val="24"/>
        </w:rPr>
      </w:pPr>
    </w:p>
    <w:p w14:paraId="5ADC7958" w14:textId="552623EE" w:rsidR="00CC67AF" w:rsidRDefault="00B76D16" w:rsidP="001C6456">
      <w:pPr>
        <w:pStyle w:val="Texto"/>
      </w:pPr>
      <w:r>
        <w:t xml:space="preserve">Para ampliar </w:t>
      </w:r>
      <w:r w:rsidR="00126AD4">
        <w:t xml:space="preserve">o entendimento </w:t>
      </w:r>
      <w:r w:rsidR="005B532B">
        <w:t>acerca da ocupação dos</w:t>
      </w:r>
      <w:r w:rsidR="00126AD4">
        <w:t xml:space="preserve"> demais</w:t>
      </w:r>
      <w:r>
        <w:t xml:space="preserve"> cargos de gestão e liderança no Tribunal e identif</w:t>
      </w:r>
      <w:r w:rsidR="00126AD4">
        <w:t>icar eventuais padrões, considerou</w:t>
      </w:r>
      <w:r>
        <w:t>-se pertinente realizar uma distinção entre os setores de natureza jurisdicional</w:t>
      </w:r>
      <w:r w:rsidR="00CF7A9F">
        <w:t xml:space="preserve"> </w:t>
      </w:r>
      <w:r w:rsidR="00CC67AF">
        <w:t>daqueles</w:t>
      </w:r>
      <w:r w:rsidR="00CF7A9F">
        <w:t xml:space="preserve"> setores de natureza administrativa</w:t>
      </w:r>
      <w:r>
        <w:t>.</w:t>
      </w:r>
      <w:r w:rsidR="00FD4FA7">
        <w:t xml:space="preserve"> Tal recorte permite avaliar com maior precisão a dist</w:t>
      </w:r>
      <w:r w:rsidR="00126AD4">
        <w:t>ribuição de gênero</w:t>
      </w:r>
      <w:r w:rsidR="00CC67AF">
        <w:t xml:space="preserve"> no órgão, uma vez</w:t>
      </w:r>
      <w:r w:rsidR="00F111DC">
        <w:t xml:space="preserve"> que </w:t>
      </w:r>
      <w:r w:rsidR="00CC67AF">
        <w:t xml:space="preserve">o acesso </w:t>
      </w:r>
      <w:r w:rsidR="00FD4FA7">
        <w:t>a posições de liderança podem variar entre essas esferas</w:t>
      </w:r>
      <w:r w:rsidR="000807BC">
        <w:t>.</w:t>
      </w:r>
    </w:p>
    <w:p w14:paraId="333D55D3" w14:textId="53125CDD" w:rsidR="000807BC" w:rsidRDefault="000807BC">
      <w:pPr>
        <w:rPr>
          <w:rFonts w:asciiTheme="minorHAnsi" w:hAnsiTheme="minorHAnsi" w:cstheme="minorHAnsi"/>
          <w:noProof/>
        </w:rPr>
      </w:pPr>
      <w:r>
        <w:br w:type="page"/>
      </w:r>
    </w:p>
    <w:p w14:paraId="70494BCB" w14:textId="77777777" w:rsidR="000F3932" w:rsidRDefault="000F3932" w:rsidP="001C6456">
      <w:pPr>
        <w:pStyle w:val="Texto"/>
      </w:pPr>
      <w:r>
        <w:lastRenderedPageBreak/>
        <w:t>A escolha metodológica, dessa forma, alicerçou-se na classificação das unidades a partir de suas denominações, tendo como referência o organograma do TST. Para tanto, foram distinguidas as áreas cujas nomenclaturas remetem a atribuições de natureza jurisdicional ou de apoio direto à atividade judicante daquelas voltadas a funções administrativas, de assessoria, formativas ou correlatas, nas quais o mister jurisdicional não se mostra preponderante. Nessa perspectiva, e com o fito de subsidiar eventuais considerações acerca da classificação estabelecida, apresenta-se uma tabela com a listagem das unidades, segundo a divisão adotada nesta pesquisa.</w:t>
      </w:r>
    </w:p>
    <w:p w14:paraId="4D47BDF9" w14:textId="46EDA0D5" w:rsidR="003F6A5E" w:rsidRDefault="00CC67AF" w:rsidP="001C6456">
      <w:pPr>
        <w:pStyle w:val="Texto"/>
      </w:pPr>
      <w:r>
        <w:t>Este estudo reconhece</w:t>
      </w:r>
      <w:r w:rsidR="00052925">
        <w:t xml:space="preserve"> o </w:t>
      </w:r>
      <w:r>
        <w:t>elevado grau de complexidade</w:t>
      </w:r>
      <w:r w:rsidR="00052925">
        <w:t xml:space="preserve"> dessa diferenciação</w:t>
      </w:r>
      <w:r>
        <w:t xml:space="preserve">, em virtude da interdependência entre </w:t>
      </w:r>
      <w:r w:rsidR="00052925">
        <w:t xml:space="preserve">as </w:t>
      </w:r>
      <w:r>
        <w:t xml:space="preserve">áreas, da existência de atividades de caráter híbrido e da ausência de delimitações precisas. </w:t>
      </w:r>
      <w:r w:rsidR="00052925">
        <w:t xml:space="preserve">Uma análise mais aprofundada das atribuições dos cargos não pôde ser feita no âmbito desta pesquisa. Sua </w:t>
      </w:r>
      <w:r w:rsidR="004B75C4">
        <w:t xml:space="preserve">adequada operacionalização </w:t>
      </w:r>
      <w:r w:rsidR="00F111DC">
        <w:t>demandaria</w:t>
      </w:r>
      <w:r w:rsidR="004B75C4">
        <w:t xml:space="preserve"> análise documental de normativ</w:t>
      </w:r>
      <w:r w:rsidR="00F111DC">
        <w:t xml:space="preserve">os internos, entrevistas e </w:t>
      </w:r>
      <w:r w:rsidR="004B75C4">
        <w:t>o</w:t>
      </w:r>
      <w:r w:rsidR="00F111DC">
        <w:t>bservação direta das atividades</w:t>
      </w:r>
      <w:r w:rsidR="001E61A4">
        <w:t xml:space="preserve">, </w:t>
      </w:r>
      <w:r w:rsidR="00F111DC">
        <w:t>abordagem recomendada</w:t>
      </w:r>
      <w:r w:rsidR="00126AD4">
        <w:t xml:space="preserve"> para </w:t>
      </w:r>
      <w:r w:rsidR="00F111DC">
        <w:t xml:space="preserve">pesquisas futuras que </w:t>
      </w:r>
      <w:r w:rsidR="00052925">
        <w:t>busquem</w:t>
      </w:r>
      <w:r w:rsidR="00F111DC">
        <w:t xml:space="preserve"> aprofundar</w:t>
      </w:r>
      <w:r w:rsidR="00126AD4">
        <w:t xml:space="preserve"> o estudo sobre a participação feminina no </w:t>
      </w:r>
      <w:r w:rsidR="00881C43">
        <w:t>Tribunal.</w:t>
      </w:r>
      <w:r w:rsidR="004B75C4">
        <w:t xml:space="preserve"> </w:t>
      </w:r>
      <w:r w:rsidR="00052925">
        <w:t>A</w:t>
      </w:r>
      <w:r w:rsidR="00F111DC">
        <w:t>ssim,</w:t>
      </w:r>
      <w:r w:rsidR="00052925">
        <w:t xml:space="preserve"> a </w:t>
      </w:r>
      <w:r w:rsidR="003F6A5E">
        <w:t>Tabela 8</w:t>
      </w:r>
      <w:r w:rsidR="00F111DC">
        <w:t xml:space="preserve"> </w:t>
      </w:r>
      <w:r w:rsidR="00052925">
        <w:t xml:space="preserve">apresenta </w:t>
      </w:r>
      <w:r w:rsidR="00F111DC">
        <w:t>uma classificação</w:t>
      </w:r>
      <w:r w:rsidR="001A5250">
        <w:rPr>
          <w:rStyle w:val="Refdenotaderodap"/>
        </w:rPr>
        <w:footnoteReference w:id="47"/>
      </w:r>
      <w:r w:rsidR="00F111DC">
        <w:t xml:space="preserve"> inicial, passível de revisão futura mediante </w:t>
      </w:r>
      <w:r w:rsidR="003F6A5E">
        <w:t>investigaç</w:t>
      </w:r>
      <w:r w:rsidR="00052925">
        <w:t>ões</w:t>
      </w:r>
      <w:r w:rsidR="00F111DC">
        <w:t xml:space="preserve"> mais a</w:t>
      </w:r>
      <w:r w:rsidR="00052925">
        <w:t>brangentes</w:t>
      </w:r>
      <w:r w:rsidR="00F111DC">
        <w:t>.</w:t>
      </w:r>
      <w:r w:rsidR="003A33FC">
        <w:t xml:space="preserve"> </w:t>
      </w:r>
    </w:p>
    <w:p w14:paraId="2C9C9296" w14:textId="77777777" w:rsidR="001A5250" w:rsidRPr="000807BC" w:rsidRDefault="001A5250" w:rsidP="001C6456">
      <w:pPr>
        <w:pStyle w:val="Texto"/>
        <w:rPr>
          <w:sz w:val="16"/>
        </w:rPr>
      </w:pPr>
    </w:p>
    <w:p w14:paraId="5BE9B94C" w14:textId="3F422440" w:rsidR="003F6A5E" w:rsidRDefault="00CC4796" w:rsidP="00FB5A95">
      <w:pPr>
        <w:pStyle w:val="TtulodaTabela"/>
      </w:pPr>
      <w:bookmarkStart w:id="61" w:name="_Toc208510779"/>
      <w:r>
        <w:t xml:space="preserve">Tabela </w:t>
      </w:r>
      <w:r>
        <w:fldChar w:fldCharType="begin"/>
      </w:r>
      <w:r>
        <w:instrText xml:space="preserve"> SEQ Tabela \* ARABIC </w:instrText>
      </w:r>
      <w:r>
        <w:fldChar w:fldCharType="separate"/>
      </w:r>
      <w:r w:rsidR="00D85D1E">
        <w:t>8</w:t>
      </w:r>
      <w:r>
        <w:fldChar w:fldCharType="end"/>
      </w:r>
      <w:r>
        <w:t xml:space="preserve"> - </w:t>
      </w:r>
      <w:r w:rsidRPr="006C697F">
        <w:t>Classificação das unidades do TST segundo a natureza das atividades</w:t>
      </w:r>
      <w:bookmarkEnd w:id="61"/>
    </w:p>
    <w:tbl>
      <w:tblPr>
        <w:tblW w:w="5000" w:type="pct"/>
        <w:tblCellMar>
          <w:left w:w="28" w:type="dxa"/>
          <w:right w:w="0" w:type="dxa"/>
        </w:tblCellMar>
        <w:tblLook w:val="04A0" w:firstRow="1" w:lastRow="0" w:firstColumn="1" w:lastColumn="0" w:noHBand="0" w:noVBand="1"/>
      </w:tblPr>
      <w:tblGrid>
        <w:gridCol w:w="1527"/>
        <w:gridCol w:w="4277"/>
        <w:gridCol w:w="3925"/>
      </w:tblGrid>
      <w:tr w:rsidR="00CF7A9F" w:rsidRPr="000807BC" w14:paraId="27EDD805" w14:textId="77777777" w:rsidTr="000807BC">
        <w:trPr>
          <w:cantSplit/>
          <w:trHeight w:val="340"/>
        </w:trPr>
        <w:tc>
          <w:tcPr>
            <w:tcW w:w="785" w:type="pct"/>
            <w:tcBorders>
              <w:top w:val="single" w:sz="6" w:space="0" w:color="CCCCCC"/>
              <w:left w:val="single" w:sz="6" w:space="0" w:color="CCCCCC"/>
              <w:bottom w:val="single" w:sz="6" w:space="0" w:color="CCCCCC"/>
              <w:right w:val="single" w:sz="6" w:space="0" w:color="CCCCCC"/>
            </w:tcBorders>
            <w:shd w:val="clear" w:color="auto" w:fill="999999"/>
            <w:tcMar>
              <w:top w:w="0" w:type="dxa"/>
              <w:left w:w="45" w:type="dxa"/>
              <w:bottom w:w="0" w:type="dxa"/>
              <w:right w:w="45" w:type="dxa"/>
            </w:tcMar>
            <w:vAlign w:val="center"/>
            <w:hideMark/>
          </w:tcPr>
          <w:p w14:paraId="48AF75BB" w14:textId="77777777" w:rsidR="00CF7A9F" w:rsidRPr="000807BC" w:rsidRDefault="00CF7A9F" w:rsidP="000807BC">
            <w:pPr>
              <w:jc w:val="center"/>
              <w:rPr>
                <w:rFonts w:asciiTheme="minorHAnsi" w:hAnsiTheme="minorHAnsi" w:cstheme="minorHAnsi"/>
                <w:b/>
                <w:bCs/>
                <w:sz w:val="20"/>
                <w:szCs w:val="20"/>
              </w:rPr>
            </w:pPr>
            <w:r w:rsidRPr="000807BC">
              <w:rPr>
                <w:rFonts w:asciiTheme="minorHAnsi" w:hAnsiTheme="minorHAnsi" w:cstheme="minorHAnsi"/>
                <w:b/>
                <w:bCs/>
                <w:sz w:val="20"/>
                <w:szCs w:val="20"/>
              </w:rPr>
              <w:t>Unidade</w:t>
            </w:r>
          </w:p>
        </w:tc>
        <w:tc>
          <w:tcPr>
            <w:tcW w:w="2198" w:type="pct"/>
            <w:tcBorders>
              <w:top w:val="single" w:sz="6" w:space="0" w:color="CCCCCC"/>
              <w:left w:val="single" w:sz="6" w:space="0" w:color="CCCCCC"/>
              <w:bottom w:val="single" w:sz="6" w:space="0" w:color="CCCCCC"/>
              <w:right w:val="single" w:sz="6" w:space="0" w:color="CCCCCC"/>
            </w:tcBorders>
            <w:shd w:val="clear" w:color="auto" w:fill="999999"/>
            <w:tcMar>
              <w:top w:w="0" w:type="dxa"/>
              <w:left w:w="45" w:type="dxa"/>
              <w:bottom w:w="0" w:type="dxa"/>
              <w:right w:w="45" w:type="dxa"/>
            </w:tcMar>
            <w:vAlign w:val="center"/>
            <w:hideMark/>
          </w:tcPr>
          <w:p w14:paraId="0E44742F" w14:textId="19F6208A" w:rsidR="00CF7A9F" w:rsidRPr="000807BC" w:rsidRDefault="00E828AA" w:rsidP="000807BC">
            <w:pPr>
              <w:jc w:val="center"/>
              <w:rPr>
                <w:rFonts w:asciiTheme="minorHAnsi" w:hAnsiTheme="minorHAnsi" w:cstheme="minorHAnsi"/>
                <w:b/>
                <w:bCs/>
                <w:sz w:val="20"/>
                <w:szCs w:val="20"/>
              </w:rPr>
            </w:pPr>
            <w:r w:rsidRPr="000807BC">
              <w:rPr>
                <w:rFonts w:asciiTheme="minorHAnsi" w:hAnsiTheme="minorHAnsi" w:cstheme="minorHAnsi"/>
                <w:b/>
                <w:bCs/>
                <w:sz w:val="20"/>
                <w:szCs w:val="20"/>
              </w:rPr>
              <w:t>Área Judiciária</w:t>
            </w:r>
          </w:p>
        </w:tc>
        <w:tc>
          <w:tcPr>
            <w:tcW w:w="2017" w:type="pct"/>
            <w:tcBorders>
              <w:top w:val="single" w:sz="6" w:space="0" w:color="CCCCCC"/>
              <w:left w:val="single" w:sz="6" w:space="0" w:color="CCCCCC"/>
              <w:bottom w:val="single" w:sz="6" w:space="0" w:color="CCCCCC"/>
              <w:right w:val="single" w:sz="6" w:space="0" w:color="CCCCCC"/>
            </w:tcBorders>
            <w:shd w:val="clear" w:color="auto" w:fill="999999"/>
            <w:tcMar>
              <w:top w:w="0" w:type="dxa"/>
              <w:left w:w="45" w:type="dxa"/>
              <w:bottom w:w="0" w:type="dxa"/>
              <w:right w:w="45" w:type="dxa"/>
            </w:tcMar>
            <w:vAlign w:val="center"/>
            <w:hideMark/>
          </w:tcPr>
          <w:p w14:paraId="7329DC1A" w14:textId="37D56ADA" w:rsidR="00CF7A9F" w:rsidRPr="000807BC" w:rsidRDefault="00E828AA" w:rsidP="000807BC">
            <w:pPr>
              <w:jc w:val="center"/>
              <w:rPr>
                <w:rFonts w:asciiTheme="minorHAnsi" w:hAnsiTheme="minorHAnsi" w:cstheme="minorHAnsi"/>
                <w:b/>
                <w:bCs/>
                <w:sz w:val="20"/>
                <w:szCs w:val="20"/>
              </w:rPr>
            </w:pPr>
            <w:r w:rsidRPr="000807BC">
              <w:rPr>
                <w:rFonts w:asciiTheme="minorHAnsi" w:hAnsiTheme="minorHAnsi" w:cstheme="minorHAnsi"/>
                <w:b/>
                <w:bCs/>
                <w:sz w:val="20"/>
                <w:szCs w:val="20"/>
              </w:rPr>
              <w:t>Área Administrativa</w:t>
            </w:r>
          </w:p>
        </w:tc>
      </w:tr>
      <w:tr w:rsidR="00CF7A9F" w:rsidRPr="000807BC" w14:paraId="33FDC396" w14:textId="77777777" w:rsidTr="000807BC">
        <w:trPr>
          <w:cantSplit/>
          <w:trHeight w:val="340"/>
        </w:trPr>
        <w:tc>
          <w:tcPr>
            <w:tcW w:w="785" w:type="pct"/>
            <w:vMerge w:val="restar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84F3FB" w14:textId="77777777" w:rsidR="00CF7A9F" w:rsidRPr="000807BC" w:rsidRDefault="00CF7A9F" w:rsidP="000807BC">
            <w:pPr>
              <w:rPr>
                <w:rFonts w:asciiTheme="minorHAnsi" w:hAnsiTheme="minorHAnsi" w:cstheme="minorHAnsi"/>
                <w:b/>
                <w:sz w:val="20"/>
                <w:szCs w:val="20"/>
              </w:rPr>
            </w:pPr>
            <w:r w:rsidRPr="000807BC">
              <w:rPr>
                <w:rFonts w:asciiTheme="minorHAnsi" w:hAnsiTheme="minorHAnsi" w:cstheme="minorHAnsi"/>
                <w:b/>
                <w:sz w:val="20"/>
                <w:szCs w:val="20"/>
              </w:rPr>
              <w:t>Secretarias</w:t>
            </w:r>
          </w:p>
        </w:tc>
        <w:tc>
          <w:tcPr>
            <w:tcW w:w="2198" w:type="pct"/>
            <w:tcBorders>
              <w:top w:val="single" w:sz="6" w:space="0" w:color="CCCCCC"/>
              <w:left w:val="single" w:sz="6" w:space="0" w:color="CCCCCC"/>
              <w:right w:val="single" w:sz="6" w:space="0" w:color="CCCCCC"/>
            </w:tcBorders>
            <w:tcMar>
              <w:top w:w="0" w:type="dxa"/>
              <w:left w:w="45" w:type="dxa"/>
              <w:bottom w:w="0" w:type="dxa"/>
              <w:right w:w="45" w:type="dxa"/>
            </w:tcMar>
            <w:vAlign w:val="center"/>
            <w:hideMark/>
          </w:tcPr>
          <w:p w14:paraId="0990DEEB"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1ª Turma - SETR1</w:t>
            </w:r>
          </w:p>
        </w:tc>
        <w:tc>
          <w:tcPr>
            <w:tcW w:w="2017" w:type="pct"/>
            <w:tcBorders>
              <w:top w:val="single" w:sz="6" w:space="0" w:color="CCCCCC"/>
              <w:left w:val="single" w:sz="6" w:space="0" w:color="CCCCCC"/>
              <w:right w:val="single" w:sz="6" w:space="0" w:color="CCCCCC"/>
            </w:tcBorders>
            <w:vAlign w:val="center"/>
            <w:hideMark/>
          </w:tcPr>
          <w:p w14:paraId="15C4A515"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de Administração - SEA</w:t>
            </w:r>
          </w:p>
        </w:tc>
      </w:tr>
      <w:tr w:rsidR="00CF7A9F" w:rsidRPr="000807BC" w14:paraId="470DFAA3"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29452ABC"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5D852E95"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2ª Turma - SETR2</w:t>
            </w:r>
          </w:p>
        </w:tc>
        <w:tc>
          <w:tcPr>
            <w:tcW w:w="2017" w:type="pct"/>
            <w:tcBorders>
              <w:left w:val="single" w:sz="6" w:space="0" w:color="CCCCCC"/>
              <w:right w:val="single" w:sz="6" w:space="0" w:color="CCCCCC"/>
            </w:tcBorders>
            <w:tcMar>
              <w:top w:w="0" w:type="dxa"/>
              <w:left w:w="45" w:type="dxa"/>
              <w:bottom w:w="0" w:type="dxa"/>
              <w:right w:w="45" w:type="dxa"/>
            </w:tcMar>
            <w:vAlign w:val="center"/>
            <w:hideMark/>
          </w:tcPr>
          <w:p w14:paraId="5959047C" w14:textId="19922218"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Auditoria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SEAUD</w:t>
            </w:r>
          </w:p>
        </w:tc>
      </w:tr>
      <w:tr w:rsidR="00CF7A9F" w:rsidRPr="000807BC" w14:paraId="03FE8EFF"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7E552723"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23CB6772"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3ª Turma - SETR3</w:t>
            </w:r>
          </w:p>
        </w:tc>
        <w:tc>
          <w:tcPr>
            <w:tcW w:w="2017" w:type="pct"/>
            <w:tcBorders>
              <w:left w:val="single" w:sz="6" w:space="0" w:color="CCCCCC"/>
              <w:right w:val="single" w:sz="6" w:space="0" w:color="CCCCCC"/>
            </w:tcBorders>
            <w:vAlign w:val="center"/>
            <w:hideMark/>
          </w:tcPr>
          <w:p w14:paraId="4D4C524F" w14:textId="10D55428"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Comunicação Social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SECOM</w:t>
            </w:r>
          </w:p>
        </w:tc>
      </w:tr>
      <w:tr w:rsidR="00CF7A9F" w:rsidRPr="000807BC" w14:paraId="5E298B19"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57C08E7F"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11279161"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4ª Turma - SETR4</w:t>
            </w:r>
          </w:p>
        </w:tc>
        <w:tc>
          <w:tcPr>
            <w:tcW w:w="2017" w:type="pct"/>
            <w:tcBorders>
              <w:left w:val="single" w:sz="6" w:space="0" w:color="CCCCCC"/>
              <w:right w:val="single" w:sz="6" w:space="0" w:color="CCCCCC"/>
            </w:tcBorders>
            <w:vAlign w:val="center"/>
            <w:hideMark/>
          </w:tcPr>
          <w:p w14:paraId="3600F7A7" w14:textId="3F6755E8"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Gestão de Pessoas </w:t>
            </w:r>
            <w:r w:rsidR="001E61A4" w:rsidRPr="000807BC">
              <w:rPr>
                <w:rFonts w:asciiTheme="minorHAnsi" w:hAnsiTheme="minorHAnsi" w:cstheme="minorHAnsi"/>
                <w:sz w:val="20"/>
                <w:szCs w:val="20"/>
              </w:rPr>
              <w:t>–</w:t>
            </w:r>
            <w:r w:rsidRPr="000807BC">
              <w:rPr>
                <w:rFonts w:asciiTheme="minorHAnsi" w:hAnsiTheme="minorHAnsi" w:cstheme="minorHAnsi"/>
                <w:sz w:val="20"/>
                <w:szCs w:val="20"/>
              </w:rPr>
              <w:t xml:space="preserve"> SEGPES</w:t>
            </w:r>
          </w:p>
        </w:tc>
      </w:tr>
      <w:tr w:rsidR="00CF7A9F" w:rsidRPr="000807BC" w14:paraId="73855405"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7ACA1838"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361009E4"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5ª Turma - SETR5</w:t>
            </w:r>
          </w:p>
        </w:tc>
        <w:tc>
          <w:tcPr>
            <w:tcW w:w="2017" w:type="pct"/>
            <w:tcBorders>
              <w:left w:val="single" w:sz="6" w:space="0" w:color="CCCCCC"/>
              <w:right w:val="single" w:sz="6" w:space="0" w:color="CCCCCC"/>
            </w:tcBorders>
            <w:vAlign w:val="center"/>
            <w:hideMark/>
          </w:tcPr>
          <w:p w14:paraId="205838BC"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de Pesquisa Judiciária, Estatística e Ciência de Dados - SEPJD</w:t>
            </w:r>
          </w:p>
        </w:tc>
      </w:tr>
      <w:tr w:rsidR="00CF7A9F" w:rsidRPr="000807BC" w14:paraId="266B155A"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5CF527D8"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44067631"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6ª Turma - SETR6</w:t>
            </w:r>
          </w:p>
        </w:tc>
        <w:tc>
          <w:tcPr>
            <w:tcW w:w="2017" w:type="pct"/>
            <w:tcBorders>
              <w:left w:val="single" w:sz="6" w:space="0" w:color="CCCCCC"/>
              <w:right w:val="single" w:sz="6" w:space="0" w:color="CCCCCC"/>
            </w:tcBorders>
            <w:tcMar>
              <w:top w:w="0" w:type="dxa"/>
              <w:left w:w="45" w:type="dxa"/>
              <w:bottom w:w="0" w:type="dxa"/>
              <w:right w:w="45" w:type="dxa"/>
            </w:tcMar>
            <w:vAlign w:val="center"/>
            <w:hideMark/>
          </w:tcPr>
          <w:p w14:paraId="46F0FEC8"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de Saúde - SESAUD</w:t>
            </w:r>
          </w:p>
        </w:tc>
      </w:tr>
      <w:tr w:rsidR="00CF7A9F" w:rsidRPr="000807BC" w14:paraId="359DF1C1"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751ED73D"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3B342C2E"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7ª Turma - SETR7</w:t>
            </w:r>
          </w:p>
        </w:tc>
        <w:tc>
          <w:tcPr>
            <w:tcW w:w="2017" w:type="pct"/>
            <w:tcBorders>
              <w:left w:val="single" w:sz="6" w:space="0" w:color="CCCCCC"/>
              <w:right w:val="single" w:sz="6" w:space="0" w:color="CCCCCC"/>
            </w:tcBorders>
            <w:tcMar>
              <w:top w:w="0" w:type="dxa"/>
              <w:left w:w="45" w:type="dxa"/>
              <w:bottom w:w="0" w:type="dxa"/>
              <w:right w:w="45" w:type="dxa"/>
            </w:tcMar>
            <w:vAlign w:val="center"/>
            <w:hideMark/>
          </w:tcPr>
          <w:p w14:paraId="5B8FC5A3"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de Segurança - SES</w:t>
            </w:r>
          </w:p>
        </w:tc>
      </w:tr>
      <w:tr w:rsidR="00CF7A9F" w:rsidRPr="000807BC" w14:paraId="225FE3B2"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07505667"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300F665D"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8ª Turma - SETR8</w:t>
            </w:r>
          </w:p>
        </w:tc>
        <w:tc>
          <w:tcPr>
            <w:tcW w:w="2017" w:type="pct"/>
            <w:tcBorders>
              <w:left w:val="single" w:sz="6" w:space="0" w:color="CCCCCC"/>
              <w:right w:val="single" w:sz="6" w:space="0" w:color="CCCCCC"/>
            </w:tcBorders>
            <w:vAlign w:val="center"/>
            <w:hideMark/>
          </w:tcPr>
          <w:p w14:paraId="59D6D96C" w14:textId="1D13D661"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Tecnologia da Informação e Comunicação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SETIN</w:t>
            </w:r>
          </w:p>
        </w:tc>
      </w:tr>
      <w:tr w:rsidR="00CF7A9F" w:rsidRPr="000807BC" w14:paraId="47F159F5"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53AEE6E0"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77DBF697"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Subseção I Especializada em Dissídios Individuais - SESDI1</w:t>
            </w:r>
          </w:p>
        </w:tc>
        <w:tc>
          <w:tcPr>
            <w:tcW w:w="2017" w:type="pct"/>
            <w:tcBorders>
              <w:left w:val="single" w:sz="6" w:space="0" w:color="CCCCCC"/>
              <w:right w:val="single" w:sz="6" w:space="0" w:color="CCCCCC"/>
            </w:tcBorders>
            <w:tcMar>
              <w:top w:w="0" w:type="dxa"/>
              <w:left w:w="45" w:type="dxa"/>
              <w:bottom w:w="0" w:type="dxa"/>
              <w:right w:w="45" w:type="dxa"/>
            </w:tcMar>
            <w:vAlign w:val="center"/>
            <w:hideMark/>
          </w:tcPr>
          <w:p w14:paraId="4C8FE92E" w14:textId="77777777" w:rsidR="00CF7A9F" w:rsidRPr="000807BC" w:rsidRDefault="00CF7A9F" w:rsidP="000807BC">
            <w:pPr>
              <w:rPr>
                <w:rFonts w:asciiTheme="minorHAnsi" w:hAnsiTheme="minorHAnsi" w:cstheme="minorHAnsi"/>
                <w:sz w:val="20"/>
                <w:szCs w:val="20"/>
              </w:rPr>
            </w:pPr>
          </w:p>
        </w:tc>
      </w:tr>
      <w:tr w:rsidR="00CF7A9F" w:rsidRPr="000807BC" w14:paraId="1B28A095"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1114FA74"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6CD8DD93"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Subseção II Especializada em Dissídios Individuais - SESDI2</w:t>
            </w:r>
          </w:p>
        </w:tc>
        <w:tc>
          <w:tcPr>
            <w:tcW w:w="2017" w:type="pct"/>
            <w:tcBorders>
              <w:left w:val="single" w:sz="6" w:space="0" w:color="CCCCCC"/>
              <w:right w:val="single" w:sz="6" w:space="0" w:color="CCCCCC"/>
            </w:tcBorders>
            <w:tcMar>
              <w:top w:w="0" w:type="dxa"/>
              <w:left w:w="45" w:type="dxa"/>
              <w:bottom w:w="0" w:type="dxa"/>
              <w:right w:w="45" w:type="dxa"/>
            </w:tcMar>
            <w:vAlign w:val="center"/>
            <w:hideMark/>
          </w:tcPr>
          <w:p w14:paraId="56B93B66" w14:textId="77777777" w:rsidR="00CF7A9F" w:rsidRPr="000807BC" w:rsidRDefault="00CF7A9F" w:rsidP="000807BC">
            <w:pPr>
              <w:rPr>
                <w:rFonts w:asciiTheme="minorHAnsi" w:hAnsiTheme="minorHAnsi" w:cstheme="minorHAnsi"/>
                <w:sz w:val="20"/>
                <w:szCs w:val="20"/>
              </w:rPr>
            </w:pPr>
          </w:p>
        </w:tc>
      </w:tr>
      <w:tr w:rsidR="00CF7A9F" w:rsidRPr="000807BC" w14:paraId="596B7D71"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00A53685"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5D293D3E" w14:textId="7FF1DED1"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da Vice-Presidência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SEGVP</w:t>
            </w:r>
          </w:p>
        </w:tc>
        <w:tc>
          <w:tcPr>
            <w:tcW w:w="2017" w:type="pct"/>
            <w:tcBorders>
              <w:left w:val="single" w:sz="6" w:space="0" w:color="CCCCCC"/>
              <w:right w:val="single" w:sz="6" w:space="0" w:color="CCCCCC"/>
            </w:tcBorders>
            <w:tcMar>
              <w:top w:w="0" w:type="dxa"/>
              <w:left w:w="45" w:type="dxa"/>
              <w:bottom w:w="0" w:type="dxa"/>
              <w:right w:w="45" w:type="dxa"/>
            </w:tcMar>
            <w:vAlign w:val="center"/>
            <w:hideMark/>
          </w:tcPr>
          <w:p w14:paraId="121F64D2" w14:textId="77777777" w:rsidR="00CF7A9F" w:rsidRPr="000807BC" w:rsidRDefault="00CF7A9F" w:rsidP="000807BC">
            <w:pPr>
              <w:rPr>
                <w:rFonts w:asciiTheme="minorHAnsi" w:hAnsiTheme="minorHAnsi" w:cstheme="minorHAnsi"/>
                <w:sz w:val="20"/>
                <w:szCs w:val="20"/>
              </w:rPr>
            </w:pPr>
          </w:p>
        </w:tc>
      </w:tr>
      <w:tr w:rsidR="00CF7A9F" w:rsidRPr="000807BC" w14:paraId="4E856546"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0BB837E3"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3544BF28" w14:textId="78F2D19D"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Admissibilidade de Recursos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SEAR</w:t>
            </w:r>
          </w:p>
        </w:tc>
        <w:tc>
          <w:tcPr>
            <w:tcW w:w="2017" w:type="pct"/>
            <w:tcBorders>
              <w:left w:val="single" w:sz="6" w:space="0" w:color="CCCCCC"/>
              <w:right w:val="single" w:sz="6" w:space="0" w:color="CCCCCC"/>
            </w:tcBorders>
            <w:tcMar>
              <w:top w:w="0" w:type="dxa"/>
              <w:left w:w="45" w:type="dxa"/>
              <w:bottom w:w="0" w:type="dxa"/>
              <w:right w:w="45" w:type="dxa"/>
            </w:tcMar>
            <w:vAlign w:val="center"/>
            <w:hideMark/>
          </w:tcPr>
          <w:p w14:paraId="29662425" w14:textId="77777777" w:rsidR="00CF7A9F" w:rsidRPr="000807BC" w:rsidRDefault="00CF7A9F" w:rsidP="000807BC">
            <w:pPr>
              <w:rPr>
                <w:rFonts w:asciiTheme="minorHAnsi" w:hAnsiTheme="minorHAnsi" w:cstheme="minorHAnsi"/>
                <w:sz w:val="20"/>
                <w:szCs w:val="20"/>
              </w:rPr>
            </w:pPr>
          </w:p>
        </w:tc>
      </w:tr>
      <w:tr w:rsidR="00CF7A9F" w:rsidRPr="000807BC" w14:paraId="1257AAF6"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6E8B135B"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68727D99"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de Gestão de Precedentes - SPR</w:t>
            </w:r>
          </w:p>
        </w:tc>
        <w:tc>
          <w:tcPr>
            <w:tcW w:w="2017" w:type="pct"/>
            <w:tcBorders>
              <w:left w:val="single" w:sz="6" w:space="0" w:color="CCCCCC"/>
              <w:right w:val="single" w:sz="6" w:space="0" w:color="CCCCCC"/>
            </w:tcBorders>
            <w:tcMar>
              <w:top w:w="0" w:type="dxa"/>
              <w:left w:w="45" w:type="dxa"/>
              <w:bottom w:w="0" w:type="dxa"/>
              <w:right w:w="45" w:type="dxa"/>
            </w:tcMar>
            <w:vAlign w:val="center"/>
            <w:hideMark/>
          </w:tcPr>
          <w:p w14:paraId="0B4933DF" w14:textId="77777777" w:rsidR="00CF7A9F" w:rsidRPr="000807BC" w:rsidRDefault="00CF7A9F" w:rsidP="000807BC">
            <w:pPr>
              <w:rPr>
                <w:rFonts w:asciiTheme="minorHAnsi" w:hAnsiTheme="minorHAnsi" w:cstheme="minorHAnsi"/>
                <w:sz w:val="20"/>
                <w:szCs w:val="20"/>
              </w:rPr>
            </w:pPr>
          </w:p>
        </w:tc>
      </w:tr>
      <w:tr w:rsidR="00CF7A9F" w:rsidRPr="000807BC" w14:paraId="67751EAF"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484654A4"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D29F709" w14:textId="33F734D3"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Processamento de Recursos Extraordinários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SEPREX</w:t>
            </w:r>
          </w:p>
        </w:tc>
        <w:tc>
          <w:tcPr>
            <w:tcW w:w="2017" w:type="pct"/>
            <w:tcBorders>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DF6FDD8" w14:textId="77777777" w:rsidR="00CF7A9F" w:rsidRPr="000807BC" w:rsidRDefault="00CF7A9F" w:rsidP="000807BC">
            <w:pPr>
              <w:rPr>
                <w:rFonts w:asciiTheme="minorHAnsi" w:hAnsiTheme="minorHAnsi" w:cstheme="minorHAnsi"/>
                <w:sz w:val="20"/>
                <w:szCs w:val="20"/>
              </w:rPr>
            </w:pPr>
          </w:p>
        </w:tc>
      </w:tr>
      <w:tr w:rsidR="00CF7A9F" w:rsidRPr="000807BC" w14:paraId="08BDD748" w14:textId="77777777" w:rsidTr="000807BC">
        <w:trPr>
          <w:cantSplit/>
          <w:trHeight w:val="340"/>
        </w:trPr>
        <w:tc>
          <w:tcPr>
            <w:tcW w:w="785" w:type="pct"/>
            <w:vMerge w:val="restar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32709E7" w14:textId="77777777" w:rsidR="00CF7A9F" w:rsidRPr="000807BC" w:rsidRDefault="00CF7A9F" w:rsidP="000807BC">
            <w:pPr>
              <w:rPr>
                <w:rFonts w:asciiTheme="minorHAnsi" w:hAnsiTheme="minorHAnsi" w:cstheme="minorHAnsi"/>
                <w:b/>
                <w:sz w:val="20"/>
                <w:szCs w:val="20"/>
              </w:rPr>
            </w:pPr>
            <w:r w:rsidRPr="000807BC">
              <w:rPr>
                <w:rFonts w:asciiTheme="minorHAnsi" w:hAnsiTheme="minorHAnsi" w:cstheme="minorHAnsi"/>
                <w:b/>
                <w:sz w:val="20"/>
                <w:szCs w:val="20"/>
              </w:rPr>
              <w:t>Coordenadorias</w:t>
            </w:r>
          </w:p>
        </w:tc>
        <w:tc>
          <w:tcPr>
            <w:tcW w:w="2198" w:type="pct"/>
            <w:tcBorders>
              <w:top w:val="single" w:sz="6" w:space="0" w:color="CCCCCC"/>
              <w:left w:val="single" w:sz="6" w:space="0" w:color="CCCCCC"/>
              <w:right w:val="single" w:sz="6" w:space="0" w:color="CCCCCC"/>
            </w:tcBorders>
            <w:tcMar>
              <w:top w:w="0" w:type="dxa"/>
              <w:left w:w="45" w:type="dxa"/>
              <w:bottom w:w="0" w:type="dxa"/>
              <w:right w:w="45" w:type="dxa"/>
            </w:tcMar>
            <w:vAlign w:val="center"/>
            <w:hideMark/>
          </w:tcPr>
          <w:p w14:paraId="5BB38CBA" w14:textId="0D639965"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Cadastramento Processual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CCP</w:t>
            </w:r>
          </w:p>
        </w:tc>
        <w:tc>
          <w:tcPr>
            <w:tcW w:w="2017" w:type="pct"/>
            <w:tcBorders>
              <w:top w:val="single" w:sz="6" w:space="0" w:color="CCCCCC"/>
              <w:left w:val="single" w:sz="6" w:space="0" w:color="CCCCCC"/>
              <w:right w:val="single" w:sz="6" w:space="0" w:color="CCCCCC"/>
            </w:tcBorders>
            <w:vAlign w:val="center"/>
            <w:hideMark/>
          </w:tcPr>
          <w:p w14:paraId="122AA30D" w14:textId="24DBF541"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Apoio Administrativo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CAAD</w:t>
            </w:r>
          </w:p>
        </w:tc>
      </w:tr>
      <w:tr w:rsidR="00CF7A9F" w:rsidRPr="000807BC" w14:paraId="2392F430"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75F8A96A"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5F88338E" w14:textId="2EA45EAC"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Classificação, Autuação e Distribuição de Processos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CCADP</w:t>
            </w:r>
          </w:p>
        </w:tc>
        <w:tc>
          <w:tcPr>
            <w:tcW w:w="2017" w:type="pct"/>
            <w:tcBorders>
              <w:left w:val="single" w:sz="6" w:space="0" w:color="CCCCCC"/>
              <w:right w:val="single" w:sz="6" w:space="0" w:color="CCCCCC"/>
            </w:tcBorders>
            <w:vAlign w:val="center"/>
            <w:hideMark/>
          </w:tcPr>
          <w:p w14:paraId="072EA595" w14:textId="6A464359"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Auditoria de Gestão Administrativa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CAUGE</w:t>
            </w:r>
          </w:p>
        </w:tc>
      </w:tr>
      <w:tr w:rsidR="00CF7A9F" w:rsidRPr="000807BC" w14:paraId="2F25FF79"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57AE8B9C"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5E2EC606" w14:textId="4A8F5B4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Documentação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CDOC</w:t>
            </w:r>
          </w:p>
        </w:tc>
        <w:tc>
          <w:tcPr>
            <w:tcW w:w="2017" w:type="pct"/>
            <w:tcBorders>
              <w:left w:val="single" w:sz="6" w:space="0" w:color="CCCCCC"/>
              <w:right w:val="single" w:sz="6" w:space="0" w:color="CCCCCC"/>
            </w:tcBorders>
            <w:vAlign w:val="center"/>
            <w:hideMark/>
          </w:tcPr>
          <w:p w14:paraId="436FB2AA" w14:textId="2771D0F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Auditoria de Gestão de Pessoal e Benefícios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CAUPE</w:t>
            </w:r>
          </w:p>
        </w:tc>
      </w:tr>
      <w:tr w:rsidR="00CF7A9F" w:rsidRPr="000807BC" w14:paraId="64B5EFD5"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5FC68505"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5DE9F645" w14:textId="3026238F"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Gestão Documental e Memória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CGEDM</w:t>
            </w:r>
          </w:p>
        </w:tc>
        <w:tc>
          <w:tcPr>
            <w:tcW w:w="2017" w:type="pct"/>
            <w:tcBorders>
              <w:left w:val="single" w:sz="6" w:space="0" w:color="CCCCCC"/>
              <w:right w:val="single" w:sz="6" w:space="0" w:color="CCCCCC"/>
            </w:tcBorders>
            <w:vAlign w:val="center"/>
            <w:hideMark/>
          </w:tcPr>
          <w:p w14:paraId="73998CA8" w14:textId="0E2EB76D"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Ciência de Dados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CCID</w:t>
            </w:r>
          </w:p>
        </w:tc>
      </w:tr>
      <w:tr w:rsidR="00CF7A9F" w:rsidRPr="000807BC" w14:paraId="352BCA98"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32BEA050"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5618E00C" w14:textId="35776ED6"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Jurisprudência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CJUR</w:t>
            </w:r>
          </w:p>
        </w:tc>
        <w:tc>
          <w:tcPr>
            <w:tcW w:w="2017" w:type="pct"/>
            <w:tcBorders>
              <w:left w:val="single" w:sz="6" w:space="0" w:color="CCCCCC"/>
              <w:right w:val="single" w:sz="6" w:space="0" w:color="CCCCCC"/>
            </w:tcBorders>
            <w:vAlign w:val="center"/>
            <w:hideMark/>
          </w:tcPr>
          <w:p w14:paraId="1358150A" w14:textId="6E6F8AEA"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Desenvolvimento de Pessoas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CDEP</w:t>
            </w:r>
          </w:p>
        </w:tc>
      </w:tr>
      <w:tr w:rsidR="00CF7A9F" w:rsidRPr="000807BC" w14:paraId="1328E5B3"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6C07F844"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08CC3ABF"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1DF67666" w14:textId="209246DE"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Desenvolvimento de Sistemas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CDS</w:t>
            </w:r>
          </w:p>
        </w:tc>
      </w:tr>
      <w:tr w:rsidR="00CF7A9F" w:rsidRPr="000807BC" w14:paraId="6538C9C8"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2300B1D0"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6CB22B5D"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0A366E79" w14:textId="1D0F5244"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Editoria e Imprensa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CEIM</w:t>
            </w:r>
          </w:p>
        </w:tc>
      </w:tr>
      <w:tr w:rsidR="00CF7A9F" w:rsidRPr="000807BC" w14:paraId="19198B34"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4EA1F5D7"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3661206F"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4726084F"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Estatística - CESTAT</w:t>
            </w:r>
          </w:p>
        </w:tc>
      </w:tr>
      <w:tr w:rsidR="00CF7A9F" w:rsidRPr="000807BC" w14:paraId="15039DAF"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03FE0ED4"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448B92B0"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39874234"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Gestão e Apoio à Fiscalização de Contratos - CGFC</w:t>
            </w:r>
          </w:p>
        </w:tc>
      </w:tr>
      <w:tr w:rsidR="00CF7A9F" w:rsidRPr="000807BC" w14:paraId="1D3A5B34"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46C4FF6A"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0E87723B"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7D360A69" w14:textId="2A5763A6"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Governança e Evolução Digital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CGDIGITAL</w:t>
            </w:r>
          </w:p>
        </w:tc>
      </w:tr>
      <w:tr w:rsidR="00CF7A9F" w:rsidRPr="000807BC" w14:paraId="357A1F10"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62C99382"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6A2CD637"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5522DCB6" w14:textId="2C37223E"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Informações Funcionais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CIF</w:t>
            </w:r>
          </w:p>
        </w:tc>
      </w:tr>
      <w:tr w:rsidR="00CF7A9F" w:rsidRPr="000807BC" w14:paraId="6F1E2BE2"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290686B3"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7A6A4B5A"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5AD9C317" w14:textId="7E8BFD41"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w:t>
            </w:r>
            <w:r w:rsidR="009968FC" w:rsidRPr="000807BC">
              <w:rPr>
                <w:rFonts w:asciiTheme="minorHAnsi" w:hAnsiTheme="minorHAnsi" w:cstheme="minorHAnsi"/>
                <w:sz w:val="20"/>
                <w:szCs w:val="20"/>
              </w:rPr>
              <w:t>Infraestrutura</w:t>
            </w:r>
            <w:r w:rsidRPr="000807BC">
              <w:rPr>
                <w:rFonts w:asciiTheme="minorHAnsi" w:hAnsiTheme="minorHAnsi" w:cstheme="minorHAnsi"/>
                <w:sz w:val="20"/>
                <w:szCs w:val="20"/>
              </w:rPr>
              <w:t xml:space="preserve"> Tecnológica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CITEC</w:t>
            </w:r>
          </w:p>
        </w:tc>
      </w:tr>
      <w:tr w:rsidR="00CF7A9F" w:rsidRPr="000807BC" w14:paraId="283C9F32"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738677D5"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08B01474"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660D532C" w14:textId="4969461B"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Legislação de Pessoal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CLEP</w:t>
            </w:r>
          </w:p>
        </w:tc>
      </w:tr>
      <w:tr w:rsidR="00CF7A9F" w:rsidRPr="000807BC" w14:paraId="5A917A66"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38B3FD55"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6C0A7A3F"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6900B0F4" w14:textId="02A2A154"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Licitações e Contratos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CLCON</w:t>
            </w:r>
          </w:p>
        </w:tc>
      </w:tr>
      <w:tr w:rsidR="00CF7A9F" w:rsidRPr="000807BC" w14:paraId="28ED0D4F"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1A117B44"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2BB29BDF"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7E128E61" w14:textId="72BDB2DD"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Manutenção e Projetos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CMAP</w:t>
            </w:r>
          </w:p>
        </w:tc>
      </w:tr>
      <w:tr w:rsidR="00CF7A9F" w:rsidRPr="000807BC" w14:paraId="6F7229EE"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29246319"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73FA6FED"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69A4B9A0" w14:textId="42567043"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Orçamento e Finanças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COFIN</w:t>
            </w:r>
          </w:p>
        </w:tc>
      </w:tr>
      <w:tr w:rsidR="00CF7A9F" w:rsidRPr="000807BC" w14:paraId="24DB2BB6"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09BF8481"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134AF1B4"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3D2739A4" w14:textId="4DAB0751"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Pesquisa Judiciária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CPJUD</w:t>
            </w:r>
          </w:p>
        </w:tc>
      </w:tr>
      <w:tr w:rsidR="00CF7A9F" w:rsidRPr="000807BC" w14:paraId="22DCC6D0"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0728A483"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3D3BDC54"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3C8058D5" w14:textId="06815ECC"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Polícia Judicial </w:t>
            </w:r>
            <w:r w:rsidR="001E61A4" w:rsidRPr="000807BC">
              <w:rPr>
                <w:rFonts w:asciiTheme="minorHAnsi" w:hAnsiTheme="minorHAnsi" w:cstheme="minorHAnsi"/>
                <w:sz w:val="20"/>
                <w:szCs w:val="20"/>
              </w:rPr>
              <w:t>–</w:t>
            </w:r>
            <w:r w:rsidRPr="000807BC">
              <w:rPr>
                <w:rFonts w:asciiTheme="minorHAnsi" w:hAnsiTheme="minorHAnsi" w:cstheme="minorHAnsi"/>
                <w:sz w:val="20"/>
                <w:szCs w:val="20"/>
              </w:rPr>
              <w:t xml:space="preserve"> CPOL</w:t>
            </w:r>
          </w:p>
        </w:tc>
      </w:tr>
      <w:tr w:rsidR="00CF7A9F" w:rsidRPr="000807BC" w14:paraId="3A1800A6"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0AC3CE77"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14D467DA"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33A0C7A6"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Rádio e TV - CRTV</w:t>
            </w:r>
          </w:p>
        </w:tc>
      </w:tr>
      <w:tr w:rsidR="00CF7A9F" w:rsidRPr="000807BC" w14:paraId="596FEAC4"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45DDB5DF"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6597167C"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70467127" w14:textId="1F9FBC39"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Saúde Complementar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CSAC</w:t>
            </w:r>
          </w:p>
        </w:tc>
      </w:tr>
      <w:tr w:rsidR="00CF7A9F" w:rsidRPr="000807BC" w14:paraId="4DE0AD07"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358E35F3"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2BB86F77"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5D98E6F2" w14:textId="23E1C8F3"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Segurança Cibernética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CSEC</w:t>
            </w:r>
          </w:p>
        </w:tc>
      </w:tr>
      <w:tr w:rsidR="00CF7A9F" w:rsidRPr="000807BC" w14:paraId="7B297B89"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3F5ABA96"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16B4EC8E"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35E3B1D1" w14:textId="5CF7FADE"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Serviços Especiais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CSESP</w:t>
            </w:r>
          </w:p>
        </w:tc>
      </w:tr>
      <w:tr w:rsidR="00CF7A9F" w:rsidRPr="000807BC" w14:paraId="1ACC58C3"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01752418"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05F660CC"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57EC2ECD" w14:textId="6E291F98"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Suporte Técnico aos Usuários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CSUP</w:t>
            </w:r>
          </w:p>
        </w:tc>
      </w:tr>
      <w:tr w:rsidR="00CF7A9F" w:rsidRPr="000807BC" w14:paraId="54C2599B"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2C75EA63"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42AD9E9F"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19AB1E9E" w14:textId="3EED0459"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ENAMAT - Coordenadoria Administrativa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CADM</w:t>
            </w:r>
          </w:p>
        </w:tc>
      </w:tr>
      <w:tr w:rsidR="00CF7A9F" w:rsidRPr="000807BC" w14:paraId="42869DD2"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3EF470B7"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right w:val="single" w:sz="6" w:space="0" w:color="CCCCCC"/>
            </w:tcBorders>
            <w:tcMar>
              <w:top w:w="0" w:type="dxa"/>
              <w:left w:w="45" w:type="dxa"/>
              <w:bottom w:w="0" w:type="dxa"/>
              <w:right w:w="45" w:type="dxa"/>
            </w:tcMar>
            <w:vAlign w:val="center"/>
            <w:hideMark/>
          </w:tcPr>
          <w:p w14:paraId="4294FB6A"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right w:val="single" w:sz="6" w:space="0" w:color="CCCCCC"/>
            </w:tcBorders>
            <w:vAlign w:val="center"/>
            <w:hideMark/>
          </w:tcPr>
          <w:p w14:paraId="687DF0AA" w14:textId="3619654A"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ENAMAT - Coordenadoria de Formação </w:t>
            </w:r>
            <w:r w:rsidR="001A5250" w:rsidRPr="000807BC">
              <w:rPr>
                <w:rFonts w:asciiTheme="minorHAnsi" w:hAnsiTheme="minorHAnsi" w:cstheme="minorHAnsi"/>
                <w:sz w:val="20"/>
                <w:szCs w:val="20"/>
              </w:rPr>
              <w:t>–</w:t>
            </w:r>
            <w:r w:rsidRPr="000807BC">
              <w:rPr>
                <w:rFonts w:asciiTheme="minorHAnsi" w:hAnsiTheme="minorHAnsi" w:cstheme="minorHAnsi"/>
                <w:sz w:val="20"/>
                <w:szCs w:val="20"/>
              </w:rPr>
              <w:t xml:space="preserve"> CFOR</w:t>
            </w:r>
          </w:p>
        </w:tc>
      </w:tr>
      <w:tr w:rsidR="00CF7A9F" w:rsidRPr="000807BC" w14:paraId="369EC0C2" w14:textId="77777777" w:rsidTr="000807BC">
        <w:trPr>
          <w:cantSplit/>
          <w:trHeight w:val="340"/>
        </w:trPr>
        <w:tc>
          <w:tcPr>
            <w:tcW w:w="785" w:type="pct"/>
            <w:vMerge/>
            <w:tcBorders>
              <w:top w:val="single" w:sz="6" w:space="0" w:color="CCCCCC"/>
              <w:left w:val="single" w:sz="6" w:space="0" w:color="CCCCCC"/>
              <w:bottom w:val="single" w:sz="6" w:space="0" w:color="CCCCCC"/>
              <w:right w:val="single" w:sz="6" w:space="0" w:color="CCCCCC"/>
            </w:tcBorders>
            <w:vAlign w:val="center"/>
            <w:hideMark/>
          </w:tcPr>
          <w:p w14:paraId="416168FD" w14:textId="77777777" w:rsidR="00CF7A9F" w:rsidRPr="000807BC" w:rsidRDefault="00CF7A9F" w:rsidP="000807BC">
            <w:pPr>
              <w:rPr>
                <w:rFonts w:asciiTheme="minorHAnsi" w:hAnsiTheme="minorHAnsi" w:cstheme="minorHAnsi"/>
                <w:sz w:val="20"/>
                <w:szCs w:val="20"/>
              </w:rPr>
            </w:pPr>
          </w:p>
        </w:tc>
        <w:tc>
          <w:tcPr>
            <w:tcW w:w="2198" w:type="pct"/>
            <w:tcBorders>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1059ABC" w14:textId="77777777" w:rsidR="00CF7A9F" w:rsidRPr="000807BC" w:rsidRDefault="00CF7A9F" w:rsidP="000807BC">
            <w:pPr>
              <w:rPr>
                <w:rFonts w:asciiTheme="minorHAnsi" w:hAnsiTheme="minorHAnsi" w:cstheme="minorHAnsi"/>
                <w:sz w:val="20"/>
                <w:szCs w:val="20"/>
              </w:rPr>
            </w:pPr>
          </w:p>
        </w:tc>
        <w:tc>
          <w:tcPr>
            <w:tcW w:w="2017" w:type="pct"/>
            <w:tcBorders>
              <w:left w:val="single" w:sz="6" w:space="0" w:color="CCCCCC"/>
              <w:bottom w:val="single" w:sz="6" w:space="0" w:color="CCCCCC"/>
              <w:right w:val="single" w:sz="6" w:space="0" w:color="CCCCCC"/>
            </w:tcBorders>
            <w:vAlign w:val="center"/>
            <w:hideMark/>
          </w:tcPr>
          <w:p w14:paraId="5F0DFC8E"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ENAMAT - Coordenadoria de Pesquisa - CPESQ</w:t>
            </w:r>
          </w:p>
        </w:tc>
      </w:tr>
    </w:tbl>
    <w:p w14:paraId="0AB78431" w14:textId="77777777" w:rsidR="000807BC" w:rsidRDefault="000807BC">
      <w:r>
        <w:br w:type="page"/>
      </w:r>
    </w:p>
    <w:tbl>
      <w:tblPr>
        <w:tblW w:w="5000" w:type="pct"/>
        <w:tblCellMar>
          <w:left w:w="28" w:type="dxa"/>
          <w:right w:w="0" w:type="dxa"/>
        </w:tblCellMar>
        <w:tblLook w:val="04A0" w:firstRow="1" w:lastRow="0" w:firstColumn="1" w:lastColumn="0" w:noHBand="0" w:noVBand="1"/>
      </w:tblPr>
      <w:tblGrid>
        <w:gridCol w:w="1520"/>
        <w:gridCol w:w="4631"/>
        <w:gridCol w:w="3541"/>
      </w:tblGrid>
      <w:tr w:rsidR="00CF7A9F" w:rsidRPr="000807BC" w14:paraId="59DFCCE3" w14:textId="77777777" w:rsidTr="000807BC">
        <w:trPr>
          <w:cantSplit/>
          <w:trHeight w:val="340"/>
        </w:trPr>
        <w:tc>
          <w:tcPr>
            <w:tcW w:w="784" w:type="pct"/>
            <w:vMerge w:val="restar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559EE8" w14:textId="38B173E2" w:rsidR="00CF7A9F" w:rsidRPr="000807BC" w:rsidRDefault="00CF7A9F" w:rsidP="000807BC">
            <w:pPr>
              <w:rPr>
                <w:rFonts w:asciiTheme="minorHAnsi" w:hAnsiTheme="minorHAnsi" w:cstheme="minorHAnsi"/>
                <w:b/>
                <w:sz w:val="20"/>
                <w:szCs w:val="20"/>
              </w:rPr>
            </w:pPr>
            <w:r w:rsidRPr="000807BC">
              <w:rPr>
                <w:rFonts w:asciiTheme="minorHAnsi" w:hAnsiTheme="minorHAnsi" w:cstheme="minorHAnsi"/>
                <w:b/>
                <w:sz w:val="20"/>
                <w:szCs w:val="20"/>
              </w:rPr>
              <w:lastRenderedPageBreak/>
              <w:t>Assessorias</w:t>
            </w:r>
          </w:p>
        </w:tc>
        <w:tc>
          <w:tcPr>
            <w:tcW w:w="2389" w:type="pct"/>
            <w:tcBorders>
              <w:top w:val="single" w:sz="6" w:space="0" w:color="CCCCCC"/>
              <w:left w:val="single" w:sz="6" w:space="0" w:color="CCCCCC"/>
              <w:right w:val="single" w:sz="6" w:space="0" w:color="CCCCCC"/>
            </w:tcBorders>
            <w:tcMar>
              <w:top w:w="0" w:type="dxa"/>
              <w:left w:w="45" w:type="dxa"/>
              <w:bottom w:w="0" w:type="dxa"/>
              <w:right w:w="45" w:type="dxa"/>
            </w:tcMar>
            <w:vAlign w:val="center"/>
            <w:hideMark/>
          </w:tcPr>
          <w:p w14:paraId="06BDE840" w14:textId="5A19136D"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Centro Judiciário de Métodos Consensuais de Solução de Conflitos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CEJUSC</w:t>
            </w:r>
          </w:p>
        </w:tc>
        <w:tc>
          <w:tcPr>
            <w:tcW w:w="1827" w:type="pct"/>
            <w:tcBorders>
              <w:top w:val="single" w:sz="6" w:space="0" w:color="CCCCCC"/>
              <w:left w:val="single" w:sz="6" w:space="0" w:color="CCCCCC"/>
              <w:right w:val="single" w:sz="6" w:space="0" w:color="CCCCCC"/>
            </w:tcBorders>
            <w:vAlign w:val="center"/>
            <w:hideMark/>
          </w:tcPr>
          <w:p w14:paraId="3E839B0B"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Assessoria de Relacionamento de Tecnologia e Inovação - ARTINOV</w:t>
            </w:r>
          </w:p>
        </w:tc>
      </w:tr>
      <w:tr w:rsidR="00CF7A9F" w:rsidRPr="000807BC" w14:paraId="35B145C3"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79C3FCC6"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6EC52FBD" w14:textId="1EEEA8B2"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Núcleo de Apoio à Conciliação e Políticas Públicas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NACOPP</w:t>
            </w:r>
          </w:p>
        </w:tc>
        <w:tc>
          <w:tcPr>
            <w:tcW w:w="1827" w:type="pct"/>
            <w:tcBorders>
              <w:left w:val="single" w:sz="6" w:space="0" w:color="CCCCCC"/>
              <w:right w:val="single" w:sz="6" w:space="0" w:color="CCCCCC"/>
            </w:tcBorders>
            <w:vAlign w:val="center"/>
            <w:hideMark/>
          </w:tcPr>
          <w:p w14:paraId="1DC55096"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Assessoria Técnica e Administrativa - ASTA</w:t>
            </w:r>
          </w:p>
        </w:tc>
      </w:tr>
      <w:tr w:rsidR="00CF7A9F" w:rsidRPr="000807BC" w14:paraId="72510C69"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6CCE1750"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39615139" w14:textId="39963F45"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NUGEP-SVP - Seção de Gerenciamento de Recursos Extraordinários Trabalhistas em Repercussão Geral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NUGEPSVP</w:t>
            </w:r>
          </w:p>
        </w:tc>
        <w:tc>
          <w:tcPr>
            <w:tcW w:w="1827" w:type="pct"/>
            <w:tcBorders>
              <w:left w:val="single" w:sz="6" w:space="0" w:color="CCCCCC"/>
              <w:right w:val="single" w:sz="6" w:space="0" w:color="CCCCCC"/>
            </w:tcBorders>
            <w:vAlign w:val="center"/>
            <w:hideMark/>
          </w:tcPr>
          <w:p w14:paraId="6575C69B"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Assessoria de Acessibilidade e Inclusão - ACESI</w:t>
            </w:r>
          </w:p>
        </w:tc>
      </w:tr>
      <w:tr w:rsidR="00CF7A9F" w:rsidRPr="000807BC" w14:paraId="6E6E0529"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2A560BC3"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420DF5CE" w14:textId="533B8879"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Secretaria-Geral Judiciária - SEGJUD</w:t>
            </w:r>
          </w:p>
        </w:tc>
        <w:tc>
          <w:tcPr>
            <w:tcW w:w="1827" w:type="pct"/>
            <w:tcBorders>
              <w:left w:val="single" w:sz="6" w:space="0" w:color="CCCCCC"/>
              <w:right w:val="single" w:sz="6" w:space="0" w:color="CCCCCC"/>
            </w:tcBorders>
            <w:vAlign w:val="center"/>
            <w:hideMark/>
          </w:tcPr>
          <w:p w14:paraId="2C9BC1FE"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Assessoria de Apoio e Inovação Tecnológica - AITEC</w:t>
            </w:r>
          </w:p>
        </w:tc>
      </w:tr>
      <w:tr w:rsidR="00CF7A9F" w:rsidRPr="000807BC" w14:paraId="0ACEE8C9"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0DC8F893"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71F4CA7C"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5708E1E5"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Assessoria de Promoção do Trabalho Decente e dos Direitos Humanos - ASPRODEC</w:t>
            </w:r>
          </w:p>
        </w:tc>
      </w:tr>
      <w:tr w:rsidR="00CF7A9F" w:rsidRPr="000807BC" w14:paraId="39E35EEB"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3EC50B49"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284EC610"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711125C8"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Assessoria de Relações Internacionais - ARIN</w:t>
            </w:r>
          </w:p>
        </w:tc>
      </w:tr>
      <w:tr w:rsidR="00CF7A9F" w:rsidRPr="000807BC" w14:paraId="67A6BBA2"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62BD418C"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11889272"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3F66D92F"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Assessoria do Cerimonial da Presidência - ACEPRES</w:t>
            </w:r>
          </w:p>
        </w:tc>
      </w:tr>
      <w:tr w:rsidR="00CF7A9F" w:rsidRPr="000807BC" w14:paraId="0EF2AD3B"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027934B6"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7EE7CB15"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tcMar>
              <w:top w:w="0" w:type="dxa"/>
              <w:left w:w="45" w:type="dxa"/>
              <w:bottom w:w="0" w:type="dxa"/>
              <w:right w:w="45" w:type="dxa"/>
            </w:tcMar>
            <w:vAlign w:val="center"/>
            <w:hideMark/>
          </w:tcPr>
          <w:p w14:paraId="1D66E1D7"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Assessoria Jurídica - ASJUR</w:t>
            </w:r>
          </w:p>
        </w:tc>
      </w:tr>
      <w:tr w:rsidR="00CF7A9F" w:rsidRPr="000807BC" w14:paraId="66580C38"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0EEC65C9"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1E099016"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tcMar>
              <w:top w:w="0" w:type="dxa"/>
              <w:left w:w="45" w:type="dxa"/>
              <w:bottom w:w="0" w:type="dxa"/>
              <w:right w:w="45" w:type="dxa"/>
            </w:tcMar>
            <w:vAlign w:val="center"/>
            <w:hideMark/>
          </w:tcPr>
          <w:p w14:paraId="6FE95B14"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Assessoria Parlamentar - ASPAR</w:t>
            </w:r>
          </w:p>
        </w:tc>
      </w:tr>
      <w:tr w:rsidR="00CF7A9F" w:rsidRPr="000807BC" w14:paraId="237D79E0"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5AD9A738"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F0F83E"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97047C1"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Ouvidoria - OUV</w:t>
            </w:r>
          </w:p>
        </w:tc>
      </w:tr>
      <w:tr w:rsidR="00CF7A9F" w:rsidRPr="000807BC" w14:paraId="1E26B441" w14:textId="77777777" w:rsidTr="000807BC">
        <w:trPr>
          <w:cantSplit/>
          <w:trHeight w:val="340"/>
        </w:trPr>
        <w:tc>
          <w:tcPr>
            <w:tcW w:w="784" w:type="pct"/>
            <w:vMerge w:val="restar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FB95A26" w14:textId="77777777" w:rsidR="00CF7A9F" w:rsidRPr="000807BC" w:rsidRDefault="00CF7A9F" w:rsidP="000807BC">
            <w:pPr>
              <w:rPr>
                <w:rFonts w:asciiTheme="minorHAnsi" w:hAnsiTheme="minorHAnsi" w:cstheme="minorHAnsi"/>
                <w:b/>
                <w:sz w:val="20"/>
                <w:szCs w:val="20"/>
              </w:rPr>
            </w:pPr>
            <w:r w:rsidRPr="000807BC">
              <w:rPr>
                <w:rFonts w:asciiTheme="minorHAnsi" w:hAnsiTheme="minorHAnsi" w:cstheme="minorHAnsi"/>
                <w:b/>
                <w:sz w:val="20"/>
                <w:szCs w:val="20"/>
              </w:rPr>
              <w:t>Divisões</w:t>
            </w:r>
          </w:p>
        </w:tc>
        <w:tc>
          <w:tcPr>
            <w:tcW w:w="2389" w:type="pct"/>
            <w:tcBorders>
              <w:top w:val="single" w:sz="6" w:space="0" w:color="CCCCCC"/>
              <w:left w:val="single" w:sz="6" w:space="0" w:color="CCCCCC"/>
              <w:right w:val="single" w:sz="6" w:space="0" w:color="CCCCCC"/>
            </w:tcBorders>
            <w:tcMar>
              <w:top w:w="0" w:type="dxa"/>
              <w:left w:w="45" w:type="dxa"/>
              <w:bottom w:w="0" w:type="dxa"/>
              <w:right w:w="45" w:type="dxa"/>
            </w:tcMar>
            <w:vAlign w:val="center"/>
            <w:hideMark/>
          </w:tcPr>
          <w:p w14:paraId="24C41A21" w14:textId="469DD37E"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Divisão de Apoio e Registros Taquigráficos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DART</w:t>
            </w:r>
          </w:p>
        </w:tc>
        <w:tc>
          <w:tcPr>
            <w:tcW w:w="1827" w:type="pct"/>
            <w:tcBorders>
              <w:top w:val="single" w:sz="6" w:space="0" w:color="CCCCCC"/>
              <w:left w:val="single" w:sz="6" w:space="0" w:color="CCCCCC"/>
              <w:right w:val="single" w:sz="6" w:space="0" w:color="CCCCCC"/>
            </w:tcBorders>
            <w:vAlign w:val="center"/>
            <w:hideMark/>
          </w:tcPr>
          <w:p w14:paraId="122B31EB"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Administração do Berçário - DIBER</w:t>
            </w:r>
          </w:p>
        </w:tc>
      </w:tr>
      <w:tr w:rsidR="00CF7A9F" w:rsidRPr="000807BC" w14:paraId="53605425"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4DDDD7B6"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52A94080"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421C511B"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Comunicação Institucional - DCI</w:t>
            </w:r>
          </w:p>
        </w:tc>
      </w:tr>
      <w:tr w:rsidR="00CF7A9F" w:rsidRPr="000807BC" w14:paraId="2F89659A"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3188F964"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6ED44505"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6068CCE5"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Comunicação Visual e Design - DCVD</w:t>
            </w:r>
          </w:p>
        </w:tc>
      </w:tr>
      <w:tr w:rsidR="00CF7A9F" w:rsidRPr="000807BC" w14:paraId="6052C2C7"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450B9AD0"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693EFD8B"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3091B17D"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Conformidade - DCONF</w:t>
            </w:r>
          </w:p>
        </w:tc>
      </w:tr>
      <w:tr w:rsidR="00CF7A9F" w:rsidRPr="000807BC" w14:paraId="25256DF9"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6207393D"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4A2BB70C"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0A1A11B1"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Contabilidade - DICONT</w:t>
            </w:r>
          </w:p>
        </w:tc>
      </w:tr>
      <w:tr w:rsidR="00CF7A9F" w:rsidRPr="000807BC" w14:paraId="60E80B96"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27F8A58D"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08F3DFA1"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0ED6C8F5"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Desenvolvimento de Sistemas Judiciais - DSJUD</w:t>
            </w:r>
          </w:p>
        </w:tc>
      </w:tr>
      <w:tr w:rsidR="00CF7A9F" w:rsidRPr="000807BC" w14:paraId="504D7C2B"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41115641"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5126D082"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5919DD59"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Educação Corporativa - DIEDUC</w:t>
            </w:r>
          </w:p>
        </w:tc>
      </w:tr>
      <w:tr w:rsidR="00CF7A9F" w:rsidRPr="000807BC" w14:paraId="3FF69661"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47A1597C"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13F2B80D"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618B8192"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Estratégia, Inovação e Sustentabilidade - DIESIS</w:t>
            </w:r>
          </w:p>
        </w:tc>
      </w:tr>
      <w:tr w:rsidR="00CF7A9F" w:rsidRPr="000807BC" w14:paraId="0FD3E0E2"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71F3E6FE"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34F1A3B9"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3522B704"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Gerenciamento de Aplicações e Dados - DGEAD</w:t>
            </w:r>
          </w:p>
        </w:tc>
      </w:tr>
      <w:tr w:rsidR="00CF7A9F" w:rsidRPr="000807BC" w14:paraId="25A36FE1"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4E66FC11"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5FE0FA55"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54F066C5"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Informação e Experiência do Usuário - DIEX</w:t>
            </w:r>
          </w:p>
        </w:tc>
      </w:tr>
      <w:tr w:rsidR="00CF7A9F" w:rsidRPr="000807BC" w14:paraId="17813BC9"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0A07DC30"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6A96E1EB"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3965F553"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Integridade e de Gestão de Riscos - DINGER</w:t>
            </w:r>
          </w:p>
        </w:tc>
      </w:tr>
      <w:tr w:rsidR="00CF7A9F" w:rsidRPr="000807BC" w14:paraId="4343F229"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53DF3E33"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3661FC80"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tcMar>
              <w:top w:w="0" w:type="dxa"/>
              <w:left w:w="45" w:type="dxa"/>
              <w:bottom w:w="0" w:type="dxa"/>
              <w:right w:w="45" w:type="dxa"/>
            </w:tcMar>
            <w:vAlign w:val="center"/>
            <w:hideMark/>
          </w:tcPr>
          <w:p w14:paraId="68208966"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Magistrados - DIMAG</w:t>
            </w:r>
          </w:p>
        </w:tc>
      </w:tr>
      <w:tr w:rsidR="00CF7A9F" w:rsidRPr="000807BC" w14:paraId="50450535"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20ADDC26"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48E35BB2"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554196DA"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Preparação de Pagamento de Pessoal - DIPPP</w:t>
            </w:r>
          </w:p>
        </w:tc>
      </w:tr>
      <w:tr w:rsidR="00CF7A9F" w:rsidRPr="000807BC" w14:paraId="6ABCE4BF"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02E59E32"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3DF292C5"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1DF568A9"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Serviços Administrativos - DISAD</w:t>
            </w:r>
          </w:p>
        </w:tc>
      </w:tr>
      <w:tr w:rsidR="00CF7A9F" w:rsidRPr="000807BC" w14:paraId="7E8D735F"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6BA06CEB"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right w:val="single" w:sz="6" w:space="0" w:color="CCCCCC"/>
            </w:tcBorders>
            <w:tcMar>
              <w:top w:w="0" w:type="dxa"/>
              <w:left w:w="45" w:type="dxa"/>
              <w:bottom w:w="0" w:type="dxa"/>
              <w:right w:w="45" w:type="dxa"/>
            </w:tcMar>
            <w:vAlign w:val="center"/>
            <w:hideMark/>
          </w:tcPr>
          <w:p w14:paraId="047F650B"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right w:val="single" w:sz="6" w:space="0" w:color="CCCCCC"/>
            </w:tcBorders>
            <w:vAlign w:val="center"/>
            <w:hideMark/>
          </w:tcPr>
          <w:p w14:paraId="2653F93D"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Suporte Especializado aos Gabinetes de Ministro - DSGAB</w:t>
            </w:r>
          </w:p>
        </w:tc>
      </w:tr>
      <w:tr w:rsidR="00CF7A9F" w:rsidRPr="000807BC" w14:paraId="4A7ED06F" w14:textId="77777777" w:rsidTr="000807BC">
        <w:trPr>
          <w:cantSplit/>
          <w:trHeight w:val="340"/>
        </w:trPr>
        <w:tc>
          <w:tcPr>
            <w:tcW w:w="784" w:type="pct"/>
            <w:vMerge/>
            <w:tcBorders>
              <w:top w:val="single" w:sz="6" w:space="0" w:color="CCCCCC"/>
              <w:left w:val="single" w:sz="6" w:space="0" w:color="CCCCCC"/>
              <w:bottom w:val="single" w:sz="6" w:space="0" w:color="CCCCCC"/>
              <w:right w:val="single" w:sz="6" w:space="0" w:color="CCCCCC"/>
            </w:tcBorders>
            <w:vAlign w:val="center"/>
            <w:hideMark/>
          </w:tcPr>
          <w:p w14:paraId="138FF807" w14:textId="77777777" w:rsidR="00CF7A9F" w:rsidRPr="000807BC" w:rsidRDefault="00CF7A9F" w:rsidP="000807BC">
            <w:pPr>
              <w:rPr>
                <w:rFonts w:asciiTheme="minorHAnsi" w:hAnsiTheme="minorHAnsi" w:cstheme="minorHAnsi"/>
                <w:sz w:val="20"/>
                <w:szCs w:val="20"/>
              </w:rPr>
            </w:pPr>
          </w:p>
        </w:tc>
        <w:tc>
          <w:tcPr>
            <w:tcW w:w="2389" w:type="pct"/>
            <w:tcBorders>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52AE968" w14:textId="77777777" w:rsidR="00CF7A9F" w:rsidRPr="000807BC" w:rsidRDefault="00CF7A9F" w:rsidP="000807BC">
            <w:pPr>
              <w:rPr>
                <w:rFonts w:asciiTheme="minorHAnsi" w:hAnsiTheme="minorHAnsi" w:cstheme="minorHAnsi"/>
                <w:sz w:val="20"/>
                <w:szCs w:val="20"/>
              </w:rPr>
            </w:pPr>
          </w:p>
        </w:tc>
        <w:tc>
          <w:tcPr>
            <w:tcW w:w="1827" w:type="pct"/>
            <w:tcBorders>
              <w:left w:val="single" w:sz="6" w:space="0" w:color="CCCCCC"/>
              <w:bottom w:val="single" w:sz="6" w:space="0" w:color="CCCCCC"/>
              <w:right w:val="single" w:sz="6" w:space="0" w:color="CCCCCC"/>
            </w:tcBorders>
            <w:vAlign w:val="center"/>
            <w:hideMark/>
          </w:tcPr>
          <w:p w14:paraId="2A48EB7C"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Médica e Odontológica - DIMEOD</w:t>
            </w:r>
          </w:p>
        </w:tc>
      </w:tr>
    </w:tbl>
    <w:p w14:paraId="4E2191BD" w14:textId="77777777" w:rsidR="000807BC" w:rsidRDefault="000807BC">
      <w:r>
        <w:br w:type="page"/>
      </w:r>
    </w:p>
    <w:tbl>
      <w:tblPr>
        <w:tblW w:w="5000" w:type="pct"/>
        <w:tblCellMar>
          <w:left w:w="28" w:type="dxa"/>
          <w:right w:w="0" w:type="dxa"/>
        </w:tblCellMar>
        <w:tblLook w:val="04A0" w:firstRow="1" w:lastRow="0" w:firstColumn="1" w:lastColumn="0" w:noHBand="0" w:noVBand="1"/>
      </w:tblPr>
      <w:tblGrid>
        <w:gridCol w:w="1526"/>
        <w:gridCol w:w="4774"/>
        <w:gridCol w:w="3392"/>
      </w:tblGrid>
      <w:tr w:rsidR="00CF7A9F" w:rsidRPr="000807BC" w14:paraId="4DF03470" w14:textId="77777777" w:rsidTr="000807BC">
        <w:trPr>
          <w:cantSplit/>
          <w:trHeight w:val="340"/>
        </w:trPr>
        <w:tc>
          <w:tcPr>
            <w:tcW w:w="787" w:type="pct"/>
            <w:vMerge w:val="restar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E0F0ABC" w14:textId="3D57032C" w:rsidR="00CF7A9F" w:rsidRPr="000807BC" w:rsidRDefault="00F92B5E" w:rsidP="000807BC">
            <w:pPr>
              <w:rPr>
                <w:rFonts w:asciiTheme="minorHAnsi" w:hAnsiTheme="minorHAnsi" w:cstheme="minorHAnsi"/>
                <w:b/>
                <w:sz w:val="20"/>
                <w:szCs w:val="20"/>
              </w:rPr>
            </w:pPr>
            <w:r w:rsidRPr="000807BC">
              <w:rPr>
                <w:rFonts w:asciiTheme="minorHAnsi" w:hAnsiTheme="minorHAnsi" w:cstheme="minorHAnsi"/>
                <w:b/>
                <w:sz w:val="20"/>
                <w:szCs w:val="20"/>
              </w:rPr>
              <w:lastRenderedPageBreak/>
              <w:t>Unidades dos</w:t>
            </w:r>
            <w:r w:rsidR="00CF7A9F" w:rsidRPr="000807BC">
              <w:rPr>
                <w:rFonts w:asciiTheme="minorHAnsi" w:hAnsiTheme="minorHAnsi" w:cstheme="minorHAnsi"/>
                <w:b/>
                <w:sz w:val="20"/>
                <w:szCs w:val="20"/>
              </w:rPr>
              <w:t xml:space="preserve"> Núcleo</w:t>
            </w:r>
            <w:r w:rsidRPr="000807BC">
              <w:rPr>
                <w:rFonts w:asciiTheme="minorHAnsi" w:hAnsiTheme="minorHAnsi" w:cstheme="minorHAnsi"/>
                <w:b/>
                <w:sz w:val="20"/>
                <w:szCs w:val="20"/>
              </w:rPr>
              <w:t>s</w:t>
            </w:r>
          </w:p>
        </w:tc>
        <w:tc>
          <w:tcPr>
            <w:tcW w:w="2463" w:type="pct"/>
            <w:tcBorders>
              <w:top w:val="single" w:sz="6" w:space="0" w:color="CCCCCC"/>
              <w:left w:val="single" w:sz="6" w:space="0" w:color="CCCCCC"/>
              <w:right w:val="single" w:sz="6" w:space="0" w:color="CCCCCC"/>
            </w:tcBorders>
            <w:tcMar>
              <w:top w:w="0" w:type="dxa"/>
              <w:left w:w="45" w:type="dxa"/>
              <w:bottom w:w="0" w:type="dxa"/>
              <w:right w:w="45" w:type="dxa"/>
            </w:tcMar>
            <w:vAlign w:val="center"/>
            <w:hideMark/>
          </w:tcPr>
          <w:p w14:paraId="221BDB64" w14:textId="0910F321"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Gestão de Precedentes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SPR</w:t>
            </w:r>
          </w:p>
        </w:tc>
        <w:tc>
          <w:tcPr>
            <w:tcW w:w="1750" w:type="pct"/>
            <w:tcBorders>
              <w:top w:val="single" w:sz="6" w:space="0" w:color="CCCCCC"/>
              <w:left w:val="single" w:sz="6" w:space="0" w:color="CCCCCC"/>
              <w:right w:val="single" w:sz="6" w:space="0" w:color="CCCCCC"/>
            </w:tcBorders>
            <w:vAlign w:val="center"/>
            <w:hideMark/>
          </w:tcPr>
          <w:p w14:paraId="21BC4001"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Apoio Administrativo - CAAD</w:t>
            </w:r>
          </w:p>
        </w:tc>
      </w:tr>
      <w:tr w:rsidR="00CF7A9F" w:rsidRPr="000807BC" w14:paraId="5B299038"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131890DF"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307A68DE" w14:textId="7CB8AE8A"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Processamento de Recursos Extraordinários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SEPREX</w:t>
            </w:r>
          </w:p>
        </w:tc>
        <w:tc>
          <w:tcPr>
            <w:tcW w:w="1750" w:type="pct"/>
            <w:tcBorders>
              <w:left w:val="single" w:sz="6" w:space="0" w:color="CCCCCC"/>
              <w:right w:val="single" w:sz="6" w:space="0" w:color="CCCCCC"/>
            </w:tcBorders>
            <w:vAlign w:val="center"/>
            <w:hideMark/>
          </w:tcPr>
          <w:p w14:paraId="6315ECC8"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Desenvolvimento de Pessoas - CDEP</w:t>
            </w:r>
          </w:p>
        </w:tc>
      </w:tr>
      <w:tr w:rsidR="00CF7A9F" w:rsidRPr="000807BC" w14:paraId="556A16DE"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648E8CD5"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4BBDB513" w14:textId="0BA69FC1"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Gestão de Precedentes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SPR</w:t>
            </w:r>
          </w:p>
        </w:tc>
        <w:tc>
          <w:tcPr>
            <w:tcW w:w="1750" w:type="pct"/>
            <w:tcBorders>
              <w:left w:val="single" w:sz="6" w:space="0" w:color="CCCCCC"/>
              <w:right w:val="single" w:sz="6" w:space="0" w:color="CCCCCC"/>
            </w:tcBorders>
            <w:vAlign w:val="center"/>
            <w:hideMark/>
          </w:tcPr>
          <w:p w14:paraId="47D870BE"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Desenvolvimento de Sistemas - CDS</w:t>
            </w:r>
          </w:p>
        </w:tc>
      </w:tr>
      <w:tr w:rsidR="00CF7A9F" w:rsidRPr="000807BC" w14:paraId="6EE82FA5"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61FC276D"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21816634" w14:textId="7182277B"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Processamento de Recursos Extraordinários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SEPREX</w:t>
            </w:r>
          </w:p>
        </w:tc>
        <w:tc>
          <w:tcPr>
            <w:tcW w:w="1750" w:type="pct"/>
            <w:tcBorders>
              <w:left w:val="single" w:sz="6" w:space="0" w:color="CCCCCC"/>
              <w:right w:val="single" w:sz="6" w:space="0" w:color="CCCCCC"/>
            </w:tcBorders>
            <w:vAlign w:val="center"/>
            <w:hideMark/>
          </w:tcPr>
          <w:p w14:paraId="7C3A980D"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Estatística - CESTAT</w:t>
            </w:r>
          </w:p>
        </w:tc>
      </w:tr>
      <w:tr w:rsidR="00CF7A9F" w:rsidRPr="000807BC" w14:paraId="31201F53"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5C78AF9F"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1CF64925"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2F60D6E0"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Governança e Evolução Digital - CGDIGITAL</w:t>
            </w:r>
          </w:p>
        </w:tc>
      </w:tr>
      <w:tr w:rsidR="00CF7A9F" w:rsidRPr="000807BC" w14:paraId="2B9C08E5"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385E85B9"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1D3CEA7E"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44FCA6E9"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Informações Funcionais - CIF</w:t>
            </w:r>
          </w:p>
        </w:tc>
      </w:tr>
      <w:tr w:rsidR="00CF7A9F" w:rsidRPr="000807BC" w14:paraId="63439AB3"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1C0E0146"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6053AA3A"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04B65E12" w14:textId="76BBF32B"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Infraestrutura Tecnológica - CITEC</w:t>
            </w:r>
          </w:p>
        </w:tc>
      </w:tr>
      <w:tr w:rsidR="00CF7A9F" w:rsidRPr="000807BC" w14:paraId="4D741E49"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3392ADC7"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1D218296"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299B7F6C"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Serviços Especiais - CSESP</w:t>
            </w:r>
          </w:p>
        </w:tc>
      </w:tr>
      <w:tr w:rsidR="00CF7A9F" w:rsidRPr="000807BC" w14:paraId="2A300330"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7ABABE5E"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692612E8"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74B04ABC"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Suporte Técnico aos Usuários - CSUP</w:t>
            </w:r>
          </w:p>
        </w:tc>
      </w:tr>
      <w:tr w:rsidR="00CF7A9F" w:rsidRPr="000807BC" w14:paraId="0E869C7C"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0EF709B4"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363BF9E2"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35EE357C"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Divisão de Desenvolvimento de Sistemas Judiciais - DSJUD</w:t>
            </w:r>
          </w:p>
        </w:tc>
      </w:tr>
      <w:tr w:rsidR="00CF7A9F" w:rsidRPr="000807BC" w14:paraId="2E345774"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5D2DEAA1"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458F1B6C"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1E1BDE85"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Núcleo de Contratos e Apoio Administrativo - NCAD</w:t>
            </w:r>
          </w:p>
        </w:tc>
      </w:tr>
      <w:tr w:rsidR="00CF7A9F" w:rsidRPr="000807BC" w14:paraId="32156C8D"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290BCD64"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44D33D69"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76E7B4F1"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Núcleo de Educação em Saúde - NEDS</w:t>
            </w:r>
          </w:p>
        </w:tc>
      </w:tr>
      <w:tr w:rsidR="00CF7A9F" w:rsidRPr="000807BC" w14:paraId="07E9CED8"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7AF21F62"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35AADB5A"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tcMar>
              <w:top w:w="0" w:type="dxa"/>
              <w:left w:w="45" w:type="dxa"/>
              <w:bottom w:w="0" w:type="dxa"/>
              <w:right w:w="45" w:type="dxa"/>
            </w:tcMar>
            <w:vAlign w:val="center"/>
            <w:hideMark/>
          </w:tcPr>
          <w:p w14:paraId="76ADE2FC"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Núcleo de Inteligência - NINT</w:t>
            </w:r>
          </w:p>
        </w:tc>
      </w:tr>
      <w:tr w:rsidR="00CF7A9F" w:rsidRPr="000807BC" w14:paraId="1F732E05"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2FB0DA29"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2EAE1862"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67EA37FF"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Núcleo de Logística de Transportes - NLT</w:t>
            </w:r>
          </w:p>
        </w:tc>
      </w:tr>
      <w:tr w:rsidR="00CF7A9F" w:rsidRPr="000807BC" w14:paraId="22C2987C"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20B93D60"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7D745141"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725E3275"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Núcleo de Policiamento Ostensivo - NPOL</w:t>
            </w:r>
          </w:p>
        </w:tc>
      </w:tr>
      <w:tr w:rsidR="00CF7A9F" w:rsidRPr="000807BC" w14:paraId="73B4E498"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1E6088C4"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86B981F"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bottom w:val="single" w:sz="6" w:space="0" w:color="CCCCCC"/>
              <w:right w:val="single" w:sz="6" w:space="0" w:color="CCCCCC"/>
            </w:tcBorders>
            <w:vAlign w:val="center"/>
            <w:hideMark/>
          </w:tcPr>
          <w:p w14:paraId="52B7E40F"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Núcleo de Segurança de Dignitários e Capacitação - NDIC</w:t>
            </w:r>
          </w:p>
        </w:tc>
      </w:tr>
      <w:tr w:rsidR="00CF7A9F" w:rsidRPr="000807BC" w14:paraId="1FE4172E" w14:textId="77777777" w:rsidTr="000807BC">
        <w:trPr>
          <w:cantSplit/>
          <w:trHeight w:val="340"/>
        </w:trPr>
        <w:tc>
          <w:tcPr>
            <w:tcW w:w="787" w:type="pct"/>
            <w:vMerge w:val="restart"/>
            <w:tcBorders>
              <w:top w:val="single" w:sz="6" w:space="0" w:color="CCCCCC"/>
              <w:left w:val="single" w:sz="6" w:space="0" w:color="CCCCCC"/>
              <w:right w:val="single" w:sz="6" w:space="0" w:color="CCCCCC"/>
            </w:tcBorders>
            <w:tcMar>
              <w:top w:w="0" w:type="dxa"/>
              <w:left w:w="45" w:type="dxa"/>
              <w:bottom w:w="0" w:type="dxa"/>
              <w:right w:w="45" w:type="dxa"/>
            </w:tcMar>
            <w:vAlign w:val="center"/>
            <w:hideMark/>
          </w:tcPr>
          <w:p w14:paraId="7DB2908E" w14:textId="419BF52E" w:rsidR="00CF7A9F" w:rsidRPr="000807BC" w:rsidRDefault="00F92B5E" w:rsidP="000807BC">
            <w:pPr>
              <w:rPr>
                <w:rFonts w:asciiTheme="minorHAnsi" w:hAnsiTheme="minorHAnsi" w:cstheme="minorHAnsi"/>
                <w:b/>
                <w:sz w:val="20"/>
                <w:szCs w:val="20"/>
              </w:rPr>
            </w:pPr>
            <w:r w:rsidRPr="000807BC">
              <w:rPr>
                <w:rFonts w:asciiTheme="minorHAnsi" w:hAnsiTheme="minorHAnsi" w:cstheme="minorHAnsi"/>
                <w:b/>
                <w:sz w:val="20"/>
                <w:szCs w:val="20"/>
              </w:rPr>
              <w:t>Unidades das Seções</w:t>
            </w:r>
          </w:p>
        </w:tc>
        <w:tc>
          <w:tcPr>
            <w:tcW w:w="2463" w:type="pct"/>
            <w:tcBorders>
              <w:top w:val="single" w:sz="6" w:space="0" w:color="CCCCCC"/>
              <w:left w:val="single" w:sz="6" w:space="0" w:color="CCCCCC"/>
              <w:right w:val="single" w:sz="6" w:space="0" w:color="CCCCCC"/>
            </w:tcBorders>
            <w:tcMar>
              <w:top w:w="0" w:type="dxa"/>
              <w:left w:w="45" w:type="dxa"/>
              <w:bottom w:w="0" w:type="dxa"/>
              <w:right w:w="45" w:type="dxa"/>
            </w:tcMar>
            <w:vAlign w:val="center"/>
            <w:hideMark/>
          </w:tcPr>
          <w:p w14:paraId="466082A9" w14:textId="6C0C81AB"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Cadastramento Processual </w:t>
            </w:r>
            <w:r w:rsidR="00C04F65" w:rsidRPr="000807BC">
              <w:rPr>
                <w:rFonts w:asciiTheme="minorHAnsi" w:hAnsiTheme="minorHAnsi" w:cstheme="minorHAnsi"/>
                <w:sz w:val="20"/>
                <w:szCs w:val="20"/>
              </w:rPr>
              <w:t>–</w:t>
            </w:r>
            <w:r w:rsidRPr="000807BC">
              <w:rPr>
                <w:rFonts w:asciiTheme="minorHAnsi" w:hAnsiTheme="minorHAnsi" w:cstheme="minorHAnsi"/>
                <w:sz w:val="20"/>
                <w:szCs w:val="20"/>
              </w:rPr>
              <w:t xml:space="preserve"> CCP</w:t>
            </w:r>
          </w:p>
        </w:tc>
        <w:tc>
          <w:tcPr>
            <w:tcW w:w="1750" w:type="pct"/>
            <w:tcBorders>
              <w:top w:val="single" w:sz="6" w:space="0" w:color="CCCCCC"/>
              <w:left w:val="single" w:sz="6" w:space="0" w:color="CCCCCC"/>
              <w:right w:val="single" w:sz="6" w:space="0" w:color="CCCCCC"/>
            </w:tcBorders>
            <w:vAlign w:val="center"/>
            <w:hideMark/>
          </w:tcPr>
          <w:p w14:paraId="7F815699"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Assessoria de Apoio e Inovação Tecnológica - AITEC</w:t>
            </w:r>
          </w:p>
        </w:tc>
      </w:tr>
      <w:tr w:rsidR="00CF7A9F" w:rsidRPr="000807BC" w14:paraId="0E129266" w14:textId="77777777" w:rsidTr="000807BC">
        <w:trPr>
          <w:cantSplit/>
          <w:trHeight w:val="340"/>
        </w:trPr>
        <w:tc>
          <w:tcPr>
            <w:tcW w:w="787" w:type="pct"/>
            <w:vMerge/>
            <w:tcBorders>
              <w:left w:val="single" w:sz="6" w:space="0" w:color="CCCCCC"/>
              <w:right w:val="single" w:sz="6" w:space="0" w:color="CCCCCC"/>
            </w:tcBorders>
            <w:vAlign w:val="center"/>
            <w:hideMark/>
          </w:tcPr>
          <w:p w14:paraId="0C5A1342"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76A192C1" w14:textId="6DC15874"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Classificação, Autuação e Distribuição de Processos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CCADP</w:t>
            </w:r>
          </w:p>
        </w:tc>
        <w:tc>
          <w:tcPr>
            <w:tcW w:w="1750" w:type="pct"/>
            <w:tcBorders>
              <w:left w:val="single" w:sz="6" w:space="0" w:color="CCCCCC"/>
              <w:right w:val="single" w:sz="6" w:space="0" w:color="CCCCCC"/>
            </w:tcBorders>
            <w:vAlign w:val="center"/>
            <w:hideMark/>
          </w:tcPr>
          <w:p w14:paraId="2F87F6C4"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Apoio Administrativo - CAAD</w:t>
            </w:r>
          </w:p>
        </w:tc>
      </w:tr>
      <w:tr w:rsidR="00CF7A9F" w:rsidRPr="000807BC" w14:paraId="6C35C2AB" w14:textId="77777777" w:rsidTr="000807BC">
        <w:trPr>
          <w:cantSplit/>
          <w:trHeight w:val="340"/>
        </w:trPr>
        <w:tc>
          <w:tcPr>
            <w:tcW w:w="787" w:type="pct"/>
            <w:vMerge/>
            <w:tcBorders>
              <w:left w:val="single" w:sz="6" w:space="0" w:color="CCCCCC"/>
              <w:right w:val="single" w:sz="6" w:space="0" w:color="CCCCCC"/>
            </w:tcBorders>
            <w:vAlign w:val="center"/>
            <w:hideMark/>
          </w:tcPr>
          <w:p w14:paraId="79871AAF"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4F179E4A" w14:textId="0AC3504D"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Documentação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CDOC</w:t>
            </w:r>
          </w:p>
        </w:tc>
        <w:tc>
          <w:tcPr>
            <w:tcW w:w="1750" w:type="pct"/>
            <w:tcBorders>
              <w:left w:val="single" w:sz="6" w:space="0" w:color="CCCCCC"/>
              <w:right w:val="single" w:sz="6" w:space="0" w:color="CCCCCC"/>
            </w:tcBorders>
            <w:vAlign w:val="center"/>
            <w:hideMark/>
          </w:tcPr>
          <w:p w14:paraId="58205A51"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Auditoria de Gestão Administrativa - CAUGE</w:t>
            </w:r>
          </w:p>
        </w:tc>
      </w:tr>
      <w:tr w:rsidR="00CF7A9F" w:rsidRPr="000807BC" w14:paraId="1F2D0FAD" w14:textId="77777777" w:rsidTr="000807BC">
        <w:trPr>
          <w:cantSplit/>
          <w:trHeight w:val="340"/>
        </w:trPr>
        <w:tc>
          <w:tcPr>
            <w:tcW w:w="787" w:type="pct"/>
            <w:vMerge/>
            <w:tcBorders>
              <w:left w:val="single" w:sz="6" w:space="0" w:color="CCCCCC"/>
              <w:right w:val="single" w:sz="6" w:space="0" w:color="CCCCCC"/>
            </w:tcBorders>
            <w:vAlign w:val="center"/>
            <w:hideMark/>
          </w:tcPr>
          <w:p w14:paraId="657A13E1"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17597F06" w14:textId="1E511FED"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Gestão Documental e Memória </w:t>
            </w:r>
            <w:r w:rsidR="00332072" w:rsidRPr="000807BC">
              <w:rPr>
                <w:rFonts w:asciiTheme="minorHAnsi" w:hAnsiTheme="minorHAnsi" w:cstheme="minorHAnsi"/>
                <w:sz w:val="20"/>
                <w:szCs w:val="20"/>
              </w:rPr>
              <w:t>–</w:t>
            </w:r>
            <w:r w:rsidRPr="000807BC">
              <w:rPr>
                <w:rFonts w:asciiTheme="minorHAnsi" w:hAnsiTheme="minorHAnsi" w:cstheme="minorHAnsi"/>
                <w:sz w:val="20"/>
                <w:szCs w:val="20"/>
              </w:rPr>
              <w:t xml:space="preserve"> CGEDM</w:t>
            </w:r>
          </w:p>
        </w:tc>
        <w:tc>
          <w:tcPr>
            <w:tcW w:w="1750" w:type="pct"/>
            <w:tcBorders>
              <w:left w:val="single" w:sz="6" w:space="0" w:color="CCCCCC"/>
              <w:right w:val="single" w:sz="6" w:space="0" w:color="CCCCCC"/>
            </w:tcBorders>
            <w:vAlign w:val="center"/>
            <w:hideMark/>
          </w:tcPr>
          <w:p w14:paraId="5F6ACC50"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Auditoria de Gestão de Pessoal e Benefícios - CAUPE</w:t>
            </w:r>
          </w:p>
        </w:tc>
      </w:tr>
      <w:tr w:rsidR="00CF7A9F" w:rsidRPr="000807BC" w14:paraId="13649BFC" w14:textId="77777777" w:rsidTr="000807BC">
        <w:trPr>
          <w:cantSplit/>
          <w:trHeight w:val="340"/>
        </w:trPr>
        <w:tc>
          <w:tcPr>
            <w:tcW w:w="787" w:type="pct"/>
            <w:vMerge/>
            <w:tcBorders>
              <w:left w:val="single" w:sz="6" w:space="0" w:color="CCCCCC"/>
              <w:right w:val="single" w:sz="6" w:space="0" w:color="CCCCCC"/>
            </w:tcBorders>
            <w:vAlign w:val="center"/>
            <w:hideMark/>
          </w:tcPr>
          <w:p w14:paraId="1EBF27EE"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266BA543" w14:textId="63FC0893"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Jurisprudência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CJUR</w:t>
            </w:r>
          </w:p>
        </w:tc>
        <w:tc>
          <w:tcPr>
            <w:tcW w:w="1750" w:type="pct"/>
            <w:tcBorders>
              <w:left w:val="single" w:sz="6" w:space="0" w:color="CCCCCC"/>
              <w:right w:val="single" w:sz="6" w:space="0" w:color="CCCCCC"/>
            </w:tcBorders>
            <w:vAlign w:val="center"/>
            <w:hideMark/>
          </w:tcPr>
          <w:p w14:paraId="0AAFBFFA"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Ciência de Dados - CCID</w:t>
            </w:r>
          </w:p>
        </w:tc>
      </w:tr>
      <w:tr w:rsidR="00CF7A9F" w:rsidRPr="000807BC" w14:paraId="6CEA2211" w14:textId="77777777" w:rsidTr="000807BC">
        <w:trPr>
          <w:cantSplit/>
          <w:trHeight w:val="340"/>
        </w:trPr>
        <w:tc>
          <w:tcPr>
            <w:tcW w:w="787" w:type="pct"/>
            <w:vMerge/>
            <w:tcBorders>
              <w:left w:val="single" w:sz="6" w:space="0" w:color="CCCCCC"/>
              <w:right w:val="single" w:sz="6" w:space="0" w:color="CCCCCC"/>
            </w:tcBorders>
            <w:vAlign w:val="center"/>
            <w:hideMark/>
          </w:tcPr>
          <w:p w14:paraId="15C0D4F0"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21B5AC1E" w14:textId="7FAE3BD6"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Divisão de Apoio e Registros Taquigráficos </w:t>
            </w:r>
            <w:r w:rsidR="00C04F65" w:rsidRPr="000807BC">
              <w:rPr>
                <w:rFonts w:asciiTheme="minorHAnsi" w:hAnsiTheme="minorHAnsi" w:cstheme="minorHAnsi"/>
                <w:sz w:val="20"/>
                <w:szCs w:val="20"/>
              </w:rPr>
              <w:t>–</w:t>
            </w:r>
            <w:r w:rsidRPr="000807BC">
              <w:rPr>
                <w:rFonts w:asciiTheme="minorHAnsi" w:hAnsiTheme="minorHAnsi" w:cstheme="minorHAnsi"/>
                <w:sz w:val="20"/>
                <w:szCs w:val="20"/>
              </w:rPr>
              <w:t xml:space="preserve"> DART</w:t>
            </w:r>
          </w:p>
        </w:tc>
        <w:tc>
          <w:tcPr>
            <w:tcW w:w="1750" w:type="pct"/>
            <w:tcBorders>
              <w:left w:val="single" w:sz="6" w:space="0" w:color="CCCCCC"/>
              <w:right w:val="single" w:sz="6" w:space="0" w:color="CCCCCC"/>
            </w:tcBorders>
            <w:vAlign w:val="center"/>
            <w:hideMark/>
          </w:tcPr>
          <w:p w14:paraId="5198C5D3"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Editoria e Imprensa - CEIM</w:t>
            </w:r>
          </w:p>
        </w:tc>
      </w:tr>
      <w:tr w:rsidR="00CF7A9F" w:rsidRPr="000807BC" w14:paraId="720E918A" w14:textId="77777777" w:rsidTr="000807BC">
        <w:trPr>
          <w:cantSplit/>
          <w:trHeight w:val="340"/>
        </w:trPr>
        <w:tc>
          <w:tcPr>
            <w:tcW w:w="787" w:type="pct"/>
            <w:vMerge/>
            <w:tcBorders>
              <w:left w:val="single" w:sz="6" w:space="0" w:color="CCCCCC"/>
              <w:right w:val="single" w:sz="6" w:space="0" w:color="CCCCCC"/>
            </w:tcBorders>
            <w:vAlign w:val="center"/>
            <w:hideMark/>
          </w:tcPr>
          <w:p w14:paraId="6D29CE06"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77D1B2F0" w14:textId="77E09A00"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Divisão de Suporte Especializado aos Gabinetes de Ministro </w:t>
            </w:r>
            <w:r w:rsidR="00332072" w:rsidRPr="000807BC">
              <w:rPr>
                <w:rFonts w:asciiTheme="minorHAnsi" w:hAnsiTheme="minorHAnsi" w:cstheme="minorHAnsi"/>
                <w:sz w:val="20"/>
                <w:szCs w:val="20"/>
              </w:rPr>
              <w:t>–</w:t>
            </w:r>
            <w:r w:rsidRPr="000807BC">
              <w:rPr>
                <w:rFonts w:asciiTheme="minorHAnsi" w:hAnsiTheme="minorHAnsi" w:cstheme="minorHAnsi"/>
                <w:sz w:val="20"/>
                <w:szCs w:val="20"/>
              </w:rPr>
              <w:t xml:space="preserve"> DSGAB</w:t>
            </w:r>
          </w:p>
        </w:tc>
        <w:tc>
          <w:tcPr>
            <w:tcW w:w="1750" w:type="pct"/>
            <w:tcBorders>
              <w:left w:val="single" w:sz="6" w:space="0" w:color="CCCCCC"/>
              <w:right w:val="single" w:sz="6" w:space="0" w:color="CCCCCC"/>
            </w:tcBorders>
            <w:vAlign w:val="center"/>
            <w:hideMark/>
          </w:tcPr>
          <w:p w14:paraId="42CA9DA5"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Coordenadoria de Gestão e Apoio à Fiscalização de Contratos - CGFC</w:t>
            </w:r>
          </w:p>
        </w:tc>
      </w:tr>
      <w:tr w:rsidR="00CF7A9F" w:rsidRPr="000807BC" w14:paraId="7A1894A0" w14:textId="77777777" w:rsidTr="000807BC">
        <w:trPr>
          <w:cantSplit/>
          <w:trHeight w:val="340"/>
        </w:trPr>
        <w:tc>
          <w:tcPr>
            <w:tcW w:w="787" w:type="pct"/>
            <w:vMerge/>
            <w:tcBorders>
              <w:left w:val="single" w:sz="6" w:space="0" w:color="CCCCCC"/>
              <w:right w:val="single" w:sz="6" w:space="0" w:color="CCCCCC"/>
            </w:tcBorders>
            <w:vAlign w:val="center"/>
            <w:hideMark/>
          </w:tcPr>
          <w:p w14:paraId="33F249BA"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7103424E"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1ª Turma - SETR1</w:t>
            </w:r>
          </w:p>
        </w:tc>
        <w:tc>
          <w:tcPr>
            <w:tcW w:w="1750" w:type="pct"/>
            <w:tcBorders>
              <w:left w:val="single" w:sz="6" w:space="0" w:color="CCCCCC"/>
              <w:right w:val="single" w:sz="6" w:space="0" w:color="CCCCCC"/>
            </w:tcBorders>
            <w:vAlign w:val="center"/>
            <w:hideMark/>
          </w:tcPr>
          <w:p w14:paraId="25138D18" w14:textId="3C6050AB"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Informações Funcionais </w:t>
            </w:r>
            <w:r w:rsidR="00AE06B6" w:rsidRPr="000807BC">
              <w:rPr>
                <w:rFonts w:asciiTheme="minorHAnsi" w:hAnsiTheme="minorHAnsi" w:cstheme="minorHAnsi"/>
                <w:sz w:val="20"/>
                <w:szCs w:val="20"/>
              </w:rPr>
              <w:t>–</w:t>
            </w:r>
            <w:r w:rsidRPr="000807BC">
              <w:rPr>
                <w:rFonts w:asciiTheme="minorHAnsi" w:hAnsiTheme="minorHAnsi" w:cstheme="minorHAnsi"/>
                <w:sz w:val="20"/>
                <w:szCs w:val="20"/>
              </w:rPr>
              <w:t xml:space="preserve"> CIF</w:t>
            </w:r>
          </w:p>
        </w:tc>
      </w:tr>
      <w:tr w:rsidR="00CF7A9F" w:rsidRPr="000807BC" w14:paraId="709D7887" w14:textId="77777777" w:rsidTr="000807BC">
        <w:trPr>
          <w:cantSplit/>
          <w:trHeight w:val="340"/>
        </w:trPr>
        <w:tc>
          <w:tcPr>
            <w:tcW w:w="787" w:type="pct"/>
            <w:vMerge/>
            <w:tcBorders>
              <w:left w:val="single" w:sz="6" w:space="0" w:color="CCCCCC"/>
              <w:right w:val="single" w:sz="6" w:space="0" w:color="CCCCCC"/>
            </w:tcBorders>
            <w:vAlign w:val="center"/>
            <w:hideMark/>
          </w:tcPr>
          <w:p w14:paraId="1C0AC633"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6462409B"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2ª Turma - SETR2</w:t>
            </w:r>
          </w:p>
        </w:tc>
        <w:tc>
          <w:tcPr>
            <w:tcW w:w="1750" w:type="pct"/>
            <w:tcBorders>
              <w:left w:val="single" w:sz="6" w:space="0" w:color="CCCCCC"/>
              <w:right w:val="single" w:sz="6" w:space="0" w:color="CCCCCC"/>
            </w:tcBorders>
            <w:vAlign w:val="center"/>
            <w:hideMark/>
          </w:tcPr>
          <w:p w14:paraId="28556F59" w14:textId="1B9C6CA6"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w:t>
            </w:r>
            <w:r w:rsidR="009968FC" w:rsidRPr="000807BC">
              <w:rPr>
                <w:rFonts w:asciiTheme="minorHAnsi" w:hAnsiTheme="minorHAnsi" w:cstheme="minorHAnsi"/>
                <w:sz w:val="20"/>
                <w:szCs w:val="20"/>
              </w:rPr>
              <w:t>Infraestrutura</w:t>
            </w:r>
            <w:r w:rsidRPr="000807BC">
              <w:rPr>
                <w:rFonts w:asciiTheme="minorHAnsi" w:hAnsiTheme="minorHAnsi" w:cstheme="minorHAnsi"/>
                <w:sz w:val="20"/>
                <w:szCs w:val="20"/>
              </w:rPr>
              <w:t xml:space="preserve"> Tecnológica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CITEC</w:t>
            </w:r>
          </w:p>
        </w:tc>
      </w:tr>
      <w:tr w:rsidR="00CF7A9F" w:rsidRPr="000807BC" w14:paraId="5EFBA339" w14:textId="77777777" w:rsidTr="000807BC">
        <w:trPr>
          <w:cantSplit/>
          <w:trHeight w:val="340"/>
        </w:trPr>
        <w:tc>
          <w:tcPr>
            <w:tcW w:w="787" w:type="pct"/>
            <w:vMerge/>
            <w:tcBorders>
              <w:left w:val="single" w:sz="6" w:space="0" w:color="CCCCCC"/>
              <w:right w:val="single" w:sz="6" w:space="0" w:color="CCCCCC"/>
            </w:tcBorders>
            <w:vAlign w:val="center"/>
            <w:hideMark/>
          </w:tcPr>
          <w:p w14:paraId="6425D305"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1A1D49F3"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3ª Turma - SETR3</w:t>
            </w:r>
          </w:p>
        </w:tc>
        <w:tc>
          <w:tcPr>
            <w:tcW w:w="1750" w:type="pct"/>
            <w:tcBorders>
              <w:left w:val="single" w:sz="6" w:space="0" w:color="CCCCCC"/>
              <w:right w:val="single" w:sz="6" w:space="0" w:color="CCCCCC"/>
            </w:tcBorders>
            <w:vAlign w:val="center"/>
            <w:hideMark/>
          </w:tcPr>
          <w:p w14:paraId="70AAAEAA" w14:textId="48CE41BA"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Legislação de Pessoal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CLEP</w:t>
            </w:r>
          </w:p>
        </w:tc>
      </w:tr>
      <w:tr w:rsidR="00CF7A9F" w:rsidRPr="000807BC" w14:paraId="15D83C03" w14:textId="77777777" w:rsidTr="000807BC">
        <w:trPr>
          <w:cantSplit/>
          <w:trHeight w:val="340"/>
        </w:trPr>
        <w:tc>
          <w:tcPr>
            <w:tcW w:w="787" w:type="pct"/>
            <w:vMerge/>
            <w:tcBorders>
              <w:left w:val="single" w:sz="6" w:space="0" w:color="CCCCCC"/>
              <w:right w:val="single" w:sz="6" w:space="0" w:color="CCCCCC"/>
            </w:tcBorders>
            <w:vAlign w:val="center"/>
            <w:hideMark/>
          </w:tcPr>
          <w:p w14:paraId="76B19819"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1624E17C"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4ª Turma - SETR4</w:t>
            </w:r>
          </w:p>
        </w:tc>
        <w:tc>
          <w:tcPr>
            <w:tcW w:w="1750" w:type="pct"/>
            <w:tcBorders>
              <w:left w:val="single" w:sz="6" w:space="0" w:color="CCCCCC"/>
              <w:right w:val="single" w:sz="6" w:space="0" w:color="CCCCCC"/>
            </w:tcBorders>
            <w:vAlign w:val="center"/>
            <w:hideMark/>
          </w:tcPr>
          <w:p w14:paraId="1FEB02D4" w14:textId="713AE39C"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Licitações e Contratos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CLCON</w:t>
            </w:r>
          </w:p>
        </w:tc>
      </w:tr>
      <w:tr w:rsidR="00CF7A9F" w:rsidRPr="000807BC" w14:paraId="1AB11181" w14:textId="77777777" w:rsidTr="000807BC">
        <w:trPr>
          <w:cantSplit/>
          <w:trHeight w:val="340"/>
        </w:trPr>
        <w:tc>
          <w:tcPr>
            <w:tcW w:w="787" w:type="pct"/>
            <w:vMerge/>
            <w:tcBorders>
              <w:left w:val="single" w:sz="6" w:space="0" w:color="CCCCCC"/>
              <w:right w:val="single" w:sz="6" w:space="0" w:color="CCCCCC"/>
            </w:tcBorders>
            <w:vAlign w:val="center"/>
            <w:hideMark/>
          </w:tcPr>
          <w:p w14:paraId="2382ED06"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70CBBFEA"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5ª Turma - SETR5</w:t>
            </w:r>
          </w:p>
        </w:tc>
        <w:tc>
          <w:tcPr>
            <w:tcW w:w="1750" w:type="pct"/>
            <w:tcBorders>
              <w:left w:val="single" w:sz="6" w:space="0" w:color="CCCCCC"/>
              <w:right w:val="single" w:sz="6" w:space="0" w:color="CCCCCC"/>
            </w:tcBorders>
            <w:vAlign w:val="center"/>
            <w:hideMark/>
          </w:tcPr>
          <w:p w14:paraId="538E71D0" w14:textId="1A0E4E6B"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Manutenção e Projetos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CMAP</w:t>
            </w:r>
          </w:p>
        </w:tc>
      </w:tr>
      <w:tr w:rsidR="00CF7A9F" w:rsidRPr="000807BC" w14:paraId="0221AD5D" w14:textId="77777777" w:rsidTr="000807BC">
        <w:trPr>
          <w:cantSplit/>
          <w:trHeight w:val="340"/>
        </w:trPr>
        <w:tc>
          <w:tcPr>
            <w:tcW w:w="787" w:type="pct"/>
            <w:vMerge/>
            <w:tcBorders>
              <w:left w:val="single" w:sz="6" w:space="0" w:color="CCCCCC"/>
              <w:right w:val="single" w:sz="6" w:space="0" w:color="CCCCCC"/>
            </w:tcBorders>
            <w:vAlign w:val="center"/>
            <w:hideMark/>
          </w:tcPr>
          <w:p w14:paraId="15F94CA5"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17FE140F"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6ª Turma - SETR6</w:t>
            </w:r>
          </w:p>
        </w:tc>
        <w:tc>
          <w:tcPr>
            <w:tcW w:w="1750" w:type="pct"/>
            <w:tcBorders>
              <w:left w:val="single" w:sz="6" w:space="0" w:color="CCCCCC"/>
              <w:right w:val="single" w:sz="6" w:space="0" w:color="CCCCCC"/>
            </w:tcBorders>
            <w:vAlign w:val="center"/>
            <w:hideMark/>
          </w:tcPr>
          <w:p w14:paraId="09544D2F" w14:textId="7354432F"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Orçamento e Finanças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COFIN</w:t>
            </w:r>
          </w:p>
        </w:tc>
      </w:tr>
      <w:tr w:rsidR="00CF7A9F" w:rsidRPr="000807BC" w14:paraId="5CD4F1EC" w14:textId="77777777" w:rsidTr="000807BC">
        <w:trPr>
          <w:cantSplit/>
          <w:trHeight w:val="340"/>
        </w:trPr>
        <w:tc>
          <w:tcPr>
            <w:tcW w:w="787" w:type="pct"/>
            <w:vMerge/>
            <w:tcBorders>
              <w:left w:val="single" w:sz="6" w:space="0" w:color="CCCCCC"/>
              <w:right w:val="single" w:sz="6" w:space="0" w:color="CCCCCC"/>
            </w:tcBorders>
            <w:vAlign w:val="center"/>
            <w:hideMark/>
          </w:tcPr>
          <w:p w14:paraId="61047F7B"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049B8275"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7ª Turma - SETR7</w:t>
            </w:r>
          </w:p>
        </w:tc>
        <w:tc>
          <w:tcPr>
            <w:tcW w:w="1750" w:type="pct"/>
            <w:tcBorders>
              <w:left w:val="single" w:sz="6" w:space="0" w:color="CCCCCC"/>
              <w:right w:val="single" w:sz="6" w:space="0" w:color="CCCCCC"/>
            </w:tcBorders>
            <w:vAlign w:val="center"/>
            <w:hideMark/>
          </w:tcPr>
          <w:p w14:paraId="5CE874C8" w14:textId="6E6D402E"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Rádio e TV </w:t>
            </w:r>
            <w:r w:rsidR="00B17BF9" w:rsidRPr="000807BC">
              <w:rPr>
                <w:rFonts w:asciiTheme="minorHAnsi" w:hAnsiTheme="minorHAnsi" w:cstheme="minorHAnsi"/>
                <w:sz w:val="20"/>
                <w:szCs w:val="20"/>
              </w:rPr>
              <w:t>–</w:t>
            </w:r>
            <w:r w:rsidRPr="000807BC">
              <w:rPr>
                <w:rFonts w:asciiTheme="minorHAnsi" w:hAnsiTheme="minorHAnsi" w:cstheme="minorHAnsi"/>
                <w:sz w:val="20"/>
                <w:szCs w:val="20"/>
              </w:rPr>
              <w:t xml:space="preserve"> CRTV</w:t>
            </w:r>
          </w:p>
        </w:tc>
      </w:tr>
      <w:tr w:rsidR="00CF7A9F" w:rsidRPr="000807BC" w14:paraId="7C6B53DF" w14:textId="77777777" w:rsidTr="000807BC">
        <w:trPr>
          <w:cantSplit/>
          <w:trHeight w:val="340"/>
        </w:trPr>
        <w:tc>
          <w:tcPr>
            <w:tcW w:w="787" w:type="pct"/>
            <w:vMerge/>
            <w:tcBorders>
              <w:left w:val="single" w:sz="6" w:space="0" w:color="CCCCCC"/>
              <w:bottom w:val="single" w:sz="6" w:space="0" w:color="CCCCCC"/>
              <w:right w:val="single" w:sz="6" w:space="0" w:color="CCCCCC"/>
            </w:tcBorders>
            <w:vAlign w:val="center"/>
            <w:hideMark/>
          </w:tcPr>
          <w:p w14:paraId="7051DFB2"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0FFF9E43"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8ª Turma - SETR8</w:t>
            </w:r>
          </w:p>
        </w:tc>
        <w:tc>
          <w:tcPr>
            <w:tcW w:w="1750" w:type="pct"/>
            <w:tcBorders>
              <w:left w:val="single" w:sz="6" w:space="0" w:color="CCCCCC"/>
              <w:right w:val="single" w:sz="6" w:space="0" w:color="CCCCCC"/>
            </w:tcBorders>
            <w:vAlign w:val="center"/>
            <w:hideMark/>
          </w:tcPr>
          <w:p w14:paraId="5C6727B6" w14:textId="2B3688D1"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Saúde Complementar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CSAC</w:t>
            </w:r>
          </w:p>
        </w:tc>
      </w:tr>
      <w:tr w:rsidR="00CF7A9F" w:rsidRPr="000807BC" w14:paraId="333F9A85"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3C7D7B49"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34EF814D"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Subseção I Especializada em Dissídios Individuais - SESDI1</w:t>
            </w:r>
          </w:p>
        </w:tc>
        <w:tc>
          <w:tcPr>
            <w:tcW w:w="1750" w:type="pct"/>
            <w:tcBorders>
              <w:left w:val="single" w:sz="6" w:space="0" w:color="CCCCCC"/>
              <w:right w:val="single" w:sz="6" w:space="0" w:color="CCCCCC"/>
            </w:tcBorders>
            <w:vAlign w:val="center"/>
            <w:hideMark/>
          </w:tcPr>
          <w:p w14:paraId="63404262" w14:textId="2E6C6A6D"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Segurança Cibernética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CSEC</w:t>
            </w:r>
          </w:p>
        </w:tc>
      </w:tr>
      <w:tr w:rsidR="00CF7A9F" w:rsidRPr="000807BC" w14:paraId="3D34329A"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2A17AFE4"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69C393EB" w14:textId="7777777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Secretaria da Subseção II Especializada em Dissídios Individuais - SESDI2</w:t>
            </w:r>
          </w:p>
        </w:tc>
        <w:tc>
          <w:tcPr>
            <w:tcW w:w="1750" w:type="pct"/>
            <w:tcBorders>
              <w:left w:val="single" w:sz="6" w:space="0" w:color="CCCCCC"/>
              <w:right w:val="single" w:sz="6" w:space="0" w:color="CCCCCC"/>
            </w:tcBorders>
            <w:vAlign w:val="center"/>
            <w:hideMark/>
          </w:tcPr>
          <w:p w14:paraId="0F0E9343" w14:textId="5AF67FAC"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Coordenadoria de Suporte Técnico aos Usuários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CSUP</w:t>
            </w:r>
          </w:p>
        </w:tc>
      </w:tr>
      <w:tr w:rsidR="00CF7A9F" w:rsidRPr="000807BC" w14:paraId="70F14038"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16861FCE"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327EDDDB" w14:textId="2FF20CB1"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Gestão de Precedentes </w:t>
            </w:r>
            <w:r w:rsidR="00325EBD" w:rsidRPr="000807BC">
              <w:rPr>
                <w:rFonts w:asciiTheme="minorHAnsi" w:hAnsiTheme="minorHAnsi" w:cstheme="minorHAnsi"/>
                <w:sz w:val="20"/>
                <w:szCs w:val="20"/>
              </w:rPr>
              <w:t>–</w:t>
            </w:r>
            <w:r w:rsidRPr="000807BC">
              <w:rPr>
                <w:rFonts w:asciiTheme="minorHAnsi" w:hAnsiTheme="minorHAnsi" w:cstheme="minorHAnsi"/>
                <w:sz w:val="20"/>
                <w:szCs w:val="20"/>
              </w:rPr>
              <w:t xml:space="preserve"> SPR</w:t>
            </w:r>
          </w:p>
        </w:tc>
        <w:tc>
          <w:tcPr>
            <w:tcW w:w="1750" w:type="pct"/>
            <w:tcBorders>
              <w:left w:val="single" w:sz="6" w:space="0" w:color="CCCCCC"/>
              <w:right w:val="single" w:sz="6" w:space="0" w:color="CCCCCC"/>
            </w:tcBorders>
            <w:vAlign w:val="center"/>
            <w:hideMark/>
          </w:tcPr>
          <w:p w14:paraId="4811E0FE" w14:textId="5A9BBB9A"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Divisão de Conformidade </w:t>
            </w:r>
            <w:r w:rsidR="00B17BF9" w:rsidRPr="000807BC">
              <w:rPr>
                <w:rFonts w:asciiTheme="minorHAnsi" w:hAnsiTheme="minorHAnsi" w:cstheme="minorHAnsi"/>
                <w:sz w:val="20"/>
                <w:szCs w:val="20"/>
              </w:rPr>
              <w:t>–</w:t>
            </w:r>
            <w:r w:rsidRPr="000807BC">
              <w:rPr>
                <w:rFonts w:asciiTheme="minorHAnsi" w:hAnsiTheme="minorHAnsi" w:cstheme="minorHAnsi"/>
                <w:sz w:val="20"/>
                <w:szCs w:val="20"/>
              </w:rPr>
              <w:t xml:space="preserve"> DCONF</w:t>
            </w:r>
          </w:p>
        </w:tc>
      </w:tr>
      <w:tr w:rsidR="00CF7A9F" w:rsidRPr="000807BC" w14:paraId="09574E8A"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72399D46"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27538D14" w14:textId="32BED350"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Processamento de Recursos Extraordinários </w:t>
            </w:r>
            <w:r w:rsidR="00332072" w:rsidRPr="000807BC">
              <w:rPr>
                <w:rFonts w:asciiTheme="minorHAnsi" w:hAnsiTheme="minorHAnsi" w:cstheme="minorHAnsi"/>
                <w:sz w:val="20"/>
                <w:szCs w:val="20"/>
              </w:rPr>
              <w:t>–</w:t>
            </w:r>
            <w:r w:rsidRPr="000807BC">
              <w:rPr>
                <w:rFonts w:asciiTheme="minorHAnsi" w:hAnsiTheme="minorHAnsi" w:cstheme="minorHAnsi"/>
                <w:sz w:val="20"/>
                <w:szCs w:val="20"/>
              </w:rPr>
              <w:t xml:space="preserve"> SEPREX</w:t>
            </w:r>
          </w:p>
        </w:tc>
        <w:tc>
          <w:tcPr>
            <w:tcW w:w="1750" w:type="pct"/>
            <w:tcBorders>
              <w:left w:val="single" w:sz="6" w:space="0" w:color="CCCCCC"/>
              <w:right w:val="single" w:sz="6" w:space="0" w:color="CCCCCC"/>
            </w:tcBorders>
            <w:vAlign w:val="center"/>
            <w:hideMark/>
          </w:tcPr>
          <w:p w14:paraId="4B57FB7A" w14:textId="67E34907"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Divisão de Contabilidade </w:t>
            </w:r>
            <w:r w:rsidR="00B17BF9" w:rsidRPr="000807BC">
              <w:rPr>
                <w:rFonts w:asciiTheme="minorHAnsi" w:hAnsiTheme="minorHAnsi" w:cstheme="minorHAnsi"/>
                <w:sz w:val="20"/>
                <w:szCs w:val="20"/>
              </w:rPr>
              <w:t>–</w:t>
            </w:r>
            <w:r w:rsidRPr="000807BC">
              <w:rPr>
                <w:rFonts w:asciiTheme="minorHAnsi" w:hAnsiTheme="minorHAnsi" w:cstheme="minorHAnsi"/>
                <w:sz w:val="20"/>
                <w:szCs w:val="20"/>
              </w:rPr>
              <w:t xml:space="preserve"> DICONT</w:t>
            </w:r>
          </w:p>
        </w:tc>
      </w:tr>
      <w:tr w:rsidR="00CF7A9F" w:rsidRPr="000807BC" w14:paraId="0BE79E42"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756CC817"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694510E4" w14:textId="47D92C81"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do Tribunal Pleno, do Órgão Especial e da Seção Especializada em Dissídios Coletivos </w:t>
            </w:r>
            <w:r w:rsidR="00332072" w:rsidRPr="000807BC">
              <w:rPr>
                <w:rFonts w:asciiTheme="minorHAnsi" w:hAnsiTheme="minorHAnsi" w:cstheme="minorHAnsi"/>
                <w:sz w:val="20"/>
                <w:szCs w:val="20"/>
              </w:rPr>
              <w:t>–</w:t>
            </w:r>
            <w:r w:rsidRPr="000807BC">
              <w:rPr>
                <w:rFonts w:asciiTheme="minorHAnsi" w:hAnsiTheme="minorHAnsi" w:cstheme="minorHAnsi"/>
                <w:sz w:val="20"/>
                <w:szCs w:val="20"/>
              </w:rPr>
              <w:t xml:space="preserve"> SETPOESDC</w:t>
            </w:r>
          </w:p>
        </w:tc>
        <w:tc>
          <w:tcPr>
            <w:tcW w:w="1750" w:type="pct"/>
            <w:tcBorders>
              <w:left w:val="single" w:sz="6" w:space="0" w:color="CCCCCC"/>
              <w:right w:val="single" w:sz="6" w:space="0" w:color="CCCCCC"/>
            </w:tcBorders>
            <w:vAlign w:val="center"/>
            <w:hideMark/>
          </w:tcPr>
          <w:p w14:paraId="19A5E24F" w14:textId="5D3C4CAB"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Divisão de Educação Corporativa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DIEDUC</w:t>
            </w:r>
          </w:p>
        </w:tc>
      </w:tr>
      <w:tr w:rsidR="00CF7A9F" w:rsidRPr="000807BC" w14:paraId="53FCFC49"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4FAF0E3C"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09C1FFD9" w14:textId="1516361E"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Secretaria-Geral Judiciária </w:t>
            </w:r>
            <w:r w:rsidR="00AE06B6" w:rsidRPr="000807BC">
              <w:rPr>
                <w:rFonts w:asciiTheme="minorHAnsi" w:hAnsiTheme="minorHAnsi" w:cstheme="minorHAnsi"/>
                <w:sz w:val="20"/>
                <w:szCs w:val="20"/>
              </w:rPr>
              <w:t>–</w:t>
            </w:r>
            <w:r w:rsidRPr="000807BC">
              <w:rPr>
                <w:rFonts w:asciiTheme="minorHAnsi" w:hAnsiTheme="minorHAnsi" w:cstheme="minorHAnsi"/>
                <w:sz w:val="20"/>
                <w:szCs w:val="20"/>
              </w:rPr>
              <w:t xml:space="preserve"> SEGJUD</w:t>
            </w:r>
          </w:p>
        </w:tc>
        <w:tc>
          <w:tcPr>
            <w:tcW w:w="1750" w:type="pct"/>
            <w:tcBorders>
              <w:left w:val="single" w:sz="6" w:space="0" w:color="CCCCCC"/>
              <w:right w:val="single" w:sz="6" w:space="0" w:color="CCCCCC"/>
            </w:tcBorders>
            <w:vAlign w:val="center"/>
            <w:hideMark/>
          </w:tcPr>
          <w:p w14:paraId="7280D875" w14:textId="19F45749"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Divisão de Gerenciamento de Aplicações e Dados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DGEAD</w:t>
            </w:r>
          </w:p>
        </w:tc>
      </w:tr>
      <w:tr w:rsidR="00CF7A9F" w:rsidRPr="000807BC" w14:paraId="5F3912B2"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2B67590F"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36D05470"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71442B2B" w14:textId="231A0DCB"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Divisão de Preparação de Pagamento de Pessoal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DIPPP</w:t>
            </w:r>
          </w:p>
        </w:tc>
      </w:tr>
      <w:tr w:rsidR="00CF7A9F" w:rsidRPr="000807BC" w14:paraId="4544F82F"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2B8F1D18"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2C5BE0CF"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5BCC3CCA" w14:textId="619CEF64"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Divisão de Serviços Administrativos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DISAD</w:t>
            </w:r>
          </w:p>
        </w:tc>
      </w:tr>
      <w:tr w:rsidR="00CF7A9F" w:rsidRPr="000807BC" w14:paraId="3E8DE913"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01F20502"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3CB6E0B7"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4ED78ECB" w14:textId="1C13700C"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Divisão Médica e Odontológica </w:t>
            </w:r>
            <w:r w:rsidR="00D873C7" w:rsidRPr="000807BC">
              <w:rPr>
                <w:rFonts w:asciiTheme="minorHAnsi" w:hAnsiTheme="minorHAnsi" w:cstheme="minorHAnsi"/>
                <w:sz w:val="20"/>
                <w:szCs w:val="20"/>
              </w:rPr>
              <w:t>–</w:t>
            </w:r>
            <w:r w:rsidRPr="000807BC">
              <w:rPr>
                <w:rFonts w:asciiTheme="minorHAnsi" w:hAnsiTheme="minorHAnsi" w:cstheme="minorHAnsi"/>
                <w:sz w:val="20"/>
                <w:szCs w:val="20"/>
              </w:rPr>
              <w:t xml:space="preserve"> DIMEOD</w:t>
            </w:r>
          </w:p>
        </w:tc>
      </w:tr>
      <w:tr w:rsidR="00CF7A9F" w:rsidRPr="000807BC" w14:paraId="3C555C94"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653343E2"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7AC027F7"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38CA1A07" w14:textId="692596B4"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Gabinete do Diretor-Geral da Secretaria do Tribunal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GDGSET</w:t>
            </w:r>
          </w:p>
        </w:tc>
      </w:tr>
      <w:tr w:rsidR="00CF7A9F" w:rsidRPr="000807BC" w14:paraId="1900015F"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31CD7208"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right w:val="single" w:sz="6" w:space="0" w:color="CCCCCC"/>
            </w:tcBorders>
            <w:tcMar>
              <w:top w:w="0" w:type="dxa"/>
              <w:left w:w="45" w:type="dxa"/>
              <w:bottom w:w="0" w:type="dxa"/>
              <w:right w:w="45" w:type="dxa"/>
            </w:tcMar>
            <w:vAlign w:val="center"/>
            <w:hideMark/>
          </w:tcPr>
          <w:p w14:paraId="319C75B3"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right w:val="single" w:sz="6" w:space="0" w:color="CCCCCC"/>
            </w:tcBorders>
            <w:vAlign w:val="center"/>
            <w:hideMark/>
          </w:tcPr>
          <w:p w14:paraId="5A5C10DE" w14:textId="546AF57A"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Núcleo de Educação em Saúde </w:t>
            </w:r>
            <w:r w:rsidR="00CC4796" w:rsidRPr="000807BC">
              <w:rPr>
                <w:rFonts w:asciiTheme="minorHAnsi" w:hAnsiTheme="minorHAnsi" w:cstheme="minorHAnsi"/>
                <w:sz w:val="20"/>
                <w:szCs w:val="20"/>
              </w:rPr>
              <w:t>–</w:t>
            </w:r>
            <w:r w:rsidRPr="000807BC">
              <w:rPr>
                <w:rFonts w:asciiTheme="minorHAnsi" w:hAnsiTheme="minorHAnsi" w:cstheme="minorHAnsi"/>
                <w:sz w:val="20"/>
                <w:szCs w:val="20"/>
              </w:rPr>
              <w:t xml:space="preserve"> NEDS</w:t>
            </w:r>
          </w:p>
        </w:tc>
      </w:tr>
      <w:tr w:rsidR="00CF7A9F" w:rsidRPr="000807BC" w14:paraId="4EAE4EBC" w14:textId="77777777" w:rsidTr="000807BC">
        <w:trPr>
          <w:cantSplit/>
          <w:trHeight w:val="340"/>
        </w:trPr>
        <w:tc>
          <w:tcPr>
            <w:tcW w:w="787" w:type="pct"/>
            <w:vMerge/>
            <w:tcBorders>
              <w:top w:val="single" w:sz="6" w:space="0" w:color="CCCCCC"/>
              <w:left w:val="single" w:sz="6" w:space="0" w:color="CCCCCC"/>
              <w:bottom w:val="single" w:sz="6" w:space="0" w:color="CCCCCC"/>
              <w:right w:val="single" w:sz="6" w:space="0" w:color="CCCCCC"/>
            </w:tcBorders>
            <w:vAlign w:val="center"/>
            <w:hideMark/>
          </w:tcPr>
          <w:p w14:paraId="3041627E" w14:textId="77777777" w:rsidR="00CF7A9F" w:rsidRPr="000807BC" w:rsidRDefault="00CF7A9F" w:rsidP="000807BC">
            <w:pPr>
              <w:rPr>
                <w:rFonts w:asciiTheme="minorHAnsi" w:hAnsiTheme="minorHAnsi" w:cstheme="minorHAnsi"/>
                <w:sz w:val="20"/>
                <w:szCs w:val="20"/>
              </w:rPr>
            </w:pPr>
          </w:p>
        </w:tc>
        <w:tc>
          <w:tcPr>
            <w:tcW w:w="2463" w:type="pct"/>
            <w:tcBorders>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76C5277" w14:textId="77777777" w:rsidR="00CF7A9F" w:rsidRPr="000807BC" w:rsidRDefault="00CF7A9F" w:rsidP="000807BC">
            <w:pPr>
              <w:rPr>
                <w:rFonts w:asciiTheme="minorHAnsi" w:hAnsiTheme="minorHAnsi" w:cstheme="minorHAnsi"/>
                <w:sz w:val="20"/>
                <w:szCs w:val="20"/>
              </w:rPr>
            </w:pPr>
          </w:p>
        </w:tc>
        <w:tc>
          <w:tcPr>
            <w:tcW w:w="1750" w:type="pct"/>
            <w:tcBorders>
              <w:left w:val="single" w:sz="6" w:space="0" w:color="CCCCCC"/>
              <w:bottom w:val="single" w:sz="6" w:space="0" w:color="CCCCCC"/>
              <w:right w:val="single" w:sz="6" w:space="0" w:color="CCCCCC"/>
            </w:tcBorders>
            <w:vAlign w:val="center"/>
            <w:hideMark/>
          </w:tcPr>
          <w:p w14:paraId="71A47F23" w14:textId="1C4DBD05" w:rsidR="00CF7A9F" w:rsidRPr="000807BC" w:rsidRDefault="00CF7A9F" w:rsidP="000807BC">
            <w:pPr>
              <w:rPr>
                <w:rFonts w:asciiTheme="minorHAnsi" w:hAnsiTheme="minorHAnsi" w:cstheme="minorHAnsi"/>
                <w:sz w:val="20"/>
                <w:szCs w:val="20"/>
              </w:rPr>
            </w:pPr>
            <w:r w:rsidRPr="000807BC">
              <w:rPr>
                <w:rFonts w:asciiTheme="minorHAnsi" w:hAnsiTheme="minorHAnsi" w:cstheme="minorHAnsi"/>
                <w:sz w:val="20"/>
                <w:szCs w:val="20"/>
              </w:rPr>
              <w:t xml:space="preserve">Secretaria de Comunicação Social </w:t>
            </w:r>
            <w:r w:rsidR="009968FC" w:rsidRPr="000807BC">
              <w:rPr>
                <w:rFonts w:asciiTheme="minorHAnsi" w:hAnsiTheme="minorHAnsi" w:cstheme="minorHAnsi"/>
                <w:sz w:val="20"/>
                <w:szCs w:val="20"/>
              </w:rPr>
              <w:t>–</w:t>
            </w:r>
            <w:r w:rsidRPr="000807BC">
              <w:rPr>
                <w:rFonts w:asciiTheme="minorHAnsi" w:hAnsiTheme="minorHAnsi" w:cstheme="minorHAnsi"/>
                <w:sz w:val="20"/>
                <w:szCs w:val="20"/>
              </w:rPr>
              <w:t xml:space="preserve"> SECOM</w:t>
            </w:r>
          </w:p>
        </w:tc>
      </w:tr>
      <w:tr w:rsidR="001A5250" w:rsidRPr="000807BC" w14:paraId="5BC07E1C" w14:textId="77777777" w:rsidTr="000807BC">
        <w:trPr>
          <w:cantSplit/>
          <w:trHeight w:val="340"/>
        </w:trPr>
        <w:tc>
          <w:tcPr>
            <w:tcW w:w="787" w:type="pct"/>
            <w:vMerge w:val="restart"/>
            <w:tcBorders>
              <w:top w:val="single" w:sz="6" w:space="0" w:color="CCCCCC"/>
              <w:left w:val="single" w:sz="6" w:space="0" w:color="CCCCCC"/>
              <w:right w:val="single" w:sz="6" w:space="0" w:color="CCCCCC"/>
            </w:tcBorders>
            <w:vAlign w:val="center"/>
          </w:tcPr>
          <w:p w14:paraId="1F46876F" w14:textId="142ED093" w:rsidR="001A5250" w:rsidRPr="000807BC" w:rsidRDefault="00325EBD" w:rsidP="000807BC">
            <w:pPr>
              <w:rPr>
                <w:rFonts w:asciiTheme="minorHAnsi" w:hAnsiTheme="minorHAnsi" w:cstheme="minorHAnsi"/>
                <w:b/>
                <w:bCs/>
                <w:sz w:val="20"/>
                <w:szCs w:val="20"/>
              </w:rPr>
            </w:pPr>
            <w:r w:rsidRPr="000807BC">
              <w:rPr>
                <w:rFonts w:asciiTheme="minorHAnsi" w:hAnsiTheme="minorHAnsi" w:cstheme="minorHAnsi"/>
                <w:b/>
                <w:bCs/>
                <w:sz w:val="20"/>
                <w:szCs w:val="20"/>
              </w:rPr>
              <w:t>Outros</w:t>
            </w:r>
            <w:r w:rsidR="001A5250" w:rsidRPr="000807BC">
              <w:rPr>
                <w:rStyle w:val="Refdenotaderodap"/>
                <w:rFonts w:asciiTheme="minorHAnsi" w:hAnsiTheme="minorHAnsi" w:cstheme="minorHAnsi"/>
                <w:b/>
                <w:bCs/>
                <w:sz w:val="20"/>
                <w:szCs w:val="20"/>
              </w:rPr>
              <w:footnoteReference w:id="48"/>
            </w:r>
          </w:p>
        </w:tc>
        <w:tc>
          <w:tcPr>
            <w:tcW w:w="2463" w:type="pct"/>
            <w:tcBorders>
              <w:top w:val="single" w:sz="6" w:space="0" w:color="CCCCCC"/>
              <w:left w:val="single" w:sz="6" w:space="0" w:color="CCCCCC"/>
              <w:right w:val="single" w:sz="6" w:space="0" w:color="CCCCCC"/>
            </w:tcBorders>
            <w:tcMar>
              <w:top w:w="0" w:type="dxa"/>
              <w:left w:w="45" w:type="dxa"/>
              <w:bottom w:w="0" w:type="dxa"/>
              <w:right w:w="45" w:type="dxa"/>
            </w:tcMar>
            <w:vAlign w:val="center"/>
          </w:tcPr>
          <w:p w14:paraId="6F9F722F" w14:textId="77777777" w:rsidR="001A5250" w:rsidRPr="000807BC" w:rsidRDefault="001A5250" w:rsidP="000807BC">
            <w:pPr>
              <w:rPr>
                <w:rFonts w:asciiTheme="minorHAnsi" w:hAnsiTheme="minorHAnsi" w:cstheme="minorHAnsi"/>
                <w:color w:val="000000"/>
                <w:sz w:val="20"/>
                <w:szCs w:val="20"/>
              </w:rPr>
            </w:pPr>
            <w:r w:rsidRPr="000807BC">
              <w:rPr>
                <w:rFonts w:asciiTheme="minorHAnsi" w:hAnsiTheme="minorHAnsi" w:cstheme="minorHAnsi"/>
                <w:color w:val="000000"/>
                <w:sz w:val="20"/>
                <w:szCs w:val="20"/>
              </w:rPr>
              <w:t>Secretaria da Corregedoria-Geral da Justiça do Trabalho - SECG</w:t>
            </w:r>
          </w:p>
          <w:p w14:paraId="6FC65E8D" w14:textId="77777777" w:rsidR="001A5250" w:rsidRPr="000807BC" w:rsidRDefault="001A5250" w:rsidP="000807BC">
            <w:pPr>
              <w:rPr>
                <w:rFonts w:asciiTheme="minorHAnsi" w:hAnsiTheme="minorHAnsi" w:cstheme="minorHAnsi"/>
                <w:sz w:val="20"/>
                <w:szCs w:val="20"/>
              </w:rPr>
            </w:pPr>
          </w:p>
        </w:tc>
        <w:tc>
          <w:tcPr>
            <w:tcW w:w="1750" w:type="pct"/>
            <w:tcBorders>
              <w:top w:val="single" w:sz="6" w:space="0" w:color="CCCCCC"/>
              <w:left w:val="single" w:sz="6" w:space="0" w:color="CCCCCC"/>
              <w:right w:val="single" w:sz="6" w:space="0" w:color="CCCCCC"/>
            </w:tcBorders>
            <w:vAlign w:val="center"/>
          </w:tcPr>
          <w:p w14:paraId="076836CA" w14:textId="77777777" w:rsidR="001A5250" w:rsidRPr="000807BC" w:rsidRDefault="001A5250" w:rsidP="000807BC">
            <w:pPr>
              <w:rPr>
                <w:rFonts w:asciiTheme="minorHAnsi" w:hAnsiTheme="minorHAnsi" w:cstheme="minorHAnsi"/>
                <w:color w:val="000000"/>
                <w:sz w:val="20"/>
                <w:szCs w:val="20"/>
              </w:rPr>
            </w:pPr>
            <w:r w:rsidRPr="000807BC">
              <w:rPr>
                <w:rFonts w:asciiTheme="minorHAnsi" w:hAnsiTheme="minorHAnsi" w:cstheme="minorHAnsi"/>
                <w:color w:val="000000"/>
                <w:sz w:val="20"/>
                <w:szCs w:val="20"/>
              </w:rPr>
              <w:t>Coordenadoria de Licitações e Contratos - CLCON</w:t>
            </w:r>
          </w:p>
          <w:p w14:paraId="28262E07" w14:textId="77777777" w:rsidR="001A5250" w:rsidRPr="000807BC" w:rsidRDefault="001A5250" w:rsidP="000807BC">
            <w:pPr>
              <w:rPr>
                <w:rFonts w:asciiTheme="minorHAnsi" w:hAnsiTheme="minorHAnsi" w:cstheme="minorHAnsi"/>
                <w:sz w:val="20"/>
                <w:szCs w:val="20"/>
              </w:rPr>
            </w:pPr>
          </w:p>
        </w:tc>
      </w:tr>
      <w:tr w:rsidR="001A5250" w:rsidRPr="000807BC" w14:paraId="38903DDC" w14:textId="77777777" w:rsidTr="000807BC">
        <w:trPr>
          <w:cantSplit/>
          <w:trHeight w:val="340"/>
        </w:trPr>
        <w:tc>
          <w:tcPr>
            <w:tcW w:w="787" w:type="pct"/>
            <w:vMerge/>
            <w:tcBorders>
              <w:left w:val="single" w:sz="6" w:space="0" w:color="CCCCCC"/>
              <w:bottom w:val="single" w:sz="6" w:space="0" w:color="CCCCCC"/>
              <w:right w:val="single" w:sz="6" w:space="0" w:color="CCCCCC"/>
            </w:tcBorders>
            <w:vAlign w:val="center"/>
          </w:tcPr>
          <w:p w14:paraId="47310B84" w14:textId="77777777" w:rsidR="001A5250" w:rsidRPr="000807BC" w:rsidRDefault="001A5250" w:rsidP="000807BC">
            <w:pPr>
              <w:rPr>
                <w:rFonts w:asciiTheme="minorHAnsi" w:hAnsiTheme="minorHAnsi" w:cstheme="minorHAnsi"/>
                <w:sz w:val="20"/>
                <w:szCs w:val="20"/>
              </w:rPr>
            </w:pPr>
          </w:p>
        </w:tc>
        <w:tc>
          <w:tcPr>
            <w:tcW w:w="2463" w:type="pct"/>
            <w:tcBorders>
              <w:left w:val="single" w:sz="6" w:space="0" w:color="CCCCCC"/>
              <w:bottom w:val="single" w:sz="6" w:space="0" w:color="CCCCCC"/>
              <w:right w:val="single" w:sz="6" w:space="0" w:color="CCCCCC"/>
            </w:tcBorders>
            <w:tcMar>
              <w:top w:w="0" w:type="dxa"/>
              <w:left w:w="45" w:type="dxa"/>
              <w:bottom w:w="0" w:type="dxa"/>
              <w:right w:w="45" w:type="dxa"/>
            </w:tcMar>
            <w:vAlign w:val="center"/>
          </w:tcPr>
          <w:p w14:paraId="3F93A73D" w14:textId="77777777" w:rsidR="001A5250" w:rsidRPr="000807BC" w:rsidRDefault="001A5250" w:rsidP="000807BC">
            <w:pPr>
              <w:rPr>
                <w:rFonts w:asciiTheme="minorHAnsi" w:hAnsiTheme="minorHAnsi" w:cstheme="minorHAnsi"/>
                <w:sz w:val="20"/>
                <w:szCs w:val="20"/>
              </w:rPr>
            </w:pPr>
          </w:p>
        </w:tc>
        <w:tc>
          <w:tcPr>
            <w:tcW w:w="1750" w:type="pct"/>
            <w:tcBorders>
              <w:left w:val="single" w:sz="6" w:space="0" w:color="CCCCCC"/>
              <w:bottom w:val="single" w:sz="6" w:space="0" w:color="CCCCCC"/>
              <w:right w:val="single" w:sz="6" w:space="0" w:color="CCCCCC"/>
            </w:tcBorders>
            <w:vAlign w:val="center"/>
          </w:tcPr>
          <w:p w14:paraId="1E83924C" w14:textId="0F76C5CA" w:rsidR="001A5250" w:rsidRPr="000807BC" w:rsidRDefault="001A5250" w:rsidP="000807BC">
            <w:pPr>
              <w:rPr>
                <w:rFonts w:asciiTheme="minorHAnsi" w:hAnsiTheme="minorHAnsi" w:cstheme="minorHAnsi"/>
                <w:color w:val="000000"/>
                <w:sz w:val="20"/>
                <w:szCs w:val="20"/>
              </w:rPr>
            </w:pPr>
            <w:r w:rsidRPr="000807BC">
              <w:rPr>
                <w:rFonts w:asciiTheme="minorHAnsi" w:hAnsiTheme="minorHAnsi" w:cstheme="minorHAnsi"/>
                <w:color w:val="000000"/>
                <w:sz w:val="20"/>
                <w:szCs w:val="20"/>
              </w:rPr>
              <w:t xml:space="preserve">Comissão Permanente Disciplinar </w:t>
            </w:r>
            <w:r w:rsidR="00D873C7" w:rsidRPr="000807BC">
              <w:rPr>
                <w:rFonts w:asciiTheme="minorHAnsi" w:hAnsiTheme="minorHAnsi" w:cstheme="minorHAnsi"/>
                <w:color w:val="000000"/>
                <w:sz w:val="20"/>
                <w:szCs w:val="20"/>
              </w:rPr>
              <w:t>–</w:t>
            </w:r>
            <w:r w:rsidRPr="000807BC">
              <w:rPr>
                <w:rFonts w:asciiTheme="minorHAnsi" w:hAnsiTheme="minorHAnsi" w:cstheme="minorHAnsi"/>
                <w:color w:val="000000"/>
                <w:sz w:val="20"/>
                <w:szCs w:val="20"/>
              </w:rPr>
              <w:t xml:space="preserve"> CMPD</w:t>
            </w:r>
          </w:p>
        </w:tc>
      </w:tr>
    </w:tbl>
    <w:p w14:paraId="3B4014A8" w14:textId="77777777" w:rsidR="003F6A5E" w:rsidRDefault="003F6A5E" w:rsidP="003F6A5E">
      <w:pPr>
        <w:pStyle w:val="Fonte"/>
        <w:rPr>
          <w:b w:val="0"/>
          <w:bCs/>
          <w:sz w:val="24"/>
        </w:rPr>
      </w:pPr>
      <w:r>
        <w:t xml:space="preserve">Fonte: </w:t>
      </w:r>
      <w:r w:rsidRPr="00AC0A64">
        <w:rPr>
          <w:b w:val="0"/>
          <w:bCs/>
        </w:rPr>
        <w:t>Dados disponibilizados pelo Sistema de Recursos Humanos do TST (abril de 2025). Compilação e elaboração: CPJUD/SEPJD/CPJED</w:t>
      </w:r>
      <w:r w:rsidRPr="00AC0A64">
        <w:rPr>
          <w:b w:val="0"/>
          <w:bCs/>
          <w:sz w:val="24"/>
        </w:rPr>
        <w:t>.</w:t>
      </w:r>
    </w:p>
    <w:p w14:paraId="0C8FA551" w14:textId="3560FEC9" w:rsidR="003F6A5E" w:rsidRDefault="003F6A5E" w:rsidP="00C75492">
      <w:pPr>
        <w:pStyle w:val="Texto"/>
      </w:pPr>
    </w:p>
    <w:p w14:paraId="5B079FDC" w14:textId="25683FC4" w:rsidR="004A515E" w:rsidRDefault="001E61A4" w:rsidP="00C75492">
      <w:pPr>
        <w:pStyle w:val="Texto"/>
      </w:pPr>
      <w:r>
        <w:t>Com base nessa</w:t>
      </w:r>
      <w:r w:rsidR="00D873C7" w:rsidRPr="00D873C7">
        <w:t xml:space="preserve"> classificação, a Tabela 9</w:t>
      </w:r>
      <w:r w:rsidR="00342804">
        <w:rPr>
          <w:rStyle w:val="Refdenotaderodap"/>
        </w:rPr>
        <w:footnoteReference w:id="49"/>
      </w:r>
      <w:r w:rsidR="00D873C7" w:rsidRPr="00D873C7">
        <w:t xml:space="preserve"> apresenta a distribuição de gênero </w:t>
      </w:r>
      <w:r>
        <w:t xml:space="preserve">por tipo de unidade, separando os dados pela </w:t>
      </w:r>
      <w:r w:rsidR="00D873C7" w:rsidRPr="00D873C7">
        <w:t>natureza das atividades</w:t>
      </w:r>
      <w:r>
        <w:t xml:space="preserve"> (área judiciária e área administrativa)</w:t>
      </w:r>
      <w:r w:rsidR="00D873C7" w:rsidRPr="00D873C7">
        <w:t>.</w:t>
      </w:r>
    </w:p>
    <w:p w14:paraId="0B38A67A" w14:textId="77777777" w:rsidR="0061315D" w:rsidRDefault="00D873C7" w:rsidP="00C75492">
      <w:pPr>
        <w:pStyle w:val="Texto"/>
      </w:pPr>
      <w:r>
        <w:t>Observa-</w:t>
      </w:r>
      <w:r w:rsidR="001E61A4">
        <w:t>se</w:t>
      </w:r>
      <w:r>
        <w:t xml:space="preserve"> que, e</w:t>
      </w:r>
      <w:r w:rsidRPr="00D873C7">
        <w:t xml:space="preserve">ntre </w:t>
      </w:r>
      <w:r w:rsidR="00FD2FFA">
        <w:t>as 14</w:t>
      </w:r>
      <w:r w:rsidR="00AE06B6" w:rsidRPr="00D873C7">
        <w:t xml:space="preserve"> secretarias </w:t>
      </w:r>
      <w:r w:rsidRPr="00D873C7">
        <w:t>da área judiciária</w:t>
      </w:r>
      <w:r w:rsidR="00AE06B6" w:rsidRPr="00D873C7">
        <w:t xml:space="preserve">, </w:t>
      </w:r>
      <w:r w:rsidRPr="00D873C7">
        <w:t xml:space="preserve">as mulheres ocupam </w:t>
      </w:r>
      <w:r w:rsidR="00FD2FFA">
        <w:t>8</w:t>
      </w:r>
      <w:r w:rsidRPr="00D873C7">
        <w:t xml:space="preserve"> cargos (57,1%)</w:t>
      </w:r>
      <w:r w:rsidR="00FD2FFA">
        <w:t xml:space="preserve"> e os</w:t>
      </w:r>
      <w:r w:rsidRPr="00D873C7">
        <w:t xml:space="preserve"> homens</w:t>
      </w:r>
      <w:r w:rsidR="00FD2FFA">
        <w:t xml:space="preserve"> seis (42,9%)</w:t>
      </w:r>
      <w:r w:rsidRPr="00D873C7">
        <w:t>. Na área administrativa,</w:t>
      </w:r>
      <w:r>
        <w:t xml:space="preserve"> </w:t>
      </w:r>
      <w:r w:rsidRPr="00D873C7">
        <w:t>a predominância</w:t>
      </w:r>
      <w:r w:rsidR="00FD2FFA">
        <w:t xml:space="preserve"> </w:t>
      </w:r>
      <w:r w:rsidRPr="00D873C7">
        <w:t>é masculina, com sete homens (77,8%) e duas mulheres (22,2%)</w:t>
      </w:r>
      <w:r w:rsidR="00FD2FFA">
        <w:t xml:space="preserve">, em um total de nove secretarias. </w:t>
      </w:r>
      <w:r w:rsidR="00AE06B6">
        <w:t>Em relação às</w:t>
      </w:r>
      <w:r w:rsidR="00FD2FFA">
        <w:t xml:space="preserve"> 31 </w:t>
      </w:r>
      <w:r w:rsidR="00AE06B6">
        <w:t>coordenadorias</w:t>
      </w:r>
      <w:r w:rsidR="000532AF">
        <w:t xml:space="preserve"> do TST</w:t>
      </w:r>
      <w:r w:rsidR="00AE06B6">
        <w:t xml:space="preserve">, </w:t>
      </w:r>
      <w:r w:rsidR="00881C43">
        <w:t xml:space="preserve">nota-se </w:t>
      </w:r>
      <w:r w:rsidR="00FD2FFA">
        <w:t xml:space="preserve">que </w:t>
      </w:r>
      <w:r w:rsidR="00AE06B6">
        <w:t>o quantitativo na área judiciária é menor</w:t>
      </w:r>
      <w:r w:rsidR="000532AF">
        <w:t xml:space="preserve"> (5 coordenadorias)</w:t>
      </w:r>
      <w:r w:rsidR="00AE06B6">
        <w:t>. D</w:t>
      </w:r>
      <w:r w:rsidR="000532AF">
        <w:t>essas</w:t>
      </w:r>
      <w:r w:rsidR="00AE06B6">
        <w:t xml:space="preserve">, duas são ocupadas por mulheres e três por homens, o que corresponde a 40% e 60% </w:t>
      </w:r>
      <w:r w:rsidR="00AE06B6">
        <w:lastRenderedPageBreak/>
        <w:t>respectivamente. Por sua vez, das 26 coordenadorias</w:t>
      </w:r>
      <w:r w:rsidR="00332072">
        <w:t xml:space="preserve"> da área administrativa, 11 são ocupadas por mulheres (42,3%) e 15 por homens (57,7%). </w:t>
      </w:r>
    </w:p>
    <w:p w14:paraId="1335A443" w14:textId="17573F89" w:rsidR="000532AF" w:rsidRDefault="000532AF" w:rsidP="00C75492">
      <w:pPr>
        <w:pStyle w:val="Texto"/>
      </w:pPr>
      <w:r>
        <w:t xml:space="preserve">No que corresponde </w:t>
      </w:r>
      <w:r w:rsidR="00FD2FFA">
        <w:t>aos setores</w:t>
      </w:r>
      <w:r>
        <w:t xml:space="preserve"> que possuem assessore</w:t>
      </w:r>
      <w:r w:rsidR="00FD2FFA">
        <w:t>s</w:t>
      </w:r>
      <w:r>
        <w:t>-chefes, d</w:t>
      </w:r>
      <w:r w:rsidR="00FD2FFA">
        <w:t>os quatro situados</w:t>
      </w:r>
      <w:r>
        <w:t xml:space="preserve"> </w:t>
      </w:r>
      <w:r w:rsidR="00FD2FFA">
        <w:t>n</w:t>
      </w:r>
      <w:r>
        <w:t>a área judiciária, três são ocupad</w:t>
      </w:r>
      <w:r w:rsidR="00FD2FFA">
        <w:t>o</w:t>
      </w:r>
      <w:r>
        <w:t>s por mulheres e um</w:t>
      </w:r>
      <w:r w:rsidR="00FD2FFA">
        <w:t xml:space="preserve"> </w:t>
      </w:r>
      <w:r>
        <w:t xml:space="preserve">por homem, o que representa 75% e 25%. Já das 10 lotações de assessores-chefes da área administrativa, duas são ocupadas por mulheres (20%) e oito por homens (80%). </w:t>
      </w:r>
      <w:r w:rsidR="00332072">
        <w:t>Entre as divisões, verifica-se que apenas uma consta na área judiciária, a qual é ocupada por uma mulher</w:t>
      </w:r>
      <w:r>
        <w:t xml:space="preserve">. </w:t>
      </w:r>
      <w:r w:rsidRPr="000532AF">
        <w:t>Nas</w:t>
      </w:r>
      <w:r w:rsidR="00332072" w:rsidRPr="000532AF">
        <w:t xml:space="preserve"> 16 </w:t>
      </w:r>
      <w:r w:rsidR="00FD2FFA">
        <w:t>divisões da</w:t>
      </w:r>
      <w:r w:rsidR="00332072" w:rsidRPr="000532AF">
        <w:t xml:space="preserve"> área administrativa,</w:t>
      </w:r>
      <w:r>
        <w:t xml:space="preserve"> verifica-se que</w:t>
      </w:r>
      <w:r w:rsidRPr="000532AF">
        <w:t xml:space="preserve"> a </w:t>
      </w:r>
      <w:r>
        <w:t>presença masculina é maior</w:t>
      </w:r>
      <w:r w:rsidRPr="000532AF">
        <w:t>, com cinco mulheres (31,3%) e 11 homens</w:t>
      </w:r>
      <w:r w:rsidR="00FD2FFA">
        <w:t xml:space="preserve"> (68,8%)</w:t>
      </w:r>
      <w:r w:rsidRPr="000532AF">
        <w:t>.</w:t>
      </w:r>
      <w:r w:rsidRPr="000532AF">
        <w:rPr>
          <w:rFonts w:ascii="Arial" w:hAnsi="Arial" w:cs="Arial"/>
        </w:rPr>
        <w:t xml:space="preserve"> </w:t>
      </w:r>
    </w:p>
    <w:p w14:paraId="61EE1158" w14:textId="59DEBDF0" w:rsidR="00C76F20" w:rsidRDefault="000532AF" w:rsidP="00C75492">
      <w:pPr>
        <w:pStyle w:val="Texto"/>
      </w:pPr>
      <w:r w:rsidRPr="00C76F20">
        <w:t xml:space="preserve">A área administrativa </w:t>
      </w:r>
      <w:r w:rsidR="0061315D">
        <w:t xml:space="preserve">também </w:t>
      </w:r>
      <w:r w:rsidRPr="00C76F20">
        <w:t xml:space="preserve">concentra a maior parte dos núcleos, com significativa </w:t>
      </w:r>
      <w:r w:rsidR="0061315D">
        <w:t>prevalência</w:t>
      </w:r>
      <w:r w:rsidRPr="00C76F20">
        <w:t xml:space="preserve"> masculina: 27 homens (87,1%) e quatro mulheres (12,9%) em um total de 31 núcleos. Os dois núcleos da área judiciária também são ocupados por homens.</w:t>
      </w:r>
      <w:r w:rsidR="00C76F20" w:rsidRPr="00C76F20">
        <w:rPr>
          <w:rFonts w:ascii="Arial" w:hAnsi="Arial" w:cs="Arial"/>
        </w:rPr>
        <w:t xml:space="preserve"> </w:t>
      </w:r>
      <w:r w:rsidR="00FB2ECC">
        <w:t xml:space="preserve">Por fim, das 154 seções, 84 </w:t>
      </w:r>
      <w:r w:rsidR="00C76F20">
        <w:t xml:space="preserve">estão </w:t>
      </w:r>
      <w:r w:rsidR="00FB2ECC">
        <w:t>na área judiciária e 70 na área administrativa. Na área judiciária, 31 d</w:t>
      </w:r>
      <w:r w:rsidR="00C76F20">
        <w:t>os supervisore</w:t>
      </w:r>
      <w:r w:rsidR="00FD2FFA">
        <w:t>s são do gênero</w:t>
      </w:r>
      <w:r w:rsidR="00FB2ECC">
        <w:t xml:space="preserve"> </w:t>
      </w:r>
      <w:r w:rsidR="00FD2FFA">
        <w:t>feminino</w:t>
      </w:r>
      <w:r w:rsidR="00C76F20">
        <w:t xml:space="preserve"> (36,9%)</w:t>
      </w:r>
      <w:r w:rsidR="00FB2ECC">
        <w:t xml:space="preserve"> e 53</w:t>
      </w:r>
      <w:r w:rsidR="00C76F20">
        <w:t xml:space="preserve"> </w:t>
      </w:r>
      <w:r w:rsidR="00FD2FFA">
        <w:t>do gênero masculino</w:t>
      </w:r>
      <w:r w:rsidR="00C76F20">
        <w:t xml:space="preserve"> (63,1%)</w:t>
      </w:r>
      <w:r w:rsidR="00FB2ECC">
        <w:t xml:space="preserve">. Já </w:t>
      </w:r>
      <w:r w:rsidR="00FD2FFA">
        <w:t xml:space="preserve">na </w:t>
      </w:r>
      <w:r w:rsidR="00FB2ECC">
        <w:t xml:space="preserve">área administrativa, a diferença entre homens e mulheres é </w:t>
      </w:r>
      <w:r w:rsidR="00C76F20">
        <w:t>menor</w:t>
      </w:r>
      <w:r w:rsidR="00FB2ECC">
        <w:t xml:space="preserve">, 33 </w:t>
      </w:r>
      <w:r w:rsidR="00C76F20">
        <w:t xml:space="preserve">dessas funções </w:t>
      </w:r>
      <w:r w:rsidR="00FB2ECC">
        <w:t>são ocupadas por mulheres (47,1%) e 37 por homens</w:t>
      </w:r>
      <w:r w:rsidR="00C76F20">
        <w:t xml:space="preserve"> (52,9%)</w:t>
      </w:r>
      <w:r w:rsidR="00FB2ECC">
        <w:t>.</w:t>
      </w:r>
    </w:p>
    <w:p w14:paraId="2A9A9FE4" w14:textId="77777777" w:rsidR="00CC4796" w:rsidRPr="00FB2ECC" w:rsidRDefault="00CC4796" w:rsidP="00C75492">
      <w:pPr>
        <w:pStyle w:val="Texto"/>
      </w:pPr>
    </w:p>
    <w:p w14:paraId="3AB9216B" w14:textId="45728343" w:rsidR="00052925" w:rsidRDefault="00CC4796" w:rsidP="00FB5A95">
      <w:pPr>
        <w:pStyle w:val="TtulodaTabela"/>
      </w:pPr>
      <w:bookmarkStart w:id="62" w:name="_Toc208510780"/>
      <w:r>
        <w:t xml:space="preserve">Tabela </w:t>
      </w:r>
      <w:r>
        <w:fldChar w:fldCharType="begin"/>
      </w:r>
      <w:r>
        <w:instrText xml:space="preserve"> SEQ Tabela \* ARABIC </w:instrText>
      </w:r>
      <w:r>
        <w:fldChar w:fldCharType="separate"/>
      </w:r>
      <w:r w:rsidR="00D85D1E">
        <w:t>9</w:t>
      </w:r>
      <w:r>
        <w:fldChar w:fldCharType="end"/>
      </w:r>
      <w:r>
        <w:t xml:space="preserve"> - </w:t>
      </w:r>
      <w:r w:rsidRPr="00C42A44">
        <w:t>Distribuição de gênero dos cargos de gestão e liderança do TST por área e unidade</w:t>
      </w:r>
      <w:r w:rsidR="00754050">
        <w:rPr>
          <w:rStyle w:val="Refdenotaderodap"/>
        </w:rPr>
        <w:footnoteReference w:id="50"/>
      </w:r>
      <w:bookmarkEnd w:id="62"/>
    </w:p>
    <w:tbl>
      <w:tblPr>
        <w:tblW w:w="9826" w:type="dxa"/>
        <w:tblBorders>
          <w:top w:val="single" w:sz="6" w:space="0" w:color="CCCCCC"/>
          <w:bottom w:val="single" w:sz="6" w:space="0" w:color="CCCCCC"/>
          <w:insideH w:val="single" w:sz="6" w:space="0" w:color="CCCCCC"/>
          <w:insideV w:val="single" w:sz="6" w:space="0" w:color="CCCCCC"/>
        </w:tblBorders>
        <w:tblLayout w:type="fixed"/>
        <w:tblCellMar>
          <w:left w:w="0" w:type="dxa"/>
          <w:right w:w="0" w:type="dxa"/>
        </w:tblCellMar>
        <w:tblLook w:val="04A0" w:firstRow="1" w:lastRow="0" w:firstColumn="1" w:lastColumn="0" w:noHBand="0" w:noVBand="1"/>
      </w:tblPr>
      <w:tblGrid>
        <w:gridCol w:w="1746"/>
        <w:gridCol w:w="709"/>
        <w:gridCol w:w="851"/>
        <w:gridCol w:w="708"/>
        <w:gridCol w:w="709"/>
        <w:gridCol w:w="851"/>
        <w:gridCol w:w="708"/>
        <w:gridCol w:w="709"/>
        <w:gridCol w:w="709"/>
        <w:gridCol w:w="709"/>
        <w:gridCol w:w="661"/>
        <w:gridCol w:w="756"/>
      </w:tblGrid>
      <w:tr w:rsidR="00E828AA" w:rsidRPr="000A4C3B" w14:paraId="61337405" w14:textId="77777777" w:rsidTr="00C75492">
        <w:trPr>
          <w:trHeight w:val="454"/>
        </w:trPr>
        <w:tc>
          <w:tcPr>
            <w:tcW w:w="1746" w:type="dxa"/>
            <w:shd w:val="clear" w:color="auto" w:fill="BFBFBF" w:themeFill="background1" w:themeFillShade="BF"/>
            <w:tcMar>
              <w:top w:w="0" w:type="dxa"/>
              <w:left w:w="45" w:type="dxa"/>
              <w:bottom w:w="0" w:type="dxa"/>
              <w:right w:w="45" w:type="dxa"/>
            </w:tcMar>
            <w:vAlign w:val="center"/>
            <w:hideMark/>
          </w:tcPr>
          <w:p w14:paraId="335BD2EA" w14:textId="77777777" w:rsidR="000A4C3B" w:rsidRPr="007B5800" w:rsidRDefault="000A4C3B" w:rsidP="00C75492">
            <w:pPr>
              <w:jc w:val="center"/>
              <w:rPr>
                <w:rFonts w:asciiTheme="minorHAnsi" w:hAnsiTheme="minorHAnsi" w:cstheme="minorHAnsi"/>
                <w:sz w:val="22"/>
                <w:szCs w:val="22"/>
              </w:rPr>
            </w:pPr>
            <w:bookmarkStart w:id="63" w:name="_Hlk206188733"/>
          </w:p>
        </w:tc>
        <w:tc>
          <w:tcPr>
            <w:tcW w:w="3828" w:type="dxa"/>
            <w:gridSpan w:val="5"/>
            <w:shd w:val="clear" w:color="auto" w:fill="BFBFBF" w:themeFill="background1" w:themeFillShade="BF"/>
            <w:tcMar>
              <w:top w:w="0" w:type="dxa"/>
              <w:left w:w="45" w:type="dxa"/>
              <w:bottom w:w="0" w:type="dxa"/>
              <w:right w:w="45" w:type="dxa"/>
            </w:tcMar>
            <w:vAlign w:val="center"/>
            <w:hideMark/>
          </w:tcPr>
          <w:p w14:paraId="64B72333" w14:textId="7E6BB2A1" w:rsidR="000A4C3B" w:rsidRPr="007B5800" w:rsidRDefault="00E828AA" w:rsidP="00C75492">
            <w:pPr>
              <w:jc w:val="center"/>
              <w:rPr>
                <w:rFonts w:asciiTheme="minorHAnsi" w:hAnsiTheme="minorHAnsi" w:cstheme="minorHAnsi"/>
                <w:b/>
                <w:bCs/>
                <w:sz w:val="22"/>
                <w:szCs w:val="22"/>
              </w:rPr>
            </w:pPr>
            <w:r w:rsidRPr="007B5800">
              <w:rPr>
                <w:rFonts w:asciiTheme="minorHAnsi" w:hAnsiTheme="minorHAnsi" w:cstheme="minorHAnsi"/>
                <w:b/>
                <w:bCs/>
                <w:sz w:val="22"/>
                <w:szCs w:val="22"/>
              </w:rPr>
              <w:t>Área Judiciária</w:t>
            </w:r>
          </w:p>
        </w:tc>
        <w:tc>
          <w:tcPr>
            <w:tcW w:w="3496" w:type="dxa"/>
            <w:gridSpan w:val="5"/>
            <w:shd w:val="clear" w:color="auto" w:fill="BFBFBF" w:themeFill="background1" w:themeFillShade="BF"/>
            <w:tcMar>
              <w:top w:w="0" w:type="dxa"/>
              <w:left w:w="45" w:type="dxa"/>
              <w:bottom w:w="0" w:type="dxa"/>
              <w:right w:w="45" w:type="dxa"/>
            </w:tcMar>
            <w:vAlign w:val="center"/>
            <w:hideMark/>
          </w:tcPr>
          <w:p w14:paraId="60CE48F5" w14:textId="09481C79" w:rsidR="000A4C3B" w:rsidRPr="007B5800" w:rsidRDefault="00E828AA" w:rsidP="00C75492">
            <w:pPr>
              <w:jc w:val="center"/>
              <w:rPr>
                <w:rFonts w:asciiTheme="minorHAnsi" w:hAnsiTheme="minorHAnsi" w:cstheme="minorHAnsi"/>
                <w:b/>
                <w:bCs/>
                <w:sz w:val="22"/>
                <w:szCs w:val="22"/>
              </w:rPr>
            </w:pPr>
            <w:r w:rsidRPr="007B5800">
              <w:rPr>
                <w:rFonts w:asciiTheme="minorHAnsi" w:hAnsiTheme="minorHAnsi" w:cstheme="minorHAnsi"/>
                <w:b/>
                <w:bCs/>
                <w:sz w:val="22"/>
                <w:szCs w:val="22"/>
              </w:rPr>
              <w:t>Área Administrativa/Outros</w:t>
            </w:r>
          </w:p>
        </w:tc>
        <w:tc>
          <w:tcPr>
            <w:tcW w:w="756" w:type="dxa"/>
            <w:shd w:val="clear" w:color="auto" w:fill="BFBFBF" w:themeFill="background1" w:themeFillShade="BF"/>
            <w:tcMar>
              <w:top w:w="0" w:type="dxa"/>
              <w:left w:w="45" w:type="dxa"/>
              <w:bottom w:w="0" w:type="dxa"/>
              <w:right w:w="45" w:type="dxa"/>
            </w:tcMar>
            <w:vAlign w:val="center"/>
            <w:hideMark/>
          </w:tcPr>
          <w:p w14:paraId="64D1D709" w14:textId="77777777" w:rsidR="000A4C3B" w:rsidRPr="007B5800" w:rsidRDefault="000A4C3B" w:rsidP="00C75492">
            <w:pPr>
              <w:jc w:val="center"/>
              <w:rPr>
                <w:rFonts w:asciiTheme="minorHAnsi" w:hAnsiTheme="minorHAnsi" w:cstheme="minorHAnsi"/>
                <w:b/>
                <w:bCs/>
                <w:sz w:val="22"/>
                <w:szCs w:val="22"/>
              </w:rPr>
            </w:pPr>
            <w:r w:rsidRPr="007B5800">
              <w:rPr>
                <w:rFonts w:asciiTheme="minorHAnsi" w:hAnsiTheme="minorHAnsi" w:cstheme="minorHAnsi"/>
                <w:b/>
                <w:bCs/>
                <w:sz w:val="22"/>
                <w:szCs w:val="22"/>
              </w:rPr>
              <w:t>Totais</w:t>
            </w:r>
          </w:p>
        </w:tc>
      </w:tr>
      <w:tr w:rsidR="00E828AA" w:rsidRPr="000A4C3B" w14:paraId="126272B0" w14:textId="77777777" w:rsidTr="00C75492">
        <w:trPr>
          <w:trHeight w:val="454"/>
        </w:trPr>
        <w:tc>
          <w:tcPr>
            <w:tcW w:w="1746" w:type="dxa"/>
            <w:shd w:val="clear" w:color="auto" w:fill="BFBFBF" w:themeFill="background1" w:themeFillShade="BF"/>
            <w:tcMar>
              <w:top w:w="0" w:type="dxa"/>
              <w:left w:w="45" w:type="dxa"/>
              <w:bottom w:w="0" w:type="dxa"/>
              <w:right w:w="45" w:type="dxa"/>
            </w:tcMar>
            <w:vAlign w:val="center"/>
            <w:hideMark/>
          </w:tcPr>
          <w:p w14:paraId="0DF6D869" w14:textId="111F4535" w:rsidR="000A4C3B" w:rsidRPr="007B5800" w:rsidRDefault="000A4C3B" w:rsidP="00C75492">
            <w:pPr>
              <w:jc w:val="center"/>
              <w:rPr>
                <w:rFonts w:asciiTheme="minorHAnsi" w:hAnsiTheme="minorHAnsi" w:cstheme="minorHAnsi"/>
                <w:b/>
                <w:bCs/>
                <w:sz w:val="22"/>
                <w:szCs w:val="22"/>
              </w:rPr>
            </w:pPr>
          </w:p>
        </w:tc>
        <w:tc>
          <w:tcPr>
            <w:tcW w:w="709" w:type="dxa"/>
            <w:shd w:val="clear" w:color="auto" w:fill="D9D9D9"/>
            <w:tcMar>
              <w:top w:w="0" w:type="dxa"/>
              <w:left w:w="45" w:type="dxa"/>
              <w:bottom w:w="0" w:type="dxa"/>
              <w:right w:w="45" w:type="dxa"/>
            </w:tcMar>
            <w:vAlign w:val="center"/>
            <w:hideMark/>
          </w:tcPr>
          <w:p w14:paraId="51D8D988" w14:textId="1F67701E" w:rsidR="000A4C3B" w:rsidRPr="007B5800" w:rsidRDefault="00E828AA" w:rsidP="00C75492">
            <w:pPr>
              <w:jc w:val="center"/>
              <w:rPr>
                <w:rFonts w:asciiTheme="minorHAnsi" w:hAnsiTheme="minorHAnsi" w:cstheme="minorHAnsi"/>
                <w:sz w:val="22"/>
                <w:szCs w:val="22"/>
              </w:rPr>
            </w:pPr>
            <w:r w:rsidRPr="007B5800">
              <w:rPr>
                <w:rFonts w:asciiTheme="minorHAnsi" w:hAnsiTheme="minorHAnsi" w:cstheme="minorHAnsi"/>
                <w:sz w:val="22"/>
                <w:szCs w:val="22"/>
              </w:rPr>
              <w:t>Fem.</w:t>
            </w:r>
          </w:p>
        </w:tc>
        <w:tc>
          <w:tcPr>
            <w:tcW w:w="851" w:type="dxa"/>
            <w:shd w:val="clear" w:color="auto" w:fill="D9D9D9"/>
            <w:tcMar>
              <w:top w:w="0" w:type="dxa"/>
              <w:left w:w="45" w:type="dxa"/>
              <w:bottom w:w="0" w:type="dxa"/>
              <w:right w:w="45" w:type="dxa"/>
            </w:tcMar>
            <w:vAlign w:val="center"/>
            <w:hideMark/>
          </w:tcPr>
          <w:p w14:paraId="071E28C0"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w:t>
            </w:r>
          </w:p>
        </w:tc>
        <w:tc>
          <w:tcPr>
            <w:tcW w:w="708" w:type="dxa"/>
            <w:shd w:val="clear" w:color="auto" w:fill="D9D9D9"/>
            <w:tcMar>
              <w:top w:w="0" w:type="dxa"/>
              <w:left w:w="45" w:type="dxa"/>
              <w:bottom w:w="0" w:type="dxa"/>
              <w:right w:w="45" w:type="dxa"/>
            </w:tcMar>
            <w:vAlign w:val="center"/>
            <w:hideMark/>
          </w:tcPr>
          <w:p w14:paraId="2B0E0845" w14:textId="404161D6" w:rsidR="000A4C3B" w:rsidRPr="007B5800" w:rsidRDefault="00E828AA" w:rsidP="00C75492">
            <w:pPr>
              <w:jc w:val="center"/>
              <w:rPr>
                <w:rFonts w:asciiTheme="minorHAnsi" w:hAnsiTheme="minorHAnsi" w:cstheme="minorHAnsi"/>
                <w:sz w:val="22"/>
                <w:szCs w:val="22"/>
              </w:rPr>
            </w:pPr>
            <w:r w:rsidRPr="007B5800">
              <w:rPr>
                <w:rFonts w:asciiTheme="minorHAnsi" w:hAnsiTheme="minorHAnsi" w:cstheme="minorHAnsi"/>
                <w:sz w:val="22"/>
                <w:szCs w:val="22"/>
              </w:rPr>
              <w:t>Masc.</w:t>
            </w:r>
          </w:p>
        </w:tc>
        <w:tc>
          <w:tcPr>
            <w:tcW w:w="709" w:type="dxa"/>
            <w:shd w:val="clear" w:color="auto" w:fill="D9D9D9"/>
            <w:tcMar>
              <w:top w:w="0" w:type="dxa"/>
              <w:left w:w="45" w:type="dxa"/>
              <w:bottom w:w="0" w:type="dxa"/>
              <w:right w:w="45" w:type="dxa"/>
            </w:tcMar>
            <w:vAlign w:val="center"/>
            <w:hideMark/>
          </w:tcPr>
          <w:p w14:paraId="54601396"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w:t>
            </w:r>
          </w:p>
        </w:tc>
        <w:tc>
          <w:tcPr>
            <w:tcW w:w="851" w:type="dxa"/>
            <w:shd w:val="clear" w:color="auto" w:fill="D9D9D9"/>
            <w:tcMar>
              <w:top w:w="0" w:type="dxa"/>
              <w:left w:w="45" w:type="dxa"/>
              <w:bottom w:w="0" w:type="dxa"/>
              <w:right w:w="45" w:type="dxa"/>
            </w:tcMar>
            <w:vAlign w:val="center"/>
            <w:hideMark/>
          </w:tcPr>
          <w:p w14:paraId="04DC3724"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Total</w:t>
            </w:r>
          </w:p>
        </w:tc>
        <w:tc>
          <w:tcPr>
            <w:tcW w:w="708" w:type="dxa"/>
            <w:shd w:val="clear" w:color="auto" w:fill="D9D9D9"/>
            <w:tcMar>
              <w:top w:w="0" w:type="dxa"/>
              <w:left w:w="45" w:type="dxa"/>
              <w:bottom w:w="0" w:type="dxa"/>
              <w:right w:w="45" w:type="dxa"/>
            </w:tcMar>
            <w:vAlign w:val="center"/>
            <w:hideMark/>
          </w:tcPr>
          <w:p w14:paraId="0F3C04CC" w14:textId="74E4B7B2" w:rsidR="000A4C3B" w:rsidRPr="007B5800" w:rsidRDefault="00E828AA" w:rsidP="00C75492">
            <w:pPr>
              <w:jc w:val="center"/>
              <w:rPr>
                <w:rFonts w:asciiTheme="minorHAnsi" w:hAnsiTheme="minorHAnsi" w:cstheme="minorHAnsi"/>
                <w:sz w:val="22"/>
                <w:szCs w:val="22"/>
              </w:rPr>
            </w:pPr>
            <w:r w:rsidRPr="007B5800">
              <w:rPr>
                <w:rFonts w:asciiTheme="minorHAnsi" w:hAnsiTheme="minorHAnsi" w:cstheme="minorHAnsi"/>
                <w:sz w:val="22"/>
                <w:szCs w:val="22"/>
              </w:rPr>
              <w:t>Fem.</w:t>
            </w:r>
          </w:p>
        </w:tc>
        <w:tc>
          <w:tcPr>
            <w:tcW w:w="709" w:type="dxa"/>
            <w:shd w:val="clear" w:color="auto" w:fill="D9D9D9"/>
            <w:tcMar>
              <w:top w:w="0" w:type="dxa"/>
              <w:left w:w="45" w:type="dxa"/>
              <w:bottom w:w="0" w:type="dxa"/>
              <w:right w:w="45" w:type="dxa"/>
            </w:tcMar>
            <w:vAlign w:val="center"/>
            <w:hideMark/>
          </w:tcPr>
          <w:p w14:paraId="0C90B9BD"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w:t>
            </w:r>
          </w:p>
        </w:tc>
        <w:tc>
          <w:tcPr>
            <w:tcW w:w="709" w:type="dxa"/>
            <w:shd w:val="clear" w:color="auto" w:fill="D9D9D9"/>
            <w:tcMar>
              <w:top w:w="0" w:type="dxa"/>
              <w:left w:w="45" w:type="dxa"/>
              <w:bottom w:w="0" w:type="dxa"/>
              <w:right w:w="45" w:type="dxa"/>
            </w:tcMar>
            <w:vAlign w:val="center"/>
            <w:hideMark/>
          </w:tcPr>
          <w:p w14:paraId="273240E8" w14:textId="527FC544"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M</w:t>
            </w:r>
            <w:r w:rsidR="00E828AA" w:rsidRPr="007B5800">
              <w:rPr>
                <w:rFonts w:asciiTheme="minorHAnsi" w:hAnsiTheme="minorHAnsi" w:cstheme="minorHAnsi"/>
                <w:sz w:val="22"/>
                <w:szCs w:val="22"/>
              </w:rPr>
              <w:t>asc.</w:t>
            </w:r>
          </w:p>
        </w:tc>
        <w:tc>
          <w:tcPr>
            <w:tcW w:w="709" w:type="dxa"/>
            <w:shd w:val="clear" w:color="auto" w:fill="D9D9D9"/>
            <w:tcMar>
              <w:top w:w="0" w:type="dxa"/>
              <w:left w:w="45" w:type="dxa"/>
              <w:bottom w:w="0" w:type="dxa"/>
              <w:right w:w="45" w:type="dxa"/>
            </w:tcMar>
            <w:vAlign w:val="center"/>
            <w:hideMark/>
          </w:tcPr>
          <w:p w14:paraId="4DF0D56E"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w:t>
            </w:r>
          </w:p>
        </w:tc>
        <w:tc>
          <w:tcPr>
            <w:tcW w:w="661" w:type="dxa"/>
            <w:shd w:val="clear" w:color="auto" w:fill="D9D9D9"/>
            <w:tcMar>
              <w:top w:w="0" w:type="dxa"/>
              <w:left w:w="45" w:type="dxa"/>
              <w:bottom w:w="0" w:type="dxa"/>
              <w:right w:w="45" w:type="dxa"/>
            </w:tcMar>
            <w:vAlign w:val="center"/>
            <w:hideMark/>
          </w:tcPr>
          <w:p w14:paraId="2B38ABF0"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Total</w:t>
            </w:r>
          </w:p>
        </w:tc>
        <w:tc>
          <w:tcPr>
            <w:tcW w:w="756" w:type="dxa"/>
            <w:shd w:val="clear" w:color="auto" w:fill="D9D9D9"/>
            <w:tcMar>
              <w:top w:w="0" w:type="dxa"/>
              <w:left w:w="45" w:type="dxa"/>
              <w:bottom w:w="0" w:type="dxa"/>
              <w:right w:w="45" w:type="dxa"/>
            </w:tcMar>
            <w:vAlign w:val="center"/>
            <w:hideMark/>
          </w:tcPr>
          <w:p w14:paraId="3828DAE6" w14:textId="77777777" w:rsidR="000A4C3B" w:rsidRPr="007B5800" w:rsidRDefault="000A4C3B" w:rsidP="00C75492">
            <w:pPr>
              <w:jc w:val="center"/>
              <w:rPr>
                <w:rFonts w:asciiTheme="minorHAnsi" w:hAnsiTheme="minorHAnsi" w:cstheme="minorHAnsi"/>
                <w:sz w:val="22"/>
                <w:szCs w:val="22"/>
              </w:rPr>
            </w:pPr>
          </w:p>
        </w:tc>
      </w:tr>
      <w:tr w:rsidR="00E828AA" w:rsidRPr="000A4C3B" w14:paraId="17EF31A8" w14:textId="77777777" w:rsidTr="00C75492">
        <w:trPr>
          <w:trHeight w:val="454"/>
        </w:trPr>
        <w:tc>
          <w:tcPr>
            <w:tcW w:w="1746" w:type="dxa"/>
            <w:shd w:val="clear" w:color="auto" w:fill="BFBFBF" w:themeFill="background1" w:themeFillShade="BF"/>
            <w:vAlign w:val="center"/>
            <w:hideMark/>
          </w:tcPr>
          <w:p w14:paraId="65D68833" w14:textId="09F4D86B" w:rsidR="000A4C3B" w:rsidRPr="007B5800" w:rsidRDefault="0083549E" w:rsidP="00C75492">
            <w:pPr>
              <w:jc w:val="center"/>
              <w:rPr>
                <w:rFonts w:asciiTheme="minorHAnsi" w:hAnsiTheme="minorHAnsi" w:cstheme="minorHAnsi"/>
                <w:b/>
                <w:bCs/>
                <w:sz w:val="22"/>
                <w:szCs w:val="22"/>
              </w:rPr>
            </w:pPr>
            <w:r w:rsidRPr="007B5800">
              <w:rPr>
                <w:rFonts w:asciiTheme="minorHAnsi" w:hAnsiTheme="minorHAnsi" w:cstheme="minorHAnsi"/>
                <w:b/>
                <w:bCs/>
                <w:sz w:val="22"/>
                <w:szCs w:val="22"/>
              </w:rPr>
              <w:t>Secretarias</w:t>
            </w:r>
          </w:p>
        </w:tc>
        <w:tc>
          <w:tcPr>
            <w:tcW w:w="709" w:type="dxa"/>
            <w:tcMar>
              <w:top w:w="0" w:type="dxa"/>
              <w:left w:w="45" w:type="dxa"/>
              <w:bottom w:w="0" w:type="dxa"/>
              <w:right w:w="45" w:type="dxa"/>
            </w:tcMar>
            <w:vAlign w:val="center"/>
            <w:hideMark/>
          </w:tcPr>
          <w:p w14:paraId="72340A8E"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8</w:t>
            </w:r>
          </w:p>
        </w:tc>
        <w:tc>
          <w:tcPr>
            <w:tcW w:w="851" w:type="dxa"/>
            <w:tcMar>
              <w:top w:w="0" w:type="dxa"/>
              <w:left w:w="45" w:type="dxa"/>
              <w:bottom w:w="0" w:type="dxa"/>
              <w:right w:w="45" w:type="dxa"/>
            </w:tcMar>
            <w:vAlign w:val="center"/>
            <w:hideMark/>
          </w:tcPr>
          <w:p w14:paraId="5185D75B"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57,1%</w:t>
            </w:r>
          </w:p>
        </w:tc>
        <w:tc>
          <w:tcPr>
            <w:tcW w:w="708" w:type="dxa"/>
            <w:tcMar>
              <w:top w:w="0" w:type="dxa"/>
              <w:left w:w="45" w:type="dxa"/>
              <w:bottom w:w="0" w:type="dxa"/>
              <w:right w:w="45" w:type="dxa"/>
            </w:tcMar>
            <w:vAlign w:val="center"/>
            <w:hideMark/>
          </w:tcPr>
          <w:p w14:paraId="16A39BF2"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6</w:t>
            </w:r>
          </w:p>
        </w:tc>
        <w:tc>
          <w:tcPr>
            <w:tcW w:w="709" w:type="dxa"/>
            <w:tcMar>
              <w:top w:w="0" w:type="dxa"/>
              <w:left w:w="45" w:type="dxa"/>
              <w:bottom w:w="0" w:type="dxa"/>
              <w:right w:w="45" w:type="dxa"/>
            </w:tcMar>
            <w:vAlign w:val="center"/>
            <w:hideMark/>
          </w:tcPr>
          <w:p w14:paraId="1DA25D3F"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42,9%</w:t>
            </w:r>
          </w:p>
        </w:tc>
        <w:tc>
          <w:tcPr>
            <w:tcW w:w="851" w:type="dxa"/>
            <w:tcMar>
              <w:top w:w="0" w:type="dxa"/>
              <w:left w:w="45" w:type="dxa"/>
              <w:bottom w:w="0" w:type="dxa"/>
              <w:right w:w="45" w:type="dxa"/>
            </w:tcMar>
            <w:vAlign w:val="center"/>
            <w:hideMark/>
          </w:tcPr>
          <w:p w14:paraId="78DFF48D"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14</w:t>
            </w:r>
          </w:p>
        </w:tc>
        <w:tc>
          <w:tcPr>
            <w:tcW w:w="708" w:type="dxa"/>
            <w:tcMar>
              <w:top w:w="0" w:type="dxa"/>
              <w:left w:w="45" w:type="dxa"/>
              <w:bottom w:w="0" w:type="dxa"/>
              <w:right w:w="45" w:type="dxa"/>
            </w:tcMar>
            <w:vAlign w:val="center"/>
            <w:hideMark/>
          </w:tcPr>
          <w:p w14:paraId="42B5CE0B"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2</w:t>
            </w:r>
          </w:p>
        </w:tc>
        <w:tc>
          <w:tcPr>
            <w:tcW w:w="709" w:type="dxa"/>
            <w:tcMar>
              <w:top w:w="0" w:type="dxa"/>
              <w:left w:w="45" w:type="dxa"/>
              <w:bottom w:w="0" w:type="dxa"/>
              <w:right w:w="45" w:type="dxa"/>
            </w:tcMar>
            <w:vAlign w:val="center"/>
            <w:hideMark/>
          </w:tcPr>
          <w:p w14:paraId="53AE4965"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22,2%</w:t>
            </w:r>
          </w:p>
        </w:tc>
        <w:tc>
          <w:tcPr>
            <w:tcW w:w="709" w:type="dxa"/>
            <w:tcMar>
              <w:top w:w="0" w:type="dxa"/>
              <w:left w:w="45" w:type="dxa"/>
              <w:bottom w:w="0" w:type="dxa"/>
              <w:right w:w="45" w:type="dxa"/>
            </w:tcMar>
            <w:vAlign w:val="center"/>
            <w:hideMark/>
          </w:tcPr>
          <w:p w14:paraId="604299E1"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7</w:t>
            </w:r>
          </w:p>
        </w:tc>
        <w:tc>
          <w:tcPr>
            <w:tcW w:w="709" w:type="dxa"/>
            <w:tcMar>
              <w:top w:w="0" w:type="dxa"/>
              <w:left w:w="45" w:type="dxa"/>
              <w:bottom w:w="0" w:type="dxa"/>
              <w:right w:w="45" w:type="dxa"/>
            </w:tcMar>
            <w:vAlign w:val="center"/>
            <w:hideMark/>
          </w:tcPr>
          <w:p w14:paraId="7616460B"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77,8%</w:t>
            </w:r>
          </w:p>
        </w:tc>
        <w:tc>
          <w:tcPr>
            <w:tcW w:w="661" w:type="dxa"/>
            <w:tcMar>
              <w:top w:w="0" w:type="dxa"/>
              <w:left w:w="45" w:type="dxa"/>
              <w:bottom w:w="0" w:type="dxa"/>
              <w:right w:w="45" w:type="dxa"/>
            </w:tcMar>
            <w:vAlign w:val="center"/>
            <w:hideMark/>
          </w:tcPr>
          <w:p w14:paraId="4F8A171F"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9</w:t>
            </w:r>
          </w:p>
        </w:tc>
        <w:tc>
          <w:tcPr>
            <w:tcW w:w="756" w:type="dxa"/>
            <w:tcMar>
              <w:top w:w="0" w:type="dxa"/>
              <w:left w:w="45" w:type="dxa"/>
              <w:bottom w:w="0" w:type="dxa"/>
              <w:right w:w="45" w:type="dxa"/>
            </w:tcMar>
            <w:vAlign w:val="center"/>
            <w:hideMark/>
          </w:tcPr>
          <w:p w14:paraId="7FA5D527"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23</w:t>
            </w:r>
          </w:p>
        </w:tc>
      </w:tr>
      <w:tr w:rsidR="000A4C3B" w:rsidRPr="000A4C3B" w14:paraId="4C7E0323" w14:textId="77777777" w:rsidTr="00C75492">
        <w:trPr>
          <w:trHeight w:val="454"/>
        </w:trPr>
        <w:tc>
          <w:tcPr>
            <w:tcW w:w="1746" w:type="dxa"/>
            <w:shd w:val="clear" w:color="auto" w:fill="BFBFBF" w:themeFill="background1" w:themeFillShade="BF"/>
            <w:tcMar>
              <w:top w:w="0" w:type="dxa"/>
              <w:left w:w="45" w:type="dxa"/>
              <w:bottom w:w="0" w:type="dxa"/>
              <w:right w:w="45" w:type="dxa"/>
            </w:tcMar>
            <w:vAlign w:val="center"/>
            <w:hideMark/>
          </w:tcPr>
          <w:p w14:paraId="4E50B081" w14:textId="77777777" w:rsidR="000A4C3B" w:rsidRPr="007B5800" w:rsidRDefault="000A4C3B" w:rsidP="00C75492">
            <w:pPr>
              <w:jc w:val="center"/>
              <w:rPr>
                <w:rFonts w:asciiTheme="minorHAnsi" w:hAnsiTheme="minorHAnsi" w:cstheme="minorHAnsi"/>
                <w:b/>
                <w:bCs/>
                <w:sz w:val="22"/>
                <w:szCs w:val="22"/>
              </w:rPr>
            </w:pPr>
            <w:r w:rsidRPr="007B5800">
              <w:rPr>
                <w:rFonts w:asciiTheme="minorHAnsi" w:hAnsiTheme="minorHAnsi" w:cstheme="minorHAnsi"/>
                <w:b/>
                <w:bCs/>
                <w:sz w:val="22"/>
                <w:szCs w:val="22"/>
              </w:rPr>
              <w:t>Coordenadorias</w:t>
            </w:r>
          </w:p>
        </w:tc>
        <w:tc>
          <w:tcPr>
            <w:tcW w:w="709" w:type="dxa"/>
            <w:tcMar>
              <w:top w:w="0" w:type="dxa"/>
              <w:left w:w="45" w:type="dxa"/>
              <w:bottom w:w="0" w:type="dxa"/>
              <w:right w:w="45" w:type="dxa"/>
            </w:tcMar>
            <w:vAlign w:val="center"/>
            <w:hideMark/>
          </w:tcPr>
          <w:p w14:paraId="089020BB"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2</w:t>
            </w:r>
          </w:p>
        </w:tc>
        <w:tc>
          <w:tcPr>
            <w:tcW w:w="851" w:type="dxa"/>
            <w:tcMar>
              <w:top w:w="0" w:type="dxa"/>
              <w:left w:w="45" w:type="dxa"/>
              <w:bottom w:w="0" w:type="dxa"/>
              <w:right w:w="45" w:type="dxa"/>
            </w:tcMar>
            <w:vAlign w:val="center"/>
            <w:hideMark/>
          </w:tcPr>
          <w:p w14:paraId="1C444D93"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40,0%</w:t>
            </w:r>
          </w:p>
        </w:tc>
        <w:tc>
          <w:tcPr>
            <w:tcW w:w="708" w:type="dxa"/>
            <w:tcMar>
              <w:top w:w="0" w:type="dxa"/>
              <w:left w:w="45" w:type="dxa"/>
              <w:bottom w:w="0" w:type="dxa"/>
              <w:right w:w="45" w:type="dxa"/>
            </w:tcMar>
            <w:vAlign w:val="center"/>
            <w:hideMark/>
          </w:tcPr>
          <w:p w14:paraId="0360B741"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3</w:t>
            </w:r>
          </w:p>
        </w:tc>
        <w:tc>
          <w:tcPr>
            <w:tcW w:w="709" w:type="dxa"/>
            <w:tcMar>
              <w:top w:w="0" w:type="dxa"/>
              <w:left w:w="45" w:type="dxa"/>
              <w:bottom w:w="0" w:type="dxa"/>
              <w:right w:w="45" w:type="dxa"/>
            </w:tcMar>
            <w:vAlign w:val="center"/>
            <w:hideMark/>
          </w:tcPr>
          <w:p w14:paraId="3062EA97"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60,0%</w:t>
            </w:r>
          </w:p>
        </w:tc>
        <w:tc>
          <w:tcPr>
            <w:tcW w:w="851" w:type="dxa"/>
            <w:tcMar>
              <w:top w:w="0" w:type="dxa"/>
              <w:left w:w="45" w:type="dxa"/>
              <w:bottom w:w="0" w:type="dxa"/>
              <w:right w:w="45" w:type="dxa"/>
            </w:tcMar>
            <w:vAlign w:val="center"/>
            <w:hideMark/>
          </w:tcPr>
          <w:p w14:paraId="5DCE829D"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5</w:t>
            </w:r>
          </w:p>
        </w:tc>
        <w:tc>
          <w:tcPr>
            <w:tcW w:w="708" w:type="dxa"/>
            <w:tcMar>
              <w:top w:w="0" w:type="dxa"/>
              <w:left w:w="45" w:type="dxa"/>
              <w:bottom w:w="0" w:type="dxa"/>
              <w:right w:w="45" w:type="dxa"/>
            </w:tcMar>
            <w:vAlign w:val="center"/>
            <w:hideMark/>
          </w:tcPr>
          <w:p w14:paraId="5675A01E"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11</w:t>
            </w:r>
          </w:p>
        </w:tc>
        <w:tc>
          <w:tcPr>
            <w:tcW w:w="709" w:type="dxa"/>
            <w:tcMar>
              <w:top w:w="0" w:type="dxa"/>
              <w:left w:w="45" w:type="dxa"/>
              <w:bottom w:w="0" w:type="dxa"/>
              <w:right w:w="45" w:type="dxa"/>
            </w:tcMar>
            <w:vAlign w:val="center"/>
            <w:hideMark/>
          </w:tcPr>
          <w:p w14:paraId="798C8BFE"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42,3%</w:t>
            </w:r>
          </w:p>
        </w:tc>
        <w:tc>
          <w:tcPr>
            <w:tcW w:w="709" w:type="dxa"/>
            <w:tcMar>
              <w:top w:w="0" w:type="dxa"/>
              <w:left w:w="45" w:type="dxa"/>
              <w:bottom w:w="0" w:type="dxa"/>
              <w:right w:w="45" w:type="dxa"/>
            </w:tcMar>
            <w:vAlign w:val="center"/>
            <w:hideMark/>
          </w:tcPr>
          <w:p w14:paraId="1FE37B19"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15</w:t>
            </w:r>
          </w:p>
        </w:tc>
        <w:tc>
          <w:tcPr>
            <w:tcW w:w="709" w:type="dxa"/>
            <w:tcMar>
              <w:top w:w="0" w:type="dxa"/>
              <w:left w:w="45" w:type="dxa"/>
              <w:bottom w:w="0" w:type="dxa"/>
              <w:right w:w="45" w:type="dxa"/>
            </w:tcMar>
            <w:vAlign w:val="center"/>
            <w:hideMark/>
          </w:tcPr>
          <w:p w14:paraId="74F6303E"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57,7%</w:t>
            </w:r>
          </w:p>
        </w:tc>
        <w:tc>
          <w:tcPr>
            <w:tcW w:w="661" w:type="dxa"/>
            <w:tcMar>
              <w:top w:w="0" w:type="dxa"/>
              <w:left w:w="45" w:type="dxa"/>
              <w:bottom w:w="0" w:type="dxa"/>
              <w:right w:w="45" w:type="dxa"/>
            </w:tcMar>
            <w:vAlign w:val="center"/>
            <w:hideMark/>
          </w:tcPr>
          <w:p w14:paraId="23A5A346"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26</w:t>
            </w:r>
          </w:p>
        </w:tc>
        <w:tc>
          <w:tcPr>
            <w:tcW w:w="756" w:type="dxa"/>
            <w:tcMar>
              <w:top w:w="0" w:type="dxa"/>
              <w:left w:w="45" w:type="dxa"/>
              <w:bottom w:w="0" w:type="dxa"/>
              <w:right w:w="45" w:type="dxa"/>
            </w:tcMar>
            <w:vAlign w:val="center"/>
            <w:hideMark/>
          </w:tcPr>
          <w:p w14:paraId="24758BB9"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31</w:t>
            </w:r>
          </w:p>
        </w:tc>
      </w:tr>
      <w:tr w:rsidR="000A4C3B" w:rsidRPr="000A4C3B" w14:paraId="07A6B6D3" w14:textId="77777777" w:rsidTr="00C75492">
        <w:trPr>
          <w:trHeight w:val="454"/>
        </w:trPr>
        <w:tc>
          <w:tcPr>
            <w:tcW w:w="1746" w:type="dxa"/>
            <w:shd w:val="clear" w:color="auto" w:fill="BFBFBF" w:themeFill="background1" w:themeFillShade="BF"/>
            <w:tcMar>
              <w:top w:w="0" w:type="dxa"/>
              <w:left w:w="45" w:type="dxa"/>
              <w:bottom w:w="0" w:type="dxa"/>
              <w:right w:w="45" w:type="dxa"/>
            </w:tcMar>
            <w:vAlign w:val="center"/>
            <w:hideMark/>
          </w:tcPr>
          <w:p w14:paraId="194B21C5" w14:textId="77777777" w:rsidR="000A4C3B" w:rsidRPr="007B5800" w:rsidRDefault="000A4C3B" w:rsidP="00C75492">
            <w:pPr>
              <w:jc w:val="center"/>
              <w:rPr>
                <w:rFonts w:asciiTheme="minorHAnsi" w:hAnsiTheme="minorHAnsi" w:cstheme="minorHAnsi"/>
                <w:b/>
                <w:bCs/>
                <w:sz w:val="22"/>
                <w:szCs w:val="22"/>
              </w:rPr>
            </w:pPr>
            <w:r w:rsidRPr="007B5800">
              <w:rPr>
                <w:rFonts w:asciiTheme="minorHAnsi" w:hAnsiTheme="minorHAnsi" w:cstheme="minorHAnsi"/>
                <w:b/>
                <w:bCs/>
                <w:sz w:val="22"/>
                <w:szCs w:val="22"/>
              </w:rPr>
              <w:t>Assessorias</w:t>
            </w:r>
          </w:p>
        </w:tc>
        <w:tc>
          <w:tcPr>
            <w:tcW w:w="709" w:type="dxa"/>
            <w:tcMar>
              <w:top w:w="0" w:type="dxa"/>
              <w:left w:w="45" w:type="dxa"/>
              <w:bottom w:w="0" w:type="dxa"/>
              <w:right w:w="45" w:type="dxa"/>
            </w:tcMar>
            <w:vAlign w:val="center"/>
            <w:hideMark/>
          </w:tcPr>
          <w:p w14:paraId="725B440D"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3</w:t>
            </w:r>
          </w:p>
        </w:tc>
        <w:tc>
          <w:tcPr>
            <w:tcW w:w="851" w:type="dxa"/>
            <w:tcMar>
              <w:top w:w="0" w:type="dxa"/>
              <w:left w:w="45" w:type="dxa"/>
              <w:bottom w:w="0" w:type="dxa"/>
              <w:right w:w="45" w:type="dxa"/>
            </w:tcMar>
            <w:vAlign w:val="center"/>
            <w:hideMark/>
          </w:tcPr>
          <w:p w14:paraId="324E9D7C"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75,0%</w:t>
            </w:r>
          </w:p>
        </w:tc>
        <w:tc>
          <w:tcPr>
            <w:tcW w:w="708" w:type="dxa"/>
            <w:tcMar>
              <w:top w:w="0" w:type="dxa"/>
              <w:left w:w="45" w:type="dxa"/>
              <w:bottom w:w="0" w:type="dxa"/>
              <w:right w:w="45" w:type="dxa"/>
            </w:tcMar>
            <w:vAlign w:val="center"/>
            <w:hideMark/>
          </w:tcPr>
          <w:p w14:paraId="0CFC7425"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w:t>
            </w:r>
          </w:p>
        </w:tc>
        <w:tc>
          <w:tcPr>
            <w:tcW w:w="709" w:type="dxa"/>
            <w:tcMar>
              <w:top w:w="0" w:type="dxa"/>
              <w:left w:w="45" w:type="dxa"/>
              <w:bottom w:w="0" w:type="dxa"/>
              <w:right w:w="45" w:type="dxa"/>
            </w:tcMar>
            <w:vAlign w:val="center"/>
            <w:hideMark/>
          </w:tcPr>
          <w:p w14:paraId="4C00579A"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25,0%</w:t>
            </w:r>
          </w:p>
        </w:tc>
        <w:tc>
          <w:tcPr>
            <w:tcW w:w="851" w:type="dxa"/>
            <w:tcMar>
              <w:top w:w="0" w:type="dxa"/>
              <w:left w:w="45" w:type="dxa"/>
              <w:bottom w:w="0" w:type="dxa"/>
              <w:right w:w="45" w:type="dxa"/>
            </w:tcMar>
            <w:vAlign w:val="center"/>
            <w:hideMark/>
          </w:tcPr>
          <w:p w14:paraId="442D9692"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4</w:t>
            </w:r>
          </w:p>
        </w:tc>
        <w:tc>
          <w:tcPr>
            <w:tcW w:w="708" w:type="dxa"/>
            <w:tcMar>
              <w:top w:w="0" w:type="dxa"/>
              <w:left w:w="45" w:type="dxa"/>
              <w:bottom w:w="0" w:type="dxa"/>
              <w:right w:w="45" w:type="dxa"/>
            </w:tcMar>
            <w:vAlign w:val="center"/>
            <w:hideMark/>
          </w:tcPr>
          <w:p w14:paraId="23F640E6"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2</w:t>
            </w:r>
          </w:p>
        </w:tc>
        <w:tc>
          <w:tcPr>
            <w:tcW w:w="709" w:type="dxa"/>
            <w:tcMar>
              <w:top w:w="0" w:type="dxa"/>
              <w:left w:w="45" w:type="dxa"/>
              <w:bottom w:w="0" w:type="dxa"/>
              <w:right w:w="45" w:type="dxa"/>
            </w:tcMar>
            <w:vAlign w:val="center"/>
            <w:hideMark/>
          </w:tcPr>
          <w:p w14:paraId="39247393"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20,0%</w:t>
            </w:r>
          </w:p>
        </w:tc>
        <w:tc>
          <w:tcPr>
            <w:tcW w:w="709" w:type="dxa"/>
            <w:tcMar>
              <w:top w:w="0" w:type="dxa"/>
              <w:left w:w="45" w:type="dxa"/>
              <w:bottom w:w="0" w:type="dxa"/>
              <w:right w:w="45" w:type="dxa"/>
            </w:tcMar>
            <w:vAlign w:val="center"/>
            <w:hideMark/>
          </w:tcPr>
          <w:p w14:paraId="467294D6"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8</w:t>
            </w:r>
          </w:p>
        </w:tc>
        <w:tc>
          <w:tcPr>
            <w:tcW w:w="709" w:type="dxa"/>
            <w:tcMar>
              <w:top w:w="0" w:type="dxa"/>
              <w:left w:w="45" w:type="dxa"/>
              <w:bottom w:w="0" w:type="dxa"/>
              <w:right w:w="45" w:type="dxa"/>
            </w:tcMar>
            <w:vAlign w:val="center"/>
            <w:hideMark/>
          </w:tcPr>
          <w:p w14:paraId="34C4A5B1"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80,0%</w:t>
            </w:r>
          </w:p>
        </w:tc>
        <w:tc>
          <w:tcPr>
            <w:tcW w:w="661" w:type="dxa"/>
            <w:tcMar>
              <w:top w:w="0" w:type="dxa"/>
              <w:left w:w="45" w:type="dxa"/>
              <w:bottom w:w="0" w:type="dxa"/>
              <w:right w:w="45" w:type="dxa"/>
            </w:tcMar>
            <w:vAlign w:val="center"/>
            <w:hideMark/>
          </w:tcPr>
          <w:p w14:paraId="771549DE"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10</w:t>
            </w:r>
          </w:p>
        </w:tc>
        <w:tc>
          <w:tcPr>
            <w:tcW w:w="756" w:type="dxa"/>
            <w:tcMar>
              <w:top w:w="0" w:type="dxa"/>
              <w:left w:w="45" w:type="dxa"/>
              <w:bottom w:w="0" w:type="dxa"/>
              <w:right w:w="45" w:type="dxa"/>
            </w:tcMar>
            <w:vAlign w:val="center"/>
            <w:hideMark/>
          </w:tcPr>
          <w:p w14:paraId="06BFD04C"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14</w:t>
            </w:r>
          </w:p>
        </w:tc>
      </w:tr>
      <w:tr w:rsidR="000A4C3B" w:rsidRPr="000A4C3B" w14:paraId="7028AE2A" w14:textId="77777777" w:rsidTr="00C75492">
        <w:trPr>
          <w:trHeight w:val="454"/>
        </w:trPr>
        <w:tc>
          <w:tcPr>
            <w:tcW w:w="1746" w:type="dxa"/>
            <w:shd w:val="clear" w:color="auto" w:fill="BFBFBF" w:themeFill="background1" w:themeFillShade="BF"/>
            <w:tcMar>
              <w:top w:w="0" w:type="dxa"/>
              <w:left w:w="45" w:type="dxa"/>
              <w:bottom w:w="0" w:type="dxa"/>
              <w:right w:w="45" w:type="dxa"/>
            </w:tcMar>
            <w:vAlign w:val="center"/>
            <w:hideMark/>
          </w:tcPr>
          <w:p w14:paraId="21C06D82" w14:textId="77777777" w:rsidR="000A4C3B" w:rsidRPr="007B5800" w:rsidRDefault="000A4C3B" w:rsidP="00C75492">
            <w:pPr>
              <w:jc w:val="center"/>
              <w:rPr>
                <w:rFonts w:asciiTheme="minorHAnsi" w:hAnsiTheme="minorHAnsi" w:cstheme="minorHAnsi"/>
                <w:b/>
                <w:bCs/>
                <w:sz w:val="22"/>
                <w:szCs w:val="22"/>
              </w:rPr>
            </w:pPr>
            <w:r w:rsidRPr="007B5800">
              <w:rPr>
                <w:rFonts w:asciiTheme="minorHAnsi" w:hAnsiTheme="minorHAnsi" w:cstheme="minorHAnsi"/>
                <w:b/>
                <w:bCs/>
                <w:sz w:val="22"/>
                <w:szCs w:val="22"/>
              </w:rPr>
              <w:t>Divisões</w:t>
            </w:r>
          </w:p>
        </w:tc>
        <w:tc>
          <w:tcPr>
            <w:tcW w:w="709" w:type="dxa"/>
            <w:tcMar>
              <w:top w:w="0" w:type="dxa"/>
              <w:left w:w="45" w:type="dxa"/>
              <w:bottom w:w="0" w:type="dxa"/>
              <w:right w:w="45" w:type="dxa"/>
            </w:tcMar>
            <w:vAlign w:val="center"/>
            <w:hideMark/>
          </w:tcPr>
          <w:p w14:paraId="6E35D82F"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w:t>
            </w:r>
          </w:p>
        </w:tc>
        <w:tc>
          <w:tcPr>
            <w:tcW w:w="851" w:type="dxa"/>
            <w:tcMar>
              <w:top w:w="0" w:type="dxa"/>
              <w:left w:w="45" w:type="dxa"/>
              <w:bottom w:w="0" w:type="dxa"/>
              <w:right w:w="45" w:type="dxa"/>
            </w:tcMar>
            <w:vAlign w:val="center"/>
            <w:hideMark/>
          </w:tcPr>
          <w:p w14:paraId="22B3799D" w14:textId="1D9AD6C3" w:rsidR="000A4C3B" w:rsidRPr="007B5800" w:rsidRDefault="00E828AA" w:rsidP="00C75492">
            <w:pPr>
              <w:jc w:val="center"/>
              <w:rPr>
                <w:rFonts w:asciiTheme="minorHAnsi" w:hAnsiTheme="minorHAnsi" w:cstheme="minorHAnsi"/>
                <w:sz w:val="22"/>
                <w:szCs w:val="22"/>
              </w:rPr>
            </w:pPr>
            <w:r w:rsidRPr="007B5800">
              <w:rPr>
                <w:rFonts w:asciiTheme="minorHAnsi" w:hAnsiTheme="minorHAnsi" w:cstheme="minorHAnsi"/>
                <w:sz w:val="22"/>
                <w:szCs w:val="22"/>
              </w:rPr>
              <w:t>100</w:t>
            </w:r>
            <w:r w:rsidR="000A4C3B" w:rsidRPr="007B5800">
              <w:rPr>
                <w:rFonts w:asciiTheme="minorHAnsi" w:hAnsiTheme="minorHAnsi" w:cstheme="minorHAnsi"/>
                <w:sz w:val="22"/>
                <w:szCs w:val="22"/>
              </w:rPr>
              <w:t>%</w:t>
            </w:r>
          </w:p>
        </w:tc>
        <w:tc>
          <w:tcPr>
            <w:tcW w:w="708" w:type="dxa"/>
            <w:tcMar>
              <w:top w:w="0" w:type="dxa"/>
              <w:left w:w="45" w:type="dxa"/>
              <w:bottom w:w="0" w:type="dxa"/>
              <w:right w:w="45" w:type="dxa"/>
            </w:tcMar>
            <w:vAlign w:val="center"/>
            <w:hideMark/>
          </w:tcPr>
          <w:p w14:paraId="5A4D3D26"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0</w:t>
            </w:r>
          </w:p>
        </w:tc>
        <w:tc>
          <w:tcPr>
            <w:tcW w:w="709" w:type="dxa"/>
            <w:tcMar>
              <w:top w:w="0" w:type="dxa"/>
              <w:left w:w="45" w:type="dxa"/>
              <w:bottom w:w="0" w:type="dxa"/>
              <w:right w:w="45" w:type="dxa"/>
            </w:tcMar>
            <w:vAlign w:val="center"/>
            <w:hideMark/>
          </w:tcPr>
          <w:p w14:paraId="602FAEB9"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0,0%</w:t>
            </w:r>
          </w:p>
        </w:tc>
        <w:tc>
          <w:tcPr>
            <w:tcW w:w="851" w:type="dxa"/>
            <w:tcMar>
              <w:top w:w="0" w:type="dxa"/>
              <w:left w:w="45" w:type="dxa"/>
              <w:bottom w:w="0" w:type="dxa"/>
              <w:right w:w="45" w:type="dxa"/>
            </w:tcMar>
            <w:vAlign w:val="center"/>
            <w:hideMark/>
          </w:tcPr>
          <w:p w14:paraId="204ED9D5"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w:t>
            </w:r>
          </w:p>
        </w:tc>
        <w:tc>
          <w:tcPr>
            <w:tcW w:w="708" w:type="dxa"/>
            <w:tcMar>
              <w:top w:w="0" w:type="dxa"/>
              <w:left w:w="45" w:type="dxa"/>
              <w:bottom w:w="0" w:type="dxa"/>
              <w:right w:w="45" w:type="dxa"/>
            </w:tcMar>
            <w:vAlign w:val="center"/>
            <w:hideMark/>
          </w:tcPr>
          <w:p w14:paraId="0C078611"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5</w:t>
            </w:r>
          </w:p>
        </w:tc>
        <w:tc>
          <w:tcPr>
            <w:tcW w:w="709" w:type="dxa"/>
            <w:tcMar>
              <w:top w:w="0" w:type="dxa"/>
              <w:left w:w="45" w:type="dxa"/>
              <w:bottom w:w="0" w:type="dxa"/>
              <w:right w:w="45" w:type="dxa"/>
            </w:tcMar>
            <w:vAlign w:val="center"/>
            <w:hideMark/>
          </w:tcPr>
          <w:p w14:paraId="17AEEACF"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31,3%</w:t>
            </w:r>
          </w:p>
        </w:tc>
        <w:tc>
          <w:tcPr>
            <w:tcW w:w="709" w:type="dxa"/>
            <w:tcMar>
              <w:top w:w="0" w:type="dxa"/>
              <w:left w:w="45" w:type="dxa"/>
              <w:bottom w:w="0" w:type="dxa"/>
              <w:right w:w="45" w:type="dxa"/>
            </w:tcMar>
            <w:vAlign w:val="center"/>
            <w:hideMark/>
          </w:tcPr>
          <w:p w14:paraId="2C72B641"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11</w:t>
            </w:r>
          </w:p>
        </w:tc>
        <w:tc>
          <w:tcPr>
            <w:tcW w:w="709" w:type="dxa"/>
            <w:tcMar>
              <w:top w:w="0" w:type="dxa"/>
              <w:left w:w="45" w:type="dxa"/>
              <w:bottom w:w="0" w:type="dxa"/>
              <w:right w:w="45" w:type="dxa"/>
            </w:tcMar>
            <w:vAlign w:val="center"/>
            <w:hideMark/>
          </w:tcPr>
          <w:p w14:paraId="47C6B826"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68,8%</w:t>
            </w:r>
          </w:p>
        </w:tc>
        <w:tc>
          <w:tcPr>
            <w:tcW w:w="661" w:type="dxa"/>
            <w:tcMar>
              <w:top w:w="0" w:type="dxa"/>
              <w:left w:w="45" w:type="dxa"/>
              <w:bottom w:w="0" w:type="dxa"/>
              <w:right w:w="45" w:type="dxa"/>
            </w:tcMar>
            <w:vAlign w:val="center"/>
            <w:hideMark/>
          </w:tcPr>
          <w:p w14:paraId="2D937028"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16</w:t>
            </w:r>
          </w:p>
        </w:tc>
        <w:tc>
          <w:tcPr>
            <w:tcW w:w="756" w:type="dxa"/>
            <w:tcMar>
              <w:top w:w="0" w:type="dxa"/>
              <w:left w:w="45" w:type="dxa"/>
              <w:bottom w:w="0" w:type="dxa"/>
              <w:right w:w="45" w:type="dxa"/>
            </w:tcMar>
            <w:vAlign w:val="center"/>
            <w:hideMark/>
          </w:tcPr>
          <w:p w14:paraId="0C428D05"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17</w:t>
            </w:r>
          </w:p>
        </w:tc>
      </w:tr>
      <w:tr w:rsidR="000A4C3B" w:rsidRPr="000A4C3B" w14:paraId="3F3CE42A" w14:textId="77777777" w:rsidTr="00C75492">
        <w:trPr>
          <w:trHeight w:val="454"/>
        </w:trPr>
        <w:tc>
          <w:tcPr>
            <w:tcW w:w="1746" w:type="dxa"/>
            <w:shd w:val="clear" w:color="auto" w:fill="BFBFBF" w:themeFill="background1" w:themeFillShade="BF"/>
            <w:tcMar>
              <w:top w:w="0" w:type="dxa"/>
              <w:left w:w="45" w:type="dxa"/>
              <w:bottom w:w="0" w:type="dxa"/>
              <w:right w:w="45" w:type="dxa"/>
            </w:tcMar>
            <w:vAlign w:val="center"/>
            <w:hideMark/>
          </w:tcPr>
          <w:p w14:paraId="63AE67AF" w14:textId="77777777" w:rsidR="000A4C3B" w:rsidRPr="007B5800" w:rsidRDefault="000A4C3B" w:rsidP="00C75492">
            <w:pPr>
              <w:jc w:val="center"/>
              <w:rPr>
                <w:rFonts w:asciiTheme="minorHAnsi" w:hAnsiTheme="minorHAnsi" w:cstheme="minorHAnsi"/>
                <w:b/>
                <w:bCs/>
                <w:sz w:val="22"/>
                <w:szCs w:val="22"/>
              </w:rPr>
            </w:pPr>
            <w:r w:rsidRPr="007B5800">
              <w:rPr>
                <w:rFonts w:asciiTheme="minorHAnsi" w:hAnsiTheme="minorHAnsi" w:cstheme="minorHAnsi"/>
                <w:b/>
                <w:bCs/>
                <w:sz w:val="22"/>
                <w:szCs w:val="22"/>
              </w:rPr>
              <w:t>Núcleos</w:t>
            </w:r>
          </w:p>
        </w:tc>
        <w:tc>
          <w:tcPr>
            <w:tcW w:w="709" w:type="dxa"/>
            <w:tcMar>
              <w:top w:w="0" w:type="dxa"/>
              <w:left w:w="45" w:type="dxa"/>
              <w:bottom w:w="0" w:type="dxa"/>
              <w:right w:w="45" w:type="dxa"/>
            </w:tcMar>
            <w:vAlign w:val="center"/>
            <w:hideMark/>
          </w:tcPr>
          <w:p w14:paraId="34CC8A1A"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0</w:t>
            </w:r>
          </w:p>
        </w:tc>
        <w:tc>
          <w:tcPr>
            <w:tcW w:w="851" w:type="dxa"/>
            <w:tcMar>
              <w:top w:w="0" w:type="dxa"/>
              <w:left w:w="45" w:type="dxa"/>
              <w:bottom w:w="0" w:type="dxa"/>
              <w:right w:w="45" w:type="dxa"/>
            </w:tcMar>
            <w:vAlign w:val="center"/>
            <w:hideMark/>
          </w:tcPr>
          <w:p w14:paraId="25DAE602"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0,0%</w:t>
            </w:r>
          </w:p>
        </w:tc>
        <w:tc>
          <w:tcPr>
            <w:tcW w:w="708" w:type="dxa"/>
            <w:tcMar>
              <w:top w:w="0" w:type="dxa"/>
              <w:left w:w="45" w:type="dxa"/>
              <w:bottom w:w="0" w:type="dxa"/>
              <w:right w:w="45" w:type="dxa"/>
            </w:tcMar>
            <w:vAlign w:val="center"/>
            <w:hideMark/>
          </w:tcPr>
          <w:p w14:paraId="59B6970B"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2</w:t>
            </w:r>
          </w:p>
        </w:tc>
        <w:tc>
          <w:tcPr>
            <w:tcW w:w="709" w:type="dxa"/>
            <w:tcMar>
              <w:top w:w="0" w:type="dxa"/>
              <w:left w:w="45" w:type="dxa"/>
              <w:bottom w:w="0" w:type="dxa"/>
              <w:right w:w="45" w:type="dxa"/>
            </w:tcMar>
            <w:vAlign w:val="center"/>
            <w:hideMark/>
          </w:tcPr>
          <w:p w14:paraId="4CCD634D" w14:textId="34F6F648" w:rsidR="000A4C3B" w:rsidRPr="007B5800" w:rsidRDefault="00E828AA" w:rsidP="00C75492">
            <w:pPr>
              <w:jc w:val="center"/>
              <w:rPr>
                <w:rFonts w:asciiTheme="minorHAnsi" w:hAnsiTheme="minorHAnsi" w:cstheme="minorHAnsi"/>
                <w:sz w:val="22"/>
                <w:szCs w:val="22"/>
              </w:rPr>
            </w:pPr>
            <w:r w:rsidRPr="007B5800">
              <w:rPr>
                <w:rFonts w:asciiTheme="minorHAnsi" w:hAnsiTheme="minorHAnsi" w:cstheme="minorHAnsi"/>
                <w:sz w:val="22"/>
                <w:szCs w:val="22"/>
              </w:rPr>
              <w:t>100</w:t>
            </w:r>
            <w:r w:rsidR="000A4C3B" w:rsidRPr="007B5800">
              <w:rPr>
                <w:rFonts w:asciiTheme="minorHAnsi" w:hAnsiTheme="minorHAnsi" w:cstheme="minorHAnsi"/>
                <w:sz w:val="22"/>
                <w:szCs w:val="22"/>
              </w:rPr>
              <w:t>%</w:t>
            </w:r>
          </w:p>
        </w:tc>
        <w:tc>
          <w:tcPr>
            <w:tcW w:w="851" w:type="dxa"/>
            <w:tcMar>
              <w:top w:w="0" w:type="dxa"/>
              <w:left w:w="45" w:type="dxa"/>
              <w:bottom w:w="0" w:type="dxa"/>
              <w:right w:w="45" w:type="dxa"/>
            </w:tcMar>
            <w:vAlign w:val="center"/>
            <w:hideMark/>
          </w:tcPr>
          <w:p w14:paraId="7E6766CC"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2</w:t>
            </w:r>
          </w:p>
        </w:tc>
        <w:tc>
          <w:tcPr>
            <w:tcW w:w="708" w:type="dxa"/>
            <w:tcMar>
              <w:top w:w="0" w:type="dxa"/>
              <w:left w:w="45" w:type="dxa"/>
              <w:bottom w:w="0" w:type="dxa"/>
              <w:right w:w="45" w:type="dxa"/>
            </w:tcMar>
            <w:vAlign w:val="center"/>
            <w:hideMark/>
          </w:tcPr>
          <w:p w14:paraId="5FDF9A8A"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4</w:t>
            </w:r>
          </w:p>
        </w:tc>
        <w:tc>
          <w:tcPr>
            <w:tcW w:w="709" w:type="dxa"/>
            <w:tcMar>
              <w:top w:w="0" w:type="dxa"/>
              <w:left w:w="45" w:type="dxa"/>
              <w:bottom w:w="0" w:type="dxa"/>
              <w:right w:w="45" w:type="dxa"/>
            </w:tcMar>
            <w:vAlign w:val="center"/>
            <w:hideMark/>
          </w:tcPr>
          <w:p w14:paraId="203898B2"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12,9%</w:t>
            </w:r>
          </w:p>
        </w:tc>
        <w:tc>
          <w:tcPr>
            <w:tcW w:w="709" w:type="dxa"/>
            <w:tcMar>
              <w:top w:w="0" w:type="dxa"/>
              <w:left w:w="45" w:type="dxa"/>
              <w:bottom w:w="0" w:type="dxa"/>
              <w:right w:w="45" w:type="dxa"/>
            </w:tcMar>
            <w:vAlign w:val="center"/>
            <w:hideMark/>
          </w:tcPr>
          <w:p w14:paraId="3646A21B"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27</w:t>
            </w:r>
          </w:p>
        </w:tc>
        <w:tc>
          <w:tcPr>
            <w:tcW w:w="709" w:type="dxa"/>
            <w:tcMar>
              <w:top w:w="0" w:type="dxa"/>
              <w:left w:w="45" w:type="dxa"/>
              <w:bottom w:w="0" w:type="dxa"/>
              <w:right w:w="45" w:type="dxa"/>
            </w:tcMar>
            <w:vAlign w:val="center"/>
            <w:hideMark/>
          </w:tcPr>
          <w:p w14:paraId="4EC5BD8D"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87,1%</w:t>
            </w:r>
          </w:p>
        </w:tc>
        <w:tc>
          <w:tcPr>
            <w:tcW w:w="661" w:type="dxa"/>
            <w:tcMar>
              <w:top w:w="0" w:type="dxa"/>
              <w:left w:w="45" w:type="dxa"/>
              <w:bottom w:w="0" w:type="dxa"/>
              <w:right w:w="45" w:type="dxa"/>
            </w:tcMar>
            <w:vAlign w:val="center"/>
            <w:hideMark/>
          </w:tcPr>
          <w:p w14:paraId="1305989A"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31</w:t>
            </w:r>
          </w:p>
        </w:tc>
        <w:tc>
          <w:tcPr>
            <w:tcW w:w="756" w:type="dxa"/>
            <w:tcMar>
              <w:top w:w="0" w:type="dxa"/>
              <w:left w:w="45" w:type="dxa"/>
              <w:bottom w:w="0" w:type="dxa"/>
              <w:right w:w="45" w:type="dxa"/>
            </w:tcMar>
            <w:vAlign w:val="center"/>
            <w:hideMark/>
          </w:tcPr>
          <w:p w14:paraId="58BBFF45"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33</w:t>
            </w:r>
          </w:p>
        </w:tc>
      </w:tr>
      <w:tr w:rsidR="000A4C3B" w:rsidRPr="000A4C3B" w14:paraId="420464C9" w14:textId="77777777" w:rsidTr="00C75492">
        <w:trPr>
          <w:trHeight w:val="454"/>
        </w:trPr>
        <w:tc>
          <w:tcPr>
            <w:tcW w:w="1746" w:type="dxa"/>
            <w:shd w:val="clear" w:color="auto" w:fill="BFBFBF" w:themeFill="background1" w:themeFillShade="BF"/>
            <w:tcMar>
              <w:top w:w="0" w:type="dxa"/>
              <w:left w:w="45" w:type="dxa"/>
              <w:bottom w:w="0" w:type="dxa"/>
              <w:right w:w="45" w:type="dxa"/>
            </w:tcMar>
            <w:vAlign w:val="center"/>
            <w:hideMark/>
          </w:tcPr>
          <w:p w14:paraId="1E0A00E4" w14:textId="77777777" w:rsidR="000A4C3B" w:rsidRPr="007B5800" w:rsidRDefault="000A4C3B" w:rsidP="00C75492">
            <w:pPr>
              <w:jc w:val="center"/>
              <w:rPr>
                <w:rFonts w:asciiTheme="minorHAnsi" w:hAnsiTheme="minorHAnsi" w:cstheme="minorHAnsi"/>
                <w:b/>
                <w:bCs/>
                <w:sz w:val="22"/>
                <w:szCs w:val="22"/>
              </w:rPr>
            </w:pPr>
            <w:r w:rsidRPr="007B5800">
              <w:rPr>
                <w:rFonts w:asciiTheme="minorHAnsi" w:hAnsiTheme="minorHAnsi" w:cstheme="minorHAnsi"/>
                <w:b/>
                <w:bCs/>
                <w:sz w:val="22"/>
                <w:szCs w:val="22"/>
              </w:rPr>
              <w:t>Seções</w:t>
            </w:r>
          </w:p>
        </w:tc>
        <w:tc>
          <w:tcPr>
            <w:tcW w:w="709" w:type="dxa"/>
            <w:tcMar>
              <w:top w:w="0" w:type="dxa"/>
              <w:left w:w="45" w:type="dxa"/>
              <w:bottom w:w="0" w:type="dxa"/>
              <w:right w:w="45" w:type="dxa"/>
            </w:tcMar>
            <w:vAlign w:val="center"/>
            <w:hideMark/>
          </w:tcPr>
          <w:p w14:paraId="00D0F84F"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31</w:t>
            </w:r>
          </w:p>
        </w:tc>
        <w:tc>
          <w:tcPr>
            <w:tcW w:w="851" w:type="dxa"/>
            <w:tcMar>
              <w:top w:w="0" w:type="dxa"/>
              <w:left w:w="45" w:type="dxa"/>
              <w:bottom w:w="0" w:type="dxa"/>
              <w:right w:w="45" w:type="dxa"/>
            </w:tcMar>
            <w:vAlign w:val="center"/>
            <w:hideMark/>
          </w:tcPr>
          <w:p w14:paraId="6BD29B21"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36,9%</w:t>
            </w:r>
          </w:p>
        </w:tc>
        <w:tc>
          <w:tcPr>
            <w:tcW w:w="708" w:type="dxa"/>
            <w:tcMar>
              <w:top w:w="0" w:type="dxa"/>
              <w:left w:w="45" w:type="dxa"/>
              <w:bottom w:w="0" w:type="dxa"/>
              <w:right w:w="45" w:type="dxa"/>
            </w:tcMar>
            <w:vAlign w:val="center"/>
            <w:hideMark/>
          </w:tcPr>
          <w:p w14:paraId="0996362E"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53</w:t>
            </w:r>
          </w:p>
        </w:tc>
        <w:tc>
          <w:tcPr>
            <w:tcW w:w="709" w:type="dxa"/>
            <w:tcMar>
              <w:top w:w="0" w:type="dxa"/>
              <w:left w:w="45" w:type="dxa"/>
              <w:bottom w:w="0" w:type="dxa"/>
              <w:right w:w="45" w:type="dxa"/>
            </w:tcMar>
            <w:vAlign w:val="center"/>
            <w:hideMark/>
          </w:tcPr>
          <w:p w14:paraId="62A94505"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63,1%</w:t>
            </w:r>
          </w:p>
        </w:tc>
        <w:tc>
          <w:tcPr>
            <w:tcW w:w="851" w:type="dxa"/>
            <w:tcMar>
              <w:top w:w="0" w:type="dxa"/>
              <w:left w:w="45" w:type="dxa"/>
              <w:bottom w:w="0" w:type="dxa"/>
              <w:right w:w="45" w:type="dxa"/>
            </w:tcMar>
            <w:vAlign w:val="center"/>
            <w:hideMark/>
          </w:tcPr>
          <w:p w14:paraId="12C9C782"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84</w:t>
            </w:r>
          </w:p>
        </w:tc>
        <w:tc>
          <w:tcPr>
            <w:tcW w:w="708" w:type="dxa"/>
            <w:tcMar>
              <w:top w:w="0" w:type="dxa"/>
              <w:left w:w="45" w:type="dxa"/>
              <w:bottom w:w="0" w:type="dxa"/>
              <w:right w:w="45" w:type="dxa"/>
            </w:tcMar>
            <w:vAlign w:val="center"/>
            <w:hideMark/>
          </w:tcPr>
          <w:p w14:paraId="61F76EE9"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33</w:t>
            </w:r>
          </w:p>
        </w:tc>
        <w:tc>
          <w:tcPr>
            <w:tcW w:w="709" w:type="dxa"/>
            <w:tcMar>
              <w:top w:w="0" w:type="dxa"/>
              <w:left w:w="45" w:type="dxa"/>
              <w:bottom w:w="0" w:type="dxa"/>
              <w:right w:w="45" w:type="dxa"/>
            </w:tcMar>
            <w:vAlign w:val="center"/>
            <w:hideMark/>
          </w:tcPr>
          <w:p w14:paraId="6C66D2AF"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47,1%</w:t>
            </w:r>
          </w:p>
        </w:tc>
        <w:tc>
          <w:tcPr>
            <w:tcW w:w="709" w:type="dxa"/>
            <w:tcMar>
              <w:top w:w="0" w:type="dxa"/>
              <w:left w:w="45" w:type="dxa"/>
              <w:bottom w:w="0" w:type="dxa"/>
              <w:right w:w="45" w:type="dxa"/>
            </w:tcMar>
            <w:vAlign w:val="center"/>
            <w:hideMark/>
          </w:tcPr>
          <w:p w14:paraId="3FAD6EF2"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37</w:t>
            </w:r>
          </w:p>
        </w:tc>
        <w:tc>
          <w:tcPr>
            <w:tcW w:w="709" w:type="dxa"/>
            <w:tcMar>
              <w:top w:w="0" w:type="dxa"/>
              <w:left w:w="45" w:type="dxa"/>
              <w:bottom w:w="0" w:type="dxa"/>
              <w:right w:w="45" w:type="dxa"/>
            </w:tcMar>
            <w:vAlign w:val="center"/>
            <w:hideMark/>
          </w:tcPr>
          <w:p w14:paraId="7B861EFD"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52,9%</w:t>
            </w:r>
          </w:p>
        </w:tc>
        <w:tc>
          <w:tcPr>
            <w:tcW w:w="661" w:type="dxa"/>
            <w:tcMar>
              <w:top w:w="0" w:type="dxa"/>
              <w:left w:w="45" w:type="dxa"/>
              <w:bottom w:w="0" w:type="dxa"/>
              <w:right w:w="45" w:type="dxa"/>
            </w:tcMar>
            <w:vAlign w:val="center"/>
            <w:hideMark/>
          </w:tcPr>
          <w:p w14:paraId="635FD162"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70</w:t>
            </w:r>
          </w:p>
        </w:tc>
        <w:tc>
          <w:tcPr>
            <w:tcW w:w="756" w:type="dxa"/>
            <w:tcMar>
              <w:top w:w="0" w:type="dxa"/>
              <w:left w:w="45" w:type="dxa"/>
              <w:bottom w:w="0" w:type="dxa"/>
              <w:right w:w="45" w:type="dxa"/>
            </w:tcMar>
            <w:vAlign w:val="center"/>
            <w:hideMark/>
          </w:tcPr>
          <w:p w14:paraId="6DF09802" w14:textId="77777777" w:rsidR="000A4C3B" w:rsidRPr="007B5800" w:rsidRDefault="000A4C3B" w:rsidP="00C75492">
            <w:pPr>
              <w:jc w:val="center"/>
              <w:rPr>
                <w:rFonts w:asciiTheme="minorHAnsi" w:hAnsiTheme="minorHAnsi" w:cstheme="minorHAnsi"/>
                <w:sz w:val="22"/>
                <w:szCs w:val="22"/>
              </w:rPr>
            </w:pPr>
            <w:r w:rsidRPr="007B5800">
              <w:rPr>
                <w:rFonts w:asciiTheme="minorHAnsi" w:hAnsiTheme="minorHAnsi" w:cstheme="minorHAnsi"/>
                <w:sz w:val="22"/>
                <w:szCs w:val="22"/>
              </w:rPr>
              <w:t>154</w:t>
            </w:r>
          </w:p>
        </w:tc>
      </w:tr>
    </w:tbl>
    <w:bookmarkEnd w:id="63"/>
    <w:p w14:paraId="16350F10" w14:textId="0D745D1A" w:rsidR="003F6A5E" w:rsidRPr="00AE0CEB" w:rsidRDefault="00AE0CEB" w:rsidP="00015C47">
      <w:pPr>
        <w:pStyle w:val="Fonte"/>
        <w:jc w:val="left"/>
        <w:rPr>
          <w:b w:val="0"/>
          <w:bCs/>
        </w:rPr>
      </w:pPr>
      <w:r w:rsidRPr="00AE0CEB">
        <w:rPr>
          <w:bCs/>
        </w:rPr>
        <w:t>Notas:</w:t>
      </w:r>
      <w:r w:rsidRPr="00AE0CEB">
        <w:t xml:space="preserve"> </w:t>
      </w:r>
      <w:r w:rsidRPr="00AE0CEB">
        <w:rPr>
          <w:b w:val="0"/>
          <w:bCs/>
        </w:rPr>
        <w:t>Fem. – Feminino; Masc. – Masculino.</w:t>
      </w:r>
    </w:p>
    <w:p w14:paraId="40792333" w14:textId="77777777" w:rsidR="00AE0CEB" w:rsidRDefault="00AE0CEB" w:rsidP="00015C47">
      <w:pPr>
        <w:pStyle w:val="Fonte"/>
        <w:jc w:val="left"/>
        <w:rPr>
          <w:bCs/>
          <w:sz w:val="24"/>
        </w:rPr>
      </w:pPr>
      <w:r>
        <w:t xml:space="preserve">Fonte: </w:t>
      </w:r>
      <w:r w:rsidRPr="00AE0CEB">
        <w:rPr>
          <w:b w:val="0"/>
        </w:rPr>
        <w:t>Dados disponibilizados pelo Sistema de Recursos Humanos do TST (abril de 2025). Compilação e elaboração: CPJUD/SEPJD/CPJED</w:t>
      </w:r>
      <w:r w:rsidRPr="00AE0CEB">
        <w:rPr>
          <w:b w:val="0"/>
          <w:sz w:val="24"/>
        </w:rPr>
        <w:t>.</w:t>
      </w:r>
    </w:p>
    <w:p w14:paraId="44246717" w14:textId="77358AFE" w:rsidR="00AE0CEB" w:rsidRDefault="00AE0CEB" w:rsidP="003F6A5E">
      <w:pPr>
        <w:pStyle w:val="Texto"/>
      </w:pPr>
    </w:p>
    <w:p w14:paraId="12C22E2C" w14:textId="511D3974" w:rsidR="000F3932" w:rsidRDefault="000F3932" w:rsidP="00C75492">
      <w:pPr>
        <w:pStyle w:val="Texto"/>
      </w:pPr>
      <w:r>
        <w:lastRenderedPageBreak/>
        <w:t xml:space="preserve">Em síntese, a análise evidencia que a distribuição de gênero nas unidades do TST se manifesta em dinâmicas distintas entre as áreas judiciária e administrativa quanto ao acesso a funções comissionadas. Com efeito, enquanto </w:t>
      </w:r>
      <w:r w:rsidR="00BA2564">
        <w:t>na área judiciária há</w:t>
      </w:r>
      <w:r>
        <w:t xml:space="preserve"> um equilíbrio relativo, salientando-se a preponderância feminina em cargos de chefia de gabinete e na única divisão existente, </w:t>
      </w:r>
      <w:r w:rsidR="00BA2564">
        <w:t>n</w:t>
      </w:r>
      <w:r>
        <w:t xml:space="preserve">a área administrativa, por sua vez, além de </w:t>
      </w:r>
      <w:r w:rsidR="00BA2564">
        <w:t xml:space="preserve">se </w:t>
      </w:r>
      <w:r>
        <w:t xml:space="preserve">concentrar um maior número de estruturas, </w:t>
      </w:r>
      <w:r w:rsidR="00BA2564">
        <w:t>existe um predomínio masculino no exercício da</w:t>
      </w:r>
      <w:r>
        <w:t xml:space="preserve"> maior parte d</w:t>
      </w:r>
      <w:r w:rsidR="00BA2564">
        <w:t>as funções em comissão</w:t>
      </w:r>
      <w:r>
        <w:t>, com especial relevo para os núcleos e as coordenadorias. Conquanto se verifiquem setores nos quais a presença feminina se equipara ou supera a masculina, a exemplo de algumas secretarias e seções, o panorama geral aponta para a preponderância do gênero masculino. Tal cenário impõe a necessidade de se perquirir se essas diferenças refletem óbices estruturais de acesso ou se decorrem de escolhas individuais, com o fito de subsidiar a formulação de políticas institucionais voltadas à promoção de um maior equilíbrio de gênero, recomendando-se, para tanto, a realização de uma futura pesquisa qualitativa.</w:t>
      </w:r>
    </w:p>
    <w:p w14:paraId="4A93E4E1" w14:textId="3E7203A2" w:rsidR="00B17BF9" w:rsidRDefault="001E7DDD" w:rsidP="00C75492">
      <w:pPr>
        <w:pStyle w:val="Texto"/>
      </w:pPr>
      <w:r>
        <w:t xml:space="preserve">O </w:t>
      </w:r>
      <w:r w:rsidR="009240D2">
        <w:t xml:space="preserve">Gráfico </w:t>
      </w:r>
      <w:r w:rsidR="0061315D">
        <w:t>25</w:t>
      </w:r>
      <w:r w:rsidR="00FD2FFA">
        <w:t xml:space="preserve"> compara os percentuais de mulheres que ocupam </w:t>
      </w:r>
      <w:r w:rsidR="00B17BF9">
        <w:t xml:space="preserve">cargos de gestão e liderança nas </w:t>
      </w:r>
      <w:r w:rsidR="00FD2FFA">
        <w:t>unidade</w:t>
      </w:r>
      <w:r w:rsidR="00D7175F">
        <w:t>s</w:t>
      </w:r>
      <w:r w:rsidR="00FD2FFA">
        <w:t xml:space="preserve"> da área judiciária e administrativa</w:t>
      </w:r>
      <w:r w:rsidR="00D7175F">
        <w:t xml:space="preserve"> do TST</w:t>
      </w:r>
      <w:r w:rsidR="00FD2FFA">
        <w:t>.</w:t>
      </w:r>
      <w:r w:rsidR="00342804">
        <w:t xml:space="preserve"> </w:t>
      </w:r>
      <w:r w:rsidR="0061315D">
        <w:t>É possível observar</w:t>
      </w:r>
      <w:r w:rsidR="00D7175F">
        <w:t xml:space="preserve"> que a</w:t>
      </w:r>
      <w:r w:rsidR="00342804">
        <w:t xml:space="preserve"> </w:t>
      </w:r>
      <w:r w:rsidR="00B17BF9">
        <w:t>presença</w:t>
      </w:r>
      <w:r w:rsidR="00342804">
        <w:t xml:space="preserve"> </w:t>
      </w:r>
      <w:r w:rsidR="00B17BF9">
        <w:t>feminina, para o mesmo tipo de unidade, apresenta variações significativas</w:t>
      </w:r>
      <w:r w:rsidR="00342804">
        <w:t xml:space="preserve"> entre as </w:t>
      </w:r>
      <w:r w:rsidR="00D7175F">
        <w:t xml:space="preserve">duas </w:t>
      </w:r>
      <w:r w:rsidR="00342804">
        <w:t>áreas</w:t>
      </w:r>
      <w:r w:rsidR="00B17BF9">
        <w:t>, sendo proporcionalmente maior na área judiciária em comparação à área administrativa.</w:t>
      </w:r>
    </w:p>
    <w:p w14:paraId="1026599D" w14:textId="77777777" w:rsidR="00C75492" w:rsidRPr="00B17BF9" w:rsidRDefault="00C75492" w:rsidP="00C75492">
      <w:pPr>
        <w:pStyle w:val="Texto"/>
      </w:pPr>
    </w:p>
    <w:p w14:paraId="7A750265" w14:textId="1B7B0747" w:rsidR="00E33569" w:rsidRDefault="00CC4796" w:rsidP="00FB5A95">
      <w:pPr>
        <w:pStyle w:val="TtulodaIlustrao"/>
        <w:rPr>
          <w:b w:val="0"/>
        </w:rPr>
      </w:pPr>
      <w:bookmarkStart w:id="64" w:name="_Toc208508648"/>
      <w:r>
        <w:t xml:space="preserve">Gráfico </w:t>
      </w:r>
      <w:r w:rsidR="00221F78">
        <w:t>25</w:t>
      </w:r>
      <w:r w:rsidRPr="00C75492">
        <w:rPr>
          <w:b w:val="0"/>
        </w:rPr>
        <w:t xml:space="preserve"> - Percentual de mulheres nas unidades administrativas do TST – Comparativos entre áreas judiciária e administrativa</w:t>
      </w:r>
      <w:bookmarkEnd w:id="64"/>
    </w:p>
    <w:p w14:paraId="38913792" w14:textId="75E9C763" w:rsidR="00C76F20" w:rsidRDefault="00C76F20" w:rsidP="00E33569">
      <w:pPr>
        <w:jc w:val="center"/>
      </w:pPr>
      <w:r>
        <w:rPr>
          <w:noProof/>
        </w:rPr>
        <w:drawing>
          <wp:inline distT="0" distB="0" distL="0" distR="0" wp14:anchorId="2AD84FDE" wp14:editId="3EAA8FC2">
            <wp:extent cx="4686300" cy="3343275"/>
            <wp:effectExtent l="0" t="0" r="0" b="0"/>
            <wp:docPr id="1622690742" name="Gráfico 162269074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A57759-FA15-45A2-93EC-EE3BDB75B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0D635AA" w14:textId="77777777" w:rsidR="00F15B4F" w:rsidRDefault="00F15B4F" w:rsidP="00C75492">
      <w:pPr>
        <w:pStyle w:val="Fonte"/>
        <w:rPr>
          <w:bCs/>
          <w:sz w:val="24"/>
        </w:rPr>
      </w:pPr>
      <w:r>
        <w:lastRenderedPageBreak/>
        <w:t xml:space="preserve">Fonte: </w:t>
      </w:r>
      <w:r w:rsidRPr="00AE0CEB">
        <w:rPr>
          <w:b w:val="0"/>
        </w:rPr>
        <w:t>Dados disponibilizados pelo Sistema de Recursos Humanos do TST (abril de 2025). Compilação e elaboração: CPJUD/SEPJD/CPJED</w:t>
      </w:r>
      <w:r w:rsidRPr="00AE0CEB">
        <w:rPr>
          <w:b w:val="0"/>
          <w:sz w:val="24"/>
        </w:rPr>
        <w:t>.</w:t>
      </w:r>
    </w:p>
    <w:p w14:paraId="3CDE8D0E" w14:textId="77777777" w:rsidR="00F15B4F" w:rsidRDefault="00F15B4F" w:rsidP="00D873C7">
      <w:pPr>
        <w:pStyle w:val="Texto"/>
        <w:ind w:firstLine="709"/>
      </w:pPr>
    </w:p>
    <w:p w14:paraId="4D0E2C65" w14:textId="77777777" w:rsidR="0061315D" w:rsidRDefault="00753876" w:rsidP="00C75492">
      <w:pPr>
        <w:pStyle w:val="Texto"/>
      </w:pPr>
      <w:r>
        <w:t>Dessa forma</w:t>
      </w:r>
      <w:r w:rsidR="00B17BF9">
        <w:t xml:space="preserve">, </w:t>
      </w:r>
      <w:r>
        <w:t xml:space="preserve">os dados desta pesquisa indicam uma maior predominância masculina nos cargos de gestão e liderança da área administrativa, enquanto, na área judiciária, </w:t>
      </w:r>
      <w:r w:rsidR="0061315D">
        <w:t>a</w:t>
      </w:r>
      <w:r>
        <w:t xml:space="preserve"> distribuição </w:t>
      </w:r>
      <w:r w:rsidR="0061315D">
        <w:t xml:space="preserve">é </w:t>
      </w:r>
      <w:r>
        <w:t>mais equilibrada</w:t>
      </w:r>
      <w:r w:rsidR="00B5007F">
        <w:t xml:space="preserve">, </w:t>
      </w:r>
      <w:r w:rsidR="0061315D">
        <w:t>embora ainda haja maior presença masculina de forma geral</w:t>
      </w:r>
      <w:r>
        <w:t xml:space="preserve">. </w:t>
      </w:r>
    </w:p>
    <w:p w14:paraId="77F5821D" w14:textId="61AD78E6" w:rsidR="0090741E" w:rsidRDefault="00BA2564" w:rsidP="00BA2564">
      <w:pPr>
        <w:pStyle w:val="Texto"/>
      </w:pPr>
      <w:r>
        <w:t xml:space="preserve">Nesse particular, cumpre salientar que a política de incentivo à participação institucional feminina na Justiça do Trabalho (Resolução CNJ nº 255/2018 e </w:t>
      </w:r>
      <w:r w:rsidRPr="00954EBC">
        <w:t>Ato Conjunto TST.CSJT.GP nº 42/2024</w:t>
      </w:r>
      <w:r>
        <w:t>), determina diretrizes que visam à promoção da equidade de gênero e da igualdade de oportunidades, reforçando a necessidade de os tribunais implementarem ações de valorização e incentivo à participação feminina em cargos de gestão, com o fito de se equalizar a força de trabalho e se corrigirem eventuais disparidades. Dessarte, a análise das diferenças observadas entre as áreas judiciária e administrativa do TST deve ser interpretada à luz do aludido normativo, cujo escopo precípuo é o de assegurar um maior equilíbrio de gênero em todas as esferas organizacionais e consolidar uma cultura institucional mais inclusiva.</w:t>
      </w:r>
    </w:p>
    <w:p w14:paraId="54B576A3" w14:textId="2416177B" w:rsidR="00753876" w:rsidRDefault="00753876" w:rsidP="00C75492">
      <w:pPr>
        <w:pStyle w:val="Texto"/>
      </w:pPr>
      <w:r>
        <w:t xml:space="preserve">O Gráfico </w:t>
      </w:r>
      <w:r w:rsidR="0061315D">
        <w:t>26</w:t>
      </w:r>
      <w:r>
        <w:t xml:space="preserve"> ilustra essas variações. Para sua elaboração, foram considerados 306 cargos de gestão e liderança do TST, incluindo chefes de gabinete e secretários-gerais, com exceção do cargo de Secretário-Geral da Presidência, por se tratar de </w:t>
      </w:r>
      <w:r w:rsidR="0061315D">
        <w:t xml:space="preserve">uma </w:t>
      </w:r>
      <w:r>
        <w:t>função transversal, na qual não é possível distinguir entre área administrativa e judiciária.</w:t>
      </w:r>
    </w:p>
    <w:p w14:paraId="7BFD3FF6" w14:textId="77777777" w:rsidR="0061315D" w:rsidRDefault="00753876" w:rsidP="00C75492">
      <w:pPr>
        <w:pStyle w:val="Texto"/>
      </w:pPr>
      <w:r>
        <w:t>A partir da classificação esta</w:t>
      </w:r>
      <w:r w:rsidR="007906D5">
        <w:t>b</w:t>
      </w:r>
      <w:r>
        <w:t>elecida para este estudo, apurou-se que</w:t>
      </w:r>
      <w:r w:rsidR="00217A8D">
        <w:t>,</w:t>
      </w:r>
      <w:r>
        <w:t xml:space="preserve"> dos 306 cargos analisados, 140 </w:t>
      </w:r>
      <w:r w:rsidR="00217A8D">
        <w:t>estão alocados</w:t>
      </w:r>
      <w:r>
        <w:t xml:space="preserve"> na área judiciária (45,8%) e 166 na área administrativa (54,2%).</w:t>
      </w:r>
      <w:r w:rsidR="007906D5">
        <w:t xml:space="preserve"> </w:t>
      </w:r>
      <w:r w:rsidR="00217A8D">
        <w:t>A análise da distribuição de gênero por área revela que,</w:t>
      </w:r>
      <w:r w:rsidR="007906D5">
        <w:t xml:space="preserve"> na área judiciária do TST, </w:t>
      </w:r>
      <w:r w:rsidR="0061315D">
        <w:t>as mulheres representam 45,7% das posições de gestão e liderança (</w:t>
      </w:r>
      <w:r w:rsidR="007906D5">
        <w:t>64 cargos</w:t>
      </w:r>
      <w:r w:rsidR="0061315D">
        <w:t>)</w:t>
      </w:r>
      <w:r w:rsidR="007906D5">
        <w:t xml:space="preserve"> </w:t>
      </w:r>
      <w:r w:rsidR="0061315D">
        <w:t>e os homens 54,3% (76 cargos)</w:t>
      </w:r>
      <w:r w:rsidR="00811DDF">
        <w:t xml:space="preserve">. Nesta área, as mulheres estão </w:t>
      </w:r>
      <w:r w:rsidR="007906D5">
        <w:t>mais concentradas</w:t>
      </w:r>
      <w:r w:rsidR="00811DDF">
        <w:t xml:space="preserve"> nos cargos </w:t>
      </w:r>
      <w:r w:rsidR="007906D5">
        <w:t>de chefe de gabinete, secretárias e assessor</w:t>
      </w:r>
      <w:r w:rsidR="00217A8D">
        <w:t>a</w:t>
      </w:r>
      <w:r w:rsidR="007906D5">
        <w:t>s</w:t>
      </w:r>
      <w:r w:rsidR="00217A8D">
        <w:t xml:space="preserve">-chefe, e menos </w:t>
      </w:r>
      <w:r w:rsidR="00811DDF">
        <w:t>presentes</w:t>
      </w:r>
      <w:r w:rsidR="00217A8D">
        <w:t xml:space="preserve"> nos cargos de coordenadoras e supervisoras de seção</w:t>
      </w:r>
      <w:r w:rsidR="00811DDF">
        <w:rPr>
          <w:rStyle w:val="Refdenotaderodap"/>
        </w:rPr>
        <w:footnoteReference w:id="51"/>
      </w:r>
      <w:r w:rsidR="007906D5">
        <w:t xml:space="preserve">. </w:t>
      </w:r>
    </w:p>
    <w:p w14:paraId="36C2D2CF" w14:textId="484487AA" w:rsidR="00B17BF9" w:rsidRDefault="0055209B" w:rsidP="00C75492">
      <w:pPr>
        <w:pStyle w:val="Texto"/>
      </w:pPr>
      <w:r>
        <w:t>Enquanto isso</w:t>
      </w:r>
      <w:r w:rsidR="007906D5">
        <w:t xml:space="preserve">, na área administrativa, </w:t>
      </w:r>
      <w:r w:rsidR="0061315D">
        <w:t>as mulheres representam 34,3% dos</w:t>
      </w:r>
      <w:r>
        <w:t xml:space="preserve"> postos de gestão e liderança (</w:t>
      </w:r>
      <w:r w:rsidR="007906D5">
        <w:t>57 cargos</w:t>
      </w:r>
      <w:r>
        <w:t>)</w:t>
      </w:r>
      <w:r w:rsidR="007906D5">
        <w:t xml:space="preserve"> </w:t>
      </w:r>
      <w:r>
        <w:t>e os homens 65,7% (</w:t>
      </w:r>
      <w:r w:rsidR="007906D5">
        <w:t>109</w:t>
      </w:r>
      <w:r>
        <w:t xml:space="preserve"> cargos), </w:t>
      </w:r>
      <w:r w:rsidR="00811DDF">
        <w:t xml:space="preserve">indicando uma presença masculina quase duas vezes maior que a feminina. Nesse âmbito, o desequilíbrio em desfavor das mulheres se manifesta em todos os tipos de unidades </w:t>
      </w:r>
      <w:r>
        <w:t>do TST que foram analisadas.</w:t>
      </w:r>
    </w:p>
    <w:p w14:paraId="3059EAB5" w14:textId="048DE472" w:rsidR="00C75492" w:rsidRDefault="00C75492">
      <w:pPr>
        <w:rPr>
          <w:rFonts w:asciiTheme="minorHAnsi" w:hAnsiTheme="minorHAnsi" w:cstheme="minorHAnsi"/>
          <w:noProof/>
        </w:rPr>
      </w:pPr>
      <w:r>
        <w:br w:type="page"/>
      </w:r>
    </w:p>
    <w:p w14:paraId="55D3C9A7" w14:textId="7E415DA3" w:rsidR="00CC4796" w:rsidRDefault="00CC4796" w:rsidP="00FB5A95">
      <w:pPr>
        <w:pStyle w:val="TtulodaIlustrao"/>
      </w:pPr>
      <w:bookmarkStart w:id="65" w:name="_Toc208508649"/>
      <w:r>
        <w:lastRenderedPageBreak/>
        <w:t xml:space="preserve">Gráfico </w:t>
      </w:r>
      <w:r w:rsidR="00220ECA">
        <w:t>6</w:t>
      </w:r>
      <w:r w:rsidRPr="00C75492">
        <w:rPr>
          <w:b w:val="0"/>
        </w:rPr>
        <w:t xml:space="preserve"> - Distribuição de gênero no TST– Comparativos entre áreas judiciária e administrativa (%)</w:t>
      </w:r>
      <w:bookmarkEnd w:id="65"/>
    </w:p>
    <w:p w14:paraId="7CF9EEBE" w14:textId="18EA749B" w:rsidR="00B17BF9" w:rsidRDefault="00B17BF9" w:rsidP="00B17BF9">
      <w:pPr>
        <w:pStyle w:val="Texto"/>
        <w:jc w:val="center"/>
      </w:pPr>
      <w:r>
        <w:drawing>
          <wp:inline distT="0" distB="0" distL="0" distR="0" wp14:anchorId="75881108" wp14:editId="4F787F01">
            <wp:extent cx="4572000" cy="2743200"/>
            <wp:effectExtent l="0" t="0" r="0" b="0"/>
            <wp:docPr id="1622690743" name="Gráfico 162269074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AFFFD9-29E1-4784-B8F6-E17962F1B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381E92F" w14:textId="2A987B40" w:rsidR="00CA4885" w:rsidRDefault="00B17BF9" w:rsidP="00C75492">
      <w:pPr>
        <w:pStyle w:val="Fonte"/>
      </w:pPr>
      <w:r>
        <w:t xml:space="preserve">Fonte: </w:t>
      </w:r>
      <w:r w:rsidRPr="00AE0CEB">
        <w:rPr>
          <w:b w:val="0"/>
        </w:rPr>
        <w:t>Dados disponibilizados pelo Sistema de Recursos Humanos do TST (abril de 2025). Compilação e elaboração: CPJUD/SEPJD/CPJED</w:t>
      </w:r>
      <w:r w:rsidRPr="00AE0CEB">
        <w:rPr>
          <w:b w:val="0"/>
          <w:sz w:val="24"/>
        </w:rPr>
        <w:t>.</w:t>
      </w:r>
    </w:p>
    <w:p w14:paraId="6F7D16F5" w14:textId="204CCB58" w:rsidR="00B17BF9" w:rsidRPr="00C75492" w:rsidRDefault="00B17BF9" w:rsidP="00C75492">
      <w:pPr>
        <w:pStyle w:val="Texto"/>
      </w:pPr>
    </w:p>
    <w:p w14:paraId="3D21AD03" w14:textId="41701148" w:rsidR="00EA2F07" w:rsidRPr="00C75492" w:rsidRDefault="004D5271" w:rsidP="00C75492">
      <w:pPr>
        <w:pStyle w:val="Texto"/>
      </w:pPr>
      <w:r w:rsidRPr="00C75492">
        <w:t>O gráfico complementa as informações apresentadas na Tabela 9 ao sintetizar visualmente as diferenças de gênero entre as áreas judiciária e administrativa. Nota-se que, embora na área judiciária a distribuição seja relativamente próxima do equilíbrio (45,7% feminino e 54,3% masculino), a área administrativa mantém um predomínio mais acentuado de homens (65,7%), em contraste com a meno</w:t>
      </w:r>
      <w:r w:rsidR="00BA2564">
        <w:t>r participação feminina (34,3%)</w:t>
      </w:r>
      <w:r w:rsidRPr="00C75492">
        <w:t>.</w:t>
      </w:r>
    </w:p>
    <w:p w14:paraId="3D372B1E" w14:textId="77777777" w:rsidR="004D5271" w:rsidRPr="00C75492" w:rsidRDefault="004D5271" w:rsidP="00C75492">
      <w:pPr>
        <w:pStyle w:val="Texto"/>
      </w:pPr>
    </w:p>
    <w:p w14:paraId="375B8418" w14:textId="59DCD1D8" w:rsidR="002D34F4" w:rsidRPr="001904A0" w:rsidRDefault="002D34F4" w:rsidP="00FB5A95">
      <w:pPr>
        <w:pStyle w:val="Ttulo3"/>
        <w:rPr>
          <w:color w:val="000000" w:themeColor="text1"/>
        </w:rPr>
      </w:pPr>
      <w:bookmarkStart w:id="66" w:name="_Toc208510815"/>
      <w:r w:rsidRPr="001904A0">
        <w:rPr>
          <w:color w:val="000000" w:themeColor="text1"/>
        </w:rPr>
        <w:t>Participação feminina em cargos de</w:t>
      </w:r>
      <w:r w:rsidR="00374AC0" w:rsidRPr="001904A0">
        <w:rPr>
          <w:color w:val="000000" w:themeColor="text1"/>
        </w:rPr>
        <w:t xml:space="preserve"> gestão e</w:t>
      </w:r>
      <w:r w:rsidRPr="001904A0">
        <w:rPr>
          <w:color w:val="000000" w:themeColor="text1"/>
        </w:rPr>
        <w:t xml:space="preserve"> liderança do TST e do CSJT por idade</w:t>
      </w:r>
      <w:bookmarkEnd w:id="66"/>
    </w:p>
    <w:p w14:paraId="5D0BCCB3" w14:textId="691948FA" w:rsidR="006F5C58" w:rsidRDefault="001904A0" w:rsidP="00C75492">
      <w:pPr>
        <w:pStyle w:val="Texto"/>
        <w:contextualSpacing/>
      </w:pPr>
      <w:r>
        <w:t>A percepção acerca da presença de mulheres em cargos de gestão e liderança, no âmbito das organizações, está sujeita a variações significativas, notadamente quando a análise é aprofundada para considerar a influência da diversidade geracional em face das distinções de gênero.</w:t>
      </w:r>
      <w:r w:rsidR="002D34F4">
        <w:t xml:space="preserve"> Tradicionalmente, as gerações são categorizadas a partir de experiências sociais e históricas comuns, sendo amplamente difundidas as classificações norte-americanas de </w:t>
      </w:r>
      <w:r w:rsidR="002D34F4">
        <w:rPr>
          <w:i/>
        </w:rPr>
        <w:t>Baby Boomers</w:t>
      </w:r>
      <w:r w:rsidR="002D34F4">
        <w:t xml:space="preserve">, Geração X, </w:t>
      </w:r>
      <w:r w:rsidR="002D34F4">
        <w:rPr>
          <w:i/>
        </w:rPr>
        <w:t xml:space="preserve">Millennials </w:t>
      </w:r>
      <w:r w:rsidR="00826672">
        <w:t>(ou Geração Y)</w:t>
      </w:r>
      <w:r w:rsidR="002D34F4">
        <w:t>.</w:t>
      </w:r>
      <w:r w:rsidR="00826672">
        <w:rPr>
          <w:rStyle w:val="Refdenotaderodap"/>
        </w:rPr>
        <w:footnoteReference w:id="52"/>
      </w:r>
      <w:r w:rsidR="002D34F4">
        <w:t xml:space="preserve"> </w:t>
      </w:r>
    </w:p>
    <w:p w14:paraId="49E3A3A2" w14:textId="554796D2" w:rsidR="002D34F4" w:rsidRDefault="002D34F4" w:rsidP="00C75492">
      <w:pPr>
        <w:pStyle w:val="Texto"/>
        <w:contextualSpacing/>
      </w:pPr>
      <w:r>
        <w:t xml:space="preserve">Essas categorias têm servido como base para </w:t>
      </w:r>
      <w:r w:rsidR="001904A0">
        <w:t>compreen</w:t>
      </w:r>
      <w:r>
        <w:t>der expectativas, valores e comportamentos em contextos organizacionais.</w:t>
      </w:r>
    </w:p>
    <w:p w14:paraId="56F05910" w14:textId="55214AD9" w:rsidR="006377CF" w:rsidRDefault="006377CF" w:rsidP="00C75492">
      <w:pPr>
        <w:pStyle w:val="Texto"/>
      </w:pPr>
      <w:r>
        <w:lastRenderedPageBreak/>
        <w:t>No entanto, a aplicação de tais classificações ao contexto brasileiro impõe uma reflexão acerca de sua validade e adequação, dadas as especificidades sociais e históricas do país. Com efeito, as coortes geracionais no Brasil foram permeadas por eventos singulares, a exemplo da Ditadura Militar, do movimento pelas Diretas Já, da hiperinflação das décadas de 1980 e 1990 e do avanço tardio das tecnologias digitais. Nesse cenário, pesquisas recentes, como o estudo de Milhome</w:t>
      </w:r>
      <w:r>
        <w:rPr>
          <w:rStyle w:val="Refdenotaderodap"/>
          <w:rFonts w:ascii="Times New Roman" w:hAnsi="Times New Roman" w:cs="Times New Roman"/>
        </w:rPr>
        <w:footnoteReference w:id="53"/>
      </w:r>
      <w:r>
        <w:t>, propõem uma classificação adaptada à nossa realidade, identificando as gerações da população brasileira como Nacionalista (1910 a 1929); Pré-ditadura (1930 a 1943); Reprimida (1944 a 1958); Diretas (1959 a 1968); Hiperinflação (1969 a 1978); Social (1979 a 1991); e Geração 4.0 (1992 a 2005), cada qual com valores e percepções particulares acerca do mundo do trabalho e das relações sociais.</w:t>
      </w:r>
    </w:p>
    <w:p w14:paraId="0579F6C9" w14:textId="40B3A9AF" w:rsidR="006B74A0" w:rsidRDefault="006B74A0" w:rsidP="00C75492">
      <w:pPr>
        <w:pStyle w:val="Texto"/>
      </w:pPr>
      <w:r>
        <w:t xml:space="preserve">A maioria dos </w:t>
      </w:r>
      <w:r w:rsidR="002D34F4">
        <w:t>ocupantes de cargos de</w:t>
      </w:r>
      <w:r w:rsidR="00374AC0">
        <w:t xml:space="preserve"> gestão e</w:t>
      </w:r>
      <w:r>
        <w:t xml:space="preserve"> liderança no TST e no CSJT </w:t>
      </w:r>
      <w:r w:rsidR="002D34F4">
        <w:t>(73,7%)</w:t>
      </w:r>
      <w:r>
        <w:t>, o equivalente a 252 servidores,</w:t>
      </w:r>
      <w:r w:rsidR="002D34F4">
        <w:t xml:space="preserve"> têm entre 40 e 59 anos</w:t>
      </w:r>
      <w:r>
        <w:t>, sendo 39,8% na faixa etária de 40 a 49 anos (136 servidores) e 33,9% entre 50 e 59 anos (116 servidores). De acordo com a classificação de Milhome, esses gestores e líderes pertencem,</w:t>
      </w:r>
      <w:r w:rsidR="002D34F4">
        <w:t xml:space="preserve"> preponderantemente</w:t>
      </w:r>
      <w:r>
        <w:t>, à Geração Hiperinflação.</w:t>
      </w:r>
    </w:p>
    <w:p w14:paraId="621F2503" w14:textId="1713B70D" w:rsidR="002D34F4" w:rsidRDefault="006B74A0" w:rsidP="00C75492">
      <w:pPr>
        <w:pStyle w:val="Texto"/>
      </w:pPr>
      <w:r>
        <w:t xml:space="preserve">A distribuição etária indica </w:t>
      </w:r>
      <w:r w:rsidR="002D34F4">
        <w:t>uma força de trabalho em fase de maturidade profissional, composta por profissionais que</w:t>
      </w:r>
      <w:r>
        <w:t>,</w:t>
      </w:r>
      <w:r w:rsidR="002D34F4">
        <w:t xml:space="preserve"> possivelmente</w:t>
      </w:r>
      <w:r>
        <w:t>,</w:t>
      </w:r>
      <w:r w:rsidR="002D34F4">
        <w:t xml:space="preserve"> já acumularam uma quantidade significativa de experiência e conhecimento técnico em suas áreas de atuação.</w:t>
      </w:r>
      <w:r>
        <w:t xml:space="preserve"> </w:t>
      </w:r>
      <w:r w:rsidR="002D34F4">
        <w:t>Essa distribuição está representada no Gráfico</w:t>
      </w:r>
      <w:r>
        <w:t xml:space="preserve"> 2</w:t>
      </w:r>
      <w:r w:rsidR="00115B52">
        <w:t>7</w:t>
      </w:r>
      <w:r w:rsidR="002D34F4">
        <w:t>.</w:t>
      </w:r>
      <w:r w:rsidR="00115B52">
        <w:t xml:space="preserve"> Nele, observa-se também que os servidores </w:t>
      </w:r>
      <w:r w:rsidR="002D34F4">
        <w:t xml:space="preserve">entre 30 a 39 anos representam 18,7% dos </w:t>
      </w:r>
      <w:r w:rsidR="00115B52">
        <w:t xml:space="preserve">ocupantes de cargos de gestão e liderança e aqueles </w:t>
      </w:r>
      <w:r w:rsidR="002D34F4">
        <w:t xml:space="preserve">acima de 60 anos representam </w:t>
      </w:r>
      <w:r w:rsidR="00115B52">
        <w:t>apenas 7,6% desses cargos</w:t>
      </w:r>
      <w:r w:rsidR="002D34F4">
        <w:t xml:space="preserve"> - sendo 6,7% entre 60 a </w:t>
      </w:r>
      <w:r w:rsidR="00115B52">
        <w:t xml:space="preserve">69 anos e 0,9% acima de 70 anos. Esse quadro evidencia uma </w:t>
      </w:r>
      <w:r w:rsidR="002D34F4">
        <w:t>menor participação de servidores em fase final de trajetória profissional</w:t>
      </w:r>
      <w:r w:rsidR="00115B52">
        <w:t xml:space="preserve"> nos cargos de gestão e liderança do TST/CSJT</w:t>
      </w:r>
      <w:r w:rsidR="002D34F4">
        <w:t>.</w:t>
      </w:r>
    </w:p>
    <w:p w14:paraId="7E277261" w14:textId="19574F64" w:rsidR="00374AC0" w:rsidRDefault="00374AC0" w:rsidP="00C75492">
      <w:pPr>
        <w:pStyle w:val="Texto"/>
      </w:pPr>
    </w:p>
    <w:p w14:paraId="47817497" w14:textId="4C62B2C6" w:rsidR="00C75492" w:rsidRDefault="00C75492">
      <w:pPr>
        <w:rPr>
          <w:rFonts w:asciiTheme="minorHAnsi" w:hAnsiTheme="minorHAnsi" w:cstheme="minorHAnsi"/>
          <w:noProof/>
        </w:rPr>
      </w:pPr>
      <w:r>
        <w:br w:type="page"/>
      </w:r>
    </w:p>
    <w:p w14:paraId="4C62BB46" w14:textId="18A5ECDC" w:rsidR="00115B52" w:rsidRDefault="00115B52" w:rsidP="00FB5A95">
      <w:pPr>
        <w:pStyle w:val="TtulodaIlustrao"/>
      </w:pPr>
      <w:bookmarkStart w:id="67" w:name="_Toc208508650"/>
      <w:r>
        <w:lastRenderedPageBreak/>
        <w:t xml:space="preserve">Gráfico </w:t>
      </w:r>
      <w:r w:rsidR="00220ECA">
        <w:t>27</w:t>
      </w:r>
      <w:r w:rsidRPr="00C75492">
        <w:rPr>
          <w:b w:val="0"/>
        </w:rPr>
        <w:t xml:space="preserve"> - Distribuição dos ocupantes de cargos de gestão e liderança do TST e do CSJT, por faixa etária (%)</w:t>
      </w:r>
      <w:bookmarkEnd w:id="67"/>
    </w:p>
    <w:p w14:paraId="5CF28DCD" w14:textId="77777777" w:rsidR="002D34F4" w:rsidRDefault="002D34F4" w:rsidP="00EE295F">
      <w:pPr>
        <w:spacing w:line="360" w:lineRule="auto"/>
        <w:jc w:val="center"/>
      </w:pPr>
      <w:r>
        <w:rPr>
          <w:noProof/>
        </w:rPr>
        <w:drawing>
          <wp:inline distT="114300" distB="114300" distL="114300" distR="114300" wp14:anchorId="5C837FD0" wp14:editId="18390354">
            <wp:extent cx="4272077" cy="2509114"/>
            <wp:effectExtent l="0" t="0" r="0" b="5715"/>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44"/>
                    <a:srcRect l="1334" t="2247" r="1274" b="1405"/>
                    <a:stretch/>
                  </pic:blipFill>
                  <pic:spPr bwMode="auto">
                    <a:xfrm>
                      <a:off x="0" y="0"/>
                      <a:ext cx="4272481" cy="2509352"/>
                    </a:xfrm>
                    <a:prstGeom prst="rect">
                      <a:avLst/>
                    </a:prstGeom>
                    <a:ln>
                      <a:noFill/>
                    </a:ln>
                    <a:extLst>
                      <a:ext uri="{53640926-AAD7-44D8-BBD7-CCE9431645EC}">
                        <a14:shadowObscured xmlns:a14="http://schemas.microsoft.com/office/drawing/2010/main"/>
                      </a:ext>
                    </a:extLst>
                  </pic:spPr>
                </pic:pic>
              </a:graphicData>
            </a:graphic>
          </wp:inline>
        </w:drawing>
      </w:r>
    </w:p>
    <w:p w14:paraId="323F20EF" w14:textId="7DAD6A15" w:rsidR="002D34F4" w:rsidRDefault="002D34F4" w:rsidP="00777082">
      <w:pPr>
        <w:pStyle w:val="Fonte"/>
        <w:rPr>
          <w:b w:val="0"/>
          <w:bCs/>
          <w:sz w:val="24"/>
        </w:rPr>
      </w:pPr>
      <w:r>
        <w:t xml:space="preserve">Fonte: </w:t>
      </w:r>
      <w:r w:rsidRPr="00374AC0">
        <w:rPr>
          <w:b w:val="0"/>
          <w:bCs/>
        </w:rPr>
        <w:t>Dados disponibilizados pelo Sistema de Recursos Humanos do TST (abril de 2025). Compilação e elaboração: CPJUD/SEPJD/CPJED</w:t>
      </w:r>
      <w:r w:rsidRPr="00374AC0">
        <w:rPr>
          <w:b w:val="0"/>
          <w:bCs/>
          <w:sz w:val="24"/>
        </w:rPr>
        <w:t>.</w:t>
      </w:r>
    </w:p>
    <w:p w14:paraId="00CBA4C3" w14:textId="77777777" w:rsidR="00374AC0" w:rsidRPr="00374AC0" w:rsidRDefault="00374AC0" w:rsidP="00C75492">
      <w:pPr>
        <w:pStyle w:val="Texto"/>
      </w:pPr>
    </w:p>
    <w:p w14:paraId="450C72F3" w14:textId="4D9542DD" w:rsidR="00473659" w:rsidRDefault="00374AC0" w:rsidP="00C75492">
      <w:pPr>
        <w:pStyle w:val="Texto"/>
      </w:pPr>
      <w:r>
        <w:t xml:space="preserve">O Gráfico </w:t>
      </w:r>
      <w:r w:rsidR="00115B52">
        <w:t>28</w:t>
      </w:r>
      <w:r w:rsidR="002D34F4">
        <w:t xml:space="preserve"> demonstra que a distribuição das faixas etárias dentro de cada gênero dos ocupantes de cargos de</w:t>
      </w:r>
      <w:r>
        <w:t xml:space="preserve"> gestão e</w:t>
      </w:r>
      <w:r w:rsidR="002D34F4">
        <w:t xml:space="preserve"> liderança é similar. Verifica-se que entre as mulheres que ocupam esses cargos, </w:t>
      </w:r>
      <w:r w:rsidR="00505DBF">
        <w:t>aproximadamente 73</w:t>
      </w:r>
      <w:r w:rsidR="00115B52">
        <w:t xml:space="preserve">% têm entre 40 e 59 anos, sendo 43% </w:t>
      </w:r>
      <w:r w:rsidR="00A909C6">
        <w:t>na faixa de 40 a 49 anos e 30,4% na faixa de</w:t>
      </w:r>
      <w:r w:rsidR="002D34F4">
        <w:t xml:space="preserve"> 50 e 59 anos. </w:t>
      </w:r>
      <w:bookmarkStart w:id="68" w:name="_uufdw9j69z4e" w:colFirst="0" w:colLast="0"/>
      <w:bookmarkEnd w:id="68"/>
    </w:p>
    <w:p w14:paraId="797E7B4E" w14:textId="77777777" w:rsidR="007B5800" w:rsidRDefault="007B5800" w:rsidP="00C75492">
      <w:pPr>
        <w:pStyle w:val="Texto"/>
      </w:pPr>
    </w:p>
    <w:p w14:paraId="0110E611" w14:textId="103BD8BE" w:rsidR="00115B52" w:rsidRDefault="00115B52" w:rsidP="00FB5A95">
      <w:pPr>
        <w:pStyle w:val="TtulodaIlustrao"/>
      </w:pPr>
      <w:bookmarkStart w:id="69" w:name="_Toc208508651"/>
      <w:r>
        <w:t xml:space="preserve">Gráfico </w:t>
      </w:r>
      <w:r w:rsidR="00220ECA">
        <w:t>28</w:t>
      </w:r>
      <w:r w:rsidRPr="00C75492">
        <w:rPr>
          <w:b w:val="0"/>
        </w:rPr>
        <w:t xml:space="preserve"> - Distribuição dos ocupantes de cargos de gestão e liderança do TST e do CSJT, por gênero e por faixa etária (%)</w:t>
      </w:r>
      <w:bookmarkEnd w:id="69"/>
    </w:p>
    <w:p w14:paraId="2D50CDCE" w14:textId="77777777" w:rsidR="002D34F4" w:rsidRDefault="002D34F4" w:rsidP="00EE295F">
      <w:pPr>
        <w:jc w:val="center"/>
      </w:pPr>
      <w:r>
        <w:rPr>
          <w:noProof/>
        </w:rPr>
        <w:drawing>
          <wp:inline distT="114300" distB="114300" distL="114300" distR="114300" wp14:anchorId="7C134680" wp14:editId="0349BDB4">
            <wp:extent cx="4198925" cy="2545689"/>
            <wp:effectExtent l="0" t="0" r="0" b="7620"/>
            <wp:docPr id="7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rotWithShape="1">
                    <a:blip r:embed="rId45"/>
                    <a:srcRect l="857" t="1396" r="857" b="1311"/>
                    <a:stretch/>
                  </pic:blipFill>
                  <pic:spPr bwMode="auto">
                    <a:xfrm>
                      <a:off x="0" y="0"/>
                      <a:ext cx="4203817" cy="2548655"/>
                    </a:xfrm>
                    <a:prstGeom prst="rect">
                      <a:avLst/>
                    </a:prstGeom>
                    <a:ln>
                      <a:noFill/>
                    </a:ln>
                    <a:extLst>
                      <a:ext uri="{53640926-AAD7-44D8-BBD7-CCE9431645EC}">
                        <a14:shadowObscured xmlns:a14="http://schemas.microsoft.com/office/drawing/2010/main"/>
                      </a:ext>
                    </a:extLst>
                  </pic:spPr>
                </pic:pic>
              </a:graphicData>
            </a:graphic>
          </wp:inline>
        </w:drawing>
      </w:r>
    </w:p>
    <w:p w14:paraId="36A9C25C" w14:textId="356ECF89" w:rsidR="00374AC0" w:rsidRDefault="002D34F4" w:rsidP="005C526C">
      <w:pPr>
        <w:pStyle w:val="Fonte"/>
        <w:rPr>
          <w:b w:val="0"/>
          <w:bCs/>
          <w:sz w:val="24"/>
        </w:rPr>
      </w:pPr>
      <w:r>
        <w:t xml:space="preserve">Fonte: </w:t>
      </w:r>
      <w:r w:rsidRPr="00374AC0">
        <w:rPr>
          <w:b w:val="0"/>
          <w:bCs/>
        </w:rPr>
        <w:t>Dados disponibilizados pelo Sistema de Recursos Humanos do TST (abril de 2025). Compilação e elaboração: CPJUD/SEPJD/CPJED</w:t>
      </w:r>
      <w:r w:rsidRPr="00374AC0">
        <w:rPr>
          <w:b w:val="0"/>
          <w:bCs/>
          <w:sz w:val="24"/>
        </w:rPr>
        <w:t>.</w:t>
      </w:r>
    </w:p>
    <w:p w14:paraId="7FF02703" w14:textId="77777777" w:rsidR="007B5800" w:rsidRPr="005C526C" w:rsidRDefault="007B5800" w:rsidP="005C526C">
      <w:pPr>
        <w:pStyle w:val="Fonte"/>
        <w:rPr>
          <w:b w:val="0"/>
          <w:bCs/>
          <w:sz w:val="24"/>
        </w:rPr>
      </w:pPr>
    </w:p>
    <w:p w14:paraId="4062BD28" w14:textId="26FF8D83" w:rsidR="007B5800" w:rsidRPr="00C75492" w:rsidRDefault="002D34F4" w:rsidP="00C75492">
      <w:pPr>
        <w:pStyle w:val="Texto"/>
      </w:pPr>
      <w:r w:rsidRPr="00C75492">
        <w:lastRenderedPageBreak/>
        <w:t xml:space="preserve">Quanto à distribuição das faixas etárias por gênero, constata-se, </w:t>
      </w:r>
      <w:r w:rsidR="00374AC0" w:rsidRPr="00C75492">
        <w:t>no Gráfico</w:t>
      </w:r>
      <w:r w:rsidRPr="00C75492">
        <w:t xml:space="preserve"> </w:t>
      </w:r>
      <w:r w:rsidR="005C526C" w:rsidRPr="00C75492">
        <w:t>29</w:t>
      </w:r>
      <w:r w:rsidRPr="00C75492">
        <w:t>, a predominância de homens em todas as faixas, exceto acima dos 70 anos. No entanto, o percentual de ocupantes de cargos de gestão</w:t>
      </w:r>
      <w:r w:rsidR="00374AC0" w:rsidRPr="00C75492">
        <w:t xml:space="preserve"> e liderança</w:t>
      </w:r>
      <w:r w:rsidRPr="00C75492">
        <w:t xml:space="preserve"> nessa faixa é bastante reduzido, representando apenas 0,9% do total. As maiores disparidades entre os gêneros encontram-se nas faixas de 60 a 69 anos (Geração Diretas) e nas faixas etárias de 50 a 59 anos (Geração Hiperinflação). Sendo assim, verifica-se uma tendência de redução da participação percentual feminina e de aumento da masculina à medida que as faixas etárias avançam, até os 69 anos.</w:t>
      </w:r>
      <w:bookmarkStart w:id="70" w:name="_9ykdxhkylkhu" w:colFirst="0" w:colLast="0"/>
      <w:bookmarkEnd w:id="70"/>
    </w:p>
    <w:p w14:paraId="387F1FB5" w14:textId="77777777" w:rsidR="007B5800" w:rsidRPr="00C75492" w:rsidRDefault="007B5800" w:rsidP="00C75492">
      <w:pPr>
        <w:pStyle w:val="Texto"/>
      </w:pPr>
    </w:p>
    <w:p w14:paraId="2A69FDBB" w14:textId="4EA18480" w:rsidR="005C526C" w:rsidRDefault="005C526C" w:rsidP="00FB5A95">
      <w:pPr>
        <w:pStyle w:val="TtulodaIlustrao"/>
      </w:pPr>
      <w:bookmarkStart w:id="71" w:name="_Toc208508652"/>
      <w:r>
        <w:t xml:space="preserve">Gráfico </w:t>
      </w:r>
      <w:r w:rsidR="00220ECA">
        <w:t>29</w:t>
      </w:r>
      <w:r w:rsidRPr="00C75492">
        <w:rPr>
          <w:b w:val="0"/>
        </w:rPr>
        <w:t xml:space="preserve"> - Distribuição dos ocupantes de cargos de gestão e liderança do TST e do CSJT, por faixa etária e por gênero (%)</w:t>
      </w:r>
      <w:bookmarkEnd w:id="71"/>
    </w:p>
    <w:p w14:paraId="331A3832" w14:textId="5FD93FD9" w:rsidR="002D34F4" w:rsidRDefault="002D34F4" w:rsidP="00EE295F">
      <w:pPr>
        <w:jc w:val="center"/>
      </w:pPr>
      <w:r>
        <w:rPr>
          <w:noProof/>
          <w:sz w:val="20"/>
          <w:szCs w:val="20"/>
        </w:rPr>
        <w:drawing>
          <wp:inline distT="114300" distB="114300" distL="114300" distR="114300" wp14:anchorId="1B90C1BF" wp14:editId="491660C4">
            <wp:extent cx="4250131" cy="2654246"/>
            <wp:effectExtent l="0" t="0" r="0" b="0"/>
            <wp:docPr id="8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rotWithShape="1">
                    <a:blip r:embed="rId46"/>
                    <a:srcRect l="1012" t="1594" r="1012" b="1862"/>
                    <a:stretch/>
                  </pic:blipFill>
                  <pic:spPr bwMode="auto">
                    <a:xfrm>
                      <a:off x="0" y="0"/>
                      <a:ext cx="4255977" cy="265789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93831D2" w14:textId="68721A7E" w:rsidR="00834A56" w:rsidRDefault="002D34F4" w:rsidP="005C526C">
      <w:pPr>
        <w:pStyle w:val="Fonte"/>
        <w:rPr>
          <w:b w:val="0"/>
          <w:bCs/>
          <w:sz w:val="24"/>
        </w:rPr>
      </w:pPr>
      <w:r>
        <w:t xml:space="preserve">Fonte: </w:t>
      </w:r>
      <w:r w:rsidRPr="00374AC0">
        <w:rPr>
          <w:b w:val="0"/>
          <w:bCs/>
        </w:rPr>
        <w:t>Dados disponibilizados pelo Sistema de Recursos Humanos do TST (abril de 2025). Compilação e elaboração: CPJUD/SEPJD/CPJED</w:t>
      </w:r>
      <w:r w:rsidRPr="00374AC0">
        <w:rPr>
          <w:b w:val="0"/>
          <w:bCs/>
          <w:sz w:val="24"/>
        </w:rPr>
        <w:t>.</w:t>
      </w:r>
    </w:p>
    <w:p w14:paraId="7C6F45AA" w14:textId="77777777" w:rsidR="005C526C" w:rsidRPr="005C526C" w:rsidRDefault="005C526C" w:rsidP="00C75492">
      <w:pPr>
        <w:pStyle w:val="Texto"/>
      </w:pPr>
    </w:p>
    <w:p w14:paraId="0BAEFFDC" w14:textId="461106E8" w:rsidR="00C75492" w:rsidRDefault="006377CF" w:rsidP="00C75492">
      <w:pPr>
        <w:pStyle w:val="Texto"/>
      </w:pPr>
      <w:r>
        <w:t>Por último, o Gráfico 30 apresenta a distribuição das 135 mulheres em cargos de liderança no âmbito do TST/CSJT, segmentada por nível hierárquico. A análise dos dados revela que, nos cargos em comissão (CJs), a proporção de mulheres na faixa etária dos 30 aos 39 anos diminui com a ascensão na hierarquia, padrão este que não se repete nas funções comissionadas (FCs). Nota-se, ademais, uma similaridade na distribuição etária entre os níveis CJ-01 e FC-06, com maior concentração de servidoras nas faixas de 30-39 e 50-59 anos. Verifica-se, ainda, que a totalidade das mulheres com mais de 70 anos em cargos de gestão está alocada no nível CJ-03.</w:t>
      </w:r>
    </w:p>
    <w:p w14:paraId="539A5B49" w14:textId="63ACDA7B" w:rsidR="00C75492" w:rsidRDefault="00C75492">
      <w:pPr>
        <w:rPr>
          <w:rFonts w:asciiTheme="minorHAnsi" w:hAnsiTheme="minorHAnsi" w:cstheme="minorHAnsi"/>
          <w:noProof/>
        </w:rPr>
      </w:pPr>
      <w:r>
        <w:br w:type="page"/>
      </w:r>
    </w:p>
    <w:p w14:paraId="05E2ED0D" w14:textId="2D6C934B" w:rsidR="00C60DB4" w:rsidRDefault="005C526C" w:rsidP="00FB5A95">
      <w:pPr>
        <w:pStyle w:val="TtulodaIlustrao"/>
      </w:pPr>
      <w:bookmarkStart w:id="72" w:name="_Toc208508653"/>
      <w:r>
        <w:lastRenderedPageBreak/>
        <w:t xml:space="preserve">Gráfico </w:t>
      </w:r>
      <w:r w:rsidR="00220ECA">
        <w:t>30</w:t>
      </w:r>
      <w:r w:rsidRPr="00C75492">
        <w:rPr>
          <w:b w:val="0"/>
        </w:rPr>
        <w:t xml:space="preserve"> - Distribuição etária das mulheres ocupantes de cargos de liderança do TST e do CSJT, por nível hierárquico (%)</w:t>
      </w:r>
      <w:bookmarkEnd w:id="72"/>
    </w:p>
    <w:p w14:paraId="5913C743" w14:textId="77777777" w:rsidR="002D34F4" w:rsidRDefault="002D34F4" w:rsidP="00EE295F">
      <w:pPr>
        <w:ind w:left="708" w:right="526"/>
        <w:jc w:val="center"/>
      </w:pPr>
      <w:r>
        <w:rPr>
          <w:noProof/>
        </w:rPr>
        <w:drawing>
          <wp:inline distT="114300" distB="114300" distL="114300" distR="114300" wp14:anchorId="1D61A462" wp14:editId="7A08D3EA">
            <wp:extent cx="4089196" cy="2443277"/>
            <wp:effectExtent l="0" t="0" r="6985" b="0"/>
            <wp:docPr id="6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rotWithShape="1">
                    <a:blip r:embed="rId47"/>
                    <a:srcRect l="1219" t="1445" r="1361" b="2024"/>
                    <a:stretch/>
                  </pic:blipFill>
                  <pic:spPr bwMode="auto">
                    <a:xfrm>
                      <a:off x="0" y="0"/>
                      <a:ext cx="4087488" cy="2442256"/>
                    </a:xfrm>
                    <a:prstGeom prst="rect">
                      <a:avLst/>
                    </a:prstGeom>
                    <a:ln>
                      <a:noFill/>
                    </a:ln>
                    <a:extLst>
                      <a:ext uri="{53640926-AAD7-44D8-BBD7-CCE9431645EC}">
                        <a14:shadowObscured xmlns:a14="http://schemas.microsoft.com/office/drawing/2010/main"/>
                      </a:ext>
                    </a:extLst>
                  </pic:spPr>
                </pic:pic>
              </a:graphicData>
            </a:graphic>
          </wp:inline>
        </w:drawing>
      </w:r>
    </w:p>
    <w:p w14:paraId="25CE85A3" w14:textId="73E02707" w:rsidR="008C55AB" w:rsidRDefault="002D34F4" w:rsidP="006B042E">
      <w:pPr>
        <w:pStyle w:val="Fonte"/>
        <w:rPr>
          <w:b w:val="0"/>
          <w:bCs/>
        </w:rPr>
      </w:pPr>
      <w:r>
        <w:t xml:space="preserve">Fonte: </w:t>
      </w:r>
      <w:r w:rsidRPr="00C60DB4">
        <w:rPr>
          <w:b w:val="0"/>
          <w:bCs/>
        </w:rPr>
        <w:t>Dados disponibilizados pelo Sistema de Recursos Humanos do TST (abril de 2025). Compilação e elaboração: CPJUD/SEPJD/CPJED</w:t>
      </w:r>
      <w:r w:rsidR="00C60DB4" w:rsidRPr="00C60DB4">
        <w:rPr>
          <w:b w:val="0"/>
          <w:bCs/>
        </w:rPr>
        <w:t>.</w:t>
      </w:r>
    </w:p>
    <w:p w14:paraId="3D851B47" w14:textId="77777777" w:rsidR="005C526C" w:rsidRPr="009E39FC" w:rsidRDefault="005C526C" w:rsidP="00C75492">
      <w:pPr>
        <w:pStyle w:val="Texto"/>
        <w:rPr>
          <w:color w:val="FF0000"/>
        </w:rPr>
      </w:pPr>
    </w:p>
    <w:p w14:paraId="654A002B" w14:textId="516A8CC0" w:rsidR="00347FFE" w:rsidRPr="005F0F90" w:rsidRDefault="00BC0FB0" w:rsidP="00FB5A95">
      <w:pPr>
        <w:pStyle w:val="Ttulo3"/>
        <w:rPr>
          <w:color w:val="000000" w:themeColor="text1"/>
        </w:rPr>
      </w:pPr>
      <w:bookmarkStart w:id="73" w:name="_Toc208510816"/>
      <w:r w:rsidRPr="005F0F90">
        <w:rPr>
          <w:color w:val="000000" w:themeColor="text1"/>
        </w:rPr>
        <w:t>Considerações</w:t>
      </w:r>
      <w:r w:rsidR="00347FFE" w:rsidRPr="005F0F90">
        <w:rPr>
          <w:color w:val="000000" w:themeColor="text1"/>
        </w:rPr>
        <w:t xml:space="preserve"> </w:t>
      </w:r>
      <w:r w:rsidRPr="005F0F90">
        <w:rPr>
          <w:color w:val="000000" w:themeColor="text1"/>
        </w:rPr>
        <w:t>sobre o</w:t>
      </w:r>
      <w:r w:rsidR="00347FFE" w:rsidRPr="005F0F90">
        <w:rPr>
          <w:color w:val="000000" w:themeColor="text1"/>
        </w:rPr>
        <w:t xml:space="preserve"> diagnóstico de participação feminina no TST/CSJT</w:t>
      </w:r>
      <w:bookmarkEnd w:id="73"/>
    </w:p>
    <w:p w14:paraId="3FCF7F49" w14:textId="7C34EEF8" w:rsidR="009E39FC" w:rsidRDefault="004F2937" w:rsidP="00C75492">
      <w:pPr>
        <w:pStyle w:val="Texto"/>
      </w:pPr>
      <w:r w:rsidRPr="005053AC">
        <w:t>Uma das principais reflexões que emergem do estudo é a existência de um equilíbrio aparente na distribuição geral de cargos e funções.</w:t>
      </w:r>
      <w:r>
        <w:t xml:space="preserve"> </w:t>
      </w:r>
      <w:r w:rsidR="00252FB4" w:rsidRPr="00C75492">
        <w:t>O</w:t>
      </w:r>
      <w:r w:rsidR="00347FFE" w:rsidRPr="00C75492">
        <w:t xml:space="preserve"> diagnóstico </w:t>
      </w:r>
      <w:r w:rsidR="00252FB4" w:rsidRPr="00C75492">
        <w:t xml:space="preserve">sobre a </w:t>
      </w:r>
      <w:r w:rsidR="00347FFE" w:rsidRPr="00C75492">
        <w:t>participação feminina no TST</w:t>
      </w:r>
      <w:r w:rsidR="009E39FC">
        <w:t>/</w:t>
      </w:r>
      <w:r w:rsidR="00252FB4" w:rsidRPr="00C75492">
        <w:t>CSJT, baseado</w:t>
      </w:r>
      <w:r w:rsidR="00347FFE" w:rsidRPr="00C75492">
        <w:t xml:space="preserve"> em dados de abril de 2025, </w:t>
      </w:r>
      <w:r w:rsidR="00252FB4" w:rsidRPr="00C75492">
        <w:t>mostrou</w:t>
      </w:r>
      <w:r w:rsidR="00DB66B4" w:rsidRPr="00C75492">
        <w:t xml:space="preserve"> que as mulheres representam 53,2% dos servidores</w:t>
      </w:r>
      <w:r w:rsidR="009E39FC">
        <w:t xml:space="preserve"> do quadro geral</w:t>
      </w:r>
      <w:r w:rsidR="00DB66B4" w:rsidRPr="00C75492">
        <w:t xml:space="preserve">, ocupam 56,5% dos cargos em comissão (CJ) e 55,3% das funções comissionadas (FC), totalizando 55,6% </w:t>
      </w:r>
      <w:r w:rsidR="00252FB4" w:rsidRPr="00C75492">
        <w:t>do total</w:t>
      </w:r>
      <w:r w:rsidR="00DB66B4" w:rsidRPr="00C75492">
        <w:t xml:space="preserve"> de</w:t>
      </w:r>
      <w:r w:rsidR="00252FB4" w:rsidRPr="00C75492">
        <w:t xml:space="preserve"> ocupantes de</w:t>
      </w:r>
      <w:r w:rsidR="00DB66B4" w:rsidRPr="00C75492">
        <w:t xml:space="preserve"> CJs e FCs.</w:t>
      </w:r>
      <w:r w:rsidR="00BC0FB0" w:rsidRPr="00C75492">
        <w:t xml:space="preserve"> </w:t>
      </w:r>
    </w:p>
    <w:p w14:paraId="6CB06BA7" w14:textId="2FC8A7EB" w:rsidR="00DB66B4" w:rsidRDefault="00EB33CB" w:rsidP="00EB33CB">
      <w:pPr>
        <w:pStyle w:val="Texto"/>
      </w:pPr>
      <w:r>
        <w:t>Em uma análise pormenorizada de cada instituição, os dados revelam que o Tribunal Superior do Trabalho (TST) dispõe de 2.276 cargos efetivamente preenchidos, dos quais 1.240 são ocupados por mulheres e 1.036 por homens. No que se refere aos 2.031 postos de confiança, entre cargos em comissão e funções comissionadas (CJs e FCs), a representação feminina alcança o patamar de 56,4%. Por sua vez, o Conselho Superior da Justiça do Trabalho (CSJT) apresenta um quadro distinto, com 135 cargos em exercício, sendo 55 destes preenchidos por mulheres, o que corresponde a 41% do total, e 80 por homens (59%). Nesse último órgão, as mulheres ocupam 40,8% dos 120 CJs e FCs existentes.</w:t>
      </w:r>
    </w:p>
    <w:p w14:paraId="78A46F66" w14:textId="6F126658" w:rsidR="00BC0FB0" w:rsidRDefault="00F07D01" w:rsidP="00C75492">
      <w:pPr>
        <w:pStyle w:val="Texto"/>
      </w:pPr>
      <w:r w:rsidRPr="00C75492">
        <w:t xml:space="preserve">No que diz respeito aos cargos de gestão e liderança, que representam </w:t>
      </w:r>
      <w:r w:rsidR="00BC0FB0" w:rsidRPr="00C75492">
        <w:t xml:space="preserve">15,9% </w:t>
      </w:r>
      <w:r w:rsidRPr="00C75492">
        <w:t xml:space="preserve">do total de CJs e FCs, </w:t>
      </w:r>
      <w:r w:rsidR="004F2937">
        <w:t xml:space="preserve">o </w:t>
      </w:r>
      <w:r w:rsidR="004F2937" w:rsidRPr="004F2937">
        <w:t xml:space="preserve">estudo demonstrou que, embora as mulheres ocupem quase 40% das posições de gestão e liderança no conjunto TST/CSJT, há uma clara sub-representação em comparação à sua </w:t>
      </w:r>
      <w:r w:rsidR="004F2937" w:rsidRPr="004F2937">
        <w:lastRenderedPageBreak/>
        <w:t>presença no quadro geral. </w:t>
      </w:r>
      <w:r w:rsidR="004F2937">
        <w:t>A</w:t>
      </w:r>
      <w:r w:rsidRPr="00C75492">
        <w:t xml:space="preserve">s </w:t>
      </w:r>
      <w:r w:rsidR="00BC0FB0" w:rsidRPr="00C75492">
        <w:t>mulher</w:t>
      </w:r>
      <w:r w:rsidRPr="00C75492">
        <w:t>es ocupam 39,5% as posições no TST/CSJT. A análise individualizada mostra que, no</w:t>
      </w:r>
      <w:r w:rsidR="00BC0FB0" w:rsidRPr="00C75492">
        <w:t xml:space="preserve"> TST, essa porcentagem é de 39,7%, e no CSJT, 37,1%. </w:t>
      </w:r>
    </w:p>
    <w:p w14:paraId="157F7359" w14:textId="425E65D6" w:rsidR="004F2937" w:rsidRDefault="00F07D01" w:rsidP="00C75492">
      <w:pPr>
        <w:pStyle w:val="Texto"/>
      </w:pPr>
      <w:r w:rsidRPr="00C75492">
        <w:t xml:space="preserve">A análise hierárquica revela que, no TST, a paridade de gênero é alcançada nos cargos de CJ-04 e CJ-03, com uma diminuição na representatividade feminina nos níveis inferiores, especialmente entre os CJs-01 e nas FCs-06. No CSJT, a representatividade feminina é menor nos níveis superiores (CJ-03 e CJ-02), com um desequilíbrio menos acentuado nas funções comissionadas. </w:t>
      </w:r>
      <w:r w:rsidR="004F2937" w:rsidRPr="004F2937">
        <w:t> Essa análise comparativa revelou uma divergência fundamental: enquanto no TST a proporcionalidade do quadro geral se estende com relativo equilíbrio aos cargos em comissão</w:t>
      </w:r>
      <w:r w:rsidR="004F2937">
        <w:t xml:space="preserve"> (CJs)</w:t>
      </w:r>
      <w:r w:rsidR="004F2937" w:rsidRPr="004F2937">
        <w:t>, no CSJT há uma marcante disparidade de gênero nos postos de cúpula</w:t>
      </w:r>
      <w:r w:rsidR="004F2937">
        <w:t xml:space="preserve"> (CJs)</w:t>
      </w:r>
      <w:r w:rsidR="004F2937" w:rsidRPr="004F2937">
        <w:t>, que destoa da representação feminina geral no órgão.</w:t>
      </w:r>
    </w:p>
    <w:p w14:paraId="313B15FB" w14:textId="124E7664" w:rsidR="00F07D01" w:rsidRDefault="00F07D01" w:rsidP="00C75492">
      <w:pPr>
        <w:pStyle w:val="Texto"/>
      </w:pPr>
      <w:r w:rsidRPr="00C75492">
        <w:t>Ressalta-se</w:t>
      </w:r>
      <w:r w:rsidR="004F2937">
        <w:t xml:space="preserve"> ainda</w:t>
      </w:r>
      <w:r w:rsidRPr="00C75492">
        <w:t xml:space="preserve"> a sub-representação feminina nos comitês temáticos de governança do TST, com apenas 22,4% de participação.</w:t>
      </w:r>
    </w:p>
    <w:p w14:paraId="5FC46F3C" w14:textId="15A14E09" w:rsidR="004F2937" w:rsidRDefault="00F07D01" w:rsidP="00C75492">
      <w:pPr>
        <w:pStyle w:val="Texto"/>
      </w:pPr>
      <w:r w:rsidRPr="00C75492">
        <w:t xml:space="preserve">Em relação </w:t>
      </w:r>
      <w:r w:rsidR="004F2937">
        <w:t>aos tipos de</w:t>
      </w:r>
      <w:r w:rsidR="007F2662" w:rsidRPr="00C75492">
        <w:t xml:space="preserve"> cargos de gestão e liderança do TST</w:t>
      </w:r>
      <w:r w:rsidR="00440F29" w:rsidRPr="00C75492">
        <w:t>, constata-se equilíbrio de gênero</w:t>
      </w:r>
      <w:r w:rsidR="003B5663" w:rsidRPr="00C75492">
        <w:t xml:space="preserve"> nos cargos de Secretário-Geral/</w:t>
      </w:r>
      <w:r w:rsidR="00440F29" w:rsidRPr="00C75492">
        <w:t>Diretor-Geral e preponderância feminina n</w:t>
      </w:r>
      <w:r w:rsidRPr="00C75492">
        <w:t xml:space="preserve">os cargos de Chefe de Gabinete (60,7%), </w:t>
      </w:r>
      <w:r w:rsidR="00440F29" w:rsidRPr="00C75492">
        <w:t>o que demonstra um ambiente</w:t>
      </w:r>
      <w:r w:rsidR="003B5663" w:rsidRPr="00C75492">
        <w:t xml:space="preserve"> mais equitativo </w:t>
      </w:r>
      <w:r w:rsidR="00440F29" w:rsidRPr="00C75492">
        <w:t xml:space="preserve">posições de alta </w:t>
      </w:r>
      <w:r w:rsidR="003B5663" w:rsidRPr="00C75492">
        <w:t xml:space="preserve">responsabilidade. </w:t>
      </w:r>
      <w:r w:rsidR="00440F29" w:rsidRPr="00C75492">
        <w:t>Nos</w:t>
      </w:r>
      <w:r w:rsidR="003B5663" w:rsidRPr="00C75492">
        <w:t xml:space="preserve"> gabi</w:t>
      </w:r>
      <w:r w:rsidR="00440F29" w:rsidRPr="00C75492">
        <w:t>netes dos Ministros, a participação feminina em cargos em comissão atinge 62,5%</w:t>
      </w:r>
      <w:r w:rsidR="003B5663" w:rsidRPr="00C75492">
        <w:t>, reforçando a concentração feminina nesses espaços. Em contrapartida, há predominância masculina em cargos</w:t>
      </w:r>
      <w:r w:rsidR="00450ACD" w:rsidRPr="00C75492">
        <w:t xml:space="preserve"> como Secretário, Coordenador, Assessor-Chefe, Chefe de Divisão, Chefe de Núcleo e Supervisor</w:t>
      </w:r>
      <w:r w:rsidR="003B5663" w:rsidRPr="00C75492">
        <w:t xml:space="preserve"> de Seção.</w:t>
      </w:r>
      <w:r w:rsidR="00D61E68" w:rsidRPr="00C75492">
        <w:t xml:space="preserve"> </w:t>
      </w:r>
    </w:p>
    <w:p w14:paraId="0C3C470C" w14:textId="34850B61" w:rsidR="004F2937" w:rsidRDefault="004F2937" w:rsidP="00C75492">
      <w:pPr>
        <w:pStyle w:val="Texto"/>
      </w:pPr>
      <w:r w:rsidRPr="004F2937">
        <w:t>Outra reflexão importante foi a identificada na análise por natureza da atividade. Verificou-se que a área administrativa concentra uma maior predominância masculina nos cargos de gestão</w:t>
      </w:r>
      <w:r>
        <w:t xml:space="preserve"> e liderança (65,7%)</w:t>
      </w:r>
      <w:r w:rsidRPr="004F2937">
        <w:t>, especialmente em coordenadorias e núcleos, enquanto a área judiciária apresenta um cenário mais equilibrado, com preponderância feminina em chefias de gabinete e assessorias. Este achado sugere que as barreiras ou as oportunidades de ascensão podem variar conforme a cultura e a estrutura de cada setor, apontando para a necessidade de políticas institucionais que considerem essas dinâmicas distintas.</w:t>
      </w:r>
    </w:p>
    <w:p w14:paraId="4862CAF3" w14:textId="5E9CF0DA" w:rsidR="004F2937" w:rsidRDefault="004F2937" w:rsidP="00C75492">
      <w:pPr>
        <w:pStyle w:val="Texto"/>
      </w:pPr>
      <w:r>
        <w:t>A</w:t>
      </w:r>
      <w:r w:rsidRPr="004F2937">
        <w:t xml:space="preserve"> análise da série histórica (2020-2024) indicou uma tendência geral de crescimento na participação feminina em cargos de liderança, com um pico em 2023, o que pode refletir o impacto positivo de políticas de incentivo à equidade. Contudo, a leve retração em 2024 sinaliza que esses avanços não são lineares e demandam monitoramento contínuo.</w:t>
      </w:r>
    </w:p>
    <w:p w14:paraId="30526DF9" w14:textId="245D2203" w:rsidR="00FA364A" w:rsidRPr="00C75492" w:rsidRDefault="00D61E68" w:rsidP="00C75492">
      <w:pPr>
        <w:pStyle w:val="Texto"/>
      </w:pPr>
      <w:r w:rsidRPr="00C75492">
        <w:t>No que se re</w:t>
      </w:r>
      <w:r w:rsidR="0041115D" w:rsidRPr="00C75492">
        <w:t>fere à faixa etária da</w:t>
      </w:r>
      <w:r w:rsidRPr="00C75492">
        <w:t xml:space="preserve">s </w:t>
      </w:r>
      <w:r w:rsidR="0041115D" w:rsidRPr="00C75492">
        <w:t xml:space="preserve">servidoras que ocupam </w:t>
      </w:r>
      <w:r w:rsidRPr="00C75492">
        <w:t>cargos de gest</w:t>
      </w:r>
      <w:r w:rsidR="0041115D" w:rsidRPr="00C75492">
        <w:t>ão e liderança no TST/CSJT, 73,3</w:t>
      </w:r>
      <w:r w:rsidRPr="00C75492">
        <w:t xml:space="preserve">% </w:t>
      </w:r>
      <w:r w:rsidR="00347FFE" w:rsidRPr="00C75492">
        <w:t>t</w:t>
      </w:r>
      <w:r w:rsidRPr="00C75492">
        <w:t>ê</w:t>
      </w:r>
      <w:r w:rsidR="0041115D" w:rsidRPr="00C75492">
        <w:t xml:space="preserve">m entre 40 e 59 anos, com 43% na faixa de 40 a 49 anos e 30,4% na faixa de 50 </w:t>
      </w:r>
      <w:r w:rsidR="0041115D" w:rsidRPr="00C75492">
        <w:lastRenderedPageBreak/>
        <w:t>a</w:t>
      </w:r>
      <w:r w:rsidR="00FA364A" w:rsidRPr="00C75492">
        <w:t xml:space="preserve"> 59 anos. </w:t>
      </w:r>
      <w:r w:rsidR="0041115D" w:rsidRPr="00C75492">
        <w:t>Quanto à identidade étnico-racial, a maioria se declara branca (72,6%) e 25,9% preta ou parda.</w:t>
      </w:r>
      <w:r w:rsidR="002D02B9" w:rsidRPr="00C75492">
        <w:t xml:space="preserve"> </w:t>
      </w:r>
    </w:p>
    <w:p w14:paraId="5A160CC5" w14:textId="250CBF94" w:rsidR="00EB33CB" w:rsidRDefault="005053AC" w:rsidP="005053AC">
      <w:pPr>
        <w:pStyle w:val="Texto"/>
        <w:contextualSpacing/>
      </w:pPr>
      <w:r>
        <w:t xml:space="preserve">Nesse contexto, os dados apresentados sublinham a imprescindibilidade de uma análise interseccional sobre a participação feminina, uma vez que marcadores como idade e raça podem influenciar de maneira decisiva tanto as oportunidades de acesso quanto a permanência em posições de liderança. Com efeito, um aprofundamento da pesquisa sob a perspectiva etária permitiria uma compreensão mais acurada sobre o momento da trajetória profissional em que as mulheres alcançam cargos de gestão, bem como sobre a existência de eventuais barreiras geracionais que dificultem sua ascensão. Do mesmo modo, o recorte racial revela a necessidade de se investigarem os mecanismos institucionais e socioculturais que ainda restringem a representatividade de mulheres </w:t>
      </w:r>
      <w:r w:rsidR="00CE2935">
        <w:t xml:space="preserve">pretas </w:t>
      </w:r>
      <w:r>
        <w:t>em espaços de poder e decisão. Tal investigação afigura-se fundamental para subsidiar a formulação de políticas de equidade mais inclusivas e efetivas no âmbito do TST e do CSJT, mormente diante da baixa representatividade racial observada, de apenas 25,9%, percentual que, em análises futuras, deverá ser cotejado com a composição racial do quadro total de servidoras para uma avaliação mais precisa.</w:t>
      </w:r>
    </w:p>
    <w:p w14:paraId="46CFE8BF" w14:textId="77777777" w:rsidR="00B01928" w:rsidRDefault="00F54027" w:rsidP="00C75492">
      <w:pPr>
        <w:pStyle w:val="Texto"/>
        <w:contextualSpacing/>
      </w:pPr>
      <w:r w:rsidRPr="00F54027">
        <w:t xml:space="preserve">Para contextualizar os dados do TST/CSJT, </w:t>
      </w:r>
      <w:r>
        <w:t xml:space="preserve">cabe trazer algumas informações provenientes de </w:t>
      </w:r>
      <w:r w:rsidR="002D02B9">
        <w:t xml:space="preserve">pesquisas do CNJ sobre o assunto. </w:t>
      </w:r>
      <w:r w:rsidR="006B3DCB">
        <w:t>Em 2019, relatório</w:t>
      </w:r>
      <w:r w:rsidR="002D02B9">
        <w:t xml:space="preserve"> </w:t>
      </w:r>
      <w:r w:rsidR="002D02B9" w:rsidRPr="002D02B9">
        <w:rPr>
          <w:bCs/>
        </w:rPr>
        <w:t>Diagnóstico da participação feminina no Poder Judiciário</w:t>
      </w:r>
      <w:r w:rsidR="002D02B9" w:rsidRPr="002D02B9">
        <w:rPr>
          <w:rStyle w:val="Refdenotaderodap"/>
        </w:rPr>
        <w:t xml:space="preserve"> </w:t>
      </w:r>
      <w:r w:rsidR="006B3DCB" w:rsidRPr="002D02B9">
        <w:rPr>
          <w:rStyle w:val="Refdenotaderodap"/>
        </w:rPr>
        <w:footnoteReference w:id="54"/>
      </w:r>
      <w:r w:rsidR="006B3DCB">
        <w:t xml:space="preserve"> mostrou</w:t>
      </w:r>
      <w:r w:rsidR="002D02B9">
        <w:t xml:space="preserve"> que, </w:t>
      </w:r>
      <w:r w:rsidR="006B3DCB">
        <w:t>na média da série histórica de 10 anos (2006 a 2017), as  mulheres ocupavam, nos Tribunais Superiores, 47% das funções de confiança ou cargos comissionados, e 43,8% dos cargos de chefia. Uma atualização dessa pesquisa, realizada em 2023</w:t>
      </w:r>
      <w:r w:rsidR="006B3DCB">
        <w:rPr>
          <w:rStyle w:val="Refdenotaderodap"/>
        </w:rPr>
        <w:footnoteReference w:id="55"/>
      </w:r>
      <w:r w:rsidR="00C9200F">
        <w:t xml:space="preserve">, utilizando levantamento </w:t>
      </w:r>
      <w:r w:rsidR="006B3DCB">
        <w:t>de 2022, indicou que o percentual de servidoras em cargos de confiança ou funções comissionadas</w:t>
      </w:r>
      <w:r w:rsidR="006B3DCB">
        <w:rPr>
          <w:rStyle w:val="Refdenotaderodap"/>
        </w:rPr>
        <w:footnoteReference w:id="56"/>
      </w:r>
      <w:r w:rsidR="006B3DCB">
        <w:t xml:space="preserve"> de chefia nos Tribunais Superiores era de 45%. </w:t>
      </w:r>
    </w:p>
    <w:p w14:paraId="65522DBD" w14:textId="60A5816B" w:rsidR="00C75492" w:rsidRDefault="006B3DCB" w:rsidP="004F2937">
      <w:pPr>
        <w:pStyle w:val="Texto"/>
        <w:contextualSpacing/>
      </w:pPr>
      <w:r w:rsidRPr="00662854">
        <w:t>Diante do exposto, conclui-se que os números</w:t>
      </w:r>
      <w:r w:rsidR="00C9200F">
        <w:t xml:space="preserve"> referentes à participação feminina em cargos de gestão e liderança</w:t>
      </w:r>
      <w:r w:rsidRPr="00662854">
        <w:t xml:space="preserve"> </w:t>
      </w:r>
      <w:r w:rsidR="00C9200F">
        <w:t>n</w:t>
      </w:r>
      <w:r w:rsidRPr="00662854">
        <w:t xml:space="preserve">o TST/CSJT </w:t>
      </w:r>
      <w:r w:rsidR="00C9200F">
        <w:t>estão próximos</w:t>
      </w:r>
      <w:r w:rsidR="00662854">
        <w:t xml:space="preserve"> da </w:t>
      </w:r>
      <w:r w:rsidR="00366AD1" w:rsidRPr="00662854">
        <w:t>média observada nos Tribunais Superiores</w:t>
      </w:r>
      <w:r w:rsidR="00662854" w:rsidRPr="00662854">
        <w:t>. No entanto,</w:t>
      </w:r>
      <w:r w:rsidRPr="00662854">
        <w:t xml:space="preserve"> ainda</w:t>
      </w:r>
      <w:r w:rsidR="00662854" w:rsidRPr="00662854">
        <w:t xml:space="preserve"> existem</w:t>
      </w:r>
      <w:r w:rsidRPr="00662854">
        <w:t xml:space="preserve"> desafios a serem superados, especialmente nos níveis </w:t>
      </w:r>
      <w:r w:rsidRPr="00662854">
        <w:lastRenderedPageBreak/>
        <w:t>inferiores</w:t>
      </w:r>
      <w:r w:rsidR="00C9200F">
        <w:t xml:space="preserve"> da escala hierárquica</w:t>
      </w:r>
      <w:r w:rsidRPr="00662854">
        <w:t>, nos comitês de g</w:t>
      </w:r>
      <w:r w:rsidR="00662854" w:rsidRPr="00662854">
        <w:t xml:space="preserve">overnança e na área administrativa, </w:t>
      </w:r>
      <w:r w:rsidR="002D02B9">
        <w:t>devendo-se considerar</w:t>
      </w:r>
      <w:r w:rsidR="00662854" w:rsidRPr="00662854">
        <w:t xml:space="preserve"> as particularida</w:t>
      </w:r>
      <w:r w:rsidR="00C9200F">
        <w:t>de</w:t>
      </w:r>
      <w:r w:rsidR="00662854" w:rsidRPr="00662854">
        <w:t>s do TST e do CSJT</w:t>
      </w:r>
      <w:r w:rsidRPr="00662854">
        <w:t xml:space="preserve">. A paridade de gênero observada nos níveis superiores do TST pode servir como um incentivo para implementar medidas que promovam a </w:t>
      </w:r>
      <w:r w:rsidR="00662854" w:rsidRPr="00662854">
        <w:t>ascensão feminina em todos os níveis da organização</w:t>
      </w:r>
      <w:r w:rsidR="00270E00">
        <w:t>.</w:t>
      </w:r>
      <w:r w:rsidR="00C75492">
        <w:br w:type="page"/>
      </w:r>
    </w:p>
    <w:p w14:paraId="6FC81DAC" w14:textId="089D8828" w:rsidR="00C60DB4" w:rsidRPr="00C60DB4" w:rsidRDefault="00C60DB4" w:rsidP="00777082">
      <w:pPr>
        <w:pStyle w:val="Ttulo2"/>
      </w:pPr>
      <w:bookmarkStart w:id="74" w:name="_Toc207370454"/>
      <w:bookmarkStart w:id="75" w:name="_Toc208510817"/>
      <w:r>
        <w:lastRenderedPageBreak/>
        <w:t>RESULTADOS DA PESQUISA DE PERCEPÇÃO SOBRE A PARTICIPAÇÃO FEMININA NO TST E NO CSJT</w:t>
      </w:r>
      <w:bookmarkEnd w:id="74"/>
      <w:bookmarkEnd w:id="75"/>
    </w:p>
    <w:p w14:paraId="12E47E72" w14:textId="3586519A" w:rsidR="00C60DB4" w:rsidRDefault="005F0F90" w:rsidP="00C75492">
      <w:pPr>
        <w:pStyle w:val="Texto"/>
      </w:pPr>
      <w:r>
        <w:t>A presente seção debruça-se sobre os resultados apurados na Pesquisa de Percepção sobre a Participação Feminina no TST e no CSJT. Para tanto, a exposição dos dados seguirá a mesma organização dos blocos temáticos que estruturaram o questionário, a saber: perfil dos respondentes; preconceito ou discriminação de gênero; oportunidade, carreira e liderança; família e vida pessoal; e cultura organizacional, respeito e equidade.</w:t>
      </w:r>
    </w:p>
    <w:p w14:paraId="7CF54AE5" w14:textId="77777777" w:rsidR="005F0F90" w:rsidRPr="00C75492" w:rsidRDefault="005F0F90" w:rsidP="00C75492">
      <w:pPr>
        <w:pStyle w:val="Texto"/>
      </w:pPr>
    </w:p>
    <w:p w14:paraId="0DCDF70D" w14:textId="6D74AE5E" w:rsidR="00C60DB4" w:rsidRDefault="00C60DB4" w:rsidP="00FB5A95">
      <w:pPr>
        <w:pStyle w:val="Ttulo3"/>
      </w:pPr>
      <w:bookmarkStart w:id="76" w:name="_Toc208510818"/>
      <w:r>
        <w:t>Bloco Perfil dos Respondentes</w:t>
      </w:r>
      <w:bookmarkEnd w:id="76"/>
    </w:p>
    <w:p w14:paraId="761DD39A" w14:textId="77777777" w:rsidR="005F0F90" w:rsidRDefault="005F0F90" w:rsidP="00C75492">
      <w:pPr>
        <w:pStyle w:val="Texto"/>
      </w:pPr>
      <w:r>
        <w:t>O presente bloco destina-se a detalhar o perfil sociodemográfico dos respondentes da pesquisa, a partir das informações apuradas nos quesitos de identificação do questionário, concernentes a: gênero, identidade de gênero, orientação sexual, idade, identidade étnica/racial, cargo ou função, tempo de trabalho no TST e/ou no CSJT e, por fim, a eventual condição de pessoa com deficiência e sua respectiva tipologia.</w:t>
      </w:r>
    </w:p>
    <w:p w14:paraId="318B7189" w14:textId="714BB740" w:rsidR="00C60DB4" w:rsidRPr="00C75492" w:rsidRDefault="00C60DB4" w:rsidP="00C75492">
      <w:pPr>
        <w:pStyle w:val="Texto"/>
      </w:pPr>
      <w:r w:rsidRPr="00C75492">
        <w:t>Considerando que o questionário se subdivide a partir da identificação do respondente quanto ao gênero com que se identifica, as informações do perfil dos respondentes serão apresentadas a partir da variável gênero frente aos outros marcadores.</w:t>
      </w:r>
    </w:p>
    <w:p w14:paraId="4864F402" w14:textId="69FB9E2E" w:rsidR="00BB6185" w:rsidRPr="00C75492" w:rsidRDefault="00C60DB4" w:rsidP="00C75492">
      <w:pPr>
        <w:pStyle w:val="Texto"/>
      </w:pPr>
      <w:r w:rsidRPr="00C75492">
        <w:t xml:space="preserve">A pesquisa registrou participação significativamente maior de mulheres em comparação aos homens, resultado esperado dado o tema abordado. O Gráfico </w:t>
      </w:r>
      <w:r w:rsidR="00FA364A" w:rsidRPr="00C75492">
        <w:t>31</w:t>
      </w:r>
      <w:r w:rsidRPr="00C75492">
        <w:t xml:space="preserve"> mostra que 80,5% (244 respondentes) declararam ser do gênero feminino, 19,1% (58 respondentes) do gênero masculino; e 0,3% (1 respondente) preferiu não informar. </w:t>
      </w:r>
      <w:bookmarkStart w:id="77" w:name="_ujsico4ut1a0" w:colFirst="0" w:colLast="0"/>
      <w:bookmarkEnd w:id="77"/>
    </w:p>
    <w:p w14:paraId="53A0B7EF" w14:textId="00C1F948" w:rsidR="005F0F90" w:rsidRDefault="005F0F90">
      <w:pPr>
        <w:rPr>
          <w:rFonts w:asciiTheme="minorHAnsi" w:hAnsiTheme="minorHAnsi" w:cstheme="minorHAnsi"/>
          <w:noProof/>
        </w:rPr>
      </w:pPr>
      <w:r>
        <w:br w:type="page"/>
      </w:r>
    </w:p>
    <w:p w14:paraId="2C84E958" w14:textId="77777777" w:rsidR="0075374E" w:rsidRPr="00C75492" w:rsidRDefault="0075374E" w:rsidP="00C75492">
      <w:pPr>
        <w:pStyle w:val="Texto"/>
      </w:pPr>
    </w:p>
    <w:p w14:paraId="57FA3F95" w14:textId="42816F6A" w:rsidR="00302821" w:rsidRDefault="00302821" w:rsidP="00FB5A95">
      <w:pPr>
        <w:pStyle w:val="TtulodaIlustrao"/>
      </w:pPr>
      <w:bookmarkStart w:id="78" w:name="_Toc208508654"/>
      <w:r w:rsidRPr="00302821">
        <w:t xml:space="preserve">Gráfico </w:t>
      </w:r>
      <w:r w:rsidR="00220ECA">
        <w:t>31</w:t>
      </w:r>
      <w:r w:rsidRPr="00C75492">
        <w:rPr>
          <w:b w:val="0"/>
        </w:rPr>
        <w:t xml:space="preserve"> - Percentuais de </w:t>
      </w:r>
      <w:r w:rsidRPr="00C75492">
        <w:rPr>
          <w:rStyle w:val="TtulodaIlustraoChar"/>
          <w:bCs/>
        </w:rPr>
        <w:t>respondentes</w:t>
      </w:r>
      <w:r w:rsidRPr="00C75492">
        <w:rPr>
          <w:b w:val="0"/>
        </w:rPr>
        <w:t>, por gênero</w:t>
      </w:r>
      <w:bookmarkEnd w:id="78"/>
    </w:p>
    <w:p w14:paraId="541194C6" w14:textId="77777777" w:rsidR="00C60DB4" w:rsidRDefault="00C60DB4" w:rsidP="00EE295F">
      <w:pPr>
        <w:jc w:val="center"/>
      </w:pPr>
      <w:r>
        <w:rPr>
          <w:noProof/>
        </w:rPr>
        <w:drawing>
          <wp:inline distT="114300" distB="114300" distL="114300" distR="114300" wp14:anchorId="49EB7E0A" wp14:editId="4E2C2D85">
            <wp:extent cx="4320000" cy="2412000"/>
            <wp:effectExtent l="0" t="0" r="4445" b="7620"/>
            <wp:docPr id="7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rotWithShape="1">
                    <a:blip r:embed="rId48"/>
                    <a:srcRect l="1299" t="2452" r="906" b="2180"/>
                    <a:stretch/>
                  </pic:blipFill>
                  <pic:spPr bwMode="auto">
                    <a:xfrm>
                      <a:off x="0" y="0"/>
                      <a:ext cx="4320000" cy="2412000"/>
                    </a:xfrm>
                    <a:prstGeom prst="rect">
                      <a:avLst/>
                    </a:prstGeom>
                    <a:ln>
                      <a:noFill/>
                    </a:ln>
                    <a:extLst>
                      <a:ext uri="{53640926-AAD7-44D8-BBD7-CCE9431645EC}">
                        <a14:shadowObscured xmlns:a14="http://schemas.microsoft.com/office/drawing/2010/main"/>
                      </a:ext>
                    </a:extLst>
                  </pic:spPr>
                </pic:pic>
              </a:graphicData>
            </a:graphic>
          </wp:inline>
        </w:drawing>
      </w:r>
    </w:p>
    <w:p w14:paraId="3493AEE7" w14:textId="4B55D6A7" w:rsidR="00C60DB4" w:rsidRDefault="00C60DB4" w:rsidP="00777082">
      <w:pPr>
        <w:pStyle w:val="Fonte"/>
        <w:rPr>
          <w:b w:val="0"/>
          <w:bCs/>
        </w:rPr>
      </w:pPr>
      <w:r>
        <w:t xml:space="preserve">Fonte: </w:t>
      </w:r>
      <w:r w:rsidRPr="00302821">
        <w:rPr>
          <w:b w:val="0"/>
          <w:bCs/>
        </w:rPr>
        <w:t>Dados da Pesquisa de Percepção da Participação Feminina no TST e no CSJT, 2025. Compilação e elaboração: CPJUD/SEPJD/CPJED</w:t>
      </w:r>
      <w:r w:rsidR="00302821" w:rsidRPr="00302821">
        <w:rPr>
          <w:b w:val="0"/>
          <w:bCs/>
        </w:rPr>
        <w:t>.</w:t>
      </w:r>
    </w:p>
    <w:p w14:paraId="3718A0E8" w14:textId="77777777" w:rsidR="00302821" w:rsidRPr="00302821" w:rsidRDefault="00302821" w:rsidP="00C75492">
      <w:pPr>
        <w:pStyle w:val="Texto"/>
      </w:pPr>
    </w:p>
    <w:p w14:paraId="20A99D20" w14:textId="77777777" w:rsidR="00C60DB4" w:rsidRDefault="00C60DB4" w:rsidP="00C75492">
      <w:pPr>
        <w:pStyle w:val="Texto"/>
      </w:pPr>
      <w:r>
        <w:t>Quanto à identidade de gênero</w:t>
      </w:r>
      <w:r>
        <w:rPr>
          <w:vertAlign w:val="superscript"/>
        </w:rPr>
        <w:footnoteReference w:id="57"/>
      </w:r>
      <w:r>
        <w:t>, o instrumento de pesquisa utilizou as seguintes categorias: cisgênero (a identidade de gênero coincide com a atribuída no momento do nascimento, incluindo mulheres cis e homens cis); transgênero (a identidade de gênero diverge da atribuída no momento do nascimento, independentemente da realização de cirurgias ou tratamentos médicos); e gênero fluído/não binário (pessoas que não se identificam com um único papel ou identidade de gênero).</w:t>
      </w:r>
    </w:p>
    <w:p w14:paraId="25FD99DC" w14:textId="508638A1" w:rsidR="005F0F90" w:rsidRDefault="00C60DB4" w:rsidP="00C75492">
      <w:pPr>
        <w:pStyle w:val="Texto"/>
      </w:pPr>
      <w:r>
        <w:t>A grande maioria dos respondentes (97% ou 294 pessoas) se identificou como cisgênero, o restante (3% ou 9 pessoas) preferiu não informar. A análise por gênero revela que 97,1% das mulheres e 98,3% dos homens se identificaram como cisgênero (</w:t>
      </w:r>
      <w:r w:rsidR="00302821">
        <w:t>Gráfico</w:t>
      </w:r>
      <w:r>
        <w:t xml:space="preserve"> </w:t>
      </w:r>
      <w:r w:rsidR="006A22B9">
        <w:t>32</w:t>
      </w:r>
      <w:r>
        <w:t>)</w:t>
      </w:r>
      <w:r>
        <w:rPr>
          <w:vertAlign w:val="superscript"/>
        </w:rPr>
        <w:footnoteReference w:id="58"/>
      </w:r>
      <w:r>
        <w:t>.</w:t>
      </w:r>
    </w:p>
    <w:p w14:paraId="48376210" w14:textId="77777777" w:rsidR="005F0F90" w:rsidRDefault="005F0F90">
      <w:pPr>
        <w:rPr>
          <w:rFonts w:asciiTheme="minorHAnsi" w:hAnsiTheme="minorHAnsi" w:cstheme="minorHAnsi"/>
          <w:noProof/>
        </w:rPr>
      </w:pPr>
      <w:r>
        <w:br w:type="page"/>
      </w:r>
    </w:p>
    <w:p w14:paraId="6F9F622D" w14:textId="77777777" w:rsidR="00C60DB4" w:rsidRDefault="00C60DB4" w:rsidP="00C75492">
      <w:pPr>
        <w:pStyle w:val="Texto"/>
      </w:pPr>
    </w:p>
    <w:p w14:paraId="0D046078" w14:textId="6AB473BF" w:rsidR="00C60DB4" w:rsidRPr="00E84D8F" w:rsidRDefault="00C60DB4" w:rsidP="00C75492">
      <w:pPr>
        <w:pStyle w:val="Texto"/>
      </w:pPr>
    </w:p>
    <w:p w14:paraId="416F8C7B" w14:textId="280BF9B4" w:rsidR="00302821" w:rsidRDefault="00302821" w:rsidP="00FB5A95">
      <w:pPr>
        <w:pStyle w:val="TtulodaIlustrao"/>
      </w:pPr>
      <w:bookmarkStart w:id="79" w:name="_75sknz1zuwzl" w:colFirst="0" w:colLast="0"/>
      <w:bookmarkStart w:id="80" w:name="_Toc208508655"/>
      <w:bookmarkEnd w:id="79"/>
      <w:r>
        <w:t xml:space="preserve">Gráfico </w:t>
      </w:r>
      <w:r w:rsidR="005F0F90">
        <w:t>32</w:t>
      </w:r>
      <w:r w:rsidRPr="00C75492">
        <w:rPr>
          <w:b w:val="0"/>
        </w:rPr>
        <w:t xml:space="preserve"> - Percentuais de respondentes, por gênero e identidade de gênero</w:t>
      </w:r>
      <w:bookmarkEnd w:id="80"/>
    </w:p>
    <w:p w14:paraId="1989742B" w14:textId="77777777" w:rsidR="00C60DB4" w:rsidRDefault="00C60DB4" w:rsidP="00EE295F">
      <w:pPr>
        <w:spacing w:line="360" w:lineRule="auto"/>
        <w:jc w:val="center"/>
      </w:pPr>
      <w:r>
        <w:rPr>
          <w:noProof/>
        </w:rPr>
        <w:drawing>
          <wp:inline distT="114300" distB="114300" distL="114300" distR="114300" wp14:anchorId="7763430B" wp14:editId="03A4E2FD">
            <wp:extent cx="4579315" cy="2765145"/>
            <wp:effectExtent l="0" t="0" r="0" b="0"/>
            <wp:docPr id="4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rotWithShape="1">
                    <a:blip r:embed="rId49"/>
                    <a:srcRect l="1247" t="1289" r="1229" b="1289"/>
                    <a:stretch/>
                  </pic:blipFill>
                  <pic:spPr bwMode="auto">
                    <a:xfrm>
                      <a:off x="0" y="0"/>
                      <a:ext cx="4580365" cy="2765779"/>
                    </a:xfrm>
                    <a:prstGeom prst="rect">
                      <a:avLst/>
                    </a:prstGeom>
                    <a:ln>
                      <a:noFill/>
                    </a:ln>
                    <a:extLst>
                      <a:ext uri="{53640926-AAD7-44D8-BBD7-CCE9431645EC}">
                        <a14:shadowObscured xmlns:a14="http://schemas.microsoft.com/office/drawing/2010/main"/>
                      </a:ext>
                    </a:extLst>
                  </pic:spPr>
                </pic:pic>
              </a:graphicData>
            </a:graphic>
          </wp:inline>
        </w:drawing>
      </w:r>
    </w:p>
    <w:p w14:paraId="67A4AE18" w14:textId="1FA3696B" w:rsidR="00C75492" w:rsidRDefault="00C60DB4" w:rsidP="005F0F90">
      <w:pPr>
        <w:pStyle w:val="Fonte"/>
      </w:pPr>
      <w:r>
        <w:t xml:space="preserve">Fonte: </w:t>
      </w:r>
      <w:r w:rsidRPr="00302821">
        <w:rPr>
          <w:b w:val="0"/>
          <w:bCs/>
        </w:rPr>
        <w:t>Dados da Pesquisa de Percepção da Participação Feminina no TST e no CSJT, 2025. Compilação e elaboração: CPJUD/SEPJD/CPJED</w:t>
      </w:r>
      <w:r w:rsidR="00302821" w:rsidRPr="00302821">
        <w:rPr>
          <w:b w:val="0"/>
          <w:bCs/>
        </w:rPr>
        <w:t>.</w:t>
      </w:r>
    </w:p>
    <w:p w14:paraId="5B0FEEC2" w14:textId="77777777" w:rsidR="005F0F90" w:rsidRDefault="005F0F90" w:rsidP="00C75492">
      <w:pPr>
        <w:pStyle w:val="Texto"/>
      </w:pPr>
    </w:p>
    <w:p w14:paraId="29BFAEBC" w14:textId="77777777" w:rsidR="00302821" w:rsidRDefault="00C60DB4" w:rsidP="00C75492">
      <w:pPr>
        <w:pStyle w:val="Texto"/>
      </w:pPr>
      <w:r>
        <w:t>No que se refere à orientação sexual</w:t>
      </w:r>
      <w:r>
        <w:rPr>
          <w:vertAlign w:val="superscript"/>
        </w:rPr>
        <w:footnoteReference w:id="59"/>
      </w:r>
      <w:r>
        <w:t>, 87,8% (266 respondentes) se declararam heterossexuais, 4,6% (14 respondentes) bissexuais; 3,3% (10 respondentes) homossexuais, 0,3% (1 respondente)</w:t>
      </w:r>
      <w:r>
        <w:rPr>
          <w:vertAlign w:val="superscript"/>
        </w:rPr>
        <w:footnoteReference w:id="60"/>
      </w:r>
      <w:r>
        <w:t xml:space="preserve"> outro, e 4% (12 respondentes) preferiram não informar. Nenhum se declarou assexual.</w:t>
      </w:r>
    </w:p>
    <w:p w14:paraId="6C8BC484" w14:textId="0637B597" w:rsidR="005F0F90" w:rsidRDefault="00302821" w:rsidP="00C75492">
      <w:pPr>
        <w:pStyle w:val="Texto"/>
      </w:pPr>
      <w:r>
        <w:t xml:space="preserve">O Gráfico </w:t>
      </w:r>
      <w:r w:rsidR="006A22B9">
        <w:t>33</w:t>
      </w:r>
      <w:r w:rsidR="00C60DB4">
        <w:t xml:space="preserve"> apresenta a distribuição d</w:t>
      </w:r>
      <w:r w:rsidR="00C75492">
        <w:t>a orientação sexual por gênero.</w:t>
      </w:r>
    </w:p>
    <w:p w14:paraId="223E09F2" w14:textId="77777777" w:rsidR="005F0F90" w:rsidRDefault="005F0F90">
      <w:pPr>
        <w:rPr>
          <w:rFonts w:asciiTheme="minorHAnsi" w:hAnsiTheme="minorHAnsi" w:cstheme="minorHAnsi"/>
          <w:noProof/>
        </w:rPr>
      </w:pPr>
      <w:r>
        <w:br w:type="page"/>
      </w:r>
    </w:p>
    <w:p w14:paraId="378BB8A7" w14:textId="77777777" w:rsidR="00C60DB4" w:rsidRDefault="00C60DB4" w:rsidP="00C75492">
      <w:pPr>
        <w:pStyle w:val="Texto"/>
      </w:pPr>
    </w:p>
    <w:p w14:paraId="7E480741" w14:textId="77777777" w:rsidR="00C75492" w:rsidRDefault="00C75492" w:rsidP="00C75492">
      <w:pPr>
        <w:pStyle w:val="Texto"/>
      </w:pPr>
    </w:p>
    <w:p w14:paraId="77F73C7B" w14:textId="3C413EA2" w:rsidR="00302821" w:rsidRDefault="00302821" w:rsidP="00FB5A95">
      <w:pPr>
        <w:pStyle w:val="TtulodaIlustrao"/>
      </w:pPr>
      <w:bookmarkStart w:id="81" w:name="_Toc208508656"/>
      <w:r>
        <w:t xml:space="preserve">Gráfico </w:t>
      </w:r>
      <w:r w:rsidR="005F0F90">
        <w:t>33</w:t>
      </w:r>
      <w:r w:rsidRPr="00256264">
        <w:rPr>
          <w:b w:val="0"/>
        </w:rPr>
        <w:t xml:space="preserve"> - Percentuais de respondentes, por gênero e orientação sexual</w:t>
      </w:r>
      <w:bookmarkEnd w:id="81"/>
    </w:p>
    <w:p w14:paraId="44E1D1FB" w14:textId="77777777" w:rsidR="00C60DB4" w:rsidRDefault="00C60DB4" w:rsidP="00EE295F">
      <w:pPr>
        <w:spacing w:line="360" w:lineRule="auto"/>
        <w:jc w:val="center"/>
      </w:pPr>
      <w:r>
        <w:rPr>
          <w:b/>
          <w:noProof/>
        </w:rPr>
        <w:drawing>
          <wp:inline distT="114300" distB="114300" distL="114300" distR="114300" wp14:anchorId="1A6C4D93" wp14:editId="08DB9A0E">
            <wp:extent cx="4169664" cy="2589581"/>
            <wp:effectExtent l="0" t="0" r="2540" b="1270"/>
            <wp:docPr id="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rotWithShape="1">
                    <a:blip r:embed="rId50"/>
                    <a:srcRect l="1031" t="1367" r="1031" b="1907"/>
                    <a:stretch/>
                  </pic:blipFill>
                  <pic:spPr bwMode="auto">
                    <a:xfrm>
                      <a:off x="0" y="0"/>
                      <a:ext cx="4179409" cy="2595633"/>
                    </a:xfrm>
                    <a:prstGeom prst="rect">
                      <a:avLst/>
                    </a:prstGeom>
                    <a:ln>
                      <a:noFill/>
                    </a:ln>
                    <a:extLst>
                      <a:ext uri="{53640926-AAD7-44D8-BBD7-CCE9431645EC}">
                        <a14:shadowObscured xmlns:a14="http://schemas.microsoft.com/office/drawing/2010/main"/>
                      </a:ext>
                    </a:extLst>
                  </pic:spPr>
                </pic:pic>
              </a:graphicData>
            </a:graphic>
          </wp:inline>
        </w:drawing>
      </w:r>
    </w:p>
    <w:p w14:paraId="36DD7DE3" w14:textId="5793E2BB" w:rsidR="00C60DB4" w:rsidRDefault="00C60DB4" w:rsidP="00777082">
      <w:pPr>
        <w:pStyle w:val="Fonte"/>
        <w:rPr>
          <w:b w:val="0"/>
          <w:bCs/>
        </w:rPr>
      </w:pPr>
      <w:r>
        <w:t xml:space="preserve">Fonte: </w:t>
      </w:r>
      <w:r w:rsidRPr="00302821">
        <w:rPr>
          <w:b w:val="0"/>
          <w:bCs/>
        </w:rPr>
        <w:t>Dados da Pesquisa de Percepção da Participação Feminina no TST e no CSJT, 2025. Compilação e elaboração: CPJUD/SEPJD/CPJED</w:t>
      </w:r>
      <w:r w:rsidR="00302821" w:rsidRPr="00302821">
        <w:rPr>
          <w:b w:val="0"/>
          <w:bCs/>
        </w:rPr>
        <w:t>.</w:t>
      </w:r>
    </w:p>
    <w:p w14:paraId="5F6DF2A7" w14:textId="77777777" w:rsidR="00302821" w:rsidRPr="00302821" w:rsidRDefault="00302821" w:rsidP="00256264">
      <w:pPr>
        <w:pStyle w:val="Texto"/>
      </w:pPr>
    </w:p>
    <w:p w14:paraId="0A903D74" w14:textId="3847E562" w:rsidR="00C60DB4" w:rsidRDefault="00C60DB4" w:rsidP="00256264">
      <w:pPr>
        <w:pStyle w:val="Texto"/>
      </w:pPr>
      <w:r>
        <w:t>Quanto à idade, a maior concentração de respondentes t</w:t>
      </w:r>
      <w:r w:rsidR="00302821">
        <w:t>e</w:t>
      </w:r>
      <w:r>
        <w:t xml:space="preserve">m entre 30 e 49 anos, representando 68,4% (34,7% + 33,7%) do total. A faixa etária entre 30 e 39 anos apresenta 105 indivíduos (34,7%), seguida pela faixa entre 40 e 49 anos com 102 indivíduos. A </w:t>
      </w:r>
      <w:r w:rsidR="000638C3">
        <w:t>T</w:t>
      </w:r>
      <w:r>
        <w:t xml:space="preserve">abela </w:t>
      </w:r>
      <w:r w:rsidR="006A22B9">
        <w:t>10</w:t>
      </w:r>
      <w:r>
        <w:t xml:space="preserve"> apresenta a distribuição de frequência da idade</w:t>
      </w:r>
      <w:r w:rsidRPr="00302821">
        <w:rPr>
          <w:vertAlign w:val="superscript"/>
        </w:rPr>
        <w:footnoteReference w:id="61"/>
      </w:r>
      <w:r w:rsidRPr="00302821">
        <w:t xml:space="preserve"> dos participantes da pesquisa:</w:t>
      </w:r>
      <w:bookmarkStart w:id="82" w:name="_ttxn336a6h5w" w:colFirst="0" w:colLast="0"/>
      <w:bookmarkEnd w:id="82"/>
    </w:p>
    <w:p w14:paraId="50150D7F" w14:textId="77777777" w:rsidR="00302821" w:rsidRDefault="00302821" w:rsidP="00256264">
      <w:pPr>
        <w:pStyle w:val="Texto"/>
      </w:pPr>
    </w:p>
    <w:p w14:paraId="3C934FAA" w14:textId="7A64016C" w:rsidR="00256264" w:rsidRDefault="00256264">
      <w:pPr>
        <w:rPr>
          <w:rFonts w:asciiTheme="minorHAnsi" w:hAnsiTheme="minorHAnsi" w:cstheme="minorHAnsi"/>
          <w:noProof/>
        </w:rPr>
      </w:pPr>
      <w:r>
        <w:br w:type="page"/>
      </w:r>
    </w:p>
    <w:p w14:paraId="7D047AD3" w14:textId="44B2AE35" w:rsidR="00302821" w:rsidRDefault="00302821" w:rsidP="00FB5A95">
      <w:pPr>
        <w:pStyle w:val="TtulodaTabela"/>
      </w:pPr>
      <w:bookmarkStart w:id="83" w:name="_Toc204871487"/>
      <w:bookmarkStart w:id="84" w:name="_Toc208510781"/>
      <w:r>
        <w:lastRenderedPageBreak/>
        <w:t xml:space="preserve">Tabela </w:t>
      </w:r>
      <w:r>
        <w:fldChar w:fldCharType="begin"/>
      </w:r>
      <w:r>
        <w:instrText xml:space="preserve"> SEQ Tabela \* ARABIC </w:instrText>
      </w:r>
      <w:r>
        <w:fldChar w:fldCharType="separate"/>
      </w:r>
      <w:r w:rsidR="00D85D1E">
        <w:t>10</w:t>
      </w:r>
      <w:r>
        <w:fldChar w:fldCharType="end"/>
      </w:r>
      <w:r w:rsidRPr="00256264">
        <w:rPr>
          <w:b w:val="0"/>
        </w:rPr>
        <w:t xml:space="preserve"> - Distribuição etária dos respondentes da pesquisa</w:t>
      </w:r>
      <w:bookmarkEnd w:id="83"/>
      <w:bookmarkEnd w:id="84"/>
    </w:p>
    <w:tbl>
      <w:tblPr>
        <w:tblW w:w="5368" w:type="dxa"/>
        <w:jc w:val="center"/>
        <w:tblBorders>
          <w:top w:val="single" w:sz="6" w:space="0" w:color="CCCCCC"/>
          <w:bottom w:val="single" w:sz="6" w:space="0" w:color="CCCCCC"/>
          <w:insideH w:val="single" w:sz="6" w:space="0" w:color="CCCCCC"/>
          <w:insideV w:val="single" w:sz="6" w:space="0" w:color="CCCCCC"/>
        </w:tblBorders>
        <w:tblLayout w:type="fixed"/>
        <w:tblLook w:val="0600" w:firstRow="0" w:lastRow="0" w:firstColumn="0" w:lastColumn="0" w:noHBand="1" w:noVBand="1"/>
      </w:tblPr>
      <w:tblGrid>
        <w:gridCol w:w="2368"/>
        <w:gridCol w:w="1500"/>
        <w:gridCol w:w="1500"/>
      </w:tblGrid>
      <w:tr w:rsidR="00C60DB4" w14:paraId="70D6AE5C" w14:textId="77777777" w:rsidTr="00256264">
        <w:trPr>
          <w:trHeight w:val="555"/>
          <w:jc w:val="center"/>
        </w:trPr>
        <w:tc>
          <w:tcPr>
            <w:tcW w:w="2368" w:type="dxa"/>
            <w:shd w:val="clear" w:color="auto" w:fill="999999"/>
            <w:tcMar>
              <w:top w:w="40" w:type="dxa"/>
              <w:left w:w="40" w:type="dxa"/>
              <w:bottom w:w="40" w:type="dxa"/>
              <w:right w:w="40" w:type="dxa"/>
            </w:tcMar>
            <w:vAlign w:val="center"/>
          </w:tcPr>
          <w:p w14:paraId="5A923074"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b/>
                <w:sz w:val="22"/>
                <w:szCs w:val="22"/>
              </w:rPr>
              <w:t>Idade</w:t>
            </w:r>
          </w:p>
        </w:tc>
        <w:tc>
          <w:tcPr>
            <w:tcW w:w="1500" w:type="dxa"/>
            <w:shd w:val="clear" w:color="auto" w:fill="999999"/>
            <w:tcMar>
              <w:top w:w="40" w:type="dxa"/>
              <w:left w:w="40" w:type="dxa"/>
              <w:bottom w:w="40" w:type="dxa"/>
              <w:right w:w="40" w:type="dxa"/>
            </w:tcMar>
            <w:vAlign w:val="center"/>
          </w:tcPr>
          <w:p w14:paraId="3559BD84"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b/>
                <w:sz w:val="22"/>
                <w:szCs w:val="22"/>
              </w:rPr>
              <w:t>Frequência absoluta</w:t>
            </w:r>
          </w:p>
        </w:tc>
        <w:tc>
          <w:tcPr>
            <w:tcW w:w="1500" w:type="dxa"/>
            <w:shd w:val="clear" w:color="auto" w:fill="999999"/>
            <w:tcMar>
              <w:top w:w="40" w:type="dxa"/>
              <w:left w:w="40" w:type="dxa"/>
              <w:bottom w:w="40" w:type="dxa"/>
              <w:right w:w="40" w:type="dxa"/>
            </w:tcMar>
            <w:vAlign w:val="center"/>
          </w:tcPr>
          <w:p w14:paraId="4EC82F98"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b/>
                <w:sz w:val="22"/>
                <w:szCs w:val="22"/>
              </w:rPr>
              <w:t>Frequência relativa</w:t>
            </w:r>
          </w:p>
        </w:tc>
      </w:tr>
      <w:tr w:rsidR="00C60DB4" w14:paraId="783F1B8D" w14:textId="77777777" w:rsidTr="00256264">
        <w:trPr>
          <w:trHeight w:val="555"/>
          <w:jc w:val="center"/>
        </w:trPr>
        <w:tc>
          <w:tcPr>
            <w:tcW w:w="2368" w:type="dxa"/>
            <w:tcMar>
              <w:top w:w="40" w:type="dxa"/>
              <w:left w:w="40" w:type="dxa"/>
              <w:bottom w:w="40" w:type="dxa"/>
              <w:right w:w="40" w:type="dxa"/>
            </w:tcMar>
            <w:vAlign w:val="center"/>
          </w:tcPr>
          <w:p w14:paraId="76EBFEF2"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Menor de 18 anos</w:t>
            </w:r>
          </w:p>
        </w:tc>
        <w:tc>
          <w:tcPr>
            <w:tcW w:w="1500" w:type="dxa"/>
            <w:tcMar>
              <w:top w:w="40" w:type="dxa"/>
              <w:left w:w="40" w:type="dxa"/>
              <w:bottom w:w="40" w:type="dxa"/>
              <w:right w:w="40" w:type="dxa"/>
            </w:tcMar>
            <w:vAlign w:val="center"/>
          </w:tcPr>
          <w:p w14:paraId="56A0901C"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3</w:t>
            </w:r>
          </w:p>
        </w:tc>
        <w:tc>
          <w:tcPr>
            <w:tcW w:w="1500" w:type="dxa"/>
            <w:tcMar>
              <w:top w:w="40" w:type="dxa"/>
              <w:left w:w="40" w:type="dxa"/>
              <w:bottom w:w="40" w:type="dxa"/>
              <w:right w:w="40" w:type="dxa"/>
            </w:tcMar>
            <w:vAlign w:val="center"/>
          </w:tcPr>
          <w:p w14:paraId="68C5684C"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1,0%</w:t>
            </w:r>
          </w:p>
        </w:tc>
      </w:tr>
      <w:tr w:rsidR="00C60DB4" w14:paraId="68779E54" w14:textId="77777777" w:rsidTr="00256264">
        <w:trPr>
          <w:trHeight w:val="555"/>
          <w:jc w:val="center"/>
        </w:trPr>
        <w:tc>
          <w:tcPr>
            <w:tcW w:w="2368" w:type="dxa"/>
            <w:tcMar>
              <w:top w:w="40" w:type="dxa"/>
              <w:left w:w="40" w:type="dxa"/>
              <w:bottom w:w="40" w:type="dxa"/>
              <w:right w:w="40" w:type="dxa"/>
            </w:tcMar>
            <w:vAlign w:val="center"/>
          </w:tcPr>
          <w:p w14:paraId="2810D84D"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Entre 18 e 29 anos</w:t>
            </w:r>
          </w:p>
        </w:tc>
        <w:tc>
          <w:tcPr>
            <w:tcW w:w="1500" w:type="dxa"/>
            <w:tcMar>
              <w:top w:w="40" w:type="dxa"/>
              <w:left w:w="40" w:type="dxa"/>
              <w:bottom w:w="40" w:type="dxa"/>
              <w:right w:w="40" w:type="dxa"/>
            </w:tcMar>
            <w:vAlign w:val="center"/>
          </w:tcPr>
          <w:p w14:paraId="2946C0FD"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19</w:t>
            </w:r>
          </w:p>
        </w:tc>
        <w:tc>
          <w:tcPr>
            <w:tcW w:w="1500" w:type="dxa"/>
            <w:tcMar>
              <w:top w:w="40" w:type="dxa"/>
              <w:left w:w="40" w:type="dxa"/>
              <w:bottom w:w="40" w:type="dxa"/>
              <w:right w:w="40" w:type="dxa"/>
            </w:tcMar>
            <w:vAlign w:val="center"/>
          </w:tcPr>
          <w:p w14:paraId="1A667A89"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6,3%</w:t>
            </w:r>
          </w:p>
        </w:tc>
      </w:tr>
      <w:tr w:rsidR="00C60DB4" w14:paraId="1A62C844" w14:textId="77777777" w:rsidTr="00256264">
        <w:trPr>
          <w:trHeight w:val="555"/>
          <w:jc w:val="center"/>
        </w:trPr>
        <w:tc>
          <w:tcPr>
            <w:tcW w:w="2368" w:type="dxa"/>
            <w:tcMar>
              <w:top w:w="40" w:type="dxa"/>
              <w:left w:w="40" w:type="dxa"/>
              <w:bottom w:w="40" w:type="dxa"/>
              <w:right w:w="40" w:type="dxa"/>
            </w:tcMar>
            <w:vAlign w:val="center"/>
          </w:tcPr>
          <w:p w14:paraId="5001DE12"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Entre 30 e 39 anos</w:t>
            </w:r>
          </w:p>
        </w:tc>
        <w:tc>
          <w:tcPr>
            <w:tcW w:w="1500" w:type="dxa"/>
            <w:tcMar>
              <w:top w:w="40" w:type="dxa"/>
              <w:left w:w="40" w:type="dxa"/>
              <w:bottom w:w="40" w:type="dxa"/>
              <w:right w:w="40" w:type="dxa"/>
            </w:tcMar>
            <w:vAlign w:val="center"/>
          </w:tcPr>
          <w:p w14:paraId="72B14568"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105</w:t>
            </w:r>
          </w:p>
        </w:tc>
        <w:tc>
          <w:tcPr>
            <w:tcW w:w="1500" w:type="dxa"/>
            <w:tcMar>
              <w:top w:w="40" w:type="dxa"/>
              <w:left w:w="40" w:type="dxa"/>
              <w:bottom w:w="40" w:type="dxa"/>
              <w:right w:w="40" w:type="dxa"/>
            </w:tcMar>
            <w:vAlign w:val="center"/>
          </w:tcPr>
          <w:p w14:paraId="15C0A410"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34,7%</w:t>
            </w:r>
          </w:p>
        </w:tc>
      </w:tr>
      <w:tr w:rsidR="00C60DB4" w14:paraId="6F0B6AF3" w14:textId="77777777" w:rsidTr="00256264">
        <w:trPr>
          <w:trHeight w:val="555"/>
          <w:jc w:val="center"/>
        </w:trPr>
        <w:tc>
          <w:tcPr>
            <w:tcW w:w="2368" w:type="dxa"/>
            <w:tcMar>
              <w:top w:w="40" w:type="dxa"/>
              <w:left w:w="40" w:type="dxa"/>
              <w:bottom w:w="40" w:type="dxa"/>
              <w:right w:w="40" w:type="dxa"/>
            </w:tcMar>
            <w:vAlign w:val="center"/>
          </w:tcPr>
          <w:p w14:paraId="5AA992FF"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Entre 40 e 49 anos</w:t>
            </w:r>
          </w:p>
        </w:tc>
        <w:tc>
          <w:tcPr>
            <w:tcW w:w="1500" w:type="dxa"/>
            <w:tcMar>
              <w:top w:w="40" w:type="dxa"/>
              <w:left w:w="40" w:type="dxa"/>
              <w:bottom w:w="40" w:type="dxa"/>
              <w:right w:w="40" w:type="dxa"/>
            </w:tcMar>
            <w:vAlign w:val="center"/>
          </w:tcPr>
          <w:p w14:paraId="3679269D"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102</w:t>
            </w:r>
          </w:p>
        </w:tc>
        <w:tc>
          <w:tcPr>
            <w:tcW w:w="1500" w:type="dxa"/>
            <w:tcMar>
              <w:top w:w="40" w:type="dxa"/>
              <w:left w:w="40" w:type="dxa"/>
              <w:bottom w:w="40" w:type="dxa"/>
              <w:right w:w="40" w:type="dxa"/>
            </w:tcMar>
            <w:vAlign w:val="center"/>
          </w:tcPr>
          <w:p w14:paraId="60CB370A"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33,7%</w:t>
            </w:r>
          </w:p>
        </w:tc>
      </w:tr>
      <w:tr w:rsidR="00C60DB4" w14:paraId="1C3A2AF7" w14:textId="77777777" w:rsidTr="00256264">
        <w:trPr>
          <w:trHeight w:val="555"/>
          <w:jc w:val="center"/>
        </w:trPr>
        <w:tc>
          <w:tcPr>
            <w:tcW w:w="2368" w:type="dxa"/>
            <w:tcMar>
              <w:top w:w="40" w:type="dxa"/>
              <w:left w:w="40" w:type="dxa"/>
              <w:bottom w:w="40" w:type="dxa"/>
              <w:right w:w="40" w:type="dxa"/>
            </w:tcMar>
            <w:vAlign w:val="center"/>
          </w:tcPr>
          <w:p w14:paraId="2412D0D5"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Entre 50 e 59 anos</w:t>
            </w:r>
          </w:p>
        </w:tc>
        <w:tc>
          <w:tcPr>
            <w:tcW w:w="1500" w:type="dxa"/>
            <w:tcMar>
              <w:top w:w="40" w:type="dxa"/>
              <w:left w:w="40" w:type="dxa"/>
              <w:bottom w:w="40" w:type="dxa"/>
              <w:right w:w="40" w:type="dxa"/>
            </w:tcMar>
            <w:vAlign w:val="center"/>
          </w:tcPr>
          <w:p w14:paraId="00E24C3B"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56</w:t>
            </w:r>
          </w:p>
        </w:tc>
        <w:tc>
          <w:tcPr>
            <w:tcW w:w="1500" w:type="dxa"/>
            <w:tcMar>
              <w:top w:w="40" w:type="dxa"/>
              <w:left w:w="40" w:type="dxa"/>
              <w:bottom w:w="40" w:type="dxa"/>
              <w:right w:w="40" w:type="dxa"/>
            </w:tcMar>
            <w:vAlign w:val="center"/>
          </w:tcPr>
          <w:p w14:paraId="0493268A"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18,5%</w:t>
            </w:r>
          </w:p>
        </w:tc>
      </w:tr>
      <w:tr w:rsidR="00C60DB4" w14:paraId="18ED363F" w14:textId="77777777" w:rsidTr="00256264">
        <w:trPr>
          <w:trHeight w:val="555"/>
          <w:jc w:val="center"/>
        </w:trPr>
        <w:tc>
          <w:tcPr>
            <w:tcW w:w="2368" w:type="dxa"/>
            <w:tcMar>
              <w:top w:w="40" w:type="dxa"/>
              <w:left w:w="40" w:type="dxa"/>
              <w:bottom w:w="40" w:type="dxa"/>
              <w:right w:w="40" w:type="dxa"/>
            </w:tcMar>
            <w:vAlign w:val="center"/>
          </w:tcPr>
          <w:p w14:paraId="7E8F18DB"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Entre 60 e 69 anos</w:t>
            </w:r>
          </w:p>
        </w:tc>
        <w:tc>
          <w:tcPr>
            <w:tcW w:w="1500" w:type="dxa"/>
            <w:tcMar>
              <w:top w:w="40" w:type="dxa"/>
              <w:left w:w="40" w:type="dxa"/>
              <w:bottom w:w="40" w:type="dxa"/>
              <w:right w:w="40" w:type="dxa"/>
            </w:tcMar>
            <w:vAlign w:val="center"/>
          </w:tcPr>
          <w:p w14:paraId="52B98347"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18</w:t>
            </w:r>
          </w:p>
        </w:tc>
        <w:tc>
          <w:tcPr>
            <w:tcW w:w="1500" w:type="dxa"/>
            <w:tcMar>
              <w:top w:w="40" w:type="dxa"/>
              <w:left w:w="40" w:type="dxa"/>
              <w:bottom w:w="40" w:type="dxa"/>
              <w:right w:w="40" w:type="dxa"/>
            </w:tcMar>
            <w:vAlign w:val="center"/>
          </w:tcPr>
          <w:p w14:paraId="31EE2AD0"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5,9%</w:t>
            </w:r>
          </w:p>
        </w:tc>
      </w:tr>
      <w:tr w:rsidR="00C60DB4" w14:paraId="4C45634A" w14:textId="77777777" w:rsidTr="00256264">
        <w:trPr>
          <w:trHeight w:val="555"/>
          <w:jc w:val="center"/>
        </w:trPr>
        <w:tc>
          <w:tcPr>
            <w:tcW w:w="2368" w:type="dxa"/>
            <w:tcMar>
              <w:top w:w="40" w:type="dxa"/>
              <w:left w:w="40" w:type="dxa"/>
              <w:bottom w:w="40" w:type="dxa"/>
              <w:right w:w="40" w:type="dxa"/>
            </w:tcMar>
            <w:vAlign w:val="center"/>
          </w:tcPr>
          <w:p w14:paraId="5F46C9B4"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Entre 70 e 79 anos</w:t>
            </w:r>
          </w:p>
        </w:tc>
        <w:tc>
          <w:tcPr>
            <w:tcW w:w="1500" w:type="dxa"/>
            <w:tcMar>
              <w:top w:w="40" w:type="dxa"/>
              <w:left w:w="40" w:type="dxa"/>
              <w:bottom w:w="40" w:type="dxa"/>
              <w:right w:w="40" w:type="dxa"/>
            </w:tcMar>
            <w:vAlign w:val="center"/>
          </w:tcPr>
          <w:p w14:paraId="39B4EEC9" w14:textId="27A6939B" w:rsidR="00C60DB4" w:rsidRPr="00C752A7" w:rsidRDefault="00256264" w:rsidP="00256264">
            <w:pPr>
              <w:widowControl w:val="0"/>
              <w:jc w:val="center"/>
              <w:rPr>
                <w:rFonts w:asciiTheme="minorHAnsi" w:hAnsiTheme="minorHAnsi" w:cstheme="minorHAnsi"/>
                <w:sz w:val="22"/>
                <w:szCs w:val="22"/>
              </w:rPr>
            </w:pPr>
            <w:r>
              <w:rPr>
                <w:rFonts w:asciiTheme="minorHAnsi" w:hAnsiTheme="minorHAnsi" w:cstheme="minorHAnsi"/>
                <w:sz w:val="22"/>
                <w:szCs w:val="22"/>
              </w:rPr>
              <w:t>-</w:t>
            </w:r>
          </w:p>
        </w:tc>
        <w:tc>
          <w:tcPr>
            <w:tcW w:w="1500" w:type="dxa"/>
            <w:tcMar>
              <w:top w:w="40" w:type="dxa"/>
              <w:left w:w="40" w:type="dxa"/>
              <w:bottom w:w="40" w:type="dxa"/>
              <w:right w:w="40" w:type="dxa"/>
            </w:tcMar>
            <w:vAlign w:val="center"/>
          </w:tcPr>
          <w:p w14:paraId="6D395A2D" w14:textId="3C796E1C" w:rsidR="00C60DB4" w:rsidRPr="00C752A7" w:rsidRDefault="00256264" w:rsidP="00256264">
            <w:pPr>
              <w:widowControl w:val="0"/>
              <w:jc w:val="center"/>
              <w:rPr>
                <w:rFonts w:asciiTheme="minorHAnsi" w:hAnsiTheme="minorHAnsi" w:cstheme="minorHAnsi"/>
                <w:sz w:val="22"/>
                <w:szCs w:val="22"/>
              </w:rPr>
            </w:pPr>
            <w:r>
              <w:rPr>
                <w:rFonts w:asciiTheme="minorHAnsi" w:hAnsiTheme="minorHAnsi" w:cstheme="minorHAnsi"/>
                <w:sz w:val="22"/>
                <w:szCs w:val="22"/>
              </w:rPr>
              <w:t>-</w:t>
            </w:r>
          </w:p>
        </w:tc>
      </w:tr>
      <w:tr w:rsidR="00C60DB4" w14:paraId="56D1A4FA" w14:textId="77777777" w:rsidTr="00256264">
        <w:trPr>
          <w:trHeight w:val="414"/>
          <w:jc w:val="center"/>
        </w:trPr>
        <w:tc>
          <w:tcPr>
            <w:tcW w:w="2368" w:type="dxa"/>
            <w:tcMar>
              <w:top w:w="40" w:type="dxa"/>
              <w:left w:w="40" w:type="dxa"/>
              <w:bottom w:w="40" w:type="dxa"/>
              <w:right w:w="40" w:type="dxa"/>
            </w:tcMar>
            <w:vAlign w:val="center"/>
          </w:tcPr>
          <w:p w14:paraId="1CFED9F0" w14:textId="77777777" w:rsidR="00C60DB4" w:rsidRPr="00C752A7" w:rsidRDefault="00C60DB4" w:rsidP="00256264">
            <w:pPr>
              <w:widowControl w:val="0"/>
              <w:jc w:val="center"/>
              <w:rPr>
                <w:rFonts w:asciiTheme="minorHAnsi" w:hAnsiTheme="minorHAnsi" w:cstheme="minorHAnsi"/>
                <w:sz w:val="22"/>
                <w:szCs w:val="22"/>
              </w:rPr>
            </w:pPr>
            <w:r w:rsidRPr="00C752A7">
              <w:rPr>
                <w:rFonts w:asciiTheme="minorHAnsi" w:hAnsiTheme="minorHAnsi" w:cstheme="minorHAnsi"/>
                <w:sz w:val="22"/>
                <w:szCs w:val="22"/>
              </w:rPr>
              <w:t>Mais de 80 anos</w:t>
            </w:r>
          </w:p>
        </w:tc>
        <w:tc>
          <w:tcPr>
            <w:tcW w:w="1500" w:type="dxa"/>
            <w:tcMar>
              <w:top w:w="40" w:type="dxa"/>
              <w:left w:w="40" w:type="dxa"/>
              <w:bottom w:w="40" w:type="dxa"/>
              <w:right w:w="40" w:type="dxa"/>
            </w:tcMar>
            <w:vAlign w:val="center"/>
          </w:tcPr>
          <w:p w14:paraId="77FB8DAC" w14:textId="198208FB" w:rsidR="00C60DB4" w:rsidRPr="00C752A7" w:rsidRDefault="00256264" w:rsidP="00256264">
            <w:pPr>
              <w:widowControl w:val="0"/>
              <w:jc w:val="center"/>
              <w:rPr>
                <w:rFonts w:asciiTheme="minorHAnsi" w:hAnsiTheme="minorHAnsi" w:cstheme="minorHAnsi"/>
                <w:sz w:val="22"/>
                <w:szCs w:val="22"/>
              </w:rPr>
            </w:pPr>
            <w:r>
              <w:rPr>
                <w:rFonts w:asciiTheme="minorHAnsi" w:hAnsiTheme="minorHAnsi" w:cstheme="minorHAnsi"/>
                <w:sz w:val="22"/>
                <w:szCs w:val="22"/>
              </w:rPr>
              <w:t>-</w:t>
            </w:r>
          </w:p>
        </w:tc>
        <w:tc>
          <w:tcPr>
            <w:tcW w:w="1500" w:type="dxa"/>
            <w:tcMar>
              <w:top w:w="40" w:type="dxa"/>
              <w:left w:w="40" w:type="dxa"/>
              <w:bottom w:w="40" w:type="dxa"/>
              <w:right w:w="40" w:type="dxa"/>
            </w:tcMar>
            <w:vAlign w:val="center"/>
          </w:tcPr>
          <w:p w14:paraId="0876F640" w14:textId="2C9F52BC" w:rsidR="00C60DB4" w:rsidRPr="00C752A7" w:rsidRDefault="00256264" w:rsidP="00256264">
            <w:pPr>
              <w:widowControl w:val="0"/>
              <w:jc w:val="center"/>
              <w:rPr>
                <w:rFonts w:asciiTheme="minorHAnsi" w:hAnsiTheme="minorHAnsi" w:cstheme="minorHAnsi"/>
                <w:sz w:val="22"/>
                <w:szCs w:val="22"/>
              </w:rPr>
            </w:pPr>
            <w:r>
              <w:rPr>
                <w:rFonts w:asciiTheme="minorHAnsi" w:hAnsiTheme="minorHAnsi" w:cstheme="minorHAnsi"/>
                <w:sz w:val="22"/>
                <w:szCs w:val="22"/>
              </w:rPr>
              <w:t>-</w:t>
            </w:r>
          </w:p>
        </w:tc>
      </w:tr>
      <w:tr w:rsidR="00256264" w:rsidRPr="00256264" w14:paraId="08C2B2A0" w14:textId="77777777" w:rsidTr="00256264">
        <w:trPr>
          <w:trHeight w:val="414"/>
          <w:jc w:val="center"/>
        </w:trPr>
        <w:tc>
          <w:tcPr>
            <w:tcW w:w="2368" w:type="dxa"/>
            <w:tcMar>
              <w:top w:w="40" w:type="dxa"/>
              <w:left w:w="40" w:type="dxa"/>
              <w:bottom w:w="40" w:type="dxa"/>
              <w:right w:w="40" w:type="dxa"/>
            </w:tcMar>
            <w:vAlign w:val="center"/>
          </w:tcPr>
          <w:p w14:paraId="7588B44E" w14:textId="3FAD47CD" w:rsidR="00256264" w:rsidRPr="00256264" w:rsidRDefault="00256264" w:rsidP="00256264">
            <w:pPr>
              <w:widowControl w:val="0"/>
              <w:jc w:val="center"/>
              <w:rPr>
                <w:rFonts w:asciiTheme="minorHAnsi" w:hAnsiTheme="minorHAnsi" w:cstheme="minorHAnsi"/>
                <w:b/>
                <w:sz w:val="22"/>
                <w:szCs w:val="22"/>
              </w:rPr>
            </w:pPr>
            <w:r>
              <w:rPr>
                <w:rFonts w:asciiTheme="minorHAnsi" w:hAnsiTheme="minorHAnsi" w:cstheme="minorHAnsi"/>
                <w:b/>
                <w:sz w:val="22"/>
                <w:szCs w:val="22"/>
              </w:rPr>
              <w:t>Total</w:t>
            </w:r>
          </w:p>
        </w:tc>
        <w:tc>
          <w:tcPr>
            <w:tcW w:w="1500" w:type="dxa"/>
            <w:tcMar>
              <w:top w:w="40" w:type="dxa"/>
              <w:left w:w="40" w:type="dxa"/>
              <w:bottom w:w="40" w:type="dxa"/>
              <w:right w:w="40" w:type="dxa"/>
            </w:tcMar>
            <w:vAlign w:val="center"/>
          </w:tcPr>
          <w:p w14:paraId="187A09E7" w14:textId="5FA1071E" w:rsidR="00256264" w:rsidRPr="00256264" w:rsidRDefault="00256264" w:rsidP="00256264">
            <w:pPr>
              <w:widowControl w:val="0"/>
              <w:jc w:val="center"/>
              <w:rPr>
                <w:rFonts w:asciiTheme="minorHAnsi" w:hAnsiTheme="minorHAnsi" w:cstheme="minorHAnsi"/>
                <w:b/>
                <w:sz w:val="22"/>
                <w:szCs w:val="22"/>
              </w:rPr>
            </w:pPr>
            <w:r>
              <w:rPr>
                <w:rFonts w:asciiTheme="minorHAnsi" w:hAnsiTheme="minorHAnsi" w:cstheme="minorHAnsi"/>
                <w:b/>
                <w:sz w:val="22"/>
                <w:szCs w:val="22"/>
              </w:rPr>
              <w:fldChar w:fldCharType="begin"/>
            </w:r>
            <w:r>
              <w:rPr>
                <w:rFonts w:asciiTheme="minorHAnsi" w:hAnsiTheme="minorHAnsi" w:cstheme="minorHAnsi"/>
                <w:b/>
                <w:sz w:val="22"/>
                <w:szCs w:val="22"/>
              </w:rPr>
              <w:instrText xml:space="preserve"> =SUM(ABOVE) </w:instrText>
            </w:r>
            <w:r>
              <w:rPr>
                <w:rFonts w:asciiTheme="minorHAnsi" w:hAnsiTheme="minorHAnsi" w:cstheme="minorHAnsi"/>
                <w:b/>
                <w:sz w:val="22"/>
                <w:szCs w:val="22"/>
              </w:rPr>
              <w:fldChar w:fldCharType="separate"/>
            </w:r>
            <w:r>
              <w:rPr>
                <w:rFonts w:asciiTheme="minorHAnsi" w:hAnsiTheme="minorHAnsi" w:cstheme="minorHAnsi"/>
                <w:b/>
                <w:noProof/>
                <w:sz w:val="22"/>
                <w:szCs w:val="22"/>
              </w:rPr>
              <w:t>303</w:t>
            </w:r>
            <w:r>
              <w:rPr>
                <w:rFonts w:asciiTheme="minorHAnsi" w:hAnsiTheme="minorHAnsi" w:cstheme="minorHAnsi"/>
                <w:b/>
                <w:sz w:val="22"/>
                <w:szCs w:val="22"/>
              </w:rPr>
              <w:fldChar w:fldCharType="end"/>
            </w:r>
          </w:p>
        </w:tc>
        <w:tc>
          <w:tcPr>
            <w:tcW w:w="1500" w:type="dxa"/>
            <w:tcMar>
              <w:top w:w="40" w:type="dxa"/>
              <w:left w:w="40" w:type="dxa"/>
              <w:bottom w:w="40" w:type="dxa"/>
              <w:right w:w="40" w:type="dxa"/>
            </w:tcMar>
            <w:vAlign w:val="center"/>
          </w:tcPr>
          <w:p w14:paraId="1CDA963F" w14:textId="753D6149" w:rsidR="00256264" w:rsidRPr="00256264" w:rsidRDefault="00256264" w:rsidP="00256264">
            <w:pPr>
              <w:widowControl w:val="0"/>
              <w:jc w:val="center"/>
              <w:rPr>
                <w:rFonts w:asciiTheme="minorHAnsi" w:hAnsiTheme="minorHAnsi" w:cstheme="minorHAnsi"/>
                <w:b/>
                <w:sz w:val="22"/>
                <w:szCs w:val="22"/>
              </w:rPr>
            </w:pPr>
            <w:r>
              <w:rPr>
                <w:rFonts w:asciiTheme="minorHAnsi" w:hAnsiTheme="minorHAnsi" w:cstheme="minorHAnsi"/>
                <w:b/>
                <w:sz w:val="22"/>
                <w:szCs w:val="22"/>
              </w:rPr>
              <w:fldChar w:fldCharType="begin"/>
            </w:r>
            <w:r>
              <w:rPr>
                <w:rFonts w:asciiTheme="minorHAnsi" w:hAnsiTheme="minorHAnsi" w:cstheme="minorHAnsi"/>
                <w:b/>
                <w:sz w:val="22"/>
                <w:szCs w:val="22"/>
              </w:rPr>
              <w:instrText xml:space="preserve"> =SUM(ABOVE)*100 \# "0,00%" </w:instrText>
            </w:r>
            <w:r>
              <w:rPr>
                <w:rFonts w:asciiTheme="minorHAnsi" w:hAnsiTheme="minorHAnsi" w:cstheme="minorHAnsi"/>
                <w:b/>
                <w:sz w:val="22"/>
                <w:szCs w:val="22"/>
              </w:rPr>
              <w:fldChar w:fldCharType="separate"/>
            </w:r>
            <w:r>
              <w:rPr>
                <w:rFonts w:asciiTheme="minorHAnsi" w:hAnsiTheme="minorHAnsi" w:cstheme="minorHAnsi"/>
                <w:b/>
                <w:noProof/>
                <w:sz w:val="22"/>
                <w:szCs w:val="22"/>
              </w:rPr>
              <w:t>100,0%</w:t>
            </w:r>
            <w:r>
              <w:rPr>
                <w:rFonts w:asciiTheme="minorHAnsi" w:hAnsiTheme="minorHAnsi" w:cstheme="minorHAnsi"/>
                <w:b/>
                <w:sz w:val="22"/>
                <w:szCs w:val="22"/>
              </w:rPr>
              <w:fldChar w:fldCharType="end"/>
            </w:r>
          </w:p>
        </w:tc>
      </w:tr>
    </w:tbl>
    <w:p w14:paraId="23010293" w14:textId="736B26F9" w:rsidR="00C60DB4" w:rsidRDefault="00C60DB4" w:rsidP="005802E9">
      <w:pPr>
        <w:pStyle w:val="Fonte"/>
        <w:rPr>
          <w:b w:val="0"/>
          <w:bCs/>
        </w:rPr>
      </w:pPr>
      <w:r>
        <w:t xml:space="preserve">Fonte: </w:t>
      </w:r>
      <w:r w:rsidRPr="005802E9">
        <w:rPr>
          <w:b w:val="0"/>
          <w:bCs/>
        </w:rPr>
        <w:t>Dados da Pesquisa d</w:t>
      </w:r>
      <w:r w:rsidR="00302821" w:rsidRPr="005802E9">
        <w:rPr>
          <w:b w:val="0"/>
          <w:bCs/>
        </w:rPr>
        <w:t xml:space="preserve">e Percepção </w:t>
      </w:r>
      <w:r w:rsidRPr="005802E9">
        <w:rPr>
          <w:b w:val="0"/>
          <w:bCs/>
        </w:rPr>
        <w:t>da Participação Feminina no TST e no CSJT, 2025. Compilação e elaboração: CPJUD/SEPJD/CPJED</w:t>
      </w:r>
      <w:r w:rsidR="005802E9" w:rsidRPr="005802E9">
        <w:rPr>
          <w:b w:val="0"/>
          <w:bCs/>
        </w:rPr>
        <w:t>.</w:t>
      </w:r>
    </w:p>
    <w:p w14:paraId="70C32626" w14:textId="77777777" w:rsidR="005802E9" w:rsidRPr="005802E9" w:rsidRDefault="005802E9" w:rsidP="00256264">
      <w:pPr>
        <w:pStyle w:val="Texto"/>
      </w:pPr>
    </w:p>
    <w:p w14:paraId="78CC8762" w14:textId="135E318B" w:rsidR="00C60DB4" w:rsidRDefault="00C60DB4" w:rsidP="00256264">
      <w:pPr>
        <w:pStyle w:val="Texto"/>
      </w:pPr>
      <w:r>
        <w:t>Ao segmentar esses dados por gênero (</w:t>
      </w:r>
      <w:r w:rsidR="005802E9">
        <w:t>Gráfico</w:t>
      </w:r>
      <w:r>
        <w:t xml:space="preserve"> </w:t>
      </w:r>
      <w:r w:rsidR="006A22B9">
        <w:t>34</w:t>
      </w:r>
      <w:r>
        <w:t xml:space="preserve">), nota-se que a faixa etária preponderante entre as mulheres foi entre 30 e 39 anos (37,3%) e a preponderante entre os homens foi entre 40 e 49 anos (34,5%). Assim, ao apresentar as percepções dos respondentes </w:t>
      </w:r>
      <w:r w:rsidR="005802E9">
        <w:t>deve-se</w:t>
      </w:r>
      <w:r>
        <w:t xml:space="preserve"> considerar que o viés geracional também pode impactar sobre como homens e mulheres percebem as mulheres em cargos de liderança.</w:t>
      </w:r>
    </w:p>
    <w:p w14:paraId="1F75999B" w14:textId="7BDD2A1F" w:rsidR="00C60DB4" w:rsidRDefault="00C60DB4" w:rsidP="00256264">
      <w:pPr>
        <w:pStyle w:val="Texto"/>
      </w:pPr>
      <w:bookmarkStart w:id="85" w:name="_qiq6ctja983x" w:colFirst="0" w:colLast="0"/>
      <w:bookmarkEnd w:id="85"/>
    </w:p>
    <w:p w14:paraId="7735D00F" w14:textId="667BC084" w:rsidR="00256264" w:rsidRDefault="00256264">
      <w:pPr>
        <w:rPr>
          <w:rFonts w:asciiTheme="minorHAnsi" w:hAnsiTheme="minorHAnsi" w:cstheme="minorHAnsi"/>
          <w:noProof/>
        </w:rPr>
      </w:pPr>
      <w:r>
        <w:br w:type="page"/>
      </w:r>
    </w:p>
    <w:p w14:paraId="55462D6A" w14:textId="4FFECEEB" w:rsidR="005802E9" w:rsidRDefault="005802E9" w:rsidP="00FB5A95">
      <w:pPr>
        <w:pStyle w:val="TtulodaIlustrao"/>
      </w:pPr>
      <w:bookmarkStart w:id="86" w:name="_Toc208508657"/>
      <w:r>
        <w:lastRenderedPageBreak/>
        <w:t xml:space="preserve">Gráfico </w:t>
      </w:r>
      <w:r w:rsidR="005F0F90">
        <w:t>34</w:t>
      </w:r>
      <w:r w:rsidRPr="00256264">
        <w:rPr>
          <w:b w:val="0"/>
        </w:rPr>
        <w:t xml:space="preserve"> - Percentuais de respondentes, por gênero e idade</w:t>
      </w:r>
      <w:bookmarkEnd w:id="86"/>
    </w:p>
    <w:p w14:paraId="7D928DF2" w14:textId="77777777" w:rsidR="00C60DB4" w:rsidRDefault="00C60DB4" w:rsidP="00EE295F">
      <w:pPr>
        <w:spacing w:line="360" w:lineRule="auto"/>
        <w:jc w:val="center"/>
      </w:pPr>
      <w:r>
        <w:rPr>
          <w:noProof/>
        </w:rPr>
        <w:drawing>
          <wp:inline distT="114300" distB="114300" distL="114300" distR="114300" wp14:anchorId="48E446E5" wp14:editId="571B5D61">
            <wp:extent cx="4593944" cy="2750515"/>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rotWithShape="1">
                    <a:blip r:embed="rId51"/>
                    <a:srcRect l="940" t="2807" r="782" b="1208"/>
                    <a:stretch/>
                  </pic:blipFill>
                  <pic:spPr bwMode="auto">
                    <a:xfrm>
                      <a:off x="0" y="0"/>
                      <a:ext cx="4596606" cy="2752109"/>
                    </a:xfrm>
                    <a:prstGeom prst="rect">
                      <a:avLst/>
                    </a:prstGeom>
                    <a:ln>
                      <a:noFill/>
                    </a:ln>
                    <a:extLst>
                      <a:ext uri="{53640926-AAD7-44D8-BBD7-CCE9431645EC}">
                        <a14:shadowObscured xmlns:a14="http://schemas.microsoft.com/office/drawing/2010/main"/>
                      </a:ext>
                    </a:extLst>
                  </pic:spPr>
                </pic:pic>
              </a:graphicData>
            </a:graphic>
          </wp:inline>
        </w:drawing>
      </w:r>
    </w:p>
    <w:p w14:paraId="485E4379" w14:textId="600FB80C" w:rsidR="00C60DB4" w:rsidRDefault="00C60DB4" w:rsidP="00473659">
      <w:pPr>
        <w:pStyle w:val="Fonte"/>
        <w:rPr>
          <w:b w:val="0"/>
          <w:bCs/>
        </w:rPr>
      </w:pPr>
      <w:r w:rsidRPr="005802E9">
        <w:t xml:space="preserve">Fonte: </w:t>
      </w:r>
      <w:r w:rsidRPr="005802E9">
        <w:rPr>
          <w:b w:val="0"/>
          <w:bCs/>
        </w:rPr>
        <w:t>Dados da Pesquisa de Percepção da Participação Feminina no TST e no CSJT, 2025. Compilação e elaboração: CPJUD/SEPJD/CPJED</w:t>
      </w:r>
      <w:r w:rsidR="005802E9" w:rsidRPr="005802E9">
        <w:rPr>
          <w:b w:val="0"/>
          <w:bCs/>
        </w:rPr>
        <w:t>.</w:t>
      </w:r>
    </w:p>
    <w:p w14:paraId="4DB731E7" w14:textId="77777777" w:rsidR="005226FB" w:rsidRDefault="005226FB" w:rsidP="00256264">
      <w:pPr>
        <w:pStyle w:val="Texto"/>
      </w:pPr>
    </w:p>
    <w:p w14:paraId="77169789" w14:textId="227BC3FD" w:rsidR="00C60DB4" w:rsidRDefault="00C60DB4" w:rsidP="00256264">
      <w:pPr>
        <w:pStyle w:val="Texto"/>
      </w:pPr>
      <w:r>
        <w:t>Com relação aos dados sobre identidade étnica/racial, no total, 72,6% (220 respondentes) se autodeclararam brancos, 20,1% (61 respondentes) pardos, 4,3% (13 respondentes) pretos, 2,3% (7 respondentes) amarelos e 0,7% (2 respondentes)</w:t>
      </w:r>
      <w:r>
        <w:rPr>
          <w:vertAlign w:val="superscript"/>
        </w:rPr>
        <w:footnoteReference w:id="62"/>
      </w:r>
      <w:r>
        <w:t xml:space="preserve"> preferiram não informar. </w:t>
      </w:r>
      <w:r w:rsidR="005802E9">
        <w:t>O Gráfico</w:t>
      </w:r>
      <w:r>
        <w:t xml:space="preserve"> </w:t>
      </w:r>
      <w:r w:rsidR="006A22B9">
        <w:t>35</w:t>
      </w:r>
      <w:r>
        <w:t xml:space="preserve"> detalha essa distribuição percentual por gênero, mostrando que, entre as mulheres, 74,2% se declararam brancas, 19,3% pardas, 4,1% pretas e 1,6% amarelas.</w:t>
      </w:r>
    </w:p>
    <w:p w14:paraId="38C0503E" w14:textId="2532057A" w:rsidR="00C60DB4" w:rsidRPr="00473659" w:rsidRDefault="00C60DB4" w:rsidP="00256264">
      <w:pPr>
        <w:pStyle w:val="Texto"/>
      </w:pPr>
      <w:bookmarkStart w:id="87" w:name="_vz1sw38i8m58" w:colFirst="0" w:colLast="0"/>
      <w:bookmarkEnd w:id="87"/>
    </w:p>
    <w:p w14:paraId="4A2FB91E" w14:textId="1B56FE38" w:rsidR="005802E9" w:rsidRPr="00256264" w:rsidRDefault="005802E9" w:rsidP="00FB5A95">
      <w:pPr>
        <w:pStyle w:val="TtulodaIlustrao"/>
        <w:rPr>
          <w:b w:val="0"/>
        </w:rPr>
      </w:pPr>
      <w:bookmarkStart w:id="88" w:name="_Toc208508658"/>
      <w:r>
        <w:t xml:space="preserve">Gráfico </w:t>
      </w:r>
      <w:r w:rsidR="005F0F90">
        <w:t>35</w:t>
      </w:r>
      <w:r w:rsidRPr="00256264">
        <w:rPr>
          <w:b w:val="0"/>
        </w:rPr>
        <w:t xml:space="preserve"> - Percentuais de respondentes segundo gênero e identidade étnica/racial</w:t>
      </w:r>
      <w:bookmarkEnd w:id="88"/>
    </w:p>
    <w:p w14:paraId="44D31C89" w14:textId="77777777" w:rsidR="00C60DB4" w:rsidRDefault="00C60DB4" w:rsidP="00EE295F">
      <w:pPr>
        <w:jc w:val="center"/>
      </w:pPr>
      <w:r>
        <w:rPr>
          <w:noProof/>
        </w:rPr>
        <w:drawing>
          <wp:inline distT="114300" distB="114300" distL="114300" distR="114300" wp14:anchorId="7B641814" wp14:editId="3CBF7AED">
            <wp:extent cx="4888871" cy="2421619"/>
            <wp:effectExtent l="0" t="0" r="6985"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52"/>
                    <a:srcRect l="553" t="1724" r="1176" b="3161"/>
                    <a:stretch/>
                  </pic:blipFill>
                  <pic:spPr bwMode="auto">
                    <a:xfrm>
                      <a:off x="0" y="0"/>
                      <a:ext cx="4887420" cy="2420900"/>
                    </a:xfrm>
                    <a:prstGeom prst="rect">
                      <a:avLst/>
                    </a:prstGeom>
                    <a:ln>
                      <a:noFill/>
                    </a:ln>
                    <a:extLst>
                      <a:ext uri="{53640926-AAD7-44D8-BBD7-CCE9431645EC}">
                        <a14:shadowObscured xmlns:a14="http://schemas.microsoft.com/office/drawing/2010/main"/>
                      </a:ext>
                    </a:extLst>
                  </pic:spPr>
                </pic:pic>
              </a:graphicData>
            </a:graphic>
          </wp:inline>
        </w:drawing>
      </w:r>
    </w:p>
    <w:p w14:paraId="71FA8E94" w14:textId="5AEA0D5E" w:rsidR="00C60DB4" w:rsidRDefault="00C60DB4" w:rsidP="00473659">
      <w:pPr>
        <w:pStyle w:val="Fonte"/>
        <w:rPr>
          <w:sz w:val="24"/>
        </w:rPr>
      </w:pPr>
      <w:r>
        <w:t xml:space="preserve">Fonte: </w:t>
      </w:r>
      <w:r w:rsidRPr="005802E9">
        <w:rPr>
          <w:b w:val="0"/>
          <w:bCs/>
        </w:rPr>
        <w:t>Dados da Pesquisa de Percepção da Participação Feminina no TST e no CSJT, 2025. Compilação e elaboração: CPJUD/SEPJD/CPJED</w:t>
      </w:r>
      <w:r w:rsidR="005802E9" w:rsidRPr="005802E9">
        <w:rPr>
          <w:b w:val="0"/>
          <w:bCs/>
        </w:rPr>
        <w:t>.</w:t>
      </w:r>
    </w:p>
    <w:p w14:paraId="5ACC9A6F" w14:textId="77777777" w:rsidR="005802E9" w:rsidRDefault="005802E9" w:rsidP="00256264">
      <w:pPr>
        <w:pStyle w:val="Texto"/>
      </w:pPr>
    </w:p>
    <w:p w14:paraId="67425C87" w14:textId="7DD56386" w:rsidR="005802E9" w:rsidRDefault="00C60DB4" w:rsidP="00256264">
      <w:pPr>
        <w:pStyle w:val="Texto"/>
      </w:pPr>
      <w:r>
        <w:t>No que tange à categoria cargo ou função ocupado</w:t>
      </w:r>
      <w:r>
        <w:rPr>
          <w:vertAlign w:val="superscript"/>
        </w:rPr>
        <w:footnoteReference w:id="63"/>
      </w:r>
      <w:r>
        <w:t xml:space="preserve">, o grupo com maior percentual de respondentes foi o de servidores efetivos do TST ou do CSJT (81,5%). Entre estes, 82,1% se identificaram no gênero feminino. </w:t>
      </w:r>
      <w:r w:rsidR="005802E9">
        <w:t>O Gráfico</w:t>
      </w:r>
      <w:r>
        <w:t xml:space="preserve"> </w:t>
      </w:r>
      <w:r w:rsidR="006A22B9">
        <w:t>36</w:t>
      </w:r>
      <w:r>
        <w:t xml:space="preserve"> ilustra o percentual de mulheres e homens das categorias apresentadas no questionário. </w:t>
      </w:r>
      <w:bookmarkStart w:id="89" w:name="_odv24nmgegz6" w:colFirst="0" w:colLast="0"/>
      <w:bookmarkEnd w:id="89"/>
    </w:p>
    <w:p w14:paraId="17F42474" w14:textId="77777777" w:rsidR="005802E9" w:rsidRDefault="005802E9" w:rsidP="00256264">
      <w:pPr>
        <w:pStyle w:val="Texto"/>
      </w:pPr>
    </w:p>
    <w:p w14:paraId="1A2D2676" w14:textId="138A504A" w:rsidR="005802E9" w:rsidRDefault="005802E9" w:rsidP="00FB5A95">
      <w:pPr>
        <w:pStyle w:val="TtulodaIlustrao"/>
      </w:pPr>
      <w:bookmarkStart w:id="90" w:name="_Toc208508659"/>
      <w:r>
        <w:t xml:space="preserve">Gráfico </w:t>
      </w:r>
      <w:r w:rsidR="00120422">
        <w:t>36</w:t>
      </w:r>
      <w:r w:rsidRPr="00256264">
        <w:rPr>
          <w:b w:val="0"/>
        </w:rPr>
        <w:t xml:space="preserve"> - Percentuais de respondentes por gênero e cargo/função ocupado</w:t>
      </w:r>
      <w:bookmarkEnd w:id="90"/>
    </w:p>
    <w:p w14:paraId="1B114904" w14:textId="0D58630C" w:rsidR="00C60DB4" w:rsidRPr="00473659" w:rsidRDefault="00C60DB4" w:rsidP="00473659">
      <w:pPr>
        <w:jc w:val="center"/>
      </w:pPr>
      <w:r w:rsidRPr="00473659">
        <w:rPr>
          <w:noProof/>
        </w:rPr>
        <w:drawing>
          <wp:inline distT="114300" distB="114300" distL="114300" distR="114300" wp14:anchorId="000E7D39" wp14:editId="18D31184">
            <wp:extent cx="4135272" cy="2586251"/>
            <wp:effectExtent l="0" t="0" r="0" b="5080"/>
            <wp:docPr id="2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rotWithShape="1">
                    <a:blip r:embed="rId53"/>
                    <a:srcRect l="1293" t="1772" r="799" b="2278"/>
                    <a:stretch/>
                  </pic:blipFill>
                  <pic:spPr bwMode="auto">
                    <a:xfrm>
                      <a:off x="0" y="0"/>
                      <a:ext cx="4140084" cy="2589261"/>
                    </a:xfrm>
                    <a:prstGeom prst="rect">
                      <a:avLst/>
                    </a:prstGeom>
                    <a:ln>
                      <a:noFill/>
                    </a:ln>
                    <a:extLst>
                      <a:ext uri="{53640926-AAD7-44D8-BBD7-CCE9431645EC}">
                        <a14:shadowObscured xmlns:a14="http://schemas.microsoft.com/office/drawing/2010/main"/>
                      </a:ext>
                    </a:extLst>
                  </pic:spPr>
                </pic:pic>
              </a:graphicData>
            </a:graphic>
          </wp:inline>
        </w:drawing>
      </w:r>
    </w:p>
    <w:p w14:paraId="012AD228" w14:textId="68710C63" w:rsidR="00C60DB4" w:rsidRDefault="00C60DB4" w:rsidP="005802E9">
      <w:pPr>
        <w:pStyle w:val="Fonte"/>
      </w:pPr>
      <w:r>
        <w:t xml:space="preserve">Fonte: </w:t>
      </w:r>
      <w:r w:rsidRPr="005802E9">
        <w:rPr>
          <w:b w:val="0"/>
          <w:bCs/>
        </w:rPr>
        <w:t>Dados da Pesquisa de Percepção da Participação Feminina no TST e no CSJT, 2025. Compilação e elaboração: CPJUD/SEPJD/CPJED</w:t>
      </w:r>
      <w:r w:rsidR="005802E9">
        <w:rPr>
          <w:b w:val="0"/>
          <w:bCs/>
        </w:rPr>
        <w:t>.</w:t>
      </w:r>
    </w:p>
    <w:p w14:paraId="74B4411B" w14:textId="77777777" w:rsidR="005802E9" w:rsidRPr="00256264" w:rsidRDefault="005802E9" w:rsidP="00256264">
      <w:pPr>
        <w:pStyle w:val="Texto"/>
      </w:pPr>
    </w:p>
    <w:p w14:paraId="4F82480B" w14:textId="6D2EDD18" w:rsidR="00EE295F" w:rsidRPr="00256264" w:rsidRDefault="00C60DB4" w:rsidP="00256264">
      <w:pPr>
        <w:pStyle w:val="Texto"/>
      </w:pPr>
      <w:r w:rsidRPr="00256264">
        <w:t>A Tabela</w:t>
      </w:r>
      <w:r w:rsidR="006A22B9" w:rsidRPr="00256264">
        <w:t xml:space="preserve"> 11</w:t>
      </w:r>
      <w:r w:rsidRPr="00256264">
        <w:t xml:space="preserve"> apresenta a distribuição de todos os que responderam à pesquisa por tempo de trabalho no TST e/ou no CSJT. Observa-se maior concentração na faixa de 10 a 15 anos de serviço (19,5%, 59 respondentes), seguida pela faixa de mais de 20 anos (16,5%, 50 respondentes) e de 4 a 10 anos (14,5%, 44 respondentes). As demais faixas de tempo de serviço apresentam percentuais menores e mais próximos, variando entre 10,9% e 14,2%.</w:t>
      </w:r>
      <w:bookmarkStart w:id="91" w:name="_bnbw70ysaug2" w:colFirst="0" w:colLast="0"/>
      <w:bookmarkEnd w:id="91"/>
    </w:p>
    <w:p w14:paraId="4DC48192" w14:textId="77777777" w:rsidR="00EE295F" w:rsidRDefault="00EE295F" w:rsidP="00256264">
      <w:pPr>
        <w:pStyle w:val="Texto"/>
      </w:pPr>
    </w:p>
    <w:p w14:paraId="7453A534" w14:textId="47F5BB32" w:rsidR="00256264" w:rsidRDefault="00256264">
      <w:pPr>
        <w:rPr>
          <w:rFonts w:asciiTheme="minorHAnsi" w:hAnsiTheme="minorHAnsi" w:cstheme="minorHAnsi"/>
          <w:noProof/>
        </w:rPr>
      </w:pPr>
      <w:r>
        <w:br w:type="page"/>
      </w:r>
    </w:p>
    <w:p w14:paraId="32F1F2C3" w14:textId="25598D41" w:rsidR="005802E9" w:rsidRDefault="005802E9" w:rsidP="00FB5A95">
      <w:pPr>
        <w:pStyle w:val="TtulodaTabela"/>
      </w:pPr>
      <w:bookmarkStart w:id="92" w:name="_Toc204871488"/>
      <w:bookmarkStart w:id="93" w:name="_Toc208510782"/>
      <w:r>
        <w:lastRenderedPageBreak/>
        <w:t xml:space="preserve">Tabela </w:t>
      </w:r>
      <w:r>
        <w:fldChar w:fldCharType="begin"/>
      </w:r>
      <w:r>
        <w:instrText xml:space="preserve"> SEQ Tabela \* ARABIC </w:instrText>
      </w:r>
      <w:r>
        <w:fldChar w:fldCharType="separate"/>
      </w:r>
      <w:r w:rsidR="00D85D1E">
        <w:t>11</w:t>
      </w:r>
      <w:r>
        <w:fldChar w:fldCharType="end"/>
      </w:r>
      <w:r w:rsidRPr="00256264">
        <w:rPr>
          <w:b w:val="0"/>
        </w:rPr>
        <w:t xml:space="preserve"> - Distribuição por Tempo de Trabalho no TST/CSJT</w:t>
      </w:r>
      <w:bookmarkEnd w:id="92"/>
      <w:bookmarkEnd w:id="93"/>
    </w:p>
    <w:tbl>
      <w:tblPr>
        <w:tblW w:w="6930" w:type="dxa"/>
        <w:jc w:val="center"/>
        <w:tblBorders>
          <w:top w:val="single" w:sz="6" w:space="0" w:color="CCCCCC"/>
          <w:bottom w:val="single" w:sz="6" w:space="0" w:color="CCCCCC"/>
          <w:insideH w:val="single" w:sz="6" w:space="0" w:color="CCCCCC"/>
          <w:insideV w:val="single" w:sz="6" w:space="0" w:color="CCCCCC"/>
        </w:tblBorders>
        <w:tblLayout w:type="fixed"/>
        <w:tblLook w:val="0600" w:firstRow="0" w:lastRow="0" w:firstColumn="0" w:lastColumn="0" w:noHBand="1" w:noVBand="1"/>
      </w:tblPr>
      <w:tblGrid>
        <w:gridCol w:w="2640"/>
        <w:gridCol w:w="1710"/>
        <w:gridCol w:w="2580"/>
      </w:tblGrid>
      <w:tr w:rsidR="00C60DB4" w14:paraId="361317FA" w14:textId="77777777" w:rsidTr="00256264">
        <w:trPr>
          <w:trHeight w:val="454"/>
          <w:jc w:val="center"/>
        </w:trPr>
        <w:tc>
          <w:tcPr>
            <w:tcW w:w="2640" w:type="dxa"/>
            <w:shd w:val="clear" w:color="auto" w:fill="BFBFBF" w:themeFill="background1" w:themeFillShade="BF"/>
            <w:tcMar>
              <w:top w:w="0" w:type="dxa"/>
              <w:left w:w="40" w:type="dxa"/>
              <w:bottom w:w="0" w:type="dxa"/>
              <w:right w:w="40" w:type="dxa"/>
            </w:tcMar>
            <w:vAlign w:val="center"/>
          </w:tcPr>
          <w:p w14:paraId="09144153"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b/>
                <w:sz w:val="22"/>
                <w:szCs w:val="22"/>
              </w:rPr>
              <w:t>Tempo de trabalho no TST e/ou no CSJT</w:t>
            </w:r>
          </w:p>
        </w:tc>
        <w:tc>
          <w:tcPr>
            <w:tcW w:w="1710" w:type="dxa"/>
            <w:shd w:val="clear" w:color="auto" w:fill="BFBFBF" w:themeFill="background1" w:themeFillShade="BF"/>
            <w:tcMar>
              <w:top w:w="0" w:type="dxa"/>
              <w:left w:w="40" w:type="dxa"/>
              <w:bottom w:w="0" w:type="dxa"/>
              <w:right w:w="40" w:type="dxa"/>
            </w:tcMar>
            <w:vAlign w:val="center"/>
          </w:tcPr>
          <w:p w14:paraId="691AC652"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b/>
                <w:sz w:val="22"/>
                <w:szCs w:val="22"/>
              </w:rPr>
              <w:t>Frequência absoluta</w:t>
            </w:r>
          </w:p>
        </w:tc>
        <w:tc>
          <w:tcPr>
            <w:tcW w:w="2580" w:type="dxa"/>
            <w:shd w:val="clear" w:color="auto" w:fill="BFBFBF" w:themeFill="background1" w:themeFillShade="BF"/>
            <w:tcMar>
              <w:top w:w="0" w:type="dxa"/>
              <w:left w:w="40" w:type="dxa"/>
              <w:bottom w:w="0" w:type="dxa"/>
              <w:right w:w="40" w:type="dxa"/>
            </w:tcMar>
            <w:vAlign w:val="center"/>
          </w:tcPr>
          <w:p w14:paraId="43372855"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b/>
                <w:sz w:val="22"/>
                <w:szCs w:val="22"/>
              </w:rPr>
              <w:t>Frequência relativa</w:t>
            </w:r>
          </w:p>
        </w:tc>
      </w:tr>
      <w:tr w:rsidR="00C60DB4" w14:paraId="15C0B3B6" w14:textId="77777777" w:rsidTr="00256264">
        <w:trPr>
          <w:trHeight w:val="454"/>
          <w:jc w:val="center"/>
        </w:trPr>
        <w:tc>
          <w:tcPr>
            <w:tcW w:w="2640" w:type="dxa"/>
            <w:tcMar>
              <w:top w:w="0" w:type="dxa"/>
              <w:left w:w="40" w:type="dxa"/>
              <w:bottom w:w="0" w:type="dxa"/>
              <w:right w:w="40" w:type="dxa"/>
            </w:tcMar>
            <w:vAlign w:val="center"/>
          </w:tcPr>
          <w:p w14:paraId="158B9628"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Até 1 ano</w:t>
            </w:r>
          </w:p>
        </w:tc>
        <w:tc>
          <w:tcPr>
            <w:tcW w:w="1710" w:type="dxa"/>
            <w:tcMar>
              <w:top w:w="0" w:type="dxa"/>
              <w:left w:w="40" w:type="dxa"/>
              <w:bottom w:w="0" w:type="dxa"/>
              <w:right w:w="40" w:type="dxa"/>
            </w:tcMar>
            <w:vAlign w:val="center"/>
          </w:tcPr>
          <w:p w14:paraId="270C492F"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34</w:t>
            </w:r>
          </w:p>
        </w:tc>
        <w:tc>
          <w:tcPr>
            <w:tcW w:w="2580" w:type="dxa"/>
            <w:tcMar>
              <w:top w:w="0" w:type="dxa"/>
              <w:left w:w="40" w:type="dxa"/>
              <w:bottom w:w="0" w:type="dxa"/>
              <w:right w:w="40" w:type="dxa"/>
            </w:tcMar>
            <w:vAlign w:val="center"/>
          </w:tcPr>
          <w:p w14:paraId="1D6062F3"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11,2%</w:t>
            </w:r>
          </w:p>
        </w:tc>
      </w:tr>
      <w:tr w:rsidR="00C60DB4" w14:paraId="774B8C56" w14:textId="77777777" w:rsidTr="00256264">
        <w:trPr>
          <w:trHeight w:val="454"/>
          <w:jc w:val="center"/>
        </w:trPr>
        <w:tc>
          <w:tcPr>
            <w:tcW w:w="2640" w:type="dxa"/>
            <w:tcMar>
              <w:top w:w="0" w:type="dxa"/>
              <w:left w:w="40" w:type="dxa"/>
              <w:bottom w:w="0" w:type="dxa"/>
              <w:right w:w="40" w:type="dxa"/>
            </w:tcMar>
            <w:vAlign w:val="center"/>
          </w:tcPr>
          <w:p w14:paraId="1CBAFFC5"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Entre 1 e 2 anos</w:t>
            </w:r>
          </w:p>
        </w:tc>
        <w:tc>
          <w:tcPr>
            <w:tcW w:w="1710" w:type="dxa"/>
            <w:tcMar>
              <w:top w:w="0" w:type="dxa"/>
              <w:left w:w="40" w:type="dxa"/>
              <w:bottom w:w="0" w:type="dxa"/>
              <w:right w:w="40" w:type="dxa"/>
            </w:tcMar>
            <w:vAlign w:val="center"/>
          </w:tcPr>
          <w:p w14:paraId="4CF2FA50"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40</w:t>
            </w:r>
          </w:p>
        </w:tc>
        <w:tc>
          <w:tcPr>
            <w:tcW w:w="2580" w:type="dxa"/>
            <w:tcMar>
              <w:top w:w="0" w:type="dxa"/>
              <w:left w:w="40" w:type="dxa"/>
              <w:bottom w:w="0" w:type="dxa"/>
              <w:right w:w="40" w:type="dxa"/>
            </w:tcMar>
            <w:vAlign w:val="center"/>
          </w:tcPr>
          <w:p w14:paraId="2079AF6C"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13,2%</w:t>
            </w:r>
          </w:p>
        </w:tc>
      </w:tr>
      <w:tr w:rsidR="00C60DB4" w14:paraId="54C9B3B8" w14:textId="77777777" w:rsidTr="00256264">
        <w:trPr>
          <w:trHeight w:val="454"/>
          <w:jc w:val="center"/>
        </w:trPr>
        <w:tc>
          <w:tcPr>
            <w:tcW w:w="2640" w:type="dxa"/>
            <w:tcMar>
              <w:top w:w="0" w:type="dxa"/>
              <w:left w:w="40" w:type="dxa"/>
              <w:bottom w:w="0" w:type="dxa"/>
              <w:right w:w="40" w:type="dxa"/>
            </w:tcMar>
            <w:vAlign w:val="center"/>
          </w:tcPr>
          <w:p w14:paraId="2853B1BC"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Entre 2 e 4 anos</w:t>
            </w:r>
          </w:p>
        </w:tc>
        <w:tc>
          <w:tcPr>
            <w:tcW w:w="1710" w:type="dxa"/>
            <w:tcMar>
              <w:top w:w="0" w:type="dxa"/>
              <w:left w:w="40" w:type="dxa"/>
              <w:bottom w:w="0" w:type="dxa"/>
              <w:right w:w="40" w:type="dxa"/>
            </w:tcMar>
            <w:vAlign w:val="center"/>
          </w:tcPr>
          <w:p w14:paraId="2DD641C1"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33</w:t>
            </w:r>
          </w:p>
        </w:tc>
        <w:tc>
          <w:tcPr>
            <w:tcW w:w="2580" w:type="dxa"/>
            <w:tcMar>
              <w:top w:w="0" w:type="dxa"/>
              <w:left w:w="40" w:type="dxa"/>
              <w:bottom w:w="0" w:type="dxa"/>
              <w:right w:w="40" w:type="dxa"/>
            </w:tcMar>
            <w:vAlign w:val="center"/>
          </w:tcPr>
          <w:p w14:paraId="0FA55565"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10,9%</w:t>
            </w:r>
          </w:p>
        </w:tc>
      </w:tr>
      <w:tr w:rsidR="00C60DB4" w14:paraId="53AE72D4" w14:textId="77777777" w:rsidTr="00256264">
        <w:trPr>
          <w:trHeight w:val="454"/>
          <w:jc w:val="center"/>
        </w:trPr>
        <w:tc>
          <w:tcPr>
            <w:tcW w:w="2640" w:type="dxa"/>
            <w:tcMar>
              <w:top w:w="0" w:type="dxa"/>
              <w:left w:w="40" w:type="dxa"/>
              <w:bottom w:w="0" w:type="dxa"/>
              <w:right w:w="40" w:type="dxa"/>
            </w:tcMar>
            <w:vAlign w:val="center"/>
          </w:tcPr>
          <w:p w14:paraId="5900843E"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Entre 4 e 10 anos</w:t>
            </w:r>
          </w:p>
        </w:tc>
        <w:tc>
          <w:tcPr>
            <w:tcW w:w="1710" w:type="dxa"/>
            <w:tcMar>
              <w:top w:w="0" w:type="dxa"/>
              <w:left w:w="40" w:type="dxa"/>
              <w:bottom w:w="0" w:type="dxa"/>
              <w:right w:w="40" w:type="dxa"/>
            </w:tcMar>
            <w:vAlign w:val="center"/>
          </w:tcPr>
          <w:p w14:paraId="03DE15AB"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44</w:t>
            </w:r>
          </w:p>
        </w:tc>
        <w:tc>
          <w:tcPr>
            <w:tcW w:w="2580" w:type="dxa"/>
            <w:tcMar>
              <w:top w:w="0" w:type="dxa"/>
              <w:left w:w="40" w:type="dxa"/>
              <w:bottom w:w="0" w:type="dxa"/>
              <w:right w:w="40" w:type="dxa"/>
            </w:tcMar>
            <w:vAlign w:val="center"/>
          </w:tcPr>
          <w:p w14:paraId="79F1FE1C"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14,5%</w:t>
            </w:r>
          </w:p>
        </w:tc>
      </w:tr>
      <w:tr w:rsidR="00C60DB4" w14:paraId="790143F7" w14:textId="77777777" w:rsidTr="00256264">
        <w:trPr>
          <w:trHeight w:val="454"/>
          <w:jc w:val="center"/>
        </w:trPr>
        <w:tc>
          <w:tcPr>
            <w:tcW w:w="2640" w:type="dxa"/>
            <w:tcMar>
              <w:top w:w="0" w:type="dxa"/>
              <w:left w:w="40" w:type="dxa"/>
              <w:bottom w:w="0" w:type="dxa"/>
              <w:right w:w="40" w:type="dxa"/>
            </w:tcMar>
            <w:vAlign w:val="center"/>
          </w:tcPr>
          <w:p w14:paraId="66781631"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Entre 10 e 15 anos</w:t>
            </w:r>
          </w:p>
        </w:tc>
        <w:tc>
          <w:tcPr>
            <w:tcW w:w="1710" w:type="dxa"/>
            <w:tcMar>
              <w:top w:w="0" w:type="dxa"/>
              <w:left w:w="40" w:type="dxa"/>
              <w:bottom w:w="0" w:type="dxa"/>
              <w:right w:w="40" w:type="dxa"/>
            </w:tcMar>
            <w:vAlign w:val="center"/>
          </w:tcPr>
          <w:p w14:paraId="27F83436"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59</w:t>
            </w:r>
          </w:p>
        </w:tc>
        <w:tc>
          <w:tcPr>
            <w:tcW w:w="2580" w:type="dxa"/>
            <w:tcMar>
              <w:top w:w="0" w:type="dxa"/>
              <w:left w:w="40" w:type="dxa"/>
              <w:bottom w:w="0" w:type="dxa"/>
              <w:right w:w="40" w:type="dxa"/>
            </w:tcMar>
            <w:vAlign w:val="center"/>
          </w:tcPr>
          <w:p w14:paraId="77F7D05C"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19,5%</w:t>
            </w:r>
          </w:p>
        </w:tc>
      </w:tr>
      <w:tr w:rsidR="00C60DB4" w14:paraId="72C9C2FA" w14:textId="77777777" w:rsidTr="00256264">
        <w:trPr>
          <w:trHeight w:val="454"/>
          <w:jc w:val="center"/>
        </w:trPr>
        <w:tc>
          <w:tcPr>
            <w:tcW w:w="2640" w:type="dxa"/>
            <w:tcMar>
              <w:top w:w="0" w:type="dxa"/>
              <w:left w:w="40" w:type="dxa"/>
              <w:bottom w:w="0" w:type="dxa"/>
              <w:right w:w="40" w:type="dxa"/>
            </w:tcMar>
            <w:vAlign w:val="center"/>
          </w:tcPr>
          <w:p w14:paraId="40996652"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Entre 15 e 20 anos</w:t>
            </w:r>
          </w:p>
        </w:tc>
        <w:tc>
          <w:tcPr>
            <w:tcW w:w="1710" w:type="dxa"/>
            <w:tcMar>
              <w:top w:w="0" w:type="dxa"/>
              <w:left w:w="40" w:type="dxa"/>
              <w:bottom w:w="0" w:type="dxa"/>
              <w:right w:w="40" w:type="dxa"/>
            </w:tcMar>
            <w:vAlign w:val="center"/>
          </w:tcPr>
          <w:p w14:paraId="57F740EA"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43</w:t>
            </w:r>
          </w:p>
        </w:tc>
        <w:tc>
          <w:tcPr>
            <w:tcW w:w="2580" w:type="dxa"/>
            <w:tcMar>
              <w:top w:w="0" w:type="dxa"/>
              <w:left w:w="40" w:type="dxa"/>
              <w:bottom w:w="0" w:type="dxa"/>
              <w:right w:w="40" w:type="dxa"/>
            </w:tcMar>
            <w:vAlign w:val="center"/>
          </w:tcPr>
          <w:p w14:paraId="438224C7"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14,2%</w:t>
            </w:r>
          </w:p>
        </w:tc>
      </w:tr>
      <w:tr w:rsidR="00C60DB4" w14:paraId="4477D07A" w14:textId="77777777" w:rsidTr="00256264">
        <w:trPr>
          <w:trHeight w:val="454"/>
          <w:jc w:val="center"/>
        </w:trPr>
        <w:tc>
          <w:tcPr>
            <w:tcW w:w="2640" w:type="dxa"/>
            <w:tcMar>
              <w:top w:w="0" w:type="dxa"/>
              <w:left w:w="40" w:type="dxa"/>
              <w:bottom w:w="0" w:type="dxa"/>
              <w:right w:w="40" w:type="dxa"/>
            </w:tcMar>
            <w:vAlign w:val="center"/>
          </w:tcPr>
          <w:p w14:paraId="4149E51C"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Há mais de 20 anos</w:t>
            </w:r>
          </w:p>
        </w:tc>
        <w:tc>
          <w:tcPr>
            <w:tcW w:w="1710" w:type="dxa"/>
            <w:tcMar>
              <w:top w:w="0" w:type="dxa"/>
              <w:left w:w="40" w:type="dxa"/>
              <w:bottom w:w="0" w:type="dxa"/>
              <w:right w:w="40" w:type="dxa"/>
            </w:tcMar>
            <w:vAlign w:val="center"/>
          </w:tcPr>
          <w:p w14:paraId="4AE7396A"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50</w:t>
            </w:r>
          </w:p>
        </w:tc>
        <w:tc>
          <w:tcPr>
            <w:tcW w:w="2580" w:type="dxa"/>
            <w:tcMar>
              <w:top w:w="0" w:type="dxa"/>
              <w:left w:w="40" w:type="dxa"/>
              <w:bottom w:w="0" w:type="dxa"/>
              <w:right w:w="40" w:type="dxa"/>
            </w:tcMar>
            <w:vAlign w:val="center"/>
          </w:tcPr>
          <w:p w14:paraId="239273F9" w14:textId="77777777" w:rsidR="00C60DB4" w:rsidRPr="00C752A7" w:rsidRDefault="00C60DB4" w:rsidP="00473659">
            <w:pPr>
              <w:widowControl w:val="0"/>
              <w:jc w:val="center"/>
              <w:rPr>
                <w:rFonts w:asciiTheme="minorHAnsi" w:hAnsiTheme="minorHAnsi" w:cstheme="minorHAnsi"/>
                <w:sz w:val="22"/>
                <w:szCs w:val="22"/>
              </w:rPr>
            </w:pPr>
            <w:r w:rsidRPr="00C752A7">
              <w:rPr>
                <w:rFonts w:asciiTheme="minorHAnsi" w:hAnsiTheme="minorHAnsi" w:cstheme="minorHAnsi"/>
                <w:sz w:val="22"/>
                <w:szCs w:val="22"/>
              </w:rPr>
              <w:t>16,5%</w:t>
            </w:r>
          </w:p>
        </w:tc>
      </w:tr>
      <w:tr w:rsidR="00C60DB4" w14:paraId="60A56646" w14:textId="77777777" w:rsidTr="00256264">
        <w:trPr>
          <w:trHeight w:val="454"/>
          <w:jc w:val="center"/>
        </w:trPr>
        <w:tc>
          <w:tcPr>
            <w:tcW w:w="2640" w:type="dxa"/>
            <w:shd w:val="clear" w:color="auto" w:fill="BFBFBF" w:themeFill="background1" w:themeFillShade="BF"/>
            <w:tcMar>
              <w:top w:w="0" w:type="dxa"/>
              <w:left w:w="40" w:type="dxa"/>
              <w:bottom w:w="0" w:type="dxa"/>
              <w:right w:w="40" w:type="dxa"/>
            </w:tcMar>
            <w:vAlign w:val="center"/>
          </w:tcPr>
          <w:p w14:paraId="4385BAED" w14:textId="77777777" w:rsidR="00C60DB4" w:rsidRPr="00C752A7" w:rsidRDefault="00C60DB4" w:rsidP="00473659">
            <w:pPr>
              <w:widowControl w:val="0"/>
              <w:jc w:val="center"/>
              <w:rPr>
                <w:rFonts w:asciiTheme="minorHAnsi" w:hAnsiTheme="minorHAnsi" w:cstheme="minorHAnsi"/>
                <w:b/>
                <w:sz w:val="22"/>
                <w:szCs w:val="22"/>
              </w:rPr>
            </w:pPr>
            <w:r w:rsidRPr="00C752A7">
              <w:rPr>
                <w:rFonts w:asciiTheme="minorHAnsi" w:hAnsiTheme="minorHAnsi" w:cstheme="minorHAnsi"/>
                <w:b/>
                <w:sz w:val="22"/>
                <w:szCs w:val="22"/>
              </w:rPr>
              <w:t>Total</w:t>
            </w:r>
          </w:p>
        </w:tc>
        <w:tc>
          <w:tcPr>
            <w:tcW w:w="1710" w:type="dxa"/>
            <w:shd w:val="clear" w:color="auto" w:fill="BFBFBF" w:themeFill="background1" w:themeFillShade="BF"/>
            <w:tcMar>
              <w:top w:w="0" w:type="dxa"/>
              <w:left w:w="40" w:type="dxa"/>
              <w:bottom w:w="0" w:type="dxa"/>
              <w:right w:w="40" w:type="dxa"/>
            </w:tcMar>
            <w:vAlign w:val="center"/>
          </w:tcPr>
          <w:p w14:paraId="7C60F16F" w14:textId="77777777" w:rsidR="00C60DB4" w:rsidRPr="00C752A7" w:rsidRDefault="00C60DB4" w:rsidP="00473659">
            <w:pPr>
              <w:widowControl w:val="0"/>
              <w:jc w:val="center"/>
              <w:rPr>
                <w:rFonts w:asciiTheme="minorHAnsi" w:hAnsiTheme="minorHAnsi" w:cstheme="minorHAnsi"/>
                <w:b/>
                <w:sz w:val="22"/>
                <w:szCs w:val="22"/>
              </w:rPr>
            </w:pPr>
            <w:r w:rsidRPr="00C752A7">
              <w:rPr>
                <w:rFonts w:asciiTheme="minorHAnsi" w:hAnsiTheme="minorHAnsi" w:cstheme="minorHAnsi"/>
                <w:b/>
                <w:sz w:val="22"/>
                <w:szCs w:val="22"/>
              </w:rPr>
              <w:t>303</w:t>
            </w:r>
          </w:p>
        </w:tc>
        <w:tc>
          <w:tcPr>
            <w:tcW w:w="2580" w:type="dxa"/>
            <w:shd w:val="clear" w:color="auto" w:fill="BFBFBF" w:themeFill="background1" w:themeFillShade="BF"/>
            <w:tcMar>
              <w:top w:w="0" w:type="dxa"/>
              <w:left w:w="40" w:type="dxa"/>
              <w:bottom w:w="0" w:type="dxa"/>
              <w:right w:w="40" w:type="dxa"/>
            </w:tcMar>
            <w:vAlign w:val="center"/>
          </w:tcPr>
          <w:p w14:paraId="2E1B1946" w14:textId="77777777" w:rsidR="00C60DB4" w:rsidRPr="00C752A7" w:rsidRDefault="00C60DB4" w:rsidP="00473659">
            <w:pPr>
              <w:widowControl w:val="0"/>
              <w:jc w:val="center"/>
              <w:rPr>
                <w:rFonts w:asciiTheme="minorHAnsi" w:hAnsiTheme="minorHAnsi" w:cstheme="minorHAnsi"/>
                <w:b/>
                <w:sz w:val="22"/>
                <w:szCs w:val="22"/>
              </w:rPr>
            </w:pPr>
            <w:r w:rsidRPr="00C752A7">
              <w:rPr>
                <w:rFonts w:asciiTheme="minorHAnsi" w:hAnsiTheme="minorHAnsi" w:cstheme="minorHAnsi"/>
                <w:b/>
                <w:sz w:val="22"/>
                <w:szCs w:val="22"/>
              </w:rPr>
              <w:t>100,0%</w:t>
            </w:r>
          </w:p>
        </w:tc>
      </w:tr>
    </w:tbl>
    <w:p w14:paraId="1FE7723E" w14:textId="328A4F29" w:rsidR="00C60DB4" w:rsidRPr="005802E9" w:rsidRDefault="005802E9" w:rsidP="005802E9">
      <w:pPr>
        <w:pStyle w:val="Fonte"/>
      </w:pPr>
      <w:r>
        <w:t xml:space="preserve">Fonte: </w:t>
      </w:r>
      <w:r w:rsidRPr="005802E9">
        <w:rPr>
          <w:b w:val="0"/>
          <w:bCs/>
        </w:rPr>
        <w:t>Dados da Pesquisa de Percepção da Participação Feminina no TST e no CSJT, 2025. Compilação e elaboração: CPJUD/SEPJD/CPJED</w:t>
      </w:r>
      <w:r>
        <w:rPr>
          <w:b w:val="0"/>
          <w:bCs/>
        </w:rPr>
        <w:t>.</w:t>
      </w:r>
    </w:p>
    <w:p w14:paraId="6440DCE6" w14:textId="77777777" w:rsidR="00256264" w:rsidRDefault="00256264" w:rsidP="00256264">
      <w:pPr>
        <w:pStyle w:val="Texto"/>
      </w:pPr>
      <w:bookmarkStart w:id="94" w:name="_7vy6lmqo5zwy" w:colFirst="0" w:colLast="0"/>
      <w:bookmarkStart w:id="95" w:name="_apikllo8740s" w:colFirst="0" w:colLast="0"/>
      <w:bookmarkStart w:id="96" w:name="_9czoqj978lkk" w:colFirst="0" w:colLast="0"/>
      <w:bookmarkEnd w:id="94"/>
      <w:bookmarkEnd w:id="95"/>
      <w:bookmarkEnd w:id="96"/>
    </w:p>
    <w:p w14:paraId="4806FBC8" w14:textId="6D4F1B16" w:rsidR="00C60DB4" w:rsidRDefault="00C60DB4" w:rsidP="00256264">
      <w:pPr>
        <w:pStyle w:val="Texto"/>
      </w:pPr>
      <w:r>
        <w:t>N</w:t>
      </w:r>
      <w:r w:rsidR="005802E9">
        <w:t xml:space="preserve">o Gráfico </w:t>
      </w:r>
      <w:r w:rsidR="006A22B9">
        <w:t>37</w:t>
      </w:r>
      <w:r>
        <w:t>, verifica-se que, enquanto as respondentes mulheres se concentraram nas faixas de tempo de trabalho no TST/CSJT entre 10 e 15 anos (18,9%) e entre 4 e 10 anos (16%), os respondentes homens registraram maiores percentuais nos grupos entre 10 e 15 anos e há mais de 20 anos.</w:t>
      </w:r>
    </w:p>
    <w:p w14:paraId="4EF5F79B" w14:textId="2CCB4E34" w:rsidR="00C60DB4" w:rsidRPr="00473659" w:rsidRDefault="00C60DB4" w:rsidP="00256264">
      <w:pPr>
        <w:pStyle w:val="Texto"/>
      </w:pPr>
      <w:bookmarkStart w:id="97" w:name="_9mmoxfs2ofqi" w:colFirst="0" w:colLast="0"/>
      <w:bookmarkEnd w:id="97"/>
    </w:p>
    <w:p w14:paraId="59704B19" w14:textId="208BDFC7" w:rsidR="00F734F9" w:rsidRDefault="00F734F9" w:rsidP="00FB5A95">
      <w:pPr>
        <w:pStyle w:val="TtulodaIlustrao"/>
      </w:pPr>
      <w:bookmarkStart w:id="98" w:name="_5ja178bteviq" w:colFirst="0" w:colLast="0"/>
      <w:bookmarkStart w:id="99" w:name="_Toc208508660"/>
      <w:bookmarkEnd w:id="98"/>
      <w:r>
        <w:t xml:space="preserve">Gráfico </w:t>
      </w:r>
      <w:r w:rsidR="00120422">
        <w:t>3</w:t>
      </w:r>
      <w:r w:rsidR="001904A0">
        <w:t>7</w:t>
      </w:r>
      <w:r w:rsidRPr="00256264">
        <w:rPr>
          <w:b w:val="0"/>
        </w:rPr>
        <w:t xml:space="preserve"> - Percentuais de respondentes por gênero e tempo de trabalho no TST e/ou no CSJT</w:t>
      </w:r>
      <w:bookmarkEnd w:id="99"/>
    </w:p>
    <w:p w14:paraId="4D28C7E1" w14:textId="77777777" w:rsidR="00C60DB4" w:rsidRPr="008620CB" w:rsidRDefault="00C60DB4" w:rsidP="008620CB">
      <w:pPr>
        <w:jc w:val="center"/>
      </w:pPr>
      <w:r w:rsidRPr="008620CB">
        <w:rPr>
          <w:noProof/>
        </w:rPr>
        <w:drawing>
          <wp:inline distT="114300" distB="114300" distL="114300" distR="114300" wp14:anchorId="1943EC47" wp14:editId="3C30FB55">
            <wp:extent cx="4633415" cy="2886501"/>
            <wp:effectExtent l="0" t="0" r="0" b="9525"/>
            <wp:docPr id="4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rotWithShape="1">
                    <a:blip r:embed="rId54"/>
                    <a:srcRect l="722" t="1379" r="1089" b="1379"/>
                    <a:stretch/>
                  </pic:blipFill>
                  <pic:spPr bwMode="auto">
                    <a:xfrm>
                      <a:off x="0" y="0"/>
                      <a:ext cx="4639336" cy="2890190"/>
                    </a:xfrm>
                    <a:prstGeom prst="rect">
                      <a:avLst/>
                    </a:prstGeom>
                    <a:ln>
                      <a:noFill/>
                    </a:ln>
                    <a:extLst>
                      <a:ext uri="{53640926-AAD7-44D8-BBD7-CCE9431645EC}">
                        <a14:shadowObscured xmlns:a14="http://schemas.microsoft.com/office/drawing/2010/main"/>
                      </a:ext>
                    </a:extLst>
                  </pic:spPr>
                </pic:pic>
              </a:graphicData>
            </a:graphic>
          </wp:inline>
        </w:drawing>
      </w:r>
    </w:p>
    <w:p w14:paraId="7E3693AC" w14:textId="584EBCFE" w:rsidR="00C60DB4" w:rsidRDefault="00C60DB4" w:rsidP="000B3646">
      <w:pPr>
        <w:pStyle w:val="Fonte"/>
        <w:rPr>
          <w:b w:val="0"/>
          <w:bCs/>
        </w:rPr>
      </w:pPr>
      <w:r>
        <w:t xml:space="preserve">Fonte: </w:t>
      </w:r>
      <w:r w:rsidRPr="00F734F9">
        <w:rPr>
          <w:b w:val="0"/>
          <w:bCs/>
        </w:rPr>
        <w:t>Dados da Pesquisa de Percepção da Participação Feminina no TST e no CSJT, 2025. Compilação e elaboração: CPJUD/SEPJD/CPJED</w:t>
      </w:r>
      <w:r w:rsidR="00F734F9" w:rsidRPr="00F734F9">
        <w:rPr>
          <w:b w:val="0"/>
          <w:bCs/>
        </w:rPr>
        <w:t>.</w:t>
      </w:r>
    </w:p>
    <w:p w14:paraId="23E56A9D" w14:textId="77777777" w:rsidR="00EE295F" w:rsidRDefault="00EE295F" w:rsidP="00E25657">
      <w:pPr>
        <w:pStyle w:val="Texto"/>
      </w:pPr>
    </w:p>
    <w:p w14:paraId="0ECC1BEF" w14:textId="19FBE689" w:rsidR="00C60DB4" w:rsidRDefault="00C60DB4" w:rsidP="00E25657">
      <w:pPr>
        <w:pStyle w:val="Texto"/>
      </w:pPr>
      <w:r>
        <w:lastRenderedPageBreak/>
        <w:t>Por último, no que diz respeito aos dados da pesquisa sobre pessoas com deficiência, constata-se que 283 participantes (93,4% do total) declararam não possuir deficiência. Nenhum respondente do gênero masculino declarou possuir deficiência e 4 (1,3%) preferiram não informar</w:t>
      </w:r>
      <w:r>
        <w:rPr>
          <w:vertAlign w:val="superscript"/>
        </w:rPr>
        <w:footnoteReference w:id="64"/>
      </w:r>
      <w:r>
        <w:t>. Dos 16 respondentes com deficiência (5,3%), 15 são mulheres e 1 preferiu não informar o gênero.</w:t>
      </w:r>
      <w:r w:rsidR="000B3646">
        <w:t xml:space="preserve"> </w:t>
      </w:r>
      <w:r>
        <w:t xml:space="preserve">A deficiência física foi a mais relatada, seguida da visual, conforme é possível verificar na Tabela </w:t>
      </w:r>
      <w:r w:rsidR="006A22B9">
        <w:t>12</w:t>
      </w:r>
      <w:r>
        <w:t xml:space="preserve">. </w:t>
      </w:r>
    </w:p>
    <w:p w14:paraId="1083E466" w14:textId="2FE811E2" w:rsidR="000B3646" w:rsidRPr="00473659" w:rsidRDefault="000B3646" w:rsidP="00E25657">
      <w:pPr>
        <w:pStyle w:val="Texto"/>
      </w:pPr>
      <w:bookmarkStart w:id="100" w:name="_kl9fzyxbitzp" w:colFirst="0" w:colLast="0"/>
      <w:bookmarkEnd w:id="100"/>
    </w:p>
    <w:p w14:paraId="5145124F" w14:textId="180670A2" w:rsidR="000B3646" w:rsidRDefault="000B3646" w:rsidP="00FB5A95">
      <w:pPr>
        <w:pStyle w:val="TtulodaTabela"/>
      </w:pPr>
      <w:bookmarkStart w:id="101" w:name="_Toc204871489"/>
      <w:bookmarkStart w:id="102" w:name="_Toc208510783"/>
      <w:r>
        <w:t xml:space="preserve">Tabela </w:t>
      </w:r>
      <w:r>
        <w:fldChar w:fldCharType="begin"/>
      </w:r>
      <w:r>
        <w:instrText xml:space="preserve"> SEQ Tabela \* ARABIC </w:instrText>
      </w:r>
      <w:r>
        <w:fldChar w:fldCharType="separate"/>
      </w:r>
      <w:r w:rsidR="00D85D1E">
        <w:t>12</w:t>
      </w:r>
      <w:r>
        <w:fldChar w:fldCharType="end"/>
      </w:r>
      <w:r w:rsidRPr="00E25657">
        <w:rPr>
          <w:b w:val="0"/>
        </w:rPr>
        <w:t xml:space="preserve"> - Número de respondentes por tipo de deficiência</w:t>
      </w:r>
      <w:r w:rsidRPr="00E25657">
        <w:rPr>
          <w:rStyle w:val="Refdenotaderodap"/>
          <w:b w:val="0"/>
        </w:rPr>
        <w:footnoteReference w:id="65"/>
      </w:r>
      <w:bookmarkEnd w:id="101"/>
      <w:bookmarkEnd w:id="102"/>
    </w:p>
    <w:tbl>
      <w:tblPr>
        <w:tblW w:w="5153" w:type="dxa"/>
        <w:jc w:val="center"/>
        <w:tblBorders>
          <w:top w:val="single" w:sz="6" w:space="0" w:color="CCCCCC"/>
          <w:bottom w:val="single" w:sz="6" w:space="0" w:color="CCCCCC"/>
          <w:insideH w:val="single" w:sz="6" w:space="0" w:color="CCCCCC"/>
          <w:insideV w:val="single" w:sz="6" w:space="0" w:color="CCCCCC"/>
        </w:tblBorders>
        <w:tblLayout w:type="fixed"/>
        <w:tblLook w:val="0600" w:firstRow="0" w:lastRow="0" w:firstColumn="0" w:lastColumn="0" w:noHBand="1" w:noVBand="1"/>
      </w:tblPr>
      <w:tblGrid>
        <w:gridCol w:w="3168"/>
        <w:gridCol w:w="1985"/>
      </w:tblGrid>
      <w:tr w:rsidR="00C60DB4" w14:paraId="46253EDB" w14:textId="77777777" w:rsidTr="00E25657">
        <w:trPr>
          <w:trHeight w:val="397"/>
          <w:jc w:val="center"/>
        </w:trPr>
        <w:tc>
          <w:tcPr>
            <w:tcW w:w="3168" w:type="dxa"/>
            <w:shd w:val="clear" w:color="auto" w:fill="BFBFBF" w:themeFill="background1" w:themeFillShade="BF"/>
            <w:tcMar>
              <w:top w:w="0" w:type="dxa"/>
              <w:left w:w="40" w:type="dxa"/>
              <w:bottom w:w="0" w:type="dxa"/>
              <w:right w:w="40" w:type="dxa"/>
            </w:tcMar>
            <w:vAlign w:val="center"/>
          </w:tcPr>
          <w:p w14:paraId="5AD233C3" w14:textId="77777777" w:rsidR="00C60DB4" w:rsidRPr="00C752A7" w:rsidRDefault="00C60DB4" w:rsidP="00E25657">
            <w:pPr>
              <w:widowControl w:val="0"/>
              <w:contextualSpacing/>
              <w:jc w:val="center"/>
              <w:rPr>
                <w:rFonts w:asciiTheme="minorHAnsi" w:hAnsiTheme="minorHAnsi" w:cstheme="minorHAnsi"/>
                <w:sz w:val="22"/>
                <w:szCs w:val="22"/>
              </w:rPr>
            </w:pPr>
            <w:r w:rsidRPr="00C752A7">
              <w:rPr>
                <w:rFonts w:asciiTheme="minorHAnsi" w:hAnsiTheme="minorHAnsi" w:cstheme="minorHAnsi"/>
                <w:b/>
                <w:sz w:val="22"/>
                <w:szCs w:val="22"/>
              </w:rPr>
              <w:t>Você é pessoa com deficiência?</w:t>
            </w:r>
          </w:p>
        </w:tc>
        <w:tc>
          <w:tcPr>
            <w:tcW w:w="1985" w:type="dxa"/>
            <w:shd w:val="clear" w:color="auto" w:fill="BFBFBF" w:themeFill="background1" w:themeFillShade="BF"/>
            <w:tcMar>
              <w:top w:w="0" w:type="dxa"/>
              <w:left w:w="40" w:type="dxa"/>
              <w:bottom w:w="0" w:type="dxa"/>
              <w:right w:w="40" w:type="dxa"/>
            </w:tcMar>
            <w:vAlign w:val="center"/>
          </w:tcPr>
          <w:p w14:paraId="4D18A957" w14:textId="77777777" w:rsidR="00C60DB4" w:rsidRPr="00C752A7" w:rsidRDefault="00C60DB4" w:rsidP="00E25657">
            <w:pPr>
              <w:widowControl w:val="0"/>
              <w:contextualSpacing/>
              <w:jc w:val="center"/>
              <w:rPr>
                <w:rFonts w:asciiTheme="minorHAnsi" w:hAnsiTheme="minorHAnsi" w:cstheme="minorHAnsi"/>
                <w:sz w:val="22"/>
                <w:szCs w:val="22"/>
              </w:rPr>
            </w:pPr>
            <w:r w:rsidRPr="00C752A7">
              <w:rPr>
                <w:rFonts w:asciiTheme="minorHAnsi" w:hAnsiTheme="minorHAnsi" w:cstheme="minorHAnsi"/>
                <w:b/>
                <w:sz w:val="22"/>
                <w:szCs w:val="22"/>
              </w:rPr>
              <w:t>Frequência absoluta</w:t>
            </w:r>
          </w:p>
        </w:tc>
      </w:tr>
      <w:tr w:rsidR="00C60DB4" w14:paraId="3D4E9BE0" w14:textId="77777777" w:rsidTr="00E25657">
        <w:trPr>
          <w:trHeight w:val="397"/>
          <w:jc w:val="center"/>
        </w:trPr>
        <w:tc>
          <w:tcPr>
            <w:tcW w:w="3168" w:type="dxa"/>
            <w:tcMar>
              <w:top w:w="0" w:type="dxa"/>
              <w:left w:w="40" w:type="dxa"/>
              <w:bottom w:w="0" w:type="dxa"/>
              <w:right w:w="40" w:type="dxa"/>
            </w:tcMar>
            <w:vAlign w:val="center"/>
          </w:tcPr>
          <w:p w14:paraId="1DE91FA4" w14:textId="77777777" w:rsidR="00C60DB4" w:rsidRPr="00C752A7" w:rsidRDefault="00C60DB4" w:rsidP="00E25657">
            <w:pPr>
              <w:widowControl w:val="0"/>
              <w:contextualSpacing/>
              <w:rPr>
                <w:rFonts w:asciiTheme="minorHAnsi" w:hAnsiTheme="minorHAnsi" w:cstheme="minorHAnsi"/>
                <w:sz w:val="22"/>
                <w:szCs w:val="22"/>
              </w:rPr>
            </w:pPr>
            <w:r w:rsidRPr="00C752A7">
              <w:rPr>
                <w:rFonts w:asciiTheme="minorHAnsi" w:hAnsiTheme="minorHAnsi" w:cstheme="minorHAnsi"/>
                <w:sz w:val="22"/>
                <w:szCs w:val="22"/>
              </w:rPr>
              <w:t>Não</w:t>
            </w:r>
          </w:p>
        </w:tc>
        <w:tc>
          <w:tcPr>
            <w:tcW w:w="1985" w:type="dxa"/>
            <w:tcMar>
              <w:top w:w="0" w:type="dxa"/>
              <w:left w:w="40" w:type="dxa"/>
              <w:bottom w:w="0" w:type="dxa"/>
              <w:right w:w="40" w:type="dxa"/>
            </w:tcMar>
            <w:vAlign w:val="center"/>
          </w:tcPr>
          <w:p w14:paraId="136FA661" w14:textId="77777777" w:rsidR="00C60DB4" w:rsidRPr="00C752A7" w:rsidRDefault="00C60DB4" w:rsidP="00E25657">
            <w:pPr>
              <w:widowControl w:val="0"/>
              <w:contextualSpacing/>
              <w:jc w:val="center"/>
              <w:rPr>
                <w:rFonts w:asciiTheme="minorHAnsi" w:hAnsiTheme="minorHAnsi" w:cstheme="minorHAnsi"/>
                <w:sz w:val="22"/>
                <w:szCs w:val="22"/>
              </w:rPr>
            </w:pPr>
            <w:r w:rsidRPr="00C752A7">
              <w:rPr>
                <w:rFonts w:asciiTheme="minorHAnsi" w:hAnsiTheme="minorHAnsi" w:cstheme="minorHAnsi"/>
                <w:sz w:val="22"/>
                <w:szCs w:val="22"/>
              </w:rPr>
              <w:t>283</w:t>
            </w:r>
          </w:p>
        </w:tc>
      </w:tr>
      <w:tr w:rsidR="00C60DB4" w14:paraId="412DA79C" w14:textId="77777777" w:rsidTr="00E25657">
        <w:trPr>
          <w:trHeight w:val="397"/>
          <w:jc w:val="center"/>
        </w:trPr>
        <w:tc>
          <w:tcPr>
            <w:tcW w:w="3168" w:type="dxa"/>
            <w:tcMar>
              <w:top w:w="0" w:type="dxa"/>
              <w:left w:w="40" w:type="dxa"/>
              <w:bottom w:w="0" w:type="dxa"/>
              <w:right w:w="40" w:type="dxa"/>
            </w:tcMar>
            <w:vAlign w:val="center"/>
          </w:tcPr>
          <w:p w14:paraId="0BBEA28A" w14:textId="77777777" w:rsidR="00C60DB4" w:rsidRPr="00C752A7" w:rsidRDefault="00C60DB4" w:rsidP="00E25657">
            <w:pPr>
              <w:widowControl w:val="0"/>
              <w:contextualSpacing/>
              <w:rPr>
                <w:rFonts w:asciiTheme="minorHAnsi" w:hAnsiTheme="minorHAnsi" w:cstheme="minorHAnsi"/>
                <w:sz w:val="22"/>
                <w:szCs w:val="22"/>
              </w:rPr>
            </w:pPr>
            <w:r w:rsidRPr="00C752A7">
              <w:rPr>
                <w:rFonts w:asciiTheme="minorHAnsi" w:hAnsiTheme="minorHAnsi" w:cstheme="minorHAnsi"/>
                <w:sz w:val="22"/>
                <w:szCs w:val="22"/>
              </w:rPr>
              <w:t>Sim, deficiência física</w:t>
            </w:r>
          </w:p>
        </w:tc>
        <w:tc>
          <w:tcPr>
            <w:tcW w:w="1985" w:type="dxa"/>
            <w:tcMar>
              <w:top w:w="0" w:type="dxa"/>
              <w:left w:w="40" w:type="dxa"/>
              <w:bottom w:w="0" w:type="dxa"/>
              <w:right w:w="40" w:type="dxa"/>
            </w:tcMar>
            <w:vAlign w:val="center"/>
          </w:tcPr>
          <w:p w14:paraId="2B6E4A85" w14:textId="77777777" w:rsidR="00C60DB4" w:rsidRPr="00C752A7" w:rsidRDefault="00C60DB4" w:rsidP="00E25657">
            <w:pPr>
              <w:widowControl w:val="0"/>
              <w:contextualSpacing/>
              <w:jc w:val="center"/>
              <w:rPr>
                <w:rFonts w:asciiTheme="minorHAnsi" w:hAnsiTheme="minorHAnsi" w:cstheme="minorHAnsi"/>
                <w:sz w:val="22"/>
                <w:szCs w:val="22"/>
              </w:rPr>
            </w:pPr>
            <w:r w:rsidRPr="00C752A7">
              <w:rPr>
                <w:rFonts w:asciiTheme="minorHAnsi" w:hAnsiTheme="minorHAnsi" w:cstheme="minorHAnsi"/>
                <w:sz w:val="22"/>
                <w:szCs w:val="22"/>
              </w:rPr>
              <w:t>7</w:t>
            </w:r>
          </w:p>
        </w:tc>
      </w:tr>
      <w:tr w:rsidR="00C60DB4" w14:paraId="77D6277C" w14:textId="77777777" w:rsidTr="00E25657">
        <w:trPr>
          <w:trHeight w:val="397"/>
          <w:jc w:val="center"/>
        </w:trPr>
        <w:tc>
          <w:tcPr>
            <w:tcW w:w="3168" w:type="dxa"/>
            <w:tcMar>
              <w:top w:w="0" w:type="dxa"/>
              <w:left w:w="40" w:type="dxa"/>
              <w:bottom w:w="0" w:type="dxa"/>
              <w:right w:w="40" w:type="dxa"/>
            </w:tcMar>
            <w:vAlign w:val="center"/>
          </w:tcPr>
          <w:p w14:paraId="0F83D69A" w14:textId="77777777" w:rsidR="00C60DB4" w:rsidRPr="00C752A7" w:rsidRDefault="00C60DB4" w:rsidP="00E25657">
            <w:pPr>
              <w:widowControl w:val="0"/>
              <w:contextualSpacing/>
              <w:rPr>
                <w:rFonts w:asciiTheme="minorHAnsi" w:hAnsiTheme="minorHAnsi" w:cstheme="minorHAnsi"/>
                <w:sz w:val="22"/>
                <w:szCs w:val="22"/>
              </w:rPr>
            </w:pPr>
            <w:r w:rsidRPr="00C752A7">
              <w:rPr>
                <w:rFonts w:asciiTheme="minorHAnsi" w:hAnsiTheme="minorHAnsi" w:cstheme="minorHAnsi"/>
                <w:sz w:val="22"/>
                <w:szCs w:val="22"/>
              </w:rPr>
              <w:t>Sim, deficiência visual</w:t>
            </w:r>
          </w:p>
        </w:tc>
        <w:tc>
          <w:tcPr>
            <w:tcW w:w="1985" w:type="dxa"/>
            <w:tcMar>
              <w:top w:w="0" w:type="dxa"/>
              <w:left w:w="40" w:type="dxa"/>
              <w:bottom w:w="0" w:type="dxa"/>
              <w:right w:w="40" w:type="dxa"/>
            </w:tcMar>
            <w:vAlign w:val="center"/>
          </w:tcPr>
          <w:p w14:paraId="4FCC9DFF" w14:textId="77777777" w:rsidR="00C60DB4" w:rsidRPr="00C752A7" w:rsidRDefault="00C60DB4" w:rsidP="00E25657">
            <w:pPr>
              <w:widowControl w:val="0"/>
              <w:contextualSpacing/>
              <w:jc w:val="center"/>
              <w:rPr>
                <w:rFonts w:asciiTheme="minorHAnsi" w:hAnsiTheme="minorHAnsi" w:cstheme="minorHAnsi"/>
                <w:sz w:val="22"/>
                <w:szCs w:val="22"/>
              </w:rPr>
            </w:pPr>
            <w:r w:rsidRPr="00C752A7">
              <w:rPr>
                <w:rFonts w:asciiTheme="minorHAnsi" w:hAnsiTheme="minorHAnsi" w:cstheme="minorHAnsi"/>
                <w:sz w:val="22"/>
                <w:szCs w:val="22"/>
              </w:rPr>
              <w:t>4</w:t>
            </w:r>
          </w:p>
        </w:tc>
      </w:tr>
      <w:tr w:rsidR="00C60DB4" w14:paraId="119280D9" w14:textId="77777777" w:rsidTr="00E25657">
        <w:trPr>
          <w:trHeight w:val="397"/>
          <w:jc w:val="center"/>
        </w:trPr>
        <w:tc>
          <w:tcPr>
            <w:tcW w:w="3168" w:type="dxa"/>
            <w:tcMar>
              <w:top w:w="0" w:type="dxa"/>
              <w:left w:w="40" w:type="dxa"/>
              <w:bottom w:w="0" w:type="dxa"/>
              <w:right w:w="40" w:type="dxa"/>
            </w:tcMar>
            <w:vAlign w:val="center"/>
          </w:tcPr>
          <w:p w14:paraId="6DB5B6CE" w14:textId="77777777" w:rsidR="00C60DB4" w:rsidRPr="00C752A7" w:rsidRDefault="00C60DB4" w:rsidP="00E25657">
            <w:pPr>
              <w:widowControl w:val="0"/>
              <w:contextualSpacing/>
              <w:rPr>
                <w:rFonts w:asciiTheme="minorHAnsi" w:hAnsiTheme="minorHAnsi" w:cstheme="minorHAnsi"/>
                <w:sz w:val="22"/>
                <w:szCs w:val="22"/>
              </w:rPr>
            </w:pPr>
            <w:r w:rsidRPr="00C752A7">
              <w:rPr>
                <w:rFonts w:asciiTheme="minorHAnsi" w:hAnsiTheme="minorHAnsi" w:cstheme="minorHAnsi"/>
                <w:sz w:val="22"/>
                <w:szCs w:val="22"/>
              </w:rPr>
              <w:t>Sim, deficiência auditiva</w:t>
            </w:r>
          </w:p>
        </w:tc>
        <w:tc>
          <w:tcPr>
            <w:tcW w:w="1985" w:type="dxa"/>
            <w:tcMar>
              <w:top w:w="0" w:type="dxa"/>
              <w:left w:w="40" w:type="dxa"/>
              <w:bottom w:w="0" w:type="dxa"/>
              <w:right w:w="40" w:type="dxa"/>
            </w:tcMar>
            <w:vAlign w:val="center"/>
          </w:tcPr>
          <w:p w14:paraId="6F32F94A" w14:textId="77777777" w:rsidR="00C60DB4" w:rsidRPr="00C752A7" w:rsidRDefault="00C60DB4" w:rsidP="00E25657">
            <w:pPr>
              <w:widowControl w:val="0"/>
              <w:contextualSpacing/>
              <w:jc w:val="center"/>
              <w:rPr>
                <w:rFonts w:asciiTheme="minorHAnsi" w:hAnsiTheme="minorHAnsi" w:cstheme="minorHAnsi"/>
                <w:sz w:val="22"/>
                <w:szCs w:val="22"/>
              </w:rPr>
            </w:pPr>
            <w:r w:rsidRPr="00C752A7">
              <w:rPr>
                <w:rFonts w:asciiTheme="minorHAnsi" w:hAnsiTheme="minorHAnsi" w:cstheme="minorHAnsi"/>
                <w:sz w:val="22"/>
                <w:szCs w:val="22"/>
              </w:rPr>
              <w:t>2</w:t>
            </w:r>
          </w:p>
        </w:tc>
      </w:tr>
      <w:tr w:rsidR="00C60DB4" w14:paraId="292C9382" w14:textId="77777777" w:rsidTr="00E25657">
        <w:trPr>
          <w:trHeight w:val="397"/>
          <w:jc w:val="center"/>
        </w:trPr>
        <w:tc>
          <w:tcPr>
            <w:tcW w:w="3168" w:type="dxa"/>
            <w:tcMar>
              <w:top w:w="0" w:type="dxa"/>
              <w:left w:w="40" w:type="dxa"/>
              <w:bottom w:w="0" w:type="dxa"/>
              <w:right w:w="40" w:type="dxa"/>
            </w:tcMar>
            <w:vAlign w:val="center"/>
          </w:tcPr>
          <w:p w14:paraId="3C65CD23" w14:textId="77777777" w:rsidR="00C60DB4" w:rsidRPr="00C752A7" w:rsidRDefault="00C60DB4" w:rsidP="00E25657">
            <w:pPr>
              <w:widowControl w:val="0"/>
              <w:contextualSpacing/>
              <w:rPr>
                <w:rFonts w:asciiTheme="minorHAnsi" w:hAnsiTheme="minorHAnsi" w:cstheme="minorHAnsi"/>
                <w:sz w:val="22"/>
                <w:szCs w:val="22"/>
              </w:rPr>
            </w:pPr>
            <w:r w:rsidRPr="00C752A7">
              <w:rPr>
                <w:rFonts w:asciiTheme="minorHAnsi" w:hAnsiTheme="minorHAnsi" w:cstheme="minorHAnsi"/>
                <w:sz w:val="22"/>
                <w:szCs w:val="22"/>
              </w:rPr>
              <w:t>Sim, deficiência intelectual</w:t>
            </w:r>
          </w:p>
        </w:tc>
        <w:tc>
          <w:tcPr>
            <w:tcW w:w="1985" w:type="dxa"/>
            <w:tcMar>
              <w:top w:w="0" w:type="dxa"/>
              <w:left w:w="40" w:type="dxa"/>
              <w:bottom w:w="0" w:type="dxa"/>
              <w:right w:w="40" w:type="dxa"/>
            </w:tcMar>
            <w:vAlign w:val="center"/>
          </w:tcPr>
          <w:p w14:paraId="287B9C6C" w14:textId="2AD82466" w:rsidR="00C60DB4" w:rsidRPr="00C752A7" w:rsidRDefault="00E25657" w:rsidP="00E25657">
            <w:pPr>
              <w:widowControl w:val="0"/>
              <w:contextualSpacing/>
              <w:jc w:val="center"/>
              <w:rPr>
                <w:rFonts w:asciiTheme="minorHAnsi" w:hAnsiTheme="minorHAnsi" w:cstheme="minorHAnsi"/>
                <w:sz w:val="22"/>
                <w:szCs w:val="22"/>
              </w:rPr>
            </w:pPr>
            <w:r>
              <w:rPr>
                <w:rFonts w:asciiTheme="minorHAnsi" w:hAnsiTheme="minorHAnsi" w:cstheme="minorHAnsi"/>
                <w:sz w:val="22"/>
                <w:szCs w:val="22"/>
              </w:rPr>
              <w:t>-</w:t>
            </w:r>
          </w:p>
        </w:tc>
      </w:tr>
      <w:tr w:rsidR="00C60DB4" w14:paraId="6EA04221" w14:textId="77777777" w:rsidTr="00E25657">
        <w:trPr>
          <w:trHeight w:val="397"/>
          <w:jc w:val="center"/>
        </w:trPr>
        <w:tc>
          <w:tcPr>
            <w:tcW w:w="3168" w:type="dxa"/>
            <w:tcMar>
              <w:top w:w="0" w:type="dxa"/>
              <w:left w:w="40" w:type="dxa"/>
              <w:bottom w:w="0" w:type="dxa"/>
              <w:right w:w="40" w:type="dxa"/>
            </w:tcMar>
            <w:vAlign w:val="center"/>
          </w:tcPr>
          <w:p w14:paraId="2E23A583" w14:textId="77777777" w:rsidR="00C60DB4" w:rsidRPr="00C752A7" w:rsidRDefault="00C60DB4" w:rsidP="00E25657">
            <w:pPr>
              <w:widowControl w:val="0"/>
              <w:contextualSpacing/>
              <w:rPr>
                <w:rFonts w:asciiTheme="minorHAnsi" w:hAnsiTheme="minorHAnsi" w:cstheme="minorHAnsi"/>
                <w:sz w:val="22"/>
                <w:szCs w:val="22"/>
              </w:rPr>
            </w:pPr>
            <w:r w:rsidRPr="00C752A7">
              <w:rPr>
                <w:rFonts w:asciiTheme="minorHAnsi" w:hAnsiTheme="minorHAnsi" w:cstheme="minorHAnsi"/>
                <w:sz w:val="22"/>
                <w:szCs w:val="22"/>
              </w:rPr>
              <w:t>Sim, deficiência mental-psicossocial</w:t>
            </w:r>
          </w:p>
        </w:tc>
        <w:tc>
          <w:tcPr>
            <w:tcW w:w="1985" w:type="dxa"/>
            <w:tcMar>
              <w:top w:w="0" w:type="dxa"/>
              <w:left w:w="40" w:type="dxa"/>
              <w:bottom w:w="0" w:type="dxa"/>
              <w:right w:w="40" w:type="dxa"/>
            </w:tcMar>
            <w:vAlign w:val="center"/>
          </w:tcPr>
          <w:p w14:paraId="289170C7" w14:textId="77777777" w:rsidR="00C60DB4" w:rsidRPr="00C752A7" w:rsidRDefault="00C60DB4" w:rsidP="00E25657">
            <w:pPr>
              <w:widowControl w:val="0"/>
              <w:contextualSpacing/>
              <w:jc w:val="center"/>
              <w:rPr>
                <w:rFonts w:asciiTheme="minorHAnsi" w:hAnsiTheme="minorHAnsi" w:cstheme="minorHAnsi"/>
                <w:sz w:val="22"/>
                <w:szCs w:val="22"/>
              </w:rPr>
            </w:pPr>
            <w:r w:rsidRPr="00C752A7">
              <w:rPr>
                <w:rFonts w:asciiTheme="minorHAnsi" w:hAnsiTheme="minorHAnsi" w:cstheme="minorHAnsi"/>
                <w:sz w:val="22"/>
                <w:szCs w:val="22"/>
              </w:rPr>
              <w:t>2</w:t>
            </w:r>
          </w:p>
        </w:tc>
      </w:tr>
      <w:tr w:rsidR="00C60DB4" w14:paraId="56E1C1C6" w14:textId="77777777" w:rsidTr="00E25657">
        <w:trPr>
          <w:trHeight w:val="397"/>
          <w:jc w:val="center"/>
        </w:trPr>
        <w:tc>
          <w:tcPr>
            <w:tcW w:w="3168" w:type="dxa"/>
            <w:tcMar>
              <w:top w:w="0" w:type="dxa"/>
              <w:left w:w="40" w:type="dxa"/>
              <w:bottom w:w="0" w:type="dxa"/>
              <w:right w:w="40" w:type="dxa"/>
            </w:tcMar>
            <w:vAlign w:val="center"/>
          </w:tcPr>
          <w:p w14:paraId="1515E2E7" w14:textId="77777777" w:rsidR="00C60DB4" w:rsidRPr="00C752A7" w:rsidRDefault="00C60DB4" w:rsidP="00E25657">
            <w:pPr>
              <w:widowControl w:val="0"/>
              <w:contextualSpacing/>
              <w:rPr>
                <w:rFonts w:asciiTheme="minorHAnsi" w:hAnsiTheme="minorHAnsi" w:cstheme="minorHAnsi"/>
                <w:sz w:val="22"/>
                <w:szCs w:val="22"/>
              </w:rPr>
            </w:pPr>
            <w:r w:rsidRPr="00C752A7">
              <w:rPr>
                <w:rFonts w:asciiTheme="minorHAnsi" w:hAnsiTheme="minorHAnsi" w:cstheme="minorHAnsi"/>
                <w:sz w:val="22"/>
                <w:szCs w:val="22"/>
              </w:rPr>
              <w:t>Sim, outras deficiências</w:t>
            </w:r>
          </w:p>
        </w:tc>
        <w:tc>
          <w:tcPr>
            <w:tcW w:w="1985" w:type="dxa"/>
            <w:tcMar>
              <w:top w:w="0" w:type="dxa"/>
              <w:left w:w="40" w:type="dxa"/>
              <w:bottom w:w="0" w:type="dxa"/>
              <w:right w:w="40" w:type="dxa"/>
            </w:tcMar>
            <w:vAlign w:val="center"/>
          </w:tcPr>
          <w:p w14:paraId="03AE7597" w14:textId="77777777" w:rsidR="00C60DB4" w:rsidRPr="00C752A7" w:rsidRDefault="00C60DB4" w:rsidP="00E25657">
            <w:pPr>
              <w:widowControl w:val="0"/>
              <w:contextualSpacing/>
              <w:jc w:val="center"/>
              <w:rPr>
                <w:rFonts w:asciiTheme="minorHAnsi" w:hAnsiTheme="minorHAnsi" w:cstheme="minorHAnsi"/>
                <w:sz w:val="22"/>
                <w:szCs w:val="22"/>
              </w:rPr>
            </w:pPr>
            <w:r w:rsidRPr="00C752A7">
              <w:rPr>
                <w:rFonts w:asciiTheme="minorHAnsi" w:hAnsiTheme="minorHAnsi" w:cstheme="minorHAnsi"/>
                <w:sz w:val="22"/>
                <w:szCs w:val="22"/>
              </w:rPr>
              <w:t>3</w:t>
            </w:r>
          </w:p>
        </w:tc>
      </w:tr>
      <w:tr w:rsidR="00C60DB4" w14:paraId="6B820956" w14:textId="77777777" w:rsidTr="00E25657">
        <w:trPr>
          <w:trHeight w:val="397"/>
          <w:jc w:val="center"/>
        </w:trPr>
        <w:tc>
          <w:tcPr>
            <w:tcW w:w="3168" w:type="dxa"/>
            <w:tcMar>
              <w:top w:w="0" w:type="dxa"/>
              <w:left w:w="40" w:type="dxa"/>
              <w:bottom w:w="0" w:type="dxa"/>
              <w:right w:w="40" w:type="dxa"/>
            </w:tcMar>
            <w:vAlign w:val="center"/>
          </w:tcPr>
          <w:p w14:paraId="2DD3B14E" w14:textId="77777777" w:rsidR="00C60DB4" w:rsidRPr="00C752A7" w:rsidRDefault="00C60DB4" w:rsidP="00E25657">
            <w:pPr>
              <w:widowControl w:val="0"/>
              <w:contextualSpacing/>
              <w:rPr>
                <w:rFonts w:asciiTheme="minorHAnsi" w:hAnsiTheme="minorHAnsi" w:cstheme="minorHAnsi"/>
                <w:sz w:val="22"/>
                <w:szCs w:val="22"/>
              </w:rPr>
            </w:pPr>
            <w:r w:rsidRPr="00C752A7">
              <w:rPr>
                <w:rFonts w:asciiTheme="minorHAnsi" w:hAnsiTheme="minorHAnsi" w:cstheme="minorHAnsi"/>
                <w:sz w:val="22"/>
                <w:szCs w:val="22"/>
              </w:rPr>
              <w:t>Prefiro não informar</w:t>
            </w:r>
          </w:p>
        </w:tc>
        <w:tc>
          <w:tcPr>
            <w:tcW w:w="1985" w:type="dxa"/>
            <w:tcMar>
              <w:top w:w="0" w:type="dxa"/>
              <w:left w:w="40" w:type="dxa"/>
              <w:bottom w:w="0" w:type="dxa"/>
              <w:right w:w="40" w:type="dxa"/>
            </w:tcMar>
            <w:vAlign w:val="center"/>
          </w:tcPr>
          <w:p w14:paraId="2D45D827" w14:textId="77777777" w:rsidR="00C60DB4" w:rsidRPr="00C752A7" w:rsidRDefault="00C60DB4" w:rsidP="00E25657">
            <w:pPr>
              <w:widowControl w:val="0"/>
              <w:contextualSpacing/>
              <w:jc w:val="center"/>
              <w:rPr>
                <w:rFonts w:asciiTheme="minorHAnsi" w:hAnsiTheme="minorHAnsi" w:cstheme="minorHAnsi"/>
                <w:sz w:val="22"/>
                <w:szCs w:val="22"/>
              </w:rPr>
            </w:pPr>
            <w:r w:rsidRPr="00C752A7">
              <w:rPr>
                <w:rFonts w:asciiTheme="minorHAnsi" w:hAnsiTheme="minorHAnsi" w:cstheme="minorHAnsi"/>
                <w:sz w:val="22"/>
                <w:szCs w:val="22"/>
              </w:rPr>
              <w:t>4</w:t>
            </w:r>
          </w:p>
        </w:tc>
      </w:tr>
    </w:tbl>
    <w:p w14:paraId="702ABFA2" w14:textId="79EF5C9E" w:rsidR="000B3646" w:rsidRPr="000B3646" w:rsidRDefault="000B3646" w:rsidP="00473659">
      <w:pPr>
        <w:pStyle w:val="Fonte"/>
        <w:contextualSpacing/>
        <w:rPr>
          <w:b w:val="0"/>
          <w:bCs/>
        </w:rPr>
      </w:pPr>
      <w:r>
        <w:t xml:space="preserve">Fonte: </w:t>
      </w:r>
      <w:r w:rsidRPr="00F734F9">
        <w:rPr>
          <w:b w:val="0"/>
          <w:bCs/>
        </w:rPr>
        <w:t>Dados da Pesquisa</w:t>
      </w:r>
      <w:r>
        <w:rPr>
          <w:b w:val="0"/>
          <w:bCs/>
        </w:rPr>
        <w:t xml:space="preserve"> </w:t>
      </w:r>
      <w:r w:rsidRPr="00F734F9">
        <w:rPr>
          <w:b w:val="0"/>
          <w:bCs/>
        </w:rPr>
        <w:t>de Percepção da Participação Feminina no TST e no CSJT, 2025. Compilação e elaboração: CPJUD/SEPJD/CPJED.</w:t>
      </w:r>
    </w:p>
    <w:p w14:paraId="6848DC11" w14:textId="330691A1" w:rsidR="00C60DB4" w:rsidRPr="00E25657" w:rsidRDefault="00C60DB4" w:rsidP="00E25657">
      <w:pPr>
        <w:pStyle w:val="Texto"/>
      </w:pPr>
    </w:p>
    <w:p w14:paraId="097F4AB5" w14:textId="4279A612" w:rsidR="005226FB" w:rsidRDefault="005226FB" w:rsidP="00FB5A95">
      <w:pPr>
        <w:pStyle w:val="Ttulo3"/>
      </w:pPr>
      <w:bookmarkStart w:id="103" w:name="_Toc208510819"/>
      <w:r>
        <w:t>Bloco Preconceito ou Discriminação de Gênero</w:t>
      </w:r>
      <w:bookmarkEnd w:id="103"/>
    </w:p>
    <w:p w14:paraId="6A1F8E02" w14:textId="1CAF2731" w:rsidR="005226FB" w:rsidRDefault="005226FB" w:rsidP="00E25657">
      <w:pPr>
        <w:pStyle w:val="Texto"/>
      </w:pPr>
      <w:r>
        <w:t>Entre as barreiras invisíveis e artificiais que obstaculizam a ascensão de mulheres a cargos de liderança destacam-se atitudes de preconceito e discriminação de gênero nos ambientes organizacionais. Tais barreiras refletem a persistência de normas e padrões tradicionais de gênero</w:t>
      </w:r>
      <w:r w:rsidR="00640D26">
        <w:rPr>
          <w:rStyle w:val="Refdenotaderodap"/>
        </w:rPr>
        <w:footnoteReference w:id="66"/>
      </w:r>
      <w:r>
        <w:t xml:space="preserve"> que reproduzem estereótipos preconceituosos e desassociam as mulheres de posições de poder.</w:t>
      </w:r>
      <w:r>
        <w:rPr>
          <w:rStyle w:val="Refdenotaderodap"/>
          <w:rFonts w:ascii="Times New Roman" w:hAnsi="Times New Roman" w:cs="Times New Roman"/>
        </w:rPr>
        <w:footnoteReference w:id="67"/>
      </w:r>
    </w:p>
    <w:p w14:paraId="00B9D8A1" w14:textId="77777777" w:rsidR="005226FB" w:rsidRDefault="005226FB" w:rsidP="00E25657">
      <w:pPr>
        <w:pStyle w:val="Texto"/>
      </w:pPr>
      <w:r>
        <w:lastRenderedPageBreak/>
        <w:t>A análise a seguir se baseia nas respostas dos respondentes sobre suas experiências com preconceito ou discriminação de gênero no ambiente de trabalho do TST/CSJT.</w:t>
      </w:r>
    </w:p>
    <w:p w14:paraId="766E52B6" w14:textId="43FB4CF8" w:rsidR="005226FB" w:rsidRDefault="005226FB" w:rsidP="00E25657">
      <w:pPr>
        <w:pStyle w:val="Texto"/>
      </w:pPr>
      <w:r>
        <w:t xml:space="preserve">A pesquisa revela que a maioria das mulheres que responderam a pesquisa (57,8%) relatou já ter recebido comentários sobre sua aparência física no ambiente de trabalho do TST/CSJT. Entre os homens, a percepção foi equilibrada, com 48,3% afirmando ter presenciado esse tipo de situação com mulheres e 48,3% negando (Gráfico </w:t>
      </w:r>
      <w:r w:rsidR="006A22B9">
        <w:t>38</w:t>
      </w:r>
      <w:r>
        <w:t>).</w:t>
      </w:r>
    </w:p>
    <w:p w14:paraId="38E634DB" w14:textId="45743240" w:rsidR="00A201B9" w:rsidRDefault="00A201B9" w:rsidP="00E25657">
      <w:pPr>
        <w:pStyle w:val="Texto"/>
      </w:pPr>
    </w:p>
    <w:p w14:paraId="66DD6197" w14:textId="1F2E3ED1" w:rsidR="005226FB" w:rsidRDefault="005226FB" w:rsidP="00FB5A95">
      <w:pPr>
        <w:pStyle w:val="TtulodaIlustrao"/>
      </w:pPr>
      <w:bookmarkStart w:id="104" w:name="_686urj6dm0z6" w:colFirst="0" w:colLast="0"/>
      <w:bookmarkStart w:id="105" w:name="_Toc208508661"/>
      <w:bookmarkEnd w:id="104"/>
      <w:r>
        <w:t xml:space="preserve">Gráfico </w:t>
      </w:r>
      <w:r w:rsidR="00DB4DAE">
        <w:fldChar w:fldCharType="begin"/>
      </w:r>
      <w:r w:rsidR="00DB4DAE">
        <w:instrText xml:space="preserve"> SEQ Gráfico \* ARABIC </w:instrText>
      </w:r>
      <w:r w:rsidR="00DB4DAE">
        <w:fldChar w:fldCharType="separate"/>
      </w:r>
      <w:r w:rsidR="00D85D1E">
        <w:t>7</w:t>
      </w:r>
      <w:r w:rsidR="00DB4DAE">
        <w:fldChar w:fldCharType="end"/>
      </w:r>
      <w:r w:rsidR="001904A0">
        <w:t>8</w:t>
      </w:r>
      <w:r w:rsidRPr="007D4BEF">
        <w:rPr>
          <w:b w:val="0"/>
        </w:rPr>
        <w:t xml:space="preserve"> - Percepção sobre comentários relativos à aparência física no ambiente de trabalho, por gênero (%)</w:t>
      </w:r>
      <w:bookmarkEnd w:id="105"/>
    </w:p>
    <w:p w14:paraId="2B886875" w14:textId="66A3BD2A" w:rsidR="005226FB" w:rsidRDefault="00597DE3" w:rsidP="00597DE3">
      <w:pPr>
        <w:spacing w:line="360" w:lineRule="auto"/>
        <w:jc w:val="center"/>
      </w:pPr>
      <w:r>
        <w:rPr>
          <w:noProof/>
        </w:rPr>
        <w:drawing>
          <wp:inline distT="114300" distB="114300" distL="114300" distR="114300" wp14:anchorId="329CE7E0" wp14:editId="6C0E8A12">
            <wp:extent cx="4551528" cy="2695433"/>
            <wp:effectExtent l="0" t="0" r="1905" b="0"/>
            <wp:docPr id="8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rotWithShape="1">
                    <a:blip r:embed="rId55"/>
                    <a:srcRect l="1175" t="2412" r="881" b="2283"/>
                    <a:stretch/>
                  </pic:blipFill>
                  <pic:spPr bwMode="auto">
                    <a:xfrm>
                      <a:off x="0" y="0"/>
                      <a:ext cx="4557852" cy="2699178"/>
                    </a:xfrm>
                    <a:prstGeom prst="rect">
                      <a:avLst/>
                    </a:prstGeom>
                    <a:ln>
                      <a:noFill/>
                    </a:ln>
                    <a:extLst>
                      <a:ext uri="{53640926-AAD7-44D8-BBD7-CCE9431645EC}">
                        <a14:shadowObscured xmlns:a14="http://schemas.microsoft.com/office/drawing/2010/main"/>
                      </a:ext>
                    </a:extLst>
                  </pic:spPr>
                </pic:pic>
              </a:graphicData>
            </a:graphic>
          </wp:inline>
        </w:drawing>
      </w:r>
    </w:p>
    <w:p w14:paraId="707EEB80" w14:textId="35E6268B" w:rsidR="005226FB" w:rsidRDefault="005226FB" w:rsidP="00473659">
      <w:pPr>
        <w:pStyle w:val="Fonte"/>
        <w:rPr>
          <w:b w:val="0"/>
        </w:rPr>
      </w:pPr>
      <w:r>
        <w:t xml:space="preserve">Fonte: </w:t>
      </w:r>
      <w:r w:rsidRPr="005226FB">
        <w:rPr>
          <w:b w:val="0"/>
        </w:rPr>
        <w:t>Dados da Pesquisa de Percepção da Participação Feminina no TST e no CSJT, 2025. Compilação e elaboração: CPJUD/SEPJD/CPJED.</w:t>
      </w:r>
    </w:p>
    <w:p w14:paraId="59617E82" w14:textId="77777777" w:rsidR="005226FB" w:rsidRPr="007D4BEF" w:rsidRDefault="005226FB" w:rsidP="007D4BEF">
      <w:pPr>
        <w:pStyle w:val="Texto"/>
      </w:pPr>
    </w:p>
    <w:p w14:paraId="501D7324" w14:textId="3FF7ACC8" w:rsidR="005226FB" w:rsidRPr="007D4BEF" w:rsidRDefault="005226FB" w:rsidP="007D4BEF">
      <w:pPr>
        <w:pStyle w:val="Texto"/>
      </w:pPr>
      <w:r w:rsidRPr="007D4BEF">
        <w:t>A análise das respostas das 244 mulheres respondentes, cruzada com os dados sociodemográficos e o tempo de serviço no TST/CSJT, apresenta as variações demonstradas na Figura 1.</w:t>
      </w:r>
    </w:p>
    <w:p w14:paraId="0D0E2F13" w14:textId="4F9B65EB" w:rsidR="005226FB" w:rsidRPr="007D4BEF" w:rsidRDefault="005226FB" w:rsidP="007D4BEF">
      <w:pPr>
        <w:pStyle w:val="Texto"/>
      </w:pPr>
      <w:r w:rsidRPr="007D4BEF">
        <w:t xml:space="preserve">Por faixa etária, a maior incidência foi registrada entre mulheres de 30 a 49 anos  (61,5% entre 30 e 39 anos e 64,6% entre 40 e 49 anos). Na análise por raça/etnia, os percentuais foram: amarelas (75%), pardas (66%), brancas (56,9%) e pretas (40%). Em relação ao tempo de serviço, a menor incidência ocorreu entre mulheres com até dois anos de atuação na instituição (30,8% até um ano; 45,5% entre um e dois anos). Quanto à orientação sexual, a proporção superou 50% em </w:t>
      </w:r>
      <w:r w:rsidRPr="007D4BEF">
        <w:lastRenderedPageBreak/>
        <w:t>todos os grupos, exceto entre mulheres homossexuais (20,0%), que também apresentaram alta taxa de respostas “não sei responder” (20,0%). Por fim, mulheres com deficiência relataram alta incidência desse tipo de comentário (66,7%).</w:t>
      </w:r>
      <w:bookmarkStart w:id="106" w:name="_6azwm0soskzk" w:colFirst="0" w:colLast="0"/>
      <w:bookmarkEnd w:id="106"/>
    </w:p>
    <w:p w14:paraId="64E14063" w14:textId="77777777" w:rsidR="009F6307" w:rsidRPr="007D4BEF" w:rsidRDefault="009F6307" w:rsidP="007D4BEF">
      <w:pPr>
        <w:pStyle w:val="Texto"/>
      </w:pPr>
    </w:p>
    <w:p w14:paraId="5511BBA8" w14:textId="0F9E5E3E" w:rsidR="009F6307" w:rsidRDefault="009F6307" w:rsidP="00FB5A95">
      <w:pPr>
        <w:pStyle w:val="TtulodaIlustrao"/>
      </w:pPr>
      <w:bookmarkStart w:id="107" w:name="_Toc208510683"/>
      <w:r>
        <w:t xml:space="preserve">Figura </w:t>
      </w:r>
      <w:r>
        <w:fldChar w:fldCharType="begin"/>
      </w:r>
      <w:r>
        <w:instrText xml:space="preserve"> SEQ Figura \* ARABIC </w:instrText>
      </w:r>
      <w:r>
        <w:fldChar w:fldCharType="separate"/>
      </w:r>
      <w:r w:rsidR="00D85D1E">
        <w:t>1</w:t>
      </w:r>
      <w:r>
        <w:fldChar w:fldCharType="end"/>
      </w:r>
      <w:r w:rsidRPr="007D4BEF">
        <w:rPr>
          <w:b w:val="0"/>
        </w:rPr>
        <w:t xml:space="preserve"> - Percepção feminina sobre comentários relativos à aparência física, por perfil (%)</w:t>
      </w:r>
      <w:bookmarkEnd w:id="107"/>
    </w:p>
    <w:p w14:paraId="7430A6A5" w14:textId="77777777" w:rsidR="005226FB" w:rsidRDefault="005226FB" w:rsidP="009F6307">
      <w:pPr>
        <w:jc w:val="center"/>
      </w:pPr>
      <w:r>
        <w:rPr>
          <w:noProof/>
        </w:rPr>
        <w:drawing>
          <wp:inline distT="114300" distB="114300" distL="114300" distR="114300" wp14:anchorId="2555FF43" wp14:editId="23A354E2">
            <wp:extent cx="5791200" cy="6010275"/>
            <wp:effectExtent l="0" t="0" r="0" b="9525"/>
            <wp:docPr id="5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6"/>
                    <a:srcRect/>
                    <a:stretch>
                      <a:fillRect/>
                    </a:stretch>
                  </pic:blipFill>
                  <pic:spPr>
                    <a:xfrm>
                      <a:off x="0" y="0"/>
                      <a:ext cx="5791200" cy="6010275"/>
                    </a:xfrm>
                    <a:prstGeom prst="rect">
                      <a:avLst/>
                    </a:prstGeom>
                    <a:ln/>
                  </pic:spPr>
                </pic:pic>
              </a:graphicData>
            </a:graphic>
          </wp:inline>
        </w:drawing>
      </w:r>
    </w:p>
    <w:p w14:paraId="0CB96C82" w14:textId="62C1850A" w:rsidR="005226FB" w:rsidRDefault="005226FB" w:rsidP="001E59BF">
      <w:pPr>
        <w:pStyle w:val="Fonte"/>
        <w:rPr>
          <w:b w:val="0"/>
        </w:rPr>
      </w:pPr>
      <w:r>
        <w:t xml:space="preserve">Fonte: </w:t>
      </w:r>
      <w:r w:rsidRPr="009F6307">
        <w:rPr>
          <w:b w:val="0"/>
        </w:rPr>
        <w:t>Dados da Pesquisa de Percepção da Participação Feminina no TST e no CSJT, 2025. Compilação e elaboração: CPJUD/SEPJD/CPJED</w:t>
      </w:r>
      <w:r w:rsidR="009F6307" w:rsidRPr="009F6307">
        <w:rPr>
          <w:b w:val="0"/>
        </w:rPr>
        <w:t>.</w:t>
      </w:r>
    </w:p>
    <w:p w14:paraId="3519BEEE" w14:textId="77777777" w:rsidR="009F6307" w:rsidRDefault="009F6307" w:rsidP="007D4BEF">
      <w:pPr>
        <w:pStyle w:val="Texto"/>
      </w:pPr>
    </w:p>
    <w:p w14:paraId="04D3BF17" w14:textId="4A569412" w:rsidR="007D4BEF" w:rsidRDefault="007D4BEF">
      <w:pPr>
        <w:rPr>
          <w:rFonts w:asciiTheme="minorHAnsi" w:hAnsiTheme="minorHAnsi" w:cstheme="minorHAnsi"/>
          <w:noProof/>
        </w:rPr>
      </w:pPr>
      <w:r>
        <w:br w:type="page"/>
      </w:r>
    </w:p>
    <w:p w14:paraId="40846409" w14:textId="1292BBD3" w:rsidR="005226FB" w:rsidRDefault="005226FB" w:rsidP="007D4BEF">
      <w:pPr>
        <w:pStyle w:val="Texto"/>
      </w:pPr>
      <w:r>
        <w:lastRenderedPageBreak/>
        <w:t>No que tange às cobranças sobre comportamento e vestimenta no TST/CSJT, a pesquisa revelou disparidade significativa entre mulheres e homens participantes: 53,3% das mulheres sentem-se mais cobradas que os homens, enquanto apenas 17,2% dos h</w:t>
      </w:r>
      <w:r w:rsidR="009F6307">
        <w:t xml:space="preserve">omens percebem essa diferença (Gráfico </w:t>
      </w:r>
      <w:r w:rsidR="006A22B9">
        <w:t>39</w:t>
      </w:r>
      <w:r>
        <w:t>).</w:t>
      </w:r>
    </w:p>
    <w:p w14:paraId="1C8E210E" w14:textId="77777777" w:rsidR="009F6307" w:rsidRDefault="009F6307" w:rsidP="007D4BEF">
      <w:pPr>
        <w:pStyle w:val="Texto"/>
      </w:pPr>
    </w:p>
    <w:p w14:paraId="6EC93BAD" w14:textId="29A86D83" w:rsidR="009F6307" w:rsidRDefault="009F6307" w:rsidP="00FB5A95">
      <w:pPr>
        <w:pStyle w:val="TtulodaIlustrao"/>
      </w:pPr>
      <w:bookmarkStart w:id="108" w:name="_Toc208508662"/>
      <w:r>
        <w:t xml:space="preserve">Gráfico </w:t>
      </w:r>
      <w:r w:rsidR="001904A0">
        <w:t>39</w:t>
      </w:r>
      <w:r w:rsidRPr="007D4BEF">
        <w:rPr>
          <w:b w:val="0"/>
        </w:rPr>
        <w:t xml:space="preserve"> - Percepção sobre cobranças por comportamento e vestimenta, por gênero (%)</w:t>
      </w:r>
      <w:bookmarkEnd w:id="108"/>
    </w:p>
    <w:p w14:paraId="0A6467F0" w14:textId="4EF72A01" w:rsidR="005226FB" w:rsidRDefault="00597DE3" w:rsidP="00597DE3">
      <w:pPr>
        <w:jc w:val="center"/>
      </w:pPr>
      <w:r>
        <w:rPr>
          <w:noProof/>
        </w:rPr>
        <w:drawing>
          <wp:inline distT="114300" distB="114300" distL="114300" distR="114300" wp14:anchorId="7B134499" wp14:editId="6AF10B36">
            <wp:extent cx="4674359" cy="2784143"/>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57"/>
                    <a:srcRect l="861" t="1421" r="861" b="1857"/>
                    <a:stretch/>
                  </pic:blipFill>
                  <pic:spPr bwMode="auto">
                    <a:xfrm>
                      <a:off x="0" y="0"/>
                      <a:ext cx="4671146" cy="2782229"/>
                    </a:xfrm>
                    <a:prstGeom prst="rect">
                      <a:avLst/>
                    </a:prstGeom>
                    <a:ln>
                      <a:noFill/>
                    </a:ln>
                    <a:extLst>
                      <a:ext uri="{53640926-AAD7-44D8-BBD7-CCE9431645EC}">
                        <a14:shadowObscured xmlns:a14="http://schemas.microsoft.com/office/drawing/2010/main"/>
                      </a:ext>
                    </a:extLst>
                  </pic:spPr>
                </pic:pic>
              </a:graphicData>
            </a:graphic>
          </wp:inline>
        </w:drawing>
      </w:r>
    </w:p>
    <w:p w14:paraId="55F2F7CF" w14:textId="284909F4" w:rsidR="005226FB" w:rsidRDefault="005226FB" w:rsidP="001E59BF">
      <w:pPr>
        <w:pStyle w:val="Fonte"/>
        <w:rPr>
          <w:b w:val="0"/>
        </w:rPr>
      </w:pPr>
      <w:r w:rsidRPr="009F6307">
        <w:t xml:space="preserve">Fonte: </w:t>
      </w:r>
      <w:r w:rsidRPr="009F6307">
        <w:rPr>
          <w:b w:val="0"/>
        </w:rPr>
        <w:t>Dados da Pesquisa de Percepção da Participação Feminina no TST e no CSJT, 2025. Compilação e elaboração: CPJUD/SEPJD/CPJED</w:t>
      </w:r>
      <w:r w:rsidR="009F6307" w:rsidRPr="009F6307">
        <w:rPr>
          <w:b w:val="0"/>
        </w:rPr>
        <w:t>.</w:t>
      </w:r>
    </w:p>
    <w:p w14:paraId="150FAF42" w14:textId="77777777" w:rsidR="009F6307" w:rsidRDefault="009F6307" w:rsidP="007D4BEF">
      <w:pPr>
        <w:pStyle w:val="Texto"/>
      </w:pPr>
    </w:p>
    <w:p w14:paraId="6519AAF8" w14:textId="7CA4E5C6" w:rsidR="005226FB" w:rsidRDefault="005226FB" w:rsidP="007D4BEF">
      <w:pPr>
        <w:pStyle w:val="Texto"/>
      </w:pPr>
      <w:r>
        <w:t>As respondentes que se autodeclararam pretas (70%) foram as que mais relataram perceber uma cobrança maior direcionada às mulheres, seguidas pelas brancas (53,6%). Entre as mulheres pardas, as percepções ficaram divididas (48,9% sim; 48,9% não), enquanto entre as amarelas o índice foi menor (25%). No recorte por orientação sexual, 60% das mulheres homossexuais perceberam maior cobrança. Já entre heterossexuais, a percepção foi relativamente equilibrada (53,2% sim; 45,8% não), padrão semelhante ao observado entre bissexuais (50% sim; 50% não). Situação parecida se verificou entre mulheres com deficiência, que também apresentaram percepções equilibradas (46,7% sim; 46,7% não). Na análise por faixa etária, as maiores percepções de cobrança ocorreram entre mulheres que têm entre 30 e 49 anos (54,9% de 30 a 39 anos e 59,8% de 40 a 49 anos). Quanto ao tempo de serviço, os maiores percentuais foram registrados entre aquelas com 2 a 4 anos (63,3%) e com 10 a 15 anos (63%) de a</w:t>
      </w:r>
      <w:r w:rsidR="009F6307">
        <w:t>tuação na instituição (Figura 2</w:t>
      </w:r>
      <w:r>
        <w:t>).</w:t>
      </w:r>
    </w:p>
    <w:p w14:paraId="5FFE6423" w14:textId="2BEC749A" w:rsidR="001E59BF" w:rsidRDefault="001E59BF" w:rsidP="007D4BEF">
      <w:pPr>
        <w:pStyle w:val="Texto"/>
      </w:pPr>
      <w:r>
        <w:br w:type="page"/>
      </w:r>
    </w:p>
    <w:p w14:paraId="1A4620B0" w14:textId="63ABE243" w:rsidR="009F6307" w:rsidRDefault="009F6307" w:rsidP="00FB5A95">
      <w:pPr>
        <w:pStyle w:val="TtulodaIlustrao"/>
      </w:pPr>
      <w:bookmarkStart w:id="109" w:name="_Toc208510684"/>
      <w:r>
        <w:lastRenderedPageBreak/>
        <w:t xml:space="preserve">Figura </w:t>
      </w:r>
      <w:r>
        <w:fldChar w:fldCharType="begin"/>
      </w:r>
      <w:r>
        <w:instrText xml:space="preserve"> SEQ Figura \* ARABIC </w:instrText>
      </w:r>
      <w:r>
        <w:fldChar w:fldCharType="separate"/>
      </w:r>
      <w:r w:rsidR="00D85D1E">
        <w:t>2</w:t>
      </w:r>
      <w:r>
        <w:fldChar w:fldCharType="end"/>
      </w:r>
      <w:r w:rsidRPr="007D4BEF">
        <w:rPr>
          <w:b w:val="0"/>
        </w:rPr>
        <w:t xml:space="preserve"> - Percepção feminina sobre cobranças por comportamento e vestimenta, por perfil (%)</w:t>
      </w:r>
      <w:bookmarkEnd w:id="109"/>
    </w:p>
    <w:p w14:paraId="07733842" w14:textId="2B35F8E3" w:rsidR="005226FB" w:rsidRDefault="009F6307" w:rsidP="009F6307">
      <w:pPr>
        <w:spacing w:line="360" w:lineRule="auto"/>
        <w:jc w:val="center"/>
      </w:pPr>
      <w:r>
        <w:rPr>
          <w:noProof/>
        </w:rPr>
        <w:drawing>
          <wp:inline distT="114300" distB="114300" distL="114300" distR="114300" wp14:anchorId="5099E73E" wp14:editId="6927FCFD">
            <wp:extent cx="5676900" cy="6000750"/>
            <wp:effectExtent l="0" t="0" r="0" b="0"/>
            <wp:docPr id="4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8"/>
                    <a:srcRect/>
                    <a:stretch>
                      <a:fillRect/>
                    </a:stretch>
                  </pic:blipFill>
                  <pic:spPr>
                    <a:xfrm>
                      <a:off x="0" y="0"/>
                      <a:ext cx="5682314" cy="6006473"/>
                    </a:xfrm>
                    <a:prstGeom prst="rect">
                      <a:avLst/>
                    </a:prstGeom>
                    <a:ln/>
                  </pic:spPr>
                </pic:pic>
              </a:graphicData>
            </a:graphic>
          </wp:inline>
        </w:drawing>
      </w:r>
    </w:p>
    <w:p w14:paraId="7FFED620" w14:textId="5538726E" w:rsidR="005226FB" w:rsidRPr="009F6307" w:rsidRDefault="005226FB" w:rsidP="001E59BF">
      <w:pPr>
        <w:pStyle w:val="Fonte"/>
      </w:pPr>
      <w:r>
        <w:t xml:space="preserve">Fonte: </w:t>
      </w:r>
      <w:r w:rsidRPr="009F6307">
        <w:rPr>
          <w:b w:val="0"/>
        </w:rPr>
        <w:t>Dados da Pesquisa de Percepção da Participação Feminina no TST e no CSJT, 2025. Compilação e elaboração: CPJUD/SEPJD/CPJED</w:t>
      </w:r>
      <w:r w:rsidR="009F6307" w:rsidRPr="009F6307">
        <w:rPr>
          <w:b w:val="0"/>
        </w:rPr>
        <w:t>.</w:t>
      </w:r>
    </w:p>
    <w:p w14:paraId="718AC4D1" w14:textId="77777777" w:rsidR="009F6307" w:rsidRPr="007D4BEF" w:rsidRDefault="009F6307" w:rsidP="007D4BEF">
      <w:pPr>
        <w:pStyle w:val="Texto"/>
      </w:pPr>
    </w:p>
    <w:p w14:paraId="4712BED1" w14:textId="1951E128" w:rsidR="005226FB" w:rsidRPr="007D4BEF" w:rsidRDefault="005226FB" w:rsidP="007D4BEF">
      <w:pPr>
        <w:pStyle w:val="Texto"/>
      </w:pPr>
      <w:r w:rsidRPr="007D4BEF">
        <w:t xml:space="preserve">Em espaços de reunião e conversas em grupo no TST/CSJT, 73% das mulheres que responderam ao questionário afirmaram sentir </w:t>
      </w:r>
      <w:r w:rsidR="00C516C5" w:rsidRPr="007D4BEF">
        <w:t xml:space="preserve">que suas falas são respeitadas. Entre os homens, </w:t>
      </w:r>
      <w:r w:rsidRPr="007D4BEF">
        <w:t>87,9% compart</w:t>
      </w:r>
      <w:r w:rsidR="009F6307" w:rsidRPr="007D4BEF">
        <w:t xml:space="preserve">ilham dessa percepção (Gráfico </w:t>
      </w:r>
      <w:r w:rsidR="006A22B9" w:rsidRPr="007D4BEF">
        <w:t>40</w:t>
      </w:r>
      <w:r w:rsidRPr="007D4BEF">
        <w:t>).</w:t>
      </w:r>
      <w:bookmarkStart w:id="110" w:name="_cjw7mvv7k2ga" w:colFirst="0" w:colLast="0"/>
      <w:bookmarkEnd w:id="110"/>
    </w:p>
    <w:p w14:paraId="3B5033B4" w14:textId="77777777" w:rsidR="009F6307" w:rsidRPr="007D4BEF" w:rsidRDefault="009F6307" w:rsidP="007D4BEF">
      <w:pPr>
        <w:pStyle w:val="Texto"/>
      </w:pPr>
    </w:p>
    <w:p w14:paraId="0EDC4554" w14:textId="3DB0C2DE" w:rsidR="001E59BF" w:rsidRDefault="001E59BF" w:rsidP="007D4BEF">
      <w:pPr>
        <w:pStyle w:val="Texto"/>
      </w:pPr>
      <w:r>
        <w:br w:type="page"/>
      </w:r>
    </w:p>
    <w:p w14:paraId="100DF2E4" w14:textId="4C2C978A" w:rsidR="009F6307" w:rsidRDefault="009F6307" w:rsidP="00FB5A95">
      <w:pPr>
        <w:pStyle w:val="TtulodaIlustrao"/>
      </w:pPr>
      <w:bookmarkStart w:id="111" w:name="_Toc208508663"/>
      <w:r>
        <w:lastRenderedPageBreak/>
        <w:t xml:space="preserve">Gráfico </w:t>
      </w:r>
      <w:r w:rsidR="00DB4DAE">
        <w:fldChar w:fldCharType="begin"/>
      </w:r>
      <w:r w:rsidR="00DB4DAE">
        <w:instrText xml:space="preserve"> SEQ Gráfico \* ARABIC </w:instrText>
      </w:r>
      <w:r w:rsidR="00DB4DAE">
        <w:fldChar w:fldCharType="separate"/>
      </w:r>
      <w:r w:rsidR="00D85D1E">
        <w:t>8</w:t>
      </w:r>
      <w:r w:rsidR="00DB4DAE">
        <w:fldChar w:fldCharType="end"/>
      </w:r>
      <w:r w:rsidR="001904A0">
        <w:t>0</w:t>
      </w:r>
      <w:r w:rsidRPr="007D4BEF">
        <w:rPr>
          <w:b w:val="0"/>
        </w:rPr>
        <w:t xml:space="preserve"> - Percepção sobre o respeito a fala de mulheres em reuniões e conversas de grupo, por gênero (%)</w:t>
      </w:r>
      <w:bookmarkEnd w:id="111"/>
    </w:p>
    <w:p w14:paraId="352F3DFB" w14:textId="7351C14E" w:rsidR="005226FB" w:rsidRPr="007D4BEF" w:rsidRDefault="009F6307" w:rsidP="009F6307">
      <w:pPr>
        <w:spacing w:line="360" w:lineRule="auto"/>
        <w:jc w:val="center"/>
        <w:rPr>
          <w:color w:val="000000" w:themeColor="text1"/>
        </w:rPr>
      </w:pPr>
      <w:r w:rsidRPr="007D4BEF">
        <w:rPr>
          <w:noProof/>
          <w:color w:val="000000" w:themeColor="text1"/>
        </w:rPr>
        <w:drawing>
          <wp:inline distT="114300" distB="114300" distL="114300" distR="114300" wp14:anchorId="2271C466" wp14:editId="4201B5AB">
            <wp:extent cx="4476465" cy="2627194"/>
            <wp:effectExtent l="0" t="0" r="635" b="1905"/>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59"/>
                    <a:srcRect l="1196" t="3445" r="747" b="1827"/>
                    <a:stretch/>
                  </pic:blipFill>
                  <pic:spPr bwMode="auto">
                    <a:xfrm>
                      <a:off x="0" y="0"/>
                      <a:ext cx="4479284" cy="2628848"/>
                    </a:xfrm>
                    <a:prstGeom prst="rect">
                      <a:avLst/>
                    </a:prstGeom>
                    <a:ln>
                      <a:noFill/>
                    </a:ln>
                    <a:extLst>
                      <a:ext uri="{53640926-AAD7-44D8-BBD7-CCE9431645EC}">
                        <a14:shadowObscured xmlns:a14="http://schemas.microsoft.com/office/drawing/2010/main"/>
                      </a:ext>
                    </a:extLst>
                  </pic:spPr>
                </pic:pic>
              </a:graphicData>
            </a:graphic>
          </wp:inline>
        </w:drawing>
      </w:r>
    </w:p>
    <w:p w14:paraId="1BB1BFF2" w14:textId="58EBE649" w:rsidR="005226FB" w:rsidRDefault="005226FB" w:rsidP="001E59BF">
      <w:pPr>
        <w:pStyle w:val="Fonte"/>
        <w:rPr>
          <w:b w:val="0"/>
        </w:rPr>
      </w:pPr>
      <w:r>
        <w:t xml:space="preserve">Fonte: </w:t>
      </w:r>
      <w:r w:rsidRPr="009F6307">
        <w:rPr>
          <w:b w:val="0"/>
        </w:rPr>
        <w:t>Dados da Pesquisa de Percepção da Participação Feminina no TST e no CSJT, 2025. Compilação e elaboração: CPJUD/SEPJD/CPJED</w:t>
      </w:r>
      <w:r w:rsidR="009F6307" w:rsidRPr="009F6307">
        <w:rPr>
          <w:b w:val="0"/>
        </w:rPr>
        <w:t>.</w:t>
      </w:r>
    </w:p>
    <w:p w14:paraId="6CEE5941" w14:textId="77777777" w:rsidR="009F6307" w:rsidRPr="009F6307" w:rsidRDefault="009F6307" w:rsidP="007D4BEF">
      <w:pPr>
        <w:pStyle w:val="Texto"/>
      </w:pPr>
    </w:p>
    <w:p w14:paraId="0D1D657C" w14:textId="48FD9D71" w:rsidR="005226FB" w:rsidRDefault="00C516C5" w:rsidP="007D4BEF">
      <w:pPr>
        <w:pStyle w:val="Texto"/>
      </w:pPr>
      <w:r>
        <w:t>C</w:t>
      </w:r>
      <w:r w:rsidR="009F6307">
        <w:t>onforme ilustrado na Figura 3</w:t>
      </w:r>
      <w:r>
        <w:t xml:space="preserve">, </w:t>
      </w:r>
      <w:r w:rsidR="005226FB">
        <w:t>a percepção</w:t>
      </w:r>
      <w:r>
        <w:t xml:space="preserve"> feminina</w:t>
      </w:r>
      <w:r w:rsidR="005226FB">
        <w:t xml:space="preserve"> não se mantém de forma uniforme entre os diferentes grupos raciais das mulheres respondentes. Enquanto 74% das mulheres brancas, 78,7% das pardas e 75% das amarelas relataram sentir-se respeitadas nesses espaços, apenas 30% das mulheres pretas compartilham dessa percepção — sendo que outras 30% declararam não saber responder.</w:t>
      </w:r>
    </w:p>
    <w:p w14:paraId="3BCAECDC" w14:textId="77777777" w:rsidR="005226FB" w:rsidRDefault="005226FB" w:rsidP="007D4BEF">
      <w:pPr>
        <w:pStyle w:val="Texto"/>
      </w:pPr>
      <w:r>
        <w:t>Em relação aos demais marcadores, os dados indicam que a percepção positiva supera 60% entre as mulheres heterossexuais, homossexuais e bissexuais. No recorte etário, o maior percentual de percepção negativa (28,6%) foi registrado entre mulheres de 50 a 59 anos. Já as mulheres mais jovens (menores de 18 anos e de 18 a 29 anos) e aquelas com até um ano de serviço apresentaram os maiores índices de resposta “não sei responder”. Além disso, mulheres com deficiência relataram um percentual mais elevado de percepção negativa (26,7%) em comparação às sem deficiência (16,8%).</w:t>
      </w:r>
    </w:p>
    <w:p w14:paraId="1F2CD6AD" w14:textId="77777777" w:rsidR="009F6307" w:rsidRDefault="009F6307" w:rsidP="007D4BEF">
      <w:pPr>
        <w:pStyle w:val="Texto"/>
      </w:pPr>
    </w:p>
    <w:p w14:paraId="7FD84AC5" w14:textId="27B95CD5" w:rsidR="001E59BF" w:rsidRDefault="001E59BF" w:rsidP="007D4BEF">
      <w:pPr>
        <w:pStyle w:val="Texto"/>
      </w:pPr>
      <w:r>
        <w:br w:type="page"/>
      </w:r>
    </w:p>
    <w:p w14:paraId="7AAA9760" w14:textId="461C51C9" w:rsidR="009F6307" w:rsidRDefault="009F6307" w:rsidP="00FB5A95">
      <w:pPr>
        <w:pStyle w:val="TtulodaIlustrao"/>
      </w:pPr>
      <w:bookmarkStart w:id="112" w:name="_Toc208510685"/>
      <w:r>
        <w:lastRenderedPageBreak/>
        <w:t xml:space="preserve">Figura </w:t>
      </w:r>
      <w:r>
        <w:fldChar w:fldCharType="begin"/>
      </w:r>
      <w:r>
        <w:instrText xml:space="preserve"> SEQ Figura \* ARABIC </w:instrText>
      </w:r>
      <w:r>
        <w:fldChar w:fldCharType="separate"/>
      </w:r>
      <w:r w:rsidR="00D85D1E">
        <w:t>3</w:t>
      </w:r>
      <w:r>
        <w:fldChar w:fldCharType="end"/>
      </w:r>
      <w:r w:rsidRPr="007D4BEF">
        <w:rPr>
          <w:b w:val="0"/>
        </w:rPr>
        <w:t xml:space="preserve"> - Percepção feminina sobre o respeito a fala de mulheres em reuniões e conversas de grupo, por perfil (%)</w:t>
      </w:r>
      <w:bookmarkEnd w:id="112"/>
    </w:p>
    <w:p w14:paraId="2F7D0DDE" w14:textId="77777777" w:rsidR="005226FB" w:rsidRDefault="005226FB" w:rsidP="009F6307">
      <w:pPr>
        <w:spacing w:line="360" w:lineRule="auto"/>
        <w:jc w:val="center"/>
      </w:pPr>
      <w:r>
        <w:rPr>
          <w:noProof/>
        </w:rPr>
        <w:drawing>
          <wp:inline distT="114300" distB="114300" distL="114300" distR="114300" wp14:anchorId="24B73723" wp14:editId="18D72352">
            <wp:extent cx="5829300" cy="5819775"/>
            <wp:effectExtent l="0" t="0" r="0" b="9525"/>
            <wp:docPr id="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0"/>
                    <a:srcRect/>
                    <a:stretch>
                      <a:fillRect/>
                    </a:stretch>
                  </pic:blipFill>
                  <pic:spPr>
                    <a:xfrm>
                      <a:off x="0" y="0"/>
                      <a:ext cx="5834192" cy="5824659"/>
                    </a:xfrm>
                    <a:prstGeom prst="rect">
                      <a:avLst/>
                    </a:prstGeom>
                    <a:ln/>
                  </pic:spPr>
                </pic:pic>
              </a:graphicData>
            </a:graphic>
          </wp:inline>
        </w:drawing>
      </w:r>
    </w:p>
    <w:p w14:paraId="1E6812C3" w14:textId="3C3A6AE0" w:rsidR="005226FB" w:rsidRDefault="005226FB" w:rsidP="001E59BF">
      <w:pPr>
        <w:pStyle w:val="Fonte"/>
        <w:rPr>
          <w:b w:val="0"/>
        </w:rPr>
      </w:pPr>
      <w:r>
        <w:t xml:space="preserve">Fonte: </w:t>
      </w:r>
      <w:r w:rsidRPr="009F6307">
        <w:rPr>
          <w:b w:val="0"/>
        </w:rPr>
        <w:t>Dados da Pesquisa de Percepção da Participação Feminina no TST e no CSJT, 2025. Compilação e elaboração: CPJUD/SEPJD/CPJED</w:t>
      </w:r>
      <w:r w:rsidR="009F6307" w:rsidRPr="009F6307">
        <w:rPr>
          <w:b w:val="0"/>
        </w:rPr>
        <w:t>.</w:t>
      </w:r>
    </w:p>
    <w:p w14:paraId="2822E4D3" w14:textId="77777777" w:rsidR="009F6307" w:rsidRPr="009F6307" w:rsidRDefault="009F6307" w:rsidP="007D4BEF">
      <w:pPr>
        <w:pStyle w:val="Texto"/>
      </w:pPr>
    </w:p>
    <w:p w14:paraId="19A4871A" w14:textId="653036E1" w:rsidR="005226FB" w:rsidRDefault="00C516C5" w:rsidP="007D4BEF">
      <w:pPr>
        <w:pStyle w:val="Texto"/>
      </w:pPr>
      <w:r>
        <w:t xml:space="preserve">A pesquisa também investigou </w:t>
      </w:r>
      <w:r w:rsidR="005226FB">
        <w:t xml:space="preserve">a percepção de </w:t>
      </w:r>
      <w:r w:rsidR="005226FB">
        <w:rPr>
          <w:i/>
        </w:rPr>
        <w:t>manterrupting</w:t>
      </w:r>
      <w:r w:rsidR="005226FB">
        <w:rPr>
          <w:i/>
          <w:vertAlign w:val="superscript"/>
        </w:rPr>
        <w:footnoteReference w:id="68"/>
      </w:r>
      <w:r w:rsidR="005226FB">
        <w:t xml:space="preserve">, ou seja, a prática de interrupções recorrentes realizadas por homens durante a fala de mulheres, especialmente em ambientes profissionais, como reuniões e espaços de discussão. </w:t>
      </w:r>
    </w:p>
    <w:p w14:paraId="729D144D" w14:textId="2DAE1CDE" w:rsidR="009F6307" w:rsidRPr="009F6307" w:rsidRDefault="005226FB" w:rsidP="007D4BEF">
      <w:pPr>
        <w:pStyle w:val="Texto"/>
      </w:pPr>
      <w:r>
        <w:lastRenderedPageBreak/>
        <w:t xml:space="preserve">Conforme demonstrado </w:t>
      </w:r>
      <w:r w:rsidR="009F6307">
        <w:t xml:space="preserve">no Gráfico </w:t>
      </w:r>
      <w:r w:rsidR="006A22B9">
        <w:t>41</w:t>
      </w:r>
      <w:r>
        <w:t>, 68,9% das mulheres participantes da pesquisa não sentem que suas falas sejam frequentemente interrompidas por homens em reuniões ou conversas de grupo. Entre os homens, 84,5% declararam não perceber a ocorrência dessas interrupções.</w:t>
      </w:r>
    </w:p>
    <w:p w14:paraId="065C009B" w14:textId="508CB34D" w:rsidR="005226FB" w:rsidRPr="001E59BF" w:rsidRDefault="005226FB" w:rsidP="007D4BEF">
      <w:pPr>
        <w:pStyle w:val="Texto"/>
      </w:pPr>
      <w:bookmarkStart w:id="113" w:name="_mjknd7kgld64" w:colFirst="0" w:colLast="0"/>
      <w:bookmarkEnd w:id="113"/>
    </w:p>
    <w:p w14:paraId="7536ABE4" w14:textId="36F0D891" w:rsidR="009F6307" w:rsidRDefault="009F6307" w:rsidP="00FB5A95">
      <w:pPr>
        <w:pStyle w:val="TtulodaIlustrao"/>
      </w:pPr>
      <w:bookmarkStart w:id="114" w:name="_Toc208508664"/>
      <w:r>
        <w:t xml:space="preserve">Gráfico </w:t>
      </w:r>
      <w:r w:rsidR="00120422">
        <w:t>4</w:t>
      </w:r>
      <w:r w:rsidR="001904A0">
        <w:t>1</w:t>
      </w:r>
      <w:r w:rsidRPr="007D4BEF">
        <w:rPr>
          <w:b w:val="0"/>
        </w:rPr>
        <w:t xml:space="preserve"> - Percepção sobre a interrupção frequente de mulheres por homens em espaços de reunião e conversas de grupo, por gênero (%)</w:t>
      </w:r>
      <w:bookmarkEnd w:id="114"/>
    </w:p>
    <w:p w14:paraId="128FF07C" w14:textId="225845F2" w:rsidR="005226FB" w:rsidRDefault="00597DE3" w:rsidP="00597DE3">
      <w:pPr>
        <w:spacing w:line="360" w:lineRule="auto"/>
        <w:jc w:val="center"/>
      </w:pPr>
      <w:r>
        <w:rPr>
          <w:noProof/>
        </w:rPr>
        <w:drawing>
          <wp:inline distT="114300" distB="114300" distL="114300" distR="114300" wp14:anchorId="2F8027F0" wp14:editId="417B434A">
            <wp:extent cx="4728949" cy="2640842"/>
            <wp:effectExtent l="0" t="0" r="0" b="762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61"/>
                    <a:srcRect l="851" t="1746" r="851" b="1663"/>
                    <a:stretch/>
                  </pic:blipFill>
                  <pic:spPr bwMode="auto">
                    <a:xfrm>
                      <a:off x="0" y="0"/>
                      <a:ext cx="4732107" cy="2642606"/>
                    </a:xfrm>
                    <a:prstGeom prst="rect">
                      <a:avLst/>
                    </a:prstGeom>
                    <a:ln>
                      <a:noFill/>
                    </a:ln>
                    <a:extLst>
                      <a:ext uri="{53640926-AAD7-44D8-BBD7-CCE9431645EC}">
                        <a14:shadowObscured xmlns:a14="http://schemas.microsoft.com/office/drawing/2010/main"/>
                      </a:ext>
                    </a:extLst>
                  </pic:spPr>
                </pic:pic>
              </a:graphicData>
            </a:graphic>
          </wp:inline>
        </w:drawing>
      </w:r>
    </w:p>
    <w:p w14:paraId="37098509" w14:textId="1DFD2B13" w:rsidR="005226FB" w:rsidRDefault="005226FB" w:rsidP="001E59BF">
      <w:pPr>
        <w:pStyle w:val="Fonte"/>
      </w:pPr>
      <w:r>
        <w:t xml:space="preserve">Fonte: </w:t>
      </w:r>
      <w:r w:rsidRPr="009F6307">
        <w:rPr>
          <w:b w:val="0"/>
        </w:rPr>
        <w:t>Dados da Pesquisa de Percepção da Participação Feminina no TST e no CSJT, 2025. Compilação e elaboração: CPJUD/SEPJD/CPJED</w:t>
      </w:r>
      <w:r w:rsidR="009F6307" w:rsidRPr="009F6307">
        <w:rPr>
          <w:b w:val="0"/>
        </w:rPr>
        <w:t>.</w:t>
      </w:r>
    </w:p>
    <w:p w14:paraId="034188C2" w14:textId="77777777" w:rsidR="005226FB" w:rsidRDefault="005226FB" w:rsidP="007D4BEF">
      <w:pPr>
        <w:pStyle w:val="Texto"/>
      </w:pPr>
    </w:p>
    <w:p w14:paraId="14BF9816" w14:textId="07FBFD48" w:rsidR="005226FB" w:rsidRDefault="005226FB" w:rsidP="007D4BEF">
      <w:pPr>
        <w:pStyle w:val="Texto"/>
      </w:pPr>
      <w:r>
        <w:t xml:space="preserve">Para aprofundar a análise da percepção das respondentes sobre o respeito à fala de mulheres em reuniões e conversas de grupo, foram cruzadas as respostas femininas relativas à experiência de </w:t>
      </w:r>
      <w:r>
        <w:rPr>
          <w:i/>
        </w:rPr>
        <w:t>manterrupting</w:t>
      </w:r>
      <w:r>
        <w:t xml:space="preserve"> com a</w:t>
      </w:r>
      <w:r w:rsidR="003A4D38">
        <w:t xml:space="preserve">s da questão anterior (Gráfico </w:t>
      </w:r>
      <w:r w:rsidR="006A22B9">
        <w:t>42</w:t>
      </w:r>
      <w:r>
        <w:t xml:space="preserve">). O resultado mostra que, entre aquelas que relataram sentir-se respeitadas, 80,3% não percebem interrupções frequentes em suas falas por homens, o que indica coerência entre as respostas. Entretanto, 15,2% desse mesmo grupo afirmaram sofrer esse tipo de interrupção de forma recorrente, mesmo considerando que suas falas são, em geral, respeitadas no ambiente de trabalho. Essa aparente contradição nas respostas desse grupo sugere que a definição explícita de </w:t>
      </w:r>
      <w:r>
        <w:rPr>
          <w:i/>
        </w:rPr>
        <w:t>manterrupting</w:t>
      </w:r>
      <w:r>
        <w:t xml:space="preserve"> pode ter facilitado a identificação de situações previamente não reconhecidas como interrupções de gênero. </w:t>
      </w:r>
      <w:bookmarkStart w:id="115" w:name="_mgnc6wlgj5fu" w:colFirst="0" w:colLast="0"/>
      <w:bookmarkEnd w:id="115"/>
    </w:p>
    <w:p w14:paraId="7982181B" w14:textId="77777777" w:rsidR="003A4D38" w:rsidRDefault="003A4D38" w:rsidP="007D4BEF">
      <w:pPr>
        <w:pStyle w:val="Texto"/>
      </w:pPr>
    </w:p>
    <w:p w14:paraId="38383257" w14:textId="3117CE33" w:rsidR="003A4D38" w:rsidRDefault="003A4D38" w:rsidP="00FB5A95">
      <w:pPr>
        <w:pStyle w:val="TtulodaIlustrao"/>
      </w:pPr>
      <w:bookmarkStart w:id="116" w:name="_Toc208508665"/>
      <w:r>
        <w:lastRenderedPageBreak/>
        <w:t xml:space="preserve">Gráfico </w:t>
      </w:r>
      <w:r w:rsidR="00120422">
        <w:t>4</w:t>
      </w:r>
      <w:r w:rsidR="001904A0">
        <w:t>2</w:t>
      </w:r>
      <w:r w:rsidRPr="007D4BEF">
        <w:rPr>
          <w:b w:val="0"/>
        </w:rPr>
        <w:t xml:space="preserve"> - Percepção de Manterrupting entre mulheres que se sentem respeitadas em reuniões e conversas de grupo (%)</w:t>
      </w:r>
      <w:bookmarkEnd w:id="116"/>
    </w:p>
    <w:p w14:paraId="153A33B7" w14:textId="1719C2AB" w:rsidR="005226FB" w:rsidRDefault="00597DE3" w:rsidP="00597DE3">
      <w:pPr>
        <w:spacing w:line="360" w:lineRule="auto"/>
        <w:jc w:val="center"/>
      </w:pPr>
      <w:r>
        <w:rPr>
          <w:noProof/>
        </w:rPr>
        <w:drawing>
          <wp:inline distT="114300" distB="114300" distL="114300" distR="114300" wp14:anchorId="524DD6F6" wp14:editId="3342B3BF">
            <wp:extent cx="4640238" cy="2681341"/>
            <wp:effectExtent l="0" t="0" r="8255" b="5080"/>
            <wp:docPr id="6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rotWithShape="1">
                    <a:blip r:embed="rId62"/>
                    <a:srcRect l="1297" t="1718" r="721" b="1720"/>
                    <a:stretch/>
                  </pic:blipFill>
                  <pic:spPr bwMode="auto">
                    <a:xfrm>
                      <a:off x="0" y="0"/>
                      <a:ext cx="4656355" cy="2690654"/>
                    </a:xfrm>
                    <a:prstGeom prst="rect">
                      <a:avLst/>
                    </a:prstGeom>
                    <a:ln>
                      <a:noFill/>
                    </a:ln>
                    <a:extLst>
                      <a:ext uri="{53640926-AAD7-44D8-BBD7-CCE9431645EC}">
                        <a14:shadowObscured xmlns:a14="http://schemas.microsoft.com/office/drawing/2010/main"/>
                      </a:ext>
                    </a:extLst>
                  </pic:spPr>
                </pic:pic>
              </a:graphicData>
            </a:graphic>
          </wp:inline>
        </w:drawing>
      </w:r>
    </w:p>
    <w:p w14:paraId="1E7C924F" w14:textId="26A8D956" w:rsidR="005226FB" w:rsidRPr="003A4D38" w:rsidRDefault="005226FB" w:rsidP="001E59BF">
      <w:pPr>
        <w:pStyle w:val="Fonte"/>
      </w:pPr>
      <w:r>
        <w:t xml:space="preserve">Fonte: </w:t>
      </w:r>
      <w:r w:rsidRPr="003A4D38">
        <w:rPr>
          <w:b w:val="0"/>
        </w:rPr>
        <w:t>Dados da Pesquisa de Percepção da Participação Feminina no TST e no CSJT, 2025. Compilação e elaboração: CPJUD/SEPJD/CPJED</w:t>
      </w:r>
      <w:r w:rsidR="003A4D38" w:rsidRPr="003A4D38">
        <w:rPr>
          <w:b w:val="0"/>
        </w:rPr>
        <w:t>.</w:t>
      </w:r>
    </w:p>
    <w:p w14:paraId="36A675C2" w14:textId="77777777" w:rsidR="003A4D38" w:rsidRDefault="003A4D38" w:rsidP="007D4BEF">
      <w:pPr>
        <w:pStyle w:val="Texto"/>
      </w:pPr>
    </w:p>
    <w:p w14:paraId="7059AE41" w14:textId="02D59243" w:rsidR="005226FB" w:rsidRDefault="003A4D38" w:rsidP="007D4BEF">
      <w:pPr>
        <w:pStyle w:val="Texto"/>
      </w:pPr>
      <w:r>
        <w:t>A Figura 4</w:t>
      </w:r>
      <w:r w:rsidR="005226FB">
        <w:t xml:space="preserve"> apresenta a relação entre a percepção de </w:t>
      </w:r>
      <w:r w:rsidR="005226FB">
        <w:rPr>
          <w:i/>
        </w:rPr>
        <w:t>manterrupting</w:t>
      </w:r>
      <w:r w:rsidR="005226FB">
        <w:t xml:space="preserve"> e as características das respondentes. Mulheres pretas reportaram maior incidência de interrupções frequentes (30%) em comparação com mulheres brancas (23,8%) e pardas (19,1%), além de registrarem o maior percentual de respostas “não sei” (20%). A percepção de interrupções também é mais elevada entre mulheres de 30 a 59 anos, especialmente na faixa de 50 a 59 anos (28,6%), e cresce conforme o tempo de serviço, alcançando 28,9% entre aquelas com mais de 20 anos na instituição. No recorte por orientação sexual, mulheres bissexuais apresentam o maior percentual (41,7%). Já as mulheres com deficiência reportaram, proporcionalmente, maior incidência de interrupções masculinas (33,3%) em comparação às sem deficiência (21,7%).</w:t>
      </w:r>
      <w:bookmarkStart w:id="117" w:name="_3uhjurjkqoc" w:colFirst="0" w:colLast="0"/>
      <w:bookmarkEnd w:id="117"/>
    </w:p>
    <w:p w14:paraId="439FD594" w14:textId="77777777" w:rsidR="003A4D38" w:rsidRDefault="003A4D38" w:rsidP="003A4D38">
      <w:pPr>
        <w:pStyle w:val="Texto"/>
        <w:ind w:firstLine="709"/>
      </w:pPr>
    </w:p>
    <w:p w14:paraId="6D5B025A" w14:textId="57761BD9" w:rsidR="007D4BEF" w:rsidRDefault="007D4BEF">
      <w:pPr>
        <w:rPr>
          <w:rFonts w:asciiTheme="minorHAnsi" w:hAnsiTheme="minorHAnsi" w:cstheme="minorHAnsi"/>
          <w:noProof/>
        </w:rPr>
      </w:pPr>
      <w:r>
        <w:br w:type="page"/>
      </w:r>
    </w:p>
    <w:p w14:paraId="010031A6" w14:textId="28C12B61" w:rsidR="003A4D38" w:rsidRDefault="003A4D38" w:rsidP="00FB5A95">
      <w:pPr>
        <w:pStyle w:val="TtulodaIlustrao"/>
      </w:pPr>
      <w:bookmarkStart w:id="118" w:name="_l10ffc3wwkcx" w:colFirst="0" w:colLast="0"/>
      <w:bookmarkStart w:id="119" w:name="_Toc208510686"/>
      <w:bookmarkEnd w:id="118"/>
      <w:r w:rsidRPr="007D4BEF">
        <w:lastRenderedPageBreak/>
        <w:t xml:space="preserve">Figura </w:t>
      </w:r>
      <w:r w:rsidRPr="007D4BEF">
        <w:fldChar w:fldCharType="begin"/>
      </w:r>
      <w:r w:rsidRPr="007D4BEF">
        <w:instrText xml:space="preserve"> SEQ Figura \* ARABIC </w:instrText>
      </w:r>
      <w:r w:rsidRPr="007D4BEF">
        <w:fldChar w:fldCharType="separate"/>
      </w:r>
      <w:r w:rsidR="00D85D1E">
        <w:t>4</w:t>
      </w:r>
      <w:r w:rsidRPr="007D4BEF">
        <w:fldChar w:fldCharType="end"/>
      </w:r>
      <w:r w:rsidRPr="007D4BEF">
        <w:rPr>
          <w:b w:val="0"/>
        </w:rPr>
        <w:t xml:space="preserve"> - Percepção feminina sobre a interrupção frequente de mulheres por homens em espaços de reunião e conversas de grupo, por perfil (%)</w:t>
      </w:r>
      <w:bookmarkEnd w:id="119"/>
    </w:p>
    <w:p w14:paraId="0E2EC3C4" w14:textId="77777777" w:rsidR="005226FB" w:rsidRDefault="005226FB" w:rsidP="003A4D38">
      <w:pPr>
        <w:spacing w:line="360" w:lineRule="auto"/>
        <w:jc w:val="center"/>
      </w:pPr>
      <w:r>
        <w:rPr>
          <w:noProof/>
        </w:rPr>
        <w:drawing>
          <wp:inline distT="114300" distB="114300" distL="114300" distR="114300" wp14:anchorId="09621543" wp14:editId="372260D8">
            <wp:extent cx="5943600" cy="6096000"/>
            <wp:effectExtent l="0" t="0" r="0" b="0"/>
            <wp:docPr id="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3"/>
                    <a:srcRect/>
                    <a:stretch>
                      <a:fillRect/>
                    </a:stretch>
                  </pic:blipFill>
                  <pic:spPr>
                    <a:xfrm>
                      <a:off x="0" y="0"/>
                      <a:ext cx="5948538" cy="6101064"/>
                    </a:xfrm>
                    <a:prstGeom prst="rect">
                      <a:avLst/>
                    </a:prstGeom>
                    <a:ln/>
                  </pic:spPr>
                </pic:pic>
              </a:graphicData>
            </a:graphic>
          </wp:inline>
        </w:drawing>
      </w:r>
    </w:p>
    <w:p w14:paraId="3318EA0E" w14:textId="48D8F362" w:rsidR="005226FB" w:rsidRDefault="005226FB" w:rsidP="001E59BF">
      <w:pPr>
        <w:pStyle w:val="Fonte"/>
      </w:pPr>
      <w:r>
        <w:t xml:space="preserve">Fonte: </w:t>
      </w:r>
      <w:r w:rsidRPr="003A4D38">
        <w:rPr>
          <w:b w:val="0"/>
        </w:rPr>
        <w:t>Dados da Pesquisa de Percepção da Participação Feminina no TST e no CSJT, 2025. Compilação e elaboração: CPJUD/SEPJD/CPJED</w:t>
      </w:r>
      <w:r w:rsidR="003A4D38" w:rsidRPr="003A4D38">
        <w:rPr>
          <w:b w:val="0"/>
        </w:rPr>
        <w:t>.</w:t>
      </w:r>
    </w:p>
    <w:p w14:paraId="5DD7E93C" w14:textId="77777777" w:rsidR="005226FB" w:rsidRPr="001E59BF" w:rsidRDefault="005226FB" w:rsidP="007D4BEF">
      <w:pPr>
        <w:pStyle w:val="Texto"/>
      </w:pPr>
    </w:p>
    <w:p w14:paraId="1F214D04" w14:textId="3DABB2E3" w:rsidR="005226FB" w:rsidRDefault="005226FB" w:rsidP="007D4BEF">
      <w:pPr>
        <w:pStyle w:val="Texto"/>
      </w:pPr>
      <w:r w:rsidRPr="001E59BF">
        <w:t xml:space="preserve">A pesquisa também buscou compreender as percepções dos respondentes quanto à atribuição de tarefas tipicamente consideradas “femininas” a mulheres no TST/CSJT. Os dados revelam uma percepção alinhada entre as mulheres e os homens que responderam à pesquisa. Entre as mulheres, 46,3% relatam já terem sido incumbidas desse tipo de tarefa por sua condição de gênero, enquanto 50,4% não percebem essa prática. Do ponto de vista dos homens, 46,6% </w:t>
      </w:r>
      <w:r w:rsidRPr="001E59BF">
        <w:lastRenderedPageBreak/>
        <w:t>afirmam presenciar essa situação, número muito próximo ao reportado pelas mulheres, enquanto 48,3% não percebem (</w:t>
      </w:r>
      <w:r w:rsidR="003A4D38" w:rsidRPr="001E59BF">
        <w:t xml:space="preserve">Gráfico </w:t>
      </w:r>
      <w:r w:rsidR="006A22B9">
        <w:t>43</w:t>
      </w:r>
      <w:r w:rsidRPr="001E59BF">
        <w:t xml:space="preserve">). </w:t>
      </w:r>
      <w:bookmarkStart w:id="120" w:name="_yr0pbsdqfa9z" w:colFirst="0" w:colLast="0"/>
      <w:bookmarkEnd w:id="120"/>
    </w:p>
    <w:p w14:paraId="3CEA1337" w14:textId="77777777" w:rsidR="00C516C5" w:rsidRPr="001E59BF" w:rsidRDefault="00C516C5" w:rsidP="007D4BEF">
      <w:pPr>
        <w:pStyle w:val="Texto"/>
      </w:pPr>
    </w:p>
    <w:p w14:paraId="13F0DC4E" w14:textId="3FDA48A1" w:rsidR="003A4D38" w:rsidRDefault="003A4D38" w:rsidP="00FB5A95">
      <w:pPr>
        <w:pStyle w:val="TtulodaIlustrao"/>
      </w:pPr>
      <w:bookmarkStart w:id="121" w:name="_Toc208508666"/>
      <w:r>
        <w:t xml:space="preserve">Gráfico </w:t>
      </w:r>
      <w:r w:rsidR="00B2350F">
        <w:t>4</w:t>
      </w:r>
      <w:r w:rsidR="001904A0">
        <w:t>3</w:t>
      </w:r>
      <w:r w:rsidRPr="007D4BEF">
        <w:rPr>
          <w:b w:val="0"/>
        </w:rPr>
        <w:t xml:space="preserve"> - Percepção sobre a atribuição de tarefas associadas a estereótipos de gênero no TST/CSJT, por gênero (%)</w:t>
      </w:r>
      <w:bookmarkEnd w:id="121"/>
    </w:p>
    <w:p w14:paraId="5B944C99" w14:textId="41CDC62E" w:rsidR="005226FB" w:rsidRDefault="00C516C5" w:rsidP="00C516C5">
      <w:pPr>
        <w:spacing w:line="360" w:lineRule="auto"/>
        <w:jc w:val="center"/>
      </w:pPr>
      <w:r>
        <w:rPr>
          <w:noProof/>
        </w:rPr>
        <w:drawing>
          <wp:inline distT="114300" distB="114300" distL="114300" distR="114300" wp14:anchorId="0E38B339" wp14:editId="2875AECF">
            <wp:extent cx="4735773" cy="2770495"/>
            <wp:effectExtent l="0" t="0" r="8255" b="0"/>
            <wp:docPr id="5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rotWithShape="1">
                    <a:blip r:embed="rId64"/>
                    <a:srcRect l="992" t="2130" r="709" b="1836"/>
                    <a:stretch/>
                  </pic:blipFill>
                  <pic:spPr bwMode="auto">
                    <a:xfrm>
                      <a:off x="0" y="0"/>
                      <a:ext cx="4741771" cy="2774004"/>
                    </a:xfrm>
                    <a:prstGeom prst="rect">
                      <a:avLst/>
                    </a:prstGeom>
                    <a:ln>
                      <a:noFill/>
                    </a:ln>
                    <a:extLst>
                      <a:ext uri="{53640926-AAD7-44D8-BBD7-CCE9431645EC}">
                        <a14:shadowObscured xmlns:a14="http://schemas.microsoft.com/office/drawing/2010/main"/>
                      </a:ext>
                    </a:extLst>
                  </pic:spPr>
                </pic:pic>
              </a:graphicData>
            </a:graphic>
          </wp:inline>
        </w:drawing>
      </w:r>
    </w:p>
    <w:p w14:paraId="5DECFB02" w14:textId="186044FB" w:rsidR="005226FB" w:rsidRDefault="005226FB" w:rsidP="001E59BF">
      <w:pPr>
        <w:pStyle w:val="Fonte"/>
        <w:rPr>
          <w:b w:val="0"/>
        </w:rPr>
      </w:pPr>
      <w:r>
        <w:t xml:space="preserve">Fonte: </w:t>
      </w:r>
      <w:r w:rsidRPr="003A4D38">
        <w:rPr>
          <w:b w:val="0"/>
        </w:rPr>
        <w:t>Dados da Pesquisa de Percepção da Participação Feminina no TST e no CSJT, 2025. Compilação e elaboração: CPJUD/SEPJD/CPJED</w:t>
      </w:r>
      <w:r w:rsidR="003A4D38" w:rsidRPr="003A4D38">
        <w:rPr>
          <w:b w:val="0"/>
        </w:rPr>
        <w:t>.</w:t>
      </w:r>
    </w:p>
    <w:p w14:paraId="40430A0E" w14:textId="77777777" w:rsidR="003A4D38" w:rsidRPr="003A4D38" w:rsidRDefault="003A4D38" w:rsidP="007D4BEF">
      <w:pPr>
        <w:pStyle w:val="Texto"/>
      </w:pPr>
    </w:p>
    <w:p w14:paraId="67666B4B" w14:textId="77777777" w:rsidR="005226FB" w:rsidRDefault="005226FB" w:rsidP="007D4BEF">
      <w:pPr>
        <w:pStyle w:val="Texto"/>
      </w:pPr>
      <w:r>
        <w:t xml:space="preserve">Nos cruzamentos das respostas das participantes, verifica-se que mulheres com até 1 ano no TST/CSJT apresentam o menor índice de percepção dessa prática (3,8%). Por outro lado, esse percentual cresce de forma significativa entre aquelas com 2 a 4 anos (53,3%), 4 a 10 anos (64,1%) e 15 a 20 anos (71,9%) de atuação. A análise indica que essa percepção está distribuída de forma relativamente similar entre mulheres brancas, pretas e pardas. No recorte por orientação sexual, os percentuais não ultrapassaram 50% entre heterossexuais, homossexuais e bissexuais. </w:t>
      </w:r>
    </w:p>
    <w:p w14:paraId="5F2F07D7" w14:textId="0FC8C2B2" w:rsidR="005226FB" w:rsidRDefault="005226FB" w:rsidP="007D4BEF">
      <w:pPr>
        <w:pStyle w:val="Texto"/>
      </w:pPr>
      <w:r>
        <w:t>Destaca-se, porém, que a maioria das mulheres com deficiência (53,3%) declarou já ter sido incumbida de tarefas consideradas “femininas”, pelo fato de serem mulheres. Em relação à faixa etária, os maiores percentuais foram observados entre mulheres de 40 a 49 anos (54,9%) e de 50 a 59 anos (52,4%). Já mulheres mais jovens e aquelas com 60 anos ou mais apresentam menor perc</w:t>
      </w:r>
      <w:r w:rsidR="003A4D38">
        <w:t xml:space="preserve">epção desse fenômeno. A Figura </w:t>
      </w:r>
      <w:r>
        <w:t>5 detalha essas informações.</w:t>
      </w:r>
    </w:p>
    <w:p w14:paraId="2A4CBD04" w14:textId="14114920" w:rsidR="005226FB" w:rsidRDefault="005226FB" w:rsidP="007D4BEF">
      <w:pPr>
        <w:pStyle w:val="Texto"/>
      </w:pPr>
      <w:bookmarkStart w:id="122" w:name="_hd947sjfd40g" w:colFirst="0" w:colLast="0"/>
      <w:bookmarkEnd w:id="122"/>
    </w:p>
    <w:p w14:paraId="747C4067" w14:textId="5DBFA2F5" w:rsidR="001E59BF" w:rsidRDefault="001E59BF" w:rsidP="007D4BEF">
      <w:pPr>
        <w:pStyle w:val="Texto"/>
      </w:pPr>
      <w:r>
        <w:br w:type="page"/>
      </w:r>
    </w:p>
    <w:p w14:paraId="3AD09337" w14:textId="276576AE" w:rsidR="003A4D38" w:rsidRDefault="003A4D38" w:rsidP="00FB5A95">
      <w:pPr>
        <w:pStyle w:val="TtulodaIlustrao"/>
      </w:pPr>
      <w:bookmarkStart w:id="123" w:name="_Toc208510687"/>
      <w:r>
        <w:lastRenderedPageBreak/>
        <w:t xml:space="preserve">Figura </w:t>
      </w:r>
      <w:r>
        <w:fldChar w:fldCharType="begin"/>
      </w:r>
      <w:r>
        <w:instrText xml:space="preserve"> SEQ Figura \* ARABIC </w:instrText>
      </w:r>
      <w:r>
        <w:fldChar w:fldCharType="separate"/>
      </w:r>
      <w:r w:rsidR="00D85D1E">
        <w:t>5</w:t>
      </w:r>
      <w:r>
        <w:fldChar w:fldCharType="end"/>
      </w:r>
      <w:r w:rsidRPr="007D4BEF">
        <w:rPr>
          <w:b w:val="0"/>
        </w:rPr>
        <w:t xml:space="preserve"> - Percepção feminina sobre a atribuição de tarefas associadas a estereótipos de gênero no TST/CSJT (%), por perfil (%)</w:t>
      </w:r>
      <w:bookmarkEnd w:id="123"/>
    </w:p>
    <w:p w14:paraId="5CFC0A3C" w14:textId="77777777" w:rsidR="005226FB" w:rsidRDefault="005226FB" w:rsidP="003A4D38">
      <w:pPr>
        <w:spacing w:line="360" w:lineRule="auto"/>
        <w:jc w:val="both"/>
      </w:pPr>
      <w:r>
        <w:rPr>
          <w:noProof/>
        </w:rPr>
        <w:drawing>
          <wp:inline distT="114300" distB="114300" distL="114300" distR="114300" wp14:anchorId="3CF68707" wp14:editId="1E6379A5">
            <wp:extent cx="5991225" cy="5781675"/>
            <wp:effectExtent l="0" t="0" r="952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5996202" cy="5786478"/>
                    </a:xfrm>
                    <a:prstGeom prst="rect">
                      <a:avLst/>
                    </a:prstGeom>
                    <a:ln/>
                  </pic:spPr>
                </pic:pic>
              </a:graphicData>
            </a:graphic>
          </wp:inline>
        </w:drawing>
      </w:r>
    </w:p>
    <w:p w14:paraId="3B55731D" w14:textId="47933984" w:rsidR="005226FB" w:rsidRDefault="005226FB" w:rsidP="001E59BF">
      <w:pPr>
        <w:pStyle w:val="Fonte"/>
        <w:rPr>
          <w:b w:val="0"/>
        </w:rPr>
      </w:pPr>
      <w:r>
        <w:t xml:space="preserve">Fonte: </w:t>
      </w:r>
      <w:r w:rsidRPr="003A4D38">
        <w:rPr>
          <w:b w:val="0"/>
        </w:rPr>
        <w:t>Dados da Pesquisa de Percepção da Participação Feminina no TST e no CSJT, 2025. Compilação e elaboração: CPJUD/SEPJD/CPJED</w:t>
      </w:r>
      <w:r w:rsidR="003A4D38" w:rsidRPr="003A4D38">
        <w:rPr>
          <w:b w:val="0"/>
        </w:rPr>
        <w:t>.</w:t>
      </w:r>
    </w:p>
    <w:p w14:paraId="761267A4" w14:textId="77777777" w:rsidR="003A4D38" w:rsidRPr="003A4D38" w:rsidRDefault="003A4D38" w:rsidP="007D4BEF">
      <w:pPr>
        <w:pStyle w:val="Texto"/>
      </w:pPr>
    </w:p>
    <w:p w14:paraId="582DE032" w14:textId="2C61D7C7" w:rsidR="005226FB" w:rsidRDefault="005226FB" w:rsidP="007D4BEF">
      <w:pPr>
        <w:pStyle w:val="Texto"/>
      </w:pPr>
      <w:r>
        <w:t>Por fim, este bloco abordou a percepção dos respondentes sobre a presença de piadas e comentários considerados sexistas no ambiente de trabalho do TST/CSJT. Os dados revelam uma diferença significativa entre as percepções de mulheres e homens. A maioria das mulheres (58,6%) relatou já ter presenciado esse tipo de situação. Entre os homens, observa-se um padrão inverso: apenas 37,9% declararam ter presenciado</w:t>
      </w:r>
      <w:r w:rsidR="003A4D38">
        <w:t xml:space="preserve"> práticas semelhantes (Gráfico </w:t>
      </w:r>
      <w:r w:rsidR="006A22B9">
        <w:t>44</w:t>
      </w:r>
      <w:r>
        <w:t>).</w:t>
      </w:r>
    </w:p>
    <w:p w14:paraId="1B188EEE" w14:textId="693E6590" w:rsidR="001E59BF" w:rsidRDefault="001E59BF" w:rsidP="007D4BEF">
      <w:pPr>
        <w:pStyle w:val="Texto"/>
      </w:pPr>
      <w:bookmarkStart w:id="124" w:name="_qr42s52sxs7g" w:colFirst="0" w:colLast="0"/>
      <w:bookmarkEnd w:id="124"/>
    </w:p>
    <w:p w14:paraId="768DD824" w14:textId="742C3955" w:rsidR="003A4D38" w:rsidRDefault="003A4D38" w:rsidP="00FB5A95">
      <w:pPr>
        <w:pStyle w:val="TtulodaIlustrao"/>
      </w:pPr>
      <w:bookmarkStart w:id="125" w:name="_Toc208508667"/>
      <w:r>
        <w:lastRenderedPageBreak/>
        <w:t xml:space="preserve">Gráfico </w:t>
      </w:r>
      <w:r w:rsidR="00B2350F">
        <w:t>4</w:t>
      </w:r>
      <w:r w:rsidR="001904A0">
        <w:t>4</w:t>
      </w:r>
      <w:r w:rsidRPr="007D4BEF">
        <w:rPr>
          <w:b w:val="0"/>
        </w:rPr>
        <w:t xml:space="preserve"> - Percepção sobre piadas e comentários sexistas no ambiente de trabalho do TST/CSJT, por gênero (%)</w:t>
      </w:r>
      <w:bookmarkEnd w:id="125"/>
    </w:p>
    <w:p w14:paraId="353E3DFD" w14:textId="39E01B2F" w:rsidR="005226FB" w:rsidRPr="007D4BEF" w:rsidRDefault="00C516C5" w:rsidP="00C516C5">
      <w:pPr>
        <w:spacing w:line="360" w:lineRule="auto"/>
        <w:jc w:val="center"/>
        <w:rPr>
          <w:color w:val="000000" w:themeColor="text1"/>
        </w:rPr>
      </w:pPr>
      <w:r w:rsidRPr="007D4BEF">
        <w:rPr>
          <w:noProof/>
          <w:color w:val="000000" w:themeColor="text1"/>
        </w:rPr>
        <w:drawing>
          <wp:inline distT="114300" distB="114300" distL="114300" distR="114300" wp14:anchorId="657FA3F4" wp14:editId="1FEDD3E5">
            <wp:extent cx="4742597" cy="2709080"/>
            <wp:effectExtent l="0" t="0" r="1270" b="0"/>
            <wp:docPr id="6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rotWithShape="1">
                    <a:blip r:embed="rId66"/>
                    <a:srcRect l="850" t="1943" r="708" b="1603"/>
                    <a:stretch/>
                  </pic:blipFill>
                  <pic:spPr bwMode="auto">
                    <a:xfrm>
                      <a:off x="0" y="0"/>
                      <a:ext cx="4742931" cy="2709271"/>
                    </a:xfrm>
                    <a:prstGeom prst="rect">
                      <a:avLst/>
                    </a:prstGeom>
                    <a:ln>
                      <a:noFill/>
                    </a:ln>
                    <a:extLst>
                      <a:ext uri="{53640926-AAD7-44D8-BBD7-CCE9431645EC}">
                        <a14:shadowObscured xmlns:a14="http://schemas.microsoft.com/office/drawing/2010/main"/>
                      </a:ext>
                    </a:extLst>
                  </pic:spPr>
                </pic:pic>
              </a:graphicData>
            </a:graphic>
          </wp:inline>
        </w:drawing>
      </w:r>
    </w:p>
    <w:p w14:paraId="461AB9F6" w14:textId="2E0BB8C0" w:rsidR="005226FB" w:rsidRDefault="005226FB" w:rsidP="001E59BF">
      <w:pPr>
        <w:pStyle w:val="Fonte"/>
        <w:rPr>
          <w:b w:val="0"/>
        </w:rPr>
      </w:pPr>
      <w:r>
        <w:t xml:space="preserve">Fonte: </w:t>
      </w:r>
      <w:r w:rsidRPr="003A4D38">
        <w:rPr>
          <w:b w:val="0"/>
        </w:rPr>
        <w:t>Dados da Pesquisa de Percepção da Participação Feminina no TST e no CSJT, 2025. Compilação e elaboração: CPJUD/SEPJD/CPJED</w:t>
      </w:r>
      <w:r w:rsidR="003A4D38" w:rsidRPr="003A4D38">
        <w:rPr>
          <w:b w:val="0"/>
        </w:rPr>
        <w:t>.</w:t>
      </w:r>
    </w:p>
    <w:p w14:paraId="12BB605D" w14:textId="77777777" w:rsidR="003A4D38" w:rsidRPr="003A4D38" w:rsidRDefault="003A4D38" w:rsidP="007D4BEF">
      <w:pPr>
        <w:pStyle w:val="Texto"/>
      </w:pPr>
    </w:p>
    <w:p w14:paraId="0A5CEC36" w14:textId="3819E596" w:rsidR="005226FB" w:rsidRDefault="005226FB" w:rsidP="007D4BEF">
      <w:pPr>
        <w:pStyle w:val="Texto"/>
      </w:pPr>
      <w:r>
        <w:t xml:space="preserve">Ao segmentar </w:t>
      </w:r>
      <w:r w:rsidR="003A4D38">
        <w:t>as respostas femininas (Figura 6</w:t>
      </w:r>
      <w:r>
        <w:t xml:space="preserve">), os dados revelam elevada percepção de práticas sexistas no ambiente de trabalho em todos os grupos raciais, com maior prevalência entre mulheres pretas (80%) e pardas (66%). Independentemente da orientação sexual, a maioria das respondentes relatou já ter presenciado piadas ou comentários de cunho sexista, sendo que os percentuais foram mais elevados entre os grupos de orientações sexuais minoritárias, possivelmente refletindo maior sensibilidade ou exposição a esse tipo de situação. </w:t>
      </w:r>
    </w:p>
    <w:p w14:paraId="29DE7EED" w14:textId="77777777" w:rsidR="005226FB" w:rsidRDefault="005226FB" w:rsidP="007D4BEF">
      <w:pPr>
        <w:pStyle w:val="Texto"/>
      </w:pPr>
      <w:r w:rsidRPr="0022662B">
        <w:t>A percepção também é mais expressiva entre mulheres com deficiência (73,3%), em comparação às sem deficiência (58%). No recorte etário, observa-se que, com exceção da faixa de 18 a 29 anos — na qual essa percepção não foi majoritária —, a maioria das mulheres nas demais faixas relatou ter presenciado situações de sexismo. A percepção desse fenômeno também aumenta conforme o tempo de serviço, sendo menor entre aquelas com até dois anos de atuação e mais elevada entre as que possuem entre 4 e 10 anos (76,9%) e entre 15 e 20 anos (75%) de trabalho no TST/CSJT.</w:t>
      </w:r>
    </w:p>
    <w:p w14:paraId="57B8237C" w14:textId="77777777" w:rsidR="005226FB" w:rsidRDefault="005226FB" w:rsidP="007D4BEF">
      <w:pPr>
        <w:pStyle w:val="Texto"/>
      </w:pPr>
    </w:p>
    <w:p w14:paraId="1B461B8E" w14:textId="6B9BD2C0" w:rsidR="001E59BF" w:rsidRDefault="001E59BF" w:rsidP="007D4BEF">
      <w:pPr>
        <w:pStyle w:val="Texto"/>
      </w:pPr>
      <w:r>
        <w:br w:type="page"/>
      </w:r>
    </w:p>
    <w:p w14:paraId="6824A327" w14:textId="2A4423D4" w:rsidR="003A4D38" w:rsidRDefault="003A4D38" w:rsidP="00FB5A95">
      <w:pPr>
        <w:pStyle w:val="TtulodaIlustrao"/>
      </w:pPr>
      <w:bookmarkStart w:id="126" w:name="_751v2nfqt1yf" w:colFirst="0" w:colLast="0"/>
      <w:bookmarkStart w:id="127" w:name="_Toc208510688"/>
      <w:bookmarkEnd w:id="126"/>
      <w:r>
        <w:lastRenderedPageBreak/>
        <w:t xml:space="preserve">Figura </w:t>
      </w:r>
      <w:r>
        <w:fldChar w:fldCharType="begin"/>
      </w:r>
      <w:r>
        <w:instrText xml:space="preserve"> SEQ Figura \* ARABIC </w:instrText>
      </w:r>
      <w:r>
        <w:fldChar w:fldCharType="separate"/>
      </w:r>
      <w:r w:rsidR="00D85D1E">
        <w:t>6</w:t>
      </w:r>
      <w:r>
        <w:fldChar w:fldCharType="end"/>
      </w:r>
      <w:r w:rsidRPr="007D4BEF">
        <w:rPr>
          <w:b w:val="0"/>
        </w:rPr>
        <w:t xml:space="preserve"> - Percepção feminina sobre piadas e comentários sexistas no ambiente de trabalho do TST/CSJT, por perfil (%)</w:t>
      </w:r>
      <w:bookmarkEnd w:id="127"/>
    </w:p>
    <w:p w14:paraId="125A78F8" w14:textId="77777777" w:rsidR="005226FB" w:rsidRDefault="005226FB" w:rsidP="003A4D38">
      <w:pPr>
        <w:spacing w:line="360" w:lineRule="auto"/>
        <w:jc w:val="center"/>
      </w:pPr>
      <w:r>
        <w:rPr>
          <w:noProof/>
        </w:rPr>
        <w:drawing>
          <wp:inline distT="114300" distB="114300" distL="114300" distR="114300" wp14:anchorId="14EFE2F1" wp14:editId="31022582">
            <wp:extent cx="5772150" cy="5686425"/>
            <wp:effectExtent l="0" t="0" r="0" b="9525"/>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7"/>
                    <a:srcRect/>
                    <a:stretch>
                      <a:fillRect/>
                    </a:stretch>
                  </pic:blipFill>
                  <pic:spPr>
                    <a:xfrm>
                      <a:off x="0" y="0"/>
                      <a:ext cx="5769467" cy="5683782"/>
                    </a:xfrm>
                    <a:prstGeom prst="rect">
                      <a:avLst/>
                    </a:prstGeom>
                    <a:ln/>
                  </pic:spPr>
                </pic:pic>
              </a:graphicData>
            </a:graphic>
          </wp:inline>
        </w:drawing>
      </w:r>
    </w:p>
    <w:p w14:paraId="12FB6F9B" w14:textId="52F554CA" w:rsidR="003A4D38" w:rsidRDefault="005226FB" w:rsidP="001E59BF">
      <w:pPr>
        <w:pStyle w:val="Fonte"/>
        <w:rPr>
          <w:b w:val="0"/>
        </w:rPr>
      </w:pPr>
      <w:r>
        <w:t xml:space="preserve">Fonte: </w:t>
      </w:r>
      <w:r w:rsidRPr="003A4D38">
        <w:rPr>
          <w:b w:val="0"/>
        </w:rPr>
        <w:t>Dados da Pesquisa de Percepção da Participação Feminina no TST e no CSJT, 2025. Compilação e elaboração: CPJUD/SEPJD/CPJED</w:t>
      </w:r>
      <w:r w:rsidR="003A4D38" w:rsidRPr="003A4D38">
        <w:rPr>
          <w:b w:val="0"/>
        </w:rPr>
        <w:t>.</w:t>
      </w:r>
    </w:p>
    <w:p w14:paraId="28C2AE2A" w14:textId="77777777" w:rsidR="003A4D38" w:rsidRPr="003A4D38" w:rsidRDefault="003A4D38" w:rsidP="007D4BEF">
      <w:pPr>
        <w:pStyle w:val="Texto"/>
      </w:pPr>
    </w:p>
    <w:p w14:paraId="633509C1" w14:textId="7BCC4335" w:rsidR="005226FB" w:rsidRDefault="005226FB" w:rsidP="007D4BEF">
      <w:pPr>
        <w:pStyle w:val="Texto"/>
      </w:pPr>
      <w:r>
        <w:t xml:space="preserve">Em síntese, a análise dos dados do bloco sobre preconceito e discriminação de gênero do questionário revela um quadro complexo na percepção das mulheres participantes da pesquisa. </w:t>
      </w:r>
      <w:r w:rsidR="00270E00">
        <w:t>A</w:t>
      </w:r>
      <w:r>
        <w:t xml:space="preserve"> maioria das respondentes afirm</w:t>
      </w:r>
      <w:r w:rsidR="00270E00">
        <w:t>a</w:t>
      </w:r>
      <w:r>
        <w:t xml:space="preserve"> sentir-se respeitada e não sofrer interrupções frequentes em suas falas, </w:t>
      </w:r>
      <w:r w:rsidR="00270E00">
        <w:t xml:space="preserve">mas </w:t>
      </w:r>
      <w:r>
        <w:t xml:space="preserve">uma parcela significativa ainda percebe </w:t>
      </w:r>
      <w:r w:rsidR="00F1635D">
        <w:t>atitudes sutis</w:t>
      </w:r>
      <w:r>
        <w:t xml:space="preserve"> de preconceito e discriminação de gênero. Comentários sobre a aparência física, cobranças sobre comportamento e vestimenta, e piadas sexistas são exemplos de práticas que reforçam essa percepção, sugerindo </w:t>
      </w:r>
      <w:r>
        <w:lastRenderedPageBreak/>
        <w:t>que, mesmo que o ambiente</w:t>
      </w:r>
      <w:r w:rsidR="000B3448">
        <w:t xml:space="preserve"> geral</w:t>
      </w:r>
      <w:r>
        <w:t xml:space="preserve"> de trabalho do TST e do CSJT não seja hostil, microagressões</w:t>
      </w:r>
      <w:r>
        <w:rPr>
          <w:vertAlign w:val="superscript"/>
        </w:rPr>
        <w:footnoteReference w:id="69"/>
      </w:r>
      <w:r>
        <w:t xml:space="preserve"> e comportamentos sexistas </w:t>
      </w:r>
      <w:r w:rsidR="00F1635D">
        <w:t>podem estar persistindo</w:t>
      </w:r>
      <w:r>
        <w:t xml:space="preserve"> em alguns espaços</w:t>
      </w:r>
      <w:r w:rsidR="000B3448">
        <w:t>, na visão de respondentes</w:t>
      </w:r>
      <w:r w:rsidR="00350F0B">
        <w:t xml:space="preserve"> da pesquisa</w:t>
      </w:r>
      <w:r w:rsidR="000B3448">
        <w:t>.</w:t>
      </w:r>
      <w:r>
        <w:t xml:space="preserve"> </w:t>
      </w:r>
    </w:p>
    <w:p w14:paraId="04C422A2" w14:textId="54CCD643" w:rsidR="005226FB" w:rsidRDefault="005226FB" w:rsidP="007D4BEF">
      <w:pPr>
        <w:pStyle w:val="Texto"/>
      </w:pPr>
      <w:r>
        <w:t>A disparidade entre as percepções masculinas e femininas ficou evidente na maior parte das respostas, indicando que as mulheres vivenciam e percebem a reprodução de estereótipos de gênero</w:t>
      </w:r>
      <w:r>
        <w:rPr>
          <w:vertAlign w:val="superscript"/>
        </w:rPr>
        <w:footnoteReference w:id="70"/>
      </w:r>
      <w:r>
        <w:t xml:space="preserve"> e discriminações sutis de forma mais acentuada. A interseccionalidade também aponta que mulheres pretas e com deficiência relatam experiências mais negativas em comparação aos outros grupos. Já a alta taxa de respostas "não sei responder" em certos grupos sinaliza a necessidade de maior conscientização para discutir esses temas no ambiente laboral. </w:t>
      </w:r>
    </w:p>
    <w:p w14:paraId="3E6752FD" w14:textId="77777777" w:rsidR="003A4D38" w:rsidRDefault="003A4D38" w:rsidP="007D4BEF">
      <w:pPr>
        <w:pStyle w:val="Texto"/>
      </w:pPr>
      <w:bookmarkStart w:id="128" w:name="_2fox1nmbcybh" w:colFirst="0" w:colLast="0"/>
      <w:bookmarkEnd w:id="128"/>
    </w:p>
    <w:p w14:paraId="5ECDFFE6" w14:textId="4C9D33C9" w:rsidR="005226FB" w:rsidRPr="003A4D38" w:rsidRDefault="005226FB" w:rsidP="00FB5A95">
      <w:pPr>
        <w:pStyle w:val="Ttulo3"/>
      </w:pPr>
      <w:bookmarkStart w:id="129" w:name="_Toc208510820"/>
      <w:r w:rsidRPr="003A4D38">
        <w:t>Bloco Oportunidade, Carreira e Liderança</w:t>
      </w:r>
      <w:bookmarkEnd w:id="129"/>
      <w:r w:rsidRPr="003A4D38">
        <w:t xml:space="preserve"> </w:t>
      </w:r>
    </w:p>
    <w:p w14:paraId="1FDF1284" w14:textId="77777777" w:rsidR="005226FB" w:rsidRDefault="005226FB" w:rsidP="007D4BEF">
      <w:pPr>
        <w:pStyle w:val="Texto"/>
      </w:pPr>
      <w:r>
        <w:t>A ocupação de cargos de liderança por mulheres requer vários mecanismos articulados que incluem oportunidade de desenvolvimento profissional e de ascensão na carreira, programas de formação em liderança, encorajamento, valorização de ideias e participação efetiva em espaços de decisão. Nesse sentido, este bloco de questões visa compreender a percepção dos respondentes sobre esses mecanismos no TST e CSJT.</w:t>
      </w:r>
    </w:p>
    <w:p w14:paraId="4BD62460" w14:textId="3F6F7292" w:rsidR="005226FB" w:rsidRDefault="005226FB" w:rsidP="007D4BEF">
      <w:pPr>
        <w:pStyle w:val="Texto"/>
      </w:pPr>
      <w:r>
        <w:t>A percepção sobre a igualdade de oportunidades de desenvolvimento profissional entre homens e mulheres no TST/CSJT é, de modo geral, positiva para a maioria dos respondentes, independentemente do gênero. Entre as mulheres, 57,4% acreditam que possuem acesso às mesmas oportunidades de desenvolvimento profissional que os homens. No entanto, essa percepção é ainda mais expressiva entre os hom</w:t>
      </w:r>
      <w:r w:rsidR="00971B6D">
        <w:t>ens, alcançando 82,8</w:t>
      </w:r>
      <w:r w:rsidR="003A4D38">
        <w:t xml:space="preserve">% (Gráfico </w:t>
      </w:r>
      <w:r w:rsidR="006A22B9">
        <w:t>45</w:t>
      </w:r>
      <w:r>
        <w:t>).</w:t>
      </w:r>
    </w:p>
    <w:p w14:paraId="713E4938" w14:textId="01A47423" w:rsidR="005226FB" w:rsidRPr="001E59BF" w:rsidRDefault="005226FB" w:rsidP="007D4BEF">
      <w:pPr>
        <w:pStyle w:val="Texto"/>
      </w:pPr>
      <w:bookmarkStart w:id="130" w:name="_rduqzkoaxpx1" w:colFirst="0" w:colLast="0"/>
      <w:bookmarkEnd w:id="130"/>
    </w:p>
    <w:p w14:paraId="3FFDDD51" w14:textId="565D2BA0" w:rsidR="007D4BEF" w:rsidRDefault="007D4BEF">
      <w:pPr>
        <w:rPr>
          <w:rFonts w:asciiTheme="minorHAnsi" w:hAnsiTheme="minorHAnsi" w:cstheme="minorHAnsi"/>
          <w:noProof/>
        </w:rPr>
      </w:pPr>
      <w:r>
        <w:br w:type="page"/>
      </w:r>
    </w:p>
    <w:p w14:paraId="1BDA8990" w14:textId="2A8472F2" w:rsidR="003A4D38" w:rsidRDefault="003A4D38" w:rsidP="00FB5A95">
      <w:pPr>
        <w:pStyle w:val="TtulodaIlustrao"/>
      </w:pPr>
      <w:bookmarkStart w:id="131" w:name="_Toc208508668"/>
      <w:r>
        <w:lastRenderedPageBreak/>
        <w:t xml:space="preserve">Gráfico </w:t>
      </w:r>
      <w:r w:rsidR="00B2350F">
        <w:t>4</w:t>
      </w:r>
      <w:r w:rsidR="001904A0">
        <w:t>5</w:t>
      </w:r>
      <w:r w:rsidRPr="007D4BEF">
        <w:rPr>
          <w:b w:val="0"/>
        </w:rPr>
        <w:t xml:space="preserve"> - Percepção sobre Igualdade de Oportunidades de Desenvolvimento Profissional, por gênero (%)</w:t>
      </w:r>
      <w:bookmarkEnd w:id="131"/>
    </w:p>
    <w:p w14:paraId="7D8BDB15" w14:textId="79B85630" w:rsidR="005226FB" w:rsidRDefault="00971B6D" w:rsidP="00971B6D">
      <w:pPr>
        <w:jc w:val="center"/>
      </w:pPr>
      <w:r>
        <w:rPr>
          <w:noProof/>
        </w:rPr>
        <w:drawing>
          <wp:inline distT="0" distB="0" distL="0" distR="0" wp14:anchorId="2FCF6ED1" wp14:editId="6993775D">
            <wp:extent cx="4991100" cy="2771775"/>
            <wp:effectExtent l="0" t="0" r="0" b="0"/>
            <wp:docPr id="1622690747" name="Gráfico 1622690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C7F32B8" w14:textId="223F6568" w:rsidR="005226FB" w:rsidRDefault="005226FB" w:rsidP="003A4D38">
      <w:pPr>
        <w:pStyle w:val="Fonte"/>
        <w:rPr>
          <w:b w:val="0"/>
        </w:rPr>
      </w:pPr>
      <w:r>
        <w:t xml:space="preserve">Fonte: </w:t>
      </w:r>
      <w:r w:rsidRPr="003A4D38">
        <w:rPr>
          <w:b w:val="0"/>
        </w:rPr>
        <w:t>Dados da Pesquisa de Percepção da Participação Feminina no TST e no CSJT, 2025. Compilação e elaboração: CPJUD/SEPJD/CPJED</w:t>
      </w:r>
      <w:r w:rsidR="003A4D38" w:rsidRPr="003A4D38">
        <w:rPr>
          <w:b w:val="0"/>
        </w:rPr>
        <w:t>.</w:t>
      </w:r>
    </w:p>
    <w:p w14:paraId="75221DB2" w14:textId="77777777" w:rsidR="003A4D38" w:rsidRPr="003A4D38" w:rsidRDefault="003A4D38" w:rsidP="007D4BEF">
      <w:pPr>
        <w:pStyle w:val="Texto"/>
      </w:pPr>
    </w:p>
    <w:p w14:paraId="06C967EE" w14:textId="3AF9DEAA" w:rsidR="005226FB" w:rsidRDefault="005226FB" w:rsidP="007D4BEF">
      <w:pPr>
        <w:pStyle w:val="Texto"/>
      </w:pPr>
      <w:r>
        <w:t>C</w:t>
      </w:r>
      <w:r w:rsidR="003A4D38">
        <w:t>onforme demonstrado na Figura 7</w:t>
      </w:r>
      <w:r>
        <w:t>, entre as mulheres brancas, 58,6% percebem igualdade, enquanto entre mulheres pretas, apenas 30% compartilham essa visão (50% percebem desigualdade). O grupo pardo apresentou 59,6% de percepção de igualdade. No grupo amarelo, há equilíbrio entre concordância (50%) e respostas "não sei" (50%). Entre mulheres com deficiência, a percepção é divi</w:t>
      </w:r>
      <w:r w:rsidR="007B5B9A">
        <w:t xml:space="preserve">dida (46,7% sim; 46,7% não); e </w:t>
      </w:r>
      <w:r>
        <w:t xml:space="preserve">a maioria das heterossexuais (58,3%) e homossexuais (60%) percebem igualdade. </w:t>
      </w:r>
    </w:p>
    <w:p w14:paraId="77A4D9F1" w14:textId="3B429562" w:rsidR="005226FB" w:rsidRDefault="007B5B9A" w:rsidP="007D4BEF">
      <w:pPr>
        <w:pStyle w:val="Texto"/>
      </w:pPr>
      <w:r>
        <w:t xml:space="preserve">Enquanto que </w:t>
      </w:r>
      <w:r w:rsidR="005226FB">
        <w:t>a alocação em cargos não demonstra discriminação etária evidente contra mulheres - com diferenças percentuais entre homens e mulheres por faixa etária inferiores a 5% - os dados sobre a percepç</w:t>
      </w:r>
      <w:r>
        <w:t xml:space="preserve">ão de igualdade </w:t>
      </w:r>
      <w:r w:rsidR="005226FB">
        <w:t xml:space="preserve">varia significativamente com a idade e o tempo de serviço. </w:t>
      </w:r>
    </w:p>
    <w:p w14:paraId="0A49F382" w14:textId="77777777" w:rsidR="005226FB" w:rsidRDefault="005226FB" w:rsidP="007D4BEF">
      <w:pPr>
        <w:pStyle w:val="Texto"/>
      </w:pPr>
      <w:r>
        <w:t xml:space="preserve">Mulheres mais velhas, na faixa de 60 a 69 anos, e aquelas com mais de 20 anos de serviço, reportam uma percepção de igualdade consideravelmente maior (72,7% e 71,1%, respectivamente). Em contrapartida, a percepção de desigualdade é mais acentuada entre as servidoras com 10 a 20 anos de serviço (39,1% e 40,6%), e entre as mais jovens (18 a 29 anos, com 50% de percepção de igualdade). </w:t>
      </w:r>
    </w:p>
    <w:p w14:paraId="520F6691" w14:textId="77777777" w:rsidR="005226FB" w:rsidRDefault="005226FB" w:rsidP="007D4BEF">
      <w:pPr>
        <w:pStyle w:val="Texto"/>
      </w:pPr>
      <w:r>
        <w:t xml:space="preserve">Essa disparidade pode sugerir duas possibilidades que afetam distintamente a percepção entre esses dois grupos: a) embora a estrutura formal não indique barreiras de idade para a ascensão feminina, a experiência acumulada e os desafios enfrentados em diferentes fases da carreira – como a mencionada resistência a mulheres em idade reprodutiva – podem moldar </w:t>
      </w:r>
      <w:r>
        <w:lastRenderedPageBreak/>
        <w:t>distintamente a percepção subjetiva sobre a igualdade de oportunidades; b) ou a distinção de percepção passa justamente por aspectos geracionais, em que aquelas mulheres que ingressaram no funcionalismo público logo após a democratização (Geração Diretas) está mais permeada a perceção de paridade de gênero nos cargos de liderança do que aquelas que vivenciam a revolução digital e estão atentas às questões de contemplação da diversidade nas instituições (Geração 4.0).</w:t>
      </w:r>
    </w:p>
    <w:p w14:paraId="7F9A4D49" w14:textId="50E72D1C" w:rsidR="005226FB" w:rsidRPr="001E59BF" w:rsidRDefault="005226FB" w:rsidP="007D4BEF">
      <w:pPr>
        <w:pStyle w:val="Texto"/>
      </w:pPr>
      <w:bookmarkStart w:id="132" w:name="_hqgajpsj7fia" w:colFirst="0" w:colLast="0"/>
      <w:bookmarkStart w:id="133" w:name="_vrk5864p6d8e" w:colFirst="0" w:colLast="0"/>
      <w:bookmarkEnd w:id="132"/>
      <w:bookmarkEnd w:id="133"/>
    </w:p>
    <w:p w14:paraId="43E12F66" w14:textId="7B12A531" w:rsidR="007B5B9A" w:rsidRDefault="007B5B9A" w:rsidP="00FB5A95">
      <w:pPr>
        <w:pStyle w:val="TtulodaIlustrao"/>
      </w:pPr>
      <w:bookmarkStart w:id="134" w:name="_Toc208510689"/>
      <w:r>
        <w:t xml:space="preserve">Figura </w:t>
      </w:r>
      <w:r>
        <w:fldChar w:fldCharType="begin"/>
      </w:r>
      <w:r>
        <w:instrText xml:space="preserve"> SEQ Figura \* ARABIC </w:instrText>
      </w:r>
      <w:r>
        <w:fldChar w:fldCharType="separate"/>
      </w:r>
      <w:r w:rsidR="00D85D1E">
        <w:t>7</w:t>
      </w:r>
      <w:r>
        <w:fldChar w:fldCharType="end"/>
      </w:r>
      <w:r w:rsidRPr="007D4BEF">
        <w:rPr>
          <w:b w:val="0"/>
        </w:rPr>
        <w:t xml:space="preserve"> - Percepção feminina sobre Igualdade de Oportunidades de Desenvolvimento Profissional entre Mulheres e Homens, por perfil (%)</w:t>
      </w:r>
      <w:bookmarkEnd w:id="134"/>
    </w:p>
    <w:p w14:paraId="5D93DF28" w14:textId="278632AF" w:rsidR="005226FB" w:rsidRDefault="007B5B9A" w:rsidP="007B5B9A">
      <w:pPr>
        <w:spacing w:line="360" w:lineRule="auto"/>
        <w:jc w:val="center"/>
      </w:pPr>
      <w:r>
        <w:rPr>
          <w:noProof/>
        </w:rPr>
        <w:drawing>
          <wp:inline distT="114300" distB="114300" distL="114300" distR="114300" wp14:anchorId="62531F71" wp14:editId="29EA10E9">
            <wp:extent cx="5638800" cy="5204678"/>
            <wp:effectExtent l="0" t="0" r="0" b="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9"/>
                    <a:srcRect/>
                    <a:stretch>
                      <a:fillRect/>
                    </a:stretch>
                  </pic:blipFill>
                  <pic:spPr>
                    <a:xfrm>
                      <a:off x="0" y="0"/>
                      <a:ext cx="5638800" cy="5204678"/>
                    </a:xfrm>
                    <a:prstGeom prst="rect">
                      <a:avLst/>
                    </a:prstGeom>
                    <a:ln/>
                  </pic:spPr>
                </pic:pic>
              </a:graphicData>
            </a:graphic>
          </wp:inline>
        </w:drawing>
      </w:r>
    </w:p>
    <w:p w14:paraId="43C91149" w14:textId="27EA4662" w:rsidR="005226FB" w:rsidRDefault="005226FB" w:rsidP="001E59BF">
      <w:pPr>
        <w:pStyle w:val="Fonte"/>
        <w:rPr>
          <w:b w:val="0"/>
        </w:rPr>
      </w:pPr>
      <w:r>
        <w:t xml:space="preserve">Fonte: </w:t>
      </w:r>
      <w:r w:rsidRPr="007B5B9A">
        <w:rPr>
          <w:b w:val="0"/>
        </w:rPr>
        <w:t>Dados da Pesquisa de Percepção da Participação Feminina no TST e no CSJT, 2025. Compilação e elaboração: CPJUD/SEPJD/CPJED</w:t>
      </w:r>
      <w:r w:rsidR="007B5B9A" w:rsidRPr="007B5B9A">
        <w:rPr>
          <w:b w:val="0"/>
        </w:rPr>
        <w:t>.</w:t>
      </w:r>
    </w:p>
    <w:p w14:paraId="619AEFDF" w14:textId="77777777" w:rsidR="007B5B9A" w:rsidRDefault="007B5B9A" w:rsidP="007D4BEF">
      <w:pPr>
        <w:pStyle w:val="Texto"/>
      </w:pPr>
    </w:p>
    <w:p w14:paraId="5957224B" w14:textId="7ECB8C95" w:rsidR="007D4BEF" w:rsidRDefault="007D4BEF">
      <w:pPr>
        <w:rPr>
          <w:rFonts w:asciiTheme="minorHAnsi" w:hAnsiTheme="minorHAnsi" w:cstheme="minorHAnsi"/>
          <w:noProof/>
        </w:rPr>
      </w:pPr>
      <w:r>
        <w:br w:type="page"/>
      </w:r>
    </w:p>
    <w:p w14:paraId="13A8FB68" w14:textId="3ACF1E27" w:rsidR="005226FB" w:rsidRPr="007B5B9A" w:rsidRDefault="005226FB" w:rsidP="007D4BEF">
      <w:pPr>
        <w:pStyle w:val="Texto"/>
      </w:pPr>
      <w:r w:rsidRPr="007B5B9A">
        <w:lastRenderedPageBreak/>
        <w:t>O questionário também abordou a percepção sobre as oportunidades de desenvolvimento profissional de mulheres no órgão. A maioria dos respondentes de ambos os grupos declarou não ter vivenciado nem presenciado situações em que uma mulher tenha perdido oportunidades de desenvolvimento profissional no âmbito do TST/CSJT — como participação em cursos, viagens ou outras atividades — em razão de seu g</w:t>
      </w:r>
      <w:r w:rsidR="00971B6D">
        <w:t>ênero (57,4% das mulheres e 75,9</w:t>
      </w:r>
      <w:r w:rsidRPr="007B5B9A">
        <w:t>% dos homens). Entre as mulheres, 32,4% afirmaram já ter passado por essa situação ou ter presenciado casos semelhantes. Por outro lado, entre os homens, esse percentual foi c</w:t>
      </w:r>
      <w:r w:rsidR="00971B6D">
        <w:t>onsideravelmente menor, com 12,1</w:t>
      </w:r>
      <w:r w:rsidRPr="007B5B9A">
        <w:t>% relatando ter observado es</w:t>
      </w:r>
      <w:r w:rsidR="007B5B9A">
        <w:t xml:space="preserve">se tipo de ocorrência (Gráfico </w:t>
      </w:r>
      <w:r w:rsidR="006A22B9">
        <w:t>46</w:t>
      </w:r>
      <w:r w:rsidRPr="007B5B9A">
        <w:t xml:space="preserve">). </w:t>
      </w:r>
    </w:p>
    <w:p w14:paraId="0271166F" w14:textId="77777777" w:rsidR="007B5B9A" w:rsidRPr="007B5B9A" w:rsidRDefault="007B5B9A" w:rsidP="007D4BEF">
      <w:pPr>
        <w:pStyle w:val="Texto"/>
      </w:pPr>
      <w:bookmarkStart w:id="135" w:name="_mj3fyhntgb68" w:colFirst="0" w:colLast="0"/>
      <w:bookmarkEnd w:id="135"/>
    </w:p>
    <w:p w14:paraId="41AA9C5F" w14:textId="7ED5A484" w:rsidR="007B5B9A" w:rsidRDefault="007B5B9A" w:rsidP="00FB5A95">
      <w:pPr>
        <w:pStyle w:val="TtulodaIlustrao"/>
      </w:pPr>
      <w:bookmarkStart w:id="136" w:name="_Toc208508669"/>
      <w:r>
        <w:t xml:space="preserve">Gráfico </w:t>
      </w:r>
      <w:r w:rsidR="00B2350F">
        <w:t>4</w:t>
      </w:r>
      <w:r w:rsidR="001904A0">
        <w:t>6</w:t>
      </w:r>
      <w:r w:rsidRPr="007D4BEF">
        <w:rPr>
          <w:b w:val="0"/>
        </w:rPr>
        <w:t xml:space="preserve"> - Percepção sobre perdas de oportunidades profissionais de mulheres, por gênero (%)</w:t>
      </w:r>
      <w:bookmarkEnd w:id="136"/>
    </w:p>
    <w:p w14:paraId="1CA6DB59" w14:textId="53C9951B" w:rsidR="005226FB" w:rsidRDefault="00971B6D" w:rsidP="00971B6D">
      <w:pPr>
        <w:spacing w:line="360" w:lineRule="auto"/>
        <w:jc w:val="center"/>
      </w:pPr>
      <w:r>
        <w:rPr>
          <w:noProof/>
        </w:rPr>
        <w:drawing>
          <wp:inline distT="0" distB="0" distL="0" distR="0" wp14:anchorId="776A1721" wp14:editId="380B7B51">
            <wp:extent cx="4724400" cy="2933700"/>
            <wp:effectExtent l="0" t="0" r="0" b="0"/>
            <wp:docPr id="1622690749" name="Gráfico 16226907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88AA21F" w14:textId="39913FF0" w:rsidR="005226FB" w:rsidRDefault="005226FB" w:rsidP="001E59BF">
      <w:pPr>
        <w:pStyle w:val="Fonte"/>
        <w:rPr>
          <w:b w:val="0"/>
        </w:rPr>
      </w:pPr>
      <w:r>
        <w:t xml:space="preserve">Fonte: </w:t>
      </w:r>
      <w:r w:rsidRPr="007B5B9A">
        <w:rPr>
          <w:b w:val="0"/>
        </w:rPr>
        <w:t>Dados da Pesquisa de Percepção da Participação Feminina no TST e no CSJT, 2025. Compilação e elaboração: CPJUD/SEPJD/CPJED</w:t>
      </w:r>
      <w:r w:rsidR="007B5B9A" w:rsidRPr="007B5B9A">
        <w:rPr>
          <w:b w:val="0"/>
        </w:rPr>
        <w:t>.</w:t>
      </w:r>
    </w:p>
    <w:p w14:paraId="144EA591" w14:textId="77777777" w:rsidR="007B5B9A" w:rsidRDefault="007B5B9A" w:rsidP="007D4BEF">
      <w:pPr>
        <w:pStyle w:val="Texto"/>
      </w:pPr>
    </w:p>
    <w:p w14:paraId="297A7893" w14:textId="703C3C11" w:rsidR="005226FB" w:rsidRDefault="007B5B9A" w:rsidP="007D4BEF">
      <w:pPr>
        <w:pStyle w:val="Texto"/>
      </w:pPr>
      <w:r>
        <w:t>Os dados constantes na Figura 8</w:t>
      </w:r>
      <w:r w:rsidR="005226FB">
        <w:t xml:space="preserve"> mostram que o grupo das respondentes que se autodeclaram pretas, proporcionalmente, possui maior percentual daquelas que afirmaram ter vivenciado ou presenciado situações de perda de oportunidades profissionais por motivo de gênero entre os grupos raciais (40%). Na distribuição por orientação sexual, o maior percentual está no grupo das que se declaram homossexuais (40%). Já entre as pessoas com deficiência, esse percentual também é de 40%, mas destaca-se em 8,1 pontos percentuais </w:t>
      </w:r>
      <w:r w:rsidR="0022662B">
        <w:t>perante</w:t>
      </w:r>
      <w:r w:rsidR="005226FB">
        <w:t xml:space="preserve"> às pessoas sem deficiência. </w:t>
      </w:r>
    </w:p>
    <w:p w14:paraId="22986E5E" w14:textId="40A0498C" w:rsidR="005226FB" w:rsidRDefault="005226FB" w:rsidP="007D4BEF">
      <w:pPr>
        <w:pStyle w:val="Texto"/>
      </w:pPr>
      <w:r>
        <w:t xml:space="preserve">Por tempo de serviço, a percepção dessa situação foi maior entre aquelas que estão entre 15 e 20 anos no TST/CSJT. Por idade, verifica-se um aumento gradual na proporção de respostas </w:t>
      </w:r>
      <w:r>
        <w:lastRenderedPageBreak/>
        <w:t>"Sim" (perda de oportunidades por ser mulher) à medida que a faixa etária aumenta,  atingindo o pico na faixa dos 50 a 59 anos (40,5%) e diminuindo na faixa dos 60 a 69 anos (9,1%). A experiência profissional ao longo do tempo, portanto, parece influenciar a percepção de desigualdade de oportunidades.</w:t>
      </w:r>
    </w:p>
    <w:p w14:paraId="0CE11029" w14:textId="77777777" w:rsidR="007B5B9A" w:rsidRPr="007B5B9A" w:rsidRDefault="007B5B9A" w:rsidP="007D4BEF">
      <w:pPr>
        <w:pStyle w:val="Texto"/>
      </w:pPr>
    </w:p>
    <w:p w14:paraId="32716408" w14:textId="57F90A4C" w:rsidR="007B5B9A" w:rsidRDefault="007B5B9A" w:rsidP="00FB5A95">
      <w:pPr>
        <w:pStyle w:val="TtulodaIlustrao"/>
      </w:pPr>
      <w:bookmarkStart w:id="137" w:name="_qpd6qvepf3t5" w:colFirst="0" w:colLast="0"/>
      <w:bookmarkStart w:id="138" w:name="_Toc208510690"/>
      <w:bookmarkEnd w:id="137"/>
      <w:r>
        <w:t xml:space="preserve">Figura </w:t>
      </w:r>
      <w:r>
        <w:fldChar w:fldCharType="begin"/>
      </w:r>
      <w:r>
        <w:instrText xml:space="preserve"> SEQ Figura \* ARABIC </w:instrText>
      </w:r>
      <w:r>
        <w:fldChar w:fldCharType="separate"/>
      </w:r>
      <w:r w:rsidR="00D85D1E">
        <w:t>8</w:t>
      </w:r>
      <w:r>
        <w:fldChar w:fldCharType="end"/>
      </w:r>
      <w:r w:rsidRPr="007D4BEF">
        <w:rPr>
          <w:b w:val="0"/>
        </w:rPr>
        <w:t xml:space="preserve"> - Percepção feminina sobre perdas de oportunidades profissionais de mulheres, por perfil (%)</w:t>
      </w:r>
      <w:bookmarkEnd w:id="138"/>
    </w:p>
    <w:p w14:paraId="4CCEDE45" w14:textId="3CBEBC91" w:rsidR="005226FB" w:rsidRPr="005A69F2" w:rsidRDefault="005226FB" w:rsidP="005A69F2">
      <w:pPr>
        <w:jc w:val="center"/>
      </w:pPr>
      <w:r w:rsidRPr="005A69F2">
        <w:rPr>
          <w:noProof/>
        </w:rPr>
        <w:drawing>
          <wp:inline distT="114300" distB="114300" distL="114300" distR="114300" wp14:anchorId="08AED738" wp14:editId="3683257C">
            <wp:extent cx="5731200" cy="5918200"/>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1"/>
                    <a:srcRect/>
                    <a:stretch>
                      <a:fillRect/>
                    </a:stretch>
                  </pic:blipFill>
                  <pic:spPr>
                    <a:xfrm>
                      <a:off x="0" y="0"/>
                      <a:ext cx="5731200" cy="5918200"/>
                    </a:xfrm>
                    <a:prstGeom prst="rect">
                      <a:avLst/>
                    </a:prstGeom>
                    <a:ln/>
                  </pic:spPr>
                </pic:pic>
              </a:graphicData>
            </a:graphic>
          </wp:inline>
        </w:drawing>
      </w:r>
    </w:p>
    <w:p w14:paraId="0E814EC9" w14:textId="721EBAF7" w:rsidR="005226FB" w:rsidRDefault="005226FB" w:rsidP="005A69F2">
      <w:pPr>
        <w:pStyle w:val="Fonte"/>
        <w:rPr>
          <w:b w:val="0"/>
        </w:rPr>
      </w:pPr>
      <w:r>
        <w:t xml:space="preserve">Fonte: </w:t>
      </w:r>
      <w:r w:rsidRPr="007B5B9A">
        <w:rPr>
          <w:b w:val="0"/>
        </w:rPr>
        <w:t>Dados da Pesquisa de Percepção da Participação Feminina no TST e no CSJT, 2025. Compilação e elaboração: CPJUD/SEPJD/CPJED</w:t>
      </w:r>
      <w:r w:rsidR="007B5B9A" w:rsidRPr="007B5B9A">
        <w:rPr>
          <w:b w:val="0"/>
        </w:rPr>
        <w:t>.</w:t>
      </w:r>
    </w:p>
    <w:p w14:paraId="1FF79483" w14:textId="77777777" w:rsidR="007B5B9A" w:rsidRDefault="007B5B9A" w:rsidP="007D4BEF">
      <w:pPr>
        <w:pStyle w:val="Texto"/>
      </w:pPr>
    </w:p>
    <w:p w14:paraId="2B86A5F9" w14:textId="679A093C" w:rsidR="007D4BEF" w:rsidRDefault="007D4BEF">
      <w:pPr>
        <w:rPr>
          <w:rFonts w:asciiTheme="minorHAnsi" w:hAnsiTheme="minorHAnsi" w:cstheme="minorHAnsi"/>
          <w:noProof/>
        </w:rPr>
      </w:pPr>
      <w:r>
        <w:br w:type="page"/>
      </w:r>
    </w:p>
    <w:p w14:paraId="579DC0DD" w14:textId="020E26BA" w:rsidR="005226FB" w:rsidRDefault="005226FB" w:rsidP="007D4BEF">
      <w:pPr>
        <w:pStyle w:val="Texto"/>
      </w:pPr>
      <w:r>
        <w:lastRenderedPageBreak/>
        <w:t>Sobre promoções para cargos de chefia, a maioria dos respondentes</w:t>
      </w:r>
      <w:r w:rsidR="000E201B">
        <w:t xml:space="preserve"> — 65,6% das mulheres e 82,8</w:t>
      </w:r>
      <w:r>
        <w:t>% dos homens — afirma não ter presenciado situações em que uma promoção foi designada a um homem em detrimento de uma mulher igual ou sup</w:t>
      </w:r>
      <w:r w:rsidR="007B5B9A">
        <w:t xml:space="preserve">eriormente capacitada (Gráfico </w:t>
      </w:r>
      <w:r w:rsidR="006A22B9">
        <w:t>47</w:t>
      </w:r>
      <w:r>
        <w:t xml:space="preserve">). </w:t>
      </w:r>
      <w:bookmarkStart w:id="139" w:name="_6mgbpdw12u6i" w:colFirst="0" w:colLast="0"/>
      <w:bookmarkEnd w:id="139"/>
    </w:p>
    <w:p w14:paraId="27D519D5" w14:textId="77777777" w:rsidR="001E59BF" w:rsidRPr="00572792" w:rsidRDefault="001E59BF" w:rsidP="007D4BEF">
      <w:pPr>
        <w:pStyle w:val="Texto"/>
      </w:pPr>
    </w:p>
    <w:p w14:paraId="2CCA04E7" w14:textId="7C4A010F" w:rsidR="007B5B9A" w:rsidRDefault="007B5B9A" w:rsidP="00FB5A95">
      <w:pPr>
        <w:pStyle w:val="TtulodaIlustrao"/>
      </w:pPr>
      <w:bookmarkStart w:id="140" w:name="_Toc208508670"/>
      <w:r>
        <w:t xml:space="preserve">Gráfico </w:t>
      </w:r>
      <w:r w:rsidR="00B2350F">
        <w:t>4</w:t>
      </w:r>
      <w:r w:rsidR="001904A0">
        <w:t>7</w:t>
      </w:r>
      <w:r w:rsidRPr="007D4BEF">
        <w:rPr>
          <w:b w:val="0"/>
        </w:rPr>
        <w:t xml:space="preserve"> - Percepção sobre desigualdade de gênero em promoções para cargos de chefia no TST/CSJT, por gênero (%)</w:t>
      </w:r>
      <w:bookmarkEnd w:id="140"/>
    </w:p>
    <w:p w14:paraId="59FCBE0B" w14:textId="27081FD9" w:rsidR="005226FB" w:rsidRDefault="000E201B" w:rsidP="000E201B">
      <w:pPr>
        <w:jc w:val="center"/>
      </w:pPr>
      <w:r>
        <w:rPr>
          <w:noProof/>
        </w:rPr>
        <w:drawing>
          <wp:inline distT="0" distB="0" distL="0" distR="0" wp14:anchorId="7DBA9A1A" wp14:editId="364FA338">
            <wp:extent cx="4572000" cy="27432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0138B14" w14:textId="346286CB" w:rsidR="005226FB" w:rsidRDefault="005226FB" w:rsidP="005A69F2">
      <w:pPr>
        <w:pStyle w:val="Fonte"/>
      </w:pPr>
      <w:r>
        <w:t xml:space="preserve">Fonte: </w:t>
      </w:r>
      <w:r w:rsidRPr="007B5B9A">
        <w:rPr>
          <w:b w:val="0"/>
        </w:rPr>
        <w:t>Dados da Pesquisa de Percepção da Participação Feminina no TST e no CSJT, 2025. Compilação e elaboração: CPJUD/SEPJD/CPJED</w:t>
      </w:r>
      <w:r w:rsidR="007B5B9A" w:rsidRPr="007B5B9A">
        <w:rPr>
          <w:b w:val="0"/>
        </w:rPr>
        <w:t>.</w:t>
      </w:r>
    </w:p>
    <w:p w14:paraId="18CB6B5D" w14:textId="296D317C" w:rsidR="005226FB" w:rsidRDefault="005226FB" w:rsidP="007D4BEF">
      <w:pPr>
        <w:pStyle w:val="Texto"/>
      </w:pPr>
    </w:p>
    <w:p w14:paraId="4EE2943E" w14:textId="20A93E52" w:rsidR="005226FB" w:rsidRDefault="005226FB" w:rsidP="007D4BEF">
      <w:pPr>
        <w:pStyle w:val="Texto"/>
      </w:pPr>
      <w:r w:rsidRPr="007B5B9A">
        <w:t>Considerando a influência da experiência profissional, a análise cruzou os dados de gênero com o tempo de serviço (</w:t>
      </w:r>
      <w:r w:rsidR="007B5B9A" w:rsidRPr="007B5B9A">
        <w:t xml:space="preserve">Gráficos </w:t>
      </w:r>
      <w:r w:rsidR="006A22B9">
        <w:t>48</w:t>
      </w:r>
      <w:r w:rsidR="007B5B9A" w:rsidRPr="007B5B9A">
        <w:t xml:space="preserve"> e </w:t>
      </w:r>
      <w:r w:rsidR="006A22B9">
        <w:t>49</w:t>
      </w:r>
      <w:r w:rsidRPr="007B5B9A">
        <w:t>). Entre as mulheres, o pico de relatos sobre a observação de situações de desigualdade ocorreu na faixa de 15 a 20 anos de serviço (46,9%), seguido por 30,8% na faixa de 4 a 10 anos e 28,3% na faixa de 10 a 15 anos. Um decréscimo foi observado entre as servidoras com mais de 20 anos de serviço (23,7%), sugerindo maior percepção da desigualdade em etapas intermediárias da carreira. Em contraste, entre os homens (16,9%), os relatos concentraram-se em faixas de maior tempo de serviço: 16,7% entre 10 e 15 anos e 33,3% acima de 20 anos.</w:t>
      </w:r>
    </w:p>
    <w:p w14:paraId="7FFAF3AE" w14:textId="77777777" w:rsidR="005A69F2" w:rsidRPr="007B5B9A" w:rsidRDefault="005A69F2" w:rsidP="007D4BEF">
      <w:pPr>
        <w:pStyle w:val="Texto"/>
      </w:pPr>
    </w:p>
    <w:p w14:paraId="0AE140DD" w14:textId="5D101BF7" w:rsidR="005A69F2" w:rsidRDefault="005A69F2" w:rsidP="007D4BEF">
      <w:pPr>
        <w:pStyle w:val="Texto"/>
      </w:pPr>
      <w:bookmarkStart w:id="141" w:name="_rgg2jf9q73uo" w:colFirst="0" w:colLast="0"/>
      <w:bookmarkEnd w:id="141"/>
      <w:r>
        <w:br w:type="page"/>
      </w:r>
    </w:p>
    <w:p w14:paraId="27ACD10A" w14:textId="2899FE98" w:rsidR="007B5B9A" w:rsidRDefault="007B5B9A" w:rsidP="00FB5A95">
      <w:pPr>
        <w:pStyle w:val="TtulodaIlustrao"/>
      </w:pPr>
      <w:bookmarkStart w:id="142" w:name="_Toc208508671"/>
      <w:r>
        <w:lastRenderedPageBreak/>
        <w:t xml:space="preserve">Gráfico </w:t>
      </w:r>
      <w:r w:rsidR="00B2350F">
        <w:t>4</w:t>
      </w:r>
      <w:r w:rsidR="001904A0">
        <w:t>8</w:t>
      </w:r>
      <w:r w:rsidRPr="008744B6">
        <w:rPr>
          <w:b w:val="0"/>
        </w:rPr>
        <w:t xml:space="preserve"> - Percepção feminina sobre desigualdade de gênero em promoções para cargos de chefia no TST/CSJT, por tempo de serviço (%)</w:t>
      </w:r>
      <w:bookmarkEnd w:id="142"/>
    </w:p>
    <w:p w14:paraId="7E8205B2" w14:textId="77777777" w:rsidR="005226FB" w:rsidRDefault="005226FB" w:rsidP="007B5B9A">
      <w:pPr>
        <w:jc w:val="center"/>
      </w:pPr>
      <w:r>
        <w:rPr>
          <w:noProof/>
        </w:rPr>
        <w:drawing>
          <wp:inline distT="114300" distB="114300" distL="114300" distR="114300" wp14:anchorId="5677859C" wp14:editId="23976D8D">
            <wp:extent cx="4019266" cy="2395182"/>
            <wp:effectExtent l="0" t="0" r="635" b="5715"/>
            <wp:docPr id="3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rotWithShape="1">
                    <a:blip r:embed="rId73"/>
                    <a:srcRect l="1326" t="1383" r="969" b="1385"/>
                    <a:stretch/>
                  </pic:blipFill>
                  <pic:spPr bwMode="auto">
                    <a:xfrm>
                      <a:off x="0" y="0"/>
                      <a:ext cx="4029937" cy="2401541"/>
                    </a:xfrm>
                    <a:prstGeom prst="rect">
                      <a:avLst/>
                    </a:prstGeom>
                    <a:ln>
                      <a:noFill/>
                    </a:ln>
                    <a:extLst>
                      <a:ext uri="{53640926-AAD7-44D8-BBD7-CCE9431645EC}">
                        <a14:shadowObscured xmlns:a14="http://schemas.microsoft.com/office/drawing/2010/main"/>
                      </a:ext>
                    </a:extLst>
                  </pic:spPr>
                </pic:pic>
              </a:graphicData>
            </a:graphic>
          </wp:inline>
        </w:drawing>
      </w:r>
    </w:p>
    <w:p w14:paraId="21555BA3" w14:textId="68B61389" w:rsidR="005226FB" w:rsidRPr="007B5B9A" w:rsidRDefault="005226FB" w:rsidP="007B5B9A">
      <w:pPr>
        <w:pStyle w:val="Fonte"/>
      </w:pPr>
      <w:r>
        <w:t xml:space="preserve">Fonte: </w:t>
      </w:r>
      <w:r w:rsidRPr="007B5B9A">
        <w:rPr>
          <w:b w:val="0"/>
        </w:rPr>
        <w:t>Dados da Pesquisa de Percepção da Participação Feminina no TST e no CSJT, 2025. Compilação e elaboração: CPJUD/SEPJD/CPJED</w:t>
      </w:r>
      <w:r w:rsidR="007B5B9A" w:rsidRPr="007B5B9A">
        <w:rPr>
          <w:b w:val="0"/>
        </w:rPr>
        <w:t>.</w:t>
      </w:r>
    </w:p>
    <w:p w14:paraId="62A93B61" w14:textId="79688931" w:rsidR="005226FB" w:rsidRPr="005A69F2" w:rsidRDefault="005226FB" w:rsidP="005A69F2">
      <w:bookmarkStart w:id="143" w:name="_lsb5ijlqykey" w:colFirst="0" w:colLast="0"/>
      <w:bookmarkEnd w:id="143"/>
    </w:p>
    <w:p w14:paraId="0482A472" w14:textId="4A73A8A6" w:rsidR="007B5B9A" w:rsidRDefault="007B5B9A" w:rsidP="00FB5A95">
      <w:pPr>
        <w:pStyle w:val="TtulodaIlustrao"/>
      </w:pPr>
      <w:bookmarkStart w:id="144" w:name="_Toc208508672"/>
      <w:r>
        <w:t xml:space="preserve">Gráfico </w:t>
      </w:r>
      <w:r w:rsidR="001904A0">
        <w:t>49</w:t>
      </w:r>
      <w:r w:rsidRPr="008744B6">
        <w:rPr>
          <w:b w:val="0"/>
        </w:rPr>
        <w:t xml:space="preserve"> - Percepção masculina sobre desigualdade de gênero em promoções para cargos de chefia no TST/CSJT, por tempo de serviço (%)</w:t>
      </w:r>
      <w:bookmarkEnd w:id="144"/>
    </w:p>
    <w:p w14:paraId="1157D6CD" w14:textId="77777777" w:rsidR="005226FB" w:rsidRDefault="005226FB" w:rsidP="007B5B9A">
      <w:pPr>
        <w:jc w:val="center"/>
      </w:pPr>
      <w:r>
        <w:rPr>
          <w:noProof/>
        </w:rPr>
        <w:drawing>
          <wp:inline distT="114300" distB="114300" distL="114300" distR="114300" wp14:anchorId="33C5B413" wp14:editId="79B09268">
            <wp:extent cx="4032914" cy="2354239"/>
            <wp:effectExtent l="0" t="0" r="5715" b="8255"/>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74"/>
                    <a:srcRect l="835" t="2235" r="501" b="1354"/>
                    <a:stretch/>
                  </pic:blipFill>
                  <pic:spPr bwMode="auto">
                    <a:xfrm>
                      <a:off x="0" y="0"/>
                      <a:ext cx="4032578" cy="2354043"/>
                    </a:xfrm>
                    <a:prstGeom prst="rect">
                      <a:avLst/>
                    </a:prstGeom>
                    <a:ln>
                      <a:noFill/>
                    </a:ln>
                    <a:extLst>
                      <a:ext uri="{53640926-AAD7-44D8-BBD7-CCE9431645EC}">
                        <a14:shadowObscured xmlns:a14="http://schemas.microsoft.com/office/drawing/2010/main"/>
                      </a:ext>
                    </a:extLst>
                  </pic:spPr>
                </pic:pic>
              </a:graphicData>
            </a:graphic>
          </wp:inline>
        </w:drawing>
      </w:r>
    </w:p>
    <w:p w14:paraId="0E2151B1" w14:textId="16D4470A" w:rsidR="005226FB" w:rsidRPr="007B5B9A" w:rsidRDefault="005226FB" w:rsidP="005A69F2">
      <w:pPr>
        <w:pStyle w:val="Fonte"/>
      </w:pPr>
      <w:r>
        <w:t xml:space="preserve">Fonte: </w:t>
      </w:r>
      <w:r w:rsidRPr="007B5B9A">
        <w:rPr>
          <w:b w:val="0"/>
        </w:rPr>
        <w:t>Dados da Pesquisa de Percepção da Participação Feminina no TST e no CSJT, 2025. Compilação e elaboração: CPJUD/SEPJD/CPJED</w:t>
      </w:r>
      <w:r w:rsidR="007B5B9A" w:rsidRPr="007B5B9A">
        <w:rPr>
          <w:b w:val="0"/>
        </w:rPr>
        <w:t>.</w:t>
      </w:r>
    </w:p>
    <w:p w14:paraId="596348A7" w14:textId="77777777" w:rsidR="005A69F2" w:rsidRDefault="005A69F2" w:rsidP="008744B6">
      <w:pPr>
        <w:pStyle w:val="Texto"/>
      </w:pPr>
    </w:p>
    <w:p w14:paraId="2F47B2C4" w14:textId="77777777" w:rsidR="005226FB" w:rsidRDefault="005226FB" w:rsidP="008744B6">
      <w:pPr>
        <w:pStyle w:val="Texto"/>
      </w:pPr>
      <w:r>
        <w:t xml:space="preserve">Quanto às oportunidades e ao encorajamento direcionados às mulheres para o exercício de cargos de chefia no TST/CSJT, a análise dos dados evidencia que a percepção é majoritariamente positiva entre mulheres e homens que participaram da pesquisa. </w:t>
      </w:r>
    </w:p>
    <w:p w14:paraId="6CA1DD45" w14:textId="0BDB7E03" w:rsidR="005226FB" w:rsidRDefault="005226FB" w:rsidP="008744B6">
      <w:pPr>
        <w:pStyle w:val="Texto"/>
      </w:pPr>
      <w:r>
        <w:t xml:space="preserve">Conforme ilustrado </w:t>
      </w:r>
      <w:r w:rsidR="007B5B9A">
        <w:t xml:space="preserve">no Gráfico </w:t>
      </w:r>
      <w:r w:rsidR="006A22B9">
        <w:t>50</w:t>
      </w:r>
      <w:r>
        <w:t>, entre as mulheres, 71,3% afirmaram ser encorajadas e ter oportunidades para assumir funções de liderança, enquanto 18% apresentaram percepção contrária e 10,7% não souberam responder. Entre os homens, a percepção po</w:t>
      </w:r>
      <w:r w:rsidR="00304A22">
        <w:t>sitiva foi ainda maior, com 81</w:t>
      </w:r>
      <w:r>
        <w:t xml:space="preserve">% </w:t>
      </w:r>
      <w:r w:rsidR="00304A22">
        <w:t>concordando com a afirmação, 5,2</w:t>
      </w:r>
      <w:r>
        <w:t>% di</w:t>
      </w:r>
      <w:r w:rsidR="00304A22">
        <w:t>scordando e 13,8</w:t>
      </w:r>
      <w:r>
        <w:t>% sem resposta.</w:t>
      </w:r>
    </w:p>
    <w:p w14:paraId="16961602" w14:textId="6085CB10" w:rsidR="005226FB" w:rsidRPr="005A69F2" w:rsidRDefault="005226FB" w:rsidP="008744B6">
      <w:pPr>
        <w:pStyle w:val="Texto"/>
      </w:pPr>
      <w:bookmarkStart w:id="145" w:name="_ls8j1uncmmg7" w:colFirst="0" w:colLast="0"/>
      <w:bookmarkEnd w:id="145"/>
    </w:p>
    <w:p w14:paraId="29631C69" w14:textId="2977B30C" w:rsidR="007B5B9A" w:rsidRPr="00304A22" w:rsidRDefault="007B5B9A" w:rsidP="00FB5A95">
      <w:pPr>
        <w:pStyle w:val="TtulodaIlustrao"/>
      </w:pPr>
      <w:bookmarkStart w:id="146" w:name="_Toc208508673"/>
      <w:r w:rsidRPr="00304A22">
        <w:t xml:space="preserve">Gráfico </w:t>
      </w:r>
      <w:r w:rsidR="009C3FD3">
        <w:t>5</w:t>
      </w:r>
      <w:r w:rsidR="001904A0">
        <w:t>0</w:t>
      </w:r>
      <w:r w:rsidRPr="008744B6">
        <w:rPr>
          <w:b w:val="0"/>
        </w:rPr>
        <w:t xml:space="preserve"> - Percepção sobre oportunidades e encorajamento de mulheres para assunção de cargos de chefia no TST/CSJT, por gênero (%)</w:t>
      </w:r>
      <w:bookmarkEnd w:id="146"/>
    </w:p>
    <w:p w14:paraId="16D70313" w14:textId="4BFFE8BA" w:rsidR="005226FB" w:rsidRDefault="00304A22" w:rsidP="00CF4B1A">
      <w:pPr>
        <w:keepLines/>
        <w:pBdr>
          <w:top w:val="none" w:sz="0" w:space="0" w:color="E5E7EB"/>
          <w:left w:val="none" w:sz="0" w:space="0" w:color="E5E7EB"/>
          <w:bottom w:val="none" w:sz="0" w:space="0" w:color="E5E7EB"/>
          <w:right w:val="none" w:sz="0" w:space="0" w:color="E5E7EB"/>
          <w:between w:val="none" w:sz="0" w:space="0" w:color="E5E7EB"/>
        </w:pBdr>
        <w:spacing w:line="360" w:lineRule="auto"/>
        <w:jc w:val="center"/>
      </w:pPr>
      <w:r>
        <w:rPr>
          <w:noProof/>
        </w:rPr>
        <w:drawing>
          <wp:inline distT="0" distB="0" distL="0" distR="0" wp14:anchorId="338FFB57" wp14:editId="06702BB2">
            <wp:extent cx="4572000" cy="274320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A4C7732" w14:textId="72858A3C" w:rsidR="007B5B9A" w:rsidRDefault="005226FB" w:rsidP="005A69F2">
      <w:pPr>
        <w:pStyle w:val="Fonte"/>
        <w:rPr>
          <w:b w:val="0"/>
        </w:rPr>
      </w:pPr>
      <w:r>
        <w:t xml:space="preserve">Fonte: </w:t>
      </w:r>
      <w:r w:rsidRPr="007B5B9A">
        <w:rPr>
          <w:b w:val="0"/>
        </w:rPr>
        <w:t>Dados da Pesquisa de Percepção da Participação Feminina no TST e no CSJT, 2025. Compilação e elaboração: CPJUD/SEPJD/CPJED</w:t>
      </w:r>
      <w:r w:rsidR="007B5B9A" w:rsidRPr="007B5B9A">
        <w:rPr>
          <w:b w:val="0"/>
        </w:rPr>
        <w:t>.</w:t>
      </w:r>
    </w:p>
    <w:p w14:paraId="08150E2C" w14:textId="77777777" w:rsidR="007B5B9A" w:rsidRDefault="007B5B9A" w:rsidP="008744B6">
      <w:pPr>
        <w:pStyle w:val="Texto"/>
      </w:pPr>
    </w:p>
    <w:p w14:paraId="2AFB6A99" w14:textId="76381FF1" w:rsidR="005226FB" w:rsidRDefault="005226FB" w:rsidP="008744B6">
      <w:pPr>
        <w:pStyle w:val="Texto"/>
      </w:pPr>
      <w:r>
        <w:t>O cruzamento desses dados com o pe</w:t>
      </w:r>
      <w:r w:rsidR="0049523A">
        <w:t>rfil das respondentes (Figura 9</w:t>
      </w:r>
      <w:r>
        <w:t xml:space="preserve">) revela que essa percepção positiva é menor entre as mulheres pretas (50%), onde 40% têm uma percepção negativa em relação às oportunidades e encorajamento de mulheres para assunção de cargos de chefia no TST/CSJT. O grupo de pessoas com deficiência também não têm uma percepção positiva majoritária sobre essa questão, visto que 26,7% discordam da afirmação e 26,7% não souberam responder. As mulheres homossexuais apresentaram percentuais equivalentes de percepção positiva e negativa (40% sim e não). Por sua vez, nos </w:t>
      </w:r>
      <w:r w:rsidR="007B5B9A">
        <w:t>recortes etários</w:t>
      </w:r>
      <w:r>
        <w:t xml:space="preserve"> e por tempo de serviço, em geral, a percepção dos grupos é positiva, não estando abaixo de 50% em nenhum deles.</w:t>
      </w:r>
    </w:p>
    <w:p w14:paraId="68297823" w14:textId="77777777" w:rsidR="0049523A" w:rsidRPr="005A69F2" w:rsidRDefault="0049523A" w:rsidP="008744B6">
      <w:pPr>
        <w:pStyle w:val="Texto"/>
      </w:pPr>
      <w:bookmarkStart w:id="147" w:name="_fhv6s6rncpaz" w:colFirst="0" w:colLast="0"/>
      <w:bookmarkEnd w:id="147"/>
    </w:p>
    <w:p w14:paraId="19F2B98C" w14:textId="50E724FB" w:rsidR="005A69F2" w:rsidRDefault="005A69F2" w:rsidP="008744B6">
      <w:pPr>
        <w:pStyle w:val="Texto"/>
      </w:pPr>
      <w:r>
        <w:br w:type="page"/>
      </w:r>
    </w:p>
    <w:p w14:paraId="379A5802" w14:textId="3A5BA082" w:rsidR="0049523A" w:rsidRDefault="0049523A" w:rsidP="00FB5A95">
      <w:pPr>
        <w:pStyle w:val="TtulodaIlustrao"/>
      </w:pPr>
      <w:bookmarkStart w:id="148" w:name="_Toc208510691"/>
      <w:r>
        <w:lastRenderedPageBreak/>
        <w:t xml:space="preserve">Figura </w:t>
      </w:r>
      <w:r>
        <w:fldChar w:fldCharType="begin"/>
      </w:r>
      <w:r>
        <w:instrText xml:space="preserve"> SEQ Figura \* ARABIC </w:instrText>
      </w:r>
      <w:r>
        <w:fldChar w:fldCharType="separate"/>
      </w:r>
      <w:r w:rsidR="00D85D1E">
        <w:t>9</w:t>
      </w:r>
      <w:r>
        <w:fldChar w:fldCharType="end"/>
      </w:r>
      <w:r w:rsidRPr="008744B6">
        <w:rPr>
          <w:b w:val="0"/>
        </w:rPr>
        <w:t xml:space="preserve"> - Percepção feminina sobre oportunidades e encorajamento de mulheres para assunção de cargos de chefia no TST/CSJT, por perfil (%)</w:t>
      </w:r>
      <w:bookmarkEnd w:id="148"/>
    </w:p>
    <w:p w14:paraId="45AF9F82" w14:textId="7D871990" w:rsidR="0049523A" w:rsidRPr="0049523A" w:rsidRDefault="0049523A" w:rsidP="0049523A">
      <w:pPr>
        <w:jc w:val="center"/>
      </w:pPr>
      <w:r>
        <w:rPr>
          <w:noProof/>
        </w:rPr>
        <w:drawing>
          <wp:inline distT="114300" distB="114300" distL="114300" distR="114300" wp14:anchorId="42EC9343" wp14:editId="7C5D5CA3">
            <wp:extent cx="5305425" cy="5762625"/>
            <wp:effectExtent l="0" t="0" r="9525" b="9525"/>
            <wp:docPr id="2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6"/>
                    <a:srcRect/>
                    <a:stretch>
                      <a:fillRect/>
                    </a:stretch>
                  </pic:blipFill>
                  <pic:spPr>
                    <a:xfrm>
                      <a:off x="0" y="0"/>
                      <a:ext cx="5310611" cy="5768258"/>
                    </a:xfrm>
                    <a:prstGeom prst="rect">
                      <a:avLst/>
                    </a:prstGeom>
                    <a:ln/>
                  </pic:spPr>
                </pic:pic>
              </a:graphicData>
            </a:graphic>
          </wp:inline>
        </w:drawing>
      </w:r>
    </w:p>
    <w:p w14:paraId="35777223" w14:textId="338FE685" w:rsidR="005226FB" w:rsidRDefault="005226FB" w:rsidP="005A69F2">
      <w:pPr>
        <w:pStyle w:val="Fonte"/>
        <w:rPr>
          <w:sz w:val="24"/>
        </w:rPr>
      </w:pPr>
      <w:r>
        <w:t xml:space="preserve">Fonte: </w:t>
      </w:r>
      <w:r w:rsidRPr="0049523A">
        <w:rPr>
          <w:b w:val="0"/>
        </w:rPr>
        <w:t>Dados da Pesquisa de Percepção da Participação Feminina no TST e no CSJT, 2025. Compilação e elaboração: CPJUD/SEPJD/CPJED</w:t>
      </w:r>
      <w:r w:rsidR="0049523A" w:rsidRPr="0049523A">
        <w:rPr>
          <w:b w:val="0"/>
        </w:rPr>
        <w:t>.</w:t>
      </w:r>
    </w:p>
    <w:p w14:paraId="328B5748" w14:textId="77777777" w:rsidR="0049523A" w:rsidRDefault="0049523A" w:rsidP="008744B6">
      <w:pPr>
        <w:pStyle w:val="Texto"/>
      </w:pPr>
    </w:p>
    <w:p w14:paraId="42627810" w14:textId="6AB49B2A" w:rsidR="005226FB" w:rsidRDefault="005226FB" w:rsidP="008744B6">
      <w:pPr>
        <w:pStyle w:val="Texto"/>
        <w:rPr>
          <w:rStyle w:val="TextoChar"/>
        </w:rPr>
      </w:pPr>
      <w:r w:rsidRPr="0049523A">
        <w:t xml:space="preserve">O </w:t>
      </w:r>
      <w:r w:rsidRPr="0049523A">
        <w:rPr>
          <w:rStyle w:val="TextoChar"/>
        </w:rPr>
        <w:t xml:space="preserve">questionário também abordou a percepção sobre a presença e a voz das mulheres em espaços de tomada de decisão no TST/CSJT. </w:t>
      </w:r>
      <w:r w:rsidR="0049523A">
        <w:rPr>
          <w:rStyle w:val="TextoChar"/>
        </w:rPr>
        <w:t xml:space="preserve">O Gráfico </w:t>
      </w:r>
      <w:r w:rsidR="006A22B9">
        <w:rPr>
          <w:rStyle w:val="TextoChar"/>
        </w:rPr>
        <w:t>51</w:t>
      </w:r>
      <w:r w:rsidRPr="0049523A">
        <w:rPr>
          <w:rStyle w:val="TextoChar"/>
        </w:rPr>
        <w:t xml:space="preserve"> ilustra que 68% das mulheres participantes têm uma percepção positiva a respeito, enquanto entre os homens esse ín</w:t>
      </w:r>
      <w:r w:rsidR="00304A22">
        <w:rPr>
          <w:rStyle w:val="TextoChar"/>
        </w:rPr>
        <w:t>dice é ainda maior, atingindo 84,5</w:t>
      </w:r>
      <w:r w:rsidRPr="0049523A">
        <w:rPr>
          <w:rStyle w:val="TextoChar"/>
        </w:rPr>
        <w:t>%.</w:t>
      </w:r>
    </w:p>
    <w:p w14:paraId="00056366" w14:textId="20A43494" w:rsidR="005A69F2" w:rsidRDefault="005A69F2" w:rsidP="008744B6">
      <w:pPr>
        <w:pStyle w:val="Texto"/>
      </w:pPr>
      <w:bookmarkStart w:id="149" w:name="_50r8ha4imws2" w:colFirst="0" w:colLast="0"/>
      <w:bookmarkEnd w:id="149"/>
    </w:p>
    <w:p w14:paraId="18490A02" w14:textId="4511A6FF" w:rsidR="008744B6" w:rsidRDefault="008744B6">
      <w:pPr>
        <w:rPr>
          <w:rFonts w:asciiTheme="minorHAnsi" w:hAnsiTheme="minorHAnsi" w:cstheme="minorHAnsi"/>
          <w:noProof/>
        </w:rPr>
      </w:pPr>
      <w:r>
        <w:br w:type="page"/>
      </w:r>
    </w:p>
    <w:p w14:paraId="515E69AD" w14:textId="142AF1DD" w:rsidR="0049523A" w:rsidRDefault="0049523A" w:rsidP="00FB5A95">
      <w:pPr>
        <w:pStyle w:val="TtulodaIlustrao"/>
      </w:pPr>
      <w:bookmarkStart w:id="150" w:name="_Toc208508674"/>
      <w:r>
        <w:lastRenderedPageBreak/>
        <w:t xml:space="preserve">Gráfico </w:t>
      </w:r>
      <w:r w:rsidR="009C3FD3">
        <w:t>5</w:t>
      </w:r>
      <w:r w:rsidR="001904A0">
        <w:t>1</w:t>
      </w:r>
      <w:r w:rsidRPr="008744B6">
        <w:rPr>
          <w:b w:val="0"/>
        </w:rPr>
        <w:t xml:space="preserve"> - Percepção sobre presença e voz das mulheres em espaços de decisão, por gênero (%)</w:t>
      </w:r>
      <w:bookmarkEnd w:id="150"/>
    </w:p>
    <w:p w14:paraId="0EFFFBAD" w14:textId="6F0E99DE" w:rsidR="005226FB" w:rsidRDefault="00304A22" w:rsidP="0049523A">
      <w:pPr>
        <w:pBdr>
          <w:top w:val="none" w:sz="0" w:space="0" w:color="E5E7EB"/>
          <w:left w:val="none" w:sz="0" w:space="0" w:color="E5E7EB"/>
          <w:bottom w:val="none" w:sz="0" w:space="0" w:color="E5E7EB"/>
          <w:right w:val="none" w:sz="0" w:space="0" w:color="E5E7EB"/>
          <w:between w:val="none" w:sz="0" w:space="0" w:color="E5E7EB"/>
        </w:pBdr>
        <w:spacing w:line="360" w:lineRule="auto"/>
        <w:jc w:val="center"/>
      </w:pPr>
      <w:r>
        <w:rPr>
          <w:noProof/>
        </w:rPr>
        <w:drawing>
          <wp:inline distT="0" distB="0" distL="0" distR="0" wp14:anchorId="1E31CFF6" wp14:editId="6A2E1397">
            <wp:extent cx="4572000" cy="2743200"/>
            <wp:effectExtent l="0" t="0" r="0"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D66DBFD" w14:textId="7B4EE605" w:rsidR="005226FB" w:rsidRDefault="005226FB" w:rsidP="005A69F2">
      <w:pPr>
        <w:pStyle w:val="Fonte"/>
      </w:pPr>
      <w:r>
        <w:t xml:space="preserve">Fonte: </w:t>
      </w:r>
      <w:r w:rsidRPr="0049523A">
        <w:rPr>
          <w:b w:val="0"/>
        </w:rPr>
        <w:t>Dados da Pesquisa de Percepção da Participação Feminina no TST e no CSJT, 2025. Compilação e elaboração: CPJUD/SEPJD/CPJED</w:t>
      </w:r>
      <w:r w:rsidR="0049523A" w:rsidRPr="0049523A">
        <w:rPr>
          <w:b w:val="0"/>
        </w:rPr>
        <w:t>.</w:t>
      </w:r>
    </w:p>
    <w:p w14:paraId="04B27EC5" w14:textId="77777777" w:rsidR="008744B6" w:rsidRDefault="008744B6" w:rsidP="0049523A">
      <w:pPr>
        <w:pStyle w:val="Texto"/>
        <w:ind w:firstLine="709"/>
      </w:pPr>
    </w:p>
    <w:p w14:paraId="3E123EF8" w14:textId="1AC5EB81" w:rsidR="005226FB" w:rsidRDefault="005226FB" w:rsidP="0049523A">
      <w:pPr>
        <w:pStyle w:val="Texto"/>
        <w:ind w:firstLine="709"/>
      </w:pPr>
      <w:r>
        <w:t>Embora a percepção geral da presença e escuta feminina em espaços decisórios seja positiva</w:t>
      </w:r>
      <w:r w:rsidR="0049523A">
        <w:t>, a análise por grupo (Figura 10</w:t>
      </w:r>
      <w:r>
        <w:t>) revela algumas disparidades nas respostas femininas. Entre mulheres pretas, a percepção positiva cai para 40%, com 50% discordando – o maior índice de percepção negativa entre os grupos raciais. Entre as participantes com deficiência, 40% também relatam barreiras de acesso, apesar de 53,3% apresentarem percepção positiva. Considerando a orientação sexual, a percepção positiva é menor entre mulheres homossexuais (40%), com alta taxa de incerteza (40% sem resposta). Nas faixas etárias de 15 a 20 anos (31,3% de respostas negativas) e 18 a 29 anos (50% de percepção positiva e 31,3% de incerteza), a percepção crítica é mais pronunciada.</w:t>
      </w:r>
    </w:p>
    <w:p w14:paraId="07AB9E13" w14:textId="029FE9D6" w:rsidR="005A69F2" w:rsidRDefault="0022662B" w:rsidP="0022662B">
      <w:pPr>
        <w:pStyle w:val="Texto"/>
        <w:ind w:firstLine="709"/>
      </w:pPr>
      <w:r w:rsidRPr="004B08C1">
        <w:t xml:space="preserve">Nesse sentido, é oportuno lembrar a reflexão de Angela Davis (2016), para quem a </w:t>
      </w:r>
      <w:r w:rsidR="004C18DD" w:rsidRPr="004B08C1">
        <w:t>pauta</w:t>
      </w:r>
      <w:r w:rsidRPr="004B08C1">
        <w:t xml:space="preserve"> pela emancipação das mulheres não pode ser dissociada das dimensões de raça, classe e outras formas de </w:t>
      </w:r>
      <w:r w:rsidR="00D15B68" w:rsidRPr="004B08C1">
        <w:t>discriminação</w:t>
      </w:r>
      <w:r w:rsidRPr="004B08C1">
        <w:t xml:space="preserve">, sob pena de se reproduzir desigualdades dentro </w:t>
      </w:r>
      <w:r w:rsidR="0023276E" w:rsidRPr="004B08C1">
        <w:t>do próprio universo de mulheres</w:t>
      </w:r>
      <w:r w:rsidRPr="004B08C1">
        <w:t xml:space="preserve">. A autora destaca que a análise feminista precisa ser interseccional, capaz de revelar como diferentes marcadores sociais estruturam barreiras específicas à participação plena das mulheres nos espaços de poder. Aplicada ao contexto do TST/CSJT, essa perspectiva reforça a importância de se atentar para os recortes raciais, geracionais, de orientação sexual e de deficiência, a fim de compreender as desigualdades internas à própria categoria feminina e </w:t>
      </w:r>
      <w:r w:rsidRPr="004B08C1">
        <w:lastRenderedPageBreak/>
        <w:t>promover políticas inclusivas que assegurem não apenas a presença, mas a efetiva escuta e influência de todas as mulheres</w:t>
      </w:r>
      <w:r w:rsidR="00B01176" w:rsidRPr="004B08C1">
        <w:t>, independente de raça ou outro fator</w:t>
      </w:r>
      <w:r w:rsidR="004C18DD" w:rsidRPr="004B08C1">
        <w:rPr>
          <w:rStyle w:val="Refdenotaderodap"/>
        </w:rPr>
        <w:footnoteReference w:id="71"/>
      </w:r>
      <w:r w:rsidRPr="004B08C1">
        <w:t>.</w:t>
      </w:r>
      <w:bookmarkStart w:id="151" w:name="_qn8htulmsg2e" w:colFirst="0" w:colLast="0"/>
      <w:bookmarkEnd w:id="151"/>
    </w:p>
    <w:p w14:paraId="4BDA5BAE" w14:textId="77777777" w:rsidR="00584F60" w:rsidRDefault="00584F60" w:rsidP="0022662B">
      <w:pPr>
        <w:pStyle w:val="Texto"/>
        <w:ind w:firstLine="709"/>
      </w:pPr>
    </w:p>
    <w:p w14:paraId="57EC6B77" w14:textId="648D967E" w:rsidR="0049523A" w:rsidRDefault="0049523A" w:rsidP="00FB5A95">
      <w:pPr>
        <w:pStyle w:val="TtulodaIlustrao"/>
      </w:pPr>
      <w:bookmarkStart w:id="152" w:name="_Toc208510692"/>
      <w:r>
        <w:t xml:space="preserve">Figura </w:t>
      </w:r>
      <w:r>
        <w:fldChar w:fldCharType="begin"/>
      </w:r>
      <w:r>
        <w:instrText xml:space="preserve"> SEQ Figura \* ARABIC </w:instrText>
      </w:r>
      <w:r>
        <w:fldChar w:fldCharType="separate"/>
      </w:r>
      <w:r w:rsidR="00D85D1E">
        <w:t>10</w:t>
      </w:r>
      <w:r>
        <w:fldChar w:fldCharType="end"/>
      </w:r>
      <w:r w:rsidRPr="00D14DC0">
        <w:rPr>
          <w:b w:val="0"/>
        </w:rPr>
        <w:t xml:space="preserve"> - Percepção Feminina sobre Presença e Voz das Mulheres em Espaços de Decisão, por perfil (%)</w:t>
      </w:r>
      <w:bookmarkEnd w:id="152"/>
    </w:p>
    <w:p w14:paraId="5DF2127D" w14:textId="77777777" w:rsidR="005226FB" w:rsidRDefault="005226FB" w:rsidP="0049523A">
      <w:pPr>
        <w:spacing w:line="360" w:lineRule="auto"/>
        <w:jc w:val="center"/>
      </w:pPr>
      <w:r>
        <w:rPr>
          <w:noProof/>
        </w:rPr>
        <w:drawing>
          <wp:inline distT="114300" distB="114300" distL="114300" distR="114300" wp14:anchorId="6EAD0CFB" wp14:editId="599A5823">
            <wp:extent cx="6134100" cy="569595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8"/>
                    <a:srcRect/>
                    <a:stretch>
                      <a:fillRect/>
                    </a:stretch>
                  </pic:blipFill>
                  <pic:spPr>
                    <a:xfrm>
                      <a:off x="0" y="0"/>
                      <a:ext cx="6131052" cy="5693119"/>
                    </a:xfrm>
                    <a:prstGeom prst="rect">
                      <a:avLst/>
                    </a:prstGeom>
                    <a:ln/>
                  </pic:spPr>
                </pic:pic>
              </a:graphicData>
            </a:graphic>
          </wp:inline>
        </w:drawing>
      </w:r>
    </w:p>
    <w:p w14:paraId="0EB70409" w14:textId="0D8B8529" w:rsidR="005226FB" w:rsidRDefault="005226FB" w:rsidP="005A69F2">
      <w:pPr>
        <w:pStyle w:val="Fonte"/>
        <w:rPr>
          <w:b w:val="0"/>
        </w:rPr>
      </w:pPr>
      <w:r>
        <w:t xml:space="preserve">Fonte: </w:t>
      </w:r>
      <w:r w:rsidRPr="0049523A">
        <w:rPr>
          <w:b w:val="0"/>
        </w:rPr>
        <w:t>Dados da Pesquisa de Percepção da Participação Feminina no TST e no CSJT, 2025. Compilação e elaboração: CPJUD/SEPJD/CPJED</w:t>
      </w:r>
      <w:r w:rsidR="0049523A" w:rsidRPr="0049523A">
        <w:rPr>
          <w:b w:val="0"/>
        </w:rPr>
        <w:t>.</w:t>
      </w:r>
    </w:p>
    <w:p w14:paraId="3C80404D" w14:textId="77777777" w:rsidR="0049523A" w:rsidRDefault="0049523A" w:rsidP="00584F60">
      <w:pPr>
        <w:pStyle w:val="Texto"/>
      </w:pPr>
    </w:p>
    <w:p w14:paraId="1B3EFE83" w14:textId="7686DEE2" w:rsidR="005A69F2" w:rsidRDefault="005226FB" w:rsidP="00584F60">
      <w:pPr>
        <w:pStyle w:val="Texto"/>
      </w:pPr>
      <w:r>
        <w:t>Apesar da avaliação geral positiva neste bloco do questionário, a percepção sobre a necessidade de esforço adicional das mulheres para alcançar promoções revela divergência entre gêneros. Enquanto 57% das mulheres participantes identificam desigualdade no TST/CSJT, necessitando de desempenho acima da média para igualar as opo</w:t>
      </w:r>
      <w:r w:rsidR="00304A22">
        <w:t xml:space="preserve">rtunidades masculinas, apenas </w:t>
      </w:r>
      <w:r w:rsidR="00304A22">
        <w:lastRenderedPageBreak/>
        <w:t>20,7</w:t>
      </w:r>
      <w:r>
        <w:t>% dos homens que responderam a pesquisa recon</w:t>
      </w:r>
      <w:r w:rsidR="00304A22">
        <w:t>hecem essa disparidade, com 65,5</w:t>
      </w:r>
      <w:r>
        <w:t>% afirmando não existir assimetria (</w:t>
      </w:r>
      <w:r w:rsidR="0049523A">
        <w:t xml:space="preserve">Gráfico </w:t>
      </w:r>
      <w:r w:rsidR="006A22B9">
        <w:t>52</w:t>
      </w:r>
      <w:r>
        <w:t xml:space="preserve">). </w:t>
      </w:r>
      <w:bookmarkStart w:id="153" w:name="_rbw00m1v0jlg" w:colFirst="0" w:colLast="0"/>
      <w:bookmarkEnd w:id="153"/>
    </w:p>
    <w:p w14:paraId="698FBB5F" w14:textId="77777777" w:rsidR="00584F60" w:rsidRDefault="00584F60" w:rsidP="00584F60">
      <w:pPr>
        <w:pStyle w:val="Texto"/>
      </w:pPr>
    </w:p>
    <w:p w14:paraId="36F2BFCE" w14:textId="4E8D5638" w:rsidR="0049523A" w:rsidRDefault="0049523A" w:rsidP="00FB5A95">
      <w:pPr>
        <w:pStyle w:val="TtulodaIlustrao"/>
      </w:pPr>
      <w:bookmarkStart w:id="154" w:name="_Toc208508675"/>
      <w:r>
        <w:t xml:space="preserve">Gráfico </w:t>
      </w:r>
      <w:r w:rsidR="00DB4DAE">
        <w:fldChar w:fldCharType="begin"/>
      </w:r>
      <w:r w:rsidR="00DB4DAE">
        <w:instrText xml:space="preserve"> SEQ Gráfico \* ARABIC </w:instrText>
      </w:r>
      <w:r w:rsidR="00DB4DAE">
        <w:fldChar w:fldCharType="separate"/>
      </w:r>
      <w:r w:rsidR="00D85D1E">
        <w:t>9</w:t>
      </w:r>
      <w:r w:rsidR="00DB4DAE">
        <w:fldChar w:fldCharType="end"/>
      </w:r>
      <w:r w:rsidR="001904A0">
        <w:t>2</w:t>
      </w:r>
      <w:r w:rsidRPr="00D14DC0">
        <w:rPr>
          <w:b w:val="0"/>
        </w:rPr>
        <w:t xml:space="preserve"> - Percepção sobre a necessidade de maior esforço das mulheres para promoção no TST/CSJT, por gênero (%)</w:t>
      </w:r>
      <w:bookmarkEnd w:id="154"/>
    </w:p>
    <w:p w14:paraId="50CFE375" w14:textId="1864E276" w:rsidR="005226FB" w:rsidRDefault="00304A22" w:rsidP="0049523A">
      <w:pPr>
        <w:spacing w:line="360" w:lineRule="auto"/>
        <w:jc w:val="center"/>
      </w:pPr>
      <w:r>
        <w:rPr>
          <w:noProof/>
        </w:rPr>
        <w:drawing>
          <wp:inline distT="0" distB="0" distL="0" distR="0" wp14:anchorId="71508FBF" wp14:editId="75391CD9">
            <wp:extent cx="4572000" cy="2743200"/>
            <wp:effectExtent l="0" t="0" r="0" b="0"/>
            <wp:docPr id="1422614880" name="Gráfico 14226148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1C7DEEB" w14:textId="0AD2781C" w:rsidR="005226FB" w:rsidRDefault="005226FB" w:rsidP="0049523A">
      <w:pPr>
        <w:pStyle w:val="Fonte"/>
        <w:rPr>
          <w:b w:val="0"/>
        </w:rPr>
      </w:pPr>
      <w:r>
        <w:t xml:space="preserve">Fonte: </w:t>
      </w:r>
      <w:r w:rsidRPr="0049523A">
        <w:rPr>
          <w:b w:val="0"/>
        </w:rPr>
        <w:t>Dados da Pesquisa de Percepção da Participação Feminina no TST e no CSJT, 2025. Compilação e elaboração: CPJUD/SEPJD/CPJED</w:t>
      </w:r>
      <w:r w:rsidR="0049523A" w:rsidRPr="0049523A">
        <w:rPr>
          <w:b w:val="0"/>
        </w:rPr>
        <w:t>.</w:t>
      </w:r>
    </w:p>
    <w:p w14:paraId="47568A03" w14:textId="77777777" w:rsidR="0049523A" w:rsidRDefault="0049523A" w:rsidP="00584F60">
      <w:pPr>
        <w:pStyle w:val="Texto"/>
      </w:pPr>
    </w:p>
    <w:p w14:paraId="3A11A732" w14:textId="5656A4A6" w:rsidR="001A3BE0" w:rsidRDefault="004B08C1" w:rsidP="00584F60">
      <w:pPr>
        <w:pStyle w:val="Texto"/>
      </w:pPr>
      <w:r>
        <w:t>Essa diferença de percepção pode dialagor com</w:t>
      </w:r>
      <w:r w:rsidR="001A3BE0" w:rsidRPr="004B08C1">
        <w:t xml:space="preserve"> reflexão de Simone de Beauvoir (1980), ao afirmar que a mulher historicamente, em relação ao homem, precisa constantemente justificar e provar sua competência no espaço público e profissional. Para a filósofa, a assimetria não se restringe ao acesso formal às oportunidades, mas se expressa nas exigências simbólicas e materiais impostas às mulheres para que conquistem reconhecimento em condições de igualdade. No contexto do TST/CSJT, esse olhar </w:t>
      </w:r>
      <w:r w:rsidR="00B01176" w:rsidRPr="004B08C1">
        <w:t xml:space="preserve">pode </w:t>
      </w:r>
      <w:r w:rsidR="001A3BE0" w:rsidRPr="004B08C1">
        <w:t>contribui</w:t>
      </w:r>
      <w:r w:rsidR="00B01176" w:rsidRPr="004B08C1">
        <w:t>r</w:t>
      </w:r>
      <w:r w:rsidR="001A3BE0" w:rsidRPr="004B08C1">
        <w:t xml:space="preserve"> para compreender por que</w:t>
      </w:r>
      <w:r>
        <w:t xml:space="preserve"> metade das</w:t>
      </w:r>
      <w:r w:rsidR="001A3BE0" w:rsidRPr="004B08C1">
        <w:t xml:space="preserve"> servidoras relatam a necessidade de esforço adicional para alcançar promoções, enquanto parte significativa dos homens sequer percebe a existência dessa barreira</w:t>
      </w:r>
      <w:r w:rsidR="001A3BE0" w:rsidRPr="004B08C1">
        <w:rPr>
          <w:rStyle w:val="Refdenotaderodap"/>
        </w:rPr>
        <w:footnoteReference w:id="72"/>
      </w:r>
      <w:r w:rsidR="001A3BE0" w:rsidRPr="004B08C1">
        <w:t>.</w:t>
      </w:r>
    </w:p>
    <w:p w14:paraId="29AB752D" w14:textId="2DA8FCAF" w:rsidR="005A69F2" w:rsidRDefault="005226FB" w:rsidP="00584F60">
      <w:pPr>
        <w:pStyle w:val="Texto"/>
      </w:pPr>
      <w:r w:rsidRPr="00B01176">
        <w:t>A análise cruzada dos dados femininos das part</w:t>
      </w:r>
      <w:r w:rsidR="0049523A" w:rsidRPr="00B01176">
        <w:t>icipantes ilustrada na Figura 11</w:t>
      </w:r>
      <w:r w:rsidRPr="00B01176">
        <w:t xml:space="preserve"> indica que 66,7% das mulheres com deficiência percebem a necessidade de esforço adicional para promoções. Essa percepção é majoritária na maioria dos grupos por orientação sexual, exceto entre as mulheres homossexuais (40% sim e 40% não). A maioria das mulheres brancas (56,4%) e </w:t>
      </w:r>
      <w:r w:rsidRPr="00B01176">
        <w:lastRenderedPageBreak/>
        <w:t>pardas (55,3%) concorda, enquanto o índice entre as mulheres pretas é o mais alto (80%), sem respostas negativas. Observou-se declínio gradual na concordância com o aumento da idade a partir dos 30 anos, atingindo 45,5% na faixa de 60 a 69 anos. Finalmente, entre as respondentes com mais de 20 anos de serviço no TST/CSJT, 50% discordam da necessidade de esforço adicional para as mulheres.</w:t>
      </w:r>
      <w:bookmarkStart w:id="155" w:name="_9sdrbmh7ioc2" w:colFirst="0" w:colLast="0"/>
      <w:bookmarkEnd w:id="155"/>
    </w:p>
    <w:p w14:paraId="7F86082B" w14:textId="11EF7014" w:rsidR="0049523A" w:rsidRDefault="0049523A" w:rsidP="00FB5A95">
      <w:pPr>
        <w:pStyle w:val="TtulodaIlustrao"/>
      </w:pPr>
      <w:bookmarkStart w:id="156" w:name="_Toc208510693"/>
      <w:r>
        <w:t xml:space="preserve">Figura </w:t>
      </w:r>
      <w:r>
        <w:fldChar w:fldCharType="begin"/>
      </w:r>
      <w:r>
        <w:instrText xml:space="preserve"> SEQ Figura \* ARABIC </w:instrText>
      </w:r>
      <w:r>
        <w:fldChar w:fldCharType="separate"/>
      </w:r>
      <w:r w:rsidR="00D85D1E">
        <w:t>11</w:t>
      </w:r>
      <w:r>
        <w:fldChar w:fldCharType="end"/>
      </w:r>
      <w:r w:rsidRPr="00D14DC0">
        <w:rPr>
          <w:b w:val="0"/>
        </w:rPr>
        <w:t xml:space="preserve"> - Percepção Feminina sobre a necessidade de maior esforço das mulheres para promoção no TST/CSJT, por perfil (%)</w:t>
      </w:r>
      <w:bookmarkEnd w:id="156"/>
    </w:p>
    <w:p w14:paraId="1AB2118A" w14:textId="7AFE4268" w:rsidR="005226FB" w:rsidRDefault="0049523A" w:rsidP="0049523A">
      <w:pPr>
        <w:spacing w:line="360" w:lineRule="auto"/>
        <w:jc w:val="center"/>
      </w:pPr>
      <w:r>
        <w:rPr>
          <w:noProof/>
        </w:rPr>
        <w:drawing>
          <wp:inline distT="114300" distB="114300" distL="114300" distR="114300" wp14:anchorId="07467936" wp14:editId="11836677">
            <wp:extent cx="6067425" cy="6200775"/>
            <wp:effectExtent l="0" t="0" r="9525" b="9525"/>
            <wp:docPr id="8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0"/>
                    <a:srcRect/>
                    <a:stretch>
                      <a:fillRect/>
                    </a:stretch>
                  </pic:blipFill>
                  <pic:spPr>
                    <a:xfrm>
                      <a:off x="0" y="0"/>
                      <a:ext cx="6067425" cy="6200775"/>
                    </a:xfrm>
                    <a:prstGeom prst="rect">
                      <a:avLst/>
                    </a:prstGeom>
                    <a:ln/>
                  </pic:spPr>
                </pic:pic>
              </a:graphicData>
            </a:graphic>
          </wp:inline>
        </w:drawing>
      </w:r>
    </w:p>
    <w:p w14:paraId="3C5797D3" w14:textId="54FD921E" w:rsidR="005226FB" w:rsidRDefault="005226FB" w:rsidP="0049523A">
      <w:pPr>
        <w:pStyle w:val="Fonte"/>
      </w:pPr>
      <w:r>
        <w:t xml:space="preserve">Fonte: </w:t>
      </w:r>
      <w:r w:rsidRPr="0049523A">
        <w:rPr>
          <w:b w:val="0"/>
        </w:rPr>
        <w:t>Dados da Pesquisa de Percepção da Participação Feminina no TST e no CSJT, 2025. Compilação e elaboração: CPJUD/SEPJD/CPJED</w:t>
      </w:r>
      <w:r w:rsidR="0049523A" w:rsidRPr="0049523A">
        <w:rPr>
          <w:b w:val="0"/>
        </w:rPr>
        <w:t>.</w:t>
      </w:r>
    </w:p>
    <w:p w14:paraId="66039D70" w14:textId="77777777" w:rsidR="0049523A" w:rsidRPr="00584F60" w:rsidRDefault="0049523A" w:rsidP="00584F60">
      <w:pPr>
        <w:pStyle w:val="Texto"/>
      </w:pPr>
    </w:p>
    <w:p w14:paraId="1B2B3656" w14:textId="09A6496F" w:rsidR="00F76F8B" w:rsidRPr="00584F60" w:rsidRDefault="005226FB" w:rsidP="00584F60">
      <w:pPr>
        <w:pStyle w:val="Texto"/>
      </w:pPr>
      <w:r w:rsidRPr="00584F60">
        <w:lastRenderedPageBreak/>
        <w:t xml:space="preserve">A última pergunta deste bloco do questionário buscou averiguar a percepção dos participantes da pesquisa sobre a apropriação ou desvalorização de ideias femininas em reuniões no TST/CSJT. </w:t>
      </w:r>
      <w:r w:rsidR="0049523A" w:rsidRPr="00584F60">
        <w:t xml:space="preserve">No Gráfico </w:t>
      </w:r>
      <w:r w:rsidR="006A22B9" w:rsidRPr="00584F60">
        <w:t>53</w:t>
      </w:r>
      <w:r w:rsidRPr="00584F60">
        <w:t xml:space="preserve">, observa-se uma diferença </w:t>
      </w:r>
      <w:r w:rsidR="00F76F8B" w:rsidRPr="00584F60">
        <w:t xml:space="preserve">relevante </w:t>
      </w:r>
      <w:r w:rsidRPr="00584F60">
        <w:t xml:space="preserve">entre as percepções de homens e mulheres: </w:t>
      </w:r>
      <w:r w:rsidR="00A14C8C" w:rsidRPr="00584F60">
        <w:t>33</w:t>
      </w:r>
      <w:r w:rsidRPr="00584F60">
        <w:t>,</w:t>
      </w:r>
      <w:r w:rsidR="00A14C8C" w:rsidRPr="00584F60">
        <w:t>2</w:t>
      </w:r>
      <w:r w:rsidRPr="00584F60">
        <w:t>% das mulheres relataram ter presenciado tai</w:t>
      </w:r>
      <w:r w:rsidR="00A66974" w:rsidRPr="00584F60">
        <w:t>s situações, enquanto apenas 6,9</w:t>
      </w:r>
      <w:r w:rsidRPr="00584F60">
        <w:t xml:space="preserve">% dos </w:t>
      </w:r>
      <w:r w:rsidR="00A66974" w:rsidRPr="00584F60">
        <w:t>homens as reconheceram, com 86,2</w:t>
      </w:r>
      <w:r w:rsidRPr="00584F60">
        <w:t>% afirmando nunca ter observado esse tipo de ocorrência.</w:t>
      </w:r>
      <w:bookmarkStart w:id="157" w:name="_xxk22c5kgccw" w:colFirst="0" w:colLast="0"/>
      <w:bookmarkEnd w:id="157"/>
    </w:p>
    <w:p w14:paraId="5138268D" w14:textId="48EBC372" w:rsidR="0049523A" w:rsidRDefault="0049523A" w:rsidP="00FB5A95">
      <w:pPr>
        <w:pStyle w:val="TtulodaIlustrao"/>
      </w:pPr>
      <w:bookmarkStart w:id="158" w:name="_Toc208508676"/>
      <w:r>
        <w:t xml:space="preserve">Gráfico </w:t>
      </w:r>
      <w:r w:rsidR="009C3FD3">
        <w:t>5</w:t>
      </w:r>
      <w:r w:rsidR="001904A0">
        <w:t>3</w:t>
      </w:r>
      <w:r w:rsidRPr="00D14DC0">
        <w:rPr>
          <w:b w:val="0"/>
        </w:rPr>
        <w:t xml:space="preserve"> - Percepção sobre desvalorização ou apropriação de ideias de mulheres em reuniões no TST/CSJT, por gênero (%)</w:t>
      </w:r>
      <w:bookmarkEnd w:id="158"/>
    </w:p>
    <w:p w14:paraId="0EF7FA72" w14:textId="42B4F5CE" w:rsidR="005226FB" w:rsidRDefault="00A66974" w:rsidP="0049523A">
      <w:pPr>
        <w:spacing w:line="360" w:lineRule="auto"/>
        <w:jc w:val="center"/>
      </w:pPr>
      <w:r>
        <w:rPr>
          <w:noProof/>
        </w:rPr>
        <w:drawing>
          <wp:inline distT="0" distB="0" distL="0" distR="0" wp14:anchorId="3346B927" wp14:editId="76894C2B">
            <wp:extent cx="4572000" cy="2743200"/>
            <wp:effectExtent l="0" t="0" r="0" b="0"/>
            <wp:docPr id="1422614881" name="Gráfico 1422614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A4FB0EB" w14:textId="10319AC0" w:rsidR="005226FB" w:rsidRDefault="005226FB" w:rsidP="0049523A">
      <w:pPr>
        <w:pStyle w:val="Fonte"/>
      </w:pPr>
      <w:r>
        <w:t xml:space="preserve">Fonte: </w:t>
      </w:r>
      <w:r w:rsidRPr="0049523A">
        <w:rPr>
          <w:b w:val="0"/>
        </w:rPr>
        <w:t>Dados da Pesquisa de Percepção da Participação Feminina no TST e no CSJT, 2025. Compilação e elaboração: CPJUD/SEPJD/CPJED</w:t>
      </w:r>
      <w:r w:rsidR="0049523A" w:rsidRPr="0049523A">
        <w:rPr>
          <w:b w:val="0"/>
        </w:rPr>
        <w:t>.</w:t>
      </w:r>
    </w:p>
    <w:p w14:paraId="3E43087B" w14:textId="77777777" w:rsidR="005226FB" w:rsidRDefault="005226FB" w:rsidP="00584F60">
      <w:pPr>
        <w:pStyle w:val="Texto"/>
      </w:pPr>
    </w:p>
    <w:p w14:paraId="2CA919BF" w14:textId="357CED99" w:rsidR="005226FB" w:rsidRPr="0049523A" w:rsidRDefault="005226FB" w:rsidP="00584F60">
      <w:pPr>
        <w:pStyle w:val="Texto"/>
      </w:pPr>
      <w:r w:rsidRPr="0049523A">
        <w:t>O índice de percepção de situações em que ideias de mulheres foram desconsideradas ou apropriadas por homens atinge 50% entre as mulheres pretas e 59,4% entre servidoras com 15 a 20 anos de serviço. 46,7% das respondentes com deficiência afirmaram já ter presenciado esse tipo de situação. Por fim, não houve variações significativas por faixa etária</w:t>
      </w:r>
      <w:r w:rsidR="0049523A">
        <w:t xml:space="preserve"> e orientação sexual. A Figura 1</w:t>
      </w:r>
      <w:r w:rsidRPr="0049523A">
        <w:t xml:space="preserve">2 resume esses dados graficamente. </w:t>
      </w:r>
    </w:p>
    <w:p w14:paraId="6E4D7DAA" w14:textId="4870A472" w:rsidR="005226FB" w:rsidRPr="005A69F2" w:rsidRDefault="005226FB" w:rsidP="00584F60">
      <w:pPr>
        <w:pStyle w:val="Texto"/>
      </w:pPr>
      <w:bookmarkStart w:id="159" w:name="_skjlxt9zzcrn" w:colFirst="0" w:colLast="0"/>
      <w:bookmarkEnd w:id="159"/>
    </w:p>
    <w:p w14:paraId="0DDD9557" w14:textId="78CF43FB" w:rsidR="005A69F2" w:rsidRDefault="005A69F2" w:rsidP="00584F60">
      <w:pPr>
        <w:pStyle w:val="Texto"/>
        <w:rPr>
          <w:b/>
        </w:rPr>
      </w:pPr>
      <w:r>
        <w:br w:type="page"/>
      </w:r>
    </w:p>
    <w:p w14:paraId="77BB4B73" w14:textId="1FD0F679" w:rsidR="0049523A" w:rsidRDefault="0049523A" w:rsidP="00FB5A95">
      <w:pPr>
        <w:pStyle w:val="TtulodaIlustrao"/>
      </w:pPr>
      <w:bookmarkStart w:id="160" w:name="_Toc208510694"/>
      <w:r>
        <w:lastRenderedPageBreak/>
        <w:t xml:space="preserve">Figura </w:t>
      </w:r>
      <w:r>
        <w:fldChar w:fldCharType="begin"/>
      </w:r>
      <w:r>
        <w:instrText xml:space="preserve"> SEQ Figura \* ARABIC </w:instrText>
      </w:r>
      <w:r>
        <w:fldChar w:fldCharType="separate"/>
      </w:r>
      <w:r w:rsidR="00D85D1E">
        <w:t>12</w:t>
      </w:r>
      <w:r>
        <w:fldChar w:fldCharType="end"/>
      </w:r>
      <w:r w:rsidRPr="00D14DC0">
        <w:rPr>
          <w:b w:val="0"/>
        </w:rPr>
        <w:t xml:space="preserve"> - Percepção feminina sobre desvalorização ou apropriação de ideias de mulheres em reuniões no TST/CSJT, por perfil (%)</w:t>
      </w:r>
      <w:bookmarkEnd w:id="160"/>
    </w:p>
    <w:p w14:paraId="2DDAD553" w14:textId="57D45B11" w:rsidR="005226FB" w:rsidRDefault="0049523A" w:rsidP="0049523A">
      <w:pPr>
        <w:pBdr>
          <w:top w:val="none" w:sz="0" w:space="0" w:color="E5E7EB"/>
          <w:left w:val="none" w:sz="0" w:space="0" w:color="E5E7EB"/>
          <w:bottom w:val="none" w:sz="0" w:space="0" w:color="E5E7EB"/>
          <w:right w:val="none" w:sz="0" w:space="0" w:color="E5E7EB"/>
          <w:between w:val="none" w:sz="0" w:space="0" w:color="E5E7EB"/>
        </w:pBdr>
        <w:spacing w:line="420" w:lineRule="auto"/>
        <w:jc w:val="center"/>
      </w:pPr>
      <w:r>
        <w:rPr>
          <w:noProof/>
        </w:rPr>
        <w:drawing>
          <wp:inline distT="114300" distB="114300" distL="114300" distR="114300" wp14:anchorId="08B68E58" wp14:editId="186F9DE7">
            <wp:extent cx="5810250" cy="5267325"/>
            <wp:effectExtent l="0" t="0" r="0" b="9525"/>
            <wp:docPr id="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2"/>
                    <a:srcRect/>
                    <a:stretch>
                      <a:fillRect/>
                    </a:stretch>
                  </pic:blipFill>
                  <pic:spPr>
                    <a:xfrm>
                      <a:off x="0" y="0"/>
                      <a:ext cx="5807362" cy="5264707"/>
                    </a:xfrm>
                    <a:prstGeom prst="rect">
                      <a:avLst/>
                    </a:prstGeom>
                    <a:ln/>
                  </pic:spPr>
                </pic:pic>
              </a:graphicData>
            </a:graphic>
          </wp:inline>
        </w:drawing>
      </w:r>
    </w:p>
    <w:p w14:paraId="2DBDF5CB" w14:textId="1573A4D4" w:rsidR="005226FB" w:rsidRDefault="005226FB" w:rsidP="0049523A">
      <w:pPr>
        <w:pStyle w:val="Fonte"/>
        <w:rPr>
          <w:b w:val="0"/>
        </w:rPr>
      </w:pPr>
      <w:r>
        <w:t xml:space="preserve">Fonte: </w:t>
      </w:r>
      <w:r w:rsidRPr="0049523A">
        <w:rPr>
          <w:b w:val="0"/>
        </w:rPr>
        <w:t>Dados da Pesquisa de Percepção da Participação Feminina no TST e no CSJT, 2025. Compilação e elaboração: CPJUD/SEPJD/CPJED</w:t>
      </w:r>
      <w:r w:rsidR="0049523A" w:rsidRPr="0049523A">
        <w:rPr>
          <w:b w:val="0"/>
        </w:rPr>
        <w:t>.</w:t>
      </w:r>
    </w:p>
    <w:p w14:paraId="108716C2" w14:textId="77777777" w:rsidR="0049523A" w:rsidRDefault="0049523A" w:rsidP="00584F60">
      <w:pPr>
        <w:pStyle w:val="Texto"/>
      </w:pPr>
    </w:p>
    <w:p w14:paraId="1E0D96FF" w14:textId="46F29D04" w:rsidR="000B3646" w:rsidRDefault="005226FB" w:rsidP="00584F60">
      <w:pPr>
        <w:pStyle w:val="Texto"/>
      </w:pPr>
      <w:r>
        <w:t xml:space="preserve">Em resumo, os resultados da pesquisa indicam uma percepção predominantemente positiva quanto às oportunidades para o desenvolvimento de lideranças femininas no TST/CSJT, incluindo a participação em espaços decisórios. No entanto, os dados apontam </w:t>
      </w:r>
      <w:r w:rsidR="000B3448">
        <w:t xml:space="preserve">que </w:t>
      </w:r>
      <w:r w:rsidR="00350F0B">
        <w:t xml:space="preserve">as </w:t>
      </w:r>
      <w:r>
        <w:t>respondentes pretas, com deficiência e em etapas intermediárias da carreira</w:t>
      </w:r>
      <w:r w:rsidR="000B3448">
        <w:t xml:space="preserve"> percebem mai</w:t>
      </w:r>
      <w:r w:rsidR="007C18B3">
        <w:t>s</w:t>
      </w:r>
      <w:r w:rsidR="000B3448">
        <w:t xml:space="preserve"> barreiras estruturais.</w:t>
      </w:r>
      <w:r w:rsidR="00A14C8C">
        <w:t xml:space="preserve"> </w:t>
      </w:r>
      <w:r>
        <w:t xml:space="preserve">Por fim, a análise comparativa entre gêneros revela percepção maior entre as </w:t>
      </w:r>
      <w:r w:rsidR="00F76F8B">
        <w:t xml:space="preserve">respondentes </w:t>
      </w:r>
      <w:r>
        <w:t xml:space="preserve">da necessidade de esforço adicional </w:t>
      </w:r>
      <w:r w:rsidR="00F76F8B">
        <w:t xml:space="preserve">das mulheres </w:t>
      </w:r>
      <w:r>
        <w:t>para a promoção profissional</w:t>
      </w:r>
      <w:r w:rsidR="00A14C8C">
        <w:t xml:space="preserve">. </w:t>
      </w:r>
    </w:p>
    <w:p w14:paraId="63A58474" w14:textId="7ECCE4DE" w:rsidR="00804FC6" w:rsidRDefault="00804FC6" w:rsidP="00584F60">
      <w:pPr>
        <w:pStyle w:val="Texto"/>
      </w:pPr>
    </w:p>
    <w:p w14:paraId="25D5EA48" w14:textId="005E0B8A" w:rsidR="00584F60" w:rsidRDefault="00584F60">
      <w:pPr>
        <w:rPr>
          <w:rFonts w:asciiTheme="minorHAnsi" w:hAnsiTheme="minorHAnsi" w:cstheme="minorHAnsi"/>
          <w:noProof/>
        </w:rPr>
      </w:pPr>
      <w:r>
        <w:br w:type="page"/>
      </w:r>
    </w:p>
    <w:p w14:paraId="3D8FEAC0" w14:textId="3886093E" w:rsidR="00804FC6" w:rsidRPr="005A69F2" w:rsidRDefault="00804FC6" w:rsidP="00FB5A95">
      <w:pPr>
        <w:pStyle w:val="Ttulo3"/>
      </w:pPr>
      <w:bookmarkStart w:id="161" w:name="_Toc208510821"/>
      <w:r w:rsidRPr="005A69F2">
        <w:lastRenderedPageBreak/>
        <w:t>Bloco Família e Vida Pessoal</w:t>
      </w:r>
      <w:bookmarkEnd w:id="161"/>
    </w:p>
    <w:p w14:paraId="4E3E8E0C" w14:textId="2C7D3992" w:rsidR="00804FC6" w:rsidRDefault="00804FC6" w:rsidP="00584F60">
      <w:pPr>
        <w:pStyle w:val="Texto"/>
        <w:contextualSpacing/>
      </w:pPr>
      <w:r>
        <w:t>Estudos indicam que as mulheres enfrentam dificuldades para equilibrar trabalho e vida pessoal em razão das desigualdades na divisão do trabalho de cuidado</w:t>
      </w:r>
      <w:r w:rsidR="00230B5E">
        <w:rPr>
          <w:rStyle w:val="Refdenotaderodap"/>
        </w:rPr>
        <w:footnoteReference w:id="73"/>
      </w:r>
      <w:r>
        <w:t xml:space="preserve"> e da sobrecarga no trabalho doméstico.</w:t>
      </w:r>
      <w:r>
        <w:rPr>
          <w:vertAlign w:val="superscript"/>
        </w:rPr>
        <w:footnoteReference w:id="74"/>
      </w:r>
      <w:r>
        <w:t xml:space="preserve"> As mulheres ainda carregam a responsabilidade primária pelo cuidado - especialmente com crianças, idosos, pessoas com deficiência - e isso constrange estruturalmente suas possibilidades de realização profissional e de ascensão na carreira, inclusive no setor público, dadas as exigências e responsabilidades dos cargos de liderança.</w:t>
      </w:r>
      <w:r>
        <w:rPr>
          <w:rStyle w:val="Refdenotaderodap"/>
          <w:rFonts w:ascii="Times New Roman" w:hAnsi="Times New Roman" w:cs="Times New Roman"/>
        </w:rPr>
        <w:footnoteReference w:id="75"/>
      </w:r>
      <w:r>
        <w:t xml:space="preserve"> Esse padrão é acentuado pelo reduzido período de licença</w:t>
      </w:r>
      <w:r w:rsidR="007C18B3">
        <w:t>-</w:t>
      </w:r>
      <w:r>
        <w:t>paternidade, o que reforça a influência do gênero como fator de diferenciação na alocação em cargos de chefia e funções gratificadas.</w:t>
      </w:r>
      <w:r>
        <w:rPr>
          <w:rStyle w:val="Refdenotaderodap"/>
          <w:rFonts w:ascii="Times New Roman" w:hAnsi="Times New Roman" w:cs="Times New Roman"/>
        </w:rPr>
        <w:footnoteReference w:id="76"/>
      </w:r>
    </w:p>
    <w:p w14:paraId="50DC36CE" w14:textId="77777777" w:rsidR="00804FC6" w:rsidRDefault="00804FC6" w:rsidP="00584F60">
      <w:pPr>
        <w:pStyle w:val="Texto"/>
      </w:pPr>
      <w:r>
        <w:t>Diante desse contexto, a pesquisa buscou avaliar as percepções dos participantes sobre como se dá a relação entre trabalho, vida pessoal e cuidado (com ênfase na maternidade) na trajetória das mulheres do TST/CSJT.</w:t>
      </w:r>
    </w:p>
    <w:p w14:paraId="55DF1956" w14:textId="7C71BA07" w:rsidR="00A14C8C" w:rsidRDefault="00804FC6" w:rsidP="00584F60">
      <w:pPr>
        <w:pStyle w:val="Texto"/>
      </w:pPr>
      <w:r>
        <w:t xml:space="preserve">O Gráfico </w:t>
      </w:r>
      <w:r w:rsidR="006A22B9">
        <w:t>54</w:t>
      </w:r>
      <w:r>
        <w:t xml:space="preserve"> evidencia diferenças na percepção entre as mulheres e os homens que responderam a pesquisa sobre a pressão por priorizar o trabalho em detrimento da vida pessoal no TST/CSJT. Quase metade das mulheres (44,7%) relata sentir essa pressão, enquanto a maioria (53,3%) não a identifica. Por outro lado, a</w:t>
      </w:r>
      <w:r w:rsidR="00B00ED0">
        <w:t>penas 24,1</w:t>
      </w:r>
      <w:r>
        <w:t>% dos homens reconhecem essa pressã</w:t>
      </w:r>
      <w:r w:rsidR="00B00ED0">
        <w:t>o nas mulheres e a maioria (51,7</w:t>
      </w:r>
      <w:r>
        <w:t>%) acredita que ela não exis</w:t>
      </w:r>
      <w:r w:rsidR="00B00ED0">
        <w:t>te. Um dado relevante é que 24,1</w:t>
      </w:r>
      <w:r>
        <w:t>% dos homens não souberam responder, o que sugere um desconhecimento considerável sobre a questão.</w:t>
      </w:r>
    </w:p>
    <w:p w14:paraId="78D86630" w14:textId="20D52B56" w:rsidR="00A14C8C" w:rsidRDefault="00A14C8C" w:rsidP="00584F60">
      <w:pPr>
        <w:pStyle w:val="Texto"/>
      </w:pPr>
    </w:p>
    <w:p w14:paraId="2938E34C" w14:textId="311F38D5" w:rsidR="00804FC6" w:rsidRDefault="00804FC6" w:rsidP="00FB5A95">
      <w:pPr>
        <w:pStyle w:val="TtulodaIlustrao"/>
      </w:pPr>
      <w:bookmarkStart w:id="162" w:name="_Toc208508677"/>
      <w:r>
        <w:lastRenderedPageBreak/>
        <w:t xml:space="preserve">Gráfico </w:t>
      </w:r>
      <w:r w:rsidR="009C3FD3">
        <w:t>5</w:t>
      </w:r>
      <w:r w:rsidR="001904A0">
        <w:t>4</w:t>
      </w:r>
      <w:r w:rsidR="00D14DC0">
        <w:t xml:space="preserve"> </w:t>
      </w:r>
      <w:r w:rsidRPr="00D14DC0">
        <w:rPr>
          <w:b w:val="0"/>
        </w:rPr>
        <w:t>- Percepção sobre pressão no TST/CSJT para mulheres priorizarem trabalho em detrimento da vida pessoal, por gênero (%)</w:t>
      </w:r>
      <w:bookmarkEnd w:id="162"/>
    </w:p>
    <w:p w14:paraId="4AFD66C4" w14:textId="74CDB2A2" w:rsidR="00804FC6" w:rsidRDefault="00B00ED0" w:rsidP="00B00ED0">
      <w:pPr>
        <w:jc w:val="center"/>
      </w:pPr>
      <w:r>
        <w:rPr>
          <w:noProof/>
        </w:rPr>
        <w:drawing>
          <wp:inline distT="0" distB="0" distL="0" distR="0" wp14:anchorId="124AE9B7" wp14:editId="790EB0C4">
            <wp:extent cx="4572000" cy="2743200"/>
            <wp:effectExtent l="0" t="0" r="0" b="0"/>
            <wp:docPr id="1422614882" name="Gráfico 1422614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AAC3834" w14:textId="289A3299" w:rsidR="00804FC6" w:rsidRDefault="00804FC6" w:rsidP="00804FC6">
      <w:pPr>
        <w:pStyle w:val="Fonte"/>
        <w:rPr>
          <w:b w:val="0"/>
        </w:rPr>
      </w:pPr>
      <w:r>
        <w:t>Fonte:</w:t>
      </w:r>
      <w:r w:rsidRPr="00804FC6">
        <w:rPr>
          <w:b w:val="0"/>
        </w:rPr>
        <w:t xml:space="preserve"> Dados da Pesquisa de Percepção da Participação Feminina no TST e no CSJT, 2025. Compilação e elaboração: CPJUD/SEPJD/CPJED.</w:t>
      </w:r>
    </w:p>
    <w:p w14:paraId="3E93E85B" w14:textId="77777777" w:rsidR="00804FC6" w:rsidRDefault="00804FC6" w:rsidP="00584F60">
      <w:pPr>
        <w:pStyle w:val="Texto"/>
      </w:pPr>
    </w:p>
    <w:p w14:paraId="5BF4E6ED" w14:textId="77777777" w:rsidR="00804FC6" w:rsidRPr="00804FC6" w:rsidRDefault="00804FC6" w:rsidP="00584F60">
      <w:pPr>
        <w:pStyle w:val="Texto"/>
      </w:pPr>
      <w:r w:rsidRPr="00804FC6">
        <w:t>Segmentando os dados das respondentes, verifica-se que as mulheres com 15 a 20 anos de atuação são as mais impactadas, com 65,6% delas relatando sentir essa pressão. Em seguida, as que têm 2 a 4 anos de serviço também apresentam um índice elevado, com 53,3%. No que diz respeito à idade, a faixa etária de 40 a 49 anos é a que mais percebe essa pressão (54,9%). De forma geral, a pressão é significativamente mais sentida entre as respondentes de 30 a 59 anos. Os menores índices, por sua vez, são observados nas faixas de 18 a 29 anos (25%) e de 60 a 69 anos (9,1%).</w:t>
      </w:r>
    </w:p>
    <w:p w14:paraId="2BC304B9" w14:textId="77777777" w:rsidR="006870B7" w:rsidRDefault="00804FC6" w:rsidP="00584F60">
      <w:pPr>
        <w:pStyle w:val="Texto"/>
      </w:pPr>
      <w:r w:rsidRPr="00197917">
        <w:t>Considerando a orientação sexual, mulheres bissexuais apresentam o maior percentual de percepção de pressão (66,7%). A condição de deficiência, contudo,</w:t>
      </w:r>
      <w:r w:rsidRPr="00804FC6">
        <w:t xml:space="preserve"> não revela diferenças significativas na percepção de pressão, com percentuais próximos entre mulheres com (46,7%) e sem deficiência (44,4%). No recorte de grupos raciais/étnicos, mulheres pretas registram o maior índice de percepção de pressão (60%), enquanto os demais grupos apresentam os seguintes percentuais: pardas (41,7%), bra</w:t>
      </w:r>
      <w:r w:rsidR="006870B7">
        <w:t xml:space="preserve">ncas (44,9%) e amarelas (25%). </w:t>
      </w:r>
    </w:p>
    <w:p w14:paraId="5E9F345A" w14:textId="73990A0A" w:rsidR="00804FC6" w:rsidRDefault="00804FC6" w:rsidP="00584F60">
      <w:pPr>
        <w:pStyle w:val="Texto"/>
      </w:pPr>
      <w:r w:rsidRPr="00804FC6">
        <w:t>Esses dad</w:t>
      </w:r>
      <w:r>
        <w:t>os estão ilustrados na Figura 13</w:t>
      </w:r>
      <w:r w:rsidRPr="00804FC6">
        <w:t>.</w:t>
      </w:r>
      <w:bookmarkStart w:id="163" w:name="_idkhodnnxmn7" w:colFirst="0" w:colLast="0"/>
      <w:bookmarkStart w:id="164" w:name="_yg91zd7ywud0" w:colFirst="0" w:colLast="0"/>
      <w:bookmarkEnd w:id="163"/>
      <w:bookmarkEnd w:id="164"/>
    </w:p>
    <w:p w14:paraId="09D7E6A3" w14:textId="6B123457" w:rsidR="001C6269" w:rsidRDefault="001C6269" w:rsidP="00804FC6">
      <w:pPr>
        <w:pStyle w:val="Texto"/>
      </w:pPr>
    </w:p>
    <w:p w14:paraId="346ECC9E" w14:textId="38A29F31" w:rsidR="00584F60" w:rsidRDefault="00584F60">
      <w:pPr>
        <w:rPr>
          <w:rFonts w:asciiTheme="minorHAnsi" w:hAnsiTheme="minorHAnsi" w:cstheme="minorHAnsi"/>
          <w:noProof/>
        </w:rPr>
      </w:pPr>
      <w:r>
        <w:br w:type="page"/>
      </w:r>
    </w:p>
    <w:p w14:paraId="1566A7EE" w14:textId="31969B46" w:rsidR="00804FC6" w:rsidRDefault="00804FC6" w:rsidP="00FB5A95">
      <w:pPr>
        <w:pStyle w:val="TtulodaIlustrao"/>
      </w:pPr>
      <w:bookmarkStart w:id="165" w:name="_Toc208510695"/>
      <w:r>
        <w:lastRenderedPageBreak/>
        <w:t xml:space="preserve">Figura </w:t>
      </w:r>
      <w:r>
        <w:fldChar w:fldCharType="begin"/>
      </w:r>
      <w:r>
        <w:instrText xml:space="preserve"> SEQ Figura \* ARABIC </w:instrText>
      </w:r>
      <w:r>
        <w:fldChar w:fldCharType="separate"/>
      </w:r>
      <w:r w:rsidR="00D85D1E">
        <w:t>13</w:t>
      </w:r>
      <w:r>
        <w:fldChar w:fldCharType="end"/>
      </w:r>
      <w:r w:rsidRPr="00D14DC0">
        <w:rPr>
          <w:b w:val="0"/>
        </w:rPr>
        <w:t xml:space="preserve"> - Percepção feminina sobre pressão no TST/CSJT para mulheres priorizarem trabalho em detrimento da vida pessoal, por perfil (%)</w:t>
      </w:r>
      <w:bookmarkEnd w:id="165"/>
    </w:p>
    <w:p w14:paraId="1CA83990" w14:textId="77777777" w:rsidR="00804FC6" w:rsidRDefault="00804FC6" w:rsidP="00804FC6">
      <w:pPr>
        <w:jc w:val="center"/>
      </w:pPr>
      <w:r>
        <w:rPr>
          <w:noProof/>
        </w:rPr>
        <w:drawing>
          <wp:inline distT="114300" distB="114300" distL="114300" distR="114300" wp14:anchorId="6C37CEF5" wp14:editId="288EBA56">
            <wp:extent cx="5915025" cy="5400675"/>
            <wp:effectExtent l="0" t="0" r="9525" b="9525"/>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4"/>
                    <a:srcRect/>
                    <a:stretch>
                      <a:fillRect/>
                    </a:stretch>
                  </pic:blipFill>
                  <pic:spPr>
                    <a:xfrm>
                      <a:off x="0" y="0"/>
                      <a:ext cx="5917473" cy="5402910"/>
                    </a:xfrm>
                    <a:prstGeom prst="rect">
                      <a:avLst/>
                    </a:prstGeom>
                    <a:ln/>
                  </pic:spPr>
                </pic:pic>
              </a:graphicData>
            </a:graphic>
          </wp:inline>
        </w:drawing>
      </w:r>
    </w:p>
    <w:p w14:paraId="48C546DD" w14:textId="11A8A3ED" w:rsidR="00804FC6" w:rsidRDefault="00804FC6" w:rsidP="00804FC6">
      <w:pPr>
        <w:pStyle w:val="Fonte"/>
        <w:rPr>
          <w:b w:val="0"/>
        </w:rPr>
      </w:pPr>
      <w:r>
        <w:t xml:space="preserve">Fonte: </w:t>
      </w:r>
      <w:r w:rsidRPr="00804FC6">
        <w:rPr>
          <w:b w:val="0"/>
        </w:rPr>
        <w:t>Dados da Pesquisa de Percepção da Participação Feminina no TST e no CSJT, 2025. Compilação e elaboração: CPJUD/SEPJD/CPJED.</w:t>
      </w:r>
    </w:p>
    <w:p w14:paraId="0DA57C10" w14:textId="77777777" w:rsidR="00804FC6" w:rsidRDefault="00804FC6" w:rsidP="00584F60">
      <w:pPr>
        <w:pStyle w:val="Texto"/>
      </w:pPr>
    </w:p>
    <w:p w14:paraId="533C55A4" w14:textId="766D9B41" w:rsidR="00804FC6" w:rsidRDefault="00804FC6" w:rsidP="00584F60">
      <w:pPr>
        <w:pStyle w:val="Texto"/>
      </w:pPr>
      <w:r>
        <w:t>O questionário também investigou a percepção sobre a adequação do suporte oferecido às mães que trabalham no TST/CSJT. Entre as mulheres, 50,4% consideram que o órgão oferece suporte adequado, enquanto 30,7% discordam e 18,9% não souberam responder. No grupo masculino, a percepção é signif</w:t>
      </w:r>
      <w:r w:rsidR="00B00ED0">
        <w:t>icativamente mais positiva: 79,3</w:t>
      </w:r>
      <w:r>
        <w:t>% avaliam que há suporte</w:t>
      </w:r>
      <w:r w:rsidR="00B00ED0">
        <w:t xml:space="preserve"> adequado, 8,6% discordam e 12,1</w:t>
      </w:r>
      <w:r>
        <w:t xml:space="preserve">% declararam não saber responder (Gráfico </w:t>
      </w:r>
      <w:r w:rsidR="006A22B9">
        <w:t>55</w:t>
      </w:r>
      <w:r>
        <w:t>).</w:t>
      </w:r>
    </w:p>
    <w:p w14:paraId="4CAE47C0" w14:textId="05F7C1A2" w:rsidR="00804FC6" w:rsidRPr="00DF52D8" w:rsidRDefault="00804FC6" w:rsidP="00584F60">
      <w:pPr>
        <w:pStyle w:val="Texto"/>
      </w:pPr>
      <w:bookmarkStart w:id="166" w:name="_10br6ba0o5af" w:colFirst="0" w:colLast="0"/>
      <w:bookmarkEnd w:id="166"/>
    </w:p>
    <w:p w14:paraId="74AF24DC" w14:textId="70D63B1F" w:rsidR="00DF52D8" w:rsidRDefault="00DF52D8" w:rsidP="00584F60">
      <w:pPr>
        <w:pStyle w:val="Texto"/>
      </w:pPr>
      <w:r>
        <w:br w:type="page"/>
      </w:r>
    </w:p>
    <w:p w14:paraId="77E6D863" w14:textId="63244DA2" w:rsidR="00804FC6" w:rsidRDefault="00804FC6" w:rsidP="00FB5A95">
      <w:pPr>
        <w:pStyle w:val="TtulodaIlustrao"/>
      </w:pPr>
      <w:bookmarkStart w:id="167" w:name="_Toc208508678"/>
      <w:r>
        <w:lastRenderedPageBreak/>
        <w:t xml:space="preserve">Gráfico </w:t>
      </w:r>
      <w:r w:rsidR="009C3FD3">
        <w:t>5</w:t>
      </w:r>
      <w:r w:rsidR="001904A0">
        <w:t>5</w:t>
      </w:r>
      <w:r w:rsidRPr="00D14DC0">
        <w:rPr>
          <w:b w:val="0"/>
        </w:rPr>
        <w:t xml:space="preserve"> - Percepção sobre o suporte às mães no ambiente de trabalho do TST/CSJT, por gênero (%)</w:t>
      </w:r>
      <w:bookmarkEnd w:id="167"/>
    </w:p>
    <w:p w14:paraId="55035C0D" w14:textId="2F465CD2" w:rsidR="00804FC6" w:rsidRDefault="00B00ED0" w:rsidP="00804FC6">
      <w:pPr>
        <w:spacing w:line="360" w:lineRule="auto"/>
        <w:jc w:val="center"/>
      </w:pPr>
      <w:r>
        <w:rPr>
          <w:noProof/>
        </w:rPr>
        <w:drawing>
          <wp:inline distT="0" distB="0" distL="0" distR="0" wp14:anchorId="3963B2E4" wp14:editId="7BAA149D">
            <wp:extent cx="4572000" cy="2743200"/>
            <wp:effectExtent l="0" t="0" r="0" b="0"/>
            <wp:docPr id="1422614883" name="Gráfico 14226148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38179A6" w14:textId="40335CAD" w:rsidR="00804FC6" w:rsidRDefault="00804FC6" w:rsidP="00804FC6">
      <w:pPr>
        <w:pStyle w:val="Fonte"/>
        <w:rPr>
          <w:b w:val="0"/>
        </w:rPr>
      </w:pPr>
      <w:r>
        <w:t xml:space="preserve">Fonte: </w:t>
      </w:r>
      <w:r w:rsidRPr="00804FC6">
        <w:rPr>
          <w:b w:val="0"/>
        </w:rPr>
        <w:t>Dados da Pesquisa de Percepção da Participação Feminina no TST e no CSJT, 2025. Compilação e elaboração: CPJUD/SEPJD/CPJED.</w:t>
      </w:r>
    </w:p>
    <w:p w14:paraId="0D773CBB" w14:textId="77777777" w:rsidR="00804FC6" w:rsidRPr="00804FC6" w:rsidRDefault="00804FC6" w:rsidP="00584F60">
      <w:pPr>
        <w:pStyle w:val="Texto"/>
      </w:pPr>
    </w:p>
    <w:p w14:paraId="1924814A" w14:textId="0DB3A7A7" w:rsidR="00804FC6" w:rsidRDefault="00804FC6" w:rsidP="00584F60">
      <w:pPr>
        <w:pStyle w:val="Texto"/>
      </w:pPr>
      <w:r>
        <w:t>Conforme demonstra a Figura 14, a avaliação da adequação do suporte à maternidade no TST/CSJT apresenta variações significativas entre os grupos de respondentes. A análise por tempo de serviço indica que a percepção de inadequação é mais elevada em estágios intermediários da carreira. Entre as mulheres com 2 a 10 anos de atuação, as opiniões se dividem igualmente entre "Sim" e "Não". A insatisfação atinge seu pico na faixa de 15 a 20 anos de serviço (43,8%), invertendo-se para uma percepção majoritariamente positiva (73,7%) na faixa de 20 anos ou mais de trabalho no TST/CSJT. De modo similar, a análise por faixa etária indica maior insatisfação entre mulheres de 30 a 49 anos, período frequentemente associado às maiores demandas de conciliação entre carreira e maternidade (40,2% na faixa de 40 a 49 anos e 30,8% entre 30 e 39 anos).</w:t>
      </w:r>
    </w:p>
    <w:p w14:paraId="2880BF43" w14:textId="77777777" w:rsidR="00804FC6" w:rsidRDefault="00804FC6" w:rsidP="00584F60">
      <w:pPr>
        <w:pStyle w:val="Texto"/>
      </w:pPr>
      <w:r>
        <w:t>Por orientação sexual, a percepção de suporte adequado é mais elevada entre mulheres heterossexuais (51,4%) e homossexuais (60%), enquanto o grupo bissexual apresenta opiniões mais divididas. Na análise por raça/etnia, observa-se que a maioria das mulheres brancas (53,6%) e pardas (51,1%) considera o suporte adequado, ao passo que as mulheres pretas apresentam maior insatisfação, com 50% de respostas negativas e 40% que “não sabem responder”. Entre as amarelas, predomina a incerteza, com 50% indicando “não sei responder”.</w:t>
      </w:r>
    </w:p>
    <w:p w14:paraId="005C5115" w14:textId="64601617" w:rsidR="00804FC6" w:rsidRDefault="00804FC6" w:rsidP="00584F60">
      <w:pPr>
        <w:pStyle w:val="Texto"/>
      </w:pPr>
      <w:r>
        <w:t xml:space="preserve">A condição de deficiência também se destaca como um fator relevante. Apenas 26,7% das mulheres com deficiência consideram o suporte do TST/CSJT adequado, enquanto 40% o avaliam </w:t>
      </w:r>
      <w:r>
        <w:lastRenderedPageBreak/>
        <w:t>como inadequado e 33,3% não souberam responder. Em contrapartida, entre as mulheres sem deficiência, a maioria (51,8%) avalia o suporte como adequado.</w:t>
      </w:r>
      <w:bookmarkStart w:id="168" w:name="_n6vkt6onshct" w:colFirst="0" w:colLast="0"/>
      <w:bookmarkEnd w:id="168"/>
    </w:p>
    <w:p w14:paraId="50206448" w14:textId="44C42475" w:rsidR="00944D5C" w:rsidRDefault="00944D5C" w:rsidP="00584F60">
      <w:pPr>
        <w:pStyle w:val="Texto"/>
      </w:pPr>
      <w:r w:rsidRPr="004B08C1">
        <w:t>Diante das variações identificadas nos diferentes recortes, uma linha de aprofundamento relevante seria a realização de uma pesquisa qualitativa específica sobre o suporte à maternidade no TST/CSJT. Esse tipo de investigação permitiria captar, para além dos percentuais, as experiências subjetivas das mulheres em relação às políticas institucionais de acolhimento e conciliação entre vida profissional e familiar. A análise qualitativa poderia contemplar aspectos como o impacto das políticas de licença, as condições de retorno ao trabalho, eventuais diferenças salariais, acesso a cargos de liderança e o nível de escolaridade das servidoras. Vale destacar, ainda, que o TST possui berçário em sua própria estrutura</w:t>
      </w:r>
      <w:r w:rsidRPr="004B08C1">
        <w:rPr>
          <w:rStyle w:val="Refdenotaderodap"/>
        </w:rPr>
        <w:footnoteReference w:id="77"/>
      </w:r>
      <w:r w:rsidRPr="004B08C1">
        <w:t>, o que constitui um diferencial em relação a outras instituições e merece ser avaliado quanto à sua efetividade prática e alcance. A inclusão desses elementos ampliaria a compreensão sobre os desafios enfrentados e subsidiaria a formulação de políticas mais sensíveis às demandas reais das trabalhadoras da Corte</w:t>
      </w:r>
      <w:r w:rsidR="001E0431" w:rsidRPr="004B08C1">
        <w:t xml:space="preserve"> no exercício da maternidade</w:t>
      </w:r>
      <w:r w:rsidRPr="004B08C1">
        <w:t>.</w:t>
      </w:r>
    </w:p>
    <w:p w14:paraId="4B234E51" w14:textId="77777777" w:rsidR="00E33569" w:rsidRDefault="00E33569" w:rsidP="00584F60">
      <w:pPr>
        <w:pStyle w:val="Texto"/>
      </w:pPr>
    </w:p>
    <w:p w14:paraId="24806660" w14:textId="6CE42865" w:rsidR="00E33569" w:rsidRDefault="00E33569" w:rsidP="00584F60">
      <w:pPr>
        <w:ind w:firstLine="851"/>
        <w:rPr>
          <w:rFonts w:asciiTheme="minorHAnsi" w:hAnsiTheme="minorHAnsi" w:cstheme="minorHAnsi"/>
          <w:noProof/>
          <w:highlight w:val="yellow"/>
        </w:rPr>
      </w:pPr>
      <w:r>
        <w:rPr>
          <w:highlight w:val="yellow"/>
        </w:rPr>
        <w:br w:type="page"/>
      </w:r>
    </w:p>
    <w:p w14:paraId="754E38D6" w14:textId="77777777" w:rsidR="00E33569" w:rsidRDefault="00172ECB" w:rsidP="00FB5A95">
      <w:pPr>
        <w:pStyle w:val="TtulodaIlustrao"/>
      </w:pPr>
      <w:bookmarkStart w:id="169" w:name="_Toc208510696"/>
      <w:r>
        <w:lastRenderedPageBreak/>
        <w:t xml:space="preserve">Figura </w:t>
      </w:r>
      <w:r>
        <w:fldChar w:fldCharType="begin"/>
      </w:r>
      <w:r>
        <w:instrText xml:space="preserve"> SEQ Figura \* ARABIC </w:instrText>
      </w:r>
      <w:r>
        <w:fldChar w:fldCharType="separate"/>
      </w:r>
      <w:r w:rsidR="00D85D1E">
        <w:t>14</w:t>
      </w:r>
      <w:r>
        <w:fldChar w:fldCharType="end"/>
      </w:r>
      <w:r w:rsidRPr="00D14DC0">
        <w:rPr>
          <w:b w:val="0"/>
        </w:rPr>
        <w:t xml:space="preserve"> - Percepção sobre o suporte às mães no ambiente de trabalho do TST/CSJT, por gênero (%)</w:t>
      </w:r>
      <w:bookmarkEnd w:id="169"/>
    </w:p>
    <w:p w14:paraId="709F5384" w14:textId="54E75E8E" w:rsidR="00804FC6" w:rsidRPr="00E33569" w:rsidRDefault="00804FC6" w:rsidP="00E33569">
      <w:pPr>
        <w:jc w:val="center"/>
      </w:pPr>
      <w:r w:rsidRPr="00E33569">
        <w:rPr>
          <w:noProof/>
        </w:rPr>
        <w:drawing>
          <wp:inline distT="114300" distB="114300" distL="114300" distR="114300" wp14:anchorId="4B12DAC5" wp14:editId="276BA0A6">
            <wp:extent cx="5553075" cy="5438775"/>
            <wp:effectExtent l="0" t="0" r="9525" b="9525"/>
            <wp:docPr id="3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6"/>
                    <a:srcRect/>
                    <a:stretch>
                      <a:fillRect/>
                    </a:stretch>
                  </pic:blipFill>
                  <pic:spPr>
                    <a:xfrm>
                      <a:off x="0" y="0"/>
                      <a:ext cx="5557955" cy="5443555"/>
                    </a:xfrm>
                    <a:prstGeom prst="rect">
                      <a:avLst/>
                    </a:prstGeom>
                    <a:ln/>
                  </pic:spPr>
                </pic:pic>
              </a:graphicData>
            </a:graphic>
          </wp:inline>
        </w:drawing>
      </w:r>
    </w:p>
    <w:p w14:paraId="7B0D0E91" w14:textId="3EF4D812" w:rsidR="00172ECB" w:rsidRDefault="00804FC6" w:rsidP="00172ECB">
      <w:pPr>
        <w:pStyle w:val="Fonte"/>
        <w:rPr>
          <w:b w:val="0"/>
        </w:rPr>
      </w:pPr>
      <w:r>
        <w:t xml:space="preserve">Fonte: </w:t>
      </w:r>
      <w:r w:rsidRPr="00172ECB">
        <w:rPr>
          <w:b w:val="0"/>
        </w:rPr>
        <w:t>Dados da Pesquisa de Percepção da Participação Feminina no TST e no CSJT, 2025. Compilação e elaboração: CPJUD/SEPJD/CPJED</w:t>
      </w:r>
      <w:r w:rsidR="00172ECB" w:rsidRPr="00172ECB">
        <w:rPr>
          <w:b w:val="0"/>
        </w:rPr>
        <w:t>.</w:t>
      </w:r>
    </w:p>
    <w:p w14:paraId="52120D12" w14:textId="77777777" w:rsidR="00172ECB" w:rsidRPr="00172ECB" w:rsidRDefault="00172ECB" w:rsidP="00584F60">
      <w:pPr>
        <w:pStyle w:val="Texto"/>
      </w:pPr>
    </w:p>
    <w:p w14:paraId="54D68D76" w14:textId="372A62C5" w:rsidR="00804FC6" w:rsidRDefault="00804FC6" w:rsidP="00584F60">
      <w:pPr>
        <w:pStyle w:val="Texto"/>
      </w:pPr>
      <w:r>
        <w:t xml:space="preserve">Buscou-se também compreender a percepção quanto à ocorrência de situações em que mães são prejudicadas profissionalmente em função da maternidade no TST/CSJT. Entre as mulheres que responderam a pesquisa, 41% afirmaram já ter vivenciado ou presenciado esse tipo de situação, enquanto 50,8% responderam que não. Por outro lado, entre os homens, o percentual dos que afirmaram ter presenciado tal situação é consideravelmente menor, </w:t>
      </w:r>
      <w:r w:rsidR="00B00ED0">
        <w:t>correspondendo a apenas 15,5</w:t>
      </w:r>
      <w:r>
        <w:t>%. A m</w:t>
      </w:r>
      <w:r w:rsidR="00B00ED0">
        <w:t>aioria expressiva dos homens, 79,3</w:t>
      </w:r>
      <w:r>
        <w:t>%, declarou nunca ter presenciado es</w:t>
      </w:r>
      <w:r w:rsidR="00172ECB">
        <w:t xml:space="preserve">se tipo de ocorrência (Gráfico </w:t>
      </w:r>
      <w:r w:rsidR="006A22B9">
        <w:t>56</w:t>
      </w:r>
      <w:r>
        <w:t xml:space="preserve">). </w:t>
      </w:r>
    </w:p>
    <w:p w14:paraId="45FDD3B0" w14:textId="77777777" w:rsidR="00804FC6" w:rsidRDefault="00804FC6" w:rsidP="00584F60">
      <w:pPr>
        <w:pStyle w:val="Texto"/>
      </w:pPr>
    </w:p>
    <w:p w14:paraId="52E618FF" w14:textId="11DA2BAF" w:rsidR="00172ECB" w:rsidRDefault="00172ECB" w:rsidP="00FB5A95">
      <w:pPr>
        <w:pStyle w:val="TtulodaIlustrao"/>
      </w:pPr>
      <w:bookmarkStart w:id="170" w:name="_rak7mw3cldiq" w:colFirst="0" w:colLast="0"/>
      <w:bookmarkStart w:id="171" w:name="_Toc208508679"/>
      <w:bookmarkEnd w:id="170"/>
      <w:r>
        <w:lastRenderedPageBreak/>
        <w:t xml:space="preserve">Gráfico </w:t>
      </w:r>
      <w:r w:rsidR="009C3FD3">
        <w:t>5</w:t>
      </w:r>
      <w:r w:rsidR="001904A0">
        <w:t>6</w:t>
      </w:r>
      <w:r w:rsidRPr="00D14DC0">
        <w:rPr>
          <w:b w:val="0"/>
        </w:rPr>
        <w:t xml:space="preserve"> - Percepção sobre prejuízos profissionais sofridos por mães em função da maternidade, por gênero (%)</w:t>
      </w:r>
      <w:bookmarkEnd w:id="171"/>
    </w:p>
    <w:p w14:paraId="198C3FE9" w14:textId="19553AF9" w:rsidR="00172ECB" w:rsidRPr="00583CF8" w:rsidRDefault="00B00ED0" w:rsidP="00583CF8">
      <w:pPr>
        <w:jc w:val="center"/>
      </w:pPr>
      <w:r>
        <w:rPr>
          <w:noProof/>
        </w:rPr>
        <w:drawing>
          <wp:inline distT="0" distB="0" distL="0" distR="0" wp14:anchorId="75C428D0" wp14:editId="0714A62D">
            <wp:extent cx="4572000" cy="2743200"/>
            <wp:effectExtent l="0" t="0" r="0" b="0"/>
            <wp:docPr id="1422614884" name="Gráfico 14226148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3228AC0" w14:textId="3CCD5A6E" w:rsidR="00804FC6" w:rsidRDefault="00804FC6" w:rsidP="00172ECB">
      <w:pPr>
        <w:pStyle w:val="Fonte"/>
      </w:pPr>
      <w:r>
        <w:t xml:space="preserve">Fonte: </w:t>
      </w:r>
      <w:r w:rsidRPr="00172ECB">
        <w:rPr>
          <w:b w:val="0"/>
        </w:rPr>
        <w:t>Dados da Pesquisa de Percepção da Participação Feminina no TST e no CSJT, 2025. Compilação e elaboração: CPJUD/SEPJD/CPJED</w:t>
      </w:r>
      <w:r w:rsidR="00172ECB" w:rsidRPr="00172ECB">
        <w:rPr>
          <w:b w:val="0"/>
        </w:rPr>
        <w:t>.</w:t>
      </w:r>
    </w:p>
    <w:p w14:paraId="2D130794" w14:textId="77777777" w:rsidR="00172ECB" w:rsidRPr="00584F60" w:rsidRDefault="00172ECB" w:rsidP="00584F60">
      <w:pPr>
        <w:pStyle w:val="Texto"/>
      </w:pPr>
    </w:p>
    <w:p w14:paraId="1D592F07" w14:textId="77777777" w:rsidR="00804FC6" w:rsidRPr="00584F60" w:rsidRDefault="00804FC6" w:rsidP="00584F60">
      <w:pPr>
        <w:pStyle w:val="Texto"/>
      </w:pPr>
      <w:r w:rsidRPr="00584F60">
        <w:t xml:space="preserve">A percepção das respondentes sobre prejuízos profissionais para mães no TST/CSJT, considerando a orientação sexual, indica que 41,7% das heterossexuais relataram ter vivenciado ou presenciado essa situação, enquanto nenhuma mulher homossexual e 33,3% das bissexuais fizeram a mesma afirmação. No recorte étnico-racial, as mulheres pretas (50%) reportaram maior incidência desse problema, em comparação com brancas (43,6%), pardas (31,9%) e amarelas (25%). </w:t>
      </w:r>
    </w:p>
    <w:p w14:paraId="016DEF1F" w14:textId="77777777" w:rsidR="00804FC6" w:rsidRPr="00584F60" w:rsidRDefault="00804FC6" w:rsidP="00584F60">
      <w:pPr>
        <w:pStyle w:val="Texto"/>
      </w:pPr>
      <w:r w:rsidRPr="00584F60">
        <w:t>Pessoas com deficiência também apresentam uma percepção mais elevada de ocorrência, com 60% relatando prejuízos, frente a 39,4% entre pessoas sem deficiência. Quanto à faixa etária, o problema é mais percebido entre mulheres de 30 a 59 anos, com destaque para a faixa de 40 a 49 anos (48,8%). No recorte por tempo de serviço, o maior percentual de relatos foi registrado entre aquelas com 15 a 20 anos de atuação (59,4%).</w:t>
      </w:r>
    </w:p>
    <w:p w14:paraId="27E46B25" w14:textId="34D9325A" w:rsidR="008D017E" w:rsidRPr="00584F60" w:rsidRDefault="008D017E" w:rsidP="00584F60">
      <w:pPr>
        <w:pStyle w:val="Texto"/>
      </w:pPr>
      <w:r w:rsidRPr="004B08C1">
        <w:t xml:space="preserve">Os dados sugerem que a percepção de prejuízos profissionais associados à maternidade no TST/CSJT não é homogênea e se articula a diferentes marcadores sociais, como raça/etnia, orientação sexual, idade, tempo de serviço e condição de deficiência. A maior incidência de relatos está entre mulheres pretas, servidoras com deficiência e aquelas em estágios intermediários de carreira (15 a 20 anos de atuação). Esses achados apontam para a relevância de investigar de forma qualitativa como a maternidade impacta trajetórias profissionais específicas, permitindo compreender não apenas os números, mas também as experiências concretas e as estratégias </w:t>
      </w:r>
      <w:r w:rsidRPr="004B08C1">
        <w:lastRenderedPageBreak/>
        <w:t>adotadas pelas mulheres para conciliar carreira e responsabilidades familiares. Tal aprofundamento seria fundamental para subsidiar políticas institucionais mais inclusivas e sensíveis às diferentes realidades das trabalhadoras da Corte.</w:t>
      </w:r>
    </w:p>
    <w:p w14:paraId="0F4A793F" w14:textId="733B5D90" w:rsidR="00583CF8" w:rsidRDefault="00172ECB" w:rsidP="00584F60">
      <w:pPr>
        <w:pStyle w:val="Texto"/>
      </w:pPr>
      <w:r w:rsidRPr="00584F60">
        <w:t>A Figura 15</w:t>
      </w:r>
      <w:r w:rsidR="00804FC6" w:rsidRPr="00584F60">
        <w:t xml:space="preserve"> ilustra essa distribuição por perfil.</w:t>
      </w:r>
      <w:bookmarkStart w:id="172" w:name="_ejmpubaigoxx" w:colFirst="0" w:colLast="0"/>
      <w:bookmarkEnd w:id="172"/>
    </w:p>
    <w:p w14:paraId="1834F05E" w14:textId="77777777" w:rsidR="00584F60" w:rsidRPr="00584F60" w:rsidRDefault="00584F60" w:rsidP="00584F60">
      <w:pPr>
        <w:pStyle w:val="Texto"/>
      </w:pPr>
    </w:p>
    <w:p w14:paraId="485DF187" w14:textId="709A11C1" w:rsidR="00172ECB" w:rsidRDefault="00172ECB" w:rsidP="00FB5A95">
      <w:pPr>
        <w:pStyle w:val="TtulodaIlustrao"/>
      </w:pPr>
      <w:bookmarkStart w:id="173" w:name="_Toc208510697"/>
      <w:r>
        <w:t xml:space="preserve">Figura </w:t>
      </w:r>
      <w:r>
        <w:fldChar w:fldCharType="begin"/>
      </w:r>
      <w:r>
        <w:instrText xml:space="preserve"> SEQ Figura \* ARABIC </w:instrText>
      </w:r>
      <w:r>
        <w:fldChar w:fldCharType="separate"/>
      </w:r>
      <w:r w:rsidR="00D85D1E">
        <w:t>15</w:t>
      </w:r>
      <w:r>
        <w:fldChar w:fldCharType="end"/>
      </w:r>
      <w:r w:rsidRPr="00D14DC0">
        <w:rPr>
          <w:b w:val="0"/>
        </w:rPr>
        <w:t xml:space="preserve"> - Percepção feminina sobre prejuízos profissionais sofridos por mães em função da maternidade, por perfil (%)</w:t>
      </w:r>
      <w:bookmarkEnd w:id="173"/>
    </w:p>
    <w:p w14:paraId="0D5AC03E" w14:textId="77777777" w:rsidR="00804FC6" w:rsidRPr="00583CF8" w:rsidRDefault="00804FC6" w:rsidP="00583CF8">
      <w:pPr>
        <w:jc w:val="center"/>
      </w:pPr>
      <w:r w:rsidRPr="00583CF8">
        <w:rPr>
          <w:noProof/>
        </w:rPr>
        <w:drawing>
          <wp:inline distT="114300" distB="114300" distL="114300" distR="114300" wp14:anchorId="3272840D" wp14:editId="6E40C02F">
            <wp:extent cx="5483950" cy="5575046"/>
            <wp:effectExtent l="0" t="0" r="0" b="0"/>
            <wp:docPr id="6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8"/>
                    <a:srcRect/>
                    <a:stretch>
                      <a:fillRect/>
                    </a:stretch>
                  </pic:blipFill>
                  <pic:spPr>
                    <a:xfrm>
                      <a:off x="0" y="0"/>
                      <a:ext cx="5483950" cy="5575046"/>
                    </a:xfrm>
                    <a:prstGeom prst="rect">
                      <a:avLst/>
                    </a:prstGeom>
                    <a:ln/>
                  </pic:spPr>
                </pic:pic>
              </a:graphicData>
            </a:graphic>
          </wp:inline>
        </w:drawing>
      </w:r>
    </w:p>
    <w:p w14:paraId="6FE76CE1" w14:textId="131B6426" w:rsidR="00804FC6" w:rsidRDefault="00804FC6" w:rsidP="00172ECB">
      <w:pPr>
        <w:pStyle w:val="Fonte"/>
        <w:rPr>
          <w:b w:val="0"/>
        </w:rPr>
      </w:pPr>
      <w:r>
        <w:t xml:space="preserve">Fonte: </w:t>
      </w:r>
      <w:r w:rsidRPr="00172ECB">
        <w:rPr>
          <w:b w:val="0"/>
        </w:rPr>
        <w:t>Dados da Pesquisa de Percepção da Participação Feminina no TST e no CSJT, 2025. Compilação e elaboração: CPJUD/SEPJD/CPJED</w:t>
      </w:r>
      <w:r w:rsidR="00172ECB" w:rsidRPr="00172ECB">
        <w:rPr>
          <w:b w:val="0"/>
        </w:rPr>
        <w:t>.</w:t>
      </w:r>
    </w:p>
    <w:p w14:paraId="1CDDB29D" w14:textId="77777777" w:rsidR="00172ECB" w:rsidRDefault="00172ECB" w:rsidP="00584F60">
      <w:pPr>
        <w:pStyle w:val="Texto"/>
      </w:pPr>
    </w:p>
    <w:p w14:paraId="5EF9B416" w14:textId="77777777" w:rsidR="00584F60" w:rsidRDefault="00584F60">
      <w:pPr>
        <w:rPr>
          <w:rFonts w:asciiTheme="minorHAnsi" w:hAnsiTheme="minorHAnsi" w:cstheme="minorHAnsi"/>
          <w:noProof/>
        </w:rPr>
      </w:pPr>
      <w:r>
        <w:br w:type="page"/>
      </w:r>
    </w:p>
    <w:p w14:paraId="1C48E4F5" w14:textId="1647E3C5" w:rsidR="00804FC6" w:rsidRDefault="00804FC6" w:rsidP="00584F60">
      <w:pPr>
        <w:pStyle w:val="Texto"/>
      </w:pPr>
      <w:r>
        <w:lastRenderedPageBreak/>
        <w:t>Outro aspecto abordado no instrumento de pesquisa foi o grau de conforto das mães para tratar de questões relacionadas à maternidade no ambiente de trabalho</w:t>
      </w:r>
      <w:r w:rsidR="00172ECB">
        <w:t xml:space="preserve">. Conforme demonstra o Gráfico </w:t>
      </w:r>
      <w:r w:rsidR="006A22B9">
        <w:t>57</w:t>
      </w:r>
      <w:r>
        <w:t>, entre as mulheres, 45,7% acreditam que as mães se sentem confortáveis para abordar esse tema com colegas e superiores no TST/CSJT, enquanto um percentual significativo d</w:t>
      </w:r>
      <w:r w:rsidR="00172ECB">
        <w:t>e respondentes (38,8%) discorda</w:t>
      </w:r>
      <w:r>
        <w:t>. Já entre os homens,</w:t>
      </w:r>
      <w:r w:rsidR="006044A3">
        <w:t xml:space="preserve"> a percepção é mais positiva: 60</w:t>
      </w:r>
      <w:r>
        <w:t>,3% consideram que as mães se se</w:t>
      </w:r>
      <w:r w:rsidR="006044A3">
        <w:t>ntem confortáveis, enquanto 17,2</w:t>
      </w:r>
      <w:r>
        <w:t>% discordam.</w:t>
      </w:r>
    </w:p>
    <w:p w14:paraId="3384502A" w14:textId="12A84D08" w:rsidR="00804FC6" w:rsidRDefault="00804FC6" w:rsidP="00584F60">
      <w:pPr>
        <w:pStyle w:val="Texto"/>
      </w:pPr>
      <w:bookmarkStart w:id="174" w:name="_i1h0m3tvtf9" w:colFirst="0" w:colLast="0"/>
      <w:bookmarkEnd w:id="174"/>
    </w:p>
    <w:p w14:paraId="2211E0A7" w14:textId="69ED3D16" w:rsidR="00172ECB" w:rsidRDefault="00172ECB" w:rsidP="00FB5A95">
      <w:pPr>
        <w:pStyle w:val="TtulodaIlustrao"/>
      </w:pPr>
      <w:bookmarkStart w:id="175" w:name="_Toc208508680"/>
      <w:r>
        <w:t xml:space="preserve">Gráfico </w:t>
      </w:r>
      <w:r w:rsidR="009C3FD3">
        <w:t>5</w:t>
      </w:r>
      <w:r w:rsidR="001904A0">
        <w:t>7</w:t>
      </w:r>
      <w:r w:rsidRPr="00D14DC0">
        <w:rPr>
          <w:b w:val="0"/>
        </w:rPr>
        <w:t xml:space="preserve"> - Percepção sobre o conforto das mães para falar sobre maternidade no TST/CSJT, por gênero (%)</w:t>
      </w:r>
      <w:bookmarkEnd w:id="175"/>
    </w:p>
    <w:p w14:paraId="67F03D80" w14:textId="3427F722" w:rsidR="006044A3" w:rsidRDefault="006044A3" w:rsidP="00FB5A95">
      <w:pPr>
        <w:pStyle w:val="TtulodaIlustrao"/>
      </w:pPr>
      <w:r>
        <w:drawing>
          <wp:inline distT="0" distB="0" distL="0" distR="0" wp14:anchorId="7C409223" wp14:editId="54B924E4">
            <wp:extent cx="4572000" cy="2743200"/>
            <wp:effectExtent l="0" t="0" r="0" b="0"/>
            <wp:docPr id="1422614885" name="Gráfico 1422614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64D7BED" w14:textId="017E9744" w:rsidR="00804FC6" w:rsidRDefault="00804FC6" w:rsidP="00172ECB">
      <w:pPr>
        <w:pStyle w:val="Fonte"/>
        <w:rPr>
          <w:b w:val="0"/>
        </w:rPr>
      </w:pPr>
      <w:r>
        <w:t xml:space="preserve">Fonte: </w:t>
      </w:r>
      <w:r w:rsidRPr="00172ECB">
        <w:rPr>
          <w:b w:val="0"/>
        </w:rPr>
        <w:t>Dados da Pesquisa de Percepção da Participação Feminina no TST e no CSJT, 2025. Compilação e elaboração: CPJUD/SEPJD/CPJED</w:t>
      </w:r>
      <w:r w:rsidR="00172ECB" w:rsidRPr="00172ECB">
        <w:rPr>
          <w:b w:val="0"/>
        </w:rPr>
        <w:t>.</w:t>
      </w:r>
    </w:p>
    <w:p w14:paraId="707DB7E8" w14:textId="77777777" w:rsidR="00172ECB" w:rsidRDefault="00172ECB" w:rsidP="00584F60">
      <w:pPr>
        <w:pStyle w:val="Texto"/>
      </w:pPr>
    </w:p>
    <w:p w14:paraId="15983913" w14:textId="07EF7E04" w:rsidR="00804FC6" w:rsidRPr="00172ECB" w:rsidRDefault="00804FC6" w:rsidP="00584F60">
      <w:pPr>
        <w:pStyle w:val="Texto"/>
      </w:pPr>
      <w:r w:rsidRPr="00172ECB">
        <w:t>A análise dos dados femininos demonstra pouca variação na percepção sobre o conforto das mães em discutir maternidade, considerando os recortes de orientação sexual, faixa etária e tempo de serviço. Contudo, entre as respondentes pretas, predomina a percepção negativa: 50% discordam da afirmação de que há conforto, e apenas 30% percebem esse ambiente como favorável. No grupo de mulheres com deficiência, 42,9% relatam sentir conforto, enquanto 28,6% discordam ou n</w:t>
      </w:r>
      <w:r w:rsidR="00172ECB">
        <w:t>ão souberam responder (Figura 16</w:t>
      </w:r>
      <w:r w:rsidRPr="00172ECB">
        <w:t>).</w:t>
      </w:r>
    </w:p>
    <w:p w14:paraId="7112B4DF" w14:textId="77777777" w:rsidR="00037997" w:rsidRPr="00583CF8" w:rsidRDefault="00037997" w:rsidP="00584F60">
      <w:pPr>
        <w:pStyle w:val="Texto"/>
      </w:pPr>
      <w:bookmarkStart w:id="176" w:name="_gi67ez1awb8g" w:colFirst="0" w:colLast="0"/>
      <w:bookmarkEnd w:id="176"/>
    </w:p>
    <w:p w14:paraId="198B1C72" w14:textId="14DF99F8" w:rsidR="00583CF8" w:rsidRDefault="00583CF8" w:rsidP="00584F60">
      <w:pPr>
        <w:pStyle w:val="Texto"/>
      </w:pPr>
      <w:r>
        <w:br w:type="page"/>
      </w:r>
    </w:p>
    <w:p w14:paraId="1604E9EA" w14:textId="735074B5" w:rsidR="00172ECB" w:rsidRDefault="00172ECB" w:rsidP="00FB5A95">
      <w:pPr>
        <w:pStyle w:val="TtulodaTabela"/>
      </w:pPr>
      <w:bookmarkStart w:id="177" w:name="_Toc208510698"/>
      <w:r>
        <w:lastRenderedPageBreak/>
        <w:t xml:space="preserve">Figura </w:t>
      </w:r>
      <w:r>
        <w:fldChar w:fldCharType="begin"/>
      </w:r>
      <w:r>
        <w:instrText xml:space="preserve"> SEQ Figura \* ARABIC </w:instrText>
      </w:r>
      <w:r>
        <w:fldChar w:fldCharType="separate"/>
      </w:r>
      <w:r w:rsidR="00D85D1E">
        <w:t>16</w:t>
      </w:r>
      <w:r>
        <w:fldChar w:fldCharType="end"/>
      </w:r>
      <w:r w:rsidRPr="00D14DC0">
        <w:rPr>
          <w:b w:val="0"/>
        </w:rPr>
        <w:t xml:space="preserve"> - Percepção feminina sobre o conforto das mães para falar sobre maternidade no TST/CSJT, por perfil (%)</w:t>
      </w:r>
      <w:bookmarkEnd w:id="177"/>
    </w:p>
    <w:p w14:paraId="1AD586EA" w14:textId="77777777" w:rsidR="00804FC6" w:rsidRDefault="00804FC6" w:rsidP="00037997">
      <w:pPr>
        <w:spacing w:line="360" w:lineRule="auto"/>
        <w:jc w:val="center"/>
        <w:rPr>
          <w:b/>
        </w:rPr>
      </w:pPr>
      <w:r>
        <w:rPr>
          <w:b/>
          <w:noProof/>
        </w:rPr>
        <w:drawing>
          <wp:inline distT="114300" distB="114300" distL="114300" distR="114300" wp14:anchorId="7A16CD44" wp14:editId="4F142D7E">
            <wp:extent cx="5562600" cy="5286375"/>
            <wp:effectExtent l="0" t="0" r="0" b="9525"/>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0"/>
                    <a:srcRect/>
                    <a:stretch>
                      <a:fillRect/>
                    </a:stretch>
                  </pic:blipFill>
                  <pic:spPr>
                    <a:xfrm>
                      <a:off x="0" y="0"/>
                      <a:ext cx="5567298" cy="5290840"/>
                    </a:xfrm>
                    <a:prstGeom prst="rect">
                      <a:avLst/>
                    </a:prstGeom>
                    <a:ln/>
                  </pic:spPr>
                </pic:pic>
              </a:graphicData>
            </a:graphic>
          </wp:inline>
        </w:drawing>
      </w:r>
    </w:p>
    <w:p w14:paraId="44BAF2F9" w14:textId="198F421C" w:rsidR="00804FC6" w:rsidRDefault="00804FC6" w:rsidP="00037997">
      <w:pPr>
        <w:pStyle w:val="Fonte"/>
        <w:rPr>
          <w:b w:val="0"/>
        </w:rPr>
      </w:pPr>
      <w:r>
        <w:t xml:space="preserve">Fonte: </w:t>
      </w:r>
      <w:r w:rsidRPr="00037997">
        <w:rPr>
          <w:b w:val="0"/>
        </w:rPr>
        <w:t>Dados da Pesquisa de Percepção da Participação Feminina no TST e no CSJT, 2025. Compilação e elaboração: CPJUD/SEPJD/CPJED</w:t>
      </w:r>
      <w:r w:rsidR="00037997" w:rsidRPr="00037997">
        <w:rPr>
          <w:b w:val="0"/>
        </w:rPr>
        <w:t>.</w:t>
      </w:r>
    </w:p>
    <w:p w14:paraId="27E7E7F7" w14:textId="77777777" w:rsidR="00037997" w:rsidRPr="00037997" w:rsidRDefault="00037997" w:rsidP="00584F60">
      <w:pPr>
        <w:pStyle w:val="Texto"/>
      </w:pPr>
    </w:p>
    <w:p w14:paraId="7A9F3489" w14:textId="247EA312" w:rsidR="00583CF8" w:rsidRDefault="00E3607D" w:rsidP="00584F60">
      <w:pPr>
        <w:pStyle w:val="Texto"/>
        <w:rPr>
          <w:b/>
        </w:rPr>
      </w:pPr>
      <w:bookmarkStart w:id="178" w:name="_s84hyeq30x3d" w:colFirst="0" w:colLast="0"/>
      <w:bookmarkEnd w:id="178"/>
      <w:r>
        <w:t>No que tange à percepção sobre as dificuldades enfrentadas por mulheres no TST/CSJT ao retornarem da licença-maternidade, os dados da pesquisa revelam um cenário de opiniões divididas, com uma notória dissonância entre os gêneros. Com efeito, entre as respondentes do gênero feminino, há um equilíbrio técnico, no qual 41,8% afirmam não perceber grandes obstáculos na reintegração, enquanto 38,1% reportam a existência de desafios. Em manifesta oposição, entre os respondentes do gênero masculino, uma maioria consolidada de 56,8% compreende que não existem barreiras nesse processo, ao passo que apenas 17,2% admitem uma visão diversa (Gráfico 58).</w:t>
      </w:r>
    </w:p>
    <w:p w14:paraId="7BBEE5C5" w14:textId="2C99333D" w:rsidR="00037997" w:rsidRDefault="00037997" w:rsidP="00FB5A95">
      <w:pPr>
        <w:pStyle w:val="TtulodaIlustrao"/>
      </w:pPr>
      <w:bookmarkStart w:id="179" w:name="_Toc208508681"/>
      <w:r>
        <w:lastRenderedPageBreak/>
        <w:t xml:space="preserve">Gráfico </w:t>
      </w:r>
      <w:r w:rsidR="009C3FD3">
        <w:t>5</w:t>
      </w:r>
      <w:r w:rsidR="001904A0">
        <w:t>8</w:t>
      </w:r>
      <w:r w:rsidRPr="00D14DC0">
        <w:rPr>
          <w:b w:val="0"/>
        </w:rPr>
        <w:t xml:space="preserve"> - Percepção sobre a reintegração de mulheres após licença-maternidade no TST/CSJT, por gênero (%)</w:t>
      </w:r>
      <w:bookmarkEnd w:id="179"/>
    </w:p>
    <w:p w14:paraId="267828CE" w14:textId="1B269E17" w:rsidR="00804FC6" w:rsidRDefault="006044A3" w:rsidP="00804FC6">
      <w:pPr>
        <w:jc w:val="center"/>
        <w:rPr>
          <w:b/>
        </w:rPr>
      </w:pPr>
      <w:r>
        <w:rPr>
          <w:noProof/>
        </w:rPr>
        <w:drawing>
          <wp:inline distT="0" distB="0" distL="0" distR="0" wp14:anchorId="338B91FA" wp14:editId="31C1A969">
            <wp:extent cx="4572000" cy="2743200"/>
            <wp:effectExtent l="0" t="0" r="0" b="0"/>
            <wp:docPr id="1422614886" name="Gráfico 14226148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41379C0" w14:textId="19079B95" w:rsidR="00804FC6" w:rsidRDefault="00804FC6" w:rsidP="00037997">
      <w:pPr>
        <w:pStyle w:val="Fonte"/>
        <w:rPr>
          <w:b w:val="0"/>
        </w:rPr>
      </w:pPr>
      <w:r>
        <w:t xml:space="preserve">Fonte: </w:t>
      </w:r>
      <w:r w:rsidRPr="00037997">
        <w:rPr>
          <w:b w:val="0"/>
        </w:rPr>
        <w:t>Dados da Pesquisa de Percepção da Participação Feminina no TST e no CSJT, 2025. Compilação e elaboração: CPJUD/SEPJD/CPJED</w:t>
      </w:r>
      <w:r w:rsidR="00037997" w:rsidRPr="00037997">
        <w:rPr>
          <w:b w:val="0"/>
        </w:rPr>
        <w:t>.</w:t>
      </w:r>
    </w:p>
    <w:p w14:paraId="53E86D3B" w14:textId="77777777" w:rsidR="00037997" w:rsidRPr="00037997" w:rsidRDefault="00037997" w:rsidP="00584F60">
      <w:pPr>
        <w:pStyle w:val="Texto"/>
      </w:pPr>
    </w:p>
    <w:p w14:paraId="206A244E" w14:textId="1BFD2189" w:rsidR="00E3607D" w:rsidRPr="00E3607D" w:rsidRDefault="00E3607D" w:rsidP="00E3607D">
      <w:pPr>
        <w:pStyle w:val="Texto"/>
      </w:pPr>
      <w:r w:rsidRPr="00E3607D">
        <w:t>A análise interseccional dos dados, a partir do cruzamento das respostas com os marcadores sociodemográficos (Figura 17), permite identificar com maior acuidade os grupos nos quais a percepção de dificuldades no retorno da licença-maternidade se manifesta de forma mais intensa. Nesse sentido, observa-se que a percepção de obstáculos é mais acentuada nas faixas etárias de 40 a 49 anos (46,3%) e de 30 a 39 anos (39,6%). De modo análogo, no que se refere ao tempo de serviço, os maiores índices concentram-se entre as servidoras com 4 a 10 anos (48,7%) e 2 a 4 anos (43,3%) de atuação no TST/CSJT.</w:t>
      </w:r>
      <w:r>
        <w:t xml:space="preserve"> </w:t>
      </w:r>
      <w:r w:rsidRPr="00E3607D">
        <w:t>A análise sob o prisma da orientação sexual, por sua vez, indica que a percepção do problema é mais elevada entre as mulheres bissexuais (41,7%), sucedidas pelas heterossexuais (37,5%) e, em menor grau, pelas homossexuais (20%). Ademais, o marcador de deficiência revela uma disparidade significativa: 53,3% das mulheres com deficiência relatam dificuldades, um patamar substancialmente superior ao verificado entre as mulheres sem deficiência (38,4%).</w:t>
      </w:r>
      <w:r>
        <w:t xml:space="preserve"> </w:t>
      </w:r>
      <w:r w:rsidRPr="00E3607D">
        <w:t>Finalmente, no que concerne ao critério étnico-racial, emerge uma particularidade: enquanto mulheres brancas (42,5%) e pretas (40%) reportam com maior frequência a existência de dificuldades na reintegração, entre as mulheres pardas prevalece a percepção oposta, com 55,3% afirmando a inexistência de tais obstáculos</w:t>
      </w:r>
    </w:p>
    <w:p w14:paraId="36532E04" w14:textId="77777777" w:rsidR="00804FC6" w:rsidRDefault="00804FC6" w:rsidP="00584F60">
      <w:pPr>
        <w:pStyle w:val="Texto"/>
      </w:pPr>
    </w:p>
    <w:p w14:paraId="4FBDA7EE" w14:textId="11C02EC4" w:rsidR="00584F60" w:rsidRDefault="00584F60">
      <w:pPr>
        <w:rPr>
          <w:rFonts w:asciiTheme="minorHAnsi" w:hAnsiTheme="minorHAnsi" w:cstheme="minorHAnsi"/>
          <w:noProof/>
        </w:rPr>
      </w:pPr>
      <w:bookmarkStart w:id="180" w:name="_jg7s1vmrsb7o" w:colFirst="0" w:colLast="0"/>
      <w:bookmarkEnd w:id="180"/>
      <w:r>
        <w:br w:type="page"/>
      </w:r>
    </w:p>
    <w:p w14:paraId="17D01E2C" w14:textId="1DA7F70E" w:rsidR="00037997" w:rsidRDefault="00037997" w:rsidP="00FB5A95">
      <w:pPr>
        <w:pStyle w:val="TtulodaIlustrao"/>
      </w:pPr>
      <w:bookmarkStart w:id="181" w:name="_Toc208510699"/>
      <w:r>
        <w:lastRenderedPageBreak/>
        <w:t xml:space="preserve">Figura </w:t>
      </w:r>
      <w:r>
        <w:fldChar w:fldCharType="begin"/>
      </w:r>
      <w:r>
        <w:instrText xml:space="preserve"> SEQ Figura \* ARABIC </w:instrText>
      </w:r>
      <w:r>
        <w:fldChar w:fldCharType="separate"/>
      </w:r>
      <w:r w:rsidR="00D85D1E">
        <w:t>17</w:t>
      </w:r>
      <w:r>
        <w:fldChar w:fldCharType="end"/>
      </w:r>
      <w:r w:rsidRPr="00D14DC0">
        <w:rPr>
          <w:b w:val="0"/>
        </w:rPr>
        <w:t xml:space="preserve"> - Percepção feminina sobre a reintegração de mulheres após licença-maternidade no TST/CSJT, por perfil (%)</w:t>
      </w:r>
      <w:bookmarkEnd w:id="181"/>
    </w:p>
    <w:p w14:paraId="4F497FD1" w14:textId="0340B903" w:rsidR="00804FC6" w:rsidRPr="00583CF8" w:rsidRDefault="00037997" w:rsidP="00583CF8">
      <w:pPr>
        <w:jc w:val="center"/>
      </w:pPr>
      <w:r w:rsidRPr="00583CF8">
        <w:rPr>
          <w:noProof/>
        </w:rPr>
        <w:drawing>
          <wp:inline distT="114300" distB="114300" distL="114300" distR="114300" wp14:anchorId="7B4A5048" wp14:editId="41B5AD30">
            <wp:extent cx="5924550" cy="5248274"/>
            <wp:effectExtent l="0" t="0" r="0" b="0"/>
            <wp:docPr id="8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92"/>
                    <a:srcRect/>
                    <a:stretch>
                      <a:fillRect/>
                    </a:stretch>
                  </pic:blipFill>
                  <pic:spPr>
                    <a:xfrm>
                      <a:off x="0" y="0"/>
                      <a:ext cx="5928514" cy="5251786"/>
                    </a:xfrm>
                    <a:prstGeom prst="rect">
                      <a:avLst/>
                    </a:prstGeom>
                    <a:ln/>
                  </pic:spPr>
                </pic:pic>
              </a:graphicData>
            </a:graphic>
          </wp:inline>
        </w:drawing>
      </w:r>
    </w:p>
    <w:p w14:paraId="51B949D2" w14:textId="5FD82022" w:rsidR="00804FC6" w:rsidRDefault="00804FC6" w:rsidP="00037997">
      <w:pPr>
        <w:pStyle w:val="Fonte"/>
        <w:rPr>
          <w:sz w:val="24"/>
        </w:rPr>
      </w:pPr>
      <w:r>
        <w:t xml:space="preserve">Fonte: </w:t>
      </w:r>
      <w:r w:rsidRPr="00037997">
        <w:rPr>
          <w:b w:val="0"/>
        </w:rPr>
        <w:t>Dados da Pesquisa de Percepção da Participação Feminina no TST e no CSJT, 2025. Compilação e elaboração: CPJUD/SEPJD/CPJED</w:t>
      </w:r>
      <w:r w:rsidR="00037997" w:rsidRPr="00037997">
        <w:rPr>
          <w:b w:val="0"/>
        </w:rPr>
        <w:t>.</w:t>
      </w:r>
    </w:p>
    <w:p w14:paraId="4352F7E1" w14:textId="77777777" w:rsidR="00037997" w:rsidRPr="00584F60" w:rsidRDefault="00037997" w:rsidP="00584F60">
      <w:pPr>
        <w:pStyle w:val="Texto"/>
      </w:pPr>
    </w:p>
    <w:p w14:paraId="798ECBFA" w14:textId="58FC44C2" w:rsidR="00804FC6" w:rsidRPr="00584F60" w:rsidRDefault="00804FC6" w:rsidP="00584F60">
      <w:pPr>
        <w:pStyle w:val="Texto"/>
      </w:pPr>
      <w:r w:rsidRPr="00584F60">
        <w:t>Quanto à compreensão de gestores e colegas quando uma mulher precisa se ausentar do trabalho para cuidar de filhos ou familiares, os dados da pesquisa mostram</w:t>
      </w:r>
      <w:r w:rsidR="00037997" w:rsidRPr="00584F60">
        <w:t xml:space="preserve"> (Gráfico </w:t>
      </w:r>
      <w:r w:rsidR="003E2BE3" w:rsidRPr="00584F60">
        <w:t>59</w:t>
      </w:r>
      <w:r w:rsidR="00037997" w:rsidRPr="00584F60">
        <w:t>)</w:t>
      </w:r>
      <w:r w:rsidRPr="00584F60">
        <w:t xml:space="preserve"> que a maioria das mul</w:t>
      </w:r>
      <w:r w:rsidR="006756D2" w:rsidRPr="00584F60">
        <w:t>heres (64,8%) e dos homens (70,7</w:t>
      </w:r>
      <w:r w:rsidRPr="00584F60">
        <w:t>%) acreditam que há compreensão nessas situações. Por outro lado, a percepção negativa é maior entre as mulheres (2</w:t>
      </w:r>
      <w:r w:rsidR="006756D2" w:rsidRPr="00584F60">
        <w:t>5%) do que entre os homens (12,1</w:t>
      </w:r>
      <w:r w:rsidRPr="00584F60">
        <w:t>%).</w:t>
      </w:r>
      <w:bookmarkStart w:id="182" w:name="_lup31495yht4" w:colFirst="0" w:colLast="0"/>
      <w:bookmarkEnd w:id="182"/>
    </w:p>
    <w:p w14:paraId="4E808D3E" w14:textId="77777777" w:rsidR="00037997" w:rsidRPr="00584F60" w:rsidRDefault="00037997" w:rsidP="00584F60">
      <w:pPr>
        <w:pStyle w:val="Texto"/>
      </w:pPr>
    </w:p>
    <w:p w14:paraId="48FA2791" w14:textId="0155B1AA" w:rsidR="00584F60" w:rsidRDefault="00584F60">
      <w:pPr>
        <w:rPr>
          <w:rFonts w:asciiTheme="minorHAnsi" w:hAnsiTheme="minorHAnsi" w:cstheme="minorHAnsi"/>
          <w:noProof/>
        </w:rPr>
      </w:pPr>
      <w:r>
        <w:br w:type="page"/>
      </w:r>
    </w:p>
    <w:p w14:paraId="3F3992EA" w14:textId="594CFD91" w:rsidR="00037997" w:rsidRDefault="00037997" w:rsidP="00FB5A95">
      <w:pPr>
        <w:pStyle w:val="TtulodaIlustrao"/>
      </w:pPr>
      <w:bookmarkStart w:id="183" w:name="_qh80axoekktw" w:colFirst="0" w:colLast="0"/>
      <w:bookmarkStart w:id="184" w:name="_Toc208508682"/>
      <w:bookmarkEnd w:id="183"/>
      <w:r>
        <w:lastRenderedPageBreak/>
        <w:t xml:space="preserve">Gráfico </w:t>
      </w:r>
      <w:r w:rsidR="001904A0">
        <w:t>59</w:t>
      </w:r>
      <w:r w:rsidRPr="00D14DC0">
        <w:rPr>
          <w:b w:val="0"/>
        </w:rPr>
        <w:t xml:space="preserve"> - Percepção sobre a compreensão de gestores e colegas em ausências para cuidado familiar, por gênero (%)</w:t>
      </w:r>
      <w:bookmarkEnd w:id="184"/>
    </w:p>
    <w:p w14:paraId="7634380B" w14:textId="7E8AB82D" w:rsidR="00804FC6" w:rsidRPr="00583CF8" w:rsidRDefault="006756D2" w:rsidP="006756D2">
      <w:pPr>
        <w:jc w:val="center"/>
      </w:pPr>
      <w:r>
        <w:rPr>
          <w:noProof/>
        </w:rPr>
        <w:drawing>
          <wp:inline distT="0" distB="0" distL="0" distR="0" wp14:anchorId="2AC89055" wp14:editId="658062D3">
            <wp:extent cx="4572000" cy="2743200"/>
            <wp:effectExtent l="0" t="0" r="0" b="0"/>
            <wp:docPr id="1422614888" name="Gráfico 14226148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C56F282" w14:textId="02073C6E" w:rsidR="00804FC6" w:rsidRDefault="00804FC6" w:rsidP="00037997">
      <w:pPr>
        <w:pStyle w:val="Fonte"/>
      </w:pPr>
      <w:r>
        <w:t xml:space="preserve">Fonte: </w:t>
      </w:r>
      <w:r w:rsidRPr="00037997">
        <w:rPr>
          <w:b w:val="0"/>
        </w:rPr>
        <w:t>Dados da Pesquisa de Percepção da Participação Feminina no TST e no CSJT, 2025. Compilação e elaboração: CPJUD/SEPJD/CPJED</w:t>
      </w:r>
      <w:r w:rsidR="00037997" w:rsidRPr="00037997">
        <w:rPr>
          <w:b w:val="0"/>
        </w:rPr>
        <w:t>.</w:t>
      </w:r>
    </w:p>
    <w:p w14:paraId="227B3B5A" w14:textId="77777777" w:rsidR="00037997" w:rsidRDefault="00037997" w:rsidP="00584F60">
      <w:pPr>
        <w:pStyle w:val="Texto"/>
      </w:pPr>
    </w:p>
    <w:p w14:paraId="3EA25073" w14:textId="65BF6CA1" w:rsidR="00804FC6" w:rsidRDefault="00804FC6" w:rsidP="00584F60">
      <w:pPr>
        <w:pStyle w:val="Texto"/>
      </w:pPr>
      <w:r>
        <w:t>A distribuição</w:t>
      </w:r>
      <w:r w:rsidR="00037997">
        <w:t xml:space="preserve"> dos dados por perfil (Figura 18</w:t>
      </w:r>
      <w:r>
        <w:t>) também revela uma percepção majoritariamente positiva entre os grupos. No entanto, destaca-se que o maior percentual de percepção negativa ocorre entre as mulheres pretas, das quais 40% não percebem compreensão por parte de gestores e colegas. Além disso, 33,3% das mulheres com deficiência também não têm uma percepção positiva em relação a essa questão.</w:t>
      </w:r>
    </w:p>
    <w:p w14:paraId="73F522D7" w14:textId="77777777" w:rsidR="00804FC6" w:rsidRPr="00583CF8" w:rsidRDefault="00804FC6" w:rsidP="00584F60">
      <w:pPr>
        <w:pStyle w:val="Texto"/>
      </w:pPr>
    </w:p>
    <w:p w14:paraId="699F16CD" w14:textId="78E2C943" w:rsidR="00583CF8" w:rsidRDefault="00583CF8" w:rsidP="00584F60">
      <w:pPr>
        <w:pStyle w:val="Texto"/>
        <w:rPr>
          <w:b/>
        </w:rPr>
      </w:pPr>
      <w:bookmarkStart w:id="185" w:name="_85909ickrod3" w:colFirst="0" w:colLast="0"/>
      <w:bookmarkEnd w:id="185"/>
      <w:r>
        <w:br w:type="page"/>
      </w:r>
    </w:p>
    <w:p w14:paraId="5B992CEE" w14:textId="204747ED" w:rsidR="00037997" w:rsidRDefault="00037997" w:rsidP="00FB5A95">
      <w:pPr>
        <w:pStyle w:val="TtulodaIlustrao"/>
      </w:pPr>
      <w:bookmarkStart w:id="186" w:name="_Toc208510700"/>
      <w:r>
        <w:lastRenderedPageBreak/>
        <w:t xml:space="preserve">Figura </w:t>
      </w:r>
      <w:r>
        <w:fldChar w:fldCharType="begin"/>
      </w:r>
      <w:r>
        <w:instrText xml:space="preserve"> SEQ Figura \* ARABIC </w:instrText>
      </w:r>
      <w:r>
        <w:fldChar w:fldCharType="separate"/>
      </w:r>
      <w:r w:rsidR="00D85D1E">
        <w:t>18</w:t>
      </w:r>
      <w:r>
        <w:fldChar w:fldCharType="end"/>
      </w:r>
      <w:r w:rsidRPr="00D14DC0">
        <w:rPr>
          <w:b w:val="0"/>
        </w:rPr>
        <w:t xml:space="preserve"> - Percepção feminina sobre a compreensão de gestores e colegas em ausências para cuidado familiar, por perfil (%)</w:t>
      </w:r>
      <w:bookmarkEnd w:id="186"/>
    </w:p>
    <w:p w14:paraId="1E4694DC" w14:textId="0ED7722A" w:rsidR="00804FC6" w:rsidRPr="00583CF8" w:rsidRDefault="00804FC6" w:rsidP="00583CF8">
      <w:pPr>
        <w:jc w:val="center"/>
      </w:pPr>
      <w:r w:rsidRPr="00583CF8">
        <w:rPr>
          <w:noProof/>
        </w:rPr>
        <w:drawing>
          <wp:inline distT="114300" distB="114300" distL="114300" distR="114300" wp14:anchorId="3567C84D" wp14:editId="3842490E">
            <wp:extent cx="5343525" cy="5191125"/>
            <wp:effectExtent l="0" t="0" r="9525" b="0"/>
            <wp:docPr id="6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4"/>
                    <a:srcRect/>
                    <a:stretch>
                      <a:fillRect/>
                    </a:stretch>
                  </pic:blipFill>
                  <pic:spPr>
                    <a:xfrm>
                      <a:off x="0" y="0"/>
                      <a:ext cx="5344374" cy="5191949"/>
                    </a:xfrm>
                    <a:prstGeom prst="rect">
                      <a:avLst/>
                    </a:prstGeom>
                    <a:ln/>
                  </pic:spPr>
                </pic:pic>
              </a:graphicData>
            </a:graphic>
          </wp:inline>
        </w:drawing>
      </w:r>
    </w:p>
    <w:p w14:paraId="14C96E0D" w14:textId="6AA5FF2E" w:rsidR="00804FC6" w:rsidRDefault="00804FC6" w:rsidP="00037997">
      <w:pPr>
        <w:pStyle w:val="Fonte"/>
      </w:pPr>
      <w:r>
        <w:t xml:space="preserve">Fonte: </w:t>
      </w:r>
      <w:r w:rsidRPr="00037997">
        <w:rPr>
          <w:b w:val="0"/>
        </w:rPr>
        <w:t>Dados da Pesquisa de Percepção da Participação Feminina no TST e no CSJT, 2025. Compilação e elaboração: CPJUD/SEPJD/CPJED</w:t>
      </w:r>
      <w:r w:rsidR="00037997" w:rsidRPr="00037997">
        <w:rPr>
          <w:b w:val="0"/>
        </w:rPr>
        <w:t>.</w:t>
      </w:r>
    </w:p>
    <w:p w14:paraId="0E8FB00F" w14:textId="77777777" w:rsidR="00804FC6" w:rsidRPr="00037997" w:rsidRDefault="00804FC6" w:rsidP="00584F60">
      <w:pPr>
        <w:pStyle w:val="Texto"/>
      </w:pPr>
    </w:p>
    <w:p w14:paraId="3961DFEE" w14:textId="30B3F76B" w:rsidR="00804FC6" w:rsidRPr="00037997" w:rsidRDefault="00804FC6" w:rsidP="00584F60">
      <w:pPr>
        <w:pStyle w:val="Texto"/>
      </w:pPr>
      <w:r w:rsidRPr="00037997">
        <w:t xml:space="preserve">Os dados apresentados </w:t>
      </w:r>
      <w:r w:rsidR="00037997">
        <w:t xml:space="preserve">no Gráfico </w:t>
      </w:r>
      <w:r w:rsidR="003E2BE3">
        <w:t>60</w:t>
      </w:r>
      <w:r w:rsidRPr="00037997">
        <w:t xml:space="preserve"> mostram que a grande maioria das mulheres (93,4%) acredita que o trabalho remoto ou híbrido favorece a participação feminina no TST/CSJT. Entre os homens, embora a percepção também seja majoritariamente posi</w:t>
      </w:r>
      <w:r w:rsidR="006756D2">
        <w:t>tiva, o percentual é menor (84,5</w:t>
      </w:r>
      <w:r w:rsidRPr="00037997">
        <w:t>%), com uma taxa de discordância de 10,2%.</w:t>
      </w:r>
    </w:p>
    <w:p w14:paraId="7AD874F0" w14:textId="77777777" w:rsidR="00804FC6" w:rsidRDefault="00804FC6" w:rsidP="00584F60">
      <w:pPr>
        <w:pStyle w:val="Texto"/>
      </w:pPr>
    </w:p>
    <w:p w14:paraId="2AF1860F" w14:textId="0EB0A726" w:rsidR="00583CF8" w:rsidRDefault="00583CF8" w:rsidP="00584F60">
      <w:pPr>
        <w:pStyle w:val="Texto"/>
      </w:pPr>
      <w:r>
        <w:br w:type="page"/>
      </w:r>
    </w:p>
    <w:p w14:paraId="7DCAE877" w14:textId="5F2A3FA4" w:rsidR="00037997" w:rsidRDefault="00037997" w:rsidP="00FB5A95">
      <w:pPr>
        <w:pStyle w:val="TtulodaIlustrao"/>
      </w:pPr>
      <w:bookmarkStart w:id="187" w:name="_goedm62rifi" w:colFirst="0" w:colLast="0"/>
      <w:bookmarkStart w:id="188" w:name="_Toc208508683"/>
      <w:bookmarkEnd w:id="187"/>
      <w:r>
        <w:lastRenderedPageBreak/>
        <w:t xml:space="preserve">Gráfico </w:t>
      </w:r>
      <w:r w:rsidR="009C3FD3">
        <w:t>6</w:t>
      </w:r>
      <w:r w:rsidR="001904A0">
        <w:t>0</w:t>
      </w:r>
      <w:r w:rsidRPr="00D14DC0">
        <w:rPr>
          <w:b w:val="0"/>
        </w:rPr>
        <w:t xml:space="preserve"> - Percepção sobre o trabalho remoto/híbrido para a participação feminina no TST/CSJT, por gênero (%)</w:t>
      </w:r>
      <w:bookmarkEnd w:id="188"/>
    </w:p>
    <w:p w14:paraId="0FCA4A32" w14:textId="5D12FC62" w:rsidR="00804FC6" w:rsidRPr="00583CF8" w:rsidRDefault="006756D2" w:rsidP="00583CF8">
      <w:pPr>
        <w:jc w:val="center"/>
      </w:pPr>
      <w:r>
        <w:rPr>
          <w:noProof/>
        </w:rPr>
        <w:drawing>
          <wp:inline distT="0" distB="0" distL="0" distR="0" wp14:anchorId="3C6936A2" wp14:editId="7C591C37">
            <wp:extent cx="4572000" cy="2743200"/>
            <wp:effectExtent l="0" t="0" r="0" b="0"/>
            <wp:docPr id="1422614889" name="Gráfico 14226148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E8D264C" w14:textId="37F934E2" w:rsidR="00804FC6" w:rsidRPr="00583CF8" w:rsidRDefault="00804FC6" w:rsidP="00037997">
      <w:pPr>
        <w:pStyle w:val="Fonte"/>
        <w:rPr>
          <w:color w:val="000000" w:themeColor="text1"/>
          <w:sz w:val="24"/>
        </w:rPr>
      </w:pPr>
      <w:r w:rsidRPr="00583CF8">
        <w:rPr>
          <w:color w:val="000000" w:themeColor="text1"/>
        </w:rPr>
        <w:t xml:space="preserve">Fonte: </w:t>
      </w:r>
      <w:r w:rsidRPr="00583CF8">
        <w:rPr>
          <w:b w:val="0"/>
          <w:color w:val="000000" w:themeColor="text1"/>
        </w:rPr>
        <w:t>Dados da Pesquisa de Percepção da Participação Feminina no TST e no CSJT, 2025. Compilação e elaboração: CPJUD/SEPJD/CPJED</w:t>
      </w:r>
      <w:r w:rsidR="00037997" w:rsidRPr="00583CF8">
        <w:rPr>
          <w:b w:val="0"/>
          <w:color w:val="000000" w:themeColor="text1"/>
        </w:rPr>
        <w:t>.</w:t>
      </w:r>
    </w:p>
    <w:p w14:paraId="5421EBA2" w14:textId="77777777" w:rsidR="00037997" w:rsidRDefault="00037997" w:rsidP="00584F60">
      <w:pPr>
        <w:pStyle w:val="Texto"/>
      </w:pPr>
    </w:p>
    <w:p w14:paraId="68030C0C" w14:textId="1B74741D" w:rsidR="00804FC6" w:rsidRDefault="00804FC6" w:rsidP="00584F60">
      <w:pPr>
        <w:pStyle w:val="Texto"/>
      </w:pPr>
      <w:r>
        <w:t>Os maiores índices de discordância entre as mulheres, em relação a essa questão, foram observados entre aquelas com idade entre 60 e 69 anos (9,1%) e entre as que atuam no TST/CSJT há ma</w:t>
      </w:r>
      <w:r w:rsidR="00037997">
        <w:t>is de 20 anos (13,2%) (Figura 19</w:t>
      </w:r>
      <w:r>
        <w:t>).</w:t>
      </w:r>
    </w:p>
    <w:p w14:paraId="7BACC04A" w14:textId="6B767DAE" w:rsidR="00804FC6" w:rsidRPr="00583CF8" w:rsidRDefault="00804FC6" w:rsidP="00584F60">
      <w:pPr>
        <w:pStyle w:val="Texto"/>
      </w:pPr>
      <w:bookmarkStart w:id="189" w:name="_33jwpv6gnlg0" w:colFirst="0" w:colLast="0"/>
      <w:bookmarkEnd w:id="189"/>
    </w:p>
    <w:p w14:paraId="7E33321A" w14:textId="5F9B9FE7" w:rsidR="00037997" w:rsidRDefault="00037997" w:rsidP="00FB5A95">
      <w:pPr>
        <w:pStyle w:val="TtulodaIlustrao"/>
      </w:pPr>
      <w:bookmarkStart w:id="190" w:name="_Toc208510701"/>
      <w:r>
        <w:t xml:space="preserve">Figura </w:t>
      </w:r>
      <w:r>
        <w:fldChar w:fldCharType="begin"/>
      </w:r>
      <w:r>
        <w:instrText xml:space="preserve"> SEQ Figura \* ARABIC </w:instrText>
      </w:r>
      <w:r>
        <w:fldChar w:fldCharType="separate"/>
      </w:r>
      <w:r w:rsidR="00D85D1E">
        <w:t>19</w:t>
      </w:r>
      <w:r>
        <w:fldChar w:fldCharType="end"/>
      </w:r>
      <w:r w:rsidRPr="00D14DC0">
        <w:rPr>
          <w:b w:val="0"/>
        </w:rPr>
        <w:t xml:space="preserve"> - Percepção feminina sobre o trabalho remoto/híbrido para a participação feminina, por faixa etária e tempo de serviço (%)</w:t>
      </w:r>
      <w:bookmarkEnd w:id="190"/>
    </w:p>
    <w:p w14:paraId="2D59CE78" w14:textId="77777777" w:rsidR="00804FC6" w:rsidRDefault="00804FC6" w:rsidP="00037997">
      <w:pPr>
        <w:spacing w:line="360" w:lineRule="auto"/>
        <w:jc w:val="center"/>
      </w:pPr>
      <w:r>
        <w:rPr>
          <w:noProof/>
        </w:rPr>
        <w:drawing>
          <wp:inline distT="114300" distB="114300" distL="114300" distR="114300" wp14:anchorId="32ED556E" wp14:editId="55F32138">
            <wp:extent cx="5734050" cy="1764581"/>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6"/>
                    <a:srcRect/>
                    <a:stretch>
                      <a:fillRect/>
                    </a:stretch>
                  </pic:blipFill>
                  <pic:spPr>
                    <a:xfrm>
                      <a:off x="0" y="0"/>
                      <a:ext cx="5734050" cy="1764581"/>
                    </a:xfrm>
                    <a:prstGeom prst="rect">
                      <a:avLst/>
                    </a:prstGeom>
                    <a:ln/>
                  </pic:spPr>
                </pic:pic>
              </a:graphicData>
            </a:graphic>
          </wp:inline>
        </w:drawing>
      </w:r>
    </w:p>
    <w:p w14:paraId="22F219B9" w14:textId="344CADCD" w:rsidR="00804FC6" w:rsidRDefault="00804FC6" w:rsidP="00037997">
      <w:pPr>
        <w:pStyle w:val="Fonte"/>
        <w:rPr>
          <w:b w:val="0"/>
          <w:sz w:val="24"/>
        </w:rPr>
      </w:pPr>
      <w:r w:rsidRPr="00037997">
        <w:t xml:space="preserve">Fonte: </w:t>
      </w:r>
      <w:r w:rsidRPr="00037997">
        <w:rPr>
          <w:b w:val="0"/>
        </w:rPr>
        <w:t>Dados da Pesquisa de Percepção da Participação Feminina no TST e no CSJT, 2025. Compilação e elaboração: CPJUD/SEPJD/CPJED</w:t>
      </w:r>
      <w:r w:rsidR="00037997" w:rsidRPr="00037997">
        <w:rPr>
          <w:b w:val="0"/>
        </w:rPr>
        <w:t>.</w:t>
      </w:r>
    </w:p>
    <w:p w14:paraId="6D1089FF" w14:textId="77777777" w:rsidR="00037997" w:rsidRPr="00037997" w:rsidRDefault="00037997" w:rsidP="00584F60">
      <w:pPr>
        <w:pStyle w:val="Texto"/>
      </w:pPr>
    </w:p>
    <w:p w14:paraId="2049A7CA" w14:textId="69EC4068" w:rsidR="00E3607D" w:rsidRPr="00E3607D" w:rsidRDefault="00E3607D" w:rsidP="00E3607D">
      <w:pPr>
        <w:pStyle w:val="Texto"/>
      </w:pPr>
      <w:bookmarkStart w:id="191" w:name="_rx7w6lkdc96a" w:colFirst="0" w:colLast="0"/>
      <w:bookmarkEnd w:id="191"/>
      <w:r w:rsidRPr="00E3607D">
        <w:t xml:space="preserve">A derradeira questão deste bloco temático teve por escopo aferir a percepção dos respondentes acerca das repercussões da licença-maternidade sobre a progressão de carreira das mulheres no âmbito do TST/CSJT. Os resultados revelam uma notável divergência de perspectivas entre os gêneros: 46,3% das mulheres compreendem que o referido afastamento impacta </w:t>
      </w:r>
      <w:r w:rsidRPr="00E3607D">
        <w:lastRenderedPageBreak/>
        <w:t>desfavoravelmente as promoções e as oportunidades de crescimento, ao passo que 32,8% discordam e 20,9% declararam não saber responder.</w:t>
      </w:r>
      <w:r>
        <w:t xml:space="preserve"> </w:t>
      </w:r>
      <w:r w:rsidRPr="00E3607D">
        <w:t>Em sentido oposto, no universo masculino, apenas 20,7% admitem que a licença prejudique a carreira feminina, enquanto a maioria (46,6%) rechaça essa premissa e 32,8% afirmam não ter uma opinião formada (Gráfico 61).</w:t>
      </w:r>
    </w:p>
    <w:p w14:paraId="4FB60239" w14:textId="65F34D79" w:rsidR="00804FC6" w:rsidRPr="00583CF8" w:rsidRDefault="00804FC6" w:rsidP="00584F60">
      <w:pPr>
        <w:pStyle w:val="Texto"/>
      </w:pPr>
    </w:p>
    <w:p w14:paraId="3A2914F3" w14:textId="629185CF" w:rsidR="007E6704" w:rsidRDefault="007E6704" w:rsidP="00FB5A95">
      <w:pPr>
        <w:pStyle w:val="TtulodaIlustrao"/>
      </w:pPr>
      <w:bookmarkStart w:id="192" w:name="_Toc208508684"/>
      <w:r>
        <w:t xml:space="preserve">Gráfico </w:t>
      </w:r>
      <w:r w:rsidR="001904A0">
        <w:t>61</w:t>
      </w:r>
      <w:r w:rsidRPr="00D14DC0">
        <w:rPr>
          <w:b w:val="0"/>
        </w:rPr>
        <w:t xml:space="preserve"> - Percepção sobre o impacto da licença</w:t>
      </w:r>
      <w:r w:rsidR="007C18B3" w:rsidRPr="00D14DC0">
        <w:rPr>
          <w:b w:val="0"/>
        </w:rPr>
        <w:t>-</w:t>
      </w:r>
      <w:r w:rsidRPr="00D14DC0">
        <w:rPr>
          <w:b w:val="0"/>
        </w:rPr>
        <w:t>maternidade na carreira das mulheres no TST/CSJT, por gênero (%)</w:t>
      </w:r>
      <w:bookmarkEnd w:id="192"/>
    </w:p>
    <w:p w14:paraId="14802E22" w14:textId="66B03A9C" w:rsidR="00804FC6" w:rsidRDefault="006756D2" w:rsidP="007E6704">
      <w:pPr>
        <w:jc w:val="center"/>
      </w:pPr>
      <w:r>
        <w:rPr>
          <w:noProof/>
        </w:rPr>
        <w:drawing>
          <wp:inline distT="0" distB="0" distL="0" distR="0" wp14:anchorId="11C5616B" wp14:editId="0F845B53">
            <wp:extent cx="4572000" cy="2743200"/>
            <wp:effectExtent l="0" t="0" r="0" b="0"/>
            <wp:docPr id="1422614890" name="Gráfico 14226148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4A3EE0E" w14:textId="7CB45BF3" w:rsidR="00804FC6" w:rsidRDefault="00804FC6" w:rsidP="007E6704">
      <w:pPr>
        <w:pStyle w:val="Fonte"/>
        <w:rPr>
          <w:b w:val="0"/>
          <w:sz w:val="24"/>
        </w:rPr>
      </w:pPr>
      <w:r>
        <w:t xml:space="preserve">Fonte: </w:t>
      </w:r>
      <w:r w:rsidRPr="007E6704">
        <w:rPr>
          <w:b w:val="0"/>
        </w:rPr>
        <w:t>Dados da Pesquisa de Percepção da Participação Feminina no TST e no CSJT, 2025. Compilação e elaboração: CPJUD/SEPJD/CPJED</w:t>
      </w:r>
      <w:r w:rsidR="007E6704" w:rsidRPr="007E6704">
        <w:rPr>
          <w:b w:val="0"/>
        </w:rPr>
        <w:t>.</w:t>
      </w:r>
    </w:p>
    <w:p w14:paraId="6C5EB151" w14:textId="77777777" w:rsidR="007E6704" w:rsidRPr="00EF5057" w:rsidRDefault="007E6704" w:rsidP="00584F60">
      <w:pPr>
        <w:pStyle w:val="Texto"/>
      </w:pPr>
    </w:p>
    <w:p w14:paraId="3FF05E83" w14:textId="2421512F" w:rsidR="00804FC6" w:rsidRDefault="00804FC6" w:rsidP="00584F60">
      <w:pPr>
        <w:pStyle w:val="Texto"/>
      </w:pPr>
      <w:r>
        <w:t>À medida que o tempo de serviço aumenta, cresce também a percepção das respondentes de que a licença-maternidade impacta negativamente as promoções e as oportunidades profissionais no TST/CSJT. O percentual de respostas afirmativas ("Sim") sobe de 34,6% (até 1 ano de serviço) para 56,3% (entre 15 e 20 anos). Contudo, essa tendência se inverte no grupo com mais de 20 anos de serviço, no qual 47,4% acreditam na ausência de impacto negativo.</w:t>
      </w:r>
    </w:p>
    <w:p w14:paraId="03668FC0" w14:textId="77777777" w:rsidR="00804FC6" w:rsidRDefault="00804FC6" w:rsidP="00584F60">
      <w:pPr>
        <w:pStyle w:val="Texto"/>
      </w:pPr>
      <w:r>
        <w:t>Além disso, a percepção de impacto negativo da licença-maternidade na carreira feminina é mais frequente entre mulheres de 30 a 39 anos (52,7%), 50 a 59 anos (52,4%) e 40 a 49 anos (43,9%). Mulheres bissexuais demonstram maior concordância (66,7%), seguidas pelas heterossexuais (45,4%), enquanto as homossexuais apresentam menor concordância (20%) e maior índice de respostas "Não sei" (40%).</w:t>
      </w:r>
    </w:p>
    <w:p w14:paraId="10A56928" w14:textId="77777777" w:rsidR="00804FC6" w:rsidRDefault="00804FC6" w:rsidP="00584F60">
      <w:pPr>
        <w:pStyle w:val="Texto"/>
      </w:pPr>
      <w:r>
        <w:t xml:space="preserve">A análise também revela que pessoas com deficiência (60%) percebem com maior frequência os efeitos negativos da licença-maternidade, em comparação ao grupo sem deficiência </w:t>
      </w:r>
      <w:r>
        <w:lastRenderedPageBreak/>
        <w:t>(45,6%). Quanto à raça/cor, as mulheres brancas (48,6%) e pretas (50%) apresentam percentuais semelhantes de percepção de impacto negativo, enquanto esse índice é menor entre as pardas (40,4%).</w:t>
      </w:r>
    </w:p>
    <w:p w14:paraId="409C62E5" w14:textId="6635DEF1" w:rsidR="00804FC6" w:rsidRDefault="00804FC6" w:rsidP="00584F60">
      <w:pPr>
        <w:pStyle w:val="Texto"/>
      </w:pPr>
      <w:r>
        <w:t>Esses cruzamentos de dad</w:t>
      </w:r>
      <w:r w:rsidR="007E6704">
        <w:t>os estão ilustrados na Figura 20</w:t>
      </w:r>
      <w:r>
        <w:t>.</w:t>
      </w:r>
    </w:p>
    <w:p w14:paraId="4A8AD06B" w14:textId="5C9754E6" w:rsidR="00804FC6" w:rsidRPr="00583CF8" w:rsidRDefault="00804FC6" w:rsidP="00584F60">
      <w:pPr>
        <w:pStyle w:val="Texto"/>
      </w:pPr>
      <w:bookmarkStart w:id="193" w:name="_dxehqkoofikg" w:colFirst="0" w:colLast="0"/>
      <w:bookmarkEnd w:id="193"/>
    </w:p>
    <w:p w14:paraId="0AFE268C" w14:textId="1170F95C" w:rsidR="00E03463" w:rsidRDefault="00E03463" w:rsidP="00FB5A95">
      <w:pPr>
        <w:pStyle w:val="TtulodaIlustrao"/>
      </w:pPr>
      <w:bookmarkStart w:id="194" w:name="_Toc208510702"/>
      <w:r>
        <w:t xml:space="preserve">Figura </w:t>
      </w:r>
      <w:r>
        <w:fldChar w:fldCharType="begin"/>
      </w:r>
      <w:r>
        <w:instrText xml:space="preserve"> SEQ Figura \* ARABIC </w:instrText>
      </w:r>
      <w:r>
        <w:fldChar w:fldCharType="separate"/>
      </w:r>
      <w:r w:rsidR="00D85D1E">
        <w:t>20</w:t>
      </w:r>
      <w:r>
        <w:fldChar w:fldCharType="end"/>
      </w:r>
      <w:r w:rsidRPr="00D14DC0">
        <w:rPr>
          <w:b w:val="0"/>
        </w:rPr>
        <w:t xml:space="preserve"> - Percepção feminina sobre o impacto da licença maternidade na carreira das mulheres no TST/CSJT, por perfil (%)</w:t>
      </w:r>
      <w:bookmarkEnd w:id="194"/>
    </w:p>
    <w:p w14:paraId="4A6A81EC" w14:textId="77777777" w:rsidR="00804FC6" w:rsidRDefault="00804FC6" w:rsidP="007E6704">
      <w:pPr>
        <w:spacing w:line="360" w:lineRule="auto"/>
        <w:jc w:val="center"/>
      </w:pPr>
      <w:r>
        <w:rPr>
          <w:noProof/>
        </w:rPr>
        <w:drawing>
          <wp:inline distT="114300" distB="114300" distL="114300" distR="114300" wp14:anchorId="17DA3B49" wp14:editId="2A211CAA">
            <wp:extent cx="5731200" cy="51054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8"/>
                    <a:srcRect/>
                    <a:stretch>
                      <a:fillRect/>
                    </a:stretch>
                  </pic:blipFill>
                  <pic:spPr>
                    <a:xfrm>
                      <a:off x="0" y="0"/>
                      <a:ext cx="5731200" cy="5105400"/>
                    </a:xfrm>
                    <a:prstGeom prst="rect">
                      <a:avLst/>
                    </a:prstGeom>
                    <a:ln/>
                  </pic:spPr>
                </pic:pic>
              </a:graphicData>
            </a:graphic>
          </wp:inline>
        </w:drawing>
      </w:r>
    </w:p>
    <w:p w14:paraId="2481C91A" w14:textId="66B374A3" w:rsidR="00334B01" w:rsidRDefault="00804FC6" w:rsidP="00334B01">
      <w:pPr>
        <w:pStyle w:val="Fonte"/>
        <w:rPr>
          <w:b w:val="0"/>
        </w:rPr>
      </w:pPr>
      <w:r>
        <w:t xml:space="preserve">Fonte: </w:t>
      </w:r>
      <w:r w:rsidRPr="00334B01">
        <w:rPr>
          <w:b w:val="0"/>
        </w:rPr>
        <w:t>Dados da Pesquisa de Percepção da Participação Feminina no TST e no CSJT, 2025. Compilação e elaboração: CPJUD/SEPJD/CPJED</w:t>
      </w:r>
      <w:r w:rsidR="00334B01" w:rsidRPr="00334B01">
        <w:rPr>
          <w:b w:val="0"/>
        </w:rPr>
        <w:t>.</w:t>
      </w:r>
    </w:p>
    <w:p w14:paraId="4D894847" w14:textId="7D3B82E4" w:rsidR="00584F60" w:rsidRDefault="00584F60">
      <w:pPr>
        <w:rPr>
          <w:rFonts w:asciiTheme="minorHAnsi" w:hAnsiTheme="minorHAnsi" w:cstheme="minorHAnsi"/>
          <w:noProof/>
        </w:rPr>
      </w:pPr>
      <w:r>
        <w:rPr>
          <w:rFonts w:asciiTheme="minorHAnsi" w:hAnsiTheme="minorHAnsi" w:cstheme="minorHAnsi"/>
          <w:noProof/>
        </w:rPr>
        <w:br w:type="page"/>
      </w:r>
    </w:p>
    <w:p w14:paraId="38ADF744" w14:textId="3AF7EAA7" w:rsidR="00804FC6" w:rsidRPr="00334B01" w:rsidRDefault="00804FC6" w:rsidP="00584F60">
      <w:pPr>
        <w:pStyle w:val="Texto"/>
      </w:pPr>
      <w:r w:rsidRPr="00334B01">
        <w:lastRenderedPageBreak/>
        <w:t xml:space="preserve">Em suma, os dados deste bloco do questionário </w:t>
      </w:r>
      <w:r w:rsidR="00816D24">
        <w:t xml:space="preserve">sinalizam </w:t>
      </w:r>
      <w:r w:rsidRPr="00334B01">
        <w:t>que, embora predominem percepções positivas entre os respondentes sobre o ambiente do TST/CSJT para a conciliação entre vida profissional e maternidade, o cenário ainda se mostra desafiador para muitas mulheres, especialmente mulheres pretas, com deficiência e que se encontram em estágios intermediários de suas trajetórias profissionais.</w:t>
      </w:r>
      <w:r w:rsidR="007C18B3">
        <w:t xml:space="preserve"> </w:t>
      </w:r>
      <w:r w:rsidRPr="00334B01">
        <w:t>A análise comparativa das respostas demonstra</w:t>
      </w:r>
      <w:r w:rsidR="007C18B3">
        <w:t xml:space="preserve"> também</w:t>
      </w:r>
      <w:r w:rsidRPr="00334B01">
        <w:t xml:space="preserve"> diferenças relevantes entre as percepções masculina e feminina a respeito da sobrecarga imposta pelas responsabilidades de cuidado e de trabalho</w:t>
      </w:r>
      <w:r w:rsidR="007C18B3">
        <w:t>.</w:t>
      </w:r>
    </w:p>
    <w:p w14:paraId="04F3BD61" w14:textId="19B55695" w:rsidR="00804FC6" w:rsidRDefault="00804FC6" w:rsidP="00584F60">
      <w:pPr>
        <w:pStyle w:val="Texto"/>
      </w:pPr>
      <w:r w:rsidRPr="00334B01">
        <w:t>No que se refere à licença-maternidade, observa-se uma distribuição equilibrada de opiniões</w:t>
      </w:r>
      <w:r w:rsidR="00816D24">
        <w:t xml:space="preserve"> negativas e positivas</w:t>
      </w:r>
      <w:r w:rsidRPr="00334B01">
        <w:t xml:space="preserve"> entre as respondentes quanto às dificuldad</w:t>
      </w:r>
      <w:r w:rsidR="002D4404">
        <w:t>es de reintegração ao trabalho</w:t>
      </w:r>
      <w:r w:rsidR="00816D24">
        <w:t xml:space="preserve"> e o impacto na progressão d</w:t>
      </w:r>
      <w:r w:rsidRPr="00334B01">
        <w:t>a carreira</w:t>
      </w:r>
      <w:r w:rsidR="007C18B3">
        <w:t>.</w:t>
      </w:r>
    </w:p>
    <w:p w14:paraId="15B4E544" w14:textId="3CBBCF31" w:rsidR="00804FC6" w:rsidRPr="00334B01" w:rsidRDefault="00804FC6" w:rsidP="00584F60">
      <w:pPr>
        <w:pStyle w:val="Texto"/>
      </w:pPr>
      <w:r w:rsidRPr="00334B01">
        <w:t>Por fim, os resultados mostram que a maioria das mulheres perceb</w:t>
      </w:r>
      <w:r w:rsidR="007C18B3">
        <w:t>e</w:t>
      </w:r>
      <w:r w:rsidRPr="00334B01">
        <w:t xml:space="preserve"> compreensão de gestores e colegas em relação a ausências para cuidar de filhos e familiares</w:t>
      </w:r>
      <w:r w:rsidR="007C18B3">
        <w:t>. Todavia,</w:t>
      </w:r>
      <w:r w:rsidRPr="00334B01">
        <w:t xml:space="preserve"> menos da metade se sente confortável para discutir a maternidade no trabalho. Isso reforça a importância de promover um reconhecimento pleno da maternidade no ambiente de trabalho, que vá além de situações pontuais. Além disso, apesar do suporte oferecido pelo TST/CSJT às mães, </w:t>
      </w:r>
      <w:r w:rsidR="007C18B3">
        <w:t>uma parcela das respondentes não</w:t>
      </w:r>
      <w:r w:rsidRPr="00334B01">
        <w:t xml:space="preserve"> o considera adequado, o que sugere uma análise mais aprofundada para </w:t>
      </w:r>
      <w:r w:rsidR="00A55F6E">
        <w:t>identificar</w:t>
      </w:r>
      <w:r w:rsidRPr="00334B01">
        <w:t xml:space="preserve"> </w:t>
      </w:r>
      <w:r w:rsidR="00A55F6E">
        <w:t>quais formas de apoio estariam ausentes</w:t>
      </w:r>
      <w:r w:rsidRPr="00334B01">
        <w:t xml:space="preserve"> ou precisa</w:t>
      </w:r>
      <w:r w:rsidR="00A55F6E">
        <w:t>ria</w:t>
      </w:r>
      <w:r w:rsidRPr="00334B01">
        <w:t>m ser aprimorados</w:t>
      </w:r>
      <w:r w:rsidR="00A55F6E">
        <w:t>.</w:t>
      </w:r>
    </w:p>
    <w:p w14:paraId="60EF4145" w14:textId="77777777" w:rsidR="000C6537" w:rsidRDefault="000C6537" w:rsidP="00584F60">
      <w:pPr>
        <w:pStyle w:val="Texto"/>
      </w:pPr>
      <w:bookmarkStart w:id="195" w:name="_ewfd7vf7zwpv" w:colFirst="0" w:colLast="0"/>
      <w:bookmarkStart w:id="196" w:name="_kru2c0q20d67" w:colFirst="0" w:colLast="0"/>
      <w:bookmarkEnd w:id="195"/>
      <w:bookmarkEnd w:id="196"/>
    </w:p>
    <w:p w14:paraId="26A6A27D" w14:textId="61B44EF4" w:rsidR="00D10E96" w:rsidRDefault="00D10E96" w:rsidP="00584F60">
      <w:pPr>
        <w:pStyle w:val="Texto"/>
      </w:pPr>
      <w:r>
        <w:br w:type="page"/>
      </w:r>
    </w:p>
    <w:p w14:paraId="50534515" w14:textId="64411DCB" w:rsidR="000C6537" w:rsidRPr="001A2253" w:rsidRDefault="00334B01" w:rsidP="00FB5A95">
      <w:pPr>
        <w:pStyle w:val="Ttulo3"/>
      </w:pPr>
      <w:bookmarkStart w:id="197" w:name="_Toc208510822"/>
      <w:r w:rsidRPr="001A2253">
        <w:lastRenderedPageBreak/>
        <w:t>Bloco Cultura Organizacional, Respeito e Equidade</w:t>
      </w:r>
      <w:bookmarkEnd w:id="197"/>
    </w:p>
    <w:p w14:paraId="56A679E4" w14:textId="77777777" w:rsidR="00334B01" w:rsidRDefault="00334B01" w:rsidP="00584F60">
      <w:pPr>
        <w:pStyle w:val="Texto"/>
        <w:contextualSpacing/>
      </w:pPr>
      <w:r>
        <w:t>Estudos indicam que a cultura organizacional ainda representa uma barreira importante à ascensão de mulheres a cargos de liderança no setor público</w:t>
      </w:r>
      <w:r>
        <w:rPr>
          <w:rStyle w:val="Refdenotaderodap"/>
          <w:rFonts w:ascii="Times New Roman" w:hAnsi="Times New Roman" w:cs="Times New Roman"/>
        </w:rPr>
        <w:footnoteReference w:id="78"/>
      </w:r>
      <w:r>
        <w:t xml:space="preserve">. Valores implícitos, crenças enraizadas e normas informais podem estabelecer obstáculos sutis à participação feminina em espaços de tomada de decisão, mesmo quando existem políticas formais voltadas à promoção da equidade e do respeito. </w:t>
      </w:r>
    </w:p>
    <w:p w14:paraId="04193CAD" w14:textId="51267397" w:rsidR="00135D3F" w:rsidRDefault="00135D3F" w:rsidP="00584F60">
      <w:pPr>
        <w:pStyle w:val="Texto"/>
        <w:contextualSpacing/>
      </w:pPr>
      <w:r w:rsidRPr="00816D24">
        <w:t>Por este motivo, a Resolução CNJ nº 540, de 18 de dezembro de 2023, ao alterar a Resolução nº 255/2018, reafirma o compromisso do Poder Judiciário com a paridade de gênero, incorporando de forma inédita a perspectiva interseccional de raça e etnia nas atividades administrativas e jurisdicionais. Ao reconhecer que barreiras estruturais e culturais ainda limitam a ascensão de mulheres — sobretudo de grupos historicamente minorizados —, a norma fortalece a necessidade de políticas institucionais que consolidem a equidade e incentivem a participação das futuras gerações em espaços de decisão e liderança no sistema de justiça</w:t>
      </w:r>
      <w:r w:rsidRPr="00816D24">
        <w:rPr>
          <w:rStyle w:val="Refdenotaderodap"/>
        </w:rPr>
        <w:footnoteReference w:id="79"/>
      </w:r>
      <w:r w:rsidRPr="00816D24">
        <w:t>.</w:t>
      </w:r>
    </w:p>
    <w:p w14:paraId="4B9F080E" w14:textId="77777777" w:rsidR="00334B01" w:rsidRDefault="00334B01" w:rsidP="00584F60">
      <w:pPr>
        <w:pStyle w:val="Texto"/>
      </w:pPr>
      <w:r>
        <w:t>Nesse sentido, este bloco contempla as perguntas do questionário relacionadas à cultura organizacional, ao respeito e à equidade no âmbito do TST/CSJT, com o objetivo de compreender a percepção dos respondentes sobre essas questões na instituição. Ainda que haja iniciativas formais implementadas pelo órgão, é fundamental verificar como elas têm sido percebidas por quem atua diretamente em seu ambiente e como vêm sendo traduzidas na prática cotidiana.</w:t>
      </w:r>
    </w:p>
    <w:p w14:paraId="665E3E24" w14:textId="36C46A39" w:rsidR="00334B01" w:rsidRDefault="00334B01" w:rsidP="00584F60">
      <w:pPr>
        <w:pStyle w:val="Texto"/>
      </w:pPr>
      <w:r>
        <w:t>Com relação à primeira pergunta, ao serem questionados se acreditam que o TST/CSJT promove uma cultura de respeito e igualdade entre homens e m</w:t>
      </w:r>
      <w:r w:rsidR="00C04830">
        <w:t>ulheres, 67,8% das mulheres e 87,9</w:t>
      </w:r>
      <w:r>
        <w:t>% dos homens responderam afirmativamente (</w:t>
      </w:r>
      <w:r w:rsidR="000C6537">
        <w:t xml:space="preserve">Gráfico </w:t>
      </w:r>
      <w:r w:rsidR="003E2BE3">
        <w:t>62</w:t>
      </w:r>
      <w:r>
        <w:t xml:space="preserve">). </w:t>
      </w:r>
    </w:p>
    <w:p w14:paraId="59CE2A16" w14:textId="77777777" w:rsidR="000C6537" w:rsidRDefault="000C6537" w:rsidP="00584F60">
      <w:pPr>
        <w:pStyle w:val="Texto"/>
      </w:pPr>
      <w:bookmarkStart w:id="198" w:name="_jxn8u5v698gi" w:colFirst="0" w:colLast="0"/>
      <w:bookmarkEnd w:id="198"/>
    </w:p>
    <w:p w14:paraId="601C4658" w14:textId="3D84C739" w:rsidR="00584F60" w:rsidRDefault="00584F60">
      <w:pPr>
        <w:rPr>
          <w:rFonts w:asciiTheme="minorHAnsi" w:hAnsiTheme="minorHAnsi" w:cstheme="minorHAnsi"/>
          <w:noProof/>
        </w:rPr>
      </w:pPr>
      <w:r>
        <w:br w:type="page"/>
      </w:r>
    </w:p>
    <w:p w14:paraId="3923485C" w14:textId="43D99E8C" w:rsidR="000C6537" w:rsidRDefault="000C6537" w:rsidP="00FB5A95">
      <w:pPr>
        <w:pStyle w:val="TtulodaIlustrao"/>
      </w:pPr>
      <w:bookmarkStart w:id="199" w:name="_Toc208508685"/>
      <w:r>
        <w:lastRenderedPageBreak/>
        <w:t xml:space="preserve">Gráfico </w:t>
      </w:r>
      <w:r w:rsidR="001904A0">
        <w:t>62</w:t>
      </w:r>
      <w:r w:rsidRPr="00D14DC0">
        <w:rPr>
          <w:b w:val="0"/>
        </w:rPr>
        <w:t xml:space="preserve"> - Percepção sobre a promoção de uma cultura de respeito e igualdade de gênero no TST/CSJT, por gênero (%)</w:t>
      </w:r>
      <w:bookmarkEnd w:id="199"/>
    </w:p>
    <w:p w14:paraId="4882DADF" w14:textId="6E9C98B4" w:rsidR="00334B01" w:rsidRPr="00583CF8" w:rsidRDefault="00C04830" w:rsidP="00C04830">
      <w:pPr>
        <w:jc w:val="center"/>
      </w:pPr>
      <w:r>
        <w:rPr>
          <w:noProof/>
        </w:rPr>
        <w:drawing>
          <wp:inline distT="0" distB="0" distL="0" distR="0" wp14:anchorId="089B32B8" wp14:editId="3851CF8D">
            <wp:extent cx="4953000" cy="2752725"/>
            <wp:effectExtent l="0" t="0" r="0" b="0"/>
            <wp:docPr id="1422614892" name="Gráfico 14226148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8CEDA5B" w14:textId="0D8E7D57" w:rsidR="00334B01" w:rsidRDefault="00334B01" w:rsidP="000C6537">
      <w:pPr>
        <w:pStyle w:val="Fonte"/>
        <w:rPr>
          <w:b w:val="0"/>
          <w:sz w:val="24"/>
        </w:rPr>
      </w:pPr>
      <w:r>
        <w:t xml:space="preserve">Fonte: </w:t>
      </w:r>
      <w:r w:rsidRPr="000C6537">
        <w:rPr>
          <w:b w:val="0"/>
        </w:rPr>
        <w:t>Dados da Pesquisa de Percepção da Participação Feminina no TST e no CSJT, 2025. Compilação e elaboração: CPJUD/SEPJD/CPJED</w:t>
      </w:r>
      <w:r w:rsidR="000C6537" w:rsidRPr="000C6537">
        <w:rPr>
          <w:b w:val="0"/>
        </w:rPr>
        <w:t>.</w:t>
      </w:r>
    </w:p>
    <w:p w14:paraId="6C4C1B22" w14:textId="77777777" w:rsidR="00584F60" w:rsidRDefault="00584F60" w:rsidP="00584F60">
      <w:pPr>
        <w:pStyle w:val="Texto"/>
      </w:pPr>
    </w:p>
    <w:p w14:paraId="029B779B" w14:textId="656A3547" w:rsidR="00334B01" w:rsidRDefault="00334B01" w:rsidP="00584F60">
      <w:pPr>
        <w:pStyle w:val="Texto"/>
      </w:pPr>
      <w:r>
        <w:t xml:space="preserve">A análise cruzada das respostas femininas sobre a promoção da cultura de igualdade </w:t>
      </w:r>
      <w:r w:rsidR="000C6537">
        <w:t>de gênero no TST/CSJT (Figura 21</w:t>
      </w:r>
      <w:r>
        <w:t>) revela maiores índices de percepção negativa entre mulheres com 15 a 20 anos de tempo de serviço no órgão (40,6%) e na faixa etária de 50 a 59 anos (31%). Em relação à orientação sexual, a percepção positiva predomina entre mulheres bissexuais (75%), heterossexuais (68,8%) e entre aquelas que optaram por não informar sua orientação (60%). Já entre as homossexuais, as respostas se mostram divididas: 40% apontam percepção positiva e outros 40% demonstram incerteza.</w:t>
      </w:r>
    </w:p>
    <w:p w14:paraId="21481EAC" w14:textId="77777777" w:rsidR="00334B01" w:rsidRDefault="00334B01" w:rsidP="00584F60">
      <w:pPr>
        <w:pStyle w:val="Texto"/>
      </w:pPr>
      <w:r>
        <w:t>Considerando a condição de deficiência, 57,1% das mulheres com deficiência afirmam que a instituição promove a cultura de igualdade de gênero, enquanto 42,9% discordam. No grupo sem deficiência, a percepção positiva é mais expressiva (68,7%), com 20,4% de respostas negativas. Quanto à raça/cor, a percepção positiva é predominante entre mulheres amarelas (75%), pardas (71,7%) e brancas (68,8%). No entanto, entre as mulheres pretas, a avaliação é menos favorável: 50% percebem positivamente a promoção da igualdade de gênero, enquanto 30% expressam percepção negativa e 20% declaram incerteza.</w:t>
      </w:r>
    </w:p>
    <w:p w14:paraId="66CD6A27" w14:textId="77777777" w:rsidR="00334B01" w:rsidRDefault="00334B01" w:rsidP="00584F60">
      <w:pPr>
        <w:pStyle w:val="Texto"/>
      </w:pPr>
    </w:p>
    <w:p w14:paraId="5AD5DF3F" w14:textId="59E26075" w:rsidR="00D10E96" w:rsidRDefault="00D10E96" w:rsidP="00584F60">
      <w:pPr>
        <w:pStyle w:val="Texto"/>
      </w:pPr>
      <w:r>
        <w:br w:type="page"/>
      </w:r>
    </w:p>
    <w:p w14:paraId="7C02E5D2" w14:textId="09B0247B" w:rsidR="000C6537" w:rsidRDefault="000C6537" w:rsidP="00FB5A95">
      <w:pPr>
        <w:pStyle w:val="TtulodaIlustrao"/>
      </w:pPr>
      <w:bookmarkStart w:id="200" w:name="_oht72mi1y3bk" w:colFirst="0" w:colLast="0"/>
      <w:bookmarkStart w:id="201" w:name="_Toc208510703"/>
      <w:bookmarkEnd w:id="200"/>
      <w:r>
        <w:lastRenderedPageBreak/>
        <w:t xml:space="preserve">Figura </w:t>
      </w:r>
      <w:r>
        <w:fldChar w:fldCharType="begin"/>
      </w:r>
      <w:r>
        <w:instrText xml:space="preserve"> SEQ Figura \* ARABIC </w:instrText>
      </w:r>
      <w:r>
        <w:fldChar w:fldCharType="separate"/>
      </w:r>
      <w:r w:rsidR="00D85D1E">
        <w:t>21</w:t>
      </w:r>
      <w:r>
        <w:fldChar w:fldCharType="end"/>
      </w:r>
      <w:r w:rsidRPr="00D14DC0">
        <w:rPr>
          <w:b w:val="0"/>
        </w:rPr>
        <w:t xml:space="preserve"> - Percepção feminina sobre a promoção de uma cultura de respeito e igualdade de gênero no TST/CSJT, por perfil (%)</w:t>
      </w:r>
      <w:bookmarkEnd w:id="201"/>
    </w:p>
    <w:p w14:paraId="716E3773" w14:textId="6261DE26" w:rsidR="00334B01" w:rsidRPr="00583CF8" w:rsidRDefault="00334B01" w:rsidP="00583CF8">
      <w:pPr>
        <w:jc w:val="center"/>
      </w:pPr>
      <w:r w:rsidRPr="00583CF8">
        <w:rPr>
          <w:noProof/>
        </w:rPr>
        <w:drawing>
          <wp:inline distT="114300" distB="114300" distL="114300" distR="114300" wp14:anchorId="1A9A937D" wp14:editId="3718F475">
            <wp:extent cx="5731200" cy="5295900"/>
            <wp:effectExtent l="0" t="0" r="0" b="0"/>
            <wp:docPr id="6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0"/>
                    <a:srcRect/>
                    <a:stretch>
                      <a:fillRect/>
                    </a:stretch>
                  </pic:blipFill>
                  <pic:spPr>
                    <a:xfrm>
                      <a:off x="0" y="0"/>
                      <a:ext cx="5731200" cy="5295900"/>
                    </a:xfrm>
                    <a:prstGeom prst="rect">
                      <a:avLst/>
                    </a:prstGeom>
                    <a:ln/>
                  </pic:spPr>
                </pic:pic>
              </a:graphicData>
            </a:graphic>
          </wp:inline>
        </w:drawing>
      </w:r>
    </w:p>
    <w:p w14:paraId="69E5E36A" w14:textId="2E6B2A34" w:rsidR="00334B01" w:rsidRDefault="00334B01" w:rsidP="000C6537">
      <w:pPr>
        <w:pStyle w:val="Fonte"/>
        <w:rPr>
          <w:b w:val="0"/>
          <w:sz w:val="24"/>
        </w:rPr>
      </w:pPr>
      <w:r>
        <w:t xml:space="preserve">Fonte: </w:t>
      </w:r>
      <w:r w:rsidRPr="000C6537">
        <w:rPr>
          <w:b w:val="0"/>
        </w:rPr>
        <w:t>Dados da Pesquisa de Percepção da Participação Feminina no TST e no CSJT, 2025. Compilação e elaboração: CPJUD/SEPJD/CPJED</w:t>
      </w:r>
      <w:r w:rsidR="000C6537" w:rsidRPr="000C6537">
        <w:rPr>
          <w:b w:val="0"/>
        </w:rPr>
        <w:t>.</w:t>
      </w:r>
    </w:p>
    <w:p w14:paraId="7E812BD3" w14:textId="77777777" w:rsidR="000C6537" w:rsidRPr="000C6537" w:rsidRDefault="000C6537" w:rsidP="00584F60">
      <w:pPr>
        <w:pStyle w:val="Texto"/>
      </w:pPr>
    </w:p>
    <w:p w14:paraId="335238F8" w14:textId="7C3A5795" w:rsidR="00334B01" w:rsidRPr="00584F60" w:rsidRDefault="00334B01" w:rsidP="00584F60">
      <w:pPr>
        <w:pStyle w:val="Texto"/>
      </w:pPr>
      <w:r w:rsidRPr="00584F60">
        <w:rPr>
          <w:highlight w:val="white"/>
        </w:rPr>
        <w:t>Apesar da percepção majoritariamente positiva dos respondentes quanto à cultura de respeito e igualdade no TST/CSJT, anterior, tanto homens quanto mulheres demonstram uma visão mais crítica em relação à igualdade de oportunidades para mulheres com diferentes perfis - como raça, idade, maternidade, deficiência e identidade LGBTQIA+ -</w:t>
      </w:r>
      <w:r w:rsidRPr="00584F60">
        <w:t xml:space="preserve"> no TST/CSJT. Entre as mulheres, a maior parcela das respondentes (43,9%) discorda da existência de igualdade de oportunidades, enquanto 40,2% concordam. Entre os homens, a percepção é</w:t>
      </w:r>
      <w:r w:rsidR="00C04830" w:rsidRPr="00584F60">
        <w:t xml:space="preserve"> mais favorável, com 50</w:t>
      </w:r>
      <w:r w:rsidRPr="00584F60">
        <w:t>% concordando com a igua</w:t>
      </w:r>
      <w:r w:rsidR="00C04830" w:rsidRPr="00584F60">
        <w:t>ldade de oportunidades, mas 27,6</w:t>
      </w:r>
      <w:r w:rsidRPr="00584F60">
        <w:t>% discordando (</w:t>
      </w:r>
      <w:r w:rsidR="000C6537" w:rsidRPr="00584F60">
        <w:t xml:space="preserve">Gráfico </w:t>
      </w:r>
      <w:r w:rsidR="003E2BE3" w:rsidRPr="00584F60">
        <w:t>63</w:t>
      </w:r>
      <w:r w:rsidRPr="00584F60">
        <w:t>).</w:t>
      </w:r>
    </w:p>
    <w:p w14:paraId="7460454D" w14:textId="25BA0FE9" w:rsidR="00334B01" w:rsidRPr="00584F60" w:rsidRDefault="00334B01" w:rsidP="00584F60">
      <w:pPr>
        <w:pStyle w:val="Texto"/>
      </w:pPr>
      <w:bookmarkStart w:id="202" w:name="_tcf0bfatwai1" w:colFirst="0" w:colLast="0"/>
      <w:bookmarkEnd w:id="202"/>
    </w:p>
    <w:p w14:paraId="58DE3C40" w14:textId="3D374315" w:rsidR="000C6537" w:rsidRDefault="000C6537" w:rsidP="00FB5A95">
      <w:pPr>
        <w:pStyle w:val="TtulodaIlustrao"/>
      </w:pPr>
      <w:bookmarkStart w:id="203" w:name="_Toc208508686"/>
      <w:r>
        <w:lastRenderedPageBreak/>
        <w:t xml:space="preserve">Gráfico </w:t>
      </w:r>
      <w:r w:rsidR="001904A0">
        <w:t>63</w:t>
      </w:r>
      <w:r w:rsidRPr="00D14DC0">
        <w:rPr>
          <w:b w:val="0"/>
        </w:rPr>
        <w:t xml:space="preserve"> - Percepção sobre a igualdade de oportunidades para mulheres de diferentes perfis, por gênero (%)</w:t>
      </w:r>
      <w:bookmarkEnd w:id="203"/>
    </w:p>
    <w:p w14:paraId="2C4F988E" w14:textId="1305F5C4" w:rsidR="00334B01" w:rsidRPr="00914117" w:rsidRDefault="00C04830" w:rsidP="00C04830">
      <w:pPr>
        <w:jc w:val="center"/>
      </w:pPr>
      <w:r>
        <w:rPr>
          <w:noProof/>
        </w:rPr>
        <w:drawing>
          <wp:inline distT="0" distB="0" distL="0" distR="0" wp14:anchorId="66B213E7" wp14:editId="59E885F0">
            <wp:extent cx="4572000" cy="2743200"/>
            <wp:effectExtent l="0" t="0" r="0" b="0"/>
            <wp:docPr id="1422614894" name="Gráfico 14226148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49C438D" w14:textId="603EDE30" w:rsidR="00334B01" w:rsidRDefault="00334B01" w:rsidP="000C6537">
      <w:pPr>
        <w:pStyle w:val="Fonte"/>
        <w:rPr>
          <w:sz w:val="24"/>
        </w:rPr>
      </w:pPr>
      <w:r>
        <w:t xml:space="preserve">Fonte: </w:t>
      </w:r>
      <w:r w:rsidRPr="000C6537">
        <w:rPr>
          <w:b w:val="0"/>
        </w:rPr>
        <w:t>Dados da Pesquisa de Percepção da Participação Feminina no TST e no CSJT, 2025. Compilação e elaboração: CPJUD/SEPJD/CPJED</w:t>
      </w:r>
      <w:r w:rsidR="000C6537" w:rsidRPr="000C6537">
        <w:rPr>
          <w:b w:val="0"/>
        </w:rPr>
        <w:t>.</w:t>
      </w:r>
    </w:p>
    <w:p w14:paraId="79D82208" w14:textId="77777777" w:rsidR="00334B01" w:rsidRPr="00584F60" w:rsidRDefault="00334B01" w:rsidP="00584F60">
      <w:pPr>
        <w:pStyle w:val="Texto"/>
      </w:pPr>
    </w:p>
    <w:p w14:paraId="739E7461" w14:textId="029C45BE" w:rsidR="00334B01" w:rsidRPr="00584F60" w:rsidRDefault="00334B01" w:rsidP="00584F60">
      <w:pPr>
        <w:pStyle w:val="Texto"/>
      </w:pPr>
      <w:r w:rsidRPr="00584F60">
        <w:t>A partir do cruzamento de dados, verifica-se que a maioria das mulheres pretas (80%) não acredita na existência de oportunidades iguais para mulheres com perfis diversos no TST/CSJT, sendo o grupo com a percepção mais negativa. Entre as mulheres brancas e pardas, as opiniões se mostram mais divididas, com uma leve tendência ao reconhecimento da falta de equidade. Já entre as mulheres amarelas, destaca-se um alto grau de incerteza, com 50% r</w:t>
      </w:r>
      <w:r w:rsidR="00EF5057" w:rsidRPr="00584F60">
        <w:t>espondendo 'Não sei responder'.</w:t>
      </w:r>
    </w:p>
    <w:p w14:paraId="20E3A799" w14:textId="77777777" w:rsidR="00334B01" w:rsidRPr="00584F60" w:rsidRDefault="00334B01" w:rsidP="00584F60">
      <w:pPr>
        <w:pStyle w:val="Texto"/>
      </w:pPr>
      <w:r w:rsidRPr="00584F60">
        <w:t xml:space="preserve">A análise segmentada por deficiência revela que pessoas com deficiência têm uma visão significativamente mais crítica: 66,7% não acreditam na igualdade de oportunidades entre diferentes perfis no âmbito do TST/CSJT, enquanto apenas 26,7% acreditam. Em contraste, entre as pessoas sem deficiência, as opiniões são mais divididas, sendo que a maior parte (42,5%) também não acredita nessa igualdade de oportunidades. </w:t>
      </w:r>
    </w:p>
    <w:p w14:paraId="58A163E2" w14:textId="4BC4024D" w:rsidR="00334B01" w:rsidRPr="00584F60" w:rsidRDefault="00334B01" w:rsidP="00584F60">
      <w:pPr>
        <w:pStyle w:val="Texto"/>
      </w:pPr>
      <w:r w:rsidRPr="00584F60">
        <w:t>Na segmentação por orientação sexual, observa-se que a maioria das mulheres bissexuais (66,7%) e homossexuais (60%) não acreditam na existência de oportunidades iguais. Entre as mulheres heterossexuais, a opinião está mais dividida, com uma inclinação maior para a per</w:t>
      </w:r>
      <w:r w:rsidR="00583CF8" w:rsidRPr="00584F60">
        <w:t>cepção de desigualdade (42,6%).</w:t>
      </w:r>
    </w:p>
    <w:p w14:paraId="1998A97C" w14:textId="77777777" w:rsidR="003A2970" w:rsidRPr="00584F60" w:rsidRDefault="00334B01" w:rsidP="00584F60">
      <w:pPr>
        <w:pStyle w:val="Texto"/>
      </w:pPr>
      <w:r w:rsidRPr="00584F60">
        <w:t xml:space="preserve">Finalmente, na análise por faixa etária, a maioria das mulheres entre 18 e 49 anos (56,3% entre 18 e 29 anos; 45,1% entre 30 e 39 anos; e 46,3% entre 40 e 49 anos) discorda da igualdade de oportunidades. Já mulheres com 50 anos ou mais tendem a ter uma percepção mais positiva. </w:t>
      </w:r>
      <w:r w:rsidRPr="00584F60">
        <w:lastRenderedPageBreak/>
        <w:t>No que tange ao tempo de serviço, a percepção de desigualdade é mais forte entre as mulheres com 10 a 20 anos de atuação no TST/CSJT (50% entre 10 e 15 anos; 56,3% entre 15 e 20 anos discordando), enquanto que as mulheres com mais de 20 anos de atuação apresentam percepção majoritariamente positiva (60,5%).</w:t>
      </w:r>
      <w:r w:rsidR="00583CF8" w:rsidRPr="00584F60">
        <w:t xml:space="preserve"> </w:t>
      </w:r>
    </w:p>
    <w:p w14:paraId="02DD70AB" w14:textId="2B6F7E5B" w:rsidR="003A2970" w:rsidRPr="00584F60" w:rsidRDefault="003A2970" w:rsidP="00584F60">
      <w:pPr>
        <w:pStyle w:val="Texto"/>
      </w:pPr>
      <w:r w:rsidRPr="00584F60">
        <w:t>Esses resultados quanto à a percepção sobre a igualdade de oportunidades no TST/CSJT varia de forma significativa conforme os recortes de raça/etnia e condição de deficiência, de modo que tais dados reforçam a importância de incorporar uma perspectiva interseccional às políticas institucionais d</w:t>
      </w:r>
      <w:r w:rsidR="00816D24">
        <w:t>os órgãos</w:t>
      </w:r>
      <w:r w:rsidRPr="00584F60">
        <w:t>, de modo a contemplar não apenas o gênero, mas também os demais marcadores sociais.</w:t>
      </w:r>
    </w:p>
    <w:p w14:paraId="7923B04D" w14:textId="31A85BD1" w:rsidR="00584F60" w:rsidRDefault="000C6537" w:rsidP="00816D24">
      <w:pPr>
        <w:pStyle w:val="Texto"/>
      </w:pPr>
      <w:r w:rsidRPr="00584F60">
        <w:t>A Figura 2</w:t>
      </w:r>
      <w:r w:rsidR="00334B01" w:rsidRPr="00584F60">
        <w:t>2 resume esses dados.</w:t>
      </w:r>
    </w:p>
    <w:p w14:paraId="5F645E95" w14:textId="36A95F9C" w:rsidR="007E6D78" w:rsidRDefault="007E6D78" w:rsidP="00FB5A95">
      <w:pPr>
        <w:pStyle w:val="TtulodaIlustrao"/>
      </w:pPr>
      <w:bookmarkStart w:id="204" w:name="_6gnfrxyqixfj" w:colFirst="0" w:colLast="0"/>
      <w:bookmarkStart w:id="205" w:name="_Toc208510704"/>
      <w:bookmarkEnd w:id="204"/>
      <w:r>
        <w:t xml:space="preserve">Figura </w:t>
      </w:r>
      <w:r>
        <w:fldChar w:fldCharType="begin"/>
      </w:r>
      <w:r>
        <w:instrText xml:space="preserve"> SEQ Figura \* ARABIC </w:instrText>
      </w:r>
      <w:r>
        <w:fldChar w:fldCharType="separate"/>
      </w:r>
      <w:r w:rsidR="00D85D1E">
        <w:t>22</w:t>
      </w:r>
      <w:r>
        <w:fldChar w:fldCharType="end"/>
      </w:r>
      <w:r w:rsidRPr="00D14DC0">
        <w:rPr>
          <w:b w:val="0"/>
        </w:rPr>
        <w:t xml:space="preserve"> - Percepção feminina sobre a igualdade de oportunidades para mulheres de diferentes perfis, por perfil (%)</w:t>
      </w:r>
      <w:bookmarkEnd w:id="205"/>
    </w:p>
    <w:p w14:paraId="0EC8F74A" w14:textId="70611235" w:rsidR="00334B01" w:rsidRPr="00914117" w:rsidRDefault="00334B01" w:rsidP="00914117">
      <w:pPr>
        <w:jc w:val="center"/>
      </w:pPr>
      <w:r w:rsidRPr="00914117">
        <w:rPr>
          <w:noProof/>
        </w:rPr>
        <w:drawing>
          <wp:inline distT="114300" distB="114300" distL="114300" distR="114300" wp14:anchorId="007B93C4" wp14:editId="4B98F94C">
            <wp:extent cx="5648325" cy="5476875"/>
            <wp:effectExtent l="0" t="0" r="0" b="9525"/>
            <wp:docPr id="2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2"/>
                    <a:srcRect/>
                    <a:stretch>
                      <a:fillRect/>
                    </a:stretch>
                  </pic:blipFill>
                  <pic:spPr>
                    <a:xfrm>
                      <a:off x="0" y="0"/>
                      <a:ext cx="5648325" cy="5476875"/>
                    </a:xfrm>
                    <a:prstGeom prst="rect">
                      <a:avLst/>
                    </a:prstGeom>
                    <a:ln/>
                  </pic:spPr>
                </pic:pic>
              </a:graphicData>
            </a:graphic>
          </wp:inline>
        </w:drawing>
      </w:r>
    </w:p>
    <w:p w14:paraId="3CF156D4" w14:textId="6AE02707" w:rsidR="00334B01" w:rsidRDefault="00334B01" w:rsidP="007E6D78">
      <w:pPr>
        <w:pStyle w:val="Fonte"/>
        <w:rPr>
          <w:b w:val="0"/>
          <w:sz w:val="24"/>
        </w:rPr>
      </w:pPr>
      <w:r>
        <w:lastRenderedPageBreak/>
        <w:t xml:space="preserve">Fonte: </w:t>
      </w:r>
      <w:r w:rsidRPr="007E6D78">
        <w:rPr>
          <w:b w:val="0"/>
        </w:rPr>
        <w:t>Dados da Pesquisa de Percepção da Participação Feminina no TST e no CSJT, 2025. Compilação e elaboração: CPJUD/SEPJD/CPJED</w:t>
      </w:r>
      <w:r w:rsidR="007E6D78" w:rsidRPr="007E6D78">
        <w:rPr>
          <w:b w:val="0"/>
        </w:rPr>
        <w:t>.</w:t>
      </w:r>
    </w:p>
    <w:p w14:paraId="18DAB283" w14:textId="77777777" w:rsidR="007E6D78" w:rsidRPr="007E6D78" w:rsidRDefault="007E6D78" w:rsidP="00584F60">
      <w:pPr>
        <w:pStyle w:val="Texto"/>
      </w:pPr>
    </w:p>
    <w:p w14:paraId="6BF65F2E" w14:textId="2496ED92" w:rsidR="00334B01" w:rsidRDefault="00334B01" w:rsidP="00584F60">
      <w:pPr>
        <w:pStyle w:val="Texto"/>
      </w:pPr>
      <w:r>
        <w:t xml:space="preserve">O questionário também investigou a percepção dos respondentes acerca do equilíbrio de gênero na ocupação de cargos estratégicos no TST/CSJT, conforme ilustrado </w:t>
      </w:r>
      <w:r w:rsidR="007E6D78">
        <w:t xml:space="preserve">no Gráfico </w:t>
      </w:r>
      <w:r w:rsidR="003E2BE3">
        <w:t>64</w:t>
      </w:r>
      <w:r>
        <w:t>. A análise dos dados revela uma diferença expressiva entre a percepção de mulheres e homens. Entre as mulheres</w:t>
      </w:r>
      <w:r w:rsidR="00816D24">
        <w:t>, embora a análise quantitativa tenha revelado equilibrio na distribuição de CJs e FCs</w:t>
      </w:r>
      <w:r w:rsidR="00074690">
        <w:t xml:space="preserve"> no TST/CSJT</w:t>
      </w:r>
      <w:r w:rsidR="00816D24">
        <w:t xml:space="preserve"> (55,6% para mulheres e 44,4% para homens)</w:t>
      </w:r>
      <w:r w:rsidR="00074690">
        <w:t>, inclusive com participação feminina mais significativa em CJs (56,5%)</w:t>
      </w:r>
      <w:r>
        <w:t>, a percepção de desequilíbrio é predominante: 61,5%</w:t>
      </w:r>
      <w:r w:rsidR="00816D24">
        <w:t xml:space="preserve"> das mulheres</w:t>
      </w:r>
      <w:r>
        <w:t xml:space="preserve"> consideram que não há equilíbrio </w:t>
      </w:r>
      <w:r w:rsidR="00816D24">
        <w:t>na distribuição por gênero</w:t>
      </w:r>
      <w:r>
        <w:t xml:space="preserve"> </w:t>
      </w:r>
      <w:r w:rsidR="00816D24">
        <w:t xml:space="preserve">nos </w:t>
      </w:r>
      <w:r>
        <w:t>cargos, enquanto apenas 28,7% acreditam que esse equilíbrio existe. Por outro lado, os homens demonstram uma visão signif</w:t>
      </w:r>
      <w:r w:rsidR="00C04830">
        <w:t>icativamente mais positiva: 51,7</w:t>
      </w:r>
      <w:r>
        <w:t xml:space="preserve">% </w:t>
      </w:r>
      <w:r w:rsidR="00C04830">
        <w:t xml:space="preserve">acreditam que há equilíbrio, 31 </w:t>
      </w:r>
      <w:r w:rsidR="00074690">
        <w:t>% avaliam que não há.</w:t>
      </w:r>
      <w:r>
        <w:t xml:space="preserve"> </w:t>
      </w:r>
      <w:bookmarkStart w:id="206" w:name="_xd2a1ky2b5mu" w:colFirst="0" w:colLast="0"/>
      <w:bookmarkEnd w:id="206"/>
    </w:p>
    <w:p w14:paraId="1967F554" w14:textId="77777777" w:rsidR="007E6D78" w:rsidRPr="007E6D78" w:rsidRDefault="007E6D78" w:rsidP="00584F60">
      <w:pPr>
        <w:pStyle w:val="Texto"/>
      </w:pPr>
    </w:p>
    <w:p w14:paraId="1E7981FF" w14:textId="1B842332" w:rsidR="007E6D78" w:rsidRDefault="007E6D78" w:rsidP="00FB5A95">
      <w:pPr>
        <w:pStyle w:val="TtulodaIlustrao"/>
      </w:pPr>
      <w:bookmarkStart w:id="207" w:name="_Toc208508687"/>
      <w:r>
        <w:t xml:space="preserve">Gráfico </w:t>
      </w:r>
      <w:r w:rsidR="001904A0">
        <w:t>64</w:t>
      </w:r>
      <w:r w:rsidRPr="00D14DC0">
        <w:rPr>
          <w:b w:val="0"/>
        </w:rPr>
        <w:t xml:space="preserve"> - Percepção sobre o equilíbrio de gênero em cargos estratégicos no TST/CSJT, por gênero (%)</w:t>
      </w:r>
      <w:bookmarkEnd w:id="207"/>
    </w:p>
    <w:p w14:paraId="65AE49F1" w14:textId="1A714E74" w:rsidR="00334B01" w:rsidRDefault="00C04830" w:rsidP="007E6D78">
      <w:pPr>
        <w:jc w:val="center"/>
      </w:pPr>
      <w:r>
        <w:rPr>
          <w:noProof/>
        </w:rPr>
        <w:drawing>
          <wp:inline distT="0" distB="0" distL="0" distR="0" wp14:anchorId="07DB7B48" wp14:editId="39002518">
            <wp:extent cx="4572000" cy="2743200"/>
            <wp:effectExtent l="0" t="0" r="0" b="0"/>
            <wp:docPr id="1422614895" name="Gráfico 14226148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8AB2BF4" w14:textId="03CBD272" w:rsidR="00334B01" w:rsidRDefault="00334B01" w:rsidP="007E6D78">
      <w:pPr>
        <w:pStyle w:val="Fonte"/>
        <w:rPr>
          <w:b w:val="0"/>
          <w:sz w:val="24"/>
        </w:rPr>
      </w:pPr>
      <w:r>
        <w:t xml:space="preserve">Fonte: </w:t>
      </w:r>
      <w:r w:rsidRPr="007E6D78">
        <w:rPr>
          <w:b w:val="0"/>
        </w:rPr>
        <w:t>Dados da Pesquisa de Percepção da Participação Feminina no TST e no CSJT, 2025. Compilação e elaboração: CPJUD/SEPJD/CPJED</w:t>
      </w:r>
      <w:r w:rsidR="007E6D78" w:rsidRPr="007E6D78">
        <w:rPr>
          <w:b w:val="0"/>
        </w:rPr>
        <w:t>.</w:t>
      </w:r>
    </w:p>
    <w:p w14:paraId="279ED20C" w14:textId="77777777" w:rsidR="007E6D78" w:rsidRPr="007E6D78" w:rsidRDefault="007E6D78" w:rsidP="00584F60">
      <w:pPr>
        <w:pStyle w:val="Texto"/>
      </w:pPr>
    </w:p>
    <w:p w14:paraId="59C21757" w14:textId="77777777" w:rsidR="00334B01" w:rsidRDefault="00334B01" w:rsidP="00584F60">
      <w:pPr>
        <w:pStyle w:val="Texto"/>
      </w:pPr>
      <w:r>
        <w:t>Analisando os dados femininos, nota-se que a percepção feminina de desequilíbrio é predominante em todos os grupos por tempo de serviço no TST/CSJT, com destaque para aquelas com 15 a 20 anos de instituição: 78,1% afirmam que não há equilíbrio, o maior índice de percepção negativa. No recorte etário, apenas o grupo entre 50 e 59 anos apresenta um percentual mais elevado de respostas positivas (38,1%), embora ainda minoritário.</w:t>
      </w:r>
    </w:p>
    <w:p w14:paraId="06064D6F" w14:textId="77777777" w:rsidR="00334B01" w:rsidRDefault="00334B01" w:rsidP="00584F60">
      <w:pPr>
        <w:pStyle w:val="Texto"/>
      </w:pPr>
      <w:r>
        <w:lastRenderedPageBreak/>
        <w:t>Entre as pessoas com deficiência, 73,3% acreditam que não há equilíbrio de gênero na ocupação dos cargos estratégicos. Entre as pessoas sem deficiência, esse percentual é ligeiramente menor, com 60,6% respondendo negativamente.</w:t>
      </w:r>
    </w:p>
    <w:p w14:paraId="3AD55339" w14:textId="426C24A5" w:rsidR="00334B01" w:rsidRDefault="00334B01" w:rsidP="00584F60">
      <w:pPr>
        <w:pStyle w:val="Texto"/>
      </w:pPr>
      <w:r>
        <w:t>Ao segmentar os dados por orientação sexual, observa-se que, em todas as categorias, a maioria dos respondentes percebe a ausência de equilíbrio de gênero nos cargos estratégicos do TST/CSJT. De forma semelhante, a percepção negativa também prevalece entre os diferentes grupos raciais e étnicos, sendo especialmente acentuada entre pessoas</w:t>
      </w:r>
      <w:r w:rsidR="00CE2935">
        <w:t xml:space="preserve"> pretas</w:t>
      </w:r>
      <w:r>
        <w:t>: 90% responderam negativamente, sem registro de respostas afirmativas.</w:t>
      </w:r>
    </w:p>
    <w:p w14:paraId="4E55FCAD" w14:textId="143DA64E" w:rsidR="007E6D78" w:rsidRDefault="00334B01" w:rsidP="00584F60">
      <w:pPr>
        <w:pStyle w:val="Texto"/>
      </w:pPr>
      <w:r>
        <w:t xml:space="preserve">Esses dados </w:t>
      </w:r>
      <w:r w:rsidR="007E6D78">
        <w:t>estão representados na Figura 23</w:t>
      </w:r>
      <w:r>
        <w:t>.</w:t>
      </w:r>
    </w:p>
    <w:p w14:paraId="242DFED2" w14:textId="77777777" w:rsidR="00C04830" w:rsidRDefault="00C04830" w:rsidP="00584F60">
      <w:pPr>
        <w:pStyle w:val="Texto"/>
      </w:pPr>
    </w:p>
    <w:p w14:paraId="64776FF8" w14:textId="2E08E8DE" w:rsidR="007E6D78" w:rsidRDefault="007E6D78" w:rsidP="00FB5A95">
      <w:pPr>
        <w:pStyle w:val="TtulodaIlustrao"/>
      </w:pPr>
      <w:bookmarkStart w:id="208" w:name="_a8munja1g32s" w:colFirst="0" w:colLast="0"/>
      <w:bookmarkStart w:id="209" w:name="_Toc208510705"/>
      <w:bookmarkEnd w:id="208"/>
      <w:r>
        <w:t xml:space="preserve">Figura </w:t>
      </w:r>
      <w:r>
        <w:fldChar w:fldCharType="begin"/>
      </w:r>
      <w:r>
        <w:instrText xml:space="preserve"> SEQ Figura \* ARABIC </w:instrText>
      </w:r>
      <w:r>
        <w:fldChar w:fldCharType="separate"/>
      </w:r>
      <w:r w:rsidR="00D85D1E">
        <w:t>23</w:t>
      </w:r>
      <w:r>
        <w:fldChar w:fldCharType="end"/>
      </w:r>
      <w:r w:rsidRPr="00D14DC0">
        <w:rPr>
          <w:b w:val="0"/>
        </w:rPr>
        <w:t xml:space="preserve"> - Percepção feminina sobre equilíbrio de gênero em cargos estratégicos no TST/CSJT, por perfil (%)</w:t>
      </w:r>
      <w:bookmarkEnd w:id="209"/>
    </w:p>
    <w:p w14:paraId="73756990" w14:textId="7E1DEC24" w:rsidR="00334B01" w:rsidRPr="00D10E96" w:rsidRDefault="00334B01" w:rsidP="00D10E96">
      <w:pPr>
        <w:jc w:val="center"/>
      </w:pPr>
      <w:r w:rsidRPr="00D10E96">
        <w:rPr>
          <w:noProof/>
        </w:rPr>
        <w:drawing>
          <wp:inline distT="114300" distB="114300" distL="114300" distR="114300" wp14:anchorId="782F9ACD" wp14:editId="4BCDC2BC">
            <wp:extent cx="5543550" cy="5172075"/>
            <wp:effectExtent l="0" t="0" r="0" b="9525"/>
            <wp:docPr id="7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04"/>
                    <a:srcRect/>
                    <a:stretch>
                      <a:fillRect/>
                    </a:stretch>
                  </pic:blipFill>
                  <pic:spPr>
                    <a:xfrm>
                      <a:off x="0" y="0"/>
                      <a:ext cx="5544776" cy="5173219"/>
                    </a:xfrm>
                    <a:prstGeom prst="rect">
                      <a:avLst/>
                    </a:prstGeom>
                    <a:ln/>
                  </pic:spPr>
                </pic:pic>
              </a:graphicData>
            </a:graphic>
          </wp:inline>
        </w:drawing>
      </w:r>
    </w:p>
    <w:p w14:paraId="64FD5331" w14:textId="00B70C51" w:rsidR="00334B01" w:rsidRDefault="00334B01" w:rsidP="007E6D78">
      <w:pPr>
        <w:pStyle w:val="Fonte"/>
        <w:rPr>
          <w:b w:val="0"/>
          <w:sz w:val="24"/>
        </w:rPr>
      </w:pPr>
      <w:r>
        <w:t xml:space="preserve">Fonte: </w:t>
      </w:r>
      <w:r w:rsidRPr="007E6D78">
        <w:rPr>
          <w:b w:val="0"/>
        </w:rPr>
        <w:t>Dados da Pesquisa de Percepção da Participação Feminina no TST e no CSJT, 2025. Compilação e elaboração: CPJUD/SEPJD/CPJED</w:t>
      </w:r>
      <w:r w:rsidR="007E6D78" w:rsidRPr="007E6D78">
        <w:rPr>
          <w:b w:val="0"/>
        </w:rPr>
        <w:t>.</w:t>
      </w:r>
    </w:p>
    <w:p w14:paraId="34620D75" w14:textId="77777777" w:rsidR="007E6D78" w:rsidRPr="007E6D78" w:rsidRDefault="007E6D78" w:rsidP="00584F60">
      <w:pPr>
        <w:pStyle w:val="Texto"/>
      </w:pPr>
    </w:p>
    <w:p w14:paraId="1DBB1382" w14:textId="75648B77" w:rsidR="00584F60" w:rsidRDefault="00334B01" w:rsidP="00074690">
      <w:pPr>
        <w:pStyle w:val="Texto"/>
      </w:pPr>
      <w:r>
        <w:t xml:space="preserve">Este bloco também abordou a percepção dos respondentes quanto ao grau de abertura, em seus respectivos setores do TST/CSJT, para a discussão de temas relacionados à equidade de gênero e diversidade. Constatou-se uma taxa de respostas afirmativas de 59,4% entre as mulheres </w:t>
      </w:r>
      <w:r w:rsidR="00C04830">
        <w:t>e de 65,5</w:t>
      </w:r>
      <w:r>
        <w:t>% entre os homens, o que indica uma percepção geral de que há espaços para o diálogo sobre essas questões nos ambientes intraorganizacionais (</w:t>
      </w:r>
      <w:r w:rsidR="007E6D78">
        <w:t xml:space="preserve">Gráfico </w:t>
      </w:r>
      <w:r w:rsidR="003E2BE3">
        <w:t>65</w:t>
      </w:r>
      <w:r>
        <w:t>).</w:t>
      </w:r>
      <w:bookmarkStart w:id="210" w:name="_l91jbxymvtsj" w:colFirst="0" w:colLast="0"/>
      <w:bookmarkEnd w:id="210"/>
    </w:p>
    <w:p w14:paraId="2D4756AF" w14:textId="77777777" w:rsidR="00074690" w:rsidRDefault="00074690" w:rsidP="00074690">
      <w:pPr>
        <w:pStyle w:val="Texto"/>
      </w:pPr>
    </w:p>
    <w:p w14:paraId="1C7D6255" w14:textId="2B27F845" w:rsidR="007E6D78" w:rsidRDefault="007E6D78" w:rsidP="00FB5A95">
      <w:pPr>
        <w:pStyle w:val="TtulodaIlustrao"/>
      </w:pPr>
      <w:bookmarkStart w:id="211" w:name="_Toc208508688"/>
      <w:r>
        <w:t xml:space="preserve">Gráfico </w:t>
      </w:r>
      <w:r w:rsidR="001904A0">
        <w:t>65</w:t>
      </w:r>
      <w:r w:rsidRPr="00D14DC0">
        <w:rPr>
          <w:b w:val="0"/>
        </w:rPr>
        <w:t xml:space="preserve"> - Percepção sobre a abertura para a discussão de equidade de gênero no TST/CSJT, por gênero (%)</w:t>
      </w:r>
      <w:bookmarkEnd w:id="211"/>
    </w:p>
    <w:p w14:paraId="1182C533" w14:textId="70D0CAFA" w:rsidR="00C04830" w:rsidRDefault="00C04830" w:rsidP="00FB5A95">
      <w:pPr>
        <w:pStyle w:val="TtulodaIlustrao"/>
      </w:pPr>
      <w:r>
        <w:drawing>
          <wp:inline distT="0" distB="0" distL="0" distR="0" wp14:anchorId="1507C7A4" wp14:editId="1C0F81A4">
            <wp:extent cx="4572000" cy="2743200"/>
            <wp:effectExtent l="0" t="0" r="0" b="0"/>
            <wp:docPr id="1422614896" name="Gráfico 1422614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132508B" w14:textId="3D54FFDC" w:rsidR="00334B01" w:rsidRDefault="00334B01" w:rsidP="007E6D78">
      <w:pPr>
        <w:pStyle w:val="Fonte"/>
        <w:rPr>
          <w:b w:val="0"/>
          <w:sz w:val="24"/>
        </w:rPr>
      </w:pPr>
      <w:r>
        <w:t xml:space="preserve">Fonte: </w:t>
      </w:r>
      <w:r w:rsidRPr="007E6D78">
        <w:rPr>
          <w:b w:val="0"/>
        </w:rPr>
        <w:t>Dados da Pesquisa de Percepção da Participação Feminina no TST e no CSJT, 2025. Compilação e elaboração: CPJUD/SEPJD/CPJED</w:t>
      </w:r>
      <w:r w:rsidR="007E6D78" w:rsidRPr="007E6D78">
        <w:rPr>
          <w:b w:val="0"/>
        </w:rPr>
        <w:t>.</w:t>
      </w:r>
    </w:p>
    <w:p w14:paraId="76223E2D" w14:textId="77777777" w:rsidR="007E6D78" w:rsidRPr="007E6D78" w:rsidRDefault="007E6D78" w:rsidP="00584F60">
      <w:pPr>
        <w:pStyle w:val="Texto"/>
      </w:pPr>
    </w:p>
    <w:p w14:paraId="22489594" w14:textId="00E8675A" w:rsidR="00334B01" w:rsidRDefault="00334B01" w:rsidP="00584F60">
      <w:pPr>
        <w:pStyle w:val="Texto"/>
      </w:pPr>
      <w:r>
        <w:t>Entretanto</w:t>
      </w:r>
      <w:r w:rsidR="007E6D78">
        <w:t>, a análise detalhada (Figura 24</w:t>
      </w:r>
      <w:r>
        <w:t>) mostra que a maior parcela das respondentes pretas (50%) e bissexuais (58,3%) percebe que não há espaço para esse tipo de discussão em seus respectivos setores. Em contrapartida, 66,7% das respondentes com deficiência relataram que essa abertura existe, percentual superior ao observado entre as respondentes sem deficiência (58,4%). Por fim, observa-se que as respondentes mais jovens (18 a 29 anos) e aquelas com menor tempo de serviço na instituição (até 1 ano) apresentaram os menores percentuais de respostas afirmativas — 31,3% e 46,2%, respectivamente — além de altos índices de “não sei responder”, o que pode estar relacionado ao pouco tempo de vivência no órgão.</w:t>
      </w:r>
    </w:p>
    <w:p w14:paraId="559F0144" w14:textId="77777777" w:rsidR="00334B01" w:rsidRDefault="00334B01" w:rsidP="00584F60">
      <w:pPr>
        <w:pStyle w:val="Texto"/>
      </w:pPr>
    </w:p>
    <w:p w14:paraId="687F3DAB" w14:textId="746DC02E" w:rsidR="00D10E96" w:rsidRDefault="00D10E96" w:rsidP="00584F60">
      <w:pPr>
        <w:pStyle w:val="Texto"/>
      </w:pPr>
      <w:r>
        <w:br w:type="page"/>
      </w:r>
    </w:p>
    <w:p w14:paraId="708F6E4F" w14:textId="2C4108EB" w:rsidR="007E6D78" w:rsidRDefault="007E6D78" w:rsidP="00FB5A95">
      <w:pPr>
        <w:pStyle w:val="TtulodaIlustrao"/>
      </w:pPr>
      <w:bookmarkStart w:id="212" w:name="_w95fl3w0zy43" w:colFirst="0" w:colLast="0"/>
      <w:bookmarkStart w:id="213" w:name="_Toc208510706"/>
      <w:bookmarkEnd w:id="212"/>
      <w:r>
        <w:lastRenderedPageBreak/>
        <w:t xml:space="preserve">Figura </w:t>
      </w:r>
      <w:r>
        <w:fldChar w:fldCharType="begin"/>
      </w:r>
      <w:r>
        <w:instrText xml:space="preserve"> SEQ Figura \* ARABIC </w:instrText>
      </w:r>
      <w:r>
        <w:fldChar w:fldCharType="separate"/>
      </w:r>
      <w:r w:rsidR="00D85D1E">
        <w:t>24</w:t>
      </w:r>
      <w:r>
        <w:fldChar w:fldCharType="end"/>
      </w:r>
      <w:r w:rsidRPr="00D14DC0">
        <w:rPr>
          <w:b w:val="0"/>
        </w:rPr>
        <w:t xml:space="preserve"> - Percepção feminina sobre a abertura para a discussão de equidade de gênero no TST/CSJT, por perfil (%)</w:t>
      </w:r>
      <w:bookmarkEnd w:id="213"/>
    </w:p>
    <w:p w14:paraId="500077E0" w14:textId="58185782" w:rsidR="00334B01" w:rsidRPr="00D10E96" w:rsidRDefault="00334B01" w:rsidP="00D10E96">
      <w:pPr>
        <w:jc w:val="center"/>
      </w:pPr>
      <w:r w:rsidRPr="00D10E96">
        <w:rPr>
          <w:noProof/>
        </w:rPr>
        <w:drawing>
          <wp:inline distT="114300" distB="114300" distL="114300" distR="114300" wp14:anchorId="75FE8DC7" wp14:editId="3A839164">
            <wp:extent cx="5572125" cy="5067300"/>
            <wp:effectExtent l="0" t="0" r="9525"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6"/>
                    <a:srcRect/>
                    <a:stretch>
                      <a:fillRect/>
                    </a:stretch>
                  </pic:blipFill>
                  <pic:spPr>
                    <a:xfrm>
                      <a:off x="0" y="0"/>
                      <a:ext cx="5572705" cy="5067827"/>
                    </a:xfrm>
                    <a:prstGeom prst="rect">
                      <a:avLst/>
                    </a:prstGeom>
                    <a:ln/>
                  </pic:spPr>
                </pic:pic>
              </a:graphicData>
            </a:graphic>
          </wp:inline>
        </w:drawing>
      </w:r>
    </w:p>
    <w:p w14:paraId="5242A42D" w14:textId="3789E64A" w:rsidR="00334B01" w:rsidRDefault="00334B01" w:rsidP="007E6D78">
      <w:pPr>
        <w:pStyle w:val="Fonte"/>
        <w:rPr>
          <w:b w:val="0"/>
          <w:sz w:val="24"/>
        </w:rPr>
      </w:pPr>
      <w:r>
        <w:t xml:space="preserve">Fonte: </w:t>
      </w:r>
      <w:r w:rsidRPr="007E6D78">
        <w:rPr>
          <w:b w:val="0"/>
        </w:rPr>
        <w:t>Dados da Pesquisa de Percepção da Participação Feminina no TST e no CSJT, 2025. Compilação e elaboração: CPJUD/SEPJD/CPJED</w:t>
      </w:r>
      <w:r w:rsidR="007E6D78" w:rsidRPr="007E6D78">
        <w:rPr>
          <w:b w:val="0"/>
        </w:rPr>
        <w:t>.</w:t>
      </w:r>
    </w:p>
    <w:p w14:paraId="70036293" w14:textId="77777777" w:rsidR="007E6D78" w:rsidRPr="007E6D78" w:rsidRDefault="007E6D78" w:rsidP="00584F60">
      <w:pPr>
        <w:pStyle w:val="Texto"/>
      </w:pPr>
    </w:p>
    <w:p w14:paraId="61A12584" w14:textId="77777777" w:rsidR="00334B01" w:rsidRDefault="00334B01" w:rsidP="00584F60">
      <w:pPr>
        <w:pStyle w:val="Texto"/>
      </w:pPr>
      <w:r>
        <w:t xml:space="preserve">Outro tema abordado no questionário foi a percepção dos respondentes sobre a ocorrência de situações de </w:t>
      </w:r>
      <w:r>
        <w:rPr>
          <w:i/>
        </w:rPr>
        <w:t>gaslighting</w:t>
      </w:r>
      <w:r>
        <w:rPr>
          <w:i/>
          <w:vertAlign w:val="superscript"/>
        </w:rPr>
        <w:footnoteReference w:id="80"/>
      </w:r>
      <w:r>
        <w:t xml:space="preserve">, isto é, situações em que uma mulher é levada a duvidar de sua própria percepção ou memória. </w:t>
      </w:r>
    </w:p>
    <w:p w14:paraId="0C54DE4C" w14:textId="61BDB37B" w:rsidR="00334B01" w:rsidRDefault="00334B01" w:rsidP="00584F60">
      <w:pPr>
        <w:pStyle w:val="Texto"/>
      </w:pPr>
      <w:r>
        <w:t>Entre as mulheres, 31,6% afirmam já ter vivenciado ou presenciado esse tipo de situação, enquanto 57,4% negam e 11,1% não souberam respon</w:t>
      </w:r>
      <w:r w:rsidR="009A346B">
        <w:t>der. Entre os homens, apenas 5,2</w:t>
      </w:r>
      <w:r>
        <w:t xml:space="preserve">% afirmam </w:t>
      </w:r>
      <w:r>
        <w:lastRenderedPageBreak/>
        <w:t>ter presenciado tais situações com mulheres, enqua</w:t>
      </w:r>
      <w:r w:rsidR="009A346B">
        <w:t>nto uma expressiva maioria (87,9%) respondeu que não, e 6,9</w:t>
      </w:r>
      <w:r>
        <w:t>% n</w:t>
      </w:r>
      <w:r w:rsidR="007E6D78">
        <w:t xml:space="preserve">ão souberam responder (Gráfico </w:t>
      </w:r>
      <w:r w:rsidR="003E2BE3">
        <w:t>66</w:t>
      </w:r>
      <w:r>
        <w:t>).</w:t>
      </w:r>
    </w:p>
    <w:p w14:paraId="2EE0B67E" w14:textId="7BC7C9A1" w:rsidR="00334B01" w:rsidRPr="00D10E96" w:rsidRDefault="00334B01" w:rsidP="00584F60">
      <w:pPr>
        <w:pStyle w:val="Texto"/>
      </w:pPr>
      <w:bookmarkStart w:id="214" w:name="_we77psxvhdi" w:colFirst="0" w:colLast="0"/>
      <w:bookmarkEnd w:id="214"/>
    </w:p>
    <w:p w14:paraId="002794CE" w14:textId="0B721B2D" w:rsidR="008B1131" w:rsidRDefault="008B1131" w:rsidP="00FB5A95">
      <w:pPr>
        <w:pStyle w:val="TtulodaIlustrao"/>
      </w:pPr>
      <w:bookmarkStart w:id="215" w:name="_y18i7y2tntzz"/>
      <w:bookmarkStart w:id="216" w:name="_Toc208508689"/>
      <w:bookmarkEnd w:id="215"/>
      <w:r>
        <w:t xml:space="preserve">Gráfico </w:t>
      </w:r>
      <w:r w:rsidR="001904A0">
        <w:t>66</w:t>
      </w:r>
      <w:r w:rsidRPr="00D14DC0">
        <w:rPr>
          <w:b w:val="0"/>
        </w:rPr>
        <w:t xml:space="preserve"> - Percepção sobre a ocorrência de gaslighting contra mulheres, por gênero (%)</w:t>
      </w:r>
      <w:bookmarkEnd w:id="216"/>
    </w:p>
    <w:p w14:paraId="7DC5D20B" w14:textId="587DDE2A" w:rsidR="00334B01" w:rsidRPr="00D10E96" w:rsidRDefault="00C04830" w:rsidP="00C04830">
      <w:pPr>
        <w:jc w:val="center"/>
      </w:pPr>
      <w:r>
        <w:rPr>
          <w:noProof/>
        </w:rPr>
        <w:drawing>
          <wp:inline distT="0" distB="0" distL="0" distR="0" wp14:anchorId="6FC0DD60" wp14:editId="15880721">
            <wp:extent cx="4572000" cy="2743200"/>
            <wp:effectExtent l="0" t="0" r="0" b="0"/>
            <wp:docPr id="1422614897" name="Gráfico 14226148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3308B44" w14:textId="7719E598" w:rsidR="00334B01" w:rsidRDefault="00334B01" w:rsidP="008B1131">
      <w:pPr>
        <w:pStyle w:val="Fonte"/>
        <w:rPr>
          <w:sz w:val="24"/>
        </w:rPr>
      </w:pPr>
      <w:r>
        <w:t xml:space="preserve">Fonte: </w:t>
      </w:r>
      <w:r w:rsidRPr="008B1131">
        <w:rPr>
          <w:b w:val="0"/>
        </w:rPr>
        <w:t>Dados da Pesquisa de Percepção da Participação Feminina no TST e no CSJT, 2025. Compilação e elaboração: CPJUD/SEPJD/CPJED</w:t>
      </w:r>
      <w:r w:rsidR="008B1131" w:rsidRPr="008B1131">
        <w:rPr>
          <w:b w:val="0"/>
        </w:rPr>
        <w:t>.</w:t>
      </w:r>
    </w:p>
    <w:p w14:paraId="51A2E350" w14:textId="77777777" w:rsidR="008B1131" w:rsidRPr="008B1131" w:rsidRDefault="008B1131" w:rsidP="00584F60">
      <w:pPr>
        <w:pStyle w:val="Texto"/>
      </w:pPr>
    </w:p>
    <w:p w14:paraId="485B5F0F" w14:textId="639CF209" w:rsidR="00334B01" w:rsidRDefault="00334B01" w:rsidP="00584F60">
      <w:pPr>
        <w:pStyle w:val="Texto"/>
      </w:pPr>
      <w:r>
        <w:t xml:space="preserve">Embora a percepção de </w:t>
      </w:r>
      <w:r>
        <w:rPr>
          <w:i/>
        </w:rPr>
        <w:t xml:space="preserve">gaslighting </w:t>
      </w:r>
      <w:r>
        <w:t xml:space="preserve">não seja majoritária entre os respondentes, as respondentes com deficiência relatam esse tipo de experiência em proporção significativamente superior à média dos demais grupos analisados: 66,7% afirmaram ter vivenciado ou presenciado situações de </w:t>
      </w:r>
      <w:r>
        <w:rPr>
          <w:i/>
        </w:rPr>
        <w:t>gaslighting</w:t>
      </w:r>
      <w:r>
        <w:t>, percentual consideravelmente mais alto em comparação com o registrado entre pessoas sem deficiência (29,2%). De forma similar, observa-se um índice elevado de percepção do fenômeno entre as respondentes pretas, com 40% relatando já ter presenciado ou vivenciado esse tipo de situação — um percentual superior ao das que negaram a ocorrência (30%) e acompanhado por um índice igualmente alto de “não sei responder” (30%). Esses dados sugerem uma possível vulnerabilidade ampliada desses grupos a situações de violência psicológica dessa natureza no TST/CSJT</w:t>
      </w:r>
      <w:r w:rsidR="006406DF">
        <w:rPr>
          <w:rStyle w:val="Refdenotaderodap"/>
        </w:rPr>
        <w:footnoteReference w:id="81"/>
      </w:r>
      <w:r>
        <w:t>.</w:t>
      </w:r>
    </w:p>
    <w:p w14:paraId="745A947E" w14:textId="5BB43B03" w:rsidR="00334B01" w:rsidRDefault="00334B01" w:rsidP="00584F60">
      <w:pPr>
        <w:pStyle w:val="Texto"/>
      </w:pPr>
      <w:r>
        <w:t xml:space="preserve">Na análise por tempo de serviço no TST/CSJT, a maior percepção (43,6%) ocorre entre aquelas com 4 a 10 anos de atuação, superando, nesse grupo, as respostas negativas (46,2%). Os </w:t>
      </w:r>
      <w:r>
        <w:lastRenderedPageBreak/>
        <w:t>índices de percepção são menores entre as respondentes com menor tempo de trabalho no órgão: 15,4% entre aquelas com até 1 ano de serviço e 27,3% entre 2 e 4 anos. Quanto à faixa etária, os maiores percentuais de percepção do fenômeno concentram-se entre mulheres a partir dos 40 anos: 32,9% entre 40 e 49 anos; 38,1% entre 50 e 59 anos; e 36,4% entre 60 e 69 anos. Por fim, a pesquisa indica que 30,6% das mulheres heterossexuais, 20% das homossexuais e 33,3% das bissexuais relataram ter vivenci</w:t>
      </w:r>
      <w:r w:rsidR="008B1131">
        <w:t>ado ou presenciado situações de</w:t>
      </w:r>
      <w:r>
        <w:t xml:space="preserve"> </w:t>
      </w:r>
      <w:r>
        <w:rPr>
          <w:i/>
        </w:rPr>
        <w:t>gaslighting.</w:t>
      </w:r>
    </w:p>
    <w:p w14:paraId="580F43B3" w14:textId="6064A80A" w:rsidR="00334B01" w:rsidRDefault="008B1131" w:rsidP="00584F60">
      <w:pPr>
        <w:pStyle w:val="Texto"/>
      </w:pPr>
      <w:r>
        <w:t>A Figura 25</w:t>
      </w:r>
      <w:r w:rsidR="00334B01">
        <w:t xml:space="preserve"> mostra</w:t>
      </w:r>
      <w:r w:rsidR="00D10E96">
        <w:t xml:space="preserve"> essa distribuição por perfil.</w:t>
      </w:r>
      <w:bookmarkStart w:id="217" w:name="_6d3382a01ioc" w:colFirst="0" w:colLast="0"/>
      <w:bookmarkEnd w:id="217"/>
    </w:p>
    <w:p w14:paraId="467207E1" w14:textId="77777777" w:rsidR="009A346B" w:rsidRPr="00584F60" w:rsidRDefault="009A346B" w:rsidP="00584F60">
      <w:pPr>
        <w:pStyle w:val="Texto"/>
      </w:pPr>
    </w:p>
    <w:p w14:paraId="7AF89FBF" w14:textId="1802F9A4" w:rsidR="008B1131" w:rsidRDefault="008B1131" w:rsidP="00FB5A95">
      <w:pPr>
        <w:pStyle w:val="TtulodaIlustrao"/>
      </w:pPr>
      <w:bookmarkStart w:id="218" w:name="_Toc208510707"/>
      <w:r>
        <w:t xml:space="preserve">Figura </w:t>
      </w:r>
      <w:r>
        <w:fldChar w:fldCharType="begin"/>
      </w:r>
      <w:r>
        <w:instrText xml:space="preserve"> SEQ Figura \* ARABIC </w:instrText>
      </w:r>
      <w:r>
        <w:fldChar w:fldCharType="separate"/>
      </w:r>
      <w:r w:rsidR="00D85D1E">
        <w:t>25</w:t>
      </w:r>
      <w:r>
        <w:fldChar w:fldCharType="end"/>
      </w:r>
      <w:r w:rsidRPr="00D14DC0">
        <w:rPr>
          <w:b w:val="0"/>
        </w:rPr>
        <w:t xml:space="preserve"> - Percepção feminina sobre a ocorrência de gaslighting contra mulheres no TST/CSJT, por perfil (%)</w:t>
      </w:r>
      <w:bookmarkEnd w:id="218"/>
    </w:p>
    <w:p w14:paraId="5CA50284" w14:textId="77777777" w:rsidR="00334B01" w:rsidRDefault="00334B01" w:rsidP="008B1131">
      <w:pPr>
        <w:jc w:val="center"/>
        <w:rPr>
          <w:b/>
        </w:rPr>
      </w:pPr>
      <w:r>
        <w:rPr>
          <w:b/>
          <w:noProof/>
        </w:rPr>
        <w:drawing>
          <wp:inline distT="114300" distB="114300" distL="114300" distR="114300" wp14:anchorId="649A10BF" wp14:editId="76AD1F21">
            <wp:extent cx="5934075" cy="5448300"/>
            <wp:effectExtent l="0" t="0" r="9525"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8"/>
                    <a:srcRect/>
                    <a:stretch>
                      <a:fillRect/>
                    </a:stretch>
                  </pic:blipFill>
                  <pic:spPr>
                    <a:xfrm>
                      <a:off x="0" y="0"/>
                      <a:ext cx="5939245" cy="5453047"/>
                    </a:xfrm>
                    <a:prstGeom prst="rect">
                      <a:avLst/>
                    </a:prstGeom>
                    <a:ln/>
                  </pic:spPr>
                </pic:pic>
              </a:graphicData>
            </a:graphic>
          </wp:inline>
        </w:drawing>
      </w:r>
    </w:p>
    <w:p w14:paraId="5EEE0A25" w14:textId="4108A852" w:rsidR="00334B01" w:rsidRDefault="00334B01" w:rsidP="008B1131">
      <w:pPr>
        <w:pStyle w:val="Fonte"/>
        <w:rPr>
          <w:b w:val="0"/>
          <w:sz w:val="24"/>
        </w:rPr>
      </w:pPr>
      <w:r>
        <w:t xml:space="preserve">Fonte: </w:t>
      </w:r>
      <w:r w:rsidRPr="008B1131">
        <w:rPr>
          <w:b w:val="0"/>
        </w:rPr>
        <w:t>Dados da Pesquisa de Percepção da Participação Feminina no TST e no CSJT, 2025. Compilação e elaboração: CPJUD/SEPJD/CPJED</w:t>
      </w:r>
      <w:r w:rsidR="008B1131" w:rsidRPr="008B1131">
        <w:rPr>
          <w:b w:val="0"/>
        </w:rPr>
        <w:t>.</w:t>
      </w:r>
    </w:p>
    <w:p w14:paraId="39034865" w14:textId="77777777" w:rsidR="008B1131" w:rsidRPr="008B1131" w:rsidRDefault="008B1131" w:rsidP="008B1131">
      <w:pPr>
        <w:pStyle w:val="Texto"/>
      </w:pPr>
    </w:p>
    <w:p w14:paraId="6D081B49" w14:textId="77777777" w:rsidR="00334B01" w:rsidRPr="008B1131" w:rsidRDefault="00334B01" w:rsidP="00584F60">
      <w:pPr>
        <w:pStyle w:val="Texto"/>
      </w:pPr>
      <w:r w:rsidRPr="008B1131">
        <w:lastRenderedPageBreak/>
        <w:t xml:space="preserve">A última questão deste bloco investigou a percepção dos respondentes em relação a situações de </w:t>
      </w:r>
      <w:r w:rsidRPr="008B1131">
        <w:rPr>
          <w:i/>
        </w:rPr>
        <w:t>mansplaining</w:t>
      </w:r>
      <w:r w:rsidRPr="008B1131">
        <w:rPr>
          <w:i/>
          <w:vertAlign w:val="superscript"/>
        </w:rPr>
        <w:footnoteReference w:id="82"/>
      </w:r>
      <w:r w:rsidRPr="008B1131">
        <w:t xml:space="preserve"> - quando um homem explica algo a uma mulher de forma superior ou como se ela não soubesse. </w:t>
      </w:r>
    </w:p>
    <w:p w14:paraId="38AADD4A" w14:textId="00732268" w:rsidR="00334B01" w:rsidRDefault="00334B01" w:rsidP="00584F60">
      <w:pPr>
        <w:pStyle w:val="Texto"/>
      </w:pPr>
      <w:r w:rsidRPr="008B1131">
        <w:t>Os dados da pesquisa revelam uma diferença expressiva na percepção de mulheres e homens sobre essa situação. Entre as mulheres, 52% afirmam já ter vivenciado ou presenciado esse tipo de comportamento no TST/CSJT, enquanto 40,6% negam e 7,4% não souberam responder. Esse dado indica que mais da metade das respondentes percebe esse tipo de prática no ambiente institucional, evidenciando que se trata de uma situação relevante na vivência feminin</w:t>
      </w:r>
      <w:r w:rsidR="009A346B">
        <w:t>a. Em contrapartida, apenas 8,6</w:t>
      </w:r>
      <w:r w:rsidRPr="008B1131">
        <w:t>% dos homens reconhecem ter presenciado ou vivenciado esse</w:t>
      </w:r>
      <w:r w:rsidR="009A346B">
        <w:t xml:space="preserve"> comportamento, enquanto 84,5</w:t>
      </w:r>
      <w:r w:rsidRPr="008B1131">
        <w:t>% afirmam não te</w:t>
      </w:r>
      <w:r w:rsidR="009A346B">
        <w:t>r observado tais situações e 6,9</w:t>
      </w:r>
      <w:r w:rsidRPr="008B1131">
        <w:t>% n</w:t>
      </w:r>
      <w:r w:rsidR="007F7861">
        <w:t xml:space="preserve">ão souberam responder (Gráfico </w:t>
      </w:r>
      <w:r w:rsidR="003E2BE3">
        <w:t>67</w:t>
      </w:r>
      <w:r w:rsidRPr="008B1131">
        <w:t>).</w:t>
      </w:r>
    </w:p>
    <w:p w14:paraId="0DF82618" w14:textId="0A6727F6" w:rsidR="00334B01" w:rsidRPr="00D10E96" w:rsidRDefault="00334B01" w:rsidP="00584F60">
      <w:pPr>
        <w:pStyle w:val="Texto"/>
      </w:pPr>
      <w:bookmarkStart w:id="219" w:name="_ynr7cl30j177" w:colFirst="0" w:colLast="0"/>
      <w:bookmarkEnd w:id="219"/>
    </w:p>
    <w:p w14:paraId="7F30DD56" w14:textId="717831CA" w:rsidR="007F7861" w:rsidRDefault="007F7861" w:rsidP="00FB5A95">
      <w:pPr>
        <w:pStyle w:val="TtulodaIlustrao"/>
      </w:pPr>
      <w:bookmarkStart w:id="220" w:name="_Toc208508690"/>
      <w:r>
        <w:t xml:space="preserve">Gráfico </w:t>
      </w:r>
      <w:r w:rsidR="001904A0">
        <w:t>67</w:t>
      </w:r>
      <w:r w:rsidRPr="00D14DC0">
        <w:rPr>
          <w:b w:val="0"/>
        </w:rPr>
        <w:t xml:space="preserve"> - Percepção sobre a ocorrência de mansplaining contra mulheres no TST/CSJT, por gênero (%)</w:t>
      </w:r>
      <w:bookmarkEnd w:id="220"/>
    </w:p>
    <w:p w14:paraId="03DA21C4" w14:textId="682CD993" w:rsidR="00334B01" w:rsidRDefault="009A346B" w:rsidP="00334B01">
      <w:pPr>
        <w:spacing w:before="240" w:after="240"/>
        <w:jc w:val="center"/>
      </w:pPr>
      <w:r>
        <w:rPr>
          <w:noProof/>
        </w:rPr>
        <w:drawing>
          <wp:inline distT="0" distB="0" distL="0" distR="0" wp14:anchorId="1BA3C4C8" wp14:editId="73DDA091">
            <wp:extent cx="4572000" cy="2743200"/>
            <wp:effectExtent l="0" t="0" r="0" b="0"/>
            <wp:docPr id="1422614898" name="Gráfico 1422614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0598902" w14:textId="75E3D8FF" w:rsidR="007F7861" w:rsidRPr="00D10E96" w:rsidRDefault="00334B01" w:rsidP="00D10E96">
      <w:pPr>
        <w:pStyle w:val="Fonte"/>
        <w:rPr>
          <w:b w:val="0"/>
          <w:sz w:val="24"/>
        </w:rPr>
      </w:pPr>
      <w:r w:rsidRPr="00D10E96">
        <w:t>Fonte:</w:t>
      </w:r>
      <w:r w:rsidRPr="00D10E96">
        <w:rPr>
          <w:b w:val="0"/>
        </w:rPr>
        <w:t xml:space="preserve"> Dados da Pesquisa de Percepção da Participação Feminina no TST e no CSJT, 2025. Compilação e elaboração: CPJUD/SEPJD/CPJED</w:t>
      </w:r>
      <w:r w:rsidR="00D10E96">
        <w:rPr>
          <w:b w:val="0"/>
        </w:rPr>
        <w:t>.</w:t>
      </w:r>
    </w:p>
    <w:p w14:paraId="1DAC4BC7" w14:textId="77777777" w:rsidR="00D10E96" w:rsidRPr="00584F60" w:rsidRDefault="00D10E96" w:rsidP="00584F60">
      <w:pPr>
        <w:pStyle w:val="Texto"/>
      </w:pPr>
    </w:p>
    <w:p w14:paraId="0A38730F" w14:textId="0B8C9E4C" w:rsidR="00334B01" w:rsidRDefault="00334B01" w:rsidP="00584F60">
      <w:pPr>
        <w:pStyle w:val="Texto"/>
      </w:pPr>
      <w:r>
        <w:lastRenderedPageBreak/>
        <w:t>A análise se</w:t>
      </w:r>
      <w:r w:rsidR="007F7861">
        <w:t>gmentada (ilustrada na Figura 26</w:t>
      </w:r>
      <w:r>
        <w:t xml:space="preserve">) indica que as respondentes pretas relatam maior incidência de </w:t>
      </w:r>
      <w:r>
        <w:rPr>
          <w:i/>
        </w:rPr>
        <w:t>mansplaining</w:t>
      </w:r>
      <w:r>
        <w:t xml:space="preserve"> no TST/CSJT (60%) em comparação com mulheres brancas (52,5%), pardas (53,2%) e amarelas (25%).</w:t>
      </w:r>
    </w:p>
    <w:p w14:paraId="5F493A21" w14:textId="77777777" w:rsidR="007F7861" w:rsidRDefault="00334B01" w:rsidP="00584F60">
      <w:pPr>
        <w:pStyle w:val="Texto"/>
      </w:pPr>
      <w:r>
        <w:t xml:space="preserve">Com relação ao tempo de serviço, não se observa uma tendência linear clara. No entanto, o maior percentual de percepção foi registrado entre respondentes com 15 a 20 anos de atuação no TST/CSJT (68,8%), ao passo que o menor ocorreu entre aquelas com até 1 ano no órgão (26,9%). </w:t>
      </w:r>
    </w:p>
    <w:p w14:paraId="29D752D9" w14:textId="1747FB94" w:rsidR="00334B01" w:rsidRDefault="00334B01" w:rsidP="00584F60">
      <w:pPr>
        <w:pStyle w:val="Texto"/>
      </w:pPr>
      <w:r>
        <w:t>No recorte etário, as situações de mansplaining são mais frequentemente relatadas por mulheres entre 40 e 69 anos: 62,2% entre 40 e 49 anos; 52,4% entre 50 e 59 anos; e 63,6% entre 60 e 69 anos. Destaca-se que, entre mulheres de 30 a 39 anos, a maioria (50,5%) afirmou não ter vivenciado esse tipo de situação.</w:t>
      </w:r>
    </w:p>
    <w:p w14:paraId="449206BB" w14:textId="77777777" w:rsidR="00334B01" w:rsidRDefault="00334B01" w:rsidP="00584F60">
      <w:pPr>
        <w:pStyle w:val="Texto"/>
      </w:pPr>
      <w:r>
        <w:t xml:space="preserve">Por orientação sexual, a percepção de </w:t>
      </w:r>
      <w:r>
        <w:rPr>
          <w:i/>
        </w:rPr>
        <w:t xml:space="preserve">mansplaining </w:t>
      </w:r>
      <w:r>
        <w:t>representa a maioria das respostas em todos os grupos. O menor percentual foi observado entre mulheres heterossexuais (50%), enquanto os índices são mais altos entre mulheres homossexuais (60%), bissexuais (66,7%) e entre aquelas que preferiram não informar sua orientação sexual (70%).</w:t>
      </w:r>
    </w:p>
    <w:p w14:paraId="386723A8" w14:textId="67CFA358" w:rsidR="007F7861" w:rsidRDefault="00334B01" w:rsidP="00584F60">
      <w:pPr>
        <w:pStyle w:val="Texto"/>
      </w:pPr>
      <w:r>
        <w:t xml:space="preserve">Por último, verifica-se que 73,3% das respondentes com deficiência relataram já ter vivenciado </w:t>
      </w:r>
      <w:r>
        <w:rPr>
          <w:i/>
        </w:rPr>
        <w:t>mansplaining</w:t>
      </w:r>
      <w:r>
        <w:t xml:space="preserve"> no TST/CSJT, um percentual 22,4 pontos percentuais superior ao registrado entre mulheres sem deficiência.</w:t>
      </w:r>
    </w:p>
    <w:p w14:paraId="408B6070" w14:textId="77777777" w:rsidR="00EE295F" w:rsidRDefault="00EE295F" w:rsidP="00584F60">
      <w:pPr>
        <w:pStyle w:val="Texto"/>
      </w:pPr>
    </w:p>
    <w:p w14:paraId="74365C28" w14:textId="7E91CF2C" w:rsidR="00D10E96" w:rsidRPr="002D4404" w:rsidRDefault="00D10E96" w:rsidP="00584F60">
      <w:pPr>
        <w:pStyle w:val="Texto"/>
      </w:pPr>
      <w:r>
        <w:br w:type="page"/>
      </w:r>
    </w:p>
    <w:p w14:paraId="4288EF03" w14:textId="0D36ADA0" w:rsidR="007F7861" w:rsidRDefault="007F7861" w:rsidP="00FB5A95">
      <w:pPr>
        <w:pStyle w:val="TtulodaIlustrao"/>
      </w:pPr>
      <w:bookmarkStart w:id="221" w:name="_3ds13apqa41z" w:colFirst="0" w:colLast="0"/>
      <w:bookmarkStart w:id="222" w:name="_Toc208510708"/>
      <w:bookmarkEnd w:id="221"/>
      <w:r>
        <w:lastRenderedPageBreak/>
        <w:t xml:space="preserve">Figura </w:t>
      </w:r>
      <w:r>
        <w:fldChar w:fldCharType="begin"/>
      </w:r>
      <w:r>
        <w:instrText xml:space="preserve"> SEQ Figura \* ARABIC </w:instrText>
      </w:r>
      <w:r>
        <w:fldChar w:fldCharType="separate"/>
      </w:r>
      <w:r w:rsidR="00D85D1E">
        <w:t>26</w:t>
      </w:r>
      <w:r>
        <w:fldChar w:fldCharType="end"/>
      </w:r>
      <w:r w:rsidRPr="00D14DC0">
        <w:rPr>
          <w:b w:val="0"/>
        </w:rPr>
        <w:t xml:space="preserve"> - Percepção feminina sobre a ocorrência de mansplaining contra mulheres no TST/CSJT, por perfil (%)</w:t>
      </w:r>
      <w:bookmarkEnd w:id="222"/>
    </w:p>
    <w:p w14:paraId="26581774" w14:textId="04BC9D0D" w:rsidR="00334B01" w:rsidRPr="00D10E96" w:rsidRDefault="00334B01" w:rsidP="00D10E96">
      <w:pPr>
        <w:jc w:val="center"/>
      </w:pPr>
      <w:r w:rsidRPr="00D10E96">
        <w:rPr>
          <w:noProof/>
        </w:rPr>
        <w:drawing>
          <wp:inline distT="114300" distB="114300" distL="114300" distR="114300" wp14:anchorId="57342591" wp14:editId="52F6913D">
            <wp:extent cx="5478716" cy="4687260"/>
            <wp:effectExtent l="0" t="0" r="8255"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0"/>
                    <a:srcRect/>
                    <a:stretch>
                      <a:fillRect/>
                    </a:stretch>
                  </pic:blipFill>
                  <pic:spPr>
                    <a:xfrm>
                      <a:off x="0" y="0"/>
                      <a:ext cx="5477716" cy="4686405"/>
                    </a:xfrm>
                    <a:prstGeom prst="rect">
                      <a:avLst/>
                    </a:prstGeom>
                    <a:ln/>
                  </pic:spPr>
                </pic:pic>
              </a:graphicData>
            </a:graphic>
          </wp:inline>
        </w:drawing>
      </w:r>
    </w:p>
    <w:p w14:paraId="627D879F" w14:textId="2759D3D4" w:rsidR="00334B01" w:rsidRPr="00EE295F" w:rsidRDefault="00334B01" w:rsidP="00EE295F">
      <w:pPr>
        <w:pStyle w:val="Fonte"/>
        <w:rPr>
          <w:sz w:val="24"/>
        </w:rPr>
      </w:pPr>
      <w:r>
        <w:t xml:space="preserve">Fonte: </w:t>
      </w:r>
      <w:r w:rsidRPr="007F7861">
        <w:rPr>
          <w:b w:val="0"/>
        </w:rPr>
        <w:t>Dados da Pesquisa de Percepção da Participação Feminina no TST e no CSJT, 2025. Compilação e elaboração: CPJUD/SEPJD/CPJED</w:t>
      </w:r>
      <w:r w:rsidR="007F7861" w:rsidRPr="007F7861">
        <w:rPr>
          <w:b w:val="0"/>
        </w:rPr>
        <w:t>.</w:t>
      </w:r>
    </w:p>
    <w:p w14:paraId="647A5C32" w14:textId="77777777" w:rsidR="00D10E96" w:rsidRDefault="00D10E96" w:rsidP="00584F60">
      <w:pPr>
        <w:pStyle w:val="Texto"/>
      </w:pPr>
    </w:p>
    <w:p w14:paraId="04C8BB14" w14:textId="3EA88569" w:rsidR="00334B01" w:rsidRDefault="00334B01" w:rsidP="00584F60">
      <w:pPr>
        <w:pStyle w:val="Texto"/>
      </w:pPr>
      <w:r>
        <w:t>Em síntese, os resultados indicam que</w:t>
      </w:r>
      <w:r w:rsidR="00A55F6E">
        <w:t xml:space="preserve"> a</w:t>
      </w:r>
      <w:r>
        <w:t xml:space="preserve"> maioria dos respondentes, independentemente do gênero, perceb</w:t>
      </w:r>
      <w:r w:rsidR="00A55F6E">
        <w:t>e</w:t>
      </w:r>
      <w:r>
        <w:t xml:space="preserve"> o TST/CSJT como promotor de uma cultura de respeito e equidade e aberto ao debate sobre gênero e diversidade em seus setores</w:t>
      </w:r>
      <w:r w:rsidR="00A55F6E">
        <w:t xml:space="preserve">. Contudo, </w:t>
      </w:r>
      <w:r w:rsidR="00074690">
        <w:t xml:space="preserve">foram reveladas </w:t>
      </w:r>
      <w:r w:rsidR="002D4404">
        <w:t>divergência</w:t>
      </w:r>
      <w:r>
        <w:t>s na percepção de igualdade de oportunidades par</w:t>
      </w:r>
      <w:r w:rsidR="002D4404">
        <w:t>a mulheres de diferentes perfis</w:t>
      </w:r>
      <w:r w:rsidR="00074690">
        <w:t>, a despeito dos dados quantitativos expressarem equilíbrio na distribuição de CJs e FCS no TST/CSJT que se alinha com o número total de homens e mulheres do quadro de cargos</w:t>
      </w:r>
      <w:r w:rsidR="002D4404">
        <w:t>.</w:t>
      </w:r>
    </w:p>
    <w:p w14:paraId="3C2030CD" w14:textId="6268FF4F" w:rsidR="00D10E96" w:rsidRDefault="00334B01" w:rsidP="00584F60">
      <w:pPr>
        <w:pStyle w:val="Texto"/>
      </w:pPr>
      <w:r>
        <w:t>Além das assimetrias de percepção entre mulheres e ho</w:t>
      </w:r>
      <w:r w:rsidR="002D4404">
        <w:t xml:space="preserve">mens que responderam à pesquisa, </w:t>
      </w:r>
      <w:r>
        <w:t xml:space="preserve">observam-se também diferenças entre os grupos de mulheres participantes. Destacam-se, em especial, mulheres </w:t>
      </w:r>
      <w:r w:rsidR="00CE2935">
        <w:t xml:space="preserve">pretas </w:t>
      </w:r>
      <w:r>
        <w:t xml:space="preserve">e com deficiência, que demonstraram uma percepção mais acentuada de desigualdade de oportunidades e maior exposição a experiências como </w:t>
      </w:r>
      <w:r>
        <w:rPr>
          <w:i/>
        </w:rPr>
        <w:t>gaslighting</w:t>
      </w:r>
      <w:r>
        <w:t xml:space="preserve"> e </w:t>
      </w:r>
      <w:r>
        <w:rPr>
          <w:i/>
        </w:rPr>
        <w:lastRenderedPageBreak/>
        <w:t>mansplaining</w:t>
      </w:r>
      <w:r w:rsidR="00A55F6E">
        <w:t xml:space="preserve">; bem como a </w:t>
      </w:r>
      <w:r>
        <w:t>maior percepção de desigualdade entre mulheres com 10 a 20 anos de serviço no TST/CSJT</w:t>
      </w:r>
      <w:r w:rsidR="00A55F6E">
        <w:t>.</w:t>
      </w:r>
    </w:p>
    <w:p w14:paraId="23BA4E03" w14:textId="3D4F8854" w:rsidR="00584F60" w:rsidRDefault="00584F60">
      <w:pPr>
        <w:rPr>
          <w:rFonts w:asciiTheme="minorHAnsi" w:hAnsiTheme="minorHAnsi" w:cstheme="minorHAnsi"/>
          <w:noProof/>
        </w:rPr>
      </w:pPr>
      <w:r>
        <w:br w:type="page"/>
      </w:r>
    </w:p>
    <w:p w14:paraId="6B412A09" w14:textId="3A2242C4" w:rsidR="007F7861" w:rsidRDefault="007F7861" w:rsidP="00777082">
      <w:pPr>
        <w:pStyle w:val="Ttulo2"/>
      </w:pPr>
      <w:bookmarkStart w:id="223" w:name="_Toc207370455"/>
      <w:bookmarkStart w:id="224" w:name="_Toc208510823"/>
      <w:r>
        <w:lastRenderedPageBreak/>
        <w:t>RESULTADOS DOS ENCONTROS “DIÁLOGOS QUE TRANSFORMAM - VOZES FEMININAS: ACOLHIMENTO E CONEXÃO”</w:t>
      </w:r>
      <w:bookmarkEnd w:id="223"/>
      <w:bookmarkEnd w:id="224"/>
    </w:p>
    <w:p w14:paraId="29961626" w14:textId="1D1C0CCE" w:rsidR="007F7861" w:rsidRPr="00584F60" w:rsidRDefault="007F7861" w:rsidP="00584F60">
      <w:pPr>
        <w:pStyle w:val="Texto"/>
      </w:pPr>
      <w:r w:rsidRPr="00584F60">
        <w:t>Esta se</w:t>
      </w:r>
      <w:r w:rsidR="00EE295F" w:rsidRPr="00584F60">
        <w:t>ção destina-se à apresentação dos resultados dos encontros “Diálogos que transformam – vozes femininas: acolhimento e conexão”.</w:t>
      </w:r>
      <w:r w:rsidR="00772B36" w:rsidRPr="00584F60">
        <w:t xml:space="preserve"> As informações mapeadas foram consolidadas pela equipe da CDEP, tendo sido submetidas à validação d</w:t>
      </w:r>
      <w:r w:rsidR="00D10E96" w:rsidRPr="00584F60">
        <w:t>as participantes dos encontros.</w:t>
      </w:r>
    </w:p>
    <w:p w14:paraId="58240431" w14:textId="77777777" w:rsidR="00D10E96" w:rsidRPr="00584F60" w:rsidRDefault="00D10E96" w:rsidP="00584F60">
      <w:pPr>
        <w:pStyle w:val="Texto"/>
      </w:pPr>
    </w:p>
    <w:p w14:paraId="7DDC6A52" w14:textId="49ED9063" w:rsidR="007F7861" w:rsidRDefault="007F7861" w:rsidP="00FB5A95">
      <w:pPr>
        <w:pStyle w:val="Ttulo3"/>
      </w:pPr>
      <w:bookmarkStart w:id="225" w:name="_x4a7s0jqytip" w:colFirst="0" w:colLast="0"/>
      <w:bookmarkStart w:id="226" w:name="_Toc208510824"/>
      <w:bookmarkEnd w:id="225"/>
      <w:r>
        <w:t>Percepções das participantes sobre o papel do Tribunal na vida das mulheres e o papel feminino na instituição</w:t>
      </w:r>
      <w:bookmarkEnd w:id="226"/>
    </w:p>
    <w:p w14:paraId="0BE7C6AD" w14:textId="77777777" w:rsidR="007F7861" w:rsidRDefault="007F7861" w:rsidP="00584F60">
      <w:pPr>
        <w:pStyle w:val="Texto"/>
      </w:pPr>
      <w:r>
        <w:t xml:space="preserve">As servidoras percebem o Tribunal como um provedor de identidade e acolhimento, fonte de coletividade e sentido, mas com desafios relacionados à falta de voz e à dificuldade de conciliar a vida pessoal com o trabalho. Destacam, assim, a necessidade de um ambiente de escuta, de reconhecimento e com expectativas de crescimento. </w:t>
      </w:r>
    </w:p>
    <w:p w14:paraId="6368DF11" w14:textId="30221C21" w:rsidR="007F7861" w:rsidRDefault="007F7861" w:rsidP="00584F60">
      <w:pPr>
        <w:pStyle w:val="Texto"/>
      </w:pPr>
      <w:r>
        <w:t>Por sua vez, as gestoras percebem o Tribunal como espaço de crescimento profissional e de realização pessoal, valorizando a segurança financeira, as relações construídas e a satisfação profissional. Embora não se sintam diretamente limitadas por seu gênero, percebem machismo sutil em instâncias decisórias e a falta de legitimidade de sua autoridade. Para elas, a liderança feminina demanda uma abo</w:t>
      </w:r>
      <w:r w:rsidR="00074690">
        <w:t>rdagem mais humanizada e atenta;</w:t>
      </w:r>
      <w:r>
        <w:t xml:space="preserve"> porém</w:t>
      </w:r>
      <w:r w:rsidR="00074690">
        <w:t>,</w:t>
      </w:r>
      <w:r>
        <w:t xml:space="preserve"> o ambiente de trabalho atual não as permite exercer essa liderança plenamente. O desejo por um espaço mais acolhedor e igualitário é acompanhado pela convicção de que a união e a ação coletiva são fundamentais para promover mudanças, incluindo maior representatividade feminina em posições de liderança estratégica.</w:t>
      </w:r>
    </w:p>
    <w:p w14:paraId="369A8CBB" w14:textId="77777777" w:rsidR="00772B36" w:rsidRDefault="00772B36" w:rsidP="00584F60">
      <w:pPr>
        <w:pStyle w:val="Texto"/>
      </w:pPr>
    </w:p>
    <w:p w14:paraId="78C19EF8" w14:textId="36FC81C3" w:rsidR="00D10E96" w:rsidRDefault="00D10E96" w:rsidP="00584F60">
      <w:pPr>
        <w:pStyle w:val="Texto"/>
      </w:pPr>
      <w:r>
        <w:br w:type="page"/>
      </w:r>
    </w:p>
    <w:p w14:paraId="4942692A" w14:textId="181119CD" w:rsidR="007F7861" w:rsidRDefault="007F7861" w:rsidP="00FB5A95">
      <w:pPr>
        <w:pStyle w:val="Ttulo3"/>
      </w:pPr>
      <w:bookmarkStart w:id="227" w:name="_vkoxoon4lc2" w:colFirst="0" w:colLast="0"/>
      <w:bookmarkStart w:id="228" w:name="_Toc208510825"/>
      <w:bookmarkEnd w:id="227"/>
      <w:r>
        <w:lastRenderedPageBreak/>
        <w:t>Percepções das participantes sobre os desafios vivenciados por mulheres no TST</w:t>
      </w:r>
      <w:bookmarkEnd w:id="228"/>
    </w:p>
    <w:p w14:paraId="13C94FDF" w14:textId="77777777" w:rsidR="007F7861" w:rsidRPr="00772B36" w:rsidRDefault="007F7861" w:rsidP="00794F3A">
      <w:pPr>
        <w:pStyle w:val="Texto"/>
        <w:numPr>
          <w:ilvl w:val="0"/>
          <w:numId w:val="10"/>
        </w:numPr>
      </w:pPr>
      <w:r w:rsidRPr="00772B36">
        <w:rPr>
          <w:b/>
        </w:rPr>
        <w:t xml:space="preserve">Desrespeito e falta de voz: </w:t>
      </w:r>
      <w:r w:rsidRPr="00772B36">
        <w:t>As participantes de ambos os grupos mencionam a dificuldade de serem ouvidas no ambiente de trabalho. As gestoras relatam que suas falas muitas vezes são minimizadas ou desconsideradas, enquanto as servidoras mencionam a interrupção frequente da fala.</w:t>
      </w:r>
    </w:p>
    <w:p w14:paraId="2D09C8CC" w14:textId="77777777" w:rsidR="007F7861" w:rsidRPr="00772B36" w:rsidRDefault="007F7861" w:rsidP="00794F3A">
      <w:pPr>
        <w:pStyle w:val="Texto"/>
        <w:numPr>
          <w:ilvl w:val="0"/>
          <w:numId w:val="10"/>
        </w:numPr>
      </w:pPr>
      <w:r w:rsidRPr="00772B36">
        <w:rPr>
          <w:b/>
        </w:rPr>
        <w:t>Predominância Masculina e Falta de Representatividade:</w:t>
      </w:r>
      <w:r w:rsidRPr="00772B36">
        <w:t xml:space="preserve"> As gestoras relatam a dificuldade de encontrar espaço de fala em ambientes predominantemente masculinos, destacando formas sutis de machismo, como a exclusão de espaços de decisão e os obstáculos para afirmar sua legitimidade, mesmo ao se posicionarem com embasamento técnico. As servidoras, por sua vez, mencionam a baixa representatividade feminina em posições de liderança, além da falta de voz e de espaço.</w:t>
      </w:r>
    </w:p>
    <w:p w14:paraId="6B690915" w14:textId="77777777" w:rsidR="007F7861" w:rsidRPr="00772B36" w:rsidRDefault="007F7861" w:rsidP="00794F3A">
      <w:pPr>
        <w:pStyle w:val="Texto"/>
        <w:numPr>
          <w:ilvl w:val="0"/>
          <w:numId w:val="10"/>
        </w:numPr>
      </w:pPr>
      <w:r w:rsidRPr="00772B36">
        <w:rPr>
          <w:b/>
        </w:rPr>
        <w:t xml:space="preserve">Sobrecarga e equilíbrio entre trabalho e vida pessoal: </w:t>
      </w:r>
      <w:r w:rsidRPr="00772B36">
        <w:t xml:space="preserve">A sobrecarga, especialmente após a pandemia, é um ponto comum nas respostas. As gestoras mencionam um ambiente mais rígido e de cobrança excessiva, enquanto as servidoras falam sobre os desafios de equilibrar trabalho e vida pessoal. As participantes ressaltam que o Tribunal era visto como integrante da rede de apoio.   </w:t>
      </w:r>
    </w:p>
    <w:p w14:paraId="378E55B4" w14:textId="4792662C" w:rsidR="007F7861" w:rsidRPr="00772B36" w:rsidRDefault="007F7861" w:rsidP="00794F3A">
      <w:pPr>
        <w:pStyle w:val="Texto"/>
        <w:numPr>
          <w:ilvl w:val="0"/>
          <w:numId w:val="10"/>
        </w:numPr>
      </w:pPr>
      <w:r w:rsidRPr="00772B36">
        <w:rPr>
          <w:b/>
        </w:rPr>
        <w:t>Assédio e machismo:</w:t>
      </w:r>
      <w:r w:rsidRPr="00772B36">
        <w:t xml:space="preserve">  O machismo é uma questão central nas respostas dos grupos. As gestoras mencionam episódios de </w:t>
      </w:r>
      <w:r w:rsidRPr="00772B36">
        <w:rPr>
          <w:i/>
        </w:rPr>
        <w:t>manterrupting</w:t>
      </w:r>
      <w:r w:rsidRPr="00772B36">
        <w:t xml:space="preserve">, de </w:t>
      </w:r>
      <w:r w:rsidRPr="00772B36">
        <w:rPr>
          <w:i/>
        </w:rPr>
        <w:t>mansplaining</w:t>
      </w:r>
      <w:r w:rsidRPr="00772B36">
        <w:t xml:space="preserve"> e de apropriação de ideias femininas</w:t>
      </w:r>
      <w:r w:rsidR="00186E2F">
        <w:t xml:space="preserve"> por homens (bropriating)</w:t>
      </w:r>
      <w:r w:rsidRPr="00772B36">
        <w:t xml:space="preserve">.  No caso das servidoras, estas relatam assédio tanto de colegas quanto de chefias, além de um ambiente permeado pela misoginia. </w:t>
      </w:r>
    </w:p>
    <w:p w14:paraId="6A7AA398" w14:textId="77777777" w:rsidR="007F7861" w:rsidRPr="00772B36" w:rsidRDefault="007F7861" w:rsidP="00794F3A">
      <w:pPr>
        <w:pStyle w:val="Texto"/>
        <w:numPr>
          <w:ilvl w:val="0"/>
          <w:numId w:val="10"/>
        </w:numPr>
      </w:pPr>
      <w:r w:rsidRPr="00772B36">
        <w:rPr>
          <w:b/>
        </w:rPr>
        <w:t xml:space="preserve">Desafios específicos quanto à vida pessoal: </w:t>
      </w:r>
      <w:r w:rsidRPr="00772B36">
        <w:t xml:space="preserve">As gestoras enfrentam desafios mais relacionados à conciliar a vida profissional com filhos pequenos, especialmente com o retorno ao trabalho presencial após a pandemia. Enquanto isso, as servidoras relatam desafios mais ligados à infraestrutura, como a falta de suporte para as mães que estão em teletrabalho e a </w:t>
      </w:r>
      <w:r w:rsidRPr="00147A91">
        <w:t>inviabilidade destas de usarem o berçário,</w:t>
      </w:r>
      <w:r w:rsidRPr="00772B36">
        <w:t xml:space="preserve"> além das dificuldades em se posicionar frente às lideranças. </w:t>
      </w:r>
    </w:p>
    <w:p w14:paraId="7DE2E9D0" w14:textId="77777777" w:rsidR="007F7861" w:rsidRPr="00772B36" w:rsidRDefault="007F7861" w:rsidP="00794F3A">
      <w:pPr>
        <w:pStyle w:val="Texto"/>
        <w:numPr>
          <w:ilvl w:val="0"/>
          <w:numId w:val="10"/>
        </w:numPr>
      </w:pPr>
      <w:r w:rsidRPr="00772B36">
        <w:rPr>
          <w:b/>
        </w:rPr>
        <w:t xml:space="preserve">Outros desafios enfrentados: </w:t>
      </w:r>
      <w:r w:rsidRPr="00772B36">
        <w:t xml:space="preserve">As gestoras mencionam também a dificuldade após mudanças de gestão, com lideranças sendo escolhidas com base em indicações pessoais e a resistência em ter suas unidades reconhecidas dentro do Tribunal. Já as servidoras </w:t>
      </w:r>
      <w:r w:rsidRPr="00772B36">
        <w:lastRenderedPageBreak/>
        <w:t>relatam desafios como assédio por parte de colegas e chefias, bem como a falta de empatia para com questões femininas.</w:t>
      </w:r>
    </w:p>
    <w:p w14:paraId="6CCF5485" w14:textId="77777777" w:rsidR="00772B36" w:rsidRDefault="00772B36" w:rsidP="00584F60">
      <w:pPr>
        <w:pStyle w:val="Texto"/>
      </w:pPr>
      <w:bookmarkStart w:id="229" w:name="_1pxrb6g1dp4m" w:colFirst="0" w:colLast="0"/>
      <w:bookmarkEnd w:id="229"/>
    </w:p>
    <w:p w14:paraId="35496D37" w14:textId="43411AF6" w:rsidR="00772B36" w:rsidRDefault="007F7861" w:rsidP="00FB5A95">
      <w:pPr>
        <w:pStyle w:val="Ttulo3"/>
      </w:pPr>
      <w:bookmarkStart w:id="230" w:name="_Toc208510826"/>
      <w:r>
        <w:t>Propostas de melhorias apresentadas pelos grupos</w:t>
      </w:r>
      <w:bookmarkEnd w:id="230"/>
    </w:p>
    <w:p w14:paraId="5A6D4BD1" w14:textId="77777777" w:rsidR="007F7861" w:rsidRPr="00772B36" w:rsidRDefault="007F7861" w:rsidP="00794F3A">
      <w:pPr>
        <w:pStyle w:val="Texto"/>
        <w:numPr>
          <w:ilvl w:val="0"/>
          <w:numId w:val="11"/>
        </w:numPr>
      </w:pPr>
      <w:r w:rsidRPr="00772B36">
        <w:rPr>
          <w:b/>
        </w:rPr>
        <w:t>Promoção de um Ambiente Inclusivo e Respeitoso:</w:t>
      </w:r>
      <w:r w:rsidRPr="00772B36">
        <w:t xml:space="preserve"> Ambas as partes sugerem ações para garantir a escuta ativa, o respeito à fala feminina e a criação de espaços de diálogo. As gestoras propõem um projeto de "Espaços de Troca e Sensibilização para Respeito à Fala Feminina" e as servidoras sugerem o projeto "Vozes Femininas – Canal de Escuta e Acompanhamento", ambos com o objetivo de garantir que as mulheres possam se expressar e serem ouvidas no ambiente de trabalho. </w:t>
      </w:r>
    </w:p>
    <w:p w14:paraId="2E02884A" w14:textId="77777777" w:rsidR="007F7861" w:rsidRPr="00772B36" w:rsidRDefault="007F7861" w:rsidP="00794F3A">
      <w:pPr>
        <w:pStyle w:val="Texto"/>
        <w:numPr>
          <w:ilvl w:val="0"/>
          <w:numId w:val="11"/>
        </w:numPr>
      </w:pPr>
      <w:r w:rsidRPr="00772B36">
        <w:rPr>
          <w:b/>
        </w:rPr>
        <w:t>Capacitação e Desenvolvimento de Liderança Feminina:</w:t>
      </w:r>
      <w:r w:rsidRPr="00772B36">
        <w:t xml:space="preserve"> Tanto as gestoras quanto as servidoras consideram importante a capacitação contínua e o desenvolvimento de lideranças femininas. As gestoras propõem a criação de programas de mentoria e desenvolvimento de liderança. Já as servidoras sugerem a criação de mentorias e workshops de autoconhecimento, a fim de fortalecer a capacidade das mulheres no trabalho. </w:t>
      </w:r>
    </w:p>
    <w:p w14:paraId="32333FEC" w14:textId="086102F3" w:rsidR="007F7861" w:rsidRPr="00772B36" w:rsidRDefault="007F7861" w:rsidP="00794F3A">
      <w:pPr>
        <w:pStyle w:val="Texto"/>
        <w:numPr>
          <w:ilvl w:val="0"/>
          <w:numId w:val="11"/>
        </w:numPr>
      </w:pPr>
      <w:r w:rsidRPr="00772B36">
        <w:rPr>
          <w:b/>
        </w:rPr>
        <w:t xml:space="preserve">Conscientização sobre Gênero e Igualdade: </w:t>
      </w:r>
      <w:r w:rsidRPr="00772B36">
        <w:t xml:space="preserve">Ambas as propostas têm uma forte ênfase em conscientização. As gestoras sugerem campanhas educativas sobre o papel da mulher e programas para sensibilizar tanto mulheres quanto homens sobre o papel da mulher no ambiente de trabalho. As servidoras, por sua vez, propõem ações como rodas de conversa e workshops sobre igualdade de gênero e questões femininas. </w:t>
      </w:r>
    </w:p>
    <w:p w14:paraId="73280DAF" w14:textId="77777777" w:rsidR="007F7861" w:rsidRPr="00772B36" w:rsidRDefault="007F7861" w:rsidP="00794F3A">
      <w:pPr>
        <w:pStyle w:val="Texto"/>
        <w:numPr>
          <w:ilvl w:val="0"/>
          <w:numId w:val="11"/>
        </w:numPr>
      </w:pPr>
      <w:r w:rsidRPr="00772B36">
        <w:rPr>
          <w:b/>
        </w:rPr>
        <w:t>Políticas de Flexibilidade e Equilíbrio:</w:t>
      </w:r>
      <w:r w:rsidRPr="00772B36">
        <w:t xml:space="preserve"> As gestoras sugerem flexibilidade de horários e a promoção de políticas que favoreçam o equilíbrio entre vida profissional e pessoal. As servidoras propõem políticas de teletrabalho e flexibilidade de horários, além de revisões nas políticas de horas extras e indicadores para medir o impacto da flexibilidade na produtividade e no bem-estar. </w:t>
      </w:r>
    </w:p>
    <w:p w14:paraId="62A1E151" w14:textId="77777777" w:rsidR="007F7861" w:rsidRPr="00772B36" w:rsidRDefault="007F7861" w:rsidP="00794F3A">
      <w:pPr>
        <w:pStyle w:val="Texto"/>
        <w:numPr>
          <w:ilvl w:val="0"/>
          <w:numId w:val="11"/>
        </w:numPr>
      </w:pPr>
      <w:r w:rsidRPr="00772B36">
        <w:rPr>
          <w:b/>
        </w:rPr>
        <w:t>Enfrentamento de Assédio e Discriminação:</w:t>
      </w:r>
      <w:r w:rsidRPr="00772B36">
        <w:t xml:space="preserve"> Ambas as partes estão focadas em combater o assédio no ambiente de trabalho. As gestoras sugerem campanhas e programas sobre masculinidade e liderança inclusiva, e as servidoras propõem a criação de um comitê de equidade de gênero para o combate ao assédio moral e sexual, com protocolos claros. Ressalta-se a percepção quanto à falta de credibilidade dos canais de acesso já existentes. </w:t>
      </w:r>
      <w:r w:rsidRPr="00772B36">
        <w:lastRenderedPageBreak/>
        <w:t>Sugerem-se campanhas educativas contínuas, com "Gotas Educativas" divulgadas em todos os canais de comunicação do TST - abordando os conceitos essenciais.  Criar cartazes e cartas de conscientização sobre o papel da mulher e sinalizar qualquer opressão, com foco na valorização da fala feminina.</w:t>
      </w:r>
    </w:p>
    <w:p w14:paraId="774DCC3F" w14:textId="77777777" w:rsidR="007F7861" w:rsidRPr="00772B36" w:rsidRDefault="007F7861" w:rsidP="00794F3A">
      <w:pPr>
        <w:pStyle w:val="Texto"/>
        <w:numPr>
          <w:ilvl w:val="0"/>
          <w:numId w:val="11"/>
        </w:numPr>
      </w:pPr>
      <w:r w:rsidRPr="00772B36">
        <w:rPr>
          <w:b/>
        </w:rPr>
        <w:t xml:space="preserve">Infraestrutura e Segurança: </w:t>
      </w:r>
      <w:r w:rsidRPr="00772B36">
        <w:t xml:space="preserve">As servidoras incluem ações focadas em segurança e infraestrutura, como a ampliação de vagas de estacionamento e reforço da segurança nas áreas externas. </w:t>
      </w:r>
    </w:p>
    <w:p w14:paraId="7EA17555" w14:textId="77777777" w:rsidR="007F7861" w:rsidRPr="00772B36" w:rsidRDefault="007F7861" w:rsidP="00794F3A">
      <w:pPr>
        <w:pStyle w:val="Texto"/>
        <w:numPr>
          <w:ilvl w:val="0"/>
          <w:numId w:val="11"/>
        </w:numPr>
      </w:pPr>
      <w:r w:rsidRPr="00772B36">
        <w:rPr>
          <w:b/>
        </w:rPr>
        <w:t>Iniciativas para os Homens:</w:t>
      </w:r>
      <w:r w:rsidRPr="00772B36">
        <w:t xml:space="preserve"> As gestoras propõem projetos para envolver os homens no processo de mudança, como cursos e workshops sobre masculinidade e liderança inclusiva, buscando sensibilizar os homens para os desafios das mulheres e promover a equidade de gênero. </w:t>
      </w:r>
    </w:p>
    <w:p w14:paraId="131F462D" w14:textId="77777777" w:rsidR="007F7861" w:rsidRPr="00772B36" w:rsidRDefault="007F7861" w:rsidP="00794F3A">
      <w:pPr>
        <w:pStyle w:val="Texto"/>
        <w:numPr>
          <w:ilvl w:val="0"/>
          <w:numId w:val="11"/>
        </w:numPr>
      </w:pPr>
      <w:r w:rsidRPr="00772B36">
        <w:rPr>
          <w:b/>
        </w:rPr>
        <w:t>Saúde e Bem-estar das Mulheres:</w:t>
      </w:r>
      <w:r w:rsidRPr="00772B36">
        <w:t xml:space="preserve"> As servidoras sugerem programas de saúde voltados para exames preventivos, saúde mental, apoio psicológico, entre outros. Elas também propõem flexibilização de horários para sintomas graves relacionados ao ciclo menstrual. </w:t>
      </w:r>
    </w:p>
    <w:p w14:paraId="762E15C9" w14:textId="0B3846D1" w:rsidR="00726867" w:rsidRDefault="007F7861" w:rsidP="00794F3A">
      <w:pPr>
        <w:pStyle w:val="Texto"/>
        <w:numPr>
          <w:ilvl w:val="0"/>
          <w:numId w:val="11"/>
        </w:numPr>
      </w:pPr>
      <w:r w:rsidRPr="00772B36">
        <w:rPr>
          <w:b/>
        </w:rPr>
        <w:t xml:space="preserve">Política Permanente para Mulheres: </w:t>
      </w:r>
      <w:r w:rsidRPr="00772B36">
        <w:t>As servidoras  propõem a criação de uma política permanente para mulheres, incluindo um comitê de equidade de gênero e ações contínuas para garantir os direitos das mulheres e o combate ao assédio.</w:t>
      </w:r>
    </w:p>
    <w:p w14:paraId="60CC244D" w14:textId="77777777" w:rsidR="00B370C4" w:rsidRDefault="00B370C4" w:rsidP="00584F60">
      <w:pPr>
        <w:pStyle w:val="Texto"/>
      </w:pPr>
    </w:p>
    <w:p w14:paraId="12997950" w14:textId="0C0495A2" w:rsidR="00D10E96" w:rsidRDefault="00D10E96" w:rsidP="00584F60">
      <w:pPr>
        <w:pStyle w:val="Texto"/>
      </w:pPr>
      <w:r>
        <w:br w:type="page"/>
      </w:r>
    </w:p>
    <w:p w14:paraId="551C31E5" w14:textId="58DF549D" w:rsidR="00D86809" w:rsidRPr="00D86809" w:rsidRDefault="00772B36" w:rsidP="00777082">
      <w:pPr>
        <w:pStyle w:val="Ttulo2"/>
      </w:pPr>
      <w:bookmarkStart w:id="231" w:name="_Toc207370456"/>
      <w:bookmarkStart w:id="232" w:name="_Toc208510827"/>
      <w:r w:rsidRPr="00721A3B">
        <w:lastRenderedPageBreak/>
        <w:t>LICENÇA-MATERNIDADE E TRAJETÓRIA PROFISSIONAL DE SERVIDORAS DO TST E DO CSJT</w:t>
      </w:r>
      <w:bookmarkEnd w:id="231"/>
      <w:bookmarkEnd w:id="232"/>
    </w:p>
    <w:p w14:paraId="77FF2BA0" w14:textId="2891A444" w:rsidR="0074555C" w:rsidRDefault="004122AA" w:rsidP="004122AA">
      <w:pPr>
        <w:pStyle w:val="Texto"/>
      </w:pPr>
      <w:r>
        <w:t>E</w:t>
      </w:r>
      <w:r w:rsidR="0074555C">
        <w:t xml:space="preserve">sta seção tem como finalidade entender </w:t>
      </w:r>
      <w:r w:rsidR="001B7B19">
        <w:t xml:space="preserve">se há índicios de a licença-maternidade estar afetando a </w:t>
      </w:r>
      <w:r w:rsidR="0074555C">
        <w:t>progressão de carreira e a manutenção de funções e responsabilidades pelas servidoras. Para tanto, solicitou-se à Coordenadoria de Informações Funcionais do TST (CIF) um levantamento inédito e complexo, visando mapear os cargos e funções ocupados pelas servidoras antes, durante e depois da licença-maternidade. </w:t>
      </w:r>
    </w:p>
    <w:p w14:paraId="5504E99B" w14:textId="04C781FE" w:rsidR="002A2CCE" w:rsidRDefault="0074555C" w:rsidP="00584F60">
      <w:pPr>
        <w:pStyle w:val="Texto"/>
      </w:pPr>
      <w:r>
        <w:t>Conforme previsto no art. 9º da Resolução CNJ nº 321/2020</w:t>
      </w:r>
      <w:r w:rsidR="00EC7053">
        <w:rPr>
          <w:rStyle w:val="Refdenotaderodap"/>
        </w:rPr>
        <w:footnoteReference w:id="83"/>
      </w:r>
      <w:r>
        <w:t xml:space="preserve"> e no art. 5º do ATO.DILEP.CIF.SEGPES.GDGSET.GP.Nº 597/2016</w:t>
      </w:r>
      <w:r w:rsidR="00EC7053">
        <w:rPr>
          <w:rStyle w:val="Refdenotaderodap"/>
        </w:rPr>
        <w:footnoteReference w:id="84"/>
      </w:r>
      <w:r>
        <w:t>, as servidoras gestantes e que entram em licença-maternidade possuem estab</w:t>
      </w:r>
      <w:r w:rsidR="00686D68">
        <w:t>ilidade desde a concepção até o término da licença à gestante e sua prorrogação</w:t>
      </w:r>
      <w:r>
        <w:t xml:space="preserve">. </w:t>
      </w:r>
      <w:r w:rsidR="00686D68">
        <w:t xml:space="preserve">No caso de </w:t>
      </w:r>
      <w:r w:rsidR="00686D68">
        <w:rPr>
          <w:rFonts w:ascii="Calibri" w:hAnsi="Calibri" w:cs="Calibri"/>
        </w:rPr>
        <w:t>exonerada de</w:t>
      </w:r>
      <w:r w:rsidR="00686D68" w:rsidRPr="003503A3">
        <w:rPr>
          <w:rFonts w:ascii="Calibri" w:hAnsi="Calibri" w:cs="Calibri"/>
        </w:rPr>
        <w:t xml:space="preserve"> cargo em comissão ou dispensada da função comissionada</w:t>
      </w:r>
      <w:r w:rsidR="00686D68">
        <w:rPr>
          <w:rFonts w:ascii="Calibri" w:hAnsi="Calibri" w:cs="Calibri"/>
        </w:rPr>
        <w:t>,</w:t>
      </w:r>
      <w:r w:rsidR="00686D68" w:rsidRPr="003503A3">
        <w:rPr>
          <w:rFonts w:ascii="Calibri" w:hAnsi="Calibri" w:cs="Calibri"/>
        </w:rPr>
        <w:t xml:space="preserve"> fará jus à percepção dessa remuneração, como se em exercício estivesse, até o término do afastamento, incluindo a sua prorrogação</w:t>
      </w:r>
      <w:r>
        <w:t xml:space="preserve">. </w:t>
      </w:r>
    </w:p>
    <w:p w14:paraId="341509F0" w14:textId="312F6AE3" w:rsidR="00686D68" w:rsidRPr="00686D68" w:rsidRDefault="00686D68" w:rsidP="00686D68">
      <w:pPr>
        <w:pStyle w:val="Texto"/>
      </w:pPr>
      <w:r w:rsidRPr="00686D68">
        <w:t>A metodologia delineada para o levantamento fundamentou-se em uma análise temporal de três marcos distintos, com o objetivo de aferir a trajetória funcional da servidora.</w:t>
      </w:r>
      <w:r>
        <w:t xml:space="preserve"> </w:t>
      </w:r>
      <w:r w:rsidRPr="00686D68">
        <w:t>O primeiro, estabelecido 1 (um) ano antes do início da licença-maternidade, teve por finalidade registrar o cargo ou função em um período no qual o fator da gestação não influenciasse as decisões de designação por parte dos gestores. O segundo marco correspondeu à data exata de início do afastamento, cuja duração, incluída a prorrogação, é de 180 (cento e oitenta) dias.</w:t>
      </w:r>
      <w:r>
        <w:t xml:space="preserve"> </w:t>
      </w:r>
      <w:r w:rsidRPr="00686D68">
        <w:t xml:space="preserve">O terceiro e último ponto de verificação foi fixado em 1 (um) ano após o início da licença. Tal escolha justifica-se </w:t>
      </w:r>
      <w:r w:rsidR="00D62D60">
        <w:t>para considerar</w:t>
      </w:r>
      <w:r w:rsidRPr="00686D68">
        <w:t xml:space="preserve"> um período de ajuste ao novo contexto da maternidade, no qual se reequilibram as atribuições funcionais e as expectativas de produtividade e desempenho por parte da gestão.</w:t>
      </w:r>
    </w:p>
    <w:p w14:paraId="643CC450" w14:textId="77777777" w:rsidR="00686D68" w:rsidRDefault="00686D68" w:rsidP="00584F60">
      <w:pPr>
        <w:pStyle w:val="Texto"/>
      </w:pPr>
    </w:p>
    <w:p w14:paraId="0A441AF1" w14:textId="77777777" w:rsidR="00686D68" w:rsidRDefault="00686D68" w:rsidP="00584F60">
      <w:pPr>
        <w:pStyle w:val="Texto"/>
      </w:pPr>
    </w:p>
    <w:p w14:paraId="4CA3D00C" w14:textId="25FC3721" w:rsidR="00D62D60" w:rsidRPr="00D62D60" w:rsidRDefault="00D62D60" w:rsidP="00D62D60">
      <w:pPr>
        <w:pStyle w:val="Texto"/>
      </w:pPr>
      <w:r w:rsidRPr="00D62D60">
        <w:t>O universo da presente análise abrange a totalidade das servidoras do TST/CSJT que usufruíram de licença-maternidade no período compreendido entre 2020 e 2025.</w:t>
      </w:r>
      <w:r>
        <w:t xml:space="preserve"> </w:t>
      </w:r>
      <w:r w:rsidRPr="00D62D60">
        <w:t>Importa assinalar que, nos casos de gozo de mais de uma licença pela mesma servidora, cada evento foi computado de maneira individualizada, a fim de permitir a análise específica das funções ocupadas nos marcos temporais de 1 (um) ano antes, no início e 1 (um) ano após a fruição de cada uma das licenças.</w:t>
      </w:r>
      <w:r>
        <w:t xml:space="preserve"> P</w:t>
      </w:r>
      <w:r w:rsidRPr="00D62D60">
        <w:t>ara as servidoras cuja licença teve início em período inferior a um ano, adotou-se como referência o cargo ou função atualmente ocupado, o que reflete a situação funcional da servidora durante o próprio gozo do benefício ou em momento subsequente ao retorno, mas ainda dentro do referido marco temporal.</w:t>
      </w:r>
    </w:p>
    <w:p w14:paraId="6F7DCB5C" w14:textId="3FC6B636" w:rsidR="00D10E96" w:rsidRDefault="00D62D60" w:rsidP="00584F60">
      <w:pPr>
        <w:pStyle w:val="Texto"/>
      </w:pPr>
      <w:r>
        <w:t>Verifica-se que os registros de licença-maternidade analisados apresentam sua maior concentração no ano de 2021, conforme se depreende do Gráfico 68. A reduzida incidência observada para o ano de 2025, por sua vez, justifica-se pelo marco temporal da pesquisa, cujo levantamento de dados foi concluído em junho do referido ano.</w:t>
      </w:r>
    </w:p>
    <w:p w14:paraId="64984849" w14:textId="685C3C21" w:rsidR="00D86809" w:rsidRDefault="00D86809" w:rsidP="00FB5A95">
      <w:pPr>
        <w:pStyle w:val="TtulodaIlustrao"/>
      </w:pPr>
      <w:bookmarkStart w:id="233" w:name="_Toc208508691"/>
      <w:r>
        <w:t xml:space="preserve">Gráfico </w:t>
      </w:r>
      <w:r w:rsidR="001904A0">
        <w:t>68</w:t>
      </w:r>
      <w:r w:rsidRPr="00584F60">
        <w:rPr>
          <w:b w:val="0"/>
        </w:rPr>
        <w:t xml:space="preserve"> - Quantidade de servidoras em licença-maternidade por ano</w:t>
      </w:r>
      <w:bookmarkEnd w:id="233"/>
    </w:p>
    <w:p w14:paraId="11F6E97C" w14:textId="33ECD9B7" w:rsidR="0074555C" w:rsidRDefault="0074555C" w:rsidP="0074555C">
      <w:pPr>
        <w:pStyle w:val="NormalWeb"/>
        <w:spacing w:before="0" w:beforeAutospacing="0" w:after="0" w:afterAutospacing="0"/>
        <w:jc w:val="center"/>
      </w:pPr>
      <w:r>
        <w:rPr>
          <w:rFonts w:ascii="Calibri" w:hAnsi="Calibri" w:cs="Calibri"/>
          <w:noProof/>
          <w:color w:val="000000"/>
          <w:sz w:val="22"/>
          <w:szCs w:val="22"/>
          <w:bdr w:val="none" w:sz="0" w:space="0" w:color="auto" w:frame="1"/>
        </w:rPr>
        <w:drawing>
          <wp:inline distT="0" distB="0" distL="0" distR="0" wp14:anchorId="0886BBB7" wp14:editId="6B3E657B">
            <wp:extent cx="4895850" cy="2737422"/>
            <wp:effectExtent l="0" t="0" r="0" b="6350"/>
            <wp:docPr id="1622690725" name="Imagem 1622690725" descr="https://lh7-rt.googleusercontent.com/docsz/AD_4nXdr3epHCRCmq1LERPLoccrhXLE6C_gJE_MI4HFIbSDQYGnPI1myOnZrpp8gIzQ692BC5L2if0VDpy8mEcVfk8xLgy1X3xSp8ZlOA4TuXz5bQN4UYqXmB_8ssE1dwZ9bQ8bU_GN69Q?key=WDrxLCYd0BYQU9Vdflj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r3epHCRCmq1LERPLoccrhXLE6C_gJE_MI4HFIbSDQYGnPI1myOnZrpp8gIzQ692BC5L2if0VDpy8mEcVfk8xLgy1X3xSp8ZlOA4TuXz5bQN4UYqXmB_8ssE1dwZ9bQ8bU_GN69Q?key=WDrxLCYd0BYQU9VdfljLO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98524" cy="2738917"/>
                    </a:xfrm>
                    <a:prstGeom prst="rect">
                      <a:avLst/>
                    </a:prstGeom>
                    <a:noFill/>
                    <a:ln>
                      <a:noFill/>
                    </a:ln>
                  </pic:spPr>
                </pic:pic>
              </a:graphicData>
            </a:graphic>
          </wp:inline>
        </w:drawing>
      </w:r>
    </w:p>
    <w:p w14:paraId="4867E4D5" w14:textId="77777777" w:rsidR="0074555C" w:rsidRDefault="0074555C" w:rsidP="00D86809">
      <w:pPr>
        <w:pStyle w:val="Fonte"/>
      </w:pPr>
      <w:r>
        <w:rPr>
          <w:bCs/>
        </w:rPr>
        <w:t>Fonte:</w:t>
      </w:r>
      <w:r>
        <w:t xml:space="preserve"> </w:t>
      </w:r>
      <w:r w:rsidRPr="00D86809">
        <w:rPr>
          <w:b w:val="0"/>
        </w:rPr>
        <w:t>Dados disponibilizados pelo Sistema de Recursos Humanos do TST. Compilação e elaboração: CPJUD/SEPJD/CPJED.</w:t>
      </w:r>
    </w:p>
    <w:p w14:paraId="54C28E5A" w14:textId="77777777" w:rsidR="0074555C" w:rsidRPr="00584F60" w:rsidRDefault="0074555C" w:rsidP="00584F60">
      <w:pPr>
        <w:pStyle w:val="Texto"/>
      </w:pPr>
    </w:p>
    <w:p w14:paraId="109C8C4C" w14:textId="412EA98C" w:rsidR="0074555C" w:rsidRPr="00584F60" w:rsidRDefault="0074555C" w:rsidP="00584F60">
      <w:pPr>
        <w:pStyle w:val="Texto"/>
      </w:pPr>
      <w:r w:rsidRPr="00584F60">
        <w:t xml:space="preserve">Sobre o tipo de cargo ou função que ocupavam no momento em que entraram em licença-maternidade, é possível perceber </w:t>
      </w:r>
      <w:r w:rsidR="00D86809" w:rsidRPr="00584F60">
        <w:t xml:space="preserve">no Gráfico </w:t>
      </w:r>
      <w:r w:rsidR="003E2BE3" w:rsidRPr="00584F60">
        <w:t>69</w:t>
      </w:r>
      <w:r w:rsidRPr="00584F60">
        <w:t xml:space="preserve"> </w:t>
      </w:r>
      <w:r w:rsidR="00D62D60">
        <w:t xml:space="preserve">um total de 212 afastamentos, exitindo </w:t>
      </w:r>
      <w:r w:rsidRPr="00584F60">
        <w:t>uma concentração nas funções de confiança FC-05, FC-04 e FC-03</w:t>
      </w:r>
      <w:r w:rsidR="00D62D60">
        <w:t>. As servidoras sem função no momento da licença representam 18,39% do total de afastamentos</w:t>
      </w:r>
      <w:r w:rsidR="0012535C" w:rsidRPr="00584F60">
        <w:t>.</w:t>
      </w:r>
    </w:p>
    <w:p w14:paraId="2D4CDADE" w14:textId="77777777" w:rsidR="0012535C" w:rsidRPr="00584F60" w:rsidRDefault="0012535C" w:rsidP="00584F60">
      <w:pPr>
        <w:pStyle w:val="Texto"/>
      </w:pPr>
    </w:p>
    <w:p w14:paraId="2197EB6D" w14:textId="0466766B" w:rsidR="00D86809" w:rsidRDefault="00D86809" w:rsidP="00FB5A95">
      <w:pPr>
        <w:pStyle w:val="TtulodaIlustrao"/>
      </w:pPr>
      <w:bookmarkStart w:id="234" w:name="_Toc208508692"/>
      <w:r>
        <w:t xml:space="preserve">Gráfico </w:t>
      </w:r>
      <w:r w:rsidR="001904A0">
        <w:t>69</w:t>
      </w:r>
      <w:r w:rsidRPr="00584F60">
        <w:rPr>
          <w:b w:val="0"/>
        </w:rPr>
        <w:t xml:space="preserve"> - Quantidade de ocorrências de licença-maternidade por função ocupada pela servidora (2020-2025)</w:t>
      </w:r>
      <w:bookmarkEnd w:id="234"/>
    </w:p>
    <w:p w14:paraId="60BEF0E9" w14:textId="66084AC0" w:rsidR="0074555C" w:rsidRDefault="0074555C" w:rsidP="00D86809">
      <w:pPr>
        <w:pStyle w:val="NormalWeb"/>
        <w:spacing w:before="0" w:beforeAutospacing="0" w:after="0" w:afterAutospacing="0"/>
        <w:jc w:val="center"/>
      </w:pPr>
      <w:r>
        <w:rPr>
          <w:rFonts w:ascii="Calibri" w:hAnsi="Calibri" w:cs="Calibri"/>
          <w:noProof/>
          <w:color w:val="000000"/>
          <w:sz w:val="22"/>
          <w:szCs w:val="22"/>
          <w:bdr w:val="none" w:sz="0" w:space="0" w:color="auto" w:frame="1"/>
        </w:rPr>
        <w:drawing>
          <wp:inline distT="0" distB="0" distL="0" distR="0" wp14:anchorId="33DC06A4" wp14:editId="1F5C2245">
            <wp:extent cx="4312692" cy="2954740"/>
            <wp:effectExtent l="0" t="0" r="0" b="0"/>
            <wp:docPr id="1622690724" name="Imagem 1622690724" descr="https://lh7-rt.googleusercontent.com/docsz/AD_4nXfeTTUpgkv3G93R9-Xf22blDBc86HfXZyKOSJdxzdvMYTHM5iwqHwXLz_5t8Rm99pI3qUWiWoZMWCPT6T7Fk7fpAC4fFGOZmSl-ncrAZIrxu2x8fe-8dCQjIT4Fn8AMvOm9SJY9?key=WDrxLCYd0BYQU9Vdflj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feTTUpgkv3G93R9-Xf22blDBc86HfXZyKOSJdxzdvMYTHM5iwqHwXLz_5t8Rm99pI3qUWiWoZMWCPT6T7Fk7fpAC4fFGOZmSl-ncrAZIrxu2x8fe-8dCQjIT4Fn8AMvOm9SJY9?key=WDrxLCYd0BYQU9VdfljLO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r="9809"/>
                    <a:stretch/>
                  </pic:blipFill>
                  <pic:spPr bwMode="auto">
                    <a:xfrm>
                      <a:off x="0" y="0"/>
                      <a:ext cx="4311479" cy="2953909"/>
                    </a:xfrm>
                    <a:prstGeom prst="rect">
                      <a:avLst/>
                    </a:prstGeom>
                    <a:noFill/>
                    <a:ln>
                      <a:noFill/>
                    </a:ln>
                    <a:extLst>
                      <a:ext uri="{53640926-AAD7-44D8-BBD7-CCE9431645EC}">
                        <a14:shadowObscured xmlns:a14="http://schemas.microsoft.com/office/drawing/2010/main"/>
                      </a:ext>
                    </a:extLst>
                  </pic:spPr>
                </pic:pic>
              </a:graphicData>
            </a:graphic>
          </wp:inline>
        </w:drawing>
      </w:r>
    </w:p>
    <w:p w14:paraId="182D13EB" w14:textId="77777777" w:rsidR="0074555C" w:rsidRDefault="0074555C" w:rsidP="00D86809">
      <w:pPr>
        <w:pStyle w:val="Fonte"/>
      </w:pPr>
      <w:r>
        <w:rPr>
          <w:bCs/>
        </w:rPr>
        <w:t>Fonte:</w:t>
      </w:r>
      <w:r>
        <w:t xml:space="preserve"> </w:t>
      </w:r>
      <w:r w:rsidRPr="00D86809">
        <w:rPr>
          <w:b w:val="0"/>
        </w:rPr>
        <w:t>Dados disponibilizados pelo Sistema de Recursos Humanos do TST. Compilação e elaboração: CPJUD/SEPJD/CPJED.</w:t>
      </w:r>
    </w:p>
    <w:p w14:paraId="1461E482" w14:textId="77777777" w:rsidR="0074555C" w:rsidRDefault="0074555C" w:rsidP="00584F60">
      <w:pPr>
        <w:pStyle w:val="Texto"/>
      </w:pPr>
    </w:p>
    <w:p w14:paraId="0A88034E" w14:textId="18F51217" w:rsidR="0074555C" w:rsidRDefault="0074555C" w:rsidP="00584F60">
      <w:pPr>
        <w:pStyle w:val="Texto"/>
      </w:pPr>
      <w:r>
        <w:rPr>
          <w:color w:val="000000"/>
        </w:rPr>
        <w:t xml:space="preserve">A análise sobre promoção, manutenção ou regressão nos cargos e funções de mulheres que </w:t>
      </w:r>
      <w:r w:rsidR="0012535C">
        <w:rPr>
          <w:color w:val="000000"/>
        </w:rPr>
        <w:t>usufruíram de</w:t>
      </w:r>
      <w:r>
        <w:rPr>
          <w:color w:val="000000"/>
        </w:rPr>
        <w:t xml:space="preserve"> licença-maternidade no período de 2020-2025 precisa considerar que não necessariamente essas alterações estão relacionadas diretamente ao contexto da maternidade. Isto é, a análise realizada aqui considera a maternidade </w:t>
      </w:r>
      <w:r w:rsidR="002A2CCE">
        <w:rPr>
          <w:color w:val="000000"/>
        </w:rPr>
        <w:t>perante</w:t>
      </w:r>
      <w:r>
        <w:rPr>
          <w:color w:val="000000"/>
        </w:rPr>
        <w:t xml:space="preserve"> à trajetória profissional sem poder afirmar em nenhum momento haver causalidade na correlação encontrada. Seriam necessárias mais análises qualitativas para entender o contexto das perdas ou diminuições de função. </w:t>
      </w:r>
    </w:p>
    <w:p w14:paraId="68EF7F1B" w14:textId="1BBF8D46" w:rsidR="00820B46" w:rsidRDefault="0074555C" w:rsidP="00820B46">
      <w:pPr>
        <w:pStyle w:val="Texto"/>
        <w:rPr>
          <w:color w:val="000000"/>
        </w:rPr>
      </w:pPr>
      <w:r>
        <w:rPr>
          <w:color w:val="000000"/>
        </w:rPr>
        <w:t>A primeira aná</w:t>
      </w:r>
      <w:r w:rsidR="00D86809">
        <w:rPr>
          <w:color w:val="000000"/>
        </w:rPr>
        <w:t xml:space="preserve">lise aqui apresentada (Gráfico </w:t>
      </w:r>
      <w:r w:rsidR="003E2BE3">
        <w:rPr>
          <w:color w:val="000000"/>
        </w:rPr>
        <w:t>70</w:t>
      </w:r>
      <w:r>
        <w:rPr>
          <w:color w:val="000000"/>
        </w:rPr>
        <w:t>) diz respeito ao que ocorreu com os cargos e funções das servidoras do período compreendido entre um ano antes do início da licença-maternidade - momento em que não havia conhecimento da gestação - e a data em que deram entrada com a licença.</w:t>
      </w:r>
      <w:r w:rsidR="00820B46">
        <w:rPr>
          <w:color w:val="000000"/>
        </w:rPr>
        <w:t xml:space="preserve"> Infere-se que no referido périodo 64,6% das mulheres tiveram FCs ou CJs mantidas, 23.1% foram promovidas e 12,3% tiveram regrassão funcional.</w:t>
      </w:r>
    </w:p>
    <w:p w14:paraId="1E9B66E9" w14:textId="77777777" w:rsidR="00820B46" w:rsidRDefault="00820B46">
      <w:pPr>
        <w:rPr>
          <w:rFonts w:asciiTheme="minorHAnsi" w:hAnsiTheme="minorHAnsi" w:cstheme="minorHAnsi"/>
          <w:noProof/>
          <w:color w:val="000000"/>
        </w:rPr>
      </w:pPr>
      <w:r>
        <w:rPr>
          <w:color w:val="000000"/>
        </w:rPr>
        <w:br w:type="page"/>
      </w:r>
    </w:p>
    <w:p w14:paraId="47E79EAF" w14:textId="77777777" w:rsidR="00D62D60" w:rsidRDefault="00D62D60" w:rsidP="00820B46">
      <w:pPr>
        <w:pStyle w:val="Texto"/>
        <w:rPr>
          <w:color w:val="000000"/>
        </w:rPr>
      </w:pPr>
    </w:p>
    <w:p w14:paraId="0E3AFF1C" w14:textId="77777777" w:rsidR="00820B46" w:rsidRDefault="00820B46" w:rsidP="00820B46">
      <w:pPr>
        <w:pStyle w:val="Texto"/>
      </w:pPr>
    </w:p>
    <w:p w14:paraId="0513BFF8" w14:textId="77777777" w:rsidR="00D10E96" w:rsidRDefault="00D10E96" w:rsidP="00584F60">
      <w:pPr>
        <w:pStyle w:val="Texto"/>
      </w:pPr>
    </w:p>
    <w:p w14:paraId="7B38068D" w14:textId="746DCE70" w:rsidR="00D86809" w:rsidRDefault="00D86809" w:rsidP="00FB5A95">
      <w:pPr>
        <w:pStyle w:val="TtulodaIlustrao"/>
      </w:pPr>
      <w:bookmarkStart w:id="235" w:name="_Toc208508693"/>
      <w:r>
        <w:t xml:space="preserve">Gráfico </w:t>
      </w:r>
      <w:r w:rsidR="00D85D1E">
        <w:t>70</w:t>
      </w:r>
      <w:r w:rsidRPr="00584F60">
        <w:rPr>
          <w:b w:val="0"/>
        </w:rPr>
        <w:t xml:space="preserve"> - Análise da trajetória profissional das servidoras do TST/CSJT antes </w:t>
      </w:r>
      <w:r w:rsidR="003C043E">
        <w:rPr>
          <w:b w:val="0"/>
        </w:rPr>
        <w:t>d</w:t>
      </w:r>
      <w:bookmarkStart w:id="236" w:name="_GoBack"/>
      <w:bookmarkEnd w:id="236"/>
      <w:r w:rsidRPr="00584F60">
        <w:rPr>
          <w:b w:val="0"/>
        </w:rPr>
        <w:t>o período de licença-maternidade (2020-2025)</w:t>
      </w:r>
      <w:bookmarkEnd w:id="235"/>
    </w:p>
    <w:p w14:paraId="37FBAA9B" w14:textId="0B08227F" w:rsidR="0074555C" w:rsidRDefault="0074555C" w:rsidP="00D86809">
      <w:pPr>
        <w:pStyle w:val="NormalWeb"/>
        <w:spacing w:before="0" w:beforeAutospacing="0" w:after="0" w:afterAutospacing="0"/>
        <w:ind w:firstLine="720"/>
        <w:jc w:val="center"/>
      </w:pPr>
      <w:r>
        <w:rPr>
          <w:rFonts w:ascii="Calibri" w:hAnsi="Calibri" w:cs="Calibri"/>
          <w:noProof/>
          <w:color w:val="000000"/>
          <w:sz w:val="22"/>
          <w:szCs w:val="22"/>
          <w:bdr w:val="none" w:sz="0" w:space="0" w:color="auto" w:frame="1"/>
        </w:rPr>
        <w:drawing>
          <wp:inline distT="0" distB="0" distL="0" distR="0" wp14:anchorId="1AF78D09" wp14:editId="7FD99F9A">
            <wp:extent cx="4118642" cy="2541965"/>
            <wp:effectExtent l="0" t="0" r="0" b="0"/>
            <wp:docPr id="1622690723" name="Imagem 1622690723" descr="https://lh7-rt.googleusercontent.com/docsz/AD_4nXeDNFscGturwxijAdtQZ7G2vu1xL7CUxsVs309gGcvxBXfru_olh7IX5TBI6FcteREWN935lMVXsENlI4UBlq-JaEArjowojDAK5ZNkrNNliSjXk4-r_DRYDjq-G7-EiPo6nsAvfg?key=WDrxLCYd0BYQU9Vdflj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eDNFscGturwxijAdtQZ7G2vu1xL7CUxsVs309gGcvxBXfru_olh7IX5TBI6FcteREWN935lMVXsENlI4UBlq-JaEArjowojDAK5ZNkrNNliSjXk4-r_DRYDjq-G7-EiPo6nsAvfg?key=WDrxLCYd0BYQU9VdfljLO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118947" cy="2542153"/>
                    </a:xfrm>
                    <a:prstGeom prst="rect">
                      <a:avLst/>
                    </a:prstGeom>
                    <a:noFill/>
                    <a:ln>
                      <a:noFill/>
                    </a:ln>
                  </pic:spPr>
                </pic:pic>
              </a:graphicData>
            </a:graphic>
          </wp:inline>
        </w:drawing>
      </w:r>
    </w:p>
    <w:p w14:paraId="65778D0F" w14:textId="0B7BB021" w:rsidR="0074555C" w:rsidRDefault="0074555C" w:rsidP="00D86809">
      <w:pPr>
        <w:pStyle w:val="Fonte"/>
        <w:rPr>
          <w:b w:val="0"/>
        </w:rPr>
      </w:pPr>
      <w:r>
        <w:rPr>
          <w:bCs/>
        </w:rPr>
        <w:t>Fonte:</w:t>
      </w:r>
      <w:r>
        <w:t xml:space="preserve"> </w:t>
      </w:r>
      <w:r w:rsidRPr="00D86809">
        <w:rPr>
          <w:b w:val="0"/>
        </w:rPr>
        <w:t>Dados disponibilizados pelo Sistema de Recursos Humanos do TST. Compilação e elaboração: CPJUD/SEPJD/CPJED.</w:t>
      </w:r>
    </w:p>
    <w:p w14:paraId="23208E46" w14:textId="77777777" w:rsidR="00D86809" w:rsidRDefault="00D86809" w:rsidP="00584F60">
      <w:pPr>
        <w:pStyle w:val="Texto"/>
      </w:pPr>
    </w:p>
    <w:p w14:paraId="558A4F6C" w14:textId="65A7986F" w:rsidR="00820B46" w:rsidRDefault="00820B46" w:rsidP="00820B46">
      <w:pPr>
        <w:pStyle w:val="Texto"/>
        <w:rPr>
          <w:color w:val="000000" w:themeColor="text1"/>
        </w:rPr>
      </w:pPr>
      <w:r>
        <w:rPr>
          <w:color w:val="000000" w:themeColor="text1"/>
        </w:rPr>
        <w:t xml:space="preserve">Por sua vez, no período correspondente ao início da licença-maternidade até o um ano após o fim do período de afastamento, os dados variaram pouco, havendo uma vez mais preponderância para manutenção do status funcional (64,6%), seguida da melhoria por meio de promoção (23,1%) e, finalmente, uma minoria de casos de piora da situação funcional (12,3%) </w:t>
      </w:r>
      <w:r w:rsidR="00AE6BAE" w:rsidRPr="002172E6">
        <w:rPr>
          <w:color w:val="000000" w:themeColor="text1"/>
        </w:rPr>
        <w:t>(Gráfico 71)</w:t>
      </w:r>
      <w:r>
        <w:rPr>
          <w:color w:val="000000" w:themeColor="text1"/>
        </w:rPr>
        <w:t>.</w:t>
      </w:r>
    </w:p>
    <w:p w14:paraId="1E93C241" w14:textId="77777777" w:rsidR="00820B46" w:rsidRDefault="00820B46">
      <w:pPr>
        <w:rPr>
          <w:rFonts w:asciiTheme="minorHAnsi" w:hAnsiTheme="minorHAnsi" w:cstheme="minorHAnsi"/>
          <w:noProof/>
          <w:color w:val="000000" w:themeColor="text1"/>
        </w:rPr>
      </w:pPr>
      <w:r>
        <w:rPr>
          <w:color w:val="000000" w:themeColor="text1"/>
        </w:rPr>
        <w:br w:type="page"/>
      </w:r>
    </w:p>
    <w:p w14:paraId="2A372194" w14:textId="77777777" w:rsidR="00584F60" w:rsidRPr="002172E6" w:rsidRDefault="00584F60" w:rsidP="00820B46">
      <w:pPr>
        <w:pStyle w:val="Texto"/>
        <w:rPr>
          <w:color w:val="000000" w:themeColor="text1"/>
        </w:rPr>
      </w:pPr>
    </w:p>
    <w:p w14:paraId="2DB3838D" w14:textId="77777777" w:rsidR="00D85D1E" w:rsidRDefault="00D85D1E" w:rsidP="00D85D1E">
      <w:pPr>
        <w:pStyle w:val="Texto"/>
      </w:pPr>
    </w:p>
    <w:p w14:paraId="094B9708" w14:textId="6C44DEE2" w:rsidR="00D86809" w:rsidRDefault="00D86809" w:rsidP="00FB5A95">
      <w:pPr>
        <w:pStyle w:val="TtulodaIlustrao"/>
      </w:pPr>
      <w:bookmarkStart w:id="237" w:name="_Toc208508694"/>
      <w:r>
        <w:t xml:space="preserve">Gráfico </w:t>
      </w:r>
      <w:r w:rsidR="001904A0">
        <w:t>71</w:t>
      </w:r>
      <w:r>
        <w:t xml:space="preserve"> </w:t>
      </w:r>
      <w:r w:rsidRPr="00FD607C">
        <w:rPr>
          <w:b w:val="0"/>
        </w:rPr>
        <w:t>- Análise da trajetória profissional das servidoras do TST/CSJT durante e após o período de licença-maternidade (2020-2025)</w:t>
      </w:r>
      <w:bookmarkEnd w:id="237"/>
    </w:p>
    <w:p w14:paraId="6BBCEA5E" w14:textId="3145A8EA" w:rsidR="0074555C" w:rsidRPr="00D10E96" w:rsidRDefault="0074555C" w:rsidP="00D10E96">
      <w:pPr>
        <w:jc w:val="center"/>
      </w:pPr>
      <w:r w:rsidRPr="00D10E96">
        <w:rPr>
          <w:noProof/>
        </w:rPr>
        <w:drawing>
          <wp:inline distT="0" distB="0" distL="0" distR="0" wp14:anchorId="25EA4260" wp14:editId="5B04AD62">
            <wp:extent cx="4243037" cy="2620255"/>
            <wp:effectExtent l="0" t="0" r="5715" b="8890"/>
            <wp:docPr id="1622690722" name="Imagem 1622690722" descr="https://lh7-rt.googleusercontent.com/docsz/AD_4nXen98xVV5fYOFyVIeJ0ibtr3ursTmeTAsbLlfVQsmpu726ZUNHv4BhuSmxEF8VGDcyoQjsIccxf81smScPBE8q73r4eD2mQOphRDgly_ssPkIQVJUgTXFoOmBQGLxME1g-gPmuT?key=WDrxLCYd0BYQU9Vdflj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en98xVV5fYOFyVIeJ0ibtr3ursTmeTAsbLlfVQsmpu726ZUNHv4BhuSmxEF8VGDcyoQjsIccxf81smScPBE8q73r4eD2mQOphRDgly_ssPkIQVJUgTXFoOmBQGLxME1g-gPmuT?key=WDrxLCYd0BYQU9VdfljLO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46995" cy="2622699"/>
                    </a:xfrm>
                    <a:prstGeom prst="rect">
                      <a:avLst/>
                    </a:prstGeom>
                    <a:noFill/>
                    <a:ln>
                      <a:noFill/>
                    </a:ln>
                  </pic:spPr>
                </pic:pic>
              </a:graphicData>
            </a:graphic>
          </wp:inline>
        </w:drawing>
      </w:r>
    </w:p>
    <w:p w14:paraId="49780AB7" w14:textId="77777777" w:rsidR="0074555C" w:rsidRDefault="0074555C" w:rsidP="00D86809">
      <w:pPr>
        <w:pStyle w:val="Fonte"/>
      </w:pPr>
      <w:r>
        <w:rPr>
          <w:bCs/>
        </w:rPr>
        <w:t>Fonte:</w:t>
      </w:r>
      <w:r>
        <w:t xml:space="preserve"> </w:t>
      </w:r>
      <w:r w:rsidRPr="00D86809">
        <w:rPr>
          <w:b w:val="0"/>
        </w:rPr>
        <w:t>Dados disponibilizados pelo Sistema de Recursos Humanos do TST. Compilação e elaboração: CPJUD/SEPJD/CPJED.</w:t>
      </w:r>
    </w:p>
    <w:p w14:paraId="1D3FDDFB" w14:textId="77777777" w:rsidR="0074555C" w:rsidRDefault="0074555C" w:rsidP="00FD607C">
      <w:pPr>
        <w:pStyle w:val="Texto"/>
      </w:pPr>
    </w:p>
    <w:p w14:paraId="2341C435" w14:textId="77777777" w:rsidR="00820B46" w:rsidRDefault="00517B6E" w:rsidP="002172E6">
      <w:pPr>
        <w:pStyle w:val="Texto"/>
        <w:shd w:val="clear" w:color="auto" w:fill="FFFFFF" w:themeFill="background1"/>
        <w:rPr>
          <w:color w:val="000000" w:themeColor="text1"/>
        </w:rPr>
      </w:pPr>
      <w:r w:rsidRPr="00743101">
        <w:rPr>
          <w:color w:val="000000" w:themeColor="text1"/>
        </w:rPr>
        <w:t>Em ambos os períodos analisados</w:t>
      </w:r>
      <w:r w:rsidR="00820B46">
        <w:rPr>
          <w:color w:val="000000" w:themeColor="text1"/>
        </w:rPr>
        <w:t>, portanto,</w:t>
      </w:r>
      <w:r w:rsidRPr="00743101">
        <w:rPr>
          <w:color w:val="000000" w:themeColor="text1"/>
        </w:rPr>
        <w:t xml:space="preserve"> há nítida prevalência de servidoras que tiveram a manutenção de sua situação funcional seja antes</w:t>
      </w:r>
      <w:r w:rsidR="00820B46">
        <w:rPr>
          <w:color w:val="000000" w:themeColor="text1"/>
        </w:rPr>
        <w:t>,</w:t>
      </w:r>
      <w:r w:rsidR="00FA0573" w:rsidRPr="00743101">
        <w:rPr>
          <w:color w:val="000000" w:themeColor="text1"/>
        </w:rPr>
        <w:t xml:space="preserve"> durante</w:t>
      </w:r>
      <w:r w:rsidRPr="00743101">
        <w:rPr>
          <w:color w:val="000000" w:themeColor="text1"/>
        </w:rPr>
        <w:t xml:space="preserve"> ou após a licença maternidade</w:t>
      </w:r>
      <w:r w:rsidR="00820B46">
        <w:rPr>
          <w:color w:val="000000" w:themeColor="text1"/>
        </w:rPr>
        <w:t xml:space="preserve"> (em torno de 65,4%)</w:t>
      </w:r>
      <w:r w:rsidR="00743101">
        <w:rPr>
          <w:color w:val="000000" w:themeColor="text1"/>
        </w:rPr>
        <w:t>.</w:t>
      </w:r>
      <w:r w:rsidR="00820B46">
        <w:rPr>
          <w:color w:val="000000" w:themeColor="text1"/>
        </w:rPr>
        <w:t xml:space="preserve"> Para cerca de 22,1% das mulheres, houve ascensão funcional, por meio de promoção. Apenas para aproximadamente 12,5% houve regressão na situação funcional da servidora. </w:t>
      </w:r>
    </w:p>
    <w:p w14:paraId="2CD02545" w14:textId="6715F844" w:rsidR="00FA6AF2" w:rsidRPr="00743101" w:rsidRDefault="00820B46" w:rsidP="00820B46">
      <w:pPr>
        <w:pStyle w:val="Texto"/>
        <w:shd w:val="clear" w:color="auto" w:fill="FFFFFF" w:themeFill="background1"/>
        <w:rPr>
          <w:color w:val="000000" w:themeColor="text1"/>
        </w:rPr>
      </w:pPr>
      <w:r>
        <w:rPr>
          <w:color w:val="000000" w:themeColor="text1"/>
        </w:rPr>
        <w:t xml:space="preserve">Embora os dados sejam positivos na medida em que indicam uma grande maioria de mulheres que mantiveram ou melhoraram a situação funcional em períodos ligados à licença-maternidade (88,5%), seria interessante, para os fins dessa pesquisa, </w:t>
      </w:r>
      <w:r w:rsidR="00FA6AF2" w:rsidRPr="00743101">
        <w:rPr>
          <w:color w:val="000000" w:themeColor="text1"/>
        </w:rPr>
        <w:t>obter mais informações sobre processos e mecanismos subjacentes na trajetória profissional</w:t>
      </w:r>
      <w:r>
        <w:rPr>
          <w:color w:val="000000" w:themeColor="text1"/>
        </w:rPr>
        <w:t xml:space="preserve"> daquelas que tiveram regressão funcional</w:t>
      </w:r>
      <w:r w:rsidR="003C043E">
        <w:rPr>
          <w:color w:val="000000" w:themeColor="text1"/>
        </w:rPr>
        <w:t xml:space="preserve"> a fim de concluir se houve algum prejuízo a igualdade de oportunidades em razão da</w:t>
      </w:r>
      <w:r w:rsidR="00FA6AF2" w:rsidRPr="00743101">
        <w:rPr>
          <w:color w:val="000000" w:themeColor="text1"/>
        </w:rPr>
        <w:t xml:space="preserve"> maternidade. </w:t>
      </w:r>
      <w:r w:rsidR="003C043E" w:rsidRPr="00743101">
        <w:rPr>
          <w:color w:val="000000" w:themeColor="text1"/>
        </w:rPr>
        <w:t>De todo modo, o dado é importante, não só por ser inédito, como também por representar possibilidade de adensamento à pesquisa realizada, desta feita com dados qualitativos.</w:t>
      </w:r>
    </w:p>
    <w:p w14:paraId="28D86086" w14:textId="50E234C0" w:rsidR="00517B6E" w:rsidRDefault="00163682" w:rsidP="002172E6">
      <w:pPr>
        <w:pStyle w:val="Texto"/>
        <w:shd w:val="clear" w:color="auto" w:fill="FFFFFF" w:themeFill="background1"/>
      </w:pPr>
      <w:r w:rsidRPr="00743101">
        <w:rPr>
          <w:color w:val="000000" w:themeColor="text1"/>
        </w:rPr>
        <w:lastRenderedPageBreak/>
        <w:t>Por fim, vale consignar que o TST possui uma política firme em relação a</w:t>
      </w:r>
      <w:r w:rsidR="00F91109" w:rsidRPr="00743101">
        <w:rPr>
          <w:color w:val="000000" w:themeColor="text1"/>
        </w:rPr>
        <w:t>o</w:t>
      </w:r>
      <w:r w:rsidRPr="00743101">
        <w:rPr>
          <w:color w:val="000000" w:themeColor="text1"/>
        </w:rPr>
        <w:t>s servidor</w:t>
      </w:r>
      <w:r w:rsidR="00F91109" w:rsidRPr="00743101">
        <w:rPr>
          <w:color w:val="000000" w:themeColor="text1"/>
        </w:rPr>
        <w:t>es e servidoras</w:t>
      </w:r>
      <w:r w:rsidRPr="00743101">
        <w:rPr>
          <w:color w:val="000000" w:themeColor="text1"/>
        </w:rPr>
        <w:t xml:space="preserve"> com filhos menores de 2 anos, já que comtempla para este público o berçario</w:t>
      </w:r>
      <w:r w:rsidR="00666A6D" w:rsidRPr="00743101">
        <w:rPr>
          <w:rStyle w:val="Refdenotaderodap"/>
          <w:color w:val="000000" w:themeColor="text1"/>
        </w:rPr>
        <w:footnoteReference w:id="85"/>
      </w:r>
      <w:r w:rsidRPr="00743101">
        <w:rPr>
          <w:color w:val="000000" w:themeColor="text1"/>
        </w:rPr>
        <w:t xml:space="preserve"> </w:t>
      </w:r>
      <w:r w:rsidR="00666A6D" w:rsidRPr="00743101">
        <w:rPr>
          <w:color w:val="000000" w:themeColor="text1"/>
        </w:rPr>
        <w:t>horário especial às lactantes</w:t>
      </w:r>
      <w:r w:rsidR="00F91109" w:rsidRPr="00743101">
        <w:rPr>
          <w:color w:val="000000" w:themeColor="text1"/>
        </w:rPr>
        <w:t xml:space="preserve"> e prioridade para  o teletrabalho.</w:t>
      </w:r>
      <w:r w:rsidR="00F91109" w:rsidRPr="00743101">
        <w:rPr>
          <w:rStyle w:val="Refdenotaderodap"/>
          <w:color w:val="000000" w:themeColor="text1"/>
        </w:rPr>
        <w:footnoteReference w:id="86"/>
      </w:r>
    </w:p>
    <w:p w14:paraId="199230BA" w14:textId="1BE59138" w:rsidR="00D10E96" w:rsidRDefault="00D10E96" w:rsidP="00FD607C">
      <w:pPr>
        <w:pStyle w:val="Texto"/>
      </w:pPr>
      <w:r>
        <w:br w:type="page"/>
      </w:r>
    </w:p>
    <w:p w14:paraId="5CA0E24A" w14:textId="4FA4EA6A" w:rsidR="00726867" w:rsidRDefault="00726867" w:rsidP="00223C01">
      <w:pPr>
        <w:pStyle w:val="Ttulo1"/>
      </w:pPr>
      <w:bookmarkStart w:id="238" w:name="_Toc207370457"/>
      <w:bookmarkStart w:id="239" w:name="_Toc208510828"/>
      <w:r w:rsidRPr="00726867">
        <w:lastRenderedPageBreak/>
        <w:t>CONSIDERAÇÕES FINAIS</w:t>
      </w:r>
      <w:bookmarkEnd w:id="238"/>
      <w:bookmarkEnd w:id="239"/>
    </w:p>
    <w:p w14:paraId="04C1B210" w14:textId="77777777" w:rsidR="00DB6B62" w:rsidRPr="00DB6B62" w:rsidRDefault="00DB6B62" w:rsidP="001F4527">
      <w:pPr>
        <w:pStyle w:val="Texto"/>
      </w:pPr>
    </w:p>
    <w:p w14:paraId="61BC6B35" w14:textId="16C5F315" w:rsidR="00F2717E" w:rsidRPr="00646C91" w:rsidRDefault="00F2717E" w:rsidP="00F2717E">
      <w:pPr>
        <w:pStyle w:val="Texto"/>
        <w:rPr>
          <w:color w:val="000000" w:themeColor="text1"/>
        </w:rPr>
      </w:pPr>
      <w:r w:rsidRPr="00646C91">
        <w:rPr>
          <w:color w:val="000000" w:themeColor="text1"/>
        </w:rPr>
        <w:t xml:space="preserve">O presente relatório, concebido em atendimento à solicitação da Assessoria de Promoção do Trabalho Decente e dos Direitos Humanos (ASPRODEC) da Presidência do Tribunal Superior do Trabalho (TST), debruça-se sobre a participação feminina no TST e no Conselho Superior da Justiça do Trabalho (CSJT). A análise aborda aspectos centrais da representatividade de mulheres, tendo </w:t>
      </w:r>
      <w:r w:rsidR="00483805" w:rsidRPr="00646C91">
        <w:rPr>
          <w:color w:val="000000" w:themeColor="text1"/>
        </w:rPr>
        <w:t>a metodologia</w:t>
      </w:r>
      <w:r w:rsidR="00ED60F0" w:rsidRPr="00646C91">
        <w:rPr>
          <w:color w:val="000000" w:themeColor="text1"/>
        </w:rPr>
        <w:t xml:space="preserve"> </w:t>
      </w:r>
      <w:r w:rsidRPr="00646C91">
        <w:rPr>
          <w:color w:val="000000" w:themeColor="text1"/>
        </w:rPr>
        <w:t xml:space="preserve">conjugado dados quantitativos sobre a distribuição de cargos e funções com </w:t>
      </w:r>
      <w:r w:rsidR="00E1688E" w:rsidRPr="00646C91">
        <w:rPr>
          <w:color w:val="000000" w:themeColor="text1"/>
        </w:rPr>
        <w:t>informações apuradas</w:t>
      </w:r>
      <w:r w:rsidRPr="00646C91">
        <w:rPr>
          <w:color w:val="000000" w:themeColor="text1"/>
        </w:rPr>
        <w:t xml:space="preserve"> em questionário de percepção e em encontros realizados com servidoras.</w:t>
      </w:r>
    </w:p>
    <w:p w14:paraId="1469AEAB" w14:textId="1A385437" w:rsidR="00F2717E" w:rsidRPr="00646C91" w:rsidRDefault="00F2717E" w:rsidP="00F2717E">
      <w:pPr>
        <w:pStyle w:val="Texto"/>
        <w:rPr>
          <w:color w:val="000000" w:themeColor="text1"/>
        </w:rPr>
      </w:pPr>
      <w:r w:rsidRPr="00646C91">
        <w:rPr>
          <w:color w:val="000000" w:themeColor="text1"/>
        </w:rPr>
        <w:t xml:space="preserve">O diagnóstico sobre a participação feminina no TST/CSJT, fundamentado em dados de abril de 2025, revela um panorama no qual, não obstante as mulheres componham o contingente majoritário de servidores e ocupem a maior parte dos cargos em comissão (CJs) e funções comissionadas (FCs), </w:t>
      </w:r>
      <w:r w:rsidR="00483805" w:rsidRPr="00646C91">
        <w:rPr>
          <w:color w:val="000000" w:themeColor="text1"/>
        </w:rPr>
        <w:t>no recorte das posições de gestão e liderança</w:t>
      </w:r>
      <w:r w:rsidRPr="00646C91">
        <w:rPr>
          <w:color w:val="000000" w:themeColor="text1"/>
        </w:rPr>
        <w:t xml:space="preserve">, bem como nos comitês temáticos de governança, </w:t>
      </w:r>
      <w:r w:rsidR="00483805" w:rsidRPr="00646C91">
        <w:rPr>
          <w:color w:val="000000" w:themeColor="text1"/>
        </w:rPr>
        <w:t xml:space="preserve"> sua presença</w:t>
      </w:r>
      <w:r w:rsidR="00670FD1" w:rsidRPr="00646C91">
        <w:rPr>
          <w:color w:val="000000" w:themeColor="text1"/>
        </w:rPr>
        <w:t xml:space="preserve"> </w:t>
      </w:r>
      <w:r w:rsidRPr="00646C91">
        <w:rPr>
          <w:color w:val="000000" w:themeColor="text1"/>
        </w:rPr>
        <w:t xml:space="preserve">se mostra, de modo geral, </w:t>
      </w:r>
      <w:r w:rsidR="00E1688E" w:rsidRPr="00646C91">
        <w:rPr>
          <w:color w:val="000000" w:themeColor="text1"/>
        </w:rPr>
        <w:t>sub-representada</w:t>
      </w:r>
      <w:r w:rsidRPr="00646C91">
        <w:rPr>
          <w:color w:val="000000" w:themeColor="text1"/>
        </w:rPr>
        <w:t>.</w:t>
      </w:r>
    </w:p>
    <w:p w14:paraId="4A20FBE3" w14:textId="22464B50" w:rsidR="00FE4078" w:rsidRDefault="00F2717E" w:rsidP="00F2717E">
      <w:pPr>
        <w:pStyle w:val="Texto"/>
      </w:pPr>
      <w:r w:rsidRPr="00F2717E">
        <w:t xml:space="preserve">No âmbito do TST, observa-se uma sutil preponderância feminina na ocupação de todos os CJs e FCs, o que parece acompanhar </w:t>
      </w:r>
      <w:r w:rsidR="00E1688E">
        <w:t>proporcionalmente</w:t>
      </w:r>
      <w:r w:rsidRPr="00F2717E">
        <w:t xml:space="preserve"> </w:t>
      </w:r>
      <w:r w:rsidR="00E1688E">
        <w:t xml:space="preserve">a </w:t>
      </w:r>
      <w:r w:rsidRPr="00F2717E">
        <w:t xml:space="preserve">superioridade numérica de mulheres no quadro geral, indicando uma distribuição equitativa em relação aos homens. Contudo, ao se considerarem as posições de gestão e liderança, infere-se uma assimetria na participação feminina. A despeito da isonomia nos postos da mais alta hierarquia (CJ-04 e CJ-03), constata-se uma sub-representação </w:t>
      </w:r>
      <w:r w:rsidR="00E1688E">
        <w:t>em alguns</w:t>
      </w:r>
      <w:r w:rsidRPr="00F2717E">
        <w:t xml:space="preserve"> níveis hierárquicos, com disparidades mais acentuadas nos níveis FC-06</w:t>
      </w:r>
      <w:r w:rsidR="00E1688E">
        <w:t xml:space="preserve"> e CJ-01</w:t>
      </w:r>
      <w:r w:rsidR="00670FD1">
        <w:t>.</w:t>
      </w:r>
      <w:r w:rsidRPr="00F2717E">
        <w:t xml:space="preserve"> </w:t>
      </w:r>
    </w:p>
    <w:p w14:paraId="355E8481" w14:textId="7DC3FA2D" w:rsidR="00F2717E" w:rsidRPr="00F2717E" w:rsidRDefault="00F2717E" w:rsidP="00F2717E">
      <w:pPr>
        <w:pStyle w:val="Texto"/>
      </w:pPr>
      <w:r w:rsidRPr="00F2717E">
        <w:t>No CSJT, o quadro se afigura distinto: embora o quantitativo de cargos de liderança seja consideravelmente menor, nota-se um desequilíbrio de gênero mais expressivo nos níveis superiores (CJ-03 e CJ-02), existindo, em contrapartida, paridade no nível CJ-01 e diferenças menos expressivas nas funções comissionadas.</w:t>
      </w:r>
    </w:p>
    <w:p w14:paraId="060E0D0D" w14:textId="77777777" w:rsidR="00F2717E" w:rsidRPr="00F2717E" w:rsidRDefault="00F2717E" w:rsidP="00F2717E">
      <w:pPr>
        <w:pStyle w:val="Texto"/>
      </w:pPr>
      <w:r w:rsidRPr="00F2717E">
        <w:t>A segregação dos dados por área de atuação evidencia que a presença feminina em cargos de gestão e liderança é mais expressiva na área judiciária do que na administrativa do TST. A análise a partir da denominação dos cargos e tipo de unidade chefiada constatou paridade de gênero nos cargos de Secretário-Geral/Diretor-Geral e preponderância feminina nas chefias de gabinete. Por outro lado, a representatividade masculina é superior nos demais cargos, verificando-se a assimetria mais acentuada no cargo de chefe de núcleo.</w:t>
      </w:r>
    </w:p>
    <w:p w14:paraId="64176A70" w14:textId="0AD36151" w:rsidR="00F2717E" w:rsidRPr="00F2717E" w:rsidRDefault="00F2717E" w:rsidP="00F2717E">
      <w:pPr>
        <w:pStyle w:val="Texto"/>
      </w:pPr>
      <w:r w:rsidRPr="00F2717E">
        <w:lastRenderedPageBreak/>
        <w:t xml:space="preserve">A pesquisa apurou avanços significativos na participação feminina em cargos de gestão e liderança no TST/CSJT, </w:t>
      </w:r>
      <w:r w:rsidR="000D1D27">
        <w:t>embora</w:t>
      </w:r>
      <w:r w:rsidRPr="00F2717E">
        <w:t xml:space="preserve"> ainda subsistam desafios a serem superados, precipuamente no Conselho Superior da Justiça do Trabalho e na área administrativa de ambos os órgãos. Salienta-se que o equilíbrio de gênero verificado nos cargos de mais alta hierarquia configura uma notável exceção às tendências identificadas em estudos sobre o serviço público brasileiro, que apontam para uma sub-representação feminina crescente conforme se avança na estrutura hierárquica. Tal cenário torna a equidade nos estratos superiores do TST um diferencial relevante.</w:t>
      </w:r>
    </w:p>
    <w:p w14:paraId="715B25CC" w14:textId="6DF0F86B" w:rsidR="00F2717E" w:rsidRPr="00F2717E" w:rsidRDefault="00F2717E" w:rsidP="00F2717E">
      <w:pPr>
        <w:pStyle w:val="Texto"/>
      </w:pPr>
      <w:r w:rsidRPr="00F2717E">
        <w:t xml:space="preserve">A análise da </w:t>
      </w:r>
      <w:r w:rsidRPr="00FE4078">
        <w:rPr>
          <w:color w:val="000000" w:themeColor="text1"/>
        </w:rPr>
        <w:t xml:space="preserve">evolução histórica </w:t>
      </w:r>
      <w:r w:rsidRPr="00F2717E">
        <w:t xml:space="preserve">da participação de mulheres em posições de direção e chefia aponta para uma trajetória de crescimento, mas, considerando a leve retração observada em 2024 e o óbice verificado nos primeiros degraus dos cargos de liderança, o monitoramento e as intervenções institucionais merecem atenção </w:t>
      </w:r>
      <w:r w:rsidRPr="00646C91">
        <w:rPr>
          <w:color w:val="000000" w:themeColor="text1"/>
        </w:rPr>
        <w:t>contínua, especialmente na área administrativa</w:t>
      </w:r>
      <w:r w:rsidR="000002AA" w:rsidRPr="00646C91">
        <w:rPr>
          <w:color w:val="000000" w:themeColor="text1"/>
        </w:rPr>
        <w:t>, nos comitês temáticos de governança</w:t>
      </w:r>
      <w:r w:rsidRPr="00646C91">
        <w:rPr>
          <w:color w:val="000000" w:themeColor="text1"/>
        </w:rPr>
        <w:t xml:space="preserve"> e nas funções comissionadas. </w:t>
      </w:r>
      <w:r w:rsidRPr="00F2717E">
        <w:t xml:space="preserve">A análise sob o prisma interseccional, ademais, sublinha a sub-representação de mulheres </w:t>
      </w:r>
      <w:r w:rsidR="00FE4078" w:rsidRPr="00FE4078">
        <w:rPr>
          <w:color w:val="000000" w:themeColor="text1"/>
        </w:rPr>
        <w:t>pretas</w:t>
      </w:r>
      <w:r w:rsidR="00670FD1">
        <w:rPr>
          <w:color w:val="000000" w:themeColor="text1"/>
        </w:rPr>
        <w:t xml:space="preserve"> </w:t>
      </w:r>
      <w:r w:rsidRPr="00F2717E">
        <w:t>nessas posições, aspecto que demanda uma atuação específica.</w:t>
      </w:r>
    </w:p>
    <w:p w14:paraId="50C5FE84" w14:textId="77777777" w:rsidR="00F2717E" w:rsidRPr="00F2717E" w:rsidRDefault="00F2717E" w:rsidP="00F2717E">
      <w:pPr>
        <w:pStyle w:val="Texto"/>
      </w:pPr>
      <w:r w:rsidRPr="00F2717E">
        <w:t>A pesquisa de percepção corrobora e aprofunda esses achados quantitativos, revelando distintas perspectivas entre mulheres e homens sobre questões afetas à liderança e à equidade. Os resultados indicaram uma percepção majoritariamente positiva quanto à igualdade de oportunidades para o desenvolvimento e a ascensão profissional. O respeito à fala e à presença de mulheres em espaços de decisão também foi avaliado positivamente pela maior parte dos respondentes.</w:t>
      </w:r>
    </w:p>
    <w:p w14:paraId="56C1EE16" w14:textId="507702CD" w:rsidR="00F2717E" w:rsidRPr="00F2717E" w:rsidRDefault="00F2717E" w:rsidP="00F2717E">
      <w:pPr>
        <w:pStyle w:val="Texto"/>
      </w:pPr>
      <w:r w:rsidRPr="00F2717E">
        <w:t xml:space="preserve">Entretanto, as mulheres relataram, em proporções significativamente superiores às dos homens, a vivência de microagressões de gênero, tais como </w:t>
      </w:r>
      <w:r w:rsidRPr="00F2717E">
        <w:rPr>
          <w:i/>
          <w:iCs/>
        </w:rPr>
        <w:t>mansplaining</w:t>
      </w:r>
      <w:r w:rsidRPr="00F2717E">
        <w:t xml:space="preserve"> e </w:t>
      </w:r>
      <w:r w:rsidRPr="00F2717E">
        <w:rPr>
          <w:i/>
          <w:iCs/>
        </w:rPr>
        <w:t>gaslighting</w:t>
      </w:r>
      <w:r w:rsidRPr="00F2717E">
        <w:t xml:space="preserve">, bem como comentários sobre aparência física, cobranças de comportamento e piadas de cunho sexista. Tais práticas mostraram-se mais visíveis entre mulheres em faixas etárias e estágios intermediários de carreira. A interseccionalidade, ademais, revelou-se um fator crucial na percepção da incidência de preconceito e discriminação, em especial contra mulheres </w:t>
      </w:r>
      <w:r w:rsidR="00FE4078">
        <w:t>pretas</w:t>
      </w:r>
      <w:r w:rsidRPr="00F2717E">
        <w:t xml:space="preserve"> e com deficiência.</w:t>
      </w:r>
    </w:p>
    <w:p w14:paraId="68D79D8D" w14:textId="10B11EBE" w:rsidR="00F2717E" w:rsidRPr="00F2717E" w:rsidRDefault="00F2717E" w:rsidP="00F2717E">
      <w:pPr>
        <w:pStyle w:val="Texto"/>
      </w:pPr>
      <w:r w:rsidRPr="00F2717E">
        <w:t xml:space="preserve">No que tange à conciliação entre trabalho e família, prevaleceram percepções positivas sobre o ambiente institucional. Contudo, a análise comparativa evidenciou notória dissonância entre as percepções masculina e feminina quanto ao ônus desproporcional decorrente da cumulação das responsabilidades de cuidado e das incumbências profissionais, bem como uma percepção maior de dificuldades por parte de mulheres </w:t>
      </w:r>
      <w:r w:rsidR="00FE4078">
        <w:t>pretas</w:t>
      </w:r>
      <w:r w:rsidR="00543341">
        <w:t xml:space="preserve">, </w:t>
      </w:r>
      <w:r w:rsidRPr="00F2717E">
        <w:t>com deficiência e em fases intermediárias de suas trajetórias.</w:t>
      </w:r>
    </w:p>
    <w:p w14:paraId="32C42914" w14:textId="77777777" w:rsidR="00F2717E" w:rsidRPr="00F2717E" w:rsidRDefault="00F2717E" w:rsidP="00F2717E">
      <w:pPr>
        <w:pStyle w:val="Texto"/>
      </w:pPr>
      <w:r w:rsidRPr="00F2717E">
        <w:lastRenderedPageBreak/>
        <w:t>De maneira geral, a maioria dos respondentes percebe o TST/CSJT como um promotor de uma cultura de respeito e equidade, aberto ao debate sobre gênero e diversidade. As disparidades de percepção, por outro lado, indicam a necessidade de um reconhecimento mais amplo dos desafios enfrentados pelas mulheres, considerando as distintas vulnerabilidades que podem afetar servidoras de diferentes perfis. Os encontros “Diálogos que Transformam” ratificaram tal necessidade, evidenciando a importância de um ambiente mais acolhedor e igualitário.</w:t>
      </w:r>
    </w:p>
    <w:p w14:paraId="2A68AB99" w14:textId="77777777" w:rsidR="00F2717E" w:rsidRPr="00F2717E" w:rsidRDefault="00F2717E" w:rsidP="00F2717E">
      <w:pPr>
        <w:pStyle w:val="Texto"/>
      </w:pPr>
      <w:r w:rsidRPr="00F2717E">
        <w:t>Ressalva-se, como premissa metodológica, que os achados da pesquisa de percepção devem ser interpretados à luz das limitações inerentes a um estudo de adesão voluntária e amostragem não probabilística, cuja taxa de resposta foi de aproximadamente 7% do público-alvo. Dessarte, seus resultados carecem de generalização estatística, conquanto ofereçam subsídios relevantes para a reflexão crítica e a orientação de políticas institucionais.</w:t>
      </w:r>
    </w:p>
    <w:p w14:paraId="0C8BE36D" w14:textId="5C8D95C8" w:rsidR="00F2717E" w:rsidRPr="00646C91" w:rsidRDefault="00F2717E" w:rsidP="00F2717E">
      <w:pPr>
        <w:pStyle w:val="Texto"/>
        <w:rPr>
          <w:color w:val="000000" w:themeColor="text1"/>
        </w:rPr>
      </w:pPr>
      <w:r w:rsidRPr="00F2717E">
        <w:t>No que concerne à trajetória profissional das servidoras que usufruíram de licença-maternidade nos últimos cinco anos, o estudo revelou um panorama predominantemente positivo quanto à manutenção dos cargos e funções ocupados, com a maioria das servidoras mantendo suas posições</w:t>
      </w:r>
      <w:r w:rsidR="00646C91">
        <w:t xml:space="preserve"> ou sendo promovidas</w:t>
      </w:r>
      <w:r w:rsidRPr="00F2717E">
        <w:t xml:space="preserve"> durante o período analisado</w:t>
      </w:r>
      <w:r w:rsidR="00646C91">
        <w:t xml:space="preserve"> (88%)</w:t>
      </w:r>
      <w:r w:rsidRPr="00F2717E">
        <w:t>.</w:t>
      </w:r>
      <w:r w:rsidR="00397D2A">
        <w:t xml:space="preserve"> </w:t>
      </w:r>
      <w:r w:rsidR="00397D2A" w:rsidRPr="00646C91">
        <w:rPr>
          <w:color w:val="000000" w:themeColor="text1"/>
        </w:rPr>
        <w:t xml:space="preserve">Ainda assim, é importante </w:t>
      </w:r>
      <w:r w:rsidR="00CA17E2" w:rsidRPr="00646C91">
        <w:rPr>
          <w:color w:val="000000" w:themeColor="text1"/>
        </w:rPr>
        <w:t>indicar</w:t>
      </w:r>
      <w:r w:rsidR="00397D2A" w:rsidRPr="00646C91">
        <w:rPr>
          <w:color w:val="000000" w:themeColor="text1"/>
        </w:rPr>
        <w:t xml:space="preserve"> que, considerando os marcos temporais da pesquisa, aproximadamente 12% das servidoras tiveram regressões na ocupação de cargos e funções  comissionadas, dado que merece ser analisado com mais profundidade. </w:t>
      </w:r>
    </w:p>
    <w:p w14:paraId="78A8CCDD" w14:textId="77777777" w:rsidR="000D1D27" w:rsidRDefault="00A61C69" w:rsidP="00A61C69">
      <w:pPr>
        <w:pStyle w:val="Texto"/>
      </w:pPr>
      <w:r>
        <w:t>A despeito dos achados positivos</w:t>
      </w:r>
      <w:r w:rsidR="000D1D27">
        <w:t xml:space="preserve"> que indicam distribuição equitativa no quadro geral de cargos em comissão e funções comissionadas do TST/CSJT</w:t>
      </w:r>
      <w:r>
        <w:t xml:space="preserve">, existem desafios a serem entrentados no que se refere à ascensão feminina em cargos de liderança e gestão, especialmente na área administrativa e no CSJT. </w:t>
      </w:r>
    </w:p>
    <w:p w14:paraId="0DE41CC2" w14:textId="07483869" w:rsidR="00A61C69" w:rsidRPr="00A61C69" w:rsidRDefault="00A61C69" w:rsidP="00A61C69">
      <w:pPr>
        <w:pStyle w:val="Texto"/>
      </w:pPr>
      <w:r>
        <w:t xml:space="preserve">Nesse cenário, </w:t>
      </w:r>
      <w:r w:rsidRPr="00A61C69">
        <w:t>reforça-se que a promoção da equidade de gênero, especialmente sob uma perspectiva interseccional, não deve ser entendida apenas como uma pauta voltada às mulheres, mas como uma condição indispensável para o fortalecimento institucional e para a consolidação da legitimidade social do Poder Judiciário. Ao eliminar barreiras estruturais e culturais, o TST e o CSJT não apenas ampliam as oportunidades de participação e ascensão profissional, mas também oferecem um exemplo de compromisso com a justiça social, incentivando as futuras gerações a vislumbrar o sistema de justiça como um espaço verdadeiramente inclusivo, representativo e democrático.</w:t>
      </w:r>
    </w:p>
    <w:p w14:paraId="3FD50541" w14:textId="77777777" w:rsidR="00E1688E" w:rsidRDefault="00E1688E" w:rsidP="00A61C69">
      <w:pPr>
        <w:pStyle w:val="Texto"/>
      </w:pPr>
      <w:r>
        <w:t>A</w:t>
      </w:r>
      <w:r w:rsidR="00A61C69" w:rsidRPr="00A61C69">
        <w:t xml:space="preserve"> construção de uma cultura institucional mais inclusiva, atenta às questões interseccionais que envolvem não apenas gênero, mas também raça e a inclusão de pessoas com </w:t>
      </w:r>
      <w:r w:rsidR="00A61C69" w:rsidRPr="00A61C69">
        <w:lastRenderedPageBreak/>
        <w:t>deficiência, integra as determinações da Resolução CNJ nº 255/2018</w:t>
      </w:r>
      <w:r>
        <w:t xml:space="preserve"> e do </w:t>
      </w:r>
      <w:r w:rsidRPr="00954EBC">
        <w:t>Ato Conjunto TST.CSJT.GP nº 42/2024</w:t>
      </w:r>
      <w:r>
        <w:t>, que</w:t>
      </w:r>
      <w:r w:rsidR="00A61C69" w:rsidRPr="00A61C69">
        <w:t xml:space="preserve"> estabelece</w:t>
      </w:r>
      <w:r>
        <w:t>m</w:t>
      </w:r>
      <w:r w:rsidR="00A61C69" w:rsidRPr="00A61C69">
        <w:t xml:space="preserve"> diretrizes para a promoção da equidade de gênero e da igualdade de oportunidades entre homens e mulheres, tanto nas funções administrativas quanto nas jurisdicionais. </w:t>
      </w:r>
    </w:p>
    <w:p w14:paraId="5237EC7E" w14:textId="3EB80720" w:rsidR="00397D2A" w:rsidRPr="00AB21DA" w:rsidRDefault="00397D2A" w:rsidP="00A61C69">
      <w:pPr>
        <w:pStyle w:val="Texto"/>
        <w:rPr>
          <w:color w:val="FF0000"/>
        </w:rPr>
      </w:pPr>
      <w:r w:rsidRPr="00AB21DA">
        <w:rPr>
          <w:color w:val="FF0000"/>
        </w:rPr>
        <w:t>Por outro lado, na agenda internacional,</w:t>
      </w:r>
      <w:r w:rsidR="00AB21DA" w:rsidRPr="00AB21DA">
        <w:rPr>
          <w:color w:val="FF0000"/>
        </w:rPr>
        <w:t xml:space="preserve"> no plano global da Agenda 2030 da Organização das Nações Unidas (ONU)</w:t>
      </w:r>
      <w:r w:rsidR="00AB21DA">
        <w:rPr>
          <w:color w:val="FF0000"/>
        </w:rPr>
        <w:t>,</w:t>
      </w:r>
      <w:r w:rsidRPr="00AB21DA">
        <w:rPr>
          <w:color w:val="FF0000"/>
        </w:rPr>
        <w:t xml:space="preserve"> o objetivo de desenvolvimento sustentável (ODS) número 5 se propõe a alcançar a igualdade de gênero e empoderar todas as mulheres. A meta 5.5 afirma: “Garantir a participação plena e efetiva das mulheres e a igualdade de oportunidades para a liderança em todos os níveis de tomada de decisão na vida política, econômica e pública</w:t>
      </w:r>
      <w:r w:rsidR="00AB21DA" w:rsidRPr="00AB21DA">
        <w:rPr>
          <w:color w:val="FF0000"/>
        </w:rPr>
        <w:t>”</w:t>
      </w:r>
    </w:p>
    <w:p w14:paraId="6DA09414" w14:textId="6BF1AA5D" w:rsidR="00F2717E" w:rsidRPr="00F2717E" w:rsidRDefault="00E1688E" w:rsidP="00F2717E">
      <w:pPr>
        <w:pStyle w:val="Texto"/>
      </w:pPr>
      <w:r>
        <w:t>Nesse sentido, à</w:t>
      </w:r>
      <w:r w:rsidR="00A61C69" w:rsidRPr="00A61C69">
        <w:t xml:space="preserve"> luz dos dados estatísticos analisados</w:t>
      </w:r>
      <w:r>
        <w:t xml:space="preserve">, </w:t>
      </w:r>
      <w:r w:rsidR="000D1D27">
        <w:t>que indicam espaços que precisam ser aprimorados</w:t>
      </w:r>
      <w:r w:rsidR="00A61C69" w:rsidRPr="00A61C69">
        <w:t xml:space="preserve">, torna-se </w:t>
      </w:r>
      <w:r>
        <w:t>necessária</w:t>
      </w:r>
      <w:r w:rsidR="00A61C69" w:rsidRPr="00A61C69">
        <w:t xml:space="preserve"> </w:t>
      </w:r>
      <w:r>
        <w:t>a</w:t>
      </w:r>
      <w:r w:rsidR="00A61C69" w:rsidRPr="00A61C69">
        <w:t xml:space="preserve"> implementação de </w:t>
      </w:r>
      <w:r w:rsidR="00646C91">
        <w:t>novas medidas</w:t>
      </w:r>
      <w:r w:rsidR="00A61C69" w:rsidRPr="00A61C69">
        <w:t xml:space="preserve"> de valorização e incentivo à presença feminina em cargos de gestão e liderança, com vistas a equalizar a força de trabalho </w:t>
      </w:r>
      <w:r>
        <w:t xml:space="preserve">em alguns setores e segmentos </w:t>
      </w:r>
      <w:r w:rsidR="00A61C69" w:rsidRPr="00A61C69">
        <w:t xml:space="preserve">e corrigir disparidades ainda existentes, sobretudo na área administrativa e no </w:t>
      </w:r>
      <w:r w:rsidR="000D1D27">
        <w:t>CSJT</w:t>
      </w:r>
      <w:r w:rsidR="00A61C69" w:rsidRPr="00A61C69">
        <w:t>.</w:t>
      </w:r>
      <w:r>
        <w:t xml:space="preserve"> Afinal, </w:t>
      </w:r>
      <w:r w:rsidR="00F2717E" w:rsidRPr="00F2717E">
        <w:t>a elucidação das causas subjacentes aos achados apresentados, bem como a identificação de possíveis “obstáculos invisíveis” que possam dificultar a ascensão feminina, requerem investigações adicionais</w:t>
      </w:r>
      <w:r>
        <w:t>, com</w:t>
      </w:r>
      <w:r w:rsidR="00F2717E" w:rsidRPr="00F2717E">
        <w:t xml:space="preserve"> estratégias metodológicas complementares, que considerem aspectos contextuais e as barreiras estruturais enfrentadas.</w:t>
      </w:r>
    </w:p>
    <w:p w14:paraId="41AEEF8C" w14:textId="608781BE" w:rsidR="00223C01" w:rsidRDefault="000D1D27" w:rsidP="001F4527">
      <w:pPr>
        <w:pStyle w:val="Texto"/>
      </w:pPr>
      <w:r>
        <w:t>Por tais motivos, este</w:t>
      </w:r>
      <w:r w:rsidR="00223C01" w:rsidRPr="000F09CE">
        <w:t xml:space="preserve"> relatório </w:t>
      </w:r>
      <w:r w:rsidR="00A61C69">
        <w:t>sugere</w:t>
      </w:r>
      <w:r w:rsidR="00223C01" w:rsidRPr="000F09CE">
        <w:t xml:space="preserve"> </w:t>
      </w:r>
      <w:r>
        <w:t>que sejam avaliadas as</w:t>
      </w:r>
      <w:r w:rsidR="00223C01" w:rsidRPr="000F09CE">
        <w:t xml:space="preserve"> seguintes propostas:</w:t>
      </w:r>
    </w:p>
    <w:p w14:paraId="48FE73C3" w14:textId="77777777" w:rsidR="000D1D27" w:rsidRPr="000F09CE" w:rsidRDefault="000D1D27" w:rsidP="001F4527">
      <w:pPr>
        <w:pStyle w:val="Texto"/>
      </w:pPr>
    </w:p>
    <w:p w14:paraId="1662D5F3" w14:textId="70356FBC" w:rsidR="000F09CE" w:rsidRDefault="000F09CE" w:rsidP="001F4527">
      <w:pPr>
        <w:pStyle w:val="Texto"/>
        <w:numPr>
          <w:ilvl w:val="0"/>
          <w:numId w:val="12"/>
        </w:numPr>
        <w:ind w:left="1276" w:hanging="426"/>
      </w:pPr>
      <w:r>
        <w:t>Aprofundar as investigações</w:t>
      </w:r>
      <w:r w:rsidR="00E1688E">
        <w:t xml:space="preserve"> para compreensão mais densa dos desafios que envolvem a participação feminina no TST e no CSJT</w:t>
      </w:r>
      <w:r>
        <w:t>, por meio de outra</w:t>
      </w:r>
      <w:r w:rsidR="00E1688E">
        <w:t>s</w:t>
      </w:r>
      <w:r>
        <w:t xml:space="preserve"> pesquisa</w:t>
      </w:r>
      <w:r w:rsidR="00E1688E">
        <w:t>s</w:t>
      </w:r>
      <w:r>
        <w:t xml:space="preserve"> empírica</w:t>
      </w:r>
      <w:r w:rsidR="00E1688E">
        <w:t>s</w:t>
      </w:r>
      <w:r>
        <w:t xml:space="preserve">, inclusive de natureza qualitativa (com entrevistas em profundidade e grupos focais), para </w:t>
      </w:r>
      <w:r w:rsidR="00A61C69">
        <w:t>explorar e descobrir</w:t>
      </w:r>
      <w:r>
        <w:t xml:space="preserve"> as causas subjacentes às disparidades identificadas, com três focos principais: (1) as barreiras culturais e estruturais na área administrativa, em cargos de liderança e gestão, no CSJT e em colegiados temáticos (comitês, comissões e grupos de </w:t>
      </w:r>
      <w:r w:rsidRPr="002172E6">
        <w:rPr>
          <w:color w:val="000000" w:themeColor="text1"/>
        </w:rPr>
        <w:t>trabalho); (2) as experiências e os obstáculos específicos</w:t>
      </w:r>
      <w:r w:rsidR="00397D2A" w:rsidRPr="002172E6">
        <w:rPr>
          <w:color w:val="000000" w:themeColor="text1"/>
        </w:rPr>
        <w:t xml:space="preserve"> enfrentados por mulheres pretas</w:t>
      </w:r>
      <w:r w:rsidRPr="002172E6">
        <w:rPr>
          <w:color w:val="000000" w:themeColor="text1"/>
        </w:rPr>
        <w:t xml:space="preserve"> </w:t>
      </w:r>
      <w:r>
        <w:t>e com deficiência; e (3) os fatores que levam à percepção de que a maternidade prejudica a carreira.</w:t>
      </w:r>
    </w:p>
    <w:p w14:paraId="331C3BB0" w14:textId="0A7F1313" w:rsidR="000F09CE" w:rsidRPr="000F09CE" w:rsidRDefault="000F09CE" w:rsidP="001F4527">
      <w:pPr>
        <w:pStyle w:val="Texto"/>
        <w:numPr>
          <w:ilvl w:val="0"/>
          <w:numId w:val="12"/>
        </w:numPr>
        <w:ind w:left="1276" w:hanging="426"/>
      </w:pPr>
      <w:r w:rsidRPr="000F09CE">
        <w:t xml:space="preserve">Instituir </w:t>
      </w:r>
      <w:r w:rsidRPr="00483805">
        <w:t xml:space="preserve">programa de monitoramento </w:t>
      </w:r>
      <w:r w:rsidRPr="000F09CE">
        <w:t>ativo da composição de gênero e raça para cargos de gestão e liderança e para todos os colegiados (comitês, comissões e grupos de trabalho), com foco especial na área administrativa do TST e nos cargos de cúpula (CJs) do CSJT.</w:t>
      </w:r>
    </w:p>
    <w:p w14:paraId="26023D87" w14:textId="51F5DF5D" w:rsidR="00223C01" w:rsidRPr="000F09CE" w:rsidRDefault="000F09CE" w:rsidP="000F09CE">
      <w:pPr>
        <w:pStyle w:val="Texto"/>
        <w:numPr>
          <w:ilvl w:val="0"/>
          <w:numId w:val="12"/>
        </w:numPr>
        <w:ind w:left="1276" w:hanging="426"/>
      </w:pPr>
      <w:r w:rsidRPr="000F09CE">
        <w:lastRenderedPageBreak/>
        <w:t>Desenvolver e implementar programa de formação contínua para os servidores (em</w:t>
      </w:r>
      <w:r>
        <w:t xml:space="preserve"> especial gestores), sobre vieses inconscientes, microagressões de gênero (</w:t>
      </w:r>
      <w:r>
        <w:rPr>
          <w:i/>
          <w:iCs/>
        </w:rPr>
        <w:t>mansplaining</w:t>
      </w:r>
      <w:r>
        <w:t xml:space="preserve">, </w:t>
      </w:r>
      <w:r>
        <w:rPr>
          <w:i/>
          <w:iCs/>
        </w:rPr>
        <w:t>gaslighting</w:t>
      </w:r>
      <w:r>
        <w:t xml:space="preserve">, etc.) e liderança inclusiva, com foco na perspectiva interseccional, que envolva campanhas de conscientização com ampla divulgação de atos normativos, cartilhas (por exemplo, </w:t>
      </w:r>
      <w:r w:rsidRPr="000F09CE">
        <w:t>“Guia Prático Por um Ambiente de Trabalho + Positivo” e da cartilha “Liderança Responsável”</w:t>
      </w:r>
      <w:r>
        <w:t>) e políticas de compate à discriminação</w:t>
      </w:r>
      <w:r w:rsidR="00223C01" w:rsidRPr="000F09CE">
        <w:t>.</w:t>
      </w:r>
    </w:p>
    <w:p w14:paraId="7E91A2A5" w14:textId="6A272C43" w:rsidR="00223C01" w:rsidRPr="00A61C69" w:rsidRDefault="00223C01" w:rsidP="001F4527">
      <w:pPr>
        <w:pStyle w:val="Texto"/>
        <w:numPr>
          <w:ilvl w:val="0"/>
          <w:numId w:val="12"/>
        </w:numPr>
        <w:ind w:left="1276" w:hanging="426"/>
      </w:pPr>
      <w:r w:rsidRPr="00A61C69">
        <w:t xml:space="preserve">Implementar programas de mentoria e patrocínio para mulheres, </w:t>
      </w:r>
      <w:r w:rsidR="00E14344">
        <w:t xml:space="preserve"> </w:t>
      </w:r>
      <w:r w:rsidR="00CE2935">
        <w:t>especialmente pretas</w:t>
      </w:r>
      <w:r w:rsidRPr="00A61C69">
        <w:t xml:space="preserve"> e com deficiência, com acompanhamento especializado e inclusão das temáticas interseccionais nos programas. Os programas devem incluir, também, avaliações periódicas dos impactos na carreira das mulheres participantes.</w:t>
      </w:r>
    </w:p>
    <w:p w14:paraId="5D9EFEB8" w14:textId="77777777" w:rsidR="0087393A" w:rsidRPr="00A61C69" w:rsidRDefault="0087393A" w:rsidP="001F4527">
      <w:pPr>
        <w:pStyle w:val="Texto"/>
      </w:pPr>
    </w:p>
    <w:p w14:paraId="6A73F34C" w14:textId="1B6BECE6" w:rsidR="0087393A" w:rsidRPr="00A61C69" w:rsidRDefault="0087393A" w:rsidP="001F4527">
      <w:pPr>
        <w:pStyle w:val="Texto"/>
      </w:pPr>
      <w:r w:rsidRPr="00A61C69">
        <w:t>A efetividade das medidas propostas dependerá da criação de uma governança institucional capaz de acompanhar sua execução de forma contínua e transparente. Para tanto, fundamental estabelecer indicadores de desempenho, metas de curto, médio e longo prazo, além de relatórios periódicos que permitam avaliar o impacto real das iniciativas sobre a equidade de gênero no TST e no CSJT. A adoção de mecanismos de monitoramento também possibilitará ajustes ao longo do processo, assegurando que as ações não se limitem a compromissos formais, mas resultem em transformações concretas na cultura organizacional.</w:t>
      </w:r>
    </w:p>
    <w:p w14:paraId="7788FC7A" w14:textId="051F2117" w:rsidR="00453804" w:rsidRDefault="00223C01" w:rsidP="001F4527">
      <w:pPr>
        <w:pStyle w:val="Texto"/>
      </w:pPr>
      <w:r w:rsidRPr="00C02C40">
        <w:t>A implementação dessas propostas requer esforço conjunto de todas as áreas do TST e CSJT, com metas claras, prazos definidos e mecanismos de monitoramento e avaliação dos resultados. A participação ativa de todos os servidores é fundamental para construir um ambiente de trabalho mais justo, equitativo e inclusivo</w:t>
      </w:r>
      <w:r w:rsidR="00453804">
        <w:t>.</w:t>
      </w:r>
    </w:p>
    <w:p w14:paraId="3727FA14" w14:textId="77777777" w:rsidR="00453804" w:rsidRDefault="00453804" w:rsidP="00187EEA">
      <w:pPr>
        <w:pStyle w:val="Texto"/>
        <w:sectPr w:rsidR="00453804" w:rsidSect="00EA3C80">
          <w:headerReference w:type="even" r:id="rId115"/>
          <w:headerReference w:type="default" r:id="rId116"/>
          <w:footerReference w:type="default" r:id="rId117"/>
          <w:pgSz w:w="11907" w:h="16840" w:code="9"/>
          <w:pgMar w:top="1134" w:right="1134" w:bottom="1134" w:left="1134" w:header="709" w:footer="709" w:gutter="0"/>
          <w:cols w:space="708"/>
          <w:docGrid w:linePitch="360"/>
        </w:sectPr>
      </w:pPr>
    </w:p>
    <w:p w14:paraId="104E448D" w14:textId="378C765A" w:rsidR="00F80C78" w:rsidRDefault="00F80C78" w:rsidP="00453804">
      <w:pPr>
        <w:pStyle w:val="Texto"/>
        <w:tabs>
          <w:tab w:val="left" w:pos="1019"/>
        </w:tabs>
      </w:pPr>
    </w:p>
    <w:p w14:paraId="4776616F" w14:textId="1B8350A9" w:rsidR="00726867" w:rsidRPr="00347CBD" w:rsidRDefault="00726867" w:rsidP="009A0D9E">
      <w:pPr>
        <w:pStyle w:val="Ttulo1"/>
      </w:pPr>
      <w:bookmarkStart w:id="240" w:name="_Toc207370458"/>
      <w:bookmarkStart w:id="241" w:name="_Toc208510829"/>
      <w:r w:rsidRPr="00726867">
        <w:t>REFERÊNCIAS</w:t>
      </w:r>
      <w:bookmarkEnd w:id="240"/>
      <w:bookmarkEnd w:id="241"/>
    </w:p>
    <w:p w14:paraId="2384C321" w14:textId="77777777" w:rsidR="00726867" w:rsidRPr="00347CBD" w:rsidRDefault="00726867" w:rsidP="00CA10A0">
      <w:pPr>
        <w:pStyle w:val="Texto"/>
      </w:pPr>
    </w:p>
    <w:p w14:paraId="02263952" w14:textId="67ED8AB8" w:rsidR="000B3646" w:rsidRDefault="000B3646" w:rsidP="009E75A5">
      <w:pPr>
        <w:jc w:val="both"/>
        <w:rPr>
          <w:rFonts w:asciiTheme="minorHAnsi" w:hAnsiTheme="minorHAnsi" w:cstheme="minorHAnsi"/>
        </w:rPr>
      </w:pPr>
      <w:r w:rsidRPr="00453804">
        <w:rPr>
          <w:rFonts w:asciiTheme="minorHAnsi" w:hAnsiTheme="minorHAnsi" w:cstheme="minorHAnsi"/>
        </w:rPr>
        <w:t xml:space="preserve">BALLARD, V. J. </w:t>
      </w:r>
      <w:r w:rsidRPr="00453804">
        <w:rPr>
          <w:rFonts w:asciiTheme="minorHAnsi" w:hAnsiTheme="minorHAnsi" w:cstheme="minorHAnsi"/>
          <w:i/>
        </w:rPr>
        <w:t>Gender and representative bureaucracy</w:t>
      </w:r>
      <w:r w:rsidRPr="00453804">
        <w:rPr>
          <w:rFonts w:asciiTheme="minorHAnsi" w:hAnsiTheme="minorHAnsi" w:cstheme="minorHAnsi"/>
        </w:rPr>
        <w:t>: the career progression of women managers in male-dominated occupations in state government. Dissertation. Virginia Commonwealth University, Richmond, 2015.</w:t>
      </w:r>
    </w:p>
    <w:p w14:paraId="15D1298B" w14:textId="77777777" w:rsidR="001C6ABC" w:rsidRPr="00453804" w:rsidRDefault="001C6ABC" w:rsidP="009E75A5">
      <w:pPr>
        <w:jc w:val="both"/>
        <w:rPr>
          <w:rFonts w:asciiTheme="minorHAnsi" w:hAnsiTheme="minorHAnsi" w:cstheme="minorHAnsi"/>
        </w:rPr>
      </w:pPr>
    </w:p>
    <w:p w14:paraId="0890B898" w14:textId="1B9EA710" w:rsidR="00A21732" w:rsidRDefault="000B3646" w:rsidP="009E75A5">
      <w:pPr>
        <w:jc w:val="both"/>
        <w:rPr>
          <w:rFonts w:asciiTheme="minorHAnsi" w:hAnsiTheme="minorHAnsi" w:cstheme="minorHAnsi"/>
        </w:rPr>
      </w:pPr>
      <w:r w:rsidRPr="00453804">
        <w:rPr>
          <w:rFonts w:asciiTheme="minorHAnsi" w:hAnsiTheme="minorHAnsi" w:cstheme="minorHAnsi"/>
        </w:rPr>
        <w:t xml:space="preserve">BAUTISTA, S.; CHUDNOVSKY, M.; STRAZZA, L.; MOSQUEIRA, E.; CASTAÑEDA, C. </w:t>
      </w:r>
      <w:r w:rsidRPr="00453804">
        <w:rPr>
          <w:rFonts w:asciiTheme="minorHAnsi" w:hAnsiTheme="minorHAnsi" w:cstheme="minorHAnsi"/>
          <w:i/>
        </w:rPr>
        <w:t>Mulheres líderes no setor público da América Latina e do Caribe</w:t>
      </w:r>
      <w:r w:rsidRPr="00453804">
        <w:rPr>
          <w:rFonts w:asciiTheme="minorHAnsi" w:hAnsiTheme="minorHAnsi" w:cstheme="minorHAnsi"/>
        </w:rPr>
        <w:t>: lacunas e oportunidades. Washington, DC: Banco Interamericano de Desenvolvimento, 2021. Disponível em: &lt;</w:t>
      </w:r>
      <w:hyperlink r:id="rId118">
        <w:r w:rsidRPr="00453804">
          <w:rPr>
            <w:rFonts w:asciiTheme="minorHAnsi" w:hAnsiTheme="minorHAnsi" w:cstheme="minorHAnsi"/>
          </w:rPr>
          <w:t>https://publications.iadb.org/pt/publications/portuguese/viewer/Mulheres-lideres-no-setor-publico-da-America-Latina-e-do-Caribe-lacunas-e-opportunidades.pdf</w:t>
        </w:r>
      </w:hyperlink>
      <w:r w:rsidRPr="00453804">
        <w:rPr>
          <w:rFonts w:asciiTheme="minorHAnsi" w:hAnsiTheme="minorHAnsi" w:cstheme="minorHAnsi"/>
        </w:rPr>
        <w:t>&gt;. Acesso em: 29 mai. 2025.</w:t>
      </w:r>
    </w:p>
    <w:p w14:paraId="4B710F08" w14:textId="77777777" w:rsidR="004720BD" w:rsidRDefault="004720BD" w:rsidP="009E75A5">
      <w:pPr>
        <w:jc w:val="both"/>
        <w:rPr>
          <w:rFonts w:asciiTheme="minorHAnsi" w:hAnsiTheme="minorHAnsi" w:cstheme="minorHAnsi"/>
        </w:rPr>
      </w:pPr>
    </w:p>
    <w:p w14:paraId="302C31F2" w14:textId="77777777" w:rsidR="004720BD" w:rsidRPr="004720BD" w:rsidRDefault="004720BD" w:rsidP="009E75A5">
      <w:pPr>
        <w:jc w:val="both"/>
        <w:rPr>
          <w:rFonts w:asciiTheme="minorHAnsi" w:hAnsiTheme="minorHAnsi" w:cstheme="minorHAnsi"/>
        </w:rPr>
      </w:pPr>
      <w:r w:rsidRPr="004720BD">
        <w:rPr>
          <w:rFonts w:asciiTheme="minorHAnsi" w:hAnsiTheme="minorHAnsi" w:cstheme="minorHAnsi"/>
        </w:rPr>
        <w:t>BEAUVOIR, Simone de. 1908-1986. O segundo sexo: fatos e mitos. Tradução Sérgio Milliet. - 5 ed. Rio de Janeiro: Nova Fronteira, 2019.   (Box: Edição Comemorativa 1949-2019), v. 1, p. 15-18 e p. 265-267.</w:t>
      </w:r>
    </w:p>
    <w:p w14:paraId="7028703B" w14:textId="77777777" w:rsidR="001C6ABC" w:rsidRPr="00453804" w:rsidRDefault="001C6ABC" w:rsidP="009E75A5">
      <w:pPr>
        <w:jc w:val="both"/>
        <w:rPr>
          <w:rFonts w:asciiTheme="minorHAnsi" w:hAnsiTheme="minorHAnsi" w:cstheme="minorHAnsi"/>
        </w:rPr>
      </w:pPr>
    </w:p>
    <w:p w14:paraId="1C8A8207" w14:textId="72D7051D" w:rsidR="000B3646" w:rsidRDefault="000B3646" w:rsidP="009E75A5">
      <w:pPr>
        <w:jc w:val="both"/>
        <w:rPr>
          <w:rFonts w:asciiTheme="minorHAnsi" w:hAnsiTheme="minorHAnsi" w:cstheme="minorHAnsi"/>
        </w:rPr>
      </w:pPr>
      <w:r w:rsidRPr="00453804">
        <w:rPr>
          <w:rFonts w:asciiTheme="minorHAnsi" w:hAnsiTheme="minorHAnsi" w:cstheme="minorHAnsi"/>
        </w:rPr>
        <w:t xml:space="preserve">BIROLI, Flávia. Divisão Sexual do Trabalho e Democracia. </w:t>
      </w:r>
      <w:r w:rsidRPr="004720BD">
        <w:rPr>
          <w:rFonts w:asciiTheme="minorHAnsi" w:hAnsiTheme="minorHAnsi" w:cstheme="minorHAnsi"/>
        </w:rPr>
        <w:t>Dados: Revista de Ciências Sociais</w:t>
      </w:r>
      <w:r w:rsidRPr="00453804">
        <w:rPr>
          <w:rFonts w:asciiTheme="minorHAnsi" w:hAnsiTheme="minorHAnsi" w:cstheme="minorHAnsi"/>
        </w:rPr>
        <w:t>, Rio de Janeiro, v. 59, n. 3, 2016.</w:t>
      </w:r>
    </w:p>
    <w:p w14:paraId="5A66840A" w14:textId="77777777" w:rsidR="001C6ABC" w:rsidRPr="00453804" w:rsidRDefault="001C6ABC" w:rsidP="009E75A5">
      <w:pPr>
        <w:jc w:val="both"/>
        <w:rPr>
          <w:rFonts w:asciiTheme="minorHAnsi" w:hAnsiTheme="minorHAnsi" w:cstheme="minorHAnsi"/>
        </w:rPr>
      </w:pPr>
    </w:p>
    <w:p w14:paraId="3FF6F3AA" w14:textId="1A311983" w:rsidR="00BD2421" w:rsidRPr="004720BD" w:rsidRDefault="000B3646" w:rsidP="009E75A5">
      <w:pPr>
        <w:jc w:val="both"/>
        <w:rPr>
          <w:rFonts w:asciiTheme="minorHAnsi" w:hAnsiTheme="minorHAnsi" w:cstheme="minorHAnsi"/>
        </w:rPr>
      </w:pPr>
      <w:r w:rsidRPr="00453804">
        <w:rPr>
          <w:rFonts w:asciiTheme="minorHAnsi" w:hAnsiTheme="minorHAnsi" w:cstheme="minorHAnsi"/>
        </w:rPr>
        <w:t xml:space="preserve">BISPO JÚNIOR, J. P. Viés de desejabilidade social na pesquisa qualitativa em saúde. </w:t>
      </w:r>
      <w:r w:rsidRPr="004720BD">
        <w:rPr>
          <w:rFonts w:asciiTheme="minorHAnsi" w:hAnsiTheme="minorHAnsi" w:cstheme="minorHAnsi"/>
        </w:rPr>
        <w:t>Revista de Saúde Pública</w:t>
      </w:r>
      <w:r w:rsidRPr="00453804">
        <w:rPr>
          <w:rFonts w:asciiTheme="minorHAnsi" w:hAnsiTheme="minorHAnsi" w:cstheme="minorHAnsi"/>
        </w:rPr>
        <w:t>, 2022, v. 56, e 101.</w:t>
      </w:r>
      <w:r w:rsidR="009E75A5">
        <w:rPr>
          <w:rFonts w:asciiTheme="minorHAnsi" w:hAnsiTheme="minorHAnsi" w:cstheme="minorHAnsi"/>
        </w:rPr>
        <w:t xml:space="preserve"> </w:t>
      </w:r>
      <w:r w:rsidR="00BD2421" w:rsidRPr="004720BD">
        <w:rPr>
          <w:rFonts w:asciiTheme="minorHAnsi" w:hAnsiTheme="minorHAnsi" w:cstheme="minorHAnsi"/>
        </w:rPr>
        <w:t>BORDIEU, Pierre. A Dominação Masculina. Tradução Maria Helena Kühner. Rio de Janeiro: Bertrand Brasil, 2003.</w:t>
      </w:r>
    </w:p>
    <w:p w14:paraId="1B141E1A" w14:textId="77777777" w:rsidR="00BD2421" w:rsidRDefault="00BD2421" w:rsidP="009E75A5">
      <w:pPr>
        <w:jc w:val="both"/>
        <w:rPr>
          <w:rFonts w:asciiTheme="minorHAnsi" w:hAnsiTheme="minorHAnsi" w:cstheme="minorHAnsi"/>
        </w:rPr>
      </w:pPr>
    </w:p>
    <w:p w14:paraId="25F92138" w14:textId="64972772" w:rsidR="00453804" w:rsidRPr="00453804" w:rsidRDefault="000B3646" w:rsidP="009E75A5">
      <w:pPr>
        <w:jc w:val="both"/>
        <w:rPr>
          <w:rFonts w:asciiTheme="minorHAnsi" w:hAnsiTheme="minorHAnsi" w:cstheme="minorHAnsi"/>
        </w:rPr>
      </w:pPr>
      <w:r w:rsidRPr="00453804">
        <w:rPr>
          <w:rFonts w:asciiTheme="minorHAnsi" w:hAnsiTheme="minorHAnsi" w:cstheme="minorHAnsi"/>
        </w:rPr>
        <w:t xml:space="preserve">BRASIL. Conselho Nacional de Justiça (CNJ). </w:t>
      </w:r>
      <w:r w:rsidRPr="00453804">
        <w:rPr>
          <w:rFonts w:asciiTheme="minorHAnsi" w:hAnsiTheme="minorHAnsi" w:cstheme="minorHAnsi"/>
          <w:i/>
        </w:rPr>
        <w:t>Discriminação e violência contra a população LGBTQIA+</w:t>
      </w:r>
      <w:r w:rsidRPr="00453804">
        <w:rPr>
          <w:rFonts w:asciiTheme="minorHAnsi" w:hAnsiTheme="minorHAnsi" w:cstheme="minorHAnsi"/>
        </w:rPr>
        <w:t>: relatório da pesquisa</w:t>
      </w:r>
      <w:r w:rsidRPr="00453804">
        <w:rPr>
          <w:rFonts w:asciiTheme="minorHAnsi" w:hAnsiTheme="minorHAnsi" w:cstheme="minorHAnsi"/>
          <w:i/>
        </w:rPr>
        <w:t>.</w:t>
      </w:r>
      <w:r w:rsidRPr="00453804">
        <w:rPr>
          <w:rFonts w:asciiTheme="minorHAnsi" w:hAnsiTheme="minorHAnsi" w:cstheme="minorHAnsi"/>
        </w:rPr>
        <w:t xml:space="preserve"> Brasília: CNJ, 2022. Disponível em: &lt;</w:t>
      </w:r>
      <w:hyperlink r:id="rId119">
        <w:r w:rsidRPr="00453804">
          <w:rPr>
            <w:rFonts w:asciiTheme="minorHAnsi" w:hAnsiTheme="minorHAnsi" w:cstheme="minorHAnsi"/>
          </w:rPr>
          <w:t>https://www.cnj.jus.br/wp-content/uploads/2022/08/relatorio-pesquisa-discriminacao-e-violencia-contra-lgbtqia.pdf</w:t>
        </w:r>
      </w:hyperlink>
      <w:r w:rsidR="001C6ABC">
        <w:rPr>
          <w:rFonts w:asciiTheme="minorHAnsi" w:hAnsiTheme="minorHAnsi" w:cstheme="minorHAnsi"/>
        </w:rPr>
        <w:t>&gt;. Acesso em: 08 mai. 2025.</w:t>
      </w:r>
    </w:p>
    <w:p w14:paraId="30DFD1CE" w14:textId="77777777" w:rsidR="001C6ABC" w:rsidRDefault="001C6ABC" w:rsidP="009E75A5">
      <w:pPr>
        <w:jc w:val="both"/>
        <w:rPr>
          <w:rFonts w:asciiTheme="minorHAnsi" w:hAnsiTheme="minorHAnsi" w:cstheme="minorHAnsi"/>
        </w:rPr>
      </w:pPr>
    </w:p>
    <w:p w14:paraId="5DBE1D4F" w14:textId="13A484C4" w:rsidR="00453804" w:rsidRPr="00453804" w:rsidRDefault="009723FD" w:rsidP="009E75A5">
      <w:pPr>
        <w:jc w:val="both"/>
        <w:rPr>
          <w:rFonts w:asciiTheme="minorHAnsi" w:hAnsiTheme="minorHAnsi" w:cstheme="minorHAnsi"/>
        </w:rPr>
      </w:pPr>
      <w:r w:rsidRPr="00453804">
        <w:rPr>
          <w:rFonts w:asciiTheme="minorHAnsi" w:hAnsiTheme="minorHAnsi" w:cstheme="minorHAnsi"/>
        </w:rPr>
        <w:t xml:space="preserve">BRASIL. Conselho Nacional de Justiça (CNJ). </w:t>
      </w:r>
      <w:r w:rsidRPr="00453804">
        <w:rPr>
          <w:rFonts w:asciiTheme="minorHAnsi" w:hAnsiTheme="minorHAnsi" w:cstheme="minorHAnsi"/>
          <w:i/>
        </w:rPr>
        <w:t xml:space="preserve">Diagnóstico da participação feminina no Poder Judiciário. </w:t>
      </w:r>
      <w:r w:rsidRPr="00453804">
        <w:rPr>
          <w:rFonts w:asciiTheme="minorHAnsi" w:hAnsiTheme="minorHAnsi" w:cstheme="minorHAnsi"/>
        </w:rPr>
        <w:t xml:space="preserve">Brasília: CNJ, 2019. Disponível em: </w:t>
      </w:r>
      <w:r w:rsidR="00106C05" w:rsidRPr="00453804">
        <w:rPr>
          <w:rFonts w:asciiTheme="minorHAnsi" w:hAnsiTheme="minorHAnsi" w:cstheme="minorHAnsi"/>
        </w:rPr>
        <w:t>&lt;</w:t>
      </w:r>
      <w:hyperlink r:id="rId120" w:history="1">
        <w:r w:rsidR="00106C05" w:rsidRPr="00453804">
          <w:rPr>
            <w:rStyle w:val="Hyperlink"/>
            <w:rFonts w:asciiTheme="minorHAnsi" w:hAnsiTheme="minorHAnsi" w:cstheme="minorHAnsi"/>
            <w:color w:val="auto"/>
            <w:u w:val="none"/>
          </w:rPr>
          <w:t>https://www.cnj.jus.br/wp-content/uploads/conteudo/arquivo/2019/05/cae277dd017bb4d4457755febf5eed9f.pdf</w:t>
        </w:r>
      </w:hyperlink>
      <w:r w:rsidR="00106C05" w:rsidRPr="00453804">
        <w:rPr>
          <w:rFonts w:asciiTheme="minorHAnsi" w:hAnsiTheme="minorHAnsi" w:cstheme="minorHAnsi"/>
        </w:rPr>
        <w:t xml:space="preserve">&gt; </w:t>
      </w:r>
      <w:r w:rsidRPr="00453804">
        <w:rPr>
          <w:rFonts w:asciiTheme="minorHAnsi" w:hAnsiTheme="minorHAnsi" w:cstheme="minorHAnsi"/>
        </w:rPr>
        <w:t>Acesso em: 29 mai. 2025.</w:t>
      </w:r>
    </w:p>
    <w:p w14:paraId="62104A24" w14:textId="77777777" w:rsidR="00453804" w:rsidRPr="00453804" w:rsidRDefault="00453804" w:rsidP="009E75A5">
      <w:pPr>
        <w:jc w:val="both"/>
        <w:rPr>
          <w:rFonts w:asciiTheme="minorHAnsi" w:hAnsiTheme="minorHAnsi" w:cstheme="minorHAnsi"/>
        </w:rPr>
      </w:pPr>
    </w:p>
    <w:p w14:paraId="543458A1" w14:textId="29860435" w:rsidR="00453804" w:rsidRPr="00453804" w:rsidRDefault="000B3646" w:rsidP="009E75A5">
      <w:pPr>
        <w:jc w:val="both"/>
        <w:rPr>
          <w:rFonts w:asciiTheme="minorHAnsi" w:hAnsiTheme="minorHAnsi" w:cstheme="minorHAnsi"/>
        </w:rPr>
      </w:pPr>
      <w:r w:rsidRPr="00453804">
        <w:rPr>
          <w:rFonts w:asciiTheme="minorHAnsi" w:hAnsiTheme="minorHAnsi" w:cstheme="minorHAnsi"/>
        </w:rPr>
        <w:t xml:space="preserve">BRASIL. Conselho Nacional de Justiça (CNJ). </w:t>
      </w:r>
      <w:r w:rsidRPr="00453804">
        <w:rPr>
          <w:rFonts w:asciiTheme="minorHAnsi" w:hAnsiTheme="minorHAnsi" w:cstheme="minorHAnsi"/>
          <w:i/>
        </w:rPr>
        <w:t>Justiça em Números: painel de estatísticas</w:t>
      </w:r>
      <w:r w:rsidRPr="00453804">
        <w:rPr>
          <w:rFonts w:asciiTheme="minorHAnsi" w:hAnsiTheme="minorHAnsi" w:cstheme="minorHAnsi"/>
        </w:rPr>
        <w:t>. Brasília: CNJ, 2025. Disponível em:</w:t>
      </w:r>
      <w:hyperlink r:id="rId121">
        <w:r w:rsidRPr="00453804">
          <w:rPr>
            <w:rStyle w:val="Hyperlink"/>
            <w:rFonts w:asciiTheme="minorHAnsi" w:hAnsiTheme="minorHAnsi" w:cstheme="minorHAnsi"/>
            <w:color w:val="auto"/>
            <w:u w:val="none"/>
          </w:rPr>
          <w:t xml:space="preserve"> </w:t>
        </w:r>
      </w:hyperlink>
      <w:r w:rsidRPr="00453804">
        <w:rPr>
          <w:rFonts w:asciiTheme="minorHAnsi" w:hAnsiTheme="minorHAnsi" w:cstheme="minorHAnsi"/>
        </w:rPr>
        <w:t>&lt;</w:t>
      </w:r>
      <w:hyperlink r:id="rId122" w:history="1">
        <w:r w:rsidRPr="00453804">
          <w:rPr>
            <w:rStyle w:val="Hyperlink"/>
            <w:rFonts w:asciiTheme="minorHAnsi" w:hAnsiTheme="minorHAnsi" w:cstheme="minorHAnsi"/>
            <w:color w:val="auto"/>
            <w:u w:val="none"/>
          </w:rPr>
          <w:t>https://justica-em-numeros.cnj.jus.br/painel-estatisticas/</w:t>
        </w:r>
      </w:hyperlink>
      <w:r w:rsidRPr="00453804">
        <w:rPr>
          <w:rFonts w:asciiTheme="minorHAnsi" w:hAnsiTheme="minorHAnsi" w:cstheme="minorHAnsi"/>
        </w:rPr>
        <w:t>&gt;. Acesso em: 2 jun. 2025.</w:t>
      </w:r>
    </w:p>
    <w:p w14:paraId="1580980B" w14:textId="77777777" w:rsidR="001C6ABC" w:rsidRDefault="001C6ABC" w:rsidP="009E75A5">
      <w:pPr>
        <w:jc w:val="both"/>
        <w:rPr>
          <w:rFonts w:asciiTheme="minorHAnsi" w:hAnsiTheme="minorHAnsi" w:cstheme="minorHAnsi"/>
        </w:rPr>
      </w:pPr>
    </w:p>
    <w:p w14:paraId="7738EBE1" w14:textId="155C3727" w:rsidR="00453804" w:rsidRPr="00453804" w:rsidRDefault="000B3646" w:rsidP="009E75A5">
      <w:pPr>
        <w:jc w:val="both"/>
        <w:rPr>
          <w:rFonts w:asciiTheme="minorHAnsi" w:hAnsiTheme="minorHAnsi" w:cstheme="minorHAnsi"/>
        </w:rPr>
      </w:pPr>
      <w:r w:rsidRPr="00453804">
        <w:rPr>
          <w:rFonts w:asciiTheme="minorHAnsi" w:hAnsiTheme="minorHAnsi" w:cstheme="minorHAnsi"/>
        </w:rPr>
        <w:t>BRASIL. Conselho Nacional de Justiça (Brasil). Painel de Dados de Pessoal do Poder Judiciário. Brasília, DF: CNJ, [2025?]. Disponível em: &lt;https://justica-em-numeros.cnj.jus.br/painel-mpm-pessoal/&gt;. Acesso em: 1.º jul. 2025.</w:t>
      </w:r>
    </w:p>
    <w:p w14:paraId="617C2886" w14:textId="77777777" w:rsidR="00453804" w:rsidRPr="00453804" w:rsidRDefault="00453804" w:rsidP="009E75A5">
      <w:pPr>
        <w:jc w:val="both"/>
        <w:rPr>
          <w:rFonts w:asciiTheme="minorHAnsi" w:hAnsiTheme="minorHAnsi" w:cstheme="minorHAnsi"/>
        </w:rPr>
      </w:pPr>
    </w:p>
    <w:p w14:paraId="288BBCFD" w14:textId="13DDF2C1" w:rsidR="009723FD" w:rsidRDefault="009723FD" w:rsidP="009E75A5">
      <w:pPr>
        <w:jc w:val="both"/>
        <w:rPr>
          <w:rFonts w:asciiTheme="minorHAnsi" w:hAnsiTheme="minorHAnsi" w:cstheme="minorHAnsi"/>
        </w:rPr>
      </w:pPr>
      <w:r w:rsidRPr="00453804">
        <w:rPr>
          <w:rFonts w:asciiTheme="minorHAnsi" w:hAnsiTheme="minorHAnsi" w:cstheme="minorHAnsi"/>
        </w:rPr>
        <w:t xml:space="preserve">BRASIL. Conselho Nacional de Justiça (CNJ). </w:t>
      </w:r>
      <w:r w:rsidRPr="00453804">
        <w:rPr>
          <w:rFonts w:asciiTheme="minorHAnsi" w:hAnsiTheme="minorHAnsi" w:cstheme="minorHAnsi"/>
          <w:bCs/>
          <w:i/>
          <w:iCs/>
        </w:rPr>
        <w:t>Participação feminina na magistratura: atualizações 2023.</w:t>
      </w:r>
      <w:r w:rsidRPr="00453804">
        <w:rPr>
          <w:rFonts w:asciiTheme="minorHAnsi" w:hAnsiTheme="minorHAnsi" w:cstheme="minorHAnsi"/>
        </w:rPr>
        <w:t xml:space="preserve"> Brasília: CNJ, 2023. Disponível em: &lt;https://www.cnj.jus.br/wp-</w:t>
      </w:r>
      <w:r w:rsidRPr="00453804">
        <w:rPr>
          <w:rFonts w:asciiTheme="minorHAnsi" w:hAnsiTheme="minorHAnsi" w:cstheme="minorHAnsi"/>
        </w:rPr>
        <w:lastRenderedPageBreak/>
        <w:t>content/uploads/2023/03/relatorio-participacao-feminina-na-magistratura-v3-20-03-23-ficha-catalografica.pdf&gt;.</w:t>
      </w:r>
    </w:p>
    <w:p w14:paraId="38B8C7FF" w14:textId="77777777" w:rsidR="009E75A5" w:rsidRDefault="009E75A5" w:rsidP="009E75A5">
      <w:pPr>
        <w:jc w:val="both"/>
        <w:rPr>
          <w:rFonts w:asciiTheme="minorHAnsi" w:hAnsiTheme="minorHAnsi" w:cstheme="minorHAnsi"/>
        </w:rPr>
      </w:pPr>
    </w:p>
    <w:p w14:paraId="18A157F3" w14:textId="77777777" w:rsidR="00686D68" w:rsidRPr="00453804" w:rsidRDefault="00686D68" w:rsidP="00686D68">
      <w:pPr>
        <w:jc w:val="both"/>
        <w:rPr>
          <w:rFonts w:asciiTheme="minorHAnsi" w:hAnsiTheme="minorHAnsi" w:cstheme="minorHAnsi"/>
        </w:rPr>
      </w:pPr>
      <w:r w:rsidRPr="00453804">
        <w:rPr>
          <w:rFonts w:asciiTheme="minorHAnsi" w:hAnsiTheme="minorHAnsi" w:cstheme="minorHAnsi"/>
        </w:rPr>
        <w:t xml:space="preserve">BRASIL. Conselho Nacional de Justiça (CNJ). </w:t>
      </w:r>
      <w:r w:rsidRPr="00453804">
        <w:rPr>
          <w:rFonts w:asciiTheme="minorHAnsi" w:hAnsiTheme="minorHAnsi" w:cstheme="minorHAnsi"/>
          <w:bCs/>
          <w:i/>
          <w:iCs/>
        </w:rPr>
        <w:t>Pesquisa sobre percepção e avaliação do Poder Judiciário brasileiro.</w:t>
      </w:r>
      <w:r w:rsidRPr="00453804">
        <w:rPr>
          <w:rFonts w:asciiTheme="minorHAnsi" w:hAnsiTheme="minorHAnsi" w:cstheme="minorHAnsi"/>
        </w:rPr>
        <w:t xml:space="preserve"> Brasília: CNJ, 2023. Disponível em: &lt;</w:t>
      </w:r>
      <w:hyperlink r:id="rId123">
        <w:r w:rsidRPr="00453804">
          <w:rPr>
            <w:rFonts w:asciiTheme="minorHAnsi" w:hAnsiTheme="minorHAnsi" w:cstheme="minorHAnsi"/>
          </w:rPr>
          <w:t>https://www.cnj.jus.br/wp-content/uploads/2023/04/relatorio-pesquisa-percepcao-e-avaliacao-do-pjb.pdf</w:t>
        </w:r>
      </w:hyperlink>
      <w:r w:rsidRPr="00453804">
        <w:rPr>
          <w:rFonts w:asciiTheme="minorHAnsi" w:hAnsiTheme="minorHAnsi" w:cstheme="minorHAnsi"/>
        </w:rPr>
        <w:t>&gt;. Acesso em: 08 mai. 2025.</w:t>
      </w:r>
    </w:p>
    <w:p w14:paraId="70D43926" w14:textId="77777777" w:rsidR="00686D68" w:rsidRDefault="00686D68" w:rsidP="009E75A5">
      <w:pPr>
        <w:jc w:val="both"/>
        <w:rPr>
          <w:rFonts w:asciiTheme="minorHAnsi" w:hAnsiTheme="minorHAnsi" w:cstheme="minorHAnsi"/>
        </w:rPr>
      </w:pPr>
    </w:p>
    <w:p w14:paraId="4824A4E0" w14:textId="77777777" w:rsidR="00686D68" w:rsidRPr="00453804" w:rsidRDefault="00686D68" w:rsidP="00686D68">
      <w:pPr>
        <w:jc w:val="both"/>
        <w:rPr>
          <w:rFonts w:asciiTheme="minorHAnsi" w:hAnsiTheme="minorHAnsi" w:cstheme="minorHAnsi"/>
        </w:rPr>
      </w:pPr>
      <w:r w:rsidRPr="00453804">
        <w:rPr>
          <w:rFonts w:asciiTheme="minorHAnsi" w:hAnsiTheme="minorHAnsi" w:cstheme="minorHAnsi"/>
        </w:rPr>
        <w:t xml:space="preserve">BRASIL. Conselho Nacional de Justiça. </w:t>
      </w:r>
      <w:r w:rsidRPr="00453804">
        <w:rPr>
          <w:rFonts w:asciiTheme="minorHAnsi" w:hAnsiTheme="minorHAnsi" w:cstheme="minorHAnsi"/>
          <w:i/>
        </w:rPr>
        <w:t>Resolução nº 25</w:t>
      </w:r>
      <w:r w:rsidRPr="00453804">
        <w:rPr>
          <w:rFonts w:asciiTheme="minorHAnsi" w:hAnsiTheme="minorHAnsi" w:cstheme="minorHAnsi"/>
        </w:rPr>
        <w:t>5, de 4 de setembro de 2018. Institui a Política Nacional de Incentivo à Participação Institucional Feminina no Poder Judiciário. Brasília, DF: CNJ, 2018. Disponível em:</w:t>
      </w:r>
      <w:r>
        <w:rPr>
          <w:rFonts w:asciiTheme="minorHAnsi" w:hAnsiTheme="minorHAnsi" w:cstheme="minorHAnsi"/>
        </w:rPr>
        <w:t xml:space="preserve"> </w:t>
      </w:r>
      <w:r w:rsidRPr="00453804">
        <w:rPr>
          <w:rFonts w:asciiTheme="minorHAnsi" w:hAnsiTheme="minorHAnsi" w:cstheme="minorHAnsi"/>
        </w:rPr>
        <w:t>&lt;https://atos.cnj.jus.br/files/compilado15500920230320641880b10dcff.pdf&gt;. Acesso em: 1.º jul. 2025.</w:t>
      </w:r>
    </w:p>
    <w:p w14:paraId="4CE8778C" w14:textId="77777777" w:rsidR="00686D68" w:rsidRDefault="00686D68" w:rsidP="009E75A5">
      <w:pPr>
        <w:jc w:val="both"/>
        <w:rPr>
          <w:rFonts w:asciiTheme="minorHAnsi" w:hAnsiTheme="minorHAnsi" w:cstheme="minorHAnsi"/>
        </w:rPr>
      </w:pPr>
    </w:p>
    <w:p w14:paraId="5C8748BE" w14:textId="77777777" w:rsidR="00686D68" w:rsidRDefault="00686D68" w:rsidP="00686D68">
      <w:pPr>
        <w:jc w:val="both"/>
        <w:rPr>
          <w:rFonts w:asciiTheme="minorHAnsi" w:hAnsiTheme="minorHAnsi" w:cstheme="minorHAnsi"/>
        </w:rPr>
      </w:pPr>
      <w:r w:rsidRPr="00686D68">
        <w:rPr>
          <w:rFonts w:asciiTheme="minorHAnsi" w:hAnsiTheme="minorHAnsi" w:cstheme="minorHAnsi"/>
        </w:rPr>
        <w:t xml:space="preserve">BRASIL. Conselho Nacional de Justiça. </w:t>
      </w:r>
      <w:r w:rsidRPr="00686D68">
        <w:rPr>
          <w:rFonts w:asciiTheme="minorHAnsi" w:hAnsiTheme="minorHAnsi" w:cstheme="minorHAnsi"/>
          <w:i/>
        </w:rPr>
        <w:t>Resolução CNJ nº 321</w:t>
      </w:r>
      <w:r w:rsidRPr="00686D68">
        <w:rPr>
          <w:rFonts w:asciiTheme="minorHAnsi" w:hAnsiTheme="minorHAnsi" w:cstheme="minorHAnsi"/>
        </w:rPr>
        <w:t xml:space="preserve">, de 15 de maio de 2020. Dispõe sobre a concessão de licença-paternidade, licença à gestante e de licença a adotante para magistrados e servidores do Poder Judiciário brasileiro. Disponível em: </w:t>
      </w:r>
      <w:hyperlink r:id="rId124" w:history="1">
        <w:r w:rsidRPr="00686D68">
          <w:rPr>
            <w:rStyle w:val="Hyperlink"/>
            <w:rFonts w:asciiTheme="minorHAnsi" w:hAnsiTheme="minorHAnsi" w:cstheme="minorHAnsi"/>
          </w:rPr>
          <w:t>compilado142110202405066638e756acc7c.pdf</w:t>
        </w:r>
      </w:hyperlink>
      <w:r w:rsidRPr="00686D68">
        <w:rPr>
          <w:rFonts w:asciiTheme="minorHAnsi" w:hAnsiTheme="minorHAnsi" w:cstheme="minorHAnsi"/>
        </w:rPr>
        <w:t>. Acesso em: 25 jul. 2025</w:t>
      </w:r>
      <w:r>
        <w:rPr>
          <w:rFonts w:asciiTheme="minorHAnsi" w:hAnsiTheme="minorHAnsi" w:cstheme="minorHAnsi"/>
        </w:rPr>
        <w:t>.</w:t>
      </w:r>
    </w:p>
    <w:p w14:paraId="4CFE79AA" w14:textId="77777777" w:rsidR="00686D68" w:rsidRDefault="00686D68" w:rsidP="00686D68">
      <w:pPr>
        <w:jc w:val="both"/>
        <w:rPr>
          <w:rFonts w:asciiTheme="minorHAnsi" w:hAnsiTheme="minorHAnsi" w:cstheme="minorHAnsi"/>
        </w:rPr>
      </w:pPr>
    </w:p>
    <w:p w14:paraId="300D20FD" w14:textId="77777777" w:rsidR="00686D68" w:rsidRDefault="00686D68" w:rsidP="00686D68">
      <w:pPr>
        <w:jc w:val="both"/>
        <w:rPr>
          <w:rFonts w:asciiTheme="minorHAnsi" w:hAnsiTheme="minorHAnsi" w:cstheme="minorHAnsi"/>
        </w:rPr>
      </w:pPr>
      <w:r w:rsidRPr="00453804">
        <w:rPr>
          <w:rFonts w:asciiTheme="minorHAnsi" w:hAnsiTheme="minorHAnsi" w:cstheme="minorHAnsi"/>
        </w:rPr>
        <w:t xml:space="preserve">BRASIL. </w:t>
      </w:r>
      <w:r w:rsidRPr="00453804">
        <w:rPr>
          <w:rFonts w:asciiTheme="minorHAnsi" w:hAnsiTheme="minorHAnsi" w:cstheme="minorHAnsi"/>
          <w:i/>
        </w:rPr>
        <w:t>Constituição (1988)</w:t>
      </w:r>
      <w:r w:rsidRPr="00453804">
        <w:rPr>
          <w:rFonts w:asciiTheme="minorHAnsi" w:hAnsiTheme="minorHAnsi" w:cstheme="minorHAnsi"/>
        </w:rPr>
        <w:t>. Constituição da República Federativa do Brasil. Brasília, DF: Senado Federal, 1988. Disponível em: &lt;http://www.planalto.gov.br/ccivil_03/constituicao/constituicao.htm&gt;. Acesso em: 1.º jul. 2025.</w:t>
      </w:r>
    </w:p>
    <w:p w14:paraId="7BD83243" w14:textId="77777777" w:rsidR="00686D68" w:rsidRDefault="00686D68" w:rsidP="009E75A5">
      <w:pPr>
        <w:jc w:val="both"/>
        <w:rPr>
          <w:rFonts w:asciiTheme="minorHAnsi" w:hAnsiTheme="minorHAnsi" w:cstheme="minorHAnsi"/>
        </w:rPr>
      </w:pPr>
    </w:p>
    <w:p w14:paraId="0767D2D4" w14:textId="77777777" w:rsidR="00686D68" w:rsidRDefault="00686D68" w:rsidP="00686D68">
      <w:pPr>
        <w:jc w:val="both"/>
        <w:rPr>
          <w:rFonts w:asciiTheme="minorHAnsi" w:hAnsiTheme="minorHAnsi" w:cstheme="minorHAnsi"/>
        </w:rPr>
      </w:pPr>
      <w:r w:rsidRPr="00453804">
        <w:rPr>
          <w:rFonts w:asciiTheme="minorHAnsi" w:hAnsiTheme="minorHAnsi" w:cstheme="minorHAnsi"/>
        </w:rPr>
        <w:t xml:space="preserve">BRASIL. </w:t>
      </w:r>
      <w:r w:rsidRPr="00453804">
        <w:rPr>
          <w:rFonts w:asciiTheme="minorHAnsi" w:hAnsiTheme="minorHAnsi" w:cstheme="minorHAnsi"/>
          <w:i/>
        </w:rPr>
        <w:t>Lei nº 11.416</w:t>
      </w:r>
      <w:r w:rsidRPr="00453804">
        <w:rPr>
          <w:rFonts w:asciiTheme="minorHAnsi" w:hAnsiTheme="minorHAnsi" w:cstheme="minorHAnsi"/>
        </w:rPr>
        <w:t>, de 15 de dezembro de 2006. Dispõe sobre as Carreiras dos Servidores do Poder Judiciário da União; revoga as Leis nºs 9.421, de 24 de dezembro de 1996, 10.475, de 27 de junho de 2002, 10.417, de 5 de abril de 2002, e 10.944, de 16 de setembro de 2004; e dá outras providências. Diário Oficial da União: seção 1, Brasília, DF, 15 dez. 2006. Disponível em: &lt;https://www.planalto.gov.br/ccivil_03/_Ato2004-2006/2006/Lei/L11416.htm&gt;. Acesso em: 1.º jul. 2025.</w:t>
      </w:r>
    </w:p>
    <w:p w14:paraId="41B6D31F" w14:textId="77777777" w:rsidR="00686D68" w:rsidRDefault="00686D68" w:rsidP="009E75A5">
      <w:pPr>
        <w:jc w:val="both"/>
        <w:rPr>
          <w:rFonts w:asciiTheme="minorHAnsi" w:hAnsiTheme="minorHAnsi" w:cstheme="minorHAnsi"/>
        </w:rPr>
      </w:pPr>
    </w:p>
    <w:p w14:paraId="1DCE1E29" w14:textId="77777777" w:rsidR="00686D68" w:rsidRDefault="00686D68" w:rsidP="009E75A5">
      <w:pPr>
        <w:jc w:val="both"/>
        <w:rPr>
          <w:rFonts w:asciiTheme="minorHAnsi" w:hAnsiTheme="minorHAnsi" w:cstheme="minorHAnsi"/>
        </w:rPr>
      </w:pPr>
    </w:p>
    <w:p w14:paraId="124D9124" w14:textId="77777777" w:rsidR="00686D68" w:rsidRPr="00453804" w:rsidRDefault="00686D68" w:rsidP="00686D68">
      <w:pPr>
        <w:pStyle w:val="Textodenotaderodap"/>
        <w:jc w:val="both"/>
        <w:rPr>
          <w:rFonts w:asciiTheme="minorHAnsi" w:hAnsiTheme="minorHAnsi" w:cstheme="minorHAnsi"/>
          <w:sz w:val="24"/>
          <w:szCs w:val="24"/>
        </w:rPr>
      </w:pPr>
      <w:r w:rsidRPr="00453804">
        <w:rPr>
          <w:rFonts w:asciiTheme="minorHAnsi" w:hAnsiTheme="minorHAnsi" w:cstheme="minorHAnsi"/>
          <w:sz w:val="24"/>
          <w:szCs w:val="24"/>
        </w:rPr>
        <w:t xml:space="preserve">BRASIL. </w:t>
      </w:r>
      <w:r w:rsidRPr="00453804">
        <w:rPr>
          <w:rStyle w:val="nfase"/>
          <w:rFonts w:asciiTheme="minorHAnsi" w:hAnsiTheme="minorHAnsi" w:cstheme="minorHAnsi"/>
          <w:sz w:val="24"/>
          <w:szCs w:val="24"/>
        </w:rPr>
        <w:t>Lei nº 12.934, de 11 de dezembro de 2013</w:t>
      </w:r>
      <w:r w:rsidRPr="00453804">
        <w:rPr>
          <w:rFonts w:asciiTheme="minorHAnsi" w:hAnsiTheme="minorHAnsi" w:cstheme="minorHAnsi"/>
          <w:sz w:val="24"/>
          <w:szCs w:val="24"/>
        </w:rPr>
        <w:t>. Cria cargos em comissão e funções comissionadas no âmbito do Conselho Superior da Justiça do Trabalho – CSJT, e dá outras providências. Diário Oficial da União: seção 1, Brasília, DF, ano 150, n. 241, p. 1, 12 dez. 2013. Disponível em: &lt;</w:t>
      </w:r>
      <w:hyperlink r:id="rId125" w:anchor=":~:text=LEI%20N%C2%BA%2012.934%2C%20DE%2027,Art" w:history="1">
        <w:r w:rsidRPr="00453804">
          <w:rPr>
            <w:rStyle w:val="Hyperlink"/>
            <w:rFonts w:asciiTheme="minorHAnsi" w:hAnsiTheme="minorHAnsi" w:cstheme="minorHAnsi"/>
            <w:color w:val="auto"/>
            <w:sz w:val="24"/>
            <w:szCs w:val="24"/>
            <w:u w:val="none"/>
          </w:rPr>
          <w:t>https://www.planalto.gov.br/ccivil_03/_Ato2011-2014/2013/Lei/L12934.htm#:~:text=LEI%20N%C2%BA%2012.934%2C%20DE%2027,Art</w:t>
        </w:r>
      </w:hyperlink>
      <w:r w:rsidRPr="00453804">
        <w:rPr>
          <w:rFonts w:asciiTheme="minorHAnsi" w:hAnsiTheme="minorHAnsi" w:cstheme="minorHAnsi"/>
          <w:sz w:val="24"/>
          <w:szCs w:val="24"/>
        </w:rPr>
        <w:t xml:space="preserve">.&gt;. </w:t>
      </w:r>
    </w:p>
    <w:p w14:paraId="44C5CDF2" w14:textId="77777777" w:rsidR="00686D68" w:rsidRPr="00453804" w:rsidRDefault="00686D68" w:rsidP="00686D68">
      <w:pPr>
        <w:pStyle w:val="Textodenotaderodap"/>
        <w:jc w:val="both"/>
        <w:rPr>
          <w:rFonts w:asciiTheme="minorHAnsi" w:hAnsiTheme="minorHAnsi" w:cstheme="minorHAnsi"/>
          <w:sz w:val="24"/>
          <w:szCs w:val="24"/>
        </w:rPr>
      </w:pPr>
      <w:r w:rsidRPr="00453804">
        <w:rPr>
          <w:rFonts w:asciiTheme="minorHAnsi" w:hAnsiTheme="minorHAnsi" w:cstheme="minorHAnsi"/>
          <w:sz w:val="24"/>
          <w:szCs w:val="24"/>
        </w:rPr>
        <w:t>Acesso em: 08 ago. 2025</w:t>
      </w:r>
    </w:p>
    <w:p w14:paraId="182D060B" w14:textId="77777777" w:rsidR="00686D68" w:rsidRPr="00453804" w:rsidRDefault="00686D68" w:rsidP="009E75A5">
      <w:pPr>
        <w:jc w:val="both"/>
        <w:rPr>
          <w:rFonts w:asciiTheme="minorHAnsi" w:hAnsiTheme="minorHAnsi" w:cstheme="minorHAnsi"/>
        </w:rPr>
      </w:pPr>
    </w:p>
    <w:p w14:paraId="544710D7" w14:textId="5FF44D17" w:rsidR="000B3646" w:rsidRDefault="000B3646"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r w:rsidRPr="00453804">
        <w:rPr>
          <w:rFonts w:asciiTheme="minorHAnsi" w:hAnsiTheme="minorHAnsi" w:cstheme="minorHAnsi"/>
        </w:rPr>
        <w:t>BRASIL. Tribunal Regional do Trabalho da 5.ª Região (TRT-5). Microagressões: o que são e como combatê-las. Salvador: TRT5, 2023. Disponível em: &lt;https://www.trt5.jus.br/sites/default/files/intra/microagressoes.pdf&gt;. Acesso em: 2 jun. 2025.</w:t>
      </w:r>
    </w:p>
    <w:p w14:paraId="23DD521D" w14:textId="77777777" w:rsidR="009E75A5" w:rsidRPr="00453804" w:rsidRDefault="009E75A5"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p>
    <w:p w14:paraId="402A3622" w14:textId="3A3E498A" w:rsidR="000B3646" w:rsidRPr="00453804" w:rsidRDefault="000B3646" w:rsidP="009E75A5">
      <w:pPr>
        <w:jc w:val="both"/>
        <w:rPr>
          <w:rFonts w:asciiTheme="minorHAnsi" w:hAnsiTheme="minorHAnsi" w:cstheme="minorHAnsi"/>
        </w:rPr>
      </w:pPr>
      <w:r w:rsidRPr="00453804">
        <w:rPr>
          <w:rFonts w:asciiTheme="minorHAnsi" w:hAnsiTheme="minorHAnsi" w:cstheme="minorHAnsi"/>
        </w:rPr>
        <w:t xml:space="preserve">BRASIL. Tribunal Superior do Trabalho (TST). </w:t>
      </w:r>
      <w:r w:rsidRPr="00453804">
        <w:rPr>
          <w:rFonts w:asciiTheme="minorHAnsi" w:hAnsiTheme="minorHAnsi" w:cstheme="minorHAnsi"/>
          <w:i/>
        </w:rPr>
        <w:t>Microagressões de gênero</w:t>
      </w:r>
      <w:r w:rsidRPr="00453804">
        <w:rPr>
          <w:rFonts w:asciiTheme="minorHAnsi" w:hAnsiTheme="minorHAnsi" w:cstheme="minorHAnsi"/>
        </w:rPr>
        <w:t>: como elas operam nas relações trabalhistas</w:t>
      </w:r>
      <w:r w:rsidRPr="00453804">
        <w:rPr>
          <w:rFonts w:asciiTheme="minorHAnsi" w:hAnsiTheme="minorHAnsi" w:cstheme="minorHAnsi"/>
          <w:i/>
        </w:rPr>
        <w:t>.</w:t>
      </w:r>
      <w:r w:rsidRPr="00453804">
        <w:rPr>
          <w:rFonts w:asciiTheme="minorHAnsi" w:hAnsiTheme="minorHAnsi" w:cstheme="minorHAnsi"/>
        </w:rPr>
        <w:t xml:space="preserve"> Brasília, DF: TST, (2024). Disponível em: &lt;</w:t>
      </w:r>
      <w:hyperlink r:id="rId126">
        <w:r w:rsidRPr="00453804">
          <w:rPr>
            <w:rFonts w:asciiTheme="minorHAnsi" w:hAnsiTheme="minorHAnsi" w:cstheme="minorHAnsi"/>
          </w:rPr>
          <w:t>https://www.tst.jus.br/-/microagress%C3%B5es-de-g%C3%AAnero-como-elas-operam-nas-rela%C3%A7%C3%B5es-trabalhistas</w:t>
        </w:r>
      </w:hyperlink>
      <w:r w:rsidRPr="00453804">
        <w:rPr>
          <w:rFonts w:asciiTheme="minorHAnsi" w:hAnsiTheme="minorHAnsi" w:cstheme="minorHAnsi"/>
        </w:rPr>
        <w:t>&gt;. Acesso em: 2 jun. 2025.</w:t>
      </w:r>
    </w:p>
    <w:p w14:paraId="390D3168" w14:textId="77777777" w:rsidR="001C6ABC" w:rsidRDefault="001C6ABC" w:rsidP="009E75A5">
      <w:pPr>
        <w:jc w:val="both"/>
        <w:rPr>
          <w:rFonts w:asciiTheme="minorHAnsi" w:hAnsiTheme="minorHAnsi" w:cstheme="minorHAnsi"/>
        </w:rPr>
      </w:pPr>
    </w:p>
    <w:p w14:paraId="7192A1EF" w14:textId="02981957" w:rsidR="000B3646" w:rsidRPr="00453804" w:rsidRDefault="000B3646" w:rsidP="009E75A5">
      <w:pPr>
        <w:jc w:val="both"/>
        <w:rPr>
          <w:rFonts w:asciiTheme="minorHAnsi" w:hAnsiTheme="minorHAnsi" w:cstheme="minorHAnsi"/>
        </w:rPr>
      </w:pPr>
      <w:r w:rsidRPr="00453804">
        <w:rPr>
          <w:rFonts w:asciiTheme="minorHAnsi" w:hAnsiTheme="minorHAnsi" w:cstheme="minorHAnsi"/>
        </w:rPr>
        <w:lastRenderedPageBreak/>
        <w:t xml:space="preserve">BRASIL. Tribunal Superior do Trabalho. </w:t>
      </w:r>
      <w:r w:rsidRPr="00453804">
        <w:rPr>
          <w:rFonts w:asciiTheme="minorHAnsi" w:hAnsiTheme="minorHAnsi" w:cstheme="minorHAnsi"/>
          <w:i/>
        </w:rPr>
        <w:t>Ato n. 597/DILEP.CIF.SEGPES.GDGSET.GP</w:t>
      </w:r>
      <w:r w:rsidRPr="00453804">
        <w:rPr>
          <w:rFonts w:asciiTheme="minorHAnsi" w:hAnsiTheme="minorHAnsi" w:cstheme="minorHAnsi"/>
        </w:rPr>
        <w:t>, de 13 de dezembro de 2016. Dispõe sobre a concessão e prorrogação das licenças à gestante e ao adotante no âmbito do Tribunal Superior do Trabalho. Boletim Interno [do] Tribunal Superior do Trabalho, Brasília, DF, n. 50, p. 12-14, 16 dez. 2016. Disponível em: https://juslaboris.tst.jus.br/handle/20.500.12178/99299. Acesso em: 25 jul. 2025.</w:t>
      </w:r>
    </w:p>
    <w:p w14:paraId="4A2D307B" w14:textId="77777777" w:rsidR="001C6ABC" w:rsidRDefault="001C6ABC" w:rsidP="009E75A5">
      <w:pPr>
        <w:pStyle w:val="Textodenotaderodap"/>
        <w:jc w:val="both"/>
        <w:rPr>
          <w:rFonts w:asciiTheme="minorHAnsi" w:eastAsia="Calibri" w:hAnsiTheme="minorHAnsi" w:cstheme="minorHAnsi"/>
          <w:bCs/>
          <w:sz w:val="24"/>
          <w:szCs w:val="24"/>
          <w:lang w:eastAsia="en-US"/>
        </w:rPr>
      </w:pPr>
    </w:p>
    <w:p w14:paraId="113B91E7" w14:textId="62386203" w:rsidR="00524B47" w:rsidRPr="00453804" w:rsidRDefault="00CD2A09" w:rsidP="009E75A5">
      <w:pPr>
        <w:pStyle w:val="Textodenotaderodap"/>
        <w:jc w:val="both"/>
        <w:rPr>
          <w:rFonts w:asciiTheme="minorHAnsi" w:eastAsia="Calibri" w:hAnsiTheme="minorHAnsi" w:cstheme="minorHAnsi"/>
          <w:sz w:val="24"/>
          <w:szCs w:val="24"/>
          <w:lang w:eastAsia="en-US"/>
        </w:rPr>
      </w:pPr>
      <w:r w:rsidRPr="00453804">
        <w:rPr>
          <w:rFonts w:asciiTheme="minorHAnsi" w:eastAsia="Calibri" w:hAnsiTheme="minorHAnsi" w:cstheme="minorHAnsi"/>
          <w:bCs/>
          <w:sz w:val="24"/>
          <w:szCs w:val="24"/>
          <w:lang w:eastAsia="en-US"/>
        </w:rPr>
        <w:t>BRASIL. Tribunal Superior do Trabalho.</w:t>
      </w:r>
      <w:r w:rsidRPr="00453804">
        <w:rPr>
          <w:rFonts w:asciiTheme="minorHAnsi" w:eastAsia="Calibri" w:hAnsiTheme="minorHAnsi" w:cstheme="minorHAnsi"/>
          <w:sz w:val="24"/>
          <w:szCs w:val="24"/>
          <w:lang w:eastAsia="en-US"/>
        </w:rPr>
        <w:t xml:space="preserve"> Resolução Administrativa nº 2.697, de 11 de abril de 2025. Referenda o Ato GDGSET.GP nº 155, de 27 de março de 2025, que transforma unidades administrativas e altera os anexos da Resolução Administrativa nº 2.320, de 16 de maio de 2022. </w:t>
      </w:r>
      <w:r w:rsidRPr="00453804">
        <w:rPr>
          <w:rFonts w:asciiTheme="minorHAnsi" w:eastAsia="Calibri" w:hAnsiTheme="minorHAnsi" w:cstheme="minorHAnsi"/>
          <w:i/>
          <w:iCs/>
          <w:sz w:val="24"/>
          <w:szCs w:val="24"/>
          <w:lang w:eastAsia="en-US"/>
        </w:rPr>
        <w:t>Diário Eletrônico da Justiça do Trabalho</w:t>
      </w:r>
      <w:r w:rsidRPr="00453804">
        <w:rPr>
          <w:rFonts w:asciiTheme="minorHAnsi" w:eastAsia="Calibri" w:hAnsiTheme="minorHAnsi" w:cstheme="minorHAnsi"/>
          <w:sz w:val="24"/>
          <w:szCs w:val="24"/>
          <w:lang w:eastAsia="en-US"/>
        </w:rPr>
        <w:t>, Brasília, DF, 11 abr. 2025. Disponível em: &lt;</w:t>
      </w:r>
      <w:hyperlink r:id="rId127" w:history="1">
        <w:r w:rsidRPr="00453804">
          <w:rPr>
            <w:rStyle w:val="Hyperlink"/>
            <w:rFonts w:asciiTheme="minorHAnsi" w:eastAsia="Calibri" w:hAnsiTheme="minorHAnsi" w:cstheme="minorHAnsi"/>
            <w:color w:val="auto"/>
            <w:sz w:val="24"/>
            <w:szCs w:val="24"/>
            <w:u w:val="none"/>
            <w:lang w:eastAsia="en-US"/>
          </w:rPr>
          <w:t>https://juslaboris.tst.jus.br/bitstream/handle/20.500.12178/248516/2025_ra2697.pdf?sequence=1&amp;isAllowed=y</w:t>
        </w:r>
      </w:hyperlink>
      <w:r w:rsidRPr="00453804">
        <w:rPr>
          <w:rFonts w:asciiTheme="minorHAnsi" w:eastAsia="Calibri" w:hAnsiTheme="minorHAnsi" w:cstheme="minorHAnsi"/>
          <w:sz w:val="24"/>
          <w:szCs w:val="24"/>
          <w:lang w:eastAsia="en-US"/>
        </w:rPr>
        <w:t>&gt;  A</w:t>
      </w:r>
      <w:r w:rsidRPr="00453804">
        <w:rPr>
          <w:rFonts w:asciiTheme="minorHAnsi" w:hAnsiTheme="minorHAnsi" w:cstheme="minorHAnsi"/>
          <w:sz w:val="24"/>
          <w:szCs w:val="24"/>
        </w:rPr>
        <w:t xml:space="preserve">cesso em: </w:t>
      </w:r>
      <w:r w:rsidRPr="00453804">
        <w:rPr>
          <w:rFonts w:asciiTheme="minorHAnsi" w:eastAsia="Calibri" w:hAnsiTheme="minorHAnsi" w:cstheme="minorHAnsi"/>
          <w:sz w:val="24"/>
          <w:szCs w:val="24"/>
          <w:lang w:eastAsia="en-US"/>
        </w:rPr>
        <w:t>04 ago. 2025.</w:t>
      </w:r>
    </w:p>
    <w:p w14:paraId="66E90EDE" w14:textId="77777777" w:rsidR="00C5556F" w:rsidRPr="00453804" w:rsidRDefault="00C5556F" w:rsidP="009E75A5">
      <w:pPr>
        <w:pStyle w:val="NormalWeb"/>
        <w:spacing w:before="0" w:beforeAutospacing="0" w:after="0" w:afterAutospacing="0"/>
        <w:jc w:val="both"/>
        <w:rPr>
          <w:rFonts w:asciiTheme="minorHAnsi" w:hAnsiTheme="minorHAnsi" w:cstheme="minorHAnsi"/>
        </w:rPr>
      </w:pPr>
    </w:p>
    <w:p w14:paraId="4F80133D" w14:textId="1A8B23CC" w:rsidR="00C5556F" w:rsidRPr="00453804" w:rsidRDefault="00C5556F" w:rsidP="009E75A5">
      <w:pPr>
        <w:pStyle w:val="NormalWeb"/>
        <w:spacing w:before="0" w:beforeAutospacing="0" w:after="0" w:afterAutospacing="0"/>
        <w:jc w:val="both"/>
        <w:rPr>
          <w:rFonts w:asciiTheme="minorHAnsi" w:hAnsiTheme="minorHAnsi" w:cstheme="minorHAnsi"/>
        </w:rPr>
      </w:pPr>
      <w:r w:rsidRPr="00453804">
        <w:rPr>
          <w:rFonts w:asciiTheme="minorHAnsi" w:hAnsiTheme="minorHAnsi" w:cstheme="minorHAnsi"/>
        </w:rPr>
        <w:t xml:space="preserve">BRASIL. </w:t>
      </w:r>
      <w:r w:rsidRPr="00453804">
        <w:rPr>
          <w:rStyle w:val="Forte"/>
          <w:rFonts w:asciiTheme="minorHAnsi" w:hAnsiTheme="minorHAnsi" w:cstheme="minorHAnsi"/>
          <w:color w:val="auto"/>
          <w:sz w:val="24"/>
          <w:szCs w:val="24"/>
        </w:rPr>
        <w:t>Tribunal Superior do Trabalho.</w:t>
      </w:r>
      <w:r w:rsidRPr="00453804">
        <w:rPr>
          <w:rFonts w:asciiTheme="minorHAnsi" w:hAnsiTheme="minorHAnsi" w:cstheme="minorHAnsi"/>
        </w:rPr>
        <w:t xml:space="preserve"> </w:t>
      </w:r>
      <w:r w:rsidRPr="00453804">
        <w:rPr>
          <w:rFonts w:asciiTheme="minorHAnsi" w:hAnsiTheme="minorHAnsi" w:cstheme="minorHAnsi"/>
          <w:i/>
          <w:iCs/>
        </w:rPr>
        <w:t>Estrutura Organizacional</w:t>
      </w:r>
      <w:r w:rsidRPr="00453804">
        <w:rPr>
          <w:rFonts w:asciiTheme="minorHAnsi" w:hAnsiTheme="minorHAnsi" w:cstheme="minorHAnsi"/>
        </w:rPr>
        <w:t>. Disponível em: &lt;</w:t>
      </w:r>
      <w:hyperlink r:id="rId128" w:history="1">
        <w:r w:rsidRPr="00453804">
          <w:rPr>
            <w:rStyle w:val="Hyperlink"/>
            <w:rFonts w:asciiTheme="minorHAnsi" w:hAnsiTheme="minorHAnsi" w:cstheme="minorHAnsi"/>
            <w:color w:val="auto"/>
            <w:u w:val="none"/>
          </w:rPr>
          <w:t>https://organograma.tst.jus.br/</w:t>
        </w:r>
      </w:hyperlink>
      <w:r w:rsidRPr="00453804">
        <w:rPr>
          <w:rFonts w:asciiTheme="minorHAnsi" w:hAnsiTheme="minorHAnsi" w:cstheme="minorHAnsi"/>
        </w:rPr>
        <w:t>&gt;. Acesso em: 14 ago. 2025.</w:t>
      </w:r>
    </w:p>
    <w:p w14:paraId="7E487CA6" w14:textId="77777777" w:rsidR="00913779" w:rsidRPr="00453804" w:rsidRDefault="00913779" w:rsidP="009E75A5">
      <w:pPr>
        <w:pStyle w:val="Textodenotaderodap"/>
        <w:jc w:val="both"/>
        <w:rPr>
          <w:rFonts w:asciiTheme="minorHAnsi" w:hAnsiTheme="minorHAnsi" w:cstheme="minorHAnsi"/>
          <w:sz w:val="24"/>
          <w:szCs w:val="24"/>
        </w:rPr>
      </w:pPr>
    </w:p>
    <w:p w14:paraId="45A94833" w14:textId="3313FE10" w:rsidR="00913779" w:rsidRDefault="00913779" w:rsidP="009E75A5">
      <w:pPr>
        <w:pStyle w:val="Textodenotaderodap"/>
        <w:jc w:val="both"/>
        <w:rPr>
          <w:rFonts w:asciiTheme="minorHAnsi" w:eastAsia="Calibri" w:hAnsiTheme="minorHAnsi" w:cstheme="minorHAnsi"/>
          <w:sz w:val="24"/>
          <w:szCs w:val="24"/>
          <w:lang w:eastAsia="en-US"/>
        </w:rPr>
      </w:pPr>
      <w:r w:rsidRPr="00453804">
        <w:rPr>
          <w:rFonts w:asciiTheme="minorHAnsi" w:hAnsiTheme="minorHAnsi" w:cstheme="minorHAnsi"/>
          <w:sz w:val="24"/>
          <w:szCs w:val="24"/>
        </w:rPr>
        <w:t xml:space="preserve">BRASIL. Tribunal Superior do Trabalho. </w:t>
      </w:r>
      <w:r w:rsidRPr="00453804">
        <w:rPr>
          <w:rStyle w:val="nfase"/>
          <w:rFonts w:asciiTheme="minorHAnsi" w:hAnsiTheme="minorHAnsi" w:cstheme="minorHAnsi"/>
          <w:sz w:val="24"/>
          <w:szCs w:val="24"/>
        </w:rPr>
        <w:t>Protocolo de Cooperação nº 1/2023, celebrado entre o TST e o CSJT</w:t>
      </w:r>
      <w:r w:rsidRPr="00453804">
        <w:rPr>
          <w:rFonts w:asciiTheme="minorHAnsi" w:hAnsiTheme="minorHAnsi" w:cstheme="minorHAnsi"/>
          <w:sz w:val="24"/>
          <w:szCs w:val="24"/>
        </w:rPr>
        <w:t>. Disponível em: &lt;</w:t>
      </w:r>
      <w:hyperlink r:id="rId129" w:history="1">
        <w:r w:rsidRPr="00453804">
          <w:rPr>
            <w:rStyle w:val="Hyperlink"/>
            <w:rFonts w:asciiTheme="minorHAnsi" w:hAnsiTheme="minorHAnsi" w:cstheme="minorHAnsi"/>
            <w:color w:val="auto"/>
            <w:sz w:val="24"/>
            <w:szCs w:val="24"/>
            <w:u w:val="none"/>
          </w:rPr>
          <w:t>https://www.csjt.jus.br/documents/955023/11270243/01+-+PROTOCOLO+DE+COOPERA%C3%87%C3%83O+T%C3%89CNICA+N%C2%BA+1+de+2023+-+CSJT+e+TST+-+assinado+SEI.pdf/3b515da7-3cb5-fb0b-a24d-d5b752995e27?t=1709933264784</w:t>
        </w:r>
      </w:hyperlink>
      <w:r w:rsidRPr="00453804">
        <w:rPr>
          <w:rFonts w:asciiTheme="minorHAnsi" w:hAnsiTheme="minorHAnsi" w:cstheme="minorHAnsi"/>
          <w:sz w:val="24"/>
          <w:szCs w:val="24"/>
        </w:rPr>
        <w:t>&gt;. Acesso em: 8 ago. 2025.</w:t>
      </w:r>
    </w:p>
    <w:p w14:paraId="2106771E" w14:textId="77777777" w:rsidR="00094D46" w:rsidRPr="00453804" w:rsidRDefault="00094D46" w:rsidP="009E75A5">
      <w:pPr>
        <w:pStyle w:val="Textodenotaderodap"/>
        <w:jc w:val="both"/>
        <w:rPr>
          <w:rFonts w:asciiTheme="minorHAnsi" w:eastAsia="Calibri" w:hAnsiTheme="minorHAnsi" w:cstheme="minorHAnsi"/>
          <w:sz w:val="24"/>
          <w:szCs w:val="24"/>
          <w:lang w:eastAsia="en-US"/>
        </w:rPr>
      </w:pPr>
    </w:p>
    <w:p w14:paraId="43915989" w14:textId="2010C8CB" w:rsidR="000B3646" w:rsidRPr="00453804" w:rsidRDefault="000B3646" w:rsidP="009E75A5">
      <w:pPr>
        <w:jc w:val="both"/>
        <w:rPr>
          <w:rFonts w:asciiTheme="minorHAnsi" w:hAnsiTheme="minorHAnsi" w:cstheme="minorHAnsi"/>
        </w:rPr>
      </w:pPr>
      <w:r w:rsidRPr="00453804">
        <w:rPr>
          <w:rFonts w:asciiTheme="minorHAnsi" w:hAnsiTheme="minorHAnsi" w:cstheme="minorHAnsi"/>
        </w:rPr>
        <w:t xml:space="preserve">BURLE, F. R; TURGEON, M. Ação afirmativa e desejabilidade social. </w:t>
      </w:r>
      <w:r w:rsidRPr="00453804">
        <w:rPr>
          <w:rFonts w:asciiTheme="minorHAnsi" w:hAnsiTheme="minorHAnsi" w:cstheme="minorHAnsi"/>
          <w:i/>
        </w:rPr>
        <w:t>Opinião Pública</w:t>
      </w:r>
      <w:r w:rsidRPr="00453804">
        <w:rPr>
          <w:rFonts w:asciiTheme="minorHAnsi" w:hAnsiTheme="minorHAnsi" w:cstheme="minorHAnsi"/>
        </w:rPr>
        <w:t xml:space="preserve">, Campinas, v. 26, n. 2, p. 283-322, 2020. </w:t>
      </w:r>
    </w:p>
    <w:p w14:paraId="42A9C662" w14:textId="77777777" w:rsidR="001C6ABC" w:rsidRDefault="001C6ABC" w:rsidP="009E75A5">
      <w:pPr>
        <w:jc w:val="both"/>
        <w:rPr>
          <w:rFonts w:asciiTheme="minorHAnsi" w:hAnsiTheme="minorHAnsi" w:cstheme="minorHAnsi"/>
        </w:rPr>
      </w:pPr>
    </w:p>
    <w:p w14:paraId="2E1C693B" w14:textId="3EF3D157" w:rsidR="000B3646" w:rsidRDefault="000B3646" w:rsidP="009E75A5">
      <w:pPr>
        <w:jc w:val="both"/>
        <w:rPr>
          <w:rFonts w:asciiTheme="minorHAnsi" w:hAnsiTheme="minorHAnsi" w:cstheme="minorHAnsi"/>
        </w:rPr>
      </w:pPr>
      <w:r w:rsidRPr="00453804">
        <w:rPr>
          <w:rFonts w:asciiTheme="minorHAnsi" w:hAnsiTheme="minorHAnsi" w:cstheme="minorHAnsi"/>
        </w:rPr>
        <w:t xml:space="preserve">CARLOMAGNO, M. C. Conduzindo pesquisas com questionários online: uma introdução às questões metodológicas. In: SILVA, T.; BUCKSTEGGE, J.; ROGEDO, P. (Orgs.). </w:t>
      </w:r>
      <w:r w:rsidRPr="00453804">
        <w:rPr>
          <w:rFonts w:asciiTheme="minorHAnsi" w:hAnsiTheme="minorHAnsi" w:cstheme="minorHAnsi"/>
          <w:i/>
        </w:rPr>
        <w:t>Estudando cultura e comunicação com mídias sociais</w:t>
      </w:r>
      <w:r w:rsidRPr="00453804">
        <w:rPr>
          <w:rFonts w:asciiTheme="minorHAnsi" w:hAnsiTheme="minorHAnsi" w:cstheme="minorHAnsi"/>
        </w:rPr>
        <w:t>. Brasília: IBPAD, 2018.</w:t>
      </w:r>
    </w:p>
    <w:p w14:paraId="34CEBD55" w14:textId="77777777" w:rsidR="009E75A5" w:rsidRPr="00453804" w:rsidRDefault="009E75A5" w:rsidP="009E75A5">
      <w:pPr>
        <w:jc w:val="both"/>
        <w:rPr>
          <w:rFonts w:asciiTheme="minorHAnsi" w:hAnsiTheme="minorHAnsi" w:cstheme="minorHAnsi"/>
        </w:rPr>
      </w:pPr>
    </w:p>
    <w:p w14:paraId="4E48E5F9" w14:textId="603EEF85" w:rsidR="000B3646" w:rsidRDefault="000B3646" w:rsidP="009E75A5">
      <w:pPr>
        <w:jc w:val="both"/>
        <w:rPr>
          <w:rFonts w:asciiTheme="minorHAnsi" w:hAnsiTheme="minorHAnsi" w:cstheme="minorHAnsi"/>
        </w:rPr>
      </w:pPr>
      <w:r w:rsidRPr="00453804">
        <w:rPr>
          <w:rFonts w:asciiTheme="minorHAnsi" w:hAnsiTheme="minorHAnsi" w:cstheme="minorHAnsi"/>
        </w:rPr>
        <w:t xml:space="preserve">CORRÊA, L. S. Envelhecimento feminino e etarismo nas organizações: o desafio da mulher madura no mundo do trabalho. </w:t>
      </w:r>
      <w:r w:rsidRPr="00453804">
        <w:rPr>
          <w:rFonts w:asciiTheme="minorHAnsi" w:hAnsiTheme="minorHAnsi" w:cstheme="minorHAnsi"/>
          <w:i/>
        </w:rPr>
        <w:t>Organicom</w:t>
      </w:r>
      <w:r w:rsidRPr="00453804">
        <w:rPr>
          <w:rFonts w:asciiTheme="minorHAnsi" w:hAnsiTheme="minorHAnsi" w:cstheme="minorHAnsi"/>
        </w:rPr>
        <w:t xml:space="preserve">, São Paulo, Brasil, v. 20, n. 41, p. 120–134, 2023. </w:t>
      </w:r>
    </w:p>
    <w:p w14:paraId="5804428E" w14:textId="77777777" w:rsidR="004720BD" w:rsidRDefault="004720BD" w:rsidP="009E75A5">
      <w:pPr>
        <w:jc w:val="both"/>
        <w:rPr>
          <w:rFonts w:cstheme="minorHAnsi"/>
          <w:sz w:val="20"/>
          <w:szCs w:val="20"/>
        </w:rPr>
      </w:pPr>
    </w:p>
    <w:p w14:paraId="367A1C1A" w14:textId="0594E093" w:rsidR="004720BD" w:rsidRDefault="004720BD" w:rsidP="009E75A5">
      <w:pPr>
        <w:jc w:val="both"/>
        <w:rPr>
          <w:rFonts w:cstheme="minorHAnsi"/>
        </w:rPr>
      </w:pPr>
      <w:r w:rsidRPr="004C18DD">
        <w:rPr>
          <w:rFonts w:asciiTheme="minorHAnsi" w:hAnsiTheme="minorHAnsi" w:cstheme="minorHAnsi"/>
        </w:rPr>
        <w:t xml:space="preserve">DAVIS, Angela. </w:t>
      </w:r>
      <w:r w:rsidRPr="004C18DD">
        <w:rPr>
          <w:rStyle w:val="nfase"/>
          <w:rFonts w:asciiTheme="minorHAnsi" w:hAnsiTheme="minorHAnsi" w:cstheme="minorHAnsi"/>
        </w:rPr>
        <w:t>Mulheres, raça e classe</w:t>
      </w:r>
      <w:r w:rsidRPr="004C18DD">
        <w:rPr>
          <w:rFonts w:asciiTheme="minorHAnsi" w:hAnsiTheme="minorHAnsi" w:cstheme="minorHAnsi"/>
        </w:rPr>
        <w:t xml:space="preserve">. São Paulo: Boitempo, 2016. </w:t>
      </w:r>
    </w:p>
    <w:p w14:paraId="062C866E" w14:textId="77777777" w:rsidR="001C6ABC" w:rsidRDefault="001C6ABC" w:rsidP="009E75A5">
      <w:pPr>
        <w:jc w:val="both"/>
        <w:rPr>
          <w:rFonts w:asciiTheme="minorHAnsi" w:hAnsiTheme="minorHAnsi" w:cstheme="minorHAnsi"/>
        </w:rPr>
      </w:pPr>
    </w:p>
    <w:p w14:paraId="15669B6B" w14:textId="6977A44B" w:rsidR="000B3646" w:rsidRPr="00453804" w:rsidRDefault="000B3646" w:rsidP="009E75A5">
      <w:pPr>
        <w:jc w:val="both"/>
        <w:rPr>
          <w:rFonts w:asciiTheme="minorHAnsi" w:hAnsiTheme="minorHAnsi" w:cstheme="minorHAnsi"/>
        </w:rPr>
      </w:pPr>
      <w:r w:rsidRPr="00453804">
        <w:rPr>
          <w:rFonts w:asciiTheme="minorHAnsi" w:hAnsiTheme="minorHAnsi" w:cstheme="minorHAnsi"/>
        </w:rPr>
        <w:t xml:space="preserve">DINIZ, A.; MOREIRA, J.; CASTRO, L. P; SANDIM, T. </w:t>
      </w:r>
      <w:r w:rsidRPr="00453804">
        <w:rPr>
          <w:rFonts w:asciiTheme="minorHAnsi" w:hAnsiTheme="minorHAnsi" w:cstheme="minorHAnsi"/>
          <w:i/>
          <w:iCs/>
        </w:rPr>
        <w:t>Desigualdade de gênero em cargos de liderança no Executivo Federal. Movimento Pessoas à Frente, 2023</w:t>
      </w:r>
      <w:r w:rsidRPr="00453804">
        <w:rPr>
          <w:rFonts w:asciiTheme="minorHAnsi" w:hAnsiTheme="minorHAnsi" w:cstheme="minorHAnsi"/>
        </w:rPr>
        <w:t>. Disponível em: &lt;</w:t>
      </w:r>
      <w:hyperlink r:id="rId130">
        <w:r w:rsidRPr="00453804">
          <w:rPr>
            <w:rFonts w:asciiTheme="minorHAnsi" w:hAnsiTheme="minorHAnsi" w:cstheme="minorHAnsi"/>
          </w:rPr>
          <w:t>https://movimentopessoasafrente.org.br/wp-content/uploads/2024/04/desigualdade-de-genero-em-cargos-de-lideranca-no-executivo-federal.pdf</w:t>
        </w:r>
      </w:hyperlink>
      <w:r w:rsidRPr="00453804">
        <w:rPr>
          <w:rFonts w:asciiTheme="minorHAnsi" w:hAnsiTheme="minorHAnsi" w:cstheme="minorHAnsi"/>
        </w:rPr>
        <w:t>&gt;. Acesso em: 23 jun. 2025.</w:t>
      </w:r>
    </w:p>
    <w:p w14:paraId="1AB45B45" w14:textId="77777777" w:rsidR="001C6ABC" w:rsidRDefault="001C6ABC" w:rsidP="009E75A5">
      <w:pPr>
        <w:jc w:val="both"/>
        <w:rPr>
          <w:rFonts w:asciiTheme="minorHAnsi" w:hAnsiTheme="minorHAnsi" w:cstheme="minorHAnsi"/>
        </w:rPr>
      </w:pPr>
    </w:p>
    <w:p w14:paraId="6C6683DB" w14:textId="77777777" w:rsidR="001C6ABC" w:rsidRDefault="000B3646" w:rsidP="009E75A5">
      <w:pPr>
        <w:jc w:val="both"/>
        <w:rPr>
          <w:rFonts w:asciiTheme="minorHAnsi" w:hAnsiTheme="minorHAnsi" w:cstheme="minorHAnsi"/>
        </w:rPr>
      </w:pPr>
      <w:r w:rsidRPr="00453804">
        <w:rPr>
          <w:rFonts w:asciiTheme="minorHAnsi" w:hAnsiTheme="minorHAnsi" w:cstheme="minorHAnsi"/>
        </w:rPr>
        <w:t xml:space="preserve">ESCOLA NACIONAL DE ADMINISTRAÇÃO PÚBLICA (ENAP). </w:t>
      </w:r>
      <w:r w:rsidRPr="00453804">
        <w:rPr>
          <w:rFonts w:asciiTheme="minorHAnsi" w:hAnsiTheme="minorHAnsi" w:cstheme="minorHAnsi"/>
          <w:i/>
        </w:rPr>
        <w:t>Datathon</w:t>
      </w:r>
      <w:r w:rsidRPr="00453804">
        <w:rPr>
          <w:rFonts w:asciiTheme="minorHAnsi" w:hAnsiTheme="minorHAnsi" w:cstheme="minorHAnsi"/>
        </w:rPr>
        <w:t>: desigualdades de gênero no serviço público. Brasília: Enap, 2024. Disponível em: &lt;</w:t>
      </w:r>
      <w:hyperlink r:id="rId131">
        <w:r w:rsidRPr="00453804">
          <w:rPr>
            <w:rFonts w:asciiTheme="minorHAnsi" w:hAnsiTheme="minorHAnsi" w:cstheme="minorHAnsi"/>
          </w:rPr>
          <w:t>https://repositorio.enap.gov.br/bitstream/1/8069/1/GNOVA%20-%20E-book%20do%20Primeiro%20Datathon_A4%20v2.pdf</w:t>
        </w:r>
      </w:hyperlink>
      <w:r w:rsidRPr="00453804">
        <w:rPr>
          <w:rFonts w:asciiTheme="minorHAnsi" w:hAnsiTheme="minorHAnsi" w:cstheme="minorHAnsi"/>
        </w:rPr>
        <w:t>&gt;. Acesso em: 23 jun. 2025.</w:t>
      </w:r>
    </w:p>
    <w:p w14:paraId="7A422BA2" w14:textId="77777777" w:rsidR="009E75A5" w:rsidRDefault="009E75A5" w:rsidP="009E75A5">
      <w:pPr>
        <w:jc w:val="both"/>
        <w:rPr>
          <w:rFonts w:asciiTheme="minorHAnsi" w:hAnsiTheme="minorHAnsi" w:cstheme="minorHAnsi"/>
        </w:rPr>
      </w:pPr>
    </w:p>
    <w:p w14:paraId="23EDE0E0" w14:textId="33DD5488" w:rsidR="000B3646" w:rsidRDefault="000B3646" w:rsidP="009E75A5">
      <w:pPr>
        <w:jc w:val="both"/>
        <w:rPr>
          <w:rFonts w:asciiTheme="minorHAnsi" w:hAnsiTheme="minorHAnsi" w:cstheme="minorHAnsi"/>
        </w:rPr>
      </w:pPr>
      <w:r w:rsidRPr="00453804">
        <w:rPr>
          <w:rFonts w:asciiTheme="minorHAnsi" w:hAnsiTheme="minorHAnsi" w:cstheme="minorHAnsi"/>
        </w:rPr>
        <w:t xml:space="preserve">FERNANDEZ, M.; MARQUES, A. Liderança de mulheres na burocracia federal: dificuldades e desafios para ascensão. </w:t>
      </w:r>
      <w:r w:rsidRPr="00453804">
        <w:rPr>
          <w:rFonts w:asciiTheme="minorHAnsi" w:hAnsiTheme="minorHAnsi" w:cstheme="minorHAnsi"/>
          <w:i/>
        </w:rPr>
        <w:t>Revista Campo de Públicas: conexões e experiências</w:t>
      </w:r>
      <w:r w:rsidRPr="00453804">
        <w:rPr>
          <w:rFonts w:asciiTheme="minorHAnsi" w:hAnsiTheme="minorHAnsi" w:cstheme="minorHAnsi"/>
        </w:rPr>
        <w:t>, Belo Horizonte, v. 3, n. 1, p. 57-83, jan./jun. 2024.</w:t>
      </w:r>
    </w:p>
    <w:p w14:paraId="5790EA2C" w14:textId="77777777" w:rsidR="009E75A5" w:rsidRPr="00453804" w:rsidRDefault="009E75A5" w:rsidP="009E75A5">
      <w:pPr>
        <w:jc w:val="both"/>
        <w:rPr>
          <w:rFonts w:asciiTheme="minorHAnsi" w:hAnsiTheme="minorHAnsi" w:cstheme="minorHAnsi"/>
        </w:rPr>
      </w:pPr>
    </w:p>
    <w:p w14:paraId="77D8C358" w14:textId="77777777" w:rsidR="000B3646" w:rsidRDefault="000B3646" w:rsidP="009E75A5">
      <w:pPr>
        <w:pBdr>
          <w:top w:val="none" w:sz="0" w:space="0" w:color="E5E7EB"/>
          <w:left w:val="none" w:sz="0" w:space="0" w:color="E5E7EB"/>
          <w:bottom w:val="none" w:sz="0" w:space="0" w:color="E5E7EB"/>
          <w:right w:val="none" w:sz="0" w:space="0" w:color="E5E7EB"/>
          <w:between w:val="none" w:sz="0" w:space="0" w:color="E5E7EB"/>
        </w:pBdr>
        <w:jc w:val="both"/>
        <w:rPr>
          <w:rFonts w:asciiTheme="minorHAnsi" w:hAnsiTheme="minorHAnsi" w:cstheme="minorHAnsi"/>
        </w:rPr>
      </w:pPr>
      <w:r w:rsidRPr="00453804">
        <w:rPr>
          <w:rFonts w:asciiTheme="minorHAnsi" w:hAnsiTheme="minorHAnsi" w:cstheme="minorHAnsi"/>
        </w:rPr>
        <w:lastRenderedPageBreak/>
        <w:t xml:space="preserve">GODINHO, L.; FILIZZOLA, L.; DE SOUZA, Rosânia; SALEJ, Ana Paula. Desigualdade de gênero no serviço público. In: SOUSA, Rosânia Rodrigues de et al. (org.). </w:t>
      </w:r>
      <w:r w:rsidRPr="00453804">
        <w:rPr>
          <w:rFonts w:asciiTheme="minorHAnsi" w:hAnsiTheme="minorHAnsi" w:cstheme="minorHAnsi"/>
          <w:i/>
        </w:rPr>
        <w:t>A igualdade terá o rosto da mulher</w:t>
      </w:r>
      <w:r w:rsidRPr="00453804">
        <w:rPr>
          <w:rFonts w:asciiTheme="minorHAnsi" w:hAnsiTheme="minorHAnsi" w:cstheme="minorHAnsi"/>
        </w:rPr>
        <w:t>. Porto Alegre: UFRGS/CEGOV, 2021. p. 139-154. E-book. Disponível em:</w:t>
      </w:r>
      <w:hyperlink r:id="rId132">
        <w:r w:rsidRPr="00453804">
          <w:rPr>
            <w:rFonts w:asciiTheme="minorHAnsi" w:hAnsiTheme="minorHAnsi" w:cstheme="minorHAnsi"/>
          </w:rPr>
          <w:t xml:space="preserve"> </w:t>
        </w:r>
      </w:hyperlink>
      <w:r w:rsidRPr="00453804">
        <w:rPr>
          <w:rFonts w:asciiTheme="minorHAnsi" w:hAnsiTheme="minorHAnsi" w:cstheme="minorHAnsi"/>
        </w:rPr>
        <w:t>&lt;</w:t>
      </w:r>
      <w:hyperlink r:id="rId133">
        <w:r w:rsidRPr="00453804">
          <w:rPr>
            <w:rFonts w:asciiTheme="minorHAnsi" w:hAnsiTheme="minorHAnsi" w:cstheme="minorHAnsi"/>
          </w:rPr>
          <w:t>http://repositorio.fjp.mg.gov.br/handle/123456789/3553</w:t>
        </w:r>
      </w:hyperlink>
      <w:r w:rsidRPr="00453804">
        <w:rPr>
          <w:rFonts w:asciiTheme="minorHAnsi" w:hAnsiTheme="minorHAnsi" w:cstheme="minorHAnsi"/>
        </w:rPr>
        <w:t xml:space="preserve">&gt;. Acesso em: 9 jun. 2025. </w:t>
      </w:r>
    </w:p>
    <w:p w14:paraId="6D7491A4" w14:textId="77777777" w:rsidR="009E75A5" w:rsidRPr="00453804" w:rsidRDefault="009E75A5" w:rsidP="009E75A5">
      <w:pPr>
        <w:pBdr>
          <w:top w:val="none" w:sz="0" w:space="0" w:color="E5E7EB"/>
          <w:left w:val="none" w:sz="0" w:space="0" w:color="E5E7EB"/>
          <w:bottom w:val="none" w:sz="0" w:space="0" w:color="E5E7EB"/>
          <w:right w:val="none" w:sz="0" w:space="0" w:color="E5E7EB"/>
          <w:between w:val="none" w:sz="0" w:space="0" w:color="E5E7EB"/>
        </w:pBdr>
        <w:jc w:val="both"/>
        <w:rPr>
          <w:rFonts w:asciiTheme="minorHAnsi" w:hAnsiTheme="minorHAnsi" w:cstheme="minorHAnsi"/>
        </w:rPr>
      </w:pPr>
    </w:p>
    <w:p w14:paraId="733B479C" w14:textId="77777777" w:rsidR="000B3646" w:rsidRDefault="000B3646"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r w:rsidRPr="00453804">
        <w:rPr>
          <w:rFonts w:asciiTheme="minorHAnsi" w:hAnsiTheme="minorHAnsi" w:cstheme="minorHAnsi"/>
        </w:rPr>
        <w:t xml:space="preserve">INSTITUTO BRASILEIRO DE GEOGRAFIA E ESTATÍSTICA (IBGE). </w:t>
      </w:r>
      <w:r w:rsidRPr="00453804">
        <w:rPr>
          <w:rFonts w:asciiTheme="minorHAnsi" w:hAnsiTheme="minorHAnsi" w:cstheme="minorHAnsi"/>
          <w:i/>
        </w:rPr>
        <w:t>Censo Demográfico 2022</w:t>
      </w:r>
      <w:r w:rsidRPr="00453804">
        <w:rPr>
          <w:rFonts w:asciiTheme="minorHAnsi" w:hAnsiTheme="minorHAnsi" w:cstheme="minorHAnsi"/>
        </w:rPr>
        <w:t>: panorama. Disponível em:</w:t>
      </w:r>
      <w:hyperlink r:id="rId134">
        <w:r w:rsidRPr="00453804">
          <w:rPr>
            <w:rFonts w:asciiTheme="minorHAnsi" w:hAnsiTheme="minorHAnsi" w:cstheme="minorHAnsi"/>
          </w:rPr>
          <w:t xml:space="preserve"> </w:t>
        </w:r>
      </w:hyperlink>
      <w:r w:rsidRPr="00453804">
        <w:rPr>
          <w:rFonts w:asciiTheme="minorHAnsi" w:hAnsiTheme="minorHAnsi" w:cstheme="minorHAnsi"/>
        </w:rPr>
        <w:t>&lt;</w:t>
      </w:r>
      <w:hyperlink r:id="rId135">
        <w:r w:rsidRPr="00453804">
          <w:rPr>
            <w:rFonts w:asciiTheme="minorHAnsi" w:hAnsiTheme="minorHAnsi" w:cstheme="minorHAnsi"/>
          </w:rPr>
          <w:t>https://censo2022.ibge.gov.br/panorama/</w:t>
        </w:r>
      </w:hyperlink>
      <w:r w:rsidRPr="00453804">
        <w:rPr>
          <w:rFonts w:asciiTheme="minorHAnsi" w:hAnsiTheme="minorHAnsi" w:cstheme="minorHAnsi"/>
        </w:rPr>
        <w:t>&gt;. Acesso em: 2 jun. 2025.</w:t>
      </w:r>
    </w:p>
    <w:p w14:paraId="2C0443DB" w14:textId="77777777" w:rsidR="009E75A5" w:rsidRDefault="009E75A5"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p>
    <w:p w14:paraId="42F4AB73" w14:textId="62D35A31" w:rsidR="00826672" w:rsidRDefault="00826672"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r w:rsidRPr="00826672">
        <w:rPr>
          <w:rFonts w:asciiTheme="minorHAnsi" w:hAnsiTheme="minorHAnsi" w:cstheme="minorHAnsi"/>
        </w:rPr>
        <w:t xml:space="preserve">MCCRINDLE, Mark; WOLFINGER, Emily. </w:t>
      </w:r>
      <w:r w:rsidRPr="00A14E4C">
        <w:rPr>
          <w:rFonts w:asciiTheme="minorHAnsi" w:hAnsiTheme="minorHAnsi" w:cstheme="minorHAnsi"/>
          <w:b/>
          <w:bCs/>
        </w:rPr>
        <w:t>The ABC of XYZ</w:t>
      </w:r>
      <w:r w:rsidRPr="00826672">
        <w:rPr>
          <w:rFonts w:asciiTheme="minorHAnsi" w:hAnsiTheme="minorHAnsi" w:cstheme="minorHAnsi"/>
        </w:rPr>
        <w:t>: understanding the global generations. Sydney: University of New South Wales Press, 2009.</w:t>
      </w:r>
    </w:p>
    <w:p w14:paraId="3F623B10" w14:textId="77777777" w:rsidR="00826672" w:rsidRPr="00453804" w:rsidRDefault="00826672"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p>
    <w:p w14:paraId="44372641" w14:textId="6F7E076B" w:rsidR="000B3646" w:rsidRDefault="000B3646"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r w:rsidRPr="00453804">
        <w:rPr>
          <w:rFonts w:asciiTheme="minorHAnsi" w:hAnsiTheme="minorHAnsi" w:cstheme="minorHAnsi"/>
        </w:rPr>
        <w:t xml:space="preserve">MILHOME, Jaqueline Cavalcante. </w:t>
      </w:r>
      <w:r w:rsidRPr="00453804">
        <w:rPr>
          <w:rFonts w:asciiTheme="minorHAnsi" w:hAnsiTheme="minorHAnsi" w:cstheme="minorHAnsi"/>
          <w:i/>
        </w:rPr>
        <w:t>Gerações brasileiras: uma proposta de classificação e identificação dos valores pessoais e no trabalho.</w:t>
      </w:r>
      <w:r w:rsidRPr="00453804">
        <w:rPr>
          <w:rFonts w:asciiTheme="minorHAnsi" w:hAnsiTheme="minorHAnsi" w:cstheme="minorHAnsi"/>
        </w:rPr>
        <w:t xml:space="preserve"> 2022. 164 f., il. Tese (Doutorado em Administração) – Escola de Administração, Universidade Federal da Bahia, Salvador, 2022. Disponível em: &lt;</w:t>
      </w:r>
      <w:hyperlink r:id="rId136">
        <w:r w:rsidRPr="00453804">
          <w:rPr>
            <w:rFonts w:asciiTheme="minorHAnsi" w:hAnsiTheme="minorHAnsi" w:cstheme="minorHAnsi"/>
          </w:rPr>
          <w:t>https://repositorio.ufba.br/bitstream/ri/37082/1/Tese%20de%20Doutorado.pdf</w:t>
        </w:r>
      </w:hyperlink>
      <w:r w:rsidR="009E75A5">
        <w:rPr>
          <w:rFonts w:asciiTheme="minorHAnsi" w:hAnsiTheme="minorHAnsi" w:cstheme="minorHAnsi"/>
        </w:rPr>
        <w:t>&gt;. Acesso em: 25 de jun. 2025.</w:t>
      </w:r>
    </w:p>
    <w:p w14:paraId="50EF97D2" w14:textId="77777777" w:rsidR="009E75A5" w:rsidRPr="00453804" w:rsidRDefault="009E75A5"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p>
    <w:p w14:paraId="12C36BC0" w14:textId="77777777" w:rsidR="000B3646" w:rsidRDefault="000B3646"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r w:rsidRPr="00453804">
        <w:rPr>
          <w:rFonts w:asciiTheme="minorHAnsi" w:hAnsiTheme="minorHAnsi" w:cstheme="minorHAnsi"/>
        </w:rPr>
        <w:t xml:space="preserve">NEDERHOF, A. J. Methods of coping with social desirability bias: a review. </w:t>
      </w:r>
      <w:r w:rsidRPr="00453804">
        <w:rPr>
          <w:rFonts w:asciiTheme="minorHAnsi" w:hAnsiTheme="minorHAnsi" w:cstheme="minorHAnsi"/>
          <w:bCs/>
          <w:i/>
          <w:iCs/>
        </w:rPr>
        <w:t xml:space="preserve">European </w:t>
      </w:r>
      <w:r w:rsidRPr="00453804">
        <w:rPr>
          <w:rFonts w:asciiTheme="minorHAnsi" w:hAnsiTheme="minorHAnsi" w:cstheme="minorHAnsi"/>
          <w:i/>
        </w:rPr>
        <w:t>Journal of Social Psychology</w:t>
      </w:r>
      <w:r w:rsidRPr="00453804">
        <w:rPr>
          <w:rFonts w:asciiTheme="minorHAnsi" w:hAnsiTheme="minorHAnsi" w:cstheme="minorHAnsi"/>
          <w:b/>
        </w:rPr>
        <w:t>,</w:t>
      </w:r>
      <w:r w:rsidRPr="00453804">
        <w:rPr>
          <w:rFonts w:asciiTheme="minorHAnsi" w:hAnsiTheme="minorHAnsi" w:cstheme="minorHAnsi"/>
        </w:rPr>
        <w:t xml:space="preserve"> v. 15, p. 263-280, 1985.</w:t>
      </w:r>
    </w:p>
    <w:p w14:paraId="12A02830" w14:textId="77777777" w:rsidR="009E75A5" w:rsidRPr="00453804" w:rsidRDefault="009E75A5"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p>
    <w:p w14:paraId="6E0959F2" w14:textId="77777777" w:rsidR="000B3646" w:rsidRDefault="000B3646"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r w:rsidRPr="00453804">
        <w:rPr>
          <w:rFonts w:asciiTheme="minorHAnsi" w:hAnsiTheme="minorHAnsi" w:cstheme="minorHAnsi"/>
        </w:rPr>
        <w:t xml:space="preserve">NIKOLOPOULOU, K. </w:t>
      </w:r>
      <w:r w:rsidRPr="00453804">
        <w:rPr>
          <w:rFonts w:asciiTheme="minorHAnsi" w:hAnsiTheme="minorHAnsi" w:cstheme="minorHAnsi"/>
          <w:i/>
        </w:rPr>
        <w:t>What is self-selection bias?</w:t>
      </w:r>
      <w:r w:rsidRPr="00453804">
        <w:rPr>
          <w:rFonts w:asciiTheme="minorHAnsi" w:hAnsiTheme="minorHAnsi" w:cstheme="minorHAnsi"/>
        </w:rPr>
        <w:t xml:space="preserve"> | Definition &amp; example. Scribbr, 2023. Disponível em: &lt;</w:t>
      </w:r>
      <w:hyperlink r:id="rId137">
        <w:r w:rsidRPr="00453804">
          <w:rPr>
            <w:rFonts w:asciiTheme="minorHAnsi" w:hAnsiTheme="minorHAnsi" w:cstheme="minorHAnsi"/>
          </w:rPr>
          <w:t>https://www.scribbr.com/research-bias/self-selection-bias/</w:t>
        </w:r>
      </w:hyperlink>
      <w:r w:rsidRPr="00453804">
        <w:rPr>
          <w:rFonts w:asciiTheme="minorHAnsi" w:hAnsiTheme="minorHAnsi" w:cstheme="minorHAnsi"/>
        </w:rPr>
        <w:t>&gt;. Acesso em: 12 mai. 2025.</w:t>
      </w:r>
    </w:p>
    <w:p w14:paraId="25326533" w14:textId="77777777" w:rsidR="009E75A5" w:rsidRPr="00453804" w:rsidRDefault="009E75A5"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p>
    <w:p w14:paraId="77CC97C4" w14:textId="77777777" w:rsidR="000B3646" w:rsidRDefault="000B3646"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r w:rsidRPr="00453804">
        <w:rPr>
          <w:rFonts w:asciiTheme="minorHAnsi" w:hAnsiTheme="minorHAnsi" w:cstheme="minorHAnsi"/>
        </w:rPr>
        <w:t xml:space="preserve">ORGANIZAÇÃO DAS NAÇÕES UNIDAS. </w:t>
      </w:r>
      <w:r w:rsidRPr="00453804">
        <w:rPr>
          <w:rFonts w:asciiTheme="minorHAnsi" w:hAnsiTheme="minorHAnsi" w:cstheme="minorHAnsi"/>
          <w:i/>
        </w:rPr>
        <w:t>Transformando nosso mundo</w:t>
      </w:r>
      <w:r w:rsidRPr="00453804">
        <w:rPr>
          <w:rFonts w:asciiTheme="minorHAnsi" w:hAnsiTheme="minorHAnsi" w:cstheme="minorHAnsi"/>
        </w:rPr>
        <w:t>: a Agenda 2030 para o desenvolvimento sustentável. Nova York: ONU, 2015. Disponível em: &lt;https://nacoesunidas.org/pos2015/agenda2030/&gt;. Acesso em: 1.º jul. 2025.</w:t>
      </w:r>
    </w:p>
    <w:p w14:paraId="19610C01" w14:textId="77777777" w:rsidR="009E75A5" w:rsidRPr="00453804" w:rsidRDefault="009E75A5"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p>
    <w:p w14:paraId="7EE727F8" w14:textId="77777777" w:rsidR="000B3646" w:rsidRDefault="000B3646"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r w:rsidRPr="00453804">
        <w:rPr>
          <w:rFonts w:asciiTheme="minorHAnsi" w:hAnsiTheme="minorHAnsi" w:cstheme="minorHAnsi"/>
        </w:rPr>
        <w:t xml:space="preserve">PEREIRA, B. C. J. Sobre usos e possibilidades da interseccionalidade. </w:t>
      </w:r>
      <w:r w:rsidRPr="00453804">
        <w:rPr>
          <w:rFonts w:asciiTheme="minorHAnsi" w:hAnsiTheme="minorHAnsi" w:cstheme="minorHAnsi"/>
          <w:bCs/>
          <w:i/>
          <w:iCs/>
        </w:rPr>
        <w:t>Civitas: Revista de Ciências Sociais</w:t>
      </w:r>
      <w:r w:rsidRPr="00453804">
        <w:rPr>
          <w:rFonts w:asciiTheme="minorHAnsi" w:hAnsiTheme="minorHAnsi" w:cstheme="minorHAnsi"/>
        </w:rPr>
        <w:t>, Porto Alegre, v. 21, n. 3, p. 445-454, set./dez. 2021.</w:t>
      </w:r>
    </w:p>
    <w:p w14:paraId="3B1637DD" w14:textId="77777777" w:rsidR="009E75A5" w:rsidRPr="00453804" w:rsidRDefault="009E75A5"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p>
    <w:p w14:paraId="04F55959" w14:textId="77777777" w:rsidR="000B3646" w:rsidRDefault="000B3646"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r w:rsidRPr="00453804">
        <w:rPr>
          <w:rFonts w:asciiTheme="minorHAnsi" w:hAnsiTheme="minorHAnsi" w:cstheme="minorHAnsi"/>
        </w:rPr>
        <w:t xml:space="preserve">PINHEIRO, L. Quando o teto de vidro se torna de concreto: a sub-representação de mulheres negras nos postos diretivos do Executivo Federal entre 1999 e 2020. In: LOPEZ, F. G.; CARDOSO JUNIOR, J. C. (Orgs.). </w:t>
      </w:r>
      <w:r w:rsidRPr="00453804">
        <w:rPr>
          <w:rFonts w:asciiTheme="minorHAnsi" w:hAnsiTheme="minorHAnsi" w:cstheme="minorHAnsi"/>
          <w:i/>
        </w:rPr>
        <w:t xml:space="preserve">Trajetórias da burocracia na Nova República: </w:t>
      </w:r>
      <w:r w:rsidRPr="00453804">
        <w:rPr>
          <w:rFonts w:asciiTheme="minorHAnsi" w:hAnsiTheme="minorHAnsi" w:cstheme="minorHAnsi"/>
        </w:rPr>
        <w:t>heterogeneidades, desigualdades e perspectivas. Brasília: IPEA, 2023, p. 371-404.</w:t>
      </w:r>
    </w:p>
    <w:p w14:paraId="5E69E749" w14:textId="77777777" w:rsidR="009E75A5" w:rsidRPr="00453804" w:rsidRDefault="009E75A5"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p>
    <w:p w14:paraId="53714F5F" w14:textId="77777777" w:rsidR="000B3646" w:rsidRDefault="000B3646"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r w:rsidRPr="00453804">
        <w:rPr>
          <w:rFonts w:asciiTheme="minorHAnsi" w:hAnsiTheme="minorHAnsi" w:cstheme="minorHAnsi"/>
        </w:rPr>
        <w:t xml:space="preserve">SCOTT, J. W. Gender: a useful category of historical analysis. </w:t>
      </w:r>
      <w:r w:rsidRPr="00453804">
        <w:rPr>
          <w:rFonts w:asciiTheme="minorHAnsi" w:hAnsiTheme="minorHAnsi" w:cstheme="minorHAnsi"/>
          <w:i/>
        </w:rPr>
        <w:t>The American Historical Review</w:t>
      </w:r>
      <w:r w:rsidRPr="00453804">
        <w:rPr>
          <w:rFonts w:asciiTheme="minorHAnsi" w:hAnsiTheme="minorHAnsi" w:cstheme="minorHAnsi"/>
        </w:rPr>
        <w:t>, v. 91, n. 5, p. 1053-1075, 1986.</w:t>
      </w:r>
    </w:p>
    <w:p w14:paraId="1FDAB8BC" w14:textId="77777777" w:rsidR="009E75A5" w:rsidRPr="00453804" w:rsidRDefault="009E75A5"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p>
    <w:p w14:paraId="373EA0BB" w14:textId="24EDB647" w:rsidR="00726867" w:rsidRPr="00A74F20" w:rsidRDefault="000B3646" w:rsidP="009E75A5">
      <w:pPr>
        <w:pBdr>
          <w:top w:val="none" w:sz="0" w:space="0" w:color="E5E7EB"/>
          <w:left w:val="none" w:sz="0" w:space="6" w:color="E5E7EB"/>
          <w:bottom w:val="none" w:sz="0" w:space="0" w:color="E5E7EB"/>
          <w:right w:val="none" w:sz="0" w:space="0" w:color="E5E7EB"/>
          <w:between w:val="none" w:sz="0" w:space="0" w:color="E5E7EB"/>
        </w:pBdr>
        <w:jc w:val="both"/>
        <w:rPr>
          <w:rFonts w:asciiTheme="minorHAnsi" w:hAnsiTheme="minorHAnsi" w:cstheme="minorHAnsi"/>
        </w:rPr>
      </w:pPr>
      <w:r w:rsidRPr="00453804">
        <w:rPr>
          <w:rFonts w:asciiTheme="minorHAnsi" w:hAnsiTheme="minorHAnsi" w:cstheme="minorHAnsi"/>
        </w:rPr>
        <w:t xml:space="preserve">TIMÓTEO, Marcela de Oliveira. Estratégias de diversidade, inclusão e equidade de gênero e raça em órgãos da administração pública federal: avanços e desafios. </w:t>
      </w:r>
      <w:r w:rsidRPr="00453804">
        <w:rPr>
          <w:rFonts w:asciiTheme="minorHAnsi" w:hAnsiTheme="minorHAnsi" w:cstheme="minorHAnsi"/>
          <w:i/>
        </w:rPr>
        <w:t>Revista do TCU</w:t>
      </w:r>
      <w:r w:rsidRPr="00453804">
        <w:rPr>
          <w:rFonts w:asciiTheme="minorHAnsi" w:hAnsiTheme="minorHAnsi" w:cstheme="minorHAnsi"/>
        </w:rPr>
        <w:t>, Brasília, DF, v. 40, n. 120, p. 142-167, maio/ago. 2023. Disponível em:</w:t>
      </w:r>
      <w:hyperlink r:id="rId138">
        <w:r w:rsidRPr="00453804">
          <w:rPr>
            <w:rFonts w:asciiTheme="minorHAnsi" w:hAnsiTheme="minorHAnsi" w:cstheme="minorHAnsi"/>
          </w:rPr>
          <w:t xml:space="preserve"> </w:t>
        </w:r>
      </w:hyperlink>
      <w:r w:rsidRPr="00453804">
        <w:rPr>
          <w:rFonts w:asciiTheme="minorHAnsi" w:hAnsiTheme="minorHAnsi" w:cstheme="minorHAnsi"/>
        </w:rPr>
        <w:t>&lt;</w:t>
      </w:r>
      <w:hyperlink r:id="rId139">
        <w:r w:rsidRPr="00453804">
          <w:rPr>
            <w:rFonts w:asciiTheme="minorHAnsi" w:hAnsiTheme="minorHAnsi" w:cstheme="minorHAnsi"/>
          </w:rPr>
          <w:t>https://revista.tcu.gov.br/ojs/index.php/RTCU/article/view/1841/1904</w:t>
        </w:r>
      </w:hyperlink>
      <w:r w:rsidRPr="00453804">
        <w:rPr>
          <w:rFonts w:asciiTheme="minorHAnsi" w:hAnsiTheme="minorHAnsi" w:cstheme="minorHAnsi"/>
        </w:rPr>
        <w:t>&gt;. Ac</w:t>
      </w:r>
      <w:r w:rsidR="00A74F20">
        <w:rPr>
          <w:rFonts w:asciiTheme="minorHAnsi" w:hAnsiTheme="minorHAnsi" w:cstheme="minorHAnsi"/>
        </w:rPr>
        <w:t>esso em: 9 jun. 2025.</w:t>
      </w:r>
    </w:p>
    <w:p w14:paraId="78A8F44E" w14:textId="77777777" w:rsidR="00726867" w:rsidRPr="00347CBD" w:rsidRDefault="00726867" w:rsidP="009E75A5">
      <w:pPr>
        <w:pStyle w:val="Texto"/>
        <w:spacing w:line="240" w:lineRule="auto"/>
        <w:ind w:firstLine="0"/>
      </w:pPr>
    </w:p>
    <w:p w14:paraId="58E5DB50" w14:textId="77777777" w:rsidR="00726867" w:rsidRPr="00347CBD" w:rsidRDefault="00726867" w:rsidP="00CA10A0">
      <w:pPr>
        <w:pStyle w:val="Texto"/>
      </w:pPr>
      <w:r w:rsidRPr="00347CBD">
        <w:br w:type="page"/>
      </w:r>
    </w:p>
    <w:p w14:paraId="55010272" w14:textId="6C4349BA" w:rsidR="005441A4" w:rsidRPr="009E75A5" w:rsidRDefault="00726867" w:rsidP="009A0D9E">
      <w:pPr>
        <w:pStyle w:val="Ttulo1"/>
      </w:pPr>
      <w:bookmarkStart w:id="242" w:name="_Toc207370459"/>
      <w:bookmarkStart w:id="243" w:name="_Toc208510830"/>
      <w:r w:rsidRPr="009E75A5">
        <w:lastRenderedPageBreak/>
        <w:t>APÊNDICE</w:t>
      </w:r>
      <w:bookmarkEnd w:id="242"/>
      <w:r w:rsidR="003B2495" w:rsidRPr="009E75A5">
        <w:t xml:space="preserve"> </w:t>
      </w:r>
      <w:r w:rsidR="003B2495" w:rsidRPr="009E75A5">
        <w:rPr>
          <w:highlight w:val="yellow"/>
        </w:rPr>
        <w:t>A</w:t>
      </w:r>
      <w:bookmarkEnd w:id="243"/>
    </w:p>
    <w:p w14:paraId="78EA9563" w14:textId="5E527D25" w:rsidR="005441A4" w:rsidRPr="00E33569" w:rsidRDefault="005441A4" w:rsidP="00E33569">
      <w:pPr>
        <w:spacing w:after="240"/>
        <w:rPr>
          <w:rFonts w:ascii="Verdana" w:hAnsi="Verdana"/>
          <w:b/>
          <w:sz w:val="28"/>
          <w:szCs w:val="28"/>
        </w:rPr>
      </w:pPr>
      <w:bookmarkStart w:id="244" w:name="_Toc207370460"/>
      <w:r w:rsidRPr="00E33569">
        <w:rPr>
          <w:rFonts w:ascii="Verdana" w:hAnsi="Verdana"/>
          <w:b/>
          <w:sz w:val="28"/>
          <w:szCs w:val="28"/>
        </w:rPr>
        <w:t>QUESTIONÁRIO APLICADO NA PESQUISA DE PERCEPÇÃO SOBRE A PARTICIPAÇÃO FEMININA NO TST E NO CSJT</w:t>
      </w:r>
      <w:bookmarkEnd w:id="244"/>
    </w:p>
    <w:p w14:paraId="60E7A128" w14:textId="7DA899C1" w:rsidR="005441A4" w:rsidRPr="005441A4" w:rsidRDefault="005441A4" w:rsidP="005441A4">
      <w:pPr>
        <w:rPr>
          <w:rFonts w:asciiTheme="minorHAnsi" w:hAnsiTheme="minorHAnsi" w:cstheme="minorHAnsi"/>
        </w:rPr>
      </w:pPr>
      <w:r w:rsidRPr="005441A4">
        <w:rPr>
          <w:rFonts w:asciiTheme="minorHAnsi" w:hAnsiTheme="minorHAnsi" w:cstheme="minorHAnsi"/>
        </w:rPr>
        <w:t>PERFIL DAS(DOS) RESPONDENTES</w:t>
      </w:r>
    </w:p>
    <w:p w14:paraId="773BE6F6" w14:textId="481F7B9F" w:rsidR="005441A4" w:rsidRPr="005441A4" w:rsidRDefault="005441A4" w:rsidP="005441A4">
      <w:pPr>
        <w:rPr>
          <w:rFonts w:asciiTheme="minorHAnsi" w:hAnsiTheme="minorHAnsi" w:cstheme="minorHAnsi"/>
        </w:rPr>
      </w:pPr>
      <w:r w:rsidRPr="005441A4">
        <w:rPr>
          <w:rFonts w:asciiTheme="minorHAnsi" w:hAnsiTheme="minorHAnsi" w:cstheme="minorHAnsi"/>
          <w:b/>
        </w:rPr>
        <w:t xml:space="preserve">01. Qual é o seu gênero? </w:t>
      </w:r>
    </w:p>
    <w:p w14:paraId="50185B76" w14:textId="77777777" w:rsidR="005441A4" w:rsidRPr="005441A4" w:rsidRDefault="005441A4" w:rsidP="00794F3A">
      <w:pPr>
        <w:numPr>
          <w:ilvl w:val="0"/>
          <w:numId w:val="74"/>
        </w:numPr>
        <w:rPr>
          <w:rFonts w:asciiTheme="minorHAnsi" w:hAnsiTheme="minorHAnsi" w:cstheme="minorHAnsi"/>
        </w:rPr>
      </w:pPr>
      <w:r w:rsidRPr="005441A4">
        <w:rPr>
          <w:rFonts w:asciiTheme="minorHAnsi" w:hAnsiTheme="minorHAnsi" w:cstheme="minorHAnsi"/>
        </w:rPr>
        <w:t>Masculino</w:t>
      </w:r>
    </w:p>
    <w:p w14:paraId="51798D84" w14:textId="77777777" w:rsidR="005441A4" w:rsidRPr="005441A4" w:rsidRDefault="005441A4" w:rsidP="00794F3A">
      <w:pPr>
        <w:numPr>
          <w:ilvl w:val="0"/>
          <w:numId w:val="74"/>
        </w:numPr>
        <w:rPr>
          <w:rFonts w:asciiTheme="minorHAnsi" w:hAnsiTheme="minorHAnsi" w:cstheme="minorHAnsi"/>
        </w:rPr>
      </w:pPr>
      <w:r w:rsidRPr="005441A4">
        <w:rPr>
          <w:rFonts w:asciiTheme="minorHAnsi" w:hAnsiTheme="minorHAnsi" w:cstheme="minorHAnsi"/>
        </w:rPr>
        <w:t>Feminino</w:t>
      </w:r>
    </w:p>
    <w:p w14:paraId="36F009DC" w14:textId="5E9CE0C9" w:rsidR="005441A4" w:rsidRDefault="005441A4" w:rsidP="00794F3A">
      <w:pPr>
        <w:numPr>
          <w:ilvl w:val="0"/>
          <w:numId w:val="74"/>
        </w:numPr>
        <w:rPr>
          <w:rFonts w:asciiTheme="minorHAnsi" w:hAnsiTheme="minorHAnsi" w:cstheme="minorHAnsi"/>
        </w:rPr>
      </w:pPr>
      <w:r w:rsidRPr="005441A4">
        <w:rPr>
          <w:rFonts w:asciiTheme="minorHAnsi" w:hAnsiTheme="minorHAnsi" w:cstheme="minorHAnsi"/>
        </w:rPr>
        <w:t>Prefiro não informar</w:t>
      </w:r>
    </w:p>
    <w:p w14:paraId="43686A78" w14:textId="77777777" w:rsidR="005441A4" w:rsidRPr="005441A4" w:rsidRDefault="005441A4" w:rsidP="005441A4">
      <w:pPr>
        <w:ind w:left="720"/>
        <w:rPr>
          <w:rFonts w:asciiTheme="minorHAnsi" w:hAnsiTheme="minorHAnsi" w:cstheme="minorHAnsi"/>
        </w:rPr>
      </w:pPr>
    </w:p>
    <w:p w14:paraId="54509248" w14:textId="17C94334" w:rsidR="005441A4" w:rsidRPr="005441A4" w:rsidRDefault="005441A4" w:rsidP="005441A4">
      <w:pPr>
        <w:rPr>
          <w:rFonts w:asciiTheme="minorHAnsi" w:hAnsiTheme="minorHAnsi" w:cstheme="minorHAnsi"/>
          <w:b/>
        </w:rPr>
      </w:pPr>
      <w:r w:rsidRPr="005441A4">
        <w:rPr>
          <w:rFonts w:asciiTheme="minorHAnsi" w:hAnsiTheme="minorHAnsi" w:cstheme="minorHAnsi"/>
          <w:b/>
        </w:rPr>
        <w:t>02. Qual cargo ou função você ocupa no TST e/ou no CSJT?</w:t>
      </w:r>
    </w:p>
    <w:p w14:paraId="3208C84C" w14:textId="77777777" w:rsidR="005441A4" w:rsidRPr="005441A4" w:rsidRDefault="005441A4" w:rsidP="00794F3A">
      <w:pPr>
        <w:numPr>
          <w:ilvl w:val="0"/>
          <w:numId w:val="73"/>
        </w:numPr>
        <w:rPr>
          <w:rFonts w:asciiTheme="minorHAnsi" w:hAnsiTheme="minorHAnsi" w:cstheme="minorHAnsi"/>
        </w:rPr>
      </w:pPr>
      <w:r w:rsidRPr="005441A4">
        <w:rPr>
          <w:rFonts w:asciiTheme="minorHAnsi" w:hAnsiTheme="minorHAnsi" w:cstheme="minorHAnsi"/>
        </w:rPr>
        <w:t>1. Ministro/Ministra</w:t>
      </w:r>
    </w:p>
    <w:p w14:paraId="15F8D3EB" w14:textId="77777777" w:rsidR="005441A4" w:rsidRPr="005441A4" w:rsidRDefault="005441A4" w:rsidP="00794F3A">
      <w:pPr>
        <w:numPr>
          <w:ilvl w:val="0"/>
          <w:numId w:val="73"/>
        </w:numPr>
        <w:rPr>
          <w:rFonts w:asciiTheme="minorHAnsi" w:hAnsiTheme="minorHAnsi" w:cstheme="minorHAnsi"/>
        </w:rPr>
      </w:pPr>
      <w:r w:rsidRPr="005441A4">
        <w:rPr>
          <w:rFonts w:asciiTheme="minorHAnsi" w:hAnsiTheme="minorHAnsi" w:cstheme="minorHAnsi"/>
        </w:rPr>
        <w:t>2. Juiz/Juíza OU Desembargador/Desembargadora Convocado/Requisitado</w:t>
      </w:r>
    </w:p>
    <w:p w14:paraId="05E69CB7" w14:textId="77777777" w:rsidR="005441A4" w:rsidRPr="005441A4" w:rsidRDefault="005441A4" w:rsidP="00794F3A">
      <w:pPr>
        <w:numPr>
          <w:ilvl w:val="0"/>
          <w:numId w:val="73"/>
        </w:numPr>
        <w:rPr>
          <w:rFonts w:asciiTheme="minorHAnsi" w:hAnsiTheme="minorHAnsi" w:cstheme="minorHAnsi"/>
        </w:rPr>
      </w:pPr>
      <w:r w:rsidRPr="005441A4">
        <w:rPr>
          <w:rFonts w:asciiTheme="minorHAnsi" w:hAnsiTheme="minorHAnsi" w:cstheme="minorHAnsi"/>
        </w:rPr>
        <w:t>3. Servidor(a) efetivo(a) do TST ou do CSJT</w:t>
      </w:r>
    </w:p>
    <w:p w14:paraId="7B16D0C0" w14:textId="77777777" w:rsidR="005441A4" w:rsidRPr="005441A4" w:rsidRDefault="005441A4" w:rsidP="00794F3A">
      <w:pPr>
        <w:numPr>
          <w:ilvl w:val="0"/>
          <w:numId w:val="73"/>
        </w:numPr>
        <w:rPr>
          <w:rFonts w:asciiTheme="minorHAnsi" w:hAnsiTheme="minorHAnsi" w:cstheme="minorHAnsi"/>
        </w:rPr>
      </w:pPr>
      <w:r w:rsidRPr="005441A4">
        <w:rPr>
          <w:rFonts w:asciiTheme="minorHAnsi" w:hAnsiTheme="minorHAnsi" w:cstheme="minorHAnsi"/>
        </w:rPr>
        <w:t>4. Servidor(a) de outro órgão cedido(a) ou requisitado(a) atuando no TST ou no CSJT</w:t>
      </w:r>
    </w:p>
    <w:p w14:paraId="35533F66" w14:textId="2BA388C4" w:rsidR="005441A4" w:rsidRPr="005441A4" w:rsidRDefault="005441A4" w:rsidP="00794F3A">
      <w:pPr>
        <w:numPr>
          <w:ilvl w:val="0"/>
          <w:numId w:val="73"/>
        </w:numPr>
        <w:rPr>
          <w:rFonts w:asciiTheme="minorHAnsi" w:hAnsiTheme="minorHAnsi" w:cstheme="minorHAnsi"/>
        </w:rPr>
      </w:pPr>
      <w:r w:rsidRPr="005441A4">
        <w:rPr>
          <w:rFonts w:asciiTheme="minorHAnsi" w:hAnsiTheme="minorHAnsi" w:cstheme="minorHAnsi"/>
        </w:rPr>
        <w:t>5. Servidor(a) comissionado(a) não concursado(a) Estagiário(a)</w:t>
      </w:r>
    </w:p>
    <w:p w14:paraId="55B40A63" w14:textId="77777777" w:rsidR="005441A4" w:rsidRPr="005441A4" w:rsidRDefault="005441A4" w:rsidP="00794F3A">
      <w:pPr>
        <w:numPr>
          <w:ilvl w:val="0"/>
          <w:numId w:val="73"/>
        </w:numPr>
        <w:rPr>
          <w:rFonts w:asciiTheme="minorHAnsi" w:hAnsiTheme="minorHAnsi" w:cstheme="minorHAnsi"/>
        </w:rPr>
      </w:pPr>
      <w:r w:rsidRPr="005441A4">
        <w:rPr>
          <w:rFonts w:asciiTheme="minorHAnsi" w:hAnsiTheme="minorHAnsi" w:cstheme="minorHAnsi"/>
        </w:rPr>
        <w:t>6. Jovem Aprendiz</w:t>
      </w:r>
    </w:p>
    <w:p w14:paraId="76FF6C1A" w14:textId="0250E541" w:rsidR="005441A4" w:rsidRPr="005441A4" w:rsidRDefault="005441A4" w:rsidP="00794F3A">
      <w:pPr>
        <w:numPr>
          <w:ilvl w:val="0"/>
          <w:numId w:val="73"/>
        </w:numPr>
        <w:rPr>
          <w:rFonts w:asciiTheme="minorHAnsi" w:hAnsiTheme="minorHAnsi" w:cstheme="minorHAnsi"/>
        </w:rPr>
      </w:pPr>
      <w:r w:rsidRPr="005441A4">
        <w:rPr>
          <w:rFonts w:asciiTheme="minorHAnsi" w:hAnsiTheme="minorHAnsi" w:cstheme="minorHAnsi"/>
        </w:rPr>
        <w:t>7. Terceirizado(a) ou contratado(a) Voluntário(a)</w:t>
      </w:r>
    </w:p>
    <w:p w14:paraId="04EE0D51" w14:textId="43673959" w:rsidR="005441A4" w:rsidRDefault="005441A4" w:rsidP="00794F3A">
      <w:pPr>
        <w:numPr>
          <w:ilvl w:val="0"/>
          <w:numId w:val="73"/>
        </w:numPr>
        <w:rPr>
          <w:rFonts w:asciiTheme="minorHAnsi" w:hAnsiTheme="minorHAnsi" w:cstheme="minorHAnsi"/>
        </w:rPr>
      </w:pPr>
      <w:r w:rsidRPr="005441A4">
        <w:rPr>
          <w:rFonts w:asciiTheme="minorHAnsi" w:hAnsiTheme="minorHAnsi" w:cstheme="minorHAnsi"/>
        </w:rPr>
        <w:t>8. Prefiro não informar</w:t>
      </w:r>
    </w:p>
    <w:p w14:paraId="6A0FEBB0" w14:textId="77777777" w:rsidR="005441A4" w:rsidRPr="005441A4" w:rsidRDefault="005441A4" w:rsidP="005441A4">
      <w:pPr>
        <w:ind w:left="720"/>
        <w:rPr>
          <w:rFonts w:asciiTheme="minorHAnsi" w:hAnsiTheme="minorHAnsi" w:cstheme="minorHAnsi"/>
        </w:rPr>
      </w:pPr>
    </w:p>
    <w:p w14:paraId="763DAE48" w14:textId="7FD1AF67" w:rsidR="005441A4" w:rsidRPr="005441A4" w:rsidRDefault="005441A4" w:rsidP="005441A4">
      <w:pPr>
        <w:rPr>
          <w:rFonts w:asciiTheme="minorHAnsi" w:hAnsiTheme="minorHAnsi" w:cstheme="minorHAnsi"/>
          <w:b/>
          <w:bCs/>
        </w:rPr>
      </w:pPr>
      <w:r w:rsidRPr="005441A4">
        <w:rPr>
          <w:rFonts w:asciiTheme="minorHAnsi" w:hAnsiTheme="minorHAnsi" w:cstheme="minorHAnsi"/>
          <w:b/>
          <w:bCs/>
        </w:rPr>
        <w:t>03. Há quanto tempo você trabalha no TST e/ou no CSJT?</w:t>
      </w:r>
    </w:p>
    <w:p w14:paraId="37540514" w14:textId="544F85F4" w:rsidR="005441A4" w:rsidRPr="005441A4" w:rsidRDefault="005441A4" w:rsidP="00794F3A">
      <w:pPr>
        <w:pStyle w:val="PargrafodaLista"/>
        <w:numPr>
          <w:ilvl w:val="0"/>
          <w:numId w:val="72"/>
        </w:numPr>
        <w:rPr>
          <w:rFonts w:asciiTheme="minorHAnsi" w:hAnsiTheme="minorHAnsi" w:cstheme="minorHAnsi"/>
        </w:rPr>
      </w:pPr>
      <w:r w:rsidRPr="005441A4">
        <w:rPr>
          <w:rFonts w:asciiTheme="minorHAnsi" w:hAnsiTheme="minorHAnsi" w:cstheme="minorHAnsi"/>
        </w:rPr>
        <w:t>Até 1 ano</w:t>
      </w:r>
    </w:p>
    <w:p w14:paraId="2D53B319" w14:textId="3258271A" w:rsidR="005441A4" w:rsidRPr="005441A4" w:rsidRDefault="005441A4" w:rsidP="00794F3A">
      <w:pPr>
        <w:pStyle w:val="PargrafodaLista"/>
        <w:numPr>
          <w:ilvl w:val="0"/>
          <w:numId w:val="72"/>
        </w:numPr>
        <w:rPr>
          <w:rFonts w:asciiTheme="minorHAnsi" w:hAnsiTheme="minorHAnsi" w:cstheme="minorHAnsi"/>
        </w:rPr>
      </w:pPr>
      <w:r w:rsidRPr="005441A4">
        <w:rPr>
          <w:rFonts w:asciiTheme="minorHAnsi" w:hAnsiTheme="minorHAnsi" w:cstheme="minorHAnsi"/>
        </w:rPr>
        <w:t>Entre 1 e 2 anos</w:t>
      </w:r>
    </w:p>
    <w:p w14:paraId="7F0A8FF5" w14:textId="45C87A32" w:rsidR="005441A4" w:rsidRPr="005441A4" w:rsidRDefault="005441A4" w:rsidP="00794F3A">
      <w:pPr>
        <w:pStyle w:val="PargrafodaLista"/>
        <w:numPr>
          <w:ilvl w:val="0"/>
          <w:numId w:val="72"/>
        </w:numPr>
        <w:rPr>
          <w:rFonts w:asciiTheme="minorHAnsi" w:hAnsiTheme="minorHAnsi" w:cstheme="minorHAnsi"/>
        </w:rPr>
      </w:pPr>
      <w:r w:rsidRPr="005441A4">
        <w:rPr>
          <w:rFonts w:asciiTheme="minorHAnsi" w:hAnsiTheme="minorHAnsi" w:cstheme="minorHAnsi"/>
        </w:rPr>
        <w:t>Entre 2 e 4 anos</w:t>
      </w:r>
    </w:p>
    <w:p w14:paraId="5341ADF4" w14:textId="4B542B73" w:rsidR="005441A4" w:rsidRPr="005441A4" w:rsidRDefault="005441A4" w:rsidP="00794F3A">
      <w:pPr>
        <w:pStyle w:val="PargrafodaLista"/>
        <w:numPr>
          <w:ilvl w:val="0"/>
          <w:numId w:val="72"/>
        </w:numPr>
        <w:rPr>
          <w:rFonts w:asciiTheme="minorHAnsi" w:hAnsiTheme="minorHAnsi" w:cstheme="minorHAnsi"/>
        </w:rPr>
      </w:pPr>
      <w:r w:rsidRPr="005441A4">
        <w:rPr>
          <w:rFonts w:asciiTheme="minorHAnsi" w:hAnsiTheme="minorHAnsi" w:cstheme="minorHAnsi"/>
        </w:rPr>
        <w:t>Entre 4 e 10 anos</w:t>
      </w:r>
    </w:p>
    <w:p w14:paraId="19BB3E89" w14:textId="4584E80F" w:rsidR="005441A4" w:rsidRPr="005441A4" w:rsidRDefault="005441A4" w:rsidP="00794F3A">
      <w:pPr>
        <w:pStyle w:val="PargrafodaLista"/>
        <w:numPr>
          <w:ilvl w:val="0"/>
          <w:numId w:val="72"/>
        </w:numPr>
        <w:rPr>
          <w:rFonts w:asciiTheme="minorHAnsi" w:hAnsiTheme="minorHAnsi" w:cstheme="minorHAnsi"/>
        </w:rPr>
      </w:pPr>
      <w:r w:rsidRPr="005441A4">
        <w:rPr>
          <w:rFonts w:asciiTheme="minorHAnsi" w:hAnsiTheme="minorHAnsi" w:cstheme="minorHAnsi"/>
        </w:rPr>
        <w:t>Entre 10 e 15 anos</w:t>
      </w:r>
    </w:p>
    <w:p w14:paraId="3F5ADFE4" w14:textId="17D481F4" w:rsidR="005441A4" w:rsidRPr="005441A4" w:rsidRDefault="005441A4" w:rsidP="00794F3A">
      <w:pPr>
        <w:pStyle w:val="PargrafodaLista"/>
        <w:numPr>
          <w:ilvl w:val="0"/>
          <w:numId w:val="72"/>
        </w:numPr>
        <w:rPr>
          <w:rFonts w:asciiTheme="minorHAnsi" w:hAnsiTheme="minorHAnsi" w:cstheme="minorHAnsi"/>
        </w:rPr>
      </w:pPr>
      <w:r w:rsidRPr="005441A4">
        <w:rPr>
          <w:rFonts w:asciiTheme="minorHAnsi" w:hAnsiTheme="minorHAnsi" w:cstheme="minorHAnsi"/>
        </w:rPr>
        <w:t>Entre 15 e 20 anos</w:t>
      </w:r>
    </w:p>
    <w:p w14:paraId="2C41F79F" w14:textId="53451D82" w:rsidR="005441A4" w:rsidRDefault="005441A4" w:rsidP="00794F3A">
      <w:pPr>
        <w:pStyle w:val="PargrafodaLista"/>
        <w:numPr>
          <w:ilvl w:val="0"/>
          <w:numId w:val="72"/>
        </w:numPr>
        <w:rPr>
          <w:rFonts w:asciiTheme="minorHAnsi" w:hAnsiTheme="minorHAnsi" w:cstheme="minorHAnsi"/>
        </w:rPr>
      </w:pPr>
      <w:r w:rsidRPr="005441A4">
        <w:rPr>
          <w:rFonts w:asciiTheme="minorHAnsi" w:hAnsiTheme="minorHAnsi" w:cstheme="minorHAnsi"/>
        </w:rPr>
        <w:t>Há mais de 20 anos</w:t>
      </w:r>
    </w:p>
    <w:p w14:paraId="1D89D886" w14:textId="77777777" w:rsidR="005441A4" w:rsidRPr="005441A4" w:rsidRDefault="005441A4" w:rsidP="005441A4">
      <w:pPr>
        <w:pStyle w:val="PargrafodaLista"/>
        <w:rPr>
          <w:rFonts w:asciiTheme="minorHAnsi" w:hAnsiTheme="minorHAnsi" w:cstheme="minorHAnsi"/>
        </w:rPr>
      </w:pPr>
    </w:p>
    <w:p w14:paraId="2384820D" w14:textId="4C444D6B" w:rsidR="005441A4" w:rsidRPr="005441A4" w:rsidRDefault="005441A4" w:rsidP="005441A4">
      <w:pPr>
        <w:rPr>
          <w:rFonts w:asciiTheme="minorHAnsi" w:hAnsiTheme="minorHAnsi" w:cstheme="minorHAnsi"/>
          <w:b/>
        </w:rPr>
      </w:pPr>
      <w:r w:rsidRPr="005441A4">
        <w:rPr>
          <w:rFonts w:asciiTheme="minorHAnsi" w:hAnsiTheme="minorHAnsi" w:cstheme="minorHAnsi"/>
          <w:b/>
        </w:rPr>
        <w:t xml:space="preserve">04. Qual é a sua idade? </w:t>
      </w:r>
    </w:p>
    <w:p w14:paraId="2D7E0511" w14:textId="77777777" w:rsidR="005441A4" w:rsidRPr="005441A4" w:rsidRDefault="005441A4" w:rsidP="00794F3A">
      <w:pPr>
        <w:numPr>
          <w:ilvl w:val="0"/>
          <w:numId w:val="71"/>
        </w:numPr>
        <w:rPr>
          <w:rFonts w:asciiTheme="minorHAnsi" w:hAnsiTheme="minorHAnsi" w:cstheme="minorHAnsi"/>
        </w:rPr>
      </w:pPr>
      <w:r w:rsidRPr="005441A4">
        <w:rPr>
          <w:rFonts w:asciiTheme="minorHAnsi" w:hAnsiTheme="minorHAnsi" w:cstheme="minorHAnsi"/>
        </w:rPr>
        <w:t>1. Menor de 18 anos</w:t>
      </w:r>
    </w:p>
    <w:p w14:paraId="56951692" w14:textId="77777777" w:rsidR="005441A4" w:rsidRPr="005441A4" w:rsidRDefault="005441A4" w:rsidP="00794F3A">
      <w:pPr>
        <w:numPr>
          <w:ilvl w:val="0"/>
          <w:numId w:val="71"/>
        </w:numPr>
        <w:rPr>
          <w:rFonts w:asciiTheme="minorHAnsi" w:hAnsiTheme="minorHAnsi" w:cstheme="minorHAnsi"/>
        </w:rPr>
      </w:pPr>
      <w:r w:rsidRPr="005441A4">
        <w:rPr>
          <w:rFonts w:asciiTheme="minorHAnsi" w:hAnsiTheme="minorHAnsi" w:cstheme="minorHAnsi"/>
        </w:rPr>
        <w:t>2. Entre 18 e 29 anos</w:t>
      </w:r>
    </w:p>
    <w:p w14:paraId="308FBE20" w14:textId="77777777" w:rsidR="005441A4" w:rsidRPr="005441A4" w:rsidRDefault="005441A4" w:rsidP="00794F3A">
      <w:pPr>
        <w:numPr>
          <w:ilvl w:val="0"/>
          <w:numId w:val="71"/>
        </w:numPr>
        <w:rPr>
          <w:rFonts w:asciiTheme="minorHAnsi" w:hAnsiTheme="minorHAnsi" w:cstheme="minorHAnsi"/>
        </w:rPr>
      </w:pPr>
      <w:r w:rsidRPr="005441A4">
        <w:rPr>
          <w:rFonts w:asciiTheme="minorHAnsi" w:hAnsiTheme="minorHAnsi" w:cstheme="minorHAnsi"/>
        </w:rPr>
        <w:t>3. Entre 30 e 39 anos</w:t>
      </w:r>
    </w:p>
    <w:p w14:paraId="157D985C" w14:textId="77777777" w:rsidR="005441A4" w:rsidRPr="005441A4" w:rsidRDefault="005441A4" w:rsidP="00794F3A">
      <w:pPr>
        <w:numPr>
          <w:ilvl w:val="0"/>
          <w:numId w:val="71"/>
        </w:numPr>
        <w:rPr>
          <w:rFonts w:asciiTheme="minorHAnsi" w:hAnsiTheme="minorHAnsi" w:cstheme="minorHAnsi"/>
        </w:rPr>
      </w:pPr>
      <w:r w:rsidRPr="005441A4">
        <w:rPr>
          <w:rFonts w:asciiTheme="minorHAnsi" w:hAnsiTheme="minorHAnsi" w:cstheme="minorHAnsi"/>
        </w:rPr>
        <w:t>4. Entre 40 e 49 anos</w:t>
      </w:r>
    </w:p>
    <w:p w14:paraId="0E4AC6E2" w14:textId="77777777" w:rsidR="005441A4" w:rsidRPr="005441A4" w:rsidRDefault="005441A4" w:rsidP="00794F3A">
      <w:pPr>
        <w:numPr>
          <w:ilvl w:val="0"/>
          <w:numId w:val="71"/>
        </w:numPr>
        <w:rPr>
          <w:rFonts w:asciiTheme="minorHAnsi" w:hAnsiTheme="minorHAnsi" w:cstheme="minorHAnsi"/>
        </w:rPr>
      </w:pPr>
      <w:r w:rsidRPr="005441A4">
        <w:rPr>
          <w:rFonts w:asciiTheme="minorHAnsi" w:hAnsiTheme="minorHAnsi" w:cstheme="minorHAnsi"/>
        </w:rPr>
        <w:t>5. Entre 50 e 59 anos</w:t>
      </w:r>
    </w:p>
    <w:p w14:paraId="65BC8E30" w14:textId="77777777" w:rsidR="005441A4" w:rsidRPr="005441A4" w:rsidRDefault="005441A4" w:rsidP="00794F3A">
      <w:pPr>
        <w:numPr>
          <w:ilvl w:val="0"/>
          <w:numId w:val="71"/>
        </w:numPr>
        <w:rPr>
          <w:rFonts w:asciiTheme="minorHAnsi" w:hAnsiTheme="minorHAnsi" w:cstheme="minorHAnsi"/>
        </w:rPr>
      </w:pPr>
      <w:r w:rsidRPr="005441A4">
        <w:rPr>
          <w:rFonts w:asciiTheme="minorHAnsi" w:hAnsiTheme="minorHAnsi" w:cstheme="minorHAnsi"/>
        </w:rPr>
        <w:t>6. Entre 60 e 69 anos</w:t>
      </w:r>
    </w:p>
    <w:p w14:paraId="0DA7A939" w14:textId="77777777" w:rsidR="005441A4" w:rsidRPr="005441A4" w:rsidRDefault="005441A4" w:rsidP="00794F3A">
      <w:pPr>
        <w:numPr>
          <w:ilvl w:val="0"/>
          <w:numId w:val="71"/>
        </w:numPr>
        <w:rPr>
          <w:rFonts w:asciiTheme="minorHAnsi" w:hAnsiTheme="minorHAnsi" w:cstheme="minorHAnsi"/>
        </w:rPr>
      </w:pPr>
      <w:r w:rsidRPr="005441A4">
        <w:rPr>
          <w:rFonts w:asciiTheme="minorHAnsi" w:hAnsiTheme="minorHAnsi" w:cstheme="minorHAnsi"/>
        </w:rPr>
        <w:t>7. Entre 70 e 79 anos</w:t>
      </w:r>
    </w:p>
    <w:p w14:paraId="7413A4C1" w14:textId="03B7E37E" w:rsidR="005441A4" w:rsidRDefault="005441A4" w:rsidP="00794F3A">
      <w:pPr>
        <w:numPr>
          <w:ilvl w:val="0"/>
          <w:numId w:val="71"/>
        </w:numPr>
        <w:rPr>
          <w:rFonts w:asciiTheme="minorHAnsi" w:hAnsiTheme="minorHAnsi" w:cstheme="minorHAnsi"/>
        </w:rPr>
      </w:pPr>
      <w:r w:rsidRPr="005441A4">
        <w:rPr>
          <w:rFonts w:asciiTheme="minorHAnsi" w:hAnsiTheme="minorHAnsi" w:cstheme="minorHAnsi"/>
        </w:rPr>
        <w:t xml:space="preserve">8. Mais de 80 </w:t>
      </w:r>
      <w:r>
        <w:rPr>
          <w:rFonts w:asciiTheme="minorHAnsi" w:hAnsiTheme="minorHAnsi" w:cstheme="minorHAnsi"/>
        </w:rPr>
        <w:t>an</w:t>
      </w:r>
      <w:r w:rsidRPr="005441A4">
        <w:rPr>
          <w:rFonts w:asciiTheme="minorHAnsi" w:hAnsiTheme="minorHAnsi" w:cstheme="minorHAnsi"/>
        </w:rPr>
        <w:t>os</w:t>
      </w:r>
    </w:p>
    <w:p w14:paraId="409EF9F8" w14:textId="77777777" w:rsidR="005441A4" w:rsidRPr="005441A4" w:rsidRDefault="005441A4" w:rsidP="005441A4">
      <w:pPr>
        <w:ind w:left="720"/>
        <w:rPr>
          <w:rFonts w:asciiTheme="minorHAnsi" w:hAnsiTheme="minorHAnsi" w:cstheme="minorHAnsi"/>
        </w:rPr>
      </w:pPr>
    </w:p>
    <w:p w14:paraId="2F910F8E" w14:textId="2DE8647B" w:rsidR="005441A4" w:rsidRPr="005441A4" w:rsidRDefault="005441A4" w:rsidP="005441A4">
      <w:pPr>
        <w:rPr>
          <w:rFonts w:asciiTheme="minorHAnsi" w:hAnsiTheme="minorHAnsi" w:cstheme="minorHAnsi"/>
          <w:b/>
        </w:rPr>
      </w:pPr>
      <w:r w:rsidRPr="005441A4">
        <w:rPr>
          <w:rFonts w:asciiTheme="minorHAnsi" w:hAnsiTheme="minorHAnsi" w:cstheme="minorHAnsi"/>
          <w:b/>
        </w:rPr>
        <w:t xml:space="preserve">05. Qual é a sua orientação sexual? </w:t>
      </w:r>
    </w:p>
    <w:p w14:paraId="6B0E97A5" w14:textId="77777777" w:rsidR="005441A4" w:rsidRPr="005441A4" w:rsidRDefault="005441A4" w:rsidP="00794F3A">
      <w:pPr>
        <w:numPr>
          <w:ilvl w:val="0"/>
          <w:numId w:val="70"/>
        </w:numPr>
        <w:rPr>
          <w:rFonts w:asciiTheme="minorHAnsi" w:hAnsiTheme="minorHAnsi" w:cstheme="minorHAnsi"/>
        </w:rPr>
      </w:pPr>
      <w:r w:rsidRPr="005441A4">
        <w:rPr>
          <w:rFonts w:asciiTheme="minorHAnsi" w:hAnsiTheme="minorHAnsi" w:cstheme="minorHAnsi"/>
        </w:rPr>
        <w:t>1. Heterossexual</w:t>
      </w:r>
    </w:p>
    <w:p w14:paraId="29DC85B6" w14:textId="77777777" w:rsidR="005441A4" w:rsidRPr="005441A4" w:rsidRDefault="005441A4" w:rsidP="00794F3A">
      <w:pPr>
        <w:numPr>
          <w:ilvl w:val="0"/>
          <w:numId w:val="70"/>
        </w:numPr>
        <w:rPr>
          <w:rFonts w:asciiTheme="minorHAnsi" w:hAnsiTheme="minorHAnsi" w:cstheme="minorHAnsi"/>
        </w:rPr>
      </w:pPr>
      <w:r w:rsidRPr="005441A4">
        <w:rPr>
          <w:rFonts w:asciiTheme="minorHAnsi" w:hAnsiTheme="minorHAnsi" w:cstheme="minorHAnsi"/>
        </w:rPr>
        <w:t>2. Homossexual</w:t>
      </w:r>
    </w:p>
    <w:p w14:paraId="0C0258D5" w14:textId="77777777" w:rsidR="005441A4" w:rsidRPr="005441A4" w:rsidRDefault="005441A4" w:rsidP="00794F3A">
      <w:pPr>
        <w:numPr>
          <w:ilvl w:val="0"/>
          <w:numId w:val="70"/>
        </w:numPr>
        <w:rPr>
          <w:rFonts w:asciiTheme="minorHAnsi" w:hAnsiTheme="minorHAnsi" w:cstheme="minorHAnsi"/>
        </w:rPr>
      </w:pPr>
      <w:r w:rsidRPr="005441A4">
        <w:rPr>
          <w:rFonts w:asciiTheme="minorHAnsi" w:hAnsiTheme="minorHAnsi" w:cstheme="minorHAnsi"/>
        </w:rPr>
        <w:t>3. Bissexual</w:t>
      </w:r>
    </w:p>
    <w:p w14:paraId="5116A251" w14:textId="77777777" w:rsidR="005441A4" w:rsidRPr="005441A4" w:rsidRDefault="005441A4" w:rsidP="00794F3A">
      <w:pPr>
        <w:numPr>
          <w:ilvl w:val="0"/>
          <w:numId w:val="70"/>
        </w:numPr>
        <w:rPr>
          <w:rFonts w:asciiTheme="minorHAnsi" w:hAnsiTheme="minorHAnsi" w:cstheme="minorHAnsi"/>
        </w:rPr>
      </w:pPr>
      <w:r w:rsidRPr="005441A4">
        <w:rPr>
          <w:rFonts w:asciiTheme="minorHAnsi" w:hAnsiTheme="minorHAnsi" w:cstheme="minorHAnsi"/>
        </w:rPr>
        <w:t>4. Assexual</w:t>
      </w:r>
    </w:p>
    <w:p w14:paraId="6C5DED71" w14:textId="77777777" w:rsidR="005441A4" w:rsidRPr="005441A4" w:rsidRDefault="005441A4" w:rsidP="00794F3A">
      <w:pPr>
        <w:numPr>
          <w:ilvl w:val="0"/>
          <w:numId w:val="70"/>
        </w:numPr>
        <w:rPr>
          <w:rFonts w:asciiTheme="minorHAnsi" w:hAnsiTheme="minorHAnsi" w:cstheme="minorHAnsi"/>
        </w:rPr>
      </w:pPr>
      <w:r w:rsidRPr="005441A4">
        <w:rPr>
          <w:rFonts w:asciiTheme="minorHAnsi" w:hAnsiTheme="minorHAnsi" w:cstheme="minorHAnsi"/>
        </w:rPr>
        <w:t>5. Outro</w:t>
      </w:r>
    </w:p>
    <w:p w14:paraId="2496350D" w14:textId="0E1C7202" w:rsidR="005441A4" w:rsidRDefault="005441A4" w:rsidP="00794F3A">
      <w:pPr>
        <w:numPr>
          <w:ilvl w:val="0"/>
          <w:numId w:val="70"/>
        </w:numPr>
        <w:rPr>
          <w:rFonts w:asciiTheme="minorHAnsi" w:hAnsiTheme="minorHAnsi" w:cstheme="minorHAnsi"/>
        </w:rPr>
      </w:pPr>
      <w:r w:rsidRPr="005441A4">
        <w:rPr>
          <w:rFonts w:asciiTheme="minorHAnsi" w:hAnsiTheme="minorHAnsi" w:cstheme="minorHAnsi"/>
        </w:rPr>
        <w:lastRenderedPageBreak/>
        <w:t>6. Prefiro não informar</w:t>
      </w:r>
    </w:p>
    <w:p w14:paraId="744E6BEC" w14:textId="77777777" w:rsidR="005441A4" w:rsidRPr="005441A4" w:rsidRDefault="005441A4" w:rsidP="005441A4">
      <w:pPr>
        <w:ind w:left="720"/>
        <w:rPr>
          <w:rFonts w:asciiTheme="minorHAnsi" w:hAnsiTheme="minorHAnsi" w:cstheme="minorHAnsi"/>
        </w:rPr>
      </w:pPr>
    </w:p>
    <w:p w14:paraId="4B934238" w14:textId="7F8F3B96" w:rsidR="005441A4" w:rsidRPr="005441A4" w:rsidRDefault="005441A4" w:rsidP="005441A4">
      <w:pPr>
        <w:rPr>
          <w:rFonts w:asciiTheme="minorHAnsi" w:hAnsiTheme="minorHAnsi" w:cstheme="minorHAnsi"/>
          <w:b/>
        </w:rPr>
      </w:pPr>
      <w:r w:rsidRPr="005441A4">
        <w:rPr>
          <w:rFonts w:asciiTheme="minorHAnsi" w:hAnsiTheme="minorHAnsi" w:cstheme="minorHAnsi"/>
          <w:b/>
        </w:rPr>
        <w:t xml:space="preserve">06. Qual é sua identidade de gênero? </w:t>
      </w:r>
    </w:p>
    <w:p w14:paraId="6B602BAB" w14:textId="77777777" w:rsidR="005441A4" w:rsidRPr="005441A4" w:rsidRDefault="005441A4" w:rsidP="00794F3A">
      <w:pPr>
        <w:numPr>
          <w:ilvl w:val="0"/>
          <w:numId w:val="69"/>
        </w:numPr>
        <w:rPr>
          <w:rFonts w:asciiTheme="minorHAnsi" w:hAnsiTheme="minorHAnsi" w:cstheme="minorHAnsi"/>
        </w:rPr>
      </w:pPr>
      <w:r w:rsidRPr="005441A4">
        <w:rPr>
          <w:rFonts w:asciiTheme="minorHAnsi" w:hAnsiTheme="minorHAnsi" w:cstheme="minorHAnsi"/>
        </w:rPr>
        <w:t>1. Cisgênero – são aquelas cuja identidade de gênero coincide com a atribuída no momento do nascimento, incluindo mulheres cis e homens cis;</w:t>
      </w:r>
    </w:p>
    <w:p w14:paraId="63782A57" w14:textId="77777777" w:rsidR="005441A4" w:rsidRPr="005441A4" w:rsidRDefault="005441A4" w:rsidP="00794F3A">
      <w:pPr>
        <w:numPr>
          <w:ilvl w:val="0"/>
          <w:numId w:val="69"/>
        </w:numPr>
        <w:rPr>
          <w:rFonts w:asciiTheme="minorHAnsi" w:hAnsiTheme="minorHAnsi" w:cstheme="minorHAnsi"/>
        </w:rPr>
      </w:pPr>
      <w:r w:rsidRPr="005441A4">
        <w:rPr>
          <w:rFonts w:asciiTheme="minorHAnsi" w:hAnsiTheme="minorHAnsi" w:cstheme="minorHAnsi"/>
        </w:rPr>
        <w:t>2. Transgênero – são aquelas cuja identidade de gênero diverge da atribuída no momento do nascimento, independentemente da realização de cirurgias ou tratamentos médicos, incluindo mulheres trans ou travestis, homens trans, pessoas não binárias, dentre outras manifestações identitárias divergentes</w:t>
      </w:r>
    </w:p>
    <w:p w14:paraId="13FD491D" w14:textId="77777777" w:rsidR="005441A4" w:rsidRPr="005441A4" w:rsidRDefault="005441A4" w:rsidP="00794F3A">
      <w:pPr>
        <w:numPr>
          <w:ilvl w:val="0"/>
          <w:numId w:val="69"/>
        </w:numPr>
        <w:rPr>
          <w:rFonts w:asciiTheme="minorHAnsi" w:hAnsiTheme="minorHAnsi" w:cstheme="minorHAnsi"/>
        </w:rPr>
      </w:pPr>
      <w:r w:rsidRPr="005441A4">
        <w:rPr>
          <w:rFonts w:asciiTheme="minorHAnsi" w:hAnsiTheme="minorHAnsi" w:cstheme="minorHAnsi"/>
        </w:rPr>
        <w:t>3. Gênero fluído/não binário (pessoas que não se identificam com um único papel ou identidade de gênero)</w:t>
      </w:r>
    </w:p>
    <w:p w14:paraId="21370157" w14:textId="2E268FBB" w:rsidR="005441A4" w:rsidRDefault="005441A4" w:rsidP="00794F3A">
      <w:pPr>
        <w:numPr>
          <w:ilvl w:val="0"/>
          <w:numId w:val="69"/>
        </w:numPr>
        <w:rPr>
          <w:rFonts w:asciiTheme="minorHAnsi" w:hAnsiTheme="minorHAnsi" w:cstheme="minorHAnsi"/>
        </w:rPr>
      </w:pPr>
      <w:r w:rsidRPr="005441A4">
        <w:rPr>
          <w:rFonts w:asciiTheme="minorHAnsi" w:hAnsiTheme="minorHAnsi" w:cstheme="minorHAnsi"/>
        </w:rPr>
        <w:t>4. Prefiro não informar</w:t>
      </w:r>
    </w:p>
    <w:p w14:paraId="1864D253" w14:textId="77777777" w:rsidR="005441A4" w:rsidRPr="005441A4" w:rsidRDefault="005441A4" w:rsidP="005441A4">
      <w:pPr>
        <w:ind w:left="720"/>
        <w:rPr>
          <w:rFonts w:asciiTheme="minorHAnsi" w:hAnsiTheme="minorHAnsi" w:cstheme="minorHAnsi"/>
        </w:rPr>
      </w:pPr>
    </w:p>
    <w:p w14:paraId="36641248" w14:textId="34EDD743" w:rsidR="005441A4" w:rsidRPr="005441A4" w:rsidRDefault="005441A4" w:rsidP="005441A4">
      <w:pPr>
        <w:rPr>
          <w:rFonts w:asciiTheme="minorHAnsi" w:hAnsiTheme="minorHAnsi" w:cstheme="minorHAnsi"/>
          <w:b/>
          <w:bCs/>
        </w:rPr>
      </w:pPr>
      <w:r w:rsidRPr="005441A4">
        <w:rPr>
          <w:rFonts w:asciiTheme="minorHAnsi" w:hAnsiTheme="minorHAnsi" w:cstheme="minorHAnsi"/>
          <w:b/>
          <w:bCs/>
        </w:rPr>
        <w:t xml:space="preserve">07. Você é pessoa com deficiência? </w:t>
      </w:r>
    </w:p>
    <w:p w14:paraId="381E28E7" w14:textId="77777777" w:rsidR="005441A4" w:rsidRPr="005441A4" w:rsidRDefault="005441A4" w:rsidP="00794F3A">
      <w:pPr>
        <w:numPr>
          <w:ilvl w:val="0"/>
          <w:numId w:val="68"/>
        </w:numPr>
        <w:rPr>
          <w:rFonts w:asciiTheme="minorHAnsi" w:hAnsiTheme="minorHAnsi" w:cstheme="minorHAnsi"/>
        </w:rPr>
      </w:pPr>
      <w:r w:rsidRPr="005441A4">
        <w:rPr>
          <w:rFonts w:asciiTheme="minorHAnsi" w:hAnsiTheme="minorHAnsi" w:cstheme="minorHAnsi"/>
        </w:rPr>
        <w:t>Não</w:t>
      </w:r>
    </w:p>
    <w:p w14:paraId="7813EA1A" w14:textId="77777777" w:rsidR="005441A4" w:rsidRPr="005441A4" w:rsidRDefault="005441A4" w:rsidP="00794F3A">
      <w:pPr>
        <w:numPr>
          <w:ilvl w:val="0"/>
          <w:numId w:val="68"/>
        </w:numPr>
        <w:rPr>
          <w:rFonts w:asciiTheme="minorHAnsi" w:hAnsiTheme="minorHAnsi" w:cstheme="minorHAnsi"/>
        </w:rPr>
      </w:pPr>
      <w:r w:rsidRPr="005441A4">
        <w:rPr>
          <w:rFonts w:asciiTheme="minorHAnsi" w:hAnsiTheme="minorHAnsi" w:cstheme="minorHAnsi"/>
        </w:rPr>
        <w:t>Sim, deficiência física</w:t>
      </w:r>
    </w:p>
    <w:p w14:paraId="2F08CC86" w14:textId="77777777" w:rsidR="005441A4" w:rsidRPr="005441A4" w:rsidRDefault="005441A4" w:rsidP="00794F3A">
      <w:pPr>
        <w:numPr>
          <w:ilvl w:val="0"/>
          <w:numId w:val="68"/>
        </w:numPr>
        <w:rPr>
          <w:rFonts w:asciiTheme="minorHAnsi" w:hAnsiTheme="minorHAnsi" w:cstheme="minorHAnsi"/>
        </w:rPr>
      </w:pPr>
      <w:r w:rsidRPr="005441A4">
        <w:rPr>
          <w:rFonts w:asciiTheme="minorHAnsi" w:hAnsiTheme="minorHAnsi" w:cstheme="minorHAnsi"/>
        </w:rPr>
        <w:t>Sim, deficiência visual</w:t>
      </w:r>
    </w:p>
    <w:p w14:paraId="7F9B0BDD" w14:textId="77777777" w:rsidR="005441A4" w:rsidRPr="005441A4" w:rsidRDefault="005441A4" w:rsidP="00794F3A">
      <w:pPr>
        <w:numPr>
          <w:ilvl w:val="0"/>
          <w:numId w:val="68"/>
        </w:numPr>
        <w:rPr>
          <w:rFonts w:asciiTheme="minorHAnsi" w:hAnsiTheme="minorHAnsi" w:cstheme="minorHAnsi"/>
        </w:rPr>
      </w:pPr>
      <w:r w:rsidRPr="005441A4">
        <w:rPr>
          <w:rFonts w:asciiTheme="minorHAnsi" w:hAnsiTheme="minorHAnsi" w:cstheme="minorHAnsi"/>
        </w:rPr>
        <w:t>Sim, deficiência auditiva</w:t>
      </w:r>
    </w:p>
    <w:p w14:paraId="7A231FA8" w14:textId="77777777" w:rsidR="005441A4" w:rsidRPr="005441A4" w:rsidRDefault="005441A4" w:rsidP="00794F3A">
      <w:pPr>
        <w:numPr>
          <w:ilvl w:val="0"/>
          <w:numId w:val="68"/>
        </w:numPr>
        <w:rPr>
          <w:rFonts w:asciiTheme="minorHAnsi" w:hAnsiTheme="minorHAnsi" w:cstheme="minorHAnsi"/>
        </w:rPr>
      </w:pPr>
      <w:r w:rsidRPr="005441A4">
        <w:rPr>
          <w:rFonts w:asciiTheme="minorHAnsi" w:hAnsiTheme="minorHAnsi" w:cstheme="minorHAnsi"/>
        </w:rPr>
        <w:t>Sim, deficiência intelectual</w:t>
      </w:r>
    </w:p>
    <w:p w14:paraId="30827255" w14:textId="77777777" w:rsidR="005441A4" w:rsidRPr="005441A4" w:rsidRDefault="005441A4" w:rsidP="00794F3A">
      <w:pPr>
        <w:numPr>
          <w:ilvl w:val="0"/>
          <w:numId w:val="68"/>
        </w:numPr>
        <w:rPr>
          <w:rFonts w:asciiTheme="minorHAnsi" w:hAnsiTheme="minorHAnsi" w:cstheme="minorHAnsi"/>
        </w:rPr>
      </w:pPr>
      <w:r w:rsidRPr="005441A4">
        <w:rPr>
          <w:rFonts w:asciiTheme="minorHAnsi" w:hAnsiTheme="minorHAnsi" w:cstheme="minorHAnsi"/>
        </w:rPr>
        <w:t>Sim, deficiência mental-psicossocial</w:t>
      </w:r>
    </w:p>
    <w:p w14:paraId="1768FBED" w14:textId="77777777" w:rsidR="005441A4" w:rsidRPr="005441A4" w:rsidRDefault="005441A4" w:rsidP="00794F3A">
      <w:pPr>
        <w:numPr>
          <w:ilvl w:val="0"/>
          <w:numId w:val="68"/>
        </w:numPr>
        <w:rPr>
          <w:rFonts w:asciiTheme="minorHAnsi" w:hAnsiTheme="minorHAnsi" w:cstheme="minorHAnsi"/>
        </w:rPr>
      </w:pPr>
      <w:r w:rsidRPr="005441A4">
        <w:rPr>
          <w:rFonts w:asciiTheme="minorHAnsi" w:hAnsiTheme="minorHAnsi" w:cstheme="minorHAnsi"/>
        </w:rPr>
        <w:t>Sim, outras deficiências</w:t>
      </w:r>
    </w:p>
    <w:p w14:paraId="4C7B7C57" w14:textId="136B16DF" w:rsidR="005441A4" w:rsidRDefault="005441A4" w:rsidP="00794F3A">
      <w:pPr>
        <w:numPr>
          <w:ilvl w:val="0"/>
          <w:numId w:val="68"/>
        </w:numPr>
        <w:rPr>
          <w:rFonts w:asciiTheme="minorHAnsi" w:hAnsiTheme="minorHAnsi" w:cstheme="minorHAnsi"/>
        </w:rPr>
      </w:pPr>
      <w:r w:rsidRPr="005441A4">
        <w:rPr>
          <w:rFonts w:asciiTheme="minorHAnsi" w:hAnsiTheme="minorHAnsi" w:cstheme="minorHAnsi"/>
        </w:rPr>
        <w:t>Prefiro não informar</w:t>
      </w:r>
    </w:p>
    <w:p w14:paraId="0E5935D1" w14:textId="77777777" w:rsidR="005441A4" w:rsidRPr="005441A4" w:rsidRDefault="005441A4" w:rsidP="005441A4">
      <w:pPr>
        <w:ind w:left="720"/>
        <w:rPr>
          <w:rFonts w:asciiTheme="minorHAnsi" w:hAnsiTheme="minorHAnsi" w:cstheme="minorHAnsi"/>
        </w:rPr>
      </w:pPr>
    </w:p>
    <w:p w14:paraId="0722154E" w14:textId="6EE58860" w:rsidR="005441A4" w:rsidRPr="005441A4" w:rsidRDefault="005441A4" w:rsidP="005441A4">
      <w:pPr>
        <w:rPr>
          <w:rFonts w:asciiTheme="minorHAnsi" w:hAnsiTheme="minorHAnsi" w:cstheme="minorHAnsi"/>
          <w:b/>
          <w:color w:val="202124"/>
          <w:shd w:val="clear" w:color="auto" w:fill="F8F9FA"/>
        </w:rPr>
      </w:pPr>
      <w:r w:rsidRPr="005441A4">
        <w:rPr>
          <w:rFonts w:asciiTheme="minorHAnsi" w:hAnsiTheme="minorHAnsi" w:cstheme="minorHAnsi"/>
          <w:b/>
        </w:rPr>
        <w:t xml:space="preserve">08. Qual é a sua identidade étnica/racial? </w:t>
      </w:r>
    </w:p>
    <w:p w14:paraId="41980556" w14:textId="77777777" w:rsidR="005441A4" w:rsidRPr="005441A4" w:rsidRDefault="005441A4" w:rsidP="00794F3A">
      <w:pPr>
        <w:numPr>
          <w:ilvl w:val="0"/>
          <w:numId w:val="67"/>
        </w:numPr>
        <w:rPr>
          <w:rFonts w:asciiTheme="minorHAnsi" w:hAnsiTheme="minorHAnsi" w:cstheme="minorHAnsi"/>
        </w:rPr>
      </w:pPr>
      <w:r w:rsidRPr="005441A4">
        <w:rPr>
          <w:rFonts w:asciiTheme="minorHAnsi" w:hAnsiTheme="minorHAnsi" w:cstheme="minorHAnsi"/>
        </w:rPr>
        <w:t>1. Branca</w:t>
      </w:r>
    </w:p>
    <w:p w14:paraId="00119055" w14:textId="77777777" w:rsidR="005441A4" w:rsidRPr="005441A4" w:rsidRDefault="005441A4" w:rsidP="00794F3A">
      <w:pPr>
        <w:numPr>
          <w:ilvl w:val="0"/>
          <w:numId w:val="67"/>
        </w:numPr>
        <w:rPr>
          <w:rFonts w:asciiTheme="minorHAnsi" w:hAnsiTheme="minorHAnsi" w:cstheme="minorHAnsi"/>
        </w:rPr>
      </w:pPr>
      <w:r w:rsidRPr="005441A4">
        <w:rPr>
          <w:rFonts w:asciiTheme="minorHAnsi" w:hAnsiTheme="minorHAnsi" w:cstheme="minorHAnsi"/>
        </w:rPr>
        <w:t>2. Preta (negra)</w:t>
      </w:r>
    </w:p>
    <w:p w14:paraId="3CDAC96C" w14:textId="77777777" w:rsidR="005441A4" w:rsidRPr="005441A4" w:rsidRDefault="005441A4" w:rsidP="00794F3A">
      <w:pPr>
        <w:numPr>
          <w:ilvl w:val="0"/>
          <w:numId w:val="67"/>
        </w:numPr>
        <w:rPr>
          <w:rFonts w:asciiTheme="minorHAnsi" w:hAnsiTheme="minorHAnsi" w:cstheme="minorHAnsi"/>
        </w:rPr>
      </w:pPr>
      <w:r w:rsidRPr="005441A4">
        <w:rPr>
          <w:rFonts w:asciiTheme="minorHAnsi" w:hAnsiTheme="minorHAnsi" w:cstheme="minorHAnsi"/>
        </w:rPr>
        <w:t>3. Parda (negra)</w:t>
      </w:r>
    </w:p>
    <w:p w14:paraId="306E0516" w14:textId="77777777" w:rsidR="005441A4" w:rsidRPr="005441A4" w:rsidRDefault="005441A4" w:rsidP="00794F3A">
      <w:pPr>
        <w:numPr>
          <w:ilvl w:val="0"/>
          <w:numId w:val="67"/>
        </w:numPr>
        <w:rPr>
          <w:rFonts w:asciiTheme="minorHAnsi" w:hAnsiTheme="minorHAnsi" w:cstheme="minorHAnsi"/>
        </w:rPr>
      </w:pPr>
      <w:r w:rsidRPr="005441A4">
        <w:rPr>
          <w:rFonts w:asciiTheme="minorHAnsi" w:hAnsiTheme="minorHAnsi" w:cstheme="minorHAnsi"/>
        </w:rPr>
        <w:t>4. Amarela</w:t>
      </w:r>
    </w:p>
    <w:p w14:paraId="07C5DDBC" w14:textId="77777777" w:rsidR="005441A4" w:rsidRPr="005441A4" w:rsidRDefault="005441A4" w:rsidP="00794F3A">
      <w:pPr>
        <w:numPr>
          <w:ilvl w:val="0"/>
          <w:numId w:val="67"/>
        </w:numPr>
        <w:rPr>
          <w:rFonts w:asciiTheme="minorHAnsi" w:hAnsiTheme="minorHAnsi" w:cstheme="minorHAnsi"/>
        </w:rPr>
      </w:pPr>
      <w:r w:rsidRPr="005441A4">
        <w:rPr>
          <w:rFonts w:asciiTheme="minorHAnsi" w:hAnsiTheme="minorHAnsi" w:cstheme="minorHAnsi"/>
        </w:rPr>
        <w:t>5. Indígena</w:t>
      </w:r>
    </w:p>
    <w:p w14:paraId="4CD82660" w14:textId="77777777" w:rsidR="005441A4" w:rsidRPr="005441A4" w:rsidRDefault="005441A4" w:rsidP="00794F3A">
      <w:pPr>
        <w:numPr>
          <w:ilvl w:val="0"/>
          <w:numId w:val="67"/>
        </w:numPr>
        <w:rPr>
          <w:rFonts w:asciiTheme="minorHAnsi" w:hAnsiTheme="minorHAnsi" w:cstheme="minorHAnsi"/>
        </w:rPr>
      </w:pPr>
      <w:r w:rsidRPr="005441A4">
        <w:rPr>
          <w:rFonts w:asciiTheme="minorHAnsi" w:hAnsiTheme="minorHAnsi" w:cstheme="minorHAnsi"/>
        </w:rPr>
        <w:t>6. Prefiro não informar</w:t>
      </w:r>
    </w:p>
    <w:p w14:paraId="1B4509BE" w14:textId="77777777" w:rsidR="005441A4" w:rsidRPr="005441A4" w:rsidRDefault="005441A4" w:rsidP="005441A4">
      <w:pPr>
        <w:rPr>
          <w:rFonts w:asciiTheme="minorHAnsi" w:hAnsiTheme="minorHAnsi" w:cstheme="minorHAnsi"/>
          <w:b/>
          <w:color w:val="202124"/>
          <w:shd w:val="clear" w:color="auto" w:fill="F8F9FA"/>
        </w:rPr>
      </w:pPr>
    </w:p>
    <w:p w14:paraId="2FE8B0FB" w14:textId="6DF55693" w:rsidR="005441A4" w:rsidRPr="005441A4" w:rsidRDefault="005441A4" w:rsidP="005441A4">
      <w:pPr>
        <w:rPr>
          <w:rFonts w:asciiTheme="minorHAnsi" w:hAnsiTheme="minorHAnsi" w:cstheme="minorHAnsi"/>
          <w:color w:val="202124"/>
          <w:highlight w:val="white"/>
        </w:rPr>
      </w:pPr>
      <w:r w:rsidRPr="005441A4">
        <w:rPr>
          <w:rFonts w:asciiTheme="minorHAnsi" w:hAnsiTheme="minorHAnsi" w:cstheme="minorHAnsi"/>
          <w:color w:val="202124"/>
          <w:highlight w:val="white"/>
        </w:rPr>
        <w:t>TRABALHADORAS DO TST OU DO CSJT</w:t>
      </w:r>
    </w:p>
    <w:p w14:paraId="2F36BF4E" w14:textId="78073677" w:rsidR="005441A4" w:rsidRPr="005441A4" w:rsidRDefault="005441A4" w:rsidP="005441A4">
      <w:pPr>
        <w:rPr>
          <w:rFonts w:asciiTheme="minorHAnsi" w:hAnsiTheme="minorHAnsi" w:cstheme="minorHAnsi"/>
          <w:b/>
        </w:rPr>
      </w:pPr>
      <w:r w:rsidRPr="005441A4">
        <w:rPr>
          <w:rFonts w:asciiTheme="minorHAnsi" w:hAnsiTheme="minorHAnsi" w:cstheme="minorHAnsi"/>
          <w:b/>
        </w:rPr>
        <w:t>Preconceito ou Discriminação de Gênero</w:t>
      </w:r>
    </w:p>
    <w:p w14:paraId="2BA1A6BC" w14:textId="32A46289" w:rsidR="004439F6" w:rsidRPr="004439F6" w:rsidRDefault="005441A4" w:rsidP="00794F3A">
      <w:pPr>
        <w:numPr>
          <w:ilvl w:val="0"/>
          <w:numId w:val="4"/>
        </w:numPr>
        <w:rPr>
          <w:rFonts w:asciiTheme="minorHAnsi" w:hAnsiTheme="minorHAnsi" w:cstheme="minorHAnsi"/>
          <w:b/>
          <w:bCs/>
          <w:color w:val="202124"/>
          <w:highlight w:val="white"/>
        </w:rPr>
      </w:pPr>
      <w:r w:rsidRPr="004439F6">
        <w:rPr>
          <w:rFonts w:asciiTheme="minorHAnsi" w:hAnsiTheme="minorHAnsi" w:cstheme="minorHAnsi"/>
          <w:b/>
          <w:bCs/>
          <w:color w:val="202124"/>
          <w:highlight w:val="white"/>
        </w:rPr>
        <w:t>Você já recebeu comentários sobre sua aparência física no ambiente de trabalho do TST/CSJT?</w:t>
      </w:r>
    </w:p>
    <w:p w14:paraId="134B021D" w14:textId="77777777" w:rsidR="005441A4" w:rsidRPr="005441A4" w:rsidRDefault="005441A4" w:rsidP="00794F3A">
      <w:pPr>
        <w:numPr>
          <w:ilvl w:val="0"/>
          <w:numId w:val="66"/>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3F9CBF6B" w14:textId="77777777" w:rsidR="005441A4" w:rsidRPr="005441A4" w:rsidRDefault="005441A4" w:rsidP="00794F3A">
      <w:pPr>
        <w:numPr>
          <w:ilvl w:val="0"/>
          <w:numId w:val="66"/>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6924D5D9" w14:textId="164C0A0F" w:rsidR="005441A4" w:rsidRDefault="005441A4" w:rsidP="00794F3A">
      <w:pPr>
        <w:numPr>
          <w:ilvl w:val="0"/>
          <w:numId w:val="66"/>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7E2A9FC9" w14:textId="77777777" w:rsidR="004439F6" w:rsidRPr="004439F6" w:rsidRDefault="004439F6" w:rsidP="004439F6">
      <w:pPr>
        <w:ind w:left="720"/>
        <w:rPr>
          <w:rFonts w:asciiTheme="minorHAnsi" w:hAnsiTheme="minorHAnsi" w:cstheme="minorHAnsi"/>
          <w:color w:val="202124"/>
          <w:highlight w:val="white"/>
        </w:rPr>
      </w:pPr>
    </w:p>
    <w:p w14:paraId="452CDFE4" w14:textId="77777777" w:rsidR="005441A4" w:rsidRPr="004439F6" w:rsidRDefault="005441A4" w:rsidP="00794F3A">
      <w:pPr>
        <w:numPr>
          <w:ilvl w:val="0"/>
          <w:numId w:val="4"/>
        </w:numPr>
        <w:rPr>
          <w:rFonts w:asciiTheme="minorHAnsi" w:hAnsiTheme="minorHAnsi" w:cstheme="minorHAnsi"/>
          <w:b/>
          <w:bCs/>
          <w:color w:val="202124"/>
          <w:highlight w:val="white"/>
        </w:rPr>
      </w:pPr>
      <w:r w:rsidRPr="004439F6">
        <w:rPr>
          <w:rFonts w:asciiTheme="minorHAnsi" w:hAnsiTheme="minorHAnsi" w:cstheme="minorHAnsi"/>
          <w:b/>
          <w:bCs/>
          <w:color w:val="202124"/>
          <w:highlight w:val="white"/>
        </w:rPr>
        <w:t>Você considera que as mulheres são mais cobradas por comportamento e vestimenta do que os homens no seu setor no TST/CSJT?</w:t>
      </w:r>
    </w:p>
    <w:p w14:paraId="6596038B" w14:textId="77777777" w:rsidR="005441A4" w:rsidRPr="005441A4" w:rsidRDefault="005441A4" w:rsidP="00794F3A">
      <w:pPr>
        <w:numPr>
          <w:ilvl w:val="0"/>
          <w:numId w:val="65"/>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4712E3E8" w14:textId="77777777" w:rsidR="005441A4" w:rsidRPr="005441A4" w:rsidRDefault="005441A4" w:rsidP="00794F3A">
      <w:pPr>
        <w:numPr>
          <w:ilvl w:val="0"/>
          <w:numId w:val="65"/>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28A4BECA" w14:textId="757F2D86" w:rsidR="005441A4" w:rsidRDefault="005441A4" w:rsidP="00794F3A">
      <w:pPr>
        <w:numPr>
          <w:ilvl w:val="0"/>
          <w:numId w:val="65"/>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2B027766" w14:textId="77777777" w:rsidR="004439F6" w:rsidRPr="004439F6" w:rsidRDefault="004439F6" w:rsidP="004439F6">
      <w:pPr>
        <w:ind w:left="720"/>
        <w:rPr>
          <w:rFonts w:asciiTheme="minorHAnsi" w:hAnsiTheme="minorHAnsi" w:cstheme="minorHAnsi"/>
          <w:color w:val="202124"/>
          <w:highlight w:val="white"/>
        </w:rPr>
      </w:pPr>
    </w:p>
    <w:p w14:paraId="53381902" w14:textId="77777777" w:rsidR="005441A4" w:rsidRPr="004439F6" w:rsidRDefault="005441A4" w:rsidP="00794F3A">
      <w:pPr>
        <w:numPr>
          <w:ilvl w:val="0"/>
          <w:numId w:val="4"/>
        </w:numPr>
        <w:rPr>
          <w:rFonts w:asciiTheme="minorHAnsi" w:hAnsiTheme="minorHAnsi" w:cstheme="minorHAnsi"/>
          <w:b/>
          <w:bCs/>
        </w:rPr>
      </w:pPr>
      <w:r w:rsidRPr="004439F6">
        <w:rPr>
          <w:rFonts w:asciiTheme="minorHAnsi" w:hAnsiTheme="minorHAnsi" w:cstheme="minorHAnsi"/>
          <w:b/>
          <w:bCs/>
        </w:rPr>
        <w:t>Em espaços de reunião e conversas de grupo, você sente que sua fala é respeitada no TST/CSJT?</w:t>
      </w:r>
    </w:p>
    <w:p w14:paraId="2A244276" w14:textId="77777777" w:rsidR="005441A4" w:rsidRPr="005441A4" w:rsidRDefault="005441A4" w:rsidP="00794F3A">
      <w:pPr>
        <w:numPr>
          <w:ilvl w:val="0"/>
          <w:numId w:val="64"/>
        </w:numPr>
        <w:rPr>
          <w:rFonts w:asciiTheme="minorHAnsi" w:hAnsiTheme="minorHAnsi" w:cstheme="minorHAnsi"/>
          <w:color w:val="202124"/>
          <w:highlight w:val="white"/>
        </w:rPr>
      </w:pPr>
      <w:r w:rsidRPr="005441A4">
        <w:rPr>
          <w:rFonts w:asciiTheme="minorHAnsi" w:hAnsiTheme="minorHAnsi" w:cstheme="minorHAnsi"/>
          <w:color w:val="202124"/>
          <w:highlight w:val="white"/>
        </w:rPr>
        <w:lastRenderedPageBreak/>
        <w:t xml:space="preserve">Sim </w:t>
      </w:r>
    </w:p>
    <w:p w14:paraId="4C166F73" w14:textId="77777777" w:rsidR="005441A4" w:rsidRPr="005441A4" w:rsidRDefault="005441A4" w:rsidP="00794F3A">
      <w:pPr>
        <w:numPr>
          <w:ilvl w:val="0"/>
          <w:numId w:val="64"/>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0B5B8017" w14:textId="5F1181C2" w:rsidR="005441A4" w:rsidRDefault="005441A4" w:rsidP="00794F3A">
      <w:pPr>
        <w:numPr>
          <w:ilvl w:val="0"/>
          <w:numId w:val="64"/>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3DABE441" w14:textId="77777777" w:rsidR="004439F6" w:rsidRPr="004439F6" w:rsidRDefault="004439F6" w:rsidP="004439F6">
      <w:pPr>
        <w:ind w:left="720"/>
        <w:rPr>
          <w:rFonts w:asciiTheme="minorHAnsi" w:hAnsiTheme="minorHAnsi" w:cstheme="minorHAnsi"/>
          <w:color w:val="202124"/>
          <w:highlight w:val="white"/>
        </w:rPr>
      </w:pPr>
    </w:p>
    <w:p w14:paraId="504DAD06" w14:textId="77777777" w:rsidR="005441A4" w:rsidRPr="004439F6" w:rsidRDefault="005441A4" w:rsidP="00794F3A">
      <w:pPr>
        <w:numPr>
          <w:ilvl w:val="0"/>
          <w:numId w:val="4"/>
        </w:numPr>
        <w:rPr>
          <w:rFonts w:asciiTheme="minorHAnsi" w:hAnsiTheme="minorHAnsi" w:cstheme="minorHAnsi"/>
          <w:b/>
          <w:bCs/>
        </w:rPr>
      </w:pPr>
      <w:r w:rsidRPr="004439F6">
        <w:rPr>
          <w:rFonts w:asciiTheme="minorHAnsi" w:hAnsiTheme="minorHAnsi" w:cstheme="minorHAnsi"/>
          <w:b/>
          <w:bCs/>
        </w:rPr>
        <w:t>Em espaços de reunião e conversas de grupo no TST/CSJT, você sente que suas falas são interrompidas por homens com frequência (</w:t>
      </w:r>
      <w:r w:rsidRPr="009510E8">
        <w:rPr>
          <w:rFonts w:asciiTheme="minorHAnsi" w:hAnsiTheme="minorHAnsi" w:cstheme="minorHAnsi"/>
          <w:b/>
          <w:bCs/>
          <w:i/>
          <w:iCs/>
        </w:rPr>
        <w:t>manterrupting</w:t>
      </w:r>
      <w:r w:rsidRPr="004439F6">
        <w:rPr>
          <w:rFonts w:asciiTheme="minorHAnsi" w:hAnsiTheme="minorHAnsi" w:cstheme="minorHAnsi"/>
          <w:b/>
          <w:bCs/>
        </w:rPr>
        <w:t>)?</w:t>
      </w:r>
    </w:p>
    <w:p w14:paraId="4EF3A1A3" w14:textId="77777777" w:rsidR="005441A4" w:rsidRPr="005441A4" w:rsidRDefault="005441A4" w:rsidP="00794F3A">
      <w:pPr>
        <w:numPr>
          <w:ilvl w:val="0"/>
          <w:numId w:val="63"/>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738CB79D" w14:textId="77777777" w:rsidR="005441A4" w:rsidRPr="005441A4" w:rsidRDefault="005441A4" w:rsidP="00794F3A">
      <w:pPr>
        <w:numPr>
          <w:ilvl w:val="0"/>
          <w:numId w:val="63"/>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06E22805" w14:textId="73B565FB" w:rsidR="005441A4" w:rsidRDefault="005441A4" w:rsidP="00794F3A">
      <w:pPr>
        <w:numPr>
          <w:ilvl w:val="0"/>
          <w:numId w:val="63"/>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11164326" w14:textId="77777777" w:rsidR="004439F6" w:rsidRPr="004439F6" w:rsidRDefault="004439F6" w:rsidP="004439F6">
      <w:pPr>
        <w:ind w:left="720"/>
        <w:rPr>
          <w:rFonts w:asciiTheme="minorHAnsi" w:hAnsiTheme="minorHAnsi" w:cstheme="minorHAnsi"/>
          <w:color w:val="202124"/>
          <w:highlight w:val="white"/>
        </w:rPr>
      </w:pPr>
    </w:p>
    <w:p w14:paraId="2D25FE4A" w14:textId="77777777" w:rsidR="005441A4" w:rsidRPr="004439F6" w:rsidRDefault="005441A4" w:rsidP="00794F3A">
      <w:pPr>
        <w:numPr>
          <w:ilvl w:val="0"/>
          <w:numId w:val="4"/>
        </w:numPr>
        <w:rPr>
          <w:rFonts w:asciiTheme="minorHAnsi" w:hAnsiTheme="minorHAnsi" w:cstheme="minorHAnsi"/>
          <w:b/>
          <w:bCs/>
        </w:rPr>
      </w:pPr>
      <w:r w:rsidRPr="004439F6">
        <w:rPr>
          <w:rFonts w:asciiTheme="minorHAnsi" w:hAnsiTheme="minorHAnsi" w:cstheme="minorHAnsi"/>
          <w:b/>
          <w:bCs/>
        </w:rPr>
        <w:t>No TST/CSJT, você já sentiu que foi incumbida de tarefas tipicamente consideradas "femininas" (como organizar eventos, organizar um espaço ou cuidar de aniversariantes) por ser mulher?</w:t>
      </w:r>
    </w:p>
    <w:p w14:paraId="259938BF" w14:textId="77777777" w:rsidR="005441A4" w:rsidRPr="005441A4" w:rsidRDefault="005441A4" w:rsidP="00794F3A">
      <w:pPr>
        <w:numPr>
          <w:ilvl w:val="0"/>
          <w:numId w:val="62"/>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0222C564" w14:textId="77777777" w:rsidR="005441A4" w:rsidRPr="005441A4" w:rsidRDefault="005441A4" w:rsidP="00794F3A">
      <w:pPr>
        <w:numPr>
          <w:ilvl w:val="0"/>
          <w:numId w:val="62"/>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64734AB0" w14:textId="2F5D7617" w:rsidR="005441A4" w:rsidRDefault="005441A4" w:rsidP="00794F3A">
      <w:pPr>
        <w:numPr>
          <w:ilvl w:val="0"/>
          <w:numId w:val="62"/>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2F8809D4" w14:textId="77777777" w:rsidR="004439F6" w:rsidRPr="004439F6" w:rsidRDefault="004439F6" w:rsidP="004439F6">
      <w:pPr>
        <w:ind w:left="720"/>
        <w:rPr>
          <w:rFonts w:asciiTheme="minorHAnsi" w:hAnsiTheme="minorHAnsi" w:cstheme="minorHAnsi"/>
          <w:color w:val="202124"/>
          <w:highlight w:val="white"/>
        </w:rPr>
      </w:pPr>
    </w:p>
    <w:p w14:paraId="360538B1" w14:textId="77777777" w:rsidR="005441A4" w:rsidRPr="004439F6" w:rsidRDefault="005441A4" w:rsidP="00794F3A">
      <w:pPr>
        <w:numPr>
          <w:ilvl w:val="0"/>
          <w:numId w:val="4"/>
        </w:numPr>
        <w:rPr>
          <w:rFonts w:asciiTheme="minorHAnsi" w:hAnsiTheme="minorHAnsi" w:cstheme="minorHAnsi"/>
          <w:b/>
          <w:bCs/>
        </w:rPr>
      </w:pPr>
      <w:r w:rsidRPr="004439F6">
        <w:rPr>
          <w:rFonts w:asciiTheme="minorHAnsi" w:hAnsiTheme="minorHAnsi" w:cstheme="minorHAnsi"/>
          <w:b/>
          <w:bCs/>
        </w:rPr>
        <w:t>Você já presenciou piadas ou comentários que podem ser considerados sexistas no seu ambiente de trabalho no TST/CSJT (Por exemplo: “Mulher não entende de tecnologia”, “Você está de TPM? Isso explica a irritação”, “Mulher não sabe dirigir”, etc)?</w:t>
      </w:r>
    </w:p>
    <w:p w14:paraId="015CA50A" w14:textId="77777777" w:rsidR="005441A4" w:rsidRPr="005441A4" w:rsidRDefault="005441A4" w:rsidP="00794F3A">
      <w:pPr>
        <w:numPr>
          <w:ilvl w:val="0"/>
          <w:numId w:val="61"/>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5A340FBA" w14:textId="77777777" w:rsidR="005441A4" w:rsidRPr="005441A4" w:rsidRDefault="005441A4" w:rsidP="00794F3A">
      <w:pPr>
        <w:numPr>
          <w:ilvl w:val="0"/>
          <w:numId w:val="61"/>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1A4C3B06" w14:textId="10EDC9B5" w:rsidR="005441A4" w:rsidRDefault="005441A4" w:rsidP="00794F3A">
      <w:pPr>
        <w:numPr>
          <w:ilvl w:val="0"/>
          <w:numId w:val="61"/>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0D5FE75E" w14:textId="333BC6FC" w:rsidR="004439F6" w:rsidRDefault="004439F6" w:rsidP="004439F6">
      <w:pPr>
        <w:ind w:left="720"/>
        <w:rPr>
          <w:rFonts w:asciiTheme="minorHAnsi" w:hAnsiTheme="minorHAnsi" w:cstheme="minorHAnsi"/>
          <w:color w:val="202124"/>
          <w:highlight w:val="white"/>
        </w:rPr>
      </w:pPr>
    </w:p>
    <w:p w14:paraId="174D701D" w14:textId="77777777" w:rsidR="004439F6" w:rsidRPr="005441A4" w:rsidRDefault="004439F6" w:rsidP="004439F6">
      <w:pPr>
        <w:ind w:left="720"/>
        <w:rPr>
          <w:rFonts w:asciiTheme="minorHAnsi" w:hAnsiTheme="minorHAnsi" w:cstheme="minorHAnsi"/>
          <w:color w:val="202124"/>
          <w:highlight w:val="white"/>
        </w:rPr>
      </w:pPr>
    </w:p>
    <w:p w14:paraId="2FB86EF8" w14:textId="5185E135" w:rsidR="004439F6" w:rsidRPr="004439F6" w:rsidRDefault="005441A4" w:rsidP="005441A4">
      <w:pPr>
        <w:rPr>
          <w:b/>
          <w:bCs/>
        </w:rPr>
      </w:pPr>
      <w:r w:rsidRPr="004439F6">
        <w:rPr>
          <w:b/>
          <w:bCs/>
        </w:rPr>
        <w:t>Oportunidades, carreira e liderança</w:t>
      </w:r>
    </w:p>
    <w:p w14:paraId="4E1D8289" w14:textId="77777777" w:rsidR="005441A4" w:rsidRPr="004439F6" w:rsidRDefault="005441A4" w:rsidP="00794F3A">
      <w:pPr>
        <w:numPr>
          <w:ilvl w:val="0"/>
          <w:numId w:val="8"/>
        </w:numPr>
        <w:rPr>
          <w:rFonts w:asciiTheme="minorHAnsi" w:hAnsiTheme="minorHAnsi" w:cstheme="minorHAnsi"/>
          <w:b/>
          <w:bCs/>
        </w:rPr>
      </w:pPr>
      <w:r w:rsidRPr="004439F6">
        <w:rPr>
          <w:rFonts w:asciiTheme="minorHAnsi" w:hAnsiTheme="minorHAnsi" w:cstheme="minorHAnsi"/>
          <w:b/>
          <w:bCs/>
        </w:rPr>
        <w:t>No TST/CSJT, você considera que as mulheres tem acesso às mesmas oportunidades de desenvolvimento profissional que os homens?</w:t>
      </w:r>
    </w:p>
    <w:p w14:paraId="5D25AB44" w14:textId="77777777" w:rsidR="005441A4" w:rsidRPr="005441A4" w:rsidRDefault="005441A4" w:rsidP="00794F3A">
      <w:pPr>
        <w:numPr>
          <w:ilvl w:val="0"/>
          <w:numId w:val="60"/>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09284651" w14:textId="77777777" w:rsidR="005441A4" w:rsidRPr="005441A4" w:rsidRDefault="005441A4" w:rsidP="00794F3A">
      <w:pPr>
        <w:numPr>
          <w:ilvl w:val="0"/>
          <w:numId w:val="60"/>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4C5CA006" w14:textId="18E9BB63" w:rsidR="005441A4" w:rsidRDefault="005441A4" w:rsidP="00794F3A">
      <w:pPr>
        <w:numPr>
          <w:ilvl w:val="0"/>
          <w:numId w:val="60"/>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59C691EA" w14:textId="77777777" w:rsidR="004439F6" w:rsidRPr="004439F6" w:rsidRDefault="004439F6" w:rsidP="004439F6">
      <w:pPr>
        <w:ind w:left="720"/>
        <w:rPr>
          <w:rFonts w:asciiTheme="minorHAnsi" w:hAnsiTheme="minorHAnsi" w:cstheme="minorHAnsi"/>
          <w:color w:val="202124"/>
          <w:highlight w:val="white"/>
        </w:rPr>
      </w:pPr>
    </w:p>
    <w:p w14:paraId="1873F12E" w14:textId="181D822D" w:rsidR="005441A4" w:rsidRPr="004439F6" w:rsidRDefault="005441A4" w:rsidP="00794F3A">
      <w:pPr>
        <w:numPr>
          <w:ilvl w:val="0"/>
          <w:numId w:val="8"/>
        </w:numPr>
        <w:rPr>
          <w:rFonts w:asciiTheme="minorHAnsi" w:hAnsiTheme="minorHAnsi" w:cstheme="minorHAnsi"/>
          <w:b/>
          <w:bCs/>
        </w:rPr>
      </w:pPr>
      <w:r w:rsidRPr="004439F6">
        <w:rPr>
          <w:rFonts w:asciiTheme="minorHAnsi" w:hAnsiTheme="minorHAnsi" w:cstheme="minorHAnsi"/>
          <w:b/>
          <w:bCs/>
        </w:rPr>
        <w:t>No TST/CSJT, você considera ter perdido oportunidades profissionais (cursos, viagens entre outros)</w:t>
      </w:r>
      <w:r w:rsidR="004439F6" w:rsidRPr="004439F6">
        <w:rPr>
          <w:rFonts w:asciiTheme="minorHAnsi" w:hAnsiTheme="minorHAnsi" w:cstheme="minorHAnsi"/>
          <w:b/>
          <w:bCs/>
        </w:rPr>
        <w:t xml:space="preserve"> </w:t>
      </w:r>
      <w:r w:rsidRPr="004439F6">
        <w:rPr>
          <w:rFonts w:asciiTheme="minorHAnsi" w:hAnsiTheme="minorHAnsi" w:cstheme="minorHAnsi"/>
          <w:b/>
          <w:bCs/>
        </w:rPr>
        <w:t xml:space="preserve">ou já viu uma mulher perder oportunidades de desenvolvimento profissional por ser mulher? </w:t>
      </w:r>
    </w:p>
    <w:p w14:paraId="32F833E0" w14:textId="77777777" w:rsidR="005441A4" w:rsidRPr="005441A4" w:rsidRDefault="005441A4" w:rsidP="00794F3A">
      <w:pPr>
        <w:numPr>
          <w:ilvl w:val="0"/>
          <w:numId w:val="59"/>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76EADAC2" w14:textId="77777777" w:rsidR="005441A4" w:rsidRPr="005441A4" w:rsidRDefault="005441A4" w:rsidP="00794F3A">
      <w:pPr>
        <w:numPr>
          <w:ilvl w:val="0"/>
          <w:numId w:val="59"/>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1F10DD5B" w14:textId="387060C4" w:rsidR="005441A4" w:rsidRDefault="005441A4" w:rsidP="00794F3A">
      <w:pPr>
        <w:numPr>
          <w:ilvl w:val="0"/>
          <w:numId w:val="59"/>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4A3D19F1" w14:textId="77777777" w:rsidR="004439F6" w:rsidRPr="004439F6" w:rsidRDefault="004439F6" w:rsidP="004439F6">
      <w:pPr>
        <w:ind w:left="720"/>
        <w:rPr>
          <w:rFonts w:asciiTheme="minorHAnsi" w:hAnsiTheme="minorHAnsi" w:cstheme="minorHAnsi"/>
          <w:color w:val="202124"/>
          <w:highlight w:val="white"/>
        </w:rPr>
      </w:pPr>
    </w:p>
    <w:p w14:paraId="6508BF14" w14:textId="77777777" w:rsidR="005441A4" w:rsidRPr="004439F6" w:rsidRDefault="005441A4" w:rsidP="00794F3A">
      <w:pPr>
        <w:numPr>
          <w:ilvl w:val="0"/>
          <w:numId w:val="8"/>
        </w:numPr>
        <w:rPr>
          <w:rFonts w:asciiTheme="minorHAnsi" w:hAnsiTheme="minorHAnsi" w:cstheme="minorHAnsi"/>
          <w:b/>
          <w:bCs/>
        </w:rPr>
      </w:pPr>
      <w:r w:rsidRPr="004439F6">
        <w:rPr>
          <w:rFonts w:asciiTheme="minorHAnsi" w:hAnsiTheme="minorHAnsi" w:cstheme="minorHAnsi"/>
          <w:b/>
          <w:bCs/>
        </w:rPr>
        <w:t>No TST/CSJT, você já presenciou situação em que uma promoção para cargo de chefia foi designada a um homem em detrimento de uma mulher igual ou superiormente capacitada para assumi-lo?</w:t>
      </w:r>
    </w:p>
    <w:p w14:paraId="1B9745FF" w14:textId="77777777" w:rsidR="005441A4" w:rsidRPr="005441A4" w:rsidRDefault="005441A4" w:rsidP="00794F3A">
      <w:pPr>
        <w:numPr>
          <w:ilvl w:val="0"/>
          <w:numId w:val="58"/>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1565186A" w14:textId="77777777" w:rsidR="005441A4" w:rsidRPr="005441A4" w:rsidRDefault="005441A4" w:rsidP="00794F3A">
      <w:pPr>
        <w:numPr>
          <w:ilvl w:val="0"/>
          <w:numId w:val="58"/>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08B0DAE5" w14:textId="128F6E97" w:rsidR="005441A4" w:rsidRDefault="005441A4" w:rsidP="00794F3A">
      <w:pPr>
        <w:numPr>
          <w:ilvl w:val="0"/>
          <w:numId w:val="58"/>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239251C0" w14:textId="77777777" w:rsidR="004439F6" w:rsidRPr="004439F6" w:rsidRDefault="004439F6" w:rsidP="004439F6">
      <w:pPr>
        <w:ind w:left="720"/>
        <w:rPr>
          <w:rFonts w:asciiTheme="minorHAnsi" w:hAnsiTheme="minorHAnsi" w:cstheme="minorHAnsi"/>
          <w:color w:val="202124"/>
          <w:highlight w:val="white"/>
        </w:rPr>
      </w:pPr>
    </w:p>
    <w:p w14:paraId="03CA4A74" w14:textId="77777777" w:rsidR="005441A4" w:rsidRPr="004439F6" w:rsidRDefault="005441A4" w:rsidP="00794F3A">
      <w:pPr>
        <w:numPr>
          <w:ilvl w:val="0"/>
          <w:numId w:val="8"/>
        </w:numPr>
        <w:rPr>
          <w:rFonts w:asciiTheme="minorHAnsi" w:hAnsiTheme="minorHAnsi" w:cstheme="minorHAnsi"/>
          <w:b/>
          <w:bCs/>
        </w:rPr>
      </w:pPr>
      <w:r w:rsidRPr="004439F6">
        <w:rPr>
          <w:rFonts w:asciiTheme="minorHAnsi" w:hAnsiTheme="minorHAnsi" w:cstheme="minorHAnsi"/>
          <w:b/>
          <w:bCs/>
        </w:rPr>
        <w:lastRenderedPageBreak/>
        <w:t>No TST/CSJT, você considera que as mulheres são encorajadas e têm oportunidades de assumir cargos de chefia?</w:t>
      </w:r>
    </w:p>
    <w:p w14:paraId="0296EDA8" w14:textId="77777777" w:rsidR="005441A4" w:rsidRPr="005441A4" w:rsidRDefault="005441A4" w:rsidP="00794F3A">
      <w:pPr>
        <w:numPr>
          <w:ilvl w:val="0"/>
          <w:numId w:val="57"/>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7327EB45" w14:textId="77777777" w:rsidR="005441A4" w:rsidRPr="005441A4" w:rsidRDefault="005441A4" w:rsidP="00794F3A">
      <w:pPr>
        <w:numPr>
          <w:ilvl w:val="0"/>
          <w:numId w:val="57"/>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1D27EDCC" w14:textId="151DE793" w:rsidR="005441A4" w:rsidRDefault="005441A4" w:rsidP="00794F3A">
      <w:pPr>
        <w:numPr>
          <w:ilvl w:val="0"/>
          <w:numId w:val="57"/>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3749BF6E" w14:textId="77777777" w:rsidR="004439F6" w:rsidRPr="004439F6" w:rsidRDefault="004439F6" w:rsidP="004439F6">
      <w:pPr>
        <w:ind w:left="720"/>
        <w:rPr>
          <w:rFonts w:asciiTheme="minorHAnsi" w:hAnsiTheme="minorHAnsi" w:cstheme="minorHAnsi"/>
          <w:color w:val="202124"/>
          <w:highlight w:val="white"/>
        </w:rPr>
      </w:pPr>
    </w:p>
    <w:p w14:paraId="1FDA7CC9" w14:textId="77777777" w:rsidR="005441A4" w:rsidRPr="004439F6" w:rsidRDefault="005441A4" w:rsidP="00794F3A">
      <w:pPr>
        <w:numPr>
          <w:ilvl w:val="0"/>
          <w:numId w:val="8"/>
        </w:numPr>
        <w:rPr>
          <w:rFonts w:asciiTheme="minorHAnsi" w:hAnsiTheme="minorHAnsi" w:cstheme="minorHAnsi"/>
          <w:b/>
          <w:bCs/>
        </w:rPr>
      </w:pPr>
      <w:r w:rsidRPr="004439F6">
        <w:rPr>
          <w:rFonts w:asciiTheme="minorHAnsi" w:hAnsiTheme="minorHAnsi" w:cstheme="minorHAnsi"/>
          <w:b/>
          <w:bCs/>
        </w:rPr>
        <w:t>No TST/CSJT, você considera que as mulheres estão presentes e são ouvidas em espaços de tomada de decisão?</w:t>
      </w:r>
    </w:p>
    <w:p w14:paraId="1BF1DE0C" w14:textId="77777777" w:rsidR="005441A4" w:rsidRPr="005441A4" w:rsidRDefault="005441A4" w:rsidP="00794F3A">
      <w:pPr>
        <w:numPr>
          <w:ilvl w:val="0"/>
          <w:numId w:val="56"/>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28E04096" w14:textId="77777777" w:rsidR="005441A4" w:rsidRPr="005441A4" w:rsidRDefault="005441A4" w:rsidP="00794F3A">
      <w:pPr>
        <w:numPr>
          <w:ilvl w:val="0"/>
          <w:numId w:val="56"/>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3E1A863F" w14:textId="77777777" w:rsidR="005441A4" w:rsidRPr="005441A4" w:rsidRDefault="005441A4" w:rsidP="00794F3A">
      <w:pPr>
        <w:numPr>
          <w:ilvl w:val="0"/>
          <w:numId w:val="56"/>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1A9CEADE" w14:textId="77777777" w:rsidR="005441A4" w:rsidRPr="005441A4" w:rsidRDefault="005441A4" w:rsidP="005441A4">
      <w:pPr>
        <w:rPr>
          <w:rFonts w:asciiTheme="minorHAnsi" w:hAnsiTheme="minorHAnsi" w:cstheme="minorHAnsi"/>
        </w:rPr>
      </w:pPr>
    </w:p>
    <w:p w14:paraId="10EB012C" w14:textId="77777777" w:rsidR="005441A4" w:rsidRPr="004439F6" w:rsidRDefault="005441A4" w:rsidP="00794F3A">
      <w:pPr>
        <w:numPr>
          <w:ilvl w:val="0"/>
          <w:numId w:val="8"/>
        </w:numPr>
        <w:rPr>
          <w:rFonts w:asciiTheme="minorHAnsi" w:hAnsiTheme="minorHAnsi" w:cstheme="minorHAnsi"/>
          <w:b/>
          <w:bCs/>
        </w:rPr>
      </w:pPr>
      <w:r w:rsidRPr="004439F6">
        <w:rPr>
          <w:rFonts w:asciiTheme="minorHAnsi" w:hAnsiTheme="minorHAnsi" w:cstheme="minorHAnsi"/>
          <w:b/>
          <w:bCs/>
        </w:rPr>
        <w:t>No TST/CSJT, você considera que as mulheres precisam se esforçar mais do que os homens para serem promovidas?</w:t>
      </w:r>
    </w:p>
    <w:p w14:paraId="2298A324" w14:textId="77777777" w:rsidR="005441A4" w:rsidRPr="005441A4" w:rsidRDefault="005441A4" w:rsidP="00794F3A">
      <w:pPr>
        <w:numPr>
          <w:ilvl w:val="0"/>
          <w:numId w:val="55"/>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54B771B8" w14:textId="77777777" w:rsidR="005441A4" w:rsidRPr="005441A4" w:rsidRDefault="005441A4" w:rsidP="00794F3A">
      <w:pPr>
        <w:numPr>
          <w:ilvl w:val="0"/>
          <w:numId w:val="55"/>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1C92914A" w14:textId="77777777" w:rsidR="005441A4" w:rsidRPr="005441A4" w:rsidRDefault="005441A4" w:rsidP="00794F3A">
      <w:pPr>
        <w:numPr>
          <w:ilvl w:val="0"/>
          <w:numId w:val="55"/>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3DDC7782" w14:textId="77777777" w:rsidR="005441A4" w:rsidRPr="005441A4" w:rsidRDefault="005441A4" w:rsidP="005441A4">
      <w:pPr>
        <w:rPr>
          <w:rFonts w:asciiTheme="minorHAnsi" w:hAnsiTheme="minorHAnsi" w:cstheme="minorHAnsi"/>
        </w:rPr>
      </w:pPr>
    </w:p>
    <w:p w14:paraId="4DE195D6" w14:textId="77777777" w:rsidR="005441A4" w:rsidRPr="004439F6" w:rsidRDefault="005441A4" w:rsidP="00794F3A">
      <w:pPr>
        <w:numPr>
          <w:ilvl w:val="0"/>
          <w:numId w:val="8"/>
        </w:numPr>
        <w:rPr>
          <w:rFonts w:asciiTheme="minorHAnsi" w:hAnsiTheme="minorHAnsi" w:cstheme="minorHAnsi"/>
          <w:b/>
          <w:bCs/>
        </w:rPr>
      </w:pPr>
      <w:r w:rsidRPr="004439F6">
        <w:rPr>
          <w:rFonts w:asciiTheme="minorHAnsi" w:hAnsiTheme="minorHAnsi" w:cstheme="minorHAnsi"/>
          <w:b/>
          <w:bCs/>
        </w:rPr>
        <w:t>No TST/CSJT, você já presenciou situações em que mulheres tiveram suas ideias desconsideradas ou apropriadas por homens em reuniões?</w:t>
      </w:r>
    </w:p>
    <w:p w14:paraId="623E03E3" w14:textId="77777777" w:rsidR="005441A4" w:rsidRPr="005441A4" w:rsidRDefault="005441A4" w:rsidP="00794F3A">
      <w:pPr>
        <w:numPr>
          <w:ilvl w:val="0"/>
          <w:numId w:val="54"/>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002810CF" w14:textId="77777777" w:rsidR="005441A4" w:rsidRPr="005441A4" w:rsidRDefault="005441A4" w:rsidP="00794F3A">
      <w:pPr>
        <w:numPr>
          <w:ilvl w:val="0"/>
          <w:numId w:val="54"/>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17728AFE" w14:textId="2B884252" w:rsidR="005441A4" w:rsidRDefault="005441A4" w:rsidP="00794F3A">
      <w:pPr>
        <w:numPr>
          <w:ilvl w:val="0"/>
          <w:numId w:val="54"/>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25651B62" w14:textId="77777777" w:rsidR="004439F6" w:rsidRPr="004439F6" w:rsidRDefault="004439F6" w:rsidP="004439F6">
      <w:pPr>
        <w:ind w:left="720"/>
        <w:rPr>
          <w:rFonts w:asciiTheme="minorHAnsi" w:hAnsiTheme="minorHAnsi" w:cstheme="minorHAnsi"/>
          <w:color w:val="202124"/>
          <w:highlight w:val="white"/>
        </w:rPr>
      </w:pPr>
    </w:p>
    <w:p w14:paraId="78229CF7" w14:textId="32D83F0B" w:rsidR="005441A4" w:rsidRPr="004439F6" w:rsidRDefault="005441A4" w:rsidP="004439F6">
      <w:pPr>
        <w:rPr>
          <w:b/>
          <w:bCs/>
        </w:rPr>
      </w:pPr>
      <w:r w:rsidRPr="004439F6">
        <w:rPr>
          <w:b/>
          <w:bCs/>
        </w:rPr>
        <w:t>Família e vida pessoal</w:t>
      </w:r>
    </w:p>
    <w:p w14:paraId="62ECABE3" w14:textId="77777777" w:rsidR="005441A4" w:rsidRPr="004439F6" w:rsidRDefault="005441A4" w:rsidP="00794F3A">
      <w:pPr>
        <w:numPr>
          <w:ilvl w:val="0"/>
          <w:numId w:val="6"/>
        </w:numPr>
        <w:rPr>
          <w:rFonts w:asciiTheme="minorHAnsi" w:hAnsiTheme="minorHAnsi" w:cstheme="minorHAnsi"/>
          <w:b/>
          <w:bCs/>
        </w:rPr>
      </w:pPr>
      <w:r w:rsidRPr="004439F6">
        <w:rPr>
          <w:rFonts w:asciiTheme="minorHAnsi" w:hAnsiTheme="minorHAnsi" w:cstheme="minorHAnsi"/>
          <w:b/>
          <w:bCs/>
        </w:rPr>
        <w:t>Você se sente pressionada a priorizar o trabalho no TST/CSJT em detrimento de sua vida pessoal?</w:t>
      </w:r>
    </w:p>
    <w:p w14:paraId="2C8AFC8E" w14:textId="77777777" w:rsidR="005441A4" w:rsidRPr="005441A4" w:rsidRDefault="005441A4" w:rsidP="00794F3A">
      <w:pPr>
        <w:numPr>
          <w:ilvl w:val="0"/>
          <w:numId w:val="18"/>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6B07AC4C" w14:textId="77777777" w:rsidR="005441A4" w:rsidRPr="005441A4" w:rsidRDefault="005441A4" w:rsidP="00794F3A">
      <w:pPr>
        <w:numPr>
          <w:ilvl w:val="0"/>
          <w:numId w:val="18"/>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1917FC2C" w14:textId="47D84CF9" w:rsidR="005441A4" w:rsidRDefault="005441A4" w:rsidP="00794F3A">
      <w:pPr>
        <w:numPr>
          <w:ilvl w:val="0"/>
          <w:numId w:val="18"/>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500DBF54" w14:textId="77777777" w:rsidR="004439F6" w:rsidRPr="004439F6" w:rsidRDefault="004439F6" w:rsidP="004439F6">
      <w:pPr>
        <w:ind w:left="720"/>
        <w:rPr>
          <w:rFonts w:asciiTheme="minorHAnsi" w:hAnsiTheme="minorHAnsi" w:cstheme="minorHAnsi"/>
          <w:color w:val="202124"/>
          <w:highlight w:val="white"/>
        </w:rPr>
      </w:pPr>
    </w:p>
    <w:p w14:paraId="4831F38F" w14:textId="77777777" w:rsidR="005441A4" w:rsidRPr="004439F6" w:rsidRDefault="005441A4" w:rsidP="00794F3A">
      <w:pPr>
        <w:numPr>
          <w:ilvl w:val="0"/>
          <w:numId w:val="6"/>
        </w:numPr>
        <w:rPr>
          <w:rFonts w:asciiTheme="minorHAnsi" w:hAnsiTheme="minorHAnsi" w:cstheme="minorHAnsi"/>
          <w:b/>
          <w:bCs/>
        </w:rPr>
      </w:pPr>
      <w:r w:rsidRPr="004439F6">
        <w:rPr>
          <w:rFonts w:asciiTheme="minorHAnsi" w:hAnsiTheme="minorHAnsi" w:cstheme="minorHAnsi"/>
          <w:b/>
          <w:bCs/>
        </w:rPr>
        <w:t>Você acredita que o TST/CSJT oferece suporte adequado às mães que trabalham?</w:t>
      </w:r>
    </w:p>
    <w:p w14:paraId="3F598B0B" w14:textId="77777777" w:rsidR="005441A4" w:rsidRPr="005441A4" w:rsidRDefault="005441A4" w:rsidP="00794F3A">
      <w:pPr>
        <w:numPr>
          <w:ilvl w:val="0"/>
          <w:numId w:val="17"/>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6937F385" w14:textId="77777777" w:rsidR="005441A4" w:rsidRPr="005441A4" w:rsidRDefault="005441A4" w:rsidP="00794F3A">
      <w:pPr>
        <w:numPr>
          <w:ilvl w:val="0"/>
          <w:numId w:val="17"/>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0E112B69" w14:textId="691350DA" w:rsidR="005441A4" w:rsidRDefault="005441A4" w:rsidP="00794F3A">
      <w:pPr>
        <w:numPr>
          <w:ilvl w:val="0"/>
          <w:numId w:val="17"/>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2511BD0C" w14:textId="77777777" w:rsidR="004439F6" w:rsidRPr="004439F6" w:rsidRDefault="004439F6" w:rsidP="004439F6">
      <w:pPr>
        <w:ind w:left="720"/>
        <w:rPr>
          <w:rFonts w:asciiTheme="minorHAnsi" w:hAnsiTheme="minorHAnsi" w:cstheme="minorHAnsi"/>
          <w:color w:val="202124"/>
          <w:highlight w:val="white"/>
        </w:rPr>
      </w:pPr>
    </w:p>
    <w:p w14:paraId="43BB172A" w14:textId="77777777" w:rsidR="005441A4" w:rsidRPr="004439F6" w:rsidRDefault="005441A4" w:rsidP="00794F3A">
      <w:pPr>
        <w:numPr>
          <w:ilvl w:val="0"/>
          <w:numId w:val="6"/>
        </w:numPr>
        <w:rPr>
          <w:rFonts w:asciiTheme="minorHAnsi" w:hAnsiTheme="minorHAnsi" w:cstheme="minorHAnsi"/>
          <w:b/>
          <w:bCs/>
        </w:rPr>
      </w:pPr>
      <w:r w:rsidRPr="004439F6">
        <w:rPr>
          <w:rFonts w:asciiTheme="minorHAnsi" w:hAnsiTheme="minorHAnsi" w:cstheme="minorHAnsi"/>
          <w:b/>
          <w:bCs/>
        </w:rPr>
        <w:t>Você já viveu ou presenciou uma situação em que uma mãe foi prejudicada profissionalmente no TST/CSJT por ter filhos?</w:t>
      </w:r>
    </w:p>
    <w:p w14:paraId="7B746CB0" w14:textId="77777777" w:rsidR="005441A4" w:rsidRPr="005441A4" w:rsidRDefault="005441A4" w:rsidP="00794F3A">
      <w:pPr>
        <w:numPr>
          <w:ilvl w:val="0"/>
          <w:numId w:val="16"/>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3C7A9240" w14:textId="77777777" w:rsidR="005441A4" w:rsidRPr="005441A4" w:rsidRDefault="005441A4" w:rsidP="00794F3A">
      <w:pPr>
        <w:numPr>
          <w:ilvl w:val="0"/>
          <w:numId w:val="16"/>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60FAB6DD" w14:textId="77777777" w:rsidR="004439F6" w:rsidRPr="004439F6" w:rsidRDefault="005441A4" w:rsidP="00794F3A">
      <w:pPr>
        <w:numPr>
          <w:ilvl w:val="0"/>
          <w:numId w:val="16"/>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5A015F4A" w14:textId="77777777" w:rsidR="004439F6" w:rsidRPr="004439F6" w:rsidRDefault="004439F6" w:rsidP="004439F6">
      <w:pPr>
        <w:ind w:left="720"/>
        <w:rPr>
          <w:rFonts w:asciiTheme="minorHAnsi" w:hAnsiTheme="minorHAnsi" w:cstheme="minorHAnsi"/>
          <w:color w:val="202124"/>
          <w:highlight w:val="white"/>
        </w:rPr>
      </w:pPr>
    </w:p>
    <w:p w14:paraId="6B27776D" w14:textId="3EF03339" w:rsidR="005441A4" w:rsidRPr="004439F6" w:rsidRDefault="005441A4" w:rsidP="00794F3A">
      <w:pPr>
        <w:numPr>
          <w:ilvl w:val="0"/>
          <w:numId w:val="6"/>
        </w:numPr>
        <w:rPr>
          <w:rFonts w:asciiTheme="minorHAnsi" w:hAnsiTheme="minorHAnsi" w:cstheme="minorHAnsi"/>
          <w:b/>
          <w:bCs/>
        </w:rPr>
      </w:pPr>
      <w:r w:rsidRPr="004439F6">
        <w:rPr>
          <w:rFonts w:asciiTheme="minorHAnsi" w:hAnsiTheme="minorHAnsi" w:cstheme="minorHAnsi"/>
          <w:b/>
          <w:bCs/>
        </w:rPr>
        <w:t>Você acredita que as mulheres que são mães se sentem confortáveis em falar sobre</w:t>
      </w:r>
      <w:r w:rsidR="004439F6" w:rsidRPr="004439F6">
        <w:rPr>
          <w:rFonts w:asciiTheme="minorHAnsi" w:hAnsiTheme="minorHAnsi" w:cstheme="minorHAnsi"/>
          <w:b/>
          <w:bCs/>
        </w:rPr>
        <w:t xml:space="preserve"> </w:t>
      </w:r>
      <w:r w:rsidRPr="004439F6">
        <w:rPr>
          <w:rFonts w:asciiTheme="minorHAnsi" w:hAnsiTheme="minorHAnsi" w:cstheme="minorHAnsi"/>
          <w:b/>
          <w:bCs/>
        </w:rPr>
        <w:t>questões relacionadas à maternidade com seus colegas e superiores no TST/CSJT?</w:t>
      </w:r>
    </w:p>
    <w:p w14:paraId="641D8795" w14:textId="77777777" w:rsidR="005441A4" w:rsidRPr="005441A4" w:rsidRDefault="005441A4" w:rsidP="00794F3A">
      <w:pPr>
        <w:numPr>
          <w:ilvl w:val="0"/>
          <w:numId w:val="15"/>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Sim </w:t>
      </w:r>
    </w:p>
    <w:p w14:paraId="5BE74A0D" w14:textId="77777777" w:rsidR="005441A4" w:rsidRPr="005441A4" w:rsidRDefault="005441A4" w:rsidP="00794F3A">
      <w:pPr>
        <w:numPr>
          <w:ilvl w:val="0"/>
          <w:numId w:val="15"/>
        </w:numPr>
        <w:rPr>
          <w:rFonts w:asciiTheme="minorHAnsi" w:hAnsiTheme="minorHAnsi" w:cstheme="minorHAnsi"/>
          <w:color w:val="202124"/>
          <w:highlight w:val="white"/>
        </w:rPr>
      </w:pPr>
      <w:r w:rsidRPr="005441A4">
        <w:rPr>
          <w:rFonts w:asciiTheme="minorHAnsi" w:hAnsiTheme="minorHAnsi" w:cstheme="minorHAnsi"/>
          <w:color w:val="202124"/>
          <w:highlight w:val="white"/>
        </w:rPr>
        <w:t xml:space="preserve">Não </w:t>
      </w:r>
    </w:p>
    <w:p w14:paraId="432DAEAA" w14:textId="6AADF3C1" w:rsidR="005441A4" w:rsidRDefault="005441A4" w:rsidP="00794F3A">
      <w:pPr>
        <w:numPr>
          <w:ilvl w:val="0"/>
          <w:numId w:val="15"/>
        </w:numPr>
        <w:rPr>
          <w:rFonts w:asciiTheme="minorHAnsi" w:hAnsiTheme="minorHAnsi" w:cstheme="minorHAnsi"/>
          <w:color w:val="202124"/>
          <w:highlight w:val="white"/>
        </w:rPr>
      </w:pPr>
      <w:r w:rsidRPr="005441A4">
        <w:rPr>
          <w:rFonts w:asciiTheme="minorHAnsi" w:hAnsiTheme="minorHAnsi" w:cstheme="minorHAnsi"/>
          <w:color w:val="202124"/>
          <w:highlight w:val="white"/>
        </w:rPr>
        <w:t>Não sei responder</w:t>
      </w:r>
    </w:p>
    <w:p w14:paraId="5D933541" w14:textId="77777777" w:rsidR="004439F6" w:rsidRDefault="004439F6" w:rsidP="004439F6">
      <w:pPr>
        <w:ind w:left="720"/>
        <w:rPr>
          <w:rFonts w:asciiTheme="minorHAnsi" w:hAnsiTheme="minorHAnsi" w:cstheme="minorHAnsi"/>
          <w:b/>
          <w:bCs/>
        </w:rPr>
      </w:pPr>
    </w:p>
    <w:p w14:paraId="4A9286AD" w14:textId="7F5D7A91" w:rsidR="005441A4" w:rsidRPr="004439F6" w:rsidRDefault="005441A4" w:rsidP="00794F3A">
      <w:pPr>
        <w:pStyle w:val="PargrafodaLista"/>
        <w:numPr>
          <w:ilvl w:val="0"/>
          <w:numId w:val="6"/>
        </w:numPr>
        <w:rPr>
          <w:rFonts w:asciiTheme="minorHAnsi" w:eastAsia="Times New Roman" w:hAnsiTheme="minorHAnsi" w:cstheme="minorHAnsi"/>
          <w:b/>
          <w:bCs/>
        </w:rPr>
      </w:pPr>
      <w:r w:rsidRPr="004439F6">
        <w:rPr>
          <w:rFonts w:asciiTheme="minorHAnsi" w:eastAsia="Times New Roman" w:hAnsiTheme="minorHAnsi" w:cstheme="minorHAnsi"/>
          <w:b/>
          <w:bCs/>
        </w:rPr>
        <w:t>Na sua percepção, mulheres que retornam de licença-maternidade encontram dificuldades para se reintegrar no seu ambiente de trabalho do TST/CSJT?</w:t>
      </w:r>
    </w:p>
    <w:p w14:paraId="7245694B" w14:textId="77777777" w:rsidR="005441A4" w:rsidRPr="004439F6" w:rsidRDefault="005441A4" w:rsidP="00794F3A">
      <w:pPr>
        <w:pStyle w:val="PargrafodaLista"/>
        <w:numPr>
          <w:ilvl w:val="0"/>
          <w:numId w:val="14"/>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Sim </w:t>
      </w:r>
    </w:p>
    <w:p w14:paraId="6BE56944" w14:textId="77777777" w:rsidR="005441A4" w:rsidRPr="004439F6" w:rsidRDefault="005441A4" w:rsidP="00794F3A">
      <w:pPr>
        <w:pStyle w:val="PargrafodaLista"/>
        <w:numPr>
          <w:ilvl w:val="0"/>
          <w:numId w:val="14"/>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Não </w:t>
      </w:r>
    </w:p>
    <w:p w14:paraId="55A9BB40" w14:textId="77777777" w:rsidR="004439F6" w:rsidRPr="004439F6" w:rsidRDefault="005441A4" w:rsidP="00794F3A">
      <w:pPr>
        <w:pStyle w:val="PargrafodaLista"/>
        <w:numPr>
          <w:ilvl w:val="0"/>
          <w:numId w:val="14"/>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Não sei responder</w:t>
      </w:r>
    </w:p>
    <w:p w14:paraId="5E55B842" w14:textId="77777777" w:rsidR="004439F6" w:rsidRPr="004439F6" w:rsidRDefault="004439F6" w:rsidP="004439F6">
      <w:pPr>
        <w:pStyle w:val="PargrafodaLista"/>
        <w:rPr>
          <w:rFonts w:asciiTheme="minorHAnsi" w:eastAsia="Times New Roman" w:hAnsiTheme="minorHAnsi" w:cstheme="minorHAnsi"/>
          <w:color w:val="202124"/>
          <w:highlight w:val="white"/>
        </w:rPr>
      </w:pPr>
    </w:p>
    <w:p w14:paraId="380B35F3" w14:textId="18362CE8" w:rsidR="005441A4" w:rsidRPr="004439F6" w:rsidRDefault="005441A4" w:rsidP="00794F3A">
      <w:pPr>
        <w:pStyle w:val="PargrafodaLista"/>
        <w:numPr>
          <w:ilvl w:val="0"/>
          <w:numId w:val="6"/>
        </w:numPr>
        <w:rPr>
          <w:rFonts w:asciiTheme="minorHAnsi" w:eastAsia="Times New Roman" w:hAnsiTheme="minorHAnsi" w:cstheme="minorHAnsi"/>
          <w:b/>
          <w:bCs/>
          <w:color w:val="202124"/>
          <w:highlight w:val="white"/>
        </w:rPr>
      </w:pPr>
      <w:r w:rsidRPr="004439F6">
        <w:rPr>
          <w:rFonts w:asciiTheme="minorHAnsi" w:eastAsia="Times New Roman" w:hAnsiTheme="minorHAnsi" w:cstheme="minorHAnsi"/>
          <w:b/>
          <w:bCs/>
        </w:rPr>
        <w:t>Você acredita que haja compreensão de gestores e colegas no seu setor quando uma mulher precisa se ausentar para cuidar de filhos ou familiares?</w:t>
      </w:r>
    </w:p>
    <w:p w14:paraId="21218C76" w14:textId="77777777" w:rsidR="005441A4" w:rsidRPr="004439F6" w:rsidRDefault="005441A4" w:rsidP="00794F3A">
      <w:pPr>
        <w:pStyle w:val="PargrafodaLista"/>
        <w:numPr>
          <w:ilvl w:val="0"/>
          <w:numId w:val="13"/>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Sim </w:t>
      </w:r>
    </w:p>
    <w:p w14:paraId="1F1654E6" w14:textId="77777777" w:rsidR="005441A4" w:rsidRPr="004439F6" w:rsidRDefault="005441A4" w:rsidP="00794F3A">
      <w:pPr>
        <w:pStyle w:val="PargrafodaLista"/>
        <w:numPr>
          <w:ilvl w:val="0"/>
          <w:numId w:val="13"/>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Não </w:t>
      </w:r>
    </w:p>
    <w:p w14:paraId="31969F03" w14:textId="6D12F205" w:rsidR="004439F6" w:rsidRDefault="005441A4" w:rsidP="00794F3A">
      <w:pPr>
        <w:pStyle w:val="PargrafodaLista"/>
        <w:numPr>
          <w:ilvl w:val="0"/>
          <w:numId w:val="13"/>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Não sei responder</w:t>
      </w:r>
    </w:p>
    <w:p w14:paraId="0ADB8C47" w14:textId="77777777" w:rsidR="004439F6" w:rsidRPr="004439F6" w:rsidRDefault="004439F6" w:rsidP="004439F6">
      <w:pPr>
        <w:pStyle w:val="PargrafodaLista"/>
        <w:rPr>
          <w:rFonts w:asciiTheme="minorHAnsi" w:eastAsia="Times New Roman" w:hAnsiTheme="minorHAnsi" w:cstheme="minorHAnsi"/>
          <w:color w:val="202124"/>
          <w:highlight w:val="white"/>
        </w:rPr>
      </w:pPr>
    </w:p>
    <w:p w14:paraId="3593805A" w14:textId="4622BA1B" w:rsidR="005441A4" w:rsidRPr="004439F6" w:rsidRDefault="005441A4" w:rsidP="00794F3A">
      <w:pPr>
        <w:pStyle w:val="PargrafodaLista"/>
        <w:numPr>
          <w:ilvl w:val="0"/>
          <w:numId w:val="6"/>
        </w:numPr>
        <w:rPr>
          <w:rFonts w:asciiTheme="minorHAnsi" w:eastAsia="Times New Roman" w:hAnsiTheme="minorHAnsi" w:cstheme="minorHAnsi"/>
          <w:b/>
          <w:bCs/>
          <w:color w:val="202124"/>
          <w:highlight w:val="white"/>
        </w:rPr>
      </w:pPr>
      <w:r w:rsidRPr="004439F6">
        <w:rPr>
          <w:rFonts w:asciiTheme="minorHAnsi" w:eastAsia="Times New Roman" w:hAnsiTheme="minorHAnsi" w:cstheme="minorHAnsi"/>
          <w:b/>
          <w:bCs/>
        </w:rPr>
        <w:t>Você acredita que o trabalho remoto ou híbrido pode beneficiar a participação feminina no TST/CSJT?</w:t>
      </w:r>
    </w:p>
    <w:p w14:paraId="76AFD69B" w14:textId="77777777" w:rsidR="005441A4" w:rsidRPr="004439F6" w:rsidRDefault="005441A4" w:rsidP="00794F3A">
      <w:pPr>
        <w:pStyle w:val="PargrafodaLista"/>
        <w:numPr>
          <w:ilvl w:val="0"/>
          <w:numId w:val="19"/>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Sim </w:t>
      </w:r>
    </w:p>
    <w:p w14:paraId="52C8F750" w14:textId="77777777" w:rsidR="005441A4" w:rsidRPr="004439F6" w:rsidRDefault="005441A4" w:rsidP="00794F3A">
      <w:pPr>
        <w:pStyle w:val="PargrafodaLista"/>
        <w:numPr>
          <w:ilvl w:val="0"/>
          <w:numId w:val="19"/>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Não </w:t>
      </w:r>
    </w:p>
    <w:p w14:paraId="246C3E45" w14:textId="49404641" w:rsidR="004439F6" w:rsidRDefault="005441A4" w:rsidP="00794F3A">
      <w:pPr>
        <w:pStyle w:val="PargrafodaLista"/>
        <w:numPr>
          <w:ilvl w:val="0"/>
          <w:numId w:val="19"/>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Não sei responder</w:t>
      </w:r>
    </w:p>
    <w:p w14:paraId="41D41004" w14:textId="77777777" w:rsidR="004439F6" w:rsidRPr="004439F6" w:rsidRDefault="004439F6" w:rsidP="004439F6">
      <w:pPr>
        <w:pStyle w:val="PargrafodaLista"/>
        <w:rPr>
          <w:rFonts w:asciiTheme="minorHAnsi" w:eastAsia="Times New Roman" w:hAnsiTheme="minorHAnsi" w:cstheme="minorHAnsi"/>
          <w:color w:val="202124"/>
          <w:highlight w:val="white"/>
        </w:rPr>
      </w:pPr>
    </w:p>
    <w:p w14:paraId="27BAD4CF" w14:textId="50CD7024" w:rsidR="005441A4" w:rsidRPr="004439F6" w:rsidRDefault="005441A4" w:rsidP="00794F3A">
      <w:pPr>
        <w:pStyle w:val="PargrafodaLista"/>
        <w:numPr>
          <w:ilvl w:val="0"/>
          <w:numId w:val="6"/>
        </w:numPr>
        <w:rPr>
          <w:rFonts w:asciiTheme="minorHAnsi" w:eastAsia="Times New Roman" w:hAnsiTheme="minorHAnsi" w:cstheme="minorHAnsi"/>
          <w:b/>
          <w:bCs/>
          <w:color w:val="202124"/>
          <w:highlight w:val="white"/>
        </w:rPr>
      </w:pPr>
      <w:r w:rsidRPr="004439F6">
        <w:rPr>
          <w:rFonts w:asciiTheme="minorHAnsi" w:eastAsia="Times New Roman" w:hAnsiTheme="minorHAnsi" w:cstheme="minorHAnsi"/>
          <w:b/>
          <w:bCs/>
        </w:rPr>
        <w:t>Você acredita que a licença-maternidade é tomada de maneira negativa para a promoção e demais oportunidades durante a carreira das mulheres no TST/CSJT?</w:t>
      </w:r>
    </w:p>
    <w:p w14:paraId="4582D7F3" w14:textId="77777777" w:rsidR="005441A4" w:rsidRPr="004439F6" w:rsidRDefault="005441A4" w:rsidP="00794F3A">
      <w:pPr>
        <w:pStyle w:val="PargrafodaLista"/>
        <w:numPr>
          <w:ilvl w:val="0"/>
          <w:numId w:val="20"/>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Sim </w:t>
      </w:r>
    </w:p>
    <w:p w14:paraId="47A35B72" w14:textId="77777777" w:rsidR="005441A4" w:rsidRPr="004439F6" w:rsidRDefault="005441A4" w:rsidP="00794F3A">
      <w:pPr>
        <w:pStyle w:val="PargrafodaLista"/>
        <w:numPr>
          <w:ilvl w:val="0"/>
          <w:numId w:val="20"/>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Não </w:t>
      </w:r>
    </w:p>
    <w:p w14:paraId="60F7F9E8" w14:textId="77777777" w:rsidR="005441A4" w:rsidRPr="004439F6" w:rsidRDefault="005441A4" w:rsidP="00794F3A">
      <w:pPr>
        <w:pStyle w:val="PargrafodaLista"/>
        <w:numPr>
          <w:ilvl w:val="0"/>
          <w:numId w:val="20"/>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Não sei responder</w:t>
      </w:r>
    </w:p>
    <w:p w14:paraId="243B1CCA" w14:textId="77777777" w:rsidR="005441A4" w:rsidRPr="005441A4" w:rsidRDefault="005441A4" w:rsidP="005441A4">
      <w:pPr>
        <w:rPr>
          <w:rFonts w:asciiTheme="minorHAnsi" w:hAnsiTheme="minorHAnsi" w:cstheme="minorHAnsi"/>
          <w:b/>
          <w:color w:val="202124"/>
          <w:shd w:val="clear" w:color="auto" w:fill="F8F9FA"/>
        </w:rPr>
      </w:pPr>
    </w:p>
    <w:p w14:paraId="55F0CF1C" w14:textId="51C45B04" w:rsidR="005441A4" w:rsidRPr="004439F6" w:rsidRDefault="005441A4" w:rsidP="005441A4">
      <w:pPr>
        <w:rPr>
          <w:rFonts w:asciiTheme="minorHAnsi" w:hAnsiTheme="minorHAnsi" w:cstheme="minorHAnsi"/>
          <w:b/>
        </w:rPr>
      </w:pPr>
      <w:r w:rsidRPr="005441A4">
        <w:rPr>
          <w:rFonts w:asciiTheme="minorHAnsi" w:hAnsiTheme="minorHAnsi" w:cstheme="minorHAnsi"/>
          <w:b/>
        </w:rPr>
        <w:t>Cultura organizacional, respeito e equidade</w:t>
      </w:r>
    </w:p>
    <w:p w14:paraId="12463D5E" w14:textId="77777777" w:rsidR="005441A4" w:rsidRPr="004439F6" w:rsidRDefault="005441A4" w:rsidP="00794F3A">
      <w:pPr>
        <w:numPr>
          <w:ilvl w:val="0"/>
          <w:numId w:val="3"/>
        </w:numPr>
        <w:rPr>
          <w:rFonts w:asciiTheme="minorHAnsi" w:hAnsiTheme="minorHAnsi" w:cstheme="minorHAnsi"/>
          <w:b/>
          <w:bCs/>
        </w:rPr>
      </w:pPr>
      <w:r w:rsidRPr="004439F6">
        <w:rPr>
          <w:rFonts w:asciiTheme="minorHAnsi" w:hAnsiTheme="minorHAnsi" w:cstheme="minorHAnsi"/>
          <w:b/>
          <w:bCs/>
        </w:rPr>
        <w:t>Você acredita que o TST/CSJT promove uma cultura de respeito e igualdade entre homens e mulheres?</w:t>
      </w:r>
    </w:p>
    <w:p w14:paraId="2BACEA9C" w14:textId="77777777" w:rsidR="005441A4" w:rsidRPr="004439F6" w:rsidRDefault="005441A4" w:rsidP="00794F3A">
      <w:pPr>
        <w:pStyle w:val="PargrafodaLista"/>
        <w:numPr>
          <w:ilvl w:val="0"/>
          <w:numId w:val="21"/>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Sim </w:t>
      </w:r>
    </w:p>
    <w:p w14:paraId="23B123A3" w14:textId="77777777" w:rsidR="005441A4" w:rsidRPr="004439F6" w:rsidRDefault="005441A4" w:rsidP="00794F3A">
      <w:pPr>
        <w:pStyle w:val="PargrafodaLista"/>
        <w:numPr>
          <w:ilvl w:val="0"/>
          <w:numId w:val="21"/>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Não </w:t>
      </w:r>
    </w:p>
    <w:p w14:paraId="67157307" w14:textId="753204B4" w:rsidR="005441A4" w:rsidRDefault="005441A4" w:rsidP="00794F3A">
      <w:pPr>
        <w:pStyle w:val="PargrafodaLista"/>
        <w:numPr>
          <w:ilvl w:val="0"/>
          <w:numId w:val="21"/>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Não sei responder</w:t>
      </w:r>
    </w:p>
    <w:p w14:paraId="1AEB5A0A" w14:textId="77777777" w:rsidR="004439F6" w:rsidRPr="004439F6" w:rsidRDefault="004439F6" w:rsidP="004439F6">
      <w:pPr>
        <w:pStyle w:val="PargrafodaLista"/>
        <w:rPr>
          <w:rFonts w:asciiTheme="minorHAnsi" w:eastAsia="Times New Roman" w:hAnsiTheme="minorHAnsi" w:cstheme="minorHAnsi"/>
          <w:color w:val="202124"/>
          <w:highlight w:val="white"/>
        </w:rPr>
      </w:pPr>
    </w:p>
    <w:p w14:paraId="3CEABED7" w14:textId="77777777" w:rsidR="005441A4" w:rsidRPr="004439F6" w:rsidRDefault="005441A4" w:rsidP="00794F3A">
      <w:pPr>
        <w:numPr>
          <w:ilvl w:val="0"/>
          <w:numId w:val="3"/>
        </w:numPr>
        <w:rPr>
          <w:rFonts w:asciiTheme="minorHAnsi" w:hAnsiTheme="minorHAnsi" w:cstheme="minorHAnsi"/>
          <w:b/>
          <w:bCs/>
        </w:rPr>
      </w:pPr>
      <w:r w:rsidRPr="004439F6">
        <w:rPr>
          <w:rFonts w:asciiTheme="minorHAnsi" w:hAnsiTheme="minorHAnsi" w:cstheme="minorHAnsi"/>
          <w:b/>
          <w:bCs/>
        </w:rPr>
        <w:t>Você acredita que mulheres de diferentes perfis (raça, idade, maternidade, deficiência, LGBTQIA+) têm as mesmas oportunidades no TST/CSJT?</w:t>
      </w:r>
    </w:p>
    <w:p w14:paraId="14A81C25" w14:textId="77777777" w:rsidR="005441A4" w:rsidRPr="004439F6" w:rsidRDefault="005441A4" w:rsidP="00794F3A">
      <w:pPr>
        <w:pStyle w:val="PargrafodaLista"/>
        <w:numPr>
          <w:ilvl w:val="0"/>
          <w:numId w:val="22"/>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Sim </w:t>
      </w:r>
    </w:p>
    <w:p w14:paraId="104C6959" w14:textId="77777777" w:rsidR="005441A4" w:rsidRPr="004439F6" w:rsidRDefault="005441A4" w:rsidP="00794F3A">
      <w:pPr>
        <w:pStyle w:val="PargrafodaLista"/>
        <w:numPr>
          <w:ilvl w:val="0"/>
          <w:numId w:val="22"/>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Não </w:t>
      </w:r>
    </w:p>
    <w:p w14:paraId="5D524EAE" w14:textId="02E56B97" w:rsidR="005441A4" w:rsidRDefault="005441A4" w:rsidP="00794F3A">
      <w:pPr>
        <w:pStyle w:val="PargrafodaLista"/>
        <w:numPr>
          <w:ilvl w:val="0"/>
          <w:numId w:val="22"/>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Não sei responder</w:t>
      </w:r>
    </w:p>
    <w:p w14:paraId="365D3CB3" w14:textId="77777777" w:rsidR="004439F6" w:rsidRPr="004439F6" w:rsidRDefault="004439F6" w:rsidP="004439F6">
      <w:pPr>
        <w:pStyle w:val="PargrafodaLista"/>
        <w:rPr>
          <w:rFonts w:asciiTheme="minorHAnsi" w:eastAsia="Times New Roman" w:hAnsiTheme="minorHAnsi" w:cstheme="minorHAnsi"/>
          <w:color w:val="202124"/>
          <w:highlight w:val="white"/>
        </w:rPr>
      </w:pPr>
    </w:p>
    <w:p w14:paraId="39A155EF" w14:textId="77777777" w:rsidR="005441A4" w:rsidRPr="004439F6" w:rsidRDefault="005441A4" w:rsidP="00794F3A">
      <w:pPr>
        <w:numPr>
          <w:ilvl w:val="0"/>
          <w:numId w:val="3"/>
        </w:numPr>
        <w:rPr>
          <w:rFonts w:asciiTheme="minorHAnsi" w:hAnsiTheme="minorHAnsi" w:cstheme="minorHAnsi"/>
          <w:b/>
          <w:bCs/>
        </w:rPr>
      </w:pPr>
      <w:r w:rsidRPr="004439F6">
        <w:rPr>
          <w:rFonts w:asciiTheme="minorHAnsi" w:hAnsiTheme="minorHAnsi" w:cstheme="minorHAnsi"/>
          <w:b/>
          <w:bCs/>
        </w:rPr>
        <w:t>Na sua percepção, há equilíbrio entre homens e mulheres na ocupação de cargos estratégicos no TST/CSJT?</w:t>
      </w:r>
    </w:p>
    <w:p w14:paraId="7D6A7ACD" w14:textId="77777777" w:rsidR="005441A4" w:rsidRPr="004439F6" w:rsidRDefault="005441A4" w:rsidP="00794F3A">
      <w:pPr>
        <w:pStyle w:val="PargrafodaLista"/>
        <w:numPr>
          <w:ilvl w:val="0"/>
          <w:numId w:val="23"/>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Sim </w:t>
      </w:r>
    </w:p>
    <w:p w14:paraId="78F60786" w14:textId="77777777" w:rsidR="005441A4" w:rsidRPr="004439F6" w:rsidRDefault="005441A4" w:rsidP="00794F3A">
      <w:pPr>
        <w:pStyle w:val="PargrafodaLista"/>
        <w:numPr>
          <w:ilvl w:val="0"/>
          <w:numId w:val="23"/>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Não </w:t>
      </w:r>
    </w:p>
    <w:p w14:paraId="356D283F" w14:textId="5EC4D81A" w:rsidR="005441A4" w:rsidRDefault="005441A4" w:rsidP="00794F3A">
      <w:pPr>
        <w:pStyle w:val="PargrafodaLista"/>
        <w:numPr>
          <w:ilvl w:val="0"/>
          <w:numId w:val="23"/>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Não sei responder</w:t>
      </w:r>
    </w:p>
    <w:p w14:paraId="40A3461F" w14:textId="77777777" w:rsidR="004439F6" w:rsidRPr="004439F6" w:rsidRDefault="004439F6" w:rsidP="004439F6">
      <w:pPr>
        <w:pStyle w:val="PargrafodaLista"/>
        <w:rPr>
          <w:rFonts w:asciiTheme="minorHAnsi" w:eastAsia="Times New Roman" w:hAnsiTheme="minorHAnsi" w:cstheme="minorHAnsi"/>
          <w:color w:val="202124"/>
          <w:highlight w:val="white"/>
        </w:rPr>
      </w:pPr>
    </w:p>
    <w:p w14:paraId="37ADBA3A" w14:textId="77777777" w:rsidR="005441A4" w:rsidRPr="004439F6" w:rsidRDefault="005441A4" w:rsidP="00794F3A">
      <w:pPr>
        <w:numPr>
          <w:ilvl w:val="0"/>
          <w:numId w:val="3"/>
        </w:numPr>
        <w:rPr>
          <w:rFonts w:asciiTheme="minorHAnsi" w:hAnsiTheme="minorHAnsi" w:cstheme="minorHAnsi"/>
          <w:b/>
          <w:bCs/>
        </w:rPr>
      </w:pPr>
      <w:r w:rsidRPr="004439F6">
        <w:rPr>
          <w:rFonts w:asciiTheme="minorHAnsi" w:hAnsiTheme="minorHAnsi" w:cstheme="minorHAnsi"/>
          <w:b/>
          <w:bCs/>
        </w:rPr>
        <w:t>Na sua percepção, há abertura no seu setor para discutir temas relacionados à equidade de gênero e diversidade?</w:t>
      </w:r>
    </w:p>
    <w:p w14:paraId="1ECE0589" w14:textId="77777777" w:rsidR="005441A4" w:rsidRPr="004439F6" w:rsidRDefault="005441A4" w:rsidP="00794F3A">
      <w:pPr>
        <w:pStyle w:val="PargrafodaLista"/>
        <w:numPr>
          <w:ilvl w:val="0"/>
          <w:numId w:val="24"/>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Sim </w:t>
      </w:r>
    </w:p>
    <w:p w14:paraId="60B710AA" w14:textId="77777777" w:rsidR="005441A4" w:rsidRPr="004439F6" w:rsidRDefault="005441A4" w:rsidP="00794F3A">
      <w:pPr>
        <w:pStyle w:val="PargrafodaLista"/>
        <w:numPr>
          <w:ilvl w:val="0"/>
          <w:numId w:val="24"/>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lastRenderedPageBreak/>
        <w:t xml:space="preserve">Não </w:t>
      </w:r>
    </w:p>
    <w:p w14:paraId="31D314E4" w14:textId="5925BAC9" w:rsidR="005441A4" w:rsidRDefault="005441A4" w:rsidP="00794F3A">
      <w:pPr>
        <w:pStyle w:val="PargrafodaLista"/>
        <w:numPr>
          <w:ilvl w:val="0"/>
          <w:numId w:val="24"/>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Não sei responder</w:t>
      </w:r>
    </w:p>
    <w:p w14:paraId="177B8FA8" w14:textId="77777777" w:rsidR="004439F6" w:rsidRPr="004439F6" w:rsidRDefault="004439F6" w:rsidP="004439F6">
      <w:pPr>
        <w:pStyle w:val="PargrafodaLista"/>
        <w:rPr>
          <w:rFonts w:asciiTheme="minorHAnsi" w:eastAsia="Times New Roman" w:hAnsiTheme="minorHAnsi" w:cstheme="minorHAnsi"/>
          <w:color w:val="202124"/>
          <w:highlight w:val="white"/>
        </w:rPr>
      </w:pPr>
    </w:p>
    <w:p w14:paraId="09D52CCC" w14:textId="77777777" w:rsidR="005441A4" w:rsidRPr="004439F6" w:rsidRDefault="005441A4" w:rsidP="00794F3A">
      <w:pPr>
        <w:numPr>
          <w:ilvl w:val="0"/>
          <w:numId w:val="3"/>
        </w:numPr>
        <w:rPr>
          <w:rFonts w:asciiTheme="minorHAnsi" w:hAnsiTheme="minorHAnsi" w:cstheme="minorHAnsi"/>
          <w:b/>
          <w:bCs/>
        </w:rPr>
      </w:pPr>
      <w:r w:rsidRPr="004439F6">
        <w:rPr>
          <w:rFonts w:asciiTheme="minorHAnsi" w:hAnsiTheme="minorHAnsi" w:cstheme="minorHAnsi"/>
          <w:b/>
          <w:bCs/>
        </w:rPr>
        <w:t>Você já vivenciou ou presenciou situações no TST/CSJT em que uma mulher foi levada a duvidar de sua própria percepção ou memória (</w:t>
      </w:r>
      <w:r w:rsidRPr="009510E8">
        <w:rPr>
          <w:rFonts w:asciiTheme="minorHAnsi" w:hAnsiTheme="minorHAnsi" w:cstheme="minorHAnsi"/>
          <w:b/>
          <w:bCs/>
          <w:i/>
          <w:iCs/>
        </w:rPr>
        <w:t>gaslighting)</w:t>
      </w:r>
      <w:r w:rsidRPr="004439F6">
        <w:rPr>
          <w:rFonts w:asciiTheme="minorHAnsi" w:hAnsiTheme="minorHAnsi" w:cstheme="minorHAnsi"/>
          <w:b/>
          <w:bCs/>
        </w:rPr>
        <w:t>?</w:t>
      </w:r>
    </w:p>
    <w:p w14:paraId="522449E7" w14:textId="77777777" w:rsidR="005441A4" w:rsidRPr="004439F6" w:rsidRDefault="005441A4" w:rsidP="00794F3A">
      <w:pPr>
        <w:pStyle w:val="PargrafodaLista"/>
        <w:numPr>
          <w:ilvl w:val="0"/>
          <w:numId w:val="25"/>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Sim </w:t>
      </w:r>
    </w:p>
    <w:p w14:paraId="5533FACF" w14:textId="77777777" w:rsidR="005441A4" w:rsidRPr="004439F6" w:rsidRDefault="005441A4" w:rsidP="00794F3A">
      <w:pPr>
        <w:pStyle w:val="PargrafodaLista"/>
        <w:numPr>
          <w:ilvl w:val="0"/>
          <w:numId w:val="25"/>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Não </w:t>
      </w:r>
    </w:p>
    <w:p w14:paraId="48D87A09" w14:textId="5C5F91A8" w:rsidR="005441A4" w:rsidRDefault="005441A4" w:rsidP="00794F3A">
      <w:pPr>
        <w:pStyle w:val="PargrafodaLista"/>
        <w:numPr>
          <w:ilvl w:val="0"/>
          <w:numId w:val="25"/>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Não sei responder</w:t>
      </w:r>
    </w:p>
    <w:p w14:paraId="5963D00B" w14:textId="77777777" w:rsidR="004439F6" w:rsidRPr="004439F6" w:rsidRDefault="004439F6" w:rsidP="004439F6">
      <w:pPr>
        <w:pStyle w:val="PargrafodaLista"/>
        <w:rPr>
          <w:rFonts w:asciiTheme="minorHAnsi" w:eastAsia="Times New Roman" w:hAnsiTheme="minorHAnsi" w:cstheme="minorHAnsi"/>
          <w:color w:val="202124"/>
          <w:highlight w:val="white"/>
        </w:rPr>
      </w:pPr>
    </w:p>
    <w:p w14:paraId="33CE961E" w14:textId="77777777" w:rsidR="005441A4" w:rsidRPr="004439F6" w:rsidRDefault="005441A4" w:rsidP="00794F3A">
      <w:pPr>
        <w:numPr>
          <w:ilvl w:val="0"/>
          <w:numId w:val="3"/>
        </w:numPr>
        <w:rPr>
          <w:rFonts w:asciiTheme="minorHAnsi" w:hAnsiTheme="minorHAnsi" w:cstheme="minorHAnsi"/>
          <w:b/>
          <w:bCs/>
        </w:rPr>
      </w:pPr>
      <w:r w:rsidRPr="004439F6">
        <w:rPr>
          <w:rFonts w:asciiTheme="minorHAnsi" w:hAnsiTheme="minorHAnsi" w:cstheme="minorHAnsi"/>
          <w:b/>
          <w:bCs/>
        </w:rPr>
        <w:t>Você já vivenciou ou presenciou situações no TST/CSJT em que um homem explicou algo a uma mulher de forma superior ou como se ela não soubesse (</w:t>
      </w:r>
      <w:r w:rsidRPr="009510E8">
        <w:rPr>
          <w:rFonts w:asciiTheme="minorHAnsi" w:hAnsiTheme="minorHAnsi" w:cstheme="minorHAnsi"/>
          <w:b/>
          <w:bCs/>
          <w:i/>
          <w:iCs/>
        </w:rPr>
        <w:t>mansplaining</w:t>
      </w:r>
      <w:r w:rsidRPr="004439F6">
        <w:rPr>
          <w:rFonts w:asciiTheme="minorHAnsi" w:hAnsiTheme="minorHAnsi" w:cstheme="minorHAnsi"/>
          <w:b/>
          <w:bCs/>
        </w:rPr>
        <w:t>)?</w:t>
      </w:r>
    </w:p>
    <w:p w14:paraId="1761D77D" w14:textId="77777777" w:rsidR="005441A4" w:rsidRPr="004439F6" w:rsidRDefault="005441A4" w:rsidP="00794F3A">
      <w:pPr>
        <w:pStyle w:val="PargrafodaLista"/>
        <w:numPr>
          <w:ilvl w:val="0"/>
          <w:numId w:val="26"/>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Sim </w:t>
      </w:r>
    </w:p>
    <w:p w14:paraId="1F94A10B" w14:textId="77777777" w:rsidR="005441A4" w:rsidRPr="004439F6" w:rsidRDefault="005441A4" w:rsidP="00794F3A">
      <w:pPr>
        <w:pStyle w:val="PargrafodaLista"/>
        <w:numPr>
          <w:ilvl w:val="0"/>
          <w:numId w:val="26"/>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 xml:space="preserve">Não </w:t>
      </w:r>
    </w:p>
    <w:p w14:paraId="450313B0" w14:textId="2B7871FD" w:rsidR="005441A4" w:rsidRDefault="005441A4" w:rsidP="00794F3A">
      <w:pPr>
        <w:pStyle w:val="PargrafodaLista"/>
        <w:numPr>
          <w:ilvl w:val="0"/>
          <w:numId w:val="26"/>
        </w:numPr>
        <w:rPr>
          <w:rFonts w:asciiTheme="minorHAnsi" w:eastAsia="Times New Roman" w:hAnsiTheme="minorHAnsi" w:cstheme="minorHAnsi"/>
          <w:color w:val="202124"/>
          <w:highlight w:val="white"/>
        </w:rPr>
      </w:pPr>
      <w:r w:rsidRPr="004439F6">
        <w:rPr>
          <w:rFonts w:asciiTheme="minorHAnsi" w:eastAsia="Times New Roman" w:hAnsiTheme="minorHAnsi" w:cstheme="minorHAnsi"/>
          <w:color w:val="202124"/>
          <w:highlight w:val="white"/>
        </w:rPr>
        <w:t>Não sei responder</w:t>
      </w:r>
    </w:p>
    <w:p w14:paraId="46B9C50F" w14:textId="77777777" w:rsidR="004439F6" w:rsidRPr="004439F6" w:rsidRDefault="004439F6" w:rsidP="004439F6">
      <w:pPr>
        <w:pStyle w:val="PargrafodaLista"/>
        <w:rPr>
          <w:rFonts w:asciiTheme="minorHAnsi" w:eastAsia="Times New Roman" w:hAnsiTheme="minorHAnsi" w:cstheme="minorHAnsi"/>
          <w:color w:val="202124"/>
          <w:highlight w:val="white"/>
        </w:rPr>
      </w:pPr>
    </w:p>
    <w:p w14:paraId="6DDB123F" w14:textId="49542958" w:rsidR="005441A4" w:rsidRPr="005441A4" w:rsidRDefault="00C62746" w:rsidP="005441A4">
      <w:pPr>
        <w:rPr>
          <w:rFonts w:asciiTheme="minorHAnsi" w:hAnsiTheme="minorHAnsi" w:cstheme="minorHAnsi"/>
        </w:rPr>
      </w:pPr>
      <w:r w:rsidRPr="005441A4">
        <w:rPr>
          <w:rFonts w:asciiTheme="minorHAnsi" w:hAnsiTheme="minorHAnsi" w:cstheme="minorHAnsi"/>
        </w:rPr>
        <w:t>TRABALHADORES DO TST E DO CSJT</w:t>
      </w:r>
    </w:p>
    <w:p w14:paraId="2E18436B" w14:textId="592EACAE" w:rsidR="005441A4" w:rsidRPr="004439F6" w:rsidRDefault="005441A4" w:rsidP="005441A4">
      <w:pPr>
        <w:rPr>
          <w:rFonts w:asciiTheme="minorHAnsi" w:hAnsiTheme="minorHAnsi" w:cstheme="minorHAnsi"/>
          <w:b/>
        </w:rPr>
      </w:pPr>
      <w:r w:rsidRPr="005441A4">
        <w:rPr>
          <w:rFonts w:asciiTheme="minorHAnsi" w:hAnsiTheme="minorHAnsi" w:cstheme="minorHAnsi"/>
          <w:b/>
        </w:rPr>
        <w:t>Preconceito ou Discriminação de Gênero</w:t>
      </w:r>
    </w:p>
    <w:p w14:paraId="73DF2374" w14:textId="77777777" w:rsidR="005441A4" w:rsidRPr="00A172D0" w:rsidRDefault="005441A4" w:rsidP="00794F3A">
      <w:pPr>
        <w:numPr>
          <w:ilvl w:val="0"/>
          <w:numId w:val="2"/>
        </w:numPr>
        <w:rPr>
          <w:rFonts w:asciiTheme="minorHAnsi" w:hAnsiTheme="minorHAnsi" w:cstheme="minorHAnsi"/>
          <w:b/>
          <w:bCs/>
        </w:rPr>
      </w:pPr>
      <w:r w:rsidRPr="00A172D0">
        <w:rPr>
          <w:rFonts w:asciiTheme="minorHAnsi" w:hAnsiTheme="minorHAnsi" w:cstheme="minorHAnsi"/>
          <w:b/>
          <w:bCs/>
        </w:rPr>
        <w:t>Você já presenciou uma mulher receber comentários sobre sua aparência física no ambiente de trabalho do TST/CSJT?</w:t>
      </w:r>
    </w:p>
    <w:p w14:paraId="52601333" w14:textId="77777777" w:rsidR="005441A4" w:rsidRPr="00A172D0" w:rsidRDefault="005441A4" w:rsidP="00794F3A">
      <w:pPr>
        <w:pStyle w:val="PargrafodaLista"/>
        <w:numPr>
          <w:ilvl w:val="0"/>
          <w:numId w:val="53"/>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4ACD6152" w14:textId="77777777" w:rsidR="005441A4" w:rsidRPr="00A172D0" w:rsidRDefault="005441A4" w:rsidP="00794F3A">
      <w:pPr>
        <w:pStyle w:val="PargrafodaLista"/>
        <w:numPr>
          <w:ilvl w:val="0"/>
          <w:numId w:val="53"/>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69373395" w14:textId="22537A4B" w:rsidR="005441A4" w:rsidRDefault="005441A4" w:rsidP="00794F3A">
      <w:pPr>
        <w:pStyle w:val="PargrafodaLista"/>
        <w:numPr>
          <w:ilvl w:val="0"/>
          <w:numId w:val="53"/>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77875633"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05C2BB7E" w14:textId="77777777" w:rsidR="005441A4" w:rsidRPr="00A172D0" w:rsidRDefault="005441A4" w:rsidP="00794F3A">
      <w:pPr>
        <w:numPr>
          <w:ilvl w:val="0"/>
          <w:numId w:val="2"/>
        </w:numPr>
        <w:rPr>
          <w:rFonts w:asciiTheme="minorHAnsi" w:hAnsiTheme="minorHAnsi" w:cstheme="minorHAnsi"/>
          <w:b/>
          <w:bCs/>
        </w:rPr>
      </w:pPr>
      <w:r w:rsidRPr="00A172D0">
        <w:rPr>
          <w:rFonts w:asciiTheme="minorHAnsi" w:hAnsiTheme="minorHAnsi" w:cstheme="minorHAnsi"/>
          <w:b/>
          <w:bCs/>
        </w:rPr>
        <w:t>Em espaços de reunião e conversas de grupo, você percebe que a fala das mulheres é respeitada?</w:t>
      </w:r>
    </w:p>
    <w:p w14:paraId="5BF445AC" w14:textId="77777777" w:rsidR="00A172D0" w:rsidRPr="00A172D0" w:rsidRDefault="005441A4" w:rsidP="00794F3A">
      <w:pPr>
        <w:pStyle w:val="PargrafodaLista"/>
        <w:numPr>
          <w:ilvl w:val="0"/>
          <w:numId w:val="52"/>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7245B814" w14:textId="6FD510D9" w:rsidR="005441A4" w:rsidRPr="00A172D0" w:rsidRDefault="005441A4" w:rsidP="00794F3A">
      <w:pPr>
        <w:pStyle w:val="PargrafodaLista"/>
        <w:numPr>
          <w:ilvl w:val="0"/>
          <w:numId w:val="52"/>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77B3C615" w14:textId="77777777" w:rsidR="005441A4" w:rsidRPr="00A172D0" w:rsidRDefault="005441A4" w:rsidP="00794F3A">
      <w:pPr>
        <w:pStyle w:val="PargrafodaLista"/>
        <w:numPr>
          <w:ilvl w:val="0"/>
          <w:numId w:val="52"/>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46C30658" w14:textId="77777777" w:rsidR="005441A4" w:rsidRPr="005441A4" w:rsidRDefault="005441A4" w:rsidP="00A172D0">
      <w:pPr>
        <w:ind w:left="720"/>
        <w:rPr>
          <w:rFonts w:asciiTheme="minorHAnsi" w:hAnsiTheme="minorHAnsi" w:cstheme="minorHAnsi"/>
          <w:color w:val="202124"/>
          <w:highlight w:val="white"/>
        </w:rPr>
      </w:pPr>
    </w:p>
    <w:p w14:paraId="42D73B68" w14:textId="77777777" w:rsidR="005441A4" w:rsidRPr="00A172D0" w:rsidRDefault="005441A4" w:rsidP="00794F3A">
      <w:pPr>
        <w:numPr>
          <w:ilvl w:val="0"/>
          <w:numId w:val="2"/>
        </w:numPr>
        <w:rPr>
          <w:rFonts w:asciiTheme="minorHAnsi" w:hAnsiTheme="minorHAnsi" w:cstheme="minorHAnsi"/>
          <w:b/>
          <w:bCs/>
        </w:rPr>
      </w:pPr>
      <w:r w:rsidRPr="00A172D0">
        <w:rPr>
          <w:rFonts w:asciiTheme="minorHAnsi" w:hAnsiTheme="minorHAnsi" w:cstheme="minorHAnsi"/>
          <w:b/>
          <w:bCs/>
        </w:rPr>
        <w:t>Em espaços de reunião e conversas de grupo no TST/CSJT, você percebe as mulheres serem interrompidas por homens com frequência?</w:t>
      </w:r>
    </w:p>
    <w:p w14:paraId="560ECBAA" w14:textId="77777777" w:rsidR="005441A4" w:rsidRPr="00A172D0" w:rsidRDefault="005441A4" w:rsidP="00794F3A">
      <w:pPr>
        <w:pStyle w:val="PargrafodaLista"/>
        <w:numPr>
          <w:ilvl w:val="0"/>
          <w:numId w:val="51"/>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10A80C28" w14:textId="77777777" w:rsidR="005441A4" w:rsidRPr="00A172D0" w:rsidRDefault="005441A4" w:rsidP="00794F3A">
      <w:pPr>
        <w:pStyle w:val="PargrafodaLista"/>
        <w:numPr>
          <w:ilvl w:val="0"/>
          <w:numId w:val="51"/>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51058968" w14:textId="6289BC2A" w:rsidR="005441A4" w:rsidRDefault="005441A4" w:rsidP="00794F3A">
      <w:pPr>
        <w:pStyle w:val="PargrafodaLista"/>
        <w:numPr>
          <w:ilvl w:val="0"/>
          <w:numId w:val="51"/>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5904743E"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5C752F26" w14:textId="77777777" w:rsidR="005441A4" w:rsidRPr="00A172D0" w:rsidRDefault="005441A4" w:rsidP="00794F3A">
      <w:pPr>
        <w:numPr>
          <w:ilvl w:val="0"/>
          <w:numId w:val="2"/>
        </w:numPr>
        <w:rPr>
          <w:rFonts w:asciiTheme="minorHAnsi" w:hAnsiTheme="minorHAnsi" w:cstheme="minorHAnsi"/>
          <w:b/>
          <w:bCs/>
        </w:rPr>
      </w:pPr>
      <w:r w:rsidRPr="00A172D0">
        <w:rPr>
          <w:rFonts w:asciiTheme="minorHAnsi" w:hAnsiTheme="minorHAnsi" w:cstheme="minorHAnsi"/>
          <w:b/>
          <w:bCs/>
        </w:rPr>
        <w:t>No TST/CSJT, você presencia situações em que mulheres são incumbida de tarefas tipicamente consideradas "femininas" (como organizar eventos, organizar um espaço ou cuidar de aniversariantes) por serem mulheres?</w:t>
      </w:r>
    </w:p>
    <w:p w14:paraId="169EB2E1" w14:textId="77777777" w:rsidR="005441A4" w:rsidRPr="00A172D0" w:rsidRDefault="005441A4" w:rsidP="00794F3A">
      <w:pPr>
        <w:pStyle w:val="PargrafodaLista"/>
        <w:numPr>
          <w:ilvl w:val="0"/>
          <w:numId w:val="50"/>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61410EB2" w14:textId="77777777" w:rsidR="005441A4" w:rsidRPr="00A172D0" w:rsidRDefault="005441A4" w:rsidP="00794F3A">
      <w:pPr>
        <w:pStyle w:val="PargrafodaLista"/>
        <w:numPr>
          <w:ilvl w:val="0"/>
          <w:numId w:val="50"/>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2BB2D392" w14:textId="6A1F4D67" w:rsidR="005441A4" w:rsidRDefault="005441A4" w:rsidP="00794F3A">
      <w:pPr>
        <w:pStyle w:val="PargrafodaLista"/>
        <w:numPr>
          <w:ilvl w:val="0"/>
          <w:numId w:val="50"/>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4DE95763"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066B5C0A" w14:textId="77777777" w:rsidR="005441A4" w:rsidRPr="00A172D0" w:rsidRDefault="005441A4" w:rsidP="00794F3A">
      <w:pPr>
        <w:numPr>
          <w:ilvl w:val="0"/>
          <w:numId w:val="2"/>
        </w:numPr>
        <w:rPr>
          <w:rFonts w:asciiTheme="minorHAnsi" w:hAnsiTheme="minorHAnsi" w:cstheme="minorHAnsi"/>
          <w:b/>
          <w:bCs/>
        </w:rPr>
      </w:pPr>
      <w:r w:rsidRPr="00A172D0">
        <w:rPr>
          <w:rFonts w:asciiTheme="minorHAnsi" w:hAnsiTheme="minorHAnsi" w:cstheme="minorHAnsi"/>
          <w:b/>
          <w:bCs/>
        </w:rPr>
        <w:t>Você já notou que mulheres são mais cobradas por comportamento e vestimenta do que os homens no seu setor?</w:t>
      </w:r>
    </w:p>
    <w:p w14:paraId="5FB6907F" w14:textId="77777777" w:rsidR="005441A4" w:rsidRPr="00A172D0" w:rsidRDefault="005441A4" w:rsidP="00794F3A">
      <w:pPr>
        <w:pStyle w:val="PargrafodaLista"/>
        <w:numPr>
          <w:ilvl w:val="0"/>
          <w:numId w:val="49"/>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79D2400F" w14:textId="77777777" w:rsidR="005441A4" w:rsidRPr="00A172D0" w:rsidRDefault="005441A4" w:rsidP="00794F3A">
      <w:pPr>
        <w:pStyle w:val="PargrafodaLista"/>
        <w:numPr>
          <w:ilvl w:val="0"/>
          <w:numId w:val="49"/>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51FF1FC2" w14:textId="3A57167C" w:rsidR="005441A4" w:rsidRDefault="005441A4" w:rsidP="00794F3A">
      <w:pPr>
        <w:pStyle w:val="PargrafodaLista"/>
        <w:numPr>
          <w:ilvl w:val="0"/>
          <w:numId w:val="49"/>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3A06701C"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43722B58" w14:textId="77777777" w:rsidR="005441A4" w:rsidRPr="00A172D0" w:rsidRDefault="005441A4" w:rsidP="00794F3A">
      <w:pPr>
        <w:numPr>
          <w:ilvl w:val="0"/>
          <w:numId w:val="2"/>
        </w:numPr>
        <w:rPr>
          <w:rFonts w:asciiTheme="minorHAnsi" w:hAnsiTheme="minorHAnsi" w:cstheme="minorHAnsi"/>
          <w:b/>
          <w:bCs/>
        </w:rPr>
      </w:pPr>
      <w:r w:rsidRPr="00A172D0">
        <w:rPr>
          <w:rFonts w:asciiTheme="minorHAnsi" w:hAnsiTheme="minorHAnsi" w:cstheme="minorHAnsi"/>
          <w:b/>
          <w:bCs/>
        </w:rPr>
        <w:t>Você já presenciou piadas ou comentários sexistas em relação à mulher no seu ambiente de trabalho (Por exemplo: “Mulher não entende de tecnologia”, “Você está de TPM? Isso explica a irritação”, “Mulher não sabe dirigir” etc.)?</w:t>
      </w:r>
    </w:p>
    <w:p w14:paraId="0DF5AEF5" w14:textId="77777777" w:rsidR="005441A4" w:rsidRPr="00A172D0" w:rsidRDefault="005441A4" w:rsidP="00794F3A">
      <w:pPr>
        <w:pStyle w:val="PargrafodaLista"/>
        <w:numPr>
          <w:ilvl w:val="0"/>
          <w:numId w:val="48"/>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25459445" w14:textId="77777777" w:rsidR="005441A4" w:rsidRPr="00A172D0" w:rsidRDefault="005441A4" w:rsidP="00794F3A">
      <w:pPr>
        <w:pStyle w:val="PargrafodaLista"/>
        <w:numPr>
          <w:ilvl w:val="0"/>
          <w:numId w:val="48"/>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6CE9F044" w14:textId="1446BC34" w:rsidR="005441A4" w:rsidRDefault="005441A4" w:rsidP="00794F3A">
      <w:pPr>
        <w:pStyle w:val="PargrafodaLista"/>
        <w:numPr>
          <w:ilvl w:val="0"/>
          <w:numId w:val="48"/>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78AED587"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2E3A6ECA" w14:textId="6642968C" w:rsidR="005441A4" w:rsidRPr="00A172D0" w:rsidRDefault="005441A4" w:rsidP="005441A4">
      <w:pPr>
        <w:rPr>
          <w:rFonts w:asciiTheme="minorHAnsi" w:hAnsiTheme="minorHAnsi" w:cstheme="minorHAnsi"/>
          <w:b/>
        </w:rPr>
      </w:pPr>
      <w:r w:rsidRPr="005441A4">
        <w:rPr>
          <w:rFonts w:asciiTheme="minorHAnsi" w:hAnsiTheme="minorHAnsi" w:cstheme="minorHAnsi"/>
          <w:b/>
        </w:rPr>
        <w:t>Oportunidades, carreira e liderança</w:t>
      </w:r>
    </w:p>
    <w:p w14:paraId="12B8F4C8" w14:textId="77777777" w:rsidR="005441A4" w:rsidRPr="00A172D0" w:rsidRDefault="005441A4" w:rsidP="00794F3A">
      <w:pPr>
        <w:numPr>
          <w:ilvl w:val="0"/>
          <w:numId w:val="7"/>
        </w:numPr>
        <w:rPr>
          <w:rFonts w:asciiTheme="minorHAnsi" w:hAnsiTheme="minorHAnsi" w:cstheme="minorHAnsi"/>
          <w:b/>
          <w:bCs/>
        </w:rPr>
      </w:pPr>
      <w:r w:rsidRPr="00A172D0">
        <w:rPr>
          <w:rFonts w:asciiTheme="minorHAnsi" w:hAnsiTheme="minorHAnsi" w:cstheme="minorHAnsi"/>
          <w:b/>
          <w:bCs/>
        </w:rPr>
        <w:t>No TST/CSJT, você considera que as mulheres tem acesso às mesmas oportunidades de desenvolvimento profissional que os homens?</w:t>
      </w:r>
    </w:p>
    <w:p w14:paraId="5C935560" w14:textId="77777777" w:rsidR="005441A4" w:rsidRPr="00A172D0" w:rsidRDefault="005441A4" w:rsidP="00794F3A">
      <w:pPr>
        <w:pStyle w:val="PargrafodaLista"/>
        <w:numPr>
          <w:ilvl w:val="0"/>
          <w:numId w:val="47"/>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1B3F30F9" w14:textId="77777777" w:rsidR="005441A4" w:rsidRPr="00A172D0" w:rsidRDefault="005441A4" w:rsidP="00794F3A">
      <w:pPr>
        <w:pStyle w:val="PargrafodaLista"/>
        <w:numPr>
          <w:ilvl w:val="0"/>
          <w:numId w:val="47"/>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468C4A75" w14:textId="0F4306A3" w:rsidR="005441A4" w:rsidRDefault="005441A4" w:rsidP="00794F3A">
      <w:pPr>
        <w:pStyle w:val="PargrafodaLista"/>
        <w:numPr>
          <w:ilvl w:val="0"/>
          <w:numId w:val="47"/>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19624A46"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0F114C4A" w14:textId="77777777" w:rsidR="005441A4" w:rsidRPr="00A172D0" w:rsidRDefault="005441A4" w:rsidP="00794F3A">
      <w:pPr>
        <w:numPr>
          <w:ilvl w:val="0"/>
          <w:numId w:val="7"/>
        </w:numPr>
        <w:rPr>
          <w:rFonts w:asciiTheme="minorHAnsi" w:hAnsiTheme="minorHAnsi" w:cstheme="minorHAnsi"/>
          <w:b/>
          <w:bCs/>
        </w:rPr>
      </w:pPr>
      <w:r w:rsidRPr="00A172D0">
        <w:rPr>
          <w:rFonts w:asciiTheme="minorHAnsi" w:hAnsiTheme="minorHAnsi" w:cstheme="minorHAnsi"/>
          <w:b/>
          <w:bCs/>
        </w:rPr>
        <w:t xml:space="preserve">No TST/CSJT, você se recorda de situação em que uma mulher perdeu oportunidades profissionais (cursos, viagens entre outros) por ser mulher? </w:t>
      </w:r>
    </w:p>
    <w:p w14:paraId="25A867EF" w14:textId="77777777" w:rsidR="005441A4" w:rsidRPr="00A172D0" w:rsidRDefault="005441A4" w:rsidP="00794F3A">
      <w:pPr>
        <w:pStyle w:val="PargrafodaLista"/>
        <w:numPr>
          <w:ilvl w:val="0"/>
          <w:numId w:val="46"/>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48A80661" w14:textId="77777777" w:rsidR="005441A4" w:rsidRPr="00A172D0" w:rsidRDefault="005441A4" w:rsidP="00794F3A">
      <w:pPr>
        <w:pStyle w:val="PargrafodaLista"/>
        <w:numPr>
          <w:ilvl w:val="0"/>
          <w:numId w:val="46"/>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1585AFA8" w14:textId="376E1533" w:rsidR="005441A4" w:rsidRDefault="005441A4" w:rsidP="00794F3A">
      <w:pPr>
        <w:pStyle w:val="PargrafodaLista"/>
        <w:numPr>
          <w:ilvl w:val="0"/>
          <w:numId w:val="46"/>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1530297C"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44B08EA2" w14:textId="77777777" w:rsidR="005441A4" w:rsidRPr="00A172D0" w:rsidRDefault="005441A4" w:rsidP="00794F3A">
      <w:pPr>
        <w:numPr>
          <w:ilvl w:val="0"/>
          <w:numId w:val="7"/>
        </w:numPr>
        <w:rPr>
          <w:rFonts w:asciiTheme="minorHAnsi" w:hAnsiTheme="minorHAnsi" w:cstheme="minorHAnsi"/>
          <w:b/>
          <w:bCs/>
        </w:rPr>
      </w:pPr>
      <w:r w:rsidRPr="00A172D0">
        <w:rPr>
          <w:rFonts w:asciiTheme="minorHAnsi" w:hAnsiTheme="minorHAnsi" w:cstheme="minorHAnsi"/>
          <w:b/>
          <w:bCs/>
        </w:rPr>
        <w:t>No TST/CSJT, você já presenciou situação em que uma promoção para cargo de chefia foi designada a um homem em detrimento de uma mulher igual ou superiormente capacitada para assumi-lo?</w:t>
      </w:r>
    </w:p>
    <w:p w14:paraId="445CA515" w14:textId="77777777" w:rsidR="005441A4" w:rsidRPr="00A172D0" w:rsidRDefault="005441A4" w:rsidP="00794F3A">
      <w:pPr>
        <w:pStyle w:val="PargrafodaLista"/>
        <w:numPr>
          <w:ilvl w:val="0"/>
          <w:numId w:val="45"/>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3135F45E" w14:textId="77777777" w:rsidR="005441A4" w:rsidRPr="00A172D0" w:rsidRDefault="005441A4" w:rsidP="00794F3A">
      <w:pPr>
        <w:pStyle w:val="PargrafodaLista"/>
        <w:numPr>
          <w:ilvl w:val="0"/>
          <w:numId w:val="45"/>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738C7567" w14:textId="130516E1" w:rsidR="005441A4" w:rsidRDefault="005441A4" w:rsidP="00794F3A">
      <w:pPr>
        <w:pStyle w:val="PargrafodaLista"/>
        <w:numPr>
          <w:ilvl w:val="0"/>
          <w:numId w:val="45"/>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454B72CE"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6E80F88F" w14:textId="4019399E" w:rsidR="005441A4" w:rsidRPr="00A172D0" w:rsidRDefault="005441A4" w:rsidP="00794F3A">
      <w:pPr>
        <w:numPr>
          <w:ilvl w:val="0"/>
          <w:numId w:val="7"/>
        </w:numPr>
        <w:rPr>
          <w:rFonts w:asciiTheme="minorHAnsi" w:hAnsiTheme="minorHAnsi" w:cstheme="minorHAnsi"/>
          <w:b/>
          <w:bCs/>
        </w:rPr>
      </w:pPr>
      <w:r w:rsidRPr="00A172D0">
        <w:rPr>
          <w:rFonts w:asciiTheme="minorHAnsi" w:hAnsiTheme="minorHAnsi" w:cstheme="minorHAnsi"/>
          <w:b/>
          <w:bCs/>
        </w:rPr>
        <w:t>No TST/CSJT, você considera que as mulheres são encorajadas e têm oportunidades de assumir cargos de chefia?</w:t>
      </w:r>
    </w:p>
    <w:p w14:paraId="64CC87CC" w14:textId="77777777" w:rsidR="005441A4" w:rsidRPr="00A172D0" w:rsidRDefault="005441A4" w:rsidP="00794F3A">
      <w:pPr>
        <w:pStyle w:val="PargrafodaLista"/>
        <w:numPr>
          <w:ilvl w:val="0"/>
          <w:numId w:val="44"/>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15829513" w14:textId="77777777" w:rsidR="005441A4" w:rsidRPr="00A172D0" w:rsidRDefault="005441A4" w:rsidP="00794F3A">
      <w:pPr>
        <w:pStyle w:val="PargrafodaLista"/>
        <w:numPr>
          <w:ilvl w:val="0"/>
          <w:numId w:val="44"/>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33F4A0B7" w14:textId="478F1572" w:rsidR="005441A4" w:rsidRDefault="005441A4" w:rsidP="00794F3A">
      <w:pPr>
        <w:pStyle w:val="PargrafodaLista"/>
        <w:numPr>
          <w:ilvl w:val="0"/>
          <w:numId w:val="44"/>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57368C81"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4AC657DC" w14:textId="77777777" w:rsidR="005441A4" w:rsidRPr="00A172D0" w:rsidRDefault="005441A4" w:rsidP="00794F3A">
      <w:pPr>
        <w:numPr>
          <w:ilvl w:val="0"/>
          <w:numId w:val="7"/>
        </w:numPr>
        <w:rPr>
          <w:rFonts w:asciiTheme="minorHAnsi" w:hAnsiTheme="minorHAnsi" w:cstheme="minorHAnsi"/>
          <w:b/>
          <w:bCs/>
        </w:rPr>
      </w:pPr>
      <w:r w:rsidRPr="00A172D0">
        <w:rPr>
          <w:rFonts w:asciiTheme="minorHAnsi" w:hAnsiTheme="minorHAnsi" w:cstheme="minorHAnsi"/>
          <w:b/>
          <w:bCs/>
        </w:rPr>
        <w:t>No TST/CSJT, você considera que as mulheres estão presentes e são ouvidas em espaços de tomada de decisão?</w:t>
      </w:r>
    </w:p>
    <w:p w14:paraId="3625626C" w14:textId="77777777" w:rsidR="005441A4" w:rsidRPr="00A172D0" w:rsidRDefault="005441A4" w:rsidP="00794F3A">
      <w:pPr>
        <w:pStyle w:val="PargrafodaLista"/>
        <w:numPr>
          <w:ilvl w:val="0"/>
          <w:numId w:val="43"/>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533D985C" w14:textId="77777777" w:rsidR="005441A4" w:rsidRPr="00A172D0" w:rsidRDefault="005441A4" w:rsidP="00794F3A">
      <w:pPr>
        <w:pStyle w:val="PargrafodaLista"/>
        <w:numPr>
          <w:ilvl w:val="0"/>
          <w:numId w:val="43"/>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2376776E" w14:textId="056338A0" w:rsidR="005441A4" w:rsidRDefault="005441A4" w:rsidP="00794F3A">
      <w:pPr>
        <w:pStyle w:val="PargrafodaLista"/>
        <w:numPr>
          <w:ilvl w:val="0"/>
          <w:numId w:val="43"/>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4A801004" w14:textId="77777777" w:rsidR="00A172D0" w:rsidRPr="00A172D0" w:rsidRDefault="00A172D0" w:rsidP="00A172D0">
      <w:pPr>
        <w:rPr>
          <w:rFonts w:asciiTheme="minorHAnsi" w:hAnsiTheme="minorHAnsi" w:cstheme="minorHAnsi"/>
          <w:color w:val="202124"/>
          <w:highlight w:val="white"/>
        </w:rPr>
      </w:pPr>
    </w:p>
    <w:p w14:paraId="12D07621" w14:textId="77777777" w:rsidR="005441A4" w:rsidRPr="00A172D0" w:rsidRDefault="005441A4" w:rsidP="00794F3A">
      <w:pPr>
        <w:numPr>
          <w:ilvl w:val="0"/>
          <w:numId w:val="7"/>
        </w:numPr>
        <w:rPr>
          <w:rFonts w:asciiTheme="minorHAnsi" w:hAnsiTheme="minorHAnsi" w:cstheme="minorHAnsi"/>
          <w:b/>
          <w:bCs/>
        </w:rPr>
      </w:pPr>
      <w:r w:rsidRPr="00A172D0">
        <w:rPr>
          <w:rFonts w:asciiTheme="minorHAnsi" w:hAnsiTheme="minorHAnsi" w:cstheme="minorHAnsi"/>
          <w:b/>
          <w:bCs/>
        </w:rPr>
        <w:t>No TST/CSJT, você considera que as mulheres precisam se esforçar mais do que os homens para serem promovidas?</w:t>
      </w:r>
    </w:p>
    <w:p w14:paraId="6250882F" w14:textId="77777777" w:rsidR="005441A4" w:rsidRPr="00A172D0" w:rsidRDefault="005441A4" w:rsidP="00794F3A">
      <w:pPr>
        <w:pStyle w:val="PargrafodaLista"/>
        <w:numPr>
          <w:ilvl w:val="0"/>
          <w:numId w:val="42"/>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468555C1" w14:textId="77777777" w:rsidR="005441A4" w:rsidRPr="00A172D0" w:rsidRDefault="005441A4" w:rsidP="00794F3A">
      <w:pPr>
        <w:pStyle w:val="PargrafodaLista"/>
        <w:numPr>
          <w:ilvl w:val="0"/>
          <w:numId w:val="42"/>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675181B2" w14:textId="479A73AE" w:rsidR="005441A4" w:rsidRDefault="005441A4" w:rsidP="00794F3A">
      <w:pPr>
        <w:pStyle w:val="PargrafodaLista"/>
        <w:numPr>
          <w:ilvl w:val="0"/>
          <w:numId w:val="42"/>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0B54B182"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3CE98419" w14:textId="77777777" w:rsidR="005441A4" w:rsidRPr="00A172D0" w:rsidRDefault="005441A4" w:rsidP="00794F3A">
      <w:pPr>
        <w:numPr>
          <w:ilvl w:val="0"/>
          <w:numId w:val="7"/>
        </w:numPr>
        <w:rPr>
          <w:rFonts w:asciiTheme="minorHAnsi" w:hAnsiTheme="minorHAnsi" w:cstheme="minorHAnsi"/>
          <w:b/>
          <w:bCs/>
        </w:rPr>
      </w:pPr>
      <w:r w:rsidRPr="00A172D0">
        <w:rPr>
          <w:rFonts w:asciiTheme="minorHAnsi" w:hAnsiTheme="minorHAnsi" w:cstheme="minorHAnsi"/>
          <w:b/>
          <w:bCs/>
        </w:rPr>
        <w:lastRenderedPageBreak/>
        <w:t>No TST/CSJT, você considera que as mulheres precisam se esforçar mais do que os homens para serem promovidas?</w:t>
      </w:r>
    </w:p>
    <w:p w14:paraId="657D8547" w14:textId="77777777" w:rsidR="005441A4" w:rsidRPr="00A172D0" w:rsidRDefault="005441A4" w:rsidP="00794F3A">
      <w:pPr>
        <w:pStyle w:val="PargrafodaLista"/>
        <w:numPr>
          <w:ilvl w:val="0"/>
          <w:numId w:val="41"/>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1B6ED89A" w14:textId="77777777" w:rsidR="005441A4" w:rsidRPr="00A172D0" w:rsidRDefault="005441A4" w:rsidP="00794F3A">
      <w:pPr>
        <w:pStyle w:val="PargrafodaLista"/>
        <w:numPr>
          <w:ilvl w:val="0"/>
          <w:numId w:val="41"/>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4DD56787" w14:textId="75697379" w:rsidR="005441A4" w:rsidRDefault="005441A4" w:rsidP="00794F3A">
      <w:pPr>
        <w:pStyle w:val="PargrafodaLista"/>
        <w:numPr>
          <w:ilvl w:val="0"/>
          <w:numId w:val="41"/>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697FCEDB"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61BE1308" w14:textId="4B2A6CCB" w:rsidR="005441A4" w:rsidRPr="00A172D0" w:rsidRDefault="005441A4" w:rsidP="005441A4">
      <w:pPr>
        <w:rPr>
          <w:rFonts w:asciiTheme="minorHAnsi" w:hAnsiTheme="minorHAnsi" w:cstheme="minorHAnsi"/>
          <w:b/>
        </w:rPr>
      </w:pPr>
      <w:r w:rsidRPr="005441A4">
        <w:rPr>
          <w:rFonts w:asciiTheme="minorHAnsi" w:hAnsiTheme="minorHAnsi" w:cstheme="minorHAnsi"/>
          <w:b/>
        </w:rPr>
        <w:t>Família e vida pessoal</w:t>
      </w:r>
    </w:p>
    <w:p w14:paraId="53ECFB89" w14:textId="77777777" w:rsidR="005441A4" w:rsidRPr="00A172D0" w:rsidRDefault="005441A4" w:rsidP="00794F3A">
      <w:pPr>
        <w:numPr>
          <w:ilvl w:val="0"/>
          <w:numId w:val="5"/>
        </w:numPr>
        <w:rPr>
          <w:rFonts w:asciiTheme="minorHAnsi" w:hAnsiTheme="minorHAnsi" w:cstheme="minorHAnsi"/>
          <w:b/>
          <w:bCs/>
        </w:rPr>
      </w:pPr>
      <w:r w:rsidRPr="00A172D0">
        <w:rPr>
          <w:rFonts w:asciiTheme="minorHAnsi" w:hAnsiTheme="minorHAnsi" w:cstheme="minorHAnsi"/>
          <w:b/>
          <w:bCs/>
        </w:rPr>
        <w:t>No TST/CSJT, você considera que as mulheres são pressionadas a priorizar o trabalho em detrimento da vida pessoal?</w:t>
      </w:r>
    </w:p>
    <w:p w14:paraId="457AAA9C" w14:textId="77777777" w:rsidR="005441A4" w:rsidRPr="00A172D0" w:rsidRDefault="005441A4" w:rsidP="00794F3A">
      <w:pPr>
        <w:pStyle w:val="PargrafodaLista"/>
        <w:numPr>
          <w:ilvl w:val="0"/>
          <w:numId w:val="40"/>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0DEFF579" w14:textId="77777777" w:rsidR="005441A4" w:rsidRPr="00A172D0" w:rsidRDefault="005441A4" w:rsidP="00794F3A">
      <w:pPr>
        <w:pStyle w:val="PargrafodaLista"/>
        <w:numPr>
          <w:ilvl w:val="0"/>
          <w:numId w:val="40"/>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6B90A501" w14:textId="2B2A7FC4" w:rsidR="005441A4" w:rsidRDefault="005441A4" w:rsidP="00794F3A">
      <w:pPr>
        <w:pStyle w:val="PargrafodaLista"/>
        <w:numPr>
          <w:ilvl w:val="0"/>
          <w:numId w:val="40"/>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1874451E"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27170F1A" w14:textId="77777777" w:rsidR="005441A4" w:rsidRPr="00A172D0" w:rsidRDefault="005441A4" w:rsidP="00794F3A">
      <w:pPr>
        <w:numPr>
          <w:ilvl w:val="0"/>
          <w:numId w:val="5"/>
        </w:numPr>
        <w:rPr>
          <w:rFonts w:asciiTheme="minorHAnsi" w:hAnsiTheme="minorHAnsi" w:cstheme="minorHAnsi"/>
          <w:b/>
          <w:bCs/>
        </w:rPr>
      </w:pPr>
      <w:r w:rsidRPr="00A172D0">
        <w:rPr>
          <w:rFonts w:asciiTheme="minorHAnsi" w:hAnsiTheme="minorHAnsi" w:cstheme="minorHAnsi"/>
          <w:b/>
          <w:bCs/>
        </w:rPr>
        <w:t>Você acredita que o TST/CSJT oferece suporte adequado às mães que trabalham?</w:t>
      </w:r>
    </w:p>
    <w:p w14:paraId="3AAB161D" w14:textId="77777777" w:rsidR="005441A4" w:rsidRPr="00A172D0" w:rsidRDefault="005441A4" w:rsidP="00794F3A">
      <w:pPr>
        <w:pStyle w:val="PargrafodaLista"/>
        <w:numPr>
          <w:ilvl w:val="0"/>
          <w:numId w:val="39"/>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507C1CD1" w14:textId="77777777" w:rsidR="005441A4" w:rsidRPr="00A172D0" w:rsidRDefault="005441A4" w:rsidP="00794F3A">
      <w:pPr>
        <w:pStyle w:val="PargrafodaLista"/>
        <w:numPr>
          <w:ilvl w:val="0"/>
          <w:numId w:val="39"/>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40E372C9" w14:textId="53A66CD6" w:rsidR="005441A4" w:rsidRDefault="005441A4" w:rsidP="00794F3A">
      <w:pPr>
        <w:pStyle w:val="PargrafodaLista"/>
        <w:numPr>
          <w:ilvl w:val="0"/>
          <w:numId w:val="39"/>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32AA4135"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70B7688D" w14:textId="77777777" w:rsidR="005441A4" w:rsidRPr="00A172D0" w:rsidRDefault="005441A4" w:rsidP="00794F3A">
      <w:pPr>
        <w:numPr>
          <w:ilvl w:val="0"/>
          <w:numId w:val="5"/>
        </w:numPr>
        <w:rPr>
          <w:rFonts w:asciiTheme="minorHAnsi" w:hAnsiTheme="minorHAnsi" w:cstheme="minorHAnsi"/>
          <w:b/>
          <w:bCs/>
        </w:rPr>
      </w:pPr>
      <w:r w:rsidRPr="00A172D0">
        <w:rPr>
          <w:rFonts w:asciiTheme="minorHAnsi" w:hAnsiTheme="minorHAnsi" w:cstheme="minorHAnsi"/>
          <w:b/>
          <w:bCs/>
        </w:rPr>
        <w:t>Você já presenciou uma situação em que uma mãe foi prejudicada profissionalmente no TST/CSJT por ter filhos?</w:t>
      </w:r>
    </w:p>
    <w:p w14:paraId="4732D9C4" w14:textId="77777777" w:rsidR="005441A4" w:rsidRPr="00A172D0" w:rsidRDefault="005441A4" w:rsidP="00794F3A">
      <w:pPr>
        <w:pStyle w:val="PargrafodaLista"/>
        <w:numPr>
          <w:ilvl w:val="0"/>
          <w:numId w:val="38"/>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04D90774" w14:textId="77777777" w:rsidR="005441A4" w:rsidRPr="00A172D0" w:rsidRDefault="005441A4" w:rsidP="00794F3A">
      <w:pPr>
        <w:pStyle w:val="PargrafodaLista"/>
        <w:numPr>
          <w:ilvl w:val="0"/>
          <w:numId w:val="38"/>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2C9F4C22" w14:textId="28AAC755" w:rsidR="005441A4" w:rsidRDefault="005441A4" w:rsidP="00794F3A">
      <w:pPr>
        <w:pStyle w:val="PargrafodaLista"/>
        <w:numPr>
          <w:ilvl w:val="0"/>
          <w:numId w:val="38"/>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3AADDCB3"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763887F8" w14:textId="77777777" w:rsidR="005441A4" w:rsidRPr="00A172D0" w:rsidRDefault="005441A4" w:rsidP="00794F3A">
      <w:pPr>
        <w:numPr>
          <w:ilvl w:val="0"/>
          <w:numId w:val="5"/>
        </w:numPr>
        <w:rPr>
          <w:rFonts w:asciiTheme="minorHAnsi" w:hAnsiTheme="minorHAnsi" w:cstheme="minorHAnsi"/>
          <w:b/>
          <w:bCs/>
        </w:rPr>
      </w:pPr>
      <w:r w:rsidRPr="00A172D0">
        <w:rPr>
          <w:rFonts w:asciiTheme="minorHAnsi" w:hAnsiTheme="minorHAnsi" w:cstheme="minorHAnsi"/>
          <w:b/>
          <w:bCs/>
        </w:rPr>
        <w:t>Você acredita que as mulheres que são mães se sentem confortáveis em falar sobre questões relacionadas à maternidade com seus colegas e superiores no TST/CSJT?</w:t>
      </w:r>
    </w:p>
    <w:p w14:paraId="71C52A34" w14:textId="77777777" w:rsidR="005441A4" w:rsidRPr="00A172D0" w:rsidRDefault="005441A4" w:rsidP="00794F3A">
      <w:pPr>
        <w:pStyle w:val="PargrafodaLista"/>
        <w:numPr>
          <w:ilvl w:val="0"/>
          <w:numId w:val="37"/>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33F1097F" w14:textId="77777777" w:rsidR="005441A4" w:rsidRPr="00A172D0" w:rsidRDefault="005441A4" w:rsidP="00794F3A">
      <w:pPr>
        <w:pStyle w:val="PargrafodaLista"/>
        <w:numPr>
          <w:ilvl w:val="0"/>
          <w:numId w:val="37"/>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247991D7" w14:textId="7B1BA222" w:rsidR="005441A4" w:rsidRDefault="005441A4" w:rsidP="00794F3A">
      <w:pPr>
        <w:pStyle w:val="PargrafodaLista"/>
        <w:numPr>
          <w:ilvl w:val="0"/>
          <w:numId w:val="37"/>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6E27E238"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66DC9D3A" w14:textId="77777777" w:rsidR="005441A4" w:rsidRPr="00A172D0" w:rsidRDefault="005441A4" w:rsidP="00794F3A">
      <w:pPr>
        <w:numPr>
          <w:ilvl w:val="0"/>
          <w:numId w:val="5"/>
        </w:numPr>
        <w:rPr>
          <w:rFonts w:asciiTheme="minorHAnsi" w:hAnsiTheme="minorHAnsi" w:cstheme="minorHAnsi"/>
          <w:b/>
          <w:bCs/>
        </w:rPr>
      </w:pPr>
      <w:r w:rsidRPr="00A172D0">
        <w:rPr>
          <w:rFonts w:asciiTheme="minorHAnsi" w:hAnsiTheme="minorHAnsi" w:cstheme="minorHAnsi"/>
          <w:b/>
          <w:bCs/>
        </w:rPr>
        <w:t>Na sua percepção, mulheres que retornam de licença-maternidade encontram dificuldades para se reintegrar no seu ambiente de trabalho do TST/CSJT?</w:t>
      </w:r>
    </w:p>
    <w:p w14:paraId="388895C9" w14:textId="77777777" w:rsidR="005441A4" w:rsidRPr="00A172D0" w:rsidRDefault="005441A4" w:rsidP="00794F3A">
      <w:pPr>
        <w:pStyle w:val="PargrafodaLista"/>
        <w:numPr>
          <w:ilvl w:val="0"/>
          <w:numId w:val="36"/>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Sim </w:t>
      </w:r>
    </w:p>
    <w:p w14:paraId="6AE70015" w14:textId="77777777" w:rsidR="005441A4" w:rsidRPr="00A172D0" w:rsidRDefault="005441A4" w:rsidP="00794F3A">
      <w:pPr>
        <w:pStyle w:val="PargrafodaLista"/>
        <w:numPr>
          <w:ilvl w:val="0"/>
          <w:numId w:val="36"/>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 xml:space="preserve">Não </w:t>
      </w:r>
    </w:p>
    <w:p w14:paraId="4BE4FC5F" w14:textId="733EE0B8" w:rsidR="005441A4" w:rsidRDefault="005441A4" w:rsidP="00794F3A">
      <w:pPr>
        <w:pStyle w:val="PargrafodaLista"/>
        <w:numPr>
          <w:ilvl w:val="0"/>
          <w:numId w:val="36"/>
        </w:numPr>
        <w:rPr>
          <w:rFonts w:asciiTheme="minorHAnsi" w:eastAsia="Times New Roman" w:hAnsiTheme="minorHAnsi" w:cstheme="minorHAnsi"/>
          <w:color w:val="202124"/>
          <w:highlight w:val="white"/>
        </w:rPr>
      </w:pPr>
      <w:r w:rsidRPr="00A172D0">
        <w:rPr>
          <w:rFonts w:asciiTheme="minorHAnsi" w:eastAsia="Times New Roman" w:hAnsiTheme="minorHAnsi" w:cstheme="minorHAnsi"/>
          <w:color w:val="202124"/>
          <w:highlight w:val="white"/>
        </w:rPr>
        <w:t>Não sei responder</w:t>
      </w:r>
    </w:p>
    <w:p w14:paraId="4E3FF119" w14:textId="77777777" w:rsidR="00A172D0" w:rsidRPr="00A172D0" w:rsidRDefault="00A172D0" w:rsidP="00A172D0">
      <w:pPr>
        <w:pStyle w:val="PargrafodaLista"/>
        <w:rPr>
          <w:rFonts w:asciiTheme="minorHAnsi" w:eastAsia="Times New Roman" w:hAnsiTheme="minorHAnsi" w:cstheme="minorHAnsi"/>
          <w:color w:val="202124"/>
          <w:highlight w:val="white"/>
        </w:rPr>
      </w:pPr>
    </w:p>
    <w:p w14:paraId="2AB296E3" w14:textId="77777777" w:rsidR="005441A4" w:rsidRPr="00B81BC9" w:rsidRDefault="005441A4" w:rsidP="00794F3A">
      <w:pPr>
        <w:numPr>
          <w:ilvl w:val="0"/>
          <w:numId w:val="5"/>
        </w:numPr>
        <w:rPr>
          <w:rFonts w:asciiTheme="minorHAnsi" w:hAnsiTheme="minorHAnsi" w:cstheme="minorHAnsi"/>
          <w:b/>
          <w:bCs/>
        </w:rPr>
      </w:pPr>
      <w:r w:rsidRPr="00B81BC9">
        <w:rPr>
          <w:rFonts w:asciiTheme="minorHAnsi" w:hAnsiTheme="minorHAnsi" w:cstheme="minorHAnsi"/>
          <w:b/>
          <w:bCs/>
        </w:rPr>
        <w:t>Você acredita que haja compreensão de gestores e colegas no seu setor quando uma mulher precisa se ausentar para cuidar de filhos ou familiares?</w:t>
      </w:r>
    </w:p>
    <w:p w14:paraId="20535C28" w14:textId="77777777" w:rsidR="005441A4" w:rsidRPr="00B81BC9" w:rsidRDefault="005441A4" w:rsidP="00794F3A">
      <w:pPr>
        <w:pStyle w:val="PargrafodaLista"/>
        <w:numPr>
          <w:ilvl w:val="0"/>
          <w:numId w:val="35"/>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Sim </w:t>
      </w:r>
    </w:p>
    <w:p w14:paraId="39032E44" w14:textId="77777777" w:rsidR="005441A4" w:rsidRPr="00B81BC9" w:rsidRDefault="005441A4" w:rsidP="00794F3A">
      <w:pPr>
        <w:pStyle w:val="PargrafodaLista"/>
        <w:numPr>
          <w:ilvl w:val="0"/>
          <w:numId w:val="35"/>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Não </w:t>
      </w:r>
    </w:p>
    <w:p w14:paraId="4D9C58B8" w14:textId="5778B74A" w:rsidR="005441A4" w:rsidRDefault="005441A4" w:rsidP="00794F3A">
      <w:pPr>
        <w:pStyle w:val="PargrafodaLista"/>
        <w:numPr>
          <w:ilvl w:val="0"/>
          <w:numId w:val="35"/>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Não sei responder</w:t>
      </w:r>
    </w:p>
    <w:p w14:paraId="4D1C6594" w14:textId="77777777" w:rsidR="00B81BC9" w:rsidRPr="00B81BC9" w:rsidRDefault="00B81BC9" w:rsidP="00B81BC9">
      <w:pPr>
        <w:pStyle w:val="PargrafodaLista"/>
        <w:rPr>
          <w:rFonts w:asciiTheme="minorHAnsi" w:eastAsia="Times New Roman" w:hAnsiTheme="minorHAnsi" w:cstheme="minorHAnsi"/>
          <w:color w:val="202124"/>
          <w:highlight w:val="white"/>
        </w:rPr>
      </w:pPr>
    </w:p>
    <w:p w14:paraId="02045DA5" w14:textId="77777777" w:rsidR="005441A4" w:rsidRPr="00B81BC9" w:rsidRDefault="005441A4" w:rsidP="00794F3A">
      <w:pPr>
        <w:numPr>
          <w:ilvl w:val="0"/>
          <w:numId w:val="5"/>
        </w:numPr>
        <w:rPr>
          <w:rFonts w:asciiTheme="minorHAnsi" w:hAnsiTheme="minorHAnsi" w:cstheme="minorHAnsi"/>
          <w:b/>
          <w:bCs/>
        </w:rPr>
      </w:pPr>
      <w:r w:rsidRPr="00B81BC9">
        <w:rPr>
          <w:rFonts w:asciiTheme="minorHAnsi" w:hAnsiTheme="minorHAnsi" w:cstheme="minorHAnsi"/>
          <w:b/>
          <w:bCs/>
        </w:rPr>
        <w:t>Você acredita que o trabalho remoto ou híbrido pode beneficiar a participação feminina no TST/CSJT?</w:t>
      </w:r>
    </w:p>
    <w:p w14:paraId="72ED2D95" w14:textId="77777777" w:rsidR="00B81BC9" w:rsidRPr="00B81BC9" w:rsidRDefault="005441A4" w:rsidP="00794F3A">
      <w:pPr>
        <w:pStyle w:val="PargrafodaLista"/>
        <w:numPr>
          <w:ilvl w:val="0"/>
          <w:numId w:val="34"/>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Sim </w:t>
      </w:r>
    </w:p>
    <w:p w14:paraId="3552EB8F" w14:textId="0625CB19" w:rsidR="005441A4" w:rsidRPr="00B81BC9" w:rsidRDefault="005441A4" w:rsidP="00794F3A">
      <w:pPr>
        <w:pStyle w:val="PargrafodaLista"/>
        <w:numPr>
          <w:ilvl w:val="0"/>
          <w:numId w:val="34"/>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Não </w:t>
      </w:r>
    </w:p>
    <w:p w14:paraId="74304E2D" w14:textId="2BEFF781" w:rsidR="005441A4" w:rsidRDefault="005441A4" w:rsidP="00794F3A">
      <w:pPr>
        <w:pStyle w:val="PargrafodaLista"/>
        <w:numPr>
          <w:ilvl w:val="0"/>
          <w:numId w:val="34"/>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Não sei responder</w:t>
      </w:r>
    </w:p>
    <w:p w14:paraId="2FF6EB6D" w14:textId="77777777" w:rsidR="00B81BC9" w:rsidRPr="00B81BC9" w:rsidRDefault="00B81BC9" w:rsidP="00B81BC9">
      <w:pPr>
        <w:pStyle w:val="PargrafodaLista"/>
        <w:rPr>
          <w:rFonts w:asciiTheme="minorHAnsi" w:eastAsia="Times New Roman" w:hAnsiTheme="minorHAnsi" w:cstheme="minorHAnsi"/>
          <w:color w:val="202124"/>
          <w:highlight w:val="white"/>
        </w:rPr>
      </w:pPr>
    </w:p>
    <w:p w14:paraId="7C341A3E" w14:textId="77777777" w:rsidR="005441A4" w:rsidRPr="00B81BC9" w:rsidRDefault="005441A4" w:rsidP="00794F3A">
      <w:pPr>
        <w:numPr>
          <w:ilvl w:val="0"/>
          <w:numId w:val="5"/>
        </w:numPr>
        <w:rPr>
          <w:rFonts w:asciiTheme="minorHAnsi" w:hAnsiTheme="minorHAnsi" w:cstheme="minorHAnsi"/>
          <w:b/>
          <w:bCs/>
        </w:rPr>
      </w:pPr>
      <w:r w:rsidRPr="00B81BC9">
        <w:rPr>
          <w:rFonts w:asciiTheme="minorHAnsi" w:hAnsiTheme="minorHAnsi" w:cstheme="minorHAnsi"/>
          <w:b/>
          <w:bCs/>
        </w:rPr>
        <w:t>Você acredita que a licença-maternidade é tomada de maneira negativa para a promoção e demais oportunidades durante a carreira das mulheres no TST/CSJT?</w:t>
      </w:r>
    </w:p>
    <w:p w14:paraId="07CBA0C8" w14:textId="77777777" w:rsidR="00B81BC9" w:rsidRPr="00B81BC9" w:rsidRDefault="005441A4" w:rsidP="00794F3A">
      <w:pPr>
        <w:pStyle w:val="PargrafodaLista"/>
        <w:numPr>
          <w:ilvl w:val="0"/>
          <w:numId w:val="33"/>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Sim </w:t>
      </w:r>
    </w:p>
    <w:p w14:paraId="21021838" w14:textId="12DB72B1" w:rsidR="005441A4" w:rsidRPr="00B81BC9" w:rsidRDefault="005441A4" w:rsidP="00794F3A">
      <w:pPr>
        <w:pStyle w:val="PargrafodaLista"/>
        <w:numPr>
          <w:ilvl w:val="0"/>
          <w:numId w:val="33"/>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Não </w:t>
      </w:r>
    </w:p>
    <w:p w14:paraId="74935AD1" w14:textId="12B07ECF" w:rsidR="005441A4" w:rsidRDefault="005441A4" w:rsidP="00794F3A">
      <w:pPr>
        <w:pStyle w:val="PargrafodaLista"/>
        <w:numPr>
          <w:ilvl w:val="0"/>
          <w:numId w:val="33"/>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Não sei responder</w:t>
      </w:r>
    </w:p>
    <w:p w14:paraId="17FD92C2" w14:textId="77777777" w:rsidR="00B81BC9" w:rsidRPr="00B81BC9" w:rsidRDefault="00B81BC9" w:rsidP="00B81BC9">
      <w:pPr>
        <w:pStyle w:val="PargrafodaLista"/>
        <w:rPr>
          <w:rFonts w:asciiTheme="minorHAnsi" w:eastAsia="Times New Roman" w:hAnsiTheme="minorHAnsi" w:cstheme="minorHAnsi"/>
          <w:color w:val="202124"/>
          <w:highlight w:val="white"/>
        </w:rPr>
      </w:pPr>
    </w:p>
    <w:p w14:paraId="03591050" w14:textId="3B040E40" w:rsidR="005441A4" w:rsidRPr="00B81BC9" w:rsidRDefault="005441A4" w:rsidP="005441A4">
      <w:pPr>
        <w:rPr>
          <w:rFonts w:asciiTheme="minorHAnsi" w:hAnsiTheme="minorHAnsi" w:cstheme="minorHAnsi"/>
          <w:b/>
        </w:rPr>
      </w:pPr>
      <w:r w:rsidRPr="005441A4">
        <w:rPr>
          <w:rFonts w:asciiTheme="minorHAnsi" w:hAnsiTheme="minorHAnsi" w:cstheme="minorHAnsi"/>
          <w:b/>
        </w:rPr>
        <w:t>Cultura organizacional, respeito e equidade</w:t>
      </w:r>
    </w:p>
    <w:p w14:paraId="0AD3706F" w14:textId="77777777" w:rsidR="005441A4" w:rsidRPr="00B81BC9" w:rsidRDefault="005441A4" w:rsidP="00794F3A">
      <w:pPr>
        <w:numPr>
          <w:ilvl w:val="0"/>
          <w:numId w:val="9"/>
        </w:numPr>
        <w:rPr>
          <w:rFonts w:asciiTheme="minorHAnsi" w:hAnsiTheme="minorHAnsi" w:cstheme="minorHAnsi"/>
          <w:b/>
          <w:bCs/>
        </w:rPr>
      </w:pPr>
      <w:r w:rsidRPr="00B81BC9">
        <w:rPr>
          <w:rFonts w:asciiTheme="minorHAnsi" w:hAnsiTheme="minorHAnsi" w:cstheme="minorHAnsi"/>
          <w:b/>
          <w:bCs/>
        </w:rPr>
        <w:t>Você acredita que o TST/CSJT promove uma cultura de respeito e igualdade entre homens e mulheres?</w:t>
      </w:r>
    </w:p>
    <w:p w14:paraId="6C8CFB9B" w14:textId="77777777" w:rsidR="005441A4" w:rsidRPr="00B81BC9" w:rsidRDefault="005441A4" w:rsidP="00794F3A">
      <w:pPr>
        <w:pStyle w:val="PargrafodaLista"/>
        <w:numPr>
          <w:ilvl w:val="0"/>
          <w:numId w:val="32"/>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Sim </w:t>
      </w:r>
    </w:p>
    <w:p w14:paraId="779D6CBB" w14:textId="77777777" w:rsidR="005441A4" w:rsidRPr="00B81BC9" w:rsidRDefault="005441A4" w:rsidP="00794F3A">
      <w:pPr>
        <w:pStyle w:val="PargrafodaLista"/>
        <w:numPr>
          <w:ilvl w:val="0"/>
          <w:numId w:val="32"/>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Não </w:t>
      </w:r>
    </w:p>
    <w:p w14:paraId="5192D365" w14:textId="7BFBBBFA" w:rsidR="00B81BC9" w:rsidRPr="00B81BC9" w:rsidRDefault="005441A4" w:rsidP="00794F3A">
      <w:pPr>
        <w:pStyle w:val="PargrafodaLista"/>
        <w:numPr>
          <w:ilvl w:val="0"/>
          <w:numId w:val="32"/>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Não sei responder</w:t>
      </w:r>
    </w:p>
    <w:p w14:paraId="036770BE" w14:textId="77777777" w:rsidR="00B81BC9" w:rsidRPr="005441A4" w:rsidRDefault="00B81BC9" w:rsidP="00B81BC9">
      <w:pPr>
        <w:rPr>
          <w:rFonts w:asciiTheme="minorHAnsi" w:hAnsiTheme="minorHAnsi" w:cstheme="minorHAnsi"/>
          <w:color w:val="202124"/>
          <w:highlight w:val="white"/>
        </w:rPr>
      </w:pPr>
    </w:p>
    <w:p w14:paraId="2C08CF9B" w14:textId="77777777" w:rsidR="005441A4" w:rsidRPr="00B81BC9" w:rsidRDefault="005441A4" w:rsidP="00794F3A">
      <w:pPr>
        <w:numPr>
          <w:ilvl w:val="0"/>
          <w:numId w:val="9"/>
        </w:numPr>
        <w:rPr>
          <w:rFonts w:asciiTheme="minorHAnsi" w:hAnsiTheme="minorHAnsi" w:cstheme="minorHAnsi"/>
          <w:b/>
          <w:bCs/>
        </w:rPr>
      </w:pPr>
      <w:r w:rsidRPr="00B81BC9">
        <w:rPr>
          <w:rFonts w:asciiTheme="minorHAnsi" w:hAnsiTheme="minorHAnsi" w:cstheme="minorHAnsi"/>
          <w:b/>
          <w:bCs/>
        </w:rPr>
        <w:t>Você acredita que mulheres de diferentes perfis (raça, idade, maternidade, deficiência, LGBTQIA+) têm as mesmas oportunidades no TST/CSJT?</w:t>
      </w:r>
    </w:p>
    <w:p w14:paraId="69113EAE" w14:textId="77777777" w:rsidR="005441A4" w:rsidRPr="00B81BC9" w:rsidRDefault="005441A4" w:rsidP="00794F3A">
      <w:pPr>
        <w:pStyle w:val="PargrafodaLista"/>
        <w:numPr>
          <w:ilvl w:val="0"/>
          <w:numId w:val="31"/>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Sim </w:t>
      </w:r>
    </w:p>
    <w:p w14:paraId="559E7D17" w14:textId="77777777" w:rsidR="005441A4" w:rsidRPr="00B81BC9" w:rsidRDefault="005441A4" w:rsidP="00794F3A">
      <w:pPr>
        <w:pStyle w:val="PargrafodaLista"/>
        <w:numPr>
          <w:ilvl w:val="0"/>
          <w:numId w:val="31"/>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Não </w:t>
      </w:r>
    </w:p>
    <w:p w14:paraId="5ABBE86E" w14:textId="2075A435" w:rsidR="005441A4" w:rsidRDefault="005441A4" w:rsidP="00794F3A">
      <w:pPr>
        <w:pStyle w:val="PargrafodaLista"/>
        <w:numPr>
          <w:ilvl w:val="0"/>
          <w:numId w:val="31"/>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Não sei responder</w:t>
      </w:r>
    </w:p>
    <w:p w14:paraId="5C2958DF" w14:textId="77777777" w:rsidR="00B81BC9" w:rsidRPr="00B81BC9" w:rsidRDefault="00B81BC9" w:rsidP="00B81BC9">
      <w:pPr>
        <w:pStyle w:val="PargrafodaLista"/>
        <w:rPr>
          <w:rFonts w:asciiTheme="minorHAnsi" w:eastAsia="Times New Roman" w:hAnsiTheme="minorHAnsi" w:cstheme="minorHAnsi"/>
          <w:color w:val="202124"/>
          <w:highlight w:val="white"/>
        </w:rPr>
      </w:pPr>
    </w:p>
    <w:p w14:paraId="75D09E06" w14:textId="77777777" w:rsidR="005441A4" w:rsidRPr="00B81BC9" w:rsidRDefault="005441A4" w:rsidP="00794F3A">
      <w:pPr>
        <w:numPr>
          <w:ilvl w:val="0"/>
          <w:numId w:val="9"/>
        </w:numPr>
        <w:rPr>
          <w:rFonts w:asciiTheme="minorHAnsi" w:hAnsiTheme="minorHAnsi" w:cstheme="minorHAnsi"/>
          <w:b/>
          <w:bCs/>
        </w:rPr>
      </w:pPr>
      <w:r w:rsidRPr="00B81BC9">
        <w:rPr>
          <w:rFonts w:asciiTheme="minorHAnsi" w:hAnsiTheme="minorHAnsi" w:cstheme="minorHAnsi"/>
          <w:b/>
          <w:bCs/>
        </w:rPr>
        <w:t>Na sua percepção, há equilíbrio entre homens e mulheres na ocupação de cargos estratégicos no TST/CSJT?</w:t>
      </w:r>
    </w:p>
    <w:p w14:paraId="5F4B32C1" w14:textId="77777777" w:rsidR="005441A4" w:rsidRPr="00B81BC9" w:rsidRDefault="005441A4" w:rsidP="00794F3A">
      <w:pPr>
        <w:pStyle w:val="PargrafodaLista"/>
        <w:numPr>
          <w:ilvl w:val="0"/>
          <w:numId w:val="30"/>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Sim </w:t>
      </w:r>
    </w:p>
    <w:p w14:paraId="62E70993" w14:textId="77777777" w:rsidR="005441A4" w:rsidRPr="00B81BC9" w:rsidRDefault="005441A4" w:rsidP="00794F3A">
      <w:pPr>
        <w:pStyle w:val="PargrafodaLista"/>
        <w:numPr>
          <w:ilvl w:val="0"/>
          <w:numId w:val="30"/>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Não </w:t>
      </w:r>
    </w:p>
    <w:p w14:paraId="54674915" w14:textId="77777777" w:rsidR="005441A4" w:rsidRPr="00B81BC9" w:rsidRDefault="005441A4" w:rsidP="00794F3A">
      <w:pPr>
        <w:pStyle w:val="PargrafodaLista"/>
        <w:numPr>
          <w:ilvl w:val="0"/>
          <w:numId w:val="30"/>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Não sei responder</w:t>
      </w:r>
    </w:p>
    <w:p w14:paraId="196B8E10" w14:textId="77777777" w:rsidR="005441A4" w:rsidRPr="005441A4" w:rsidRDefault="005441A4" w:rsidP="005441A4">
      <w:pPr>
        <w:ind w:left="720"/>
        <w:rPr>
          <w:rFonts w:asciiTheme="minorHAnsi" w:hAnsiTheme="minorHAnsi" w:cstheme="minorHAnsi"/>
          <w:color w:val="202124"/>
          <w:highlight w:val="white"/>
        </w:rPr>
      </w:pPr>
    </w:p>
    <w:p w14:paraId="4E35B0B6" w14:textId="77777777" w:rsidR="005441A4" w:rsidRPr="00B81BC9" w:rsidRDefault="005441A4" w:rsidP="00794F3A">
      <w:pPr>
        <w:numPr>
          <w:ilvl w:val="0"/>
          <w:numId w:val="9"/>
        </w:numPr>
        <w:rPr>
          <w:rFonts w:asciiTheme="minorHAnsi" w:hAnsiTheme="minorHAnsi" w:cstheme="minorHAnsi"/>
          <w:b/>
          <w:bCs/>
        </w:rPr>
      </w:pPr>
      <w:r w:rsidRPr="00B81BC9">
        <w:rPr>
          <w:rFonts w:asciiTheme="minorHAnsi" w:hAnsiTheme="minorHAnsi" w:cstheme="minorHAnsi"/>
          <w:b/>
          <w:bCs/>
        </w:rPr>
        <w:t>Na sua percepção, há abertura no seu setor para discutir temas relacionados à equidade de gênero e diversidade?</w:t>
      </w:r>
    </w:p>
    <w:p w14:paraId="7CC91918" w14:textId="77777777" w:rsidR="005441A4" w:rsidRPr="00B81BC9" w:rsidRDefault="005441A4" w:rsidP="00794F3A">
      <w:pPr>
        <w:pStyle w:val="PargrafodaLista"/>
        <w:numPr>
          <w:ilvl w:val="0"/>
          <w:numId w:val="29"/>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Sim </w:t>
      </w:r>
    </w:p>
    <w:p w14:paraId="49D4ABE6" w14:textId="77777777" w:rsidR="005441A4" w:rsidRPr="00B81BC9" w:rsidRDefault="005441A4" w:rsidP="00794F3A">
      <w:pPr>
        <w:pStyle w:val="PargrafodaLista"/>
        <w:numPr>
          <w:ilvl w:val="0"/>
          <w:numId w:val="29"/>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Não </w:t>
      </w:r>
    </w:p>
    <w:p w14:paraId="0FDF2C20" w14:textId="5E71931E" w:rsidR="005441A4" w:rsidRDefault="005441A4" w:rsidP="00794F3A">
      <w:pPr>
        <w:pStyle w:val="PargrafodaLista"/>
        <w:numPr>
          <w:ilvl w:val="0"/>
          <w:numId w:val="29"/>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Não sei responder</w:t>
      </w:r>
    </w:p>
    <w:p w14:paraId="4625C7AE" w14:textId="77777777" w:rsidR="00B81BC9" w:rsidRPr="00B81BC9" w:rsidRDefault="00B81BC9" w:rsidP="00B81BC9">
      <w:pPr>
        <w:pStyle w:val="PargrafodaLista"/>
        <w:rPr>
          <w:rFonts w:asciiTheme="minorHAnsi" w:eastAsia="Times New Roman" w:hAnsiTheme="minorHAnsi" w:cstheme="minorHAnsi"/>
          <w:color w:val="202124"/>
          <w:highlight w:val="white"/>
        </w:rPr>
      </w:pPr>
    </w:p>
    <w:p w14:paraId="7FAC8BE2" w14:textId="77777777" w:rsidR="005441A4" w:rsidRPr="00B81BC9" w:rsidRDefault="005441A4" w:rsidP="00794F3A">
      <w:pPr>
        <w:numPr>
          <w:ilvl w:val="0"/>
          <w:numId w:val="9"/>
        </w:numPr>
        <w:rPr>
          <w:rFonts w:asciiTheme="minorHAnsi" w:hAnsiTheme="minorHAnsi" w:cstheme="minorHAnsi"/>
          <w:b/>
          <w:bCs/>
        </w:rPr>
      </w:pPr>
      <w:r w:rsidRPr="00B81BC9">
        <w:rPr>
          <w:rFonts w:asciiTheme="minorHAnsi" w:hAnsiTheme="minorHAnsi" w:cstheme="minorHAnsi"/>
          <w:b/>
          <w:bCs/>
        </w:rPr>
        <w:t>Você já vivenciou ou presenciou situações no TST/CSJT em que uma mulher foi levada a duvidar de sua própria percepção ou memória (</w:t>
      </w:r>
      <w:r w:rsidRPr="009510E8">
        <w:rPr>
          <w:rFonts w:asciiTheme="minorHAnsi" w:hAnsiTheme="minorHAnsi" w:cstheme="minorHAnsi"/>
          <w:b/>
          <w:bCs/>
          <w:i/>
          <w:iCs/>
        </w:rPr>
        <w:t>gaslighting</w:t>
      </w:r>
      <w:r w:rsidRPr="00B81BC9">
        <w:rPr>
          <w:rFonts w:asciiTheme="minorHAnsi" w:hAnsiTheme="minorHAnsi" w:cstheme="minorHAnsi"/>
          <w:b/>
          <w:bCs/>
        </w:rPr>
        <w:t>)?</w:t>
      </w:r>
    </w:p>
    <w:p w14:paraId="197F4927" w14:textId="77777777" w:rsidR="005441A4" w:rsidRPr="00B81BC9" w:rsidRDefault="005441A4" w:rsidP="00794F3A">
      <w:pPr>
        <w:pStyle w:val="PargrafodaLista"/>
        <w:numPr>
          <w:ilvl w:val="0"/>
          <w:numId w:val="28"/>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Sim </w:t>
      </w:r>
    </w:p>
    <w:p w14:paraId="43260DF2" w14:textId="77777777" w:rsidR="005441A4" w:rsidRPr="00B81BC9" w:rsidRDefault="005441A4" w:rsidP="00794F3A">
      <w:pPr>
        <w:pStyle w:val="PargrafodaLista"/>
        <w:numPr>
          <w:ilvl w:val="0"/>
          <w:numId w:val="28"/>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Não </w:t>
      </w:r>
    </w:p>
    <w:p w14:paraId="4B358B5C" w14:textId="6DA725BA" w:rsidR="005441A4" w:rsidRDefault="005441A4" w:rsidP="00794F3A">
      <w:pPr>
        <w:pStyle w:val="PargrafodaLista"/>
        <w:numPr>
          <w:ilvl w:val="0"/>
          <w:numId w:val="28"/>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Não sei responder</w:t>
      </w:r>
    </w:p>
    <w:p w14:paraId="405F4B87" w14:textId="77777777" w:rsidR="00B81BC9" w:rsidRPr="00B81BC9" w:rsidRDefault="00B81BC9" w:rsidP="00B81BC9">
      <w:pPr>
        <w:pStyle w:val="PargrafodaLista"/>
        <w:rPr>
          <w:rFonts w:asciiTheme="minorHAnsi" w:eastAsia="Times New Roman" w:hAnsiTheme="minorHAnsi" w:cstheme="minorHAnsi"/>
          <w:color w:val="202124"/>
          <w:highlight w:val="white"/>
        </w:rPr>
      </w:pPr>
    </w:p>
    <w:p w14:paraId="60302F86" w14:textId="77777777" w:rsidR="005441A4" w:rsidRPr="00B81BC9" w:rsidRDefault="005441A4" w:rsidP="00794F3A">
      <w:pPr>
        <w:numPr>
          <w:ilvl w:val="0"/>
          <w:numId w:val="9"/>
        </w:numPr>
        <w:rPr>
          <w:rFonts w:asciiTheme="minorHAnsi" w:hAnsiTheme="minorHAnsi" w:cstheme="minorHAnsi"/>
          <w:b/>
          <w:bCs/>
        </w:rPr>
      </w:pPr>
      <w:r w:rsidRPr="00B81BC9">
        <w:rPr>
          <w:rFonts w:asciiTheme="minorHAnsi" w:hAnsiTheme="minorHAnsi" w:cstheme="minorHAnsi"/>
          <w:b/>
          <w:bCs/>
        </w:rPr>
        <w:t>Você já vivenciou ou presenciou situações no TST/CSJT em que um homem explicou algo a uma mulher de forma superior ou como se ela não soubesse (</w:t>
      </w:r>
      <w:r w:rsidRPr="009510E8">
        <w:rPr>
          <w:rFonts w:asciiTheme="minorHAnsi" w:hAnsiTheme="minorHAnsi" w:cstheme="minorHAnsi"/>
          <w:b/>
          <w:bCs/>
          <w:i/>
          <w:iCs/>
        </w:rPr>
        <w:t>mansplaining</w:t>
      </w:r>
      <w:r w:rsidRPr="00B81BC9">
        <w:rPr>
          <w:rFonts w:asciiTheme="minorHAnsi" w:hAnsiTheme="minorHAnsi" w:cstheme="minorHAnsi"/>
          <w:b/>
          <w:bCs/>
        </w:rPr>
        <w:t>)?</w:t>
      </w:r>
    </w:p>
    <w:p w14:paraId="339BFF1F" w14:textId="77777777" w:rsidR="005441A4" w:rsidRPr="00B81BC9" w:rsidRDefault="005441A4" w:rsidP="00794F3A">
      <w:pPr>
        <w:pStyle w:val="PargrafodaLista"/>
        <w:numPr>
          <w:ilvl w:val="0"/>
          <w:numId w:val="27"/>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Sim </w:t>
      </w:r>
    </w:p>
    <w:p w14:paraId="02972121" w14:textId="77777777" w:rsidR="005441A4" w:rsidRPr="00B81BC9" w:rsidRDefault="005441A4" w:rsidP="00794F3A">
      <w:pPr>
        <w:pStyle w:val="PargrafodaLista"/>
        <w:numPr>
          <w:ilvl w:val="0"/>
          <w:numId w:val="27"/>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 xml:space="preserve">Não </w:t>
      </w:r>
    </w:p>
    <w:p w14:paraId="7ADEB2CC" w14:textId="77777777" w:rsidR="005441A4" w:rsidRPr="00B81BC9" w:rsidRDefault="005441A4" w:rsidP="00794F3A">
      <w:pPr>
        <w:pStyle w:val="PargrafodaLista"/>
        <w:numPr>
          <w:ilvl w:val="0"/>
          <w:numId w:val="27"/>
        </w:numPr>
        <w:rPr>
          <w:rFonts w:asciiTheme="minorHAnsi" w:eastAsia="Times New Roman" w:hAnsiTheme="minorHAnsi" w:cstheme="minorHAnsi"/>
          <w:color w:val="202124"/>
          <w:highlight w:val="white"/>
        </w:rPr>
      </w:pPr>
      <w:r w:rsidRPr="00B81BC9">
        <w:rPr>
          <w:rFonts w:asciiTheme="minorHAnsi" w:eastAsia="Times New Roman" w:hAnsiTheme="minorHAnsi" w:cstheme="minorHAnsi"/>
          <w:color w:val="202124"/>
          <w:highlight w:val="white"/>
        </w:rPr>
        <w:t>Não sei responder</w:t>
      </w:r>
    </w:p>
    <w:p w14:paraId="4C7E24B6" w14:textId="77777777" w:rsidR="005441A4" w:rsidRPr="005441A4" w:rsidRDefault="005441A4" w:rsidP="005441A4">
      <w:pPr>
        <w:rPr>
          <w:rFonts w:asciiTheme="minorHAnsi" w:hAnsiTheme="minorHAnsi" w:cstheme="minorHAnsi"/>
          <w:b/>
          <w:color w:val="202124"/>
          <w:shd w:val="clear" w:color="auto" w:fill="F8F9FA"/>
        </w:rPr>
      </w:pPr>
    </w:p>
    <w:sectPr w:rsidR="005441A4" w:rsidRPr="005441A4" w:rsidSect="000B588B">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BA986C" w14:textId="77777777" w:rsidR="000D0856" w:rsidRDefault="000D0856" w:rsidP="00B71C34">
      <w:r>
        <w:separator/>
      </w:r>
    </w:p>
  </w:endnote>
  <w:endnote w:type="continuationSeparator" w:id="0">
    <w:p w14:paraId="092252D8" w14:textId="77777777" w:rsidR="000D0856" w:rsidRDefault="000D0856" w:rsidP="00B71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77D8023-1C09-4028-85D7-76B87E3D260A}"/>
    <w:embedBold r:id="rId2" w:fontKey="{93AE5ECF-45DE-40E7-9C13-3C36AAFAB80D}"/>
    <w:embedItalic r:id="rId3" w:fontKey="{510B7F46-2CA9-4E25-8797-42EC799FBEB4}"/>
    <w:embedBoldItalic r:id="rId4" w:fontKey="{FD89C5D2-9B04-4FAF-AFD6-8405BC88773D}"/>
  </w:font>
  <w:font w:name="Verdana">
    <w:panose1 w:val="020B0604030504040204"/>
    <w:charset w:val="00"/>
    <w:family w:val="swiss"/>
    <w:pitch w:val="variable"/>
    <w:sig w:usb0="A00006FF" w:usb1="4000205B" w:usb2="00000010" w:usb3="00000000" w:csb0="0000019F" w:csb1="00000000"/>
    <w:embedBold r:id="rId5" w:fontKey="{E6A1FA55-306C-4DE6-9702-002B3F531D6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Light">
    <w:panose1 w:val="020B0502040204020203"/>
    <w:charset w:val="00"/>
    <w:family w:val="swiss"/>
    <w:pitch w:val="variable"/>
    <w:sig w:usb0="E4002EFF" w:usb1="C000E47F" w:usb2="00000009" w:usb3="00000000" w:csb0="000001FF" w:csb1="00000000"/>
    <w:embedRegular r:id="rId6" w:subsetted="1" w:fontKey="{CC6F7BFC-953D-4149-A57B-8461F3079D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455"/>
      <w:gridCol w:w="2455"/>
      <w:gridCol w:w="2455"/>
    </w:tblGrid>
    <w:tr w:rsidR="00820B46" w14:paraId="7D2257FF" w14:textId="77777777" w:rsidTr="52CE64E7">
      <w:trPr>
        <w:trHeight w:val="300"/>
      </w:trPr>
      <w:tc>
        <w:tcPr>
          <w:tcW w:w="2455" w:type="dxa"/>
        </w:tcPr>
        <w:p w14:paraId="51775D0B" w14:textId="77777777" w:rsidR="00820B46" w:rsidRDefault="00820B46" w:rsidP="52CE64E7">
          <w:pPr>
            <w:pStyle w:val="Cabealho"/>
            <w:ind w:left="-115"/>
          </w:pPr>
        </w:p>
      </w:tc>
      <w:tc>
        <w:tcPr>
          <w:tcW w:w="2455" w:type="dxa"/>
        </w:tcPr>
        <w:p w14:paraId="6B395CB0" w14:textId="77777777" w:rsidR="00820B46" w:rsidRDefault="00820B46" w:rsidP="52CE64E7">
          <w:pPr>
            <w:pStyle w:val="Cabealho"/>
            <w:jc w:val="center"/>
          </w:pPr>
        </w:p>
      </w:tc>
      <w:tc>
        <w:tcPr>
          <w:tcW w:w="2455" w:type="dxa"/>
        </w:tcPr>
        <w:p w14:paraId="12A5C925" w14:textId="77777777" w:rsidR="00820B46" w:rsidRDefault="00820B46" w:rsidP="52CE64E7">
          <w:pPr>
            <w:pStyle w:val="Cabealho"/>
            <w:ind w:right="-115"/>
            <w:jc w:val="right"/>
          </w:pPr>
        </w:p>
      </w:tc>
    </w:tr>
  </w:tbl>
  <w:p w14:paraId="2996BD63" w14:textId="77777777" w:rsidR="00820B46" w:rsidRDefault="00820B46" w:rsidP="52CE64E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24A29" w14:textId="07F83F9D" w:rsidR="00820B46" w:rsidRDefault="00820B46" w:rsidP="52CE64E7">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70003" w14:textId="77777777" w:rsidR="00820B46" w:rsidRPr="00D5465D" w:rsidRDefault="00820B46" w:rsidP="00D5465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992F5" w14:textId="77777777" w:rsidR="000D0856" w:rsidRDefault="000D0856" w:rsidP="00B71C34">
      <w:r>
        <w:separator/>
      </w:r>
    </w:p>
  </w:footnote>
  <w:footnote w:type="continuationSeparator" w:id="0">
    <w:p w14:paraId="0A8B90F6" w14:textId="77777777" w:rsidR="000D0856" w:rsidRDefault="000D0856" w:rsidP="00B71C34">
      <w:r>
        <w:continuationSeparator/>
      </w:r>
    </w:p>
  </w:footnote>
  <w:footnote w:id="1">
    <w:p w14:paraId="596D0355" w14:textId="77777777" w:rsidR="00820B46" w:rsidRPr="003503A3" w:rsidRDefault="00820B46" w:rsidP="001C6456">
      <w:pPr>
        <w:pStyle w:val="Textodenotaderodap"/>
        <w:contextualSpacing/>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BRASIL. </w:t>
      </w:r>
      <w:r w:rsidRPr="003503A3">
        <w:rPr>
          <w:rFonts w:ascii="Calibri" w:hAnsi="Calibri" w:cs="Calibri"/>
          <w:i/>
        </w:rPr>
        <w:t>Constituição (1988)</w:t>
      </w:r>
      <w:r w:rsidRPr="003503A3">
        <w:rPr>
          <w:rFonts w:ascii="Calibri" w:hAnsi="Calibri" w:cs="Calibri"/>
        </w:rPr>
        <w:t>. Constituição da República Federativa do Brasil. Brasília, DF: Senado Federal, 1988. Disponível em: &lt;http://www.planalto.gov.br/ccivil_03/constituicao/constituicao.htm&gt;. Acesso em: 1.º jul. 2025.</w:t>
      </w:r>
    </w:p>
  </w:footnote>
  <w:footnote w:id="2">
    <w:p w14:paraId="4625C77E" w14:textId="77777777" w:rsidR="00820B46" w:rsidRPr="003503A3" w:rsidRDefault="00820B46" w:rsidP="001C6456">
      <w:pPr>
        <w:pStyle w:val="Textodenotaderodap"/>
        <w:contextualSpacing/>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ORGANIZAÇÃO DAS NAÇÕES UNIDAS. </w:t>
      </w:r>
      <w:r w:rsidRPr="003503A3">
        <w:rPr>
          <w:rFonts w:ascii="Calibri" w:hAnsi="Calibri" w:cs="Calibri"/>
          <w:i/>
        </w:rPr>
        <w:t>Transformando nosso mundo</w:t>
      </w:r>
      <w:r w:rsidRPr="003503A3">
        <w:rPr>
          <w:rFonts w:ascii="Calibri" w:hAnsi="Calibri" w:cs="Calibri"/>
        </w:rPr>
        <w:t>: a Agenda 2030 para o desenvolvimento sustentável. Nova York: ONU, 2015. Disponível em: &lt;https://nacoesunidas.org/pos2015/agenda2030/&gt;. Acesso em: 1.º jul. 2025.</w:t>
      </w:r>
    </w:p>
  </w:footnote>
  <w:footnote w:id="3">
    <w:p w14:paraId="2BFEF598" w14:textId="3F95793F" w:rsidR="00820B46" w:rsidRPr="003503A3" w:rsidRDefault="00820B46" w:rsidP="001C6456">
      <w:pPr>
        <w:pStyle w:val="Textodenotaderodap"/>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ONU. Convenção sobre a Eliminação de Todas as Formas de Discriminação contra a Mulher (CEDAW). Nova Iorque: Assembleia Geral das Nações Unidas, 1979. Disponível em: https://www.ohchr.org/en/instruments-mechanisms/instruments/convention-elimination-all-forms-discrimination-against-women. Acesso em: 2 set. 2025.</w:t>
      </w:r>
    </w:p>
  </w:footnote>
  <w:footnote w:id="4">
    <w:p w14:paraId="32631107" w14:textId="77777777" w:rsidR="00820B46" w:rsidRPr="003503A3" w:rsidRDefault="00820B46" w:rsidP="001C6456">
      <w:pPr>
        <w:pStyle w:val="Textodenotaderodap"/>
        <w:jc w:val="both"/>
        <w:rPr>
          <w:rFonts w:ascii="Calibri" w:eastAsia="Times New Roman" w:hAnsi="Calibri" w:cs="Calibri"/>
        </w:rPr>
      </w:pPr>
      <w:r w:rsidRPr="003503A3">
        <w:rPr>
          <w:rStyle w:val="Refdenotaderodap"/>
          <w:rFonts w:ascii="Calibri" w:hAnsi="Calibri" w:cs="Calibri"/>
        </w:rPr>
        <w:footnoteRef/>
      </w:r>
      <w:r w:rsidRPr="003503A3">
        <w:rPr>
          <w:rFonts w:ascii="Calibri" w:hAnsi="Calibri" w:cs="Calibri"/>
        </w:rPr>
        <w:t xml:space="preserve"> Cf. </w:t>
      </w:r>
      <w:r w:rsidRPr="003503A3">
        <w:rPr>
          <w:rFonts w:ascii="Calibri" w:eastAsia="Times New Roman" w:hAnsi="Calibri" w:cs="Calibri"/>
        </w:rPr>
        <w:t xml:space="preserve">BAUTISTA, S.; CHUDNOVSKY, M.; STRAZZA, L.; MOSQUEIRA, E.; CASTAÑEDA, C. </w:t>
      </w:r>
      <w:r w:rsidRPr="003503A3">
        <w:rPr>
          <w:rFonts w:ascii="Calibri" w:eastAsia="Times New Roman" w:hAnsi="Calibri" w:cs="Calibri"/>
          <w:i/>
        </w:rPr>
        <w:t>Mulheres líderes no setor público da América Latina e do Caribe</w:t>
      </w:r>
      <w:r w:rsidRPr="003503A3">
        <w:rPr>
          <w:rFonts w:ascii="Calibri" w:eastAsia="Times New Roman" w:hAnsi="Calibri" w:cs="Calibri"/>
        </w:rPr>
        <w:t xml:space="preserve">: lacunas e oportunidades. Washington, DC: Banco Interamericano de Desenvolvimento, 2021. </w:t>
      </w:r>
    </w:p>
    <w:p w14:paraId="1D9114BC" w14:textId="77777777" w:rsidR="00820B46" w:rsidRPr="003503A3" w:rsidRDefault="00820B46" w:rsidP="001C6456">
      <w:pPr>
        <w:pStyle w:val="Textodenotaderodap"/>
        <w:jc w:val="both"/>
        <w:rPr>
          <w:rFonts w:ascii="Calibri" w:hAnsi="Calibri" w:cs="Calibri"/>
        </w:rPr>
      </w:pPr>
      <w:r w:rsidRPr="003503A3">
        <w:rPr>
          <w:rFonts w:ascii="Calibri" w:eastAsia="Times New Roman" w:hAnsi="Calibri" w:cs="Calibri"/>
        </w:rPr>
        <w:t>Disponível em: &lt;</w:t>
      </w:r>
      <w:hyperlink r:id="rId1">
        <w:r w:rsidRPr="003503A3">
          <w:rPr>
            <w:rFonts w:ascii="Calibri" w:eastAsia="Times New Roman" w:hAnsi="Calibri" w:cs="Calibri"/>
          </w:rPr>
          <w:t>https://publications.iadb.org/pt/publications/portuguese/viewer/Mulheres-lideres-no-setor-publico-da-America-Latina-e-do-Caribe-lacunas-e-opportunidades.pdf</w:t>
        </w:r>
      </w:hyperlink>
      <w:r w:rsidRPr="003503A3">
        <w:rPr>
          <w:rFonts w:ascii="Calibri" w:eastAsia="Times New Roman" w:hAnsi="Calibri" w:cs="Calibri"/>
        </w:rPr>
        <w:t xml:space="preserve">&gt;. Acesso em: 29 mai. 2025; e FERNANDEZ, M.; MARQUES, A. Liderança de mulheres na burocracia federal: dificuldades e desafios para ascensão. </w:t>
      </w:r>
      <w:r w:rsidRPr="003503A3">
        <w:rPr>
          <w:rFonts w:ascii="Calibri" w:eastAsia="Times New Roman" w:hAnsi="Calibri" w:cs="Calibri"/>
          <w:i/>
        </w:rPr>
        <w:t xml:space="preserve">Revista Campo de </w:t>
      </w:r>
      <w:r w:rsidRPr="003503A3">
        <w:rPr>
          <w:rFonts w:ascii="Calibri" w:hAnsi="Calibri" w:cs="Calibri"/>
        </w:rPr>
        <w:t>Públicas: conexões e experiências, Belo Horizonte, v. 3, n. 1, p. 57-83, jan./jun. 2024.</w:t>
      </w:r>
    </w:p>
  </w:footnote>
  <w:footnote w:id="5">
    <w:p w14:paraId="1B16FF37" w14:textId="77777777" w:rsidR="00820B46" w:rsidRPr="00503A92" w:rsidRDefault="00820B46" w:rsidP="003A393A">
      <w:pPr>
        <w:pStyle w:val="Textodenotaderodap"/>
        <w:rPr>
          <w:rFonts w:asciiTheme="minorHAnsi" w:hAnsiTheme="minorHAnsi" w:cstheme="minorHAnsi"/>
        </w:rPr>
      </w:pPr>
      <w:r w:rsidRPr="00503A92">
        <w:rPr>
          <w:rFonts w:asciiTheme="minorHAnsi" w:hAnsiTheme="minorHAnsi" w:cstheme="minorHAnsi"/>
        </w:rPr>
        <w:footnoteRef/>
      </w:r>
      <w:r w:rsidRPr="00503A92">
        <w:rPr>
          <w:rFonts w:asciiTheme="minorHAnsi" w:hAnsiTheme="minorHAnsi" w:cstheme="minorHAnsi"/>
        </w:rPr>
        <w:t xml:space="preserve"> BRASIL. Conselho Nacional de Justiça. Resolução nº 255, de 4 de setembro de 2018. Institui a Política Nacional de Incentivo à Participação Institucional Feminina no Poder Judiciário. Diário de Justiça eletrônico: CNJ, Brasília, DF, 5 set. 2018. Disponível em: https://atos.cnj.jus.br/atos/detalhar/atos-normativos?documento=2622. Acesso em: 2 set. 2025.</w:t>
      </w:r>
    </w:p>
  </w:footnote>
  <w:footnote w:id="6">
    <w:p w14:paraId="27634B4D" w14:textId="77777777" w:rsidR="00820B46" w:rsidRDefault="00820B46" w:rsidP="003A393A">
      <w:pPr>
        <w:pStyle w:val="Textodenotaderodap"/>
        <w:jc w:val="both"/>
      </w:pPr>
      <w:r w:rsidRPr="00503A92">
        <w:rPr>
          <w:rFonts w:asciiTheme="minorHAnsi" w:hAnsiTheme="minorHAnsi" w:cstheme="minorHAnsi"/>
        </w:rPr>
        <w:footnoteRef/>
      </w:r>
      <w:r w:rsidRPr="00503A92">
        <w:rPr>
          <w:rFonts w:asciiTheme="minorHAnsi" w:hAnsiTheme="minorHAnsi" w:cstheme="minorHAnsi"/>
        </w:rPr>
        <w:t xml:space="preserve"> </w:t>
      </w:r>
      <w:r w:rsidRPr="00140915">
        <w:rPr>
          <w:rFonts w:asciiTheme="minorHAnsi" w:hAnsiTheme="minorHAnsi" w:cstheme="minorHAnsi"/>
        </w:rPr>
        <w:t>BRASIL. Conselho Nacional de Justiça. Resolução nº 492, de 17 de março de 2023. Institui a Política Nacional de Equidade de Gênero, Diversidade e Inclusão no âmbito do Poder Judiciário. Diário de Justiça eletrônico: CNJ, Brasília, DF, 21 mar. 2023. Disponível em:</w:t>
      </w:r>
      <w:r w:rsidRPr="00140915">
        <w:rPr>
          <w:rFonts w:asciiTheme="minorHAnsi" w:eastAsia="Times New Roman" w:hAnsiTheme="minorHAnsi" w:cstheme="minorHAnsi"/>
        </w:rPr>
        <w:t xml:space="preserve"> https://atos.cnj.jus.br/atos/detalhar/atos-normativos?documento=7119. Acesso em: 2 set. 2025.</w:t>
      </w:r>
    </w:p>
  </w:footnote>
  <w:footnote w:id="7">
    <w:p w14:paraId="7175065F" w14:textId="77777777" w:rsidR="00820B46" w:rsidRPr="003A393A" w:rsidRDefault="00820B46" w:rsidP="003A393A">
      <w:pPr>
        <w:pStyle w:val="Textodenotaderodap"/>
        <w:jc w:val="both"/>
        <w:rPr>
          <w:rFonts w:ascii="Calibri" w:hAnsi="Calibri" w:cs="Calibri"/>
        </w:rPr>
      </w:pPr>
      <w:r w:rsidRPr="003A393A">
        <w:rPr>
          <w:rStyle w:val="Refdenotaderodap"/>
          <w:rFonts w:ascii="Calibri" w:hAnsi="Calibri" w:cs="Calibri"/>
        </w:rPr>
        <w:footnoteRef/>
      </w:r>
      <w:r w:rsidRPr="003A393A">
        <w:rPr>
          <w:rFonts w:ascii="Calibri" w:hAnsi="Calibri" w:cs="Calibri"/>
        </w:rPr>
        <w:t xml:space="preserve"> BRASIL. Conselho Nacional de Justiça. Resolução nº 524, de 26 de setembro de 2023. Altera a Resolução CNJ n. 106/2010, para instituir ação afirmativa de gênero no acesso de magistradas aos Tribunais de 2º grau. Diário de Justiça eletrônico: CNJ, Brasília, DF, 21 mar. 2023.. Disponível em: </w:t>
      </w:r>
      <w:hyperlink r:id="rId2" w:tgtFrame="_blank" w:history="1">
        <w:r w:rsidRPr="003A393A">
          <w:rPr>
            <w:rStyle w:val="Hyperlink"/>
            <w:rFonts w:ascii="Calibri" w:hAnsi="Calibri" w:cs="Calibri"/>
          </w:rPr>
          <w:t>https://atos.cnj.jus.br/files/original14494220230928651592864d36d.pdf</w:t>
        </w:r>
      </w:hyperlink>
      <w:r w:rsidRPr="003A393A">
        <w:rPr>
          <w:rFonts w:ascii="Calibri" w:hAnsi="Calibri" w:cs="Calibri"/>
        </w:rPr>
        <w:t>. Acesso em: 11 set. 2025.</w:t>
      </w:r>
    </w:p>
  </w:footnote>
  <w:footnote w:id="8">
    <w:p w14:paraId="654DBC6E" w14:textId="77777777" w:rsidR="00820B46" w:rsidRDefault="00820B46" w:rsidP="003A393A">
      <w:pPr>
        <w:pStyle w:val="Textodenotaderodap"/>
        <w:jc w:val="both"/>
      </w:pPr>
      <w:r w:rsidRPr="003A393A">
        <w:rPr>
          <w:rStyle w:val="Refdenotaderodap"/>
          <w:rFonts w:ascii="Calibri" w:hAnsi="Calibri" w:cs="Calibri"/>
        </w:rPr>
        <w:footnoteRef/>
      </w:r>
      <w:r w:rsidRPr="003A393A">
        <w:rPr>
          <w:rFonts w:ascii="Calibri" w:hAnsi="Calibri" w:cs="Calibri"/>
        </w:rPr>
        <w:t xml:space="preserve"> BRASIL. Tribunal Superior do Trabalho; Conselho Superior da Justiça do Trabalho. Ato Conjunto nº 42, de 25 de junho de 2024. Institui o Programa de Incentivo à Participação Feminina na Justiça do Trabalho. </w:t>
      </w:r>
      <w:r w:rsidRPr="003A393A">
        <w:rPr>
          <w:rFonts w:ascii="Calibri" w:hAnsi="Calibri" w:cs="Calibri"/>
          <w:b/>
          <w:bCs/>
        </w:rPr>
        <w:t>Diário Eletrônico da Justiça do Trabalho</w:t>
      </w:r>
      <w:r w:rsidRPr="003A393A">
        <w:rPr>
          <w:rFonts w:ascii="Calibri" w:hAnsi="Calibri" w:cs="Calibri"/>
        </w:rPr>
        <w:t xml:space="preserve">, Caderno Judiciário do Tribunal Superior do Trabalho, Brasília, DF, n. 3998, p. 1-4, 26 jun. 2024. Disponível em: </w:t>
      </w:r>
      <w:hyperlink r:id="rId3" w:tgtFrame="_blank" w:history="1">
        <w:r w:rsidRPr="003A393A">
          <w:rPr>
            <w:rStyle w:val="Hyperlink"/>
            <w:rFonts w:ascii="Calibri" w:hAnsi="Calibri" w:cs="Calibri"/>
          </w:rPr>
          <w:t>https://juslaboris.tst.jus.br/bitstream/handle/20.500.12178/234775/2024_atc0042_tst_csjt.pdf?sequence=1&amp;isAllowed=y</w:t>
        </w:r>
      </w:hyperlink>
      <w:r w:rsidRPr="003A393A">
        <w:rPr>
          <w:rFonts w:ascii="Calibri" w:hAnsi="Calibri" w:cs="Calibri"/>
        </w:rPr>
        <w:t>. Acesso em: 11 set. 2025.</w:t>
      </w:r>
    </w:p>
  </w:footnote>
  <w:footnote w:id="9">
    <w:p w14:paraId="0FDD7900"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CONSELHO NACIONAL DE JUSTIÇA. </w:t>
      </w:r>
      <w:r w:rsidRPr="003503A3">
        <w:rPr>
          <w:rFonts w:ascii="Calibri" w:hAnsi="Calibri" w:cs="Calibri"/>
          <w:i/>
          <w:sz w:val="20"/>
          <w:szCs w:val="20"/>
        </w:rPr>
        <w:t>Painel de Dados de Pessoal do Poder Judiciário – Módulo de Pessoal e Estrutura Judiciária Mensal do Poder Judiciário</w:t>
      </w:r>
      <w:r w:rsidRPr="003503A3">
        <w:rPr>
          <w:rFonts w:ascii="Calibri" w:hAnsi="Calibri" w:cs="Calibri"/>
          <w:sz w:val="20"/>
          <w:szCs w:val="20"/>
        </w:rPr>
        <w:t xml:space="preserve"> (MPM). Brasília, DF: CNJ, 2025. Disponível em: &lt;https://justica-em-numeros.cnj.jus.br/painel-estatisticas/&gt;. Acesso em: 18 jun. 2025.</w:t>
      </w:r>
    </w:p>
  </w:footnote>
  <w:footnote w:id="10">
    <w:p w14:paraId="61D525F2" w14:textId="77777777" w:rsidR="00820B46" w:rsidRPr="003503A3" w:rsidRDefault="00820B46" w:rsidP="001C6456">
      <w:pPr>
        <w:pStyle w:val="Textodenotaderodap"/>
        <w:contextualSpacing/>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Times New Roman" w:hAnsi="Calibri" w:cs="Calibri"/>
        </w:rPr>
        <w:t xml:space="preserve">INSTITUTO BRASILEIRO DE GEOGRAFIA E ESTATÍSTICA (IBGE). </w:t>
      </w:r>
      <w:r w:rsidRPr="003503A3">
        <w:rPr>
          <w:rFonts w:ascii="Calibri" w:eastAsia="Times New Roman" w:hAnsi="Calibri" w:cs="Calibri"/>
          <w:i/>
        </w:rPr>
        <w:t>Censo Demográfico 2022</w:t>
      </w:r>
      <w:r w:rsidRPr="003503A3">
        <w:rPr>
          <w:rFonts w:ascii="Calibri" w:eastAsia="Times New Roman" w:hAnsi="Calibri" w:cs="Calibri"/>
        </w:rPr>
        <w:t xml:space="preserve">: panorama. Disponível em: </w:t>
      </w:r>
      <w:hyperlink r:id="rId4">
        <w:r w:rsidRPr="003503A3">
          <w:rPr>
            <w:rFonts w:ascii="Calibri" w:eastAsia="Times New Roman" w:hAnsi="Calibri" w:cs="Calibri"/>
          </w:rPr>
          <w:t xml:space="preserve"> </w:t>
        </w:r>
      </w:hyperlink>
      <w:r w:rsidRPr="003503A3">
        <w:rPr>
          <w:rFonts w:ascii="Calibri" w:eastAsia="Times New Roman" w:hAnsi="Calibri" w:cs="Calibri"/>
        </w:rPr>
        <w:t>&lt;</w:t>
      </w:r>
      <w:hyperlink r:id="rId5">
        <w:r w:rsidRPr="003503A3">
          <w:rPr>
            <w:rFonts w:ascii="Calibri" w:eastAsia="Times New Roman" w:hAnsi="Calibri" w:cs="Calibri"/>
          </w:rPr>
          <w:t>https://censo2022.ibge.gov.br/panorama/</w:t>
        </w:r>
      </w:hyperlink>
      <w:r w:rsidRPr="003503A3">
        <w:rPr>
          <w:rFonts w:ascii="Calibri" w:eastAsia="Times New Roman" w:hAnsi="Calibri" w:cs="Calibri"/>
        </w:rPr>
        <w:t>&gt;. Acesso em: 2 jun. 2025.</w:t>
      </w:r>
    </w:p>
  </w:footnote>
  <w:footnote w:id="11">
    <w:p w14:paraId="4012A5DD" w14:textId="18173016" w:rsidR="00820B46" w:rsidRPr="003503A3" w:rsidRDefault="00820B46" w:rsidP="001C6456">
      <w:pPr>
        <w:pStyle w:val="Textodenotaderodap"/>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Times New Roman" w:hAnsi="Calibri" w:cs="Calibri"/>
        </w:rPr>
        <w:t>O Painel de Dados de Pessoal do Poder Judiciário apresenta separadamente os dados dos tribunais superiores e conselhos superiores em relação aos tribunais de segundo grau. Por esse motivo, os quantitativos do TST, CSJT e TRTs no Painel foram consolidados para fins de cálculo e análise neste relatório.</w:t>
      </w:r>
    </w:p>
  </w:footnote>
  <w:footnote w:id="12">
    <w:p w14:paraId="3848B5CC" w14:textId="754F37FF" w:rsidR="00820B46" w:rsidRPr="003503A3" w:rsidRDefault="00820B46" w:rsidP="001C6456">
      <w:pPr>
        <w:pStyle w:val="Textodenotaderodap"/>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Times New Roman" w:hAnsi="Calibri" w:cs="Calibri"/>
        </w:rPr>
        <w:t>CONSELHO NACIONAL DE JUSTIÇA, op. cit..</w:t>
      </w:r>
    </w:p>
  </w:footnote>
  <w:footnote w:id="13">
    <w:p w14:paraId="33985C5D" w14:textId="77777777" w:rsidR="00820B46" w:rsidRPr="003503A3" w:rsidRDefault="00820B46" w:rsidP="008D745C">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Cabe esclarecer que os períodos de referência das informações aqui apresentadas diferem em razão das fontes e das finalidades específicas de cada conjunto de dados. Os dados gerais sobre o Poder Judiciário, que constam no Painel de Dados de Pessoal do CNJ e foram utilizados para fins comparativos nesta introdução, referem-se ao mês de junho de 2025, por ser o período disponível no Painel do CNJ no momento da redação deste relatório. Ressalta-se que o Painel não permite a extração de informações retroativas a meses anteriores. Já os dados referentes ao TST e ao CSJT dizem respeito ao mês de abril de 2025, correspondente ao período de coleta de dados junto à Coordenadoria de Informações Funcionais do TST. </w:t>
      </w:r>
    </w:p>
  </w:footnote>
  <w:footnote w:id="14">
    <w:p w14:paraId="1BC715FE" w14:textId="77777777" w:rsidR="00820B46" w:rsidRPr="003503A3" w:rsidRDefault="00820B46" w:rsidP="008D745C">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CONSELHO NACIONAL DE JUSTIÇA. </w:t>
      </w:r>
      <w:r w:rsidRPr="003503A3">
        <w:rPr>
          <w:rFonts w:ascii="Calibri" w:hAnsi="Calibri" w:cs="Calibri"/>
          <w:i/>
        </w:rPr>
        <w:t>Resolução nº 255</w:t>
      </w:r>
      <w:r w:rsidRPr="003503A3">
        <w:rPr>
          <w:rFonts w:ascii="Calibri" w:hAnsi="Calibri" w:cs="Calibri"/>
        </w:rPr>
        <w:t>, de 4 de setembro de 2018. Institui a Política Nacional de Incentivo à Participação Institucional Feminina no Poder Judiciário. Brasília, DF: CNJ, 2018. Disponível em: &lt;https://atos.cnj.jus.br/files/compilado15500920230320641880b10dcff.pdf&gt;. Acesso em: 1.º jul. 2025.</w:t>
      </w:r>
    </w:p>
  </w:footnote>
  <w:footnote w:id="15">
    <w:p w14:paraId="464EE5D1" w14:textId="77777777" w:rsidR="00820B46" w:rsidRDefault="00820B46" w:rsidP="008D745C">
      <w:pPr>
        <w:pStyle w:val="Textodenotaderodap"/>
        <w:jc w:val="both"/>
      </w:pPr>
      <w:r w:rsidRPr="003A393A">
        <w:rPr>
          <w:rStyle w:val="Refdenotaderodap"/>
          <w:rFonts w:ascii="Calibri" w:hAnsi="Calibri" w:cs="Calibri"/>
        </w:rPr>
        <w:footnoteRef/>
      </w:r>
      <w:r w:rsidRPr="003A393A">
        <w:rPr>
          <w:rFonts w:ascii="Calibri" w:hAnsi="Calibri" w:cs="Calibri"/>
        </w:rPr>
        <w:t xml:space="preserve"> BRASIL. Tribunal Superior do Trabalho; Conselho Superior da Justiça do Trabalho. Ato Conjunto nº 42, de 25 de junho de 2024. Institui o Programa de Incentivo à Participação Feminina na Justiça do Trabalho. </w:t>
      </w:r>
      <w:r w:rsidRPr="003A393A">
        <w:rPr>
          <w:rFonts w:ascii="Calibri" w:hAnsi="Calibri" w:cs="Calibri"/>
          <w:b/>
          <w:bCs/>
        </w:rPr>
        <w:t>Diário Eletrônico da Justiça do Trabalho</w:t>
      </w:r>
      <w:r w:rsidRPr="003A393A">
        <w:rPr>
          <w:rFonts w:ascii="Calibri" w:hAnsi="Calibri" w:cs="Calibri"/>
        </w:rPr>
        <w:t xml:space="preserve">, Caderno Judiciário do Tribunal Superior do Trabalho, Brasília, DF, n. 3998, p. 1-4, 26 jun. 2024. Disponível em: </w:t>
      </w:r>
      <w:hyperlink r:id="rId6" w:tgtFrame="_blank" w:history="1">
        <w:r w:rsidRPr="003A393A">
          <w:rPr>
            <w:rStyle w:val="Hyperlink"/>
            <w:rFonts w:ascii="Calibri" w:hAnsi="Calibri" w:cs="Calibri"/>
          </w:rPr>
          <w:t>https://juslaboris.tst.jus.br/bitstream/handle/20.500.12178/234775/2024_atc0042_tst_csjt.pdf?sequence=1&amp;isAllowed=y</w:t>
        </w:r>
      </w:hyperlink>
      <w:r w:rsidRPr="003A393A">
        <w:rPr>
          <w:rFonts w:ascii="Calibri" w:hAnsi="Calibri" w:cs="Calibri"/>
        </w:rPr>
        <w:t>. Acesso em: 11 set. 2025.</w:t>
      </w:r>
    </w:p>
  </w:footnote>
  <w:footnote w:id="16">
    <w:p w14:paraId="1BA98F88"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O questionário apresentou uma inconsistência na apresentação das opções de resposta</w:t>
      </w:r>
      <w:r w:rsidRPr="003503A3">
        <w:rPr>
          <w:rFonts w:ascii="Calibri" w:hAnsi="Calibri" w:cs="Calibri"/>
          <w:color w:val="374151"/>
          <w:sz w:val="20"/>
          <w:szCs w:val="20"/>
        </w:rPr>
        <w:t xml:space="preserve"> </w:t>
      </w:r>
      <w:r w:rsidRPr="003503A3">
        <w:rPr>
          <w:rFonts w:ascii="Calibri" w:hAnsi="Calibri" w:cs="Calibri"/>
          <w:sz w:val="20"/>
          <w:szCs w:val="20"/>
        </w:rPr>
        <w:t xml:space="preserve">da questão 2 (“Qual cargo ou função você ocupa no TST e/ou no CSJT?”). As categorias “Servidor(a) comissionado(a) não concursado” e “Estagiário(a)”, bem como as categorias “Terceirizado(a) ou contratado(a)” e “Voluntário” foram agrupadas indevidamente em opções únicas. Essa fusão impediu a quantificação individual de cada uma dessas categorias, comprometendo a análise completa dos dados referentes a esta questão, bem como o cruzamento de respostas com o cargo ou função ocupada pelos respondentes. </w:t>
      </w:r>
    </w:p>
  </w:footnote>
  <w:footnote w:id="17">
    <w:p w14:paraId="52F40303"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Na elaboração do formulário, um erro de digitação fez com que essas duas categorias, bastante distintas, fossem apresentadas em um mesmo ícone para preenchimento, o que impossibilita identificar, entre os 11 respondentes, se se tratam de estagiários/as ou de servidores/as comissionados/as sem vínculo.</w:t>
      </w:r>
    </w:p>
  </w:footnote>
  <w:footnote w:id="18">
    <w:p w14:paraId="1E5C68F4" w14:textId="77777777" w:rsidR="00820B46" w:rsidRPr="003503A3" w:rsidRDefault="00820B46" w:rsidP="009D272C">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Cf. CARLOMAGNO, M. C. Conduzindo pesquisas com questionários online: uma introdução às questões metodológicas. In: SILVA, T.; BUCKSTEGGE, J.; ROGEDO, P. (Orgs.). Estudando cultura e comunicação com mídias sociais. Brasília: IBPAD, 2018; e  NIKOLOPOULOU, K. What is self-selection bias? | Definition &amp; example. Scribbr, 2023. Disponível em: &lt;https://www.scribbr.com/research-bias/self-selection-bias/&gt;. Acesso em: 12 mai. 2025.</w:t>
      </w:r>
    </w:p>
  </w:footnote>
  <w:footnote w:id="19">
    <w:p w14:paraId="7A39BCA3" w14:textId="77777777" w:rsidR="00820B46" w:rsidRPr="003503A3" w:rsidRDefault="00820B46" w:rsidP="009D272C">
      <w:pPr>
        <w:rPr>
          <w:rFonts w:ascii="Calibri" w:hAnsi="Calibri" w:cs="Calibri"/>
          <w:sz w:val="20"/>
          <w:szCs w:val="20"/>
        </w:rPr>
      </w:pPr>
      <w:r w:rsidRPr="003503A3">
        <w:rPr>
          <w:rStyle w:val="Refdenotaderodap"/>
          <w:rFonts w:ascii="Calibri" w:hAnsi="Calibri" w:cs="Calibri"/>
          <w:sz w:val="20"/>
          <w:szCs w:val="20"/>
        </w:rPr>
        <w:footnoteRef/>
      </w:r>
      <w:r w:rsidRPr="003503A3">
        <w:rPr>
          <w:rFonts w:ascii="Calibri" w:hAnsi="Calibri" w:cs="Calibri"/>
          <w:sz w:val="20"/>
          <w:szCs w:val="20"/>
        </w:rPr>
        <w:t xml:space="preserve"> Cf. BURLE, F. R; TURGEON, M. Ação afirmativa e desejabilidade social. </w:t>
      </w:r>
      <w:r w:rsidRPr="003503A3">
        <w:rPr>
          <w:rFonts w:ascii="Calibri" w:hAnsi="Calibri" w:cs="Calibri"/>
          <w:i/>
          <w:sz w:val="20"/>
          <w:szCs w:val="20"/>
        </w:rPr>
        <w:t>Opinião Pública</w:t>
      </w:r>
      <w:r w:rsidRPr="003503A3">
        <w:rPr>
          <w:rFonts w:ascii="Calibri" w:hAnsi="Calibri" w:cs="Calibri"/>
          <w:sz w:val="20"/>
          <w:szCs w:val="20"/>
        </w:rPr>
        <w:t xml:space="preserve">, Campinas, v. 26, n. 2, p. 283-322, 2020; NEDERHOF, A. J. Methods of coping with social desirability bias: a review. </w:t>
      </w:r>
      <w:r w:rsidRPr="003503A3">
        <w:rPr>
          <w:rFonts w:ascii="Calibri" w:hAnsi="Calibri" w:cs="Calibri"/>
          <w:i/>
          <w:sz w:val="20"/>
          <w:szCs w:val="20"/>
        </w:rPr>
        <w:t>European</w:t>
      </w:r>
      <w:r w:rsidRPr="003503A3">
        <w:rPr>
          <w:rFonts w:ascii="Calibri" w:hAnsi="Calibri" w:cs="Calibri"/>
          <w:b/>
          <w:sz w:val="20"/>
          <w:szCs w:val="20"/>
        </w:rPr>
        <w:t xml:space="preserve"> </w:t>
      </w:r>
      <w:r w:rsidRPr="003503A3">
        <w:rPr>
          <w:rFonts w:ascii="Calibri" w:hAnsi="Calibri" w:cs="Calibri"/>
          <w:i/>
          <w:sz w:val="20"/>
          <w:szCs w:val="20"/>
        </w:rPr>
        <w:t>Journal of Social Psychology</w:t>
      </w:r>
      <w:r w:rsidRPr="003503A3">
        <w:rPr>
          <w:rFonts w:ascii="Calibri" w:hAnsi="Calibri" w:cs="Calibri"/>
          <w:b/>
          <w:sz w:val="20"/>
          <w:szCs w:val="20"/>
        </w:rPr>
        <w:t>,</w:t>
      </w:r>
      <w:r w:rsidRPr="003503A3">
        <w:rPr>
          <w:rFonts w:ascii="Calibri" w:hAnsi="Calibri" w:cs="Calibri"/>
          <w:sz w:val="20"/>
          <w:szCs w:val="20"/>
        </w:rPr>
        <w:t xml:space="preserve"> v. 15, p. 263-280, 1985; e BISPO JÚNIOR, J. P. Viés de desejabilidade social na pesquisa qualitativa em saúde. </w:t>
      </w:r>
      <w:r w:rsidRPr="003503A3">
        <w:rPr>
          <w:rFonts w:ascii="Calibri" w:hAnsi="Calibri" w:cs="Calibri"/>
          <w:i/>
          <w:sz w:val="20"/>
          <w:szCs w:val="20"/>
        </w:rPr>
        <w:t>Revista de Saúde Pública</w:t>
      </w:r>
      <w:r w:rsidRPr="003503A3">
        <w:rPr>
          <w:rFonts w:ascii="Calibri" w:hAnsi="Calibri" w:cs="Calibri"/>
          <w:sz w:val="20"/>
          <w:szCs w:val="20"/>
        </w:rPr>
        <w:t>, 2022, v. 56, e 101.</w:t>
      </w:r>
    </w:p>
  </w:footnote>
  <w:footnote w:id="20">
    <w:p w14:paraId="5BFF95D5" w14:textId="77777777" w:rsidR="00820B46" w:rsidRPr="003503A3" w:rsidRDefault="00820B46" w:rsidP="001C6456">
      <w:pPr>
        <w:jc w:val="both"/>
        <w:rPr>
          <w:rFonts w:ascii="Calibri" w:hAnsi="Calibri" w:cs="Calibri"/>
          <w:sz w:val="20"/>
          <w:szCs w:val="20"/>
        </w:rPr>
      </w:pPr>
      <w:r w:rsidRPr="003503A3">
        <w:rPr>
          <w:rStyle w:val="Refdenotaderodap"/>
          <w:rFonts w:ascii="Calibri" w:hAnsi="Calibri" w:cs="Calibri"/>
          <w:sz w:val="20"/>
          <w:szCs w:val="20"/>
        </w:rPr>
        <w:footnoteRef/>
      </w:r>
      <w:r w:rsidRPr="003503A3">
        <w:rPr>
          <w:rFonts w:ascii="Calibri" w:hAnsi="Calibri" w:cs="Calibri"/>
          <w:sz w:val="20"/>
          <w:szCs w:val="20"/>
        </w:rPr>
        <w:t xml:space="preserve"> BRASIL. Conselho Nacional de Justiça (CNJ). </w:t>
      </w:r>
      <w:r w:rsidRPr="003503A3">
        <w:rPr>
          <w:rFonts w:ascii="Calibri" w:hAnsi="Calibri" w:cs="Calibri"/>
          <w:bCs/>
          <w:i/>
          <w:iCs/>
          <w:sz w:val="20"/>
          <w:szCs w:val="20"/>
        </w:rPr>
        <w:t xml:space="preserve">Pesquisa sobre percepção e avaliação do Poder Judiciário brasileiro. </w:t>
      </w:r>
      <w:r w:rsidRPr="003503A3">
        <w:rPr>
          <w:rFonts w:ascii="Calibri" w:hAnsi="Calibri" w:cs="Calibri"/>
          <w:sz w:val="20"/>
          <w:szCs w:val="20"/>
        </w:rPr>
        <w:t xml:space="preserve">Brasília: CNJ, 2023. Disponível em: </w:t>
      </w:r>
    </w:p>
    <w:p w14:paraId="7723FD4B"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rPr>
        <w:t>&lt;</w:t>
      </w:r>
      <w:hyperlink r:id="rId7">
        <w:r w:rsidRPr="003503A3">
          <w:rPr>
            <w:rFonts w:ascii="Calibri" w:hAnsi="Calibri" w:cs="Calibri"/>
            <w:sz w:val="20"/>
            <w:szCs w:val="20"/>
          </w:rPr>
          <w:t>https://www.cnj.jus.br/wp-content/uploads/2023/04/relatorio-pesquisa-percepcao-e-avaliacao-do-pjb.pdf</w:t>
        </w:r>
      </w:hyperlink>
      <w:r w:rsidRPr="003503A3">
        <w:rPr>
          <w:rFonts w:ascii="Calibri" w:hAnsi="Calibri" w:cs="Calibri"/>
          <w:sz w:val="20"/>
          <w:szCs w:val="20"/>
        </w:rPr>
        <w:t>&gt;. Acesso em: 08 mai. 2025.</w:t>
      </w:r>
    </w:p>
  </w:footnote>
  <w:footnote w:id="21">
    <w:p w14:paraId="3AB91C2F" w14:textId="77777777" w:rsidR="00820B46" w:rsidRPr="003503A3" w:rsidRDefault="00820B46" w:rsidP="002D1C84">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Times New Roman" w:hAnsi="Calibri" w:cs="Calibri"/>
        </w:rPr>
        <w:t xml:space="preserve">SCOTT, J. W. Gender: a useful category of historical analysis. </w:t>
      </w:r>
      <w:r w:rsidRPr="003503A3">
        <w:rPr>
          <w:rFonts w:ascii="Calibri" w:eastAsia="Times New Roman" w:hAnsi="Calibri" w:cs="Calibri"/>
          <w:i/>
        </w:rPr>
        <w:t>The American Historical Review</w:t>
      </w:r>
      <w:r w:rsidRPr="003503A3">
        <w:rPr>
          <w:rFonts w:ascii="Calibri" w:eastAsia="Times New Roman" w:hAnsi="Calibri" w:cs="Calibri"/>
        </w:rPr>
        <w:t>, v. 91, n. 5, p. 1053-1075, 1986.</w:t>
      </w:r>
    </w:p>
  </w:footnote>
  <w:footnote w:id="22">
    <w:p w14:paraId="6A7B0D50" w14:textId="5CFC95D4"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A questão sobre gênero do instrumento de pesquisa oferecia a opção 'Prefiro não informar'. Para garantir a precisão das análises que envolvem perspectiva de gênero, o único respondente que escolheu essa opção teve suas respostas consideradas na análise geral, mas não nas análises específicas de gênero. </w:t>
      </w:r>
    </w:p>
  </w:footnote>
  <w:footnote w:id="23">
    <w:p w14:paraId="0DBAB8E4" w14:textId="5B9A1C28"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O termo “interseccionalidade”, cunhado em 1989 pela jurista estadunidense Kimberlé Crenshaw, revela que categorias como raça, classe, gênero e orientação sexual não devem ser analisadas isoladamente, mas sim compreendidas por suas imbricações e a forma como se cruzam. Nessa perspectiva, a realidade social é constituída por diversos sistemas de discriminação que interagem entre si de maneiras distintas, conformando múltiplas dimensões da experiência (Pereira, 2021; Pinheiro, 2023).</w:t>
      </w:r>
    </w:p>
  </w:footnote>
  <w:footnote w:id="24">
    <w:p w14:paraId="375221F7" w14:textId="5D677EA2" w:rsidR="00820B46" w:rsidRPr="003503A3" w:rsidRDefault="00820B46" w:rsidP="001C6456">
      <w:pPr>
        <w:pStyle w:val="Textodenotaderodap"/>
        <w:jc w:val="both"/>
        <w:rPr>
          <w:rFonts w:ascii="Calibri" w:eastAsia="Times New Roman" w:hAnsi="Calibri" w:cs="Calibri"/>
        </w:rPr>
      </w:pPr>
      <w:r w:rsidRPr="007C5574">
        <w:rPr>
          <w:rStyle w:val="Refdenotaderodap"/>
          <w:rFonts w:ascii="Calibri" w:hAnsi="Calibri" w:cs="Calibri"/>
        </w:rPr>
        <w:footnoteRef/>
      </w:r>
      <w:r w:rsidRPr="007C5574">
        <w:rPr>
          <w:rFonts w:ascii="Calibri" w:hAnsi="Calibri" w:cs="Calibri"/>
        </w:rPr>
        <w:t xml:space="preserve"> </w:t>
      </w:r>
      <w:r w:rsidRPr="007C5574">
        <w:rPr>
          <w:rFonts w:ascii="Calibri" w:eastAsia="Times New Roman" w:hAnsi="Calibri" w:cs="Calibri"/>
        </w:rPr>
        <w:t>A roda de conversa constitui uma metodologia participativa amplamente utilizada em pesquisas qualitativas, em processos formativos e em práticas de intervenção social. Seu formato circular busca romper hierarquias entre os participantes, criando um espaço horizontal de diálogo em que todos têm a oportunidade de se expressar, compartilhar experiências e construir coletivamente sentidos sobre determinado tema. A dinâmica valoriza a escuta ativa, o respeito às falas e a interação entre diferentes pontos de vista, possibilitando tanto a produção de conhecimento quanto o fortalecimento de vínculos e da confiança mútua. Por ser uma estratégia flexível, pode ser aplicada em diferentes contextos — escolares, comunitários, organizacionais ou institucionais —, favorecendo a reflexão crítica, o protagonismo dos sujeitos e a construção conjunta de soluções ou encaminhamentos. Moura, A. F., &amp; Lima, M. A. (2014). A reinvenção da roda: Roda de conversa, um instrumento metodológico possível. Revista Temas em Educação, 23(1), 98-106.</w:t>
      </w:r>
    </w:p>
  </w:footnote>
  <w:footnote w:id="25">
    <w:p w14:paraId="12CA592F" w14:textId="525BC7B1" w:rsidR="00820B46" w:rsidRPr="003503A3" w:rsidRDefault="00820B46" w:rsidP="001C6456">
      <w:pPr>
        <w:pStyle w:val="Textodenotaderodap"/>
        <w:jc w:val="both"/>
        <w:rPr>
          <w:rFonts w:ascii="Calibri" w:hAnsi="Calibri" w:cs="Calibri"/>
        </w:rPr>
      </w:pPr>
      <w:r w:rsidRPr="007C5574">
        <w:rPr>
          <w:rStyle w:val="Refdenotaderodap"/>
          <w:rFonts w:ascii="Calibri" w:hAnsi="Calibri" w:cs="Calibri"/>
        </w:rPr>
        <w:footnoteRef/>
      </w:r>
      <w:r w:rsidRPr="007C5574">
        <w:rPr>
          <w:rFonts w:ascii="Calibri" w:hAnsi="Calibri" w:cs="Calibri"/>
        </w:rPr>
        <w:t xml:space="preserve"> </w:t>
      </w:r>
      <w:r w:rsidRPr="007C5574">
        <w:rPr>
          <w:rFonts w:ascii="Calibri" w:eastAsia="Times New Roman" w:hAnsi="Calibri" w:cs="Calibri"/>
        </w:rPr>
        <w:t xml:space="preserve">A metodologia </w:t>
      </w:r>
      <w:r w:rsidRPr="007C5574">
        <w:rPr>
          <w:rFonts w:ascii="Calibri" w:eastAsia="Times New Roman" w:hAnsi="Calibri" w:cs="Calibri"/>
          <w:i/>
          <w:iCs/>
        </w:rPr>
        <w:t>World Café</w:t>
      </w:r>
      <w:r w:rsidRPr="007C5574">
        <w:rPr>
          <w:rFonts w:ascii="Calibri" w:eastAsia="Times New Roman" w:hAnsi="Calibri" w:cs="Calibri"/>
        </w:rPr>
        <w:t xml:space="preserve"> foi desenvolvida como uma prática participativa voltada à construção coletiva de conhecimento em ambientes colaborativos. Seu formato organiza os participantes em pequenos grupos, dispostos em mesas que simulam um café, favorecendo o diálogo horizontal, a escuta ativa e a troca de experiências em clima informal e acolhedor. A dinâmica ocorre em rodadas de conversas, conduzidas por questões norteadoras previamente elaboradas, que estimulam a reflexão conjunta e permitem a circulação dos participantes entre as mesas, de modo a ampliar a diversidade de perspectivas. Ao final, as ideias discutidas são sistematizadas e compartilhadas em plenária, possibilitando a identificação de padrões, convergências e inovações emergentes. Trata-se, portanto, de um método qualitativo que busca captar percepções, promover engajamento e gerar soluções a partir da inteligência coletiva do grupo. </w:t>
      </w:r>
      <w:r w:rsidRPr="007C5574">
        <w:rPr>
          <w:rFonts w:ascii="Calibri" w:hAnsi="Calibri" w:cs="Calibri"/>
        </w:rPr>
        <w:t>BROWN, J.; ISAACS, D. O World Café: dando forma ao nosso futuro por meio de conversações significativas e estratégicas. São Paulo: Cultrix, 2007.</w:t>
      </w:r>
    </w:p>
  </w:footnote>
  <w:footnote w:id="26">
    <w:p w14:paraId="2D24E16C" w14:textId="50628925"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BRASIL. </w:t>
      </w:r>
      <w:r w:rsidRPr="003503A3">
        <w:rPr>
          <w:rStyle w:val="nfase"/>
          <w:rFonts w:ascii="Calibri" w:hAnsi="Calibri" w:cs="Calibri"/>
        </w:rPr>
        <w:t>Lei nº 12.934, de 11 de dezembro de 2013</w:t>
      </w:r>
      <w:r w:rsidRPr="003503A3">
        <w:rPr>
          <w:rFonts w:ascii="Calibri" w:hAnsi="Calibri" w:cs="Calibri"/>
        </w:rPr>
        <w:t>. Cria cargos em comissão e funções comissionadas no âmbito do Conselho Superior da Justiça do Trabalho – CSJT, e dá outras providências. Diário Oficial da União: seção 1, Brasília, DF, ano 150, n. 241, p. 1, 12 dez. 2013. Disponível em: &lt;</w:t>
      </w:r>
      <w:hyperlink r:id="rId8" w:anchor=":~:text=LEI%20N%C2%BA%2012.934%2C%20DE%2027,Art" w:history="1">
        <w:r w:rsidRPr="003503A3">
          <w:rPr>
            <w:rStyle w:val="Hyperlink"/>
            <w:rFonts w:ascii="Calibri" w:hAnsi="Calibri" w:cs="Calibri"/>
            <w:color w:val="auto"/>
            <w:u w:val="none"/>
          </w:rPr>
          <w:t>https://www.planalto.gov.br/ccivil_03/_Ato2011-2014/2013/Lei/L12934.htm#:~:text=LEI%20N%C2%BA%2012.934%2C%20DE%2027,Art</w:t>
        </w:r>
      </w:hyperlink>
      <w:r w:rsidRPr="003503A3">
        <w:rPr>
          <w:rFonts w:ascii="Calibri" w:hAnsi="Calibri" w:cs="Calibri"/>
        </w:rPr>
        <w:t>.&gt;.</w:t>
      </w:r>
    </w:p>
    <w:p w14:paraId="31D3B7F6" w14:textId="4FA9ACD0" w:rsidR="00820B46" w:rsidRPr="003503A3" w:rsidRDefault="00820B46" w:rsidP="001C6456">
      <w:pPr>
        <w:pStyle w:val="Textodenotaderodap"/>
        <w:tabs>
          <w:tab w:val="left" w:pos="8040"/>
        </w:tabs>
        <w:jc w:val="both"/>
        <w:rPr>
          <w:rFonts w:ascii="Calibri" w:hAnsi="Calibri" w:cs="Calibri"/>
        </w:rPr>
      </w:pPr>
      <w:r w:rsidRPr="003503A3">
        <w:rPr>
          <w:rFonts w:ascii="Calibri" w:hAnsi="Calibri" w:cs="Calibri"/>
        </w:rPr>
        <w:t>Acesso em: 08 ago. 2025.</w:t>
      </w:r>
      <w:r w:rsidRPr="003503A3">
        <w:rPr>
          <w:rFonts w:ascii="Calibri" w:hAnsi="Calibri" w:cs="Calibri"/>
        </w:rPr>
        <w:tab/>
      </w:r>
    </w:p>
  </w:footnote>
  <w:footnote w:id="27">
    <w:p w14:paraId="56F98B5C" w14:textId="5E7BC610" w:rsidR="00820B46" w:rsidRPr="003503A3" w:rsidRDefault="00820B46" w:rsidP="001C6456">
      <w:pPr>
        <w:pStyle w:val="Textodenotaderodap"/>
        <w:contextualSpacing/>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BRASIL. Tribunal Superior do Trabalho. </w:t>
      </w:r>
      <w:r w:rsidRPr="003503A3">
        <w:rPr>
          <w:rStyle w:val="nfase"/>
          <w:rFonts w:ascii="Calibri" w:hAnsi="Calibri" w:cs="Calibri"/>
        </w:rPr>
        <w:t>Protocolo de Cooperação nº 1/2023, celebrado entre o TST e o CSJT</w:t>
      </w:r>
      <w:r w:rsidRPr="003503A3">
        <w:rPr>
          <w:rFonts w:ascii="Calibri" w:hAnsi="Calibri" w:cs="Calibri"/>
        </w:rPr>
        <w:t>. Cláusula Segunda, inciso I: “Disponibilizar servidores do quadro de pessoal do TST para auxílio às atividades do CSJT, conforme definido pela Presidência”. Disponível em: &lt;https://www.csjt.jus.br/documents/955023/11270243/01+-+PROTOCOLO+DE+COOPERA%C3%87%C3%83O+T%C3%89CNICA+N%C2%BA+1+de+2023+-+CSJT+e+TST+-+assinado+SEI.pdf/3b515da7-3cb5-fb0b-a24d-d5b752995e27?t=1709933264784&gt;. Acesso em: 08 ago. 2025</w:t>
      </w:r>
    </w:p>
  </w:footnote>
  <w:footnote w:id="28">
    <w:p w14:paraId="107C442C" w14:textId="0B3EA918" w:rsidR="00820B46" w:rsidRPr="003503A3" w:rsidRDefault="00820B46" w:rsidP="001C6456">
      <w:pPr>
        <w:contextualSpacing/>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BRASIL. Lei nº 11.416, de 15 de dezembro de 2006. Dispõe sobre as carreiras dos servidores do Poder Judiciário da União e dá outras providências. </w:t>
      </w:r>
      <w:r w:rsidRPr="003503A3">
        <w:rPr>
          <w:rFonts w:ascii="Calibri" w:hAnsi="Calibri" w:cs="Calibri"/>
          <w:i/>
          <w:sz w:val="20"/>
          <w:szCs w:val="20"/>
        </w:rPr>
        <w:t>Diário Oficial da União</w:t>
      </w:r>
      <w:r w:rsidRPr="003503A3">
        <w:rPr>
          <w:rFonts w:ascii="Calibri" w:hAnsi="Calibri" w:cs="Calibri"/>
          <w:sz w:val="20"/>
          <w:szCs w:val="20"/>
        </w:rPr>
        <w:t>, Brasília, DF, 18 dez. 2006. Seção 1.</w:t>
      </w:r>
    </w:p>
  </w:footnote>
  <w:footnote w:id="29">
    <w:p w14:paraId="2A6A9392" w14:textId="5D38A30C" w:rsidR="00820B46" w:rsidRDefault="00820B46">
      <w:pPr>
        <w:pStyle w:val="Textodenotaderodap"/>
      </w:pPr>
      <w:r>
        <w:rPr>
          <w:rStyle w:val="Refdenotaderodap"/>
        </w:rPr>
        <w:footnoteRef/>
      </w:r>
      <w:r>
        <w:t xml:space="preserve"> </w:t>
      </w:r>
      <w:r w:rsidRPr="001138A5">
        <w:rPr>
          <w:bCs/>
        </w:rPr>
        <w:t>Devido a esse quantitativo extremamente reduzido, não serão feitas análises de representatividade de gênero para esse nível.</w:t>
      </w:r>
    </w:p>
  </w:footnote>
  <w:footnote w:id="30">
    <w:p w14:paraId="6D6CBE60" w14:textId="08DB599F" w:rsidR="00820B46" w:rsidRPr="003503A3" w:rsidRDefault="00820B46" w:rsidP="001C6456">
      <w:pPr>
        <w:pStyle w:val="Textodenotaderodap"/>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Embora a distribuição do nível FC-01 não conste no gráfico, devido ao seu quantitativo reduzido em relação ao total do TST, essas funções foram contabilizadas no valor total de FCs. </w:t>
      </w:r>
    </w:p>
  </w:footnote>
  <w:footnote w:id="31">
    <w:p w14:paraId="5CED7D8E" w14:textId="48A2C90C"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A tabela contempla os 120 CJs e FCs que compõem o CSJT. O Conselho não possui todos os níveis em seu quadro. </w:t>
      </w:r>
    </w:p>
  </w:footnote>
  <w:footnote w:id="32">
    <w:p w14:paraId="724BD17B" w14:textId="77777777" w:rsidR="00820B46" w:rsidRPr="003503A3" w:rsidRDefault="00820B46" w:rsidP="001C6456">
      <w:pPr>
        <w:pStyle w:val="Textodenotaderodap"/>
        <w:jc w:val="both"/>
        <w:rPr>
          <w:rFonts w:ascii="Calibri" w:eastAsia="Calibri" w:hAnsi="Calibri" w:cs="Calibri"/>
          <w:lang w:eastAsia="en-US"/>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Calibri" w:hAnsi="Calibri" w:cs="Calibri"/>
          <w:bCs/>
          <w:lang w:eastAsia="en-US"/>
        </w:rPr>
        <w:t>BRASIL. Tribunal Superior do Trabalho.</w:t>
      </w:r>
      <w:r w:rsidRPr="003503A3">
        <w:rPr>
          <w:rFonts w:ascii="Calibri" w:eastAsia="Calibri" w:hAnsi="Calibri" w:cs="Calibri"/>
          <w:lang w:eastAsia="en-US"/>
        </w:rPr>
        <w:t xml:space="preserve"> Resolução Administrativa nº 2.697, de 11 de abril de 2025. Referenda o Ato GDGSET.GP nº 155, de 27 de março de 2025, que transforma unidades administrativas e altera os anexos da Resolução Administrativa nº 2.320, de 16 de maio de 2022. </w:t>
      </w:r>
      <w:r w:rsidRPr="003503A3">
        <w:rPr>
          <w:rFonts w:ascii="Calibri" w:eastAsia="Calibri" w:hAnsi="Calibri" w:cs="Calibri"/>
          <w:i/>
          <w:iCs/>
          <w:lang w:eastAsia="en-US"/>
        </w:rPr>
        <w:t>Diário Eletrônico da Justiça do Trabalho</w:t>
      </w:r>
      <w:r w:rsidRPr="003503A3">
        <w:rPr>
          <w:rFonts w:ascii="Calibri" w:eastAsia="Calibri" w:hAnsi="Calibri" w:cs="Calibri"/>
          <w:lang w:eastAsia="en-US"/>
        </w:rPr>
        <w:t xml:space="preserve">, Brasília, DF, 11 abr. 2025. </w:t>
      </w:r>
    </w:p>
    <w:p w14:paraId="20239AEF" w14:textId="71FD30C8" w:rsidR="00820B46" w:rsidRPr="003503A3" w:rsidRDefault="00820B46" w:rsidP="001C6456">
      <w:pPr>
        <w:pStyle w:val="Textodenotaderodap"/>
        <w:rPr>
          <w:rFonts w:ascii="Calibri" w:eastAsia="Calibri" w:hAnsi="Calibri" w:cs="Calibri"/>
          <w:lang w:eastAsia="en-US"/>
        </w:rPr>
      </w:pPr>
      <w:r w:rsidRPr="003503A3">
        <w:rPr>
          <w:rFonts w:ascii="Calibri" w:eastAsia="Calibri" w:hAnsi="Calibri" w:cs="Calibri"/>
          <w:lang w:eastAsia="en-US"/>
        </w:rPr>
        <w:t>Disponível em: &lt;</w:t>
      </w:r>
      <w:hyperlink r:id="rId9" w:history="1">
        <w:r w:rsidRPr="003503A3">
          <w:rPr>
            <w:rStyle w:val="Hyperlink"/>
            <w:rFonts w:ascii="Calibri" w:eastAsia="Calibri" w:hAnsi="Calibri" w:cs="Calibri"/>
            <w:color w:val="auto"/>
            <w:u w:val="none"/>
            <w:lang w:eastAsia="en-US"/>
          </w:rPr>
          <w:t>https://juslaboris.tst.jus.br/bitstream/handle/20.500.12178/248516/2025_ra2697.pdf?sequence=1&amp;isAllowed=y</w:t>
        </w:r>
      </w:hyperlink>
      <w:r w:rsidRPr="003503A3">
        <w:rPr>
          <w:rFonts w:ascii="Calibri" w:eastAsia="Calibri" w:hAnsi="Calibri" w:cs="Calibri"/>
          <w:lang w:eastAsia="en-US"/>
        </w:rPr>
        <w:t xml:space="preserve">&gt; </w:t>
      </w:r>
    </w:p>
    <w:p w14:paraId="1D16238A" w14:textId="2E0C4AD7" w:rsidR="00820B46" w:rsidRPr="003503A3" w:rsidRDefault="00820B46" w:rsidP="001C6456">
      <w:pPr>
        <w:pStyle w:val="Textodenotaderodap"/>
        <w:rPr>
          <w:rFonts w:ascii="Calibri" w:hAnsi="Calibri" w:cs="Calibri"/>
        </w:rPr>
      </w:pPr>
      <w:r w:rsidRPr="003503A3">
        <w:rPr>
          <w:rFonts w:ascii="Calibri" w:eastAsia="Calibri" w:hAnsi="Calibri" w:cs="Calibri"/>
          <w:lang w:eastAsia="en-US"/>
        </w:rPr>
        <w:t>Acesso em: 04 ago. 2025.</w:t>
      </w:r>
    </w:p>
  </w:footnote>
  <w:footnote w:id="33">
    <w:p w14:paraId="10E004CD" w14:textId="38571FC8" w:rsidR="00820B46" w:rsidRPr="003503A3" w:rsidRDefault="00820B46" w:rsidP="001C6456">
      <w:pPr>
        <w:jc w:val="both"/>
        <w:rPr>
          <w:rFonts w:ascii="Calibri" w:hAnsi="Calibri" w:cs="Calibri"/>
          <w:sz w:val="20"/>
          <w:szCs w:val="20"/>
        </w:rPr>
      </w:pPr>
      <w:r w:rsidRPr="003503A3">
        <w:rPr>
          <w:rStyle w:val="Refdenotaderodap"/>
          <w:rFonts w:ascii="Calibri" w:hAnsi="Calibri" w:cs="Calibri"/>
          <w:sz w:val="20"/>
          <w:szCs w:val="20"/>
        </w:rPr>
        <w:footnoteRef/>
      </w:r>
      <w:r w:rsidRPr="003503A3">
        <w:rPr>
          <w:rFonts w:ascii="Calibri" w:hAnsi="Calibri" w:cs="Calibri"/>
          <w:sz w:val="20"/>
          <w:szCs w:val="20"/>
        </w:rPr>
        <w:t xml:space="preserve"> CONSELHO NACIONAL DE JUSTIÇA. </w:t>
      </w:r>
      <w:r w:rsidRPr="003503A3">
        <w:rPr>
          <w:rFonts w:ascii="Calibri" w:hAnsi="Calibri" w:cs="Calibri"/>
          <w:i/>
          <w:sz w:val="20"/>
          <w:szCs w:val="20"/>
        </w:rPr>
        <w:t>Painel de Dados de Pessoal do Poder Judiciário – Módulo de Pessoal e Estrutura Judiciária Mensal do Poder Judiciário</w:t>
      </w:r>
      <w:r w:rsidRPr="003503A3">
        <w:rPr>
          <w:rFonts w:ascii="Calibri" w:hAnsi="Calibri" w:cs="Calibri"/>
          <w:sz w:val="20"/>
          <w:szCs w:val="20"/>
        </w:rPr>
        <w:t xml:space="preserve"> (MPM). Brasília, DF: CNJ, 2025. Disponível em: &lt;https://justica-em-numeros.cnj.jus.br/painel-estatisticas/&gt;. Acesso em: 18 jun. 2025.</w:t>
      </w:r>
    </w:p>
  </w:footnote>
  <w:footnote w:id="34">
    <w:p w14:paraId="29AC18D9" w14:textId="3E28B0FA"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Embora as mulheres ocupem 51,7% das funções comissionadas no nível FC-6 no TST, sua participação nos cargos de gestão e liderança FC-6 é significativamente menor, 12,1%.</w:t>
      </w:r>
    </w:p>
  </w:footnote>
  <w:footnote w:id="35">
    <w:p w14:paraId="27F73387" w14:textId="37F9CA34" w:rsidR="00820B46" w:rsidRPr="003503A3" w:rsidRDefault="00820B46" w:rsidP="001C6456">
      <w:pPr>
        <w:pStyle w:val="Textodenotaderodap"/>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Times New Roman" w:hAnsi="Calibri" w:cs="Calibri"/>
        </w:rPr>
        <w:t>Os dados referentes ao nível FC-01 foram omitidos da representação gráfica devido ao número reduzido de servidores que ocupam essas funções comissionadas.</w:t>
      </w:r>
    </w:p>
  </w:footnote>
  <w:footnote w:id="36">
    <w:p w14:paraId="599AF701" w14:textId="1D15CF0C"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O motivo pelo qual se questionou e se obteve informações da SEGGE foi pressupor que esta poderia ter dados de todo o Tribunal em decorrência de exigências relacionadas ao Prêmio CNJ de Qualidade, o que não se revelou ser de fato uma função da Secretaria. Tendo em vista o pedido feito e a informação ter sido devida e prontamente apresentada, entendeu-se importante apontar os dados no relatório, mesmo sabendo não ser possível inferir sobre a participação feminina nos demais Comitês do Tribunal.</w:t>
      </w:r>
    </w:p>
  </w:footnote>
  <w:footnote w:id="37">
    <w:p w14:paraId="2902CEFC"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O Comitê de Governança Institucional do TST, embora oficialmente composto por 8 membros, contava com apenas 7 nomeados em maio de 2025, segundo informações da SEGGE/TST.</w:t>
      </w:r>
    </w:p>
  </w:footnote>
  <w:footnote w:id="38">
    <w:p w14:paraId="6BCB696B"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O Comitê de Governança de Gestão de Sustentabilidade do TST, embora oficialmente composto por 7 membros, contava com apenas 6 nomeados em maio de 2025, segundo informações da SEGGE/TST.</w:t>
      </w:r>
    </w:p>
  </w:footnote>
  <w:footnote w:id="39">
    <w:p w14:paraId="7893366C" w14:textId="6D6B7547"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hAnsi="Calibri" w:cs="Calibri"/>
          <w:shd w:val="clear" w:color="auto" w:fill="FFFFFF"/>
        </w:rPr>
        <w:t>BAUTISTA, S.; CHUDNOVSKY, M.; STRAZZA, L.; MOSQUEIRA, E.; CASTAÑEDA, C. </w:t>
      </w:r>
      <w:r w:rsidRPr="003503A3">
        <w:rPr>
          <w:rFonts w:ascii="Calibri" w:hAnsi="Calibri" w:cs="Calibri"/>
          <w:i/>
          <w:iCs/>
          <w:shd w:val="clear" w:color="auto" w:fill="FFFFFF"/>
        </w:rPr>
        <w:t>Mulheres líderes no setor público da América Latina e do Caribe</w:t>
      </w:r>
      <w:r w:rsidRPr="003503A3">
        <w:rPr>
          <w:rFonts w:ascii="Calibri" w:hAnsi="Calibri" w:cs="Calibri"/>
          <w:shd w:val="clear" w:color="auto" w:fill="FFFFFF"/>
        </w:rPr>
        <w:t>: lacunas e oportunidades. Washington, DC: Banco Interamericano de Desenvolvimento, 2021. Disponível em: &lt;</w:t>
      </w:r>
      <w:hyperlink r:id="rId10" w:tgtFrame="_blank" w:history="1">
        <w:r w:rsidRPr="003503A3">
          <w:rPr>
            <w:rStyle w:val="Hyperlink"/>
            <w:rFonts w:ascii="Calibri" w:hAnsi="Calibri" w:cs="Calibri"/>
            <w:color w:val="auto"/>
            <w:u w:val="none"/>
            <w:shd w:val="clear" w:color="auto" w:fill="FFFFFF"/>
          </w:rPr>
          <w:t>https://publications.iadb.org/pt/publications/portuguese/viewer/Mulheres-lideres-no-setor-publico-da-America-Latina-e-do-Caribe-lacunas-e-opportunidades.pdf</w:t>
        </w:r>
      </w:hyperlink>
      <w:r w:rsidRPr="003503A3">
        <w:rPr>
          <w:rFonts w:ascii="Calibri" w:hAnsi="Calibri" w:cs="Calibri"/>
          <w:shd w:val="clear" w:color="auto" w:fill="FFFFFF"/>
        </w:rPr>
        <w:t>&gt;. Acesso em: 29 mai. 2025; e FERNANDEZ, M.; MARQUES, A. Liderança de mulheres na burocracia federal: dificuldades e desafios para ascensão. </w:t>
      </w:r>
      <w:r w:rsidRPr="003503A3">
        <w:rPr>
          <w:rFonts w:ascii="Calibri" w:hAnsi="Calibri" w:cs="Calibri"/>
          <w:i/>
          <w:iCs/>
          <w:shd w:val="clear" w:color="auto" w:fill="FFFFFF"/>
        </w:rPr>
        <w:t>Revista Campo de Públicas: conexões e experiências</w:t>
      </w:r>
      <w:r w:rsidRPr="003503A3">
        <w:rPr>
          <w:rFonts w:ascii="Calibri" w:hAnsi="Calibri" w:cs="Calibri"/>
          <w:shd w:val="clear" w:color="auto" w:fill="FFFFFF"/>
        </w:rPr>
        <w:t>, Belo Horizonte, v. 3, n. 1, p. 57-83, jan./jun. 2024.</w:t>
      </w:r>
    </w:p>
  </w:footnote>
  <w:footnote w:id="40">
    <w:p w14:paraId="0FDE10A8" w14:textId="4DD02EC8"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Os dados referentes ao CSJT não serão objeto de análise aqui, em razão do quantitativo reduzido de cargos, o que limita a desagregação desidentificada por natureza da atividade. Ademais, o Conselho desempenha funções de supervisão administrativa, orçamentária, financeira e patrimonial, o que o distingue da separação por áreas das unidades do TST. Por isso, esta subseção se restringe à análise dos dados relativos ao TST. </w:t>
      </w:r>
    </w:p>
  </w:footnote>
  <w:footnote w:id="41">
    <w:p w14:paraId="70D7345D" w14:textId="14A8FD83" w:rsidR="00820B46" w:rsidRPr="003503A3" w:rsidRDefault="00820B46" w:rsidP="001C6456">
      <w:pPr>
        <w:pStyle w:val="NormalWeb"/>
        <w:spacing w:before="0" w:beforeAutospacing="0" w:after="0" w:afterAutospacing="0"/>
        <w:contextualSpacing/>
        <w:rPr>
          <w:rFonts w:ascii="Calibri" w:hAnsi="Calibri" w:cs="Calibri"/>
          <w:sz w:val="20"/>
          <w:szCs w:val="20"/>
        </w:rPr>
      </w:pPr>
      <w:bookmarkStart w:id="57" w:name="_Hlk206642129"/>
      <w:r w:rsidRPr="003503A3">
        <w:rPr>
          <w:rStyle w:val="Refdenotaderodap"/>
          <w:rFonts w:ascii="Calibri" w:hAnsi="Calibri" w:cs="Calibri"/>
          <w:sz w:val="20"/>
          <w:szCs w:val="20"/>
        </w:rPr>
        <w:footnoteRef/>
      </w:r>
      <w:r w:rsidRPr="003503A3">
        <w:rPr>
          <w:rFonts w:ascii="Calibri" w:hAnsi="Calibri" w:cs="Calibri"/>
          <w:sz w:val="20"/>
          <w:szCs w:val="20"/>
        </w:rPr>
        <w:t xml:space="preserve"> BRASIL. </w:t>
      </w:r>
      <w:r w:rsidRPr="003503A3">
        <w:rPr>
          <w:rStyle w:val="Forte"/>
          <w:rFonts w:ascii="Calibri" w:hAnsi="Calibri" w:cs="Calibri"/>
          <w:sz w:val="20"/>
          <w:szCs w:val="20"/>
        </w:rPr>
        <w:t>Tribunal Superior do Trabalho.</w:t>
      </w:r>
      <w:r w:rsidRPr="003503A3">
        <w:rPr>
          <w:rFonts w:ascii="Calibri" w:hAnsi="Calibri" w:cs="Calibri"/>
          <w:sz w:val="20"/>
          <w:szCs w:val="20"/>
        </w:rPr>
        <w:t xml:space="preserve"> </w:t>
      </w:r>
      <w:r w:rsidRPr="003503A3">
        <w:rPr>
          <w:rFonts w:ascii="Calibri" w:hAnsi="Calibri" w:cs="Calibri"/>
          <w:i/>
          <w:iCs/>
          <w:sz w:val="20"/>
          <w:szCs w:val="20"/>
        </w:rPr>
        <w:t>Estrutura Organizacional</w:t>
      </w:r>
      <w:r w:rsidRPr="003503A3">
        <w:rPr>
          <w:rFonts w:ascii="Calibri" w:hAnsi="Calibri" w:cs="Calibri"/>
          <w:sz w:val="20"/>
          <w:szCs w:val="20"/>
        </w:rPr>
        <w:t>. Disponível em: &lt;</w:t>
      </w:r>
      <w:hyperlink r:id="rId11" w:history="1">
        <w:r w:rsidRPr="003503A3">
          <w:rPr>
            <w:rStyle w:val="Hyperlink"/>
            <w:rFonts w:ascii="Calibri" w:hAnsi="Calibri" w:cs="Calibri"/>
            <w:color w:val="auto"/>
            <w:sz w:val="20"/>
            <w:szCs w:val="20"/>
            <w:u w:val="none"/>
          </w:rPr>
          <w:t>https://organograma.tst.jus.br/</w:t>
        </w:r>
      </w:hyperlink>
      <w:r w:rsidRPr="003503A3">
        <w:rPr>
          <w:rFonts w:ascii="Calibri" w:hAnsi="Calibri" w:cs="Calibri"/>
          <w:sz w:val="20"/>
          <w:szCs w:val="20"/>
        </w:rPr>
        <w:t>&gt;. Acesso em: 14 ago. 2025.</w:t>
      </w:r>
    </w:p>
    <w:bookmarkEnd w:id="57"/>
  </w:footnote>
  <w:footnote w:id="42">
    <w:p w14:paraId="22CFC287" w14:textId="77777777" w:rsidR="00820B46" w:rsidRPr="003503A3" w:rsidRDefault="00820B46" w:rsidP="001C6456">
      <w:pPr>
        <w:pStyle w:val="Textodenotaderodap"/>
        <w:contextualSpacing/>
        <w:jc w:val="both"/>
        <w:rPr>
          <w:rFonts w:ascii="Calibri" w:eastAsia="Calibri" w:hAnsi="Calibri" w:cs="Calibri"/>
          <w:lang w:eastAsia="en-US"/>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Calibri" w:hAnsi="Calibri" w:cs="Calibri"/>
          <w:bCs/>
          <w:lang w:eastAsia="en-US"/>
        </w:rPr>
        <w:t>BRASIL. Tribunal Superior do Trabalho.</w:t>
      </w:r>
      <w:r w:rsidRPr="003503A3">
        <w:rPr>
          <w:rFonts w:ascii="Calibri" w:eastAsia="Calibri" w:hAnsi="Calibri" w:cs="Calibri"/>
          <w:lang w:eastAsia="en-US"/>
        </w:rPr>
        <w:t xml:space="preserve"> Resolução Administrativa nº 2.697, de 11 de abril de 2025. Referenda o Ato GDGSET.GP nº 155, de 27 de março de 2025, que transforma unidades administrativas e altera os anexos da Resolução Administrativa nº 2.320, de 16 de maio de 2022. </w:t>
      </w:r>
      <w:r w:rsidRPr="003503A3">
        <w:rPr>
          <w:rFonts w:ascii="Calibri" w:eastAsia="Calibri" w:hAnsi="Calibri" w:cs="Calibri"/>
          <w:i/>
          <w:iCs/>
          <w:lang w:eastAsia="en-US"/>
        </w:rPr>
        <w:t>Diário Eletrônico da Justiça do Trabalho</w:t>
      </w:r>
      <w:r w:rsidRPr="003503A3">
        <w:rPr>
          <w:rFonts w:ascii="Calibri" w:eastAsia="Calibri" w:hAnsi="Calibri" w:cs="Calibri"/>
          <w:lang w:eastAsia="en-US"/>
        </w:rPr>
        <w:t xml:space="preserve">, Brasília, DF, 11 abr. 2025. </w:t>
      </w:r>
    </w:p>
    <w:p w14:paraId="1766751C" w14:textId="77777777" w:rsidR="00820B46" w:rsidRPr="003503A3" w:rsidRDefault="00820B46" w:rsidP="001C6456">
      <w:pPr>
        <w:pStyle w:val="Textodenotaderodap"/>
        <w:contextualSpacing/>
        <w:rPr>
          <w:rFonts w:ascii="Calibri" w:eastAsia="Calibri" w:hAnsi="Calibri" w:cs="Calibri"/>
          <w:lang w:eastAsia="en-US"/>
        </w:rPr>
      </w:pPr>
      <w:r w:rsidRPr="003503A3">
        <w:rPr>
          <w:rFonts w:ascii="Calibri" w:eastAsia="Calibri" w:hAnsi="Calibri" w:cs="Calibri"/>
          <w:lang w:eastAsia="en-US"/>
        </w:rPr>
        <w:t>Disponível em: &lt;</w:t>
      </w:r>
      <w:hyperlink r:id="rId12" w:history="1">
        <w:r w:rsidRPr="003503A3">
          <w:rPr>
            <w:rStyle w:val="Hyperlink"/>
            <w:rFonts w:ascii="Calibri" w:eastAsia="Calibri" w:hAnsi="Calibri" w:cs="Calibri"/>
            <w:color w:val="auto"/>
            <w:u w:val="none"/>
            <w:lang w:eastAsia="en-US"/>
          </w:rPr>
          <w:t>https://juslaboris.tst.jus.br/bitstream/handle/20.500.12178/248516/2025_ra2697.pdf?sequence=1&amp;isAllowed=y</w:t>
        </w:r>
      </w:hyperlink>
      <w:r w:rsidRPr="003503A3">
        <w:rPr>
          <w:rFonts w:ascii="Calibri" w:eastAsia="Calibri" w:hAnsi="Calibri" w:cs="Calibri"/>
          <w:lang w:eastAsia="en-US"/>
        </w:rPr>
        <w:t xml:space="preserve">&gt; </w:t>
      </w:r>
    </w:p>
    <w:p w14:paraId="6FDB6FA1" w14:textId="05402F77" w:rsidR="00820B46" w:rsidRPr="003503A3" w:rsidRDefault="00820B46" w:rsidP="001C6456">
      <w:pPr>
        <w:pStyle w:val="Textodenotaderodap"/>
        <w:contextualSpacing/>
        <w:rPr>
          <w:rFonts w:ascii="Calibri" w:eastAsia="Calibri" w:hAnsi="Calibri" w:cs="Calibri"/>
          <w:lang w:eastAsia="en-US"/>
        </w:rPr>
      </w:pPr>
      <w:r w:rsidRPr="003503A3">
        <w:rPr>
          <w:rFonts w:ascii="Calibri" w:eastAsia="Calibri" w:hAnsi="Calibri" w:cs="Calibri"/>
          <w:lang w:eastAsia="en-US"/>
        </w:rPr>
        <w:t>Acesso em: 04 ago. 2025.</w:t>
      </w:r>
    </w:p>
  </w:footnote>
  <w:footnote w:id="43">
    <w:p w14:paraId="7171C51B" w14:textId="3D681EB6" w:rsidR="00820B46" w:rsidRPr="003503A3" w:rsidRDefault="00820B46" w:rsidP="001C6456">
      <w:pPr>
        <w:pStyle w:val="Texto"/>
        <w:spacing w:line="240" w:lineRule="auto"/>
        <w:ind w:firstLine="0"/>
        <w:rPr>
          <w:rFonts w:ascii="Calibri" w:hAnsi="Calibri" w:cs="Calibri"/>
          <w:sz w:val="20"/>
          <w:szCs w:val="20"/>
        </w:rPr>
      </w:pPr>
      <w:r w:rsidRPr="003503A3">
        <w:rPr>
          <w:rStyle w:val="Refdenotaderodap"/>
          <w:rFonts w:ascii="Calibri" w:hAnsi="Calibri" w:cs="Calibri"/>
          <w:sz w:val="20"/>
          <w:szCs w:val="20"/>
        </w:rPr>
        <w:footnoteRef/>
      </w:r>
      <w:r w:rsidRPr="003503A3">
        <w:rPr>
          <w:rFonts w:ascii="Calibri" w:hAnsi="Calibri" w:cs="Calibri"/>
          <w:sz w:val="20"/>
          <w:szCs w:val="20"/>
        </w:rPr>
        <w:t xml:space="preserve"> Os 28 cargos de chefes de gabinete correspondem às chefias dos gabinetes de Ministros do TST (27) e do gabinete do Diretor-Geral da Secretaria do Tribunal (1). </w:t>
      </w:r>
    </w:p>
  </w:footnote>
  <w:footnote w:id="44">
    <w:p w14:paraId="2F1F4187" w14:textId="185069B0" w:rsidR="00820B46" w:rsidRPr="003503A3" w:rsidRDefault="00820B46" w:rsidP="001C6456">
      <w:pPr>
        <w:pStyle w:val="Textodenotaderodap"/>
        <w:contextualSpacing/>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No TST, o cargo de assessor-chefe pode enquadrar-se em três níveis de cargos em comissão (CJ-03, CJ-02 e CJ-01).</w:t>
      </w:r>
    </w:p>
  </w:footnote>
  <w:footnote w:id="45">
    <w:p w14:paraId="03340B62" w14:textId="77777777" w:rsidR="00820B46" w:rsidRPr="003503A3" w:rsidRDefault="00820B46" w:rsidP="001C6456">
      <w:pPr>
        <w:pStyle w:val="Textodenotaderodap"/>
        <w:jc w:val="both"/>
        <w:rPr>
          <w:rFonts w:ascii="Calibri" w:eastAsia="Calibri" w:hAnsi="Calibri" w:cs="Calibri"/>
          <w:lang w:eastAsia="en-US"/>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Calibri" w:hAnsi="Calibri" w:cs="Calibri"/>
          <w:bCs/>
          <w:lang w:eastAsia="en-US"/>
        </w:rPr>
        <w:t>BRASIL. Tribunal Superior do Trabalho.</w:t>
      </w:r>
      <w:r w:rsidRPr="003503A3">
        <w:rPr>
          <w:rFonts w:ascii="Calibri" w:eastAsia="Calibri" w:hAnsi="Calibri" w:cs="Calibri"/>
          <w:lang w:eastAsia="en-US"/>
        </w:rPr>
        <w:t xml:space="preserve"> Resolução Administrativa nº 2.697, de 11 de abril de 2025. Referenda o Ato GDGSET.GP nº 155, de 27 de março de 2025, que transforma unidades administrativas e altera os anexos da Resolução Administrativa nº 2.320, de 16 de maio de 2022. </w:t>
      </w:r>
      <w:r w:rsidRPr="003503A3">
        <w:rPr>
          <w:rFonts w:ascii="Calibri" w:eastAsia="Calibri" w:hAnsi="Calibri" w:cs="Calibri"/>
          <w:i/>
          <w:iCs/>
          <w:lang w:eastAsia="en-US"/>
        </w:rPr>
        <w:t>Diário Eletrônico da Justiça do Trabalho</w:t>
      </w:r>
      <w:r w:rsidRPr="003503A3">
        <w:rPr>
          <w:rFonts w:ascii="Calibri" w:eastAsia="Calibri" w:hAnsi="Calibri" w:cs="Calibri"/>
          <w:lang w:eastAsia="en-US"/>
        </w:rPr>
        <w:t xml:space="preserve">, Brasília, DF, 11 abr. 2025. </w:t>
      </w:r>
    </w:p>
    <w:p w14:paraId="7EA55410" w14:textId="77777777" w:rsidR="00820B46" w:rsidRPr="003503A3" w:rsidRDefault="00820B46" w:rsidP="001C6456">
      <w:pPr>
        <w:pStyle w:val="Textodenotaderodap"/>
        <w:rPr>
          <w:rFonts w:ascii="Calibri" w:eastAsia="Calibri" w:hAnsi="Calibri" w:cs="Calibri"/>
          <w:lang w:eastAsia="en-US"/>
        </w:rPr>
      </w:pPr>
      <w:r w:rsidRPr="003503A3">
        <w:rPr>
          <w:rFonts w:ascii="Calibri" w:eastAsia="Calibri" w:hAnsi="Calibri" w:cs="Calibri"/>
          <w:lang w:eastAsia="en-US"/>
        </w:rPr>
        <w:t>Disponível em: &lt;</w:t>
      </w:r>
      <w:hyperlink r:id="rId13" w:history="1">
        <w:r w:rsidRPr="003503A3">
          <w:rPr>
            <w:rStyle w:val="Hyperlink"/>
            <w:rFonts w:ascii="Calibri" w:eastAsia="Calibri" w:hAnsi="Calibri" w:cs="Calibri"/>
            <w:color w:val="auto"/>
            <w:u w:val="none"/>
            <w:lang w:eastAsia="en-US"/>
          </w:rPr>
          <w:t>https://juslaboris.tst.jus.br/bitstream/handle/20.500.12178/248516/2025_ra2697.pdf?sequence=1&amp;isAllowed=y</w:t>
        </w:r>
      </w:hyperlink>
      <w:r w:rsidRPr="003503A3">
        <w:rPr>
          <w:rFonts w:ascii="Calibri" w:eastAsia="Calibri" w:hAnsi="Calibri" w:cs="Calibri"/>
          <w:lang w:eastAsia="en-US"/>
        </w:rPr>
        <w:t xml:space="preserve">&gt; </w:t>
      </w:r>
    </w:p>
    <w:p w14:paraId="2796E320" w14:textId="77777777" w:rsidR="00820B46" w:rsidRPr="003503A3" w:rsidRDefault="00820B46" w:rsidP="001C6456">
      <w:pPr>
        <w:pStyle w:val="Textodenotaderodap"/>
        <w:rPr>
          <w:rFonts w:ascii="Calibri" w:hAnsi="Calibri" w:cs="Calibri"/>
        </w:rPr>
      </w:pPr>
      <w:r w:rsidRPr="003503A3">
        <w:rPr>
          <w:rFonts w:ascii="Calibri" w:eastAsia="Calibri" w:hAnsi="Calibri" w:cs="Calibri"/>
          <w:lang w:eastAsia="en-US"/>
        </w:rPr>
        <w:t>Acesso em: 04 ago. 2025.</w:t>
      </w:r>
    </w:p>
  </w:footnote>
  <w:footnote w:id="46">
    <w:p w14:paraId="1D701523" w14:textId="77777777"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Calibri" w:hAnsi="Calibri" w:cs="Calibri"/>
          <w:bCs/>
          <w:lang w:eastAsia="en-US"/>
        </w:rPr>
        <w:t>Ibidem.</w:t>
      </w:r>
    </w:p>
  </w:footnote>
  <w:footnote w:id="47">
    <w:p w14:paraId="3DE4054F" w14:textId="3991BE5B" w:rsidR="00820B46" w:rsidRPr="003503A3" w:rsidRDefault="00820B46" w:rsidP="001C6456">
      <w:pPr>
        <w:pStyle w:val="Texto"/>
        <w:spacing w:line="240" w:lineRule="auto"/>
        <w:ind w:firstLine="0"/>
        <w:rPr>
          <w:rFonts w:ascii="Calibri" w:hAnsi="Calibri" w:cs="Calibri"/>
          <w:sz w:val="20"/>
          <w:szCs w:val="20"/>
        </w:rPr>
      </w:pPr>
      <w:r w:rsidRPr="003503A3">
        <w:rPr>
          <w:rStyle w:val="Refdenotaderodap"/>
          <w:rFonts w:ascii="Calibri" w:hAnsi="Calibri" w:cs="Calibri"/>
          <w:sz w:val="20"/>
          <w:szCs w:val="20"/>
        </w:rPr>
        <w:footnoteRef/>
      </w:r>
      <w:r w:rsidRPr="003503A3">
        <w:rPr>
          <w:rFonts w:ascii="Calibri" w:hAnsi="Calibri" w:cs="Calibri"/>
          <w:sz w:val="20"/>
          <w:szCs w:val="20"/>
        </w:rPr>
        <w:t xml:space="preserve"> Essa classificação abrange os níveis hierárquicos situados abaixo das Secretarias-Gerais/Direção-Geral.</w:t>
      </w:r>
    </w:p>
  </w:footnote>
  <w:footnote w:id="48">
    <w:p w14:paraId="50BFD7E8" w14:textId="71D62EA0" w:rsidR="00820B46" w:rsidRPr="003503A3" w:rsidRDefault="00820B46" w:rsidP="001C6456">
      <w:pPr>
        <w:pStyle w:val="Textodenotaderodap"/>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Nessa categoria estão lotações relativas a tipos de chefia exercidos por apenas um titular (Pregoeiro, Presidente da CMPD e Diretor de Secretaria),</w:t>
      </w:r>
    </w:p>
  </w:footnote>
  <w:footnote w:id="49">
    <w:p w14:paraId="52A0EED6" w14:textId="2ACEC1C8"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Por se tratarem de unidades preponderantemente judiciárias no âmbito do TST, os gabinetes não estão representados na tabela, tendo sido analisados previamente nesta subseção do relatório. Registra-se apenas 1 gabinete na área administrativa, enquanto os demais 27 correspondem a gabinetes de Ministros, vinculados à área judiciária.</w:t>
      </w:r>
    </w:p>
  </w:footnote>
  <w:footnote w:id="50">
    <w:p w14:paraId="0880BA5E" w14:textId="3EF3BFA4"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t>Cumpre salientar que a tabela em comento não contempla os dados alusivos aos gabinetes, os quais foram objeto de análise pormenorizada em seção distinta, tampouco as lotações concernentes a tipos de chefia de titularidade única (Pregoeiro, Presidente da CMPD e Diretor de Secretaria).</w:t>
      </w:r>
    </w:p>
  </w:footnote>
  <w:footnote w:id="51">
    <w:p w14:paraId="58BDC38D" w14:textId="75042DB3"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Conforme Tabela 9, a área judiciária conta com apenas um cargo de chefe de divisão, ocupado por uma mulher, e dois cargos de chefe de núcleo, ocupado por homens.</w:t>
      </w:r>
    </w:p>
  </w:footnote>
  <w:footnote w:id="52">
    <w:p w14:paraId="390C614B" w14:textId="67DDCC54" w:rsidR="00820B46" w:rsidRDefault="00820B46" w:rsidP="00C5383A">
      <w:pPr>
        <w:pStyle w:val="Textodenotaderodap"/>
        <w:jc w:val="both"/>
      </w:pPr>
      <w:r>
        <w:rPr>
          <w:rStyle w:val="Refdenotaderodap"/>
        </w:rPr>
        <w:footnoteRef/>
      </w:r>
      <w:r>
        <w:t xml:space="preserve"> MCCRINDLE, Mark; WOLFINGER, Emily. </w:t>
      </w:r>
      <w:r>
        <w:rPr>
          <w:b/>
          <w:bCs/>
        </w:rPr>
        <w:t>The ABC of XYZ</w:t>
      </w:r>
      <w:r>
        <w:t>: understanding the global generations. Sydney: University of New South Wales Press, 2009.</w:t>
      </w:r>
    </w:p>
  </w:footnote>
  <w:footnote w:id="53">
    <w:p w14:paraId="6AECBCCB" w14:textId="77777777" w:rsidR="00820B46" w:rsidRPr="003503A3" w:rsidRDefault="00820B46" w:rsidP="006377CF">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Times New Roman" w:hAnsi="Calibri" w:cs="Calibri"/>
        </w:rPr>
        <w:t xml:space="preserve">O estudo de Milhome (2022) propõe como questões sócio-históricas contribuem para a distinção entre as gerações brasileiras, de maneira bastante resumida tem-se que as gerações que constam atualmente nos cargos do TST poderiam assim ser classificadas: a) Geração Reprimida (entre 67 e 81 anos) marcada pelo autoritarismo militar e restrições políticas; b) Geração Diretas (entre 57 e 66 anos) vivenciou a redemocratização e ascensão de movimentos sociais; c) Geração Hiperinflação (entre 47 e 56 anos) foi impactada pela instabilidade econômica e reformas neoliberais; d) Geração Social (entre 34 e 46 anos) assistiu ao surgimento da internet e está conectada a causas identitárias e flexibilização do trabalho; e) Geração 4.0 (entre 20 e 33 anos) vivenciou a revolução digital com o surgimento das redes sociais e marcada pela diversidade e inovação. (MILHOME, Jaqueline Cavalcante. </w:t>
      </w:r>
      <w:r w:rsidRPr="003503A3">
        <w:rPr>
          <w:rFonts w:ascii="Calibri" w:eastAsia="Times New Roman" w:hAnsi="Calibri" w:cs="Calibri"/>
          <w:i/>
        </w:rPr>
        <w:t>Gerações brasileiras</w:t>
      </w:r>
      <w:r w:rsidRPr="003503A3">
        <w:rPr>
          <w:rFonts w:ascii="Calibri" w:eastAsia="Times New Roman" w:hAnsi="Calibri" w:cs="Calibri"/>
        </w:rPr>
        <w:t>: uma proposta de classificação e identificação dos valores pessoais e no trabalho. 2022. 164 f., il. Tese (Doutorado em Administração) – Escola de Administração, Universidade Federal da Bahia, Salvador, 2022. Disponível em: &lt;</w:t>
      </w:r>
      <w:hyperlink r:id="rId14">
        <w:r w:rsidRPr="003503A3">
          <w:rPr>
            <w:rFonts w:ascii="Calibri" w:eastAsia="Times New Roman" w:hAnsi="Calibri" w:cs="Calibri"/>
          </w:rPr>
          <w:t>https://repositorio.ufba.br/bitstream/ri/37082/1/Tese%20de%20Doutorado.pdf</w:t>
        </w:r>
      </w:hyperlink>
      <w:r w:rsidRPr="003503A3">
        <w:rPr>
          <w:rFonts w:ascii="Calibri" w:eastAsia="Times New Roman" w:hAnsi="Calibri" w:cs="Calibri"/>
        </w:rPr>
        <w:t>&gt;. Acesso em: 25 de jun. 2025).</w:t>
      </w:r>
    </w:p>
  </w:footnote>
  <w:footnote w:id="54">
    <w:p w14:paraId="30F8B4DF" w14:textId="77777777" w:rsidR="00820B46" w:rsidRPr="003503A3" w:rsidRDefault="00820B46" w:rsidP="001C6456">
      <w:pPr>
        <w:contextualSpacing/>
        <w:rPr>
          <w:rFonts w:ascii="Calibri" w:hAnsi="Calibri" w:cs="Calibri"/>
          <w:sz w:val="20"/>
          <w:szCs w:val="20"/>
        </w:rPr>
      </w:pPr>
      <w:r w:rsidRPr="003503A3">
        <w:rPr>
          <w:rStyle w:val="Refdenotaderodap"/>
          <w:rFonts w:ascii="Calibri" w:hAnsi="Calibri" w:cs="Calibri"/>
          <w:sz w:val="20"/>
          <w:szCs w:val="20"/>
        </w:rPr>
        <w:footnoteRef/>
      </w:r>
      <w:r w:rsidRPr="003503A3">
        <w:rPr>
          <w:rFonts w:ascii="Calibri" w:hAnsi="Calibri" w:cs="Calibri"/>
          <w:sz w:val="20"/>
          <w:szCs w:val="20"/>
        </w:rPr>
        <w:t xml:space="preserve"> BRASIL. Conselho Nacional de Justiça (CNJ). </w:t>
      </w:r>
      <w:r w:rsidRPr="003503A3">
        <w:rPr>
          <w:rFonts w:ascii="Calibri" w:hAnsi="Calibri" w:cs="Calibri"/>
          <w:bCs/>
          <w:i/>
          <w:iCs/>
          <w:sz w:val="20"/>
          <w:szCs w:val="20"/>
        </w:rPr>
        <w:t>Diagnóstico da participação feminina no Poder Judiciário.</w:t>
      </w:r>
      <w:r w:rsidRPr="003503A3">
        <w:rPr>
          <w:rFonts w:ascii="Calibri" w:hAnsi="Calibri" w:cs="Calibri"/>
          <w:sz w:val="20"/>
          <w:szCs w:val="20"/>
        </w:rPr>
        <w:t xml:space="preserve"> Brasília: CNJ, 2019.</w:t>
      </w:r>
    </w:p>
    <w:p w14:paraId="55E29192" w14:textId="41A6A445" w:rsidR="00820B46" w:rsidRPr="003503A3" w:rsidRDefault="00820B46" w:rsidP="001C6456">
      <w:pPr>
        <w:contextualSpacing/>
        <w:rPr>
          <w:rFonts w:ascii="Calibri" w:hAnsi="Calibri" w:cs="Calibri"/>
          <w:sz w:val="20"/>
          <w:szCs w:val="20"/>
        </w:rPr>
      </w:pPr>
      <w:r w:rsidRPr="003503A3">
        <w:rPr>
          <w:rFonts w:ascii="Calibri" w:hAnsi="Calibri" w:cs="Calibri"/>
          <w:sz w:val="20"/>
          <w:szCs w:val="20"/>
        </w:rPr>
        <w:t>Disponível em: &lt;</w:t>
      </w:r>
      <w:hyperlink r:id="rId15" w:history="1">
        <w:r w:rsidRPr="003503A3">
          <w:rPr>
            <w:rStyle w:val="Hyperlink"/>
            <w:rFonts w:ascii="Calibri" w:hAnsi="Calibri" w:cs="Calibri"/>
            <w:color w:val="auto"/>
            <w:sz w:val="20"/>
            <w:szCs w:val="20"/>
            <w:u w:val="none"/>
          </w:rPr>
          <w:t>https://www.cnj.jus.br/wp-content/uploads/conteudo/arquivo/2019/05/cae277dd017bb4d4457755febf5eed9f.pdf</w:t>
        </w:r>
      </w:hyperlink>
      <w:r w:rsidRPr="003503A3">
        <w:rPr>
          <w:rFonts w:ascii="Calibri" w:hAnsi="Calibri" w:cs="Calibri"/>
          <w:sz w:val="20"/>
          <w:szCs w:val="20"/>
        </w:rPr>
        <w:t xml:space="preserve">&gt; </w:t>
      </w:r>
    </w:p>
    <w:p w14:paraId="16B01001" w14:textId="23B79BD9" w:rsidR="00820B46" w:rsidRPr="003503A3" w:rsidRDefault="00820B46" w:rsidP="001C6456">
      <w:pPr>
        <w:contextualSpacing/>
        <w:rPr>
          <w:rFonts w:ascii="Calibri" w:hAnsi="Calibri" w:cs="Calibri"/>
          <w:sz w:val="20"/>
          <w:szCs w:val="20"/>
        </w:rPr>
      </w:pPr>
      <w:r w:rsidRPr="003503A3">
        <w:rPr>
          <w:rFonts w:ascii="Calibri" w:hAnsi="Calibri" w:cs="Calibri"/>
          <w:sz w:val="20"/>
          <w:szCs w:val="20"/>
        </w:rPr>
        <w:t>Acesso em: 29 mai. 2025.</w:t>
      </w:r>
    </w:p>
  </w:footnote>
  <w:footnote w:id="55">
    <w:p w14:paraId="7B62B513" w14:textId="77777777"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Times New Roman" w:hAnsi="Calibri" w:cs="Calibri"/>
        </w:rPr>
        <w:t xml:space="preserve">BRASIL. Conselho Nacional de Justiça (CNJ). </w:t>
      </w:r>
      <w:r w:rsidRPr="003503A3">
        <w:rPr>
          <w:rFonts w:ascii="Calibri" w:eastAsia="Times New Roman" w:hAnsi="Calibri" w:cs="Calibri"/>
          <w:bCs/>
          <w:i/>
          <w:iCs/>
        </w:rPr>
        <w:t>Participação feminina na magistratura: atualizações 2023.</w:t>
      </w:r>
      <w:r w:rsidRPr="003503A3">
        <w:rPr>
          <w:rFonts w:ascii="Calibri" w:eastAsia="Times New Roman" w:hAnsi="Calibri" w:cs="Calibri"/>
        </w:rPr>
        <w:t xml:space="preserve"> Brasília: CNJ, 2023. Disponível em: &lt;</w:t>
      </w:r>
      <w:r w:rsidRPr="003503A3">
        <w:rPr>
          <w:rFonts w:ascii="Calibri" w:hAnsi="Calibri" w:cs="Calibri"/>
        </w:rPr>
        <w:t>https://www.cnj.jus.br/wp-content/uploads/2023/03/relatorio-participacao-feminina-na-magistratura-v3-20-03-23-ficha-catalografica.pdf&gt;. Acesso em: 29 mai. 2025.</w:t>
      </w:r>
    </w:p>
  </w:footnote>
  <w:footnote w:id="56">
    <w:p w14:paraId="14C99B62" w14:textId="77777777" w:rsidR="00820B46" w:rsidRPr="003503A3" w:rsidRDefault="00820B46" w:rsidP="001C6456">
      <w:pPr>
        <w:pStyle w:val="Textodenotaderodap"/>
        <w:contextualSpacing/>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Foram mantidas nesse trecho do texto as denominações de cargos em comissão e funções comissionadas do relatório do CNJ/2023 (cargos de confiança ou funções comissionadas), distintas daquelas utilizadas no relatório de 2019 (funções de confiança ou cargos comissionados). </w:t>
      </w:r>
    </w:p>
  </w:footnote>
  <w:footnote w:id="57">
    <w:p w14:paraId="33588B42"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A definição de identidade de gênero utilizada na pesquisa segue o relatório </w:t>
      </w:r>
      <w:r w:rsidRPr="003503A3">
        <w:rPr>
          <w:rFonts w:ascii="Calibri" w:hAnsi="Calibri" w:cs="Calibri"/>
          <w:i/>
          <w:sz w:val="20"/>
          <w:szCs w:val="20"/>
        </w:rPr>
        <w:t>Discriminação e Violência contra a população LGBTQIA+</w:t>
      </w:r>
      <w:r w:rsidRPr="003503A3">
        <w:rPr>
          <w:rFonts w:ascii="Calibri" w:hAnsi="Calibri" w:cs="Calibri"/>
          <w:sz w:val="20"/>
          <w:szCs w:val="20"/>
        </w:rPr>
        <w:t xml:space="preserve">: “experiência individual e interna de cada pessoa que pode ou não corresponder ao sexo desiganado ao nascimento”. (CONSELHO NACIONAL DE JUSTIÇA (CNJ). </w:t>
      </w:r>
      <w:r w:rsidRPr="003503A3">
        <w:rPr>
          <w:rFonts w:ascii="Calibri" w:hAnsi="Calibri" w:cs="Calibri"/>
          <w:i/>
          <w:sz w:val="20"/>
          <w:szCs w:val="20"/>
        </w:rPr>
        <w:t>Discriminação e violência contra a população LGBTQIA+</w:t>
      </w:r>
      <w:r w:rsidRPr="003503A3">
        <w:rPr>
          <w:rFonts w:ascii="Calibri" w:hAnsi="Calibri" w:cs="Calibri"/>
          <w:sz w:val="20"/>
          <w:szCs w:val="20"/>
        </w:rPr>
        <w:t>: relatório da pesquisa</w:t>
      </w:r>
      <w:r w:rsidRPr="003503A3">
        <w:rPr>
          <w:rFonts w:ascii="Calibri" w:hAnsi="Calibri" w:cs="Calibri"/>
          <w:i/>
          <w:sz w:val="20"/>
          <w:szCs w:val="20"/>
        </w:rPr>
        <w:t>.</w:t>
      </w:r>
      <w:r w:rsidRPr="003503A3">
        <w:rPr>
          <w:rFonts w:ascii="Calibri" w:hAnsi="Calibri" w:cs="Calibri"/>
          <w:sz w:val="20"/>
          <w:szCs w:val="20"/>
        </w:rPr>
        <w:t xml:space="preserve"> Brasília: CNJ, 2022. Disponível em: &lt;</w:t>
      </w:r>
      <w:hyperlink r:id="rId16">
        <w:r w:rsidRPr="003503A3">
          <w:rPr>
            <w:rFonts w:ascii="Calibri" w:hAnsi="Calibri" w:cs="Calibri"/>
            <w:sz w:val="20"/>
            <w:szCs w:val="20"/>
          </w:rPr>
          <w:t>https://www.cnj.jus.br/wp-content/uploads/2022/08/relatorio-pesquisa-discriminacao-e-violencia-contra-lgbtqia.pdf</w:t>
        </w:r>
      </w:hyperlink>
      <w:r w:rsidRPr="003503A3">
        <w:rPr>
          <w:rFonts w:ascii="Calibri" w:hAnsi="Calibri" w:cs="Calibri"/>
          <w:sz w:val="20"/>
          <w:szCs w:val="20"/>
        </w:rPr>
        <w:t>&gt;. Acesso em: 08 mai. 2025).</w:t>
      </w:r>
    </w:p>
  </w:footnote>
  <w:footnote w:id="58">
    <w:p w14:paraId="66E31ED8"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Como a grande maioria dos respondentes se identificou como cisgênero, com o restante optando por "Prefiro não informar", a análise não incluirá cruzamentos de dados considerando a identidade de gênero.</w:t>
      </w:r>
    </w:p>
  </w:footnote>
  <w:footnote w:id="59">
    <w:p w14:paraId="32232354" w14:textId="62BBDA86"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A definição de orientação sexual utilizada segue o relatório </w:t>
      </w:r>
      <w:r w:rsidRPr="003503A3">
        <w:rPr>
          <w:rFonts w:ascii="Calibri" w:hAnsi="Calibri" w:cs="Calibri"/>
          <w:i/>
          <w:sz w:val="20"/>
          <w:szCs w:val="20"/>
        </w:rPr>
        <w:t>Discriminação e Violência contra a população LGBTQIA+</w:t>
      </w:r>
      <w:r w:rsidRPr="003503A3">
        <w:rPr>
          <w:rFonts w:ascii="Calibri" w:hAnsi="Calibri" w:cs="Calibri"/>
          <w:sz w:val="20"/>
          <w:szCs w:val="20"/>
        </w:rPr>
        <w:t xml:space="preserve">: “a atração física, sexual e afetiva por indivíduos que podem ser de gênero diferente, do mesmo gênero ou de mais de um gênero”. (CONSELHO NACIONAL DE JUSTIÇA (CNJ). </w:t>
      </w:r>
      <w:r w:rsidRPr="003503A3">
        <w:rPr>
          <w:rFonts w:ascii="Calibri" w:hAnsi="Calibri" w:cs="Calibri"/>
          <w:i/>
          <w:sz w:val="20"/>
          <w:szCs w:val="20"/>
        </w:rPr>
        <w:t>Discriminação e violência contra a população LGBTQIA+</w:t>
      </w:r>
      <w:r w:rsidRPr="003503A3">
        <w:rPr>
          <w:rFonts w:ascii="Calibri" w:hAnsi="Calibri" w:cs="Calibri"/>
          <w:sz w:val="20"/>
          <w:szCs w:val="20"/>
        </w:rPr>
        <w:t>: relatório da pesquisa</w:t>
      </w:r>
      <w:r w:rsidRPr="003503A3">
        <w:rPr>
          <w:rFonts w:ascii="Calibri" w:hAnsi="Calibri" w:cs="Calibri"/>
          <w:i/>
          <w:sz w:val="20"/>
          <w:szCs w:val="20"/>
        </w:rPr>
        <w:t>.</w:t>
      </w:r>
      <w:r w:rsidRPr="003503A3">
        <w:rPr>
          <w:rFonts w:ascii="Calibri" w:hAnsi="Calibri" w:cs="Calibri"/>
          <w:sz w:val="20"/>
          <w:szCs w:val="20"/>
        </w:rPr>
        <w:t xml:space="preserve"> Brasília: CNJ, 2022. Disponível em: &lt;</w:t>
      </w:r>
      <w:hyperlink r:id="rId17">
        <w:r w:rsidRPr="003503A3">
          <w:rPr>
            <w:rFonts w:ascii="Calibri" w:hAnsi="Calibri" w:cs="Calibri"/>
            <w:sz w:val="20"/>
            <w:szCs w:val="20"/>
          </w:rPr>
          <w:t>https://www.cnj.jus.br/wp-content/uploads/2022/08/relatorio-pesquisa-discriminacao-e-violencia-contra-lgbtqia.pdf</w:t>
        </w:r>
      </w:hyperlink>
      <w:r w:rsidRPr="003503A3">
        <w:rPr>
          <w:rFonts w:ascii="Calibri" w:hAnsi="Calibri" w:cs="Calibri"/>
          <w:sz w:val="20"/>
          <w:szCs w:val="20"/>
        </w:rPr>
        <w:t>&gt;. Acesso em: 08 mai. 2025.).</w:t>
      </w:r>
    </w:p>
  </w:footnote>
  <w:footnote w:id="60">
    <w:p w14:paraId="090F25B6" w14:textId="77777777" w:rsidR="00820B46" w:rsidRPr="003503A3" w:rsidRDefault="00820B46" w:rsidP="001C6456">
      <w:pPr>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Como apenas um respondente se identificou no grupo "outro" da categoria orientação sexual, os dados desse grupo serão omitidos nos cruzamentos para preservar a privacidade e o anonimato.  </w:t>
      </w:r>
    </w:p>
  </w:footnote>
  <w:footnote w:id="61">
    <w:p w14:paraId="25266294"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Como a amostra dos respondentes "menores de 18 anos" é muito pequena, os dados desse grupo serão omitidos nos cruzamentos para preservar a privacidade e o anonimato.  </w:t>
      </w:r>
    </w:p>
  </w:footnote>
  <w:footnote w:id="62">
    <w:p w14:paraId="4CA088BA"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Como a amostra daqueles que “preferiram não informar” a identidade étnica/racial é muito pequena, os dados desse grupo serão omitidos nos cruzamentos para preservar a privacidade e o anonimato.  </w:t>
      </w:r>
    </w:p>
  </w:footnote>
  <w:footnote w:id="63">
    <w:p w14:paraId="45AA33EB"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Conforme já explicado na nota metodológica deste relatório, o questionário utilizado apresentou uma inconsistência na apresentação das opções de resposta</w:t>
      </w:r>
      <w:r w:rsidRPr="003503A3">
        <w:rPr>
          <w:rFonts w:ascii="Calibri" w:hAnsi="Calibri" w:cs="Calibri"/>
          <w:color w:val="374151"/>
          <w:sz w:val="20"/>
          <w:szCs w:val="20"/>
        </w:rPr>
        <w:t xml:space="preserve"> </w:t>
      </w:r>
      <w:r w:rsidRPr="003503A3">
        <w:rPr>
          <w:rFonts w:ascii="Calibri" w:hAnsi="Calibri" w:cs="Calibri"/>
          <w:sz w:val="20"/>
          <w:szCs w:val="20"/>
        </w:rPr>
        <w:t>da questão 2, o que comprometeu a análise completa dos dados referentes a esta questão da pesquisa.</w:t>
      </w:r>
    </w:p>
  </w:footnote>
  <w:footnote w:id="64">
    <w:p w14:paraId="2D968AE0" w14:textId="5B8EF782"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Nos cruzamentos dos dados da pesquisa com o marcador “deficiência", optou-se por apenas considerar os dados relativos a “pessoas com deficiência” e “pessoas sem deficiência” para melhor visualização e comparação dos dados.</w:t>
      </w:r>
    </w:p>
  </w:footnote>
  <w:footnote w:id="65">
    <w:p w14:paraId="71BC3934" w14:textId="1AA2165C" w:rsidR="00820B46" w:rsidRPr="003503A3" w:rsidRDefault="00820B46" w:rsidP="001C6456">
      <w:pPr>
        <w:pStyle w:val="Texto"/>
        <w:spacing w:line="240" w:lineRule="auto"/>
        <w:ind w:firstLine="0"/>
        <w:rPr>
          <w:rFonts w:ascii="Calibri" w:hAnsi="Calibri" w:cs="Calibri"/>
          <w:sz w:val="20"/>
          <w:szCs w:val="20"/>
        </w:rPr>
      </w:pPr>
      <w:r w:rsidRPr="003503A3">
        <w:rPr>
          <w:rStyle w:val="Refdenotaderodap"/>
          <w:rFonts w:ascii="Calibri" w:hAnsi="Calibri" w:cs="Calibri"/>
          <w:sz w:val="20"/>
          <w:szCs w:val="20"/>
        </w:rPr>
        <w:footnoteRef/>
      </w:r>
      <w:r w:rsidRPr="003503A3">
        <w:rPr>
          <w:rFonts w:ascii="Calibri" w:hAnsi="Calibri" w:cs="Calibri"/>
          <w:sz w:val="20"/>
          <w:szCs w:val="20"/>
        </w:rPr>
        <w:t xml:space="preserve"> Na questão 7 do questionário (“Você é pessoa com deficiência?), o respondente poderia assinalar mais de um tipo de deficiência.</w:t>
      </w:r>
    </w:p>
  </w:footnote>
  <w:footnote w:id="66">
    <w:p w14:paraId="39447E12" w14:textId="695FA4B3" w:rsidR="00820B46" w:rsidRPr="003503A3" w:rsidRDefault="00820B46" w:rsidP="001C6456">
      <w:pPr>
        <w:pBdr>
          <w:top w:val="nil"/>
          <w:left w:val="nil"/>
          <w:bottom w:val="nil"/>
          <w:right w:val="nil"/>
          <w:between w:val="nil"/>
        </w:pBdr>
        <w:spacing w:before="240"/>
        <w:jc w:val="both"/>
        <w:rPr>
          <w:rFonts w:ascii="Calibri" w:hAnsi="Calibri" w:cs="Calibri"/>
          <w:color w:val="000000"/>
          <w:sz w:val="20"/>
          <w:szCs w:val="20"/>
        </w:rPr>
      </w:pPr>
      <w:r w:rsidRPr="003503A3">
        <w:rPr>
          <w:rStyle w:val="Refdenotaderodap"/>
          <w:rFonts w:ascii="Calibri" w:hAnsi="Calibri" w:cs="Calibri"/>
          <w:sz w:val="20"/>
          <w:szCs w:val="20"/>
          <w:highlight w:val="yellow"/>
        </w:rPr>
        <w:footnoteRef/>
      </w:r>
      <w:r w:rsidRPr="003503A3">
        <w:rPr>
          <w:rFonts w:ascii="Calibri" w:hAnsi="Calibri" w:cs="Calibri"/>
          <w:sz w:val="20"/>
          <w:szCs w:val="20"/>
          <w:highlight w:val="yellow"/>
        </w:rPr>
        <w:t xml:space="preserve"> </w:t>
      </w:r>
      <w:r w:rsidRPr="004B08C1">
        <w:rPr>
          <w:rFonts w:ascii="Calibri" w:hAnsi="Calibri" w:cs="Calibri"/>
          <w:noProof/>
          <w:sz w:val="20"/>
          <w:szCs w:val="20"/>
        </w:rPr>
        <w:t xml:space="preserve">Pierre Bourdieu (2003, p. 45-47) analisa a masculinidade como uma construção social, mecanismo esse que naturaliza hierarquias de gênero e legitima a dominação masculina. Essa identidade, embora variável conforme o contexto social e cultural, tende a valorizar força, autonomia, competitividade e controle, sendo reproduzida por instituições como família, escola e mercado de trabalho, que consolidam padrões tradicionais de comportamento. BORDIEU, Pierre. </w:t>
      </w:r>
      <w:r w:rsidRPr="004B08C1">
        <w:rPr>
          <w:rFonts w:ascii="Calibri" w:hAnsi="Calibri" w:cs="Calibri"/>
          <w:i/>
          <w:noProof/>
          <w:sz w:val="20"/>
          <w:szCs w:val="20"/>
        </w:rPr>
        <w:t>A Dominação Masculina</w:t>
      </w:r>
      <w:r w:rsidRPr="004B08C1">
        <w:rPr>
          <w:rFonts w:ascii="Calibri" w:hAnsi="Calibri" w:cs="Calibri"/>
          <w:noProof/>
          <w:sz w:val="20"/>
          <w:szCs w:val="20"/>
        </w:rPr>
        <w:t>. Tradução Maria Helena Kühner. Rio de Janeiro: Bertrand Brasil, 2003.</w:t>
      </w:r>
    </w:p>
    <w:p w14:paraId="067F43FE" w14:textId="4578759A" w:rsidR="00820B46" w:rsidRPr="003503A3" w:rsidRDefault="00820B46" w:rsidP="001C6456">
      <w:pPr>
        <w:pStyle w:val="Textodenotaderodap"/>
        <w:rPr>
          <w:rFonts w:ascii="Calibri" w:hAnsi="Calibri" w:cs="Calibri"/>
        </w:rPr>
      </w:pPr>
    </w:p>
  </w:footnote>
  <w:footnote w:id="67">
    <w:p w14:paraId="1DC24AE1" w14:textId="77777777"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Times New Roman" w:hAnsi="Calibri" w:cs="Calibri"/>
        </w:rPr>
        <w:t xml:space="preserve">PINHEIRO, L. Quando o teto de vidro se torna de concreto: a sub-representação de mulheres negras nos postos diretivos do Executivo Federal entre 1999 e 2020. In: LOPEZ, F. G.; CARDOSO JUNIOR, J. C. (Orgs.). </w:t>
      </w:r>
      <w:r w:rsidRPr="003503A3">
        <w:rPr>
          <w:rFonts w:ascii="Calibri" w:eastAsia="Times New Roman" w:hAnsi="Calibri" w:cs="Calibri"/>
          <w:i/>
        </w:rPr>
        <w:t xml:space="preserve">Trajetórias da burocracia na Nova República: </w:t>
      </w:r>
      <w:r w:rsidRPr="003503A3">
        <w:rPr>
          <w:rFonts w:ascii="Calibri" w:eastAsia="Times New Roman" w:hAnsi="Calibri" w:cs="Calibri"/>
        </w:rPr>
        <w:t>heterogeneidades, desigualdades e perspectivas. Brasília: IPEA, 2023, p. 371-404.</w:t>
      </w:r>
    </w:p>
  </w:footnote>
  <w:footnote w:id="68">
    <w:p w14:paraId="41BF6471"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O termo </w:t>
      </w:r>
      <w:r w:rsidRPr="003503A3">
        <w:rPr>
          <w:rFonts w:ascii="Calibri" w:hAnsi="Calibri" w:cs="Calibri"/>
          <w:i/>
          <w:sz w:val="20"/>
          <w:szCs w:val="20"/>
        </w:rPr>
        <w:t>manterrupting</w:t>
      </w:r>
      <w:r w:rsidRPr="003503A3">
        <w:rPr>
          <w:rFonts w:ascii="Calibri" w:hAnsi="Calibri" w:cs="Calibri"/>
          <w:sz w:val="20"/>
          <w:szCs w:val="20"/>
        </w:rPr>
        <w:t xml:space="preserve"> é a junção das palavras </w:t>
      </w:r>
      <w:r w:rsidRPr="003503A3">
        <w:rPr>
          <w:rFonts w:ascii="Calibri" w:hAnsi="Calibri" w:cs="Calibri"/>
          <w:i/>
          <w:sz w:val="20"/>
          <w:szCs w:val="20"/>
        </w:rPr>
        <w:t>man</w:t>
      </w:r>
      <w:r w:rsidRPr="003503A3">
        <w:rPr>
          <w:rFonts w:ascii="Calibri" w:hAnsi="Calibri" w:cs="Calibri"/>
          <w:sz w:val="20"/>
          <w:szCs w:val="20"/>
        </w:rPr>
        <w:t xml:space="preserve"> e </w:t>
      </w:r>
      <w:r w:rsidRPr="003503A3">
        <w:rPr>
          <w:rFonts w:ascii="Calibri" w:hAnsi="Calibri" w:cs="Calibri"/>
          <w:i/>
          <w:sz w:val="20"/>
          <w:szCs w:val="20"/>
        </w:rPr>
        <w:t xml:space="preserve">interrupting </w:t>
      </w:r>
      <w:r w:rsidRPr="003503A3">
        <w:rPr>
          <w:rFonts w:ascii="Calibri" w:hAnsi="Calibri" w:cs="Calibri"/>
          <w:sz w:val="20"/>
          <w:szCs w:val="20"/>
        </w:rPr>
        <w:t xml:space="preserve">(do inglês, homem e interromper, respectivamente) no qual significa, literalmente, interrupções masculinas. Acontece quando um colega homem interrompe a fala de sua colega durante uma reunião ou apresentação e não a deixa continuar a expor sua ideia, atrapalhando a fluidez do raciocínio e prejudicando a exposição ou fala da mulher. (BRASIL. Tribunal Regional do Trabalho da 5.ª Região (TRT-5). </w:t>
      </w:r>
      <w:r w:rsidRPr="003503A3">
        <w:rPr>
          <w:rFonts w:ascii="Calibri" w:hAnsi="Calibri" w:cs="Calibri"/>
          <w:i/>
          <w:sz w:val="20"/>
          <w:szCs w:val="20"/>
        </w:rPr>
        <w:t>Microagressões</w:t>
      </w:r>
      <w:r w:rsidRPr="003503A3">
        <w:rPr>
          <w:rFonts w:ascii="Calibri" w:hAnsi="Calibri" w:cs="Calibri"/>
          <w:sz w:val="20"/>
          <w:szCs w:val="20"/>
        </w:rPr>
        <w:t>: o que são e como combatê-las. Salvador: TRT5, 2023. Disponível em: &lt;https://www.trt5.jus.br/sites/default/files/intra/microagressoes.pdf&gt;. Acesso em: 2 jun. 2025.).</w:t>
      </w:r>
    </w:p>
  </w:footnote>
  <w:footnote w:id="69">
    <w:p w14:paraId="667D208F"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O termo "microagressões", criado pelo psiquiatra Chester M. Pierce na década de 1970, refere-se </w:t>
      </w:r>
      <w:r w:rsidRPr="003503A3">
        <w:rPr>
          <w:rFonts w:ascii="Calibri" w:hAnsi="Calibri" w:cs="Calibri"/>
          <w:color w:val="222222"/>
          <w:sz w:val="20"/>
          <w:szCs w:val="20"/>
          <w:highlight w:val="white"/>
        </w:rPr>
        <w:t>a “comentários, perguntas e pequenas ações hostis que questionam ou desqualificam, de maneira velada e rotineira, pessoas ou grupos de minorias sociais”.</w:t>
      </w:r>
      <w:r w:rsidRPr="003503A3">
        <w:rPr>
          <w:rFonts w:ascii="Calibri" w:hAnsi="Calibri" w:cs="Calibri"/>
          <w:sz w:val="20"/>
          <w:szCs w:val="20"/>
        </w:rPr>
        <w:t xml:space="preserve"> (BRASIL. Tribunal Superior do Trabalho (TST). </w:t>
      </w:r>
      <w:r w:rsidRPr="003503A3">
        <w:rPr>
          <w:rFonts w:ascii="Calibri" w:hAnsi="Calibri" w:cs="Calibri"/>
          <w:i/>
          <w:sz w:val="20"/>
          <w:szCs w:val="20"/>
        </w:rPr>
        <w:t>Microagressões de gênero</w:t>
      </w:r>
      <w:r w:rsidRPr="003503A3">
        <w:rPr>
          <w:rFonts w:ascii="Calibri" w:hAnsi="Calibri" w:cs="Calibri"/>
          <w:sz w:val="20"/>
          <w:szCs w:val="20"/>
        </w:rPr>
        <w:t>: como elas operam nas relações trabalhistas</w:t>
      </w:r>
      <w:r w:rsidRPr="003503A3">
        <w:rPr>
          <w:rFonts w:ascii="Calibri" w:hAnsi="Calibri" w:cs="Calibri"/>
          <w:i/>
          <w:sz w:val="20"/>
          <w:szCs w:val="20"/>
        </w:rPr>
        <w:t>.</w:t>
      </w:r>
      <w:r w:rsidRPr="003503A3">
        <w:rPr>
          <w:rFonts w:ascii="Calibri" w:hAnsi="Calibri" w:cs="Calibri"/>
          <w:sz w:val="20"/>
          <w:szCs w:val="20"/>
        </w:rPr>
        <w:t xml:space="preserve"> Brasília, DF: TST, (2024). Disponível em: &lt;</w:t>
      </w:r>
      <w:hyperlink r:id="rId18">
        <w:r w:rsidRPr="003503A3">
          <w:rPr>
            <w:rFonts w:ascii="Calibri" w:hAnsi="Calibri" w:cs="Calibri"/>
            <w:sz w:val="20"/>
            <w:szCs w:val="20"/>
          </w:rPr>
          <w:t>https://www.tst.jus.br/-/microagress%C3%B5es-de-g%C3%AAnero-como-elas-operam-nas-rela%C3%A7%C3%B5es-trabalhistas</w:t>
        </w:r>
      </w:hyperlink>
      <w:r w:rsidRPr="003503A3">
        <w:rPr>
          <w:rFonts w:ascii="Calibri" w:hAnsi="Calibri" w:cs="Calibri"/>
          <w:sz w:val="20"/>
          <w:szCs w:val="20"/>
        </w:rPr>
        <w:t>&gt;. Acesso em: 2 jun. 2025.).</w:t>
      </w:r>
    </w:p>
  </w:footnote>
  <w:footnote w:id="70">
    <w:p w14:paraId="69570229"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Os estereótipos de gênero “se originam e são transformados por valores e códigos culturais que constroem representações sobre o que é ser homem ou ser mulher, e o papel exercido e a função ocupada por cada um deles na hierarquia social.” (GODINHO, L.; FILIZZOLA, L.; DE SOUZA, Rosânia; SALEJ, Ana Paula. Desigualdade de gênero no serviço público. In: SOUSA, Rosânia Rodrigues de et al. (org.). </w:t>
      </w:r>
      <w:r w:rsidRPr="003503A3">
        <w:rPr>
          <w:rFonts w:ascii="Calibri" w:hAnsi="Calibri" w:cs="Calibri"/>
          <w:i/>
          <w:sz w:val="20"/>
          <w:szCs w:val="20"/>
        </w:rPr>
        <w:t>A igualdade terá o rosto da mulher</w:t>
      </w:r>
      <w:r w:rsidRPr="003503A3">
        <w:rPr>
          <w:rFonts w:ascii="Calibri" w:hAnsi="Calibri" w:cs="Calibri"/>
          <w:sz w:val="20"/>
          <w:szCs w:val="20"/>
        </w:rPr>
        <w:t>. Porto Alegre: UFRGS/CEGOV, 2021. p. 139-154. E-book. Disponível em:</w:t>
      </w:r>
      <w:hyperlink r:id="rId19">
        <w:r w:rsidRPr="003503A3">
          <w:rPr>
            <w:rFonts w:ascii="Calibri" w:hAnsi="Calibri" w:cs="Calibri"/>
            <w:sz w:val="20"/>
            <w:szCs w:val="20"/>
          </w:rPr>
          <w:t xml:space="preserve"> </w:t>
        </w:r>
      </w:hyperlink>
      <w:r w:rsidRPr="003503A3">
        <w:rPr>
          <w:rFonts w:ascii="Calibri" w:hAnsi="Calibri" w:cs="Calibri"/>
          <w:sz w:val="20"/>
          <w:szCs w:val="20"/>
        </w:rPr>
        <w:t>&lt;</w:t>
      </w:r>
      <w:hyperlink r:id="rId20">
        <w:r w:rsidRPr="003503A3">
          <w:rPr>
            <w:rFonts w:ascii="Calibri" w:hAnsi="Calibri" w:cs="Calibri"/>
            <w:sz w:val="20"/>
            <w:szCs w:val="20"/>
          </w:rPr>
          <w:t>http://repositorio.fjp.mg.gov.br/handle/123456789/3553</w:t>
        </w:r>
      </w:hyperlink>
      <w:r w:rsidRPr="003503A3">
        <w:rPr>
          <w:rFonts w:ascii="Calibri" w:hAnsi="Calibri" w:cs="Calibri"/>
          <w:sz w:val="20"/>
          <w:szCs w:val="20"/>
        </w:rPr>
        <w:t>&gt;. Acesso em: 9 jun. 2025, p. 146.).</w:t>
      </w:r>
    </w:p>
  </w:footnote>
  <w:footnote w:id="71">
    <w:p w14:paraId="0C690925" w14:textId="7C8F4DAF" w:rsidR="00820B46" w:rsidRPr="003503A3" w:rsidRDefault="00820B46" w:rsidP="001C6456">
      <w:pPr>
        <w:pStyle w:val="Textodenotaderodap"/>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DAVIS, Angela. </w:t>
      </w:r>
      <w:r w:rsidRPr="003503A3">
        <w:rPr>
          <w:rStyle w:val="nfase"/>
          <w:rFonts w:ascii="Calibri" w:hAnsi="Calibri" w:cs="Calibri"/>
        </w:rPr>
        <w:t>Mulheres, raça e classe</w:t>
      </w:r>
      <w:r w:rsidRPr="003503A3">
        <w:rPr>
          <w:rFonts w:ascii="Calibri" w:hAnsi="Calibri" w:cs="Calibri"/>
        </w:rPr>
        <w:t>. São Paulo: Boitempo, 2016. p. 21-22.</w:t>
      </w:r>
    </w:p>
  </w:footnote>
  <w:footnote w:id="72">
    <w:p w14:paraId="458297F7" w14:textId="674C87CD" w:rsidR="00820B46" w:rsidRPr="003503A3" w:rsidRDefault="00820B46" w:rsidP="001C6456">
      <w:pPr>
        <w:pBdr>
          <w:top w:val="nil"/>
          <w:left w:val="nil"/>
          <w:bottom w:val="nil"/>
          <w:right w:val="nil"/>
          <w:between w:val="nil"/>
        </w:pBdr>
        <w:spacing w:before="240"/>
        <w:rPr>
          <w:rFonts w:ascii="Calibri" w:hAnsi="Calibri" w:cs="Calibri"/>
          <w:sz w:val="20"/>
          <w:szCs w:val="20"/>
        </w:rPr>
      </w:pPr>
      <w:r w:rsidRPr="003503A3">
        <w:rPr>
          <w:rStyle w:val="Refdenotaderodap"/>
          <w:rFonts w:ascii="Calibri" w:hAnsi="Calibri" w:cs="Calibri"/>
          <w:sz w:val="20"/>
          <w:szCs w:val="20"/>
        </w:rPr>
        <w:footnoteRef/>
      </w:r>
      <w:r w:rsidRPr="003503A3">
        <w:rPr>
          <w:rFonts w:ascii="Calibri" w:hAnsi="Calibri" w:cs="Calibri"/>
          <w:sz w:val="20"/>
          <w:szCs w:val="20"/>
        </w:rPr>
        <w:t xml:space="preserve"> BEAUVOIR, Simone de. 1908-1986. </w:t>
      </w:r>
      <w:r w:rsidRPr="003503A3">
        <w:rPr>
          <w:rFonts w:ascii="Calibri" w:hAnsi="Calibri" w:cs="Calibri"/>
          <w:b/>
          <w:sz w:val="20"/>
          <w:szCs w:val="20"/>
        </w:rPr>
        <w:t>O segundo sexo:</w:t>
      </w:r>
      <w:r w:rsidRPr="003503A3">
        <w:rPr>
          <w:rFonts w:ascii="Calibri" w:hAnsi="Calibri" w:cs="Calibri"/>
          <w:sz w:val="20"/>
          <w:szCs w:val="20"/>
        </w:rPr>
        <w:t xml:space="preserve"> fatos e mitos.</w:t>
      </w:r>
      <w:r w:rsidRPr="003503A3">
        <w:rPr>
          <w:rFonts w:ascii="Calibri" w:hAnsi="Calibri" w:cs="Calibri"/>
          <w:i/>
          <w:sz w:val="20"/>
          <w:szCs w:val="20"/>
        </w:rPr>
        <w:t xml:space="preserve"> </w:t>
      </w:r>
      <w:r w:rsidRPr="003503A3">
        <w:rPr>
          <w:rFonts w:ascii="Calibri" w:hAnsi="Calibri" w:cs="Calibri"/>
          <w:sz w:val="20"/>
          <w:szCs w:val="20"/>
        </w:rPr>
        <w:t>Tradução Sérgio Milliet. - 5 ed. Rio de Janeiro: Nova Fronteira, 2019.   (Box: Edição Comemorativa 1949-2019), v. 1, p. 15-18 e p. 265-267.</w:t>
      </w:r>
    </w:p>
  </w:footnote>
  <w:footnote w:id="73">
    <w:p w14:paraId="5B16719A" w14:textId="4F3EC056" w:rsidR="00820B46" w:rsidRPr="003503A3" w:rsidRDefault="00820B46" w:rsidP="001C6456">
      <w:pPr>
        <w:pBdr>
          <w:top w:val="nil"/>
          <w:left w:val="nil"/>
          <w:bottom w:val="nil"/>
          <w:right w:val="nil"/>
          <w:between w:val="nil"/>
        </w:pBdr>
        <w:spacing w:before="240"/>
        <w:jc w:val="both"/>
        <w:rPr>
          <w:rFonts w:ascii="Calibri" w:hAnsi="Calibri" w:cs="Calibri"/>
          <w:sz w:val="20"/>
          <w:szCs w:val="20"/>
        </w:rPr>
      </w:pPr>
      <w:r w:rsidRPr="009C3FD3">
        <w:rPr>
          <w:rStyle w:val="Refdenotaderodap"/>
          <w:rFonts w:ascii="Calibri" w:hAnsi="Calibri" w:cs="Calibri"/>
          <w:sz w:val="20"/>
          <w:szCs w:val="20"/>
        </w:rPr>
        <w:footnoteRef/>
      </w:r>
      <w:r w:rsidRPr="009C3FD3">
        <w:rPr>
          <w:rFonts w:ascii="Calibri" w:hAnsi="Calibri" w:cs="Calibri"/>
          <w:sz w:val="20"/>
          <w:szCs w:val="20"/>
        </w:rPr>
        <w:t xml:space="preserve"> BRASIL. Presidência da República. Secretaria de Comunicação Social. Conheça medidas do Governo Federal para o enfrentamento da invisibilidade do trabalho de cuidado no país. 06 nov. 2023. Disponível em </w:t>
      </w:r>
      <w:hyperlink r:id="rId21">
        <w:r w:rsidRPr="009C3FD3">
          <w:rPr>
            <w:rFonts w:ascii="Calibri" w:hAnsi="Calibri" w:cs="Calibri"/>
            <w:sz w:val="20"/>
            <w:szCs w:val="20"/>
          </w:rPr>
          <w:t xml:space="preserve">https://www.gov.br/secom/pt-br/assuntos/noticias/2023/11/conheca-medidas-do-governo-federal-para-o-enfrentamento-da-invisibilidade-do-trabalho-de-cuidado-no-pais </w:t>
        </w:r>
      </w:hyperlink>
      <w:r w:rsidRPr="009C3FD3">
        <w:rPr>
          <w:rFonts w:ascii="Calibri" w:hAnsi="Calibri" w:cs="Calibri"/>
          <w:sz w:val="20"/>
          <w:szCs w:val="20"/>
        </w:rPr>
        <w:t>. Acesso em: 17 ago. 2025.</w:t>
      </w:r>
      <w:r w:rsidRPr="003503A3">
        <w:rPr>
          <w:rFonts w:ascii="Calibri" w:hAnsi="Calibri" w:cs="Calibri"/>
          <w:sz w:val="20"/>
          <w:szCs w:val="20"/>
        </w:rPr>
        <w:t xml:space="preserve"> </w:t>
      </w:r>
    </w:p>
  </w:footnote>
  <w:footnote w:id="74">
    <w:p w14:paraId="535561A0"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Esses estudos utilizam o conceito de “divisão sexual do trabalho” para explicar as desigualdades de gênero em esferas de poder. Essa divisão se baseia em dois pressupostos: o da “separação”, que diferencia o trabalho dos homens (esfera produtiva) do trabalho das mulheres (esfera reprodutiva); e o da “hierarquização”, que indica que o trabalho dos homens tem mais valor do que o trabalho das mulheres (Cf. BIROLI, Flávia. Divisão Sexual do Trabalho e Democracia. </w:t>
      </w:r>
      <w:r w:rsidRPr="003503A3">
        <w:rPr>
          <w:rFonts w:ascii="Calibri" w:hAnsi="Calibri" w:cs="Calibri"/>
          <w:i/>
          <w:sz w:val="20"/>
          <w:szCs w:val="20"/>
        </w:rPr>
        <w:t>Dados: Revista de Ciências Sociais</w:t>
      </w:r>
      <w:r w:rsidRPr="003503A3">
        <w:rPr>
          <w:rFonts w:ascii="Calibri" w:hAnsi="Calibri" w:cs="Calibri"/>
          <w:sz w:val="20"/>
          <w:szCs w:val="20"/>
        </w:rPr>
        <w:t xml:space="preserve">, Rio de Janeiro, v. 59, n. 3, 2016; FERNANDEZ, M.; MARQUES, A. Liderança de mulheres na burocracia federal: dificuldades e desafios para ascensão. </w:t>
      </w:r>
      <w:r w:rsidRPr="003503A3">
        <w:rPr>
          <w:rFonts w:ascii="Calibri" w:hAnsi="Calibri" w:cs="Calibri"/>
          <w:i/>
          <w:sz w:val="20"/>
          <w:szCs w:val="20"/>
        </w:rPr>
        <w:t>Revista Campo de Públicas: conexões e experiências</w:t>
      </w:r>
      <w:r w:rsidRPr="003503A3">
        <w:rPr>
          <w:rFonts w:ascii="Calibri" w:hAnsi="Calibri" w:cs="Calibri"/>
          <w:sz w:val="20"/>
          <w:szCs w:val="20"/>
        </w:rPr>
        <w:t xml:space="preserve">, Belo Horizonte, v. 3, n. 1, p. 57-83, jan./jun. 2024; e GODINHO, L.; FILIZZOLA, L.; DE SOUZA, Rosânia; SALEJ, Ana Paula. Desigualdade de gênero no serviço público. In: SOUSA, Rosânia Rodrigues de et al. (org.). </w:t>
      </w:r>
      <w:r w:rsidRPr="003503A3">
        <w:rPr>
          <w:rFonts w:ascii="Calibri" w:hAnsi="Calibri" w:cs="Calibri"/>
          <w:i/>
          <w:sz w:val="20"/>
          <w:szCs w:val="20"/>
        </w:rPr>
        <w:t>A igualdade terá o rosto da mulher</w:t>
      </w:r>
      <w:r w:rsidRPr="003503A3">
        <w:rPr>
          <w:rFonts w:ascii="Calibri" w:hAnsi="Calibri" w:cs="Calibri"/>
          <w:sz w:val="20"/>
          <w:szCs w:val="20"/>
        </w:rPr>
        <w:t>. Porto Alegre: UFRGS/CEGOV, 2021. p. 139-154. E-book. Disponível em:</w:t>
      </w:r>
      <w:hyperlink r:id="rId22">
        <w:r w:rsidRPr="003503A3">
          <w:rPr>
            <w:rFonts w:ascii="Calibri" w:hAnsi="Calibri" w:cs="Calibri"/>
            <w:sz w:val="20"/>
            <w:szCs w:val="20"/>
          </w:rPr>
          <w:t xml:space="preserve"> </w:t>
        </w:r>
      </w:hyperlink>
      <w:r w:rsidRPr="003503A3">
        <w:rPr>
          <w:rFonts w:ascii="Calibri" w:hAnsi="Calibri" w:cs="Calibri"/>
          <w:sz w:val="20"/>
          <w:szCs w:val="20"/>
        </w:rPr>
        <w:t>&lt;</w:t>
      </w:r>
      <w:hyperlink r:id="rId23">
        <w:r w:rsidRPr="003503A3">
          <w:rPr>
            <w:rFonts w:ascii="Calibri" w:hAnsi="Calibri" w:cs="Calibri"/>
            <w:sz w:val="20"/>
            <w:szCs w:val="20"/>
          </w:rPr>
          <w:t>http://repositorio.fjp.mg.gov.br/handle/123456789/3553</w:t>
        </w:r>
      </w:hyperlink>
      <w:r w:rsidRPr="003503A3">
        <w:rPr>
          <w:rFonts w:ascii="Calibri" w:hAnsi="Calibri" w:cs="Calibri"/>
          <w:sz w:val="20"/>
          <w:szCs w:val="20"/>
        </w:rPr>
        <w:t>&gt;. Acesso em: 9 jun. 2025.).</w:t>
      </w:r>
    </w:p>
  </w:footnote>
  <w:footnote w:id="75">
    <w:p w14:paraId="0D8F15FD" w14:textId="77777777" w:rsidR="00820B46" w:rsidRPr="003503A3" w:rsidRDefault="00820B46" w:rsidP="001C6456">
      <w:pPr>
        <w:pStyle w:val="Textodenotaderodap"/>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Ibidem.</w:t>
      </w:r>
    </w:p>
  </w:footnote>
  <w:footnote w:id="76">
    <w:p w14:paraId="454B3CBD" w14:textId="77777777" w:rsidR="00820B46" w:rsidRPr="003503A3" w:rsidRDefault="00820B46" w:rsidP="001C6456">
      <w:pPr>
        <w:pStyle w:val="Textodenotaderodap"/>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Times New Roman" w:hAnsi="Calibri" w:cs="Calibri"/>
        </w:rPr>
        <w:t xml:space="preserve">GODINHO, L.; FILIZZOLA, L.; DE SOUZA, Rosânia; SALEJ, Ana Paula. Desigualdade de gênero no serviço público. In: SOUSA, Rosânia Rodrigues de et al. (org.). </w:t>
      </w:r>
      <w:r w:rsidRPr="003503A3">
        <w:rPr>
          <w:rFonts w:ascii="Calibri" w:eastAsia="Times New Roman" w:hAnsi="Calibri" w:cs="Calibri"/>
          <w:i/>
        </w:rPr>
        <w:t>A igualdade terá o rosto da mulher</w:t>
      </w:r>
      <w:r w:rsidRPr="003503A3">
        <w:rPr>
          <w:rFonts w:ascii="Calibri" w:eastAsia="Times New Roman" w:hAnsi="Calibri" w:cs="Calibri"/>
        </w:rPr>
        <w:t>. Porto Alegre: UFRGS/CEGOV, 2021. p. 139-154. E-book. Disponível em:</w:t>
      </w:r>
      <w:hyperlink r:id="rId24">
        <w:r w:rsidRPr="003503A3">
          <w:rPr>
            <w:rFonts w:ascii="Calibri" w:eastAsia="Times New Roman" w:hAnsi="Calibri" w:cs="Calibri"/>
          </w:rPr>
          <w:t xml:space="preserve"> </w:t>
        </w:r>
      </w:hyperlink>
      <w:r w:rsidRPr="003503A3">
        <w:rPr>
          <w:rFonts w:ascii="Calibri" w:eastAsia="Times New Roman" w:hAnsi="Calibri" w:cs="Calibri"/>
        </w:rPr>
        <w:t>&lt;</w:t>
      </w:r>
      <w:hyperlink r:id="rId25">
        <w:r w:rsidRPr="003503A3">
          <w:rPr>
            <w:rFonts w:ascii="Calibri" w:eastAsia="Times New Roman" w:hAnsi="Calibri" w:cs="Calibri"/>
          </w:rPr>
          <w:t>http://repositorio.fjp.mg.gov.br/handle/123456789/3553</w:t>
        </w:r>
      </w:hyperlink>
      <w:r w:rsidRPr="003503A3">
        <w:rPr>
          <w:rFonts w:ascii="Calibri" w:eastAsia="Times New Roman" w:hAnsi="Calibri" w:cs="Calibri"/>
        </w:rPr>
        <w:t>&gt;. Acesso em: 9 jun. 2025.</w:t>
      </w:r>
    </w:p>
  </w:footnote>
  <w:footnote w:id="77">
    <w:p w14:paraId="06699359" w14:textId="4B110920"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9C3FD3">
        <w:rPr>
          <w:rFonts w:ascii="Calibri" w:hAnsi="Calibri" w:cs="Calibri"/>
          <w:color w:val="333333"/>
          <w:shd w:val="clear" w:color="auto" w:fill="FFFFFF"/>
        </w:rPr>
        <w:t xml:space="preserve">BRASIL. Tribunal Superior do Trabalho. Ato n. 489/GDGSET.GP, de 24 de agosto de 2023. Boletim Interno [do] Tribunal Superior do Trabalho, Brasília, DF, n. 33, p. 19, 25 ago. 2023. </w:t>
      </w:r>
      <w:r w:rsidRPr="009C3FD3">
        <w:rPr>
          <w:rFonts w:ascii="Calibri" w:hAnsi="Calibri" w:cs="Calibri"/>
          <w:color w:val="001D35"/>
          <w:shd w:val="clear" w:color="auto" w:fill="FFFFFF"/>
        </w:rPr>
        <w:t>O TST Berçário é um programa do Tribunal Superior do Trabalho (TST) para acolher os filhos de seus servidores (e de outros tribunais, por convênio), oferecendo cuidados e educação para crianças de 6 meses a 24 meses, com o objetivo de garantir o bem-estar dos bebês e a tranquilidade dos pais enquanto trabalham. Inaugurado em 2014, o espaço foi nomeado em homenagem à ex-ministra Cnéia Cimini e possui estrutura equipada, incluindo espaço para amamentação.</w:t>
      </w:r>
      <w:r w:rsidRPr="003503A3">
        <w:rPr>
          <w:rStyle w:val="uv3um"/>
          <w:rFonts w:ascii="Calibri" w:hAnsi="Calibri" w:cs="Calibri"/>
          <w:color w:val="001D35"/>
          <w:shd w:val="clear" w:color="auto" w:fill="FFFFFF"/>
        </w:rPr>
        <w:t> </w:t>
      </w:r>
    </w:p>
  </w:footnote>
  <w:footnote w:id="78">
    <w:p w14:paraId="2CAAD674" w14:textId="45CEDA9C"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ALVES (2022) apud </w:t>
      </w:r>
      <w:r w:rsidRPr="003503A3">
        <w:rPr>
          <w:rFonts w:ascii="Calibri" w:eastAsia="Times New Roman" w:hAnsi="Calibri" w:cs="Calibri"/>
        </w:rPr>
        <w:t xml:space="preserve">TIMÓTEO, Marcela de Oliveira. Estratégias de diversidade, inclusão e equidade de gênero e raça em órgãos da administração pública federal: avanços e desafios. </w:t>
      </w:r>
      <w:r w:rsidRPr="003503A3">
        <w:rPr>
          <w:rFonts w:ascii="Calibri" w:eastAsia="Times New Roman" w:hAnsi="Calibri" w:cs="Calibri"/>
          <w:i/>
        </w:rPr>
        <w:t>Revista do TCU</w:t>
      </w:r>
      <w:r w:rsidRPr="003503A3">
        <w:rPr>
          <w:rFonts w:ascii="Calibri" w:eastAsia="Times New Roman" w:hAnsi="Calibri" w:cs="Calibri"/>
        </w:rPr>
        <w:t>, Brasília, DF, v. 40, n. 120, p. 142-167, maio/ago. 2023. Disponível em:</w:t>
      </w:r>
      <w:hyperlink r:id="rId26">
        <w:r w:rsidRPr="003503A3">
          <w:rPr>
            <w:rFonts w:ascii="Calibri" w:eastAsia="Times New Roman" w:hAnsi="Calibri" w:cs="Calibri"/>
          </w:rPr>
          <w:t xml:space="preserve"> </w:t>
        </w:r>
      </w:hyperlink>
      <w:r w:rsidRPr="003503A3">
        <w:rPr>
          <w:rFonts w:ascii="Calibri" w:eastAsia="Times New Roman" w:hAnsi="Calibri" w:cs="Calibri"/>
        </w:rPr>
        <w:t>&lt;</w:t>
      </w:r>
      <w:hyperlink r:id="rId27">
        <w:r w:rsidRPr="003503A3">
          <w:rPr>
            <w:rFonts w:ascii="Calibri" w:eastAsia="Times New Roman" w:hAnsi="Calibri" w:cs="Calibri"/>
          </w:rPr>
          <w:t>https://revista.tcu.gov.br/ojs/index.php/RTCU/article/view/1841/1904</w:t>
        </w:r>
      </w:hyperlink>
      <w:r w:rsidRPr="003503A3">
        <w:rPr>
          <w:rFonts w:ascii="Calibri" w:eastAsia="Times New Roman" w:hAnsi="Calibri" w:cs="Calibri"/>
        </w:rPr>
        <w:t>&gt;. Acesso em: 9 jun. 2025.</w:t>
      </w:r>
    </w:p>
  </w:footnote>
  <w:footnote w:id="79">
    <w:p w14:paraId="4B2D3EFF" w14:textId="71765779"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Times New Roman" w:hAnsi="Calibri" w:cs="Calibri"/>
          <w:b/>
          <w:bCs/>
        </w:rPr>
        <w:t>BRASIL. Conselho Nacional de Justiça.</w:t>
      </w:r>
      <w:r w:rsidRPr="003503A3">
        <w:rPr>
          <w:rFonts w:ascii="Calibri" w:eastAsia="Times New Roman" w:hAnsi="Calibri" w:cs="Calibri"/>
        </w:rPr>
        <w:t xml:space="preserve"> Resolução nº 540, de 18 de dezembro de 2023. Altera a Resolução CNJ nº 255/2018 e dispõe sobre a paridade de gênero, com perspectiva interseccional de raça e etnia, em atividades administrativas e jurisdicionais no âmbito do Poder Judiciário. </w:t>
      </w:r>
      <w:r w:rsidRPr="003503A3">
        <w:rPr>
          <w:rFonts w:ascii="Calibri" w:eastAsia="Times New Roman" w:hAnsi="Calibri" w:cs="Calibri"/>
          <w:i/>
          <w:iCs/>
        </w:rPr>
        <w:t>Diário da Justiça Eletrônico: CNJ</w:t>
      </w:r>
      <w:r w:rsidRPr="003503A3">
        <w:rPr>
          <w:rFonts w:ascii="Calibri" w:eastAsia="Times New Roman" w:hAnsi="Calibri" w:cs="Calibri"/>
        </w:rPr>
        <w:t>, Brasília, DF, 18 dez. 2023.</w:t>
      </w:r>
    </w:p>
  </w:footnote>
  <w:footnote w:id="80">
    <w:p w14:paraId="30F1DC76" w14:textId="1B5F44B1"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O termo "</w:t>
      </w:r>
      <w:r w:rsidRPr="003503A3">
        <w:rPr>
          <w:rFonts w:ascii="Calibri" w:hAnsi="Calibri" w:cs="Calibri"/>
          <w:i/>
          <w:sz w:val="20"/>
          <w:szCs w:val="20"/>
        </w:rPr>
        <w:t>gaslighting</w:t>
      </w:r>
      <w:r w:rsidRPr="003503A3">
        <w:rPr>
          <w:rFonts w:ascii="Calibri" w:hAnsi="Calibri" w:cs="Calibri"/>
          <w:sz w:val="20"/>
          <w:szCs w:val="20"/>
        </w:rPr>
        <w:t>" corresponde a “uma tática para desestabilizar a mulher por meio de artimanhas psicológicas que a fazem duvidar de si</w:t>
      </w:r>
      <w:r w:rsidRPr="003503A3">
        <w:rPr>
          <w:rFonts w:ascii="Calibri" w:hAnsi="Calibri" w:cs="Calibri"/>
          <w:color w:val="222222"/>
          <w:sz w:val="20"/>
          <w:szCs w:val="20"/>
          <w:highlight w:val="white"/>
        </w:rPr>
        <w:t xml:space="preserve">. É frequentemente praticado por homens para manipular, desacreditar e intimidar mulheres quanto à percepção delas a respeito de acontecimentos e informações que acreditavam estar certas. É comum a pessoa que comete o </w:t>
      </w:r>
      <w:r w:rsidRPr="003503A3">
        <w:rPr>
          <w:rFonts w:ascii="Calibri" w:hAnsi="Calibri" w:cs="Calibri"/>
          <w:i/>
          <w:color w:val="222222"/>
          <w:sz w:val="20"/>
          <w:szCs w:val="20"/>
          <w:highlight w:val="white"/>
        </w:rPr>
        <w:t xml:space="preserve">gaslighting </w:t>
      </w:r>
      <w:r w:rsidRPr="003503A3">
        <w:rPr>
          <w:rFonts w:ascii="Calibri" w:hAnsi="Calibri" w:cs="Calibri"/>
          <w:color w:val="222222"/>
          <w:sz w:val="20"/>
          <w:szCs w:val="20"/>
          <w:highlight w:val="white"/>
        </w:rPr>
        <w:t>culpar a própria vítima quando ela se encontra em confusão mental e sofrimento”.</w:t>
      </w:r>
      <w:r w:rsidRPr="003503A3">
        <w:rPr>
          <w:rFonts w:ascii="Calibri" w:hAnsi="Calibri" w:cs="Calibri"/>
          <w:sz w:val="20"/>
          <w:szCs w:val="20"/>
        </w:rPr>
        <w:t xml:space="preserve"> (BRASIL. Tribunal Superior do Trabalho (TST). </w:t>
      </w:r>
      <w:r w:rsidRPr="003503A3">
        <w:rPr>
          <w:rFonts w:ascii="Calibri" w:hAnsi="Calibri" w:cs="Calibri"/>
          <w:i/>
          <w:sz w:val="20"/>
          <w:szCs w:val="20"/>
        </w:rPr>
        <w:t>Microagressões de gênero</w:t>
      </w:r>
      <w:r w:rsidRPr="003503A3">
        <w:rPr>
          <w:rFonts w:ascii="Calibri" w:hAnsi="Calibri" w:cs="Calibri"/>
          <w:sz w:val="20"/>
          <w:szCs w:val="20"/>
        </w:rPr>
        <w:t>: como elas operam nas relações trabalhistas</w:t>
      </w:r>
      <w:r w:rsidRPr="003503A3">
        <w:rPr>
          <w:rFonts w:ascii="Calibri" w:hAnsi="Calibri" w:cs="Calibri"/>
          <w:i/>
          <w:sz w:val="20"/>
          <w:szCs w:val="20"/>
        </w:rPr>
        <w:t>.</w:t>
      </w:r>
      <w:r w:rsidRPr="003503A3">
        <w:rPr>
          <w:rFonts w:ascii="Calibri" w:hAnsi="Calibri" w:cs="Calibri"/>
          <w:sz w:val="20"/>
          <w:szCs w:val="20"/>
        </w:rPr>
        <w:t xml:space="preserve"> Brasília, DF: TST, (2024). Disponível em: &lt;</w:t>
      </w:r>
      <w:hyperlink r:id="rId28">
        <w:r w:rsidRPr="003503A3">
          <w:rPr>
            <w:rFonts w:ascii="Calibri" w:hAnsi="Calibri" w:cs="Calibri"/>
            <w:sz w:val="20"/>
            <w:szCs w:val="20"/>
          </w:rPr>
          <w:t>https://www.tst.jus.br/-/microagress%C3%B5es-de-g%C3%AAnero-como-elas-operam-nas-rela%C3%A7%C3%B5es-trabalhistas</w:t>
        </w:r>
      </w:hyperlink>
      <w:r w:rsidRPr="003503A3">
        <w:rPr>
          <w:rFonts w:ascii="Calibri" w:hAnsi="Calibri" w:cs="Calibri"/>
          <w:sz w:val="20"/>
          <w:szCs w:val="20"/>
        </w:rPr>
        <w:t>&gt;. Acesso em: 2 jun. 2025).</w:t>
      </w:r>
    </w:p>
  </w:footnote>
  <w:footnote w:id="81">
    <w:p w14:paraId="16FE2CD9" w14:textId="06B60D99"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No protocolo elaborado pelo Conselho Nacional de Justiça (CNJ) para orientar julgamentos de processos relacionadas a gênero,</w:t>
      </w:r>
      <w:r w:rsidRPr="003503A3">
        <w:rPr>
          <w:rFonts w:ascii="Calibri" w:hAnsi="Calibri" w:cs="Calibri"/>
          <w:i/>
        </w:rPr>
        <w:t xml:space="preserve"> gaslighting</w:t>
      </w:r>
      <w:r w:rsidRPr="003503A3">
        <w:rPr>
          <w:rFonts w:ascii="Calibri" w:hAnsi="Calibri" w:cs="Calibri"/>
        </w:rPr>
        <w:t xml:space="preserve"> ocorre quando se constata comprometimento da sanidade mental da vítima. Conselho Nacional de Justiça (2021). Protocolo para julgamento com perspectiva de gênero. Conselho Nacional de Justiça (CNJ); Escola Nacional de Formação e Aperfeiçoamento de Magistrados (ENFAM). https://www.cnj.jus.br/wp-content/uploads/2021/10/protocolo-para-julgamento-com-perspectiva-de-genero-cnj-24-03-2022.pdf</w:t>
      </w:r>
    </w:p>
  </w:footnote>
  <w:footnote w:id="82">
    <w:p w14:paraId="49A356CF" w14:textId="77777777" w:rsidR="00820B46" w:rsidRPr="003503A3" w:rsidRDefault="00820B46" w:rsidP="001C6456">
      <w:pPr>
        <w:jc w:val="both"/>
        <w:rPr>
          <w:rFonts w:ascii="Calibri" w:hAnsi="Calibri" w:cs="Calibri"/>
          <w:sz w:val="20"/>
          <w:szCs w:val="20"/>
        </w:rPr>
      </w:pPr>
      <w:r w:rsidRPr="003503A3">
        <w:rPr>
          <w:rFonts w:ascii="Calibri" w:hAnsi="Calibri" w:cs="Calibri"/>
          <w:sz w:val="20"/>
          <w:szCs w:val="20"/>
          <w:vertAlign w:val="superscript"/>
        </w:rPr>
        <w:footnoteRef/>
      </w:r>
      <w:r w:rsidRPr="003503A3">
        <w:rPr>
          <w:rFonts w:ascii="Calibri" w:hAnsi="Calibri" w:cs="Calibri"/>
          <w:sz w:val="20"/>
          <w:szCs w:val="20"/>
        </w:rPr>
        <w:t xml:space="preserve"> O termo </w:t>
      </w:r>
      <w:r w:rsidRPr="003503A3">
        <w:rPr>
          <w:rFonts w:ascii="Calibri" w:hAnsi="Calibri" w:cs="Calibri"/>
          <w:i/>
          <w:sz w:val="20"/>
          <w:szCs w:val="20"/>
        </w:rPr>
        <w:t xml:space="preserve">mansplaining, </w:t>
      </w:r>
      <w:r w:rsidRPr="003503A3">
        <w:rPr>
          <w:rFonts w:ascii="Calibri" w:hAnsi="Calibri" w:cs="Calibri"/>
          <w:sz w:val="20"/>
          <w:szCs w:val="20"/>
          <w:highlight w:val="white"/>
        </w:rPr>
        <w:t>criado pela escritora Rebecca Solnit,</w:t>
      </w:r>
      <w:r w:rsidRPr="003503A3">
        <w:rPr>
          <w:rFonts w:ascii="Calibri" w:hAnsi="Calibri" w:cs="Calibri"/>
          <w:sz w:val="20"/>
          <w:szCs w:val="20"/>
        </w:rPr>
        <w:t xml:space="preserve"> “refere-se à prática habitual de homens explicarem </w:t>
      </w:r>
      <w:r w:rsidRPr="003503A3">
        <w:rPr>
          <w:rFonts w:ascii="Calibri" w:hAnsi="Calibri" w:cs="Calibri"/>
          <w:sz w:val="20"/>
          <w:szCs w:val="20"/>
          <w:highlight w:val="white"/>
        </w:rPr>
        <w:t xml:space="preserve">a mulheres, de forma óbvia e didática, assuntos sobre os quais elas já têm domínio, subestimando sua inteligência”, isso muitas vezes afeta a confiança da mulher, impactando na percepção de sua autoridade sobre os temas com os quais lida. </w:t>
      </w:r>
      <w:r w:rsidRPr="003503A3">
        <w:rPr>
          <w:rFonts w:ascii="Calibri" w:hAnsi="Calibri" w:cs="Calibri"/>
          <w:sz w:val="20"/>
          <w:szCs w:val="20"/>
        </w:rPr>
        <w:t xml:space="preserve">(BRASIL. Tribunal Superior do Trabalho (TST). </w:t>
      </w:r>
      <w:r w:rsidRPr="003503A3">
        <w:rPr>
          <w:rFonts w:ascii="Calibri" w:hAnsi="Calibri" w:cs="Calibri"/>
          <w:i/>
          <w:sz w:val="20"/>
          <w:szCs w:val="20"/>
        </w:rPr>
        <w:t>Microagressões de gênero</w:t>
      </w:r>
      <w:r w:rsidRPr="003503A3">
        <w:rPr>
          <w:rFonts w:ascii="Calibri" w:hAnsi="Calibri" w:cs="Calibri"/>
          <w:sz w:val="20"/>
          <w:szCs w:val="20"/>
        </w:rPr>
        <w:t>: como elas operam nas relações trabalhistas</w:t>
      </w:r>
      <w:r w:rsidRPr="003503A3">
        <w:rPr>
          <w:rFonts w:ascii="Calibri" w:hAnsi="Calibri" w:cs="Calibri"/>
          <w:i/>
          <w:sz w:val="20"/>
          <w:szCs w:val="20"/>
        </w:rPr>
        <w:t>.</w:t>
      </w:r>
      <w:r w:rsidRPr="003503A3">
        <w:rPr>
          <w:rFonts w:ascii="Calibri" w:hAnsi="Calibri" w:cs="Calibri"/>
          <w:sz w:val="20"/>
          <w:szCs w:val="20"/>
        </w:rPr>
        <w:t xml:space="preserve"> Brasília, DF: TST, (2024). Disponível em: &lt;</w:t>
      </w:r>
      <w:hyperlink r:id="rId29">
        <w:r w:rsidRPr="003503A3">
          <w:rPr>
            <w:rFonts w:ascii="Calibri" w:hAnsi="Calibri" w:cs="Calibri"/>
            <w:sz w:val="20"/>
            <w:szCs w:val="20"/>
          </w:rPr>
          <w:t>https://www.tst.jus.br/-/microagress%C3%B5es-de-g%C3%AAnero-como-elas-operam-nas-rela%C3%A7%C3%B5es-trabalhistas</w:t>
        </w:r>
      </w:hyperlink>
      <w:r w:rsidRPr="003503A3">
        <w:rPr>
          <w:rFonts w:ascii="Calibri" w:hAnsi="Calibri" w:cs="Calibri"/>
          <w:sz w:val="20"/>
          <w:szCs w:val="20"/>
        </w:rPr>
        <w:t>&gt;. Acesso em: 2 jun. 2025.).</w:t>
      </w:r>
    </w:p>
    <w:p w14:paraId="1A462908" w14:textId="77777777" w:rsidR="00820B46" w:rsidRPr="003503A3" w:rsidRDefault="00820B46" w:rsidP="001C6456">
      <w:pPr>
        <w:jc w:val="both"/>
        <w:rPr>
          <w:rFonts w:ascii="Calibri" w:hAnsi="Calibri" w:cs="Calibri"/>
          <w:color w:val="222222"/>
          <w:sz w:val="20"/>
          <w:szCs w:val="20"/>
          <w:highlight w:val="white"/>
        </w:rPr>
      </w:pPr>
    </w:p>
  </w:footnote>
  <w:footnote w:id="83">
    <w:p w14:paraId="7D4D16A8" w14:textId="689CB2CF" w:rsidR="00820B46" w:rsidRPr="003503A3" w:rsidRDefault="00820B46" w:rsidP="001C6456">
      <w:pPr>
        <w:jc w:val="both"/>
        <w:rPr>
          <w:rFonts w:ascii="Calibri" w:hAnsi="Calibri" w:cs="Calibri"/>
          <w:sz w:val="20"/>
          <w:szCs w:val="20"/>
        </w:rPr>
      </w:pPr>
      <w:r w:rsidRPr="003503A3">
        <w:rPr>
          <w:rStyle w:val="Refdenotaderodap"/>
          <w:rFonts w:ascii="Calibri" w:hAnsi="Calibri" w:cs="Calibri"/>
          <w:sz w:val="20"/>
          <w:szCs w:val="20"/>
        </w:rPr>
        <w:footnoteRef/>
      </w:r>
      <w:r w:rsidRPr="003503A3">
        <w:rPr>
          <w:rFonts w:ascii="Calibri" w:hAnsi="Calibri" w:cs="Calibri"/>
          <w:sz w:val="20"/>
          <w:szCs w:val="20"/>
        </w:rPr>
        <w:t xml:space="preserve"> “Art. 9º - O(a) servidor(a) ocupante de cargo em comissão ou função comissionada possui estabilidade durante o usufruto das licenças de que trata esta Resolução. § 1º A servidora gestante possui estabilidade desde a concepção até o término da licença à gestante e sua prorrogação.” (BRASIL. Conselho Nacional de Justiça. </w:t>
      </w:r>
      <w:r w:rsidRPr="003503A3">
        <w:rPr>
          <w:rFonts w:ascii="Calibri" w:hAnsi="Calibri" w:cs="Calibri"/>
          <w:i/>
          <w:sz w:val="20"/>
          <w:szCs w:val="20"/>
        </w:rPr>
        <w:t>Resolução CNJ nº 321</w:t>
      </w:r>
      <w:r>
        <w:rPr>
          <w:rFonts w:ascii="Calibri" w:hAnsi="Calibri" w:cs="Calibri"/>
          <w:sz w:val="20"/>
          <w:szCs w:val="20"/>
        </w:rPr>
        <w:t>, de 15</w:t>
      </w:r>
      <w:r w:rsidRPr="003503A3">
        <w:rPr>
          <w:rFonts w:ascii="Calibri" w:hAnsi="Calibri" w:cs="Calibri"/>
          <w:sz w:val="20"/>
          <w:szCs w:val="20"/>
        </w:rPr>
        <w:t xml:space="preserve"> de </w:t>
      </w:r>
      <w:r>
        <w:rPr>
          <w:rFonts w:ascii="Calibri" w:hAnsi="Calibri" w:cs="Calibri"/>
          <w:sz w:val="20"/>
          <w:szCs w:val="20"/>
        </w:rPr>
        <w:t>maio</w:t>
      </w:r>
      <w:r w:rsidRPr="003503A3">
        <w:rPr>
          <w:rFonts w:ascii="Calibri" w:hAnsi="Calibri" w:cs="Calibri"/>
          <w:sz w:val="20"/>
          <w:szCs w:val="20"/>
        </w:rPr>
        <w:t xml:space="preserve"> de 2020. </w:t>
      </w:r>
      <w:r>
        <w:rPr>
          <w:rFonts w:ascii="Calibri" w:hAnsi="Calibri" w:cs="Calibri"/>
          <w:sz w:val="20"/>
          <w:szCs w:val="20"/>
        </w:rPr>
        <w:t>Dispõe sobre a concessão de licença-paternidade, licença à gestante e de licença a adotante para magistrados e servidores do Poder Judiciário brasileiro</w:t>
      </w:r>
      <w:r w:rsidRPr="003503A3">
        <w:rPr>
          <w:rFonts w:ascii="Calibri" w:hAnsi="Calibri" w:cs="Calibri"/>
          <w:sz w:val="20"/>
          <w:szCs w:val="20"/>
        </w:rPr>
        <w:t xml:space="preserve">. Disponível em: </w:t>
      </w:r>
      <w:hyperlink r:id="rId30" w:history="1">
        <w:r w:rsidRPr="004122AA">
          <w:rPr>
            <w:rStyle w:val="Hyperlink"/>
            <w:rFonts w:ascii="Calibri" w:hAnsi="Calibri" w:cs="Calibri"/>
            <w:sz w:val="20"/>
            <w:szCs w:val="20"/>
          </w:rPr>
          <w:t>compilado142110202405066638e756acc7c.pdf</w:t>
        </w:r>
      </w:hyperlink>
      <w:r>
        <w:rPr>
          <w:rFonts w:ascii="Calibri" w:hAnsi="Calibri" w:cs="Calibri"/>
          <w:sz w:val="20"/>
          <w:szCs w:val="20"/>
        </w:rPr>
        <w:t>. Acesso em: 25 jul. 2025</w:t>
      </w:r>
      <w:r w:rsidRPr="003503A3">
        <w:rPr>
          <w:rFonts w:ascii="Calibri" w:hAnsi="Calibri" w:cs="Calibri"/>
          <w:sz w:val="20"/>
          <w:szCs w:val="20"/>
        </w:rPr>
        <w:t>).</w:t>
      </w:r>
    </w:p>
  </w:footnote>
  <w:footnote w:id="84">
    <w:p w14:paraId="16684DA1" w14:textId="7046EF58" w:rsidR="00820B46" w:rsidRPr="003503A3" w:rsidRDefault="00820B46" w:rsidP="001C6456">
      <w:pPr>
        <w:pStyle w:val="Textodenotaderodap"/>
        <w:jc w:val="both"/>
        <w:rPr>
          <w:rFonts w:ascii="Calibri" w:hAnsi="Calibri" w:cs="Calibri"/>
        </w:rPr>
      </w:pPr>
      <w:r w:rsidRPr="003503A3">
        <w:rPr>
          <w:rStyle w:val="Refdenotaderodap"/>
          <w:rFonts w:ascii="Calibri" w:hAnsi="Calibri" w:cs="Calibri"/>
        </w:rPr>
        <w:footnoteRef/>
      </w:r>
      <w:r w:rsidRPr="003503A3">
        <w:rPr>
          <w:rFonts w:ascii="Calibri" w:hAnsi="Calibri" w:cs="Calibri"/>
        </w:rPr>
        <w:t xml:space="preserve"> </w:t>
      </w:r>
      <w:r w:rsidRPr="003503A3">
        <w:rPr>
          <w:rFonts w:ascii="Calibri" w:eastAsia="Times New Roman" w:hAnsi="Calibri" w:cs="Calibri"/>
        </w:rPr>
        <w:t>“Art. 5º - A servidora gestante ou em usufruto de licença-maternidade ou à adotante exonerada do cargo em comissão ou dispensada da função comissionada fará jus à percepção dessa remuneração, como se em exercício estivesse, até o término do afastamento, incluindo a sua prorrogação, observado o disposto no art. 4º deste Ato.” (BRASIL. Tribunal Superior do Trabalho. Ato n. 597/DILEP.CIF.SEGPES.GDGSET.GP, de 13 de dezembro de 2016. Dispõe sobre a concessão e prorrogação das licenças à gestante e ao adotante no âmbito do Tribunal Superior do Trabalho. Boletim Interno [do] Tribunal Superior do Trabalho, Brasília, DF, n. 50, p. 12-14, 16 dez. 2016. Disponível em: https://juslaboris.tst.jus.br/handle/20.500.12178/99299. Acesso em: 25 jul. 2025.).</w:t>
      </w:r>
    </w:p>
  </w:footnote>
  <w:footnote w:id="85">
    <w:p w14:paraId="3EF470D7" w14:textId="47C9C373" w:rsidR="00820B46" w:rsidRDefault="00820B46">
      <w:pPr>
        <w:pStyle w:val="Textodenotaderodap"/>
      </w:pPr>
      <w:r>
        <w:rPr>
          <w:rStyle w:val="Refdenotaderodap"/>
        </w:rPr>
        <w:footnoteRef/>
      </w:r>
      <w:r>
        <w:t xml:space="preserve"> Ato n</w:t>
      </w:r>
      <w:r w:rsidRPr="00666A6D">
        <w:t>. 275/Tst.Gp, de 12 de junho de 2018</w:t>
      </w:r>
    </w:p>
  </w:footnote>
  <w:footnote w:id="86">
    <w:p w14:paraId="50A457C5" w14:textId="187AC1D1" w:rsidR="00820B46" w:rsidRDefault="00820B46">
      <w:pPr>
        <w:pStyle w:val="Textodenotaderodap"/>
      </w:pPr>
      <w:r>
        <w:rPr>
          <w:rStyle w:val="Refdenotaderodap"/>
        </w:rPr>
        <w:footnoteRef/>
      </w:r>
      <w:r>
        <w:t xml:space="preserve"> § 3º do art.1º do Ato Conjunto Nº 97/TST.CSJT.GP, de 19 de dezembro de 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455"/>
      <w:gridCol w:w="2455"/>
      <w:gridCol w:w="2455"/>
    </w:tblGrid>
    <w:tr w:rsidR="00820B46" w14:paraId="53A4EEA6" w14:textId="77777777" w:rsidTr="52CE64E7">
      <w:trPr>
        <w:trHeight w:val="300"/>
      </w:trPr>
      <w:tc>
        <w:tcPr>
          <w:tcW w:w="2455" w:type="dxa"/>
        </w:tcPr>
        <w:p w14:paraId="2B70F627" w14:textId="77777777" w:rsidR="00820B46" w:rsidRDefault="00820B46" w:rsidP="52CE64E7">
          <w:pPr>
            <w:pStyle w:val="Cabealho"/>
            <w:ind w:left="-115"/>
          </w:pPr>
        </w:p>
      </w:tc>
      <w:tc>
        <w:tcPr>
          <w:tcW w:w="2455" w:type="dxa"/>
        </w:tcPr>
        <w:p w14:paraId="279FF316" w14:textId="77777777" w:rsidR="00820B46" w:rsidRDefault="00820B46" w:rsidP="52CE64E7">
          <w:pPr>
            <w:pStyle w:val="Cabealho"/>
            <w:jc w:val="center"/>
          </w:pPr>
        </w:p>
      </w:tc>
      <w:tc>
        <w:tcPr>
          <w:tcW w:w="2455" w:type="dxa"/>
        </w:tcPr>
        <w:p w14:paraId="3E3D6052" w14:textId="77777777" w:rsidR="00820B46" w:rsidRDefault="00820B46" w:rsidP="52CE64E7">
          <w:pPr>
            <w:pStyle w:val="Cabealho"/>
            <w:ind w:right="-115"/>
            <w:jc w:val="right"/>
          </w:pPr>
        </w:p>
      </w:tc>
    </w:tr>
  </w:tbl>
  <w:p w14:paraId="79642D5E" w14:textId="77777777" w:rsidR="00820B46" w:rsidRDefault="00820B46" w:rsidP="52CE64E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04AB4" w14:textId="186B1931" w:rsidR="00820B46" w:rsidRPr="00D5465D" w:rsidRDefault="00820B46" w:rsidP="00D5465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449F1" w14:textId="72EBEA60" w:rsidR="00820B46" w:rsidRDefault="00820B46" w:rsidP="52CE64E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02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gridCol w:w="567"/>
    </w:tblGrid>
    <w:tr w:rsidR="00820B46" w14:paraId="037DEF21" w14:textId="77777777" w:rsidTr="00EA3C80">
      <w:tc>
        <w:tcPr>
          <w:tcW w:w="9638" w:type="dxa"/>
        </w:tcPr>
        <w:p w14:paraId="1C2C420B" w14:textId="4120FFD4" w:rsidR="00820B46" w:rsidRDefault="00820B46" w:rsidP="007A5A46">
          <w:pPr>
            <w:tabs>
              <w:tab w:val="left" w:pos="4293"/>
            </w:tabs>
            <w:ind w:left="-108"/>
            <w:rPr>
              <w:rFonts w:ascii="Segoe UI Light" w:hAnsi="Segoe UI Light" w:cs="Segoe UI Light"/>
              <w:sz w:val="18"/>
              <w:szCs w:val="20"/>
            </w:rPr>
          </w:pPr>
          <w:r>
            <w:rPr>
              <w:rFonts w:ascii="Segoe UI Light" w:hAnsi="Segoe UI Light" w:cs="Segoe UI Light"/>
              <w:sz w:val="18"/>
              <w:szCs w:val="20"/>
            </w:rPr>
            <w:t>PESQUISA SOBRE A PARTICIPAÇÃO FEMININA NO TRIBUNAL SUPERIOR DO TRABALHO E NO CONSELHO SUPERIOR DA JUSTIÇA DO TRABALHO</w:t>
          </w:r>
        </w:p>
      </w:tc>
      <w:tc>
        <w:tcPr>
          <w:tcW w:w="567" w:type="dxa"/>
        </w:tcPr>
        <w:p w14:paraId="32C32562" w14:textId="77777777" w:rsidR="00820B46" w:rsidRPr="000D114D" w:rsidRDefault="00820B46" w:rsidP="00844CF6">
          <w:pPr>
            <w:tabs>
              <w:tab w:val="left" w:pos="4293"/>
            </w:tabs>
            <w:rPr>
              <w:rFonts w:ascii="Segoe UI Light" w:hAnsi="Segoe UI Light" w:cs="Segoe UI Light"/>
              <w:sz w:val="18"/>
              <w:szCs w:val="20"/>
            </w:rPr>
          </w:pPr>
          <w:r w:rsidRPr="00D5465D">
            <w:rPr>
              <w:rFonts w:ascii="Segoe UI Light" w:hAnsi="Segoe UI Light" w:cs="Segoe UI Light"/>
              <w:sz w:val="18"/>
              <w:szCs w:val="20"/>
            </w:rPr>
            <w:fldChar w:fldCharType="begin"/>
          </w:r>
          <w:r w:rsidRPr="00D5465D">
            <w:rPr>
              <w:rFonts w:ascii="Segoe UI Light" w:hAnsi="Segoe UI Light" w:cs="Segoe UI Light"/>
              <w:sz w:val="18"/>
              <w:szCs w:val="20"/>
            </w:rPr>
            <w:instrText>PAGE   \* MERGEFORMAT</w:instrText>
          </w:r>
          <w:r w:rsidRPr="00D5465D">
            <w:rPr>
              <w:rFonts w:ascii="Segoe UI Light" w:hAnsi="Segoe UI Light" w:cs="Segoe UI Light"/>
              <w:sz w:val="18"/>
              <w:szCs w:val="20"/>
            </w:rPr>
            <w:fldChar w:fldCharType="separate"/>
          </w:r>
          <w:r>
            <w:rPr>
              <w:rFonts w:ascii="Segoe UI Light" w:hAnsi="Segoe UI Light" w:cs="Segoe UI Light"/>
              <w:noProof/>
              <w:sz w:val="18"/>
              <w:szCs w:val="20"/>
            </w:rPr>
            <w:t>170</w:t>
          </w:r>
          <w:r w:rsidRPr="00D5465D">
            <w:rPr>
              <w:rFonts w:ascii="Segoe UI Light" w:hAnsi="Segoe UI Light" w:cs="Segoe UI Light"/>
              <w:sz w:val="18"/>
              <w:szCs w:val="20"/>
            </w:rPr>
            <w:fldChar w:fldCharType="end"/>
          </w:r>
        </w:p>
      </w:tc>
    </w:tr>
  </w:tbl>
  <w:p w14:paraId="114B8641" w14:textId="77777777" w:rsidR="00820B46" w:rsidRDefault="00820B46" w:rsidP="00D5465D">
    <w:pPr>
      <w:tabs>
        <w:tab w:val="left" w:pos="4293"/>
      </w:tabs>
      <w:rPr>
        <w:rFonts w:ascii="Segoe UI Light" w:hAnsi="Segoe UI Light" w:cs="Segoe UI Light"/>
        <w:sz w:val="18"/>
        <w:szCs w:val="20"/>
      </w:rPr>
    </w:pPr>
  </w:p>
  <w:p w14:paraId="56AE6574" w14:textId="77777777" w:rsidR="00820B46" w:rsidRPr="000D114D" w:rsidRDefault="00820B46" w:rsidP="00D5465D">
    <w:pPr>
      <w:tabs>
        <w:tab w:val="left" w:pos="4293"/>
      </w:tabs>
      <w:rPr>
        <w:rFonts w:ascii="Segoe UI Light" w:hAnsi="Segoe UI Light" w:cs="Segoe UI Light"/>
        <w:sz w:val="18"/>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02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gridCol w:w="567"/>
    </w:tblGrid>
    <w:tr w:rsidR="00820B46" w14:paraId="5016DAB5" w14:textId="77777777" w:rsidTr="001C6456">
      <w:tc>
        <w:tcPr>
          <w:tcW w:w="9638" w:type="dxa"/>
        </w:tcPr>
        <w:p w14:paraId="63B925AC" w14:textId="77777777" w:rsidR="00820B46" w:rsidRDefault="00820B46" w:rsidP="00EA3C80">
          <w:pPr>
            <w:tabs>
              <w:tab w:val="left" w:pos="4293"/>
            </w:tabs>
            <w:ind w:left="-108"/>
            <w:jc w:val="both"/>
            <w:rPr>
              <w:rFonts w:ascii="Segoe UI Light" w:hAnsi="Segoe UI Light" w:cs="Segoe UI Light"/>
              <w:sz w:val="18"/>
              <w:szCs w:val="20"/>
            </w:rPr>
          </w:pPr>
          <w:r>
            <w:rPr>
              <w:rFonts w:ascii="Segoe UI Light" w:hAnsi="Segoe UI Light" w:cs="Segoe UI Light"/>
              <w:sz w:val="18"/>
              <w:szCs w:val="20"/>
            </w:rPr>
            <w:t>PESQUISA SOBRE A PARTICIPAÇÃO FEMININA NO TRIBUNAL SUPERIOR DO TRABALHO E NO CONSELHO SUPERIOR DA JUSTIÇA DO TRABALHO</w:t>
          </w:r>
        </w:p>
      </w:tc>
      <w:tc>
        <w:tcPr>
          <w:tcW w:w="567" w:type="dxa"/>
        </w:tcPr>
        <w:p w14:paraId="50E72F85" w14:textId="77777777" w:rsidR="00820B46" w:rsidRPr="000D114D" w:rsidRDefault="00820B46" w:rsidP="001C6456">
          <w:pPr>
            <w:tabs>
              <w:tab w:val="left" w:pos="4293"/>
            </w:tabs>
            <w:rPr>
              <w:rFonts w:ascii="Segoe UI Light" w:hAnsi="Segoe UI Light" w:cs="Segoe UI Light"/>
              <w:sz w:val="18"/>
              <w:szCs w:val="20"/>
            </w:rPr>
          </w:pPr>
          <w:r w:rsidRPr="00D5465D">
            <w:rPr>
              <w:rFonts w:ascii="Segoe UI Light" w:hAnsi="Segoe UI Light" w:cs="Segoe UI Light"/>
              <w:sz w:val="18"/>
              <w:szCs w:val="20"/>
            </w:rPr>
            <w:fldChar w:fldCharType="begin"/>
          </w:r>
          <w:r w:rsidRPr="00D5465D">
            <w:rPr>
              <w:rFonts w:ascii="Segoe UI Light" w:hAnsi="Segoe UI Light" w:cs="Segoe UI Light"/>
              <w:sz w:val="18"/>
              <w:szCs w:val="20"/>
            </w:rPr>
            <w:instrText>PAGE   \* MERGEFORMAT</w:instrText>
          </w:r>
          <w:r w:rsidRPr="00D5465D">
            <w:rPr>
              <w:rFonts w:ascii="Segoe UI Light" w:hAnsi="Segoe UI Light" w:cs="Segoe UI Light"/>
              <w:sz w:val="18"/>
              <w:szCs w:val="20"/>
            </w:rPr>
            <w:fldChar w:fldCharType="separate"/>
          </w:r>
          <w:r w:rsidR="00986B6C">
            <w:rPr>
              <w:rFonts w:ascii="Segoe UI Light" w:hAnsi="Segoe UI Light" w:cs="Segoe UI Light"/>
              <w:noProof/>
              <w:sz w:val="18"/>
              <w:szCs w:val="20"/>
            </w:rPr>
            <w:t>155</w:t>
          </w:r>
          <w:r w:rsidRPr="00D5465D">
            <w:rPr>
              <w:rFonts w:ascii="Segoe UI Light" w:hAnsi="Segoe UI Light" w:cs="Segoe UI Light"/>
              <w:sz w:val="18"/>
              <w:szCs w:val="20"/>
            </w:rPr>
            <w:fldChar w:fldCharType="end"/>
          </w:r>
        </w:p>
      </w:tc>
    </w:tr>
  </w:tbl>
  <w:p w14:paraId="17D11FFB" w14:textId="77777777" w:rsidR="00820B46" w:rsidRDefault="00820B46" w:rsidP="00EA3C80">
    <w:pPr>
      <w:tabs>
        <w:tab w:val="left" w:pos="4293"/>
      </w:tabs>
      <w:rPr>
        <w:rFonts w:ascii="Segoe UI Light" w:hAnsi="Segoe UI Light" w:cs="Segoe UI Light"/>
        <w:sz w:val="18"/>
        <w:szCs w:val="20"/>
      </w:rPr>
    </w:pPr>
  </w:p>
  <w:p w14:paraId="4CC4ABF0" w14:textId="77777777" w:rsidR="00820B46" w:rsidRPr="000D114D" w:rsidRDefault="00820B46" w:rsidP="00EA3C80">
    <w:pPr>
      <w:tabs>
        <w:tab w:val="left" w:pos="4293"/>
      </w:tabs>
      <w:rPr>
        <w:rFonts w:ascii="Segoe UI Light" w:hAnsi="Segoe UI Light" w:cs="Segoe UI Light"/>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79C"/>
    <w:multiLevelType w:val="multilevel"/>
    <w:tmpl w:val="42A060D6"/>
    <w:lvl w:ilvl="0">
      <w:start w:val="1"/>
      <w:numFmt w:val="bullet"/>
      <w:lvlText w:val=""/>
      <w:lvlJc w:val="left"/>
      <w:pPr>
        <w:ind w:left="720" w:hanging="360"/>
      </w:pPr>
      <w:rPr>
        <w:rFonts w:ascii="Symbol" w:hAnsi="Symbol" w:hint="default"/>
      </w:rPr>
    </w:lvl>
    <w:lvl w:ilvl="1">
      <w:start w:val="2"/>
      <w:numFmt w:val="decimal"/>
      <w:isLgl/>
      <w:lvlText w:val="%1.%2."/>
      <w:lvlJc w:val="left"/>
      <w:pPr>
        <w:ind w:left="1320" w:hanging="960"/>
      </w:pPr>
      <w:rPr>
        <w:rFonts w:hint="default"/>
      </w:rPr>
    </w:lvl>
    <w:lvl w:ilvl="2">
      <w:start w:val="1"/>
      <w:numFmt w:val="decimal"/>
      <w:isLgl/>
      <w:lvlText w:val="%1.%2.%3."/>
      <w:lvlJc w:val="left"/>
      <w:pPr>
        <w:ind w:left="1320" w:hanging="960"/>
      </w:pPr>
      <w:rPr>
        <w:rFonts w:hint="default"/>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620758"/>
    <w:multiLevelType w:val="hybridMultilevel"/>
    <w:tmpl w:val="F7B0AD1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6341A8A"/>
    <w:multiLevelType w:val="multilevel"/>
    <w:tmpl w:val="8B4EA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6674303"/>
    <w:multiLevelType w:val="multilevel"/>
    <w:tmpl w:val="DCE4A81E"/>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2203" w:hanging="360"/>
      </w:pPr>
      <w:rPr>
        <w:rFonts w:hint="default"/>
      </w:rPr>
    </w:lvl>
    <w:lvl w:ilvl="2">
      <w:start w:val="1"/>
      <w:numFmt w:val="decimal"/>
      <w:pStyle w:val="Ttulo3"/>
      <w:isLgl/>
      <w:lvlText w:val="%1.%2.%3."/>
      <w:lvlJc w:val="left"/>
      <w:pPr>
        <w:ind w:left="2138" w:hanging="720"/>
      </w:pPr>
      <w:rPr>
        <w:rFonts w:hint="default"/>
      </w:rPr>
    </w:lvl>
    <w:lvl w:ilvl="3">
      <w:start w:val="1"/>
      <w:numFmt w:val="decimal"/>
      <w:pStyle w:val="Ttulo4"/>
      <w:isLgl/>
      <w:lvlText w:val="%1.%2.%3.%4."/>
      <w:lvlJc w:val="left"/>
      <w:pPr>
        <w:ind w:left="1996"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4">
    <w:nsid w:val="074F09C1"/>
    <w:multiLevelType w:val="hybridMultilevel"/>
    <w:tmpl w:val="B64E3C10"/>
    <w:lvl w:ilvl="0" w:tplc="0416000F">
      <w:start w:val="1"/>
      <w:numFmt w:val="decimal"/>
      <w:lvlText w:val="%1."/>
      <w:lvlJc w:val="left"/>
      <w:pPr>
        <w:ind w:left="1779"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8B121DF"/>
    <w:multiLevelType w:val="multilevel"/>
    <w:tmpl w:val="3B98B62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8DF15A6"/>
    <w:multiLevelType w:val="multilevel"/>
    <w:tmpl w:val="78860E3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A587EFD"/>
    <w:multiLevelType w:val="multilevel"/>
    <w:tmpl w:val="FC6E9C4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B591282"/>
    <w:multiLevelType w:val="multilevel"/>
    <w:tmpl w:val="5102421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CBA772C"/>
    <w:multiLevelType w:val="multilevel"/>
    <w:tmpl w:val="42A060D6"/>
    <w:lvl w:ilvl="0">
      <w:start w:val="1"/>
      <w:numFmt w:val="bullet"/>
      <w:lvlText w:val=""/>
      <w:lvlJc w:val="left"/>
      <w:pPr>
        <w:ind w:left="720" w:hanging="360"/>
      </w:pPr>
      <w:rPr>
        <w:rFonts w:ascii="Symbol" w:hAnsi="Symbol" w:hint="default"/>
      </w:rPr>
    </w:lvl>
    <w:lvl w:ilvl="1">
      <w:start w:val="2"/>
      <w:numFmt w:val="decimal"/>
      <w:isLgl/>
      <w:lvlText w:val="%1.%2."/>
      <w:lvlJc w:val="left"/>
      <w:pPr>
        <w:ind w:left="1320" w:hanging="960"/>
      </w:pPr>
      <w:rPr>
        <w:rFonts w:hint="default"/>
      </w:rPr>
    </w:lvl>
    <w:lvl w:ilvl="2">
      <w:start w:val="1"/>
      <w:numFmt w:val="decimal"/>
      <w:isLgl/>
      <w:lvlText w:val="%1.%2.%3."/>
      <w:lvlJc w:val="left"/>
      <w:pPr>
        <w:ind w:left="1320" w:hanging="960"/>
      </w:pPr>
      <w:rPr>
        <w:rFonts w:hint="default"/>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FFA2A34"/>
    <w:multiLevelType w:val="hybridMultilevel"/>
    <w:tmpl w:val="7B16785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0274A29"/>
    <w:multiLevelType w:val="multilevel"/>
    <w:tmpl w:val="9CFC19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11CA381D"/>
    <w:multiLevelType w:val="hybridMultilevel"/>
    <w:tmpl w:val="F348DC2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76A7D45"/>
    <w:multiLevelType w:val="hybridMultilevel"/>
    <w:tmpl w:val="43349E0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7752AD2"/>
    <w:multiLevelType w:val="hybridMultilevel"/>
    <w:tmpl w:val="D6E6D63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8064919"/>
    <w:multiLevelType w:val="multilevel"/>
    <w:tmpl w:val="02AAA99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8867B14"/>
    <w:multiLevelType w:val="hybridMultilevel"/>
    <w:tmpl w:val="150A82C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9032F3E"/>
    <w:multiLevelType w:val="hybridMultilevel"/>
    <w:tmpl w:val="4B58054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B7F1B73"/>
    <w:multiLevelType w:val="multilevel"/>
    <w:tmpl w:val="A6A6B14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11A18BA"/>
    <w:multiLevelType w:val="hybridMultilevel"/>
    <w:tmpl w:val="928692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58766A"/>
    <w:multiLevelType w:val="multilevel"/>
    <w:tmpl w:val="395E50C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1E200DB"/>
    <w:multiLevelType w:val="hybridMultilevel"/>
    <w:tmpl w:val="0A7A5C1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26A01C2"/>
    <w:multiLevelType w:val="hybridMultilevel"/>
    <w:tmpl w:val="1F5C788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61942D6"/>
    <w:multiLevelType w:val="multilevel"/>
    <w:tmpl w:val="7A323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27680458"/>
    <w:multiLevelType w:val="hybridMultilevel"/>
    <w:tmpl w:val="8F56403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7FF1232"/>
    <w:multiLevelType w:val="hybridMultilevel"/>
    <w:tmpl w:val="6290BC9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82A7BB6"/>
    <w:multiLevelType w:val="multilevel"/>
    <w:tmpl w:val="A39635D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97F3935"/>
    <w:multiLevelType w:val="multilevel"/>
    <w:tmpl w:val="B56A5C6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2BEC488C"/>
    <w:multiLevelType w:val="multilevel"/>
    <w:tmpl w:val="A7E8FD5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31497146"/>
    <w:multiLevelType w:val="hybridMultilevel"/>
    <w:tmpl w:val="BD3C4DE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39105EF"/>
    <w:multiLevelType w:val="hybridMultilevel"/>
    <w:tmpl w:val="A314A87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4A54E39"/>
    <w:multiLevelType w:val="hybridMultilevel"/>
    <w:tmpl w:val="64F696B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7922C39"/>
    <w:multiLevelType w:val="multilevel"/>
    <w:tmpl w:val="909C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8B772C8"/>
    <w:multiLevelType w:val="hybridMultilevel"/>
    <w:tmpl w:val="55BC736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3E4C330A"/>
    <w:multiLevelType w:val="hybridMultilevel"/>
    <w:tmpl w:val="9016408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EB90F9D"/>
    <w:multiLevelType w:val="multilevel"/>
    <w:tmpl w:val="4AF27934"/>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F625D97"/>
    <w:multiLevelType w:val="multilevel"/>
    <w:tmpl w:val="69A8CE7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40176A38"/>
    <w:multiLevelType w:val="hybridMultilevel"/>
    <w:tmpl w:val="4932831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0570128"/>
    <w:multiLevelType w:val="hybridMultilevel"/>
    <w:tmpl w:val="F1ECB22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A07D7C"/>
    <w:multiLevelType w:val="hybridMultilevel"/>
    <w:tmpl w:val="BA7CCFB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5A86F32"/>
    <w:multiLevelType w:val="hybridMultilevel"/>
    <w:tmpl w:val="2BFEF87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820278A"/>
    <w:multiLevelType w:val="hybridMultilevel"/>
    <w:tmpl w:val="2C54EEE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49C26EAF"/>
    <w:multiLevelType w:val="hybridMultilevel"/>
    <w:tmpl w:val="E6061AE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49DA7842"/>
    <w:multiLevelType w:val="hybridMultilevel"/>
    <w:tmpl w:val="BA32AB3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A34604B"/>
    <w:multiLevelType w:val="multilevel"/>
    <w:tmpl w:val="DA2EA3B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C2F6DD0"/>
    <w:multiLevelType w:val="multilevel"/>
    <w:tmpl w:val="081089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4DA45161"/>
    <w:multiLevelType w:val="multilevel"/>
    <w:tmpl w:val="9D5EAE7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0F91E19"/>
    <w:multiLevelType w:val="hybridMultilevel"/>
    <w:tmpl w:val="AE42CDD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2D569B3"/>
    <w:multiLevelType w:val="hybridMultilevel"/>
    <w:tmpl w:val="989C346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53081051"/>
    <w:multiLevelType w:val="hybridMultilevel"/>
    <w:tmpl w:val="50A40CF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53676391"/>
    <w:multiLevelType w:val="hybridMultilevel"/>
    <w:tmpl w:val="E4C4E82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557B0F4A"/>
    <w:multiLevelType w:val="hybridMultilevel"/>
    <w:tmpl w:val="5B80D1B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563A3893"/>
    <w:multiLevelType w:val="multilevel"/>
    <w:tmpl w:val="3100577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762060C"/>
    <w:multiLevelType w:val="multilevel"/>
    <w:tmpl w:val="4D76401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586C69BE"/>
    <w:multiLevelType w:val="multilevel"/>
    <w:tmpl w:val="B78CE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nsid w:val="597D69CA"/>
    <w:multiLevelType w:val="multilevel"/>
    <w:tmpl w:val="6BC60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nsid w:val="5A1D62CB"/>
    <w:multiLevelType w:val="hybridMultilevel"/>
    <w:tmpl w:val="B0D0940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5A814E8D"/>
    <w:multiLevelType w:val="hybridMultilevel"/>
    <w:tmpl w:val="5B5EAC4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5B9949C6"/>
    <w:multiLevelType w:val="hybridMultilevel"/>
    <w:tmpl w:val="E8B2A158"/>
    <w:lvl w:ilvl="0" w:tplc="0416000F">
      <w:start w:val="1"/>
      <w:numFmt w:val="decimal"/>
      <w:lvlText w:val="%1."/>
      <w:lvlJc w:val="left"/>
      <w:pPr>
        <w:ind w:left="928"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5F5B7B20"/>
    <w:multiLevelType w:val="multilevel"/>
    <w:tmpl w:val="A5287D1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5FC42D38"/>
    <w:multiLevelType w:val="multilevel"/>
    <w:tmpl w:val="D31EAFE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601D77D5"/>
    <w:multiLevelType w:val="multilevel"/>
    <w:tmpl w:val="FE187A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1263184"/>
    <w:multiLevelType w:val="multilevel"/>
    <w:tmpl w:val="835AB62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614F5265"/>
    <w:multiLevelType w:val="multilevel"/>
    <w:tmpl w:val="6222125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62A21C43"/>
    <w:multiLevelType w:val="multilevel"/>
    <w:tmpl w:val="BF3CE98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64C93873"/>
    <w:multiLevelType w:val="multilevel"/>
    <w:tmpl w:val="C392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6C31F07"/>
    <w:multiLevelType w:val="multilevel"/>
    <w:tmpl w:val="F958611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6AEE70A1"/>
    <w:multiLevelType w:val="multilevel"/>
    <w:tmpl w:val="44C258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BC819DD"/>
    <w:multiLevelType w:val="multilevel"/>
    <w:tmpl w:val="C71ABF3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6CE43CB1"/>
    <w:multiLevelType w:val="hybridMultilevel"/>
    <w:tmpl w:val="3A7AA37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707E6F0F"/>
    <w:multiLevelType w:val="hybridMultilevel"/>
    <w:tmpl w:val="AA4A76C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709C6C67"/>
    <w:multiLevelType w:val="hybridMultilevel"/>
    <w:tmpl w:val="18CCB4D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71896D0C"/>
    <w:multiLevelType w:val="hybridMultilevel"/>
    <w:tmpl w:val="7916D97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72893B4F"/>
    <w:multiLevelType w:val="multilevel"/>
    <w:tmpl w:val="FB5C975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7501004C"/>
    <w:multiLevelType w:val="hybridMultilevel"/>
    <w:tmpl w:val="436631B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75800C3C"/>
    <w:multiLevelType w:val="multilevel"/>
    <w:tmpl w:val="3AE4A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nsid w:val="781215FA"/>
    <w:multiLevelType w:val="hybridMultilevel"/>
    <w:tmpl w:val="8D66F6D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nsid w:val="7ED051EB"/>
    <w:multiLevelType w:val="hybridMultilevel"/>
    <w:tmpl w:val="D9A2C21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7F9F529D"/>
    <w:multiLevelType w:val="multilevel"/>
    <w:tmpl w:val="0ECCE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8"/>
  </w:num>
  <w:num w:numId="2">
    <w:abstractNumId w:val="2"/>
  </w:num>
  <w:num w:numId="3">
    <w:abstractNumId w:val="54"/>
  </w:num>
  <w:num w:numId="4">
    <w:abstractNumId w:val="11"/>
  </w:num>
  <w:num w:numId="5">
    <w:abstractNumId w:val="78"/>
  </w:num>
  <w:num w:numId="6">
    <w:abstractNumId w:val="45"/>
  </w:num>
  <w:num w:numId="7">
    <w:abstractNumId w:val="55"/>
  </w:num>
  <w:num w:numId="8">
    <w:abstractNumId w:val="23"/>
  </w:num>
  <w:num w:numId="9">
    <w:abstractNumId w:val="75"/>
  </w:num>
  <w:num w:numId="10">
    <w:abstractNumId w:val="9"/>
  </w:num>
  <w:num w:numId="11">
    <w:abstractNumId w:val="0"/>
  </w:num>
  <w:num w:numId="12">
    <w:abstractNumId w:val="4"/>
  </w:num>
  <w:num w:numId="13">
    <w:abstractNumId w:val="25"/>
  </w:num>
  <w:num w:numId="14">
    <w:abstractNumId w:val="50"/>
  </w:num>
  <w:num w:numId="15">
    <w:abstractNumId w:val="35"/>
  </w:num>
  <w:num w:numId="16">
    <w:abstractNumId w:val="28"/>
  </w:num>
  <w:num w:numId="17">
    <w:abstractNumId w:val="46"/>
  </w:num>
  <w:num w:numId="18">
    <w:abstractNumId w:val="44"/>
  </w:num>
  <w:num w:numId="19">
    <w:abstractNumId w:val="16"/>
  </w:num>
  <w:num w:numId="20">
    <w:abstractNumId w:val="33"/>
  </w:num>
  <w:num w:numId="21">
    <w:abstractNumId w:val="34"/>
  </w:num>
  <w:num w:numId="22">
    <w:abstractNumId w:val="56"/>
  </w:num>
  <w:num w:numId="23">
    <w:abstractNumId w:val="37"/>
  </w:num>
  <w:num w:numId="24">
    <w:abstractNumId w:val="41"/>
  </w:num>
  <w:num w:numId="25">
    <w:abstractNumId w:val="71"/>
  </w:num>
  <w:num w:numId="26">
    <w:abstractNumId w:val="47"/>
  </w:num>
  <w:num w:numId="27">
    <w:abstractNumId w:val="31"/>
  </w:num>
  <w:num w:numId="28">
    <w:abstractNumId w:val="30"/>
  </w:num>
  <w:num w:numId="29">
    <w:abstractNumId w:val="12"/>
  </w:num>
  <w:num w:numId="30">
    <w:abstractNumId w:val="10"/>
  </w:num>
  <w:num w:numId="31">
    <w:abstractNumId w:val="49"/>
  </w:num>
  <w:num w:numId="32">
    <w:abstractNumId w:val="43"/>
  </w:num>
  <w:num w:numId="33">
    <w:abstractNumId w:val="14"/>
  </w:num>
  <w:num w:numId="34">
    <w:abstractNumId w:val="19"/>
  </w:num>
  <w:num w:numId="35">
    <w:abstractNumId w:val="57"/>
  </w:num>
  <w:num w:numId="36">
    <w:abstractNumId w:val="51"/>
  </w:num>
  <w:num w:numId="37">
    <w:abstractNumId w:val="24"/>
  </w:num>
  <w:num w:numId="38">
    <w:abstractNumId w:val="39"/>
  </w:num>
  <w:num w:numId="39">
    <w:abstractNumId w:val="48"/>
  </w:num>
  <w:num w:numId="40">
    <w:abstractNumId w:val="21"/>
  </w:num>
  <w:num w:numId="41">
    <w:abstractNumId w:val="77"/>
  </w:num>
  <w:num w:numId="42">
    <w:abstractNumId w:val="76"/>
  </w:num>
  <w:num w:numId="43">
    <w:abstractNumId w:val="69"/>
  </w:num>
  <w:num w:numId="44">
    <w:abstractNumId w:val="70"/>
  </w:num>
  <w:num w:numId="45">
    <w:abstractNumId w:val="29"/>
  </w:num>
  <w:num w:numId="46">
    <w:abstractNumId w:val="1"/>
  </w:num>
  <w:num w:numId="47">
    <w:abstractNumId w:val="40"/>
  </w:num>
  <w:num w:numId="48">
    <w:abstractNumId w:val="13"/>
  </w:num>
  <w:num w:numId="49">
    <w:abstractNumId w:val="22"/>
  </w:num>
  <w:num w:numId="50">
    <w:abstractNumId w:val="42"/>
  </w:num>
  <w:num w:numId="51">
    <w:abstractNumId w:val="17"/>
  </w:num>
  <w:num w:numId="52">
    <w:abstractNumId w:val="72"/>
  </w:num>
  <w:num w:numId="53">
    <w:abstractNumId w:val="38"/>
  </w:num>
  <w:num w:numId="54">
    <w:abstractNumId w:val="8"/>
  </w:num>
  <w:num w:numId="55">
    <w:abstractNumId w:val="64"/>
  </w:num>
  <w:num w:numId="56">
    <w:abstractNumId w:val="59"/>
  </w:num>
  <w:num w:numId="57">
    <w:abstractNumId w:val="26"/>
  </w:num>
  <w:num w:numId="58">
    <w:abstractNumId w:val="6"/>
  </w:num>
  <w:num w:numId="59">
    <w:abstractNumId w:val="5"/>
  </w:num>
  <w:num w:numId="60">
    <w:abstractNumId w:val="62"/>
  </w:num>
  <w:num w:numId="61">
    <w:abstractNumId w:val="18"/>
  </w:num>
  <w:num w:numId="62">
    <w:abstractNumId w:val="73"/>
  </w:num>
  <w:num w:numId="63">
    <w:abstractNumId w:val="36"/>
  </w:num>
  <w:num w:numId="64">
    <w:abstractNumId w:val="53"/>
  </w:num>
  <w:num w:numId="65">
    <w:abstractNumId w:val="60"/>
  </w:num>
  <w:num w:numId="66">
    <w:abstractNumId w:val="15"/>
  </w:num>
  <w:num w:numId="67">
    <w:abstractNumId w:val="7"/>
  </w:num>
  <w:num w:numId="68">
    <w:abstractNumId w:val="66"/>
  </w:num>
  <w:num w:numId="69">
    <w:abstractNumId w:val="68"/>
  </w:num>
  <w:num w:numId="70">
    <w:abstractNumId w:val="63"/>
  </w:num>
  <w:num w:numId="71">
    <w:abstractNumId w:val="52"/>
  </w:num>
  <w:num w:numId="72">
    <w:abstractNumId w:val="74"/>
  </w:num>
  <w:num w:numId="73">
    <w:abstractNumId w:val="20"/>
  </w:num>
  <w:num w:numId="74">
    <w:abstractNumId w:val="27"/>
  </w:num>
  <w:num w:numId="75">
    <w:abstractNumId w:val="3"/>
  </w:num>
  <w:num w:numId="76">
    <w:abstractNumId w:val="65"/>
  </w:num>
  <w:num w:numId="77">
    <w:abstractNumId w:val="32"/>
  </w:num>
  <w:num w:numId="78">
    <w:abstractNumId w:val="61"/>
  </w:num>
  <w:num w:numId="79">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mirrorMargi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C3A"/>
    <w:rsid w:val="000002AA"/>
    <w:rsid w:val="00000437"/>
    <w:rsid w:val="00004AE0"/>
    <w:rsid w:val="0000704B"/>
    <w:rsid w:val="0001235D"/>
    <w:rsid w:val="000138EC"/>
    <w:rsid w:val="00015C47"/>
    <w:rsid w:val="00015E50"/>
    <w:rsid w:val="000168CF"/>
    <w:rsid w:val="000168EA"/>
    <w:rsid w:val="000203FE"/>
    <w:rsid w:val="00022A33"/>
    <w:rsid w:val="00023A5E"/>
    <w:rsid w:val="000301E9"/>
    <w:rsid w:val="000335D1"/>
    <w:rsid w:val="000337A3"/>
    <w:rsid w:val="00033A79"/>
    <w:rsid w:val="000376FA"/>
    <w:rsid w:val="00037997"/>
    <w:rsid w:val="00040205"/>
    <w:rsid w:val="00040AE3"/>
    <w:rsid w:val="000414CC"/>
    <w:rsid w:val="000475D3"/>
    <w:rsid w:val="00047C2B"/>
    <w:rsid w:val="0005054C"/>
    <w:rsid w:val="0005194F"/>
    <w:rsid w:val="00052925"/>
    <w:rsid w:val="000532AF"/>
    <w:rsid w:val="00053962"/>
    <w:rsid w:val="0005410E"/>
    <w:rsid w:val="00056C5D"/>
    <w:rsid w:val="000602B4"/>
    <w:rsid w:val="0006072C"/>
    <w:rsid w:val="000612D5"/>
    <w:rsid w:val="000638C3"/>
    <w:rsid w:val="00067997"/>
    <w:rsid w:val="00070F4C"/>
    <w:rsid w:val="00074690"/>
    <w:rsid w:val="00075EA9"/>
    <w:rsid w:val="00076B93"/>
    <w:rsid w:val="000807BC"/>
    <w:rsid w:val="00081334"/>
    <w:rsid w:val="00084488"/>
    <w:rsid w:val="000844FA"/>
    <w:rsid w:val="00086E57"/>
    <w:rsid w:val="0009017E"/>
    <w:rsid w:val="00091DA3"/>
    <w:rsid w:val="0009216C"/>
    <w:rsid w:val="00092AF1"/>
    <w:rsid w:val="00094D46"/>
    <w:rsid w:val="00096082"/>
    <w:rsid w:val="00096697"/>
    <w:rsid w:val="000A3F02"/>
    <w:rsid w:val="000A4C3B"/>
    <w:rsid w:val="000B2426"/>
    <w:rsid w:val="000B2FE7"/>
    <w:rsid w:val="000B3448"/>
    <w:rsid w:val="000B3646"/>
    <w:rsid w:val="000B588B"/>
    <w:rsid w:val="000C0776"/>
    <w:rsid w:val="000C5E1B"/>
    <w:rsid w:val="000C6537"/>
    <w:rsid w:val="000C78E3"/>
    <w:rsid w:val="000D0197"/>
    <w:rsid w:val="000D0856"/>
    <w:rsid w:val="000D10F0"/>
    <w:rsid w:val="000D114D"/>
    <w:rsid w:val="000D1BD8"/>
    <w:rsid w:val="000D1D27"/>
    <w:rsid w:val="000D29C9"/>
    <w:rsid w:val="000D5EA7"/>
    <w:rsid w:val="000E201B"/>
    <w:rsid w:val="000E2230"/>
    <w:rsid w:val="000E3BF8"/>
    <w:rsid w:val="000E6A02"/>
    <w:rsid w:val="000E76A1"/>
    <w:rsid w:val="000E7E45"/>
    <w:rsid w:val="000F09CE"/>
    <w:rsid w:val="000F0B71"/>
    <w:rsid w:val="000F18DD"/>
    <w:rsid w:val="000F2BCB"/>
    <w:rsid w:val="000F3932"/>
    <w:rsid w:val="00101E08"/>
    <w:rsid w:val="00102A72"/>
    <w:rsid w:val="00102B4E"/>
    <w:rsid w:val="0010335B"/>
    <w:rsid w:val="00106C05"/>
    <w:rsid w:val="001079F4"/>
    <w:rsid w:val="001128E2"/>
    <w:rsid w:val="00112F61"/>
    <w:rsid w:val="001138A5"/>
    <w:rsid w:val="00113DEE"/>
    <w:rsid w:val="00115B52"/>
    <w:rsid w:val="00120422"/>
    <w:rsid w:val="00122A70"/>
    <w:rsid w:val="0012451B"/>
    <w:rsid w:val="00124E14"/>
    <w:rsid w:val="0012535C"/>
    <w:rsid w:val="00126AD4"/>
    <w:rsid w:val="00126E41"/>
    <w:rsid w:val="00133189"/>
    <w:rsid w:val="001340C5"/>
    <w:rsid w:val="00135903"/>
    <w:rsid w:val="00135D3F"/>
    <w:rsid w:val="001379FC"/>
    <w:rsid w:val="001400DF"/>
    <w:rsid w:val="001423BF"/>
    <w:rsid w:val="00142FE4"/>
    <w:rsid w:val="00144F89"/>
    <w:rsid w:val="001459F8"/>
    <w:rsid w:val="001471CF"/>
    <w:rsid w:val="00147A91"/>
    <w:rsid w:val="00147DDB"/>
    <w:rsid w:val="0015003C"/>
    <w:rsid w:val="00152D45"/>
    <w:rsid w:val="00154708"/>
    <w:rsid w:val="00155123"/>
    <w:rsid w:val="00156E87"/>
    <w:rsid w:val="00163682"/>
    <w:rsid w:val="001673EF"/>
    <w:rsid w:val="00172ECB"/>
    <w:rsid w:val="001739F5"/>
    <w:rsid w:val="00173E44"/>
    <w:rsid w:val="00177187"/>
    <w:rsid w:val="00177988"/>
    <w:rsid w:val="001800BC"/>
    <w:rsid w:val="00180A08"/>
    <w:rsid w:val="001846AC"/>
    <w:rsid w:val="00186E2F"/>
    <w:rsid w:val="00186EC0"/>
    <w:rsid w:val="00187EEA"/>
    <w:rsid w:val="001904A0"/>
    <w:rsid w:val="00190839"/>
    <w:rsid w:val="0019183B"/>
    <w:rsid w:val="00196E86"/>
    <w:rsid w:val="0019740D"/>
    <w:rsid w:val="00197917"/>
    <w:rsid w:val="00197B3C"/>
    <w:rsid w:val="00197C64"/>
    <w:rsid w:val="001A00E9"/>
    <w:rsid w:val="001A2253"/>
    <w:rsid w:val="001A2D20"/>
    <w:rsid w:val="001A3BAD"/>
    <w:rsid w:val="001A3BE0"/>
    <w:rsid w:val="001A4B45"/>
    <w:rsid w:val="001A5250"/>
    <w:rsid w:val="001A6593"/>
    <w:rsid w:val="001A76BD"/>
    <w:rsid w:val="001B3803"/>
    <w:rsid w:val="001B38DB"/>
    <w:rsid w:val="001B56B6"/>
    <w:rsid w:val="001B79F4"/>
    <w:rsid w:val="001B7B19"/>
    <w:rsid w:val="001B7D79"/>
    <w:rsid w:val="001C23B1"/>
    <w:rsid w:val="001C2B6D"/>
    <w:rsid w:val="001C6269"/>
    <w:rsid w:val="001C6352"/>
    <w:rsid w:val="001C6456"/>
    <w:rsid w:val="001C64E9"/>
    <w:rsid w:val="001C6ABC"/>
    <w:rsid w:val="001C6E4E"/>
    <w:rsid w:val="001D1820"/>
    <w:rsid w:val="001D5317"/>
    <w:rsid w:val="001D569A"/>
    <w:rsid w:val="001E0431"/>
    <w:rsid w:val="001E3EA8"/>
    <w:rsid w:val="001E59BF"/>
    <w:rsid w:val="001E61A4"/>
    <w:rsid w:val="001E7DDD"/>
    <w:rsid w:val="001F21CB"/>
    <w:rsid w:val="001F4527"/>
    <w:rsid w:val="001F5722"/>
    <w:rsid w:val="001F6D35"/>
    <w:rsid w:val="002038E6"/>
    <w:rsid w:val="00205F74"/>
    <w:rsid w:val="002064E6"/>
    <w:rsid w:val="00206ED5"/>
    <w:rsid w:val="002101D9"/>
    <w:rsid w:val="00210C72"/>
    <w:rsid w:val="00213432"/>
    <w:rsid w:val="00214F07"/>
    <w:rsid w:val="002172E6"/>
    <w:rsid w:val="00217A8D"/>
    <w:rsid w:val="00220ECA"/>
    <w:rsid w:val="00221F78"/>
    <w:rsid w:val="00222814"/>
    <w:rsid w:val="00223C01"/>
    <w:rsid w:val="0022498B"/>
    <w:rsid w:val="00225225"/>
    <w:rsid w:val="0022662B"/>
    <w:rsid w:val="00227DA8"/>
    <w:rsid w:val="00230B5E"/>
    <w:rsid w:val="0023276E"/>
    <w:rsid w:val="002347C7"/>
    <w:rsid w:val="00234D19"/>
    <w:rsid w:val="00235432"/>
    <w:rsid w:val="002359CB"/>
    <w:rsid w:val="00236E6A"/>
    <w:rsid w:val="002426BF"/>
    <w:rsid w:val="002517E3"/>
    <w:rsid w:val="0025295B"/>
    <w:rsid w:val="00252FB4"/>
    <w:rsid w:val="00255A4E"/>
    <w:rsid w:val="00256264"/>
    <w:rsid w:val="00263DCF"/>
    <w:rsid w:val="00266F9B"/>
    <w:rsid w:val="00270E00"/>
    <w:rsid w:val="00271644"/>
    <w:rsid w:val="00272CCF"/>
    <w:rsid w:val="00274DA6"/>
    <w:rsid w:val="00283CE4"/>
    <w:rsid w:val="00285B0A"/>
    <w:rsid w:val="00286131"/>
    <w:rsid w:val="0028656B"/>
    <w:rsid w:val="00290C54"/>
    <w:rsid w:val="00291ACD"/>
    <w:rsid w:val="00292B3F"/>
    <w:rsid w:val="00294F4A"/>
    <w:rsid w:val="0029513A"/>
    <w:rsid w:val="00295FC7"/>
    <w:rsid w:val="002A2CCE"/>
    <w:rsid w:val="002A673C"/>
    <w:rsid w:val="002A7727"/>
    <w:rsid w:val="002B03FE"/>
    <w:rsid w:val="002B2FD0"/>
    <w:rsid w:val="002B3A2A"/>
    <w:rsid w:val="002C3B67"/>
    <w:rsid w:val="002C6431"/>
    <w:rsid w:val="002D02B9"/>
    <w:rsid w:val="002D1C84"/>
    <w:rsid w:val="002D34F4"/>
    <w:rsid w:val="002D3E53"/>
    <w:rsid w:val="002D437D"/>
    <w:rsid w:val="002D4404"/>
    <w:rsid w:val="002D4EBE"/>
    <w:rsid w:val="002D5AE4"/>
    <w:rsid w:val="002E1819"/>
    <w:rsid w:val="002E357A"/>
    <w:rsid w:val="002F192C"/>
    <w:rsid w:val="002F284E"/>
    <w:rsid w:val="002F3A44"/>
    <w:rsid w:val="002F3B8E"/>
    <w:rsid w:val="002F415D"/>
    <w:rsid w:val="002F4D42"/>
    <w:rsid w:val="00302821"/>
    <w:rsid w:val="00302A40"/>
    <w:rsid w:val="00303AF2"/>
    <w:rsid w:val="00304977"/>
    <w:rsid w:val="00304A22"/>
    <w:rsid w:val="00306FEF"/>
    <w:rsid w:val="00307527"/>
    <w:rsid w:val="003126F2"/>
    <w:rsid w:val="00313E6E"/>
    <w:rsid w:val="00314FB8"/>
    <w:rsid w:val="00320A34"/>
    <w:rsid w:val="003218AE"/>
    <w:rsid w:val="00322B5D"/>
    <w:rsid w:val="00325EBD"/>
    <w:rsid w:val="00326E67"/>
    <w:rsid w:val="003308E1"/>
    <w:rsid w:val="00330EAB"/>
    <w:rsid w:val="00332072"/>
    <w:rsid w:val="00334B01"/>
    <w:rsid w:val="00335EE4"/>
    <w:rsid w:val="00340668"/>
    <w:rsid w:val="00340805"/>
    <w:rsid w:val="00341927"/>
    <w:rsid w:val="00342804"/>
    <w:rsid w:val="00344D04"/>
    <w:rsid w:val="003467F8"/>
    <w:rsid w:val="00346BBB"/>
    <w:rsid w:val="00347CBD"/>
    <w:rsid w:val="00347E70"/>
    <w:rsid w:val="00347FFE"/>
    <w:rsid w:val="003503A3"/>
    <w:rsid w:val="00350F0B"/>
    <w:rsid w:val="003571B1"/>
    <w:rsid w:val="00360156"/>
    <w:rsid w:val="00362D25"/>
    <w:rsid w:val="00362E39"/>
    <w:rsid w:val="0036411C"/>
    <w:rsid w:val="003659C3"/>
    <w:rsid w:val="00365DE7"/>
    <w:rsid w:val="0036635A"/>
    <w:rsid w:val="00366AD1"/>
    <w:rsid w:val="0037088A"/>
    <w:rsid w:val="00370F40"/>
    <w:rsid w:val="00372447"/>
    <w:rsid w:val="00374307"/>
    <w:rsid w:val="00374AC0"/>
    <w:rsid w:val="00376F9D"/>
    <w:rsid w:val="00377811"/>
    <w:rsid w:val="003821FF"/>
    <w:rsid w:val="003825A3"/>
    <w:rsid w:val="00387A63"/>
    <w:rsid w:val="00391F6E"/>
    <w:rsid w:val="00397D2A"/>
    <w:rsid w:val="003A1E78"/>
    <w:rsid w:val="003A2882"/>
    <w:rsid w:val="003A2970"/>
    <w:rsid w:val="003A2C3A"/>
    <w:rsid w:val="003A33FC"/>
    <w:rsid w:val="003A345E"/>
    <w:rsid w:val="003A393A"/>
    <w:rsid w:val="003A4D38"/>
    <w:rsid w:val="003B04E6"/>
    <w:rsid w:val="003B0DD4"/>
    <w:rsid w:val="003B2495"/>
    <w:rsid w:val="003B4A44"/>
    <w:rsid w:val="003B5663"/>
    <w:rsid w:val="003B5FF2"/>
    <w:rsid w:val="003C00B9"/>
    <w:rsid w:val="003C043E"/>
    <w:rsid w:val="003C4541"/>
    <w:rsid w:val="003D160E"/>
    <w:rsid w:val="003D25ED"/>
    <w:rsid w:val="003D63B4"/>
    <w:rsid w:val="003D6E1C"/>
    <w:rsid w:val="003D76F5"/>
    <w:rsid w:val="003D7C08"/>
    <w:rsid w:val="003E1DAC"/>
    <w:rsid w:val="003E2BE3"/>
    <w:rsid w:val="003E51AC"/>
    <w:rsid w:val="003E56F8"/>
    <w:rsid w:val="003E5CC5"/>
    <w:rsid w:val="003F0D04"/>
    <w:rsid w:val="003F1EED"/>
    <w:rsid w:val="003F3B66"/>
    <w:rsid w:val="003F4349"/>
    <w:rsid w:val="003F6A5E"/>
    <w:rsid w:val="00400A40"/>
    <w:rsid w:val="0041115D"/>
    <w:rsid w:val="004122AA"/>
    <w:rsid w:val="00414C63"/>
    <w:rsid w:val="00416E01"/>
    <w:rsid w:val="0042299E"/>
    <w:rsid w:val="004229CA"/>
    <w:rsid w:val="00423643"/>
    <w:rsid w:val="004248CE"/>
    <w:rsid w:val="0042607F"/>
    <w:rsid w:val="00431AB1"/>
    <w:rsid w:val="004323C2"/>
    <w:rsid w:val="004330D0"/>
    <w:rsid w:val="004342AC"/>
    <w:rsid w:val="004346E7"/>
    <w:rsid w:val="00435540"/>
    <w:rsid w:val="00436E13"/>
    <w:rsid w:val="004406CB"/>
    <w:rsid w:val="00440F29"/>
    <w:rsid w:val="00443227"/>
    <w:rsid w:val="004439F6"/>
    <w:rsid w:val="00450396"/>
    <w:rsid w:val="00450ACD"/>
    <w:rsid w:val="0045103B"/>
    <w:rsid w:val="00453804"/>
    <w:rsid w:val="00453DAB"/>
    <w:rsid w:val="00455EE0"/>
    <w:rsid w:val="0045749E"/>
    <w:rsid w:val="00461516"/>
    <w:rsid w:val="004615F0"/>
    <w:rsid w:val="00463A8C"/>
    <w:rsid w:val="004640FD"/>
    <w:rsid w:val="00464665"/>
    <w:rsid w:val="0046486D"/>
    <w:rsid w:val="004663AB"/>
    <w:rsid w:val="00466B7A"/>
    <w:rsid w:val="00467721"/>
    <w:rsid w:val="00470AFA"/>
    <w:rsid w:val="00470B02"/>
    <w:rsid w:val="0047126B"/>
    <w:rsid w:val="004720BD"/>
    <w:rsid w:val="00473221"/>
    <w:rsid w:val="00473659"/>
    <w:rsid w:val="00473974"/>
    <w:rsid w:val="004773D1"/>
    <w:rsid w:val="00480F62"/>
    <w:rsid w:val="004825F5"/>
    <w:rsid w:val="00483805"/>
    <w:rsid w:val="00483BDB"/>
    <w:rsid w:val="00487E32"/>
    <w:rsid w:val="00487FDE"/>
    <w:rsid w:val="0049007B"/>
    <w:rsid w:val="004905E8"/>
    <w:rsid w:val="00490E59"/>
    <w:rsid w:val="00491B60"/>
    <w:rsid w:val="0049523A"/>
    <w:rsid w:val="004963DE"/>
    <w:rsid w:val="004A03D9"/>
    <w:rsid w:val="004A08FE"/>
    <w:rsid w:val="004A1769"/>
    <w:rsid w:val="004A3597"/>
    <w:rsid w:val="004A4BD1"/>
    <w:rsid w:val="004A515E"/>
    <w:rsid w:val="004B08C1"/>
    <w:rsid w:val="004B0DC8"/>
    <w:rsid w:val="004B2743"/>
    <w:rsid w:val="004B2F21"/>
    <w:rsid w:val="004B64A1"/>
    <w:rsid w:val="004B75C4"/>
    <w:rsid w:val="004C1112"/>
    <w:rsid w:val="004C18DD"/>
    <w:rsid w:val="004C32BC"/>
    <w:rsid w:val="004C65B4"/>
    <w:rsid w:val="004D2D34"/>
    <w:rsid w:val="004D5271"/>
    <w:rsid w:val="004D722C"/>
    <w:rsid w:val="004E0D09"/>
    <w:rsid w:val="004E1457"/>
    <w:rsid w:val="004E322D"/>
    <w:rsid w:val="004E3238"/>
    <w:rsid w:val="004E511D"/>
    <w:rsid w:val="004E7272"/>
    <w:rsid w:val="004E7930"/>
    <w:rsid w:val="004F0BA6"/>
    <w:rsid w:val="004F1679"/>
    <w:rsid w:val="004F2937"/>
    <w:rsid w:val="004F374D"/>
    <w:rsid w:val="004F502A"/>
    <w:rsid w:val="00501D16"/>
    <w:rsid w:val="00503A92"/>
    <w:rsid w:val="005053AC"/>
    <w:rsid w:val="00505DBF"/>
    <w:rsid w:val="00507E4B"/>
    <w:rsid w:val="00511CB0"/>
    <w:rsid w:val="005172DE"/>
    <w:rsid w:val="00517B6E"/>
    <w:rsid w:val="00520186"/>
    <w:rsid w:val="0052151C"/>
    <w:rsid w:val="00522215"/>
    <w:rsid w:val="005226FB"/>
    <w:rsid w:val="00524A8A"/>
    <w:rsid w:val="00524B47"/>
    <w:rsid w:val="00525109"/>
    <w:rsid w:val="005260F9"/>
    <w:rsid w:val="005271C1"/>
    <w:rsid w:val="00530BF4"/>
    <w:rsid w:val="005406B1"/>
    <w:rsid w:val="00540DE5"/>
    <w:rsid w:val="00542D95"/>
    <w:rsid w:val="00542E8D"/>
    <w:rsid w:val="00543341"/>
    <w:rsid w:val="005441A4"/>
    <w:rsid w:val="005455A1"/>
    <w:rsid w:val="00546345"/>
    <w:rsid w:val="00546F80"/>
    <w:rsid w:val="0055209B"/>
    <w:rsid w:val="00554F57"/>
    <w:rsid w:val="005559A7"/>
    <w:rsid w:val="00565283"/>
    <w:rsid w:val="00571176"/>
    <w:rsid w:val="00572792"/>
    <w:rsid w:val="00574BD4"/>
    <w:rsid w:val="005754FB"/>
    <w:rsid w:val="005802E9"/>
    <w:rsid w:val="00581FB8"/>
    <w:rsid w:val="00581FEE"/>
    <w:rsid w:val="00583CF8"/>
    <w:rsid w:val="00583D79"/>
    <w:rsid w:val="00584F60"/>
    <w:rsid w:val="0058584A"/>
    <w:rsid w:val="00586410"/>
    <w:rsid w:val="00590D3A"/>
    <w:rsid w:val="00592574"/>
    <w:rsid w:val="00594F10"/>
    <w:rsid w:val="00596E80"/>
    <w:rsid w:val="00597B04"/>
    <w:rsid w:val="00597DE3"/>
    <w:rsid w:val="005A2090"/>
    <w:rsid w:val="005A26CB"/>
    <w:rsid w:val="005A520C"/>
    <w:rsid w:val="005A69F2"/>
    <w:rsid w:val="005B532B"/>
    <w:rsid w:val="005C4D6E"/>
    <w:rsid w:val="005C526C"/>
    <w:rsid w:val="005C5577"/>
    <w:rsid w:val="005C70A6"/>
    <w:rsid w:val="005D3417"/>
    <w:rsid w:val="005E309A"/>
    <w:rsid w:val="005E406F"/>
    <w:rsid w:val="005E4DE7"/>
    <w:rsid w:val="005E5177"/>
    <w:rsid w:val="005F0739"/>
    <w:rsid w:val="005F0F90"/>
    <w:rsid w:val="005F1188"/>
    <w:rsid w:val="005F3C72"/>
    <w:rsid w:val="00600032"/>
    <w:rsid w:val="00600167"/>
    <w:rsid w:val="006024A2"/>
    <w:rsid w:val="006044A3"/>
    <w:rsid w:val="00605CD0"/>
    <w:rsid w:val="00606919"/>
    <w:rsid w:val="00611BA3"/>
    <w:rsid w:val="0061315D"/>
    <w:rsid w:val="0061545C"/>
    <w:rsid w:val="0061708A"/>
    <w:rsid w:val="00617865"/>
    <w:rsid w:val="006178C9"/>
    <w:rsid w:val="006233AA"/>
    <w:rsid w:val="00624A1A"/>
    <w:rsid w:val="00630898"/>
    <w:rsid w:val="00630C7F"/>
    <w:rsid w:val="0063221B"/>
    <w:rsid w:val="00634DCE"/>
    <w:rsid w:val="00635D4F"/>
    <w:rsid w:val="006377CF"/>
    <w:rsid w:val="006406DF"/>
    <w:rsid w:val="00640D26"/>
    <w:rsid w:val="006418B9"/>
    <w:rsid w:val="00641F03"/>
    <w:rsid w:val="00646C91"/>
    <w:rsid w:val="006504C5"/>
    <w:rsid w:val="00652F6C"/>
    <w:rsid w:val="00655289"/>
    <w:rsid w:val="00660677"/>
    <w:rsid w:val="00662854"/>
    <w:rsid w:val="00664055"/>
    <w:rsid w:val="00666A6D"/>
    <w:rsid w:val="00666AD4"/>
    <w:rsid w:val="00670FD1"/>
    <w:rsid w:val="00672D62"/>
    <w:rsid w:val="00673920"/>
    <w:rsid w:val="00674535"/>
    <w:rsid w:val="006756D2"/>
    <w:rsid w:val="00675FEB"/>
    <w:rsid w:val="00676CCB"/>
    <w:rsid w:val="00681B89"/>
    <w:rsid w:val="00683AF3"/>
    <w:rsid w:val="00684E4C"/>
    <w:rsid w:val="00686D68"/>
    <w:rsid w:val="006870B7"/>
    <w:rsid w:val="00687BA3"/>
    <w:rsid w:val="006901F6"/>
    <w:rsid w:val="00693FBE"/>
    <w:rsid w:val="006973F4"/>
    <w:rsid w:val="006A063B"/>
    <w:rsid w:val="006A22B9"/>
    <w:rsid w:val="006A28FC"/>
    <w:rsid w:val="006A2E06"/>
    <w:rsid w:val="006A553D"/>
    <w:rsid w:val="006B042E"/>
    <w:rsid w:val="006B29B9"/>
    <w:rsid w:val="006B3DCB"/>
    <w:rsid w:val="006B7379"/>
    <w:rsid w:val="006B74A0"/>
    <w:rsid w:val="006C0461"/>
    <w:rsid w:val="006C06CA"/>
    <w:rsid w:val="006D395A"/>
    <w:rsid w:val="006D5A72"/>
    <w:rsid w:val="006E0A14"/>
    <w:rsid w:val="006E10DA"/>
    <w:rsid w:val="006E4C14"/>
    <w:rsid w:val="006F0CAA"/>
    <w:rsid w:val="006F1162"/>
    <w:rsid w:val="006F14E5"/>
    <w:rsid w:val="006F241D"/>
    <w:rsid w:val="006F4330"/>
    <w:rsid w:val="006F5707"/>
    <w:rsid w:val="006F5C58"/>
    <w:rsid w:val="007001E4"/>
    <w:rsid w:val="0070061D"/>
    <w:rsid w:val="00700D6B"/>
    <w:rsid w:val="00700E29"/>
    <w:rsid w:val="00703A6A"/>
    <w:rsid w:val="00704C2D"/>
    <w:rsid w:val="00707430"/>
    <w:rsid w:val="00714481"/>
    <w:rsid w:val="00714F13"/>
    <w:rsid w:val="007155D7"/>
    <w:rsid w:val="00717D35"/>
    <w:rsid w:val="007214F9"/>
    <w:rsid w:val="00721A3B"/>
    <w:rsid w:val="0072249A"/>
    <w:rsid w:val="00724BC0"/>
    <w:rsid w:val="00725A0F"/>
    <w:rsid w:val="00726867"/>
    <w:rsid w:val="007317FA"/>
    <w:rsid w:val="00732841"/>
    <w:rsid w:val="00734135"/>
    <w:rsid w:val="00734904"/>
    <w:rsid w:val="00736A63"/>
    <w:rsid w:val="00743101"/>
    <w:rsid w:val="00743D49"/>
    <w:rsid w:val="0074555C"/>
    <w:rsid w:val="00747F19"/>
    <w:rsid w:val="0075172E"/>
    <w:rsid w:val="0075374E"/>
    <w:rsid w:val="00753876"/>
    <w:rsid w:val="00754050"/>
    <w:rsid w:val="007555F1"/>
    <w:rsid w:val="0075595F"/>
    <w:rsid w:val="00757B34"/>
    <w:rsid w:val="0076006B"/>
    <w:rsid w:val="00761247"/>
    <w:rsid w:val="00763A3C"/>
    <w:rsid w:val="00764F44"/>
    <w:rsid w:val="007660F0"/>
    <w:rsid w:val="007669F4"/>
    <w:rsid w:val="007701F6"/>
    <w:rsid w:val="007704CF"/>
    <w:rsid w:val="00770D24"/>
    <w:rsid w:val="00772B36"/>
    <w:rsid w:val="00777082"/>
    <w:rsid w:val="00780831"/>
    <w:rsid w:val="007820BB"/>
    <w:rsid w:val="00782241"/>
    <w:rsid w:val="00782EF9"/>
    <w:rsid w:val="00783D14"/>
    <w:rsid w:val="007848FC"/>
    <w:rsid w:val="00787E18"/>
    <w:rsid w:val="007906D5"/>
    <w:rsid w:val="00792D02"/>
    <w:rsid w:val="00793E6C"/>
    <w:rsid w:val="00794F3A"/>
    <w:rsid w:val="007A1C8C"/>
    <w:rsid w:val="007A5A46"/>
    <w:rsid w:val="007A5CEB"/>
    <w:rsid w:val="007A6790"/>
    <w:rsid w:val="007B19B0"/>
    <w:rsid w:val="007B20A5"/>
    <w:rsid w:val="007B2BA8"/>
    <w:rsid w:val="007B4E00"/>
    <w:rsid w:val="007B5800"/>
    <w:rsid w:val="007B5B9A"/>
    <w:rsid w:val="007B5BB2"/>
    <w:rsid w:val="007B5F0A"/>
    <w:rsid w:val="007B6B35"/>
    <w:rsid w:val="007C18B3"/>
    <w:rsid w:val="007C36D4"/>
    <w:rsid w:val="007C3B2D"/>
    <w:rsid w:val="007C40A9"/>
    <w:rsid w:val="007C5574"/>
    <w:rsid w:val="007C7321"/>
    <w:rsid w:val="007D058E"/>
    <w:rsid w:val="007D470A"/>
    <w:rsid w:val="007D4BEF"/>
    <w:rsid w:val="007E1EBD"/>
    <w:rsid w:val="007E6704"/>
    <w:rsid w:val="007E6D78"/>
    <w:rsid w:val="007F2115"/>
    <w:rsid w:val="007F2662"/>
    <w:rsid w:val="007F3AD3"/>
    <w:rsid w:val="007F5688"/>
    <w:rsid w:val="007F7171"/>
    <w:rsid w:val="007F7861"/>
    <w:rsid w:val="00803D98"/>
    <w:rsid w:val="0080455B"/>
    <w:rsid w:val="00804FC6"/>
    <w:rsid w:val="00804FCD"/>
    <w:rsid w:val="00806F87"/>
    <w:rsid w:val="0080751F"/>
    <w:rsid w:val="00807737"/>
    <w:rsid w:val="008106E7"/>
    <w:rsid w:val="0081099C"/>
    <w:rsid w:val="00811DDF"/>
    <w:rsid w:val="00816927"/>
    <w:rsid w:val="00816D24"/>
    <w:rsid w:val="00820B46"/>
    <w:rsid w:val="00821168"/>
    <w:rsid w:val="00821905"/>
    <w:rsid w:val="00825FF3"/>
    <w:rsid w:val="00826342"/>
    <w:rsid w:val="00826672"/>
    <w:rsid w:val="008300D5"/>
    <w:rsid w:val="0083024D"/>
    <w:rsid w:val="008309AC"/>
    <w:rsid w:val="008327B3"/>
    <w:rsid w:val="00834A56"/>
    <w:rsid w:val="0083549E"/>
    <w:rsid w:val="00835F73"/>
    <w:rsid w:val="00835FA3"/>
    <w:rsid w:val="00837831"/>
    <w:rsid w:val="00840312"/>
    <w:rsid w:val="00844CF6"/>
    <w:rsid w:val="00847929"/>
    <w:rsid w:val="008520F6"/>
    <w:rsid w:val="0085285B"/>
    <w:rsid w:val="0085505B"/>
    <w:rsid w:val="008573F8"/>
    <w:rsid w:val="00857E93"/>
    <w:rsid w:val="00860236"/>
    <w:rsid w:val="00860ABF"/>
    <w:rsid w:val="008620CB"/>
    <w:rsid w:val="008622EB"/>
    <w:rsid w:val="00866461"/>
    <w:rsid w:val="00866E00"/>
    <w:rsid w:val="00870F07"/>
    <w:rsid w:val="0087298C"/>
    <w:rsid w:val="0087393A"/>
    <w:rsid w:val="008744B6"/>
    <w:rsid w:val="00875491"/>
    <w:rsid w:val="008754C3"/>
    <w:rsid w:val="00877189"/>
    <w:rsid w:val="00877727"/>
    <w:rsid w:val="00877E17"/>
    <w:rsid w:val="00880FAB"/>
    <w:rsid w:val="00881C43"/>
    <w:rsid w:val="008856D8"/>
    <w:rsid w:val="00890D33"/>
    <w:rsid w:val="00892517"/>
    <w:rsid w:val="00896D0B"/>
    <w:rsid w:val="008A0282"/>
    <w:rsid w:val="008A27B4"/>
    <w:rsid w:val="008B07CB"/>
    <w:rsid w:val="008B1131"/>
    <w:rsid w:val="008B1840"/>
    <w:rsid w:val="008B38B3"/>
    <w:rsid w:val="008B3EFF"/>
    <w:rsid w:val="008B6629"/>
    <w:rsid w:val="008B66A5"/>
    <w:rsid w:val="008C2310"/>
    <w:rsid w:val="008C37EC"/>
    <w:rsid w:val="008C39A5"/>
    <w:rsid w:val="008C50A6"/>
    <w:rsid w:val="008C55AB"/>
    <w:rsid w:val="008C7684"/>
    <w:rsid w:val="008D017E"/>
    <w:rsid w:val="008D23EB"/>
    <w:rsid w:val="008D36BB"/>
    <w:rsid w:val="008D57E1"/>
    <w:rsid w:val="008D615A"/>
    <w:rsid w:val="008D637E"/>
    <w:rsid w:val="008D6B18"/>
    <w:rsid w:val="008D745C"/>
    <w:rsid w:val="008E16B8"/>
    <w:rsid w:val="008E4629"/>
    <w:rsid w:val="008E4B36"/>
    <w:rsid w:val="008E551C"/>
    <w:rsid w:val="008E614B"/>
    <w:rsid w:val="008F246F"/>
    <w:rsid w:val="008F38B4"/>
    <w:rsid w:val="00900AC5"/>
    <w:rsid w:val="0090741E"/>
    <w:rsid w:val="00912AFD"/>
    <w:rsid w:val="00913779"/>
    <w:rsid w:val="00914117"/>
    <w:rsid w:val="00914641"/>
    <w:rsid w:val="00915525"/>
    <w:rsid w:val="009240D2"/>
    <w:rsid w:val="00925922"/>
    <w:rsid w:val="009266AF"/>
    <w:rsid w:val="00933702"/>
    <w:rsid w:val="009345A4"/>
    <w:rsid w:val="009360C0"/>
    <w:rsid w:val="00936557"/>
    <w:rsid w:val="0093711C"/>
    <w:rsid w:val="009375BF"/>
    <w:rsid w:val="009438AA"/>
    <w:rsid w:val="00944D5C"/>
    <w:rsid w:val="00945BBD"/>
    <w:rsid w:val="009468EB"/>
    <w:rsid w:val="0095106C"/>
    <w:rsid w:val="009510E8"/>
    <w:rsid w:val="009538D6"/>
    <w:rsid w:val="00953D7F"/>
    <w:rsid w:val="00954EBC"/>
    <w:rsid w:val="00955CA5"/>
    <w:rsid w:val="009563DB"/>
    <w:rsid w:val="00960FA0"/>
    <w:rsid w:val="00961CAE"/>
    <w:rsid w:val="00964A6D"/>
    <w:rsid w:val="009661D4"/>
    <w:rsid w:val="00966C50"/>
    <w:rsid w:val="009712F0"/>
    <w:rsid w:val="00971B6D"/>
    <w:rsid w:val="009723FD"/>
    <w:rsid w:val="00977DCF"/>
    <w:rsid w:val="00982FCA"/>
    <w:rsid w:val="00983B93"/>
    <w:rsid w:val="0098483F"/>
    <w:rsid w:val="00986B6C"/>
    <w:rsid w:val="00987FB0"/>
    <w:rsid w:val="00993A26"/>
    <w:rsid w:val="00993ABA"/>
    <w:rsid w:val="0099562C"/>
    <w:rsid w:val="009968FC"/>
    <w:rsid w:val="009A06C7"/>
    <w:rsid w:val="009A0D9E"/>
    <w:rsid w:val="009A2240"/>
    <w:rsid w:val="009A346B"/>
    <w:rsid w:val="009A672F"/>
    <w:rsid w:val="009B086C"/>
    <w:rsid w:val="009B0CAE"/>
    <w:rsid w:val="009B42F2"/>
    <w:rsid w:val="009B4545"/>
    <w:rsid w:val="009B458F"/>
    <w:rsid w:val="009B46DC"/>
    <w:rsid w:val="009B5290"/>
    <w:rsid w:val="009B5F50"/>
    <w:rsid w:val="009B7D9B"/>
    <w:rsid w:val="009C203D"/>
    <w:rsid w:val="009C2A9D"/>
    <w:rsid w:val="009C3FD3"/>
    <w:rsid w:val="009C4254"/>
    <w:rsid w:val="009C46D0"/>
    <w:rsid w:val="009C4B5F"/>
    <w:rsid w:val="009C78E2"/>
    <w:rsid w:val="009C7B8B"/>
    <w:rsid w:val="009D272C"/>
    <w:rsid w:val="009D2C1E"/>
    <w:rsid w:val="009D48EA"/>
    <w:rsid w:val="009D4FF1"/>
    <w:rsid w:val="009D6B20"/>
    <w:rsid w:val="009D6D13"/>
    <w:rsid w:val="009D7A35"/>
    <w:rsid w:val="009E0365"/>
    <w:rsid w:val="009E10ED"/>
    <w:rsid w:val="009E1EF8"/>
    <w:rsid w:val="009E39FC"/>
    <w:rsid w:val="009E75A5"/>
    <w:rsid w:val="009F4957"/>
    <w:rsid w:val="009F4F62"/>
    <w:rsid w:val="009F5DC0"/>
    <w:rsid w:val="009F6307"/>
    <w:rsid w:val="009F6CBA"/>
    <w:rsid w:val="009F6E69"/>
    <w:rsid w:val="00A012C3"/>
    <w:rsid w:val="00A01981"/>
    <w:rsid w:val="00A0264B"/>
    <w:rsid w:val="00A0488C"/>
    <w:rsid w:val="00A1035B"/>
    <w:rsid w:val="00A10E3E"/>
    <w:rsid w:val="00A135AC"/>
    <w:rsid w:val="00A13DD4"/>
    <w:rsid w:val="00A142E8"/>
    <w:rsid w:val="00A14C8C"/>
    <w:rsid w:val="00A14E4C"/>
    <w:rsid w:val="00A14FF4"/>
    <w:rsid w:val="00A172D0"/>
    <w:rsid w:val="00A201B9"/>
    <w:rsid w:val="00A2135C"/>
    <w:rsid w:val="00A21732"/>
    <w:rsid w:val="00A23A6F"/>
    <w:rsid w:val="00A253B9"/>
    <w:rsid w:val="00A26920"/>
    <w:rsid w:val="00A326BD"/>
    <w:rsid w:val="00A334F0"/>
    <w:rsid w:val="00A37515"/>
    <w:rsid w:val="00A37D44"/>
    <w:rsid w:val="00A4222A"/>
    <w:rsid w:val="00A42FB7"/>
    <w:rsid w:val="00A43C91"/>
    <w:rsid w:val="00A44C0D"/>
    <w:rsid w:val="00A44CAD"/>
    <w:rsid w:val="00A4744B"/>
    <w:rsid w:val="00A47911"/>
    <w:rsid w:val="00A50E94"/>
    <w:rsid w:val="00A5274A"/>
    <w:rsid w:val="00A52EC2"/>
    <w:rsid w:val="00A55F6E"/>
    <w:rsid w:val="00A571DA"/>
    <w:rsid w:val="00A60058"/>
    <w:rsid w:val="00A61C69"/>
    <w:rsid w:val="00A622EE"/>
    <w:rsid w:val="00A65402"/>
    <w:rsid w:val="00A66974"/>
    <w:rsid w:val="00A6716F"/>
    <w:rsid w:val="00A70083"/>
    <w:rsid w:val="00A70EAD"/>
    <w:rsid w:val="00A71CAB"/>
    <w:rsid w:val="00A722E2"/>
    <w:rsid w:val="00A73214"/>
    <w:rsid w:val="00A74183"/>
    <w:rsid w:val="00A74F20"/>
    <w:rsid w:val="00A7531A"/>
    <w:rsid w:val="00A77B4C"/>
    <w:rsid w:val="00A8109B"/>
    <w:rsid w:val="00A81EF6"/>
    <w:rsid w:val="00A909C6"/>
    <w:rsid w:val="00A91D83"/>
    <w:rsid w:val="00A92313"/>
    <w:rsid w:val="00A94F6A"/>
    <w:rsid w:val="00A956A9"/>
    <w:rsid w:val="00A967B1"/>
    <w:rsid w:val="00A97BEF"/>
    <w:rsid w:val="00AB0853"/>
    <w:rsid w:val="00AB21DA"/>
    <w:rsid w:val="00AB515D"/>
    <w:rsid w:val="00AB6B35"/>
    <w:rsid w:val="00AB6EA0"/>
    <w:rsid w:val="00AB75B0"/>
    <w:rsid w:val="00AC0A64"/>
    <w:rsid w:val="00AC4C5A"/>
    <w:rsid w:val="00AC6429"/>
    <w:rsid w:val="00AD29D0"/>
    <w:rsid w:val="00AD564D"/>
    <w:rsid w:val="00AD578F"/>
    <w:rsid w:val="00AE06B6"/>
    <w:rsid w:val="00AE0CEB"/>
    <w:rsid w:val="00AE5260"/>
    <w:rsid w:val="00AE5507"/>
    <w:rsid w:val="00AE6BAE"/>
    <w:rsid w:val="00AF0046"/>
    <w:rsid w:val="00AF4777"/>
    <w:rsid w:val="00AF599B"/>
    <w:rsid w:val="00AF773A"/>
    <w:rsid w:val="00B00EB2"/>
    <w:rsid w:val="00B00ED0"/>
    <w:rsid w:val="00B01176"/>
    <w:rsid w:val="00B01928"/>
    <w:rsid w:val="00B02B74"/>
    <w:rsid w:val="00B02EC8"/>
    <w:rsid w:val="00B03D2F"/>
    <w:rsid w:val="00B0644B"/>
    <w:rsid w:val="00B07C89"/>
    <w:rsid w:val="00B11A45"/>
    <w:rsid w:val="00B17BF9"/>
    <w:rsid w:val="00B20089"/>
    <w:rsid w:val="00B212D1"/>
    <w:rsid w:val="00B22866"/>
    <w:rsid w:val="00B2350F"/>
    <w:rsid w:val="00B32DE5"/>
    <w:rsid w:val="00B34FA4"/>
    <w:rsid w:val="00B352BC"/>
    <w:rsid w:val="00B370C4"/>
    <w:rsid w:val="00B3788A"/>
    <w:rsid w:val="00B40255"/>
    <w:rsid w:val="00B41EA9"/>
    <w:rsid w:val="00B4599C"/>
    <w:rsid w:val="00B5007F"/>
    <w:rsid w:val="00B53BD9"/>
    <w:rsid w:val="00B55C0F"/>
    <w:rsid w:val="00B57BA3"/>
    <w:rsid w:val="00B6191D"/>
    <w:rsid w:val="00B61A91"/>
    <w:rsid w:val="00B67252"/>
    <w:rsid w:val="00B71C34"/>
    <w:rsid w:val="00B737DE"/>
    <w:rsid w:val="00B73D50"/>
    <w:rsid w:val="00B76C9E"/>
    <w:rsid w:val="00B76D16"/>
    <w:rsid w:val="00B77408"/>
    <w:rsid w:val="00B81BC9"/>
    <w:rsid w:val="00B81EEB"/>
    <w:rsid w:val="00B8378D"/>
    <w:rsid w:val="00B8426F"/>
    <w:rsid w:val="00B8489C"/>
    <w:rsid w:val="00B8649B"/>
    <w:rsid w:val="00B914E3"/>
    <w:rsid w:val="00B934BE"/>
    <w:rsid w:val="00B93F60"/>
    <w:rsid w:val="00B96C2B"/>
    <w:rsid w:val="00BA2564"/>
    <w:rsid w:val="00BA257D"/>
    <w:rsid w:val="00BA4A04"/>
    <w:rsid w:val="00BA53F3"/>
    <w:rsid w:val="00BA6205"/>
    <w:rsid w:val="00BB1267"/>
    <w:rsid w:val="00BB4DF0"/>
    <w:rsid w:val="00BB57CA"/>
    <w:rsid w:val="00BB6185"/>
    <w:rsid w:val="00BC0FB0"/>
    <w:rsid w:val="00BC4AB2"/>
    <w:rsid w:val="00BD2421"/>
    <w:rsid w:val="00BD383D"/>
    <w:rsid w:val="00BD61EB"/>
    <w:rsid w:val="00BE02F8"/>
    <w:rsid w:val="00BE1FBD"/>
    <w:rsid w:val="00BE286B"/>
    <w:rsid w:val="00BE565F"/>
    <w:rsid w:val="00BF6592"/>
    <w:rsid w:val="00C02C40"/>
    <w:rsid w:val="00C03C53"/>
    <w:rsid w:val="00C04830"/>
    <w:rsid w:val="00C04F65"/>
    <w:rsid w:val="00C07EE8"/>
    <w:rsid w:val="00C10350"/>
    <w:rsid w:val="00C11544"/>
    <w:rsid w:val="00C119AC"/>
    <w:rsid w:val="00C1711C"/>
    <w:rsid w:val="00C203A6"/>
    <w:rsid w:val="00C20EC9"/>
    <w:rsid w:val="00C232FE"/>
    <w:rsid w:val="00C259F2"/>
    <w:rsid w:val="00C25FF4"/>
    <w:rsid w:val="00C32378"/>
    <w:rsid w:val="00C36DA6"/>
    <w:rsid w:val="00C37349"/>
    <w:rsid w:val="00C37436"/>
    <w:rsid w:val="00C40950"/>
    <w:rsid w:val="00C42829"/>
    <w:rsid w:val="00C47C9E"/>
    <w:rsid w:val="00C5041C"/>
    <w:rsid w:val="00C515C2"/>
    <w:rsid w:val="00C516C5"/>
    <w:rsid w:val="00C51F47"/>
    <w:rsid w:val="00C532B4"/>
    <w:rsid w:val="00C5383A"/>
    <w:rsid w:val="00C53DBD"/>
    <w:rsid w:val="00C54665"/>
    <w:rsid w:val="00C5556F"/>
    <w:rsid w:val="00C55D97"/>
    <w:rsid w:val="00C574EA"/>
    <w:rsid w:val="00C57FD0"/>
    <w:rsid w:val="00C60DB4"/>
    <w:rsid w:val="00C62746"/>
    <w:rsid w:val="00C6576E"/>
    <w:rsid w:val="00C67D4D"/>
    <w:rsid w:val="00C70A29"/>
    <w:rsid w:val="00C70EDD"/>
    <w:rsid w:val="00C71F08"/>
    <w:rsid w:val="00C72B7D"/>
    <w:rsid w:val="00C74449"/>
    <w:rsid w:val="00C752A7"/>
    <w:rsid w:val="00C75492"/>
    <w:rsid w:val="00C76F20"/>
    <w:rsid w:val="00C77C7B"/>
    <w:rsid w:val="00C80487"/>
    <w:rsid w:val="00C826E5"/>
    <w:rsid w:val="00C8358E"/>
    <w:rsid w:val="00C83691"/>
    <w:rsid w:val="00C843BF"/>
    <w:rsid w:val="00C86A63"/>
    <w:rsid w:val="00C87264"/>
    <w:rsid w:val="00C9200F"/>
    <w:rsid w:val="00CA10A0"/>
    <w:rsid w:val="00CA17E2"/>
    <w:rsid w:val="00CA4885"/>
    <w:rsid w:val="00CA6678"/>
    <w:rsid w:val="00CA69E4"/>
    <w:rsid w:val="00CB2EB0"/>
    <w:rsid w:val="00CC0568"/>
    <w:rsid w:val="00CC1D39"/>
    <w:rsid w:val="00CC235B"/>
    <w:rsid w:val="00CC4796"/>
    <w:rsid w:val="00CC5108"/>
    <w:rsid w:val="00CC5CCC"/>
    <w:rsid w:val="00CC67AF"/>
    <w:rsid w:val="00CC6EAE"/>
    <w:rsid w:val="00CC7CFA"/>
    <w:rsid w:val="00CD1FA8"/>
    <w:rsid w:val="00CD2086"/>
    <w:rsid w:val="00CD2A09"/>
    <w:rsid w:val="00CD2F7A"/>
    <w:rsid w:val="00CD4046"/>
    <w:rsid w:val="00CD66E4"/>
    <w:rsid w:val="00CD6D1E"/>
    <w:rsid w:val="00CD6D34"/>
    <w:rsid w:val="00CE05AB"/>
    <w:rsid w:val="00CE1F7E"/>
    <w:rsid w:val="00CE2935"/>
    <w:rsid w:val="00CE4542"/>
    <w:rsid w:val="00CE7177"/>
    <w:rsid w:val="00CF11A4"/>
    <w:rsid w:val="00CF11BE"/>
    <w:rsid w:val="00CF4B1A"/>
    <w:rsid w:val="00CF771B"/>
    <w:rsid w:val="00CF7A9F"/>
    <w:rsid w:val="00D02438"/>
    <w:rsid w:val="00D02764"/>
    <w:rsid w:val="00D10E96"/>
    <w:rsid w:val="00D11057"/>
    <w:rsid w:val="00D114F3"/>
    <w:rsid w:val="00D14DC0"/>
    <w:rsid w:val="00D15B68"/>
    <w:rsid w:val="00D15BA1"/>
    <w:rsid w:val="00D2086E"/>
    <w:rsid w:val="00D212E7"/>
    <w:rsid w:val="00D21D90"/>
    <w:rsid w:val="00D2356A"/>
    <w:rsid w:val="00D24B6E"/>
    <w:rsid w:val="00D2608F"/>
    <w:rsid w:val="00D35047"/>
    <w:rsid w:val="00D35A05"/>
    <w:rsid w:val="00D42347"/>
    <w:rsid w:val="00D4625C"/>
    <w:rsid w:val="00D47E20"/>
    <w:rsid w:val="00D50FB8"/>
    <w:rsid w:val="00D51683"/>
    <w:rsid w:val="00D5465D"/>
    <w:rsid w:val="00D57A65"/>
    <w:rsid w:val="00D61E68"/>
    <w:rsid w:val="00D62D60"/>
    <w:rsid w:val="00D62F2E"/>
    <w:rsid w:val="00D6554D"/>
    <w:rsid w:val="00D66401"/>
    <w:rsid w:val="00D66510"/>
    <w:rsid w:val="00D7086F"/>
    <w:rsid w:val="00D7175F"/>
    <w:rsid w:val="00D7241C"/>
    <w:rsid w:val="00D72A09"/>
    <w:rsid w:val="00D74FD4"/>
    <w:rsid w:val="00D806DC"/>
    <w:rsid w:val="00D83757"/>
    <w:rsid w:val="00D85D1E"/>
    <w:rsid w:val="00D866DB"/>
    <w:rsid w:val="00D86809"/>
    <w:rsid w:val="00D868AB"/>
    <w:rsid w:val="00D873C7"/>
    <w:rsid w:val="00D953AF"/>
    <w:rsid w:val="00DA0B0D"/>
    <w:rsid w:val="00DA1B6B"/>
    <w:rsid w:val="00DA3035"/>
    <w:rsid w:val="00DA42BF"/>
    <w:rsid w:val="00DA669E"/>
    <w:rsid w:val="00DB1697"/>
    <w:rsid w:val="00DB44CE"/>
    <w:rsid w:val="00DB4DAE"/>
    <w:rsid w:val="00DB66B4"/>
    <w:rsid w:val="00DB6B62"/>
    <w:rsid w:val="00DC1B7E"/>
    <w:rsid w:val="00DC6C09"/>
    <w:rsid w:val="00DC741E"/>
    <w:rsid w:val="00DD1226"/>
    <w:rsid w:val="00DD1F21"/>
    <w:rsid w:val="00DD296D"/>
    <w:rsid w:val="00DD3234"/>
    <w:rsid w:val="00DD3631"/>
    <w:rsid w:val="00DD69CB"/>
    <w:rsid w:val="00DD75AD"/>
    <w:rsid w:val="00DE3903"/>
    <w:rsid w:val="00DE4BC2"/>
    <w:rsid w:val="00DF00F4"/>
    <w:rsid w:val="00DF0926"/>
    <w:rsid w:val="00DF1039"/>
    <w:rsid w:val="00DF16D6"/>
    <w:rsid w:val="00DF274B"/>
    <w:rsid w:val="00DF28DC"/>
    <w:rsid w:val="00DF52D8"/>
    <w:rsid w:val="00DF6537"/>
    <w:rsid w:val="00E0153E"/>
    <w:rsid w:val="00E03463"/>
    <w:rsid w:val="00E043F1"/>
    <w:rsid w:val="00E05429"/>
    <w:rsid w:val="00E0677A"/>
    <w:rsid w:val="00E07002"/>
    <w:rsid w:val="00E0797D"/>
    <w:rsid w:val="00E124C9"/>
    <w:rsid w:val="00E136DD"/>
    <w:rsid w:val="00E13FAF"/>
    <w:rsid w:val="00E14344"/>
    <w:rsid w:val="00E1688E"/>
    <w:rsid w:val="00E23D6B"/>
    <w:rsid w:val="00E25657"/>
    <w:rsid w:val="00E2768D"/>
    <w:rsid w:val="00E31247"/>
    <w:rsid w:val="00E3291C"/>
    <w:rsid w:val="00E33569"/>
    <w:rsid w:val="00E3607D"/>
    <w:rsid w:val="00E375B9"/>
    <w:rsid w:val="00E3797E"/>
    <w:rsid w:val="00E418F8"/>
    <w:rsid w:val="00E43781"/>
    <w:rsid w:val="00E44555"/>
    <w:rsid w:val="00E4689C"/>
    <w:rsid w:val="00E52089"/>
    <w:rsid w:val="00E520FF"/>
    <w:rsid w:val="00E5739A"/>
    <w:rsid w:val="00E71EAF"/>
    <w:rsid w:val="00E77523"/>
    <w:rsid w:val="00E828AA"/>
    <w:rsid w:val="00E84D8F"/>
    <w:rsid w:val="00E86486"/>
    <w:rsid w:val="00E86F86"/>
    <w:rsid w:val="00E9409A"/>
    <w:rsid w:val="00E94734"/>
    <w:rsid w:val="00E9556E"/>
    <w:rsid w:val="00EA2191"/>
    <w:rsid w:val="00EA2F07"/>
    <w:rsid w:val="00EA3682"/>
    <w:rsid w:val="00EA3C80"/>
    <w:rsid w:val="00EA3F3E"/>
    <w:rsid w:val="00EA7D16"/>
    <w:rsid w:val="00EB2B6A"/>
    <w:rsid w:val="00EB33CB"/>
    <w:rsid w:val="00EB4383"/>
    <w:rsid w:val="00EB45B6"/>
    <w:rsid w:val="00EB55EE"/>
    <w:rsid w:val="00EB690A"/>
    <w:rsid w:val="00EB694D"/>
    <w:rsid w:val="00EB7E02"/>
    <w:rsid w:val="00EC0418"/>
    <w:rsid w:val="00EC12C5"/>
    <w:rsid w:val="00EC36A9"/>
    <w:rsid w:val="00EC3D94"/>
    <w:rsid w:val="00EC422B"/>
    <w:rsid w:val="00EC4E08"/>
    <w:rsid w:val="00EC7053"/>
    <w:rsid w:val="00ED356E"/>
    <w:rsid w:val="00ED60F0"/>
    <w:rsid w:val="00ED6FC6"/>
    <w:rsid w:val="00ED7722"/>
    <w:rsid w:val="00ED777B"/>
    <w:rsid w:val="00EE295F"/>
    <w:rsid w:val="00EE3CF2"/>
    <w:rsid w:val="00EF0B67"/>
    <w:rsid w:val="00EF3949"/>
    <w:rsid w:val="00EF5057"/>
    <w:rsid w:val="00EF56F9"/>
    <w:rsid w:val="00F005A7"/>
    <w:rsid w:val="00F06AD3"/>
    <w:rsid w:val="00F07D01"/>
    <w:rsid w:val="00F111DC"/>
    <w:rsid w:val="00F15662"/>
    <w:rsid w:val="00F15B4F"/>
    <w:rsid w:val="00F1635D"/>
    <w:rsid w:val="00F17D2F"/>
    <w:rsid w:val="00F2496D"/>
    <w:rsid w:val="00F2717E"/>
    <w:rsid w:val="00F40E56"/>
    <w:rsid w:val="00F41FE1"/>
    <w:rsid w:val="00F42EFF"/>
    <w:rsid w:val="00F45393"/>
    <w:rsid w:val="00F506B8"/>
    <w:rsid w:val="00F51239"/>
    <w:rsid w:val="00F53146"/>
    <w:rsid w:val="00F54027"/>
    <w:rsid w:val="00F54EAB"/>
    <w:rsid w:val="00F55395"/>
    <w:rsid w:val="00F61037"/>
    <w:rsid w:val="00F61EF2"/>
    <w:rsid w:val="00F6698F"/>
    <w:rsid w:val="00F720BD"/>
    <w:rsid w:val="00F734F9"/>
    <w:rsid w:val="00F739CA"/>
    <w:rsid w:val="00F74817"/>
    <w:rsid w:val="00F750B7"/>
    <w:rsid w:val="00F76256"/>
    <w:rsid w:val="00F76F8B"/>
    <w:rsid w:val="00F80C78"/>
    <w:rsid w:val="00F81874"/>
    <w:rsid w:val="00F831C7"/>
    <w:rsid w:val="00F84A2D"/>
    <w:rsid w:val="00F86259"/>
    <w:rsid w:val="00F86ED5"/>
    <w:rsid w:val="00F87C69"/>
    <w:rsid w:val="00F91109"/>
    <w:rsid w:val="00F928AF"/>
    <w:rsid w:val="00F92B5E"/>
    <w:rsid w:val="00FA0573"/>
    <w:rsid w:val="00FA148D"/>
    <w:rsid w:val="00FA1B7C"/>
    <w:rsid w:val="00FA364A"/>
    <w:rsid w:val="00FA3862"/>
    <w:rsid w:val="00FA528D"/>
    <w:rsid w:val="00FA6AF2"/>
    <w:rsid w:val="00FA7373"/>
    <w:rsid w:val="00FB0ADA"/>
    <w:rsid w:val="00FB15DC"/>
    <w:rsid w:val="00FB2ECC"/>
    <w:rsid w:val="00FB35E2"/>
    <w:rsid w:val="00FB3B03"/>
    <w:rsid w:val="00FB5A95"/>
    <w:rsid w:val="00FB67BD"/>
    <w:rsid w:val="00FC077D"/>
    <w:rsid w:val="00FC53C4"/>
    <w:rsid w:val="00FC5638"/>
    <w:rsid w:val="00FD0FAF"/>
    <w:rsid w:val="00FD2FFA"/>
    <w:rsid w:val="00FD31A4"/>
    <w:rsid w:val="00FD33FB"/>
    <w:rsid w:val="00FD4FA7"/>
    <w:rsid w:val="00FD607C"/>
    <w:rsid w:val="00FE3309"/>
    <w:rsid w:val="00FE4078"/>
    <w:rsid w:val="00FE4AEC"/>
    <w:rsid w:val="00FE4F02"/>
    <w:rsid w:val="00FE50D6"/>
    <w:rsid w:val="00FF34D4"/>
    <w:rsid w:val="00FF570A"/>
    <w:rsid w:val="02331778"/>
    <w:rsid w:val="09514BC1"/>
    <w:rsid w:val="09A0DC5F"/>
    <w:rsid w:val="132CC196"/>
    <w:rsid w:val="164DC4DA"/>
    <w:rsid w:val="1665F80D"/>
    <w:rsid w:val="1DCB3DA1"/>
    <w:rsid w:val="227C4EB8"/>
    <w:rsid w:val="24E8F553"/>
    <w:rsid w:val="24EFDD62"/>
    <w:rsid w:val="2BB99F51"/>
    <w:rsid w:val="2C738F31"/>
    <w:rsid w:val="327D13B7"/>
    <w:rsid w:val="327F4DFB"/>
    <w:rsid w:val="33013FBE"/>
    <w:rsid w:val="335C59CA"/>
    <w:rsid w:val="3838F8C4"/>
    <w:rsid w:val="48AD945A"/>
    <w:rsid w:val="4D67B463"/>
    <w:rsid w:val="4DFB3114"/>
    <w:rsid w:val="502B95C3"/>
    <w:rsid w:val="5290ACA2"/>
    <w:rsid w:val="52CE64E7"/>
    <w:rsid w:val="5A05CC9E"/>
    <w:rsid w:val="5D04190F"/>
    <w:rsid w:val="62FA4930"/>
    <w:rsid w:val="64F1BAA8"/>
    <w:rsid w:val="681CDA62"/>
    <w:rsid w:val="6A6998A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4F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AD3"/>
    <w:rPr>
      <w:rFonts w:ascii="Times New Roman" w:eastAsia="Times New Roman" w:hAnsi="Times New Roman"/>
      <w:sz w:val="24"/>
      <w:szCs w:val="24"/>
    </w:rPr>
  </w:style>
  <w:style w:type="paragraph" w:styleId="Ttulo1">
    <w:name w:val="heading 1"/>
    <w:basedOn w:val="Normal"/>
    <w:next w:val="Normal"/>
    <w:link w:val="Ttulo1Char"/>
    <w:uiPriority w:val="9"/>
    <w:qFormat/>
    <w:rsid w:val="009A0D9E"/>
    <w:pPr>
      <w:numPr>
        <w:numId w:val="75"/>
      </w:numPr>
      <w:spacing w:line="360" w:lineRule="auto"/>
      <w:ind w:left="0" w:firstLine="0"/>
      <w:jc w:val="right"/>
      <w:outlineLvl w:val="0"/>
    </w:pPr>
    <w:rPr>
      <w:rFonts w:ascii="Verdana" w:hAnsi="Verdana" w:cstheme="minorHAnsi"/>
      <w:b/>
      <w:bCs/>
      <w:noProof/>
      <w:sz w:val="52"/>
      <w:szCs w:val="52"/>
    </w:rPr>
  </w:style>
  <w:style w:type="paragraph" w:styleId="Ttulo2">
    <w:name w:val="heading 2"/>
    <w:basedOn w:val="Ttulo1"/>
    <w:next w:val="Normal"/>
    <w:link w:val="Ttulo2Char"/>
    <w:uiPriority w:val="9"/>
    <w:unhideWhenUsed/>
    <w:qFormat/>
    <w:rsid w:val="00777082"/>
    <w:pPr>
      <w:numPr>
        <w:ilvl w:val="1"/>
      </w:numPr>
      <w:spacing w:after="200"/>
      <w:ind w:left="0" w:firstLine="0"/>
      <w:jc w:val="both"/>
      <w:outlineLvl w:val="1"/>
    </w:pPr>
    <w:rPr>
      <w:sz w:val="28"/>
      <w:szCs w:val="28"/>
    </w:rPr>
  </w:style>
  <w:style w:type="paragraph" w:styleId="Ttulo3">
    <w:name w:val="heading 3"/>
    <w:basedOn w:val="Ttulo2"/>
    <w:next w:val="Normal"/>
    <w:link w:val="Ttulo3Char"/>
    <w:uiPriority w:val="9"/>
    <w:qFormat/>
    <w:rsid w:val="00FB5A95"/>
    <w:pPr>
      <w:numPr>
        <w:ilvl w:val="2"/>
      </w:numPr>
      <w:tabs>
        <w:tab w:val="left" w:pos="851"/>
      </w:tabs>
      <w:ind w:left="0" w:firstLine="0"/>
      <w:outlineLvl w:val="2"/>
    </w:pPr>
    <w:rPr>
      <w:sz w:val="24"/>
      <w:szCs w:val="24"/>
    </w:rPr>
  </w:style>
  <w:style w:type="paragraph" w:styleId="Ttulo4">
    <w:name w:val="heading 4"/>
    <w:basedOn w:val="Ttulo3"/>
    <w:next w:val="Normal"/>
    <w:link w:val="Ttulo4Char"/>
    <w:uiPriority w:val="9"/>
    <w:qFormat/>
    <w:rsid w:val="001C6456"/>
    <w:pPr>
      <w:numPr>
        <w:ilvl w:val="3"/>
      </w:numPr>
      <w:tabs>
        <w:tab w:val="clear" w:pos="851"/>
        <w:tab w:val="left" w:pos="1134"/>
      </w:tabs>
      <w:ind w:left="0" w:firstLine="0"/>
      <w:outlineLvl w:val="3"/>
    </w:pPr>
    <w:rPr>
      <w:sz w:val="22"/>
    </w:rPr>
  </w:style>
  <w:style w:type="paragraph" w:styleId="Ttulo5">
    <w:name w:val="heading 5"/>
    <w:basedOn w:val="Normal"/>
    <w:next w:val="Normal"/>
    <w:link w:val="Ttulo5Char"/>
    <w:uiPriority w:val="9"/>
    <w:qFormat/>
    <w:rsid w:val="00844CF6"/>
    <w:pPr>
      <w:keepNext/>
      <w:keepLines/>
      <w:spacing w:before="220" w:after="40"/>
      <w:outlineLvl w:val="4"/>
    </w:pPr>
    <w:rPr>
      <w:rFonts w:ascii="Arial" w:eastAsia="Arial" w:hAnsi="Arial" w:cs="Arial"/>
      <w:b/>
    </w:rPr>
  </w:style>
  <w:style w:type="paragraph" w:styleId="Ttulo6">
    <w:name w:val="heading 6"/>
    <w:basedOn w:val="Normal"/>
    <w:next w:val="Normal"/>
    <w:link w:val="Ttulo6Char"/>
    <w:uiPriority w:val="9"/>
    <w:semiHidden/>
    <w:unhideWhenUsed/>
    <w:qFormat/>
    <w:rsid w:val="009D7A35"/>
    <w:pPr>
      <w:keepNext/>
      <w:keepLines/>
      <w:spacing w:before="240" w:after="80"/>
      <w:outlineLvl w:val="5"/>
    </w:pPr>
    <w:rPr>
      <w:rFonts w:ascii="Arial" w:eastAsia="Arial" w:hAnsi="Arial" w:cs="Arial"/>
      <w:i/>
      <w:color w:val="666666"/>
      <w:lang w:val="e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oypena">
    <w:name w:val="oypena"/>
    <w:basedOn w:val="Fontepargpadro"/>
    <w:rsid w:val="001C64E9"/>
  </w:style>
  <w:style w:type="paragraph" w:styleId="Cabealho">
    <w:name w:val="header"/>
    <w:basedOn w:val="Normal"/>
    <w:link w:val="CabealhoChar"/>
    <w:uiPriority w:val="99"/>
    <w:unhideWhenUsed/>
    <w:rsid w:val="00B71C34"/>
    <w:pPr>
      <w:tabs>
        <w:tab w:val="center" w:pos="4252"/>
        <w:tab w:val="right" w:pos="8504"/>
      </w:tabs>
    </w:pPr>
  </w:style>
  <w:style w:type="character" w:customStyle="1" w:styleId="CabealhoChar">
    <w:name w:val="Cabeçalho Char"/>
    <w:basedOn w:val="Fontepargpadro"/>
    <w:link w:val="Cabealho"/>
    <w:uiPriority w:val="99"/>
    <w:rsid w:val="00B71C34"/>
  </w:style>
  <w:style w:type="paragraph" w:styleId="Rodap">
    <w:name w:val="footer"/>
    <w:basedOn w:val="Normal"/>
    <w:link w:val="RodapChar"/>
    <w:uiPriority w:val="99"/>
    <w:unhideWhenUsed/>
    <w:rsid w:val="00B71C34"/>
    <w:pPr>
      <w:tabs>
        <w:tab w:val="center" w:pos="4252"/>
        <w:tab w:val="right" w:pos="8504"/>
      </w:tabs>
    </w:pPr>
  </w:style>
  <w:style w:type="character" w:customStyle="1" w:styleId="RodapChar">
    <w:name w:val="Rodapé Char"/>
    <w:basedOn w:val="Fontepargpadro"/>
    <w:link w:val="Rodap"/>
    <w:uiPriority w:val="99"/>
    <w:rsid w:val="00B71C34"/>
  </w:style>
  <w:style w:type="paragraph" w:styleId="Textodebalo">
    <w:name w:val="Balloon Text"/>
    <w:basedOn w:val="Normal"/>
    <w:link w:val="TextodebaloChar"/>
    <w:uiPriority w:val="99"/>
    <w:semiHidden/>
    <w:unhideWhenUsed/>
    <w:rsid w:val="00683AF3"/>
    <w:rPr>
      <w:rFonts w:ascii="Tahoma" w:hAnsi="Tahoma" w:cs="Tahoma"/>
      <w:sz w:val="16"/>
      <w:szCs w:val="16"/>
    </w:rPr>
  </w:style>
  <w:style w:type="character" w:customStyle="1" w:styleId="TextodebaloChar">
    <w:name w:val="Texto de balão Char"/>
    <w:basedOn w:val="Fontepargpadro"/>
    <w:link w:val="Textodebalo"/>
    <w:uiPriority w:val="99"/>
    <w:semiHidden/>
    <w:rsid w:val="00683AF3"/>
    <w:rPr>
      <w:rFonts w:ascii="Tahoma" w:hAnsi="Tahoma" w:cs="Tahoma"/>
      <w:sz w:val="16"/>
      <w:szCs w:val="16"/>
    </w:r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3Char">
    <w:name w:val="Título 3 Char"/>
    <w:basedOn w:val="Fontepargpadro"/>
    <w:link w:val="Ttulo3"/>
    <w:uiPriority w:val="9"/>
    <w:rsid w:val="00FB5A95"/>
    <w:rPr>
      <w:rFonts w:ascii="Verdana" w:eastAsia="Times New Roman" w:hAnsi="Verdana" w:cstheme="minorHAnsi"/>
      <w:b/>
      <w:bCs/>
      <w:noProof/>
      <w:sz w:val="24"/>
      <w:szCs w:val="24"/>
    </w:rPr>
  </w:style>
  <w:style w:type="character" w:customStyle="1" w:styleId="Ttulo4Char">
    <w:name w:val="Título 4 Char"/>
    <w:basedOn w:val="Fontepargpadro"/>
    <w:link w:val="Ttulo4"/>
    <w:uiPriority w:val="9"/>
    <w:rsid w:val="001C6456"/>
    <w:rPr>
      <w:rFonts w:ascii="Verdana" w:eastAsia="Times New Roman" w:hAnsi="Verdana" w:cstheme="minorHAnsi"/>
      <w:b/>
      <w:bCs/>
      <w:noProof/>
      <w:sz w:val="22"/>
      <w:szCs w:val="24"/>
    </w:rPr>
  </w:style>
  <w:style w:type="character" w:customStyle="1" w:styleId="Ttulo5Char">
    <w:name w:val="Título 5 Char"/>
    <w:basedOn w:val="Fontepargpadro"/>
    <w:link w:val="Ttulo5"/>
    <w:rsid w:val="00844CF6"/>
    <w:rPr>
      <w:rFonts w:ascii="Arial" w:eastAsia="Arial" w:hAnsi="Arial" w:cs="Arial"/>
      <w:b/>
      <w:sz w:val="22"/>
      <w:szCs w:val="22"/>
    </w:rPr>
  </w:style>
  <w:style w:type="paragraph" w:styleId="NormalWeb">
    <w:name w:val="Normal (Web)"/>
    <w:basedOn w:val="Normal"/>
    <w:uiPriority w:val="99"/>
    <w:unhideWhenUsed/>
    <w:rsid w:val="00844CF6"/>
    <w:pPr>
      <w:spacing w:before="100" w:beforeAutospacing="1" w:after="100" w:afterAutospacing="1"/>
    </w:pPr>
  </w:style>
  <w:style w:type="character" w:styleId="Forte">
    <w:name w:val="Strong"/>
    <w:uiPriority w:val="22"/>
    <w:qFormat/>
    <w:rsid w:val="00AE5507"/>
    <w:rPr>
      <w:rFonts w:ascii="Segoe UI Semilight" w:hAnsi="Segoe UI Semilight" w:cs="Segoe UI Semilight"/>
      <w:caps w:val="0"/>
      <w:smallCaps w:val="0"/>
      <w:strike w:val="0"/>
      <w:dstrike w:val="0"/>
      <w:vanish w:val="0"/>
      <w:color w:val="000000" w:themeColor="text1"/>
      <w:sz w:val="18"/>
      <w:szCs w:val="18"/>
      <w:vertAlign w:val="baseline"/>
    </w:rPr>
  </w:style>
  <w:style w:type="character" w:styleId="nfase">
    <w:name w:val="Emphasis"/>
    <w:basedOn w:val="Fontepargpadro"/>
    <w:uiPriority w:val="20"/>
    <w:qFormat/>
    <w:rsid w:val="00844CF6"/>
    <w:rPr>
      <w:i/>
      <w:iCs/>
    </w:rPr>
  </w:style>
  <w:style w:type="character" w:styleId="Hyperlink">
    <w:name w:val="Hyperlink"/>
    <w:basedOn w:val="Fontepargpadro"/>
    <w:uiPriority w:val="99"/>
    <w:unhideWhenUsed/>
    <w:rsid w:val="00844CF6"/>
    <w:rPr>
      <w:color w:val="0000FF"/>
      <w:u w:val="single"/>
    </w:rPr>
  </w:style>
  <w:style w:type="paragraph" w:styleId="Subttulo">
    <w:name w:val="Subtitle"/>
    <w:basedOn w:val="Ttulo4"/>
    <w:next w:val="Normal"/>
    <w:link w:val="SubttuloChar"/>
    <w:uiPriority w:val="11"/>
    <w:qFormat/>
    <w:rsid w:val="00FD31A4"/>
    <w:pPr>
      <w:widowControl w:val="0"/>
      <w:spacing w:after="240" w:line="23" w:lineRule="atLeast"/>
    </w:pPr>
    <w:rPr>
      <w:rFonts w:ascii="Segoe UI Semibold" w:hAnsi="Segoe UI Semibold" w:cs="Segoe UI Semibold"/>
      <w:sz w:val="20"/>
      <w:szCs w:val="18"/>
    </w:rPr>
  </w:style>
  <w:style w:type="character" w:customStyle="1" w:styleId="SubttuloChar">
    <w:name w:val="Subtítulo Char"/>
    <w:basedOn w:val="Fontepargpadro"/>
    <w:link w:val="Subttulo"/>
    <w:uiPriority w:val="11"/>
    <w:rsid w:val="00FD31A4"/>
    <w:rPr>
      <w:rFonts w:ascii="Segoe UI Semibold" w:hAnsi="Segoe UI Semibold" w:cs="Segoe UI Semibold"/>
      <w:b/>
      <w:bCs/>
      <w:noProof/>
      <w:szCs w:val="18"/>
    </w:rPr>
  </w:style>
  <w:style w:type="paragraph" w:styleId="Ttulo">
    <w:name w:val="Title"/>
    <w:basedOn w:val="Normal"/>
    <w:next w:val="Normal"/>
    <w:link w:val="TtuloChar"/>
    <w:uiPriority w:val="10"/>
    <w:qFormat/>
    <w:rsid w:val="00844CF6"/>
    <w:pPr>
      <w:tabs>
        <w:tab w:val="left" w:pos="708"/>
        <w:tab w:val="left" w:pos="1416"/>
      </w:tabs>
      <w:spacing w:after="120"/>
      <w:ind w:left="851"/>
      <w:jc w:val="right"/>
    </w:pPr>
    <w:rPr>
      <w:rFonts w:ascii="Segoe UI Black" w:hAnsi="Segoe UI Black" w:cs="Segoe UI Semibold"/>
      <w:b/>
      <w:bCs/>
      <w:noProof/>
      <w:sz w:val="52"/>
      <w:szCs w:val="52"/>
    </w:rPr>
  </w:style>
  <w:style w:type="character" w:customStyle="1" w:styleId="TtuloChar">
    <w:name w:val="Título Char"/>
    <w:basedOn w:val="Fontepargpadro"/>
    <w:link w:val="Ttulo"/>
    <w:uiPriority w:val="10"/>
    <w:rsid w:val="00844CF6"/>
    <w:rPr>
      <w:rFonts w:ascii="Segoe UI Black" w:hAnsi="Segoe UI Black" w:cs="Segoe UI Semibold"/>
      <w:b/>
      <w:bCs/>
      <w:noProof/>
      <w:sz w:val="52"/>
      <w:szCs w:val="52"/>
    </w:rPr>
  </w:style>
  <w:style w:type="paragraph" w:customStyle="1" w:styleId="TtulodaIlustrao">
    <w:name w:val="Título da Ilustração"/>
    <w:basedOn w:val="Texto"/>
    <w:link w:val="TtulodaIlustraoChar"/>
    <w:qFormat/>
    <w:rsid w:val="00FB5A95"/>
    <w:pPr>
      <w:spacing w:after="120" w:line="240" w:lineRule="auto"/>
      <w:ind w:firstLine="0"/>
      <w:jc w:val="center"/>
    </w:pPr>
    <w:rPr>
      <w:b/>
      <w:sz w:val="22"/>
    </w:rPr>
  </w:style>
  <w:style w:type="paragraph" w:styleId="Textodenotaderodap">
    <w:name w:val="footnote text"/>
    <w:basedOn w:val="Normal"/>
    <w:link w:val="TextodenotaderodapChar"/>
    <w:uiPriority w:val="99"/>
    <w:unhideWhenUsed/>
    <w:rsid w:val="008C7684"/>
    <w:rPr>
      <w:rFonts w:ascii="Arial" w:eastAsia="Arial" w:hAnsi="Arial" w:cs="Arial"/>
      <w:sz w:val="20"/>
      <w:szCs w:val="20"/>
    </w:rPr>
  </w:style>
  <w:style w:type="character" w:customStyle="1" w:styleId="TextodenotaderodapChar">
    <w:name w:val="Texto de nota de rodapé Char"/>
    <w:basedOn w:val="Fontepargpadro"/>
    <w:link w:val="Textodenotaderodap"/>
    <w:uiPriority w:val="99"/>
    <w:qFormat/>
    <w:rsid w:val="008C7684"/>
    <w:rPr>
      <w:rFonts w:ascii="Arial" w:eastAsia="Arial" w:hAnsi="Arial" w:cs="Arial"/>
    </w:rPr>
  </w:style>
  <w:style w:type="character" w:styleId="Refdenotaderodap">
    <w:name w:val="footnote reference"/>
    <w:basedOn w:val="Fontepargpadro"/>
    <w:uiPriority w:val="99"/>
    <w:unhideWhenUsed/>
    <w:rsid w:val="008C7684"/>
    <w:rPr>
      <w:vertAlign w:val="superscript"/>
    </w:rPr>
  </w:style>
  <w:style w:type="paragraph" w:styleId="PargrafodaLista">
    <w:name w:val="List Paragraph"/>
    <w:basedOn w:val="Normal"/>
    <w:uiPriority w:val="34"/>
    <w:qFormat/>
    <w:rsid w:val="008C7684"/>
    <w:pPr>
      <w:ind w:left="720"/>
      <w:contextualSpacing/>
    </w:pPr>
    <w:rPr>
      <w:rFonts w:ascii="Arial" w:eastAsia="Arial" w:hAnsi="Arial" w:cs="Arial"/>
    </w:rPr>
  </w:style>
  <w:style w:type="paragraph" w:customStyle="1" w:styleId="Fontes">
    <w:name w:val="Fontes"/>
    <w:basedOn w:val="Normal"/>
    <w:rsid w:val="00AE5507"/>
    <w:pPr>
      <w:spacing w:after="120"/>
      <w:jc w:val="both"/>
    </w:pPr>
    <w:rPr>
      <w:rFonts w:ascii="Segoe UI Semilight" w:hAnsi="Segoe UI Semilight"/>
      <w:sz w:val="14"/>
    </w:rPr>
  </w:style>
  <w:style w:type="character" w:customStyle="1" w:styleId="normaltextrun">
    <w:name w:val="normaltextrun"/>
    <w:basedOn w:val="Fontepargpadro"/>
    <w:rsid w:val="001379FC"/>
  </w:style>
  <w:style w:type="paragraph" w:customStyle="1" w:styleId="paragraph">
    <w:name w:val="paragraph"/>
    <w:basedOn w:val="Normal"/>
    <w:rsid w:val="001379FC"/>
    <w:pPr>
      <w:spacing w:before="100" w:beforeAutospacing="1" w:after="100" w:afterAutospacing="1"/>
    </w:pPr>
  </w:style>
  <w:style w:type="character" w:customStyle="1" w:styleId="eop">
    <w:name w:val="eop"/>
    <w:basedOn w:val="Fontepargpadro"/>
    <w:rsid w:val="001379FC"/>
  </w:style>
  <w:style w:type="character" w:customStyle="1" w:styleId="Ttulo1Char">
    <w:name w:val="Título 1 Char"/>
    <w:basedOn w:val="Fontepargpadro"/>
    <w:link w:val="Ttulo1"/>
    <w:uiPriority w:val="9"/>
    <w:rsid w:val="009A0D9E"/>
    <w:rPr>
      <w:rFonts w:ascii="Verdana" w:hAnsi="Verdana" w:cstheme="minorHAnsi"/>
      <w:b/>
      <w:bCs/>
      <w:noProof/>
      <w:sz w:val="52"/>
      <w:szCs w:val="52"/>
    </w:rPr>
  </w:style>
  <w:style w:type="character" w:customStyle="1" w:styleId="Ttulo2Char">
    <w:name w:val="Título 2 Char"/>
    <w:basedOn w:val="Fontepargpadro"/>
    <w:link w:val="Ttulo2"/>
    <w:uiPriority w:val="9"/>
    <w:rsid w:val="00777082"/>
    <w:rPr>
      <w:rFonts w:ascii="Verdana" w:hAnsi="Verdana" w:cstheme="minorHAnsi"/>
      <w:b/>
      <w:bCs/>
      <w:noProof/>
      <w:sz w:val="28"/>
      <w:szCs w:val="28"/>
    </w:rPr>
  </w:style>
  <w:style w:type="character" w:customStyle="1" w:styleId="Ttulo6Char">
    <w:name w:val="Título 6 Char"/>
    <w:basedOn w:val="Fontepargpadro"/>
    <w:link w:val="Ttulo6"/>
    <w:uiPriority w:val="9"/>
    <w:semiHidden/>
    <w:rsid w:val="009D7A35"/>
    <w:rPr>
      <w:rFonts w:ascii="Arial" w:eastAsia="Arial" w:hAnsi="Arial" w:cs="Arial"/>
      <w:i/>
      <w:color w:val="666666"/>
      <w:sz w:val="22"/>
      <w:szCs w:val="22"/>
      <w:lang w:val="en"/>
    </w:rPr>
  </w:style>
  <w:style w:type="table" w:customStyle="1" w:styleId="TableNormal">
    <w:name w:val="TableNormal"/>
    <w:rsid w:val="009D7A35"/>
    <w:pPr>
      <w:spacing w:line="276" w:lineRule="auto"/>
    </w:pPr>
    <w:rPr>
      <w:rFonts w:ascii="Arial" w:eastAsia="Arial" w:hAnsi="Arial" w:cs="Arial"/>
      <w:sz w:val="22"/>
      <w:szCs w:val="22"/>
      <w:lang w:val="en"/>
    </w:rPr>
    <w:tblPr>
      <w:tblCellMar>
        <w:top w:w="0" w:type="dxa"/>
        <w:left w:w="0" w:type="dxa"/>
        <w:bottom w:w="0" w:type="dxa"/>
        <w:right w:w="0" w:type="dxa"/>
      </w:tblCellMar>
    </w:tblPr>
  </w:style>
  <w:style w:type="character" w:customStyle="1" w:styleId="FootnoteCharacters">
    <w:name w:val="Footnote Characters"/>
    <w:basedOn w:val="Fontepargpadro"/>
    <w:uiPriority w:val="99"/>
    <w:semiHidden/>
    <w:unhideWhenUsed/>
    <w:qFormat/>
    <w:rsid w:val="009D7A35"/>
    <w:rPr>
      <w:vertAlign w:val="superscript"/>
    </w:rPr>
  </w:style>
  <w:style w:type="character" w:customStyle="1" w:styleId="Caracteresdenotaderodap">
    <w:name w:val="Caracteres de nota de rodapé"/>
    <w:qFormat/>
    <w:rsid w:val="009D7A35"/>
  </w:style>
  <w:style w:type="character" w:styleId="Refdenotadefim">
    <w:name w:val="endnote reference"/>
    <w:rsid w:val="009D7A35"/>
    <w:rPr>
      <w:vertAlign w:val="superscript"/>
    </w:rPr>
  </w:style>
  <w:style w:type="character" w:customStyle="1" w:styleId="EndnoteCharacters">
    <w:name w:val="Endnote Characters"/>
    <w:rsid w:val="009D7A35"/>
    <w:rPr>
      <w:vertAlign w:val="superscript"/>
    </w:rPr>
  </w:style>
  <w:style w:type="character" w:customStyle="1" w:styleId="Caracteresdenotadefim">
    <w:name w:val="Caracteres de nota de fim"/>
    <w:qFormat/>
    <w:rsid w:val="009D7A35"/>
  </w:style>
  <w:style w:type="paragraph" w:styleId="Corpodetexto">
    <w:name w:val="Body Text"/>
    <w:basedOn w:val="Normal"/>
    <w:link w:val="CorpodetextoChar"/>
    <w:rsid w:val="009D7A35"/>
    <w:pPr>
      <w:spacing w:after="140"/>
    </w:pPr>
    <w:rPr>
      <w:rFonts w:ascii="Arial" w:eastAsia="Arial" w:hAnsi="Arial" w:cs="Arial"/>
      <w:lang w:val="en"/>
    </w:rPr>
  </w:style>
  <w:style w:type="character" w:customStyle="1" w:styleId="CorpodetextoChar">
    <w:name w:val="Corpo de texto Char"/>
    <w:basedOn w:val="Fontepargpadro"/>
    <w:link w:val="Corpodetexto"/>
    <w:rsid w:val="009D7A35"/>
    <w:rPr>
      <w:rFonts w:ascii="Arial" w:eastAsia="Arial" w:hAnsi="Arial" w:cs="Arial"/>
      <w:sz w:val="22"/>
      <w:szCs w:val="22"/>
      <w:lang w:val="en"/>
    </w:rPr>
  </w:style>
  <w:style w:type="paragraph" w:styleId="Lista">
    <w:name w:val="List"/>
    <w:basedOn w:val="Corpodetexto"/>
    <w:rsid w:val="009D7A35"/>
    <w:rPr>
      <w:rFonts w:cs="Lucida Sans"/>
    </w:rPr>
  </w:style>
  <w:style w:type="paragraph" w:styleId="Legenda">
    <w:name w:val="caption"/>
    <w:basedOn w:val="Normal"/>
    <w:uiPriority w:val="35"/>
    <w:qFormat/>
    <w:rsid w:val="009D7A35"/>
    <w:pPr>
      <w:suppressLineNumbers/>
      <w:spacing w:before="120" w:after="120"/>
    </w:pPr>
    <w:rPr>
      <w:rFonts w:ascii="Arial" w:eastAsia="Arial" w:hAnsi="Arial" w:cs="Lucida Sans"/>
      <w:i/>
      <w:iCs/>
      <w:lang w:val="en"/>
    </w:rPr>
  </w:style>
  <w:style w:type="paragraph" w:customStyle="1" w:styleId="ndice">
    <w:name w:val="Índice"/>
    <w:basedOn w:val="Normal"/>
    <w:qFormat/>
    <w:rsid w:val="009D7A35"/>
    <w:pPr>
      <w:suppressLineNumbers/>
    </w:pPr>
    <w:rPr>
      <w:rFonts w:ascii="Arial" w:eastAsia="Arial" w:hAnsi="Arial" w:cs="Lucida Sans"/>
      <w:lang w:val="en"/>
    </w:rPr>
  </w:style>
  <w:style w:type="paragraph" w:customStyle="1" w:styleId="LO-normal1">
    <w:name w:val="LO-normal1"/>
    <w:rsid w:val="009D7A35"/>
    <w:pPr>
      <w:suppressAutoHyphens/>
      <w:spacing w:line="276" w:lineRule="auto"/>
    </w:pPr>
    <w:rPr>
      <w:rFonts w:ascii="Arial" w:eastAsia="Arial" w:hAnsi="Arial" w:cs="Arial"/>
      <w:sz w:val="22"/>
      <w:szCs w:val="22"/>
      <w:lang w:val="en-US" w:eastAsia="zh-CN" w:bidi="hi-IN"/>
    </w:rPr>
  </w:style>
  <w:style w:type="paragraph" w:customStyle="1" w:styleId="LO-normal">
    <w:name w:val="LO-normal"/>
    <w:rsid w:val="009D7A35"/>
    <w:pPr>
      <w:suppressAutoHyphens/>
      <w:spacing w:line="276" w:lineRule="auto"/>
    </w:pPr>
    <w:rPr>
      <w:rFonts w:ascii="Arial" w:eastAsia="Arial" w:hAnsi="Arial" w:cs="Arial"/>
      <w:sz w:val="22"/>
      <w:szCs w:val="22"/>
      <w:lang w:val="en-US" w:eastAsia="zh-CN" w:bidi="hi-IN"/>
    </w:rPr>
  </w:style>
  <w:style w:type="table" w:customStyle="1" w:styleId="TableNormal0">
    <w:name w:val="Table Normal"/>
    <w:rsid w:val="009D7A35"/>
    <w:pPr>
      <w:spacing w:line="276" w:lineRule="auto"/>
    </w:pPr>
    <w:rPr>
      <w:rFonts w:ascii="Arial" w:eastAsia="Arial" w:hAnsi="Arial" w:cs="Arial"/>
      <w:sz w:val="22"/>
      <w:szCs w:val="22"/>
      <w:lang w:val="en"/>
    </w:rPr>
    <w:tblPr>
      <w:tblCellMar>
        <w:top w:w="0" w:type="dxa"/>
        <w:left w:w="0" w:type="dxa"/>
        <w:bottom w:w="0" w:type="dxa"/>
        <w:right w:w="0" w:type="dxa"/>
      </w:tblCellMar>
    </w:tblPr>
  </w:style>
  <w:style w:type="paragraph" w:styleId="Citao">
    <w:name w:val="Quote"/>
    <w:basedOn w:val="LO-normal1"/>
    <w:next w:val="Normal"/>
    <w:link w:val="CitaoChar"/>
    <w:uiPriority w:val="29"/>
    <w:qFormat/>
    <w:rsid w:val="00DD3234"/>
    <w:pPr>
      <w:pBdr>
        <w:top w:val="nil"/>
        <w:left w:val="nil"/>
        <w:bottom w:val="nil"/>
        <w:right w:val="nil"/>
        <w:between w:val="nil"/>
      </w:pBdr>
      <w:spacing w:after="120" w:line="23" w:lineRule="atLeast"/>
      <w:ind w:left="1418"/>
      <w:jc w:val="both"/>
    </w:pPr>
    <w:rPr>
      <w:rFonts w:ascii="Segoe UI Semilight" w:eastAsia="Times New Roman" w:hAnsi="Segoe UI Semilight" w:cs="Segoe UI Semilight"/>
      <w:color w:val="000000" w:themeColor="text1"/>
      <w:sz w:val="16"/>
      <w:szCs w:val="18"/>
      <w:lang w:val="pt-BR"/>
    </w:rPr>
  </w:style>
  <w:style w:type="character" w:customStyle="1" w:styleId="CitaoChar">
    <w:name w:val="Citação Char"/>
    <w:basedOn w:val="Fontepargpadro"/>
    <w:link w:val="Citao"/>
    <w:uiPriority w:val="29"/>
    <w:rsid w:val="00DD3234"/>
    <w:rPr>
      <w:rFonts w:ascii="Segoe UI Semilight" w:eastAsia="Times New Roman" w:hAnsi="Segoe UI Semilight" w:cs="Segoe UI Semilight"/>
      <w:color w:val="000000" w:themeColor="text1"/>
      <w:sz w:val="16"/>
      <w:szCs w:val="18"/>
      <w:lang w:eastAsia="zh-CN" w:bidi="hi-IN"/>
    </w:rPr>
  </w:style>
  <w:style w:type="paragraph" w:styleId="Textodenotadefim">
    <w:name w:val="endnote text"/>
    <w:basedOn w:val="Normal"/>
    <w:link w:val="TextodenotadefimChar"/>
    <w:uiPriority w:val="99"/>
    <w:semiHidden/>
    <w:unhideWhenUsed/>
    <w:rsid w:val="00285B0A"/>
    <w:rPr>
      <w:sz w:val="20"/>
      <w:szCs w:val="20"/>
    </w:rPr>
  </w:style>
  <w:style w:type="character" w:customStyle="1" w:styleId="TextodenotadefimChar">
    <w:name w:val="Texto de nota de fim Char"/>
    <w:basedOn w:val="Fontepargpadro"/>
    <w:link w:val="Textodenotadefim"/>
    <w:uiPriority w:val="99"/>
    <w:semiHidden/>
    <w:rsid w:val="00285B0A"/>
    <w:rPr>
      <w:lang w:eastAsia="en-US"/>
    </w:rPr>
  </w:style>
  <w:style w:type="character" w:styleId="Refdecomentrio">
    <w:name w:val="annotation reference"/>
    <w:basedOn w:val="Fontepargpadro"/>
    <w:uiPriority w:val="99"/>
    <w:semiHidden/>
    <w:unhideWhenUsed/>
    <w:rsid w:val="00EC4E08"/>
    <w:rPr>
      <w:sz w:val="16"/>
      <w:szCs w:val="16"/>
    </w:rPr>
  </w:style>
  <w:style w:type="paragraph" w:styleId="Textodecomentrio">
    <w:name w:val="annotation text"/>
    <w:basedOn w:val="Normal"/>
    <w:link w:val="TextodecomentrioChar"/>
    <w:uiPriority w:val="99"/>
    <w:semiHidden/>
    <w:unhideWhenUsed/>
    <w:rsid w:val="00EC4E08"/>
    <w:rPr>
      <w:sz w:val="20"/>
      <w:szCs w:val="20"/>
    </w:rPr>
  </w:style>
  <w:style w:type="character" w:customStyle="1" w:styleId="TextodecomentrioChar">
    <w:name w:val="Texto de comentário Char"/>
    <w:basedOn w:val="Fontepargpadro"/>
    <w:link w:val="Textodecomentrio"/>
    <w:uiPriority w:val="99"/>
    <w:semiHidden/>
    <w:rsid w:val="00EC4E08"/>
    <w:rPr>
      <w:lang w:eastAsia="en-US"/>
    </w:rPr>
  </w:style>
  <w:style w:type="paragraph" w:styleId="Assuntodocomentrio">
    <w:name w:val="annotation subject"/>
    <w:basedOn w:val="Textodecomentrio"/>
    <w:next w:val="Textodecomentrio"/>
    <w:link w:val="AssuntodocomentrioChar"/>
    <w:uiPriority w:val="99"/>
    <w:semiHidden/>
    <w:unhideWhenUsed/>
    <w:rsid w:val="00EC4E08"/>
    <w:rPr>
      <w:b/>
      <w:bCs/>
    </w:rPr>
  </w:style>
  <w:style w:type="character" w:customStyle="1" w:styleId="AssuntodocomentrioChar">
    <w:name w:val="Assunto do comentário Char"/>
    <w:basedOn w:val="TextodecomentrioChar"/>
    <w:link w:val="Assuntodocomentrio"/>
    <w:uiPriority w:val="99"/>
    <w:semiHidden/>
    <w:rsid w:val="00EC4E08"/>
    <w:rPr>
      <w:b/>
      <w:bCs/>
      <w:lang w:eastAsia="en-US"/>
    </w:rPr>
  </w:style>
  <w:style w:type="paragraph" w:customStyle="1" w:styleId="Texto">
    <w:name w:val="Texto"/>
    <w:basedOn w:val="Normal"/>
    <w:link w:val="TextoChar"/>
    <w:qFormat/>
    <w:rsid w:val="003503A3"/>
    <w:pPr>
      <w:spacing w:line="360" w:lineRule="auto"/>
      <w:ind w:firstLine="851"/>
      <w:jc w:val="both"/>
    </w:pPr>
    <w:rPr>
      <w:rFonts w:asciiTheme="minorHAnsi" w:hAnsiTheme="minorHAnsi" w:cstheme="minorHAnsi"/>
      <w:noProof/>
    </w:rPr>
  </w:style>
  <w:style w:type="paragraph" w:customStyle="1" w:styleId="TtulodaTabela">
    <w:name w:val="Título da Tabela"/>
    <w:basedOn w:val="TtulodaIlustrao"/>
    <w:link w:val="TtulodaTabelaChar"/>
    <w:qFormat/>
    <w:rsid w:val="008B3EFF"/>
  </w:style>
  <w:style w:type="character" w:customStyle="1" w:styleId="TextoChar">
    <w:name w:val="Texto Char"/>
    <w:basedOn w:val="Fontepargpadro"/>
    <w:link w:val="Texto"/>
    <w:rsid w:val="003503A3"/>
    <w:rPr>
      <w:rFonts w:asciiTheme="minorHAnsi" w:eastAsia="Times New Roman" w:hAnsiTheme="minorHAnsi" w:cstheme="minorHAnsi"/>
      <w:noProof/>
      <w:sz w:val="24"/>
      <w:szCs w:val="24"/>
    </w:rPr>
  </w:style>
  <w:style w:type="paragraph" w:customStyle="1" w:styleId="Fonte">
    <w:name w:val="Fonte"/>
    <w:basedOn w:val="Texto"/>
    <w:link w:val="FonteChar"/>
    <w:qFormat/>
    <w:rsid w:val="00FB5A95"/>
    <w:pPr>
      <w:spacing w:after="120" w:line="240" w:lineRule="auto"/>
      <w:ind w:firstLine="0"/>
      <w:jc w:val="center"/>
    </w:pPr>
    <w:rPr>
      <w:b/>
      <w:sz w:val="20"/>
    </w:rPr>
  </w:style>
  <w:style w:type="character" w:customStyle="1" w:styleId="TtulodaIlustraoChar">
    <w:name w:val="Título da Ilustração Char"/>
    <w:basedOn w:val="TextoChar"/>
    <w:link w:val="TtulodaIlustrao"/>
    <w:rsid w:val="00FB5A95"/>
    <w:rPr>
      <w:rFonts w:asciiTheme="minorHAnsi" w:eastAsia="Times New Roman" w:hAnsiTheme="minorHAnsi" w:cstheme="minorHAnsi"/>
      <w:b/>
      <w:noProof/>
      <w:sz w:val="22"/>
      <w:szCs w:val="24"/>
    </w:rPr>
  </w:style>
  <w:style w:type="character" w:customStyle="1" w:styleId="TtulodaTabelaChar">
    <w:name w:val="Título da Tabela Char"/>
    <w:basedOn w:val="TtulodaIlustraoChar"/>
    <w:link w:val="TtulodaTabela"/>
    <w:rsid w:val="008B3EFF"/>
    <w:rPr>
      <w:rFonts w:asciiTheme="minorHAnsi" w:eastAsia="Times New Roman" w:hAnsiTheme="minorHAnsi" w:cstheme="minorHAnsi"/>
      <w:b/>
      <w:noProof/>
      <w:sz w:val="22"/>
      <w:szCs w:val="24"/>
    </w:rPr>
  </w:style>
  <w:style w:type="character" w:customStyle="1" w:styleId="FonteChar">
    <w:name w:val="Fonte Char"/>
    <w:basedOn w:val="TextoChar"/>
    <w:link w:val="Fonte"/>
    <w:rsid w:val="00FB5A95"/>
    <w:rPr>
      <w:rFonts w:asciiTheme="minorHAnsi" w:eastAsia="Times New Roman" w:hAnsiTheme="minorHAnsi" w:cstheme="minorHAnsi"/>
      <w:b/>
      <w:noProof/>
      <w:sz w:val="24"/>
      <w:szCs w:val="24"/>
    </w:rPr>
  </w:style>
  <w:style w:type="character" w:customStyle="1" w:styleId="MenoPendente1">
    <w:name w:val="Menção Pendente1"/>
    <w:basedOn w:val="Fontepargpadro"/>
    <w:uiPriority w:val="99"/>
    <w:semiHidden/>
    <w:unhideWhenUsed/>
    <w:rsid w:val="000B3646"/>
    <w:rPr>
      <w:color w:val="605E5C"/>
      <w:shd w:val="clear" w:color="auto" w:fill="E1DFDD"/>
    </w:rPr>
  </w:style>
  <w:style w:type="paragraph" w:styleId="ndicedeilustraes">
    <w:name w:val="table of figures"/>
    <w:basedOn w:val="Normal"/>
    <w:next w:val="Normal"/>
    <w:uiPriority w:val="99"/>
    <w:unhideWhenUsed/>
    <w:rsid w:val="00B81BC9"/>
  </w:style>
  <w:style w:type="paragraph" w:styleId="CabealhodoSumrio">
    <w:name w:val="TOC Heading"/>
    <w:basedOn w:val="Ttulo1"/>
    <w:next w:val="Normal"/>
    <w:uiPriority w:val="39"/>
    <w:unhideWhenUsed/>
    <w:qFormat/>
    <w:rsid w:val="008620CB"/>
    <w:pPr>
      <w:keepNext/>
      <w:keepLines/>
      <w:numPr>
        <w:numId w:val="0"/>
      </w:numPr>
      <w:spacing w:before="480" w:line="276" w:lineRule="auto"/>
      <w:jc w:val="left"/>
      <w:outlineLvl w:val="9"/>
    </w:pPr>
    <w:rPr>
      <w:rFonts w:asciiTheme="majorHAnsi" w:eastAsiaTheme="majorEastAsia" w:hAnsiTheme="majorHAnsi" w:cstheme="majorBidi"/>
      <w:noProof w:val="0"/>
      <w:color w:val="365F91" w:themeColor="accent1" w:themeShade="BF"/>
      <w:sz w:val="28"/>
      <w:szCs w:val="28"/>
    </w:rPr>
  </w:style>
  <w:style w:type="paragraph" w:styleId="Sumrio1">
    <w:name w:val="toc 1"/>
    <w:basedOn w:val="Normal"/>
    <w:next w:val="Normal"/>
    <w:autoRedefine/>
    <w:uiPriority w:val="39"/>
    <w:unhideWhenUsed/>
    <w:rsid w:val="008620CB"/>
    <w:pPr>
      <w:spacing w:before="360"/>
    </w:pPr>
    <w:rPr>
      <w:rFonts w:asciiTheme="majorHAnsi" w:hAnsiTheme="majorHAnsi"/>
      <w:b/>
      <w:bCs/>
      <w:caps/>
    </w:rPr>
  </w:style>
  <w:style w:type="paragraph" w:styleId="Sumrio2">
    <w:name w:val="toc 2"/>
    <w:basedOn w:val="Normal"/>
    <w:next w:val="Normal"/>
    <w:autoRedefine/>
    <w:uiPriority w:val="39"/>
    <w:unhideWhenUsed/>
    <w:rsid w:val="008620CB"/>
    <w:pPr>
      <w:spacing w:before="240"/>
    </w:pPr>
    <w:rPr>
      <w:rFonts w:asciiTheme="minorHAnsi" w:hAnsiTheme="minorHAnsi" w:cstheme="minorHAnsi"/>
      <w:b/>
      <w:bCs/>
      <w:sz w:val="20"/>
      <w:szCs w:val="20"/>
    </w:rPr>
  </w:style>
  <w:style w:type="paragraph" w:styleId="Sumrio3">
    <w:name w:val="toc 3"/>
    <w:basedOn w:val="Normal"/>
    <w:next w:val="Normal"/>
    <w:autoRedefine/>
    <w:uiPriority w:val="39"/>
    <w:unhideWhenUsed/>
    <w:rsid w:val="008620CB"/>
    <w:pPr>
      <w:ind w:left="240"/>
    </w:pPr>
    <w:rPr>
      <w:rFonts w:asciiTheme="minorHAnsi" w:hAnsiTheme="minorHAnsi" w:cstheme="minorHAnsi"/>
      <w:sz w:val="20"/>
      <w:szCs w:val="20"/>
    </w:rPr>
  </w:style>
  <w:style w:type="paragraph" w:styleId="Sumrio4">
    <w:name w:val="toc 4"/>
    <w:basedOn w:val="Normal"/>
    <w:next w:val="Normal"/>
    <w:autoRedefine/>
    <w:uiPriority w:val="39"/>
    <w:unhideWhenUsed/>
    <w:rsid w:val="008620CB"/>
    <w:pPr>
      <w:ind w:left="480"/>
    </w:pPr>
    <w:rPr>
      <w:rFonts w:asciiTheme="minorHAnsi" w:hAnsiTheme="minorHAnsi" w:cstheme="minorHAnsi"/>
      <w:sz w:val="20"/>
      <w:szCs w:val="20"/>
    </w:rPr>
  </w:style>
  <w:style w:type="paragraph" w:styleId="Sumrio5">
    <w:name w:val="toc 5"/>
    <w:basedOn w:val="Normal"/>
    <w:next w:val="Normal"/>
    <w:autoRedefine/>
    <w:uiPriority w:val="39"/>
    <w:unhideWhenUsed/>
    <w:rsid w:val="008620CB"/>
    <w:pPr>
      <w:ind w:left="720"/>
    </w:pPr>
    <w:rPr>
      <w:rFonts w:asciiTheme="minorHAnsi" w:hAnsiTheme="minorHAnsi" w:cstheme="minorHAnsi"/>
      <w:sz w:val="20"/>
      <w:szCs w:val="20"/>
    </w:rPr>
  </w:style>
  <w:style w:type="paragraph" w:styleId="Sumrio6">
    <w:name w:val="toc 6"/>
    <w:basedOn w:val="Normal"/>
    <w:next w:val="Normal"/>
    <w:autoRedefine/>
    <w:uiPriority w:val="39"/>
    <w:unhideWhenUsed/>
    <w:rsid w:val="008620CB"/>
    <w:pPr>
      <w:ind w:left="960"/>
    </w:pPr>
    <w:rPr>
      <w:rFonts w:asciiTheme="minorHAnsi" w:hAnsiTheme="minorHAnsi" w:cstheme="minorHAnsi"/>
      <w:sz w:val="20"/>
      <w:szCs w:val="20"/>
    </w:rPr>
  </w:style>
  <w:style w:type="paragraph" w:styleId="Sumrio7">
    <w:name w:val="toc 7"/>
    <w:basedOn w:val="Normal"/>
    <w:next w:val="Normal"/>
    <w:autoRedefine/>
    <w:uiPriority w:val="39"/>
    <w:unhideWhenUsed/>
    <w:rsid w:val="008620CB"/>
    <w:pPr>
      <w:ind w:left="1200"/>
    </w:pPr>
    <w:rPr>
      <w:rFonts w:asciiTheme="minorHAnsi" w:hAnsiTheme="minorHAnsi" w:cstheme="minorHAnsi"/>
      <w:sz w:val="20"/>
      <w:szCs w:val="20"/>
    </w:rPr>
  </w:style>
  <w:style w:type="paragraph" w:styleId="Sumrio8">
    <w:name w:val="toc 8"/>
    <w:basedOn w:val="Normal"/>
    <w:next w:val="Normal"/>
    <w:autoRedefine/>
    <w:uiPriority w:val="39"/>
    <w:unhideWhenUsed/>
    <w:rsid w:val="008620CB"/>
    <w:pPr>
      <w:ind w:left="1440"/>
    </w:pPr>
    <w:rPr>
      <w:rFonts w:asciiTheme="minorHAnsi" w:hAnsiTheme="minorHAnsi" w:cstheme="minorHAnsi"/>
      <w:sz w:val="20"/>
      <w:szCs w:val="20"/>
    </w:rPr>
  </w:style>
  <w:style w:type="paragraph" w:styleId="Sumrio9">
    <w:name w:val="toc 9"/>
    <w:basedOn w:val="Normal"/>
    <w:next w:val="Normal"/>
    <w:autoRedefine/>
    <w:uiPriority w:val="39"/>
    <w:unhideWhenUsed/>
    <w:rsid w:val="008620CB"/>
    <w:pPr>
      <w:ind w:left="1680"/>
    </w:pPr>
    <w:rPr>
      <w:rFonts w:asciiTheme="minorHAnsi" w:hAnsiTheme="minorHAnsi" w:cstheme="minorHAnsi"/>
      <w:sz w:val="20"/>
      <w:szCs w:val="20"/>
    </w:rPr>
  </w:style>
  <w:style w:type="paragraph" w:styleId="Partesuperior-zdoformulrio">
    <w:name w:val="HTML Top of Form"/>
    <w:basedOn w:val="Normal"/>
    <w:next w:val="Normal"/>
    <w:link w:val="Partesuperior-zdoformulrioChar"/>
    <w:hidden/>
    <w:uiPriority w:val="99"/>
    <w:semiHidden/>
    <w:unhideWhenUsed/>
    <w:rsid w:val="00023A5E"/>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023A5E"/>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023A5E"/>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023A5E"/>
    <w:rPr>
      <w:rFonts w:ascii="Arial" w:eastAsia="Times New Roman" w:hAnsi="Arial" w:cs="Arial"/>
      <w:vanish/>
      <w:sz w:val="16"/>
      <w:szCs w:val="16"/>
    </w:rPr>
  </w:style>
  <w:style w:type="character" w:customStyle="1" w:styleId="MenoPendente2">
    <w:name w:val="Menção Pendente2"/>
    <w:basedOn w:val="Fontepargpadro"/>
    <w:uiPriority w:val="99"/>
    <w:semiHidden/>
    <w:unhideWhenUsed/>
    <w:rsid w:val="00CF771B"/>
    <w:rPr>
      <w:color w:val="605E5C"/>
      <w:shd w:val="clear" w:color="auto" w:fill="E1DFDD"/>
    </w:rPr>
  </w:style>
  <w:style w:type="paragraph" w:customStyle="1" w:styleId="col-6">
    <w:name w:val="col-6"/>
    <w:basedOn w:val="Normal"/>
    <w:rsid w:val="00590D3A"/>
    <w:pPr>
      <w:spacing w:before="100" w:beforeAutospacing="1" w:after="100" w:afterAutospacing="1"/>
    </w:pPr>
  </w:style>
  <w:style w:type="character" w:customStyle="1" w:styleId="texto0">
    <w:name w:val="texto"/>
    <w:basedOn w:val="Fontepargpadro"/>
    <w:rsid w:val="00590D3A"/>
  </w:style>
  <w:style w:type="character" w:styleId="HiperlinkVisitado">
    <w:name w:val="FollowedHyperlink"/>
    <w:basedOn w:val="Fontepargpadro"/>
    <w:uiPriority w:val="99"/>
    <w:semiHidden/>
    <w:unhideWhenUsed/>
    <w:rsid w:val="009723FD"/>
    <w:rPr>
      <w:color w:val="800080" w:themeColor="followedHyperlink"/>
      <w:u w:val="single"/>
    </w:rPr>
  </w:style>
  <w:style w:type="character" w:customStyle="1" w:styleId="MenoPendente3">
    <w:name w:val="Menção Pendente3"/>
    <w:basedOn w:val="Fontepargpadro"/>
    <w:uiPriority w:val="99"/>
    <w:semiHidden/>
    <w:unhideWhenUsed/>
    <w:rsid w:val="00106C05"/>
    <w:rPr>
      <w:color w:val="605E5C"/>
      <w:shd w:val="clear" w:color="auto" w:fill="E1DFDD"/>
    </w:rPr>
  </w:style>
  <w:style w:type="character" w:customStyle="1" w:styleId="uv3um">
    <w:name w:val="uv3um"/>
    <w:basedOn w:val="Fontepargpadro"/>
    <w:rsid w:val="00CF11A4"/>
  </w:style>
  <w:style w:type="character" w:customStyle="1" w:styleId="ng-star-inserted1">
    <w:name w:val="ng-star-inserted1"/>
    <w:basedOn w:val="Fontepargpadro"/>
    <w:rsid w:val="003419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AD3"/>
    <w:rPr>
      <w:rFonts w:ascii="Times New Roman" w:eastAsia="Times New Roman" w:hAnsi="Times New Roman"/>
      <w:sz w:val="24"/>
      <w:szCs w:val="24"/>
    </w:rPr>
  </w:style>
  <w:style w:type="paragraph" w:styleId="Ttulo1">
    <w:name w:val="heading 1"/>
    <w:basedOn w:val="Normal"/>
    <w:next w:val="Normal"/>
    <w:link w:val="Ttulo1Char"/>
    <w:uiPriority w:val="9"/>
    <w:qFormat/>
    <w:rsid w:val="009A0D9E"/>
    <w:pPr>
      <w:numPr>
        <w:numId w:val="75"/>
      </w:numPr>
      <w:spacing w:line="360" w:lineRule="auto"/>
      <w:ind w:left="0" w:firstLine="0"/>
      <w:jc w:val="right"/>
      <w:outlineLvl w:val="0"/>
    </w:pPr>
    <w:rPr>
      <w:rFonts w:ascii="Verdana" w:hAnsi="Verdana" w:cstheme="minorHAnsi"/>
      <w:b/>
      <w:bCs/>
      <w:noProof/>
      <w:sz w:val="52"/>
      <w:szCs w:val="52"/>
    </w:rPr>
  </w:style>
  <w:style w:type="paragraph" w:styleId="Ttulo2">
    <w:name w:val="heading 2"/>
    <w:basedOn w:val="Ttulo1"/>
    <w:next w:val="Normal"/>
    <w:link w:val="Ttulo2Char"/>
    <w:uiPriority w:val="9"/>
    <w:unhideWhenUsed/>
    <w:qFormat/>
    <w:rsid w:val="00777082"/>
    <w:pPr>
      <w:numPr>
        <w:ilvl w:val="1"/>
      </w:numPr>
      <w:spacing w:after="200"/>
      <w:ind w:left="0" w:firstLine="0"/>
      <w:jc w:val="both"/>
      <w:outlineLvl w:val="1"/>
    </w:pPr>
    <w:rPr>
      <w:sz w:val="28"/>
      <w:szCs w:val="28"/>
    </w:rPr>
  </w:style>
  <w:style w:type="paragraph" w:styleId="Ttulo3">
    <w:name w:val="heading 3"/>
    <w:basedOn w:val="Ttulo2"/>
    <w:next w:val="Normal"/>
    <w:link w:val="Ttulo3Char"/>
    <w:uiPriority w:val="9"/>
    <w:qFormat/>
    <w:rsid w:val="00FB5A95"/>
    <w:pPr>
      <w:numPr>
        <w:ilvl w:val="2"/>
      </w:numPr>
      <w:tabs>
        <w:tab w:val="left" w:pos="851"/>
      </w:tabs>
      <w:ind w:left="0" w:firstLine="0"/>
      <w:outlineLvl w:val="2"/>
    </w:pPr>
    <w:rPr>
      <w:sz w:val="24"/>
      <w:szCs w:val="24"/>
    </w:rPr>
  </w:style>
  <w:style w:type="paragraph" w:styleId="Ttulo4">
    <w:name w:val="heading 4"/>
    <w:basedOn w:val="Ttulo3"/>
    <w:next w:val="Normal"/>
    <w:link w:val="Ttulo4Char"/>
    <w:uiPriority w:val="9"/>
    <w:qFormat/>
    <w:rsid w:val="001C6456"/>
    <w:pPr>
      <w:numPr>
        <w:ilvl w:val="3"/>
      </w:numPr>
      <w:tabs>
        <w:tab w:val="clear" w:pos="851"/>
        <w:tab w:val="left" w:pos="1134"/>
      </w:tabs>
      <w:ind w:left="0" w:firstLine="0"/>
      <w:outlineLvl w:val="3"/>
    </w:pPr>
    <w:rPr>
      <w:sz w:val="22"/>
    </w:rPr>
  </w:style>
  <w:style w:type="paragraph" w:styleId="Ttulo5">
    <w:name w:val="heading 5"/>
    <w:basedOn w:val="Normal"/>
    <w:next w:val="Normal"/>
    <w:link w:val="Ttulo5Char"/>
    <w:uiPriority w:val="9"/>
    <w:qFormat/>
    <w:rsid w:val="00844CF6"/>
    <w:pPr>
      <w:keepNext/>
      <w:keepLines/>
      <w:spacing w:before="220" w:after="40"/>
      <w:outlineLvl w:val="4"/>
    </w:pPr>
    <w:rPr>
      <w:rFonts w:ascii="Arial" w:eastAsia="Arial" w:hAnsi="Arial" w:cs="Arial"/>
      <w:b/>
    </w:rPr>
  </w:style>
  <w:style w:type="paragraph" w:styleId="Ttulo6">
    <w:name w:val="heading 6"/>
    <w:basedOn w:val="Normal"/>
    <w:next w:val="Normal"/>
    <w:link w:val="Ttulo6Char"/>
    <w:uiPriority w:val="9"/>
    <w:semiHidden/>
    <w:unhideWhenUsed/>
    <w:qFormat/>
    <w:rsid w:val="009D7A35"/>
    <w:pPr>
      <w:keepNext/>
      <w:keepLines/>
      <w:spacing w:before="240" w:after="80"/>
      <w:outlineLvl w:val="5"/>
    </w:pPr>
    <w:rPr>
      <w:rFonts w:ascii="Arial" w:eastAsia="Arial" w:hAnsi="Arial" w:cs="Arial"/>
      <w:i/>
      <w:color w:val="666666"/>
      <w:lang w:val="e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oypena">
    <w:name w:val="oypena"/>
    <w:basedOn w:val="Fontepargpadro"/>
    <w:rsid w:val="001C64E9"/>
  </w:style>
  <w:style w:type="paragraph" w:styleId="Cabealho">
    <w:name w:val="header"/>
    <w:basedOn w:val="Normal"/>
    <w:link w:val="CabealhoChar"/>
    <w:uiPriority w:val="99"/>
    <w:unhideWhenUsed/>
    <w:rsid w:val="00B71C34"/>
    <w:pPr>
      <w:tabs>
        <w:tab w:val="center" w:pos="4252"/>
        <w:tab w:val="right" w:pos="8504"/>
      </w:tabs>
    </w:pPr>
  </w:style>
  <w:style w:type="character" w:customStyle="1" w:styleId="CabealhoChar">
    <w:name w:val="Cabeçalho Char"/>
    <w:basedOn w:val="Fontepargpadro"/>
    <w:link w:val="Cabealho"/>
    <w:uiPriority w:val="99"/>
    <w:rsid w:val="00B71C34"/>
  </w:style>
  <w:style w:type="paragraph" w:styleId="Rodap">
    <w:name w:val="footer"/>
    <w:basedOn w:val="Normal"/>
    <w:link w:val="RodapChar"/>
    <w:uiPriority w:val="99"/>
    <w:unhideWhenUsed/>
    <w:rsid w:val="00B71C34"/>
    <w:pPr>
      <w:tabs>
        <w:tab w:val="center" w:pos="4252"/>
        <w:tab w:val="right" w:pos="8504"/>
      </w:tabs>
    </w:pPr>
  </w:style>
  <w:style w:type="character" w:customStyle="1" w:styleId="RodapChar">
    <w:name w:val="Rodapé Char"/>
    <w:basedOn w:val="Fontepargpadro"/>
    <w:link w:val="Rodap"/>
    <w:uiPriority w:val="99"/>
    <w:rsid w:val="00B71C34"/>
  </w:style>
  <w:style w:type="paragraph" w:styleId="Textodebalo">
    <w:name w:val="Balloon Text"/>
    <w:basedOn w:val="Normal"/>
    <w:link w:val="TextodebaloChar"/>
    <w:uiPriority w:val="99"/>
    <w:semiHidden/>
    <w:unhideWhenUsed/>
    <w:rsid w:val="00683AF3"/>
    <w:rPr>
      <w:rFonts w:ascii="Tahoma" w:hAnsi="Tahoma" w:cs="Tahoma"/>
      <w:sz w:val="16"/>
      <w:szCs w:val="16"/>
    </w:rPr>
  </w:style>
  <w:style w:type="character" w:customStyle="1" w:styleId="TextodebaloChar">
    <w:name w:val="Texto de balão Char"/>
    <w:basedOn w:val="Fontepargpadro"/>
    <w:link w:val="Textodebalo"/>
    <w:uiPriority w:val="99"/>
    <w:semiHidden/>
    <w:rsid w:val="00683AF3"/>
    <w:rPr>
      <w:rFonts w:ascii="Tahoma" w:hAnsi="Tahoma" w:cs="Tahoma"/>
      <w:sz w:val="16"/>
      <w:szCs w:val="16"/>
    </w:r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3Char">
    <w:name w:val="Título 3 Char"/>
    <w:basedOn w:val="Fontepargpadro"/>
    <w:link w:val="Ttulo3"/>
    <w:uiPriority w:val="9"/>
    <w:rsid w:val="00FB5A95"/>
    <w:rPr>
      <w:rFonts w:ascii="Verdana" w:eastAsia="Times New Roman" w:hAnsi="Verdana" w:cstheme="minorHAnsi"/>
      <w:b/>
      <w:bCs/>
      <w:noProof/>
      <w:sz w:val="24"/>
      <w:szCs w:val="24"/>
    </w:rPr>
  </w:style>
  <w:style w:type="character" w:customStyle="1" w:styleId="Ttulo4Char">
    <w:name w:val="Título 4 Char"/>
    <w:basedOn w:val="Fontepargpadro"/>
    <w:link w:val="Ttulo4"/>
    <w:uiPriority w:val="9"/>
    <w:rsid w:val="001C6456"/>
    <w:rPr>
      <w:rFonts w:ascii="Verdana" w:eastAsia="Times New Roman" w:hAnsi="Verdana" w:cstheme="minorHAnsi"/>
      <w:b/>
      <w:bCs/>
      <w:noProof/>
      <w:sz w:val="22"/>
      <w:szCs w:val="24"/>
    </w:rPr>
  </w:style>
  <w:style w:type="character" w:customStyle="1" w:styleId="Ttulo5Char">
    <w:name w:val="Título 5 Char"/>
    <w:basedOn w:val="Fontepargpadro"/>
    <w:link w:val="Ttulo5"/>
    <w:rsid w:val="00844CF6"/>
    <w:rPr>
      <w:rFonts w:ascii="Arial" w:eastAsia="Arial" w:hAnsi="Arial" w:cs="Arial"/>
      <w:b/>
      <w:sz w:val="22"/>
      <w:szCs w:val="22"/>
    </w:rPr>
  </w:style>
  <w:style w:type="paragraph" w:styleId="NormalWeb">
    <w:name w:val="Normal (Web)"/>
    <w:basedOn w:val="Normal"/>
    <w:uiPriority w:val="99"/>
    <w:unhideWhenUsed/>
    <w:rsid w:val="00844CF6"/>
    <w:pPr>
      <w:spacing w:before="100" w:beforeAutospacing="1" w:after="100" w:afterAutospacing="1"/>
    </w:pPr>
  </w:style>
  <w:style w:type="character" w:styleId="Forte">
    <w:name w:val="Strong"/>
    <w:uiPriority w:val="22"/>
    <w:qFormat/>
    <w:rsid w:val="00AE5507"/>
    <w:rPr>
      <w:rFonts w:ascii="Segoe UI Semilight" w:hAnsi="Segoe UI Semilight" w:cs="Segoe UI Semilight"/>
      <w:caps w:val="0"/>
      <w:smallCaps w:val="0"/>
      <w:strike w:val="0"/>
      <w:dstrike w:val="0"/>
      <w:vanish w:val="0"/>
      <w:color w:val="000000" w:themeColor="text1"/>
      <w:sz w:val="18"/>
      <w:szCs w:val="18"/>
      <w:vertAlign w:val="baseline"/>
    </w:rPr>
  </w:style>
  <w:style w:type="character" w:styleId="nfase">
    <w:name w:val="Emphasis"/>
    <w:basedOn w:val="Fontepargpadro"/>
    <w:uiPriority w:val="20"/>
    <w:qFormat/>
    <w:rsid w:val="00844CF6"/>
    <w:rPr>
      <w:i/>
      <w:iCs/>
    </w:rPr>
  </w:style>
  <w:style w:type="character" w:styleId="Hyperlink">
    <w:name w:val="Hyperlink"/>
    <w:basedOn w:val="Fontepargpadro"/>
    <w:uiPriority w:val="99"/>
    <w:unhideWhenUsed/>
    <w:rsid w:val="00844CF6"/>
    <w:rPr>
      <w:color w:val="0000FF"/>
      <w:u w:val="single"/>
    </w:rPr>
  </w:style>
  <w:style w:type="paragraph" w:styleId="Subttulo">
    <w:name w:val="Subtitle"/>
    <w:basedOn w:val="Ttulo4"/>
    <w:next w:val="Normal"/>
    <w:link w:val="SubttuloChar"/>
    <w:uiPriority w:val="11"/>
    <w:qFormat/>
    <w:rsid w:val="00FD31A4"/>
    <w:pPr>
      <w:widowControl w:val="0"/>
      <w:spacing w:after="240" w:line="23" w:lineRule="atLeast"/>
    </w:pPr>
    <w:rPr>
      <w:rFonts w:ascii="Segoe UI Semibold" w:hAnsi="Segoe UI Semibold" w:cs="Segoe UI Semibold"/>
      <w:sz w:val="20"/>
      <w:szCs w:val="18"/>
    </w:rPr>
  </w:style>
  <w:style w:type="character" w:customStyle="1" w:styleId="SubttuloChar">
    <w:name w:val="Subtítulo Char"/>
    <w:basedOn w:val="Fontepargpadro"/>
    <w:link w:val="Subttulo"/>
    <w:uiPriority w:val="11"/>
    <w:rsid w:val="00FD31A4"/>
    <w:rPr>
      <w:rFonts w:ascii="Segoe UI Semibold" w:hAnsi="Segoe UI Semibold" w:cs="Segoe UI Semibold"/>
      <w:b/>
      <w:bCs/>
      <w:noProof/>
      <w:szCs w:val="18"/>
    </w:rPr>
  </w:style>
  <w:style w:type="paragraph" w:styleId="Ttulo">
    <w:name w:val="Title"/>
    <w:basedOn w:val="Normal"/>
    <w:next w:val="Normal"/>
    <w:link w:val="TtuloChar"/>
    <w:uiPriority w:val="10"/>
    <w:qFormat/>
    <w:rsid w:val="00844CF6"/>
    <w:pPr>
      <w:tabs>
        <w:tab w:val="left" w:pos="708"/>
        <w:tab w:val="left" w:pos="1416"/>
      </w:tabs>
      <w:spacing w:after="120"/>
      <w:ind w:left="851"/>
      <w:jc w:val="right"/>
    </w:pPr>
    <w:rPr>
      <w:rFonts w:ascii="Segoe UI Black" w:hAnsi="Segoe UI Black" w:cs="Segoe UI Semibold"/>
      <w:b/>
      <w:bCs/>
      <w:noProof/>
      <w:sz w:val="52"/>
      <w:szCs w:val="52"/>
    </w:rPr>
  </w:style>
  <w:style w:type="character" w:customStyle="1" w:styleId="TtuloChar">
    <w:name w:val="Título Char"/>
    <w:basedOn w:val="Fontepargpadro"/>
    <w:link w:val="Ttulo"/>
    <w:uiPriority w:val="10"/>
    <w:rsid w:val="00844CF6"/>
    <w:rPr>
      <w:rFonts w:ascii="Segoe UI Black" w:hAnsi="Segoe UI Black" w:cs="Segoe UI Semibold"/>
      <w:b/>
      <w:bCs/>
      <w:noProof/>
      <w:sz w:val="52"/>
      <w:szCs w:val="52"/>
    </w:rPr>
  </w:style>
  <w:style w:type="paragraph" w:customStyle="1" w:styleId="TtulodaIlustrao">
    <w:name w:val="Título da Ilustração"/>
    <w:basedOn w:val="Texto"/>
    <w:link w:val="TtulodaIlustraoChar"/>
    <w:qFormat/>
    <w:rsid w:val="00FB5A95"/>
    <w:pPr>
      <w:spacing w:after="120" w:line="240" w:lineRule="auto"/>
      <w:ind w:firstLine="0"/>
      <w:jc w:val="center"/>
    </w:pPr>
    <w:rPr>
      <w:b/>
      <w:sz w:val="22"/>
    </w:rPr>
  </w:style>
  <w:style w:type="paragraph" w:styleId="Textodenotaderodap">
    <w:name w:val="footnote text"/>
    <w:basedOn w:val="Normal"/>
    <w:link w:val="TextodenotaderodapChar"/>
    <w:uiPriority w:val="99"/>
    <w:unhideWhenUsed/>
    <w:rsid w:val="008C7684"/>
    <w:rPr>
      <w:rFonts w:ascii="Arial" w:eastAsia="Arial" w:hAnsi="Arial" w:cs="Arial"/>
      <w:sz w:val="20"/>
      <w:szCs w:val="20"/>
    </w:rPr>
  </w:style>
  <w:style w:type="character" w:customStyle="1" w:styleId="TextodenotaderodapChar">
    <w:name w:val="Texto de nota de rodapé Char"/>
    <w:basedOn w:val="Fontepargpadro"/>
    <w:link w:val="Textodenotaderodap"/>
    <w:uiPriority w:val="99"/>
    <w:qFormat/>
    <w:rsid w:val="008C7684"/>
    <w:rPr>
      <w:rFonts w:ascii="Arial" w:eastAsia="Arial" w:hAnsi="Arial" w:cs="Arial"/>
    </w:rPr>
  </w:style>
  <w:style w:type="character" w:styleId="Refdenotaderodap">
    <w:name w:val="footnote reference"/>
    <w:basedOn w:val="Fontepargpadro"/>
    <w:uiPriority w:val="99"/>
    <w:unhideWhenUsed/>
    <w:rsid w:val="008C7684"/>
    <w:rPr>
      <w:vertAlign w:val="superscript"/>
    </w:rPr>
  </w:style>
  <w:style w:type="paragraph" w:styleId="PargrafodaLista">
    <w:name w:val="List Paragraph"/>
    <w:basedOn w:val="Normal"/>
    <w:uiPriority w:val="34"/>
    <w:qFormat/>
    <w:rsid w:val="008C7684"/>
    <w:pPr>
      <w:ind w:left="720"/>
      <w:contextualSpacing/>
    </w:pPr>
    <w:rPr>
      <w:rFonts w:ascii="Arial" w:eastAsia="Arial" w:hAnsi="Arial" w:cs="Arial"/>
    </w:rPr>
  </w:style>
  <w:style w:type="paragraph" w:customStyle="1" w:styleId="Fontes">
    <w:name w:val="Fontes"/>
    <w:basedOn w:val="Normal"/>
    <w:rsid w:val="00AE5507"/>
    <w:pPr>
      <w:spacing w:after="120"/>
      <w:jc w:val="both"/>
    </w:pPr>
    <w:rPr>
      <w:rFonts w:ascii="Segoe UI Semilight" w:hAnsi="Segoe UI Semilight"/>
      <w:sz w:val="14"/>
    </w:rPr>
  </w:style>
  <w:style w:type="character" w:customStyle="1" w:styleId="normaltextrun">
    <w:name w:val="normaltextrun"/>
    <w:basedOn w:val="Fontepargpadro"/>
    <w:rsid w:val="001379FC"/>
  </w:style>
  <w:style w:type="paragraph" w:customStyle="1" w:styleId="paragraph">
    <w:name w:val="paragraph"/>
    <w:basedOn w:val="Normal"/>
    <w:rsid w:val="001379FC"/>
    <w:pPr>
      <w:spacing w:before="100" w:beforeAutospacing="1" w:after="100" w:afterAutospacing="1"/>
    </w:pPr>
  </w:style>
  <w:style w:type="character" w:customStyle="1" w:styleId="eop">
    <w:name w:val="eop"/>
    <w:basedOn w:val="Fontepargpadro"/>
    <w:rsid w:val="001379FC"/>
  </w:style>
  <w:style w:type="character" w:customStyle="1" w:styleId="Ttulo1Char">
    <w:name w:val="Título 1 Char"/>
    <w:basedOn w:val="Fontepargpadro"/>
    <w:link w:val="Ttulo1"/>
    <w:uiPriority w:val="9"/>
    <w:rsid w:val="009A0D9E"/>
    <w:rPr>
      <w:rFonts w:ascii="Verdana" w:hAnsi="Verdana" w:cstheme="minorHAnsi"/>
      <w:b/>
      <w:bCs/>
      <w:noProof/>
      <w:sz w:val="52"/>
      <w:szCs w:val="52"/>
    </w:rPr>
  </w:style>
  <w:style w:type="character" w:customStyle="1" w:styleId="Ttulo2Char">
    <w:name w:val="Título 2 Char"/>
    <w:basedOn w:val="Fontepargpadro"/>
    <w:link w:val="Ttulo2"/>
    <w:uiPriority w:val="9"/>
    <w:rsid w:val="00777082"/>
    <w:rPr>
      <w:rFonts w:ascii="Verdana" w:hAnsi="Verdana" w:cstheme="minorHAnsi"/>
      <w:b/>
      <w:bCs/>
      <w:noProof/>
      <w:sz w:val="28"/>
      <w:szCs w:val="28"/>
    </w:rPr>
  </w:style>
  <w:style w:type="character" w:customStyle="1" w:styleId="Ttulo6Char">
    <w:name w:val="Título 6 Char"/>
    <w:basedOn w:val="Fontepargpadro"/>
    <w:link w:val="Ttulo6"/>
    <w:uiPriority w:val="9"/>
    <w:semiHidden/>
    <w:rsid w:val="009D7A35"/>
    <w:rPr>
      <w:rFonts w:ascii="Arial" w:eastAsia="Arial" w:hAnsi="Arial" w:cs="Arial"/>
      <w:i/>
      <w:color w:val="666666"/>
      <w:sz w:val="22"/>
      <w:szCs w:val="22"/>
      <w:lang w:val="en"/>
    </w:rPr>
  </w:style>
  <w:style w:type="table" w:customStyle="1" w:styleId="TableNormal">
    <w:name w:val="TableNormal"/>
    <w:rsid w:val="009D7A35"/>
    <w:pPr>
      <w:spacing w:line="276" w:lineRule="auto"/>
    </w:pPr>
    <w:rPr>
      <w:rFonts w:ascii="Arial" w:eastAsia="Arial" w:hAnsi="Arial" w:cs="Arial"/>
      <w:sz w:val="22"/>
      <w:szCs w:val="22"/>
      <w:lang w:val="en"/>
    </w:rPr>
    <w:tblPr>
      <w:tblCellMar>
        <w:top w:w="0" w:type="dxa"/>
        <w:left w:w="0" w:type="dxa"/>
        <w:bottom w:w="0" w:type="dxa"/>
        <w:right w:w="0" w:type="dxa"/>
      </w:tblCellMar>
    </w:tblPr>
  </w:style>
  <w:style w:type="character" w:customStyle="1" w:styleId="FootnoteCharacters">
    <w:name w:val="Footnote Characters"/>
    <w:basedOn w:val="Fontepargpadro"/>
    <w:uiPriority w:val="99"/>
    <w:semiHidden/>
    <w:unhideWhenUsed/>
    <w:qFormat/>
    <w:rsid w:val="009D7A35"/>
    <w:rPr>
      <w:vertAlign w:val="superscript"/>
    </w:rPr>
  </w:style>
  <w:style w:type="character" w:customStyle="1" w:styleId="Caracteresdenotaderodap">
    <w:name w:val="Caracteres de nota de rodapé"/>
    <w:qFormat/>
    <w:rsid w:val="009D7A35"/>
  </w:style>
  <w:style w:type="character" w:styleId="Refdenotadefim">
    <w:name w:val="endnote reference"/>
    <w:rsid w:val="009D7A35"/>
    <w:rPr>
      <w:vertAlign w:val="superscript"/>
    </w:rPr>
  </w:style>
  <w:style w:type="character" w:customStyle="1" w:styleId="EndnoteCharacters">
    <w:name w:val="Endnote Characters"/>
    <w:rsid w:val="009D7A35"/>
    <w:rPr>
      <w:vertAlign w:val="superscript"/>
    </w:rPr>
  </w:style>
  <w:style w:type="character" w:customStyle="1" w:styleId="Caracteresdenotadefim">
    <w:name w:val="Caracteres de nota de fim"/>
    <w:qFormat/>
    <w:rsid w:val="009D7A35"/>
  </w:style>
  <w:style w:type="paragraph" w:styleId="Corpodetexto">
    <w:name w:val="Body Text"/>
    <w:basedOn w:val="Normal"/>
    <w:link w:val="CorpodetextoChar"/>
    <w:rsid w:val="009D7A35"/>
    <w:pPr>
      <w:spacing w:after="140"/>
    </w:pPr>
    <w:rPr>
      <w:rFonts w:ascii="Arial" w:eastAsia="Arial" w:hAnsi="Arial" w:cs="Arial"/>
      <w:lang w:val="en"/>
    </w:rPr>
  </w:style>
  <w:style w:type="character" w:customStyle="1" w:styleId="CorpodetextoChar">
    <w:name w:val="Corpo de texto Char"/>
    <w:basedOn w:val="Fontepargpadro"/>
    <w:link w:val="Corpodetexto"/>
    <w:rsid w:val="009D7A35"/>
    <w:rPr>
      <w:rFonts w:ascii="Arial" w:eastAsia="Arial" w:hAnsi="Arial" w:cs="Arial"/>
      <w:sz w:val="22"/>
      <w:szCs w:val="22"/>
      <w:lang w:val="en"/>
    </w:rPr>
  </w:style>
  <w:style w:type="paragraph" w:styleId="Lista">
    <w:name w:val="List"/>
    <w:basedOn w:val="Corpodetexto"/>
    <w:rsid w:val="009D7A35"/>
    <w:rPr>
      <w:rFonts w:cs="Lucida Sans"/>
    </w:rPr>
  </w:style>
  <w:style w:type="paragraph" w:styleId="Legenda">
    <w:name w:val="caption"/>
    <w:basedOn w:val="Normal"/>
    <w:uiPriority w:val="35"/>
    <w:qFormat/>
    <w:rsid w:val="009D7A35"/>
    <w:pPr>
      <w:suppressLineNumbers/>
      <w:spacing w:before="120" w:after="120"/>
    </w:pPr>
    <w:rPr>
      <w:rFonts w:ascii="Arial" w:eastAsia="Arial" w:hAnsi="Arial" w:cs="Lucida Sans"/>
      <w:i/>
      <w:iCs/>
      <w:lang w:val="en"/>
    </w:rPr>
  </w:style>
  <w:style w:type="paragraph" w:customStyle="1" w:styleId="ndice">
    <w:name w:val="Índice"/>
    <w:basedOn w:val="Normal"/>
    <w:qFormat/>
    <w:rsid w:val="009D7A35"/>
    <w:pPr>
      <w:suppressLineNumbers/>
    </w:pPr>
    <w:rPr>
      <w:rFonts w:ascii="Arial" w:eastAsia="Arial" w:hAnsi="Arial" w:cs="Lucida Sans"/>
      <w:lang w:val="en"/>
    </w:rPr>
  </w:style>
  <w:style w:type="paragraph" w:customStyle="1" w:styleId="LO-normal1">
    <w:name w:val="LO-normal1"/>
    <w:rsid w:val="009D7A35"/>
    <w:pPr>
      <w:suppressAutoHyphens/>
      <w:spacing w:line="276" w:lineRule="auto"/>
    </w:pPr>
    <w:rPr>
      <w:rFonts w:ascii="Arial" w:eastAsia="Arial" w:hAnsi="Arial" w:cs="Arial"/>
      <w:sz w:val="22"/>
      <w:szCs w:val="22"/>
      <w:lang w:val="en-US" w:eastAsia="zh-CN" w:bidi="hi-IN"/>
    </w:rPr>
  </w:style>
  <w:style w:type="paragraph" w:customStyle="1" w:styleId="LO-normal">
    <w:name w:val="LO-normal"/>
    <w:rsid w:val="009D7A35"/>
    <w:pPr>
      <w:suppressAutoHyphens/>
      <w:spacing w:line="276" w:lineRule="auto"/>
    </w:pPr>
    <w:rPr>
      <w:rFonts w:ascii="Arial" w:eastAsia="Arial" w:hAnsi="Arial" w:cs="Arial"/>
      <w:sz w:val="22"/>
      <w:szCs w:val="22"/>
      <w:lang w:val="en-US" w:eastAsia="zh-CN" w:bidi="hi-IN"/>
    </w:rPr>
  </w:style>
  <w:style w:type="table" w:customStyle="1" w:styleId="TableNormal0">
    <w:name w:val="Table Normal"/>
    <w:rsid w:val="009D7A35"/>
    <w:pPr>
      <w:spacing w:line="276" w:lineRule="auto"/>
    </w:pPr>
    <w:rPr>
      <w:rFonts w:ascii="Arial" w:eastAsia="Arial" w:hAnsi="Arial" w:cs="Arial"/>
      <w:sz w:val="22"/>
      <w:szCs w:val="22"/>
      <w:lang w:val="en"/>
    </w:rPr>
    <w:tblPr>
      <w:tblCellMar>
        <w:top w:w="0" w:type="dxa"/>
        <w:left w:w="0" w:type="dxa"/>
        <w:bottom w:w="0" w:type="dxa"/>
        <w:right w:w="0" w:type="dxa"/>
      </w:tblCellMar>
    </w:tblPr>
  </w:style>
  <w:style w:type="paragraph" w:styleId="Citao">
    <w:name w:val="Quote"/>
    <w:basedOn w:val="LO-normal1"/>
    <w:next w:val="Normal"/>
    <w:link w:val="CitaoChar"/>
    <w:uiPriority w:val="29"/>
    <w:qFormat/>
    <w:rsid w:val="00DD3234"/>
    <w:pPr>
      <w:pBdr>
        <w:top w:val="nil"/>
        <w:left w:val="nil"/>
        <w:bottom w:val="nil"/>
        <w:right w:val="nil"/>
        <w:between w:val="nil"/>
      </w:pBdr>
      <w:spacing w:after="120" w:line="23" w:lineRule="atLeast"/>
      <w:ind w:left="1418"/>
      <w:jc w:val="both"/>
    </w:pPr>
    <w:rPr>
      <w:rFonts w:ascii="Segoe UI Semilight" w:eastAsia="Times New Roman" w:hAnsi="Segoe UI Semilight" w:cs="Segoe UI Semilight"/>
      <w:color w:val="000000" w:themeColor="text1"/>
      <w:sz w:val="16"/>
      <w:szCs w:val="18"/>
      <w:lang w:val="pt-BR"/>
    </w:rPr>
  </w:style>
  <w:style w:type="character" w:customStyle="1" w:styleId="CitaoChar">
    <w:name w:val="Citação Char"/>
    <w:basedOn w:val="Fontepargpadro"/>
    <w:link w:val="Citao"/>
    <w:uiPriority w:val="29"/>
    <w:rsid w:val="00DD3234"/>
    <w:rPr>
      <w:rFonts w:ascii="Segoe UI Semilight" w:eastAsia="Times New Roman" w:hAnsi="Segoe UI Semilight" w:cs="Segoe UI Semilight"/>
      <w:color w:val="000000" w:themeColor="text1"/>
      <w:sz w:val="16"/>
      <w:szCs w:val="18"/>
      <w:lang w:eastAsia="zh-CN" w:bidi="hi-IN"/>
    </w:rPr>
  </w:style>
  <w:style w:type="paragraph" w:styleId="Textodenotadefim">
    <w:name w:val="endnote text"/>
    <w:basedOn w:val="Normal"/>
    <w:link w:val="TextodenotadefimChar"/>
    <w:uiPriority w:val="99"/>
    <w:semiHidden/>
    <w:unhideWhenUsed/>
    <w:rsid w:val="00285B0A"/>
    <w:rPr>
      <w:sz w:val="20"/>
      <w:szCs w:val="20"/>
    </w:rPr>
  </w:style>
  <w:style w:type="character" w:customStyle="1" w:styleId="TextodenotadefimChar">
    <w:name w:val="Texto de nota de fim Char"/>
    <w:basedOn w:val="Fontepargpadro"/>
    <w:link w:val="Textodenotadefim"/>
    <w:uiPriority w:val="99"/>
    <w:semiHidden/>
    <w:rsid w:val="00285B0A"/>
    <w:rPr>
      <w:lang w:eastAsia="en-US"/>
    </w:rPr>
  </w:style>
  <w:style w:type="character" w:styleId="Refdecomentrio">
    <w:name w:val="annotation reference"/>
    <w:basedOn w:val="Fontepargpadro"/>
    <w:uiPriority w:val="99"/>
    <w:semiHidden/>
    <w:unhideWhenUsed/>
    <w:rsid w:val="00EC4E08"/>
    <w:rPr>
      <w:sz w:val="16"/>
      <w:szCs w:val="16"/>
    </w:rPr>
  </w:style>
  <w:style w:type="paragraph" w:styleId="Textodecomentrio">
    <w:name w:val="annotation text"/>
    <w:basedOn w:val="Normal"/>
    <w:link w:val="TextodecomentrioChar"/>
    <w:uiPriority w:val="99"/>
    <w:semiHidden/>
    <w:unhideWhenUsed/>
    <w:rsid w:val="00EC4E08"/>
    <w:rPr>
      <w:sz w:val="20"/>
      <w:szCs w:val="20"/>
    </w:rPr>
  </w:style>
  <w:style w:type="character" w:customStyle="1" w:styleId="TextodecomentrioChar">
    <w:name w:val="Texto de comentário Char"/>
    <w:basedOn w:val="Fontepargpadro"/>
    <w:link w:val="Textodecomentrio"/>
    <w:uiPriority w:val="99"/>
    <w:semiHidden/>
    <w:rsid w:val="00EC4E08"/>
    <w:rPr>
      <w:lang w:eastAsia="en-US"/>
    </w:rPr>
  </w:style>
  <w:style w:type="paragraph" w:styleId="Assuntodocomentrio">
    <w:name w:val="annotation subject"/>
    <w:basedOn w:val="Textodecomentrio"/>
    <w:next w:val="Textodecomentrio"/>
    <w:link w:val="AssuntodocomentrioChar"/>
    <w:uiPriority w:val="99"/>
    <w:semiHidden/>
    <w:unhideWhenUsed/>
    <w:rsid w:val="00EC4E08"/>
    <w:rPr>
      <w:b/>
      <w:bCs/>
    </w:rPr>
  </w:style>
  <w:style w:type="character" w:customStyle="1" w:styleId="AssuntodocomentrioChar">
    <w:name w:val="Assunto do comentário Char"/>
    <w:basedOn w:val="TextodecomentrioChar"/>
    <w:link w:val="Assuntodocomentrio"/>
    <w:uiPriority w:val="99"/>
    <w:semiHidden/>
    <w:rsid w:val="00EC4E08"/>
    <w:rPr>
      <w:b/>
      <w:bCs/>
      <w:lang w:eastAsia="en-US"/>
    </w:rPr>
  </w:style>
  <w:style w:type="paragraph" w:customStyle="1" w:styleId="Texto">
    <w:name w:val="Texto"/>
    <w:basedOn w:val="Normal"/>
    <w:link w:val="TextoChar"/>
    <w:qFormat/>
    <w:rsid w:val="003503A3"/>
    <w:pPr>
      <w:spacing w:line="360" w:lineRule="auto"/>
      <w:ind w:firstLine="851"/>
      <w:jc w:val="both"/>
    </w:pPr>
    <w:rPr>
      <w:rFonts w:asciiTheme="minorHAnsi" w:hAnsiTheme="minorHAnsi" w:cstheme="minorHAnsi"/>
      <w:noProof/>
    </w:rPr>
  </w:style>
  <w:style w:type="paragraph" w:customStyle="1" w:styleId="TtulodaTabela">
    <w:name w:val="Título da Tabela"/>
    <w:basedOn w:val="TtulodaIlustrao"/>
    <w:link w:val="TtulodaTabelaChar"/>
    <w:qFormat/>
    <w:rsid w:val="008B3EFF"/>
  </w:style>
  <w:style w:type="character" w:customStyle="1" w:styleId="TextoChar">
    <w:name w:val="Texto Char"/>
    <w:basedOn w:val="Fontepargpadro"/>
    <w:link w:val="Texto"/>
    <w:rsid w:val="003503A3"/>
    <w:rPr>
      <w:rFonts w:asciiTheme="minorHAnsi" w:eastAsia="Times New Roman" w:hAnsiTheme="minorHAnsi" w:cstheme="minorHAnsi"/>
      <w:noProof/>
      <w:sz w:val="24"/>
      <w:szCs w:val="24"/>
    </w:rPr>
  </w:style>
  <w:style w:type="paragraph" w:customStyle="1" w:styleId="Fonte">
    <w:name w:val="Fonte"/>
    <w:basedOn w:val="Texto"/>
    <w:link w:val="FonteChar"/>
    <w:qFormat/>
    <w:rsid w:val="00FB5A95"/>
    <w:pPr>
      <w:spacing w:after="120" w:line="240" w:lineRule="auto"/>
      <w:ind w:firstLine="0"/>
      <w:jc w:val="center"/>
    </w:pPr>
    <w:rPr>
      <w:b/>
      <w:sz w:val="20"/>
    </w:rPr>
  </w:style>
  <w:style w:type="character" w:customStyle="1" w:styleId="TtulodaIlustraoChar">
    <w:name w:val="Título da Ilustração Char"/>
    <w:basedOn w:val="TextoChar"/>
    <w:link w:val="TtulodaIlustrao"/>
    <w:rsid w:val="00FB5A95"/>
    <w:rPr>
      <w:rFonts w:asciiTheme="minorHAnsi" w:eastAsia="Times New Roman" w:hAnsiTheme="minorHAnsi" w:cstheme="minorHAnsi"/>
      <w:b/>
      <w:noProof/>
      <w:sz w:val="22"/>
      <w:szCs w:val="24"/>
    </w:rPr>
  </w:style>
  <w:style w:type="character" w:customStyle="1" w:styleId="TtulodaTabelaChar">
    <w:name w:val="Título da Tabela Char"/>
    <w:basedOn w:val="TtulodaIlustraoChar"/>
    <w:link w:val="TtulodaTabela"/>
    <w:rsid w:val="008B3EFF"/>
    <w:rPr>
      <w:rFonts w:asciiTheme="minorHAnsi" w:eastAsia="Times New Roman" w:hAnsiTheme="minorHAnsi" w:cstheme="minorHAnsi"/>
      <w:b/>
      <w:noProof/>
      <w:sz w:val="22"/>
      <w:szCs w:val="24"/>
    </w:rPr>
  </w:style>
  <w:style w:type="character" w:customStyle="1" w:styleId="FonteChar">
    <w:name w:val="Fonte Char"/>
    <w:basedOn w:val="TextoChar"/>
    <w:link w:val="Fonte"/>
    <w:rsid w:val="00FB5A95"/>
    <w:rPr>
      <w:rFonts w:asciiTheme="minorHAnsi" w:eastAsia="Times New Roman" w:hAnsiTheme="minorHAnsi" w:cstheme="minorHAnsi"/>
      <w:b/>
      <w:noProof/>
      <w:sz w:val="24"/>
      <w:szCs w:val="24"/>
    </w:rPr>
  </w:style>
  <w:style w:type="character" w:customStyle="1" w:styleId="MenoPendente1">
    <w:name w:val="Menção Pendente1"/>
    <w:basedOn w:val="Fontepargpadro"/>
    <w:uiPriority w:val="99"/>
    <w:semiHidden/>
    <w:unhideWhenUsed/>
    <w:rsid w:val="000B3646"/>
    <w:rPr>
      <w:color w:val="605E5C"/>
      <w:shd w:val="clear" w:color="auto" w:fill="E1DFDD"/>
    </w:rPr>
  </w:style>
  <w:style w:type="paragraph" w:styleId="ndicedeilustraes">
    <w:name w:val="table of figures"/>
    <w:basedOn w:val="Normal"/>
    <w:next w:val="Normal"/>
    <w:uiPriority w:val="99"/>
    <w:unhideWhenUsed/>
    <w:rsid w:val="00B81BC9"/>
  </w:style>
  <w:style w:type="paragraph" w:styleId="CabealhodoSumrio">
    <w:name w:val="TOC Heading"/>
    <w:basedOn w:val="Ttulo1"/>
    <w:next w:val="Normal"/>
    <w:uiPriority w:val="39"/>
    <w:unhideWhenUsed/>
    <w:qFormat/>
    <w:rsid w:val="008620CB"/>
    <w:pPr>
      <w:keepNext/>
      <w:keepLines/>
      <w:numPr>
        <w:numId w:val="0"/>
      </w:numPr>
      <w:spacing w:before="480" w:line="276" w:lineRule="auto"/>
      <w:jc w:val="left"/>
      <w:outlineLvl w:val="9"/>
    </w:pPr>
    <w:rPr>
      <w:rFonts w:asciiTheme="majorHAnsi" w:eastAsiaTheme="majorEastAsia" w:hAnsiTheme="majorHAnsi" w:cstheme="majorBidi"/>
      <w:noProof w:val="0"/>
      <w:color w:val="365F91" w:themeColor="accent1" w:themeShade="BF"/>
      <w:sz w:val="28"/>
      <w:szCs w:val="28"/>
    </w:rPr>
  </w:style>
  <w:style w:type="paragraph" w:styleId="Sumrio1">
    <w:name w:val="toc 1"/>
    <w:basedOn w:val="Normal"/>
    <w:next w:val="Normal"/>
    <w:autoRedefine/>
    <w:uiPriority w:val="39"/>
    <w:unhideWhenUsed/>
    <w:rsid w:val="008620CB"/>
    <w:pPr>
      <w:spacing w:before="360"/>
    </w:pPr>
    <w:rPr>
      <w:rFonts w:asciiTheme="majorHAnsi" w:hAnsiTheme="majorHAnsi"/>
      <w:b/>
      <w:bCs/>
      <w:caps/>
    </w:rPr>
  </w:style>
  <w:style w:type="paragraph" w:styleId="Sumrio2">
    <w:name w:val="toc 2"/>
    <w:basedOn w:val="Normal"/>
    <w:next w:val="Normal"/>
    <w:autoRedefine/>
    <w:uiPriority w:val="39"/>
    <w:unhideWhenUsed/>
    <w:rsid w:val="008620CB"/>
    <w:pPr>
      <w:spacing w:before="240"/>
    </w:pPr>
    <w:rPr>
      <w:rFonts w:asciiTheme="minorHAnsi" w:hAnsiTheme="minorHAnsi" w:cstheme="minorHAnsi"/>
      <w:b/>
      <w:bCs/>
      <w:sz w:val="20"/>
      <w:szCs w:val="20"/>
    </w:rPr>
  </w:style>
  <w:style w:type="paragraph" w:styleId="Sumrio3">
    <w:name w:val="toc 3"/>
    <w:basedOn w:val="Normal"/>
    <w:next w:val="Normal"/>
    <w:autoRedefine/>
    <w:uiPriority w:val="39"/>
    <w:unhideWhenUsed/>
    <w:rsid w:val="008620CB"/>
    <w:pPr>
      <w:ind w:left="240"/>
    </w:pPr>
    <w:rPr>
      <w:rFonts w:asciiTheme="minorHAnsi" w:hAnsiTheme="minorHAnsi" w:cstheme="minorHAnsi"/>
      <w:sz w:val="20"/>
      <w:szCs w:val="20"/>
    </w:rPr>
  </w:style>
  <w:style w:type="paragraph" w:styleId="Sumrio4">
    <w:name w:val="toc 4"/>
    <w:basedOn w:val="Normal"/>
    <w:next w:val="Normal"/>
    <w:autoRedefine/>
    <w:uiPriority w:val="39"/>
    <w:unhideWhenUsed/>
    <w:rsid w:val="008620CB"/>
    <w:pPr>
      <w:ind w:left="480"/>
    </w:pPr>
    <w:rPr>
      <w:rFonts w:asciiTheme="minorHAnsi" w:hAnsiTheme="minorHAnsi" w:cstheme="minorHAnsi"/>
      <w:sz w:val="20"/>
      <w:szCs w:val="20"/>
    </w:rPr>
  </w:style>
  <w:style w:type="paragraph" w:styleId="Sumrio5">
    <w:name w:val="toc 5"/>
    <w:basedOn w:val="Normal"/>
    <w:next w:val="Normal"/>
    <w:autoRedefine/>
    <w:uiPriority w:val="39"/>
    <w:unhideWhenUsed/>
    <w:rsid w:val="008620CB"/>
    <w:pPr>
      <w:ind w:left="720"/>
    </w:pPr>
    <w:rPr>
      <w:rFonts w:asciiTheme="minorHAnsi" w:hAnsiTheme="minorHAnsi" w:cstheme="minorHAnsi"/>
      <w:sz w:val="20"/>
      <w:szCs w:val="20"/>
    </w:rPr>
  </w:style>
  <w:style w:type="paragraph" w:styleId="Sumrio6">
    <w:name w:val="toc 6"/>
    <w:basedOn w:val="Normal"/>
    <w:next w:val="Normal"/>
    <w:autoRedefine/>
    <w:uiPriority w:val="39"/>
    <w:unhideWhenUsed/>
    <w:rsid w:val="008620CB"/>
    <w:pPr>
      <w:ind w:left="960"/>
    </w:pPr>
    <w:rPr>
      <w:rFonts w:asciiTheme="minorHAnsi" w:hAnsiTheme="minorHAnsi" w:cstheme="minorHAnsi"/>
      <w:sz w:val="20"/>
      <w:szCs w:val="20"/>
    </w:rPr>
  </w:style>
  <w:style w:type="paragraph" w:styleId="Sumrio7">
    <w:name w:val="toc 7"/>
    <w:basedOn w:val="Normal"/>
    <w:next w:val="Normal"/>
    <w:autoRedefine/>
    <w:uiPriority w:val="39"/>
    <w:unhideWhenUsed/>
    <w:rsid w:val="008620CB"/>
    <w:pPr>
      <w:ind w:left="1200"/>
    </w:pPr>
    <w:rPr>
      <w:rFonts w:asciiTheme="minorHAnsi" w:hAnsiTheme="minorHAnsi" w:cstheme="minorHAnsi"/>
      <w:sz w:val="20"/>
      <w:szCs w:val="20"/>
    </w:rPr>
  </w:style>
  <w:style w:type="paragraph" w:styleId="Sumrio8">
    <w:name w:val="toc 8"/>
    <w:basedOn w:val="Normal"/>
    <w:next w:val="Normal"/>
    <w:autoRedefine/>
    <w:uiPriority w:val="39"/>
    <w:unhideWhenUsed/>
    <w:rsid w:val="008620CB"/>
    <w:pPr>
      <w:ind w:left="1440"/>
    </w:pPr>
    <w:rPr>
      <w:rFonts w:asciiTheme="minorHAnsi" w:hAnsiTheme="minorHAnsi" w:cstheme="minorHAnsi"/>
      <w:sz w:val="20"/>
      <w:szCs w:val="20"/>
    </w:rPr>
  </w:style>
  <w:style w:type="paragraph" w:styleId="Sumrio9">
    <w:name w:val="toc 9"/>
    <w:basedOn w:val="Normal"/>
    <w:next w:val="Normal"/>
    <w:autoRedefine/>
    <w:uiPriority w:val="39"/>
    <w:unhideWhenUsed/>
    <w:rsid w:val="008620CB"/>
    <w:pPr>
      <w:ind w:left="1680"/>
    </w:pPr>
    <w:rPr>
      <w:rFonts w:asciiTheme="minorHAnsi" w:hAnsiTheme="minorHAnsi" w:cstheme="minorHAnsi"/>
      <w:sz w:val="20"/>
      <w:szCs w:val="20"/>
    </w:rPr>
  </w:style>
  <w:style w:type="paragraph" w:styleId="Partesuperior-zdoformulrio">
    <w:name w:val="HTML Top of Form"/>
    <w:basedOn w:val="Normal"/>
    <w:next w:val="Normal"/>
    <w:link w:val="Partesuperior-zdoformulrioChar"/>
    <w:hidden/>
    <w:uiPriority w:val="99"/>
    <w:semiHidden/>
    <w:unhideWhenUsed/>
    <w:rsid w:val="00023A5E"/>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023A5E"/>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023A5E"/>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023A5E"/>
    <w:rPr>
      <w:rFonts w:ascii="Arial" w:eastAsia="Times New Roman" w:hAnsi="Arial" w:cs="Arial"/>
      <w:vanish/>
      <w:sz w:val="16"/>
      <w:szCs w:val="16"/>
    </w:rPr>
  </w:style>
  <w:style w:type="character" w:customStyle="1" w:styleId="MenoPendente2">
    <w:name w:val="Menção Pendente2"/>
    <w:basedOn w:val="Fontepargpadro"/>
    <w:uiPriority w:val="99"/>
    <w:semiHidden/>
    <w:unhideWhenUsed/>
    <w:rsid w:val="00CF771B"/>
    <w:rPr>
      <w:color w:val="605E5C"/>
      <w:shd w:val="clear" w:color="auto" w:fill="E1DFDD"/>
    </w:rPr>
  </w:style>
  <w:style w:type="paragraph" w:customStyle="1" w:styleId="col-6">
    <w:name w:val="col-6"/>
    <w:basedOn w:val="Normal"/>
    <w:rsid w:val="00590D3A"/>
    <w:pPr>
      <w:spacing w:before="100" w:beforeAutospacing="1" w:after="100" w:afterAutospacing="1"/>
    </w:pPr>
  </w:style>
  <w:style w:type="character" w:customStyle="1" w:styleId="texto0">
    <w:name w:val="texto"/>
    <w:basedOn w:val="Fontepargpadro"/>
    <w:rsid w:val="00590D3A"/>
  </w:style>
  <w:style w:type="character" w:styleId="HiperlinkVisitado">
    <w:name w:val="FollowedHyperlink"/>
    <w:basedOn w:val="Fontepargpadro"/>
    <w:uiPriority w:val="99"/>
    <w:semiHidden/>
    <w:unhideWhenUsed/>
    <w:rsid w:val="009723FD"/>
    <w:rPr>
      <w:color w:val="800080" w:themeColor="followedHyperlink"/>
      <w:u w:val="single"/>
    </w:rPr>
  </w:style>
  <w:style w:type="character" w:customStyle="1" w:styleId="MenoPendente3">
    <w:name w:val="Menção Pendente3"/>
    <w:basedOn w:val="Fontepargpadro"/>
    <w:uiPriority w:val="99"/>
    <w:semiHidden/>
    <w:unhideWhenUsed/>
    <w:rsid w:val="00106C05"/>
    <w:rPr>
      <w:color w:val="605E5C"/>
      <w:shd w:val="clear" w:color="auto" w:fill="E1DFDD"/>
    </w:rPr>
  </w:style>
  <w:style w:type="character" w:customStyle="1" w:styleId="uv3um">
    <w:name w:val="uv3um"/>
    <w:basedOn w:val="Fontepargpadro"/>
    <w:rsid w:val="00CF11A4"/>
  </w:style>
  <w:style w:type="character" w:customStyle="1" w:styleId="ng-star-inserted1">
    <w:name w:val="ng-star-inserted1"/>
    <w:basedOn w:val="Fontepargpadro"/>
    <w:rsid w:val="00341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2711">
      <w:bodyDiv w:val="1"/>
      <w:marLeft w:val="0"/>
      <w:marRight w:val="0"/>
      <w:marTop w:val="0"/>
      <w:marBottom w:val="0"/>
      <w:divBdr>
        <w:top w:val="none" w:sz="0" w:space="0" w:color="auto"/>
        <w:left w:val="none" w:sz="0" w:space="0" w:color="auto"/>
        <w:bottom w:val="none" w:sz="0" w:space="0" w:color="auto"/>
        <w:right w:val="none" w:sz="0" w:space="0" w:color="auto"/>
      </w:divBdr>
      <w:divsChild>
        <w:div w:id="271136950">
          <w:marLeft w:val="0"/>
          <w:marRight w:val="0"/>
          <w:marTop w:val="0"/>
          <w:marBottom w:val="0"/>
          <w:divBdr>
            <w:top w:val="single" w:sz="2" w:space="0" w:color="E5E7EB"/>
            <w:left w:val="single" w:sz="2" w:space="0" w:color="E5E7EB"/>
            <w:bottom w:val="single" w:sz="2" w:space="0" w:color="E5E7EB"/>
            <w:right w:val="single" w:sz="2" w:space="0" w:color="E5E7EB"/>
          </w:divBdr>
          <w:divsChild>
            <w:div w:id="1273905287">
              <w:marLeft w:val="0"/>
              <w:marRight w:val="0"/>
              <w:marTop w:val="0"/>
              <w:marBottom w:val="0"/>
              <w:divBdr>
                <w:top w:val="single" w:sz="2" w:space="0" w:color="E5E7EB"/>
                <w:left w:val="single" w:sz="2" w:space="0" w:color="E5E7EB"/>
                <w:bottom w:val="single" w:sz="2" w:space="0" w:color="E5E7EB"/>
                <w:right w:val="single" w:sz="2" w:space="0" w:color="E5E7EB"/>
              </w:divBdr>
              <w:divsChild>
                <w:div w:id="483546724">
                  <w:marLeft w:val="0"/>
                  <w:marRight w:val="0"/>
                  <w:marTop w:val="0"/>
                  <w:marBottom w:val="0"/>
                  <w:divBdr>
                    <w:top w:val="single" w:sz="2" w:space="0" w:color="E5E7EB"/>
                    <w:left w:val="single" w:sz="2" w:space="0" w:color="E5E7EB"/>
                    <w:bottom w:val="single" w:sz="2" w:space="0" w:color="E5E7EB"/>
                    <w:right w:val="single" w:sz="2" w:space="0" w:color="E5E7EB"/>
                  </w:divBdr>
                  <w:divsChild>
                    <w:div w:id="1995183119">
                      <w:marLeft w:val="0"/>
                      <w:marRight w:val="0"/>
                      <w:marTop w:val="0"/>
                      <w:marBottom w:val="0"/>
                      <w:divBdr>
                        <w:top w:val="single" w:sz="2" w:space="0" w:color="E5E7EB"/>
                        <w:left w:val="single" w:sz="2" w:space="0" w:color="E5E7EB"/>
                        <w:bottom w:val="single" w:sz="2" w:space="0" w:color="E5E7EB"/>
                        <w:right w:val="single" w:sz="2" w:space="0" w:color="E5E7EB"/>
                      </w:divBdr>
                      <w:divsChild>
                        <w:div w:id="2007585584">
                          <w:marLeft w:val="0"/>
                          <w:marRight w:val="0"/>
                          <w:marTop w:val="0"/>
                          <w:marBottom w:val="0"/>
                          <w:divBdr>
                            <w:top w:val="single" w:sz="6" w:space="0" w:color="F3F4F6"/>
                            <w:left w:val="single" w:sz="6" w:space="0" w:color="F3F4F6"/>
                            <w:bottom w:val="single" w:sz="6" w:space="0" w:color="F3F4F6"/>
                            <w:right w:val="single" w:sz="6" w:space="0" w:color="F3F4F6"/>
                          </w:divBdr>
                          <w:divsChild>
                            <w:div w:id="1940915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07038631">
          <w:marLeft w:val="0"/>
          <w:marRight w:val="0"/>
          <w:marTop w:val="0"/>
          <w:marBottom w:val="0"/>
          <w:divBdr>
            <w:top w:val="single" w:sz="2" w:space="0" w:color="E5E7EB"/>
            <w:left w:val="single" w:sz="2" w:space="0" w:color="E5E7EB"/>
            <w:bottom w:val="single" w:sz="2" w:space="0" w:color="E5E7EB"/>
            <w:right w:val="single" w:sz="2" w:space="0" w:color="E5E7EB"/>
          </w:divBdr>
          <w:divsChild>
            <w:div w:id="1001353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271799">
      <w:bodyDiv w:val="1"/>
      <w:marLeft w:val="0"/>
      <w:marRight w:val="0"/>
      <w:marTop w:val="0"/>
      <w:marBottom w:val="0"/>
      <w:divBdr>
        <w:top w:val="none" w:sz="0" w:space="0" w:color="auto"/>
        <w:left w:val="none" w:sz="0" w:space="0" w:color="auto"/>
        <w:bottom w:val="none" w:sz="0" w:space="0" w:color="auto"/>
        <w:right w:val="none" w:sz="0" w:space="0" w:color="auto"/>
      </w:divBdr>
    </w:div>
    <w:div w:id="79571919">
      <w:bodyDiv w:val="1"/>
      <w:marLeft w:val="0"/>
      <w:marRight w:val="0"/>
      <w:marTop w:val="0"/>
      <w:marBottom w:val="0"/>
      <w:divBdr>
        <w:top w:val="none" w:sz="0" w:space="0" w:color="auto"/>
        <w:left w:val="none" w:sz="0" w:space="0" w:color="auto"/>
        <w:bottom w:val="none" w:sz="0" w:space="0" w:color="auto"/>
        <w:right w:val="none" w:sz="0" w:space="0" w:color="auto"/>
      </w:divBdr>
    </w:div>
    <w:div w:id="85931558">
      <w:bodyDiv w:val="1"/>
      <w:marLeft w:val="0"/>
      <w:marRight w:val="0"/>
      <w:marTop w:val="0"/>
      <w:marBottom w:val="0"/>
      <w:divBdr>
        <w:top w:val="none" w:sz="0" w:space="0" w:color="auto"/>
        <w:left w:val="none" w:sz="0" w:space="0" w:color="auto"/>
        <w:bottom w:val="none" w:sz="0" w:space="0" w:color="auto"/>
        <w:right w:val="none" w:sz="0" w:space="0" w:color="auto"/>
      </w:divBdr>
    </w:div>
    <w:div w:id="96604921">
      <w:bodyDiv w:val="1"/>
      <w:marLeft w:val="0"/>
      <w:marRight w:val="0"/>
      <w:marTop w:val="0"/>
      <w:marBottom w:val="0"/>
      <w:divBdr>
        <w:top w:val="none" w:sz="0" w:space="0" w:color="auto"/>
        <w:left w:val="none" w:sz="0" w:space="0" w:color="auto"/>
        <w:bottom w:val="none" w:sz="0" w:space="0" w:color="auto"/>
        <w:right w:val="none" w:sz="0" w:space="0" w:color="auto"/>
      </w:divBdr>
    </w:div>
    <w:div w:id="111097560">
      <w:bodyDiv w:val="1"/>
      <w:marLeft w:val="0"/>
      <w:marRight w:val="0"/>
      <w:marTop w:val="0"/>
      <w:marBottom w:val="0"/>
      <w:divBdr>
        <w:top w:val="none" w:sz="0" w:space="0" w:color="auto"/>
        <w:left w:val="none" w:sz="0" w:space="0" w:color="auto"/>
        <w:bottom w:val="none" w:sz="0" w:space="0" w:color="auto"/>
        <w:right w:val="none" w:sz="0" w:space="0" w:color="auto"/>
      </w:divBdr>
    </w:div>
    <w:div w:id="112216932">
      <w:bodyDiv w:val="1"/>
      <w:marLeft w:val="0"/>
      <w:marRight w:val="0"/>
      <w:marTop w:val="0"/>
      <w:marBottom w:val="0"/>
      <w:divBdr>
        <w:top w:val="none" w:sz="0" w:space="0" w:color="auto"/>
        <w:left w:val="none" w:sz="0" w:space="0" w:color="auto"/>
        <w:bottom w:val="none" w:sz="0" w:space="0" w:color="auto"/>
        <w:right w:val="none" w:sz="0" w:space="0" w:color="auto"/>
      </w:divBdr>
    </w:div>
    <w:div w:id="121853451">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43278174">
      <w:bodyDiv w:val="1"/>
      <w:marLeft w:val="0"/>
      <w:marRight w:val="0"/>
      <w:marTop w:val="0"/>
      <w:marBottom w:val="0"/>
      <w:divBdr>
        <w:top w:val="none" w:sz="0" w:space="0" w:color="auto"/>
        <w:left w:val="none" w:sz="0" w:space="0" w:color="auto"/>
        <w:bottom w:val="none" w:sz="0" w:space="0" w:color="auto"/>
        <w:right w:val="none" w:sz="0" w:space="0" w:color="auto"/>
      </w:divBdr>
    </w:div>
    <w:div w:id="155417947">
      <w:bodyDiv w:val="1"/>
      <w:marLeft w:val="0"/>
      <w:marRight w:val="0"/>
      <w:marTop w:val="0"/>
      <w:marBottom w:val="0"/>
      <w:divBdr>
        <w:top w:val="none" w:sz="0" w:space="0" w:color="auto"/>
        <w:left w:val="none" w:sz="0" w:space="0" w:color="auto"/>
        <w:bottom w:val="none" w:sz="0" w:space="0" w:color="auto"/>
        <w:right w:val="none" w:sz="0" w:space="0" w:color="auto"/>
      </w:divBdr>
    </w:div>
    <w:div w:id="157769108">
      <w:bodyDiv w:val="1"/>
      <w:marLeft w:val="0"/>
      <w:marRight w:val="0"/>
      <w:marTop w:val="0"/>
      <w:marBottom w:val="0"/>
      <w:divBdr>
        <w:top w:val="none" w:sz="0" w:space="0" w:color="auto"/>
        <w:left w:val="none" w:sz="0" w:space="0" w:color="auto"/>
        <w:bottom w:val="none" w:sz="0" w:space="0" w:color="auto"/>
        <w:right w:val="none" w:sz="0" w:space="0" w:color="auto"/>
      </w:divBdr>
      <w:divsChild>
        <w:div w:id="1493446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43382">
      <w:bodyDiv w:val="1"/>
      <w:marLeft w:val="0"/>
      <w:marRight w:val="0"/>
      <w:marTop w:val="0"/>
      <w:marBottom w:val="0"/>
      <w:divBdr>
        <w:top w:val="none" w:sz="0" w:space="0" w:color="auto"/>
        <w:left w:val="none" w:sz="0" w:space="0" w:color="auto"/>
        <w:bottom w:val="none" w:sz="0" w:space="0" w:color="auto"/>
        <w:right w:val="none" w:sz="0" w:space="0" w:color="auto"/>
      </w:divBdr>
    </w:div>
    <w:div w:id="173307753">
      <w:bodyDiv w:val="1"/>
      <w:marLeft w:val="0"/>
      <w:marRight w:val="0"/>
      <w:marTop w:val="0"/>
      <w:marBottom w:val="0"/>
      <w:divBdr>
        <w:top w:val="none" w:sz="0" w:space="0" w:color="auto"/>
        <w:left w:val="none" w:sz="0" w:space="0" w:color="auto"/>
        <w:bottom w:val="none" w:sz="0" w:space="0" w:color="auto"/>
        <w:right w:val="none" w:sz="0" w:space="0" w:color="auto"/>
      </w:divBdr>
      <w:divsChild>
        <w:div w:id="998656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29256">
      <w:bodyDiv w:val="1"/>
      <w:marLeft w:val="0"/>
      <w:marRight w:val="0"/>
      <w:marTop w:val="0"/>
      <w:marBottom w:val="0"/>
      <w:divBdr>
        <w:top w:val="none" w:sz="0" w:space="0" w:color="auto"/>
        <w:left w:val="none" w:sz="0" w:space="0" w:color="auto"/>
        <w:bottom w:val="none" w:sz="0" w:space="0" w:color="auto"/>
        <w:right w:val="none" w:sz="0" w:space="0" w:color="auto"/>
      </w:divBdr>
    </w:div>
    <w:div w:id="211885722">
      <w:bodyDiv w:val="1"/>
      <w:marLeft w:val="0"/>
      <w:marRight w:val="0"/>
      <w:marTop w:val="0"/>
      <w:marBottom w:val="0"/>
      <w:divBdr>
        <w:top w:val="none" w:sz="0" w:space="0" w:color="auto"/>
        <w:left w:val="none" w:sz="0" w:space="0" w:color="auto"/>
        <w:bottom w:val="none" w:sz="0" w:space="0" w:color="auto"/>
        <w:right w:val="none" w:sz="0" w:space="0" w:color="auto"/>
      </w:divBdr>
    </w:div>
    <w:div w:id="238950959">
      <w:bodyDiv w:val="1"/>
      <w:marLeft w:val="0"/>
      <w:marRight w:val="0"/>
      <w:marTop w:val="0"/>
      <w:marBottom w:val="0"/>
      <w:divBdr>
        <w:top w:val="none" w:sz="0" w:space="0" w:color="auto"/>
        <w:left w:val="none" w:sz="0" w:space="0" w:color="auto"/>
        <w:bottom w:val="none" w:sz="0" w:space="0" w:color="auto"/>
        <w:right w:val="none" w:sz="0" w:space="0" w:color="auto"/>
      </w:divBdr>
    </w:div>
    <w:div w:id="276261144">
      <w:bodyDiv w:val="1"/>
      <w:marLeft w:val="0"/>
      <w:marRight w:val="0"/>
      <w:marTop w:val="0"/>
      <w:marBottom w:val="0"/>
      <w:divBdr>
        <w:top w:val="none" w:sz="0" w:space="0" w:color="auto"/>
        <w:left w:val="none" w:sz="0" w:space="0" w:color="auto"/>
        <w:bottom w:val="none" w:sz="0" w:space="0" w:color="auto"/>
        <w:right w:val="none" w:sz="0" w:space="0" w:color="auto"/>
      </w:divBdr>
    </w:div>
    <w:div w:id="291908484">
      <w:bodyDiv w:val="1"/>
      <w:marLeft w:val="0"/>
      <w:marRight w:val="0"/>
      <w:marTop w:val="0"/>
      <w:marBottom w:val="0"/>
      <w:divBdr>
        <w:top w:val="none" w:sz="0" w:space="0" w:color="auto"/>
        <w:left w:val="none" w:sz="0" w:space="0" w:color="auto"/>
        <w:bottom w:val="none" w:sz="0" w:space="0" w:color="auto"/>
        <w:right w:val="none" w:sz="0" w:space="0" w:color="auto"/>
      </w:divBdr>
    </w:div>
    <w:div w:id="369261764">
      <w:bodyDiv w:val="1"/>
      <w:marLeft w:val="0"/>
      <w:marRight w:val="0"/>
      <w:marTop w:val="0"/>
      <w:marBottom w:val="0"/>
      <w:divBdr>
        <w:top w:val="none" w:sz="0" w:space="0" w:color="auto"/>
        <w:left w:val="none" w:sz="0" w:space="0" w:color="auto"/>
        <w:bottom w:val="none" w:sz="0" w:space="0" w:color="auto"/>
        <w:right w:val="none" w:sz="0" w:space="0" w:color="auto"/>
      </w:divBdr>
    </w:div>
    <w:div w:id="373775917">
      <w:bodyDiv w:val="1"/>
      <w:marLeft w:val="0"/>
      <w:marRight w:val="0"/>
      <w:marTop w:val="0"/>
      <w:marBottom w:val="0"/>
      <w:divBdr>
        <w:top w:val="none" w:sz="0" w:space="0" w:color="auto"/>
        <w:left w:val="none" w:sz="0" w:space="0" w:color="auto"/>
        <w:bottom w:val="none" w:sz="0" w:space="0" w:color="auto"/>
        <w:right w:val="none" w:sz="0" w:space="0" w:color="auto"/>
      </w:divBdr>
    </w:div>
    <w:div w:id="379788301">
      <w:bodyDiv w:val="1"/>
      <w:marLeft w:val="0"/>
      <w:marRight w:val="0"/>
      <w:marTop w:val="0"/>
      <w:marBottom w:val="0"/>
      <w:divBdr>
        <w:top w:val="none" w:sz="0" w:space="0" w:color="auto"/>
        <w:left w:val="none" w:sz="0" w:space="0" w:color="auto"/>
        <w:bottom w:val="none" w:sz="0" w:space="0" w:color="auto"/>
        <w:right w:val="none" w:sz="0" w:space="0" w:color="auto"/>
      </w:divBdr>
    </w:div>
    <w:div w:id="389618172">
      <w:bodyDiv w:val="1"/>
      <w:marLeft w:val="0"/>
      <w:marRight w:val="0"/>
      <w:marTop w:val="0"/>
      <w:marBottom w:val="0"/>
      <w:divBdr>
        <w:top w:val="none" w:sz="0" w:space="0" w:color="auto"/>
        <w:left w:val="none" w:sz="0" w:space="0" w:color="auto"/>
        <w:bottom w:val="none" w:sz="0" w:space="0" w:color="auto"/>
        <w:right w:val="none" w:sz="0" w:space="0" w:color="auto"/>
      </w:divBdr>
      <w:divsChild>
        <w:div w:id="758915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5251367">
      <w:bodyDiv w:val="1"/>
      <w:marLeft w:val="0"/>
      <w:marRight w:val="0"/>
      <w:marTop w:val="0"/>
      <w:marBottom w:val="0"/>
      <w:divBdr>
        <w:top w:val="none" w:sz="0" w:space="0" w:color="auto"/>
        <w:left w:val="none" w:sz="0" w:space="0" w:color="auto"/>
        <w:bottom w:val="none" w:sz="0" w:space="0" w:color="auto"/>
        <w:right w:val="none" w:sz="0" w:space="0" w:color="auto"/>
      </w:divBdr>
    </w:div>
    <w:div w:id="428156733">
      <w:bodyDiv w:val="1"/>
      <w:marLeft w:val="0"/>
      <w:marRight w:val="0"/>
      <w:marTop w:val="0"/>
      <w:marBottom w:val="0"/>
      <w:divBdr>
        <w:top w:val="none" w:sz="0" w:space="0" w:color="auto"/>
        <w:left w:val="none" w:sz="0" w:space="0" w:color="auto"/>
        <w:bottom w:val="none" w:sz="0" w:space="0" w:color="auto"/>
        <w:right w:val="none" w:sz="0" w:space="0" w:color="auto"/>
      </w:divBdr>
      <w:divsChild>
        <w:div w:id="370305299">
          <w:marLeft w:val="0"/>
          <w:marRight w:val="0"/>
          <w:marTop w:val="0"/>
          <w:marBottom w:val="0"/>
          <w:divBdr>
            <w:top w:val="none" w:sz="0" w:space="0" w:color="auto"/>
            <w:left w:val="none" w:sz="0" w:space="0" w:color="auto"/>
            <w:bottom w:val="none" w:sz="0" w:space="0" w:color="auto"/>
            <w:right w:val="none" w:sz="0" w:space="0" w:color="auto"/>
          </w:divBdr>
          <w:divsChild>
            <w:div w:id="1755779841">
              <w:marLeft w:val="0"/>
              <w:marRight w:val="0"/>
              <w:marTop w:val="0"/>
              <w:marBottom w:val="0"/>
              <w:divBdr>
                <w:top w:val="none" w:sz="0" w:space="0" w:color="auto"/>
                <w:left w:val="none" w:sz="0" w:space="0" w:color="auto"/>
                <w:bottom w:val="none" w:sz="0" w:space="0" w:color="auto"/>
                <w:right w:val="none" w:sz="0" w:space="0" w:color="auto"/>
              </w:divBdr>
            </w:div>
          </w:divsChild>
        </w:div>
        <w:div w:id="137652676">
          <w:marLeft w:val="0"/>
          <w:marRight w:val="0"/>
          <w:marTop w:val="0"/>
          <w:marBottom w:val="0"/>
          <w:divBdr>
            <w:top w:val="none" w:sz="0" w:space="0" w:color="auto"/>
            <w:left w:val="none" w:sz="0" w:space="0" w:color="auto"/>
            <w:bottom w:val="none" w:sz="0" w:space="0" w:color="auto"/>
            <w:right w:val="none" w:sz="0" w:space="0" w:color="auto"/>
          </w:divBdr>
          <w:divsChild>
            <w:div w:id="137578457">
              <w:marLeft w:val="0"/>
              <w:marRight w:val="0"/>
              <w:marTop w:val="0"/>
              <w:marBottom w:val="0"/>
              <w:divBdr>
                <w:top w:val="none" w:sz="0" w:space="0" w:color="auto"/>
                <w:left w:val="none" w:sz="0" w:space="0" w:color="auto"/>
                <w:bottom w:val="none" w:sz="0" w:space="0" w:color="auto"/>
                <w:right w:val="none" w:sz="0" w:space="0" w:color="auto"/>
              </w:divBdr>
              <w:divsChild>
                <w:div w:id="368648651">
                  <w:marLeft w:val="0"/>
                  <w:marRight w:val="0"/>
                  <w:marTop w:val="0"/>
                  <w:marBottom w:val="0"/>
                  <w:divBdr>
                    <w:top w:val="none" w:sz="0" w:space="0" w:color="auto"/>
                    <w:left w:val="none" w:sz="0" w:space="0" w:color="auto"/>
                    <w:bottom w:val="none" w:sz="0" w:space="0" w:color="auto"/>
                    <w:right w:val="none" w:sz="0" w:space="0" w:color="auto"/>
                  </w:divBdr>
                  <w:divsChild>
                    <w:div w:id="1568346677">
                      <w:marLeft w:val="0"/>
                      <w:marRight w:val="0"/>
                      <w:marTop w:val="0"/>
                      <w:marBottom w:val="0"/>
                      <w:divBdr>
                        <w:top w:val="none" w:sz="0" w:space="0" w:color="auto"/>
                        <w:left w:val="none" w:sz="0" w:space="0" w:color="auto"/>
                        <w:bottom w:val="none" w:sz="0" w:space="0" w:color="auto"/>
                        <w:right w:val="none" w:sz="0" w:space="0" w:color="auto"/>
                      </w:divBdr>
                      <w:divsChild>
                        <w:div w:id="4574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2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7741">
      <w:bodyDiv w:val="1"/>
      <w:marLeft w:val="0"/>
      <w:marRight w:val="0"/>
      <w:marTop w:val="0"/>
      <w:marBottom w:val="0"/>
      <w:divBdr>
        <w:top w:val="none" w:sz="0" w:space="0" w:color="auto"/>
        <w:left w:val="none" w:sz="0" w:space="0" w:color="auto"/>
        <w:bottom w:val="none" w:sz="0" w:space="0" w:color="auto"/>
        <w:right w:val="none" w:sz="0" w:space="0" w:color="auto"/>
      </w:divBdr>
      <w:divsChild>
        <w:div w:id="679621102">
          <w:marLeft w:val="0"/>
          <w:marRight w:val="0"/>
          <w:marTop w:val="0"/>
          <w:marBottom w:val="0"/>
          <w:divBdr>
            <w:top w:val="single" w:sz="2" w:space="0" w:color="E5E7EB"/>
            <w:left w:val="single" w:sz="2" w:space="0" w:color="E5E7EB"/>
            <w:bottom w:val="single" w:sz="2" w:space="0" w:color="E5E7EB"/>
            <w:right w:val="single" w:sz="2" w:space="0" w:color="E5E7EB"/>
          </w:divBdr>
          <w:divsChild>
            <w:div w:id="215631701">
              <w:marLeft w:val="0"/>
              <w:marRight w:val="0"/>
              <w:marTop w:val="0"/>
              <w:marBottom w:val="0"/>
              <w:divBdr>
                <w:top w:val="single" w:sz="2" w:space="0" w:color="E5E7EB"/>
                <w:left w:val="single" w:sz="2" w:space="0" w:color="E5E7EB"/>
                <w:bottom w:val="single" w:sz="2" w:space="0" w:color="E5E7EB"/>
                <w:right w:val="single" w:sz="2" w:space="0" w:color="E5E7EB"/>
              </w:divBdr>
              <w:divsChild>
                <w:div w:id="1615944594">
                  <w:marLeft w:val="0"/>
                  <w:marRight w:val="0"/>
                  <w:marTop w:val="0"/>
                  <w:marBottom w:val="0"/>
                  <w:divBdr>
                    <w:top w:val="single" w:sz="2" w:space="0" w:color="E5E7EB"/>
                    <w:left w:val="single" w:sz="2" w:space="0" w:color="E5E7EB"/>
                    <w:bottom w:val="single" w:sz="2" w:space="0" w:color="E5E7EB"/>
                    <w:right w:val="single" w:sz="2" w:space="0" w:color="E5E7EB"/>
                  </w:divBdr>
                  <w:divsChild>
                    <w:div w:id="360672826">
                      <w:marLeft w:val="0"/>
                      <w:marRight w:val="0"/>
                      <w:marTop w:val="0"/>
                      <w:marBottom w:val="0"/>
                      <w:divBdr>
                        <w:top w:val="single" w:sz="2" w:space="0" w:color="E5E7EB"/>
                        <w:left w:val="single" w:sz="2" w:space="0" w:color="E5E7EB"/>
                        <w:bottom w:val="single" w:sz="2" w:space="0" w:color="E5E7EB"/>
                        <w:right w:val="single" w:sz="2" w:space="0" w:color="E5E7EB"/>
                      </w:divBdr>
                      <w:divsChild>
                        <w:div w:id="1079671654">
                          <w:marLeft w:val="0"/>
                          <w:marRight w:val="0"/>
                          <w:marTop w:val="0"/>
                          <w:marBottom w:val="0"/>
                          <w:divBdr>
                            <w:top w:val="single" w:sz="6" w:space="0" w:color="F3F4F6"/>
                            <w:left w:val="single" w:sz="6" w:space="0" w:color="F3F4F6"/>
                            <w:bottom w:val="single" w:sz="6" w:space="0" w:color="F3F4F6"/>
                            <w:right w:val="single" w:sz="6" w:space="0" w:color="F3F4F6"/>
                          </w:divBdr>
                          <w:divsChild>
                            <w:div w:id="256057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5246869">
          <w:marLeft w:val="0"/>
          <w:marRight w:val="0"/>
          <w:marTop w:val="0"/>
          <w:marBottom w:val="0"/>
          <w:divBdr>
            <w:top w:val="single" w:sz="2" w:space="0" w:color="E5E7EB"/>
            <w:left w:val="single" w:sz="2" w:space="0" w:color="E5E7EB"/>
            <w:bottom w:val="single" w:sz="2" w:space="0" w:color="E5E7EB"/>
            <w:right w:val="single" w:sz="2" w:space="0" w:color="E5E7EB"/>
          </w:divBdr>
          <w:divsChild>
            <w:div w:id="556628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6186674">
      <w:bodyDiv w:val="1"/>
      <w:marLeft w:val="0"/>
      <w:marRight w:val="0"/>
      <w:marTop w:val="0"/>
      <w:marBottom w:val="0"/>
      <w:divBdr>
        <w:top w:val="none" w:sz="0" w:space="0" w:color="auto"/>
        <w:left w:val="none" w:sz="0" w:space="0" w:color="auto"/>
        <w:bottom w:val="none" w:sz="0" w:space="0" w:color="auto"/>
        <w:right w:val="none" w:sz="0" w:space="0" w:color="auto"/>
      </w:divBdr>
    </w:div>
    <w:div w:id="496380635">
      <w:bodyDiv w:val="1"/>
      <w:marLeft w:val="0"/>
      <w:marRight w:val="0"/>
      <w:marTop w:val="0"/>
      <w:marBottom w:val="0"/>
      <w:divBdr>
        <w:top w:val="none" w:sz="0" w:space="0" w:color="auto"/>
        <w:left w:val="none" w:sz="0" w:space="0" w:color="auto"/>
        <w:bottom w:val="none" w:sz="0" w:space="0" w:color="auto"/>
        <w:right w:val="none" w:sz="0" w:space="0" w:color="auto"/>
      </w:divBdr>
    </w:div>
    <w:div w:id="497775169">
      <w:bodyDiv w:val="1"/>
      <w:marLeft w:val="0"/>
      <w:marRight w:val="0"/>
      <w:marTop w:val="0"/>
      <w:marBottom w:val="0"/>
      <w:divBdr>
        <w:top w:val="none" w:sz="0" w:space="0" w:color="auto"/>
        <w:left w:val="none" w:sz="0" w:space="0" w:color="auto"/>
        <w:bottom w:val="none" w:sz="0" w:space="0" w:color="auto"/>
        <w:right w:val="none" w:sz="0" w:space="0" w:color="auto"/>
      </w:divBdr>
    </w:div>
    <w:div w:id="500656948">
      <w:bodyDiv w:val="1"/>
      <w:marLeft w:val="0"/>
      <w:marRight w:val="0"/>
      <w:marTop w:val="0"/>
      <w:marBottom w:val="0"/>
      <w:divBdr>
        <w:top w:val="none" w:sz="0" w:space="0" w:color="auto"/>
        <w:left w:val="none" w:sz="0" w:space="0" w:color="auto"/>
        <w:bottom w:val="none" w:sz="0" w:space="0" w:color="auto"/>
        <w:right w:val="none" w:sz="0" w:space="0" w:color="auto"/>
      </w:divBdr>
    </w:div>
    <w:div w:id="537744399">
      <w:bodyDiv w:val="1"/>
      <w:marLeft w:val="0"/>
      <w:marRight w:val="0"/>
      <w:marTop w:val="0"/>
      <w:marBottom w:val="0"/>
      <w:divBdr>
        <w:top w:val="none" w:sz="0" w:space="0" w:color="auto"/>
        <w:left w:val="none" w:sz="0" w:space="0" w:color="auto"/>
        <w:bottom w:val="none" w:sz="0" w:space="0" w:color="auto"/>
        <w:right w:val="none" w:sz="0" w:space="0" w:color="auto"/>
      </w:divBdr>
      <w:divsChild>
        <w:div w:id="1931960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5946722">
      <w:bodyDiv w:val="1"/>
      <w:marLeft w:val="0"/>
      <w:marRight w:val="0"/>
      <w:marTop w:val="0"/>
      <w:marBottom w:val="0"/>
      <w:divBdr>
        <w:top w:val="none" w:sz="0" w:space="0" w:color="auto"/>
        <w:left w:val="none" w:sz="0" w:space="0" w:color="auto"/>
        <w:bottom w:val="none" w:sz="0" w:space="0" w:color="auto"/>
        <w:right w:val="none" w:sz="0" w:space="0" w:color="auto"/>
      </w:divBdr>
      <w:divsChild>
        <w:div w:id="673414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9190588">
      <w:bodyDiv w:val="1"/>
      <w:marLeft w:val="0"/>
      <w:marRight w:val="0"/>
      <w:marTop w:val="0"/>
      <w:marBottom w:val="0"/>
      <w:divBdr>
        <w:top w:val="none" w:sz="0" w:space="0" w:color="auto"/>
        <w:left w:val="none" w:sz="0" w:space="0" w:color="auto"/>
        <w:bottom w:val="none" w:sz="0" w:space="0" w:color="auto"/>
        <w:right w:val="none" w:sz="0" w:space="0" w:color="auto"/>
      </w:divBdr>
    </w:div>
    <w:div w:id="576747182">
      <w:bodyDiv w:val="1"/>
      <w:marLeft w:val="0"/>
      <w:marRight w:val="0"/>
      <w:marTop w:val="0"/>
      <w:marBottom w:val="0"/>
      <w:divBdr>
        <w:top w:val="none" w:sz="0" w:space="0" w:color="auto"/>
        <w:left w:val="none" w:sz="0" w:space="0" w:color="auto"/>
        <w:bottom w:val="none" w:sz="0" w:space="0" w:color="auto"/>
        <w:right w:val="none" w:sz="0" w:space="0" w:color="auto"/>
      </w:divBdr>
    </w:div>
    <w:div w:id="592252064">
      <w:bodyDiv w:val="1"/>
      <w:marLeft w:val="0"/>
      <w:marRight w:val="0"/>
      <w:marTop w:val="0"/>
      <w:marBottom w:val="0"/>
      <w:divBdr>
        <w:top w:val="none" w:sz="0" w:space="0" w:color="auto"/>
        <w:left w:val="none" w:sz="0" w:space="0" w:color="auto"/>
        <w:bottom w:val="none" w:sz="0" w:space="0" w:color="auto"/>
        <w:right w:val="none" w:sz="0" w:space="0" w:color="auto"/>
      </w:divBdr>
    </w:div>
    <w:div w:id="618729266">
      <w:bodyDiv w:val="1"/>
      <w:marLeft w:val="0"/>
      <w:marRight w:val="0"/>
      <w:marTop w:val="0"/>
      <w:marBottom w:val="0"/>
      <w:divBdr>
        <w:top w:val="none" w:sz="0" w:space="0" w:color="auto"/>
        <w:left w:val="none" w:sz="0" w:space="0" w:color="auto"/>
        <w:bottom w:val="none" w:sz="0" w:space="0" w:color="auto"/>
        <w:right w:val="none" w:sz="0" w:space="0" w:color="auto"/>
      </w:divBdr>
    </w:div>
    <w:div w:id="669875170">
      <w:bodyDiv w:val="1"/>
      <w:marLeft w:val="0"/>
      <w:marRight w:val="0"/>
      <w:marTop w:val="0"/>
      <w:marBottom w:val="0"/>
      <w:divBdr>
        <w:top w:val="none" w:sz="0" w:space="0" w:color="auto"/>
        <w:left w:val="none" w:sz="0" w:space="0" w:color="auto"/>
        <w:bottom w:val="none" w:sz="0" w:space="0" w:color="auto"/>
        <w:right w:val="none" w:sz="0" w:space="0" w:color="auto"/>
      </w:divBdr>
    </w:div>
    <w:div w:id="692414209">
      <w:bodyDiv w:val="1"/>
      <w:marLeft w:val="0"/>
      <w:marRight w:val="0"/>
      <w:marTop w:val="0"/>
      <w:marBottom w:val="0"/>
      <w:divBdr>
        <w:top w:val="none" w:sz="0" w:space="0" w:color="auto"/>
        <w:left w:val="none" w:sz="0" w:space="0" w:color="auto"/>
        <w:bottom w:val="none" w:sz="0" w:space="0" w:color="auto"/>
        <w:right w:val="none" w:sz="0" w:space="0" w:color="auto"/>
      </w:divBdr>
      <w:divsChild>
        <w:div w:id="2063627376">
          <w:marLeft w:val="0"/>
          <w:marRight w:val="0"/>
          <w:marTop w:val="0"/>
          <w:marBottom w:val="0"/>
          <w:divBdr>
            <w:top w:val="none" w:sz="0" w:space="0" w:color="auto"/>
            <w:left w:val="none" w:sz="0" w:space="0" w:color="auto"/>
            <w:bottom w:val="none" w:sz="0" w:space="0" w:color="auto"/>
            <w:right w:val="none" w:sz="0" w:space="0" w:color="auto"/>
          </w:divBdr>
        </w:div>
      </w:divsChild>
    </w:div>
    <w:div w:id="697122282">
      <w:bodyDiv w:val="1"/>
      <w:marLeft w:val="0"/>
      <w:marRight w:val="0"/>
      <w:marTop w:val="0"/>
      <w:marBottom w:val="0"/>
      <w:divBdr>
        <w:top w:val="none" w:sz="0" w:space="0" w:color="auto"/>
        <w:left w:val="none" w:sz="0" w:space="0" w:color="auto"/>
        <w:bottom w:val="none" w:sz="0" w:space="0" w:color="auto"/>
        <w:right w:val="none" w:sz="0" w:space="0" w:color="auto"/>
      </w:divBdr>
      <w:divsChild>
        <w:div w:id="372270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1101024">
      <w:bodyDiv w:val="1"/>
      <w:marLeft w:val="0"/>
      <w:marRight w:val="0"/>
      <w:marTop w:val="0"/>
      <w:marBottom w:val="0"/>
      <w:divBdr>
        <w:top w:val="none" w:sz="0" w:space="0" w:color="auto"/>
        <w:left w:val="none" w:sz="0" w:space="0" w:color="auto"/>
        <w:bottom w:val="none" w:sz="0" w:space="0" w:color="auto"/>
        <w:right w:val="none" w:sz="0" w:space="0" w:color="auto"/>
      </w:divBdr>
    </w:div>
    <w:div w:id="721682611">
      <w:bodyDiv w:val="1"/>
      <w:marLeft w:val="0"/>
      <w:marRight w:val="0"/>
      <w:marTop w:val="0"/>
      <w:marBottom w:val="0"/>
      <w:divBdr>
        <w:top w:val="none" w:sz="0" w:space="0" w:color="auto"/>
        <w:left w:val="none" w:sz="0" w:space="0" w:color="auto"/>
        <w:bottom w:val="none" w:sz="0" w:space="0" w:color="auto"/>
        <w:right w:val="none" w:sz="0" w:space="0" w:color="auto"/>
      </w:divBdr>
    </w:div>
    <w:div w:id="724647842">
      <w:bodyDiv w:val="1"/>
      <w:marLeft w:val="0"/>
      <w:marRight w:val="0"/>
      <w:marTop w:val="0"/>
      <w:marBottom w:val="0"/>
      <w:divBdr>
        <w:top w:val="none" w:sz="0" w:space="0" w:color="auto"/>
        <w:left w:val="none" w:sz="0" w:space="0" w:color="auto"/>
        <w:bottom w:val="none" w:sz="0" w:space="0" w:color="auto"/>
        <w:right w:val="none" w:sz="0" w:space="0" w:color="auto"/>
      </w:divBdr>
    </w:div>
    <w:div w:id="747851266">
      <w:bodyDiv w:val="1"/>
      <w:marLeft w:val="0"/>
      <w:marRight w:val="0"/>
      <w:marTop w:val="0"/>
      <w:marBottom w:val="0"/>
      <w:divBdr>
        <w:top w:val="none" w:sz="0" w:space="0" w:color="auto"/>
        <w:left w:val="none" w:sz="0" w:space="0" w:color="auto"/>
        <w:bottom w:val="none" w:sz="0" w:space="0" w:color="auto"/>
        <w:right w:val="none" w:sz="0" w:space="0" w:color="auto"/>
      </w:divBdr>
    </w:div>
    <w:div w:id="759133129">
      <w:bodyDiv w:val="1"/>
      <w:marLeft w:val="0"/>
      <w:marRight w:val="0"/>
      <w:marTop w:val="0"/>
      <w:marBottom w:val="0"/>
      <w:divBdr>
        <w:top w:val="none" w:sz="0" w:space="0" w:color="auto"/>
        <w:left w:val="none" w:sz="0" w:space="0" w:color="auto"/>
        <w:bottom w:val="none" w:sz="0" w:space="0" w:color="auto"/>
        <w:right w:val="none" w:sz="0" w:space="0" w:color="auto"/>
      </w:divBdr>
    </w:div>
    <w:div w:id="763914981">
      <w:bodyDiv w:val="1"/>
      <w:marLeft w:val="0"/>
      <w:marRight w:val="0"/>
      <w:marTop w:val="0"/>
      <w:marBottom w:val="0"/>
      <w:divBdr>
        <w:top w:val="none" w:sz="0" w:space="0" w:color="auto"/>
        <w:left w:val="none" w:sz="0" w:space="0" w:color="auto"/>
        <w:bottom w:val="none" w:sz="0" w:space="0" w:color="auto"/>
        <w:right w:val="none" w:sz="0" w:space="0" w:color="auto"/>
      </w:divBdr>
      <w:divsChild>
        <w:div w:id="2076465486">
          <w:marLeft w:val="0"/>
          <w:marRight w:val="0"/>
          <w:marTop w:val="0"/>
          <w:marBottom w:val="0"/>
          <w:divBdr>
            <w:top w:val="single" w:sz="2" w:space="0" w:color="E5E7EB"/>
            <w:left w:val="single" w:sz="2" w:space="0" w:color="E5E7EB"/>
            <w:bottom w:val="single" w:sz="2" w:space="0" w:color="E5E7EB"/>
            <w:right w:val="single" w:sz="2" w:space="0" w:color="E5E7EB"/>
          </w:divBdr>
          <w:divsChild>
            <w:div w:id="98451046">
              <w:marLeft w:val="0"/>
              <w:marRight w:val="0"/>
              <w:marTop w:val="0"/>
              <w:marBottom w:val="0"/>
              <w:divBdr>
                <w:top w:val="single" w:sz="2" w:space="0" w:color="E5E7EB"/>
                <w:left w:val="single" w:sz="2" w:space="0" w:color="E5E7EB"/>
                <w:bottom w:val="single" w:sz="2" w:space="0" w:color="E5E7EB"/>
                <w:right w:val="single" w:sz="2" w:space="0" w:color="E5E7EB"/>
              </w:divBdr>
              <w:divsChild>
                <w:div w:id="409549902">
                  <w:marLeft w:val="0"/>
                  <w:marRight w:val="0"/>
                  <w:marTop w:val="0"/>
                  <w:marBottom w:val="0"/>
                  <w:divBdr>
                    <w:top w:val="single" w:sz="2" w:space="0" w:color="E5E7EB"/>
                    <w:left w:val="single" w:sz="2" w:space="0" w:color="E5E7EB"/>
                    <w:bottom w:val="single" w:sz="2" w:space="0" w:color="E5E7EB"/>
                    <w:right w:val="single" w:sz="2" w:space="0" w:color="E5E7EB"/>
                  </w:divBdr>
                  <w:divsChild>
                    <w:div w:id="167064830">
                      <w:marLeft w:val="0"/>
                      <w:marRight w:val="0"/>
                      <w:marTop w:val="0"/>
                      <w:marBottom w:val="0"/>
                      <w:divBdr>
                        <w:top w:val="single" w:sz="2" w:space="0" w:color="E5E7EB"/>
                        <w:left w:val="single" w:sz="2" w:space="0" w:color="E5E7EB"/>
                        <w:bottom w:val="single" w:sz="2" w:space="0" w:color="E5E7EB"/>
                        <w:right w:val="single" w:sz="2" w:space="0" w:color="E5E7EB"/>
                      </w:divBdr>
                      <w:divsChild>
                        <w:div w:id="1731885054">
                          <w:marLeft w:val="0"/>
                          <w:marRight w:val="0"/>
                          <w:marTop w:val="0"/>
                          <w:marBottom w:val="0"/>
                          <w:divBdr>
                            <w:top w:val="single" w:sz="6" w:space="0" w:color="F3F4F6"/>
                            <w:left w:val="single" w:sz="6" w:space="0" w:color="F3F4F6"/>
                            <w:bottom w:val="single" w:sz="6" w:space="0" w:color="F3F4F6"/>
                            <w:right w:val="single" w:sz="6" w:space="0" w:color="F3F4F6"/>
                          </w:divBdr>
                          <w:divsChild>
                            <w:div w:id="203812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06350082">
          <w:marLeft w:val="0"/>
          <w:marRight w:val="0"/>
          <w:marTop w:val="0"/>
          <w:marBottom w:val="0"/>
          <w:divBdr>
            <w:top w:val="single" w:sz="2" w:space="0" w:color="E5E7EB"/>
            <w:left w:val="single" w:sz="2" w:space="0" w:color="E5E7EB"/>
            <w:bottom w:val="single" w:sz="2" w:space="0" w:color="E5E7EB"/>
            <w:right w:val="single" w:sz="2" w:space="0" w:color="E5E7EB"/>
          </w:divBdr>
          <w:divsChild>
            <w:div w:id="769352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3503493">
      <w:bodyDiv w:val="1"/>
      <w:marLeft w:val="0"/>
      <w:marRight w:val="0"/>
      <w:marTop w:val="0"/>
      <w:marBottom w:val="0"/>
      <w:divBdr>
        <w:top w:val="none" w:sz="0" w:space="0" w:color="auto"/>
        <w:left w:val="none" w:sz="0" w:space="0" w:color="auto"/>
        <w:bottom w:val="none" w:sz="0" w:space="0" w:color="auto"/>
        <w:right w:val="none" w:sz="0" w:space="0" w:color="auto"/>
      </w:divBdr>
    </w:div>
    <w:div w:id="809252371">
      <w:bodyDiv w:val="1"/>
      <w:marLeft w:val="0"/>
      <w:marRight w:val="0"/>
      <w:marTop w:val="0"/>
      <w:marBottom w:val="0"/>
      <w:divBdr>
        <w:top w:val="none" w:sz="0" w:space="0" w:color="auto"/>
        <w:left w:val="none" w:sz="0" w:space="0" w:color="auto"/>
        <w:bottom w:val="none" w:sz="0" w:space="0" w:color="auto"/>
        <w:right w:val="none" w:sz="0" w:space="0" w:color="auto"/>
      </w:divBdr>
    </w:div>
    <w:div w:id="839344452">
      <w:bodyDiv w:val="1"/>
      <w:marLeft w:val="0"/>
      <w:marRight w:val="0"/>
      <w:marTop w:val="0"/>
      <w:marBottom w:val="0"/>
      <w:divBdr>
        <w:top w:val="none" w:sz="0" w:space="0" w:color="auto"/>
        <w:left w:val="none" w:sz="0" w:space="0" w:color="auto"/>
        <w:bottom w:val="none" w:sz="0" w:space="0" w:color="auto"/>
        <w:right w:val="none" w:sz="0" w:space="0" w:color="auto"/>
      </w:divBdr>
    </w:div>
    <w:div w:id="874734693">
      <w:bodyDiv w:val="1"/>
      <w:marLeft w:val="0"/>
      <w:marRight w:val="0"/>
      <w:marTop w:val="0"/>
      <w:marBottom w:val="0"/>
      <w:divBdr>
        <w:top w:val="none" w:sz="0" w:space="0" w:color="auto"/>
        <w:left w:val="none" w:sz="0" w:space="0" w:color="auto"/>
        <w:bottom w:val="none" w:sz="0" w:space="0" w:color="auto"/>
        <w:right w:val="none" w:sz="0" w:space="0" w:color="auto"/>
      </w:divBdr>
    </w:div>
    <w:div w:id="881869128">
      <w:bodyDiv w:val="1"/>
      <w:marLeft w:val="0"/>
      <w:marRight w:val="0"/>
      <w:marTop w:val="0"/>
      <w:marBottom w:val="0"/>
      <w:divBdr>
        <w:top w:val="none" w:sz="0" w:space="0" w:color="auto"/>
        <w:left w:val="none" w:sz="0" w:space="0" w:color="auto"/>
        <w:bottom w:val="none" w:sz="0" w:space="0" w:color="auto"/>
        <w:right w:val="none" w:sz="0" w:space="0" w:color="auto"/>
      </w:divBdr>
    </w:div>
    <w:div w:id="930283906">
      <w:bodyDiv w:val="1"/>
      <w:marLeft w:val="0"/>
      <w:marRight w:val="0"/>
      <w:marTop w:val="0"/>
      <w:marBottom w:val="0"/>
      <w:divBdr>
        <w:top w:val="none" w:sz="0" w:space="0" w:color="auto"/>
        <w:left w:val="none" w:sz="0" w:space="0" w:color="auto"/>
        <w:bottom w:val="none" w:sz="0" w:space="0" w:color="auto"/>
        <w:right w:val="none" w:sz="0" w:space="0" w:color="auto"/>
      </w:divBdr>
    </w:div>
    <w:div w:id="959260326">
      <w:bodyDiv w:val="1"/>
      <w:marLeft w:val="0"/>
      <w:marRight w:val="0"/>
      <w:marTop w:val="0"/>
      <w:marBottom w:val="0"/>
      <w:divBdr>
        <w:top w:val="none" w:sz="0" w:space="0" w:color="auto"/>
        <w:left w:val="none" w:sz="0" w:space="0" w:color="auto"/>
        <w:bottom w:val="none" w:sz="0" w:space="0" w:color="auto"/>
        <w:right w:val="none" w:sz="0" w:space="0" w:color="auto"/>
      </w:divBdr>
    </w:div>
    <w:div w:id="973605385">
      <w:bodyDiv w:val="1"/>
      <w:marLeft w:val="0"/>
      <w:marRight w:val="0"/>
      <w:marTop w:val="0"/>
      <w:marBottom w:val="0"/>
      <w:divBdr>
        <w:top w:val="none" w:sz="0" w:space="0" w:color="auto"/>
        <w:left w:val="none" w:sz="0" w:space="0" w:color="auto"/>
        <w:bottom w:val="none" w:sz="0" w:space="0" w:color="auto"/>
        <w:right w:val="none" w:sz="0" w:space="0" w:color="auto"/>
      </w:divBdr>
    </w:div>
    <w:div w:id="977682401">
      <w:bodyDiv w:val="1"/>
      <w:marLeft w:val="0"/>
      <w:marRight w:val="0"/>
      <w:marTop w:val="0"/>
      <w:marBottom w:val="0"/>
      <w:divBdr>
        <w:top w:val="none" w:sz="0" w:space="0" w:color="auto"/>
        <w:left w:val="none" w:sz="0" w:space="0" w:color="auto"/>
        <w:bottom w:val="none" w:sz="0" w:space="0" w:color="auto"/>
        <w:right w:val="none" w:sz="0" w:space="0" w:color="auto"/>
      </w:divBdr>
    </w:div>
    <w:div w:id="1021274134">
      <w:bodyDiv w:val="1"/>
      <w:marLeft w:val="0"/>
      <w:marRight w:val="0"/>
      <w:marTop w:val="0"/>
      <w:marBottom w:val="0"/>
      <w:divBdr>
        <w:top w:val="none" w:sz="0" w:space="0" w:color="auto"/>
        <w:left w:val="none" w:sz="0" w:space="0" w:color="auto"/>
        <w:bottom w:val="none" w:sz="0" w:space="0" w:color="auto"/>
        <w:right w:val="none" w:sz="0" w:space="0" w:color="auto"/>
      </w:divBdr>
    </w:div>
    <w:div w:id="1036462937">
      <w:bodyDiv w:val="1"/>
      <w:marLeft w:val="0"/>
      <w:marRight w:val="0"/>
      <w:marTop w:val="0"/>
      <w:marBottom w:val="0"/>
      <w:divBdr>
        <w:top w:val="none" w:sz="0" w:space="0" w:color="auto"/>
        <w:left w:val="none" w:sz="0" w:space="0" w:color="auto"/>
        <w:bottom w:val="none" w:sz="0" w:space="0" w:color="auto"/>
        <w:right w:val="none" w:sz="0" w:space="0" w:color="auto"/>
      </w:divBdr>
      <w:divsChild>
        <w:div w:id="1105150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711598">
      <w:bodyDiv w:val="1"/>
      <w:marLeft w:val="0"/>
      <w:marRight w:val="0"/>
      <w:marTop w:val="0"/>
      <w:marBottom w:val="0"/>
      <w:divBdr>
        <w:top w:val="none" w:sz="0" w:space="0" w:color="auto"/>
        <w:left w:val="none" w:sz="0" w:space="0" w:color="auto"/>
        <w:bottom w:val="none" w:sz="0" w:space="0" w:color="auto"/>
        <w:right w:val="none" w:sz="0" w:space="0" w:color="auto"/>
      </w:divBdr>
    </w:div>
    <w:div w:id="1044720433">
      <w:bodyDiv w:val="1"/>
      <w:marLeft w:val="0"/>
      <w:marRight w:val="0"/>
      <w:marTop w:val="0"/>
      <w:marBottom w:val="0"/>
      <w:divBdr>
        <w:top w:val="none" w:sz="0" w:space="0" w:color="auto"/>
        <w:left w:val="none" w:sz="0" w:space="0" w:color="auto"/>
        <w:bottom w:val="none" w:sz="0" w:space="0" w:color="auto"/>
        <w:right w:val="none" w:sz="0" w:space="0" w:color="auto"/>
      </w:divBdr>
    </w:div>
    <w:div w:id="1059087925">
      <w:bodyDiv w:val="1"/>
      <w:marLeft w:val="0"/>
      <w:marRight w:val="0"/>
      <w:marTop w:val="0"/>
      <w:marBottom w:val="0"/>
      <w:divBdr>
        <w:top w:val="none" w:sz="0" w:space="0" w:color="auto"/>
        <w:left w:val="none" w:sz="0" w:space="0" w:color="auto"/>
        <w:bottom w:val="none" w:sz="0" w:space="0" w:color="auto"/>
        <w:right w:val="none" w:sz="0" w:space="0" w:color="auto"/>
      </w:divBdr>
    </w:div>
    <w:div w:id="1062942466">
      <w:bodyDiv w:val="1"/>
      <w:marLeft w:val="0"/>
      <w:marRight w:val="0"/>
      <w:marTop w:val="0"/>
      <w:marBottom w:val="0"/>
      <w:divBdr>
        <w:top w:val="none" w:sz="0" w:space="0" w:color="auto"/>
        <w:left w:val="none" w:sz="0" w:space="0" w:color="auto"/>
        <w:bottom w:val="none" w:sz="0" w:space="0" w:color="auto"/>
        <w:right w:val="none" w:sz="0" w:space="0" w:color="auto"/>
      </w:divBdr>
    </w:div>
    <w:div w:id="1071807293">
      <w:bodyDiv w:val="1"/>
      <w:marLeft w:val="0"/>
      <w:marRight w:val="0"/>
      <w:marTop w:val="0"/>
      <w:marBottom w:val="0"/>
      <w:divBdr>
        <w:top w:val="none" w:sz="0" w:space="0" w:color="auto"/>
        <w:left w:val="none" w:sz="0" w:space="0" w:color="auto"/>
        <w:bottom w:val="none" w:sz="0" w:space="0" w:color="auto"/>
        <w:right w:val="none" w:sz="0" w:space="0" w:color="auto"/>
      </w:divBdr>
    </w:div>
    <w:div w:id="1072504807">
      <w:bodyDiv w:val="1"/>
      <w:marLeft w:val="0"/>
      <w:marRight w:val="0"/>
      <w:marTop w:val="0"/>
      <w:marBottom w:val="0"/>
      <w:divBdr>
        <w:top w:val="none" w:sz="0" w:space="0" w:color="auto"/>
        <w:left w:val="none" w:sz="0" w:space="0" w:color="auto"/>
        <w:bottom w:val="none" w:sz="0" w:space="0" w:color="auto"/>
        <w:right w:val="none" w:sz="0" w:space="0" w:color="auto"/>
      </w:divBdr>
      <w:divsChild>
        <w:div w:id="2079479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4686890">
      <w:bodyDiv w:val="1"/>
      <w:marLeft w:val="0"/>
      <w:marRight w:val="0"/>
      <w:marTop w:val="0"/>
      <w:marBottom w:val="0"/>
      <w:divBdr>
        <w:top w:val="none" w:sz="0" w:space="0" w:color="auto"/>
        <w:left w:val="none" w:sz="0" w:space="0" w:color="auto"/>
        <w:bottom w:val="none" w:sz="0" w:space="0" w:color="auto"/>
        <w:right w:val="none" w:sz="0" w:space="0" w:color="auto"/>
      </w:divBdr>
    </w:div>
    <w:div w:id="1094590126">
      <w:bodyDiv w:val="1"/>
      <w:marLeft w:val="0"/>
      <w:marRight w:val="0"/>
      <w:marTop w:val="0"/>
      <w:marBottom w:val="0"/>
      <w:divBdr>
        <w:top w:val="none" w:sz="0" w:space="0" w:color="auto"/>
        <w:left w:val="none" w:sz="0" w:space="0" w:color="auto"/>
        <w:bottom w:val="none" w:sz="0" w:space="0" w:color="auto"/>
        <w:right w:val="none" w:sz="0" w:space="0" w:color="auto"/>
      </w:divBdr>
    </w:div>
    <w:div w:id="1117866445">
      <w:bodyDiv w:val="1"/>
      <w:marLeft w:val="0"/>
      <w:marRight w:val="0"/>
      <w:marTop w:val="0"/>
      <w:marBottom w:val="0"/>
      <w:divBdr>
        <w:top w:val="none" w:sz="0" w:space="0" w:color="auto"/>
        <w:left w:val="none" w:sz="0" w:space="0" w:color="auto"/>
        <w:bottom w:val="none" w:sz="0" w:space="0" w:color="auto"/>
        <w:right w:val="none" w:sz="0" w:space="0" w:color="auto"/>
      </w:divBdr>
    </w:div>
    <w:div w:id="1126238290">
      <w:bodyDiv w:val="1"/>
      <w:marLeft w:val="0"/>
      <w:marRight w:val="0"/>
      <w:marTop w:val="0"/>
      <w:marBottom w:val="0"/>
      <w:divBdr>
        <w:top w:val="none" w:sz="0" w:space="0" w:color="auto"/>
        <w:left w:val="none" w:sz="0" w:space="0" w:color="auto"/>
        <w:bottom w:val="none" w:sz="0" w:space="0" w:color="auto"/>
        <w:right w:val="none" w:sz="0" w:space="0" w:color="auto"/>
      </w:divBdr>
    </w:div>
    <w:div w:id="1133328596">
      <w:bodyDiv w:val="1"/>
      <w:marLeft w:val="0"/>
      <w:marRight w:val="0"/>
      <w:marTop w:val="0"/>
      <w:marBottom w:val="0"/>
      <w:divBdr>
        <w:top w:val="none" w:sz="0" w:space="0" w:color="auto"/>
        <w:left w:val="none" w:sz="0" w:space="0" w:color="auto"/>
        <w:bottom w:val="none" w:sz="0" w:space="0" w:color="auto"/>
        <w:right w:val="none" w:sz="0" w:space="0" w:color="auto"/>
      </w:divBdr>
    </w:div>
    <w:div w:id="1144349979">
      <w:bodyDiv w:val="1"/>
      <w:marLeft w:val="0"/>
      <w:marRight w:val="0"/>
      <w:marTop w:val="0"/>
      <w:marBottom w:val="0"/>
      <w:divBdr>
        <w:top w:val="none" w:sz="0" w:space="0" w:color="auto"/>
        <w:left w:val="none" w:sz="0" w:space="0" w:color="auto"/>
        <w:bottom w:val="none" w:sz="0" w:space="0" w:color="auto"/>
        <w:right w:val="none" w:sz="0" w:space="0" w:color="auto"/>
      </w:divBdr>
    </w:div>
    <w:div w:id="1168978560">
      <w:bodyDiv w:val="1"/>
      <w:marLeft w:val="0"/>
      <w:marRight w:val="0"/>
      <w:marTop w:val="0"/>
      <w:marBottom w:val="0"/>
      <w:divBdr>
        <w:top w:val="none" w:sz="0" w:space="0" w:color="auto"/>
        <w:left w:val="none" w:sz="0" w:space="0" w:color="auto"/>
        <w:bottom w:val="none" w:sz="0" w:space="0" w:color="auto"/>
        <w:right w:val="none" w:sz="0" w:space="0" w:color="auto"/>
      </w:divBdr>
    </w:div>
    <w:div w:id="1187908788">
      <w:bodyDiv w:val="1"/>
      <w:marLeft w:val="0"/>
      <w:marRight w:val="0"/>
      <w:marTop w:val="0"/>
      <w:marBottom w:val="0"/>
      <w:divBdr>
        <w:top w:val="none" w:sz="0" w:space="0" w:color="auto"/>
        <w:left w:val="none" w:sz="0" w:space="0" w:color="auto"/>
        <w:bottom w:val="none" w:sz="0" w:space="0" w:color="auto"/>
        <w:right w:val="none" w:sz="0" w:space="0" w:color="auto"/>
      </w:divBdr>
    </w:div>
    <w:div w:id="1210411540">
      <w:bodyDiv w:val="1"/>
      <w:marLeft w:val="0"/>
      <w:marRight w:val="0"/>
      <w:marTop w:val="0"/>
      <w:marBottom w:val="0"/>
      <w:divBdr>
        <w:top w:val="none" w:sz="0" w:space="0" w:color="auto"/>
        <w:left w:val="none" w:sz="0" w:space="0" w:color="auto"/>
        <w:bottom w:val="none" w:sz="0" w:space="0" w:color="auto"/>
        <w:right w:val="none" w:sz="0" w:space="0" w:color="auto"/>
      </w:divBdr>
      <w:divsChild>
        <w:div w:id="172380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074721">
      <w:bodyDiv w:val="1"/>
      <w:marLeft w:val="0"/>
      <w:marRight w:val="0"/>
      <w:marTop w:val="0"/>
      <w:marBottom w:val="0"/>
      <w:divBdr>
        <w:top w:val="none" w:sz="0" w:space="0" w:color="auto"/>
        <w:left w:val="none" w:sz="0" w:space="0" w:color="auto"/>
        <w:bottom w:val="none" w:sz="0" w:space="0" w:color="auto"/>
        <w:right w:val="none" w:sz="0" w:space="0" w:color="auto"/>
      </w:divBdr>
    </w:div>
    <w:div w:id="1228105256">
      <w:bodyDiv w:val="1"/>
      <w:marLeft w:val="0"/>
      <w:marRight w:val="0"/>
      <w:marTop w:val="0"/>
      <w:marBottom w:val="0"/>
      <w:divBdr>
        <w:top w:val="none" w:sz="0" w:space="0" w:color="auto"/>
        <w:left w:val="none" w:sz="0" w:space="0" w:color="auto"/>
        <w:bottom w:val="none" w:sz="0" w:space="0" w:color="auto"/>
        <w:right w:val="none" w:sz="0" w:space="0" w:color="auto"/>
      </w:divBdr>
    </w:div>
    <w:div w:id="1241985220">
      <w:bodyDiv w:val="1"/>
      <w:marLeft w:val="0"/>
      <w:marRight w:val="0"/>
      <w:marTop w:val="0"/>
      <w:marBottom w:val="0"/>
      <w:divBdr>
        <w:top w:val="none" w:sz="0" w:space="0" w:color="auto"/>
        <w:left w:val="none" w:sz="0" w:space="0" w:color="auto"/>
        <w:bottom w:val="none" w:sz="0" w:space="0" w:color="auto"/>
        <w:right w:val="none" w:sz="0" w:space="0" w:color="auto"/>
      </w:divBdr>
    </w:div>
    <w:div w:id="1246917461">
      <w:bodyDiv w:val="1"/>
      <w:marLeft w:val="0"/>
      <w:marRight w:val="0"/>
      <w:marTop w:val="0"/>
      <w:marBottom w:val="0"/>
      <w:divBdr>
        <w:top w:val="none" w:sz="0" w:space="0" w:color="auto"/>
        <w:left w:val="none" w:sz="0" w:space="0" w:color="auto"/>
        <w:bottom w:val="none" w:sz="0" w:space="0" w:color="auto"/>
        <w:right w:val="none" w:sz="0" w:space="0" w:color="auto"/>
      </w:divBdr>
    </w:div>
    <w:div w:id="1259634293">
      <w:bodyDiv w:val="1"/>
      <w:marLeft w:val="0"/>
      <w:marRight w:val="0"/>
      <w:marTop w:val="0"/>
      <w:marBottom w:val="0"/>
      <w:divBdr>
        <w:top w:val="none" w:sz="0" w:space="0" w:color="auto"/>
        <w:left w:val="none" w:sz="0" w:space="0" w:color="auto"/>
        <w:bottom w:val="none" w:sz="0" w:space="0" w:color="auto"/>
        <w:right w:val="none" w:sz="0" w:space="0" w:color="auto"/>
      </w:divBdr>
    </w:div>
    <w:div w:id="1289697719">
      <w:bodyDiv w:val="1"/>
      <w:marLeft w:val="0"/>
      <w:marRight w:val="0"/>
      <w:marTop w:val="0"/>
      <w:marBottom w:val="0"/>
      <w:divBdr>
        <w:top w:val="none" w:sz="0" w:space="0" w:color="auto"/>
        <w:left w:val="none" w:sz="0" w:space="0" w:color="auto"/>
        <w:bottom w:val="none" w:sz="0" w:space="0" w:color="auto"/>
        <w:right w:val="none" w:sz="0" w:space="0" w:color="auto"/>
      </w:divBdr>
      <w:divsChild>
        <w:div w:id="313341140">
          <w:marLeft w:val="0"/>
          <w:marRight w:val="0"/>
          <w:marTop w:val="0"/>
          <w:marBottom w:val="0"/>
          <w:divBdr>
            <w:top w:val="none" w:sz="0" w:space="0" w:color="auto"/>
            <w:left w:val="none" w:sz="0" w:space="0" w:color="auto"/>
            <w:bottom w:val="none" w:sz="0" w:space="0" w:color="auto"/>
            <w:right w:val="none" w:sz="0" w:space="0" w:color="auto"/>
          </w:divBdr>
          <w:divsChild>
            <w:div w:id="343673420">
              <w:marLeft w:val="0"/>
              <w:marRight w:val="0"/>
              <w:marTop w:val="0"/>
              <w:marBottom w:val="0"/>
              <w:divBdr>
                <w:top w:val="none" w:sz="0" w:space="0" w:color="auto"/>
                <w:left w:val="none" w:sz="0" w:space="0" w:color="auto"/>
                <w:bottom w:val="none" w:sz="0" w:space="0" w:color="auto"/>
                <w:right w:val="none" w:sz="0" w:space="0" w:color="auto"/>
              </w:divBdr>
              <w:divsChild>
                <w:div w:id="234584813">
                  <w:marLeft w:val="0"/>
                  <w:marRight w:val="0"/>
                  <w:marTop w:val="0"/>
                  <w:marBottom w:val="0"/>
                  <w:divBdr>
                    <w:top w:val="none" w:sz="0" w:space="0" w:color="auto"/>
                    <w:left w:val="none" w:sz="0" w:space="0" w:color="auto"/>
                    <w:bottom w:val="none" w:sz="0" w:space="0" w:color="auto"/>
                    <w:right w:val="none" w:sz="0" w:space="0" w:color="auto"/>
                  </w:divBdr>
                  <w:divsChild>
                    <w:div w:id="1458598326">
                      <w:marLeft w:val="0"/>
                      <w:marRight w:val="0"/>
                      <w:marTop w:val="0"/>
                      <w:marBottom w:val="0"/>
                      <w:divBdr>
                        <w:top w:val="none" w:sz="0" w:space="0" w:color="auto"/>
                        <w:left w:val="none" w:sz="0" w:space="0" w:color="auto"/>
                        <w:bottom w:val="none" w:sz="0" w:space="0" w:color="auto"/>
                        <w:right w:val="none" w:sz="0" w:space="0" w:color="auto"/>
                      </w:divBdr>
                      <w:divsChild>
                        <w:div w:id="1820806438">
                          <w:marLeft w:val="0"/>
                          <w:marRight w:val="0"/>
                          <w:marTop w:val="0"/>
                          <w:marBottom w:val="0"/>
                          <w:divBdr>
                            <w:top w:val="none" w:sz="0" w:space="0" w:color="auto"/>
                            <w:left w:val="none" w:sz="0" w:space="0" w:color="auto"/>
                            <w:bottom w:val="none" w:sz="0" w:space="0" w:color="auto"/>
                            <w:right w:val="none" w:sz="0" w:space="0" w:color="auto"/>
                          </w:divBdr>
                          <w:divsChild>
                            <w:div w:id="30423474">
                              <w:marLeft w:val="0"/>
                              <w:marRight w:val="0"/>
                              <w:marTop w:val="0"/>
                              <w:marBottom w:val="0"/>
                              <w:divBdr>
                                <w:top w:val="none" w:sz="0" w:space="0" w:color="auto"/>
                                <w:left w:val="none" w:sz="0" w:space="0" w:color="auto"/>
                                <w:bottom w:val="none" w:sz="0" w:space="0" w:color="auto"/>
                                <w:right w:val="none" w:sz="0" w:space="0" w:color="auto"/>
                              </w:divBdr>
                              <w:divsChild>
                                <w:div w:id="458306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776982">
      <w:bodyDiv w:val="1"/>
      <w:marLeft w:val="0"/>
      <w:marRight w:val="0"/>
      <w:marTop w:val="0"/>
      <w:marBottom w:val="0"/>
      <w:divBdr>
        <w:top w:val="none" w:sz="0" w:space="0" w:color="auto"/>
        <w:left w:val="none" w:sz="0" w:space="0" w:color="auto"/>
        <w:bottom w:val="none" w:sz="0" w:space="0" w:color="auto"/>
        <w:right w:val="none" w:sz="0" w:space="0" w:color="auto"/>
      </w:divBdr>
      <w:divsChild>
        <w:div w:id="704908167">
          <w:marLeft w:val="0"/>
          <w:marRight w:val="0"/>
          <w:marTop w:val="0"/>
          <w:marBottom w:val="0"/>
          <w:divBdr>
            <w:top w:val="single" w:sz="2" w:space="0" w:color="E5E7EB"/>
            <w:left w:val="single" w:sz="2" w:space="0" w:color="E5E7EB"/>
            <w:bottom w:val="single" w:sz="2" w:space="0" w:color="E5E7EB"/>
            <w:right w:val="single" w:sz="2" w:space="0" w:color="E5E7EB"/>
          </w:divBdr>
          <w:divsChild>
            <w:div w:id="2071271817">
              <w:marLeft w:val="0"/>
              <w:marRight w:val="0"/>
              <w:marTop w:val="0"/>
              <w:marBottom w:val="0"/>
              <w:divBdr>
                <w:top w:val="single" w:sz="2" w:space="0" w:color="E5E7EB"/>
                <w:left w:val="single" w:sz="2" w:space="0" w:color="E5E7EB"/>
                <w:bottom w:val="single" w:sz="2" w:space="0" w:color="E5E7EB"/>
                <w:right w:val="single" w:sz="2" w:space="0" w:color="E5E7EB"/>
              </w:divBdr>
              <w:divsChild>
                <w:div w:id="1184251508">
                  <w:marLeft w:val="0"/>
                  <w:marRight w:val="0"/>
                  <w:marTop w:val="0"/>
                  <w:marBottom w:val="0"/>
                  <w:divBdr>
                    <w:top w:val="single" w:sz="2" w:space="0" w:color="E5E7EB"/>
                    <w:left w:val="single" w:sz="2" w:space="0" w:color="E5E7EB"/>
                    <w:bottom w:val="single" w:sz="2" w:space="0" w:color="E5E7EB"/>
                    <w:right w:val="single" w:sz="2" w:space="0" w:color="E5E7EB"/>
                  </w:divBdr>
                  <w:divsChild>
                    <w:div w:id="1129670538">
                      <w:marLeft w:val="0"/>
                      <w:marRight w:val="0"/>
                      <w:marTop w:val="0"/>
                      <w:marBottom w:val="0"/>
                      <w:divBdr>
                        <w:top w:val="single" w:sz="2" w:space="0" w:color="E5E7EB"/>
                        <w:left w:val="single" w:sz="2" w:space="0" w:color="E5E7EB"/>
                        <w:bottom w:val="single" w:sz="2" w:space="0" w:color="E5E7EB"/>
                        <w:right w:val="single" w:sz="2" w:space="0" w:color="E5E7EB"/>
                      </w:divBdr>
                      <w:divsChild>
                        <w:div w:id="1053968284">
                          <w:marLeft w:val="0"/>
                          <w:marRight w:val="0"/>
                          <w:marTop w:val="0"/>
                          <w:marBottom w:val="0"/>
                          <w:divBdr>
                            <w:top w:val="single" w:sz="6" w:space="0" w:color="F3F4F6"/>
                            <w:left w:val="single" w:sz="6" w:space="0" w:color="F3F4F6"/>
                            <w:bottom w:val="single" w:sz="6" w:space="0" w:color="F3F4F6"/>
                            <w:right w:val="single" w:sz="6" w:space="0" w:color="F3F4F6"/>
                          </w:divBdr>
                          <w:divsChild>
                            <w:div w:id="12856237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53917988">
          <w:marLeft w:val="0"/>
          <w:marRight w:val="0"/>
          <w:marTop w:val="0"/>
          <w:marBottom w:val="0"/>
          <w:divBdr>
            <w:top w:val="single" w:sz="2" w:space="0" w:color="E5E7EB"/>
            <w:left w:val="single" w:sz="2" w:space="0" w:color="E5E7EB"/>
            <w:bottom w:val="single" w:sz="2" w:space="0" w:color="E5E7EB"/>
            <w:right w:val="single" w:sz="2" w:space="0" w:color="E5E7EB"/>
          </w:divBdr>
          <w:divsChild>
            <w:div w:id="1321076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5160029">
      <w:bodyDiv w:val="1"/>
      <w:marLeft w:val="0"/>
      <w:marRight w:val="0"/>
      <w:marTop w:val="0"/>
      <w:marBottom w:val="0"/>
      <w:divBdr>
        <w:top w:val="none" w:sz="0" w:space="0" w:color="auto"/>
        <w:left w:val="none" w:sz="0" w:space="0" w:color="auto"/>
        <w:bottom w:val="none" w:sz="0" w:space="0" w:color="auto"/>
        <w:right w:val="none" w:sz="0" w:space="0" w:color="auto"/>
      </w:divBdr>
    </w:div>
    <w:div w:id="1312061685">
      <w:bodyDiv w:val="1"/>
      <w:marLeft w:val="0"/>
      <w:marRight w:val="0"/>
      <w:marTop w:val="0"/>
      <w:marBottom w:val="0"/>
      <w:divBdr>
        <w:top w:val="none" w:sz="0" w:space="0" w:color="auto"/>
        <w:left w:val="none" w:sz="0" w:space="0" w:color="auto"/>
        <w:bottom w:val="none" w:sz="0" w:space="0" w:color="auto"/>
        <w:right w:val="none" w:sz="0" w:space="0" w:color="auto"/>
      </w:divBdr>
    </w:div>
    <w:div w:id="1320039128">
      <w:bodyDiv w:val="1"/>
      <w:marLeft w:val="0"/>
      <w:marRight w:val="0"/>
      <w:marTop w:val="0"/>
      <w:marBottom w:val="0"/>
      <w:divBdr>
        <w:top w:val="none" w:sz="0" w:space="0" w:color="auto"/>
        <w:left w:val="none" w:sz="0" w:space="0" w:color="auto"/>
        <w:bottom w:val="none" w:sz="0" w:space="0" w:color="auto"/>
        <w:right w:val="none" w:sz="0" w:space="0" w:color="auto"/>
      </w:divBdr>
      <w:divsChild>
        <w:div w:id="988825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07702">
      <w:bodyDiv w:val="1"/>
      <w:marLeft w:val="0"/>
      <w:marRight w:val="0"/>
      <w:marTop w:val="0"/>
      <w:marBottom w:val="0"/>
      <w:divBdr>
        <w:top w:val="none" w:sz="0" w:space="0" w:color="auto"/>
        <w:left w:val="none" w:sz="0" w:space="0" w:color="auto"/>
        <w:bottom w:val="none" w:sz="0" w:space="0" w:color="auto"/>
        <w:right w:val="none" w:sz="0" w:space="0" w:color="auto"/>
      </w:divBdr>
    </w:div>
    <w:div w:id="1335915509">
      <w:bodyDiv w:val="1"/>
      <w:marLeft w:val="0"/>
      <w:marRight w:val="0"/>
      <w:marTop w:val="0"/>
      <w:marBottom w:val="0"/>
      <w:divBdr>
        <w:top w:val="none" w:sz="0" w:space="0" w:color="auto"/>
        <w:left w:val="none" w:sz="0" w:space="0" w:color="auto"/>
        <w:bottom w:val="none" w:sz="0" w:space="0" w:color="auto"/>
        <w:right w:val="none" w:sz="0" w:space="0" w:color="auto"/>
      </w:divBdr>
    </w:div>
    <w:div w:id="1348674082">
      <w:bodyDiv w:val="1"/>
      <w:marLeft w:val="0"/>
      <w:marRight w:val="0"/>
      <w:marTop w:val="0"/>
      <w:marBottom w:val="0"/>
      <w:divBdr>
        <w:top w:val="none" w:sz="0" w:space="0" w:color="auto"/>
        <w:left w:val="none" w:sz="0" w:space="0" w:color="auto"/>
        <w:bottom w:val="none" w:sz="0" w:space="0" w:color="auto"/>
        <w:right w:val="none" w:sz="0" w:space="0" w:color="auto"/>
      </w:divBdr>
    </w:div>
    <w:div w:id="1352561244">
      <w:bodyDiv w:val="1"/>
      <w:marLeft w:val="0"/>
      <w:marRight w:val="0"/>
      <w:marTop w:val="0"/>
      <w:marBottom w:val="0"/>
      <w:divBdr>
        <w:top w:val="none" w:sz="0" w:space="0" w:color="auto"/>
        <w:left w:val="none" w:sz="0" w:space="0" w:color="auto"/>
        <w:bottom w:val="none" w:sz="0" w:space="0" w:color="auto"/>
        <w:right w:val="none" w:sz="0" w:space="0" w:color="auto"/>
      </w:divBdr>
    </w:div>
    <w:div w:id="1357846851">
      <w:bodyDiv w:val="1"/>
      <w:marLeft w:val="0"/>
      <w:marRight w:val="0"/>
      <w:marTop w:val="0"/>
      <w:marBottom w:val="0"/>
      <w:divBdr>
        <w:top w:val="none" w:sz="0" w:space="0" w:color="auto"/>
        <w:left w:val="none" w:sz="0" w:space="0" w:color="auto"/>
        <w:bottom w:val="none" w:sz="0" w:space="0" w:color="auto"/>
        <w:right w:val="none" w:sz="0" w:space="0" w:color="auto"/>
      </w:divBdr>
    </w:div>
    <w:div w:id="1400668117">
      <w:bodyDiv w:val="1"/>
      <w:marLeft w:val="0"/>
      <w:marRight w:val="0"/>
      <w:marTop w:val="0"/>
      <w:marBottom w:val="0"/>
      <w:divBdr>
        <w:top w:val="none" w:sz="0" w:space="0" w:color="auto"/>
        <w:left w:val="none" w:sz="0" w:space="0" w:color="auto"/>
        <w:bottom w:val="none" w:sz="0" w:space="0" w:color="auto"/>
        <w:right w:val="none" w:sz="0" w:space="0" w:color="auto"/>
      </w:divBdr>
    </w:div>
    <w:div w:id="1417819217">
      <w:bodyDiv w:val="1"/>
      <w:marLeft w:val="0"/>
      <w:marRight w:val="0"/>
      <w:marTop w:val="0"/>
      <w:marBottom w:val="0"/>
      <w:divBdr>
        <w:top w:val="none" w:sz="0" w:space="0" w:color="auto"/>
        <w:left w:val="none" w:sz="0" w:space="0" w:color="auto"/>
        <w:bottom w:val="none" w:sz="0" w:space="0" w:color="auto"/>
        <w:right w:val="none" w:sz="0" w:space="0" w:color="auto"/>
      </w:divBdr>
    </w:div>
    <w:div w:id="1425540283">
      <w:bodyDiv w:val="1"/>
      <w:marLeft w:val="0"/>
      <w:marRight w:val="0"/>
      <w:marTop w:val="0"/>
      <w:marBottom w:val="0"/>
      <w:divBdr>
        <w:top w:val="none" w:sz="0" w:space="0" w:color="auto"/>
        <w:left w:val="none" w:sz="0" w:space="0" w:color="auto"/>
        <w:bottom w:val="none" w:sz="0" w:space="0" w:color="auto"/>
        <w:right w:val="none" w:sz="0" w:space="0" w:color="auto"/>
      </w:divBdr>
    </w:div>
    <w:div w:id="1427530467">
      <w:bodyDiv w:val="1"/>
      <w:marLeft w:val="0"/>
      <w:marRight w:val="0"/>
      <w:marTop w:val="0"/>
      <w:marBottom w:val="0"/>
      <w:divBdr>
        <w:top w:val="none" w:sz="0" w:space="0" w:color="auto"/>
        <w:left w:val="none" w:sz="0" w:space="0" w:color="auto"/>
        <w:bottom w:val="none" w:sz="0" w:space="0" w:color="auto"/>
        <w:right w:val="none" w:sz="0" w:space="0" w:color="auto"/>
      </w:divBdr>
      <w:divsChild>
        <w:div w:id="558126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8114158">
      <w:bodyDiv w:val="1"/>
      <w:marLeft w:val="0"/>
      <w:marRight w:val="0"/>
      <w:marTop w:val="0"/>
      <w:marBottom w:val="0"/>
      <w:divBdr>
        <w:top w:val="none" w:sz="0" w:space="0" w:color="auto"/>
        <w:left w:val="none" w:sz="0" w:space="0" w:color="auto"/>
        <w:bottom w:val="none" w:sz="0" w:space="0" w:color="auto"/>
        <w:right w:val="none" w:sz="0" w:space="0" w:color="auto"/>
      </w:divBdr>
    </w:div>
    <w:div w:id="1480923809">
      <w:bodyDiv w:val="1"/>
      <w:marLeft w:val="0"/>
      <w:marRight w:val="0"/>
      <w:marTop w:val="0"/>
      <w:marBottom w:val="0"/>
      <w:divBdr>
        <w:top w:val="none" w:sz="0" w:space="0" w:color="auto"/>
        <w:left w:val="none" w:sz="0" w:space="0" w:color="auto"/>
        <w:bottom w:val="none" w:sz="0" w:space="0" w:color="auto"/>
        <w:right w:val="none" w:sz="0" w:space="0" w:color="auto"/>
      </w:divBdr>
    </w:div>
    <w:div w:id="1484470799">
      <w:bodyDiv w:val="1"/>
      <w:marLeft w:val="0"/>
      <w:marRight w:val="0"/>
      <w:marTop w:val="0"/>
      <w:marBottom w:val="0"/>
      <w:divBdr>
        <w:top w:val="none" w:sz="0" w:space="0" w:color="auto"/>
        <w:left w:val="none" w:sz="0" w:space="0" w:color="auto"/>
        <w:bottom w:val="none" w:sz="0" w:space="0" w:color="auto"/>
        <w:right w:val="none" w:sz="0" w:space="0" w:color="auto"/>
      </w:divBdr>
      <w:divsChild>
        <w:div w:id="1190676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986882">
      <w:bodyDiv w:val="1"/>
      <w:marLeft w:val="0"/>
      <w:marRight w:val="0"/>
      <w:marTop w:val="0"/>
      <w:marBottom w:val="0"/>
      <w:divBdr>
        <w:top w:val="none" w:sz="0" w:space="0" w:color="auto"/>
        <w:left w:val="none" w:sz="0" w:space="0" w:color="auto"/>
        <w:bottom w:val="none" w:sz="0" w:space="0" w:color="auto"/>
        <w:right w:val="none" w:sz="0" w:space="0" w:color="auto"/>
      </w:divBdr>
      <w:divsChild>
        <w:div w:id="920599151">
          <w:marLeft w:val="0"/>
          <w:marRight w:val="0"/>
          <w:marTop w:val="0"/>
          <w:marBottom w:val="0"/>
          <w:divBdr>
            <w:top w:val="single" w:sz="2" w:space="0" w:color="E5E7EB"/>
            <w:left w:val="single" w:sz="2" w:space="0" w:color="E5E7EB"/>
            <w:bottom w:val="single" w:sz="2" w:space="0" w:color="E5E7EB"/>
            <w:right w:val="single" w:sz="2" w:space="0" w:color="E5E7EB"/>
          </w:divBdr>
          <w:divsChild>
            <w:div w:id="297610701">
              <w:marLeft w:val="0"/>
              <w:marRight w:val="0"/>
              <w:marTop w:val="0"/>
              <w:marBottom w:val="0"/>
              <w:divBdr>
                <w:top w:val="single" w:sz="2" w:space="0" w:color="E5E7EB"/>
                <w:left w:val="single" w:sz="2" w:space="0" w:color="E5E7EB"/>
                <w:bottom w:val="single" w:sz="2" w:space="0" w:color="E5E7EB"/>
                <w:right w:val="single" w:sz="2" w:space="0" w:color="E5E7EB"/>
              </w:divBdr>
              <w:divsChild>
                <w:div w:id="13264807">
                  <w:marLeft w:val="0"/>
                  <w:marRight w:val="0"/>
                  <w:marTop w:val="0"/>
                  <w:marBottom w:val="0"/>
                  <w:divBdr>
                    <w:top w:val="single" w:sz="2" w:space="0" w:color="E5E7EB"/>
                    <w:left w:val="single" w:sz="2" w:space="0" w:color="E5E7EB"/>
                    <w:bottom w:val="single" w:sz="2" w:space="0" w:color="E5E7EB"/>
                    <w:right w:val="single" w:sz="2" w:space="0" w:color="E5E7EB"/>
                  </w:divBdr>
                  <w:divsChild>
                    <w:div w:id="36664171">
                      <w:marLeft w:val="0"/>
                      <w:marRight w:val="0"/>
                      <w:marTop w:val="0"/>
                      <w:marBottom w:val="0"/>
                      <w:divBdr>
                        <w:top w:val="single" w:sz="2" w:space="0" w:color="E5E7EB"/>
                        <w:left w:val="single" w:sz="2" w:space="0" w:color="E5E7EB"/>
                        <w:bottom w:val="single" w:sz="2" w:space="0" w:color="E5E7EB"/>
                        <w:right w:val="single" w:sz="2" w:space="0" w:color="E5E7EB"/>
                      </w:divBdr>
                      <w:divsChild>
                        <w:div w:id="1514303719">
                          <w:marLeft w:val="0"/>
                          <w:marRight w:val="0"/>
                          <w:marTop w:val="0"/>
                          <w:marBottom w:val="0"/>
                          <w:divBdr>
                            <w:top w:val="single" w:sz="6" w:space="0" w:color="F3F4F6"/>
                            <w:left w:val="single" w:sz="6" w:space="0" w:color="F3F4F6"/>
                            <w:bottom w:val="single" w:sz="6" w:space="0" w:color="F3F4F6"/>
                            <w:right w:val="single" w:sz="6" w:space="0" w:color="F3F4F6"/>
                          </w:divBdr>
                          <w:divsChild>
                            <w:div w:id="17419032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34516413">
          <w:marLeft w:val="0"/>
          <w:marRight w:val="0"/>
          <w:marTop w:val="0"/>
          <w:marBottom w:val="0"/>
          <w:divBdr>
            <w:top w:val="single" w:sz="2" w:space="0" w:color="E5E7EB"/>
            <w:left w:val="single" w:sz="2" w:space="0" w:color="E5E7EB"/>
            <w:bottom w:val="single" w:sz="2" w:space="0" w:color="E5E7EB"/>
            <w:right w:val="single" w:sz="2" w:space="0" w:color="E5E7EB"/>
          </w:divBdr>
          <w:divsChild>
            <w:div w:id="1296136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6697695">
      <w:bodyDiv w:val="1"/>
      <w:marLeft w:val="0"/>
      <w:marRight w:val="0"/>
      <w:marTop w:val="0"/>
      <w:marBottom w:val="0"/>
      <w:divBdr>
        <w:top w:val="none" w:sz="0" w:space="0" w:color="auto"/>
        <w:left w:val="none" w:sz="0" w:space="0" w:color="auto"/>
        <w:bottom w:val="none" w:sz="0" w:space="0" w:color="auto"/>
        <w:right w:val="none" w:sz="0" w:space="0" w:color="auto"/>
      </w:divBdr>
    </w:div>
    <w:div w:id="1549604281">
      <w:bodyDiv w:val="1"/>
      <w:marLeft w:val="0"/>
      <w:marRight w:val="0"/>
      <w:marTop w:val="0"/>
      <w:marBottom w:val="0"/>
      <w:divBdr>
        <w:top w:val="none" w:sz="0" w:space="0" w:color="auto"/>
        <w:left w:val="none" w:sz="0" w:space="0" w:color="auto"/>
        <w:bottom w:val="none" w:sz="0" w:space="0" w:color="auto"/>
        <w:right w:val="none" w:sz="0" w:space="0" w:color="auto"/>
      </w:divBdr>
    </w:div>
    <w:div w:id="1550343040">
      <w:bodyDiv w:val="1"/>
      <w:marLeft w:val="0"/>
      <w:marRight w:val="0"/>
      <w:marTop w:val="0"/>
      <w:marBottom w:val="0"/>
      <w:divBdr>
        <w:top w:val="none" w:sz="0" w:space="0" w:color="auto"/>
        <w:left w:val="none" w:sz="0" w:space="0" w:color="auto"/>
        <w:bottom w:val="none" w:sz="0" w:space="0" w:color="auto"/>
        <w:right w:val="none" w:sz="0" w:space="0" w:color="auto"/>
      </w:divBdr>
    </w:div>
    <w:div w:id="1560943883">
      <w:bodyDiv w:val="1"/>
      <w:marLeft w:val="0"/>
      <w:marRight w:val="0"/>
      <w:marTop w:val="0"/>
      <w:marBottom w:val="0"/>
      <w:divBdr>
        <w:top w:val="none" w:sz="0" w:space="0" w:color="auto"/>
        <w:left w:val="none" w:sz="0" w:space="0" w:color="auto"/>
        <w:bottom w:val="none" w:sz="0" w:space="0" w:color="auto"/>
        <w:right w:val="none" w:sz="0" w:space="0" w:color="auto"/>
      </w:divBdr>
      <w:divsChild>
        <w:div w:id="1625236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8682424">
      <w:bodyDiv w:val="1"/>
      <w:marLeft w:val="0"/>
      <w:marRight w:val="0"/>
      <w:marTop w:val="0"/>
      <w:marBottom w:val="0"/>
      <w:divBdr>
        <w:top w:val="none" w:sz="0" w:space="0" w:color="auto"/>
        <w:left w:val="none" w:sz="0" w:space="0" w:color="auto"/>
        <w:bottom w:val="none" w:sz="0" w:space="0" w:color="auto"/>
        <w:right w:val="none" w:sz="0" w:space="0" w:color="auto"/>
      </w:divBdr>
    </w:div>
    <w:div w:id="1578057510">
      <w:bodyDiv w:val="1"/>
      <w:marLeft w:val="0"/>
      <w:marRight w:val="0"/>
      <w:marTop w:val="0"/>
      <w:marBottom w:val="0"/>
      <w:divBdr>
        <w:top w:val="none" w:sz="0" w:space="0" w:color="auto"/>
        <w:left w:val="none" w:sz="0" w:space="0" w:color="auto"/>
        <w:bottom w:val="none" w:sz="0" w:space="0" w:color="auto"/>
        <w:right w:val="none" w:sz="0" w:space="0" w:color="auto"/>
      </w:divBdr>
      <w:divsChild>
        <w:div w:id="663365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554526">
      <w:bodyDiv w:val="1"/>
      <w:marLeft w:val="0"/>
      <w:marRight w:val="0"/>
      <w:marTop w:val="0"/>
      <w:marBottom w:val="0"/>
      <w:divBdr>
        <w:top w:val="none" w:sz="0" w:space="0" w:color="auto"/>
        <w:left w:val="none" w:sz="0" w:space="0" w:color="auto"/>
        <w:bottom w:val="none" w:sz="0" w:space="0" w:color="auto"/>
        <w:right w:val="none" w:sz="0" w:space="0" w:color="auto"/>
      </w:divBdr>
    </w:div>
    <w:div w:id="1583641477">
      <w:bodyDiv w:val="1"/>
      <w:marLeft w:val="0"/>
      <w:marRight w:val="0"/>
      <w:marTop w:val="0"/>
      <w:marBottom w:val="0"/>
      <w:divBdr>
        <w:top w:val="none" w:sz="0" w:space="0" w:color="auto"/>
        <w:left w:val="none" w:sz="0" w:space="0" w:color="auto"/>
        <w:bottom w:val="none" w:sz="0" w:space="0" w:color="auto"/>
        <w:right w:val="none" w:sz="0" w:space="0" w:color="auto"/>
      </w:divBdr>
    </w:div>
    <w:div w:id="1601065408">
      <w:bodyDiv w:val="1"/>
      <w:marLeft w:val="0"/>
      <w:marRight w:val="0"/>
      <w:marTop w:val="0"/>
      <w:marBottom w:val="0"/>
      <w:divBdr>
        <w:top w:val="none" w:sz="0" w:space="0" w:color="auto"/>
        <w:left w:val="none" w:sz="0" w:space="0" w:color="auto"/>
        <w:bottom w:val="none" w:sz="0" w:space="0" w:color="auto"/>
        <w:right w:val="none" w:sz="0" w:space="0" w:color="auto"/>
      </w:divBdr>
    </w:div>
    <w:div w:id="1602181470">
      <w:bodyDiv w:val="1"/>
      <w:marLeft w:val="0"/>
      <w:marRight w:val="0"/>
      <w:marTop w:val="0"/>
      <w:marBottom w:val="0"/>
      <w:divBdr>
        <w:top w:val="none" w:sz="0" w:space="0" w:color="auto"/>
        <w:left w:val="none" w:sz="0" w:space="0" w:color="auto"/>
        <w:bottom w:val="none" w:sz="0" w:space="0" w:color="auto"/>
        <w:right w:val="none" w:sz="0" w:space="0" w:color="auto"/>
      </w:divBdr>
      <w:divsChild>
        <w:div w:id="815491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204104">
      <w:bodyDiv w:val="1"/>
      <w:marLeft w:val="0"/>
      <w:marRight w:val="0"/>
      <w:marTop w:val="0"/>
      <w:marBottom w:val="0"/>
      <w:divBdr>
        <w:top w:val="none" w:sz="0" w:space="0" w:color="auto"/>
        <w:left w:val="none" w:sz="0" w:space="0" w:color="auto"/>
        <w:bottom w:val="none" w:sz="0" w:space="0" w:color="auto"/>
        <w:right w:val="none" w:sz="0" w:space="0" w:color="auto"/>
      </w:divBdr>
      <w:divsChild>
        <w:div w:id="1179270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605294">
      <w:bodyDiv w:val="1"/>
      <w:marLeft w:val="0"/>
      <w:marRight w:val="0"/>
      <w:marTop w:val="0"/>
      <w:marBottom w:val="0"/>
      <w:divBdr>
        <w:top w:val="none" w:sz="0" w:space="0" w:color="auto"/>
        <w:left w:val="none" w:sz="0" w:space="0" w:color="auto"/>
        <w:bottom w:val="none" w:sz="0" w:space="0" w:color="auto"/>
        <w:right w:val="none" w:sz="0" w:space="0" w:color="auto"/>
      </w:divBdr>
    </w:div>
    <w:div w:id="1647002848">
      <w:bodyDiv w:val="1"/>
      <w:marLeft w:val="0"/>
      <w:marRight w:val="0"/>
      <w:marTop w:val="0"/>
      <w:marBottom w:val="0"/>
      <w:divBdr>
        <w:top w:val="none" w:sz="0" w:space="0" w:color="auto"/>
        <w:left w:val="none" w:sz="0" w:space="0" w:color="auto"/>
        <w:bottom w:val="none" w:sz="0" w:space="0" w:color="auto"/>
        <w:right w:val="none" w:sz="0" w:space="0" w:color="auto"/>
      </w:divBdr>
    </w:div>
    <w:div w:id="1650094790">
      <w:bodyDiv w:val="1"/>
      <w:marLeft w:val="0"/>
      <w:marRight w:val="0"/>
      <w:marTop w:val="0"/>
      <w:marBottom w:val="0"/>
      <w:divBdr>
        <w:top w:val="none" w:sz="0" w:space="0" w:color="auto"/>
        <w:left w:val="none" w:sz="0" w:space="0" w:color="auto"/>
        <w:bottom w:val="none" w:sz="0" w:space="0" w:color="auto"/>
        <w:right w:val="none" w:sz="0" w:space="0" w:color="auto"/>
      </w:divBdr>
    </w:div>
    <w:div w:id="1657958235">
      <w:bodyDiv w:val="1"/>
      <w:marLeft w:val="0"/>
      <w:marRight w:val="0"/>
      <w:marTop w:val="0"/>
      <w:marBottom w:val="0"/>
      <w:divBdr>
        <w:top w:val="none" w:sz="0" w:space="0" w:color="auto"/>
        <w:left w:val="none" w:sz="0" w:space="0" w:color="auto"/>
        <w:bottom w:val="none" w:sz="0" w:space="0" w:color="auto"/>
        <w:right w:val="none" w:sz="0" w:space="0" w:color="auto"/>
      </w:divBdr>
      <w:divsChild>
        <w:div w:id="203256551">
          <w:marLeft w:val="0"/>
          <w:marRight w:val="0"/>
          <w:marTop w:val="0"/>
          <w:marBottom w:val="0"/>
          <w:divBdr>
            <w:top w:val="none" w:sz="0" w:space="0" w:color="auto"/>
            <w:left w:val="none" w:sz="0" w:space="0" w:color="auto"/>
            <w:bottom w:val="none" w:sz="0" w:space="0" w:color="auto"/>
            <w:right w:val="none" w:sz="0" w:space="0" w:color="auto"/>
          </w:divBdr>
          <w:divsChild>
            <w:div w:id="1378160197">
              <w:marLeft w:val="0"/>
              <w:marRight w:val="0"/>
              <w:marTop w:val="0"/>
              <w:marBottom w:val="0"/>
              <w:divBdr>
                <w:top w:val="none" w:sz="0" w:space="0" w:color="auto"/>
                <w:left w:val="none" w:sz="0" w:space="0" w:color="auto"/>
                <w:bottom w:val="none" w:sz="0" w:space="0" w:color="auto"/>
                <w:right w:val="none" w:sz="0" w:space="0" w:color="auto"/>
              </w:divBdr>
            </w:div>
          </w:divsChild>
        </w:div>
        <w:div w:id="1209150313">
          <w:marLeft w:val="0"/>
          <w:marRight w:val="0"/>
          <w:marTop w:val="0"/>
          <w:marBottom w:val="0"/>
          <w:divBdr>
            <w:top w:val="none" w:sz="0" w:space="0" w:color="auto"/>
            <w:left w:val="none" w:sz="0" w:space="0" w:color="auto"/>
            <w:bottom w:val="none" w:sz="0" w:space="0" w:color="auto"/>
            <w:right w:val="none" w:sz="0" w:space="0" w:color="auto"/>
          </w:divBdr>
          <w:divsChild>
            <w:div w:id="341587911">
              <w:marLeft w:val="0"/>
              <w:marRight w:val="0"/>
              <w:marTop w:val="0"/>
              <w:marBottom w:val="0"/>
              <w:divBdr>
                <w:top w:val="none" w:sz="0" w:space="0" w:color="auto"/>
                <w:left w:val="none" w:sz="0" w:space="0" w:color="auto"/>
                <w:bottom w:val="none" w:sz="0" w:space="0" w:color="auto"/>
                <w:right w:val="none" w:sz="0" w:space="0" w:color="auto"/>
              </w:divBdr>
              <w:divsChild>
                <w:div w:id="1691377181">
                  <w:marLeft w:val="0"/>
                  <w:marRight w:val="0"/>
                  <w:marTop w:val="0"/>
                  <w:marBottom w:val="0"/>
                  <w:divBdr>
                    <w:top w:val="none" w:sz="0" w:space="0" w:color="auto"/>
                    <w:left w:val="none" w:sz="0" w:space="0" w:color="auto"/>
                    <w:bottom w:val="none" w:sz="0" w:space="0" w:color="auto"/>
                    <w:right w:val="none" w:sz="0" w:space="0" w:color="auto"/>
                  </w:divBdr>
                  <w:divsChild>
                    <w:div w:id="251159545">
                      <w:marLeft w:val="0"/>
                      <w:marRight w:val="0"/>
                      <w:marTop w:val="0"/>
                      <w:marBottom w:val="0"/>
                      <w:divBdr>
                        <w:top w:val="none" w:sz="0" w:space="0" w:color="auto"/>
                        <w:left w:val="none" w:sz="0" w:space="0" w:color="auto"/>
                        <w:bottom w:val="none" w:sz="0" w:space="0" w:color="auto"/>
                        <w:right w:val="none" w:sz="0" w:space="0" w:color="auto"/>
                      </w:divBdr>
                      <w:divsChild>
                        <w:div w:id="10407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9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0318">
      <w:bodyDiv w:val="1"/>
      <w:marLeft w:val="0"/>
      <w:marRight w:val="0"/>
      <w:marTop w:val="0"/>
      <w:marBottom w:val="0"/>
      <w:divBdr>
        <w:top w:val="none" w:sz="0" w:space="0" w:color="auto"/>
        <w:left w:val="none" w:sz="0" w:space="0" w:color="auto"/>
        <w:bottom w:val="none" w:sz="0" w:space="0" w:color="auto"/>
        <w:right w:val="none" w:sz="0" w:space="0" w:color="auto"/>
      </w:divBdr>
    </w:div>
    <w:div w:id="1693723805">
      <w:bodyDiv w:val="1"/>
      <w:marLeft w:val="0"/>
      <w:marRight w:val="0"/>
      <w:marTop w:val="0"/>
      <w:marBottom w:val="0"/>
      <w:divBdr>
        <w:top w:val="none" w:sz="0" w:space="0" w:color="auto"/>
        <w:left w:val="none" w:sz="0" w:space="0" w:color="auto"/>
        <w:bottom w:val="none" w:sz="0" w:space="0" w:color="auto"/>
        <w:right w:val="none" w:sz="0" w:space="0" w:color="auto"/>
      </w:divBdr>
    </w:div>
    <w:div w:id="1694308563">
      <w:bodyDiv w:val="1"/>
      <w:marLeft w:val="0"/>
      <w:marRight w:val="0"/>
      <w:marTop w:val="0"/>
      <w:marBottom w:val="0"/>
      <w:divBdr>
        <w:top w:val="none" w:sz="0" w:space="0" w:color="auto"/>
        <w:left w:val="none" w:sz="0" w:space="0" w:color="auto"/>
        <w:bottom w:val="none" w:sz="0" w:space="0" w:color="auto"/>
        <w:right w:val="none" w:sz="0" w:space="0" w:color="auto"/>
      </w:divBdr>
    </w:div>
    <w:div w:id="1701390654">
      <w:bodyDiv w:val="1"/>
      <w:marLeft w:val="0"/>
      <w:marRight w:val="0"/>
      <w:marTop w:val="0"/>
      <w:marBottom w:val="0"/>
      <w:divBdr>
        <w:top w:val="none" w:sz="0" w:space="0" w:color="auto"/>
        <w:left w:val="none" w:sz="0" w:space="0" w:color="auto"/>
        <w:bottom w:val="none" w:sz="0" w:space="0" w:color="auto"/>
        <w:right w:val="none" w:sz="0" w:space="0" w:color="auto"/>
      </w:divBdr>
    </w:div>
    <w:div w:id="1704596942">
      <w:bodyDiv w:val="1"/>
      <w:marLeft w:val="0"/>
      <w:marRight w:val="0"/>
      <w:marTop w:val="0"/>
      <w:marBottom w:val="0"/>
      <w:divBdr>
        <w:top w:val="none" w:sz="0" w:space="0" w:color="auto"/>
        <w:left w:val="none" w:sz="0" w:space="0" w:color="auto"/>
        <w:bottom w:val="none" w:sz="0" w:space="0" w:color="auto"/>
        <w:right w:val="none" w:sz="0" w:space="0" w:color="auto"/>
      </w:divBdr>
    </w:div>
    <w:div w:id="1710302577">
      <w:bodyDiv w:val="1"/>
      <w:marLeft w:val="0"/>
      <w:marRight w:val="0"/>
      <w:marTop w:val="0"/>
      <w:marBottom w:val="0"/>
      <w:divBdr>
        <w:top w:val="none" w:sz="0" w:space="0" w:color="auto"/>
        <w:left w:val="none" w:sz="0" w:space="0" w:color="auto"/>
        <w:bottom w:val="none" w:sz="0" w:space="0" w:color="auto"/>
        <w:right w:val="none" w:sz="0" w:space="0" w:color="auto"/>
      </w:divBdr>
      <w:divsChild>
        <w:div w:id="1907691243">
          <w:marLeft w:val="0"/>
          <w:marRight w:val="0"/>
          <w:marTop w:val="0"/>
          <w:marBottom w:val="0"/>
          <w:divBdr>
            <w:top w:val="single" w:sz="2" w:space="0" w:color="E5E7EB"/>
            <w:left w:val="single" w:sz="2" w:space="0" w:color="E5E7EB"/>
            <w:bottom w:val="single" w:sz="2" w:space="0" w:color="E5E7EB"/>
            <w:right w:val="single" w:sz="2" w:space="0" w:color="E5E7EB"/>
          </w:divBdr>
          <w:divsChild>
            <w:div w:id="16934175">
              <w:marLeft w:val="0"/>
              <w:marRight w:val="0"/>
              <w:marTop w:val="0"/>
              <w:marBottom w:val="0"/>
              <w:divBdr>
                <w:top w:val="single" w:sz="2" w:space="0" w:color="E5E7EB"/>
                <w:left w:val="single" w:sz="2" w:space="0" w:color="E5E7EB"/>
                <w:bottom w:val="single" w:sz="2" w:space="0" w:color="E5E7EB"/>
                <w:right w:val="single" w:sz="2" w:space="0" w:color="E5E7EB"/>
              </w:divBdr>
              <w:divsChild>
                <w:div w:id="1023749927">
                  <w:marLeft w:val="0"/>
                  <w:marRight w:val="0"/>
                  <w:marTop w:val="0"/>
                  <w:marBottom w:val="0"/>
                  <w:divBdr>
                    <w:top w:val="single" w:sz="2" w:space="0" w:color="E5E7EB"/>
                    <w:left w:val="single" w:sz="2" w:space="0" w:color="E5E7EB"/>
                    <w:bottom w:val="single" w:sz="2" w:space="0" w:color="E5E7EB"/>
                    <w:right w:val="single" w:sz="2" w:space="0" w:color="E5E7EB"/>
                  </w:divBdr>
                  <w:divsChild>
                    <w:div w:id="1475836521">
                      <w:marLeft w:val="0"/>
                      <w:marRight w:val="0"/>
                      <w:marTop w:val="0"/>
                      <w:marBottom w:val="0"/>
                      <w:divBdr>
                        <w:top w:val="single" w:sz="2" w:space="0" w:color="E5E7EB"/>
                        <w:left w:val="single" w:sz="2" w:space="0" w:color="E5E7EB"/>
                        <w:bottom w:val="single" w:sz="2" w:space="0" w:color="E5E7EB"/>
                        <w:right w:val="single" w:sz="2" w:space="0" w:color="E5E7EB"/>
                      </w:divBdr>
                      <w:divsChild>
                        <w:div w:id="1056201269">
                          <w:marLeft w:val="0"/>
                          <w:marRight w:val="0"/>
                          <w:marTop w:val="0"/>
                          <w:marBottom w:val="0"/>
                          <w:divBdr>
                            <w:top w:val="single" w:sz="6" w:space="0" w:color="F3F4F6"/>
                            <w:left w:val="single" w:sz="6" w:space="0" w:color="F3F4F6"/>
                            <w:bottom w:val="single" w:sz="6" w:space="0" w:color="F3F4F6"/>
                            <w:right w:val="single" w:sz="6" w:space="0" w:color="F3F4F6"/>
                          </w:divBdr>
                          <w:divsChild>
                            <w:div w:id="783040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43257990">
          <w:marLeft w:val="0"/>
          <w:marRight w:val="0"/>
          <w:marTop w:val="0"/>
          <w:marBottom w:val="0"/>
          <w:divBdr>
            <w:top w:val="single" w:sz="2" w:space="0" w:color="E5E7EB"/>
            <w:left w:val="single" w:sz="2" w:space="0" w:color="E5E7EB"/>
            <w:bottom w:val="single" w:sz="2" w:space="0" w:color="E5E7EB"/>
            <w:right w:val="single" w:sz="2" w:space="0" w:color="E5E7EB"/>
          </w:divBdr>
          <w:divsChild>
            <w:div w:id="1274171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7023425">
      <w:bodyDiv w:val="1"/>
      <w:marLeft w:val="0"/>
      <w:marRight w:val="0"/>
      <w:marTop w:val="0"/>
      <w:marBottom w:val="0"/>
      <w:divBdr>
        <w:top w:val="none" w:sz="0" w:space="0" w:color="auto"/>
        <w:left w:val="none" w:sz="0" w:space="0" w:color="auto"/>
        <w:bottom w:val="none" w:sz="0" w:space="0" w:color="auto"/>
        <w:right w:val="none" w:sz="0" w:space="0" w:color="auto"/>
      </w:divBdr>
      <w:divsChild>
        <w:div w:id="1345782278">
          <w:marLeft w:val="0"/>
          <w:marRight w:val="0"/>
          <w:marTop w:val="0"/>
          <w:marBottom w:val="0"/>
          <w:divBdr>
            <w:top w:val="none" w:sz="0" w:space="0" w:color="auto"/>
            <w:left w:val="none" w:sz="0" w:space="0" w:color="auto"/>
            <w:bottom w:val="none" w:sz="0" w:space="0" w:color="auto"/>
            <w:right w:val="none" w:sz="0" w:space="0" w:color="auto"/>
          </w:divBdr>
        </w:div>
        <w:div w:id="1532760622">
          <w:marLeft w:val="0"/>
          <w:marRight w:val="0"/>
          <w:marTop w:val="0"/>
          <w:marBottom w:val="0"/>
          <w:divBdr>
            <w:top w:val="none" w:sz="0" w:space="0" w:color="auto"/>
            <w:left w:val="none" w:sz="0" w:space="0" w:color="auto"/>
            <w:bottom w:val="none" w:sz="0" w:space="0" w:color="auto"/>
            <w:right w:val="none" w:sz="0" w:space="0" w:color="auto"/>
          </w:divBdr>
          <w:divsChild>
            <w:div w:id="599527834">
              <w:marLeft w:val="0"/>
              <w:marRight w:val="0"/>
              <w:marTop w:val="0"/>
              <w:marBottom w:val="0"/>
              <w:divBdr>
                <w:top w:val="none" w:sz="0" w:space="0" w:color="auto"/>
                <w:left w:val="none" w:sz="0" w:space="0" w:color="auto"/>
                <w:bottom w:val="none" w:sz="0" w:space="0" w:color="auto"/>
                <w:right w:val="none" w:sz="0" w:space="0" w:color="auto"/>
              </w:divBdr>
            </w:div>
          </w:divsChild>
        </w:div>
        <w:div w:id="557202386">
          <w:marLeft w:val="0"/>
          <w:marRight w:val="0"/>
          <w:marTop w:val="0"/>
          <w:marBottom w:val="0"/>
          <w:divBdr>
            <w:top w:val="none" w:sz="0" w:space="0" w:color="auto"/>
            <w:left w:val="none" w:sz="0" w:space="0" w:color="auto"/>
            <w:bottom w:val="none" w:sz="0" w:space="0" w:color="auto"/>
            <w:right w:val="none" w:sz="0" w:space="0" w:color="auto"/>
          </w:divBdr>
          <w:divsChild>
            <w:div w:id="1294826102">
              <w:marLeft w:val="0"/>
              <w:marRight w:val="0"/>
              <w:marTop w:val="0"/>
              <w:marBottom w:val="0"/>
              <w:divBdr>
                <w:top w:val="none" w:sz="0" w:space="0" w:color="auto"/>
                <w:left w:val="none" w:sz="0" w:space="0" w:color="auto"/>
                <w:bottom w:val="none" w:sz="0" w:space="0" w:color="auto"/>
                <w:right w:val="none" w:sz="0" w:space="0" w:color="auto"/>
              </w:divBdr>
            </w:div>
          </w:divsChild>
        </w:div>
        <w:div w:id="1119951563">
          <w:marLeft w:val="0"/>
          <w:marRight w:val="0"/>
          <w:marTop w:val="0"/>
          <w:marBottom w:val="0"/>
          <w:divBdr>
            <w:top w:val="none" w:sz="0" w:space="0" w:color="auto"/>
            <w:left w:val="none" w:sz="0" w:space="0" w:color="auto"/>
            <w:bottom w:val="none" w:sz="0" w:space="0" w:color="auto"/>
            <w:right w:val="none" w:sz="0" w:space="0" w:color="auto"/>
          </w:divBdr>
          <w:divsChild>
            <w:div w:id="738595893">
              <w:marLeft w:val="0"/>
              <w:marRight w:val="0"/>
              <w:marTop w:val="0"/>
              <w:marBottom w:val="0"/>
              <w:divBdr>
                <w:top w:val="none" w:sz="0" w:space="0" w:color="auto"/>
                <w:left w:val="none" w:sz="0" w:space="0" w:color="auto"/>
                <w:bottom w:val="none" w:sz="0" w:space="0" w:color="auto"/>
                <w:right w:val="none" w:sz="0" w:space="0" w:color="auto"/>
              </w:divBdr>
            </w:div>
          </w:divsChild>
        </w:div>
        <w:div w:id="336226095">
          <w:marLeft w:val="0"/>
          <w:marRight w:val="0"/>
          <w:marTop w:val="0"/>
          <w:marBottom w:val="0"/>
          <w:divBdr>
            <w:top w:val="none" w:sz="0" w:space="0" w:color="auto"/>
            <w:left w:val="none" w:sz="0" w:space="0" w:color="auto"/>
            <w:bottom w:val="none" w:sz="0" w:space="0" w:color="auto"/>
            <w:right w:val="none" w:sz="0" w:space="0" w:color="auto"/>
          </w:divBdr>
          <w:divsChild>
            <w:div w:id="1051808441">
              <w:marLeft w:val="0"/>
              <w:marRight w:val="0"/>
              <w:marTop w:val="0"/>
              <w:marBottom w:val="0"/>
              <w:divBdr>
                <w:top w:val="none" w:sz="0" w:space="0" w:color="auto"/>
                <w:left w:val="none" w:sz="0" w:space="0" w:color="auto"/>
                <w:bottom w:val="none" w:sz="0" w:space="0" w:color="auto"/>
                <w:right w:val="none" w:sz="0" w:space="0" w:color="auto"/>
              </w:divBdr>
            </w:div>
          </w:divsChild>
        </w:div>
        <w:div w:id="730082745">
          <w:marLeft w:val="0"/>
          <w:marRight w:val="0"/>
          <w:marTop w:val="0"/>
          <w:marBottom w:val="0"/>
          <w:divBdr>
            <w:top w:val="none" w:sz="0" w:space="0" w:color="auto"/>
            <w:left w:val="none" w:sz="0" w:space="0" w:color="auto"/>
            <w:bottom w:val="none" w:sz="0" w:space="0" w:color="auto"/>
            <w:right w:val="none" w:sz="0" w:space="0" w:color="auto"/>
          </w:divBdr>
          <w:divsChild>
            <w:div w:id="1801338575">
              <w:marLeft w:val="0"/>
              <w:marRight w:val="0"/>
              <w:marTop w:val="0"/>
              <w:marBottom w:val="0"/>
              <w:divBdr>
                <w:top w:val="none" w:sz="0" w:space="0" w:color="auto"/>
                <w:left w:val="none" w:sz="0" w:space="0" w:color="auto"/>
                <w:bottom w:val="none" w:sz="0" w:space="0" w:color="auto"/>
                <w:right w:val="none" w:sz="0" w:space="0" w:color="auto"/>
              </w:divBdr>
            </w:div>
          </w:divsChild>
        </w:div>
        <w:div w:id="1827164751">
          <w:marLeft w:val="0"/>
          <w:marRight w:val="0"/>
          <w:marTop w:val="0"/>
          <w:marBottom w:val="0"/>
          <w:divBdr>
            <w:top w:val="none" w:sz="0" w:space="0" w:color="auto"/>
            <w:left w:val="none" w:sz="0" w:space="0" w:color="auto"/>
            <w:bottom w:val="none" w:sz="0" w:space="0" w:color="auto"/>
            <w:right w:val="none" w:sz="0" w:space="0" w:color="auto"/>
          </w:divBdr>
        </w:div>
        <w:div w:id="678894167">
          <w:marLeft w:val="0"/>
          <w:marRight w:val="0"/>
          <w:marTop w:val="0"/>
          <w:marBottom w:val="0"/>
          <w:divBdr>
            <w:top w:val="none" w:sz="0" w:space="0" w:color="auto"/>
            <w:left w:val="none" w:sz="0" w:space="0" w:color="auto"/>
            <w:bottom w:val="none" w:sz="0" w:space="0" w:color="auto"/>
            <w:right w:val="none" w:sz="0" w:space="0" w:color="auto"/>
          </w:divBdr>
          <w:divsChild>
            <w:div w:id="1151673104">
              <w:marLeft w:val="0"/>
              <w:marRight w:val="0"/>
              <w:marTop w:val="0"/>
              <w:marBottom w:val="0"/>
              <w:divBdr>
                <w:top w:val="none" w:sz="0" w:space="0" w:color="auto"/>
                <w:left w:val="none" w:sz="0" w:space="0" w:color="auto"/>
                <w:bottom w:val="none" w:sz="0" w:space="0" w:color="auto"/>
                <w:right w:val="none" w:sz="0" w:space="0" w:color="auto"/>
              </w:divBdr>
            </w:div>
          </w:divsChild>
        </w:div>
        <w:div w:id="299506080">
          <w:marLeft w:val="0"/>
          <w:marRight w:val="0"/>
          <w:marTop w:val="0"/>
          <w:marBottom w:val="0"/>
          <w:divBdr>
            <w:top w:val="none" w:sz="0" w:space="0" w:color="auto"/>
            <w:left w:val="none" w:sz="0" w:space="0" w:color="auto"/>
            <w:bottom w:val="none" w:sz="0" w:space="0" w:color="auto"/>
            <w:right w:val="none" w:sz="0" w:space="0" w:color="auto"/>
          </w:divBdr>
          <w:divsChild>
            <w:div w:id="1043558919">
              <w:marLeft w:val="0"/>
              <w:marRight w:val="0"/>
              <w:marTop w:val="0"/>
              <w:marBottom w:val="0"/>
              <w:divBdr>
                <w:top w:val="none" w:sz="0" w:space="0" w:color="auto"/>
                <w:left w:val="none" w:sz="0" w:space="0" w:color="auto"/>
                <w:bottom w:val="none" w:sz="0" w:space="0" w:color="auto"/>
                <w:right w:val="none" w:sz="0" w:space="0" w:color="auto"/>
              </w:divBdr>
            </w:div>
          </w:divsChild>
        </w:div>
        <w:div w:id="117341874">
          <w:marLeft w:val="0"/>
          <w:marRight w:val="0"/>
          <w:marTop w:val="0"/>
          <w:marBottom w:val="0"/>
          <w:divBdr>
            <w:top w:val="none" w:sz="0" w:space="0" w:color="auto"/>
            <w:left w:val="none" w:sz="0" w:space="0" w:color="auto"/>
            <w:bottom w:val="none" w:sz="0" w:space="0" w:color="auto"/>
            <w:right w:val="none" w:sz="0" w:space="0" w:color="auto"/>
          </w:divBdr>
          <w:divsChild>
            <w:div w:id="608243109">
              <w:marLeft w:val="0"/>
              <w:marRight w:val="0"/>
              <w:marTop w:val="0"/>
              <w:marBottom w:val="0"/>
              <w:divBdr>
                <w:top w:val="none" w:sz="0" w:space="0" w:color="auto"/>
                <w:left w:val="none" w:sz="0" w:space="0" w:color="auto"/>
                <w:bottom w:val="none" w:sz="0" w:space="0" w:color="auto"/>
                <w:right w:val="none" w:sz="0" w:space="0" w:color="auto"/>
              </w:divBdr>
            </w:div>
          </w:divsChild>
        </w:div>
        <w:div w:id="412286992">
          <w:marLeft w:val="0"/>
          <w:marRight w:val="0"/>
          <w:marTop w:val="0"/>
          <w:marBottom w:val="0"/>
          <w:divBdr>
            <w:top w:val="none" w:sz="0" w:space="0" w:color="auto"/>
            <w:left w:val="none" w:sz="0" w:space="0" w:color="auto"/>
            <w:bottom w:val="none" w:sz="0" w:space="0" w:color="auto"/>
            <w:right w:val="none" w:sz="0" w:space="0" w:color="auto"/>
          </w:divBdr>
          <w:divsChild>
            <w:div w:id="7367711">
              <w:marLeft w:val="0"/>
              <w:marRight w:val="0"/>
              <w:marTop w:val="0"/>
              <w:marBottom w:val="0"/>
              <w:divBdr>
                <w:top w:val="none" w:sz="0" w:space="0" w:color="auto"/>
                <w:left w:val="none" w:sz="0" w:space="0" w:color="auto"/>
                <w:bottom w:val="none" w:sz="0" w:space="0" w:color="auto"/>
                <w:right w:val="none" w:sz="0" w:space="0" w:color="auto"/>
              </w:divBdr>
            </w:div>
          </w:divsChild>
        </w:div>
        <w:div w:id="430900409">
          <w:marLeft w:val="0"/>
          <w:marRight w:val="0"/>
          <w:marTop w:val="0"/>
          <w:marBottom w:val="0"/>
          <w:divBdr>
            <w:top w:val="none" w:sz="0" w:space="0" w:color="auto"/>
            <w:left w:val="none" w:sz="0" w:space="0" w:color="auto"/>
            <w:bottom w:val="none" w:sz="0" w:space="0" w:color="auto"/>
            <w:right w:val="none" w:sz="0" w:space="0" w:color="auto"/>
          </w:divBdr>
          <w:divsChild>
            <w:div w:id="24255163">
              <w:marLeft w:val="0"/>
              <w:marRight w:val="0"/>
              <w:marTop w:val="0"/>
              <w:marBottom w:val="0"/>
              <w:divBdr>
                <w:top w:val="none" w:sz="0" w:space="0" w:color="auto"/>
                <w:left w:val="none" w:sz="0" w:space="0" w:color="auto"/>
                <w:bottom w:val="none" w:sz="0" w:space="0" w:color="auto"/>
                <w:right w:val="none" w:sz="0" w:space="0" w:color="auto"/>
              </w:divBdr>
            </w:div>
          </w:divsChild>
        </w:div>
        <w:div w:id="1524395417">
          <w:marLeft w:val="0"/>
          <w:marRight w:val="0"/>
          <w:marTop w:val="0"/>
          <w:marBottom w:val="0"/>
          <w:divBdr>
            <w:top w:val="none" w:sz="0" w:space="0" w:color="auto"/>
            <w:left w:val="none" w:sz="0" w:space="0" w:color="auto"/>
            <w:bottom w:val="none" w:sz="0" w:space="0" w:color="auto"/>
            <w:right w:val="none" w:sz="0" w:space="0" w:color="auto"/>
          </w:divBdr>
          <w:divsChild>
            <w:div w:id="313919904">
              <w:marLeft w:val="0"/>
              <w:marRight w:val="0"/>
              <w:marTop w:val="0"/>
              <w:marBottom w:val="0"/>
              <w:divBdr>
                <w:top w:val="none" w:sz="0" w:space="0" w:color="auto"/>
                <w:left w:val="none" w:sz="0" w:space="0" w:color="auto"/>
                <w:bottom w:val="none" w:sz="0" w:space="0" w:color="auto"/>
                <w:right w:val="none" w:sz="0" w:space="0" w:color="auto"/>
              </w:divBdr>
            </w:div>
          </w:divsChild>
        </w:div>
        <w:div w:id="1016421296">
          <w:marLeft w:val="0"/>
          <w:marRight w:val="0"/>
          <w:marTop w:val="0"/>
          <w:marBottom w:val="0"/>
          <w:divBdr>
            <w:top w:val="none" w:sz="0" w:space="0" w:color="auto"/>
            <w:left w:val="none" w:sz="0" w:space="0" w:color="auto"/>
            <w:bottom w:val="none" w:sz="0" w:space="0" w:color="auto"/>
            <w:right w:val="none" w:sz="0" w:space="0" w:color="auto"/>
          </w:divBdr>
          <w:divsChild>
            <w:div w:id="505248731">
              <w:marLeft w:val="0"/>
              <w:marRight w:val="0"/>
              <w:marTop w:val="0"/>
              <w:marBottom w:val="0"/>
              <w:divBdr>
                <w:top w:val="none" w:sz="0" w:space="0" w:color="auto"/>
                <w:left w:val="none" w:sz="0" w:space="0" w:color="auto"/>
                <w:bottom w:val="none" w:sz="0" w:space="0" w:color="auto"/>
                <w:right w:val="none" w:sz="0" w:space="0" w:color="auto"/>
              </w:divBdr>
            </w:div>
          </w:divsChild>
        </w:div>
        <w:div w:id="479419041">
          <w:marLeft w:val="0"/>
          <w:marRight w:val="0"/>
          <w:marTop w:val="0"/>
          <w:marBottom w:val="0"/>
          <w:divBdr>
            <w:top w:val="none" w:sz="0" w:space="0" w:color="auto"/>
            <w:left w:val="none" w:sz="0" w:space="0" w:color="auto"/>
            <w:bottom w:val="none" w:sz="0" w:space="0" w:color="auto"/>
            <w:right w:val="none" w:sz="0" w:space="0" w:color="auto"/>
          </w:divBdr>
          <w:divsChild>
            <w:div w:id="1527210121">
              <w:marLeft w:val="0"/>
              <w:marRight w:val="0"/>
              <w:marTop w:val="0"/>
              <w:marBottom w:val="0"/>
              <w:divBdr>
                <w:top w:val="none" w:sz="0" w:space="0" w:color="auto"/>
                <w:left w:val="none" w:sz="0" w:space="0" w:color="auto"/>
                <w:bottom w:val="none" w:sz="0" w:space="0" w:color="auto"/>
                <w:right w:val="none" w:sz="0" w:space="0" w:color="auto"/>
              </w:divBdr>
            </w:div>
          </w:divsChild>
        </w:div>
        <w:div w:id="608048001">
          <w:marLeft w:val="0"/>
          <w:marRight w:val="0"/>
          <w:marTop w:val="0"/>
          <w:marBottom w:val="0"/>
          <w:divBdr>
            <w:top w:val="none" w:sz="0" w:space="0" w:color="auto"/>
            <w:left w:val="none" w:sz="0" w:space="0" w:color="auto"/>
            <w:bottom w:val="none" w:sz="0" w:space="0" w:color="auto"/>
            <w:right w:val="none" w:sz="0" w:space="0" w:color="auto"/>
          </w:divBdr>
          <w:divsChild>
            <w:div w:id="1573924421">
              <w:marLeft w:val="0"/>
              <w:marRight w:val="0"/>
              <w:marTop w:val="0"/>
              <w:marBottom w:val="0"/>
              <w:divBdr>
                <w:top w:val="none" w:sz="0" w:space="0" w:color="auto"/>
                <w:left w:val="none" w:sz="0" w:space="0" w:color="auto"/>
                <w:bottom w:val="none" w:sz="0" w:space="0" w:color="auto"/>
                <w:right w:val="none" w:sz="0" w:space="0" w:color="auto"/>
              </w:divBdr>
            </w:div>
          </w:divsChild>
        </w:div>
        <w:div w:id="579874275">
          <w:marLeft w:val="0"/>
          <w:marRight w:val="0"/>
          <w:marTop w:val="0"/>
          <w:marBottom w:val="0"/>
          <w:divBdr>
            <w:top w:val="none" w:sz="0" w:space="0" w:color="auto"/>
            <w:left w:val="none" w:sz="0" w:space="0" w:color="auto"/>
            <w:bottom w:val="none" w:sz="0" w:space="0" w:color="auto"/>
            <w:right w:val="none" w:sz="0" w:space="0" w:color="auto"/>
          </w:divBdr>
          <w:divsChild>
            <w:div w:id="1170677840">
              <w:marLeft w:val="0"/>
              <w:marRight w:val="0"/>
              <w:marTop w:val="0"/>
              <w:marBottom w:val="0"/>
              <w:divBdr>
                <w:top w:val="none" w:sz="0" w:space="0" w:color="auto"/>
                <w:left w:val="none" w:sz="0" w:space="0" w:color="auto"/>
                <w:bottom w:val="none" w:sz="0" w:space="0" w:color="auto"/>
                <w:right w:val="none" w:sz="0" w:space="0" w:color="auto"/>
              </w:divBdr>
            </w:div>
          </w:divsChild>
        </w:div>
        <w:div w:id="217322475">
          <w:marLeft w:val="0"/>
          <w:marRight w:val="0"/>
          <w:marTop w:val="0"/>
          <w:marBottom w:val="0"/>
          <w:divBdr>
            <w:top w:val="none" w:sz="0" w:space="0" w:color="auto"/>
            <w:left w:val="none" w:sz="0" w:space="0" w:color="auto"/>
            <w:bottom w:val="none" w:sz="0" w:space="0" w:color="auto"/>
            <w:right w:val="none" w:sz="0" w:space="0" w:color="auto"/>
          </w:divBdr>
          <w:divsChild>
            <w:div w:id="904026202">
              <w:marLeft w:val="0"/>
              <w:marRight w:val="0"/>
              <w:marTop w:val="0"/>
              <w:marBottom w:val="0"/>
              <w:divBdr>
                <w:top w:val="none" w:sz="0" w:space="0" w:color="auto"/>
                <w:left w:val="none" w:sz="0" w:space="0" w:color="auto"/>
                <w:bottom w:val="none" w:sz="0" w:space="0" w:color="auto"/>
                <w:right w:val="none" w:sz="0" w:space="0" w:color="auto"/>
              </w:divBdr>
            </w:div>
          </w:divsChild>
        </w:div>
        <w:div w:id="1978294258">
          <w:marLeft w:val="0"/>
          <w:marRight w:val="0"/>
          <w:marTop w:val="0"/>
          <w:marBottom w:val="0"/>
          <w:divBdr>
            <w:top w:val="none" w:sz="0" w:space="0" w:color="auto"/>
            <w:left w:val="none" w:sz="0" w:space="0" w:color="auto"/>
            <w:bottom w:val="none" w:sz="0" w:space="0" w:color="auto"/>
            <w:right w:val="none" w:sz="0" w:space="0" w:color="auto"/>
          </w:divBdr>
          <w:divsChild>
            <w:div w:id="2119716893">
              <w:marLeft w:val="0"/>
              <w:marRight w:val="0"/>
              <w:marTop w:val="0"/>
              <w:marBottom w:val="0"/>
              <w:divBdr>
                <w:top w:val="none" w:sz="0" w:space="0" w:color="auto"/>
                <w:left w:val="none" w:sz="0" w:space="0" w:color="auto"/>
                <w:bottom w:val="none" w:sz="0" w:space="0" w:color="auto"/>
                <w:right w:val="none" w:sz="0" w:space="0" w:color="auto"/>
              </w:divBdr>
            </w:div>
          </w:divsChild>
        </w:div>
        <w:div w:id="1674988403">
          <w:marLeft w:val="0"/>
          <w:marRight w:val="0"/>
          <w:marTop w:val="0"/>
          <w:marBottom w:val="0"/>
          <w:divBdr>
            <w:top w:val="none" w:sz="0" w:space="0" w:color="auto"/>
            <w:left w:val="none" w:sz="0" w:space="0" w:color="auto"/>
            <w:bottom w:val="none" w:sz="0" w:space="0" w:color="auto"/>
            <w:right w:val="none" w:sz="0" w:space="0" w:color="auto"/>
          </w:divBdr>
          <w:divsChild>
            <w:div w:id="1974409013">
              <w:marLeft w:val="0"/>
              <w:marRight w:val="0"/>
              <w:marTop w:val="0"/>
              <w:marBottom w:val="0"/>
              <w:divBdr>
                <w:top w:val="none" w:sz="0" w:space="0" w:color="auto"/>
                <w:left w:val="none" w:sz="0" w:space="0" w:color="auto"/>
                <w:bottom w:val="none" w:sz="0" w:space="0" w:color="auto"/>
                <w:right w:val="none" w:sz="0" w:space="0" w:color="auto"/>
              </w:divBdr>
            </w:div>
          </w:divsChild>
        </w:div>
        <w:div w:id="612328804">
          <w:marLeft w:val="0"/>
          <w:marRight w:val="0"/>
          <w:marTop w:val="0"/>
          <w:marBottom w:val="0"/>
          <w:divBdr>
            <w:top w:val="none" w:sz="0" w:space="0" w:color="auto"/>
            <w:left w:val="none" w:sz="0" w:space="0" w:color="auto"/>
            <w:bottom w:val="none" w:sz="0" w:space="0" w:color="auto"/>
            <w:right w:val="none" w:sz="0" w:space="0" w:color="auto"/>
          </w:divBdr>
          <w:divsChild>
            <w:div w:id="2139763543">
              <w:marLeft w:val="0"/>
              <w:marRight w:val="0"/>
              <w:marTop w:val="0"/>
              <w:marBottom w:val="0"/>
              <w:divBdr>
                <w:top w:val="none" w:sz="0" w:space="0" w:color="auto"/>
                <w:left w:val="none" w:sz="0" w:space="0" w:color="auto"/>
                <w:bottom w:val="none" w:sz="0" w:space="0" w:color="auto"/>
                <w:right w:val="none" w:sz="0" w:space="0" w:color="auto"/>
              </w:divBdr>
            </w:div>
          </w:divsChild>
        </w:div>
        <w:div w:id="780565914">
          <w:marLeft w:val="0"/>
          <w:marRight w:val="0"/>
          <w:marTop w:val="0"/>
          <w:marBottom w:val="0"/>
          <w:divBdr>
            <w:top w:val="none" w:sz="0" w:space="0" w:color="auto"/>
            <w:left w:val="none" w:sz="0" w:space="0" w:color="auto"/>
            <w:bottom w:val="none" w:sz="0" w:space="0" w:color="auto"/>
            <w:right w:val="none" w:sz="0" w:space="0" w:color="auto"/>
          </w:divBdr>
          <w:divsChild>
            <w:div w:id="1466005860">
              <w:marLeft w:val="0"/>
              <w:marRight w:val="0"/>
              <w:marTop w:val="0"/>
              <w:marBottom w:val="0"/>
              <w:divBdr>
                <w:top w:val="none" w:sz="0" w:space="0" w:color="auto"/>
                <w:left w:val="none" w:sz="0" w:space="0" w:color="auto"/>
                <w:bottom w:val="none" w:sz="0" w:space="0" w:color="auto"/>
                <w:right w:val="none" w:sz="0" w:space="0" w:color="auto"/>
              </w:divBdr>
            </w:div>
          </w:divsChild>
        </w:div>
        <w:div w:id="705057276">
          <w:marLeft w:val="0"/>
          <w:marRight w:val="0"/>
          <w:marTop w:val="0"/>
          <w:marBottom w:val="0"/>
          <w:divBdr>
            <w:top w:val="none" w:sz="0" w:space="0" w:color="auto"/>
            <w:left w:val="none" w:sz="0" w:space="0" w:color="auto"/>
            <w:bottom w:val="none" w:sz="0" w:space="0" w:color="auto"/>
            <w:right w:val="none" w:sz="0" w:space="0" w:color="auto"/>
          </w:divBdr>
          <w:divsChild>
            <w:div w:id="631983304">
              <w:marLeft w:val="0"/>
              <w:marRight w:val="0"/>
              <w:marTop w:val="0"/>
              <w:marBottom w:val="0"/>
              <w:divBdr>
                <w:top w:val="none" w:sz="0" w:space="0" w:color="auto"/>
                <w:left w:val="none" w:sz="0" w:space="0" w:color="auto"/>
                <w:bottom w:val="none" w:sz="0" w:space="0" w:color="auto"/>
                <w:right w:val="none" w:sz="0" w:space="0" w:color="auto"/>
              </w:divBdr>
            </w:div>
          </w:divsChild>
        </w:div>
        <w:div w:id="1580863739">
          <w:marLeft w:val="0"/>
          <w:marRight w:val="0"/>
          <w:marTop w:val="0"/>
          <w:marBottom w:val="0"/>
          <w:divBdr>
            <w:top w:val="none" w:sz="0" w:space="0" w:color="auto"/>
            <w:left w:val="none" w:sz="0" w:space="0" w:color="auto"/>
            <w:bottom w:val="none" w:sz="0" w:space="0" w:color="auto"/>
            <w:right w:val="none" w:sz="0" w:space="0" w:color="auto"/>
          </w:divBdr>
          <w:divsChild>
            <w:div w:id="1372456753">
              <w:marLeft w:val="0"/>
              <w:marRight w:val="0"/>
              <w:marTop w:val="0"/>
              <w:marBottom w:val="0"/>
              <w:divBdr>
                <w:top w:val="none" w:sz="0" w:space="0" w:color="auto"/>
                <w:left w:val="none" w:sz="0" w:space="0" w:color="auto"/>
                <w:bottom w:val="none" w:sz="0" w:space="0" w:color="auto"/>
                <w:right w:val="none" w:sz="0" w:space="0" w:color="auto"/>
              </w:divBdr>
            </w:div>
          </w:divsChild>
        </w:div>
        <w:div w:id="1183975092">
          <w:marLeft w:val="0"/>
          <w:marRight w:val="0"/>
          <w:marTop w:val="0"/>
          <w:marBottom w:val="0"/>
          <w:divBdr>
            <w:top w:val="none" w:sz="0" w:space="0" w:color="auto"/>
            <w:left w:val="none" w:sz="0" w:space="0" w:color="auto"/>
            <w:bottom w:val="none" w:sz="0" w:space="0" w:color="auto"/>
            <w:right w:val="none" w:sz="0" w:space="0" w:color="auto"/>
          </w:divBdr>
          <w:divsChild>
            <w:div w:id="230190640">
              <w:marLeft w:val="0"/>
              <w:marRight w:val="0"/>
              <w:marTop w:val="0"/>
              <w:marBottom w:val="0"/>
              <w:divBdr>
                <w:top w:val="none" w:sz="0" w:space="0" w:color="auto"/>
                <w:left w:val="none" w:sz="0" w:space="0" w:color="auto"/>
                <w:bottom w:val="none" w:sz="0" w:space="0" w:color="auto"/>
                <w:right w:val="none" w:sz="0" w:space="0" w:color="auto"/>
              </w:divBdr>
            </w:div>
          </w:divsChild>
        </w:div>
        <w:div w:id="1287421019">
          <w:marLeft w:val="0"/>
          <w:marRight w:val="0"/>
          <w:marTop w:val="0"/>
          <w:marBottom w:val="0"/>
          <w:divBdr>
            <w:top w:val="none" w:sz="0" w:space="0" w:color="auto"/>
            <w:left w:val="none" w:sz="0" w:space="0" w:color="auto"/>
            <w:bottom w:val="none" w:sz="0" w:space="0" w:color="auto"/>
            <w:right w:val="none" w:sz="0" w:space="0" w:color="auto"/>
          </w:divBdr>
          <w:divsChild>
            <w:div w:id="800924052">
              <w:marLeft w:val="0"/>
              <w:marRight w:val="0"/>
              <w:marTop w:val="0"/>
              <w:marBottom w:val="0"/>
              <w:divBdr>
                <w:top w:val="none" w:sz="0" w:space="0" w:color="auto"/>
                <w:left w:val="none" w:sz="0" w:space="0" w:color="auto"/>
                <w:bottom w:val="none" w:sz="0" w:space="0" w:color="auto"/>
                <w:right w:val="none" w:sz="0" w:space="0" w:color="auto"/>
              </w:divBdr>
            </w:div>
          </w:divsChild>
        </w:div>
        <w:div w:id="1291209715">
          <w:marLeft w:val="0"/>
          <w:marRight w:val="0"/>
          <w:marTop w:val="0"/>
          <w:marBottom w:val="0"/>
          <w:divBdr>
            <w:top w:val="none" w:sz="0" w:space="0" w:color="auto"/>
            <w:left w:val="none" w:sz="0" w:space="0" w:color="auto"/>
            <w:bottom w:val="none" w:sz="0" w:space="0" w:color="auto"/>
            <w:right w:val="none" w:sz="0" w:space="0" w:color="auto"/>
          </w:divBdr>
          <w:divsChild>
            <w:div w:id="1701973869">
              <w:marLeft w:val="0"/>
              <w:marRight w:val="0"/>
              <w:marTop w:val="0"/>
              <w:marBottom w:val="0"/>
              <w:divBdr>
                <w:top w:val="none" w:sz="0" w:space="0" w:color="auto"/>
                <w:left w:val="none" w:sz="0" w:space="0" w:color="auto"/>
                <w:bottom w:val="none" w:sz="0" w:space="0" w:color="auto"/>
                <w:right w:val="none" w:sz="0" w:space="0" w:color="auto"/>
              </w:divBdr>
            </w:div>
          </w:divsChild>
        </w:div>
        <w:div w:id="1763795481">
          <w:marLeft w:val="0"/>
          <w:marRight w:val="0"/>
          <w:marTop w:val="0"/>
          <w:marBottom w:val="0"/>
          <w:divBdr>
            <w:top w:val="none" w:sz="0" w:space="0" w:color="auto"/>
            <w:left w:val="none" w:sz="0" w:space="0" w:color="auto"/>
            <w:bottom w:val="none" w:sz="0" w:space="0" w:color="auto"/>
            <w:right w:val="none" w:sz="0" w:space="0" w:color="auto"/>
          </w:divBdr>
          <w:divsChild>
            <w:div w:id="120420403">
              <w:marLeft w:val="0"/>
              <w:marRight w:val="0"/>
              <w:marTop w:val="0"/>
              <w:marBottom w:val="0"/>
              <w:divBdr>
                <w:top w:val="none" w:sz="0" w:space="0" w:color="auto"/>
                <w:left w:val="none" w:sz="0" w:space="0" w:color="auto"/>
                <w:bottom w:val="none" w:sz="0" w:space="0" w:color="auto"/>
                <w:right w:val="none" w:sz="0" w:space="0" w:color="auto"/>
              </w:divBdr>
            </w:div>
          </w:divsChild>
        </w:div>
        <w:div w:id="1039093115">
          <w:marLeft w:val="0"/>
          <w:marRight w:val="0"/>
          <w:marTop w:val="0"/>
          <w:marBottom w:val="0"/>
          <w:divBdr>
            <w:top w:val="none" w:sz="0" w:space="0" w:color="auto"/>
            <w:left w:val="none" w:sz="0" w:space="0" w:color="auto"/>
            <w:bottom w:val="none" w:sz="0" w:space="0" w:color="auto"/>
            <w:right w:val="none" w:sz="0" w:space="0" w:color="auto"/>
          </w:divBdr>
          <w:divsChild>
            <w:div w:id="434374144">
              <w:marLeft w:val="0"/>
              <w:marRight w:val="0"/>
              <w:marTop w:val="0"/>
              <w:marBottom w:val="0"/>
              <w:divBdr>
                <w:top w:val="none" w:sz="0" w:space="0" w:color="auto"/>
                <w:left w:val="none" w:sz="0" w:space="0" w:color="auto"/>
                <w:bottom w:val="none" w:sz="0" w:space="0" w:color="auto"/>
                <w:right w:val="none" w:sz="0" w:space="0" w:color="auto"/>
              </w:divBdr>
            </w:div>
          </w:divsChild>
        </w:div>
        <w:div w:id="788087103">
          <w:marLeft w:val="0"/>
          <w:marRight w:val="0"/>
          <w:marTop w:val="0"/>
          <w:marBottom w:val="0"/>
          <w:divBdr>
            <w:top w:val="none" w:sz="0" w:space="0" w:color="auto"/>
            <w:left w:val="none" w:sz="0" w:space="0" w:color="auto"/>
            <w:bottom w:val="none" w:sz="0" w:space="0" w:color="auto"/>
            <w:right w:val="none" w:sz="0" w:space="0" w:color="auto"/>
          </w:divBdr>
          <w:divsChild>
            <w:div w:id="1269848271">
              <w:marLeft w:val="0"/>
              <w:marRight w:val="0"/>
              <w:marTop w:val="0"/>
              <w:marBottom w:val="0"/>
              <w:divBdr>
                <w:top w:val="none" w:sz="0" w:space="0" w:color="auto"/>
                <w:left w:val="none" w:sz="0" w:space="0" w:color="auto"/>
                <w:bottom w:val="none" w:sz="0" w:space="0" w:color="auto"/>
                <w:right w:val="none" w:sz="0" w:space="0" w:color="auto"/>
              </w:divBdr>
            </w:div>
          </w:divsChild>
        </w:div>
        <w:div w:id="1443525469">
          <w:marLeft w:val="0"/>
          <w:marRight w:val="0"/>
          <w:marTop w:val="0"/>
          <w:marBottom w:val="0"/>
          <w:divBdr>
            <w:top w:val="none" w:sz="0" w:space="0" w:color="auto"/>
            <w:left w:val="none" w:sz="0" w:space="0" w:color="auto"/>
            <w:bottom w:val="none" w:sz="0" w:space="0" w:color="auto"/>
            <w:right w:val="none" w:sz="0" w:space="0" w:color="auto"/>
          </w:divBdr>
          <w:divsChild>
            <w:div w:id="742799736">
              <w:marLeft w:val="0"/>
              <w:marRight w:val="0"/>
              <w:marTop w:val="0"/>
              <w:marBottom w:val="0"/>
              <w:divBdr>
                <w:top w:val="none" w:sz="0" w:space="0" w:color="auto"/>
                <w:left w:val="none" w:sz="0" w:space="0" w:color="auto"/>
                <w:bottom w:val="none" w:sz="0" w:space="0" w:color="auto"/>
                <w:right w:val="none" w:sz="0" w:space="0" w:color="auto"/>
              </w:divBdr>
            </w:div>
          </w:divsChild>
        </w:div>
        <w:div w:id="238709653">
          <w:marLeft w:val="0"/>
          <w:marRight w:val="0"/>
          <w:marTop w:val="0"/>
          <w:marBottom w:val="0"/>
          <w:divBdr>
            <w:top w:val="none" w:sz="0" w:space="0" w:color="auto"/>
            <w:left w:val="none" w:sz="0" w:space="0" w:color="auto"/>
            <w:bottom w:val="none" w:sz="0" w:space="0" w:color="auto"/>
            <w:right w:val="none" w:sz="0" w:space="0" w:color="auto"/>
          </w:divBdr>
          <w:divsChild>
            <w:div w:id="1930652073">
              <w:marLeft w:val="0"/>
              <w:marRight w:val="0"/>
              <w:marTop w:val="0"/>
              <w:marBottom w:val="0"/>
              <w:divBdr>
                <w:top w:val="none" w:sz="0" w:space="0" w:color="auto"/>
                <w:left w:val="none" w:sz="0" w:space="0" w:color="auto"/>
                <w:bottom w:val="none" w:sz="0" w:space="0" w:color="auto"/>
                <w:right w:val="none" w:sz="0" w:space="0" w:color="auto"/>
              </w:divBdr>
            </w:div>
          </w:divsChild>
        </w:div>
        <w:div w:id="1545748307">
          <w:marLeft w:val="0"/>
          <w:marRight w:val="0"/>
          <w:marTop w:val="0"/>
          <w:marBottom w:val="0"/>
          <w:divBdr>
            <w:top w:val="none" w:sz="0" w:space="0" w:color="auto"/>
            <w:left w:val="none" w:sz="0" w:space="0" w:color="auto"/>
            <w:bottom w:val="none" w:sz="0" w:space="0" w:color="auto"/>
            <w:right w:val="none" w:sz="0" w:space="0" w:color="auto"/>
          </w:divBdr>
          <w:divsChild>
            <w:div w:id="1469857041">
              <w:marLeft w:val="0"/>
              <w:marRight w:val="0"/>
              <w:marTop w:val="0"/>
              <w:marBottom w:val="0"/>
              <w:divBdr>
                <w:top w:val="none" w:sz="0" w:space="0" w:color="auto"/>
                <w:left w:val="none" w:sz="0" w:space="0" w:color="auto"/>
                <w:bottom w:val="none" w:sz="0" w:space="0" w:color="auto"/>
                <w:right w:val="none" w:sz="0" w:space="0" w:color="auto"/>
              </w:divBdr>
            </w:div>
          </w:divsChild>
        </w:div>
        <w:div w:id="1586917269">
          <w:marLeft w:val="0"/>
          <w:marRight w:val="0"/>
          <w:marTop w:val="0"/>
          <w:marBottom w:val="0"/>
          <w:divBdr>
            <w:top w:val="none" w:sz="0" w:space="0" w:color="auto"/>
            <w:left w:val="none" w:sz="0" w:space="0" w:color="auto"/>
            <w:bottom w:val="none" w:sz="0" w:space="0" w:color="auto"/>
            <w:right w:val="none" w:sz="0" w:space="0" w:color="auto"/>
          </w:divBdr>
        </w:div>
        <w:div w:id="1821386299">
          <w:marLeft w:val="0"/>
          <w:marRight w:val="0"/>
          <w:marTop w:val="0"/>
          <w:marBottom w:val="0"/>
          <w:divBdr>
            <w:top w:val="none" w:sz="0" w:space="0" w:color="auto"/>
            <w:left w:val="none" w:sz="0" w:space="0" w:color="auto"/>
            <w:bottom w:val="none" w:sz="0" w:space="0" w:color="auto"/>
            <w:right w:val="none" w:sz="0" w:space="0" w:color="auto"/>
          </w:divBdr>
          <w:divsChild>
            <w:div w:id="1625651254">
              <w:marLeft w:val="0"/>
              <w:marRight w:val="0"/>
              <w:marTop w:val="0"/>
              <w:marBottom w:val="0"/>
              <w:divBdr>
                <w:top w:val="none" w:sz="0" w:space="0" w:color="auto"/>
                <w:left w:val="none" w:sz="0" w:space="0" w:color="auto"/>
                <w:bottom w:val="none" w:sz="0" w:space="0" w:color="auto"/>
                <w:right w:val="none" w:sz="0" w:space="0" w:color="auto"/>
              </w:divBdr>
            </w:div>
          </w:divsChild>
        </w:div>
        <w:div w:id="170537042">
          <w:marLeft w:val="0"/>
          <w:marRight w:val="0"/>
          <w:marTop w:val="0"/>
          <w:marBottom w:val="0"/>
          <w:divBdr>
            <w:top w:val="none" w:sz="0" w:space="0" w:color="auto"/>
            <w:left w:val="none" w:sz="0" w:space="0" w:color="auto"/>
            <w:bottom w:val="none" w:sz="0" w:space="0" w:color="auto"/>
            <w:right w:val="none" w:sz="0" w:space="0" w:color="auto"/>
          </w:divBdr>
          <w:divsChild>
            <w:div w:id="1092583136">
              <w:marLeft w:val="0"/>
              <w:marRight w:val="0"/>
              <w:marTop w:val="0"/>
              <w:marBottom w:val="0"/>
              <w:divBdr>
                <w:top w:val="none" w:sz="0" w:space="0" w:color="auto"/>
                <w:left w:val="none" w:sz="0" w:space="0" w:color="auto"/>
                <w:bottom w:val="none" w:sz="0" w:space="0" w:color="auto"/>
                <w:right w:val="none" w:sz="0" w:space="0" w:color="auto"/>
              </w:divBdr>
            </w:div>
          </w:divsChild>
        </w:div>
        <w:div w:id="1231421637">
          <w:marLeft w:val="0"/>
          <w:marRight w:val="0"/>
          <w:marTop w:val="0"/>
          <w:marBottom w:val="0"/>
          <w:divBdr>
            <w:top w:val="none" w:sz="0" w:space="0" w:color="auto"/>
            <w:left w:val="none" w:sz="0" w:space="0" w:color="auto"/>
            <w:bottom w:val="none" w:sz="0" w:space="0" w:color="auto"/>
            <w:right w:val="none" w:sz="0" w:space="0" w:color="auto"/>
          </w:divBdr>
          <w:divsChild>
            <w:div w:id="1875383553">
              <w:marLeft w:val="0"/>
              <w:marRight w:val="0"/>
              <w:marTop w:val="0"/>
              <w:marBottom w:val="0"/>
              <w:divBdr>
                <w:top w:val="none" w:sz="0" w:space="0" w:color="auto"/>
                <w:left w:val="none" w:sz="0" w:space="0" w:color="auto"/>
                <w:bottom w:val="none" w:sz="0" w:space="0" w:color="auto"/>
                <w:right w:val="none" w:sz="0" w:space="0" w:color="auto"/>
              </w:divBdr>
            </w:div>
          </w:divsChild>
        </w:div>
        <w:div w:id="31541363">
          <w:marLeft w:val="0"/>
          <w:marRight w:val="0"/>
          <w:marTop w:val="0"/>
          <w:marBottom w:val="0"/>
          <w:divBdr>
            <w:top w:val="none" w:sz="0" w:space="0" w:color="auto"/>
            <w:left w:val="none" w:sz="0" w:space="0" w:color="auto"/>
            <w:bottom w:val="none" w:sz="0" w:space="0" w:color="auto"/>
            <w:right w:val="none" w:sz="0" w:space="0" w:color="auto"/>
          </w:divBdr>
          <w:divsChild>
            <w:div w:id="372581268">
              <w:marLeft w:val="0"/>
              <w:marRight w:val="0"/>
              <w:marTop w:val="0"/>
              <w:marBottom w:val="0"/>
              <w:divBdr>
                <w:top w:val="none" w:sz="0" w:space="0" w:color="auto"/>
                <w:left w:val="none" w:sz="0" w:space="0" w:color="auto"/>
                <w:bottom w:val="none" w:sz="0" w:space="0" w:color="auto"/>
                <w:right w:val="none" w:sz="0" w:space="0" w:color="auto"/>
              </w:divBdr>
            </w:div>
          </w:divsChild>
        </w:div>
        <w:div w:id="1843084525">
          <w:marLeft w:val="0"/>
          <w:marRight w:val="0"/>
          <w:marTop w:val="0"/>
          <w:marBottom w:val="0"/>
          <w:divBdr>
            <w:top w:val="none" w:sz="0" w:space="0" w:color="auto"/>
            <w:left w:val="none" w:sz="0" w:space="0" w:color="auto"/>
            <w:bottom w:val="none" w:sz="0" w:space="0" w:color="auto"/>
            <w:right w:val="none" w:sz="0" w:space="0" w:color="auto"/>
          </w:divBdr>
          <w:divsChild>
            <w:div w:id="292760722">
              <w:marLeft w:val="0"/>
              <w:marRight w:val="0"/>
              <w:marTop w:val="0"/>
              <w:marBottom w:val="0"/>
              <w:divBdr>
                <w:top w:val="none" w:sz="0" w:space="0" w:color="auto"/>
                <w:left w:val="none" w:sz="0" w:space="0" w:color="auto"/>
                <w:bottom w:val="none" w:sz="0" w:space="0" w:color="auto"/>
                <w:right w:val="none" w:sz="0" w:space="0" w:color="auto"/>
              </w:divBdr>
            </w:div>
          </w:divsChild>
        </w:div>
        <w:div w:id="724833905">
          <w:marLeft w:val="0"/>
          <w:marRight w:val="0"/>
          <w:marTop w:val="0"/>
          <w:marBottom w:val="0"/>
          <w:divBdr>
            <w:top w:val="none" w:sz="0" w:space="0" w:color="auto"/>
            <w:left w:val="none" w:sz="0" w:space="0" w:color="auto"/>
            <w:bottom w:val="none" w:sz="0" w:space="0" w:color="auto"/>
            <w:right w:val="none" w:sz="0" w:space="0" w:color="auto"/>
          </w:divBdr>
          <w:divsChild>
            <w:div w:id="1429345920">
              <w:marLeft w:val="0"/>
              <w:marRight w:val="0"/>
              <w:marTop w:val="0"/>
              <w:marBottom w:val="0"/>
              <w:divBdr>
                <w:top w:val="none" w:sz="0" w:space="0" w:color="auto"/>
                <w:left w:val="none" w:sz="0" w:space="0" w:color="auto"/>
                <w:bottom w:val="none" w:sz="0" w:space="0" w:color="auto"/>
                <w:right w:val="none" w:sz="0" w:space="0" w:color="auto"/>
              </w:divBdr>
            </w:div>
          </w:divsChild>
        </w:div>
        <w:div w:id="1285965571">
          <w:marLeft w:val="0"/>
          <w:marRight w:val="0"/>
          <w:marTop w:val="0"/>
          <w:marBottom w:val="0"/>
          <w:divBdr>
            <w:top w:val="none" w:sz="0" w:space="0" w:color="auto"/>
            <w:left w:val="none" w:sz="0" w:space="0" w:color="auto"/>
            <w:bottom w:val="none" w:sz="0" w:space="0" w:color="auto"/>
            <w:right w:val="none" w:sz="0" w:space="0" w:color="auto"/>
          </w:divBdr>
          <w:divsChild>
            <w:div w:id="235288281">
              <w:marLeft w:val="0"/>
              <w:marRight w:val="0"/>
              <w:marTop w:val="0"/>
              <w:marBottom w:val="0"/>
              <w:divBdr>
                <w:top w:val="none" w:sz="0" w:space="0" w:color="auto"/>
                <w:left w:val="none" w:sz="0" w:space="0" w:color="auto"/>
                <w:bottom w:val="none" w:sz="0" w:space="0" w:color="auto"/>
                <w:right w:val="none" w:sz="0" w:space="0" w:color="auto"/>
              </w:divBdr>
            </w:div>
          </w:divsChild>
        </w:div>
        <w:div w:id="1186094669">
          <w:marLeft w:val="0"/>
          <w:marRight w:val="0"/>
          <w:marTop w:val="0"/>
          <w:marBottom w:val="0"/>
          <w:divBdr>
            <w:top w:val="none" w:sz="0" w:space="0" w:color="auto"/>
            <w:left w:val="none" w:sz="0" w:space="0" w:color="auto"/>
            <w:bottom w:val="none" w:sz="0" w:space="0" w:color="auto"/>
            <w:right w:val="none" w:sz="0" w:space="0" w:color="auto"/>
          </w:divBdr>
        </w:div>
        <w:div w:id="616835906">
          <w:marLeft w:val="0"/>
          <w:marRight w:val="0"/>
          <w:marTop w:val="0"/>
          <w:marBottom w:val="0"/>
          <w:divBdr>
            <w:top w:val="none" w:sz="0" w:space="0" w:color="auto"/>
            <w:left w:val="none" w:sz="0" w:space="0" w:color="auto"/>
            <w:bottom w:val="none" w:sz="0" w:space="0" w:color="auto"/>
            <w:right w:val="none" w:sz="0" w:space="0" w:color="auto"/>
          </w:divBdr>
          <w:divsChild>
            <w:div w:id="1387072881">
              <w:marLeft w:val="0"/>
              <w:marRight w:val="0"/>
              <w:marTop w:val="0"/>
              <w:marBottom w:val="0"/>
              <w:divBdr>
                <w:top w:val="none" w:sz="0" w:space="0" w:color="auto"/>
                <w:left w:val="none" w:sz="0" w:space="0" w:color="auto"/>
                <w:bottom w:val="none" w:sz="0" w:space="0" w:color="auto"/>
                <w:right w:val="none" w:sz="0" w:space="0" w:color="auto"/>
              </w:divBdr>
            </w:div>
          </w:divsChild>
        </w:div>
        <w:div w:id="897087318">
          <w:marLeft w:val="0"/>
          <w:marRight w:val="0"/>
          <w:marTop w:val="0"/>
          <w:marBottom w:val="0"/>
          <w:divBdr>
            <w:top w:val="none" w:sz="0" w:space="0" w:color="auto"/>
            <w:left w:val="none" w:sz="0" w:space="0" w:color="auto"/>
            <w:bottom w:val="none" w:sz="0" w:space="0" w:color="auto"/>
            <w:right w:val="none" w:sz="0" w:space="0" w:color="auto"/>
          </w:divBdr>
          <w:divsChild>
            <w:div w:id="1302155448">
              <w:marLeft w:val="0"/>
              <w:marRight w:val="0"/>
              <w:marTop w:val="0"/>
              <w:marBottom w:val="0"/>
              <w:divBdr>
                <w:top w:val="none" w:sz="0" w:space="0" w:color="auto"/>
                <w:left w:val="none" w:sz="0" w:space="0" w:color="auto"/>
                <w:bottom w:val="none" w:sz="0" w:space="0" w:color="auto"/>
                <w:right w:val="none" w:sz="0" w:space="0" w:color="auto"/>
              </w:divBdr>
            </w:div>
          </w:divsChild>
        </w:div>
        <w:div w:id="1355962211">
          <w:marLeft w:val="0"/>
          <w:marRight w:val="0"/>
          <w:marTop w:val="0"/>
          <w:marBottom w:val="0"/>
          <w:divBdr>
            <w:top w:val="none" w:sz="0" w:space="0" w:color="auto"/>
            <w:left w:val="none" w:sz="0" w:space="0" w:color="auto"/>
            <w:bottom w:val="none" w:sz="0" w:space="0" w:color="auto"/>
            <w:right w:val="none" w:sz="0" w:space="0" w:color="auto"/>
          </w:divBdr>
          <w:divsChild>
            <w:div w:id="1196578494">
              <w:marLeft w:val="0"/>
              <w:marRight w:val="0"/>
              <w:marTop w:val="0"/>
              <w:marBottom w:val="0"/>
              <w:divBdr>
                <w:top w:val="none" w:sz="0" w:space="0" w:color="auto"/>
                <w:left w:val="none" w:sz="0" w:space="0" w:color="auto"/>
                <w:bottom w:val="none" w:sz="0" w:space="0" w:color="auto"/>
                <w:right w:val="none" w:sz="0" w:space="0" w:color="auto"/>
              </w:divBdr>
            </w:div>
          </w:divsChild>
        </w:div>
        <w:div w:id="226648265">
          <w:marLeft w:val="0"/>
          <w:marRight w:val="0"/>
          <w:marTop w:val="0"/>
          <w:marBottom w:val="0"/>
          <w:divBdr>
            <w:top w:val="none" w:sz="0" w:space="0" w:color="auto"/>
            <w:left w:val="none" w:sz="0" w:space="0" w:color="auto"/>
            <w:bottom w:val="none" w:sz="0" w:space="0" w:color="auto"/>
            <w:right w:val="none" w:sz="0" w:space="0" w:color="auto"/>
          </w:divBdr>
          <w:divsChild>
            <w:div w:id="856621697">
              <w:marLeft w:val="0"/>
              <w:marRight w:val="0"/>
              <w:marTop w:val="0"/>
              <w:marBottom w:val="0"/>
              <w:divBdr>
                <w:top w:val="none" w:sz="0" w:space="0" w:color="auto"/>
                <w:left w:val="none" w:sz="0" w:space="0" w:color="auto"/>
                <w:bottom w:val="none" w:sz="0" w:space="0" w:color="auto"/>
                <w:right w:val="none" w:sz="0" w:space="0" w:color="auto"/>
              </w:divBdr>
            </w:div>
          </w:divsChild>
        </w:div>
        <w:div w:id="634334385">
          <w:marLeft w:val="0"/>
          <w:marRight w:val="0"/>
          <w:marTop w:val="0"/>
          <w:marBottom w:val="0"/>
          <w:divBdr>
            <w:top w:val="none" w:sz="0" w:space="0" w:color="auto"/>
            <w:left w:val="none" w:sz="0" w:space="0" w:color="auto"/>
            <w:bottom w:val="none" w:sz="0" w:space="0" w:color="auto"/>
            <w:right w:val="none" w:sz="0" w:space="0" w:color="auto"/>
          </w:divBdr>
          <w:divsChild>
            <w:div w:id="1750157261">
              <w:marLeft w:val="0"/>
              <w:marRight w:val="0"/>
              <w:marTop w:val="0"/>
              <w:marBottom w:val="0"/>
              <w:divBdr>
                <w:top w:val="none" w:sz="0" w:space="0" w:color="auto"/>
                <w:left w:val="none" w:sz="0" w:space="0" w:color="auto"/>
                <w:bottom w:val="none" w:sz="0" w:space="0" w:color="auto"/>
                <w:right w:val="none" w:sz="0" w:space="0" w:color="auto"/>
              </w:divBdr>
            </w:div>
          </w:divsChild>
        </w:div>
        <w:div w:id="721444658">
          <w:marLeft w:val="0"/>
          <w:marRight w:val="0"/>
          <w:marTop w:val="0"/>
          <w:marBottom w:val="0"/>
          <w:divBdr>
            <w:top w:val="none" w:sz="0" w:space="0" w:color="auto"/>
            <w:left w:val="none" w:sz="0" w:space="0" w:color="auto"/>
            <w:bottom w:val="none" w:sz="0" w:space="0" w:color="auto"/>
            <w:right w:val="none" w:sz="0" w:space="0" w:color="auto"/>
          </w:divBdr>
          <w:divsChild>
            <w:div w:id="1712607472">
              <w:marLeft w:val="0"/>
              <w:marRight w:val="0"/>
              <w:marTop w:val="0"/>
              <w:marBottom w:val="0"/>
              <w:divBdr>
                <w:top w:val="none" w:sz="0" w:space="0" w:color="auto"/>
                <w:left w:val="none" w:sz="0" w:space="0" w:color="auto"/>
                <w:bottom w:val="none" w:sz="0" w:space="0" w:color="auto"/>
                <w:right w:val="none" w:sz="0" w:space="0" w:color="auto"/>
              </w:divBdr>
            </w:div>
          </w:divsChild>
        </w:div>
        <w:div w:id="1662656063">
          <w:marLeft w:val="0"/>
          <w:marRight w:val="0"/>
          <w:marTop w:val="0"/>
          <w:marBottom w:val="0"/>
          <w:divBdr>
            <w:top w:val="none" w:sz="0" w:space="0" w:color="auto"/>
            <w:left w:val="none" w:sz="0" w:space="0" w:color="auto"/>
            <w:bottom w:val="none" w:sz="0" w:space="0" w:color="auto"/>
            <w:right w:val="none" w:sz="0" w:space="0" w:color="auto"/>
          </w:divBdr>
          <w:divsChild>
            <w:div w:id="1717199665">
              <w:marLeft w:val="0"/>
              <w:marRight w:val="0"/>
              <w:marTop w:val="0"/>
              <w:marBottom w:val="0"/>
              <w:divBdr>
                <w:top w:val="none" w:sz="0" w:space="0" w:color="auto"/>
                <w:left w:val="none" w:sz="0" w:space="0" w:color="auto"/>
                <w:bottom w:val="none" w:sz="0" w:space="0" w:color="auto"/>
                <w:right w:val="none" w:sz="0" w:space="0" w:color="auto"/>
              </w:divBdr>
            </w:div>
          </w:divsChild>
        </w:div>
        <w:div w:id="1887257750">
          <w:marLeft w:val="0"/>
          <w:marRight w:val="0"/>
          <w:marTop w:val="0"/>
          <w:marBottom w:val="0"/>
          <w:divBdr>
            <w:top w:val="none" w:sz="0" w:space="0" w:color="auto"/>
            <w:left w:val="none" w:sz="0" w:space="0" w:color="auto"/>
            <w:bottom w:val="none" w:sz="0" w:space="0" w:color="auto"/>
            <w:right w:val="none" w:sz="0" w:space="0" w:color="auto"/>
          </w:divBdr>
          <w:divsChild>
            <w:div w:id="1380395094">
              <w:marLeft w:val="0"/>
              <w:marRight w:val="0"/>
              <w:marTop w:val="0"/>
              <w:marBottom w:val="0"/>
              <w:divBdr>
                <w:top w:val="none" w:sz="0" w:space="0" w:color="auto"/>
                <w:left w:val="none" w:sz="0" w:space="0" w:color="auto"/>
                <w:bottom w:val="none" w:sz="0" w:space="0" w:color="auto"/>
                <w:right w:val="none" w:sz="0" w:space="0" w:color="auto"/>
              </w:divBdr>
            </w:div>
          </w:divsChild>
        </w:div>
        <w:div w:id="1212577738">
          <w:marLeft w:val="0"/>
          <w:marRight w:val="0"/>
          <w:marTop w:val="0"/>
          <w:marBottom w:val="0"/>
          <w:divBdr>
            <w:top w:val="none" w:sz="0" w:space="0" w:color="auto"/>
            <w:left w:val="none" w:sz="0" w:space="0" w:color="auto"/>
            <w:bottom w:val="none" w:sz="0" w:space="0" w:color="auto"/>
            <w:right w:val="none" w:sz="0" w:space="0" w:color="auto"/>
          </w:divBdr>
          <w:divsChild>
            <w:div w:id="1979261309">
              <w:marLeft w:val="0"/>
              <w:marRight w:val="0"/>
              <w:marTop w:val="0"/>
              <w:marBottom w:val="0"/>
              <w:divBdr>
                <w:top w:val="none" w:sz="0" w:space="0" w:color="auto"/>
                <w:left w:val="none" w:sz="0" w:space="0" w:color="auto"/>
                <w:bottom w:val="none" w:sz="0" w:space="0" w:color="auto"/>
                <w:right w:val="none" w:sz="0" w:space="0" w:color="auto"/>
              </w:divBdr>
            </w:div>
          </w:divsChild>
        </w:div>
        <w:div w:id="1211726105">
          <w:marLeft w:val="0"/>
          <w:marRight w:val="0"/>
          <w:marTop w:val="0"/>
          <w:marBottom w:val="0"/>
          <w:divBdr>
            <w:top w:val="none" w:sz="0" w:space="0" w:color="auto"/>
            <w:left w:val="none" w:sz="0" w:space="0" w:color="auto"/>
            <w:bottom w:val="none" w:sz="0" w:space="0" w:color="auto"/>
            <w:right w:val="none" w:sz="0" w:space="0" w:color="auto"/>
          </w:divBdr>
          <w:divsChild>
            <w:div w:id="1051610192">
              <w:marLeft w:val="0"/>
              <w:marRight w:val="0"/>
              <w:marTop w:val="0"/>
              <w:marBottom w:val="0"/>
              <w:divBdr>
                <w:top w:val="none" w:sz="0" w:space="0" w:color="auto"/>
                <w:left w:val="none" w:sz="0" w:space="0" w:color="auto"/>
                <w:bottom w:val="none" w:sz="0" w:space="0" w:color="auto"/>
                <w:right w:val="none" w:sz="0" w:space="0" w:color="auto"/>
              </w:divBdr>
            </w:div>
          </w:divsChild>
        </w:div>
        <w:div w:id="1685670085">
          <w:marLeft w:val="0"/>
          <w:marRight w:val="0"/>
          <w:marTop w:val="0"/>
          <w:marBottom w:val="0"/>
          <w:divBdr>
            <w:top w:val="none" w:sz="0" w:space="0" w:color="auto"/>
            <w:left w:val="none" w:sz="0" w:space="0" w:color="auto"/>
            <w:bottom w:val="none" w:sz="0" w:space="0" w:color="auto"/>
            <w:right w:val="none" w:sz="0" w:space="0" w:color="auto"/>
          </w:divBdr>
          <w:divsChild>
            <w:div w:id="2107457500">
              <w:marLeft w:val="0"/>
              <w:marRight w:val="0"/>
              <w:marTop w:val="0"/>
              <w:marBottom w:val="0"/>
              <w:divBdr>
                <w:top w:val="none" w:sz="0" w:space="0" w:color="auto"/>
                <w:left w:val="none" w:sz="0" w:space="0" w:color="auto"/>
                <w:bottom w:val="none" w:sz="0" w:space="0" w:color="auto"/>
                <w:right w:val="none" w:sz="0" w:space="0" w:color="auto"/>
              </w:divBdr>
            </w:div>
          </w:divsChild>
        </w:div>
        <w:div w:id="1133712748">
          <w:marLeft w:val="0"/>
          <w:marRight w:val="0"/>
          <w:marTop w:val="0"/>
          <w:marBottom w:val="0"/>
          <w:divBdr>
            <w:top w:val="none" w:sz="0" w:space="0" w:color="auto"/>
            <w:left w:val="none" w:sz="0" w:space="0" w:color="auto"/>
            <w:bottom w:val="none" w:sz="0" w:space="0" w:color="auto"/>
            <w:right w:val="none" w:sz="0" w:space="0" w:color="auto"/>
          </w:divBdr>
          <w:divsChild>
            <w:div w:id="216286475">
              <w:marLeft w:val="0"/>
              <w:marRight w:val="0"/>
              <w:marTop w:val="0"/>
              <w:marBottom w:val="0"/>
              <w:divBdr>
                <w:top w:val="none" w:sz="0" w:space="0" w:color="auto"/>
                <w:left w:val="none" w:sz="0" w:space="0" w:color="auto"/>
                <w:bottom w:val="none" w:sz="0" w:space="0" w:color="auto"/>
                <w:right w:val="none" w:sz="0" w:space="0" w:color="auto"/>
              </w:divBdr>
            </w:div>
          </w:divsChild>
        </w:div>
        <w:div w:id="971638513">
          <w:marLeft w:val="0"/>
          <w:marRight w:val="0"/>
          <w:marTop w:val="0"/>
          <w:marBottom w:val="0"/>
          <w:divBdr>
            <w:top w:val="none" w:sz="0" w:space="0" w:color="auto"/>
            <w:left w:val="none" w:sz="0" w:space="0" w:color="auto"/>
            <w:bottom w:val="none" w:sz="0" w:space="0" w:color="auto"/>
            <w:right w:val="none" w:sz="0" w:space="0" w:color="auto"/>
          </w:divBdr>
          <w:divsChild>
            <w:div w:id="1950818207">
              <w:marLeft w:val="0"/>
              <w:marRight w:val="0"/>
              <w:marTop w:val="0"/>
              <w:marBottom w:val="0"/>
              <w:divBdr>
                <w:top w:val="none" w:sz="0" w:space="0" w:color="auto"/>
                <w:left w:val="none" w:sz="0" w:space="0" w:color="auto"/>
                <w:bottom w:val="none" w:sz="0" w:space="0" w:color="auto"/>
                <w:right w:val="none" w:sz="0" w:space="0" w:color="auto"/>
              </w:divBdr>
            </w:div>
          </w:divsChild>
        </w:div>
        <w:div w:id="48263712">
          <w:marLeft w:val="0"/>
          <w:marRight w:val="0"/>
          <w:marTop w:val="0"/>
          <w:marBottom w:val="0"/>
          <w:divBdr>
            <w:top w:val="none" w:sz="0" w:space="0" w:color="auto"/>
            <w:left w:val="none" w:sz="0" w:space="0" w:color="auto"/>
            <w:bottom w:val="none" w:sz="0" w:space="0" w:color="auto"/>
            <w:right w:val="none" w:sz="0" w:space="0" w:color="auto"/>
          </w:divBdr>
          <w:divsChild>
            <w:div w:id="266233960">
              <w:marLeft w:val="0"/>
              <w:marRight w:val="0"/>
              <w:marTop w:val="0"/>
              <w:marBottom w:val="0"/>
              <w:divBdr>
                <w:top w:val="none" w:sz="0" w:space="0" w:color="auto"/>
                <w:left w:val="none" w:sz="0" w:space="0" w:color="auto"/>
                <w:bottom w:val="none" w:sz="0" w:space="0" w:color="auto"/>
                <w:right w:val="none" w:sz="0" w:space="0" w:color="auto"/>
              </w:divBdr>
            </w:div>
          </w:divsChild>
        </w:div>
        <w:div w:id="803424718">
          <w:marLeft w:val="0"/>
          <w:marRight w:val="0"/>
          <w:marTop w:val="0"/>
          <w:marBottom w:val="0"/>
          <w:divBdr>
            <w:top w:val="none" w:sz="0" w:space="0" w:color="auto"/>
            <w:left w:val="none" w:sz="0" w:space="0" w:color="auto"/>
            <w:bottom w:val="none" w:sz="0" w:space="0" w:color="auto"/>
            <w:right w:val="none" w:sz="0" w:space="0" w:color="auto"/>
          </w:divBdr>
          <w:divsChild>
            <w:div w:id="599918820">
              <w:marLeft w:val="0"/>
              <w:marRight w:val="0"/>
              <w:marTop w:val="0"/>
              <w:marBottom w:val="0"/>
              <w:divBdr>
                <w:top w:val="none" w:sz="0" w:space="0" w:color="auto"/>
                <w:left w:val="none" w:sz="0" w:space="0" w:color="auto"/>
                <w:bottom w:val="none" w:sz="0" w:space="0" w:color="auto"/>
                <w:right w:val="none" w:sz="0" w:space="0" w:color="auto"/>
              </w:divBdr>
            </w:div>
          </w:divsChild>
        </w:div>
        <w:div w:id="2066639126">
          <w:marLeft w:val="0"/>
          <w:marRight w:val="0"/>
          <w:marTop w:val="0"/>
          <w:marBottom w:val="0"/>
          <w:divBdr>
            <w:top w:val="none" w:sz="0" w:space="0" w:color="auto"/>
            <w:left w:val="none" w:sz="0" w:space="0" w:color="auto"/>
            <w:bottom w:val="none" w:sz="0" w:space="0" w:color="auto"/>
            <w:right w:val="none" w:sz="0" w:space="0" w:color="auto"/>
          </w:divBdr>
        </w:div>
        <w:div w:id="1221286250">
          <w:marLeft w:val="0"/>
          <w:marRight w:val="0"/>
          <w:marTop w:val="0"/>
          <w:marBottom w:val="0"/>
          <w:divBdr>
            <w:top w:val="none" w:sz="0" w:space="0" w:color="auto"/>
            <w:left w:val="none" w:sz="0" w:space="0" w:color="auto"/>
            <w:bottom w:val="none" w:sz="0" w:space="0" w:color="auto"/>
            <w:right w:val="none" w:sz="0" w:space="0" w:color="auto"/>
          </w:divBdr>
          <w:divsChild>
            <w:div w:id="336151432">
              <w:marLeft w:val="0"/>
              <w:marRight w:val="0"/>
              <w:marTop w:val="0"/>
              <w:marBottom w:val="0"/>
              <w:divBdr>
                <w:top w:val="none" w:sz="0" w:space="0" w:color="auto"/>
                <w:left w:val="none" w:sz="0" w:space="0" w:color="auto"/>
                <w:bottom w:val="none" w:sz="0" w:space="0" w:color="auto"/>
                <w:right w:val="none" w:sz="0" w:space="0" w:color="auto"/>
              </w:divBdr>
            </w:div>
          </w:divsChild>
        </w:div>
        <w:div w:id="1799909880">
          <w:marLeft w:val="0"/>
          <w:marRight w:val="0"/>
          <w:marTop w:val="0"/>
          <w:marBottom w:val="0"/>
          <w:divBdr>
            <w:top w:val="none" w:sz="0" w:space="0" w:color="auto"/>
            <w:left w:val="none" w:sz="0" w:space="0" w:color="auto"/>
            <w:bottom w:val="none" w:sz="0" w:space="0" w:color="auto"/>
            <w:right w:val="none" w:sz="0" w:space="0" w:color="auto"/>
          </w:divBdr>
          <w:divsChild>
            <w:div w:id="613908238">
              <w:marLeft w:val="0"/>
              <w:marRight w:val="0"/>
              <w:marTop w:val="0"/>
              <w:marBottom w:val="0"/>
              <w:divBdr>
                <w:top w:val="none" w:sz="0" w:space="0" w:color="auto"/>
                <w:left w:val="none" w:sz="0" w:space="0" w:color="auto"/>
                <w:bottom w:val="none" w:sz="0" w:space="0" w:color="auto"/>
                <w:right w:val="none" w:sz="0" w:space="0" w:color="auto"/>
              </w:divBdr>
            </w:div>
          </w:divsChild>
        </w:div>
        <w:div w:id="1972056481">
          <w:marLeft w:val="0"/>
          <w:marRight w:val="0"/>
          <w:marTop w:val="0"/>
          <w:marBottom w:val="0"/>
          <w:divBdr>
            <w:top w:val="none" w:sz="0" w:space="0" w:color="auto"/>
            <w:left w:val="none" w:sz="0" w:space="0" w:color="auto"/>
            <w:bottom w:val="none" w:sz="0" w:space="0" w:color="auto"/>
            <w:right w:val="none" w:sz="0" w:space="0" w:color="auto"/>
          </w:divBdr>
          <w:divsChild>
            <w:div w:id="1247767786">
              <w:marLeft w:val="0"/>
              <w:marRight w:val="0"/>
              <w:marTop w:val="0"/>
              <w:marBottom w:val="0"/>
              <w:divBdr>
                <w:top w:val="none" w:sz="0" w:space="0" w:color="auto"/>
                <w:left w:val="none" w:sz="0" w:space="0" w:color="auto"/>
                <w:bottom w:val="none" w:sz="0" w:space="0" w:color="auto"/>
                <w:right w:val="none" w:sz="0" w:space="0" w:color="auto"/>
              </w:divBdr>
            </w:div>
          </w:divsChild>
        </w:div>
        <w:div w:id="1227640410">
          <w:marLeft w:val="0"/>
          <w:marRight w:val="0"/>
          <w:marTop w:val="0"/>
          <w:marBottom w:val="0"/>
          <w:divBdr>
            <w:top w:val="none" w:sz="0" w:space="0" w:color="auto"/>
            <w:left w:val="none" w:sz="0" w:space="0" w:color="auto"/>
            <w:bottom w:val="none" w:sz="0" w:space="0" w:color="auto"/>
            <w:right w:val="none" w:sz="0" w:space="0" w:color="auto"/>
          </w:divBdr>
          <w:divsChild>
            <w:div w:id="221019553">
              <w:marLeft w:val="0"/>
              <w:marRight w:val="0"/>
              <w:marTop w:val="0"/>
              <w:marBottom w:val="0"/>
              <w:divBdr>
                <w:top w:val="none" w:sz="0" w:space="0" w:color="auto"/>
                <w:left w:val="none" w:sz="0" w:space="0" w:color="auto"/>
                <w:bottom w:val="none" w:sz="0" w:space="0" w:color="auto"/>
                <w:right w:val="none" w:sz="0" w:space="0" w:color="auto"/>
              </w:divBdr>
            </w:div>
          </w:divsChild>
        </w:div>
        <w:div w:id="1204051846">
          <w:marLeft w:val="0"/>
          <w:marRight w:val="0"/>
          <w:marTop w:val="0"/>
          <w:marBottom w:val="0"/>
          <w:divBdr>
            <w:top w:val="none" w:sz="0" w:space="0" w:color="auto"/>
            <w:left w:val="none" w:sz="0" w:space="0" w:color="auto"/>
            <w:bottom w:val="none" w:sz="0" w:space="0" w:color="auto"/>
            <w:right w:val="none" w:sz="0" w:space="0" w:color="auto"/>
          </w:divBdr>
          <w:divsChild>
            <w:div w:id="130945140">
              <w:marLeft w:val="0"/>
              <w:marRight w:val="0"/>
              <w:marTop w:val="0"/>
              <w:marBottom w:val="0"/>
              <w:divBdr>
                <w:top w:val="none" w:sz="0" w:space="0" w:color="auto"/>
                <w:left w:val="none" w:sz="0" w:space="0" w:color="auto"/>
                <w:bottom w:val="none" w:sz="0" w:space="0" w:color="auto"/>
                <w:right w:val="none" w:sz="0" w:space="0" w:color="auto"/>
              </w:divBdr>
            </w:div>
          </w:divsChild>
        </w:div>
        <w:div w:id="935210550">
          <w:marLeft w:val="0"/>
          <w:marRight w:val="0"/>
          <w:marTop w:val="0"/>
          <w:marBottom w:val="0"/>
          <w:divBdr>
            <w:top w:val="none" w:sz="0" w:space="0" w:color="auto"/>
            <w:left w:val="none" w:sz="0" w:space="0" w:color="auto"/>
            <w:bottom w:val="none" w:sz="0" w:space="0" w:color="auto"/>
            <w:right w:val="none" w:sz="0" w:space="0" w:color="auto"/>
          </w:divBdr>
          <w:divsChild>
            <w:div w:id="366805877">
              <w:marLeft w:val="0"/>
              <w:marRight w:val="0"/>
              <w:marTop w:val="0"/>
              <w:marBottom w:val="0"/>
              <w:divBdr>
                <w:top w:val="none" w:sz="0" w:space="0" w:color="auto"/>
                <w:left w:val="none" w:sz="0" w:space="0" w:color="auto"/>
                <w:bottom w:val="none" w:sz="0" w:space="0" w:color="auto"/>
                <w:right w:val="none" w:sz="0" w:space="0" w:color="auto"/>
              </w:divBdr>
            </w:div>
          </w:divsChild>
        </w:div>
        <w:div w:id="474685687">
          <w:marLeft w:val="0"/>
          <w:marRight w:val="0"/>
          <w:marTop w:val="0"/>
          <w:marBottom w:val="0"/>
          <w:divBdr>
            <w:top w:val="none" w:sz="0" w:space="0" w:color="auto"/>
            <w:left w:val="none" w:sz="0" w:space="0" w:color="auto"/>
            <w:bottom w:val="none" w:sz="0" w:space="0" w:color="auto"/>
            <w:right w:val="none" w:sz="0" w:space="0" w:color="auto"/>
          </w:divBdr>
          <w:divsChild>
            <w:div w:id="687298337">
              <w:marLeft w:val="0"/>
              <w:marRight w:val="0"/>
              <w:marTop w:val="0"/>
              <w:marBottom w:val="0"/>
              <w:divBdr>
                <w:top w:val="none" w:sz="0" w:space="0" w:color="auto"/>
                <w:left w:val="none" w:sz="0" w:space="0" w:color="auto"/>
                <w:bottom w:val="none" w:sz="0" w:space="0" w:color="auto"/>
                <w:right w:val="none" w:sz="0" w:space="0" w:color="auto"/>
              </w:divBdr>
            </w:div>
          </w:divsChild>
        </w:div>
        <w:div w:id="1846432907">
          <w:marLeft w:val="0"/>
          <w:marRight w:val="0"/>
          <w:marTop w:val="0"/>
          <w:marBottom w:val="0"/>
          <w:divBdr>
            <w:top w:val="none" w:sz="0" w:space="0" w:color="auto"/>
            <w:left w:val="none" w:sz="0" w:space="0" w:color="auto"/>
            <w:bottom w:val="none" w:sz="0" w:space="0" w:color="auto"/>
            <w:right w:val="none" w:sz="0" w:space="0" w:color="auto"/>
          </w:divBdr>
          <w:divsChild>
            <w:div w:id="232549343">
              <w:marLeft w:val="0"/>
              <w:marRight w:val="0"/>
              <w:marTop w:val="0"/>
              <w:marBottom w:val="0"/>
              <w:divBdr>
                <w:top w:val="none" w:sz="0" w:space="0" w:color="auto"/>
                <w:left w:val="none" w:sz="0" w:space="0" w:color="auto"/>
                <w:bottom w:val="none" w:sz="0" w:space="0" w:color="auto"/>
                <w:right w:val="none" w:sz="0" w:space="0" w:color="auto"/>
              </w:divBdr>
            </w:div>
          </w:divsChild>
        </w:div>
        <w:div w:id="69541195">
          <w:marLeft w:val="0"/>
          <w:marRight w:val="0"/>
          <w:marTop w:val="0"/>
          <w:marBottom w:val="0"/>
          <w:divBdr>
            <w:top w:val="none" w:sz="0" w:space="0" w:color="auto"/>
            <w:left w:val="none" w:sz="0" w:space="0" w:color="auto"/>
            <w:bottom w:val="none" w:sz="0" w:space="0" w:color="auto"/>
            <w:right w:val="none" w:sz="0" w:space="0" w:color="auto"/>
          </w:divBdr>
          <w:divsChild>
            <w:div w:id="17246211">
              <w:marLeft w:val="0"/>
              <w:marRight w:val="0"/>
              <w:marTop w:val="0"/>
              <w:marBottom w:val="0"/>
              <w:divBdr>
                <w:top w:val="none" w:sz="0" w:space="0" w:color="auto"/>
                <w:left w:val="none" w:sz="0" w:space="0" w:color="auto"/>
                <w:bottom w:val="none" w:sz="0" w:space="0" w:color="auto"/>
                <w:right w:val="none" w:sz="0" w:space="0" w:color="auto"/>
              </w:divBdr>
            </w:div>
          </w:divsChild>
        </w:div>
        <w:div w:id="1708751765">
          <w:marLeft w:val="0"/>
          <w:marRight w:val="0"/>
          <w:marTop w:val="0"/>
          <w:marBottom w:val="0"/>
          <w:divBdr>
            <w:top w:val="none" w:sz="0" w:space="0" w:color="auto"/>
            <w:left w:val="none" w:sz="0" w:space="0" w:color="auto"/>
            <w:bottom w:val="none" w:sz="0" w:space="0" w:color="auto"/>
            <w:right w:val="none" w:sz="0" w:space="0" w:color="auto"/>
          </w:divBdr>
          <w:divsChild>
            <w:div w:id="768545586">
              <w:marLeft w:val="0"/>
              <w:marRight w:val="0"/>
              <w:marTop w:val="0"/>
              <w:marBottom w:val="0"/>
              <w:divBdr>
                <w:top w:val="none" w:sz="0" w:space="0" w:color="auto"/>
                <w:left w:val="none" w:sz="0" w:space="0" w:color="auto"/>
                <w:bottom w:val="none" w:sz="0" w:space="0" w:color="auto"/>
                <w:right w:val="none" w:sz="0" w:space="0" w:color="auto"/>
              </w:divBdr>
            </w:div>
          </w:divsChild>
        </w:div>
        <w:div w:id="492110316">
          <w:marLeft w:val="0"/>
          <w:marRight w:val="0"/>
          <w:marTop w:val="0"/>
          <w:marBottom w:val="0"/>
          <w:divBdr>
            <w:top w:val="none" w:sz="0" w:space="0" w:color="auto"/>
            <w:left w:val="none" w:sz="0" w:space="0" w:color="auto"/>
            <w:bottom w:val="none" w:sz="0" w:space="0" w:color="auto"/>
            <w:right w:val="none" w:sz="0" w:space="0" w:color="auto"/>
          </w:divBdr>
          <w:divsChild>
            <w:div w:id="1628706735">
              <w:marLeft w:val="0"/>
              <w:marRight w:val="0"/>
              <w:marTop w:val="0"/>
              <w:marBottom w:val="0"/>
              <w:divBdr>
                <w:top w:val="none" w:sz="0" w:space="0" w:color="auto"/>
                <w:left w:val="none" w:sz="0" w:space="0" w:color="auto"/>
                <w:bottom w:val="none" w:sz="0" w:space="0" w:color="auto"/>
                <w:right w:val="none" w:sz="0" w:space="0" w:color="auto"/>
              </w:divBdr>
            </w:div>
          </w:divsChild>
        </w:div>
        <w:div w:id="1973320245">
          <w:marLeft w:val="0"/>
          <w:marRight w:val="0"/>
          <w:marTop w:val="0"/>
          <w:marBottom w:val="0"/>
          <w:divBdr>
            <w:top w:val="none" w:sz="0" w:space="0" w:color="auto"/>
            <w:left w:val="none" w:sz="0" w:space="0" w:color="auto"/>
            <w:bottom w:val="none" w:sz="0" w:space="0" w:color="auto"/>
            <w:right w:val="none" w:sz="0" w:space="0" w:color="auto"/>
          </w:divBdr>
          <w:divsChild>
            <w:div w:id="1269436560">
              <w:marLeft w:val="0"/>
              <w:marRight w:val="0"/>
              <w:marTop w:val="0"/>
              <w:marBottom w:val="0"/>
              <w:divBdr>
                <w:top w:val="none" w:sz="0" w:space="0" w:color="auto"/>
                <w:left w:val="none" w:sz="0" w:space="0" w:color="auto"/>
                <w:bottom w:val="none" w:sz="0" w:space="0" w:color="auto"/>
                <w:right w:val="none" w:sz="0" w:space="0" w:color="auto"/>
              </w:divBdr>
            </w:div>
          </w:divsChild>
        </w:div>
        <w:div w:id="978416942">
          <w:marLeft w:val="0"/>
          <w:marRight w:val="0"/>
          <w:marTop w:val="0"/>
          <w:marBottom w:val="0"/>
          <w:divBdr>
            <w:top w:val="none" w:sz="0" w:space="0" w:color="auto"/>
            <w:left w:val="none" w:sz="0" w:space="0" w:color="auto"/>
            <w:bottom w:val="none" w:sz="0" w:space="0" w:color="auto"/>
            <w:right w:val="none" w:sz="0" w:space="0" w:color="auto"/>
          </w:divBdr>
          <w:divsChild>
            <w:div w:id="1523666794">
              <w:marLeft w:val="0"/>
              <w:marRight w:val="0"/>
              <w:marTop w:val="0"/>
              <w:marBottom w:val="0"/>
              <w:divBdr>
                <w:top w:val="none" w:sz="0" w:space="0" w:color="auto"/>
                <w:left w:val="none" w:sz="0" w:space="0" w:color="auto"/>
                <w:bottom w:val="none" w:sz="0" w:space="0" w:color="auto"/>
                <w:right w:val="none" w:sz="0" w:space="0" w:color="auto"/>
              </w:divBdr>
            </w:div>
          </w:divsChild>
        </w:div>
        <w:div w:id="17858038">
          <w:marLeft w:val="0"/>
          <w:marRight w:val="0"/>
          <w:marTop w:val="0"/>
          <w:marBottom w:val="0"/>
          <w:divBdr>
            <w:top w:val="none" w:sz="0" w:space="0" w:color="auto"/>
            <w:left w:val="none" w:sz="0" w:space="0" w:color="auto"/>
            <w:bottom w:val="none" w:sz="0" w:space="0" w:color="auto"/>
            <w:right w:val="none" w:sz="0" w:space="0" w:color="auto"/>
          </w:divBdr>
          <w:divsChild>
            <w:div w:id="30887264">
              <w:marLeft w:val="0"/>
              <w:marRight w:val="0"/>
              <w:marTop w:val="0"/>
              <w:marBottom w:val="0"/>
              <w:divBdr>
                <w:top w:val="none" w:sz="0" w:space="0" w:color="auto"/>
                <w:left w:val="none" w:sz="0" w:space="0" w:color="auto"/>
                <w:bottom w:val="none" w:sz="0" w:space="0" w:color="auto"/>
                <w:right w:val="none" w:sz="0" w:space="0" w:color="auto"/>
              </w:divBdr>
            </w:div>
          </w:divsChild>
        </w:div>
        <w:div w:id="1171025034">
          <w:marLeft w:val="0"/>
          <w:marRight w:val="0"/>
          <w:marTop w:val="0"/>
          <w:marBottom w:val="0"/>
          <w:divBdr>
            <w:top w:val="none" w:sz="0" w:space="0" w:color="auto"/>
            <w:left w:val="none" w:sz="0" w:space="0" w:color="auto"/>
            <w:bottom w:val="none" w:sz="0" w:space="0" w:color="auto"/>
            <w:right w:val="none" w:sz="0" w:space="0" w:color="auto"/>
          </w:divBdr>
          <w:divsChild>
            <w:div w:id="1724986140">
              <w:marLeft w:val="0"/>
              <w:marRight w:val="0"/>
              <w:marTop w:val="0"/>
              <w:marBottom w:val="0"/>
              <w:divBdr>
                <w:top w:val="none" w:sz="0" w:space="0" w:color="auto"/>
                <w:left w:val="none" w:sz="0" w:space="0" w:color="auto"/>
                <w:bottom w:val="none" w:sz="0" w:space="0" w:color="auto"/>
                <w:right w:val="none" w:sz="0" w:space="0" w:color="auto"/>
              </w:divBdr>
            </w:div>
          </w:divsChild>
        </w:div>
        <w:div w:id="570849996">
          <w:marLeft w:val="0"/>
          <w:marRight w:val="0"/>
          <w:marTop w:val="0"/>
          <w:marBottom w:val="0"/>
          <w:divBdr>
            <w:top w:val="none" w:sz="0" w:space="0" w:color="auto"/>
            <w:left w:val="none" w:sz="0" w:space="0" w:color="auto"/>
            <w:bottom w:val="none" w:sz="0" w:space="0" w:color="auto"/>
            <w:right w:val="none" w:sz="0" w:space="0" w:color="auto"/>
          </w:divBdr>
        </w:div>
        <w:div w:id="42140160">
          <w:marLeft w:val="0"/>
          <w:marRight w:val="0"/>
          <w:marTop w:val="0"/>
          <w:marBottom w:val="0"/>
          <w:divBdr>
            <w:top w:val="none" w:sz="0" w:space="0" w:color="auto"/>
            <w:left w:val="none" w:sz="0" w:space="0" w:color="auto"/>
            <w:bottom w:val="none" w:sz="0" w:space="0" w:color="auto"/>
            <w:right w:val="none" w:sz="0" w:space="0" w:color="auto"/>
          </w:divBdr>
          <w:divsChild>
            <w:div w:id="14354966">
              <w:marLeft w:val="0"/>
              <w:marRight w:val="0"/>
              <w:marTop w:val="0"/>
              <w:marBottom w:val="0"/>
              <w:divBdr>
                <w:top w:val="none" w:sz="0" w:space="0" w:color="auto"/>
                <w:left w:val="none" w:sz="0" w:space="0" w:color="auto"/>
                <w:bottom w:val="none" w:sz="0" w:space="0" w:color="auto"/>
                <w:right w:val="none" w:sz="0" w:space="0" w:color="auto"/>
              </w:divBdr>
            </w:div>
          </w:divsChild>
        </w:div>
        <w:div w:id="193615628">
          <w:marLeft w:val="0"/>
          <w:marRight w:val="0"/>
          <w:marTop w:val="0"/>
          <w:marBottom w:val="0"/>
          <w:divBdr>
            <w:top w:val="none" w:sz="0" w:space="0" w:color="auto"/>
            <w:left w:val="none" w:sz="0" w:space="0" w:color="auto"/>
            <w:bottom w:val="none" w:sz="0" w:space="0" w:color="auto"/>
            <w:right w:val="none" w:sz="0" w:space="0" w:color="auto"/>
          </w:divBdr>
          <w:divsChild>
            <w:div w:id="1465271561">
              <w:marLeft w:val="0"/>
              <w:marRight w:val="0"/>
              <w:marTop w:val="0"/>
              <w:marBottom w:val="0"/>
              <w:divBdr>
                <w:top w:val="none" w:sz="0" w:space="0" w:color="auto"/>
                <w:left w:val="none" w:sz="0" w:space="0" w:color="auto"/>
                <w:bottom w:val="none" w:sz="0" w:space="0" w:color="auto"/>
                <w:right w:val="none" w:sz="0" w:space="0" w:color="auto"/>
              </w:divBdr>
            </w:div>
          </w:divsChild>
        </w:div>
        <w:div w:id="450053590">
          <w:marLeft w:val="0"/>
          <w:marRight w:val="0"/>
          <w:marTop w:val="0"/>
          <w:marBottom w:val="0"/>
          <w:divBdr>
            <w:top w:val="none" w:sz="0" w:space="0" w:color="auto"/>
            <w:left w:val="none" w:sz="0" w:space="0" w:color="auto"/>
            <w:bottom w:val="none" w:sz="0" w:space="0" w:color="auto"/>
            <w:right w:val="none" w:sz="0" w:space="0" w:color="auto"/>
          </w:divBdr>
          <w:divsChild>
            <w:div w:id="1206403864">
              <w:marLeft w:val="0"/>
              <w:marRight w:val="0"/>
              <w:marTop w:val="0"/>
              <w:marBottom w:val="0"/>
              <w:divBdr>
                <w:top w:val="none" w:sz="0" w:space="0" w:color="auto"/>
                <w:left w:val="none" w:sz="0" w:space="0" w:color="auto"/>
                <w:bottom w:val="none" w:sz="0" w:space="0" w:color="auto"/>
                <w:right w:val="none" w:sz="0" w:space="0" w:color="auto"/>
              </w:divBdr>
            </w:div>
          </w:divsChild>
        </w:div>
        <w:div w:id="2141722142">
          <w:marLeft w:val="0"/>
          <w:marRight w:val="0"/>
          <w:marTop w:val="0"/>
          <w:marBottom w:val="0"/>
          <w:divBdr>
            <w:top w:val="none" w:sz="0" w:space="0" w:color="auto"/>
            <w:left w:val="none" w:sz="0" w:space="0" w:color="auto"/>
            <w:bottom w:val="none" w:sz="0" w:space="0" w:color="auto"/>
            <w:right w:val="none" w:sz="0" w:space="0" w:color="auto"/>
          </w:divBdr>
          <w:divsChild>
            <w:div w:id="1326980592">
              <w:marLeft w:val="0"/>
              <w:marRight w:val="0"/>
              <w:marTop w:val="0"/>
              <w:marBottom w:val="0"/>
              <w:divBdr>
                <w:top w:val="none" w:sz="0" w:space="0" w:color="auto"/>
                <w:left w:val="none" w:sz="0" w:space="0" w:color="auto"/>
                <w:bottom w:val="none" w:sz="0" w:space="0" w:color="auto"/>
                <w:right w:val="none" w:sz="0" w:space="0" w:color="auto"/>
              </w:divBdr>
            </w:div>
          </w:divsChild>
        </w:div>
        <w:div w:id="1093284877">
          <w:marLeft w:val="0"/>
          <w:marRight w:val="0"/>
          <w:marTop w:val="0"/>
          <w:marBottom w:val="0"/>
          <w:divBdr>
            <w:top w:val="none" w:sz="0" w:space="0" w:color="auto"/>
            <w:left w:val="none" w:sz="0" w:space="0" w:color="auto"/>
            <w:bottom w:val="none" w:sz="0" w:space="0" w:color="auto"/>
            <w:right w:val="none" w:sz="0" w:space="0" w:color="auto"/>
          </w:divBdr>
          <w:divsChild>
            <w:div w:id="1164323571">
              <w:marLeft w:val="0"/>
              <w:marRight w:val="0"/>
              <w:marTop w:val="0"/>
              <w:marBottom w:val="0"/>
              <w:divBdr>
                <w:top w:val="none" w:sz="0" w:space="0" w:color="auto"/>
                <w:left w:val="none" w:sz="0" w:space="0" w:color="auto"/>
                <w:bottom w:val="none" w:sz="0" w:space="0" w:color="auto"/>
                <w:right w:val="none" w:sz="0" w:space="0" w:color="auto"/>
              </w:divBdr>
            </w:div>
          </w:divsChild>
        </w:div>
        <w:div w:id="1147477652">
          <w:marLeft w:val="0"/>
          <w:marRight w:val="0"/>
          <w:marTop w:val="0"/>
          <w:marBottom w:val="0"/>
          <w:divBdr>
            <w:top w:val="none" w:sz="0" w:space="0" w:color="auto"/>
            <w:left w:val="none" w:sz="0" w:space="0" w:color="auto"/>
            <w:bottom w:val="none" w:sz="0" w:space="0" w:color="auto"/>
            <w:right w:val="none" w:sz="0" w:space="0" w:color="auto"/>
          </w:divBdr>
          <w:divsChild>
            <w:div w:id="1872649354">
              <w:marLeft w:val="0"/>
              <w:marRight w:val="0"/>
              <w:marTop w:val="0"/>
              <w:marBottom w:val="0"/>
              <w:divBdr>
                <w:top w:val="none" w:sz="0" w:space="0" w:color="auto"/>
                <w:left w:val="none" w:sz="0" w:space="0" w:color="auto"/>
                <w:bottom w:val="none" w:sz="0" w:space="0" w:color="auto"/>
                <w:right w:val="none" w:sz="0" w:space="0" w:color="auto"/>
              </w:divBdr>
            </w:div>
          </w:divsChild>
        </w:div>
        <w:div w:id="714307211">
          <w:marLeft w:val="0"/>
          <w:marRight w:val="0"/>
          <w:marTop w:val="0"/>
          <w:marBottom w:val="0"/>
          <w:divBdr>
            <w:top w:val="none" w:sz="0" w:space="0" w:color="auto"/>
            <w:left w:val="none" w:sz="0" w:space="0" w:color="auto"/>
            <w:bottom w:val="none" w:sz="0" w:space="0" w:color="auto"/>
            <w:right w:val="none" w:sz="0" w:space="0" w:color="auto"/>
          </w:divBdr>
          <w:divsChild>
            <w:div w:id="1259292858">
              <w:marLeft w:val="0"/>
              <w:marRight w:val="0"/>
              <w:marTop w:val="0"/>
              <w:marBottom w:val="0"/>
              <w:divBdr>
                <w:top w:val="none" w:sz="0" w:space="0" w:color="auto"/>
                <w:left w:val="none" w:sz="0" w:space="0" w:color="auto"/>
                <w:bottom w:val="none" w:sz="0" w:space="0" w:color="auto"/>
                <w:right w:val="none" w:sz="0" w:space="0" w:color="auto"/>
              </w:divBdr>
            </w:div>
          </w:divsChild>
        </w:div>
        <w:div w:id="412555028">
          <w:marLeft w:val="0"/>
          <w:marRight w:val="0"/>
          <w:marTop w:val="0"/>
          <w:marBottom w:val="0"/>
          <w:divBdr>
            <w:top w:val="none" w:sz="0" w:space="0" w:color="auto"/>
            <w:left w:val="none" w:sz="0" w:space="0" w:color="auto"/>
            <w:bottom w:val="none" w:sz="0" w:space="0" w:color="auto"/>
            <w:right w:val="none" w:sz="0" w:space="0" w:color="auto"/>
          </w:divBdr>
          <w:divsChild>
            <w:div w:id="624041556">
              <w:marLeft w:val="0"/>
              <w:marRight w:val="0"/>
              <w:marTop w:val="0"/>
              <w:marBottom w:val="0"/>
              <w:divBdr>
                <w:top w:val="none" w:sz="0" w:space="0" w:color="auto"/>
                <w:left w:val="none" w:sz="0" w:space="0" w:color="auto"/>
                <w:bottom w:val="none" w:sz="0" w:space="0" w:color="auto"/>
                <w:right w:val="none" w:sz="0" w:space="0" w:color="auto"/>
              </w:divBdr>
            </w:div>
          </w:divsChild>
        </w:div>
        <w:div w:id="590621512">
          <w:marLeft w:val="0"/>
          <w:marRight w:val="0"/>
          <w:marTop w:val="0"/>
          <w:marBottom w:val="0"/>
          <w:divBdr>
            <w:top w:val="none" w:sz="0" w:space="0" w:color="auto"/>
            <w:left w:val="none" w:sz="0" w:space="0" w:color="auto"/>
            <w:bottom w:val="none" w:sz="0" w:space="0" w:color="auto"/>
            <w:right w:val="none" w:sz="0" w:space="0" w:color="auto"/>
          </w:divBdr>
          <w:divsChild>
            <w:div w:id="1676228519">
              <w:marLeft w:val="0"/>
              <w:marRight w:val="0"/>
              <w:marTop w:val="0"/>
              <w:marBottom w:val="0"/>
              <w:divBdr>
                <w:top w:val="none" w:sz="0" w:space="0" w:color="auto"/>
                <w:left w:val="none" w:sz="0" w:space="0" w:color="auto"/>
                <w:bottom w:val="none" w:sz="0" w:space="0" w:color="auto"/>
                <w:right w:val="none" w:sz="0" w:space="0" w:color="auto"/>
              </w:divBdr>
            </w:div>
          </w:divsChild>
        </w:div>
        <w:div w:id="1866480723">
          <w:marLeft w:val="0"/>
          <w:marRight w:val="0"/>
          <w:marTop w:val="0"/>
          <w:marBottom w:val="0"/>
          <w:divBdr>
            <w:top w:val="none" w:sz="0" w:space="0" w:color="auto"/>
            <w:left w:val="none" w:sz="0" w:space="0" w:color="auto"/>
            <w:bottom w:val="none" w:sz="0" w:space="0" w:color="auto"/>
            <w:right w:val="none" w:sz="0" w:space="0" w:color="auto"/>
          </w:divBdr>
          <w:divsChild>
            <w:div w:id="1977685750">
              <w:marLeft w:val="0"/>
              <w:marRight w:val="0"/>
              <w:marTop w:val="0"/>
              <w:marBottom w:val="0"/>
              <w:divBdr>
                <w:top w:val="none" w:sz="0" w:space="0" w:color="auto"/>
                <w:left w:val="none" w:sz="0" w:space="0" w:color="auto"/>
                <w:bottom w:val="none" w:sz="0" w:space="0" w:color="auto"/>
                <w:right w:val="none" w:sz="0" w:space="0" w:color="auto"/>
              </w:divBdr>
            </w:div>
          </w:divsChild>
        </w:div>
        <w:div w:id="689991785">
          <w:marLeft w:val="0"/>
          <w:marRight w:val="0"/>
          <w:marTop w:val="0"/>
          <w:marBottom w:val="0"/>
          <w:divBdr>
            <w:top w:val="none" w:sz="0" w:space="0" w:color="auto"/>
            <w:left w:val="none" w:sz="0" w:space="0" w:color="auto"/>
            <w:bottom w:val="none" w:sz="0" w:space="0" w:color="auto"/>
            <w:right w:val="none" w:sz="0" w:space="0" w:color="auto"/>
          </w:divBdr>
          <w:divsChild>
            <w:div w:id="977952696">
              <w:marLeft w:val="0"/>
              <w:marRight w:val="0"/>
              <w:marTop w:val="0"/>
              <w:marBottom w:val="0"/>
              <w:divBdr>
                <w:top w:val="none" w:sz="0" w:space="0" w:color="auto"/>
                <w:left w:val="none" w:sz="0" w:space="0" w:color="auto"/>
                <w:bottom w:val="none" w:sz="0" w:space="0" w:color="auto"/>
                <w:right w:val="none" w:sz="0" w:space="0" w:color="auto"/>
              </w:divBdr>
            </w:div>
          </w:divsChild>
        </w:div>
        <w:div w:id="1340700322">
          <w:marLeft w:val="0"/>
          <w:marRight w:val="0"/>
          <w:marTop w:val="0"/>
          <w:marBottom w:val="0"/>
          <w:divBdr>
            <w:top w:val="none" w:sz="0" w:space="0" w:color="auto"/>
            <w:left w:val="none" w:sz="0" w:space="0" w:color="auto"/>
            <w:bottom w:val="none" w:sz="0" w:space="0" w:color="auto"/>
            <w:right w:val="none" w:sz="0" w:space="0" w:color="auto"/>
          </w:divBdr>
          <w:divsChild>
            <w:div w:id="530148672">
              <w:marLeft w:val="0"/>
              <w:marRight w:val="0"/>
              <w:marTop w:val="0"/>
              <w:marBottom w:val="0"/>
              <w:divBdr>
                <w:top w:val="none" w:sz="0" w:space="0" w:color="auto"/>
                <w:left w:val="none" w:sz="0" w:space="0" w:color="auto"/>
                <w:bottom w:val="none" w:sz="0" w:space="0" w:color="auto"/>
                <w:right w:val="none" w:sz="0" w:space="0" w:color="auto"/>
              </w:divBdr>
            </w:div>
          </w:divsChild>
        </w:div>
        <w:div w:id="1545406331">
          <w:marLeft w:val="0"/>
          <w:marRight w:val="0"/>
          <w:marTop w:val="0"/>
          <w:marBottom w:val="0"/>
          <w:divBdr>
            <w:top w:val="none" w:sz="0" w:space="0" w:color="auto"/>
            <w:left w:val="none" w:sz="0" w:space="0" w:color="auto"/>
            <w:bottom w:val="none" w:sz="0" w:space="0" w:color="auto"/>
            <w:right w:val="none" w:sz="0" w:space="0" w:color="auto"/>
          </w:divBdr>
          <w:divsChild>
            <w:div w:id="1228420309">
              <w:marLeft w:val="0"/>
              <w:marRight w:val="0"/>
              <w:marTop w:val="0"/>
              <w:marBottom w:val="0"/>
              <w:divBdr>
                <w:top w:val="none" w:sz="0" w:space="0" w:color="auto"/>
                <w:left w:val="none" w:sz="0" w:space="0" w:color="auto"/>
                <w:bottom w:val="none" w:sz="0" w:space="0" w:color="auto"/>
                <w:right w:val="none" w:sz="0" w:space="0" w:color="auto"/>
              </w:divBdr>
            </w:div>
          </w:divsChild>
        </w:div>
        <w:div w:id="477310505">
          <w:marLeft w:val="0"/>
          <w:marRight w:val="0"/>
          <w:marTop w:val="0"/>
          <w:marBottom w:val="0"/>
          <w:divBdr>
            <w:top w:val="none" w:sz="0" w:space="0" w:color="auto"/>
            <w:left w:val="none" w:sz="0" w:space="0" w:color="auto"/>
            <w:bottom w:val="none" w:sz="0" w:space="0" w:color="auto"/>
            <w:right w:val="none" w:sz="0" w:space="0" w:color="auto"/>
          </w:divBdr>
          <w:divsChild>
            <w:div w:id="1478913276">
              <w:marLeft w:val="0"/>
              <w:marRight w:val="0"/>
              <w:marTop w:val="0"/>
              <w:marBottom w:val="0"/>
              <w:divBdr>
                <w:top w:val="none" w:sz="0" w:space="0" w:color="auto"/>
                <w:left w:val="none" w:sz="0" w:space="0" w:color="auto"/>
                <w:bottom w:val="none" w:sz="0" w:space="0" w:color="auto"/>
                <w:right w:val="none" w:sz="0" w:space="0" w:color="auto"/>
              </w:divBdr>
            </w:div>
          </w:divsChild>
        </w:div>
        <w:div w:id="1532263205">
          <w:marLeft w:val="0"/>
          <w:marRight w:val="0"/>
          <w:marTop w:val="0"/>
          <w:marBottom w:val="0"/>
          <w:divBdr>
            <w:top w:val="none" w:sz="0" w:space="0" w:color="auto"/>
            <w:left w:val="none" w:sz="0" w:space="0" w:color="auto"/>
            <w:bottom w:val="none" w:sz="0" w:space="0" w:color="auto"/>
            <w:right w:val="none" w:sz="0" w:space="0" w:color="auto"/>
          </w:divBdr>
          <w:divsChild>
            <w:div w:id="476650914">
              <w:marLeft w:val="0"/>
              <w:marRight w:val="0"/>
              <w:marTop w:val="0"/>
              <w:marBottom w:val="0"/>
              <w:divBdr>
                <w:top w:val="none" w:sz="0" w:space="0" w:color="auto"/>
                <w:left w:val="none" w:sz="0" w:space="0" w:color="auto"/>
                <w:bottom w:val="none" w:sz="0" w:space="0" w:color="auto"/>
                <w:right w:val="none" w:sz="0" w:space="0" w:color="auto"/>
              </w:divBdr>
            </w:div>
          </w:divsChild>
        </w:div>
        <w:div w:id="318922147">
          <w:marLeft w:val="0"/>
          <w:marRight w:val="0"/>
          <w:marTop w:val="0"/>
          <w:marBottom w:val="0"/>
          <w:divBdr>
            <w:top w:val="none" w:sz="0" w:space="0" w:color="auto"/>
            <w:left w:val="none" w:sz="0" w:space="0" w:color="auto"/>
            <w:bottom w:val="none" w:sz="0" w:space="0" w:color="auto"/>
            <w:right w:val="none" w:sz="0" w:space="0" w:color="auto"/>
          </w:divBdr>
          <w:divsChild>
            <w:div w:id="1873111101">
              <w:marLeft w:val="0"/>
              <w:marRight w:val="0"/>
              <w:marTop w:val="0"/>
              <w:marBottom w:val="0"/>
              <w:divBdr>
                <w:top w:val="none" w:sz="0" w:space="0" w:color="auto"/>
                <w:left w:val="none" w:sz="0" w:space="0" w:color="auto"/>
                <w:bottom w:val="none" w:sz="0" w:space="0" w:color="auto"/>
                <w:right w:val="none" w:sz="0" w:space="0" w:color="auto"/>
              </w:divBdr>
            </w:div>
          </w:divsChild>
        </w:div>
        <w:div w:id="1250583992">
          <w:marLeft w:val="0"/>
          <w:marRight w:val="0"/>
          <w:marTop w:val="0"/>
          <w:marBottom w:val="0"/>
          <w:divBdr>
            <w:top w:val="none" w:sz="0" w:space="0" w:color="auto"/>
            <w:left w:val="none" w:sz="0" w:space="0" w:color="auto"/>
            <w:bottom w:val="none" w:sz="0" w:space="0" w:color="auto"/>
            <w:right w:val="none" w:sz="0" w:space="0" w:color="auto"/>
          </w:divBdr>
          <w:divsChild>
            <w:div w:id="1477600578">
              <w:marLeft w:val="0"/>
              <w:marRight w:val="0"/>
              <w:marTop w:val="0"/>
              <w:marBottom w:val="0"/>
              <w:divBdr>
                <w:top w:val="none" w:sz="0" w:space="0" w:color="auto"/>
                <w:left w:val="none" w:sz="0" w:space="0" w:color="auto"/>
                <w:bottom w:val="none" w:sz="0" w:space="0" w:color="auto"/>
                <w:right w:val="none" w:sz="0" w:space="0" w:color="auto"/>
              </w:divBdr>
            </w:div>
          </w:divsChild>
        </w:div>
        <w:div w:id="78799256">
          <w:marLeft w:val="0"/>
          <w:marRight w:val="0"/>
          <w:marTop w:val="0"/>
          <w:marBottom w:val="0"/>
          <w:divBdr>
            <w:top w:val="none" w:sz="0" w:space="0" w:color="auto"/>
            <w:left w:val="none" w:sz="0" w:space="0" w:color="auto"/>
            <w:bottom w:val="none" w:sz="0" w:space="0" w:color="auto"/>
            <w:right w:val="none" w:sz="0" w:space="0" w:color="auto"/>
          </w:divBdr>
          <w:divsChild>
            <w:div w:id="395010672">
              <w:marLeft w:val="0"/>
              <w:marRight w:val="0"/>
              <w:marTop w:val="0"/>
              <w:marBottom w:val="0"/>
              <w:divBdr>
                <w:top w:val="none" w:sz="0" w:space="0" w:color="auto"/>
                <w:left w:val="none" w:sz="0" w:space="0" w:color="auto"/>
                <w:bottom w:val="none" w:sz="0" w:space="0" w:color="auto"/>
                <w:right w:val="none" w:sz="0" w:space="0" w:color="auto"/>
              </w:divBdr>
            </w:div>
          </w:divsChild>
        </w:div>
        <w:div w:id="232357115">
          <w:marLeft w:val="0"/>
          <w:marRight w:val="0"/>
          <w:marTop w:val="0"/>
          <w:marBottom w:val="0"/>
          <w:divBdr>
            <w:top w:val="none" w:sz="0" w:space="0" w:color="auto"/>
            <w:left w:val="none" w:sz="0" w:space="0" w:color="auto"/>
            <w:bottom w:val="none" w:sz="0" w:space="0" w:color="auto"/>
            <w:right w:val="none" w:sz="0" w:space="0" w:color="auto"/>
          </w:divBdr>
          <w:divsChild>
            <w:div w:id="1267037473">
              <w:marLeft w:val="0"/>
              <w:marRight w:val="0"/>
              <w:marTop w:val="0"/>
              <w:marBottom w:val="0"/>
              <w:divBdr>
                <w:top w:val="none" w:sz="0" w:space="0" w:color="auto"/>
                <w:left w:val="none" w:sz="0" w:space="0" w:color="auto"/>
                <w:bottom w:val="none" w:sz="0" w:space="0" w:color="auto"/>
                <w:right w:val="none" w:sz="0" w:space="0" w:color="auto"/>
              </w:divBdr>
            </w:div>
          </w:divsChild>
        </w:div>
        <w:div w:id="1285768533">
          <w:marLeft w:val="0"/>
          <w:marRight w:val="0"/>
          <w:marTop w:val="0"/>
          <w:marBottom w:val="0"/>
          <w:divBdr>
            <w:top w:val="none" w:sz="0" w:space="0" w:color="auto"/>
            <w:left w:val="none" w:sz="0" w:space="0" w:color="auto"/>
            <w:bottom w:val="none" w:sz="0" w:space="0" w:color="auto"/>
            <w:right w:val="none" w:sz="0" w:space="0" w:color="auto"/>
          </w:divBdr>
          <w:divsChild>
            <w:div w:id="407120344">
              <w:marLeft w:val="0"/>
              <w:marRight w:val="0"/>
              <w:marTop w:val="0"/>
              <w:marBottom w:val="0"/>
              <w:divBdr>
                <w:top w:val="none" w:sz="0" w:space="0" w:color="auto"/>
                <w:left w:val="none" w:sz="0" w:space="0" w:color="auto"/>
                <w:bottom w:val="none" w:sz="0" w:space="0" w:color="auto"/>
                <w:right w:val="none" w:sz="0" w:space="0" w:color="auto"/>
              </w:divBdr>
            </w:div>
          </w:divsChild>
        </w:div>
        <w:div w:id="1105273180">
          <w:marLeft w:val="0"/>
          <w:marRight w:val="0"/>
          <w:marTop w:val="0"/>
          <w:marBottom w:val="0"/>
          <w:divBdr>
            <w:top w:val="none" w:sz="0" w:space="0" w:color="auto"/>
            <w:left w:val="none" w:sz="0" w:space="0" w:color="auto"/>
            <w:bottom w:val="none" w:sz="0" w:space="0" w:color="auto"/>
            <w:right w:val="none" w:sz="0" w:space="0" w:color="auto"/>
          </w:divBdr>
          <w:divsChild>
            <w:div w:id="1997874744">
              <w:marLeft w:val="0"/>
              <w:marRight w:val="0"/>
              <w:marTop w:val="0"/>
              <w:marBottom w:val="0"/>
              <w:divBdr>
                <w:top w:val="none" w:sz="0" w:space="0" w:color="auto"/>
                <w:left w:val="none" w:sz="0" w:space="0" w:color="auto"/>
                <w:bottom w:val="none" w:sz="0" w:space="0" w:color="auto"/>
                <w:right w:val="none" w:sz="0" w:space="0" w:color="auto"/>
              </w:divBdr>
            </w:div>
          </w:divsChild>
        </w:div>
        <w:div w:id="293953473">
          <w:marLeft w:val="0"/>
          <w:marRight w:val="0"/>
          <w:marTop w:val="0"/>
          <w:marBottom w:val="0"/>
          <w:divBdr>
            <w:top w:val="none" w:sz="0" w:space="0" w:color="auto"/>
            <w:left w:val="none" w:sz="0" w:space="0" w:color="auto"/>
            <w:bottom w:val="none" w:sz="0" w:space="0" w:color="auto"/>
            <w:right w:val="none" w:sz="0" w:space="0" w:color="auto"/>
          </w:divBdr>
          <w:divsChild>
            <w:div w:id="1495759194">
              <w:marLeft w:val="0"/>
              <w:marRight w:val="0"/>
              <w:marTop w:val="0"/>
              <w:marBottom w:val="0"/>
              <w:divBdr>
                <w:top w:val="none" w:sz="0" w:space="0" w:color="auto"/>
                <w:left w:val="none" w:sz="0" w:space="0" w:color="auto"/>
                <w:bottom w:val="none" w:sz="0" w:space="0" w:color="auto"/>
                <w:right w:val="none" w:sz="0" w:space="0" w:color="auto"/>
              </w:divBdr>
            </w:div>
          </w:divsChild>
        </w:div>
        <w:div w:id="169488210">
          <w:marLeft w:val="0"/>
          <w:marRight w:val="0"/>
          <w:marTop w:val="0"/>
          <w:marBottom w:val="0"/>
          <w:divBdr>
            <w:top w:val="none" w:sz="0" w:space="0" w:color="auto"/>
            <w:left w:val="none" w:sz="0" w:space="0" w:color="auto"/>
            <w:bottom w:val="none" w:sz="0" w:space="0" w:color="auto"/>
            <w:right w:val="none" w:sz="0" w:space="0" w:color="auto"/>
          </w:divBdr>
          <w:divsChild>
            <w:div w:id="1374650120">
              <w:marLeft w:val="0"/>
              <w:marRight w:val="0"/>
              <w:marTop w:val="0"/>
              <w:marBottom w:val="0"/>
              <w:divBdr>
                <w:top w:val="none" w:sz="0" w:space="0" w:color="auto"/>
                <w:left w:val="none" w:sz="0" w:space="0" w:color="auto"/>
                <w:bottom w:val="none" w:sz="0" w:space="0" w:color="auto"/>
                <w:right w:val="none" w:sz="0" w:space="0" w:color="auto"/>
              </w:divBdr>
            </w:div>
          </w:divsChild>
        </w:div>
        <w:div w:id="555361134">
          <w:marLeft w:val="0"/>
          <w:marRight w:val="0"/>
          <w:marTop w:val="0"/>
          <w:marBottom w:val="0"/>
          <w:divBdr>
            <w:top w:val="none" w:sz="0" w:space="0" w:color="auto"/>
            <w:left w:val="none" w:sz="0" w:space="0" w:color="auto"/>
            <w:bottom w:val="none" w:sz="0" w:space="0" w:color="auto"/>
            <w:right w:val="none" w:sz="0" w:space="0" w:color="auto"/>
          </w:divBdr>
          <w:divsChild>
            <w:div w:id="1818371913">
              <w:marLeft w:val="0"/>
              <w:marRight w:val="0"/>
              <w:marTop w:val="0"/>
              <w:marBottom w:val="0"/>
              <w:divBdr>
                <w:top w:val="none" w:sz="0" w:space="0" w:color="auto"/>
                <w:left w:val="none" w:sz="0" w:space="0" w:color="auto"/>
                <w:bottom w:val="none" w:sz="0" w:space="0" w:color="auto"/>
                <w:right w:val="none" w:sz="0" w:space="0" w:color="auto"/>
              </w:divBdr>
            </w:div>
          </w:divsChild>
        </w:div>
        <w:div w:id="1106343228">
          <w:marLeft w:val="0"/>
          <w:marRight w:val="0"/>
          <w:marTop w:val="0"/>
          <w:marBottom w:val="0"/>
          <w:divBdr>
            <w:top w:val="none" w:sz="0" w:space="0" w:color="auto"/>
            <w:left w:val="none" w:sz="0" w:space="0" w:color="auto"/>
            <w:bottom w:val="none" w:sz="0" w:space="0" w:color="auto"/>
            <w:right w:val="none" w:sz="0" w:space="0" w:color="auto"/>
          </w:divBdr>
          <w:divsChild>
            <w:div w:id="230234706">
              <w:marLeft w:val="0"/>
              <w:marRight w:val="0"/>
              <w:marTop w:val="0"/>
              <w:marBottom w:val="0"/>
              <w:divBdr>
                <w:top w:val="none" w:sz="0" w:space="0" w:color="auto"/>
                <w:left w:val="none" w:sz="0" w:space="0" w:color="auto"/>
                <w:bottom w:val="none" w:sz="0" w:space="0" w:color="auto"/>
                <w:right w:val="none" w:sz="0" w:space="0" w:color="auto"/>
              </w:divBdr>
            </w:div>
          </w:divsChild>
        </w:div>
        <w:div w:id="1093287092">
          <w:marLeft w:val="0"/>
          <w:marRight w:val="0"/>
          <w:marTop w:val="0"/>
          <w:marBottom w:val="0"/>
          <w:divBdr>
            <w:top w:val="none" w:sz="0" w:space="0" w:color="auto"/>
            <w:left w:val="none" w:sz="0" w:space="0" w:color="auto"/>
            <w:bottom w:val="none" w:sz="0" w:space="0" w:color="auto"/>
            <w:right w:val="none" w:sz="0" w:space="0" w:color="auto"/>
          </w:divBdr>
          <w:divsChild>
            <w:div w:id="1336613748">
              <w:marLeft w:val="0"/>
              <w:marRight w:val="0"/>
              <w:marTop w:val="0"/>
              <w:marBottom w:val="0"/>
              <w:divBdr>
                <w:top w:val="none" w:sz="0" w:space="0" w:color="auto"/>
                <w:left w:val="none" w:sz="0" w:space="0" w:color="auto"/>
                <w:bottom w:val="none" w:sz="0" w:space="0" w:color="auto"/>
                <w:right w:val="none" w:sz="0" w:space="0" w:color="auto"/>
              </w:divBdr>
            </w:div>
          </w:divsChild>
        </w:div>
        <w:div w:id="562104221">
          <w:marLeft w:val="0"/>
          <w:marRight w:val="0"/>
          <w:marTop w:val="0"/>
          <w:marBottom w:val="0"/>
          <w:divBdr>
            <w:top w:val="none" w:sz="0" w:space="0" w:color="auto"/>
            <w:left w:val="none" w:sz="0" w:space="0" w:color="auto"/>
            <w:bottom w:val="none" w:sz="0" w:space="0" w:color="auto"/>
            <w:right w:val="none" w:sz="0" w:space="0" w:color="auto"/>
          </w:divBdr>
          <w:divsChild>
            <w:div w:id="11653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7904">
      <w:bodyDiv w:val="1"/>
      <w:marLeft w:val="0"/>
      <w:marRight w:val="0"/>
      <w:marTop w:val="0"/>
      <w:marBottom w:val="0"/>
      <w:divBdr>
        <w:top w:val="none" w:sz="0" w:space="0" w:color="auto"/>
        <w:left w:val="none" w:sz="0" w:space="0" w:color="auto"/>
        <w:bottom w:val="none" w:sz="0" w:space="0" w:color="auto"/>
        <w:right w:val="none" w:sz="0" w:space="0" w:color="auto"/>
      </w:divBdr>
    </w:div>
    <w:div w:id="1745951587">
      <w:bodyDiv w:val="1"/>
      <w:marLeft w:val="0"/>
      <w:marRight w:val="0"/>
      <w:marTop w:val="0"/>
      <w:marBottom w:val="0"/>
      <w:divBdr>
        <w:top w:val="none" w:sz="0" w:space="0" w:color="auto"/>
        <w:left w:val="none" w:sz="0" w:space="0" w:color="auto"/>
        <w:bottom w:val="none" w:sz="0" w:space="0" w:color="auto"/>
        <w:right w:val="none" w:sz="0" w:space="0" w:color="auto"/>
      </w:divBdr>
    </w:div>
    <w:div w:id="1759405317">
      <w:bodyDiv w:val="1"/>
      <w:marLeft w:val="0"/>
      <w:marRight w:val="0"/>
      <w:marTop w:val="0"/>
      <w:marBottom w:val="0"/>
      <w:divBdr>
        <w:top w:val="none" w:sz="0" w:space="0" w:color="auto"/>
        <w:left w:val="none" w:sz="0" w:space="0" w:color="auto"/>
        <w:bottom w:val="none" w:sz="0" w:space="0" w:color="auto"/>
        <w:right w:val="none" w:sz="0" w:space="0" w:color="auto"/>
      </w:divBdr>
      <w:divsChild>
        <w:div w:id="1106462405">
          <w:marLeft w:val="0"/>
          <w:marRight w:val="0"/>
          <w:marTop w:val="0"/>
          <w:marBottom w:val="0"/>
          <w:divBdr>
            <w:top w:val="none" w:sz="0" w:space="0" w:color="auto"/>
            <w:left w:val="none" w:sz="0" w:space="0" w:color="auto"/>
            <w:bottom w:val="none" w:sz="0" w:space="0" w:color="auto"/>
            <w:right w:val="none" w:sz="0" w:space="0" w:color="auto"/>
          </w:divBdr>
        </w:div>
      </w:divsChild>
    </w:div>
    <w:div w:id="1779328366">
      <w:bodyDiv w:val="1"/>
      <w:marLeft w:val="0"/>
      <w:marRight w:val="0"/>
      <w:marTop w:val="0"/>
      <w:marBottom w:val="0"/>
      <w:divBdr>
        <w:top w:val="none" w:sz="0" w:space="0" w:color="auto"/>
        <w:left w:val="none" w:sz="0" w:space="0" w:color="auto"/>
        <w:bottom w:val="none" w:sz="0" w:space="0" w:color="auto"/>
        <w:right w:val="none" w:sz="0" w:space="0" w:color="auto"/>
      </w:divBdr>
      <w:divsChild>
        <w:div w:id="930117367">
          <w:marLeft w:val="0"/>
          <w:marRight w:val="0"/>
          <w:marTop w:val="0"/>
          <w:marBottom w:val="0"/>
          <w:divBdr>
            <w:top w:val="single" w:sz="2" w:space="0" w:color="E5E7EB"/>
            <w:left w:val="single" w:sz="2" w:space="0" w:color="E5E7EB"/>
            <w:bottom w:val="single" w:sz="2" w:space="0" w:color="E5E7EB"/>
            <w:right w:val="single" w:sz="2" w:space="0" w:color="E5E7EB"/>
          </w:divBdr>
          <w:divsChild>
            <w:div w:id="1216891937">
              <w:marLeft w:val="0"/>
              <w:marRight w:val="0"/>
              <w:marTop w:val="0"/>
              <w:marBottom w:val="0"/>
              <w:divBdr>
                <w:top w:val="single" w:sz="2" w:space="0" w:color="E5E7EB"/>
                <w:left w:val="single" w:sz="2" w:space="0" w:color="E5E7EB"/>
                <w:bottom w:val="single" w:sz="2" w:space="0" w:color="E5E7EB"/>
                <w:right w:val="single" w:sz="2" w:space="0" w:color="E5E7EB"/>
              </w:divBdr>
              <w:divsChild>
                <w:div w:id="1570117542">
                  <w:marLeft w:val="0"/>
                  <w:marRight w:val="0"/>
                  <w:marTop w:val="0"/>
                  <w:marBottom w:val="0"/>
                  <w:divBdr>
                    <w:top w:val="single" w:sz="2" w:space="0" w:color="E5E7EB"/>
                    <w:left w:val="single" w:sz="2" w:space="0" w:color="E5E7EB"/>
                    <w:bottom w:val="single" w:sz="2" w:space="0" w:color="E5E7EB"/>
                    <w:right w:val="single" w:sz="2" w:space="0" w:color="E5E7EB"/>
                  </w:divBdr>
                  <w:divsChild>
                    <w:div w:id="678385893">
                      <w:marLeft w:val="0"/>
                      <w:marRight w:val="0"/>
                      <w:marTop w:val="0"/>
                      <w:marBottom w:val="0"/>
                      <w:divBdr>
                        <w:top w:val="single" w:sz="2" w:space="0" w:color="E5E7EB"/>
                        <w:left w:val="single" w:sz="2" w:space="0" w:color="E5E7EB"/>
                        <w:bottom w:val="single" w:sz="2" w:space="0" w:color="E5E7EB"/>
                        <w:right w:val="single" w:sz="2" w:space="0" w:color="E5E7EB"/>
                      </w:divBdr>
                      <w:divsChild>
                        <w:div w:id="1071272596">
                          <w:marLeft w:val="0"/>
                          <w:marRight w:val="0"/>
                          <w:marTop w:val="0"/>
                          <w:marBottom w:val="0"/>
                          <w:divBdr>
                            <w:top w:val="single" w:sz="6" w:space="0" w:color="F3F4F6"/>
                            <w:left w:val="single" w:sz="6" w:space="0" w:color="F3F4F6"/>
                            <w:bottom w:val="single" w:sz="6" w:space="0" w:color="F3F4F6"/>
                            <w:right w:val="single" w:sz="6" w:space="0" w:color="F3F4F6"/>
                          </w:divBdr>
                          <w:divsChild>
                            <w:div w:id="77287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30366534">
          <w:marLeft w:val="0"/>
          <w:marRight w:val="0"/>
          <w:marTop w:val="0"/>
          <w:marBottom w:val="0"/>
          <w:divBdr>
            <w:top w:val="single" w:sz="2" w:space="0" w:color="E5E7EB"/>
            <w:left w:val="single" w:sz="2" w:space="0" w:color="E5E7EB"/>
            <w:bottom w:val="single" w:sz="2" w:space="0" w:color="E5E7EB"/>
            <w:right w:val="single" w:sz="2" w:space="0" w:color="E5E7EB"/>
          </w:divBdr>
          <w:divsChild>
            <w:div w:id="270403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9618305">
      <w:bodyDiv w:val="1"/>
      <w:marLeft w:val="0"/>
      <w:marRight w:val="0"/>
      <w:marTop w:val="0"/>
      <w:marBottom w:val="0"/>
      <w:divBdr>
        <w:top w:val="none" w:sz="0" w:space="0" w:color="auto"/>
        <w:left w:val="none" w:sz="0" w:space="0" w:color="auto"/>
        <w:bottom w:val="none" w:sz="0" w:space="0" w:color="auto"/>
        <w:right w:val="none" w:sz="0" w:space="0" w:color="auto"/>
      </w:divBdr>
      <w:divsChild>
        <w:div w:id="1249801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0785527">
      <w:bodyDiv w:val="1"/>
      <w:marLeft w:val="0"/>
      <w:marRight w:val="0"/>
      <w:marTop w:val="0"/>
      <w:marBottom w:val="0"/>
      <w:divBdr>
        <w:top w:val="none" w:sz="0" w:space="0" w:color="auto"/>
        <w:left w:val="none" w:sz="0" w:space="0" w:color="auto"/>
        <w:bottom w:val="none" w:sz="0" w:space="0" w:color="auto"/>
        <w:right w:val="none" w:sz="0" w:space="0" w:color="auto"/>
      </w:divBdr>
    </w:div>
    <w:div w:id="1840464872">
      <w:bodyDiv w:val="1"/>
      <w:marLeft w:val="0"/>
      <w:marRight w:val="0"/>
      <w:marTop w:val="0"/>
      <w:marBottom w:val="0"/>
      <w:divBdr>
        <w:top w:val="none" w:sz="0" w:space="0" w:color="auto"/>
        <w:left w:val="none" w:sz="0" w:space="0" w:color="auto"/>
        <w:bottom w:val="none" w:sz="0" w:space="0" w:color="auto"/>
        <w:right w:val="none" w:sz="0" w:space="0" w:color="auto"/>
      </w:divBdr>
    </w:div>
    <w:div w:id="1877815490">
      <w:bodyDiv w:val="1"/>
      <w:marLeft w:val="0"/>
      <w:marRight w:val="0"/>
      <w:marTop w:val="0"/>
      <w:marBottom w:val="0"/>
      <w:divBdr>
        <w:top w:val="none" w:sz="0" w:space="0" w:color="auto"/>
        <w:left w:val="none" w:sz="0" w:space="0" w:color="auto"/>
        <w:bottom w:val="none" w:sz="0" w:space="0" w:color="auto"/>
        <w:right w:val="none" w:sz="0" w:space="0" w:color="auto"/>
      </w:divBdr>
    </w:div>
    <w:div w:id="1900290154">
      <w:bodyDiv w:val="1"/>
      <w:marLeft w:val="0"/>
      <w:marRight w:val="0"/>
      <w:marTop w:val="0"/>
      <w:marBottom w:val="0"/>
      <w:divBdr>
        <w:top w:val="none" w:sz="0" w:space="0" w:color="auto"/>
        <w:left w:val="none" w:sz="0" w:space="0" w:color="auto"/>
        <w:bottom w:val="none" w:sz="0" w:space="0" w:color="auto"/>
        <w:right w:val="none" w:sz="0" w:space="0" w:color="auto"/>
      </w:divBdr>
    </w:div>
    <w:div w:id="1912542572">
      <w:bodyDiv w:val="1"/>
      <w:marLeft w:val="0"/>
      <w:marRight w:val="0"/>
      <w:marTop w:val="0"/>
      <w:marBottom w:val="0"/>
      <w:divBdr>
        <w:top w:val="none" w:sz="0" w:space="0" w:color="auto"/>
        <w:left w:val="none" w:sz="0" w:space="0" w:color="auto"/>
        <w:bottom w:val="none" w:sz="0" w:space="0" w:color="auto"/>
        <w:right w:val="none" w:sz="0" w:space="0" w:color="auto"/>
      </w:divBdr>
    </w:div>
    <w:div w:id="1917204929">
      <w:bodyDiv w:val="1"/>
      <w:marLeft w:val="0"/>
      <w:marRight w:val="0"/>
      <w:marTop w:val="0"/>
      <w:marBottom w:val="0"/>
      <w:divBdr>
        <w:top w:val="none" w:sz="0" w:space="0" w:color="auto"/>
        <w:left w:val="none" w:sz="0" w:space="0" w:color="auto"/>
        <w:bottom w:val="none" w:sz="0" w:space="0" w:color="auto"/>
        <w:right w:val="none" w:sz="0" w:space="0" w:color="auto"/>
      </w:divBdr>
    </w:div>
    <w:div w:id="1918858830">
      <w:bodyDiv w:val="1"/>
      <w:marLeft w:val="0"/>
      <w:marRight w:val="0"/>
      <w:marTop w:val="0"/>
      <w:marBottom w:val="0"/>
      <w:divBdr>
        <w:top w:val="none" w:sz="0" w:space="0" w:color="auto"/>
        <w:left w:val="none" w:sz="0" w:space="0" w:color="auto"/>
        <w:bottom w:val="none" w:sz="0" w:space="0" w:color="auto"/>
        <w:right w:val="none" w:sz="0" w:space="0" w:color="auto"/>
      </w:divBdr>
    </w:div>
    <w:div w:id="1924023296">
      <w:bodyDiv w:val="1"/>
      <w:marLeft w:val="0"/>
      <w:marRight w:val="0"/>
      <w:marTop w:val="0"/>
      <w:marBottom w:val="0"/>
      <w:divBdr>
        <w:top w:val="none" w:sz="0" w:space="0" w:color="auto"/>
        <w:left w:val="none" w:sz="0" w:space="0" w:color="auto"/>
        <w:bottom w:val="none" w:sz="0" w:space="0" w:color="auto"/>
        <w:right w:val="none" w:sz="0" w:space="0" w:color="auto"/>
      </w:divBdr>
    </w:div>
    <w:div w:id="1926455791">
      <w:bodyDiv w:val="1"/>
      <w:marLeft w:val="0"/>
      <w:marRight w:val="0"/>
      <w:marTop w:val="0"/>
      <w:marBottom w:val="0"/>
      <w:divBdr>
        <w:top w:val="none" w:sz="0" w:space="0" w:color="auto"/>
        <w:left w:val="none" w:sz="0" w:space="0" w:color="auto"/>
        <w:bottom w:val="none" w:sz="0" w:space="0" w:color="auto"/>
        <w:right w:val="none" w:sz="0" w:space="0" w:color="auto"/>
      </w:divBdr>
    </w:div>
    <w:div w:id="1927810554">
      <w:bodyDiv w:val="1"/>
      <w:marLeft w:val="0"/>
      <w:marRight w:val="0"/>
      <w:marTop w:val="0"/>
      <w:marBottom w:val="0"/>
      <w:divBdr>
        <w:top w:val="none" w:sz="0" w:space="0" w:color="auto"/>
        <w:left w:val="none" w:sz="0" w:space="0" w:color="auto"/>
        <w:bottom w:val="none" w:sz="0" w:space="0" w:color="auto"/>
        <w:right w:val="none" w:sz="0" w:space="0" w:color="auto"/>
      </w:divBdr>
    </w:div>
    <w:div w:id="1942489229">
      <w:bodyDiv w:val="1"/>
      <w:marLeft w:val="0"/>
      <w:marRight w:val="0"/>
      <w:marTop w:val="0"/>
      <w:marBottom w:val="0"/>
      <w:divBdr>
        <w:top w:val="none" w:sz="0" w:space="0" w:color="auto"/>
        <w:left w:val="none" w:sz="0" w:space="0" w:color="auto"/>
        <w:bottom w:val="none" w:sz="0" w:space="0" w:color="auto"/>
        <w:right w:val="none" w:sz="0" w:space="0" w:color="auto"/>
      </w:divBdr>
    </w:div>
    <w:div w:id="1962955824">
      <w:bodyDiv w:val="1"/>
      <w:marLeft w:val="0"/>
      <w:marRight w:val="0"/>
      <w:marTop w:val="0"/>
      <w:marBottom w:val="0"/>
      <w:divBdr>
        <w:top w:val="none" w:sz="0" w:space="0" w:color="auto"/>
        <w:left w:val="none" w:sz="0" w:space="0" w:color="auto"/>
        <w:bottom w:val="none" w:sz="0" w:space="0" w:color="auto"/>
        <w:right w:val="none" w:sz="0" w:space="0" w:color="auto"/>
      </w:divBdr>
    </w:div>
    <w:div w:id="1983580280">
      <w:bodyDiv w:val="1"/>
      <w:marLeft w:val="0"/>
      <w:marRight w:val="0"/>
      <w:marTop w:val="0"/>
      <w:marBottom w:val="0"/>
      <w:divBdr>
        <w:top w:val="none" w:sz="0" w:space="0" w:color="auto"/>
        <w:left w:val="none" w:sz="0" w:space="0" w:color="auto"/>
        <w:bottom w:val="none" w:sz="0" w:space="0" w:color="auto"/>
        <w:right w:val="none" w:sz="0" w:space="0" w:color="auto"/>
      </w:divBdr>
    </w:div>
    <w:div w:id="1987006220">
      <w:bodyDiv w:val="1"/>
      <w:marLeft w:val="0"/>
      <w:marRight w:val="0"/>
      <w:marTop w:val="0"/>
      <w:marBottom w:val="0"/>
      <w:divBdr>
        <w:top w:val="none" w:sz="0" w:space="0" w:color="auto"/>
        <w:left w:val="none" w:sz="0" w:space="0" w:color="auto"/>
        <w:bottom w:val="none" w:sz="0" w:space="0" w:color="auto"/>
        <w:right w:val="none" w:sz="0" w:space="0" w:color="auto"/>
      </w:divBdr>
      <w:divsChild>
        <w:div w:id="983508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0791929">
      <w:bodyDiv w:val="1"/>
      <w:marLeft w:val="0"/>
      <w:marRight w:val="0"/>
      <w:marTop w:val="0"/>
      <w:marBottom w:val="0"/>
      <w:divBdr>
        <w:top w:val="none" w:sz="0" w:space="0" w:color="auto"/>
        <w:left w:val="none" w:sz="0" w:space="0" w:color="auto"/>
        <w:bottom w:val="none" w:sz="0" w:space="0" w:color="auto"/>
        <w:right w:val="none" w:sz="0" w:space="0" w:color="auto"/>
      </w:divBdr>
    </w:div>
    <w:div w:id="1995722991">
      <w:bodyDiv w:val="1"/>
      <w:marLeft w:val="0"/>
      <w:marRight w:val="0"/>
      <w:marTop w:val="0"/>
      <w:marBottom w:val="0"/>
      <w:divBdr>
        <w:top w:val="none" w:sz="0" w:space="0" w:color="auto"/>
        <w:left w:val="none" w:sz="0" w:space="0" w:color="auto"/>
        <w:bottom w:val="none" w:sz="0" w:space="0" w:color="auto"/>
        <w:right w:val="none" w:sz="0" w:space="0" w:color="auto"/>
      </w:divBdr>
    </w:div>
    <w:div w:id="2007442318">
      <w:bodyDiv w:val="1"/>
      <w:marLeft w:val="0"/>
      <w:marRight w:val="0"/>
      <w:marTop w:val="0"/>
      <w:marBottom w:val="0"/>
      <w:divBdr>
        <w:top w:val="none" w:sz="0" w:space="0" w:color="auto"/>
        <w:left w:val="none" w:sz="0" w:space="0" w:color="auto"/>
        <w:bottom w:val="none" w:sz="0" w:space="0" w:color="auto"/>
        <w:right w:val="none" w:sz="0" w:space="0" w:color="auto"/>
      </w:divBdr>
    </w:div>
    <w:div w:id="2031837213">
      <w:bodyDiv w:val="1"/>
      <w:marLeft w:val="0"/>
      <w:marRight w:val="0"/>
      <w:marTop w:val="0"/>
      <w:marBottom w:val="0"/>
      <w:divBdr>
        <w:top w:val="none" w:sz="0" w:space="0" w:color="auto"/>
        <w:left w:val="none" w:sz="0" w:space="0" w:color="auto"/>
        <w:bottom w:val="none" w:sz="0" w:space="0" w:color="auto"/>
        <w:right w:val="none" w:sz="0" w:space="0" w:color="auto"/>
      </w:divBdr>
    </w:div>
    <w:div w:id="2049451313">
      <w:bodyDiv w:val="1"/>
      <w:marLeft w:val="0"/>
      <w:marRight w:val="0"/>
      <w:marTop w:val="0"/>
      <w:marBottom w:val="0"/>
      <w:divBdr>
        <w:top w:val="none" w:sz="0" w:space="0" w:color="auto"/>
        <w:left w:val="none" w:sz="0" w:space="0" w:color="auto"/>
        <w:bottom w:val="none" w:sz="0" w:space="0" w:color="auto"/>
        <w:right w:val="none" w:sz="0" w:space="0" w:color="auto"/>
      </w:divBdr>
    </w:div>
    <w:div w:id="2067145938">
      <w:bodyDiv w:val="1"/>
      <w:marLeft w:val="0"/>
      <w:marRight w:val="0"/>
      <w:marTop w:val="0"/>
      <w:marBottom w:val="0"/>
      <w:divBdr>
        <w:top w:val="none" w:sz="0" w:space="0" w:color="auto"/>
        <w:left w:val="none" w:sz="0" w:space="0" w:color="auto"/>
        <w:bottom w:val="none" w:sz="0" w:space="0" w:color="auto"/>
        <w:right w:val="none" w:sz="0" w:space="0" w:color="auto"/>
      </w:divBdr>
    </w:div>
    <w:div w:id="2071683002">
      <w:bodyDiv w:val="1"/>
      <w:marLeft w:val="0"/>
      <w:marRight w:val="0"/>
      <w:marTop w:val="0"/>
      <w:marBottom w:val="0"/>
      <w:divBdr>
        <w:top w:val="none" w:sz="0" w:space="0" w:color="auto"/>
        <w:left w:val="none" w:sz="0" w:space="0" w:color="auto"/>
        <w:bottom w:val="none" w:sz="0" w:space="0" w:color="auto"/>
        <w:right w:val="none" w:sz="0" w:space="0" w:color="auto"/>
      </w:divBdr>
    </w:div>
    <w:div w:id="2079669830">
      <w:bodyDiv w:val="1"/>
      <w:marLeft w:val="0"/>
      <w:marRight w:val="0"/>
      <w:marTop w:val="0"/>
      <w:marBottom w:val="0"/>
      <w:divBdr>
        <w:top w:val="none" w:sz="0" w:space="0" w:color="auto"/>
        <w:left w:val="none" w:sz="0" w:space="0" w:color="auto"/>
        <w:bottom w:val="none" w:sz="0" w:space="0" w:color="auto"/>
        <w:right w:val="none" w:sz="0" w:space="0" w:color="auto"/>
      </w:divBdr>
    </w:div>
    <w:div w:id="2087921171">
      <w:bodyDiv w:val="1"/>
      <w:marLeft w:val="0"/>
      <w:marRight w:val="0"/>
      <w:marTop w:val="0"/>
      <w:marBottom w:val="0"/>
      <w:divBdr>
        <w:top w:val="none" w:sz="0" w:space="0" w:color="auto"/>
        <w:left w:val="none" w:sz="0" w:space="0" w:color="auto"/>
        <w:bottom w:val="none" w:sz="0" w:space="0" w:color="auto"/>
        <w:right w:val="none" w:sz="0" w:space="0" w:color="auto"/>
      </w:divBdr>
    </w:div>
    <w:div w:id="2108696490">
      <w:bodyDiv w:val="1"/>
      <w:marLeft w:val="0"/>
      <w:marRight w:val="0"/>
      <w:marTop w:val="0"/>
      <w:marBottom w:val="0"/>
      <w:divBdr>
        <w:top w:val="none" w:sz="0" w:space="0" w:color="auto"/>
        <w:left w:val="none" w:sz="0" w:space="0" w:color="auto"/>
        <w:bottom w:val="none" w:sz="0" w:space="0" w:color="auto"/>
        <w:right w:val="none" w:sz="0" w:space="0" w:color="auto"/>
      </w:divBdr>
    </w:div>
    <w:div w:id="2122677956">
      <w:bodyDiv w:val="1"/>
      <w:marLeft w:val="0"/>
      <w:marRight w:val="0"/>
      <w:marTop w:val="0"/>
      <w:marBottom w:val="0"/>
      <w:divBdr>
        <w:top w:val="none" w:sz="0" w:space="0" w:color="auto"/>
        <w:left w:val="none" w:sz="0" w:space="0" w:color="auto"/>
        <w:bottom w:val="none" w:sz="0" w:space="0" w:color="auto"/>
        <w:right w:val="none" w:sz="0" w:space="0" w:color="auto"/>
      </w:divBdr>
    </w:div>
    <w:div w:id="2128237201">
      <w:bodyDiv w:val="1"/>
      <w:marLeft w:val="0"/>
      <w:marRight w:val="0"/>
      <w:marTop w:val="0"/>
      <w:marBottom w:val="0"/>
      <w:divBdr>
        <w:top w:val="none" w:sz="0" w:space="0" w:color="auto"/>
        <w:left w:val="none" w:sz="0" w:space="0" w:color="auto"/>
        <w:bottom w:val="none" w:sz="0" w:space="0" w:color="auto"/>
        <w:right w:val="none" w:sz="0" w:space="0" w:color="auto"/>
      </w:divBdr>
    </w:div>
    <w:div w:id="213393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footer" Target="footer3.xml"/><Relationship Id="rId21" Type="http://schemas.openxmlformats.org/officeDocument/2006/relationships/chart" Target="charts/chart4.xml"/><Relationship Id="rId42" Type="http://schemas.openxmlformats.org/officeDocument/2006/relationships/chart" Target="charts/chart21.xml"/><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chart" Target="charts/chart23.xml"/><Relationship Id="rId84" Type="http://schemas.openxmlformats.org/officeDocument/2006/relationships/image" Target="media/image40.png"/><Relationship Id="rId89" Type="http://schemas.openxmlformats.org/officeDocument/2006/relationships/chart" Target="charts/chart33.xml"/><Relationship Id="rId112" Type="http://schemas.openxmlformats.org/officeDocument/2006/relationships/image" Target="media/image55.png"/><Relationship Id="rId133" Type="http://schemas.openxmlformats.org/officeDocument/2006/relationships/hyperlink" Target="http://repositorio.fjp.mg.gov.br/handle/123456789/3553" TargetMode="External"/><Relationship Id="rId138" Type="http://schemas.openxmlformats.org/officeDocument/2006/relationships/hyperlink" Target="https://revista.tcu.gov.br/ojs/index.php/RTCU/article/view/1841/1904" TargetMode="External"/><Relationship Id="rId16" Type="http://schemas.openxmlformats.org/officeDocument/2006/relationships/header" Target="header3.xml"/><Relationship Id="rId107" Type="http://schemas.openxmlformats.org/officeDocument/2006/relationships/chart" Target="charts/chart42.xml"/><Relationship Id="rId11" Type="http://schemas.openxmlformats.org/officeDocument/2006/relationships/footer" Target="footer1.xml"/><Relationship Id="rId32" Type="http://schemas.openxmlformats.org/officeDocument/2006/relationships/chart" Target="charts/chart13.xml"/><Relationship Id="rId37" Type="http://schemas.openxmlformats.org/officeDocument/2006/relationships/chart" Target="charts/chart17.xm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5.png"/><Relationship Id="rId79" Type="http://schemas.openxmlformats.org/officeDocument/2006/relationships/chart" Target="charts/chart28.xml"/><Relationship Id="rId102" Type="http://schemas.openxmlformats.org/officeDocument/2006/relationships/image" Target="media/image49.png"/><Relationship Id="rId123" Type="http://schemas.openxmlformats.org/officeDocument/2006/relationships/hyperlink" Target="https://www.cnj.jus.br/wp-content/uploads/2023/04/relatorio-pesquisa-percepcao-e-avaliacao-do-pjb.pdf" TargetMode="External"/><Relationship Id="rId128" Type="http://schemas.openxmlformats.org/officeDocument/2006/relationships/hyperlink" Target="https://organograma.tst.jus.br/" TargetMode="External"/><Relationship Id="rId5" Type="http://schemas.openxmlformats.org/officeDocument/2006/relationships/settings" Target="settings.xml"/><Relationship Id="rId90" Type="http://schemas.openxmlformats.org/officeDocument/2006/relationships/image" Target="media/image43.png"/><Relationship Id="rId95" Type="http://schemas.openxmlformats.org/officeDocument/2006/relationships/chart" Target="charts/chart36.xml"/><Relationship Id="rId22" Type="http://schemas.openxmlformats.org/officeDocument/2006/relationships/chart" Target="charts/chart5.xml"/><Relationship Id="rId27" Type="http://schemas.openxmlformats.org/officeDocument/2006/relationships/chart" Target="charts/chart10.xml"/><Relationship Id="rId43" Type="http://schemas.openxmlformats.org/officeDocument/2006/relationships/chart" Target="charts/chart22.xml"/><Relationship Id="rId48" Type="http://schemas.openxmlformats.org/officeDocument/2006/relationships/image" Target="media/image12.png"/><Relationship Id="rId64" Type="http://schemas.openxmlformats.org/officeDocument/2006/relationships/image" Target="media/image28.png"/><Relationship Id="rId69" Type="http://schemas.openxmlformats.org/officeDocument/2006/relationships/image" Target="media/image32.png"/><Relationship Id="rId113" Type="http://schemas.openxmlformats.org/officeDocument/2006/relationships/image" Target="media/image56.png"/><Relationship Id="rId118" Type="http://schemas.openxmlformats.org/officeDocument/2006/relationships/hyperlink" Target="https://publications.iadb.org/pt/publications/portuguese/viewer/Mulheres-lideres-no-setor-publico-da-America-Latina-e-do-Caribe-lacunas-e-opportunidades.pdf" TargetMode="External"/><Relationship Id="rId134" Type="http://schemas.openxmlformats.org/officeDocument/2006/relationships/hyperlink" Target="https://censo2022.ibge.gov.br/panorama/" TargetMode="External"/><Relationship Id="rId139" Type="http://schemas.openxmlformats.org/officeDocument/2006/relationships/hyperlink" Target="https://revista.tcu.gov.br/ojs/index.php/RTCU/article/view/1841/1904" TargetMode="Externa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chart" Target="charts/chart25.xml"/><Relationship Id="rId80" Type="http://schemas.openxmlformats.org/officeDocument/2006/relationships/image" Target="media/image38.png"/><Relationship Id="rId85" Type="http://schemas.openxmlformats.org/officeDocument/2006/relationships/chart" Target="charts/chart31.xml"/><Relationship Id="rId93" Type="http://schemas.openxmlformats.org/officeDocument/2006/relationships/chart" Target="charts/chart35.xml"/><Relationship Id="rId98" Type="http://schemas.openxmlformats.org/officeDocument/2006/relationships/image" Target="media/image47.png"/><Relationship Id="rId121" Type="http://schemas.openxmlformats.org/officeDocument/2006/relationships/hyperlink" Target="https://justica-em-numeros.cnj.jus.br/painel-estatistica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image" Target="media/image7.png"/><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31.png"/><Relationship Id="rId103" Type="http://schemas.openxmlformats.org/officeDocument/2006/relationships/chart" Target="charts/chart40.xml"/><Relationship Id="rId108" Type="http://schemas.openxmlformats.org/officeDocument/2006/relationships/image" Target="media/image52.png"/><Relationship Id="rId116" Type="http://schemas.openxmlformats.org/officeDocument/2006/relationships/header" Target="header5.xml"/><Relationship Id="rId124" Type="http://schemas.openxmlformats.org/officeDocument/2006/relationships/hyperlink" Target="https://atos.cnj.jus.br/files/compilado142110202405066638e756acc7c.pdf" TargetMode="External"/><Relationship Id="rId129" Type="http://schemas.openxmlformats.org/officeDocument/2006/relationships/hyperlink" Target="https://www.csjt.jus.br/documents/955023/11270243/01+-+PROTOCOLO+DE+COOPERA%C3%87%C3%83O+T%C3%89CNICA+N%C2%BA+1+de+2023+-+CSJT+e+TST+-+assinado+SEI.pdf/3b515da7-3cb5-fb0b-a24d-d5b752995e27?t=1709933264784" TargetMode="External"/><Relationship Id="rId137" Type="http://schemas.openxmlformats.org/officeDocument/2006/relationships/hyperlink" Target="https://www.scribbr.com/research-bias/self-selection-bias/" TargetMode="External"/><Relationship Id="rId20" Type="http://schemas.openxmlformats.org/officeDocument/2006/relationships/chart" Target="charts/chart3.xml"/><Relationship Id="rId41" Type="http://schemas.openxmlformats.org/officeDocument/2006/relationships/chart" Target="charts/chart20.xm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chart" Target="charts/chart24.xml"/><Relationship Id="rId75" Type="http://schemas.openxmlformats.org/officeDocument/2006/relationships/chart" Target="charts/chart26.xml"/><Relationship Id="rId83" Type="http://schemas.openxmlformats.org/officeDocument/2006/relationships/chart" Target="charts/chart30.xml"/><Relationship Id="rId88" Type="http://schemas.openxmlformats.org/officeDocument/2006/relationships/image" Target="media/image42.png"/><Relationship Id="rId91" Type="http://schemas.openxmlformats.org/officeDocument/2006/relationships/chart" Target="charts/chart34.xml"/><Relationship Id="rId96" Type="http://schemas.openxmlformats.org/officeDocument/2006/relationships/image" Target="media/image46.png"/><Relationship Id="rId111" Type="http://schemas.openxmlformats.org/officeDocument/2006/relationships/image" Target="media/image54.png"/><Relationship Id="rId132" Type="http://schemas.openxmlformats.org/officeDocument/2006/relationships/hyperlink" Target="http://repositorio.fjp.mg.gov.br/handle/123456789/3553"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6.xml"/><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image" Target="media/image51.png"/><Relationship Id="rId114" Type="http://schemas.openxmlformats.org/officeDocument/2006/relationships/image" Target="media/image57.png"/><Relationship Id="rId119" Type="http://schemas.openxmlformats.org/officeDocument/2006/relationships/hyperlink" Target="https://www.cnj.jus.br/wp-content/uploads/2022/08/relatorio-pesquisa-discriminacao-e-violencia-contra-lgbtqia.pdf" TargetMode="External"/><Relationship Id="rId127" Type="http://schemas.openxmlformats.org/officeDocument/2006/relationships/hyperlink" Target="https://juslaboris.tst.jus.br/bitstream/handle/20.500.12178/248516/2025_ra2697.pdf?sequence=1&amp;isAllowed=y" TargetMode="External"/><Relationship Id="rId10" Type="http://schemas.openxmlformats.org/officeDocument/2006/relationships/header" Target="header1.xml"/><Relationship Id="rId31" Type="http://schemas.openxmlformats.org/officeDocument/2006/relationships/chart" Target="charts/chart12.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4.png"/><Relationship Id="rId78" Type="http://schemas.openxmlformats.org/officeDocument/2006/relationships/image" Target="media/image37.png"/><Relationship Id="rId81" Type="http://schemas.openxmlformats.org/officeDocument/2006/relationships/chart" Target="charts/chart29.xml"/><Relationship Id="rId86" Type="http://schemas.openxmlformats.org/officeDocument/2006/relationships/image" Target="media/image41.png"/><Relationship Id="rId94" Type="http://schemas.openxmlformats.org/officeDocument/2006/relationships/image" Target="media/image45.png"/><Relationship Id="rId99" Type="http://schemas.openxmlformats.org/officeDocument/2006/relationships/chart" Target="charts/chart38.xml"/><Relationship Id="rId101" Type="http://schemas.openxmlformats.org/officeDocument/2006/relationships/chart" Target="charts/chart39.xml"/><Relationship Id="rId122" Type="http://schemas.openxmlformats.org/officeDocument/2006/relationships/hyperlink" Target="https://justica-em-numeros.cnj.jus.br/painel-estatisticas/" TargetMode="External"/><Relationship Id="rId130" Type="http://schemas.openxmlformats.org/officeDocument/2006/relationships/hyperlink" Target="https://movimentopessoasafrente.org.br/wp-content/uploads/2024/04/desigualdade-de-genero-em-cargos-de-lideranca-no-executivo-federal.pdf" TargetMode="External"/><Relationship Id="rId135" Type="http://schemas.openxmlformats.org/officeDocument/2006/relationships/hyperlink" Target="https://censo2022.ibge.gov.br/panorama/"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1.xml"/><Relationship Id="rId39" Type="http://schemas.openxmlformats.org/officeDocument/2006/relationships/chart" Target="charts/chart18.xml"/><Relationship Id="rId109" Type="http://schemas.openxmlformats.org/officeDocument/2006/relationships/chart" Target="charts/chart43.xml"/><Relationship Id="rId34" Type="http://schemas.openxmlformats.org/officeDocument/2006/relationships/image" Target="media/image6.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36.png"/><Relationship Id="rId97" Type="http://schemas.openxmlformats.org/officeDocument/2006/relationships/chart" Target="charts/chart37.xml"/><Relationship Id="rId104" Type="http://schemas.openxmlformats.org/officeDocument/2006/relationships/image" Target="media/image50.png"/><Relationship Id="rId120" Type="http://schemas.openxmlformats.org/officeDocument/2006/relationships/hyperlink" Target="https://www.cnj.jus.br/wp-content/uploads/conteudo/arquivo/2019/05/cae277dd017bb4d4457755febf5eed9f.pdf" TargetMode="External"/><Relationship Id="rId125" Type="http://schemas.openxmlformats.org/officeDocument/2006/relationships/hyperlink" Target="https://www.planalto.gov.br/ccivil_03/_Ato2011-2014/2013/Lei/L12934.htm"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chart" Target="charts/chart7.xml"/><Relationship Id="rId40" Type="http://schemas.openxmlformats.org/officeDocument/2006/relationships/chart" Target="charts/chart19.xml"/><Relationship Id="rId45" Type="http://schemas.openxmlformats.org/officeDocument/2006/relationships/image" Target="media/image9.png"/><Relationship Id="rId66" Type="http://schemas.openxmlformats.org/officeDocument/2006/relationships/image" Target="media/image30.png"/><Relationship Id="rId87" Type="http://schemas.openxmlformats.org/officeDocument/2006/relationships/chart" Target="charts/chart32.xml"/><Relationship Id="rId110" Type="http://schemas.openxmlformats.org/officeDocument/2006/relationships/image" Target="media/image53.png"/><Relationship Id="rId115" Type="http://schemas.openxmlformats.org/officeDocument/2006/relationships/header" Target="header4.xml"/><Relationship Id="rId131" Type="http://schemas.openxmlformats.org/officeDocument/2006/relationships/hyperlink" Target="https://repositorio.enap.gov.br/bitstream/1/8069/1/GNOVA%20-%20E-book%20do%20Primeiro%20Datathon_A4%20v2.pdf" TargetMode="External"/><Relationship Id="rId136" Type="http://schemas.openxmlformats.org/officeDocument/2006/relationships/hyperlink" Target="https://repositorio.ufba.br/bitstream/ri/37082/1/Tese%20de%20Doutorado.pdf" TargetMode="External"/><Relationship Id="rId61" Type="http://schemas.openxmlformats.org/officeDocument/2006/relationships/image" Target="media/image25.png"/><Relationship Id="rId82" Type="http://schemas.openxmlformats.org/officeDocument/2006/relationships/image" Target="media/image39.png"/><Relationship Id="rId19" Type="http://schemas.openxmlformats.org/officeDocument/2006/relationships/chart" Target="charts/chart2.xml"/><Relationship Id="rId14" Type="http://schemas.openxmlformats.org/officeDocument/2006/relationships/hyperlink" Target="mailto:sepjd@tst.jus.br" TargetMode="External"/><Relationship Id="rId30" Type="http://schemas.openxmlformats.org/officeDocument/2006/relationships/image" Target="media/image5.png"/><Relationship Id="rId35" Type="http://schemas.openxmlformats.org/officeDocument/2006/relationships/chart" Target="charts/chart15.xml"/><Relationship Id="rId56" Type="http://schemas.openxmlformats.org/officeDocument/2006/relationships/image" Target="media/image20.png"/><Relationship Id="rId77" Type="http://schemas.openxmlformats.org/officeDocument/2006/relationships/chart" Target="charts/chart27.xml"/><Relationship Id="rId100" Type="http://schemas.openxmlformats.org/officeDocument/2006/relationships/image" Target="media/image48.png"/><Relationship Id="rId105" Type="http://schemas.openxmlformats.org/officeDocument/2006/relationships/chart" Target="charts/chart41.xml"/><Relationship Id="rId126" Type="http://schemas.openxmlformats.org/officeDocument/2006/relationships/hyperlink" Target="https://www.tst.jus.br/-/microagress%C3%B5es-de-g%C3%AAnero-como-elas-operam-nas-rela%C3%A7%C3%B5es-trabalhista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lanalto.gov.br/ccivil_03/_Ato2011-2014/2013/Lei/L12934.htm" TargetMode="External"/><Relationship Id="rId13" Type="http://schemas.openxmlformats.org/officeDocument/2006/relationships/hyperlink" Target="https://juslaboris.tst.jus.br/bitstream/handle/20.500.12178/248516/2025_ra2697.pdf?sequence=1&amp;isAllowed=y" TargetMode="External"/><Relationship Id="rId18" Type="http://schemas.openxmlformats.org/officeDocument/2006/relationships/hyperlink" Target="https://www.tst.jus.br/-/microagress%C3%B5es-de-g%C3%AAnero-como-elas-operam-nas-rela%C3%A7%C3%B5es-trabalhistas" TargetMode="External"/><Relationship Id="rId26" Type="http://schemas.openxmlformats.org/officeDocument/2006/relationships/hyperlink" Target="https://revista.tcu.gov.br/ojs/index.php/RTCU/article/view/1841/1904" TargetMode="External"/><Relationship Id="rId3" Type="http://schemas.openxmlformats.org/officeDocument/2006/relationships/hyperlink" Target="https://juslaboris.tst.jus.br/bitstream/handle/20.500.12178/234775/2024_atc0042_tst_csjt.pdf?sequence=1&amp;isAllowed=y" TargetMode="External"/><Relationship Id="rId21" Type="http://schemas.openxmlformats.org/officeDocument/2006/relationships/hyperlink" Target="https://www.gov.br/secom/pt-br/assuntos/noticias/2023/11/conheca-medidas-do-governo-federal-para-o-enfrentamento-da-invisibilidade-do-trabalho-de-cuidado-no-pais%20Publicado%20em%2006/11/2023" TargetMode="External"/><Relationship Id="rId7" Type="http://schemas.openxmlformats.org/officeDocument/2006/relationships/hyperlink" Target="https://www.cnj.jus.br/wp-content/uploads/2023/04/relatorio-pesquisa-percepcao-e-avaliacao-do-pjb.pdf" TargetMode="External"/><Relationship Id="rId12" Type="http://schemas.openxmlformats.org/officeDocument/2006/relationships/hyperlink" Target="https://juslaboris.tst.jus.br/bitstream/handle/20.500.12178/248516/2025_ra2697.pdf?sequence=1&amp;isAllowed=y" TargetMode="External"/><Relationship Id="rId17" Type="http://schemas.openxmlformats.org/officeDocument/2006/relationships/hyperlink" Target="https://www.cnj.jus.br/wp-content/uploads/2022/08/relatorio-pesquisa-discriminacao-e-violencia-contra-lgbtqia.pdf" TargetMode="External"/><Relationship Id="rId25" Type="http://schemas.openxmlformats.org/officeDocument/2006/relationships/hyperlink" Target="http://repositorio.fjp.mg.gov.br/handle/123456789/3553" TargetMode="External"/><Relationship Id="rId2" Type="http://schemas.openxmlformats.org/officeDocument/2006/relationships/hyperlink" Target="https://www.google.com/search?q=https://atos.cnj.jus.br/files/original14494220230928651592864d36d.pdf" TargetMode="External"/><Relationship Id="rId16" Type="http://schemas.openxmlformats.org/officeDocument/2006/relationships/hyperlink" Target="https://www.cnj.jus.br/wp-content/uploads/2022/08/relatorio-pesquisa-discriminacao-e-violencia-contra-lgbtqia.pdf" TargetMode="External"/><Relationship Id="rId20" Type="http://schemas.openxmlformats.org/officeDocument/2006/relationships/hyperlink" Target="http://repositorio.fjp.mg.gov.br/handle/123456789/3553" TargetMode="External"/><Relationship Id="rId29" Type="http://schemas.openxmlformats.org/officeDocument/2006/relationships/hyperlink" Target="https://www.tst.jus.br/-/microagress%C3%B5es-de-g%C3%AAnero-como-elas-operam-nas-rela%C3%A7%C3%B5es-trabalhistas" TargetMode="External"/><Relationship Id="rId1" Type="http://schemas.openxmlformats.org/officeDocument/2006/relationships/hyperlink" Target="https://publications.iadb.org/pt/publications/portuguese/viewer/Mulheres-lideres-no-setor-publico-da-America-Latina-e-do-Caribe-lacunas-e-opportunidades.pdf" TargetMode="External"/><Relationship Id="rId6" Type="http://schemas.openxmlformats.org/officeDocument/2006/relationships/hyperlink" Target="https://juslaboris.tst.jus.br/bitstream/handle/20.500.12178/234775/2024_atc0042_tst_csjt.pdf?sequence=1&amp;isAllowed=y" TargetMode="External"/><Relationship Id="rId11" Type="http://schemas.openxmlformats.org/officeDocument/2006/relationships/hyperlink" Target="https://organograma.tst.jus.br/" TargetMode="External"/><Relationship Id="rId24" Type="http://schemas.openxmlformats.org/officeDocument/2006/relationships/hyperlink" Target="http://repositorio.fjp.mg.gov.br/handle/123456789/3553" TargetMode="External"/><Relationship Id="rId5" Type="http://schemas.openxmlformats.org/officeDocument/2006/relationships/hyperlink" Target="https://censo2022.ibge.gov.br/panorama/" TargetMode="External"/><Relationship Id="rId15" Type="http://schemas.openxmlformats.org/officeDocument/2006/relationships/hyperlink" Target="https://www.cnj.jus.br/wp-content/uploads/conteudo/arquivo/2019/05/cae277dd017bb4d4457755febf5eed9f.pdf" TargetMode="External"/><Relationship Id="rId23" Type="http://schemas.openxmlformats.org/officeDocument/2006/relationships/hyperlink" Target="http://repositorio.fjp.mg.gov.br/handle/123456789/3553" TargetMode="External"/><Relationship Id="rId28" Type="http://schemas.openxmlformats.org/officeDocument/2006/relationships/hyperlink" Target="https://www.tst.jus.br/-/microagress%C3%B5es-de-g%C3%AAnero-como-elas-operam-nas-rela%C3%A7%C3%B5es-trabalhistas" TargetMode="External"/><Relationship Id="rId10" Type="http://schemas.openxmlformats.org/officeDocument/2006/relationships/hyperlink" Target="https://publications.iadb.org/pt/publications/portuguese/viewer/Mulheres-lideres-no-setor-publico-da-America-Latina-e-do-Caribe-lacunas-e-opportunidades.pdf" TargetMode="External"/><Relationship Id="rId19" Type="http://schemas.openxmlformats.org/officeDocument/2006/relationships/hyperlink" Target="http://repositorio.fjp.mg.gov.br/handle/123456789/3553" TargetMode="External"/><Relationship Id="rId4" Type="http://schemas.openxmlformats.org/officeDocument/2006/relationships/hyperlink" Target="https://censo2022.ibge.gov.br/panorama/" TargetMode="External"/><Relationship Id="rId9" Type="http://schemas.openxmlformats.org/officeDocument/2006/relationships/hyperlink" Target="https://juslaboris.tst.jus.br/bitstream/handle/20.500.12178/248516/2025_ra2697.pdf?sequence=1&amp;isAllowed=y" TargetMode="External"/><Relationship Id="rId14" Type="http://schemas.openxmlformats.org/officeDocument/2006/relationships/hyperlink" Target="https://repositorio.ufba.br/bitstream/ri/37082/1/Tese%20de%20Doutorado.pdf" TargetMode="External"/><Relationship Id="rId22" Type="http://schemas.openxmlformats.org/officeDocument/2006/relationships/hyperlink" Target="http://repositorio.fjp.mg.gov.br/handle/123456789/3553" TargetMode="External"/><Relationship Id="rId27" Type="http://schemas.openxmlformats.org/officeDocument/2006/relationships/hyperlink" Target="https://revista.tcu.gov.br/ojs/index.php/RTCU/article/view/1841/1904" TargetMode="External"/><Relationship Id="rId30" Type="http://schemas.openxmlformats.org/officeDocument/2006/relationships/hyperlink" Target="https://atos.cnj.jus.br/files/compilado142110202405066638e756acc7c.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061991\Downloads\Pasta1.%2008.08.2025%20(1)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061991\Downloads\Pasta1.%2008.08.2025%20(1)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061991\Downloads\Pasta1.%2008.08.2025%20(1)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061991\Downloads\Pasta1.%2008.08.2025%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061991\Downloads\Pasta1.%2008.08.2025%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061991\Downloads\Pasta1.%2008.08.2025%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061991\Downloads\Pasta1.%2008.08.2025%20(1)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061991\Downloads\Pasta1.%2008.08.2025%20(1)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061991\Downloads\Pasta1.%2008.08.2025%20(1)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061991\Downloads\Pasta1.%2018.08%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061991\Downloads\Pasta1.%2014.08.2025%20(1)2.3%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061991\Downloads\Relat&#243;rio%20base%20-%20DATA%20ESPEC&#205;FICA%20-%2024.4.202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061991\Documents\DPJ\DPJ%202025\CJ%20e%20FC.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DADOS%20USUARIO%20SSD\ERLEN\Downloads\Pasta1.%2015.08%20(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ADOS%20USUARIO%20SSD\ERLEN\Downloads\Pasta1.%2015.08%20(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061991\Downloads\Pasta1.%2008.08.2025%20(1)2.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20(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20(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20(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20(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C061991\Downloads\Pesquisa%20Participa&#231;&#227;o%20Feminina%20-%20Dados%20Gerais%20do%20Question&#225;rio%20(2)%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061991\Downloads\Pasta1.%2008.08.2025%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ADOS%20USUARIO%20SSD\ERLEN\Downloads\Pasta1.%2008.08.20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ADOS%20USUARIO%20SSD\ERLEN\Downloads\Pasta1.%2008.08.20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ADOS%20USUARIO%20SSD\ERLEN\Downloads\Pasta1.%2008.08.202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ADOS%20USUARIO%20SSD\ERLEN\Downloads\Pasta1.%2008.08.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B09C-46BF-B35E-DF5592EEB592}"/>
              </c:ext>
            </c:extLst>
          </c:dPt>
          <c:dPt>
            <c:idx val="1"/>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B09C-46BF-B35E-DF5592EEB592}"/>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09C-46BF-B35E-DF5592EEB592}"/>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09C-46BF-B35E-DF5592EEB59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Plan3!$A$376:$A$377</c:f>
              <c:strCache>
                <c:ptCount val="2"/>
                <c:pt idx="0">
                  <c:v>Feminino</c:v>
                </c:pt>
                <c:pt idx="1">
                  <c:v>Masculino</c:v>
                </c:pt>
              </c:strCache>
            </c:strRef>
          </c:cat>
          <c:val>
            <c:numRef>
              <c:f>Plan3!$B$376:$B$377</c:f>
              <c:numCache>
                <c:formatCode>0.0%</c:formatCode>
                <c:ptCount val="2"/>
                <c:pt idx="0">
                  <c:v>0.55600000000000005</c:v>
                </c:pt>
                <c:pt idx="1">
                  <c:v>0.44400000000000001</c:v>
                </c:pt>
              </c:numCache>
            </c:numRef>
          </c:val>
          <c:extLst xmlns:c16r2="http://schemas.microsoft.com/office/drawing/2015/06/chart">
            <c:ext xmlns:c16="http://schemas.microsoft.com/office/drawing/2014/chart" uri="{C3380CC4-5D6E-409C-BE32-E72D297353CC}">
              <c16:uniqueId val="{00000004-B09C-46BF-B35E-DF5592EEB592}"/>
            </c:ext>
          </c:extLst>
        </c:ser>
        <c:dLbls>
          <c:showLegendKey val="0"/>
          <c:showVal val="0"/>
          <c:showCatName val="0"/>
          <c:showSerName val="0"/>
          <c:showPercent val="0"/>
          <c:showBubbleSize val="0"/>
        </c:dLbls>
        <c:gapWidth val="150"/>
        <c:axId val="235413888"/>
        <c:axId val="235415424"/>
      </c:barChart>
      <c:catAx>
        <c:axId val="235413888"/>
        <c:scaling>
          <c:orientation val="maxMin"/>
        </c:scaling>
        <c:delete val="0"/>
        <c:axPos val="l"/>
        <c:numFmt formatCode="General" sourceLinked="0"/>
        <c:majorTickMark val="out"/>
        <c:minorTickMark val="none"/>
        <c:tickLblPos val="nextTo"/>
        <c:crossAx val="235415424"/>
        <c:crosses val="autoZero"/>
        <c:auto val="1"/>
        <c:lblAlgn val="ctr"/>
        <c:lblOffset val="100"/>
        <c:noMultiLvlLbl val="0"/>
      </c:catAx>
      <c:valAx>
        <c:axId val="235415424"/>
        <c:scaling>
          <c:orientation val="minMax"/>
        </c:scaling>
        <c:delete val="1"/>
        <c:axPos val="t"/>
        <c:numFmt formatCode="0.0%" sourceLinked="1"/>
        <c:majorTickMark val="out"/>
        <c:minorTickMark val="none"/>
        <c:tickLblPos val="nextTo"/>
        <c:crossAx val="235413888"/>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2D27-4EF7-BAA9-70DA46CE6EED}"/>
              </c:ext>
            </c:extLst>
          </c:dPt>
          <c:dPt>
            <c:idx val="1"/>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2D27-4EF7-BAA9-70DA46CE6EED}"/>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27-4EF7-BAA9-70DA46CE6EED}"/>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D27-4EF7-BAA9-70DA46CE6EE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Plan3!$A$367:$A$368</c:f>
              <c:strCache>
                <c:ptCount val="2"/>
                <c:pt idx="0">
                  <c:v>Feminino</c:v>
                </c:pt>
                <c:pt idx="1">
                  <c:v>Masculino</c:v>
                </c:pt>
              </c:strCache>
            </c:strRef>
          </c:cat>
          <c:val>
            <c:numRef>
              <c:f>Plan3!$B$367:$B$368</c:f>
              <c:numCache>
                <c:formatCode>0.0%</c:formatCode>
                <c:ptCount val="2"/>
                <c:pt idx="0">
                  <c:v>0.39500000000000002</c:v>
                </c:pt>
                <c:pt idx="1">
                  <c:v>0.60499999999999998</c:v>
                </c:pt>
              </c:numCache>
            </c:numRef>
          </c:val>
          <c:extLst xmlns:c16r2="http://schemas.microsoft.com/office/drawing/2015/06/chart">
            <c:ext xmlns:c16="http://schemas.microsoft.com/office/drawing/2014/chart" uri="{C3380CC4-5D6E-409C-BE32-E72D297353CC}">
              <c16:uniqueId val="{00000004-2D27-4EF7-BAA9-70DA46CE6EED}"/>
            </c:ext>
          </c:extLst>
        </c:ser>
        <c:dLbls>
          <c:showLegendKey val="0"/>
          <c:showVal val="0"/>
          <c:showCatName val="0"/>
          <c:showSerName val="0"/>
          <c:showPercent val="0"/>
          <c:showBubbleSize val="0"/>
        </c:dLbls>
        <c:gapWidth val="150"/>
        <c:axId val="224633216"/>
        <c:axId val="224634752"/>
      </c:barChart>
      <c:catAx>
        <c:axId val="224633216"/>
        <c:scaling>
          <c:orientation val="maxMin"/>
        </c:scaling>
        <c:delete val="0"/>
        <c:axPos val="l"/>
        <c:numFmt formatCode="General" sourceLinked="0"/>
        <c:majorTickMark val="out"/>
        <c:minorTickMark val="none"/>
        <c:tickLblPos val="nextTo"/>
        <c:crossAx val="224634752"/>
        <c:crosses val="autoZero"/>
        <c:auto val="1"/>
        <c:lblAlgn val="ctr"/>
        <c:lblOffset val="100"/>
        <c:noMultiLvlLbl val="0"/>
      </c:catAx>
      <c:valAx>
        <c:axId val="224634752"/>
        <c:scaling>
          <c:orientation val="minMax"/>
        </c:scaling>
        <c:delete val="1"/>
        <c:axPos val="t"/>
        <c:numFmt formatCode="0.0%" sourceLinked="1"/>
        <c:majorTickMark val="out"/>
        <c:minorTickMark val="none"/>
        <c:tickLblPos val="nextTo"/>
        <c:crossAx val="224633216"/>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Plan3!$B$341</c:f>
              <c:strCache>
                <c:ptCount val="1"/>
                <c:pt idx="0">
                  <c:v>Feminino</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Plan3!$A$342:$A$343</c:f>
              <c:strCache>
                <c:ptCount val="2"/>
                <c:pt idx="0">
                  <c:v>TST</c:v>
                </c:pt>
                <c:pt idx="1">
                  <c:v>CSJT</c:v>
                </c:pt>
              </c:strCache>
            </c:strRef>
          </c:cat>
          <c:val>
            <c:numRef>
              <c:f>Plan3!$B$342:$B$343</c:f>
              <c:numCache>
                <c:formatCode>0.0%</c:formatCode>
                <c:ptCount val="2"/>
                <c:pt idx="0">
                  <c:v>0.3973941368078176</c:v>
                </c:pt>
                <c:pt idx="1">
                  <c:v>0.37142857142857144</c:v>
                </c:pt>
              </c:numCache>
            </c:numRef>
          </c:val>
          <c:extLst xmlns:c16r2="http://schemas.microsoft.com/office/drawing/2015/06/chart">
            <c:ext xmlns:c16="http://schemas.microsoft.com/office/drawing/2014/chart" uri="{C3380CC4-5D6E-409C-BE32-E72D297353CC}">
              <c16:uniqueId val="{00000000-D465-4560-9197-59B62E1B0F49}"/>
            </c:ext>
          </c:extLst>
        </c:ser>
        <c:ser>
          <c:idx val="1"/>
          <c:order val="1"/>
          <c:tx>
            <c:strRef>
              <c:f>Plan3!$C$341</c:f>
              <c:strCache>
                <c:ptCount val="1"/>
                <c:pt idx="0">
                  <c:v>Masculino</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Plan3!$A$342:$A$343</c:f>
              <c:strCache>
                <c:ptCount val="2"/>
                <c:pt idx="0">
                  <c:v>TST</c:v>
                </c:pt>
                <c:pt idx="1">
                  <c:v>CSJT</c:v>
                </c:pt>
              </c:strCache>
            </c:strRef>
          </c:cat>
          <c:val>
            <c:numRef>
              <c:f>Plan3!$C$342:$C$343</c:f>
              <c:numCache>
                <c:formatCode>0.0%</c:formatCode>
                <c:ptCount val="2"/>
                <c:pt idx="0">
                  <c:v>0.60260586319218246</c:v>
                </c:pt>
                <c:pt idx="1">
                  <c:v>0.62857142857142856</c:v>
                </c:pt>
              </c:numCache>
            </c:numRef>
          </c:val>
          <c:extLst xmlns:c16r2="http://schemas.microsoft.com/office/drawing/2015/06/chart">
            <c:ext xmlns:c16="http://schemas.microsoft.com/office/drawing/2014/chart" uri="{C3380CC4-5D6E-409C-BE32-E72D297353CC}">
              <c16:uniqueId val="{00000001-D465-4560-9197-59B62E1B0F49}"/>
            </c:ext>
          </c:extLst>
        </c:ser>
        <c:dLbls>
          <c:showLegendKey val="0"/>
          <c:showVal val="0"/>
          <c:showCatName val="0"/>
          <c:showSerName val="0"/>
          <c:showPercent val="0"/>
          <c:showBubbleSize val="0"/>
        </c:dLbls>
        <c:gapWidth val="150"/>
        <c:overlap val="100"/>
        <c:axId val="224800128"/>
        <c:axId val="224818304"/>
      </c:barChart>
      <c:catAx>
        <c:axId val="224800128"/>
        <c:scaling>
          <c:orientation val="maxMin"/>
        </c:scaling>
        <c:delete val="0"/>
        <c:axPos val="l"/>
        <c:numFmt formatCode="General" sourceLinked="0"/>
        <c:majorTickMark val="out"/>
        <c:minorTickMark val="none"/>
        <c:tickLblPos val="nextTo"/>
        <c:crossAx val="224818304"/>
        <c:crosses val="autoZero"/>
        <c:auto val="1"/>
        <c:lblAlgn val="ctr"/>
        <c:lblOffset val="100"/>
        <c:noMultiLvlLbl val="0"/>
      </c:catAx>
      <c:valAx>
        <c:axId val="224818304"/>
        <c:scaling>
          <c:orientation val="minMax"/>
        </c:scaling>
        <c:delete val="1"/>
        <c:axPos val="t"/>
        <c:numFmt formatCode="0%" sourceLinked="1"/>
        <c:majorTickMark val="out"/>
        <c:minorTickMark val="none"/>
        <c:tickLblPos val="nextTo"/>
        <c:crossAx val="22480012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'[Pasta1. 08.08.2025 (1).xlsx]Plan3'!$B$243</c:f>
              <c:strCache>
                <c:ptCount val="1"/>
                <c:pt idx="0">
                  <c:v>Feminino</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'[Pasta1. 08.08.2025 (1).xlsx]Plan3'!$A$244:$A$249</c:f>
              <c:strCache>
                <c:ptCount val="6"/>
                <c:pt idx="0">
                  <c:v>CJ-04</c:v>
                </c:pt>
                <c:pt idx="1">
                  <c:v>CJ-03</c:v>
                </c:pt>
                <c:pt idx="2">
                  <c:v>CJ-02</c:v>
                </c:pt>
                <c:pt idx="3">
                  <c:v>CJ-01</c:v>
                </c:pt>
                <c:pt idx="4">
                  <c:v>FC-06</c:v>
                </c:pt>
                <c:pt idx="5">
                  <c:v>FC-05</c:v>
                </c:pt>
              </c:strCache>
            </c:strRef>
          </c:cat>
          <c:val>
            <c:numRef>
              <c:f>'[Pasta1. 08.08.2025 (1).xlsx]Plan3'!$B$244:$B$249</c:f>
              <c:numCache>
                <c:formatCode>0.0%</c:formatCode>
                <c:ptCount val="6"/>
                <c:pt idx="0">
                  <c:v>0.5</c:v>
                </c:pt>
                <c:pt idx="1">
                  <c:v>0.5</c:v>
                </c:pt>
                <c:pt idx="2">
                  <c:v>0.45945945945945948</c:v>
                </c:pt>
                <c:pt idx="3">
                  <c:v>0.2857142857142857</c:v>
                </c:pt>
                <c:pt idx="4">
                  <c:v>0.12121212121212122</c:v>
                </c:pt>
                <c:pt idx="5">
                  <c:v>0.41558441558441561</c:v>
                </c:pt>
              </c:numCache>
            </c:numRef>
          </c:val>
          <c:extLst xmlns:c16r2="http://schemas.microsoft.com/office/drawing/2015/06/chart">
            <c:ext xmlns:c16="http://schemas.microsoft.com/office/drawing/2014/chart" uri="{C3380CC4-5D6E-409C-BE32-E72D297353CC}">
              <c16:uniqueId val="{00000000-D7C7-4136-8305-847E851C1484}"/>
            </c:ext>
          </c:extLst>
        </c:ser>
        <c:ser>
          <c:idx val="1"/>
          <c:order val="1"/>
          <c:tx>
            <c:strRef>
              <c:f>'[Pasta1. 08.08.2025 (1).xlsx]Plan3'!$C$243</c:f>
              <c:strCache>
                <c:ptCount val="1"/>
                <c:pt idx="0">
                  <c:v>Masculino</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'[Pasta1. 08.08.2025 (1).xlsx]Plan3'!$A$244:$A$249</c:f>
              <c:strCache>
                <c:ptCount val="6"/>
                <c:pt idx="0">
                  <c:v>CJ-04</c:v>
                </c:pt>
                <c:pt idx="1">
                  <c:v>CJ-03</c:v>
                </c:pt>
                <c:pt idx="2">
                  <c:v>CJ-02</c:v>
                </c:pt>
                <c:pt idx="3">
                  <c:v>CJ-01</c:v>
                </c:pt>
                <c:pt idx="4">
                  <c:v>FC-06</c:v>
                </c:pt>
                <c:pt idx="5">
                  <c:v>FC-05</c:v>
                </c:pt>
              </c:strCache>
            </c:strRef>
          </c:cat>
          <c:val>
            <c:numRef>
              <c:f>'[Pasta1. 08.08.2025 (1).xlsx]Plan3'!$C$244:$C$249</c:f>
              <c:numCache>
                <c:formatCode>0.0%</c:formatCode>
                <c:ptCount val="6"/>
                <c:pt idx="0">
                  <c:v>0.5</c:v>
                </c:pt>
                <c:pt idx="1">
                  <c:v>0.5</c:v>
                </c:pt>
                <c:pt idx="2">
                  <c:v>0.54054054054054057</c:v>
                </c:pt>
                <c:pt idx="3">
                  <c:v>0.7142857142857143</c:v>
                </c:pt>
                <c:pt idx="4">
                  <c:v>0.87878787878787878</c:v>
                </c:pt>
                <c:pt idx="5">
                  <c:v>0.58441558441558439</c:v>
                </c:pt>
              </c:numCache>
            </c:numRef>
          </c:val>
          <c:extLst xmlns:c16r2="http://schemas.microsoft.com/office/drawing/2015/06/chart">
            <c:ext xmlns:c16="http://schemas.microsoft.com/office/drawing/2014/chart" uri="{C3380CC4-5D6E-409C-BE32-E72D297353CC}">
              <c16:uniqueId val="{00000001-D7C7-4136-8305-847E851C1484}"/>
            </c:ext>
          </c:extLst>
        </c:ser>
        <c:dLbls>
          <c:showLegendKey val="0"/>
          <c:showVal val="0"/>
          <c:showCatName val="0"/>
          <c:showSerName val="0"/>
          <c:showPercent val="0"/>
          <c:showBubbleSize val="0"/>
        </c:dLbls>
        <c:gapWidth val="150"/>
        <c:overlap val="100"/>
        <c:axId val="224848896"/>
        <c:axId val="224879360"/>
      </c:barChart>
      <c:catAx>
        <c:axId val="224848896"/>
        <c:scaling>
          <c:orientation val="maxMin"/>
        </c:scaling>
        <c:delete val="0"/>
        <c:axPos val="l"/>
        <c:numFmt formatCode="General" sourceLinked="0"/>
        <c:majorTickMark val="out"/>
        <c:minorTickMark val="none"/>
        <c:tickLblPos val="nextTo"/>
        <c:crossAx val="224879360"/>
        <c:crosses val="autoZero"/>
        <c:auto val="1"/>
        <c:lblAlgn val="ctr"/>
        <c:lblOffset val="100"/>
        <c:noMultiLvlLbl val="0"/>
      </c:catAx>
      <c:valAx>
        <c:axId val="224879360"/>
        <c:scaling>
          <c:orientation val="minMax"/>
        </c:scaling>
        <c:delete val="1"/>
        <c:axPos val="t"/>
        <c:numFmt formatCode="0%" sourceLinked="1"/>
        <c:majorTickMark val="out"/>
        <c:minorTickMark val="none"/>
        <c:tickLblPos val="nextTo"/>
        <c:crossAx val="22484889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'[Pasta1. 08.08.2025 (1).xlsx]Plan3'!$B$280</c:f>
              <c:strCache>
                <c:ptCount val="1"/>
                <c:pt idx="0">
                  <c:v>Feminino</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'[Pasta1. 08.08.2025 (1).xlsx]Plan3'!$A$281:$A$284</c:f>
              <c:strCache>
                <c:ptCount val="4"/>
                <c:pt idx="0">
                  <c:v>CJ-04</c:v>
                </c:pt>
                <c:pt idx="1">
                  <c:v>CJ-03</c:v>
                </c:pt>
                <c:pt idx="2">
                  <c:v>CJ-02</c:v>
                </c:pt>
                <c:pt idx="3">
                  <c:v>CJ-01</c:v>
                </c:pt>
              </c:strCache>
            </c:strRef>
          </c:cat>
          <c:val>
            <c:numRef>
              <c:f>'[Pasta1. 08.08.2025 (1).xlsx]Plan3'!$B$281:$B$284</c:f>
              <c:numCache>
                <c:formatCode>0.0%</c:formatCode>
                <c:ptCount val="4"/>
                <c:pt idx="0">
                  <c:v>1.6666666666666666E-2</c:v>
                </c:pt>
                <c:pt idx="1">
                  <c:v>0.24166666666666667</c:v>
                </c:pt>
                <c:pt idx="2">
                  <c:v>0.14166666666666666</c:v>
                </c:pt>
                <c:pt idx="3">
                  <c:v>0.05</c:v>
                </c:pt>
              </c:numCache>
            </c:numRef>
          </c:val>
          <c:extLst xmlns:c16r2="http://schemas.microsoft.com/office/drawing/2015/06/chart">
            <c:ext xmlns:c16="http://schemas.microsoft.com/office/drawing/2014/chart" uri="{C3380CC4-5D6E-409C-BE32-E72D297353CC}">
              <c16:uniqueId val="{00000000-0193-42ED-A0B8-672C72212B38}"/>
            </c:ext>
          </c:extLst>
        </c:ser>
        <c:ser>
          <c:idx val="1"/>
          <c:order val="1"/>
          <c:tx>
            <c:strRef>
              <c:f>'[Pasta1. 08.08.2025 (1).xlsx]Plan3'!$C$280</c:f>
              <c:strCache>
                <c:ptCount val="1"/>
                <c:pt idx="0">
                  <c:v>Masculino</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'[Pasta1. 08.08.2025 (1).xlsx]Plan3'!$A$281:$A$284</c:f>
              <c:strCache>
                <c:ptCount val="4"/>
                <c:pt idx="0">
                  <c:v>CJ-04</c:v>
                </c:pt>
                <c:pt idx="1">
                  <c:v>CJ-03</c:v>
                </c:pt>
                <c:pt idx="2">
                  <c:v>CJ-02</c:v>
                </c:pt>
                <c:pt idx="3">
                  <c:v>CJ-01</c:v>
                </c:pt>
              </c:strCache>
            </c:strRef>
          </c:cat>
          <c:val>
            <c:numRef>
              <c:f>'[Pasta1. 08.08.2025 (1).xlsx]Plan3'!$C$281:$C$284</c:f>
              <c:numCache>
                <c:formatCode>0.0%</c:formatCode>
                <c:ptCount val="4"/>
                <c:pt idx="0">
                  <c:v>1.6666666666666666E-2</c:v>
                </c:pt>
                <c:pt idx="1">
                  <c:v>0.24166666666666667</c:v>
                </c:pt>
                <c:pt idx="2">
                  <c:v>0.16666666666666666</c:v>
                </c:pt>
                <c:pt idx="3">
                  <c:v>0.125</c:v>
                </c:pt>
              </c:numCache>
            </c:numRef>
          </c:val>
          <c:extLst xmlns:c16r2="http://schemas.microsoft.com/office/drawing/2015/06/chart">
            <c:ext xmlns:c16="http://schemas.microsoft.com/office/drawing/2014/chart" uri="{C3380CC4-5D6E-409C-BE32-E72D297353CC}">
              <c16:uniqueId val="{00000001-0193-42ED-A0B8-672C72212B38}"/>
            </c:ext>
          </c:extLst>
        </c:ser>
        <c:dLbls>
          <c:showLegendKey val="0"/>
          <c:showVal val="0"/>
          <c:showCatName val="0"/>
          <c:showSerName val="0"/>
          <c:showPercent val="0"/>
          <c:showBubbleSize val="0"/>
        </c:dLbls>
        <c:gapWidth val="150"/>
        <c:axId val="224893568"/>
        <c:axId val="224903552"/>
      </c:barChart>
      <c:catAx>
        <c:axId val="224893568"/>
        <c:scaling>
          <c:orientation val="maxMin"/>
        </c:scaling>
        <c:delete val="0"/>
        <c:axPos val="l"/>
        <c:numFmt formatCode="General" sourceLinked="0"/>
        <c:majorTickMark val="out"/>
        <c:minorTickMark val="none"/>
        <c:tickLblPos val="nextTo"/>
        <c:crossAx val="224903552"/>
        <c:crosses val="autoZero"/>
        <c:auto val="1"/>
        <c:lblAlgn val="ctr"/>
        <c:lblOffset val="100"/>
        <c:noMultiLvlLbl val="0"/>
      </c:catAx>
      <c:valAx>
        <c:axId val="224903552"/>
        <c:scaling>
          <c:orientation val="minMax"/>
        </c:scaling>
        <c:delete val="1"/>
        <c:axPos val="t"/>
        <c:numFmt formatCode="0.0%" sourceLinked="1"/>
        <c:majorTickMark val="out"/>
        <c:minorTickMark val="none"/>
        <c:tickLblPos val="nextTo"/>
        <c:crossAx val="22489356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'[Pasta1. 08.08.2025 (1).xlsx]Plan3'!$C$298</c:f>
              <c:strCache>
                <c:ptCount val="1"/>
                <c:pt idx="0">
                  <c:v>Masculino</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'[Pasta1. 08.08.2025 (1).xlsx]Plan3'!$A$299:$A$300</c:f>
              <c:strCache>
                <c:ptCount val="2"/>
                <c:pt idx="0">
                  <c:v>FC-05</c:v>
                </c:pt>
                <c:pt idx="1">
                  <c:v>FC-06</c:v>
                </c:pt>
              </c:strCache>
            </c:strRef>
          </c:cat>
          <c:val>
            <c:numRef>
              <c:f>'[Pasta1. 08.08.2025 (1).xlsx]Plan3'!$C$299:$C$300</c:f>
              <c:numCache>
                <c:formatCode>0.0%</c:formatCode>
                <c:ptCount val="2"/>
                <c:pt idx="0">
                  <c:v>0.48128342245989303</c:v>
                </c:pt>
                <c:pt idx="1">
                  <c:v>0.15508021390374332</c:v>
                </c:pt>
              </c:numCache>
            </c:numRef>
          </c:val>
          <c:extLst xmlns:c16r2="http://schemas.microsoft.com/office/drawing/2015/06/chart">
            <c:ext xmlns:c16="http://schemas.microsoft.com/office/drawing/2014/chart" uri="{C3380CC4-5D6E-409C-BE32-E72D297353CC}">
              <c16:uniqueId val="{00000000-C07B-4BF4-B4EB-2872D7B0AD82}"/>
            </c:ext>
          </c:extLst>
        </c:ser>
        <c:ser>
          <c:idx val="0"/>
          <c:order val="1"/>
          <c:tx>
            <c:strRef>
              <c:f>'[Pasta1. 08.08.2025 (1).xlsx]Plan3'!$B$298</c:f>
              <c:strCache>
                <c:ptCount val="1"/>
                <c:pt idx="0">
                  <c:v>Feminino</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'[Pasta1. 08.08.2025 (1).xlsx]Plan3'!$A$299:$A$300</c:f>
              <c:strCache>
                <c:ptCount val="2"/>
                <c:pt idx="0">
                  <c:v>FC-05</c:v>
                </c:pt>
                <c:pt idx="1">
                  <c:v>FC-06</c:v>
                </c:pt>
              </c:strCache>
            </c:strRef>
          </c:cat>
          <c:val>
            <c:numRef>
              <c:f>'[Pasta1. 08.08.2025 (1).xlsx]Plan3'!$B$299:$B$300</c:f>
              <c:numCache>
                <c:formatCode>0.0%</c:formatCode>
                <c:ptCount val="2"/>
                <c:pt idx="0">
                  <c:v>0.34224598930481281</c:v>
                </c:pt>
                <c:pt idx="1">
                  <c:v>2.1390374331550801E-2</c:v>
                </c:pt>
              </c:numCache>
            </c:numRef>
          </c:val>
          <c:extLst xmlns:c16r2="http://schemas.microsoft.com/office/drawing/2015/06/chart">
            <c:ext xmlns:c16="http://schemas.microsoft.com/office/drawing/2014/chart" uri="{C3380CC4-5D6E-409C-BE32-E72D297353CC}">
              <c16:uniqueId val="{00000001-C07B-4BF4-B4EB-2872D7B0AD82}"/>
            </c:ext>
          </c:extLst>
        </c:ser>
        <c:dLbls>
          <c:showLegendKey val="0"/>
          <c:showVal val="0"/>
          <c:showCatName val="0"/>
          <c:showSerName val="0"/>
          <c:showPercent val="0"/>
          <c:showBubbleSize val="0"/>
        </c:dLbls>
        <c:gapWidth val="150"/>
        <c:axId val="224913664"/>
        <c:axId val="224956416"/>
      </c:barChart>
      <c:catAx>
        <c:axId val="224913664"/>
        <c:scaling>
          <c:orientation val="minMax"/>
        </c:scaling>
        <c:delete val="0"/>
        <c:axPos val="l"/>
        <c:numFmt formatCode="General" sourceLinked="0"/>
        <c:majorTickMark val="out"/>
        <c:minorTickMark val="none"/>
        <c:tickLblPos val="nextTo"/>
        <c:crossAx val="224956416"/>
        <c:crosses val="autoZero"/>
        <c:auto val="1"/>
        <c:lblAlgn val="ctr"/>
        <c:lblOffset val="100"/>
        <c:noMultiLvlLbl val="0"/>
      </c:catAx>
      <c:valAx>
        <c:axId val="224956416"/>
        <c:scaling>
          <c:orientation val="minMax"/>
        </c:scaling>
        <c:delete val="1"/>
        <c:axPos val="b"/>
        <c:numFmt formatCode="0.0%" sourceLinked="1"/>
        <c:majorTickMark val="out"/>
        <c:minorTickMark val="none"/>
        <c:tickLblPos val="nextTo"/>
        <c:crossAx val="2249136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Plan3!$B$423</c:f>
              <c:strCache>
                <c:ptCount val="1"/>
                <c:pt idx="0">
                  <c:v>Feminino</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Plan3!$A$424:$A$428</c:f>
              <c:strCache>
                <c:ptCount val="5"/>
                <c:pt idx="0">
                  <c:v>CJ-03</c:v>
                </c:pt>
                <c:pt idx="1">
                  <c:v>CJ-02</c:v>
                </c:pt>
                <c:pt idx="2">
                  <c:v>CJ-01</c:v>
                </c:pt>
                <c:pt idx="3">
                  <c:v>FC-06</c:v>
                </c:pt>
                <c:pt idx="4">
                  <c:v>FC-05</c:v>
                </c:pt>
              </c:strCache>
            </c:strRef>
          </c:cat>
          <c:val>
            <c:numRef>
              <c:f>Plan3!$B$424:$B$428</c:f>
              <c:numCache>
                <c:formatCode>0.0%</c:formatCode>
                <c:ptCount val="5"/>
                <c:pt idx="0">
                  <c:v>0.16666666666666666</c:v>
                </c:pt>
                <c:pt idx="1">
                  <c:v>0.2</c:v>
                </c:pt>
                <c:pt idx="2">
                  <c:v>0.5</c:v>
                </c:pt>
                <c:pt idx="3">
                  <c:v>0.44444444444444442</c:v>
                </c:pt>
                <c:pt idx="4">
                  <c:v>0.45454545454545453</c:v>
                </c:pt>
              </c:numCache>
            </c:numRef>
          </c:val>
          <c:extLst xmlns:c16r2="http://schemas.microsoft.com/office/drawing/2015/06/chart">
            <c:ext xmlns:c16="http://schemas.microsoft.com/office/drawing/2014/chart" uri="{C3380CC4-5D6E-409C-BE32-E72D297353CC}">
              <c16:uniqueId val="{00000000-8E73-44CD-ACFB-A86DAB38B407}"/>
            </c:ext>
          </c:extLst>
        </c:ser>
        <c:ser>
          <c:idx val="1"/>
          <c:order val="1"/>
          <c:tx>
            <c:strRef>
              <c:f>Plan3!$C$423</c:f>
              <c:strCache>
                <c:ptCount val="1"/>
                <c:pt idx="0">
                  <c:v>Masculino</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Plan3!$A$424:$A$428</c:f>
              <c:strCache>
                <c:ptCount val="5"/>
                <c:pt idx="0">
                  <c:v>CJ-03</c:v>
                </c:pt>
                <c:pt idx="1">
                  <c:v>CJ-02</c:v>
                </c:pt>
                <c:pt idx="2">
                  <c:v>CJ-01</c:v>
                </c:pt>
                <c:pt idx="3">
                  <c:v>FC-06</c:v>
                </c:pt>
                <c:pt idx="4">
                  <c:v>FC-05</c:v>
                </c:pt>
              </c:strCache>
            </c:strRef>
          </c:cat>
          <c:val>
            <c:numRef>
              <c:f>Plan3!$C$424:$C$428</c:f>
              <c:numCache>
                <c:formatCode>0.0%</c:formatCode>
                <c:ptCount val="5"/>
                <c:pt idx="0">
                  <c:v>0.83333333333333337</c:v>
                </c:pt>
                <c:pt idx="1">
                  <c:v>0.8</c:v>
                </c:pt>
                <c:pt idx="2">
                  <c:v>0.5</c:v>
                </c:pt>
                <c:pt idx="3">
                  <c:v>0.55555555555555558</c:v>
                </c:pt>
                <c:pt idx="4">
                  <c:v>0.54545454545454541</c:v>
                </c:pt>
              </c:numCache>
            </c:numRef>
          </c:val>
          <c:extLst xmlns:c16r2="http://schemas.microsoft.com/office/drawing/2015/06/chart">
            <c:ext xmlns:c16="http://schemas.microsoft.com/office/drawing/2014/chart" uri="{C3380CC4-5D6E-409C-BE32-E72D297353CC}">
              <c16:uniqueId val="{00000001-8E73-44CD-ACFB-A86DAB38B407}"/>
            </c:ext>
          </c:extLst>
        </c:ser>
        <c:dLbls>
          <c:showLegendKey val="0"/>
          <c:showVal val="0"/>
          <c:showCatName val="0"/>
          <c:showSerName val="0"/>
          <c:showPercent val="0"/>
          <c:showBubbleSize val="0"/>
        </c:dLbls>
        <c:gapWidth val="150"/>
        <c:overlap val="100"/>
        <c:axId val="224982912"/>
        <c:axId val="224984448"/>
      </c:barChart>
      <c:catAx>
        <c:axId val="224982912"/>
        <c:scaling>
          <c:orientation val="maxMin"/>
        </c:scaling>
        <c:delete val="0"/>
        <c:axPos val="l"/>
        <c:numFmt formatCode="General" sourceLinked="0"/>
        <c:majorTickMark val="out"/>
        <c:minorTickMark val="none"/>
        <c:tickLblPos val="nextTo"/>
        <c:crossAx val="224984448"/>
        <c:crosses val="autoZero"/>
        <c:auto val="1"/>
        <c:lblAlgn val="ctr"/>
        <c:lblOffset val="100"/>
        <c:noMultiLvlLbl val="0"/>
      </c:catAx>
      <c:valAx>
        <c:axId val="224984448"/>
        <c:scaling>
          <c:orientation val="minMax"/>
        </c:scaling>
        <c:delete val="1"/>
        <c:axPos val="t"/>
        <c:numFmt formatCode="0%" sourceLinked="1"/>
        <c:majorTickMark val="out"/>
        <c:minorTickMark val="none"/>
        <c:tickLblPos val="nextTo"/>
        <c:crossAx val="22498291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3126468261933"/>
          <c:y val="5.6008146639511203E-2"/>
          <c:w val="0.82460021957525176"/>
          <c:h val="0.76536194813733827"/>
        </c:manualLayout>
      </c:layout>
      <c:barChart>
        <c:barDir val="bar"/>
        <c:grouping val="clustered"/>
        <c:varyColors val="0"/>
        <c:ser>
          <c:idx val="1"/>
          <c:order val="0"/>
          <c:tx>
            <c:strRef>
              <c:f>Plan3!$C$451</c:f>
              <c:strCache>
                <c:ptCount val="1"/>
                <c:pt idx="0">
                  <c:v>Masculino</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Plan3!$A$452:$A$454</c:f>
              <c:strCache>
                <c:ptCount val="3"/>
                <c:pt idx="0">
                  <c:v>CJ-01</c:v>
                </c:pt>
                <c:pt idx="1">
                  <c:v>CJ-02</c:v>
                </c:pt>
                <c:pt idx="2">
                  <c:v>CJ-03</c:v>
                </c:pt>
              </c:strCache>
            </c:strRef>
          </c:cat>
          <c:val>
            <c:numRef>
              <c:f>Plan3!$C$452:$C$454</c:f>
              <c:numCache>
                <c:formatCode>0.0%</c:formatCode>
                <c:ptCount val="3"/>
                <c:pt idx="0">
                  <c:v>0.13333333333333333</c:v>
                </c:pt>
                <c:pt idx="1">
                  <c:v>0.26666666666666666</c:v>
                </c:pt>
                <c:pt idx="2">
                  <c:v>0.33333333333333331</c:v>
                </c:pt>
              </c:numCache>
            </c:numRef>
          </c:val>
          <c:extLst xmlns:c16r2="http://schemas.microsoft.com/office/drawing/2015/06/chart">
            <c:ext xmlns:c16="http://schemas.microsoft.com/office/drawing/2014/chart" uri="{C3380CC4-5D6E-409C-BE32-E72D297353CC}">
              <c16:uniqueId val="{00000000-7D37-4B48-A734-3465DAC9B2C8}"/>
            </c:ext>
          </c:extLst>
        </c:ser>
        <c:ser>
          <c:idx val="0"/>
          <c:order val="1"/>
          <c:tx>
            <c:strRef>
              <c:f>Plan3!$B$451</c:f>
              <c:strCache>
                <c:ptCount val="1"/>
                <c:pt idx="0">
                  <c:v>Feminino</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Plan3!$A$452:$A$454</c:f>
              <c:strCache>
                <c:ptCount val="3"/>
                <c:pt idx="0">
                  <c:v>CJ-01</c:v>
                </c:pt>
                <c:pt idx="1">
                  <c:v>CJ-02</c:v>
                </c:pt>
                <c:pt idx="2">
                  <c:v>CJ-03</c:v>
                </c:pt>
              </c:strCache>
            </c:strRef>
          </c:cat>
          <c:val>
            <c:numRef>
              <c:f>Plan3!$B$452:$B$454</c:f>
              <c:numCache>
                <c:formatCode>0.0%</c:formatCode>
                <c:ptCount val="3"/>
                <c:pt idx="0">
                  <c:v>0.13333333333333333</c:v>
                </c:pt>
                <c:pt idx="1">
                  <c:v>6.6666666666666666E-2</c:v>
                </c:pt>
                <c:pt idx="2">
                  <c:v>6.6666666666666666E-2</c:v>
                </c:pt>
              </c:numCache>
            </c:numRef>
          </c:val>
          <c:extLst xmlns:c16r2="http://schemas.microsoft.com/office/drawing/2015/06/chart">
            <c:ext xmlns:c16="http://schemas.microsoft.com/office/drawing/2014/chart" uri="{C3380CC4-5D6E-409C-BE32-E72D297353CC}">
              <c16:uniqueId val="{00000001-7D37-4B48-A734-3465DAC9B2C8}"/>
            </c:ext>
          </c:extLst>
        </c:ser>
        <c:dLbls>
          <c:showLegendKey val="0"/>
          <c:showVal val="0"/>
          <c:showCatName val="0"/>
          <c:showSerName val="0"/>
          <c:showPercent val="0"/>
          <c:showBubbleSize val="0"/>
        </c:dLbls>
        <c:gapWidth val="150"/>
        <c:axId val="225007104"/>
        <c:axId val="225008640"/>
      </c:barChart>
      <c:catAx>
        <c:axId val="225007104"/>
        <c:scaling>
          <c:orientation val="minMax"/>
        </c:scaling>
        <c:delete val="0"/>
        <c:axPos val="l"/>
        <c:numFmt formatCode="General" sourceLinked="0"/>
        <c:majorTickMark val="out"/>
        <c:minorTickMark val="none"/>
        <c:tickLblPos val="nextTo"/>
        <c:crossAx val="225008640"/>
        <c:crosses val="autoZero"/>
        <c:auto val="1"/>
        <c:lblAlgn val="ctr"/>
        <c:lblOffset val="100"/>
        <c:noMultiLvlLbl val="0"/>
      </c:catAx>
      <c:valAx>
        <c:axId val="225008640"/>
        <c:scaling>
          <c:orientation val="minMax"/>
        </c:scaling>
        <c:delete val="1"/>
        <c:axPos val="b"/>
        <c:numFmt formatCode="0.0%" sourceLinked="1"/>
        <c:majorTickMark val="out"/>
        <c:minorTickMark val="none"/>
        <c:tickLblPos val="nextTo"/>
        <c:crossAx val="22500710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Plan3!$C$482</c:f>
              <c:strCache>
                <c:ptCount val="1"/>
                <c:pt idx="0">
                  <c:v>Masculino</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Plan3!$A$483:$A$484</c:f>
              <c:strCache>
                <c:ptCount val="2"/>
                <c:pt idx="0">
                  <c:v>FC-05</c:v>
                </c:pt>
                <c:pt idx="1">
                  <c:v>FC-06</c:v>
                </c:pt>
              </c:strCache>
            </c:strRef>
          </c:cat>
          <c:val>
            <c:numRef>
              <c:f>Plan3!$C$483:$C$484</c:f>
              <c:numCache>
                <c:formatCode>0%</c:formatCode>
                <c:ptCount val="2"/>
                <c:pt idx="0">
                  <c:v>0.3</c:v>
                </c:pt>
                <c:pt idx="1">
                  <c:v>0.25</c:v>
                </c:pt>
              </c:numCache>
            </c:numRef>
          </c:val>
          <c:extLst xmlns:c16r2="http://schemas.microsoft.com/office/drawing/2015/06/chart">
            <c:ext xmlns:c16="http://schemas.microsoft.com/office/drawing/2014/chart" uri="{C3380CC4-5D6E-409C-BE32-E72D297353CC}">
              <c16:uniqueId val="{00000000-16E4-4AE0-BE7E-18BC2AEBDA17}"/>
            </c:ext>
          </c:extLst>
        </c:ser>
        <c:ser>
          <c:idx val="0"/>
          <c:order val="1"/>
          <c:tx>
            <c:strRef>
              <c:f>Plan3!$B$482</c:f>
              <c:strCache>
                <c:ptCount val="1"/>
                <c:pt idx="0">
                  <c:v>Feminino</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Plan3!$A$483:$A$484</c:f>
              <c:strCache>
                <c:ptCount val="2"/>
                <c:pt idx="0">
                  <c:v>FC-05</c:v>
                </c:pt>
                <c:pt idx="1">
                  <c:v>FC-06</c:v>
                </c:pt>
              </c:strCache>
            </c:strRef>
          </c:cat>
          <c:val>
            <c:numRef>
              <c:f>Plan3!$B$483:$B$484</c:f>
              <c:numCache>
                <c:formatCode>0%</c:formatCode>
                <c:ptCount val="2"/>
                <c:pt idx="0">
                  <c:v>0.25</c:v>
                </c:pt>
                <c:pt idx="1">
                  <c:v>0.2</c:v>
                </c:pt>
              </c:numCache>
            </c:numRef>
          </c:val>
          <c:extLst xmlns:c16r2="http://schemas.microsoft.com/office/drawing/2015/06/chart">
            <c:ext xmlns:c16="http://schemas.microsoft.com/office/drawing/2014/chart" uri="{C3380CC4-5D6E-409C-BE32-E72D297353CC}">
              <c16:uniqueId val="{00000001-16E4-4AE0-BE7E-18BC2AEBDA17}"/>
            </c:ext>
          </c:extLst>
        </c:ser>
        <c:dLbls>
          <c:showLegendKey val="0"/>
          <c:showVal val="0"/>
          <c:showCatName val="0"/>
          <c:showSerName val="0"/>
          <c:showPercent val="0"/>
          <c:showBubbleSize val="0"/>
        </c:dLbls>
        <c:gapWidth val="150"/>
        <c:axId val="225035392"/>
        <c:axId val="225036928"/>
      </c:barChart>
      <c:catAx>
        <c:axId val="225035392"/>
        <c:scaling>
          <c:orientation val="minMax"/>
        </c:scaling>
        <c:delete val="0"/>
        <c:axPos val="l"/>
        <c:numFmt formatCode="General" sourceLinked="0"/>
        <c:majorTickMark val="out"/>
        <c:minorTickMark val="none"/>
        <c:tickLblPos val="nextTo"/>
        <c:crossAx val="225036928"/>
        <c:crosses val="autoZero"/>
        <c:auto val="1"/>
        <c:lblAlgn val="ctr"/>
        <c:lblOffset val="100"/>
        <c:noMultiLvlLbl val="0"/>
      </c:catAx>
      <c:valAx>
        <c:axId val="225036928"/>
        <c:scaling>
          <c:orientation val="minMax"/>
        </c:scaling>
        <c:delete val="1"/>
        <c:axPos val="b"/>
        <c:numFmt formatCode="0%" sourceLinked="1"/>
        <c:majorTickMark val="out"/>
        <c:minorTickMark val="none"/>
        <c:tickLblPos val="nextTo"/>
        <c:crossAx val="22503539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A484-E04F-B593-4D4B6F7E5FF2}"/>
              </c:ext>
            </c:extLst>
          </c:dPt>
          <c:dPt>
            <c:idx val="1"/>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A484-E04F-B593-4D4B6F7E5FF2}"/>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84-E04F-B593-4D4B6F7E5FF2}"/>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84-E04F-B593-4D4B6F7E5FF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'[Pasta1. 18.08 (1).xlsx]Plan3'!$A$719:$A$720</c:f>
              <c:strCache>
                <c:ptCount val="2"/>
                <c:pt idx="0">
                  <c:v>Feminino</c:v>
                </c:pt>
                <c:pt idx="1">
                  <c:v>Masculino</c:v>
                </c:pt>
              </c:strCache>
            </c:strRef>
          </c:cat>
          <c:val>
            <c:numRef>
              <c:f>'[Pasta1. 18.08 (1).xlsx]Plan3'!$B$719:$B$720</c:f>
              <c:numCache>
                <c:formatCode>0.0%</c:formatCode>
                <c:ptCount val="2"/>
                <c:pt idx="0">
                  <c:v>0.224</c:v>
                </c:pt>
                <c:pt idx="1">
                  <c:v>0.77600000000000002</c:v>
                </c:pt>
              </c:numCache>
            </c:numRef>
          </c:val>
          <c:extLst xmlns:c16r2="http://schemas.microsoft.com/office/drawing/2015/06/chart">
            <c:ext xmlns:c16="http://schemas.microsoft.com/office/drawing/2014/chart" uri="{C3380CC4-5D6E-409C-BE32-E72D297353CC}">
              <c16:uniqueId val="{00000004-A484-E04F-B593-4D4B6F7E5FF2}"/>
            </c:ext>
          </c:extLst>
        </c:ser>
        <c:dLbls>
          <c:showLegendKey val="0"/>
          <c:showVal val="0"/>
          <c:showCatName val="0"/>
          <c:showSerName val="0"/>
          <c:showPercent val="0"/>
          <c:showBubbleSize val="0"/>
        </c:dLbls>
        <c:gapWidth val="150"/>
        <c:axId val="225138560"/>
        <c:axId val="225140096"/>
      </c:barChart>
      <c:catAx>
        <c:axId val="225138560"/>
        <c:scaling>
          <c:orientation val="maxMin"/>
        </c:scaling>
        <c:delete val="0"/>
        <c:axPos val="l"/>
        <c:numFmt formatCode="General" sourceLinked="0"/>
        <c:majorTickMark val="out"/>
        <c:minorTickMark val="none"/>
        <c:tickLblPos val="nextTo"/>
        <c:crossAx val="225140096"/>
        <c:crosses val="autoZero"/>
        <c:auto val="1"/>
        <c:lblAlgn val="ctr"/>
        <c:lblOffset val="100"/>
        <c:noMultiLvlLbl val="0"/>
      </c:catAx>
      <c:valAx>
        <c:axId val="225140096"/>
        <c:scaling>
          <c:orientation val="minMax"/>
        </c:scaling>
        <c:delete val="1"/>
        <c:axPos val="t"/>
        <c:numFmt formatCode="0.0%" sourceLinked="1"/>
        <c:majorTickMark val="out"/>
        <c:minorTickMark val="none"/>
        <c:tickLblPos val="nextTo"/>
        <c:crossAx val="225138560"/>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'[Pasta1. 14.08.2025 (1)2.3 (1).xlsx]Plan3'!$B$629</c:f>
              <c:strCache>
                <c:ptCount val="1"/>
                <c:pt idx="0">
                  <c:v>Feminino</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'[Pasta1. 14.08.2025 (1)2.3 (1).xlsx]Plan3'!$A$630:$A$637</c:f>
              <c:strCache>
                <c:ptCount val="8"/>
                <c:pt idx="0">
                  <c:v>Secretário-Geral/Diretor-Geral</c:v>
                </c:pt>
                <c:pt idx="1">
                  <c:v>Chefe de Gabinete</c:v>
                </c:pt>
                <c:pt idx="2">
                  <c:v>Secretário </c:v>
                </c:pt>
                <c:pt idx="3">
                  <c:v>Coordenador</c:v>
                </c:pt>
                <c:pt idx="4">
                  <c:v>Assessor-Chefe </c:v>
                </c:pt>
                <c:pt idx="5">
                  <c:v>Chefe de Divisão</c:v>
                </c:pt>
                <c:pt idx="6">
                  <c:v>Chefe de Núcleo</c:v>
                </c:pt>
                <c:pt idx="7">
                  <c:v>Supervisor de Seção</c:v>
                </c:pt>
              </c:strCache>
            </c:strRef>
          </c:cat>
          <c:val>
            <c:numRef>
              <c:f>'[Pasta1. 14.08.2025 (1)2.3 (1).xlsx]Plan3'!$B$630:$B$637</c:f>
              <c:numCache>
                <c:formatCode>0.0%</c:formatCode>
                <c:ptCount val="8"/>
                <c:pt idx="0">
                  <c:v>0.5</c:v>
                </c:pt>
                <c:pt idx="1">
                  <c:v>0.60699999999999998</c:v>
                </c:pt>
                <c:pt idx="2">
                  <c:v>0.435</c:v>
                </c:pt>
                <c:pt idx="3">
                  <c:v>0.41899999999999998</c:v>
                </c:pt>
                <c:pt idx="4">
                  <c:v>0.35699999999999998</c:v>
                </c:pt>
                <c:pt idx="5">
                  <c:v>0.35299999999999998</c:v>
                </c:pt>
                <c:pt idx="6">
                  <c:v>0.121</c:v>
                </c:pt>
                <c:pt idx="7">
                  <c:v>0.41599999999999998</c:v>
                </c:pt>
              </c:numCache>
            </c:numRef>
          </c:val>
          <c:extLst xmlns:c16r2="http://schemas.microsoft.com/office/drawing/2015/06/chart">
            <c:ext xmlns:c16="http://schemas.microsoft.com/office/drawing/2014/chart" uri="{C3380CC4-5D6E-409C-BE32-E72D297353CC}">
              <c16:uniqueId val="{00000000-5E0A-4C75-8C5C-AEA4667FEAD3}"/>
            </c:ext>
          </c:extLst>
        </c:ser>
        <c:ser>
          <c:idx val="1"/>
          <c:order val="1"/>
          <c:tx>
            <c:strRef>
              <c:f>'[Pasta1. 14.08.2025 (1)2.3 (1).xlsx]Plan3'!$C$629</c:f>
              <c:strCache>
                <c:ptCount val="1"/>
                <c:pt idx="0">
                  <c:v>Masculino</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'[Pasta1. 14.08.2025 (1)2.3 (1).xlsx]Plan3'!$A$630:$A$637</c:f>
              <c:strCache>
                <c:ptCount val="8"/>
                <c:pt idx="0">
                  <c:v>Secretário-Geral/Diretor-Geral</c:v>
                </c:pt>
                <c:pt idx="1">
                  <c:v>Chefe de Gabinete</c:v>
                </c:pt>
                <c:pt idx="2">
                  <c:v>Secretário </c:v>
                </c:pt>
                <c:pt idx="3">
                  <c:v>Coordenador</c:v>
                </c:pt>
                <c:pt idx="4">
                  <c:v>Assessor-Chefe </c:v>
                </c:pt>
                <c:pt idx="5">
                  <c:v>Chefe de Divisão</c:v>
                </c:pt>
                <c:pt idx="6">
                  <c:v>Chefe de Núcleo</c:v>
                </c:pt>
                <c:pt idx="7">
                  <c:v>Supervisor de Seção</c:v>
                </c:pt>
              </c:strCache>
            </c:strRef>
          </c:cat>
          <c:val>
            <c:numRef>
              <c:f>'[Pasta1. 14.08.2025 (1)2.3 (1).xlsx]Plan3'!$C$630:$C$637</c:f>
              <c:numCache>
                <c:formatCode>0.0%</c:formatCode>
                <c:ptCount val="8"/>
                <c:pt idx="0">
                  <c:v>0.5</c:v>
                </c:pt>
                <c:pt idx="1">
                  <c:v>0.39300000000000002</c:v>
                </c:pt>
                <c:pt idx="2">
                  <c:v>0.56499999999999995</c:v>
                </c:pt>
                <c:pt idx="3">
                  <c:v>0.58099999999999996</c:v>
                </c:pt>
                <c:pt idx="4">
                  <c:v>0.64300000000000002</c:v>
                </c:pt>
                <c:pt idx="5">
                  <c:v>0.64700000000000002</c:v>
                </c:pt>
                <c:pt idx="6">
                  <c:v>0.879</c:v>
                </c:pt>
                <c:pt idx="7">
                  <c:v>0.58399999999999996</c:v>
                </c:pt>
              </c:numCache>
            </c:numRef>
          </c:val>
          <c:extLst xmlns:c16r2="http://schemas.microsoft.com/office/drawing/2015/06/chart">
            <c:ext xmlns:c16="http://schemas.microsoft.com/office/drawing/2014/chart" uri="{C3380CC4-5D6E-409C-BE32-E72D297353CC}">
              <c16:uniqueId val="{00000001-5E0A-4C75-8C5C-AEA4667FEAD3}"/>
            </c:ext>
          </c:extLst>
        </c:ser>
        <c:dLbls>
          <c:showLegendKey val="0"/>
          <c:showVal val="0"/>
          <c:showCatName val="0"/>
          <c:showSerName val="0"/>
          <c:showPercent val="0"/>
          <c:showBubbleSize val="0"/>
        </c:dLbls>
        <c:gapWidth val="150"/>
        <c:overlap val="100"/>
        <c:axId val="226051200"/>
        <c:axId val="226052736"/>
      </c:barChart>
      <c:catAx>
        <c:axId val="226051200"/>
        <c:scaling>
          <c:orientation val="maxMin"/>
        </c:scaling>
        <c:delete val="0"/>
        <c:axPos val="l"/>
        <c:numFmt formatCode="General" sourceLinked="0"/>
        <c:majorTickMark val="out"/>
        <c:minorTickMark val="none"/>
        <c:tickLblPos val="nextTo"/>
        <c:crossAx val="226052736"/>
        <c:crosses val="autoZero"/>
        <c:auto val="1"/>
        <c:lblAlgn val="ctr"/>
        <c:lblOffset val="100"/>
        <c:noMultiLvlLbl val="0"/>
      </c:catAx>
      <c:valAx>
        <c:axId val="226052736"/>
        <c:scaling>
          <c:orientation val="minMax"/>
        </c:scaling>
        <c:delete val="1"/>
        <c:axPos val="t"/>
        <c:numFmt formatCode="0%" sourceLinked="1"/>
        <c:majorTickMark val="out"/>
        <c:minorTickMark val="none"/>
        <c:tickLblPos val="nextTo"/>
        <c:crossAx val="22605120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'[Relatório base - DATA ESPECÍFICA - 24.4.2025.xlsx]Plan3'!$B$29</c:f>
              <c:strCache>
                <c:ptCount val="1"/>
                <c:pt idx="0">
                  <c:v>Feminino</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'[Relatório base - DATA ESPECÍFICA - 24.4.2025.xlsx]Plan3'!$A$30:$A$31</c:f>
              <c:strCache>
                <c:ptCount val="2"/>
                <c:pt idx="0">
                  <c:v>CJs</c:v>
                </c:pt>
                <c:pt idx="1">
                  <c:v>FCs</c:v>
                </c:pt>
              </c:strCache>
            </c:strRef>
          </c:cat>
          <c:val>
            <c:numRef>
              <c:f>'[Relatório base - DATA ESPECÍFICA - 24.4.2025.xlsx]Plan3'!$B$30:$B$31</c:f>
              <c:numCache>
                <c:formatCode>0.0%</c:formatCode>
                <c:ptCount val="2"/>
                <c:pt idx="0">
                  <c:v>0.56512141280353201</c:v>
                </c:pt>
                <c:pt idx="1">
                  <c:v>0.55300353356890464</c:v>
                </c:pt>
              </c:numCache>
            </c:numRef>
          </c:val>
          <c:extLst xmlns:c16r2="http://schemas.microsoft.com/office/drawing/2015/06/chart">
            <c:ext xmlns:c16="http://schemas.microsoft.com/office/drawing/2014/chart" uri="{C3380CC4-5D6E-409C-BE32-E72D297353CC}">
              <c16:uniqueId val="{00000000-C058-41DF-B5FB-CFD3F722D51F}"/>
            </c:ext>
          </c:extLst>
        </c:ser>
        <c:ser>
          <c:idx val="1"/>
          <c:order val="1"/>
          <c:tx>
            <c:strRef>
              <c:f>'[Relatório base - DATA ESPECÍFICA - 24.4.2025.xlsx]Plan3'!$C$29</c:f>
              <c:strCache>
                <c:ptCount val="1"/>
                <c:pt idx="0">
                  <c:v>Masculino</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'[Relatório base - DATA ESPECÍFICA - 24.4.2025.xlsx]Plan3'!$A$30:$A$31</c:f>
              <c:strCache>
                <c:ptCount val="2"/>
                <c:pt idx="0">
                  <c:v>CJs</c:v>
                </c:pt>
                <c:pt idx="1">
                  <c:v>FCs</c:v>
                </c:pt>
              </c:strCache>
            </c:strRef>
          </c:cat>
          <c:val>
            <c:numRef>
              <c:f>'[Relatório base - DATA ESPECÍFICA - 24.4.2025.xlsx]Plan3'!$C$30:$C$31</c:f>
              <c:numCache>
                <c:formatCode>0.0%</c:formatCode>
                <c:ptCount val="2"/>
                <c:pt idx="0">
                  <c:v>0.43487858719646799</c:v>
                </c:pt>
                <c:pt idx="1">
                  <c:v>0.44699646643109542</c:v>
                </c:pt>
              </c:numCache>
            </c:numRef>
          </c:val>
          <c:extLst xmlns:c16r2="http://schemas.microsoft.com/office/drawing/2015/06/chart">
            <c:ext xmlns:c16="http://schemas.microsoft.com/office/drawing/2014/chart" uri="{C3380CC4-5D6E-409C-BE32-E72D297353CC}">
              <c16:uniqueId val="{00000001-C058-41DF-B5FB-CFD3F722D51F}"/>
            </c:ext>
          </c:extLst>
        </c:ser>
        <c:dLbls>
          <c:showLegendKey val="0"/>
          <c:showVal val="0"/>
          <c:showCatName val="0"/>
          <c:showSerName val="0"/>
          <c:showPercent val="0"/>
          <c:showBubbleSize val="0"/>
        </c:dLbls>
        <c:gapWidth val="150"/>
        <c:overlap val="100"/>
        <c:axId val="239909120"/>
        <c:axId val="241311744"/>
      </c:barChart>
      <c:catAx>
        <c:axId val="239909120"/>
        <c:scaling>
          <c:orientation val="maxMin"/>
        </c:scaling>
        <c:delete val="0"/>
        <c:axPos val="l"/>
        <c:numFmt formatCode="General" sourceLinked="0"/>
        <c:majorTickMark val="out"/>
        <c:minorTickMark val="none"/>
        <c:tickLblPos val="nextTo"/>
        <c:crossAx val="241311744"/>
        <c:crosses val="autoZero"/>
        <c:auto val="1"/>
        <c:lblAlgn val="ctr"/>
        <c:lblOffset val="100"/>
        <c:noMultiLvlLbl val="0"/>
      </c:catAx>
      <c:valAx>
        <c:axId val="241311744"/>
        <c:scaling>
          <c:orientation val="minMax"/>
        </c:scaling>
        <c:delete val="1"/>
        <c:axPos val="t"/>
        <c:numFmt formatCode="0%" sourceLinked="1"/>
        <c:majorTickMark val="out"/>
        <c:minorTickMark val="none"/>
        <c:tickLblPos val="nextTo"/>
        <c:crossAx val="2399091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4128-49B6-8D34-DF2BE4BB364E}"/>
              </c:ext>
            </c:extLst>
          </c:dPt>
          <c:dPt>
            <c:idx val="1"/>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4128-49B6-8D34-DF2BE4BB364E}"/>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28-49B6-8D34-DF2BE4BB364E}"/>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28-49B6-8D34-DF2BE4BB364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Plan1!$A$96:$A$97</c:f>
              <c:strCache>
                <c:ptCount val="2"/>
                <c:pt idx="0">
                  <c:v>Feminino </c:v>
                </c:pt>
                <c:pt idx="1">
                  <c:v>Masculino</c:v>
                </c:pt>
              </c:strCache>
            </c:strRef>
          </c:cat>
          <c:val>
            <c:numRef>
              <c:f>Plan1!$B$96:$B$97</c:f>
              <c:numCache>
                <c:formatCode>0.0%</c:formatCode>
                <c:ptCount val="2"/>
                <c:pt idx="0">
                  <c:v>0.626</c:v>
                </c:pt>
                <c:pt idx="1">
                  <c:v>0.374</c:v>
                </c:pt>
              </c:numCache>
            </c:numRef>
          </c:val>
          <c:extLst xmlns:c16r2="http://schemas.microsoft.com/office/drawing/2015/06/chart">
            <c:ext xmlns:c16="http://schemas.microsoft.com/office/drawing/2014/chart" uri="{C3380CC4-5D6E-409C-BE32-E72D297353CC}">
              <c16:uniqueId val="{00000004-4128-49B6-8D34-DF2BE4BB364E}"/>
            </c:ext>
          </c:extLst>
        </c:ser>
        <c:dLbls>
          <c:showLegendKey val="0"/>
          <c:showVal val="0"/>
          <c:showCatName val="0"/>
          <c:showSerName val="0"/>
          <c:showPercent val="0"/>
          <c:showBubbleSize val="0"/>
        </c:dLbls>
        <c:gapWidth val="150"/>
        <c:axId val="226084736"/>
        <c:axId val="226086272"/>
      </c:barChart>
      <c:catAx>
        <c:axId val="226084736"/>
        <c:scaling>
          <c:orientation val="maxMin"/>
        </c:scaling>
        <c:delete val="0"/>
        <c:axPos val="l"/>
        <c:numFmt formatCode="General" sourceLinked="0"/>
        <c:majorTickMark val="out"/>
        <c:minorTickMark val="none"/>
        <c:tickLblPos val="nextTo"/>
        <c:crossAx val="226086272"/>
        <c:crosses val="autoZero"/>
        <c:auto val="1"/>
        <c:lblAlgn val="ctr"/>
        <c:lblOffset val="100"/>
        <c:noMultiLvlLbl val="0"/>
      </c:catAx>
      <c:valAx>
        <c:axId val="226086272"/>
        <c:scaling>
          <c:orientation val="minMax"/>
        </c:scaling>
        <c:delete val="1"/>
        <c:axPos val="t"/>
        <c:numFmt formatCode="0.0%" sourceLinked="1"/>
        <c:majorTickMark val="out"/>
        <c:minorTickMark val="none"/>
        <c:tickLblPos val="nextTo"/>
        <c:crossAx val="226084736"/>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Plan12!$I$334</c:f>
              <c:strCache>
                <c:ptCount val="1"/>
                <c:pt idx="0">
                  <c:v>Área Judiciária</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Plan12!$H$335:$H$340</c:f>
              <c:strCache>
                <c:ptCount val="6"/>
                <c:pt idx="0">
                  <c:v>Secretarias</c:v>
                </c:pt>
                <c:pt idx="1">
                  <c:v>Coordenadorias</c:v>
                </c:pt>
                <c:pt idx="2">
                  <c:v>Assessorias</c:v>
                </c:pt>
                <c:pt idx="3">
                  <c:v>Divisões</c:v>
                </c:pt>
                <c:pt idx="4">
                  <c:v>Núcleos</c:v>
                </c:pt>
                <c:pt idx="5">
                  <c:v>Seções</c:v>
                </c:pt>
              </c:strCache>
            </c:strRef>
          </c:cat>
          <c:val>
            <c:numRef>
              <c:f>Plan12!$I$335:$I$340</c:f>
              <c:numCache>
                <c:formatCode>0.0%</c:formatCode>
                <c:ptCount val="6"/>
                <c:pt idx="0">
                  <c:v>0.57099999999999995</c:v>
                </c:pt>
                <c:pt idx="1">
                  <c:v>0.4</c:v>
                </c:pt>
                <c:pt idx="2">
                  <c:v>0.75</c:v>
                </c:pt>
                <c:pt idx="3">
                  <c:v>1</c:v>
                </c:pt>
                <c:pt idx="4">
                  <c:v>0</c:v>
                </c:pt>
                <c:pt idx="5">
                  <c:v>0.36899999999999999</c:v>
                </c:pt>
              </c:numCache>
            </c:numRef>
          </c:val>
          <c:extLst xmlns:c16r2="http://schemas.microsoft.com/office/drawing/2015/06/chart">
            <c:ext xmlns:c16="http://schemas.microsoft.com/office/drawing/2014/chart" uri="{C3380CC4-5D6E-409C-BE32-E72D297353CC}">
              <c16:uniqueId val="{00000000-FC46-4665-8209-C89FA398D73D}"/>
            </c:ext>
          </c:extLst>
        </c:ser>
        <c:ser>
          <c:idx val="1"/>
          <c:order val="1"/>
          <c:tx>
            <c:strRef>
              <c:f>Plan12!$J$334</c:f>
              <c:strCache>
                <c:ptCount val="1"/>
                <c:pt idx="0">
                  <c:v>Área Administrativa</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Plan12!$H$335:$H$340</c:f>
              <c:strCache>
                <c:ptCount val="6"/>
                <c:pt idx="0">
                  <c:v>Secretarias</c:v>
                </c:pt>
                <c:pt idx="1">
                  <c:v>Coordenadorias</c:v>
                </c:pt>
                <c:pt idx="2">
                  <c:v>Assessorias</c:v>
                </c:pt>
                <c:pt idx="3">
                  <c:v>Divisões</c:v>
                </c:pt>
                <c:pt idx="4">
                  <c:v>Núcleos</c:v>
                </c:pt>
                <c:pt idx="5">
                  <c:v>Seções</c:v>
                </c:pt>
              </c:strCache>
            </c:strRef>
          </c:cat>
          <c:val>
            <c:numRef>
              <c:f>Plan12!$J$335:$J$340</c:f>
              <c:numCache>
                <c:formatCode>0.0%</c:formatCode>
                <c:ptCount val="6"/>
                <c:pt idx="0">
                  <c:v>0.222</c:v>
                </c:pt>
                <c:pt idx="1">
                  <c:v>0.42299999999999999</c:v>
                </c:pt>
                <c:pt idx="2">
                  <c:v>0.2</c:v>
                </c:pt>
                <c:pt idx="3">
                  <c:v>0.313</c:v>
                </c:pt>
                <c:pt idx="4">
                  <c:v>0.129</c:v>
                </c:pt>
                <c:pt idx="5">
                  <c:v>0.47099999999999997</c:v>
                </c:pt>
              </c:numCache>
            </c:numRef>
          </c:val>
          <c:extLst xmlns:c16r2="http://schemas.microsoft.com/office/drawing/2015/06/chart">
            <c:ext xmlns:c16="http://schemas.microsoft.com/office/drawing/2014/chart" uri="{C3380CC4-5D6E-409C-BE32-E72D297353CC}">
              <c16:uniqueId val="{00000001-FC46-4665-8209-C89FA398D73D}"/>
            </c:ext>
          </c:extLst>
        </c:ser>
        <c:dLbls>
          <c:showLegendKey val="0"/>
          <c:showVal val="0"/>
          <c:showCatName val="0"/>
          <c:showSerName val="0"/>
          <c:showPercent val="0"/>
          <c:showBubbleSize val="0"/>
        </c:dLbls>
        <c:gapWidth val="182"/>
        <c:axId val="226117120"/>
        <c:axId val="226118656"/>
      </c:barChart>
      <c:catAx>
        <c:axId val="226117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6118656"/>
        <c:crosses val="autoZero"/>
        <c:auto val="1"/>
        <c:lblAlgn val="ctr"/>
        <c:lblOffset val="100"/>
        <c:noMultiLvlLbl val="0"/>
      </c:catAx>
      <c:valAx>
        <c:axId val="226118656"/>
        <c:scaling>
          <c:orientation val="minMax"/>
        </c:scaling>
        <c:delete val="1"/>
        <c:axPos val="t"/>
        <c:numFmt formatCode="0.0%" sourceLinked="1"/>
        <c:majorTickMark val="none"/>
        <c:minorTickMark val="none"/>
        <c:tickLblPos val="nextTo"/>
        <c:crossAx val="22611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Plan12!$O$326</c:f>
              <c:strCache>
                <c:ptCount val="1"/>
                <c:pt idx="0">
                  <c:v>Feminino</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Plan12!$P$325:$Q$325</c:f>
              <c:strCache>
                <c:ptCount val="2"/>
                <c:pt idx="0">
                  <c:v>Área Judiciária</c:v>
                </c:pt>
                <c:pt idx="1">
                  <c:v>Área Administrativa</c:v>
                </c:pt>
              </c:strCache>
            </c:strRef>
          </c:cat>
          <c:val>
            <c:numRef>
              <c:f>Plan12!$P$326:$Q$326</c:f>
              <c:numCache>
                <c:formatCode>0.0%</c:formatCode>
                <c:ptCount val="2"/>
                <c:pt idx="0">
                  <c:v>0.45714285714285713</c:v>
                </c:pt>
                <c:pt idx="1">
                  <c:v>0.34337349397590361</c:v>
                </c:pt>
              </c:numCache>
            </c:numRef>
          </c:val>
          <c:extLst xmlns:c16r2="http://schemas.microsoft.com/office/drawing/2015/06/chart">
            <c:ext xmlns:c16="http://schemas.microsoft.com/office/drawing/2014/chart" uri="{C3380CC4-5D6E-409C-BE32-E72D297353CC}">
              <c16:uniqueId val="{00000000-2807-47EC-9606-B1B7BF365EC2}"/>
            </c:ext>
          </c:extLst>
        </c:ser>
        <c:ser>
          <c:idx val="1"/>
          <c:order val="1"/>
          <c:tx>
            <c:strRef>
              <c:f>Plan12!$O$327</c:f>
              <c:strCache>
                <c:ptCount val="1"/>
                <c:pt idx="0">
                  <c:v>Masculino</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Plan12!$P$325:$Q$325</c:f>
              <c:strCache>
                <c:ptCount val="2"/>
                <c:pt idx="0">
                  <c:v>Área Judiciária</c:v>
                </c:pt>
                <c:pt idx="1">
                  <c:v>Área Administrativa</c:v>
                </c:pt>
              </c:strCache>
            </c:strRef>
          </c:cat>
          <c:val>
            <c:numRef>
              <c:f>Plan12!$P$327:$Q$327</c:f>
              <c:numCache>
                <c:formatCode>0.0%</c:formatCode>
                <c:ptCount val="2"/>
                <c:pt idx="0">
                  <c:v>0.54285714285714282</c:v>
                </c:pt>
                <c:pt idx="1">
                  <c:v>0.65662650602409633</c:v>
                </c:pt>
              </c:numCache>
            </c:numRef>
          </c:val>
          <c:extLst xmlns:c16r2="http://schemas.microsoft.com/office/drawing/2015/06/chart">
            <c:ext xmlns:c16="http://schemas.microsoft.com/office/drawing/2014/chart" uri="{C3380CC4-5D6E-409C-BE32-E72D297353CC}">
              <c16:uniqueId val="{00000001-2807-47EC-9606-B1B7BF365EC2}"/>
            </c:ext>
          </c:extLst>
        </c:ser>
        <c:dLbls>
          <c:showLegendKey val="0"/>
          <c:showVal val="0"/>
          <c:showCatName val="0"/>
          <c:showSerName val="0"/>
          <c:showPercent val="0"/>
          <c:showBubbleSize val="0"/>
        </c:dLbls>
        <c:gapWidth val="150"/>
        <c:overlap val="100"/>
        <c:axId val="226169984"/>
        <c:axId val="226171520"/>
      </c:barChart>
      <c:catAx>
        <c:axId val="226169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6171520"/>
        <c:crosses val="autoZero"/>
        <c:auto val="1"/>
        <c:lblAlgn val="ctr"/>
        <c:lblOffset val="100"/>
        <c:noMultiLvlLbl val="0"/>
      </c:catAx>
      <c:valAx>
        <c:axId val="226171520"/>
        <c:scaling>
          <c:orientation val="minMax"/>
        </c:scaling>
        <c:delete val="1"/>
        <c:axPos val="t"/>
        <c:numFmt formatCode="0%" sourceLinked="1"/>
        <c:majorTickMark val="none"/>
        <c:minorTickMark val="none"/>
        <c:tickLblPos val="nextTo"/>
        <c:crossAx val="22616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(2).xlsx]Comparação'!$B$102</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(2).xlsx]Comparação'!$A$103:$A$104</c:f>
              <c:strCache>
                <c:ptCount val="2"/>
                <c:pt idx="0">
                  <c:v>Mulheres - No TST/CSJT, você considera que as mulheres têm acesso às mesmas oportunidades de desenvolvimento profissional que os homens?</c:v>
                </c:pt>
                <c:pt idx="1">
                  <c:v>Homens - No TST/CSJT, você considera que as mulheres têm acesso às mesmas oportunidades de desenvolvimento profissional que os homens?</c:v>
                </c:pt>
              </c:strCache>
            </c:strRef>
          </c:cat>
          <c:val>
            <c:numRef>
              <c:f>'[Pesquisa Participação Feminina - Dados Gerais do Questionário (2).xlsx]Comparação'!$B$103:$B$104</c:f>
              <c:numCache>
                <c:formatCode>0.0%</c:formatCode>
                <c:ptCount val="2"/>
                <c:pt idx="0">
                  <c:v>0.57399999999999995</c:v>
                </c:pt>
                <c:pt idx="1">
                  <c:v>0.8276</c:v>
                </c:pt>
              </c:numCache>
            </c:numRef>
          </c:val>
          <c:extLst xmlns:c16r2="http://schemas.microsoft.com/office/drawing/2015/06/chart">
            <c:ext xmlns:c16="http://schemas.microsoft.com/office/drawing/2014/chart" uri="{C3380CC4-5D6E-409C-BE32-E72D297353CC}">
              <c16:uniqueId val="{00000000-7D04-324F-B4B4-E660DF58FA69}"/>
            </c:ext>
          </c:extLst>
        </c:ser>
        <c:ser>
          <c:idx val="1"/>
          <c:order val="1"/>
          <c:tx>
            <c:strRef>
              <c:f>'[Pesquisa Participação Feminina - Dados Gerais do Questionário (2).xlsx]Comparação'!$C$102</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(2).xlsx]Comparação'!$A$103:$A$104</c:f>
              <c:strCache>
                <c:ptCount val="2"/>
                <c:pt idx="0">
                  <c:v>Mulheres - No TST/CSJT, você considera que as mulheres têm acesso às mesmas oportunidades de desenvolvimento profissional que os homens?</c:v>
                </c:pt>
                <c:pt idx="1">
                  <c:v>Homens - No TST/CSJT, você considera que as mulheres têm acesso às mesmas oportunidades de desenvolvimento profissional que os homens?</c:v>
                </c:pt>
              </c:strCache>
            </c:strRef>
          </c:cat>
          <c:val>
            <c:numRef>
              <c:f>'[Pesquisa Participação Feminina - Dados Gerais do Questionário (2).xlsx]Comparação'!$C$103:$C$104</c:f>
              <c:numCache>
                <c:formatCode>0.0%</c:formatCode>
                <c:ptCount val="2"/>
                <c:pt idx="0">
                  <c:v>0.307</c:v>
                </c:pt>
                <c:pt idx="1">
                  <c:v>0.1207</c:v>
                </c:pt>
              </c:numCache>
            </c:numRef>
          </c:val>
          <c:extLst xmlns:c16r2="http://schemas.microsoft.com/office/drawing/2015/06/chart">
            <c:ext xmlns:c16="http://schemas.microsoft.com/office/drawing/2014/chart" uri="{C3380CC4-5D6E-409C-BE32-E72D297353CC}">
              <c16:uniqueId val="{00000001-7D04-324F-B4B4-E660DF58FA69}"/>
            </c:ext>
          </c:extLst>
        </c:ser>
        <c:ser>
          <c:idx val="2"/>
          <c:order val="2"/>
          <c:tx>
            <c:strRef>
              <c:f>'[Pesquisa Participação Feminina - Dados Gerais do Questionário (2).xlsx]Comparação'!$D$102</c:f>
              <c:strCache>
                <c:ptCount val="1"/>
                <c:pt idx="0">
                  <c:v>Não sei responder</c:v>
                </c:pt>
              </c:strCache>
            </c:strRef>
          </c:tx>
          <c:spPr>
            <a:solidFill>
              <a:schemeClr val="bg1">
                <a:lumMod val="75000"/>
              </a:schemeClr>
            </a:solidFill>
          </c:spPr>
          <c:invertIfNegative val="0"/>
          <c:dLbls>
            <c:dLbl>
              <c:idx val="1"/>
              <c:layout>
                <c:manualLayout>
                  <c:x val="2.5445292620865142E-3"/>
                  <c:y val="3.66552119129438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D04-324F-B4B4-E660DF58FA6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(2).xlsx]Comparação'!$A$103:$A$104</c:f>
              <c:strCache>
                <c:ptCount val="2"/>
                <c:pt idx="0">
                  <c:v>Mulheres - No TST/CSJT, você considera que as mulheres têm acesso às mesmas oportunidades de desenvolvimento profissional que os homens?</c:v>
                </c:pt>
                <c:pt idx="1">
                  <c:v>Homens - No TST/CSJT, você considera que as mulheres têm acesso às mesmas oportunidades de desenvolvimento profissional que os homens?</c:v>
                </c:pt>
              </c:strCache>
            </c:strRef>
          </c:cat>
          <c:val>
            <c:numRef>
              <c:f>'[Pesquisa Participação Feminina - Dados Gerais do Questionário (2).xlsx]Comparação'!$D$103:$D$104</c:f>
              <c:numCache>
                <c:formatCode>0.0%</c:formatCode>
                <c:ptCount val="2"/>
                <c:pt idx="0">
                  <c:v>0.11899999999999999</c:v>
                </c:pt>
                <c:pt idx="1">
                  <c:v>5.1700000000000003E-2</c:v>
                </c:pt>
              </c:numCache>
            </c:numRef>
          </c:val>
          <c:extLst xmlns:c16r2="http://schemas.microsoft.com/office/drawing/2015/06/chart">
            <c:ext xmlns:c16="http://schemas.microsoft.com/office/drawing/2014/chart" uri="{C3380CC4-5D6E-409C-BE32-E72D297353CC}">
              <c16:uniqueId val="{00000003-7D04-324F-B4B4-E660DF58FA69}"/>
            </c:ext>
          </c:extLst>
        </c:ser>
        <c:dLbls>
          <c:showLegendKey val="0"/>
          <c:showVal val="0"/>
          <c:showCatName val="0"/>
          <c:showSerName val="0"/>
          <c:showPercent val="0"/>
          <c:showBubbleSize val="0"/>
        </c:dLbls>
        <c:gapWidth val="150"/>
        <c:overlap val="100"/>
        <c:axId val="226228864"/>
        <c:axId val="226242944"/>
      </c:barChart>
      <c:catAx>
        <c:axId val="226228864"/>
        <c:scaling>
          <c:orientation val="maxMin"/>
        </c:scaling>
        <c:delete val="0"/>
        <c:axPos val="l"/>
        <c:numFmt formatCode="General" sourceLinked="0"/>
        <c:majorTickMark val="out"/>
        <c:minorTickMark val="none"/>
        <c:tickLblPos val="nextTo"/>
        <c:crossAx val="226242944"/>
        <c:crosses val="autoZero"/>
        <c:auto val="1"/>
        <c:lblAlgn val="ctr"/>
        <c:lblOffset val="100"/>
        <c:noMultiLvlLbl val="0"/>
      </c:catAx>
      <c:valAx>
        <c:axId val="226242944"/>
        <c:scaling>
          <c:orientation val="minMax"/>
        </c:scaling>
        <c:delete val="1"/>
        <c:axPos val="t"/>
        <c:numFmt formatCode="0%" sourceLinked="1"/>
        <c:majorTickMark val="out"/>
        <c:minorTickMark val="none"/>
        <c:tickLblPos val="nextTo"/>
        <c:crossAx val="2262288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(2).xlsx]Comparação'!$B$114</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(2).xlsx]Comparação'!$A$115:$A$116</c:f>
              <c:strCache>
                <c:ptCount val="2"/>
                <c:pt idx="0">
                  <c:v>Mulheres - No TST/CSJT, você considera ter perdido oportunidades profissionais (cursos, viagens entre outros) ou já viu uma mulher perder oportunidades de desenvolvimento profissional por ser mulher?</c:v>
                </c:pt>
                <c:pt idx="1">
                  <c:v>Homens - No TST/CSJT, você se recorda de situação em que uma mulher perdeu oportunidades profissionais (cursos, viagens entre outros) por ser mulher?</c:v>
                </c:pt>
              </c:strCache>
            </c:strRef>
          </c:cat>
          <c:val>
            <c:numRef>
              <c:f>'[Pesquisa Participação Feminina - Dados Gerais do Questionário (2).xlsx]Comparação'!$B$115:$B$116</c:f>
              <c:numCache>
                <c:formatCode>0.0%</c:formatCode>
                <c:ptCount val="2"/>
                <c:pt idx="0">
                  <c:v>0.32400000000000001</c:v>
                </c:pt>
                <c:pt idx="1">
                  <c:v>0.1207</c:v>
                </c:pt>
              </c:numCache>
            </c:numRef>
          </c:val>
          <c:extLst xmlns:c16r2="http://schemas.microsoft.com/office/drawing/2015/06/chart">
            <c:ext xmlns:c16="http://schemas.microsoft.com/office/drawing/2014/chart" uri="{C3380CC4-5D6E-409C-BE32-E72D297353CC}">
              <c16:uniqueId val="{00000000-E477-9F4C-8379-B52E35D8B240}"/>
            </c:ext>
          </c:extLst>
        </c:ser>
        <c:ser>
          <c:idx val="1"/>
          <c:order val="1"/>
          <c:tx>
            <c:strRef>
              <c:f>'[Pesquisa Participação Feminina - Dados Gerais do Questionário (2).xlsx]Comparação'!$C$114</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(2).xlsx]Comparação'!$A$115:$A$116</c:f>
              <c:strCache>
                <c:ptCount val="2"/>
                <c:pt idx="0">
                  <c:v>Mulheres - No TST/CSJT, você considera ter perdido oportunidades profissionais (cursos, viagens entre outros) ou já viu uma mulher perder oportunidades de desenvolvimento profissional por ser mulher?</c:v>
                </c:pt>
                <c:pt idx="1">
                  <c:v>Homens - No TST/CSJT, você se recorda de situação em que uma mulher perdeu oportunidades profissionais (cursos, viagens entre outros) por ser mulher?</c:v>
                </c:pt>
              </c:strCache>
            </c:strRef>
          </c:cat>
          <c:val>
            <c:numRef>
              <c:f>'[Pesquisa Participação Feminina - Dados Gerais do Questionário (2).xlsx]Comparação'!$C$115:$C$116</c:f>
              <c:numCache>
                <c:formatCode>0.0%</c:formatCode>
                <c:ptCount val="2"/>
                <c:pt idx="0">
                  <c:v>0.57399999999999995</c:v>
                </c:pt>
                <c:pt idx="1">
                  <c:v>0.75860000000000005</c:v>
                </c:pt>
              </c:numCache>
            </c:numRef>
          </c:val>
          <c:extLst xmlns:c16r2="http://schemas.microsoft.com/office/drawing/2015/06/chart">
            <c:ext xmlns:c16="http://schemas.microsoft.com/office/drawing/2014/chart" uri="{C3380CC4-5D6E-409C-BE32-E72D297353CC}">
              <c16:uniqueId val="{00000001-E477-9F4C-8379-B52E35D8B240}"/>
            </c:ext>
          </c:extLst>
        </c:ser>
        <c:ser>
          <c:idx val="2"/>
          <c:order val="2"/>
          <c:tx>
            <c:strRef>
              <c:f>'[Pesquisa Participação Feminina - Dados Gerais do Questionário (2).xlsx]Comparação'!$D$114</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(2).xlsx]Comparação'!$A$115:$A$116</c:f>
              <c:strCache>
                <c:ptCount val="2"/>
                <c:pt idx="0">
                  <c:v>Mulheres - No TST/CSJT, você considera ter perdido oportunidades profissionais (cursos, viagens entre outros) ou já viu uma mulher perder oportunidades de desenvolvimento profissional por ser mulher?</c:v>
                </c:pt>
                <c:pt idx="1">
                  <c:v>Homens - No TST/CSJT, você se recorda de situação em que uma mulher perdeu oportunidades profissionais (cursos, viagens entre outros) por ser mulher?</c:v>
                </c:pt>
              </c:strCache>
            </c:strRef>
          </c:cat>
          <c:val>
            <c:numRef>
              <c:f>'[Pesquisa Participação Feminina - Dados Gerais do Questionário (2).xlsx]Comparação'!$D$115:$D$116</c:f>
              <c:numCache>
                <c:formatCode>0.0%</c:formatCode>
                <c:ptCount val="2"/>
                <c:pt idx="0">
                  <c:v>0.10199999999999999</c:v>
                </c:pt>
                <c:pt idx="1">
                  <c:v>0.1207</c:v>
                </c:pt>
              </c:numCache>
            </c:numRef>
          </c:val>
          <c:extLst xmlns:c16r2="http://schemas.microsoft.com/office/drawing/2015/06/chart">
            <c:ext xmlns:c16="http://schemas.microsoft.com/office/drawing/2014/chart" uri="{C3380CC4-5D6E-409C-BE32-E72D297353CC}">
              <c16:uniqueId val="{00000002-E477-9F4C-8379-B52E35D8B240}"/>
            </c:ext>
          </c:extLst>
        </c:ser>
        <c:dLbls>
          <c:showLegendKey val="0"/>
          <c:showVal val="0"/>
          <c:showCatName val="0"/>
          <c:showSerName val="0"/>
          <c:showPercent val="0"/>
          <c:showBubbleSize val="0"/>
        </c:dLbls>
        <c:gapWidth val="150"/>
        <c:overlap val="100"/>
        <c:axId val="226295808"/>
        <c:axId val="226297344"/>
      </c:barChart>
      <c:catAx>
        <c:axId val="226295808"/>
        <c:scaling>
          <c:orientation val="maxMin"/>
        </c:scaling>
        <c:delete val="0"/>
        <c:axPos val="l"/>
        <c:numFmt formatCode="General" sourceLinked="0"/>
        <c:majorTickMark val="out"/>
        <c:minorTickMark val="none"/>
        <c:tickLblPos val="nextTo"/>
        <c:crossAx val="226297344"/>
        <c:crosses val="autoZero"/>
        <c:auto val="1"/>
        <c:lblAlgn val="ctr"/>
        <c:lblOffset val="100"/>
        <c:noMultiLvlLbl val="0"/>
      </c:catAx>
      <c:valAx>
        <c:axId val="226297344"/>
        <c:scaling>
          <c:orientation val="minMax"/>
        </c:scaling>
        <c:delete val="1"/>
        <c:axPos val="t"/>
        <c:numFmt formatCode="0%" sourceLinked="1"/>
        <c:majorTickMark val="out"/>
        <c:minorTickMark val="none"/>
        <c:tickLblPos val="nextTo"/>
        <c:crossAx val="22629580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(2).xlsx]Comparação'!$B$122</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(2).xlsx]Comparação'!$A$123:$A$124</c:f>
              <c:strCache>
                <c:ptCount val="2"/>
                <c:pt idx="0">
                  <c:v>Mulheres - No TST/CSJT, você já presenciou situação em que uma promoção para cargo de chefia foi designada a um homem em detrimento de uma mulher igual ou superiormente capacitada para assumi-lo?</c:v>
                </c:pt>
                <c:pt idx="1">
                  <c:v>Homens - No TST/CSJT, você já presenciou situação em que uma promoção para cargo de chefia foi designada a um homem em detrimento de uma mulher igual ou superiormente capacitada para assumi-lo?</c:v>
                </c:pt>
              </c:strCache>
            </c:strRef>
          </c:cat>
          <c:val>
            <c:numRef>
              <c:f>'[Pesquisa Participação Feminina - Dados Gerais do Questionário (2).xlsx]Comparação'!$B$123:$B$124</c:f>
              <c:numCache>
                <c:formatCode>0.0%</c:formatCode>
                <c:ptCount val="2"/>
                <c:pt idx="0">
                  <c:v>0.26600000000000001</c:v>
                </c:pt>
                <c:pt idx="1">
                  <c:v>0.10340000000000001</c:v>
                </c:pt>
              </c:numCache>
            </c:numRef>
          </c:val>
          <c:extLst xmlns:c16r2="http://schemas.microsoft.com/office/drawing/2015/06/chart">
            <c:ext xmlns:c16="http://schemas.microsoft.com/office/drawing/2014/chart" uri="{C3380CC4-5D6E-409C-BE32-E72D297353CC}">
              <c16:uniqueId val="{00000000-4E6B-6B46-B4F0-F5E00CF8E161}"/>
            </c:ext>
          </c:extLst>
        </c:ser>
        <c:ser>
          <c:idx val="1"/>
          <c:order val="1"/>
          <c:tx>
            <c:strRef>
              <c:f>'[Pesquisa Participação Feminina - Dados Gerais do Questionário (2).xlsx]Comparação'!$C$122</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(2).xlsx]Comparação'!$A$123:$A$124</c:f>
              <c:strCache>
                <c:ptCount val="2"/>
                <c:pt idx="0">
                  <c:v>Mulheres - No TST/CSJT, você já presenciou situação em que uma promoção para cargo de chefia foi designada a um homem em detrimento de uma mulher igual ou superiormente capacitada para assumi-lo?</c:v>
                </c:pt>
                <c:pt idx="1">
                  <c:v>Homens - No TST/CSJT, você já presenciou situação em que uma promoção para cargo de chefia foi designada a um homem em detrimento de uma mulher igual ou superiormente capacitada para assumi-lo?</c:v>
                </c:pt>
              </c:strCache>
            </c:strRef>
          </c:cat>
          <c:val>
            <c:numRef>
              <c:f>'[Pesquisa Participação Feminina - Dados Gerais do Questionário (2).xlsx]Comparação'!$C$123:$C$124</c:f>
              <c:numCache>
                <c:formatCode>0.0%</c:formatCode>
                <c:ptCount val="2"/>
                <c:pt idx="0">
                  <c:v>0.65600000000000003</c:v>
                </c:pt>
                <c:pt idx="1">
                  <c:v>0.8276</c:v>
                </c:pt>
              </c:numCache>
            </c:numRef>
          </c:val>
          <c:extLst xmlns:c16r2="http://schemas.microsoft.com/office/drawing/2015/06/chart">
            <c:ext xmlns:c16="http://schemas.microsoft.com/office/drawing/2014/chart" uri="{C3380CC4-5D6E-409C-BE32-E72D297353CC}">
              <c16:uniqueId val="{00000001-4E6B-6B46-B4F0-F5E00CF8E161}"/>
            </c:ext>
          </c:extLst>
        </c:ser>
        <c:ser>
          <c:idx val="2"/>
          <c:order val="2"/>
          <c:tx>
            <c:strRef>
              <c:f>'[Pesquisa Participação Feminina - Dados Gerais do Questionário (2).xlsx]Comparação'!$D$122</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(2).xlsx]Comparação'!$A$123:$A$124</c:f>
              <c:strCache>
                <c:ptCount val="2"/>
                <c:pt idx="0">
                  <c:v>Mulheres - No TST/CSJT, você já presenciou situação em que uma promoção para cargo de chefia foi designada a um homem em detrimento de uma mulher igual ou superiormente capacitada para assumi-lo?</c:v>
                </c:pt>
                <c:pt idx="1">
                  <c:v>Homens - No TST/CSJT, você já presenciou situação em que uma promoção para cargo de chefia foi designada a um homem em detrimento de uma mulher igual ou superiormente capacitada para assumi-lo?</c:v>
                </c:pt>
              </c:strCache>
            </c:strRef>
          </c:cat>
          <c:val>
            <c:numRef>
              <c:f>'[Pesquisa Participação Feminina - Dados Gerais do Questionário (2).xlsx]Comparação'!$D$123:$D$124</c:f>
              <c:numCache>
                <c:formatCode>0.0%</c:formatCode>
                <c:ptCount val="2"/>
                <c:pt idx="0">
                  <c:v>7.8E-2</c:v>
                </c:pt>
                <c:pt idx="1">
                  <c:v>6.9000000000000006E-2</c:v>
                </c:pt>
              </c:numCache>
            </c:numRef>
          </c:val>
          <c:extLst xmlns:c16r2="http://schemas.microsoft.com/office/drawing/2015/06/chart">
            <c:ext xmlns:c16="http://schemas.microsoft.com/office/drawing/2014/chart" uri="{C3380CC4-5D6E-409C-BE32-E72D297353CC}">
              <c16:uniqueId val="{00000002-4E6B-6B46-B4F0-F5E00CF8E161}"/>
            </c:ext>
          </c:extLst>
        </c:ser>
        <c:dLbls>
          <c:showLegendKey val="0"/>
          <c:showVal val="0"/>
          <c:showCatName val="0"/>
          <c:showSerName val="0"/>
          <c:showPercent val="0"/>
          <c:showBubbleSize val="0"/>
        </c:dLbls>
        <c:gapWidth val="150"/>
        <c:overlap val="100"/>
        <c:axId val="226321536"/>
        <c:axId val="226323072"/>
      </c:barChart>
      <c:catAx>
        <c:axId val="226321536"/>
        <c:scaling>
          <c:orientation val="maxMin"/>
        </c:scaling>
        <c:delete val="0"/>
        <c:axPos val="l"/>
        <c:numFmt formatCode="General" sourceLinked="0"/>
        <c:majorTickMark val="out"/>
        <c:minorTickMark val="none"/>
        <c:tickLblPos val="nextTo"/>
        <c:crossAx val="226323072"/>
        <c:crosses val="autoZero"/>
        <c:auto val="1"/>
        <c:lblAlgn val="ctr"/>
        <c:lblOffset val="100"/>
        <c:noMultiLvlLbl val="0"/>
      </c:catAx>
      <c:valAx>
        <c:axId val="226323072"/>
        <c:scaling>
          <c:orientation val="minMax"/>
        </c:scaling>
        <c:delete val="1"/>
        <c:axPos val="t"/>
        <c:numFmt formatCode="0%" sourceLinked="1"/>
        <c:majorTickMark val="out"/>
        <c:minorTickMark val="none"/>
        <c:tickLblPos val="nextTo"/>
        <c:crossAx val="2263215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(2).xlsx]Comparação'!$B$136</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(2).xlsx]Comparação'!$A$137:$A$138</c:f>
              <c:strCache>
                <c:ptCount val="2"/>
                <c:pt idx="0">
                  <c:v>Mulheres - No TST/CSJT, você considera que as mulheres são encorajadas e têm oportunidades de assumir cargos de chefia?</c:v>
                </c:pt>
                <c:pt idx="1">
                  <c:v>Homens - No TST/CSJT, você considera que as mulheres são encorajadas e têm oportunidades de assumir cargos de chefia ?</c:v>
                </c:pt>
              </c:strCache>
            </c:strRef>
          </c:cat>
          <c:val>
            <c:numRef>
              <c:f>'[Pesquisa Participação Feminina - Dados Gerais do Questionário (2).xlsx]Comparação'!$B$137:$B$138</c:f>
              <c:numCache>
                <c:formatCode>0.0%</c:formatCode>
                <c:ptCount val="2"/>
                <c:pt idx="0">
                  <c:v>0.71299999999999997</c:v>
                </c:pt>
                <c:pt idx="1">
                  <c:v>0.81030000000000002</c:v>
                </c:pt>
              </c:numCache>
            </c:numRef>
          </c:val>
          <c:extLst xmlns:c16r2="http://schemas.microsoft.com/office/drawing/2015/06/chart">
            <c:ext xmlns:c16="http://schemas.microsoft.com/office/drawing/2014/chart" uri="{C3380CC4-5D6E-409C-BE32-E72D297353CC}">
              <c16:uniqueId val="{00000000-FFFA-F947-8C92-5C4FC2EDADFE}"/>
            </c:ext>
          </c:extLst>
        </c:ser>
        <c:ser>
          <c:idx val="1"/>
          <c:order val="1"/>
          <c:tx>
            <c:strRef>
              <c:f>'[Pesquisa Participação Feminina - Dados Gerais do Questionário (2).xlsx]Comparação'!$C$136</c:f>
              <c:strCache>
                <c:ptCount val="1"/>
                <c:pt idx="0">
                  <c:v>Não</c:v>
                </c:pt>
              </c:strCache>
            </c:strRef>
          </c:tx>
          <c:spPr>
            <a:solidFill>
              <a:schemeClr val="accent1">
                <a:lumMod val="60000"/>
                <a:lumOff val="40000"/>
              </a:schemeClr>
            </a:solidFill>
          </c:spPr>
          <c:invertIfNegative val="0"/>
          <c:dLbls>
            <c:dLbl>
              <c:idx val="1"/>
              <c:layout>
                <c:manualLayout>
                  <c:x val="0"/>
                  <c:y val="-2.31481481481482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FA-F947-8C92-5C4FC2EDADF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(2).xlsx]Comparação'!$A$137:$A$138</c:f>
              <c:strCache>
                <c:ptCount val="2"/>
                <c:pt idx="0">
                  <c:v>Mulheres - No TST/CSJT, você considera que as mulheres são encorajadas e têm oportunidades de assumir cargos de chefia?</c:v>
                </c:pt>
                <c:pt idx="1">
                  <c:v>Homens - No TST/CSJT, você considera que as mulheres são encorajadas e têm oportunidades de assumir cargos de chefia ?</c:v>
                </c:pt>
              </c:strCache>
            </c:strRef>
          </c:cat>
          <c:val>
            <c:numRef>
              <c:f>'[Pesquisa Participação Feminina - Dados Gerais do Questionário (2).xlsx]Comparação'!$C$137:$C$138</c:f>
              <c:numCache>
                <c:formatCode>0.0%</c:formatCode>
                <c:ptCount val="2"/>
                <c:pt idx="0">
                  <c:v>0.18</c:v>
                </c:pt>
                <c:pt idx="1">
                  <c:v>5.1700000000000003E-2</c:v>
                </c:pt>
              </c:numCache>
            </c:numRef>
          </c:val>
          <c:extLst xmlns:c16r2="http://schemas.microsoft.com/office/drawing/2015/06/chart">
            <c:ext xmlns:c16="http://schemas.microsoft.com/office/drawing/2014/chart" uri="{C3380CC4-5D6E-409C-BE32-E72D297353CC}">
              <c16:uniqueId val="{00000002-FFFA-F947-8C92-5C4FC2EDADFE}"/>
            </c:ext>
          </c:extLst>
        </c:ser>
        <c:ser>
          <c:idx val="2"/>
          <c:order val="2"/>
          <c:tx>
            <c:strRef>
              <c:f>'[Pesquisa Participação Feminina - Dados Gerais do Questionário (2).xlsx]Comparação'!$D$136</c:f>
              <c:strCache>
                <c:ptCount val="1"/>
                <c:pt idx="0">
                  <c:v>Não sei responder</c:v>
                </c:pt>
              </c:strCache>
            </c:strRef>
          </c:tx>
          <c:spPr>
            <a:solidFill>
              <a:schemeClr val="bg1">
                <a:lumMod val="75000"/>
              </a:schemeClr>
            </a:solidFill>
          </c:spPr>
          <c:invertIfNegative val="0"/>
          <c:dLbls>
            <c:dLbl>
              <c:idx val="0"/>
              <c:layout>
                <c:manualLayout>
                  <c:x val="0"/>
                  <c:y val="4.62962962962963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FA-F947-8C92-5C4FC2EDADFE}"/>
                </c:ext>
              </c:extLst>
            </c:dLbl>
            <c:dLbl>
              <c:idx val="1"/>
              <c:layout>
                <c:manualLayout>
                  <c:x val="-2.7777777777777779E-3"/>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FA-F947-8C92-5C4FC2EDADF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(2).xlsx]Comparação'!$A$137:$A$138</c:f>
              <c:strCache>
                <c:ptCount val="2"/>
                <c:pt idx="0">
                  <c:v>Mulheres - No TST/CSJT, você considera que as mulheres são encorajadas e têm oportunidades de assumir cargos de chefia?</c:v>
                </c:pt>
                <c:pt idx="1">
                  <c:v>Homens - No TST/CSJT, você considera que as mulheres são encorajadas e têm oportunidades de assumir cargos de chefia ?</c:v>
                </c:pt>
              </c:strCache>
            </c:strRef>
          </c:cat>
          <c:val>
            <c:numRef>
              <c:f>'[Pesquisa Participação Feminina - Dados Gerais do Questionário (2).xlsx]Comparação'!$D$137:$D$138</c:f>
              <c:numCache>
                <c:formatCode>0.0%</c:formatCode>
                <c:ptCount val="2"/>
                <c:pt idx="0">
                  <c:v>0.107</c:v>
                </c:pt>
                <c:pt idx="1">
                  <c:v>0.13789999999999999</c:v>
                </c:pt>
              </c:numCache>
            </c:numRef>
          </c:val>
          <c:extLst xmlns:c16r2="http://schemas.microsoft.com/office/drawing/2015/06/chart">
            <c:ext xmlns:c16="http://schemas.microsoft.com/office/drawing/2014/chart" uri="{C3380CC4-5D6E-409C-BE32-E72D297353CC}">
              <c16:uniqueId val="{00000005-FFFA-F947-8C92-5C4FC2EDADFE}"/>
            </c:ext>
          </c:extLst>
        </c:ser>
        <c:dLbls>
          <c:showLegendKey val="0"/>
          <c:showVal val="0"/>
          <c:showCatName val="0"/>
          <c:showSerName val="0"/>
          <c:showPercent val="0"/>
          <c:showBubbleSize val="0"/>
        </c:dLbls>
        <c:gapWidth val="150"/>
        <c:overlap val="100"/>
        <c:axId val="226356608"/>
        <c:axId val="226440320"/>
      </c:barChart>
      <c:catAx>
        <c:axId val="226356608"/>
        <c:scaling>
          <c:orientation val="maxMin"/>
        </c:scaling>
        <c:delete val="0"/>
        <c:axPos val="l"/>
        <c:numFmt formatCode="General" sourceLinked="0"/>
        <c:majorTickMark val="out"/>
        <c:minorTickMark val="none"/>
        <c:tickLblPos val="nextTo"/>
        <c:crossAx val="226440320"/>
        <c:crosses val="autoZero"/>
        <c:auto val="1"/>
        <c:lblAlgn val="ctr"/>
        <c:lblOffset val="100"/>
        <c:noMultiLvlLbl val="0"/>
      </c:catAx>
      <c:valAx>
        <c:axId val="226440320"/>
        <c:scaling>
          <c:orientation val="minMax"/>
        </c:scaling>
        <c:delete val="1"/>
        <c:axPos val="t"/>
        <c:numFmt formatCode="0%" sourceLinked="1"/>
        <c:majorTickMark val="out"/>
        <c:minorTickMark val="none"/>
        <c:tickLblPos val="nextTo"/>
        <c:crossAx val="22635660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(2).xlsx]Comparação'!$B$149</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(2).xlsx]Comparação'!$A$150:$A$151</c:f>
              <c:strCache>
                <c:ptCount val="2"/>
                <c:pt idx="0">
                  <c:v>Mulheres - No TST/CSJT, você considera que as mulheres estão presentes e são ouvidas em espaços de tomada de decisão?</c:v>
                </c:pt>
                <c:pt idx="1">
                  <c:v>Homens - No TST/CSJT, você considera que as mulheres estão presentes e são ouvidas em espaços de tomada de decisão?</c:v>
                </c:pt>
              </c:strCache>
            </c:strRef>
          </c:cat>
          <c:val>
            <c:numRef>
              <c:f>'[Pesquisa Participação Feminina - Dados Gerais do Questionário (2).xlsx]Comparação'!$B$150:$B$151</c:f>
              <c:numCache>
                <c:formatCode>0.0%</c:formatCode>
                <c:ptCount val="2"/>
                <c:pt idx="0">
                  <c:v>0.68</c:v>
                </c:pt>
                <c:pt idx="1">
                  <c:v>0.8448</c:v>
                </c:pt>
              </c:numCache>
            </c:numRef>
          </c:val>
          <c:extLst xmlns:c16r2="http://schemas.microsoft.com/office/drawing/2015/06/chart">
            <c:ext xmlns:c16="http://schemas.microsoft.com/office/drawing/2014/chart" uri="{C3380CC4-5D6E-409C-BE32-E72D297353CC}">
              <c16:uniqueId val="{00000000-0020-DE41-BE0B-D1CB7117EC27}"/>
            </c:ext>
          </c:extLst>
        </c:ser>
        <c:ser>
          <c:idx val="1"/>
          <c:order val="1"/>
          <c:tx>
            <c:strRef>
              <c:f>'[Pesquisa Participação Feminina - Dados Gerais do Questionário (2).xlsx]Comparação'!$C$149</c:f>
              <c:strCache>
                <c:ptCount val="1"/>
                <c:pt idx="0">
                  <c:v>Não </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(2).xlsx]Comparação'!$A$150:$A$151</c:f>
              <c:strCache>
                <c:ptCount val="2"/>
                <c:pt idx="0">
                  <c:v>Mulheres - No TST/CSJT, você considera que as mulheres estão presentes e são ouvidas em espaços de tomada de decisão?</c:v>
                </c:pt>
                <c:pt idx="1">
                  <c:v>Homens - No TST/CSJT, você considera que as mulheres estão presentes e são ouvidas em espaços de tomada de decisão?</c:v>
                </c:pt>
              </c:strCache>
            </c:strRef>
          </c:cat>
          <c:val>
            <c:numRef>
              <c:f>'[Pesquisa Participação Feminina - Dados Gerais do Questionário (2).xlsx]Comparação'!$C$150:$C$151</c:f>
              <c:numCache>
                <c:formatCode>0.0%</c:formatCode>
                <c:ptCount val="2"/>
                <c:pt idx="0">
                  <c:v>0.21</c:v>
                </c:pt>
                <c:pt idx="1">
                  <c:v>0.10340000000000001</c:v>
                </c:pt>
              </c:numCache>
            </c:numRef>
          </c:val>
          <c:extLst xmlns:c16r2="http://schemas.microsoft.com/office/drawing/2015/06/chart">
            <c:ext xmlns:c16="http://schemas.microsoft.com/office/drawing/2014/chart" uri="{C3380CC4-5D6E-409C-BE32-E72D297353CC}">
              <c16:uniqueId val="{00000001-0020-DE41-BE0B-D1CB7117EC27}"/>
            </c:ext>
          </c:extLst>
        </c:ser>
        <c:ser>
          <c:idx val="2"/>
          <c:order val="2"/>
          <c:tx>
            <c:strRef>
              <c:f>'[Pesquisa Participação Feminina - Dados Gerais do Questionário (2).xlsx]Comparação'!$D$149</c:f>
              <c:strCache>
                <c:ptCount val="1"/>
                <c:pt idx="0">
                  <c:v>Não sei responder</c:v>
                </c:pt>
              </c:strCache>
            </c:strRef>
          </c:tx>
          <c:spPr>
            <a:solidFill>
              <a:schemeClr val="bg1">
                <a:lumMod val="75000"/>
              </a:schemeClr>
            </a:solidFill>
          </c:spPr>
          <c:invertIfNegative val="0"/>
          <c:dLbls>
            <c:dLbl>
              <c:idx val="1"/>
              <c:layout>
                <c:manualLayout>
                  <c:x val="5.5555555555555558E-3"/>
                  <c:y val="5.55559200933216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20-DE41-BE0B-D1CB7117EC2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(2).xlsx]Comparação'!$A$150:$A$151</c:f>
              <c:strCache>
                <c:ptCount val="2"/>
                <c:pt idx="0">
                  <c:v>Mulheres - No TST/CSJT, você considera que as mulheres estão presentes e são ouvidas em espaços de tomada de decisão?</c:v>
                </c:pt>
                <c:pt idx="1">
                  <c:v>Homens - No TST/CSJT, você considera que as mulheres estão presentes e são ouvidas em espaços de tomada de decisão?</c:v>
                </c:pt>
              </c:strCache>
            </c:strRef>
          </c:cat>
          <c:val>
            <c:numRef>
              <c:f>'[Pesquisa Participação Feminina - Dados Gerais do Questionário (2).xlsx]Comparação'!$D$150:$D$151</c:f>
              <c:numCache>
                <c:formatCode>0.0%</c:formatCode>
                <c:ptCount val="2"/>
                <c:pt idx="0">
                  <c:v>0.11</c:v>
                </c:pt>
                <c:pt idx="1">
                  <c:v>5.1700000000000003E-2</c:v>
                </c:pt>
              </c:numCache>
            </c:numRef>
          </c:val>
          <c:extLst xmlns:c16r2="http://schemas.microsoft.com/office/drawing/2015/06/chart">
            <c:ext xmlns:c16="http://schemas.microsoft.com/office/drawing/2014/chart" uri="{C3380CC4-5D6E-409C-BE32-E72D297353CC}">
              <c16:uniqueId val="{00000003-0020-DE41-BE0B-D1CB7117EC27}"/>
            </c:ext>
          </c:extLst>
        </c:ser>
        <c:dLbls>
          <c:showLegendKey val="0"/>
          <c:showVal val="0"/>
          <c:showCatName val="0"/>
          <c:showSerName val="0"/>
          <c:showPercent val="0"/>
          <c:showBubbleSize val="0"/>
        </c:dLbls>
        <c:gapWidth val="150"/>
        <c:overlap val="100"/>
        <c:axId val="226489472"/>
        <c:axId val="226491008"/>
      </c:barChart>
      <c:catAx>
        <c:axId val="226489472"/>
        <c:scaling>
          <c:orientation val="maxMin"/>
        </c:scaling>
        <c:delete val="0"/>
        <c:axPos val="l"/>
        <c:numFmt formatCode="General" sourceLinked="0"/>
        <c:majorTickMark val="out"/>
        <c:minorTickMark val="none"/>
        <c:tickLblPos val="nextTo"/>
        <c:crossAx val="226491008"/>
        <c:crosses val="autoZero"/>
        <c:auto val="1"/>
        <c:lblAlgn val="ctr"/>
        <c:lblOffset val="100"/>
        <c:noMultiLvlLbl val="0"/>
      </c:catAx>
      <c:valAx>
        <c:axId val="226491008"/>
        <c:scaling>
          <c:orientation val="minMax"/>
        </c:scaling>
        <c:delete val="1"/>
        <c:axPos val="t"/>
        <c:numFmt formatCode="0%" sourceLinked="1"/>
        <c:majorTickMark val="out"/>
        <c:minorTickMark val="none"/>
        <c:tickLblPos val="nextTo"/>
        <c:crossAx val="22648947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(2).xlsx]Comparação'!$B$157</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(2).xlsx]Comparação'!$A$158:$A$159</c:f>
              <c:strCache>
                <c:ptCount val="2"/>
                <c:pt idx="0">
                  <c:v>Mulheres - No TST/CSJT, você considera que as mulheres precisam se esforçar mais do que os homens para serem promovidas?</c:v>
                </c:pt>
                <c:pt idx="1">
                  <c:v>Homens - No TST/CSJT, você considera que as mulheres precisam se esforçar mais do que os homens para serem promovidas?</c:v>
                </c:pt>
              </c:strCache>
            </c:strRef>
          </c:cat>
          <c:val>
            <c:numRef>
              <c:f>'[Pesquisa Participação Feminina - Dados Gerais do Questionário (2).xlsx]Comparação'!$B$158:$B$159</c:f>
              <c:numCache>
                <c:formatCode>0.0%</c:formatCode>
                <c:ptCount val="2"/>
                <c:pt idx="0">
                  <c:v>0.56999999999999995</c:v>
                </c:pt>
                <c:pt idx="1">
                  <c:v>0.2069</c:v>
                </c:pt>
              </c:numCache>
            </c:numRef>
          </c:val>
          <c:extLst xmlns:c16r2="http://schemas.microsoft.com/office/drawing/2015/06/chart">
            <c:ext xmlns:c16="http://schemas.microsoft.com/office/drawing/2014/chart" uri="{C3380CC4-5D6E-409C-BE32-E72D297353CC}">
              <c16:uniqueId val="{00000000-0CD0-A341-A4EE-12D107636C7C}"/>
            </c:ext>
          </c:extLst>
        </c:ser>
        <c:ser>
          <c:idx val="1"/>
          <c:order val="1"/>
          <c:tx>
            <c:strRef>
              <c:f>'[Pesquisa Participação Feminina - Dados Gerais do Questionário (2).xlsx]Comparação'!$C$157</c:f>
              <c:strCache>
                <c:ptCount val="1"/>
                <c:pt idx="0">
                  <c:v>Não </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(2).xlsx]Comparação'!$A$158:$A$159</c:f>
              <c:strCache>
                <c:ptCount val="2"/>
                <c:pt idx="0">
                  <c:v>Mulheres - No TST/CSJT, você considera que as mulheres precisam se esforçar mais do que os homens para serem promovidas?</c:v>
                </c:pt>
                <c:pt idx="1">
                  <c:v>Homens - No TST/CSJT, você considera que as mulheres precisam se esforçar mais do que os homens para serem promovidas?</c:v>
                </c:pt>
              </c:strCache>
            </c:strRef>
          </c:cat>
          <c:val>
            <c:numRef>
              <c:f>'[Pesquisa Participação Feminina - Dados Gerais do Questionário (2).xlsx]Comparação'!$C$158:$C$159</c:f>
              <c:numCache>
                <c:formatCode>0.0%</c:formatCode>
                <c:ptCount val="2"/>
                <c:pt idx="0">
                  <c:v>0.33600000000000002</c:v>
                </c:pt>
                <c:pt idx="1">
                  <c:v>0.6552</c:v>
                </c:pt>
              </c:numCache>
            </c:numRef>
          </c:val>
          <c:extLst xmlns:c16r2="http://schemas.microsoft.com/office/drawing/2015/06/chart">
            <c:ext xmlns:c16="http://schemas.microsoft.com/office/drawing/2014/chart" uri="{C3380CC4-5D6E-409C-BE32-E72D297353CC}">
              <c16:uniqueId val="{00000001-0CD0-A341-A4EE-12D107636C7C}"/>
            </c:ext>
          </c:extLst>
        </c:ser>
        <c:ser>
          <c:idx val="2"/>
          <c:order val="2"/>
          <c:tx>
            <c:strRef>
              <c:f>'[Pesquisa Participação Feminina - Dados Gerais do Questionário (2).xlsx]Comparação'!$D$157</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(2).xlsx]Comparação'!$A$158:$A$159</c:f>
              <c:strCache>
                <c:ptCount val="2"/>
                <c:pt idx="0">
                  <c:v>Mulheres - No TST/CSJT, você considera que as mulheres precisam se esforçar mais do que os homens para serem promovidas?</c:v>
                </c:pt>
                <c:pt idx="1">
                  <c:v>Homens - No TST/CSJT, você considera que as mulheres precisam se esforçar mais do que os homens para serem promovidas?</c:v>
                </c:pt>
              </c:strCache>
            </c:strRef>
          </c:cat>
          <c:val>
            <c:numRef>
              <c:f>'[Pesquisa Participação Feminina - Dados Gerais do Questionário (2).xlsx]Comparação'!$D$158:$D$159</c:f>
              <c:numCache>
                <c:formatCode>0.0%</c:formatCode>
                <c:ptCount val="2"/>
                <c:pt idx="0">
                  <c:v>9.4E-2</c:v>
                </c:pt>
                <c:pt idx="1">
                  <c:v>0.13789999999999999</c:v>
                </c:pt>
              </c:numCache>
            </c:numRef>
          </c:val>
          <c:extLst xmlns:c16r2="http://schemas.microsoft.com/office/drawing/2015/06/chart">
            <c:ext xmlns:c16="http://schemas.microsoft.com/office/drawing/2014/chart" uri="{C3380CC4-5D6E-409C-BE32-E72D297353CC}">
              <c16:uniqueId val="{00000002-0CD0-A341-A4EE-12D107636C7C}"/>
            </c:ext>
          </c:extLst>
        </c:ser>
        <c:dLbls>
          <c:showLegendKey val="0"/>
          <c:showVal val="0"/>
          <c:showCatName val="0"/>
          <c:showSerName val="0"/>
          <c:showPercent val="0"/>
          <c:showBubbleSize val="0"/>
        </c:dLbls>
        <c:gapWidth val="150"/>
        <c:overlap val="100"/>
        <c:axId val="226879744"/>
        <c:axId val="226893824"/>
      </c:barChart>
      <c:catAx>
        <c:axId val="226879744"/>
        <c:scaling>
          <c:orientation val="maxMin"/>
        </c:scaling>
        <c:delete val="0"/>
        <c:axPos val="l"/>
        <c:numFmt formatCode="General" sourceLinked="0"/>
        <c:majorTickMark val="out"/>
        <c:minorTickMark val="none"/>
        <c:tickLblPos val="nextTo"/>
        <c:crossAx val="226893824"/>
        <c:crosses val="autoZero"/>
        <c:auto val="1"/>
        <c:lblAlgn val="ctr"/>
        <c:lblOffset val="100"/>
        <c:noMultiLvlLbl val="0"/>
      </c:catAx>
      <c:valAx>
        <c:axId val="226893824"/>
        <c:scaling>
          <c:orientation val="minMax"/>
        </c:scaling>
        <c:delete val="1"/>
        <c:axPos val="t"/>
        <c:numFmt formatCode="0%" sourceLinked="1"/>
        <c:majorTickMark val="out"/>
        <c:minorTickMark val="none"/>
        <c:tickLblPos val="nextTo"/>
        <c:crossAx val="22687974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(2).xlsx]Comparação'!$B$166</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(2).xlsx]Comparação'!$A$167:$A$168</c:f>
              <c:strCache>
                <c:ptCount val="2"/>
                <c:pt idx="0">
                  <c:v>Mulheres - No TST/CSJT, você já presenciou situações em que mulheres tiveram suas ideias desconsideradas ou apropriadas por homens em reuniões?</c:v>
                </c:pt>
                <c:pt idx="1">
                  <c:v>Homens - No TST/CSJT, você já presenciou situações em que mulheres tiveram suas ideias desconsideradas ou apropriadas por homens em reuniões?</c:v>
                </c:pt>
              </c:strCache>
            </c:strRef>
          </c:cat>
          <c:val>
            <c:numRef>
              <c:f>'[Pesquisa Participação Feminina - Dados Gerais do Questionário (2).xlsx]Comparação'!$B$167:$B$168</c:f>
              <c:numCache>
                <c:formatCode>0.0%</c:formatCode>
                <c:ptCount val="2"/>
                <c:pt idx="0">
                  <c:v>0.33200000000000002</c:v>
                </c:pt>
                <c:pt idx="1">
                  <c:v>6.9000000000000006E-2</c:v>
                </c:pt>
              </c:numCache>
            </c:numRef>
          </c:val>
          <c:extLst xmlns:c16r2="http://schemas.microsoft.com/office/drawing/2015/06/chart">
            <c:ext xmlns:c16="http://schemas.microsoft.com/office/drawing/2014/chart" uri="{C3380CC4-5D6E-409C-BE32-E72D297353CC}">
              <c16:uniqueId val="{00000000-458C-6846-889E-EFF225355AB0}"/>
            </c:ext>
          </c:extLst>
        </c:ser>
        <c:ser>
          <c:idx val="1"/>
          <c:order val="1"/>
          <c:tx>
            <c:strRef>
              <c:f>'[Pesquisa Participação Feminina - Dados Gerais do Questionário (2).xlsx]Comparação'!$C$166</c:f>
              <c:strCache>
                <c:ptCount val="1"/>
                <c:pt idx="0">
                  <c:v>Não </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(2).xlsx]Comparação'!$A$167:$A$168</c:f>
              <c:strCache>
                <c:ptCount val="2"/>
                <c:pt idx="0">
                  <c:v>Mulheres - No TST/CSJT, você já presenciou situações em que mulheres tiveram suas ideias desconsideradas ou apropriadas por homens em reuniões?</c:v>
                </c:pt>
                <c:pt idx="1">
                  <c:v>Homens - No TST/CSJT, você já presenciou situações em que mulheres tiveram suas ideias desconsideradas ou apropriadas por homens em reuniões?</c:v>
                </c:pt>
              </c:strCache>
            </c:strRef>
          </c:cat>
          <c:val>
            <c:numRef>
              <c:f>'[Pesquisa Participação Feminina - Dados Gerais do Questionário (2).xlsx]Comparação'!$C$167:$C$168</c:f>
              <c:numCache>
                <c:formatCode>0.0%</c:formatCode>
                <c:ptCount val="2"/>
                <c:pt idx="0">
                  <c:v>0.59799999999999998</c:v>
                </c:pt>
                <c:pt idx="1">
                  <c:v>0.86209999999999998</c:v>
                </c:pt>
              </c:numCache>
            </c:numRef>
          </c:val>
          <c:extLst xmlns:c16r2="http://schemas.microsoft.com/office/drawing/2015/06/chart">
            <c:ext xmlns:c16="http://schemas.microsoft.com/office/drawing/2014/chart" uri="{C3380CC4-5D6E-409C-BE32-E72D297353CC}">
              <c16:uniqueId val="{00000001-458C-6846-889E-EFF225355AB0}"/>
            </c:ext>
          </c:extLst>
        </c:ser>
        <c:ser>
          <c:idx val="2"/>
          <c:order val="2"/>
          <c:tx>
            <c:strRef>
              <c:f>'[Pesquisa Participação Feminina - Dados Gerais do Questionário (2).xlsx]Comparação'!$D$166</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(2).xlsx]Comparação'!$A$167:$A$168</c:f>
              <c:strCache>
                <c:ptCount val="2"/>
                <c:pt idx="0">
                  <c:v>Mulheres - No TST/CSJT, você já presenciou situações em que mulheres tiveram suas ideias desconsideradas ou apropriadas por homens em reuniões?</c:v>
                </c:pt>
                <c:pt idx="1">
                  <c:v>Homens - No TST/CSJT, você já presenciou situações em que mulheres tiveram suas ideias desconsideradas ou apropriadas por homens em reuniões?</c:v>
                </c:pt>
              </c:strCache>
            </c:strRef>
          </c:cat>
          <c:val>
            <c:numRef>
              <c:f>'[Pesquisa Participação Feminina - Dados Gerais do Questionário (2).xlsx]Comparação'!$D$167:$D$168</c:f>
              <c:numCache>
                <c:formatCode>0.0%</c:formatCode>
                <c:ptCount val="2"/>
                <c:pt idx="0">
                  <c:v>7.0000000000000007E-2</c:v>
                </c:pt>
                <c:pt idx="1">
                  <c:v>6.9000000000000006E-2</c:v>
                </c:pt>
              </c:numCache>
            </c:numRef>
          </c:val>
          <c:extLst xmlns:c16r2="http://schemas.microsoft.com/office/drawing/2015/06/chart">
            <c:ext xmlns:c16="http://schemas.microsoft.com/office/drawing/2014/chart" uri="{C3380CC4-5D6E-409C-BE32-E72D297353CC}">
              <c16:uniqueId val="{00000002-458C-6846-889E-EFF225355AB0}"/>
            </c:ext>
          </c:extLst>
        </c:ser>
        <c:dLbls>
          <c:showLegendKey val="0"/>
          <c:showVal val="0"/>
          <c:showCatName val="0"/>
          <c:showSerName val="0"/>
          <c:showPercent val="0"/>
          <c:showBubbleSize val="0"/>
        </c:dLbls>
        <c:gapWidth val="150"/>
        <c:overlap val="100"/>
        <c:axId val="226938240"/>
        <c:axId val="226948224"/>
      </c:barChart>
      <c:catAx>
        <c:axId val="226938240"/>
        <c:scaling>
          <c:orientation val="maxMin"/>
        </c:scaling>
        <c:delete val="0"/>
        <c:axPos val="l"/>
        <c:numFmt formatCode="General" sourceLinked="0"/>
        <c:majorTickMark val="out"/>
        <c:minorTickMark val="none"/>
        <c:tickLblPos val="nextTo"/>
        <c:crossAx val="226948224"/>
        <c:crosses val="autoZero"/>
        <c:auto val="1"/>
        <c:lblAlgn val="ctr"/>
        <c:lblOffset val="100"/>
        <c:noMultiLvlLbl val="0"/>
      </c:catAx>
      <c:valAx>
        <c:axId val="226948224"/>
        <c:scaling>
          <c:orientation val="minMax"/>
        </c:scaling>
        <c:delete val="1"/>
        <c:axPos val="t"/>
        <c:numFmt formatCode="0%" sourceLinked="1"/>
        <c:majorTickMark val="out"/>
        <c:minorTickMark val="none"/>
        <c:tickLblPos val="nextTo"/>
        <c:crossAx val="22693824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Plan3!$B$317</c:f>
              <c:strCache>
                <c:ptCount val="1"/>
                <c:pt idx="0">
                  <c:v>Feminino</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Plan3!$A$318:$A$319</c:f>
              <c:strCache>
                <c:ptCount val="2"/>
                <c:pt idx="0">
                  <c:v>TST</c:v>
                </c:pt>
                <c:pt idx="1">
                  <c:v>CSJT</c:v>
                </c:pt>
              </c:strCache>
            </c:strRef>
          </c:cat>
          <c:val>
            <c:numRef>
              <c:f>Plan3!$B$318:$B$319</c:f>
              <c:numCache>
                <c:formatCode>0.0%</c:formatCode>
                <c:ptCount val="2"/>
                <c:pt idx="0">
                  <c:v>0.56399999999999995</c:v>
                </c:pt>
                <c:pt idx="1">
                  <c:v>0.40799999999999997</c:v>
                </c:pt>
              </c:numCache>
            </c:numRef>
          </c:val>
          <c:extLst xmlns:c16r2="http://schemas.microsoft.com/office/drawing/2015/06/chart">
            <c:ext xmlns:c16="http://schemas.microsoft.com/office/drawing/2014/chart" uri="{C3380CC4-5D6E-409C-BE32-E72D297353CC}">
              <c16:uniqueId val="{00000000-EA96-4F5A-AB0D-19E8275030E3}"/>
            </c:ext>
          </c:extLst>
        </c:ser>
        <c:ser>
          <c:idx val="1"/>
          <c:order val="1"/>
          <c:tx>
            <c:strRef>
              <c:f>Plan3!$C$317</c:f>
              <c:strCache>
                <c:ptCount val="1"/>
                <c:pt idx="0">
                  <c:v>Masculino</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Plan3!$A$318:$A$319</c:f>
              <c:strCache>
                <c:ptCount val="2"/>
                <c:pt idx="0">
                  <c:v>TST</c:v>
                </c:pt>
                <c:pt idx="1">
                  <c:v>CSJT</c:v>
                </c:pt>
              </c:strCache>
            </c:strRef>
          </c:cat>
          <c:val>
            <c:numRef>
              <c:f>Plan3!$C$318:$C$319</c:f>
              <c:numCache>
                <c:formatCode>0.0%</c:formatCode>
                <c:ptCount val="2"/>
                <c:pt idx="0">
                  <c:v>0.436</c:v>
                </c:pt>
                <c:pt idx="1">
                  <c:v>0.59199999999999997</c:v>
                </c:pt>
              </c:numCache>
            </c:numRef>
          </c:val>
          <c:extLst xmlns:c16r2="http://schemas.microsoft.com/office/drawing/2015/06/chart">
            <c:ext xmlns:c16="http://schemas.microsoft.com/office/drawing/2014/chart" uri="{C3380CC4-5D6E-409C-BE32-E72D297353CC}">
              <c16:uniqueId val="{00000001-EA96-4F5A-AB0D-19E8275030E3}"/>
            </c:ext>
          </c:extLst>
        </c:ser>
        <c:dLbls>
          <c:showLegendKey val="0"/>
          <c:showVal val="0"/>
          <c:showCatName val="0"/>
          <c:showSerName val="0"/>
          <c:showPercent val="0"/>
          <c:showBubbleSize val="0"/>
        </c:dLbls>
        <c:gapWidth val="150"/>
        <c:overlap val="100"/>
        <c:axId val="218685440"/>
        <c:axId val="218686976"/>
      </c:barChart>
      <c:catAx>
        <c:axId val="218685440"/>
        <c:scaling>
          <c:orientation val="maxMin"/>
        </c:scaling>
        <c:delete val="0"/>
        <c:axPos val="l"/>
        <c:numFmt formatCode="General" sourceLinked="0"/>
        <c:majorTickMark val="out"/>
        <c:minorTickMark val="none"/>
        <c:tickLblPos val="nextTo"/>
        <c:crossAx val="218686976"/>
        <c:crosses val="autoZero"/>
        <c:auto val="1"/>
        <c:lblAlgn val="ctr"/>
        <c:lblOffset val="100"/>
        <c:noMultiLvlLbl val="0"/>
      </c:catAx>
      <c:valAx>
        <c:axId val="218686976"/>
        <c:scaling>
          <c:orientation val="minMax"/>
        </c:scaling>
        <c:delete val="1"/>
        <c:axPos val="t"/>
        <c:numFmt formatCode="0%" sourceLinked="1"/>
        <c:majorTickMark val="out"/>
        <c:minorTickMark val="none"/>
        <c:tickLblPos val="nextTo"/>
        <c:crossAx val="21868544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 2'!$B$1</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2'!$A$2:$A$3</c:f>
              <c:strCache>
                <c:ptCount val="2"/>
                <c:pt idx="0">
                  <c:v>Mulheres - Você se sente pressionada a priorizar o trabalho no TST/CSJT em detrimento de sua vida pessoal?</c:v>
                </c:pt>
                <c:pt idx="1">
                  <c:v>Homens - No TST/CSJT, você considera que as mulheres são pressionadas a priorizar o trabalho em detrimento da vida pessoal?</c:v>
                </c:pt>
              </c:strCache>
            </c:strRef>
          </c:cat>
          <c:val>
            <c:numRef>
              <c:f>'[Pesquisa Participação Feminina - Dados Gerais do Questionário (2).xlsx]Comparação 2'!$B$2:$B$3</c:f>
              <c:numCache>
                <c:formatCode>0.0%</c:formatCode>
                <c:ptCount val="2"/>
                <c:pt idx="0">
                  <c:v>0.44700000000000001</c:v>
                </c:pt>
                <c:pt idx="1">
                  <c:v>0.2414</c:v>
                </c:pt>
              </c:numCache>
            </c:numRef>
          </c:val>
          <c:extLst xmlns:c16r2="http://schemas.microsoft.com/office/drawing/2015/06/chart">
            <c:ext xmlns:c16="http://schemas.microsoft.com/office/drawing/2014/chart" uri="{C3380CC4-5D6E-409C-BE32-E72D297353CC}">
              <c16:uniqueId val="{00000000-BCCF-AC4D-AA86-0D8E28E02617}"/>
            </c:ext>
          </c:extLst>
        </c:ser>
        <c:ser>
          <c:idx val="1"/>
          <c:order val="1"/>
          <c:tx>
            <c:strRef>
              <c:f>'[Pesquisa Participação Feminina - Dados Gerais do Questionário (2).xlsx]Comparação 2'!$C$1</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2'!$A$2:$A$3</c:f>
              <c:strCache>
                <c:ptCount val="2"/>
                <c:pt idx="0">
                  <c:v>Mulheres - Você se sente pressionada a priorizar o trabalho no TST/CSJT em detrimento de sua vida pessoal?</c:v>
                </c:pt>
                <c:pt idx="1">
                  <c:v>Homens - No TST/CSJT, você considera que as mulheres são pressionadas a priorizar o trabalho em detrimento da vida pessoal?</c:v>
                </c:pt>
              </c:strCache>
            </c:strRef>
          </c:cat>
          <c:val>
            <c:numRef>
              <c:f>'[Pesquisa Participação Feminina - Dados Gerais do Questionário (2).xlsx]Comparação 2'!$C$2:$C$3</c:f>
              <c:numCache>
                <c:formatCode>0.0%</c:formatCode>
                <c:ptCount val="2"/>
                <c:pt idx="0">
                  <c:v>0.53300000000000003</c:v>
                </c:pt>
                <c:pt idx="1">
                  <c:v>0.51719999999999999</c:v>
                </c:pt>
              </c:numCache>
            </c:numRef>
          </c:val>
          <c:extLst xmlns:c16r2="http://schemas.microsoft.com/office/drawing/2015/06/chart">
            <c:ext xmlns:c16="http://schemas.microsoft.com/office/drawing/2014/chart" uri="{C3380CC4-5D6E-409C-BE32-E72D297353CC}">
              <c16:uniqueId val="{00000001-BCCF-AC4D-AA86-0D8E28E02617}"/>
            </c:ext>
          </c:extLst>
        </c:ser>
        <c:ser>
          <c:idx val="2"/>
          <c:order val="2"/>
          <c:tx>
            <c:strRef>
              <c:f>'[Pesquisa Participação Feminina - Dados Gerais do Questionário (2).xlsx]Comparação 2'!$D$1</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2'!$A$2:$A$3</c:f>
              <c:strCache>
                <c:ptCount val="2"/>
                <c:pt idx="0">
                  <c:v>Mulheres - Você se sente pressionada a priorizar o trabalho no TST/CSJT em detrimento de sua vida pessoal?</c:v>
                </c:pt>
                <c:pt idx="1">
                  <c:v>Homens - No TST/CSJT, você considera que as mulheres são pressionadas a priorizar o trabalho em detrimento da vida pessoal?</c:v>
                </c:pt>
              </c:strCache>
            </c:strRef>
          </c:cat>
          <c:val>
            <c:numRef>
              <c:f>'[Pesquisa Participação Feminina - Dados Gerais do Questionário (2).xlsx]Comparação 2'!$D$2:$D$3</c:f>
              <c:numCache>
                <c:formatCode>0.0%</c:formatCode>
                <c:ptCount val="2"/>
                <c:pt idx="0">
                  <c:v>0.02</c:v>
                </c:pt>
                <c:pt idx="1">
                  <c:v>0.2414</c:v>
                </c:pt>
              </c:numCache>
            </c:numRef>
          </c:val>
          <c:extLst xmlns:c16r2="http://schemas.microsoft.com/office/drawing/2015/06/chart">
            <c:ext xmlns:c16="http://schemas.microsoft.com/office/drawing/2014/chart" uri="{C3380CC4-5D6E-409C-BE32-E72D297353CC}">
              <c16:uniqueId val="{00000002-BCCF-AC4D-AA86-0D8E28E02617}"/>
            </c:ext>
          </c:extLst>
        </c:ser>
        <c:dLbls>
          <c:showLegendKey val="0"/>
          <c:showVal val="0"/>
          <c:showCatName val="0"/>
          <c:showSerName val="0"/>
          <c:showPercent val="0"/>
          <c:showBubbleSize val="0"/>
        </c:dLbls>
        <c:gapWidth val="150"/>
        <c:overlap val="100"/>
        <c:axId val="235397888"/>
        <c:axId val="235399424"/>
      </c:barChart>
      <c:catAx>
        <c:axId val="235397888"/>
        <c:scaling>
          <c:orientation val="maxMin"/>
        </c:scaling>
        <c:delete val="0"/>
        <c:axPos val="l"/>
        <c:numFmt formatCode="General" sourceLinked="0"/>
        <c:majorTickMark val="out"/>
        <c:minorTickMark val="none"/>
        <c:tickLblPos val="nextTo"/>
        <c:crossAx val="235399424"/>
        <c:crosses val="autoZero"/>
        <c:auto val="1"/>
        <c:lblAlgn val="ctr"/>
        <c:lblOffset val="100"/>
        <c:noMultiLvlLbl val="0"/>
      </c:catAx>
      <c:valAx>
        <c:axId val="235399424"/>
        <c:scaling>
          <c:orientation val="minMax"/>
        </c:scaling>
        <c:delete val="1"/>
        <c:axPos val="t"/>
        <c:numFmt formatCode="0%" sourceLinked="1"/>
        <c:majorTickMark val="out"/>
        <c:minorTickMark val="none"/>
        <c:tickLblPos val="nextTo"/>
        <c:crossAx val="23539788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 2'!$B$5</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2'!$A$6:$A$7</c:f>
              <c:strCache>
                <c:ptCount val="2"/>
                <c:pt idx="0">
                  <c:v>Mulheres - Você acredita que o TST/CSJT oferece suporte adequado às mães que trabalham?</c:v>
                </c:pt>
                <c:pt idx="1">
                  <c:v>Homens - Você acredita que o TST/CSJT oferece suporte adequado às mães que trabalham?</c:v>
                </c:pt>
              </c:strCache>
            </c:strRef>
          </c:cat>
          <c:val>
            <c:numRef>
              <c:f>'[Pesquisa Participação Feminina - Dados Gerais do Questionário (2).xlsx]Comparação 2'!$B$6:$B$7</c:f>
              <c:numCache>
                <c:formatCode>0.0%</c:formatCode>
                <c:ptCount val="2"/>
                <c:pt idx="0">
                  <c:v>0.504</c:v>
                </c:pt>
                <c:pt idx="1">
                  <c:v>0.79310000000000003</c:v>
                </c:pt>
              </c:numCache>
            </c:numRef>
          </c:val>
          <c:extLst xmlns:c16r2="http://schemas.microsoft.com/office/drawing/2015/06/chart">
            <c:ext xmlns:c16="http://schemas.microsoft.com/office/drawing/2014/chart" uri="{C3380CC4-5D6E-409C-BE32-E72D297353CC}">
              <c16:uniqueId val="{00000000-54A8-9E46-AD99-85494F2F13BF}"/>
            </c:ext>
          </c:extLst>
        </c:ser>
        <c:ser>
          <c:idx val="1"/>
          <c:order val="1"/>
          <c:tx>
            <c:strRef>
              <c:f>'[Pesquisa Participação Feminina - Dados Gerais do Questionário (2).xlsx]Comparação 2'!$C$5</c:f>
              <c:strCache>
                <c:ptCount val="1"/>
                <c:pt idx="0">
                  <c:v>Não </c:v>
                </c:pt>
              </c:strCache>
            </c:strRef>
          </c:tx>
          <c:spPr>
            <a:solidFill>
              <a:schemeClr val="accent1">
                <a:lumMod val="60000"/>
                <a:lumOff val="40000"/>
              </a:schemeClr>
            </a:solidFill>
          </c:spPr>
          <c:invertIfNegative val="0"/>
          <c:dLbls>
            <c:dLbl>
              <c:idx val="1"/>
              <c:layout>
                <c:manualLayout>
                  <c:x val="0"/>
                  <c:y val="-9.25925925925934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A8-9E46-AD99-85494F2F13B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2'!$A$6:$A$7</c:f>
              <c:strCache>
                <c:ptCount val="2"/>
                <c:pt idx="0">
                  <c:v>Mulheres - Você acredita que o TST/CSJT oferece suporte adequado às mães que trabalham?</c:v>
                </c:pt>
                <c:pt idx="1">
                  <c:v>Homens - Você acredita que o TST/CSJT oferece suporte adequado às mães que trabalham?</c:v>
                </c:pt>
              </c:strCache>
            </c:strRef>
          </c:cat>
          <c:val>
            <c:numRef>
              <c:f>'[Pesquisa Participação Feminina - Dados Gerais do Questionário (2).xlsx]Comparação 2'!$C$6:$C$7</c:f>
              <c:numCache>
                <c:formatCode>0.0%</c:formatCode>
                <c:ptCount val="2"/>
                <c:pt idx="0">
                  <c:v>0.307</c:v>
                </c:pt>
                <c:pt idx="1">
                  <c:v>8.6199999999999999E-2</c:v>
                </c:pt>
              </c:numCache>
            </c:numRef>
          </c:val>
          <c:extLst xmlns:c16r2="http://schemas.microsoft.com/office/drawing/2015/06/chart">
            <c:ext xmlns:c16="http://schemas.microsoft.com/office/drawing/2014/chart" uri="{C3380CC4-5D6E-409C-BE32-E72D297353CC}">
              <c16:uniqueId val="{00000002-54A8-9E46-AD99-85494F2F13BF}"/>
            </c:ext>
          </c:extLst>
        </c:ser>
        <c:ser>
          <c:idx val="2"/>
          <c:order val="2"/>
          <c:tx>
            <c:strRef>
              <c:f>'[Pesquisa Participação Feminina - Dados Gerais do Questionário (2).xlsx]Comparação 2'!$D$5</c:f>
              <c:strCache>
                <c:ptCount val="1"/>
                <c:pt idx="0">
                  <c:v>Não sei responder</c:v>
                </c:pt>
              </c:strCache>
            </c:strRef>
          </c:tx>
          <c:spPr>
            <a:solidFill>
              <a:schemeClr val="bg1">
                <a:lumMod val="75000"/>
              </a:schemeClr>
            </a:solidFill>
          </c:spPr>
          <c:invertIfNegative val="0"/>
          <c:dLbls>
            <c:dLbl>
              <c:idx val="1"/>
              <c:layout>
                <c:manualLayout>
                  <c:x val="1.0185067526415994E-16"/>
                  <c:y val="5.55555555555554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A8-9E46-AD99-85494F2F13B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2'!$A$6:$A$7</c:f>
              <c:strCache>
                <c:ptCount val="2"/>
                <c:pt idx="0">
                  <c:v>Mulheres - Você acredita que o TST/CSJT oferece suporte adequado às mães que trabalham?</c:v>
                </c:pt>
                <c:pt idx="1">
                  <c:v>Homens - Você acredita que o TST/CSJT oferece suporte adequado às mães que trabalham?</c:v>
                </c:pt>
              </c:strCache>
            </c:strRef>
          </c:cat>
          <c:val>
            <c:numRef>
              <c:f>'[Pesquisa Participação Feminina - Dados Gerais do Questionário (2).xlsx]Comparação 2'!$D$6:$D$7</c:f>
              <c:numCache>
                <c:formatCode>0.0%</c:formatCode>
                <c:ptCount val="2"/>
                <c:pt idx="0">
                  <c:v>0.189</c:v>
                </c:pt>
                <c:pt idx="1">
                  <c:v>0.1207</c:v>
                </c:pt>
              </c:numCache>
            </c:numRef>
          </c:val>
          <c:extLst xmlns:c16r2="http://schemas.microsoft.com/office/drawing/2015/06/chart">
            <c:ext xmlns:c16="http://schemas.microsoft.com/office/drawing/2014/chart" uri="{C3380CC4-5D6E-409C-BE32-E72D297353CC}">
              <c16:uniqueId val="{00000004-54A8-9E46-AD99-85494F2F13BF}"/>
            </c:ext>
          </c:extLst>
        </c:ser>
        <c:dLbls>
          <c:showLegendKey val="0"/>
          <c:showVal val="0"/>
          <c:showCatName val="0"/>
          <c:showSerName val="0"/>
          <c:showPercent val="0"/>
          <c:showBubbleSize val="0"/>
        </c:dLbls>
        <c:gapWidth val="150"/>
        <c:overlap val="100"/>
        <c:axId val="235436672"/>
        <c:axId val="235463040"/>
      </c:barChart>
      <c:catAx>
        <c:axId val="235436672"/>
        <c:scaling>
          <c:orientation val="maxMin"/>
        </c:scaling>
        <c:delete val="0"/>
        <c:axPos val="l"/>
        <c:numFmt formatCode="General" sourceLinked="0"/>
        <c:majorTickMark val="out"/>
        <c:minorTickMark val="none"/>
        <c:tickLblPos val="nextTo"/>
        <c:crossAx val="235463040"/>
        <c:crosses val="autoZero"/>
        <c:auto val="1"/>
        <c:lblAlgn val="ctr"/>
        <c:lblOffset val="100"/>
        <c:noMultiLvlLbl val="0"/>
      </c:catAx>
      <c:valAx>
        <c:axId val="235463040"/>
        <c:scaling>
          <c:orientation val="minMax"/>
        </c:scaling>
        <c:delete val="1"/>
        <c:axPos val="t"/>
        <c:numFmt formatCode="0%" sourceLinked="1"/>
        <c:majorTickMark val="out"/>
        <c:minorTickMark val="none"/>
        <c:tickLblPos val="nextTo"/>
        <c:crossAx val="23543667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 2'!$B$10</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2'!$A$11:$A$12</c:f>
              <c:strCache>
                <c:ptCount val="2"/>
                <c:pt idx="0">
                  <c:v>Mulheres - Você já viveu ou presenciou uma situação em que uma mãe foi prejudicada profissionalmente no TST/CSJT por ter filhos?</c:v>
                </c:pt>
                <c:pt idx="1">
                  <c:v>Homens - Você já presenciou uma situação em que uma mãe foi prejudicada profissionalmente no TST/CSJT por ter filhos?</c:v>
                </c:pt>
              </c:strCache>
            </c:strRef>
          </c:cat>
          <c:val>
            <c:numRef>
              <c:f>'[Pesquisa Participação Feminina - Dados Gerais do Questionário (2).xlsx]Comparação 2'!$B$11:$B$12</c:f>
              <c:numCache>
                <c:formatCode>0.0%</c:formatCode>
                <c:ptCount val="2"/>
                <c:pt idx="0">
                  <c:v>0.41</c:v>
                </c:pt>
                <c:pt idx="1">
                  <c:v>0.1552</c:v>
                </c:pt>
              </c:numCache>
            </c:numRef>
          </c:val>
          <c:extLst xmlns:c16r2="http://schemas.microsoft.com/office/drawing/2015/06/chart">
            <c:ext xmlns:c16="http://schemas.microsoft.com/office/drawing/2014/chart" uri="{C3380CC4-5D6E-409C-BE32-E72D297353CC}">
              <c16:uniqueId val="{00000000-7776-5742-AADF-CBA204F1CEBE}"/>
            </c:ext>
          </c:extLst>
        </c:ser>
        <c:ser>
          <c:idx val="1"/>
          <c:order val="1"/>
          <c:tx>
            <c:strRef>
              <c:f>'[Pesquisa Participação Feminina - Dados Gerais do Questionário (2).xlsx]Comparação 2'!$C$10</c:f>
              <c:strCache>
                <c:ptCount val="1"/>
                <c:pt idx="0">
                  <c:v>Não </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2'!$A$11:$A$12</c:f>
              <c:strCache>
                <c:ptCount val="2"/>
                <c:pt idx="0">
                  <c:v>Mulheres - Você já viveu ou presenciou uma situação em que uma mãe foi prejudicada profissionalmente no TST/CSJT por ter filhos?</c:v>
                </c:pt>
                <c:pt idx="1">
                  <c:v>Homens - Você já presenciou uma situação em que uma mãe foi prejudicada profissionalmente no TST/CSJT por ter filhos?</c:v>
                </c:pt>
              </c:strCache>
            </c:strRef>
          </c:cat>
          <c:val>
            <c:numRef>
              <c:f>'[Pesquisa Participação Feminina - Dados Gerais do Questionário (2).xlsx]Comparação 2'!$C$11:$C$12</c:f>
              <c:numCache>
                <c:formatCode>0.0%</c:formatCode>
                <c:ptCount val="2"/>
                <c:pt idx="0">
                  <c:v>0.50800000000000001</c:v>
                </c:pt>
                <c:pt idx="1">
                  <c:v>0.79310000000000003</c:v>
                </c:pt>
              </c:numCache>
            </c:numRef>
          </c:val>
          <c:extLst xmlns:c16r2="http://schemas.microsoft.com/office/drawing/2015/06/chart">
            <c:ext xmlns:c16="http://schemas.microsoft.com/office/drawing/2014/chart" uri="{C3380CC4-5D6E-409C-BE32-E72D297353CC}">
              <c16:uniqueId val="{00000001-7776-5742-AADF-CBA204F1CEBE}"/>
            </c:ext>
          </c:extLst>
        </c:ser>
        <c:ser>
          <c:idx val="2"/>
          <c:order val="2"/>
          <c:tx>
            <c:strRef>
              <c:f>'[Pesquisa Participação Feminina - Dados Gerais do Questionário (2).xlsx]Comparação 2'!$D$10</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2'!$A$11:$A$12</c:f>
              <c:strCache>
                <c:ptCount val="2"/>
                <c:pt idx="0">
                  <c:v>Mulheres - Você já viveu ou presenciou uma situação em que uma mãe foi prejudicada profissionalmente no TST/CSJT por ter filhos?</c:v>
                </c:pt>
                <c:pt idx="1">
                  <c:v>Homens - Você já presenciou uma situação em que uma mãe foi prejudicada profissionalmente no TST/CSJT por ter filhos?</c:v>
                </c:pt>
              </c:strCache>
            </c:strRef>
          </c:cat>
          <c:val>
            <c:numRef>
              <c:f>'[Pesquisa Participação Feminina - Dados Gerais do Questionário (2).xlsx]Comparação 2'!$D$11:$D$12</c:f>
              <c:numCache>
                <c:formatCode>0.0%</c:formatCode>
                <c:ptCount val="2"/>
                <c:pt idx="0">
                  <c:v>8.2000000000000003E-2</c:v>
                </c:pt>
                <c:pt idx="1">
                  <c:v>5.1700000000000003E-2</c:v>
                </c:pt>
              </c:numCache>
            </c:numRef>
          </c:val>
          <c:extLst xmlns:c16r2="http://schemas.microsoft.com/office/drawing/2015/06/chart">
            <c:ext xmlns:c16="http://schemas.microsoft.com/office/drawing/2014/chart" uri="{C3380CC4-5D6E-409C-BE32-E72D297353CC}">
              <c16:uniqueId val="{00000002-7776-5742-AADF-CBA204F1CEBE}"/>
            </c:ext>
          </c:extLst>
        </c:ser>
        <c:dLbls>
          <c:showLegendKey val="0"/>
          <c:showVal val="0"/>
          <c:showCatName val="0"/>
          <c:showSerName val="0"/>
          <c:showPercent val="0"/>
          <c:showBubbleSize val="0"/>
        </c:dLbls>
        <c:gapWidth val="150"/>
        <c:overlap val="100"/>
        <c:axId val="235495424"/>
        <c:axId val="235496960"/>
      </c:barChart>
      <c:catAx>
        <c:axId val="235495424"/>
        <c:scaling>
          <c:orientation val="maxMin"/>
        </c:scaling>
        <c:delete val="0"/>
        <c:axPos val="l"/>
        <c:numFmt formatCode="General" sourceLinked="0"/>
        <c:majorTickMark val="out"/>
        <c:minorTickMark val="none"/>
        <c:tickLblPos val="nextTo"/>
        <c:crossAx val="235496960"/>
        <c:crosses val="autoZero"/>
        <c:auto val="1"/>
        <c:lblAlgn val="ctr"/>
        <c:lblOffset val="100"/>
        <c:noMultiLvlLbl val="0"/>
      </c:catAx>
      <c:valAx>
        <c:axId val="235496960"/>
        <c:scaling>
          <c:orientation val="minMax"/>
        </c:scaling>
        <c:delete val="1"/>
        <c:axPos val="t"/>
        <c:numFmt formatCode="0%" sourceLinked="1"/>
        <c:majorTickMark val="out"/>
        <c:minorTickMark val="none"/>
        <c:tickLblPos val="nextTo"/>
        <c:crossAx val="23549542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 2'!$B$13</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2'!$A$14:$A$15</c:f>
              <c:strCache>
                <c:ptCount val="2"/>
                <c:pt idx="0">
                  <c:v>Mulheres - Você acredita que as mulheres que são mães se sentem confortáveis em falar sobre questões relacionadas à maternidade com seus colegas e superiores no TST/CSJT?</c:v>
                </c:pt>
                <c:pt idx="1">
                  <c:v>Homens - Você acredita que as mulheres que são mães se sentem confortáveis em falar sobre questões relacionadas à maternidade com seus colegas e superiores no TST/CSJT?</c:v>
                </c:pt>
              </c:strCache>
            </c:strRef>
          </c:cat>
          <c:val>
            <c:numRef>
              <c:f>'[Pesquisa Participação Feminina - Dados Gerais do Questionário (2).xlsx]Comparação 2'!$B$14:$B$15</c:f>
              <c:numCache>
                <c:formatCode>0.0%</c:formatCode>
                <c:ptCount val="2"/>
                <c:pt idx="0">
                  <c:v>0.45700000000000002</c:v>
                </c:pt>
                <c:pt idx="1">
                  <c:v>0.60340000000000005</c:v>
                </c:pt>
              </c:numCache>
            </c:numRef>
          </c:val>
          <c:extLst xmlns:c16r2="http://schemas.microsoft.com/office/drawing/2015/06/chart">
            <c:ext xmlns:c16="http://schemas.microsoft.com/office/drawing/2014/chart" uri="{C3380CC4-5D6E-409C-BE32-E72D297353CC}">
              <c16:uniqueId val="{00000000-EE4A-A34F-9680-92991A5F6DE6}"/>
            </c:ext>
          </c:extLst>
        </c:ser>
        <c:ser>
          <c:idx val="1"/>
          <c:order val="1"/>
          <c:tx>
            <c:strRef>
              <c:f>'[Pesquisa Participação Feminina - Dados Gerais do Questionário (2).xlsx]Comparação 2'!$C$13</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2'!$A$14:$A$15</c:f>
              <c:strCache>
                <c:ptCount val="2"/>
                <c:pt idx="0">
                  <c:v>Mulheres - Você acredita que as mulheres que são mães se sentem confortáveis em falar sobre questões relacionadas à maternidade com seus colegas e superiores no TST/CSJT?</c:v>
                </c:pt>
                <c:pt idx="1">
                  <c:v>Homens - Você acredita que as mulheres que são mães se sentem confortáveis em falar sobre questões relacionadas à maternidade com seus colegas e superiores no TST/CSJT?</c:v>
                </c:pt>
              </c:strCache>
            </c:strRef>
          </c:cat>
          <c:val>
            <c:numRef>
              <c:f>'[Pesquisa Participação Feminina - Dados Gerais do Questionário (2).xlsx]Comparação 2'!$C$14:$C$15</c:f>
              <c:numCache>
                <c:formatCode>0.0%</c:formatCode>
                <c:ptCount val="2"/>
                <c:pt idx="0">
                  <c:v>0.38800000000000001</c:v>
                </c:pt>
                <c:pt idx="1">
                  <c:v>0.1724</c:v>
                </c:pt>
              </c:numCache>
            </c:numRef>
          </c:val>
          <c:extLst xmlns:c16r2="http://schemas.microsoft.com/office/drawing/2015/06/chart">
            <c:ext xmlns:c16="http://schemas.microsoft.com/office/drawing/2014/chart" uri="{C3380CC4-5D6E-409C-BE32-E72D297353CC}">
              <c16:uniqueId val="{00000001-EE4A-A34F-9680-92991A5F6DE6}"/>
            </c:ext>
          </c:extLst>
        </c:ser>
        <c:ser>
          <c:idx val="2"/>
          <c:order val="2"/>
          <c:tx>
            <c:strRef>
              <c:f>'[Pesquisa Participação Feminina - Dados Gerais do Questionário (2).xlsx]Comparação 2'!$D$13</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2'!$A$14:$A$15</c:f>
              <c:strCache>
                <c:ptCount val="2"/>
                <c:pt idx="0">
                  <c:v>Mulheres - Você acredita que as mulheres que são mães se sentem confortáveis em falar sobre questões relacionadas à maternidade com seus colegas e superiores no TST/CSJT?</c:v>
                </c:pt>
                <c:pt idx="1">
                  <c:v>Homens - Você acredita que as mulheres que são mães se sentem confortáveis em falar sobre questões relacionadas à maternidade com seus colegas e superiores no TST/CSJT?</c:v>
                </c:pt>
              </c:strCache>
            </c:strRef>
          </c:cat>
          <c:val>
            <c:numRef>
              <c:f>'[Pesquisa Participação Feminina - Dados Gerais do Questionário (2).xlsx]Comparação 2'!$D$14:$D$15</c:f>
              <c:numCache>
                <c:formatCode>0.0%</c:formatCode>
                <c:ptCount val="2"/>
                <c:pt idx="0">
                  <c:v>0.155</c:v>
                </c:pt>
                <c:pt idx="1">
                  <c:v>0.22409999999999999</c:v>
                </c:pt>
              </c:numCache>
            </c:numRef>
          </c:val>
          <c:extLst xmlns:c16r2="http://schemas.microsoft.com/office/drawing/2015/06/chart">
            <c:ext xmlns:c16="http://schemas.microsoft.com/office/drawing/2014/chart" uri="{C3380CC4-5D6E-409C-BE32-E72D297353CC}">
              <c16:uniqueId val="{00000002-EE4A-A34F-9680-92991A5F6DE6}"/>
            </c:ext>
          </c:extLst>
        </c:ser>
        <c:dLbls>
          <c:showLegendKey val="0"/>
          <c:showVal val="0"/>
          <c:showCatName val="0"/>
          <c:showSerName val="0"/>
          <c:showPercent val="0"/>
          <c:showBubbleSize val="0"/>
        </c:dLbls>
        <c:gapWidth val="150"/>
        <c:overlap val="100"/>
        <c:axId val="235523456"/>
        <c:axId val="235553920"/>
      </c:barChart>
      <c:catAx>
        <c:axId val="235523456"/>
        <c:scaling>
          <c:orientation val="maxMin"/>
        </c:scaling>
        <c:delete val="0"/>
        <c:axPos val="l"/>
        <c:numFmt formatCode="General" sourceLinked="0"/>
        <c:majorTickMark val="out"/>
        <c:minorTickMark val="none"/>
        <c:tickLblPos val="nextTo"/>
        <c:crossAx val="235553920"/>
        <c:crosses val="autoZero"/>
        <c:auto val="1"/>
        <c:lblAlgn val="ctr"/>
        <c:lblOffset val="100"/>
        <c:noMultiLvlLbl val="0"/>
      </c:catAx>
      <c:valAx>
        <c:axId val="235553920"/>
        <c:scaling>
          <c:orientation val="minMax"/>
        </c:scaling>
        <c:delete val="1"/>
        <c:axPos val="t"/>
        <c:numFmt formatCode="0%" sourceLinked="1"/>
        <c:majorTickMark val="out"/>
        <c:minorTickMark val="none"/>
        <c:tickLblPos val="nextTo"/>
        <c:crossAx val="23552345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 2'!$B$17</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2'!$A$18:$A$19</c:f>
              <c:strCache>
                <c:ptCount val="2"/>
                <c:pt idx="0">
                  <c:v>Mulheres - Na sua percepção, mulheres que retornam de licença-maternidade encontram dificuldades para se reintegrar no seu ambiente de trabalho do TST/CSJT?</c:v>
                </c:pt>
                <c:pt idx="1">
                  <c:v>Homens - Na sua percepção, mulheres que retornam de licença-maternidade encontram dificuldades para se reintegrar no seu ambiente de trabalho do TST/CSJT?</c:v>
                </c:pt>
              </c:strCache>
            </c:strRef>
          </c:cat>
          <c:val>
            <c:numRef>
              <c:f>'[Pesquisa Participação Feminina - Dados Gerais do Questionário (2).xlsx]Comparação 2'!$B$18:$B$19</c:f>
              <c:numCache>
                <c:formatCode>0.0%</c:formatCode>
                <c:ptCount val="2"/>
                <c:pt idx="0">
                  <c:v>0.38100000000000001</c:v>
                </c:pt>
                <c:pt idx="1">
                  <c:v>0.1724</c:v>
                </c:pt>
              </c:numCache>
            </c:numRef>
          </c:val>
          <c:extLst xmlns:c16r2="http://schemas.microsoft.com/office/drawing/2015/06/chart">
            <c:ext xmlns:c16="http://schemas.microsoft.com/office/drawing/2014/chart" uri="{C3380CC4-5D6E-409C-BE32-E72D297353CC}">
              <c16:uniqueId val="{00000000-0769-0045-A9AA-DB02F699344F}"/>
            </c:ext>
          </c:extLst>
        </c:ser>
        <c:ser>
          <c:idx val="1"/>
          <c:order val="1"/>
          <c:tx>
            <c:strRef>
              <c:f>'[Pesquisa Participação Feminina - Dados Gerais do Questionário (2).xlsx]Comparação 2'!$C$17</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2'!$A$18:$A$19</c:f>
              <c:strCache>
                <c:ptCount val="2"/>
                <c:pt idx="0">
                  <c:v>Mulheres - Na sua percepção, mulheres que retornam de licença-maternidade encontram dificuldades para se reintegrar no seu ambiente de trabalho do TST/CSJT?</c:v>
                </c:pt>
                <c:pt idx="1">
                  <c:v>Homens - Na sua percepção, mulheres que retornam de licença-maternidade encontram dificuldades para se reintegrar no seu ambiente de trabalho do TST/CSJT?</c:v>
                </c:pt>
              </c:strCache>
            </c:strRef>
          </c:cat>
          <c:val>
            <c:numRef>
              <c:f>'[Pesquisa Participação Feminina - Dados Gerais do Questionário (2).xlsx]Comparação 2'!$C$18:$C$19</c:f>
              <c:numCache>
                <c:formatCode>0.0%</c:formatCode>
                <c:ptCount val="2"/>
                <c:pt idx="0">
                  <c:v>0.41799999999999998</c:v>
                </c:pt>
                <c:pt idx="1">
                  <c:v>0.56899999999999995</c:v>
                </c:pt>
              </c:numCache>
            </c:numRef>
          </c:val>
          <c:extLst xmlns:c16r2="http://schemas.microsoft.com/office/drawing/2015/06/chart">
            <c:ext xmlns:c16="http://schemas.microsoft.com/office/drawing/2014/chart" uri="{C3380CC4-5D6E-409C-BE32-E72D297353CC}">
              <c16:uniqueId val="{00000001-0769-0045-A9AA-DB02F699344F}"/>
            </c:ext>
          </c:extLst>
        </c:ser>
        <c:ser>
          <c:idx val="2"/>
          <c:order val="2"/>
          <c:tx>
            <c:strRef>
              <c:f>'[Pesquisa Participação Feminina - Dados Gerais do Questionário (2).xlsx]Comparação 2'!$D$17</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2'!$A$18:$A$19</c:f>
              <c:strCache>
                <c:ptCount val="2"/>
                <c:pt idx="0">
                  <c:v>Mulheres - Na sua percepção, mulheres que retornam de licença-maternidade encontram dificuldades para se reintegrar no seu ambiente de trabalho do TST/CSJT?</c:v>
                </c:pt>
                <c:pt idx="1">
                  <c:v>Homens - Na sua percepção, mulheres que retornam de licença-maternidade encontram dificuldades para se reintegrar no seu ambiente de trabalho do TST/CSJT?</c:v>
                </c:pt>
              </c:strCache>
            </c:strRef>
          </c:cat>
          <c:val>
            <c:numRef>
              <c:f>'[Pesquisa Participação Feminina - Dados Gerais do Questionário (2).xlsx]Comparação 2'!$D$18:$D$19</c:f>
              <c:numCache>
                <c:formatCode>0.0%</c:formatCode>
                <c:ptCount val="2"/>
                <c:pt idx="0">
                  <c:v>0.20100000000000001</c:v>
                </c:pt>
                <c:pt idx="1">
                  <c:v>0.2586</c:v>
                </c:pt>
              </c:numCache>
            </c:numRef>
          </c:val>
          <c:extLst xmlns:c16r2="http://schemas.microsoft.com/office/drawing/2015/06/chart">
            <c:ext xmlns:c16="http://schemas.microsoft.com/office/drawing/2014/chart" uri="{C3380CC4-5D6E-409C-BE32-E72D297353CC}">
              <c16:uniqueId val="{00000002-0769-0045-A9AA-DB02F699344F}"/>
            </c:ext>
          </c:extLst>
        </c:ser>
        <c:dLbls>
          <c:showLegendKey val="0"/>
          <c:showVal val="0"/>
          <c:showCatName val="0"/>
          <c:showSerName val="0"/>
          <c:showPercent val="0"/>
          <c:showBubbleSize val="0"/>
        </c:dLbls>
        <c:gapWidth val="150"/>
        <c:overlap val="100"/>
        <c:axId val="235590400"/>
        <c:axId val="235591936"/>
      </c:barChart>
      <c:catAx>
        <c:axId val="235590400"/>
        <c:scaling>
          <c:orientation val="maxMin"/>
        </c:scaling>
        <c:delete val="0"/>
        <c:axPos val="l"/>
        <c:numFmt formatCode="General" sourceLinked="0"/>
        <c:majorTickMark val="out"/>
        <c:minorTickMark val="none"/>
        <c:tickLblPos val="nextTo"/>
        <c:crossAx val="235591936"/>
        <c:crosses val="autoZero"/>
        <c:auto val="1"/>
        <c:lblAlgn val="ctr"/>
        <c:lblOffset val="100"/>
        <c:noMultiLvlLbl val="0"/>
      </c:catAx>
      <c:valAx>
        <c:axId val="235591936"/>
        <c:scaling>
          <c:orientation val="minMax"/>
        </c:scaling>
        <c:delete val="1"/>
        <c:axPos val="t"/>
        <c:numFmt formatCode="0%" sourceLinked="1"/>
        <c:majorTickMark val="out"/>
        <c:minorTickMark val="none"/>
        <c:tickLblPos val="nextTo"/>
        <c:crossAx val="23559040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 2'!$B$24</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2'!$A$25:$A$26</c:f>
              <c:strCache>
                <c:ptCount val="2"/>
                <c:pt idx="0">
                  <c:v>Mulheres - Você acredita que haja compreensão de gestores e colegas no seu setor quando uma mulher precisa se ausentar para cuidar de filhos ou familiares?</c:v>
                </c:pt>
                <c:pt idx="1">
                  <c:v>Homens - Você acredita que haja compreensão de gestores e colegas no seu setor quando uma mulher precisa se ausentar para cuidar de filhos ou familiares?</c:v>
                </c:pt>
              </c:strCache>
            </c:strRef>
          </c:cat>
          <c:val>
            <c:numRef>
              <c:f>'[Pesquisa Participação Feminina - Dados Gerais do Questionário (2).xlsx]Comparação 2'!$B$25:$B$26</c:f>
              <c:numCache>
                <c:formatCode>0.0%</c:formatCode>
                <c:ptCount val="2"/>
                <c:pt idx="0">
                  <c:v>0.64800000000000002</c:v>
                </c:pt>
                <c:pt idx="1">
                  <c:v>0.70689999999999997</c:v>
                </c:pt>
              </c:numCache>
            </c:numRef>
          </c:val>
          <c:extLst xmlns:c16r2="http://schemas.microsoft.com/office/drawing/2015/06/chart">
            <c:ext xmlns:c16="http://schemas.microsoft.com/office/drawing/2014/chart" uri="{C3380CC4-5D6E-409C-BE32-E72D297353CC}">
              <c16:uniqueId val="{00000000-39C6-184E-8203-7545EB1965BE}"/>
            </c:ext>
          </c:extLst>
        </c:ser>
        <c:ser>
          <c:idx val="1"/>
          <c:order val="1"/>
          <c:tx>
            <c:strRef>
              <c:f>'[Pesquisa Participação Feminina - Dados Gerais do Questionário (2).xlsx]Comparação 2'!$C$24</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2'!$A$25:$A$26</c:f>
              <c:strCache>
                <c:ptCount val="2"/>
                <c:pt idx="0">
                  <c:v>Mulheres - Você acredita que haja compreensão de gestores e colegas no seu setor quando uma mulher precisa se ausentar para cuidar de filhos ou familiares?</c:v>
                </c:pt>
                <c:pt idx="1">
                  <c:v>Homens - Você acredita que haja compreensão de gestores e colegas no seu setor quando uma mulher precisa se ausentar para cuidar de filhos ou familiares?</c:v>
                </c:pt>
              </c:strCache>
            </c:strRef>
          </c:cat>
          <c:val>
            <c:numRef>
              <c:f>'[Pesquisa Participação Feminina - Dados Gerais do Questionário (2).xlsx]Comparação 2'!$C$25:$C$26</c:f>
              <c:numCache>
                <c:formatCode>0.0%</c:formatCode>
                <c:ptCount val="2"/>
                <c:pt idx="0">
                  <c:v>0.25</c:v>
                </c:pt>
                <c:pt idx="1">
                  <c:v>0.1207</c:v>
                </c:pt>
              </c:numCache>
            </c:numRef>
          </c:val>
          <c:extLst xmlns:c16r2="http://schemas.microsoft.com/office/drawing/2015/06/chart">
            <c:ext xmlns:c16="http://schemas.microsoft.com/office/drawing/2014/chart" uri="{C3380CC4-5D6E-409C-BE32-E72D297353CC}">
              <c16:uniqueId val="{00000001-39C6-184E-8203-7545EB1965BE}"/>
            </c:ext>
          </c:extLst>
        </c:ser>
        <c:ser>
          <c:idx val="2"/>
          <c:order val="2"/>
          <c:tx>
            <c:strRef>
              <c:f>'[Pesquisa Participação Feminina - Dados Gerais do Questionário (2).xlsx]Comparação 2'!$D$24</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2'!$A$25:$A$26</c:f>
              <c:strCache>
                <c:ptCount val="2"/>
                <c:pt idx="0">
                  <c:v>Mulheres - Você acredita que haja compreensão de gestores e colegas no seu setor quando uma mulher precisa se ausentar para cuidar de filhos ou familiares?</c:v>
                </c:pt>
                <c:pt idx="1">
                  <c:v>Homens - Você acredita que haja compreensão de gestores e colegas no seu setor quando uma mulher precisa se ausentar para cuidar de filhos ou familiares?</c:v>
                </c:pt>
              </c:strCache>
            </c:strRef>
          </c:cat>
          <c:val>
            <c:numRef>
              <c:f>'[Pesquisa Participação Feminina - Dados Gerais do Questionário (2).xlsx]Comparação 2'!$D$25:$D$26</c:f>
              <c:numCache>
                <c:formatCode>0.0%</c:formatCode>
                <c:ptCount val="2"/>
                <c:pt idx="0">
                  <c:v>0.10199999999999999</c:v>
                </c:pt>
                <c:pt idx="1">
                  <c:v>0.1724</c:v>
                </c:pt>
              </c:numCache>
            </c:numRef>
          </c:val>
          <c:extLst xmlns:c16r2="http://schemas.microsoft.com/office/drawing/2015/06/chart">
            <c:ext xmlns:c16="http://schemas.microsoft.com/office/drawing/2014/chart" uri="{C3380CC4-5D6E-409C-BE32-E72D297353CC}">
              <c16:uniqueId val="{00000002-39C6-184E-8203-7545EB1965BE}"/>
            </c:ext>
          </c:extLst>
        </c:ser>
        <c:dLbls>
          <c:showLegendKey val="0"/>
          <c:showVal val="0"/>
          <c:showCatName val="0"/>
          <c:showSerName val="0"/>
          <c:showPercent val="0"/>
          <c:showBubbleSize val="0"/>
        </c:dLbls>
        <c:gapWidth val="150"/>
        <c:overlap val="100"/>
        <c:axId val="235902848"/>
        <c:axId val="235904384"/>
      </c:barChart>
      <c:catAx>
        <c:axId val="235902848"/>
        <c:scaling>
          <c:orientation val="maxMin"/>
        </c:scaling>
        <c:delete val="0"/>
        <c:axPos val="l"/>
        <c:numFmt formatCode="General" sourceLinked="0"/>
        <c:majorTickMark val="out"/>
        <c:minorTickMark val="none"/>
        <c:tickLblPos val="nextTo"/>
        <c:crossAx val="235904384"/>
        <c:crosses val="autoZero"/>
        <c:auto val="1"/>
        <c:lblAlgn val="ctr"/>
        <c:lblOffset val="100"/>
        <c:noMultiLvlLbl val="0"/>
      </c:catAx>
      <c:valAx>
        <c:axId val="235904384"/>
        <c:scaling>
          <c:orientation val="minMax"/>
        </c:scaling>
        <c:delete val="1"/>
        <c:axPos val="t"/>
        <c:numFmt formatCode="0%" sourceLinked="1"/>
        <c:majorTickMark val="out"/>
        <c:minorTickMark val="none"/>
        <c:tickLblPos val="nextTo"/>
        <c:crossAx val="23590284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 2'!$B$30</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2'!$A$31:$A$32</c:f>
              <c:strCache>
                <c:ptCount val="2"/>
                <c:pt idx="0">
                  <c:v>Mulheres - Você acredita que o trabalho remoto ou híbrido pode beneficiar a participação feminina no TST/CSJT?</c:v>
                </c:pt>
                <c:pt idx="1">
                  <c:v>Homens - Você acredita que o trabalho remoto ou híbrido pode beneficiar a participação feminina no TST/CSJT?</c:v>
                </c:pt>
              </c:strCache>
            </c:strRef>
          </c:cat>
          <c:val>
            <c:numRef>
              <c:f>'[Pesquisa Participação Feminina - Dados Gerais do Questionário (2).xlsx]Comparação 2'!$B$31:$B$32</c:f>
              <c:numCache>
                <c:formatCode>0.0%</c:formatCode>
                <c:ptCount val="2"/>
                <c:pt idx="0">
                  <c:v>0.93400000000000005</c:v>
                </c:pt>
                <c:pt idx="1">
                  <c:v>0.8448</c:v>
                </c:pt>
              </c:numCache>
            </c:numRef>
          </c:val>
          <c:extLst xmlns:c16r2="http://schemas.microsoft.com/office/drawing/2015/06/chart">
            <c:ext xmlns:c16="http://schemas.microsoft.com/office/drawing/2014/chart" uri="{C3380CC4-5D6E-409C-BE32-E72D297353CC}">
              <c16:uniqueId val="{00000000-4EEA-F64C-A6AC-698C8C320A58}"/>
            </c:ext>
          </c:extLst>
        </c:ser>
        <c:ser>
          <c:idx val="1"/>
          <c:order val="1"/>
          <c:tx>
            <c:strRef>
              <c:f>'[Pesquisa Participação Feminina - Dados Gerais do Questionário (2).xlsx]Comparação 2'!$C$30</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2'!$A$31:$A$32</c:f>
              <c:strCache>
                <c:ptCount val="2"/>
                <c:pt idx="0">
                  <c:v>Mulheres - Você acredita que o trabalho remoto ou híbrido pode beneficiar a participação feminina no TST/CSJT?</c:v>
                </c:pt>
                <c:pt idx="1">
                  <c:v>Homens - Você acredita que o trabalho remoto ou híbrido pode beneficiar a participação feminina no TST/CSJT?</c:v>
                </c:pt>
              </c:strCache>
            </c:strRef>
          </c:cat>
          <c:val>
            <c:numRef>
              <c:f>'[Pesquisa Participação Feminina - Dados Gerais do Questionário (2).xlsx]Comparação 2'!$C$31:$C$32</c:f>
              <c:numCache>
                <c:formatCode>0.0%</c:formatCode>
                <c:ptCount val="2"/>
                <c:pt idx="0">
                  <c:v>3.6999999999999998E-2</c:v>
                </c:pt>
                <c:pt idx="1">
                  <c:v>0.10340000000000001</c:v>
                </c:pt>
              </c:numCache>
            </c:numRef>
          </c:val>
          <c:extLst xmlns:c16r2="http://schemas.microsoft.com/office/drawing/2015/06/chart">
            <c:ext xmlns:c16="http://schemas.microsoft.com/office/drawing/2014/chart" uri="{C3380CC4-5D6E-409C-BE32-E72D297353CC}">
              <c16:uniqueId val="{00000001-4EEA-F64C-A6AC-698C8C320A58}"/>
            </c:ext>
          </c:extLst>
        </c:ser>
        <c:ser>
          <c:idx val="2"/>
          <c:order val="2"/>
          <c:tx>
            <c:strRef>
              <c:f>'[Pesquisa Participação Feminina - Dados Gerais do Questionário (2).xlsx]Comparação 2'!$D$30</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2'!$A$31:$A$32</c:f>
              <c:strCache>
                <c:ptCount val="2"/>
                <c:pt idx="0">
                  <c:v>Mulheres - Você acredita que o trabalho remoto ou híbrido pode beneficiar a participação feminina no TST/CSJT?</c:v>
                </c:pt>
                <c:pt idx="1">
                  <c:v>Homens - Você acredita que o trabalho remoto ou híbrido pode beneficiar a participação feminina no TST/CSJT?</c:v>
                </c:pt>
              </c:strCache>
            </c:strRef>
          </c:cat>
          <c:val>
            <c:numRef>
              <c:f>'[Pesquisa Participação Feminina - Dados Gerais do Questionário (2).xlsx]Comparação 2'!$D$31:$D$32</c:f>
              <c:numCache>
                <c:formatCode>0.0%</c:formatCode>
                <c:ptCount val="2"/>
                <c:pt idx="0">
                  <c:v>2.9000000000000001E-2</c:v>
                </c:pt>
                <c:pt idx="1">
                  <c:v>5.1700000000000003E-2</c:v>
                </c:pt>
              </c:numCache>
            </c:numRef>
          </c:val>
          <c:extLst xmlns:c16r2="http://schemas.microsoft.com/office/drawing/2015/06/chart">
            <c:ext xmlns:c16="http://schemas.microsoft.com/office/drawing/2014/chart" uri="{C3380CC4-5D6E-409C-BE32-E72D297353CC}">
              <c16:uniqueId val="{00000002-4EEA-F64C-A6AC-698C8C320A58}"/>
            </c:ext>
          </c:extLst>
        </c:ser>
        <c:dLbls>
          <c:showLegendKey val="0"/>
          <c:showVal val="0"/>
          <c:showCatName val="0"/>
          <c:showSerName val="0"/>
          <c:showPercent val="0"/>
          <c:showBubbleSize val="0"/>
        </c:dLbls>
        <c:gapWidth val="150"/>
        <c:overlap val="100"/>
        <c:axId val="235977728"/>
        <c:axId val="235991808"/>
      </c:barChart>
      <c:catAx>
        <c:axId val="235977728"/>
        <c:scaling>
          <c:orientation val="maxMin"/>
        </c:scaling>
        <c:delete val="0"/>
        <c:axPos val="l"/>
        <c:numFmt formatCode="General" sourceLinked="0"/>
        <c:majorTickMark val="out"/>
        <c:minorTickMark val="none"/>
        <c:tickLblPos val="nextTo"/>
        <c:crossAx val="235991808"/>
        <c:crosses val="autoZero"/>
        <c:auto val="1"/>
        <c:lblAlgn val="ctr"/>
        <c:lblOffset val="100"/>
        <c:noMultiLvlLbl val="0"/>
      </c:catAx>
      <c:valAx>
        <c:axId val="235991808"/>
        <c:scaling>
          <c:orientation val="minMax"/>
        </c:scaling>
        <c:delete val="1"/>
        <c:axPos val="t"/>
        <c:numFmt formatCode="0%" sourceLinked="1"/>
        <c:majorTickMark val="out"/>
        <c:minorTickMark val="none"/>
        <c:tickLblPos val="nextTo"/>
        <c:crossAx val="23597772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(2).xlsx]Comparação 2'!$B$37</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2'!$A$38:$A$39</c:f>
              <c:strCache>
                <c:ptCount val="2"/>
                <c:pt idx="0">
                  <c:v>Mulheres - Você acredita que a licença-maternidade é tomada de maneira negativa para a promoção e demais oportunidades durante a a carreira das mulheres no TST/CSJT?</c:v>
                </c:pt>
                <c:pt idx="1">
                  <c:v>Homens - Você acredita que a licença-maternidade é tomada de maneira negativa para a promoção e demais oportunidades durante a carreira das mulheres no TST/CSJT?</c:v>
                </c:pt>
              </c:strCache>
            </c:strRef>
          </c:cat>
          <c:val>
            <c:numRef>
              <c:f>'[Pesquisa Participação Feminina - Dados Gerais do Questionário (2).xlsx]Comparação 2'!$B$38:$B$39</c:f>
              <c:numCache>
                <c:formatCode>0.0%</c:formatCode>
                <c:ptCount val="2"/>
                <c:pt idx="0">
                  <c:v>0.46300000000000002</c:v>
                </c:pt>
                <c:pt idx="1">
                  <c:v>0.2069</c:v>
                </c:pt>
              </c:numCache>
            </c:numRef>
          </c:val>
          <c:extLst xmlns:c16r2="http://schemas.microsoft.com/office/drawing/2015/06/chart">
            <c:ext xmlns:c16="http://schemas.microsoft.com/office/drawing/2014/chart" uri="{C3380CC4-5D6E-409C-BE32-E72D297353CC}">
              <c16:uniqueId val="{00000000-A204-A049-8D66-8028498E04FE}"/>
            </c:ext>
          </c:extLst>
        </c:ser>
        <c:ser>
          <c:idx val="1"/>
          <c:order val="1"/>
          <c:tx>
            <c:strRef>
              <c:f>'[Pesquisa Participação Feminina - Dados Gerais do Questionário (2).xlsx]Comparação 2'!$C$37</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2'!$A$38:$A$39</c:f>
              <c:strCache>
                <c:ptCount val="2"/>
                <c:pt idx="0">
                  <c:v>Mulheres - Você acredita que a licença-maternidade é tomada de maneira negativa para a promoção e demais oportunidades durante a a carreira das mulheres no TST/CSJT?</c:v>
                </c:pt>
                <c:pt idx="1">
                  <c:v>Homens - Você acredita que a licença-maternidade é tomada de maneira negativa para a promoção e demais oportunidades durante a carreira das mulheres no TST/CSJT?</c:v>
                </c:pt>
              </c:strCache>
            </c:strRef>
          </c:cat>
          <c:val>
            <c:numRef>
              <c:f>'[Pesquisa Participação Feminina - Dados Gerais do Questionário (2).xlsx]Comparação 2'!$C$38:$C$39</c:f>
              <c:numCache>
                <c:formatCode>0.0%</c:formatCode>
                <c:ptCount val="2"/>
                <c:pt idx="0">
                  <c:v>0.32800000000000001</c:v>
                </c:pt>
                <c:pt idx="1">
                  <c:v>0.46550000000000002</c:v>
                </c:pt>
              </c:numCache>
            </c:numRef>
          </c:val>
          <c:extLst xmlns:c16r2="http://schemas.microsoft.com/office/drawing/2015/06/chart">
            <c:ext xmlns:c16="http://schemas.microsoft.com/office/drawing/2014/chart" uri="{C3380CC4-5D6E-409C-BE32-E72D297353CC}">
              <c16:uniqueId val="{00000001-A204-A049-8D66-8028498E04FE}"/>
            </c:ext>
          </c:extLst>
        </c:ser>
        <c:ser>
          <c:idx val="2"/>
          <c:order val="2"/>
          <c:tx>
            <c:strRef>
              <c:f>'[Pesquisa Participação Feminina - Dados Gerais do Questionário (2).xlsx]Comparação 2'!$D$37</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(2).xlsx]Comparação 2'!$A$38:$A$39</c:f>
              <c:strCache>
                <c:ptCount val="2"/>
                <c:pt idx="0">
                  <c:v>Mulheres - Você acredita que a licença-maternidade é tomada de maneira negativa para a promoção e demais oportunidades durante a a carreira das mulheres no TST/CSJT?</c:v>
                </c:pt>
                <c:pt idx="1">
                  <c:v>Homens - Você acredita que a licença-maternidade é tomada de maneira negativa para a promoção e demais oportunidades durante a carreira das mulheres no TST/CSJT?</c:v>
                </c:pt>
              </c:strCache>
            </c:strRef>
          </c:cat>
          <c:val>
            <c:numRef>
              <c:f>'[Pesquisa Participação Feminina - Dados Gerais do Questionário (2).xlsx]Comparação 2'!$D$38:$D$39</c:f>
              <c:numCache>
                <c:formatCode>0.0%</c:formatCode>
                <c:ptCount val="2"/>
                <c:pt idx="0">
                  <c:v>0.20899999999999999</c:v>
                </c:pt>
                <c:pt idx="1">
                  <c:v>0.3276</c:v>
                </c:pt>
              </c:numCache>
            </c:numRef>
          </c:val>
          <c:extLst xmlns:c16r2="http://schemas.microsoft.com/office/drawing/2015/06/chart">
            <c:ext xmlns:c16="http://schemas.microsoft.com/office/drawing/2014/chart" uri="{C3380CC4-5D6E-409C-BE32-E72D297353CC}">
              <c16:uniqueId val="{00000002-A204-A049-8D66-8028498E04FE}"/>
            </c:ext>
          </c:extLst>
        </c:ser>
        <c:dLbls>
          <c:showLegendKey val="0"/>
          <c:showVal val="0"/>
          <c:showCatName val="0"/>
          <c:showSerName val="0"/>
          <c:showPercent val="0"/>
          <c:showBubbleSize val="0"/>
        </c:dLbls>
        <c:gapWidth val="150"/>
        <c:overlap val="100"/>
        <c:axId val="236022400"/>
        <c:axId val="236323200"/>
      </c:barChart>
      <c:catAx>
        <c:axId val="236022400"/>
        <c:scaling>
          <c:orientation val="maxMin"/>
        </c:scaling>
        <c:delete val="0"/>
        <c:axPos val="l"/>
        <c:numFmt formatCode="General" sourceLinked="0"/>
        <c:majorTickMark val="out"/>
        <c:minorTickMark val="none"/>
        <c:tickLblPos val="nextTo"/>
        <c:crossAx val="236323200"/>
        <c:crosses val="autoZero"/>
        <c:auto val="1"/>
        <c:lblAlgn val="ctr"/>
        <c:lblOffset val="100"/>
        <c:noMultiLvlLbl val="0"/>
      </c:catAx>
      <c:valAx>
        <c:axId val="236323200"/>
        <c:scaling>
          <c:orientation val="minMax"/>
        </c:scaling>
        <c:delete val="1"/>
        <c:axPos val="t"/>
        <c:numFmt formatCode="0%" sourceLinked="1"/>
        <c:majorTickMark val="out"/>
        <c:minorTickMark val="none"/>
        <c:tickLblPos val="nextTo"/>
        <c:crossAx val="23602240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 (1).xlsx]Comparação 2'!$B$42</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2'!$A$43:$A$44</c:f>
              <c:strCache>
                <c:ptCount val="2"/>
                <c:pt idx="0">
                  <c:v>Mulheres - Você acredita que o TST/CSJT promove uma cultura de respeito e igualdade entre homens e mulheres?</c:v>
                </c:pt>
                <c:pt idx="1">
                  <c:v>Homens - Você acredita que o TST/CSJT promove uma cultura de respeito e igualdade entre homens e mulheres?</c:v>
                </c:pt>
              </c:strCache>
            </c:strRef>
          </c:cat>
          <c:val>
            <c:numRef>
              <c:f>'[Pesquisa Participação Feminina - Dados Gerais do Questionário (2) (1).xlsx]Comparação 2'!$B$43:$B$44</c:f>
              <c:numCache>
                <c:formatCode>0.0%</c:formatCode>
                <c:ptCount val="2"/>
                <c:pt idx="0">
                  <c:v>0.67800000000000005</c:v>
                </c:pt>
                <c:pt idx="1">
                  <c:v>0.87929999999999997</c:v>
                </c:pt>
              </c:numCache>
            </c:numRef>
          </c:val>
          <c:extLst xmlns:c16r2="http://schemas.microsoft.com/office/drawing/2015/06/chart">
            <c:ext xmlns:c16="http://schemas.microsoft.com/office/drawing/2014/chart" uri="{C3380CC4-5D6E-409C-BE32-E72D297353CC}">
              <c16:uniqueId val="{00000000-3E0A-6249-8A8B-C32B5311AF09}"/>
            </c:ext>
          </c:extLst>
        </c:ser>
        <c:ser>
          <c:idx val="1"/>
          <c:order val="1"/>
          <c:tx>
            <c:strRef>
              <c:f>'[Pesquisa Participação Feminina - Dados Gerais do Questionário (2) (1).xlsx]Comparação 2'!$C$42</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2'!$A$43:$A$44</c:f>
              <c:strCache>
                <c:ptCount val="2"/>
                <c:pt idx="0">
                  <c:v>Mulheres - Você acredita que o TST/CSJT promove uma cultura de respeito e igualdade entre homens e mulheres?</c:v>
                </c:pt>
                <c:pt idx="1">
                  <c:v>Homens - Você acredita que o TST/CSJT promove uma cultura de respeito e igualdade entre homens e mulheres?</c:v>
                </c:pt>
              </c:strCache>
            </c:strRef>
          </c:cat>
          <c:val>
            <c:numRef>
              <c:f>'[Pesquisa Participação Feminina - Dados Gerais do Questionário (2) (1).xlsx]Comparação 2'!$C$43:$C$44</c:f>
              <c:numCache>
                <c:formatCode>0.0%</c:formatCode>
                <c:ptCount val="2"/>
                <c:pt idx="0">
                  <c:v>0.22</c:v>
                </c:pt>
                <c:pt idx="1">
                  <c:v>0.10340000000000001</c:v>
                </c:pt>
              </c:numCache>
            </c:numRef>
          </c:val>
          <c:extLst xmlns:c16r2="http://schemas.microsoft.com/office/drawing/2015/06/chart">
            <c:ext xmlns:c16="http://schemas.microsoft.com/office/drawing/2014/chart" uri="{C3380CC4-5D6E-409C-BE32-E72D297353CC}">
              <c16:uniqueId val="{00000001-3E0A-6249-8A8B-C32B5311AF09}"/>
            </c:ext>
          </c:extLst>
        </c:ser>
        <c:ser>
          <c:idx val="2"/>
          <c:order val="2"/>
          <c:tx>
            <c:strRef>
              <c:f>'[Pesquisa Participação Feminina - Dados Gerais do Questionário (2) (1).xlsx]Comparação 2'!$D$42</c:f>
              <c:strCache>
                <c:ptCount val="1"/>
                <c:pt idx="0">
                  <c:v>Não sei responder</c:v>
                </c:pt>
              </c:strCache>
            </c:strRef>
          </c:tx>
          <c:spPr>
            <a:solidFill>
              <a:schemeClr val="bg1">
                <a:lumMod val="75000"/>
              </a:schemeClr>
            </a:solidFill>
          </c:spPr>
          <c:invertIfNegative val="0"/>
          <c:dLbls>
            <c:dLbl>
              <c:idx val="1"/>
              <c:layout>
                <c:manualLayout>
                  <c:x val="0"/>
                  <c:y val="5.25511805050293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E0A-6249-8A8B-C32B5311AF0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2'!$A$43:$A$44</c:f>
              <c:strCache>
                <c:ptCount val="2"/>
                <c:pt idx="0">
                  <c:v>Mulheres - Você acredita que o TST/CSJT promove uma cultura de respeito e igualdade entre homens e mulheres?</c:v>
                </c:pt>
                <c:pt idx="1">
                  <c:v>Homens - Você acredita que o TST/CSJT promove uma cultura de respeito e igualdade entre homens e mulheres?</c:v>
                </c:pt>
              </c:strCache>
            </c:strRef>
          </c:cat>
          <c:val>
            <c:numRef>
              <c:f>'[Pesquisa Participação Feminina - Dados Gerais do Questionário (2) (1).xlsx]Comparação 2'!$D$43:$D$44</c:f>
              <c:numCache>
                <c:formatCode>0.0%</c:formatCode>
                <c:ptCount val="2"/>
                <c:pt idx="0">
                  <c:v>0.10199999999999999</c:v>
                </c:pt>
                <c:pt idx="1">
                  <c:v>1.72E-2</c:v>
                </c:pt>
              </c:numCache>
            </c:numRef>
          </c:val>
          <c:extLst xmlns:c16r2="http://schemas.microsoft.com/office/drawing/2015/06/chart">
            <c:ext xmlns:c16="http://schemas.microsoft.com/office/drawing/2014/chart" uri="{C3380CC4-5D6E-409C-BE32-E72D297353CC}">
              <c16:uniqueId val="{00000003-3E0A-6249-8A8B-C32B5311AF09}"/>
            </c:ext>
          </c:extLst>
        </c:ser>
        <c:dLbls>
          <c:showLegendKey val="0"/>
          <c:showVal val="0"/>
          <c:showCatName val="0"/>
          <c:showSerName val="0"/>
          <c:showPercent val="0"/>
          <c:showBubbleSize val="0"/>
        </c:dLbls>
        <c:gapWidth val="150"/>
        <c:overlap val="100"/>
        <c:axId val="236351872"/>
        <c:axId val="236353408"/>
      </c:barChart>
      <c:catAx>
        <c:axId val="236351872"/>
        <c:scaling>
          <c:orientation val="maxMin"/>
        </c:scaling>
        <c:delete val="0"/>
        <c:axPos val="l"/>
        <c:numFmt formatCode="General" sourceLinked="0"/>
        <c:majorTickMark val="out"/>
        <c:minorTickMark val="none"/>
        <c:tickLblPos val="nextTo"/>
        <c:crossAx val="236353408"/>
        <c:crosses val="autoZero"/>
        <c:auto val="1"/>
        <c:lblAlgn val="ctr"/>
        <c:lblOffset val="100"/>
        <c:noMultiLvlLbl val="0"/>
      </c:catAx>
      <c:valAx>
        <c:axId val="236353408"/>
        <c:scaling>
          <c:orientation val="minMax"/>
        </c:scaling>
        <c:delete val="1"/>
        <c:axPos val="t"/>
        <c:numFmt formatCode="0%" sourceLinked="1"/>
        <c:majorTickMark val="out"/>
        <c:minorTickMark val="none"/>
        <c:tickLblPos val="nextTo"/>
        <c:crossAx val="23635187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 (1).xlsx]Comparação 2'!$B$47</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2'!$A$48:$A$49</c:f>
              <c:strCache>
                <c:ptCount val="2"/>
                <c:pt idx="0">
                  <c:v>Mulheres - Você acredita que mulheres de diferentes perfis (raça, idade, maternidade, deficiência, LGBTQIA+) têm as mesmas oportunidades no TST/CSJT?</c:v>
                </c:pt>
                <c:pt idx="1">
                  <c:v>Homens - Você acredita que mulheres de diferentes perfis (raça, idade, maternidade, deficiência, LGBTQIA+) têm as mesmas oportunidades no TST/CSJT?</c:v>
                </c:pt>
              </c:strCache>
            </c:strRef>
          </c:cat>
          <c:val>
            <c:numRef>
              <c:f>'[Pesquisa Participação Feminina - Dados Gerais do Questionário (2) (1).xlsx]Comparação 2'!$B$48:$B$49</c:f>
              <c:numCache>
                <c:formatCode>0.0%</c:formatCode>
                <c:ptCount val="2"/>
                <c:pt idx="0">
                  <c:v>0.40200000000000002</c:v>
                </c:pt>
                <c:pt idx="1">
                  <c:v>0.5</c:v>
                </c:pt>
              </c:numCache>
            </c:numRef>
          </c:val>
          <c:extLst xmlns:c16r2="http://schemas.microsoft.com/office/drawing/2015/06/chart">
            <c:ext xmlns:c16="http://schemas.microsoft.com/office/drawing/2014/chart" uri="{C3380CC4-5D6E-409C-BE32-E72D297353CC}">
              <c16:uniqueId val="{00000000-189D-3448-AB27-D4CB6C124848}"/>
            </c:ext>
          </c:extLst>
        </c:ser>
        <c:ser>
          <c:idx val="1"/>
          <c:order val="1"/>
          <c:tx>
            <c:strRef>
              <c:f>'[Pesquisa Participação Feminina - Dados Gerais do Questionário (2) (1).xlsx]Comparação 2'!$C$47</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2'!$A$48:$A$49</c:f>
              <c:strCache>
                <c:ptCount val="2"/>
                <c:pt idx="0">
                  <c:v>Mulheres - Você acredita que mulheres de diferentes perfis (raça, idade, maternidade, deficiência, LGBTQIA+) têm as mesmas oportunidades no TST/CSJT?</c:v>
                </c:pt>
                <c:pt idx="1">
                  <c:v>Homens - Você acredita que mulheres de diferentes perfis (raça, idade, maternidade, deficiência, LGBTQIA+) têm as mesmas oportunidades no TST/CSJT?</c:v>
                </c:pt>
              </c:strCache>
            </c:strRef>
          </c:cat>
          <c:val>
            <c:numRef>
              <c:f>'[Pesquisa Participação Feminina - Dados Gerais do Questionário (2) (1).xlsx]Comparação 2'!$C$48:$C$49</c:f>
              <c:numCache>
                <c:formatCode>0.0%</c:formatCode>
                <c:ptCount val="2"/>
                <c:pt idx="0">
                  <c:v>0.439</c:v>
                </c:pt>
                <c:pt idx="1">
                  <c:v>0.27589999999999998</c:v>
                </c:pt>
              </c:numCache>
            </c:numRef>
          </c:val>
          <c:extLst xmlns:c16r2="http://schemas.microsoft.com/office/drawing/2015/06/chart">
            <c:ext xmlns:c16="http://schemas.microsoft.com/office/drawing/2014/chart" uri="{C3380CC4-5D6E-409C-BE32-E72D297353CC}">
              <c16:uniqueId val="{00000001-189D-3448-AB27-D4CB6C124848}"/>
            </c:ext>
          </c:extLst>
        </c:ser>
        <c:ser>
          <c:idx val="2"/>
          <c:order val="2"/>
          <c:tx>
            <c:strRef>
              <c:f>'[Pesquisa Participação Feminina - Dados Gerais do Questionário (2) (1).xlsx]Comparação 2'!$D$47</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2'!$A$48:$A$49</c:f>
              <c:strCache>
                <c:ptCount val="2"/>
                <c:pt idx="0">
                  <c:v>Mulheres - Você acredita que mulheres de diferentes perfis (raça, idade, maternidade, deficiência, LGBTQIA+) têm as mesmas oportunidades no TST/CSJT?</c:v>
                </c:pt>
                <c:pt idx="1">
                  <c:v>Homens - Você acredita que mulheres de diferentes perfis (raça, idade, maternidade, deficiência, LGBTQIA+) têm as mesmas oportunidades no TST/CSJT?</c:v>
                </c:pt>
              </c:strCache>
            </c:strRef>
          </c:cat>
          <c:val>
            <c:numRef>
              <c:f>'[Pesquisa Participação Feminina - Dados Gerais do Questionário (2) (1).xlsx]Comparação 2'!$D$48:$D$49</c:f>
              <c:numCache>
                <c:formatCode>0.0%</c:formatCode>
                <c:ptCount val="2"/>
                <c:pt idx="0">
                  <c:v>0.16</c:v>
                </c:pt>
                <c:pt idx="1">
                  <c:v>0.22409999999999999</c:v>
                </c:pt>
              </c:numCache>
            </c:numRef>
          </c:val>
          <c:extLst xmlns:c16r2="http://schemas.microsoft.com/office/drawing/2015/06/chart">
            <c:ext xmlns:c16="http://schemas.microsoft.com/office/drawing/2014/chart" uri="{C3380CC4-5D6E-409C-BE32-E72D297353CC}">
              <c16:uniqueId val="{00000002-189D-3448-AB27-D4CB6C124848}"/>
            </c:ext>
          </c:extLst>
        </c:ser>
        <c:dLbls>
          <c:showLegendKey val="0"/>
          <c:showVal val="0"/>
          <c:showCatName val="0"/>
          <c:showSerName val="0"/>
          <c:showPercent val="0"/>
          <c:showBubbleSize val="0"/>
        </c:dLbls>
        <c:gapWidth val="150"/>
        <c:overlap val="100"/>
        <c:axId val="239236608"/>
        <c:axId val="239238144"/>
      </c:barChart>
      <c:catAx>
        <c:axId val="239236608"/>
        <c:scaling>
          <c:orientation val="maxMin"/>
        </c:scaling>
        <c:delete val="0"/>
        <c:axPos val="l"/>
        <c:numFmt formatCode="General" sourceLinked="0"/>
        <c:majorTickMark val="out"/>
        <c:minorTickMark val="none"/>
        <c:tickLblPos val="nextTo"/>
        <c:crossAx val="239238144"/>
        <c:crosses val="autoZero"/>
        <c:auto val="1"/>
        <c:lblAlgn val="ctr"/>
        <c:lblOffset val="100"/>
        <c:noMultiLvlLbl val="0"/>
      </c:catAx>
      <c:valAx>
        <c:axId val="239238144"/>
        <c:scaling>
          <c:orientation val="minMax"/>
        </c:scaling>
        <c:delete val="1"/>
        <c:axPos val="t"/>
        <c:numFmt formatCode="0%" sourceLinked="1"/>
        <c:majorTickMark val="out"/>
        <c:minorTickMark val="none"/>
        <c:tickLblPos val="nextTo"/>
        <c:crossAx val="23923660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Plan3!$B$93</c:f>
              <c:strCache>
                <c:ptCount val="1"/>
                <c:pt idx="0">
                  <c:v>Feminino</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Plan3!$A$94:$A$102</c:f>
              <c:strCache>
                <c:ptCount val="9"/>
                <c:pt idx="0">
                  <c:v>CJ-04</c:v>
                </c:pt>
                <c:pt idx="1">
                  <c:v>CJ-03</c:v>
                </c:pt>
                <c:pt idx="2">
                  <c:v>CJ-02</c:v>
                </c:pt>
                <c:pt idx="3">
                  <c:v>CJ-01</c:v>
                </c:pt>
                <c:pt idx="4">
                  <c:v>FC-06</c:v>
                </c:pt>
                <c:pt idx="5">
                  <c:v>FC-05</c:v>
                </c:pt>
                <c:pt idx="6">
                  <c:v>FC-04</c:v>
                </c:pt>
                <c:pt idx="7">
                  <c:v>FC-03</c:v>
                </c:pt>
                <c:pt idx="8">
                  <c:v>FC-02</c:v>
                </c:pt>
              </c:strCache>
            </c:strRef>
          </c:cat>
          <c:val>
            <c:numRef>
              <c:f>Plan3!$B$94:$B$102</c:f>
              <c:numCache>
                <c:formatCode>0.0%</c:formatCode>
                <c:ptCount val="9"/>
                <c:pt idx="0">
                  <c:v>0.5</c:v>
                </c:pt>
                <c:pt idx="1">
                  <c:v>0.58803986710963452</c:v>
                </c:pt>
                <c:pt idx="2">
                  <c:v>0.5</c:v>
                </c:pt>
                <c:pt idx="3">
                  <c:v>0.5730337078651685</c:v>
                </c:pt>
                <c:pt idx="4">
                  <c:v>0.51724137931034486</c:v>
                </c:pt>
                <c:pt idx="5">
                  <c:v>0.55000000000000004</c:v>
                </c:pt>
                <c:pt idx="6">
                  <c:v>0.53418803418803418</c:v>
                </c:pt>
                <c:pt idx="7">
                  <c:v>0.59610027855153203</c:v>
                </c:pt>
                <c:pt idx="8">
                  <c:v>0.65131578947368418</c:v>
                </c:pt>
              </c:numCache>
            </c:numRef>
          </c:val>
          <c:extLst xmlns:c16r2="http://schemas.microsoft.com/office/drawing/2015/06/chart">
            <c:ext xmlns:c16="http://schemas.microsoft.com/office/drawing/2014/chart" uri="{C3380CC4-5D6E-409C-BE32-E72D297353CC}">
              <c16:uniqueId val="{00000000-F64C-4E64-B700-3EB69DFA1AB5}"/>
            </c:ext>
          </c:extLst>
        </c:ser>
        <c:ser>
          <c:idx val="1"/>
          <c:order val="1"/>
          <c:tx>
            <c:strRef>
              <c:f>Plan3!$C$93</c:f>
              <c:strCache>
                <c:ptCount val="1"/>
                <c:pt idx="0">
                  <c:v>Masculino</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Plan3!$A$94:$A$102</c:f>
              <c:strCache>
                <c:ptCount val="9"/>
                <c:pt idx="0">
                  <c:v>CJ-04</c:v>
                </c:pt>
                <c:pt idx="1">
                  <c:v>CJ-03</c:v>
                </c:pt>
                <c:pt idx="2">
                  <c:v>CJ-02</c:v>
                </c:pt>
                <c:pt idx="3">
                  <c:v>CJ-01</c:v>
                </c:pt>
                <c:pt idx="4">
                  <c:v>FC-06</c:v>
                </c:pt>
                <c:pt idx="5">
                  <c:v>FC-05</c:v>
                </c:pt>
                <c:pt idx="6">
                  <c:v>FC-04</c:v>
                </c:pt>
                <c:pt idx="7">
                  <c:v>FC-03</c:v>
                </c:pt>
                <c:pt idx="8">
                  <c:v>FC-02</c:v>
                </c:pt>
              </c:strCache>
            </c:strRef>
          </c:cat>
          <c:val>
            <c:numRef>
              <c:f>Plan3!$C$94:$C$102</c:f>
              <c:numCache>
                <c:formatCode>0.0%</c:formatCode>
                <c:ptCount val="9"/>
                <c:pt idx="0">
                  <c:v>0.5</c:v>
                </c:pt>
                <c:pt idx="1">
                  <c:v>0.41196013289036543</c:v>
                </c:pt>
                <c:pt idx="2">
                  <c:v>0.5</c:v>
                </c:pt>
                <c:pt idx="3">
                  <c:v>0.42696629213483145</c:v>
                </c:pt>
                <c:pt idx="4">
                  <c:v>0.48275862068965519</c:v>
                </c:pt>
                <c:pt idx="5">
                  <c:v>0.45</c:v>
                </c:pt>
                <c:pt idx="6">
                  <c:v>0.46581196581196582</c:v>
                </c:pt>
                <c:pt idx="7">
                  <c:v>0.40389972144846797</c:v>
                </c:pt>
                <c:pt idx="8">
                  <c:v>0.34868421052631576</c:v>
                </c:pt>
              </c:numCache>
            </c:numRef>
          </c:val>
          <c:extLst xmlns:c16r2="http://schemas.microsoft.com/office/drawing/2015/06/chart">
            <c:ext xmlns:c16="http://schemas.microsoft.com/office/drawing/2014/chart" uri="{C3380CC4-5D6E-409C-BE32-E72D297353CC}">
              <c16:uniqueId val="{00000001-F64C-4E64-B700-3EB69DFA1AB5}"/>
            </c:ext>
          </c:extLst>
        </c:ser>
        <c:dLbls>
          <c:showLegendKey val="0"/>
          <c:showVal val="0"/>
          <c:showCatName val="0"/>
          <c:showSerName val="0"/>
          <c:showPercent val="0"/>
          <c:showBubbleSize val="0"/>
        </c:dLbls>
        <c:gapWidth val="150"/>
        <c:overlap val="100"/>
        <c:axId val="224279936"/>
        <c:axId val="224285824"/>
      </c:barChart>
      <c:catAx>
        <c:axId val="224279936"/>
        <c:scaling>
          <c:orientation val="maxMin"/>
        </c:scaling>
        <c:delete val="0"/>
        <c:axPos val="l"/>
        <c:numFmt formatCode="General" sourceLinked="0"/>
        <c:majorTickMark val="out"/>
        <c:minorTickMark val="none"/>
        <c:tickLblPos val="nextTo"/>
        <c:crossAx val="224285824"/>
        <c:crosses val="autoZero"/>
        <c:auto val="1"/>
        <c:lblAlgn val="ctr"/>
        <c:lblOffset val="100"/>
        <c:noMultiLvlLbl val="0"/>
      </c:catAx>
      <c:valAx>
        <c:axId val="224285824"/>
        <c:scaling>
          <c:orientation val="minMax"/>
        </c:scaling>
        <c:delete val="1"/>
        <c:axPos val="t"/>
        <c:numFmt formatCode="0%" sourceLinked="1"/>
        <c:majorTickMark val="out"/>
        <c:minorTickMark val="none"/>
        <c:tickLblPos val="nextTo"/>
        <c:crossAx val="2242799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 (1).xlsx]Comparação 2'!$B$52</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2'!$A$53:$A$54</c:f>
              <c:strCache>
                <c:ptCount val="2"/>
                <c:pt idx="0">
                  <c:v>Mulheres - Na sua percepção, há equilíbrio entre homens e mulheres na ocupação de cargos estratégicos no TST/CSJT?</c:v>
                </c:pt>
                <c:pt idx="1">
                  <c:v>Homens - Na sua percepção, há equilíbrio entre homens e mulheres na ocupação de cargos estratégicos no TST/CSJT?</c:v>
                </c:pt>
              </c:strCache>
            </c:strRef>
          </c:cat>
          <c:val>
            <c:numRef>
              <c:f>'[Pesquisa Participação Feminina - Dados Gerais do Questionário (2) (1).xlsx]Comparação 2'!$B$53:$B$54</c:f>
              <c:numCache>
                <c:formatCode>0.0%</c:formatCode>
                <c:ptCount val="2"/>
                <c:pt idx="0">
                  <c:v>0.28699999999999998</c:v>
                </c:pt>
                <c:pt idx="1">
                  <c:v>0.51719999999999999</c:v>
                </c:pt>
              </c:numCache>
            </c:numRef>
          </c:val>
          <c:extLst xmlns:c16r2="http://schemas.microsoft.com/office/drawing/2015/06/chart">
            <c:ext xmlns:c16="http://schemas.microsoft.com/office/drawing/2014/chart" uri="{C3380CC4-5D6E-409C-BE32-E72D297353CC}">
              <c16:uniqueId val="{00000000-334D-2C40-A813-692B86080731}"/>
            </c:ext>
          </c:extLst>
        </c:ser>
        <c:ser>
          <c:idx val="1"/>
          <c:order val="1"/>
          <c:tx>
            <c:strRef>
              <c:f>'[Pesquisa Participação Feminina - Dados Gerais do Questionário (2) (1).xlsx]Comparação 2'!$C$52</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2'!$A$53:$A$54</c:f>
              <c:strCache>
                <c:ptCount val="2"/>
                <c:pt idx="0">
                  <c:v>Mulheres - Na sua percepção, há equilíbrio entre homens e mulheres na ocupação de cargos estratégicos no TST/CSJT?</c:v>
                </c:pt>
                <c:pt idx="1">
                  <c:v>Homens - Na sua percepção, há equilíbrio entre homens e mulheres na ocupação de cargos estratégicos no TST/CSJT?</c:v>
                </c:pt>
              </c:strCache>
            </c:strRef>
          </c:cat>
          <c:val>
            <c:numRef>
              <c:f>'[Pesquisa Participação Feminina - Dados Gerais do Questionário (2) (1).xlsx]Comparação 2'!$C$53:$C$54</c:f>
              <c:numCache>
                <c:formatCode>0.0%</c:formatCode>
                <c:ptCount val="2"/>
                <c:pt idx="0">
                  <c:v>0.61499999999999999</c:v>
                </c:pt>
                <c:pt idx="1">
                  <c:v>0.31030000000000002</c:v>
                </c:pt>
              </c:numCache>
            </c:numRef>
          </c:val>
          <c:extLst xmlns:c16r2="http://schemas.microsoft.com/office/drawing/2015/06/chart">
            <c:ext xmlns:c16="http://schemas.microsoft.com/office/drawing/2014/chart" uri="{C3380CC4-5D6E-409C-BE32-E72D297353CC}">
              <c16:uniqueId val="{00000001-334D-2C40-A813-692B86080731}"/>
            </c:ext>
          </c:extLst>
        </c:ser>
        <c:ser>
          <c:idx val="2"/>
          <c:order val="2"/>
          <c:tx>
            <c:strRef>
              <c:f>'[Pesquisa Participação Feminina - Dados Gerais do Questionário (2) (1).xlsx]Comparação 2'!$D$52</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2'!$A$53:$A$54</c:f>
              <c:strCache>
                <c:ptCount val="2"/>
                <c:pt idx="0">
                  <c:v>Mulheres - Na sua percepção, há equilíbrio entre homens e mulheres na ocupação de cargos estratégicos no TST/CSJT?</c:v>
                </c:pt>
                <c:pt idx="1">
                  <c:v>Homens - Na sua percepção, há equilíbrio entre homens e mulheres na ocupação de cargos estratégicos no TST/CSJT?</c:v>
                </c:pt>
              </c:strCache>
            </c:strRef>
          </c:cat>
          <c:val>
            <c:numRef>
              <c:f>'[Pesquisa Participação Feminina - Dados Gerais do Questionário (2) (1).xlsx]Comparação 2'!$D$53:$D$54</c:f>
              <c:numCache>
                <c:formatCode>0.0%</c:formatCode>
                <c:ptCount val="2"/>
                <c:pt idx="0">
                  <c:v>9.8000000000000004E-2</c:v>
                </c:pt>
                <c:pt idx="1">
                  <c:v>0.1724</c:v>
                </c:pt>
              </c:numCache>
            </c:numRef>
          </c:val>
          <c:extLst xmlns:c16r2="http://schemas.microsoft.com/office/drawing/2015/06/chart">
            <c:ext xmlns:c16="http://schemas.microsoft.com/office/drawing/2014/chart" uri="{C3380CC4-5D6E-409C-BE32-E72D297353CC}">
              <c16:uniqueId val="{00000002-334D-2C40-A813-692B86080731}"/>
            </c:ext>
          </c:extLst>
        </c:ser>
        <c:dLbls>
          <c:showLegendKey val="0"/>
          <c:showVal val="0"/>
          <c:showCatName val="0"/>
          <c:showSerName val="0"/>
          <c:showPercent val="0"/>
          <c:showBubbleSize val="0"/>
        </c:dLbls>
        <c:gapWidth val="150"/>
        <c:overlap val="100"/>
        <c:axId val="239573632"/>
        <c:axId val="239579520"/>
      </c:barChart>
      <c:catAx>
        <c:axId val="239573632"/>
        <c:scaling>
          <c:orientation val="maxMin"/>
        </c:scaling>
        <c:delete val="0"/>
        <c:axPos val="l"/>
        <c:numFmt formatCode="General" sourceLinked="0"/>
        <c:majorTickMark val="out"/>
        <c:minorTickMark val="none"/>
        <c:tickLblPos val="nextTo"/>
        <c:crossAx val="239579520"/>
        <c:crosses val="autoZero"/>
        <c:auto val="1"/>
        <c:lblAlgn val="ctr"/>
        <c:lblOffset val="100"/>
        <c:noMultiLvlLbl val="0"/>
      </c:catAx>
      <c:valAx>
        <c:axId val="239579520"/>
        <c:scaling>
          <c:orientation val="minMax"/>
        </c:scaling>
        <c:delete val="1"/>
        <c:axPos val="t"/>
        <c:numFmt formatCode="0%" sourceLinked="1"/>
        <c:majorTickMark val="out"/>
        <c:minorTickMark val="none"/>
        <c:tickLblPos val="nextTo"/>
        <c:crossAx val="23957363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 (1).xlsx]Comparação 2'!$B$56</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2'!$A$57:$A$58</c:f>
              <c:strCache>
                <c:ptCount val="2"/>
                <c:pt idx="0">
                  <c:v>Mulheres - Na sua percepção, há abertura no seu setor para discutir temas relacionados à equidade de gênero e diversidade?</c:v>
                </c:pt>
                <c:pt idx="1">
                  <c:v>Homens - Na sua percepção, há abertura no seu setor para discutir temas relacionados à equidade de gênero e diversidade?</c:v>
                </c:pt>
              </c:strCache>
            </c:strRef>
          </c:cat>
          <c:val>
            <c:numRef>
              <c:f>'[Pesquisa Participação Feminina - Dados Gerais do Questionário (2) (1).xlsx]Comparação 2'!$B$57:$B$58</c:f>
              <c:numCache>
                <c:formatCode>0.0%</c:formatCode>
                <c:ptCount val="2"/>
                <c:pt idx="0">
                  <c:v>0.59399999999999997</c:v>
                </c:pt>
                <c:pt idx="1">
                  <c:v>0.6552</c:v>
                </c:pt>
              </c:numCache>
            </c:numRef>
          </c:val>
          <c:extLst xmlns:c16r2="http://schemas.microsoft.com/office/drawing/2015/06/chart">
            <c:ext xmlns:c16="http://schemas.microsoft.com/office/drawing/2014/chart" uri="{C3380CC4-5D6E-409C-BE32-E72D297353CC}">
              <c16:uniqueId val="{00000000-C7C8-0A41-A2EA-3FFF9734C4B2}"/>
            </c:ext>
          </c:extLst>
        </c:ser>
        <c:ser>
          <c:idx val="1"/>
          <c:order val="1"/>
          <c:tx>
            <c:strRef>
              <c:f>'[Pesquisa Participação Feminina - Dados Gerais do Questionário (2) (1).xlsx]Comparação 2'!$C$56</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2'!$A$57:$A$58</c:f>
              <c:strCache>
                <c:ptCount val="2"/>
                <c:pt idx="0">
                  <c:v>Mulheres - Na sua percepção, há abertura no seu setor para discutir temas relacionados à equidade de gênero e diversidade?</c:v>
                </c:pt>
                <c:pt idx="1">
                  <c:v>Homens - Na sua percepção, há abertura no seu setor para discutir temas relacionados à equidade de gênero e diversidade?</c:v>
                </c:pt>
              </c:strCache>
            </c:strRef>
          </c:cat>
          <c:val>
            <c:numRef>
              <c:f>'[Pesquisa Participação Feminina - Dados Gerais do Questionário (2) (1).xlsx]Comparação 2'!$C$57:$C$58</c:f>
              <c:numCache>
                <c:formatCode>0.0%</c:formatCode>
                <c:ptCount val="2"/>
                <c:pt idx="0">
                  <c:v>0.28299999999999997</c:v>
                </c:pt>
                <c:pt idx="1">
                  <c:v>0.2069</c:v>
                </c:pt>
              </c:numCache>
            </c:numRef>
          </c:val>
          <c:extLst xmlns:c16r2="http://schemas.microsoft.com/office/drawing/2015/06/chart">
            <c:ext xmlns:c16="http://schemas.microsoft.com/office/drawing/2014/chart" uri="{C3380CC4-5D6E-409C-BE32-E72D297353CC}">
              <c16:uniqueId val="{00000001-C7C8-0A41-A2EA-3FFF9734C4B2}"/>
            </c:ext>
          </c:extLst>
        </c:ser>
        <c:ser>
          <c:idx val="2"/>
          <c:order val="2"/>
          <c:tx>
            <c:strRef>
              <c:f>'[Pesquisa Participação Feminina - Dados Gerais do Questionário (2) (1).xlsx]Comparação 2'!$D$56</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2'!$A$57:$A$58</c:f>
              <c:strCache>
                <c:ptCount val="2"/>
                <c:pt idx="0">
                  <c:v>Mulheres - Na sua percepção, há abertura no seu setor para discutir temas relacionados à equidade de gênero e diversidade?</c:v>
                </c:pt>
                <c:pt idx="1">
                  <c:v>Homens - Na sua percepção, há abertura no seu setor para discutir temas relacionados à equidade de gênero e diversidade?</c:v>
                </c:pt>
              </c:strCache>
            </c:strRef>
          </c:cat>
          <c:val>
            <c:numRef>
              <c:f>'[Pesquisa Participação Feminina - Dados Gerais do Questionário (2) (1).xlsx]Comparação 2'!$D$57:$D$58</c:f>
              <c:numCache>
                <c:formatCode>0.0%</c:formatCode>
                <c:ptCount val="2"/>
                <c:pt idx="0">
                  <c:v>0.123</c:v>
                </c:pt>
                <c:pt idx="1">
                  <c:v>0.13789999999999999</c:v>
                </c:pt>
              </c:numCache>
            </c:numRef>
          </c:val>
          <c:extLst xmlns:c16r2="http://schemas.microsoft.com/office/drawing/2015/06/chart">
            <c:ext xmlns:c16="http://schemas.microsoft.com/office/drawing/2014/chart" uri="{C3380CC4-5D6E-409C-BE32-E72D297353CC}">
              <c16:uniqueId val="{00000002-C7C8-0A41-A2EA-3FFF9734C4B2}"/>
            </c:ext>
          </c:extLst>
        </c:ser>
        <c:dLbls>
          <c:showLegendKey val="0"/>
          <c:showVal val="0"/>
          <c:showCatName val="0"/>
          <c:showSerName val="0"/>
          <c:showPercent val="0"/>
          <c:showBubbleSize val="0"/>
        </c:dLbls>
        <c:gapWidth val="150"/>
        <c:overlap val="100"/>
        <c:axId val="239648768"/>
        <c:axId val="239650304"/>
      </c:barChart>
      <c:catAx>
        <c:axId val="239648768"/>
        <c:scaling>
          <c:orientation val="maxMin"/>
        </c:scaling>
        <c:delete val="0"/>
        <c:axPos val="l"/>
        <c:numFmt formatCode="General" sourceLinked="0"/>
        <c:majorTickMark val="out"/>
        <c:minorTickMark val="none"/>
        <c:tickLblPos val="nextTo"/>
        <c:crossAx val="239650304"/>
        <c:crosses val="autoZero"/>
        <c:auto val="1"/>
        <c:lblAlgn val="ctr"/>
        <c:lblOffset val="100"/>
        <c:noMultiLvlLbl val="0"/>
      </c:catAx>
      <c:valAx>
        <c:axId val="239650304"/>
        <c:scaling>
          <c:orientation val="minMax"/>
        </c:scaling>
        <c:delete val="1"/>
        <c:axPos val="t"/>
        <c:numFmt formatCode="0%" sourceLinked="1"/>
        <c:majorTickMark val="out"/>
        <c:minorTickMark val="none"/>
        <c:tickLblPos val="nextTo"/>
        <c:crossAx val="23964876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 (1).xlsx]Comparação 2'!$B$60</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2'!$A$61:$A$62</c:f>
              <c:strCache>
                <c:ptCount val="2"/>
                <c:pt idx="0">
                  <c:v>Mulheres - Você já vivenciou ou presenciou situações no TST/CSJT em que uma mulher foi levada a duvidar de sua própria percepção ou memória (gaslighting)?</c:v>
                </c:pt>
                <c:pt idx="1">
                  <c:v>Homens - Você já vivenciou ou presenciou situações no TST/CSJT em que uma mulher foi levada a duvidar de sua própria percepção ou memória (gaslighting)?</c:v>
                </c:pt>
              </c:strCache>
            </c:strRef>
          </c:cat>
          <c:val>
            <c:numRef>
              <c:f>'[Pesquisa Participação Feminina - Dados Gerais do Questionário (2) (1).xlsx]Comparação 2'!$B$61:$B$62</c:f>
              <c:numCache>
                <c:formatCode>0.0%</c:formatCode>
                <c:ptCount val="2"/>
                <c:pt idx="0">
                  <c:v>0.316</c:v>
                </c:pt>
                <c:pt idx="1">
                  <c:v>5.1700000000000003E-2</c:v>
                </c:pt>
              </c:numCache>
            </c:numRef>
          </c:val>
          <c:extLst xmlns:c16r2="http://schemas.microsoft.com/office/drawing/2015/06/chart">
            <c:ext xmlns:c16="http://schemas.microsoft.com/office/drawing/2014/chart" uri="{C3380CC4-5D6E-409C-BE32-E72D297353CC}">
              <c16:uniqueId val="{00000000-51CA-E742-AD31-32DFEB393676}"/>
            </c:ext>
          </c:extLst>
        </c:ser>
        <c:ser>
          <c:idx val="1"/>
          <c:order val="1"/>
          <c:tx>
            <c:strRef>
              <c:f>'[Pesquisa Participação Feminina - Dados Gerais do Questionário (2) (1).xlsx]Comparação 2'!$C$60</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2'!$A$61:$A$62</c:f>
              <c:strCache>
                <c:ptCount val="2"/>
                <c:pt idx="0">
                  <c:v>Mulheres - Você já vivenciou ou presenciou situações no TST/CSJT em que uma mulher foi levada a duvidar de sua própria percepção ou memória (gaslighting)?</c:v>
                </c:pt>
                <c:pt idx="1">
                  <c:v>Homens - Você já vivenciou ou presenciou situações no TST/CSJT em que uma mulher foi levada a duvidar de sua própria percepção ou memória (gaslighting)?</c:v>
                </c:pt>
              </c:strCache>
            </c:strRef>
          </c:cat>
          <c:val>
            <c:numRef>
              <c:f>'[Pesquisa Participação Feminina - Dados Gerais do Questionário (2) (1).xlsx]Comparação 2'!$C$61:$C$62</c:f>
              <c:numCache>
                <c:formatCode>0.0%</c:formatCode>
                <c:ptCount val="2"/>
                <c:pt idx="0">
                  <c:v>0.57399999999999995</c:v>
                </c:pt>
                <c:pt idx="1">
                  <c:v>0.87929999999999997</c:v>
                </c:pt>
              </c:numCache>
            </c:numRef>
          </c:val>
          <c:extLst xmlns:c16r2="http://schemas.microsoft.com/office/drawing/2015/06/chart">
            <c:ext xmlns:c16="http://schemas.microsoft.com/office/drawing/2014/chart" uri="{C3380CC4-5D6E-409C-BE32-E72D297353CC}">
              <c16:uniqueId val="{00000001-51CA-E742-AD31-32DFEB393676}"/>
            </c:ext>
          </c:extLst>
        </c:ser>
        <c:ser>
          <c:idx val="2"/>
          <c:order val="2"/>
          <c:tx>
            <c:strRef>
              <c:f>'[Pesquisa Participação Feminina - Dados Gerais do Questionário (2) (1).xlsx]Comparação 2'!$D$60</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2'!$A$61:$A$62</c:f>
              <c:strCache>
                <c:ptCount val="2"/>
                <c:pt idx="0">
                  <c:v>Mulheres - Você já vivenciou ou presenciou situações no TST/CSJT em que uma mulher foi levada a duvidar de sua própria percepção ou memória (gaslighting)?</c:v>
                </c:pt>
                <c:pt idx="1">
                  <c:v>Homens - Você já vivenciou ou presenciou situações no TST/CSJT em que uma mulher foi levada a duvidar de sua própria percepção ou memória (gaslighting)?</c:v>
                </c:pt>
              </c:strCache>
            </c:strRef>
          </c:cat>
          <c:val>
            <c:numRef>
              <c:f>'[Pesquisa Participação Feminina - Dados Gerais do Questionário (2) (1).xlsx]Comparação 2'!$D$61:$D$62</c:f>
              <c:numCache>
                <c:formatCode>0.0%</c:formatCode>
                <c:ptCount val="2"/>
                <c:pt idx="0">
                  <c:v>0.111</c:v>
                </c:pt>
                <c:pt idx="1">
                  <c:v>6.9000000000000006E-2</c:v>
                </c:pt>
              </c:numCache>
            </c:numRef>
          </c:val>
          <c:extLst xmlns:c16r2="http://schemas.microsoft.com/office/drawing/2015/06/chart">
            <c:ext xmlns:c16="http://schemas.microsoft.com/office/drawing/2014/chart" uri="{C3380CC4-5D6E-409C-BE32-E72D297353CC}">
              <c16:uniqueId val="{00000002-51CA-E742-AD31-32DFEB393676}"/>
            </c:ext>
          </c:extLst>
        </c:ser>
        <c:dLbls>
          <c:showLegendKey val="0"/>
          <c:showVal val="0"/>
          <c:showCatName val="0"/>
          <c:showSerName val="0"/>
          <c:showPercent val="0"/>
          <c:showBubbleSize val="0"/>
        </c:dLbls>
        <c:gapWidth val="150"/>
        <c:overlap val="100"/>
        <c:axId val="239768704"/>
        <c:axId val="239770240"/>
      </c:barChart>
      <c:catAx>
        <c:axId val="239768704"/>
        <c:scaling>
          <c:orientation val="maxMin"/>
        </c:scaling>
        <c:delete val="0"/>
        <c:axPos val="l"/>
        <c:numFmt formatCode="General" sourceLinked="0"/>
        <c:majorTickMark val="out"/>
        <c:minorTickMark val="none"/>
        <c:tickLblPos val="nextTo"/>
        <c:crossAx val="239770240"/>
        <c:crosses val="autoZero"/>
        <c:auto val="1"/>
        <c:lblAlgn val="ctr"/>
        <c:lblOffset val="100"/>
        <c:noMultiLvlLbl val="0"/>
      </c:catAx>
      <c:valAx>
        <c:axId val="239770240"/>
        <c:scaling>
          <c:orientation val="minMax"/>
        </c:scaling>
        <c:delete val="1"/>
        <c:axPos val="t"/>
        <c:numFmt formatCode="0%" sourceLinked="1"/>
        <c:majorTickMark val="out"/>
        <c:minorTickMark val="none"/>
        <c:tickLblPos val="nextTo"/>
        <c:crossAx val="23976870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'[Pesquisa Participação Feminina - Dados Gerais do Questionário (2) (1).xlsx]Comparação 2'!$B$64</c:f>
              <c:strCache>
                <c:ptCount val="1"/>
                <c:pt idx="0">
                  <c:v>Sim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2'!$A$65:$A$66</c:f>
              <c:strCache>
                <c:ptCount val="2"/>
                <c:pt idx="0">
                  <c:v>Mulheres - Você já vivenciou ou presenciou situações no TST/CSJT em que um homem explicou algo a uma mulher de forma superior ou como se ela não soubesse (mansplaining)?</c:v>
                </c:pt>
                <c:pt idx="1">
                  <c:v>Homens - Você já vivenciou ou presenciou situações no TST/CSJT em que um homem explicou algo a uma mulher de forma superior ou como se ela não soubesse (mansplaining)?</c:v>
                </c:pt>
              </c:strCache>
            </c:strRef>
          </c:cat>
          <c:val>
            <c:numRef>
              <c:f>'[Pesquisa Participação Feminina - Dados Gerais do Questionário (2) (1).xlsx]Comparação 2'!$B$65:$B$66</c:f>
              <c:numCache>
                <c:formatCode>0.0%</c:formatCode>
                <c:ptCount val="2"/>
                <c:pt idx="0">
                  <c:v>0.52</c:v>
                </c:pt>
                <c:pt idx="1">
                  <c:v>8.6199999999999999E-2</c:v>
                </c:pt>
              </c:numCache>
            </c:numRef>
          </c:val>
          <c:extLst xmlns:c16r2="http://schemas.microsoft.com/office/drawing/2015/06/chart">
            <c:ext xmlns:c16="http://schemas.microsoft.com/office/drawing/2014/chart" uri="{C3380CC4-5D6E-409C-BE32-E72D297353CC}">
              <c16:uniqueId val="{00000000-7974-3547-8A8E-09773F3A3C49}"/>
            </c:ext>
          </c:extLst>
        </c:ser>
        <c:ser>
          <c:idx val="1"/>
          <c:order val="1"/>
          <c:tx>
            <c:strRef>
              <c:f>'[Pesquisa Participação Feminina - Dados Gerais do Questionário (2) (1).xlsx]Comparação 2'!$C$64</c:f>
              <c:strCache>
                <c:ptCount val="1"/>
                <c:pt idx="0">
                  <c:v>Não</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2'!$A$65:$A$66</c:f>
              <c:strCache>
                <c:ptCount val="2"/>
                <c:pt idx="0">
                  <c:v>Mulheres - Você já vivenciou ou presenciou situações no TST/CSJT em que um homem explicou algo a uma mulher de forma superior ou como se ela não soubesse (mansplaining)?</c:v>
                </c:pt>
                <c:pt idx="1">
                  <c:v>Homens - Você já vivenciou ou presenciou situações no TST/CSJT em que um homem explicou algo a uma mulher de forma superior ou como se ela não soubesse (mansplaining)?</c:v>
                </c:pt>
              </c:strCache>
            </c:strRef>
          </c:cat>
          <c:val>
            <c:numRef>
              <c:f>'[Pesquisa Participação Feminina - Dados Gerais do Questionário (2) (1).xlsx]Comparação 2'!$C$65:$C$66</c:f>
              <c:numCache>
                <c:formatCode>0.0%</c:formatCode>
                <c:ptCount val="2"/>
                <c:pt idx="0">
                  <c:v>0.40600000000000003</c:v>
                </c:pt>
                <c:pt idx="1">
                  <c:v>0.8448</c:v>
                </c:pt>
              </c:numCache>
            </c:numRef>
          </c:val>
          <c:extLst xmlns:c16r2="http://schemas.microsoft.com/office/drawing/2015/06/chart">
            <c:ext xmlns:c16="http://schemas.microsoft.com/office/drawing/2014/chart" uri="{C3380CC4-5D6E-409C-BE32-E72D297353CC}">
              <c16:uniqueId val="{00000001-7974-3547-8A8E-09773F3A3C49}"/>
            </c:ext>
          </c:extLst>
        </c:ser>
        <c:ser>
          <c:idx val="2"/>
          <c:order val="2"/>
          <c:tx>
            <c:strRef>
              <c:f>'[Pesquisa Participação Feminina - Dados Gerais do Questionário (2) (1).xlsx]Comparação 2'!$D$64</c:f>
              <c:strCache>
                <c:ptCount val="1"/>
                <c:pt idx="0">
                  <c:v>Não sei responder</c:v>
                </c:pt>
              </c:strCache>
            </c:strRef>
          </c:tx>
          <c:spPr>
            <a:solidFill>
              <a:schemeClr val="bg1">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'[Pesquisa Participação Feminina - Dados Gerais do Questionário (2) (1).xlsx]Comparação 2'!$A$65:$A$66</c:f>
              <c:strCache>
                <c:ptCount val="2"/>
                <c:pt idx="0">
                  <c:v>Mulheres - Você já vivenciou ou presenciou situações no TST/CSJT em que um homem explicou algo a uma mulher de forma superior ou como se ela não soubesse (mansplaining)?</c:v>
                </c:pt>
                <c:pt idx="1">
                  <c:v>Homens - Você já vivenciou ou presenciou situações no TST/CSJT em que um homem explicou algo a uma mulher de forma superior ou como se ela não soubesse (mansplaining)?</c:v>
                </c:pt>
              </c:strCache>
            </c:strRef>
          </c:cat>
          <c:val>
            <c:numRef>
              <c:f>'[Pesquisa Participação Feminina - Dados Gerais do Questionário (2) (1).xlsx]Comparação 2'!$D$65:$D$66</c:f>
              <c:numCache>
                <c:formatCode>0.0%</c:formatCode>
                <c:ptCount val="2"/>
                <c:pt idx="0">
                  <c:v>7.3999999999999996E-2</c:v>
                </c:pt>
                <c:pt idx="1">
                  <c:v>6.9000000000000006E-2</c:v>
                </c:pt>
              </c:numCache>
            </c:numRef>
          </c:val>
          <c:extLst xmlns:c16r2="http://schemas.microsoft.com/office/drawing/2015/06/chart">
            <c:ext xmlns:c16="http://schemas.microsoft.com/office/drawing/2014/chart" uri="{C3380CC4-5D6E-409C-BE32-E72D297353CC}">
              <c16:uniqueId val="{00000002-7974-3547-8A8E-09773F3A3C49}"/>
            </c:ext>
          </c:extLst>
        </c:ser>
        <c:dLbls>
          <c:showLegendKey val="0"/>
          <c:showVal val="0"/>
          <c:showCatName val="0"/>
          <c:showSerName val="0"/>
          <c:showPercent val="0"/>
          <c:showBubbleSize val="0"/>
        </c:dLbls>
        <c:gapWidth val="150"/>
        <c:overlap val="100"/>
        <c:axId val="241128192"/>
        <c:axId val="241129728"/>
      </c:barChart>
      <c:catAx>
        <c:axId val="241128192"/>
        <c:scaling>
          <c:orientation val="maxMin"/>
        </c:scaling>
        <c:delete val="0"/>
        <c:axPos val="l"/>
        <c:numFmt formatCode="General" sourceLinked="0"/>
        <c:majorTickMark val="out"/>
        <c:minorTickMark val="none"/>
        <c:tickLblPos val="nextTo"/>
        <c:crossAx val="241129728"/>
        <c:crosses val="autoZero"/>
        <c:auto val="1"/>
        <c:lblAlgn val="ctr"/>
        <c:lblOffset val="100"/>
        <c:noMultiLvlLbl val="0"/>
      </c:catAx>
      <c:valAx>
        <c:axId val="241129728"/>
        <c:scaling>
          <c:orientation val="minMax"/>
        </c:scaling>
        <c:delete val="1"/>
        <c:axPos val="t"/>
        <c:numFmt formatCode="0%" sourceLinked="1"/>
        <c:majorTickMark val="out"/>
        <c:minorTickMark val="none"/>
        <c:tickLblPos val="nextTo"/>
        <c:crossAx val="24112819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'[Pasta1. 08.08.2025 (1).xlsx]Plan3'!$C$129</c:f>
              <c:strCache>
                <c:ptCount val="1"/>
                <c:pt idx="0">
                  <c:v>Masculino</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'[Pasta1. 08.08.2025 (1).xlsx]Plan3'!$A$130:$A$133</c:f>
              <c:strCache>
                <c:ptCount val="4"/>
                <c:pt idx="0">
                  <c:v>CJ-01</c:v>
                </c:pt>
                <c:pt idx="1">
                  <c:v>CJ-02</c:v>
                </c:pt>
                <c:pt idx="2">
                  <c:v>CJ-03</c:v>
                </c:pt>
                <c:pt idx="3">
                  <c:v>CJ-04</c:v>
                </c:pt>
              </c:strCache>
            </c:strRef>
          </c:cat>
          <c:val>
            <c:numRef>
              <c:f>'[Pasta1. 08.08.2025 (1).xlsx]Plan3'!$C$130:$C$133</c:f>
              <c:numCache>
                <c:formatCode>0.0%</c:formatCode>
                <c:ptCount val="4"/>
                <c:pt idx="0">
                  <c:v>8.7155963302752298E-2</c:v>
                </c:pt>
                <c:pt idx="1">
                  <c:v>4.8165137614678902E-2</c:v>
                </c:pt>
                <c:pt idx="2">
                  <c:v>0.28440366972477066</c:v>
                </c:pt>
                <c:pt idx="3">
                  <c:v>4.5871559633027525E-3</c:v>
                </c:pt>
              </c:numCache>
            </c:numRef>
          </c:val>
          <c:extLst xmlns:c16r2="http://schemas.microsoft.com/office/drawing/2015/06/chart">
            <c:ext xmlns:c16="http://schemas.microsoft.com/office/drawing/2014/chart" uri="{C3380CC4-5D6E-409C-BE32-E72D297353CC}">
              <c16:uniqueId val="{00000001-FB87-408E-8E4C-3A509132DB80}"/>
            </c:ext>
          </c:extLst>
        </c:ser>
        <c:ser>
          <c:idx val="0"/>
          <c:order val="1"/>
          <c:tx>
            <c:strRef>
              <c:f>'[Pasta1. 08.08.2025 (1).xlsx]Plan3'!$B$129</c:f>
              <c:strCache>
                <c:ptCount val="1"/>
                <c:pt idx="0">
                  <c:v>Feminino</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'[Pasta1. 08.08.2025 (1).xlsx]Plan3'!$A$130:$A$133</c:f>
              <c:strCache>
                <c:ptCount val="4"/>
                <c:pt idx="0">
                  <c:v>CJ-01</c:v>
                </c:pt>
                <c:pt idx="1">
                  <c:v>CJ-02</c:v>
                </c:pt>
                <c:pt idx="2">
                  <c:v>CJ-03</c:v>
                </c:pt>
                <c:pt idx="3">
                  <c:v>CJ-04</c:v>
                </c:pt>
              </c:strCache>
            </c:strRef>
          </c:cat>
          <c:val>
            <c:numRef>
              <c:f>'[Pasta1. 08.08.2025 (1).xlsx]Plan3'!$B$130:$B$133</c:f>
              <c:numCache>
                <c:formatCode>0.0%</c:formatCode>
                <c:ptCount val="4"/>
                <c:pt idx="0">
                  <c:v>0.11697247706422019</c:v>
                </c:pt>
                <c:pt idx="1">
                  <c:v>4.8165137614678902E-2</c:v>
                </c:pt>
                <c:pt idx="2">
                  <c:v>0.40596330275229359</c:v>
                </c:pt>
                <c:pt idx="3">
                  <c:v>4.5871559633027525E-3</c:v>
                </c:pt>
              </c:numCache>
            </c:numRef>
          </c:val>
          <c:extLst xmlns:c16r2="http://schemas.microsoft.com/office/drawing/2015/06/chart">
            <c:ext xmlns:c16="http://schemas.microsoft.com/office/drawing/2014/chart" uri="{C3380CC4-5D6E-409C-BE32-E72D297353CC}">
              <c16:uniqueId val="{00000000-FB87-408E-8E4C-3A509132DB80}"/>
            </c:ext>
          </c:extLst>
        </c:ser>
        <c:dLbls>
          <c:showLegendKey val="0"/>
          <c:showVal val="0"/>
          <c:showCatName val="0"/>
          <c:showSerName val="0"/>
          <c:showPercent val="0"/>
          <c:showBubbleSize val="0"/>
        </c:dLbls>
        <c:gapWidth val="182"/>
        <c:axId val="224312704"/>
        <c:axId val="224322688"/>
      </c:barChart>
      <c:catAx>
        <c:axId val="22431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4322688"/>
        <c:crosses val="autoZero"/>
        <c:auto val="1"/>
        <c:lblAlgn val="ctr"/>
        <c:lblOffset val="100"/>
        <c:noMultiLvlLbl val="0"/>
      </c:catAx>
      <c:valAx>
        <c:axId val="224322688"/>
        <c:scaling>
          <c:orientation val="minMax"/>
        </c:scaling>
        <c:delete val="1"/>
        <c:axPos val="b"/>
        <c:numFmt formatCode="0.0%" sourceLinked="1"/>
        <c:majorTickMark val="none"/>
        <c:minorTickMark val="none"/>
        <c:tickLblPos val="nextTo"/>
        <c:crossAx val="22431270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Plan3!$C$152</c:f>
              <c:strCache>
                <c:ptCount val="1"/>
                <c:pt idx="0">
                  <c:v>Masculino</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Plan3!$A$153:$A$157</c:f>
              <c:strCache>
                <c:ptCount val="5"/>
                <c:pt idx="0">
                  <c:v>FC-02</c:v>
                </c:pt>
                <c:pt idx="1">
                  <c:v>FC-03</c:v>
                </c:pt>
                <c:pt idx="2">
                  <c:v>FC-04</c:v>
                </c:pt>
                <c:pt idx="3">
                  <c:v>FC-05</c:v>
                </c:pt>
                <c:pt idx="4">
                  <c:v>FC-06</c:v>
                </c:pt>
              </c:strCache>
            </c:strRef>
          </c:cat>
          <c:val>
            <c:numRef>
              <c:f>Plan3!$C$153:$C$157</c:f>
              <c:numCache>
                <c:formatCode>0.0%</c:formatCode>
                <c:ptCount val="5"/>
                <c:pt idx="0">
                  <c:v>3.3228840125391852E-2</c:v>
                </c:pt>
                <c:pt idx="1">
                  <c:v>9.0909090909090912E-2</c:v>
                </c:pt>
                <c:pt idx="2">
                  <c:v>0.13667711598746082</c:v>
                </c:pt>
                <c:pt idx="3">
                  <c:v>0.12413793103448276</c:v>
                </c:pt>
                <c:pt idx="4">
                  <c:v>5.2664576802507836E-2</c:v>
                </c:pt>
              </c:numCache>
            </c:numRef>
          </c:val>
          <c:extLst xmlns:c16r2="http://schemas.microsoft.com/office/drawing/2015/06/chart">
            <c:ext xmlns:c16="http://schemas.microsoft.com/office/drawing/2014/chart" uri="{C3380CC4-5D6E-409C-BE32-E72D297353CC}">
              <c16:uniqueId val="{00000000-4D74-473B-A1BD-53B793587311}"/>
            </c:ext>
          </c:extLst>
        </c:ser>
        <c:ser>
          <c:idx val="0"/>
          <c:order val="1"/>
          <c:tx>
            <c:strRef>
              <c:f>Plan3!$B$152</c:f>
              <c:strCache>
                <c:ptCount val="1"/>
                <c:pt idx="0">
                  <c:v>Feminino</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Plan3!$A$153:$A$157</c:f>
              <c:strCache>
                <c:ptCount val="5"/>
                <c:pt idx="0">
                  <c:v>FC-02</c:v>
                </c:pt>
                <c:pt idx="1">
                  <c:v>FC-03</c:v>
                </c:pt>
                <c:pt idx="2">
                  <c:v>FC-04</c:v>
                </c:pt>
                <c:pt idx="3">
                  <c:v>FC-05</c:v>
                </c:pt>
                <c:pt idx="4">
                  <c:v>FC-06</c:v>
                </c:pt>
              </c:strCache>
            </c:strRef>
          </c:cat>
          <c:val>
            <c:numRef>
              <c:f>Plan3!$B$153:$B$157</c:f>
              <c:numCache>
                <c:formatCode>0.0%</c:formatCode>
                <c:ptCount val="5"/>
                <c:pt idx="0">
                  <c:v>6.2068965517241378E-2</c:v>
                </c:pt>
                <c:pt idx="1">
                  <c:v>0.1341692789968652</c:v>
                </c:pt>
                <c:pt idx="2">
                  <c:v>0.15673981191222572</c:v>
                </c:pt>
                <c:pt idx="3">
                  <c:v>0.15172413793103448</c:v>
                </c:pt>
                <c:pt idx="4">
                  <c:v>5.6426332288401257E-2</c:v>
                </c:pt>
              </c:numCache>
            </c:numRef>
          </c:val>
          <c:extLst xmlns:c16r2="http://schemas.microsoft.com/office/drawing/2015/06/chart">
            <c:ext xmlns:c16="http://schemas.microsoft.com/office/drawing/2014/chart" uri="{C3380CC4-5D6E-409C-BE32-E72D297353CC}">
              <c16:uniqueId val="{00000001-4D74-473B-A1BD-53B793587311}"/>
            </c:ext>
          </c:extLst>
        </c:ser>
        <c:dLbls>
          <c:showLegendKey val="0"/>
          <c:showVal val="0"/>
          <c:showCatName val="0"/>
          <c:showSerName val="0"/>
          <c:showPercent val="0"/>
          <c:showBubbleSize val="0"/>
        </c:dLbls>
        <c:gapWidth val="182"/>
        <c:axId val="224340992"/>
        <c:axId val="224346880"/>
      </c:barChart>
      <c:catAx>
        <c:axId val="22434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4346880"/>
        <c:crosses val="autoZero"/>
        <c:auto val="1"/>
        <c:lblAlgn val="ctr"/>
        <c:lblOffset val="100"/>
        <c:noMultiLvlLbl val="0"/>
      </c:catAx>
      <c:valAx>
        <c:axId val="224346880"/>
        <c:scaling>
          <c:orientation val="minMax"/>
        </c:scaling>
        <c:delete val="1"/>
        <c:axPos val="b"/>
        <c:numFmt formatCode="0.0%" sourceLinked="1"/>
        <c:majorTickMark val="none"/>
        <c:minorTickMark val="none"/>
        <c:tickLblPos val="nextTo"/>
        <c:crossAx val="2243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Plan3!$B$191</c:f>
              <c:strCache>
                <c:ptCount val="1"/>
                <c:pt idx="0">
                  <c:v>Feminino</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Plan3!$A$192:$A$198</c:f>
              <c:strCache>
                <c:ptCount val="7"/>
                <c:pt idx="0">
                  <c:v>CJ-03</c:v>
                </c:pt>
                <c:pt idx="1">
                  <c:v>CJ-02</c:v>
                </c:pt>
                <c:pt idx="2">
                  <c:v>CJ-01</c:v>
                </c:pt>
                <c:pt idx="3">
                  <c:v>FC-06</c:v>
                </c:pt>
                <c:pt idx="4">
                  <c:v>FC-05</c:v>
                </c:pt>
                <c:pt idx="5">
                  <c:v>FC-04</c:v>
                </c:pt>
                <c:pt idx="6">
                  <c:v>FC-03</c:v>
                </c:pt>
              </c:strCache>
            </c:strRef>
          </c:cat>
          <c:val>
            <c:numRef>
              <c:f>Plan3!$B$192:$B$198</c:f>
              <c:numCache>
                <c:formatCode>0.0%</c:formatCode>
                <c:ptCount val="7"/>
                <c:pt idx="0">
                  <c:v>0.16666666666666666</c:v>
                </c:pt>
                <c:pt idx="1">
                  <c:v>0.2</c:v>
                </c:pt>
                <c:pt idx="2">
                  <c:v>0.5</c:v>
                </c:pt>
                <c:pt idx="3">
                  <c:v>0.35</c:v>
                </c:pt>
                <c:pt idx="4">
                  <c:v>0.5</c:v>
                </c:pt>
                <c:pt idx="5">
                  <c:v>0.45945945945945948</c:v>
                </c:pt>
                <c:pt idx="6">
                  <c:v>0.25</c:v>
                </c:pt>
              </c:numCache>
            </c:numRef>
          </c:val>
          <c:extLst xmlns:c16r2="http://schemas.microsoft.com/office/drawing/2015/06/chart">
            <c:ext xmlns:c16="http://schemas.microsoft.com/office/drawing/2014/chart" uri="{C3380CC4-5D6E-409C-BE32-E72D297353CC}">
              <c16:uniqueId val="{00000000-8C39-465F-B511-BABB26616C45}"/>
            </c:ext>
          </c:extLst>
        </c:ser>
        <c:ser>
          <c:idx val="1"/>
          <c:order val="1"/>
          <c:tx>
            <c:strRef>
              <c:f>Plan3!$C$191</c:f>
              <c:strCache>
                <c:ptCount val="1"/>
                <c:pt idx="0">
                  <c:v>Masculino</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Plan3!$A$192:$A$198</c:f>
              <c:strCache>
                <c:ptCount val="7"/>
                <c:pt idx="0">
                  <c:v>CJ-03</c:v>
                </c:pt>
                <c:pt idx="1">
                  <c:v>CJ-02</c:v>
                </c:pt>
                <c:pt idx="2">
                  <c:v>CJ-01</c:v>
                </c:pt>
                <c:pt idx="3">
                  <c:v>FC-06</c:v>
                </c:pt>
                <c:pt idx="4">
                  <c:v>FC-05</c:v>
                </c:pt>
                <c:pt idx="5">
                  <c:v>FC-04</c:v>
                </c:pt>
                <c:pt idx="6">
                  <c:v>FC-03</c:v>
                </c:pt>
              </c:strCache>
            </c:strRef>
          </c:cat>
          <c:val>
            <c:numRef>
              <c:f>Plan3!$C$192:$C$198</c:f>
              <c:numCache>
                <c:formatCode>0.0%</c:formatCode>
                <c:ptCount val="7"/>
                <c:pt idx="0">
                  <c:v>0.83333333333333337</c:v>
                </c:pt>
                <c:pt idx="1">
                  <c:v>0.8</c:v>
                </c:pt>
                <c:pt idx="2">
                  <c:v>0.5</c:v>
                </c:pt>
                <c:pt idx="3">
                  <c:v>0.65</c:v>
                </c:pt>
                <c:pt idx="4">
                  <c:v>0.5</c:v>
                </c:pt>
                <c:pt idx="5">
                  <c:v>0.54054054054054057</c:v>
                </c:pt>
                <c:pt idx="6">
                  <c:v>0.75</c:v>
                </c:pt>
              </c:numCache>
            </c:numRef>
          </c:val>
          <c:extLst xmlns:c16r2="http://schemas.microsoft.com/office/drawing/2015/06/chart">
            <c:ext xmlns:c16="http://schemas.microsoft.com/office/drawing/2014/chart" uri="{C3380CC4-5D6E-409C-BE32-E72D297353CC}">
              <c16:uniqueId val="{00000001-8C39-465F-B511-BABB26616C45}"/>
            </c:ext>
          </c:extLst>
        </c:ser>
        <c:dLbls>
          <c:showLegendKey val="0"/>
          <c:showVal val="0"/>
          <c:showCatName val="0"/>
          <c:showSerName val="0"/>
          <c:showPercent val="0"/>
          <c:showBubbleSize val="0"/>
        </c:dLbls>
        <c:gapWidth val="150"/>
        <c:overlap val="100"/>
        <c:axId val="224394240"/>
        <c:axId val="224465664"/>
      </c:barChart>
      <c:catAx>
        <c:axId val="224394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4465664"/>
        <c:crosses val="autoZero"/>
        <c:auto val="1"/>
        <c:lblAlgn val="ctr"/>
        <c:lblOffset val="100"/>
        <c:noMultiLvlLbl val="0"/>
      </c:catAx>
      <c:valAx>
        <c:axId val="224465664"/>
        <c:scaling>
          <c:orientation val="minMax"/>
        </c:scaling>
        <c:delete val="1"/>
        <c:axPos val="t"/>
        <c:numFmt formatCode="0%" sourceLinked="1"/>
        <c:majorTickMark val="none"/>
        <c:minorTickMark val="none"/>
        <c:tickLblPos val="nextTo"/>
        <c:crossAx val="22439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Plan3!$B$207</c:f>
              <c:strCache>
                <c:ptCount val="1"/>
                <c:pt idx="0">
                  <c:v>Feminino</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Plan3!$A$208:$A$210</c:f>
              <c:strCache>
                <c:ptCount val="3"/>
                <c:pt idx="0">
                  <c:v>CJ-03</c:v>
                </c:pt>
                <c:pt idx="1">
                  <c:v>CJ-02</c:v>
                </c:pt>
                <c:pt idx="2">
                  <c:v>CJ-01</c:v>
                </c:pt>
              </c:strCache>
            </c:strRef>
          </c:cat>
          <c:val>
            <c:numRef>
              <c:f>Plan3!$B$208:$B$210</c:f>
              <c:numCache>
                <c:formatCode>0.0%</c:formatCode>
                <c:ptCount val="3"/>
                <c:pt idx="0">
                  <c:v>5.8823529411764705E-2</c:v>
                </c:pt>
                <c:pt idx="1">
                  <c:v>5.8823529411764705E-2</c:v>
                </c:pt>
                <c:pt idx="2">
                  <c:v>0.17647058823529413</c:v>
                </c:pt>
              </c:numCache>
            </c:numRef>
          </c:val>
          <c:extLst xmlns:c16r2="http://schemas.microsoft.com/office/drawing/2015/06/chart">
            <c:ext xmlns:c16="http://schemas.microsoft.com/office/drawing/2014/chart" uri="{C3380CC4-5D6E-409C-BE32-E72D297353CC}">
              <c16:uniqueId val="{00000000-CD47-49EE-97B7-AB34D4C77944}"/>
            </c:ext>
          </c:extLst>
        </c:ser>
        <c:ser>
          <c:idx val="1"/>
          <c:order val="1"/>
          <c:tx>
            <c:strRef>
              <c:f>Plan3!$C$207</c:f>
              <c:strCache>
                <c:ptCount val="1"/>
                <c:pt idx="0">
                  <c:v>Masculino</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Plan3!$A$208:$A$210</c:f>
              <c:strCache>
                <c:ptCount val="3"/>
                <c:pt idx="0">
                  <c:v>CJ-03</c:v>
                </c:pt>
                <c:pt idx="1">
                  <c:v>CJ-02</c:v>
                </c:pt>
                <c:pt idx="2">
                  <c:v>CJ-01</c:v>
                </c:pt>
              </c:strCache>
            </c:strRef>
          </c:cat>
          <c:val>
            <c:numRef>
              <c:f>Plan3!$C$208:$C$210</c:f>
              <c:numCache>
                <c:formatCode>0.0%</c:formatCode>
                <c:ptCount val="3"/>
                <c:pt idx="0">
                  <c:v>0.29411764705882354</c:v>
                </c:pt>
                <c:pt idx="1">
                  <c:v>0.23529411764705882</c:v>
                </c:pt>
                <c:pt idx="2">
                  <c:v>0.17647058823529413</c:v>
                </c:pt>
              </c:numCache>
            </c:numRef>
          </c:val>
          <c:extLst xmlns:c16r2="http://schemas.microsoft.com/office/drawing/2015/06/chart">
            <c:ext xmlns:c16="http://schemas.microsoft.com/office/drawing/2014/chart" uri="{C3380CC4-5D6E-409C-BE32-E72D297353CC}">
              <c16:uniqueId val="{00000001-CD47-49EE-97B7-AB34D4C77944}"/>
            </c:ext>
          </c:extLst>
        </c:ser>
        <c:dLbls>
          <c:showLegendKey val="0"/>
          <c:showVal val="0"/>
          <c:showCatName val="0"/>
          <c:showSerName val="0"/>
          <c:showPercent val="0"/>
          <c:showBubbleSize val="0"/>
        </c:dLbls>
        <c:gapWidth val="182"/>
        <c:axId val="224488448"/>
        <c:axId val="224498432"/>
      </c:barChart>
      <c:catAx>
        <c:axId val="224488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4498432"/>
        <c:crosses val="autoZero"/>
        <c:auto val="1"/>
        <c:lblAlgn val="ctr"/>
        <c:lblOffset val="100"/>
        <c:noMultiLvlLbl val="0"/>
      </c:catAx>
      <c:valAx>
        <c:axId val="224498432"/>
        <c:scaling>
          <c:orientation val="minMax"/>
        </c:scaling>
        <c:delete val="1"/>
        <c:axPos val="t"/>
        <c:numFmt formatCode="0.0%" sourceLinked="1"/>
        <c:majorTickMark val="none"/>
        <c:minorTickMark val="none"/>
        <c:tickLblPos val="nextTo"/>
        <c:crossAx val="22448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Plan3!$B$220</c:f>
              <c:strCache>
                <c:ptCount val="1"/>
                <c:pt idx="0">
                  <c:v>Feminino</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Plan3!$A$221:$A$224</c:f>
              <c:strCache>
                <c:ptCount val="4"/>
                <c:pt idx="0">
                  <c:v>FC-06</c:v>
                </c:pt>
                <c:pt idx="1">
                  <c:v>FC-05</c:v>
                </c:pt>
                <c:pt idx="2">
                  <c:v>FC-04</c:v>
                </c:pt>
                <c:pt idx="3">
                  <c:v>FC-03</c:v>
                </c:pt>
              </c:strCache>
            </c:strRef>
          </c:cat>
          <c:val>
            <c:numRef>
              <c:f>Plan3!$B$221:$B$224</c:f>
              <c:numCache>
                <c:formatCode>0.0%</c:formatCode>
                <c:ptCount val="4"/>
                <c:pt idx="0">
                  <c:v>6.7961165048543687E-2</c:v>
                </c:pt>
                <c:pt idx="1">
                  <c:v>0.1650485436893204</c:v>
                </c:pt>
                <c:pt idx="2">
                  <c:v>0.1650485436893204</c:v>
                </c:pt>
                <c:pt idx="3">
                  <c:v>2.9126213592233011E-2</c:v>
                </c:pt>
              </c:numCache>
            </c:numRef>
          </c:val>
          <c:extLst xmlns:c16r2="http://schemas.microsoft.com/office/drawing/2015/06/chart">
            <c:ext xmlns:c16="http://schemas.microsoft.com/office/drawing/2014/chart" uri="{C3380CC4-5D6E-409C-BE32-E72D297353CC}">
              <c16:uniqueId val="{00000000-E2E0-449F-A455-C54F291FE456}"/>
            </c:ext>
          </c:extLst>
        </c:ser>
        <c:ser>
          <c:idx val="1"/>
          <c:order val="1"/>
          <c:tx>
            <c:strRef>
              <c:f>Plan3!$C$220</c:f>
              <c:strCache>
                <c:ptCount val="1"/>
                <c:pt idx="0">
                  <c:v>Masculino</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Plan3!$A$221:$A$224</c:f>
              <c:strCache>
                <c:ptCount val="4"/>
                <c:pt idx="0">
                  <c:v>FC-06</c:v>
                </c:pt>
                <c:pt idx="1">
                  <c:v>FC-05</c:v>
                </c:pt>
                <c:pt idx="2">
                  <c:v>FC-04</c:v>
                </c:pt>
                <c:pt idx="3">
                  <c:v>FC-03</c:v>
                </c:pt>
              </c:strCache>
            </c:strRef>
          </c:cat>
          <c:val>
            <c:numRef>
              <c:f>Plan3!$C$221:$C$224</c:f>
              <c:numCache>
                <c:formatCode>0.0%</c:formatCode>
                <c:ptCount val="4"/>
                <c:pt idx="0">
                  <c:v>0.12621359223300971</c:v>
                </c:pt>
                <c:pt idx="1">
                  <c:v>0.1650485436893204</c:v>
                </c:pt>
                <c:pt idx="2">
                  <c:v>0.1941747572815534</c:v>
                </c:pt>
                <c:pt idx="3">
                  <c:v>8.7378640776699032E-2</c:v>
                </c:pt>
              </c:numCache>
            </c:numRef>
          </c:val>
          <c:extLst xmlns:c16r2="http://schemas.microsoft.com/office/drawing/2015/06/chart">
            <c:ext xmlns:c16="http://schemas.microsoft.com/office/drawing/2014/chart" uri="{C3380CC4-5D6E-409C-BE32-E72D297353CC}">
              <c16:uniqueId val="{00000001-E2E0-449F-A455-C54F291FE456}"/>
            </c:ext>
          </c:extLst>
        </c:ser>
        <c:dLbls>
          <c:showLegendKey val="0"/>
          <c:showVal val="0"/>
          <c:showCatName val="0"/>
          <c:showSerName val="0"/>
          <c:showPercent val="0"/>
          <c:showBubbleSize val="0"/>
        </c:dLbls>
        <c:gapWidth val="182"/>
        <c:axId val="224537984"/>
        <c:axId val="224539776"/>
      </c:barChart>
      <c:catAx>
        <c:axId val="224537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24539776"/>
        <c:crosses val="autoZero"/>
        <c:auto val="1"/>
        <c:lblAlgn val="ctr"/>
        <c:lblOffset val="100"/>
        <c:noMultiLvlLbl val="0"/>
      </c:catAx>
      <c:valAx>
        <c:axId val="224539776"/>
        <c:scaling>
          <c:orientation val="minMax"/>
        </c:scaling>
        <c:delete val="1"/>
        <c:axPos val="t"/>
        <c:numFmt formatCode="0.0%" sourceLinked="1"/>
        <c:majorTickMark val="none"/>
        <c:minorTickMark val="none"/>
        <c:tickLblPos val="nextTo"/>
        <c:crossAx val="22453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F12C3-5C4E-4121-BA9E-FC925F1EB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38711</Words>
  <Characters>209041</Characters>
  <Application>Microsoft Office Word</Application>
  <DocSecurity>0</DocSecurity>
  <Lines>1742</Lines>
  <Paragraphs>494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Geyson Ramos</dc:creator>
  <cp:lastModifiedBy>Cristiano Siqueira Abreu e Lima</cp:lastModifiedBy>
  <cp:revision>2</cp:revision>
  <cp:lastPrinted>2025-09-20T00:35:00Z</cp:lastPrinted>
  <dcterms:created xsi:type="dcterms:W3CDTF">2025-09-22T22:14:00Z</dcterms:created>
  <dcterms:modified xsi:type="dcterms:W3CDTF">2025-09-22T22:14:00Z</dcterms:modified>
</cp:coreProperties>
</file>